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CEF" w:rsidRPr="00D86CEF" w:rsidRDefault="00D86CEF" w:rsidP="00D86CEF">
      <w:pPr>
        <w:widowControl/>
        <w:jc w:val="center"/>
        <w:outlineLvl w:val="1"/>
        <w:rPr>
          <w:rFonts w:ascii="宋体" w:eastAsia="宋体" w:hAnsi="宋体" w:cs="宋体"/>
          <w:b/>
          <w:bCs/>
          <w:color w:val="333333"/>
          <w:kern w:val="0"/>
          <w:sz w:val="24"/>
          <w:szCs w:val="24"/>
        </w:rPr>
      </w:pPr>
      <w:r w:rsidRPr="00D86CEF">
        <w:rPr>
          <w:rFonts w:ascii="宋体" w:eastAsia="宋体" w:hAnsi="宋体" w:cs="宋体" w:hint="eastAsia"/>
          <w:b/>
          <w:bCs/>
          <w:color w:val="333333"/>
          <w:kern w:val="0"/>
          <w:sz w:val="24"/>
          <w:szCs w:val="24"/>
        </w:rPr>
        <w:t>关于增加北京肯特瑞为嘉实旗下基金代销机构并开展</w:t>
      </w:r>
      <w:proofErr w:type="gramStart"/>
      <w:r w:rsidRPr="00D86CEF">
        <w:rPr>
          <w:rFonts w:ascii="宋体" w:eastAsia="宋体" w:hAnsi="宋体" w:cs="宋体" w:hint="eastAsia"/>
          <w:b/>
          <w:bCs/>
          <w:color w:val="333333"/>
          <w:kern w:val="0"/>
          <w:sz w:val="24"/>
          <w:szCs w:val="24"/>
        </w:rPr>
        <w:t>定投业务</w:t>
      </w:r>
      <w:proofErr w:type="gramEnd"/>
      <w:r w:rsidRPr="00D86CEF">
        <w:rPr>
          <w:rFonts w:ascii="宋体" w:eastAsia="宋体" w:hAnsi="宋体" w:cs="宋体" w:hint="eastAsia"/>
          <w:b/>
          <w:bCs/>
          <w:color w:val="333333"/>
          <w:kern w:val="0"/>
          <w:sz w:val="24"/>
          <w:szCs w:val="24"/>
        </w:rPr>
        <w:t>及参加费率优惠的公告</w:t>
      </w:r>
    </w:p>
    <w:p w:rsidR="00D86CEF" w:rsidRPr="00D86CEF" w:rsidRDefault="00D86CEF" w:rsidP="00D86CEF">
      <w:pPr>
        <w:widowControl/>
        <w:jc w:val="center"/>
        <w:rPr>
          <w:rFonts w:ascii="Tahoma" w:eastAsia="宋体" w:hAnsi="Tahoma" w:cs="Tahoma" w:hint="eastAsia"/>
          <w:color w:val="000000"/>
          <w:kern w:val="0"/>
          <w:szCs w:val="21"/>
        </w:rPr>
      </w:pPr>
      <w:r w:rsidRPr="00D86CEF">
        <w:rPr>
          <w:rFonts w:ascii="Tahoma" w:eastAsia="宋体" w:hAnsi="Tahoma" w:cs="Tahoma"/>
          <w:color w:val="000000"/>
          <w:kern w:val="0"/>
          <w:szCs w:val="21"/>
        </w:rPr>
        <w:t>来源：</w:t>
      </w:r>
      <w:r w:rsidRPr="00D86CEF">
        <w:rPr>
          <w:rFonts w:ascii="Tahoma" w:eastAsia="宋体" w:hAnsi="Tahoma" w:cs="Tahoma"/>
          <w:color w:val="000000"/>
          <w:kern w:val="0"/>
          <w:szCs w:val="21"/>
        </w:rPr>
        <w:t>  </w:t>
      </w:r>
      <w:r w:rsidRPr="00D86CEF">
        <w:rPr>
          <w:rFonts w:ascii="Tahoma" w:eastAsia="宋体" w:hAnsi="Tahoma" w:cs="Tahoma"/>
          <w:color w:val="000000"/>
          <w:kern w:val="0"/>
          <w:szCs w:val="21"/>
        </w:rPr>
        <w:t>作者：</w:t>
      </w:r>
      <w:r w:rsidRPr="00D86CEF">
        <w:rPr>
          <w:rFonts w:ascii="Tahoma" w:eastAsia="宋体" w:hAnsi="Tahoma" w:cs="Tahoma"/>
          <w:color w:val="000000"/>
          <w:kern w:val="0"/>
          <w:szCs w:val="21"/>
        </w:rPr>
        <w:t xml:space="preserve">   </w:t>
      </w:r>
      <w:r w:rsidRPr="00D86CEF">
        <w:rPr>
          <w:rFonts w:ascii="Tahoma" w:eastAsia="宋体" w:hAnsi="Tahoma" w:cs="Tahoma"/>
          <w:color w:val="000000"/>
          <w:kern w:val="0"/>
          <w:szCs w:val="21"/>
        </w:rPr>
        <w:t>时间：</w:t>
      </w:r>
      <w:r w:rsidRPr="00D86CEF">
        <w:rPr>
          <w:rFonts w:ascii="Tahoma" w:eastAsia="宋体" w:hAnsi="Tahoma" w:cs="Tahoma"/>
          <w:color w:val="000000"/>
          <w:kern w:val="0"/>
          <w:szCs w:val="21"/>
        </w:rPr>
        <w:t>2018</w:t>
      </w:r>
      <w:r w:rsidRPr="00D86CEF">
        <w:rPr>
          <w:rFonts w:ascii="Tahoma" w:eastAsia="宋体" w:hAnsi="Tahoma" w:cs="Tahoma"/>
          <w:color w:val="000000"/>
          <w:kern w:val="0"/>
          <w:szCs w:val="21"/>
        </w:rPr>
        <w:t>年</w:t>
      </w:r>
      <w:r w:rsidRPr="00D86CEF">
        <w:rPr>
          <w:rFonts w:ascii="Tahoma" w:eastAsia="宋体" w:hAnsi="Tahoma" w:cs="Tahoma"/>
          <w:color w:val="000000"/>
          <w:kern w:val="0"/>
          <w:szCs w:val="21"/>
        </w:rPr>
        <w:t>01</w:t>
      </w:r>
      <w:r w:rsidRPr="00D86CEF">
        <w:rPr>
          <w:rFonts w:ascii="Tahoma" w:eastAsia="宋体" w:hAnsi="Tahoma" w:cs="Tahoma"/>
          <w:color w:val="000000"/>
          <w:kern w:val="0"/>
          <w:szCs w:val="21"/>
        </w:rPr>
        <w:t>月</w:t>
      </w:r>
      <w:r w:rsidRPr="00D86CEF">
        <w:rPr>
          <w:rFonts w:ascii="Tahoma" w:eastAsia="宋体" w:hAnsi="Tahoma" w:cs="Tahoma"/>
          <w:color w:val="000000"/>
          <w:kern w:val="0"/>
          <w:szCs w:val="21"/>
        </w:rPr>
        <w:t>22</w:t>
      </w:r>
      <w:r w:rsidRPr="00D86CEF">
        <w:rPr>
          <w:rFonts w:ascii="Tahoma" w:eastAsia="宋体" w:hAnsi="Tahoma" w:cs="Tahoma"/>
          <w:color w:val="000000"/>
          <w:kern w:val="0"/>
          <w:szCs w:val="21"/>
        </w:rPr>
        <w:t>日</w:t>
      </w:r>
      <w:r w:rsidRPr="00D86CEF">
        <w:rPr>
          <w:rFonts w:ascii="Tahoma" w:eastAsia="宋体" w:hAnsi="Tahoma" w:cs="Tahoma"/>
          <w:color w:val="000000"/>
          <w:kern w:val="0"/>
          <w:szCs w:val="21"/>
        </w:rPr>
        <w:t xml:space="preserve">   </w:t>
      </w:r>
      <w:r w:rsidRPr="00D86CEF">
        <w:rPr>
          <w:rFonts w:ascii="Tahoma" w:eastAsia="宋体" w:hAnsi="Tahoma" w:cs="Tahoma"/>
          <w:color w:val="000000"/>
          <w:kern w:val="0"/>
          <w:szCs w:val="21"/>
        </w:rPr>
        <w:t>已访问次数</w:t>
      </w:r>
      <w:r w:rsidRPr="00D86CEF">
        <w:rPr>
          <w:rFonts w:ascii="Tahoma" w:eastAsia="宋体" w:hAnsi="Tahoma" w:cs="Tahoma"/>
          <w:color w:val="000000"/>
          <w:kern w:val="0"/>
          <w:szCs w:val="21"/>
        </w:rPr>
        <w:t>:8      </w:t>
      </w:r>
    </w:p>
    <w:p w:rsidR="00D86CEF" w:rsidRPr="00D86CEF" w:rsidRDefault="00D86CEF" w:rsidP="00D86CEF">
      <w:pPr>
        <w:widowControl/>
        <w:jc w:val="center"/>
        <w:rPr>
          <w:rFonts w:ascii="inherit" w:eastAsia="宋体" w:hAnsi="inherit" w:cs="Tahoma"/>
          <w:color w:val="777777"/>
          <w:kern w:val="0"/>
          <w:szCs w:val="21"/>
        </w:rPr>
      </w:pPr>
      <w:hyperlink r:id="rId5" w:history="1">
        <w:r w:rsidRPr="00D86CEF">
          <w:rPr>
            <w:rFonts w:ascii="inherit" w:eastAsia="宋体" w:hAnsi="inherit" w:cs="Tahoma"/>
            <w:color w:val="FF0000"/>
            <w:kern w:val="0"/>
            <w:szCs w:val="21"/>
            <w:u w:val="single"/>
            <w:bdr w:val="none" w:sz="0" w:space="0" w:color="auto" w:frame="1"/>
          </w:rPr>
          <w:t>在线购买</w:t>
        </w:r>
      </w:hyperlink>
      <w:r w:rsidRPr="00D86CEF">
        <w:rPr>
          <w:rFonts w:ascii="inherit" w:eastAsia="宋体" w:hAnsi="inherit" w:cs="Tahoma"/>
          <w:color w:val="777777"/>
          <w:kern w:val="0"/>
          <w:szCs w:val="21"/>
        </w:rPr>
        <w:t>  |  </w:t>
      </w:r>
      <w:hyperlink r:id="rId6" w:history="1">
        <w:r w:rsidRPr="00D86CEF">
          <w:rPr>
            <w:rFonts w:ascii="inherit" w:eastAsia="宋体" w:hAnsi="inherit" w:cs="Tahoma"/>
            <w:color w:val="777777"/>
            <w:kern w:val="0"/>
            <w:szCs w:val="21"/>
            <w:bdr w:val="none" w:sz="0" w:space="0" w:color="auto" w:frame="1"/>
          </w:rPr>
          <w:t>打印本页</w:t>
        </w:r>
      </w:hyperlink>
      <w:r w:rsidRPr="00D86CEF">
        <w:rPr>
          <w:rFonts w:ascii="inherit" w:eastAsia="宋体" w:hAnsi="inherit" w:cs="Tahoma"/>
          <w:color w:val="777777"/>
          <w:kern w:val="0"/>
          <w:szCs w:val="21"/>
        </w:rPr>
        <w:t>  |  </w:t>
      </w:r>
      <w:hyperlink r:id="rId7" w:history="1">
        <w:r w:rsidRPr="00D86CEF">
          <w:rPr>
            <w:rFonts w:ascii="inherit" w:eastAsia="宋体" w:hAnsi="inherit" w:cs="Tahoma"/>
            <w:color w:val="777777"/>
            <w:kern w:val="0"/>
            <w:szCs w:val="21"/>
            <w:bdr w:val="none" w:sz="0" w:space="0" w:color="auto" w:frame="1"/>
          </w:rPr>
          <w:t>关闭本页</w:t>
        </w:r>
      </w:hyperlink>
    </w:p>
    <w:p w:rsidR="00D86CEF" w:rsidRPr="00D86CEF" w:rsidRDefault="00D86CEF" w:rsidP="00D86CEF">
      <w:pPr>
        <w:widowControl/>
        <w:spacing w:before="120" w:after="120"/>
        <w:rPr>
          <w:rFonts w:ascii="Tahoma" w:eastAsia="宋体" w:hAnsi="Tahoma" w:cs="Tahoma"/>
          <w:color w:val="000000"/>
          <w:kern w:val="0"/>
          <w:szCs w:val="21"/>
        </w:rPr>
      </w:pPr>
      <w:r w:rsidRPr="00D86CEF">
        <w:rPr>
          <w:rFonts w:ascii="Tahoma" w:eastAsia="宋体" w:hAnsi="Tahoma" w:cs="Tahoma"/>
          <w:color w:val="000000"/>
          <w:kern w:val="0"/>
          <w:szCs w:val="21"/>
        </w:rPr>
        <w:t> </w:t>
      </w:r>
    </w:p>
    <w:p w:rsidR="00D86CEF" w:rsidRPr="00D86CEF" w:rsidRDefault="00D86CEF" w:rsidP="00D86CEF">
      <w:pPr>
        <w:widowControl/>
        <w:wordWrap w:val="0"/>
        <w:jc w:val="center"/>
        <w:rPr>
          <w:rFonts w:ascii="Tahoma" w:eastAsia="宋体" w:hAnsi="Tahoma" w:cs="Tahoma"/>
          <w:color w:val="000000"/>
          <w:kern w:val="0"/>
          <w:szCs w:val="21"/>
        </w:rPr>
      </w:pPr>
      <w:r w:rsidRPr="00D86CEF">
        <w:rPr>
          <w:rFonts w:ascii="黑体" w:eastAsia="黑体" w:hAnsi="黑体" w:cs="Tahoma" w:hint="eastAsia"/>
          <w:b/>
          <w:bCs/>
          <w:color w:val="FF0000"/>
          <w:kern w:val="0"/>
          <w:sz w:val="32"/>
          <w:szCs w:val="32"/>
        </w:rPr>
        <w:t>关于增加北京肯特瑞为嘉实旗下基金代销机构</w:t>
      </w:r>
    </w:p>
    <w:p w:rsidR="00D86CEF" w:rsidRPr="00D86CEF" w:rsidRDefault="00D86CEF" w:rsidP="00D86CEF">
      <w:pPr>
        <w:widowControl/>
        <w:wordWrap w:val="0"/>
        <w:jc w:val="center"/>
        <w:rPr>
          <w:rFonts w:ascii="Tahoma" w:eastAsia="宋体" w:hAnsi="Tahoma" w:cs="Tahoma"/>
          <w:color w:val="000000"/>
          <w:kern w:val="0"/>
          <w:szCs w:val="21"/>
        </w:rPr>
      </w:pPr>
      <w:r w:rsidRPr="00D86CEF">
        <w:rPr>
          <w:rFonts w:ascii="黑体" w:eastAsia="黑体" w:hAnsi="黑体" w:cs="Tahoma" w:hint="eastAsia"/>
          <w:b/>
          <w:bCs/>
          <w:color w:val="FF0000"/>
          <w:kern w:val="0"/>
          <w:sz w:val="32"/>
          <w:szCs w:val="32"/>
        </w:rPr>
        <w:t>并开展</w:t>
      </w:r>
      <w:proofErr w:type="gramStart"/>
      <w:r w:rsidRPr="00D86CEF">
        <w:rPr>
          <w:rFonts w:ascii="黑体" w:eastAsia="黑体" w:hAnsi="黑体" w:cs="Tahoma" w:hint="eastAsia"/>
          <w:b/>
          <w:bCs/>
          <w:color w:val="FF0000"/>
          <w:kern w:val="0"/>
          <w:sz w:val="32"/>
          <w:szCs w:val="32"/>
        </w:rPr>
        <w:t>定投业务</w:t>
      </w:r>
      <w:proofErr w:type="gramEnd"/>
      <w:r w:rsidRPr="00D86CEF">
        <w:rPr>
          <w:rFonts w:ascii="黑体" w:eastAsia="黑体" w:hAnsi="黑体" w:cs="Tahoma" w:hint="eastAsia"/>
          <w:b/>
          <w:bCs/>
          <w:color w:val="FF0000"/>
          <w:kern w:val="0"/>
          <w:sz w:val="32"/>
          <w:szCs w:val="32"/>
        </w:rPr>
        <w:t>及参加费率优惠的公告</w:t>
      </w:r>
    </w:p>
    <w:p w:rsidR="00D86CEF" w:rsidRPr="00D86CEF" w:rsidRDefault="00D86CEF" w:rsidP="00D86CEF">
      <w:pPr>
        <w:widowControl/>
        <w:ind w:firstLine="413"/>
        <w:jc w:val="left"/>
        <w:rPr>
          <w:rFonts w:ascii="Tahoma" w:eastAsia="宋体" w:hAnsi="Tahoma" w:cs="Tahoma"/>
          <w:color w:val="000000"/>
          <w:kern w:val="0"/>
          <w:szCs w:val="21"/>
        </w:rPr>
      </w:pPr>
      <w:r w:rsidRPr="00D86CEF">
        <w:rPr>
          <w:rFonts w:ascii="宋体" w:eastAsia="宋体" w:hAnsi="宋体" w:cs="Tahoma" w:hint="eastAsia"/>
          <w:color w:val="000000"/>
          <w:kern w:val="0"/>
          <w:sz w:val="24"/>
          <w:szCs w:val="24"/>
        </w:rPr>
        <w:t>根据嘉</w:t>
      </w:r>
      <w:proofErr w:type="gramStart"/>
      <w:r w:rsidRPr="00D86CEF">
        <w:rPr>
          <w:rFonts w:ascii="宋体" w:eastAsia="宋体" w:hAnsi="宋体" w:cs="Tahoma" w:hint="eastAsia"/>
          <w:color w:val="000000"/>
          <w:kern w:val="0"/>
          <w:sz w:val="24"/>
          <w:szCs w:val="24"/>
        </w:rPr>
        <w:t>实基金</w:t>
      </w:r>
      <w:proofErr w:type="gramEnd"/>
      <w:r w:rsidRPr="00D86CEF">
        <w:rPr>
          <w:rFonts w:ascii="宋体" w:eastAsia="宋体" w:hAnsi="宋体" w:cs="Tahoma" w:hint="eastAsia"/>
          <w:color w:val="000000"/>
          <w:kern w:val="0"/>
          <w:sz w:val="24"/>
          <w:szCs w:val="24"/>
        </w:rPr>
        <w:t>管理有限公司与北京肯特瑞财富投资管理有限公司(以下简称“北京肯特瑞”）签署的开放式基金代销协议，自2018年1月22日起，增加北京肯特瑞为嘉实旗下开放式基金代销机构。</w:t>
      </w:r>
    </w:p>
    <w:p w:rsidR="00D86CEF" w:rsidRPr="00D86CEF" w:rsidRDefault="00D86CEF" w:rsidP="00D86CEF">
      <w:pPr>
        <w:widowControl/>
        <w:ind w:firstLine="413"/>
        <w:jc w:val="left"/>
        <w:rPr>
          <w:rFonts w:ascii="Tahoma" w:eastAsia="宋体" w:hAnsi="Tahoma" w:cs="Tahoma"/>
          <w:color w:val="000000"/>
          <w:kern w:val="0"/>
          <w:szCs w:val="21"/>
        </w:rPr>
      </w:pPr>
      <w:r w:rsidRPr="00D86CEF">
        <w:rPr>
          <w:rFonts w:ascii="Tahoma" w:eastAsia="宋体" w:hAnsi="Tahoma" w:cs="Tahoma"/>
          <w:color w:val="000000"/>
          <w:kern w:val="0"/>
          <w:szCs w:val="21"/>
        </w:rPr>
        <w:t> </w:t>
      </w:r>
    </w:p>
    <w:p w:rsidR="00D86CEF" w:rsidRPr="00D86CEF" w:rsidRDefault="00D86CEF" w:rsidP="00D86CEF">
      <w:pPr>
        <w:widowControl/>
        <w:wordWrap w:val="0"/>
        <w:spacing w:line="315" w:lineRule="atLeast"/>
        <w:ind w:firstLine="413"/>
        <w:jc w:val="left"/>
        <w:rPr>
          <w:rFonts w:ascii="Tahoma" w:eastAsia="宋体" w:hAnsi="Tahoma" w:cs="Tahoma"/>
          <w:color w:val="000000"/>
          <w:kern w:val="0"/>
          <w:szCs w:val="21"/>
        </w:rPr>
      </w:pPr>
      <w:r w:rsidRPr="00D86CEF">
        <w:rPr>
          <w:rFonts w:ascii="宋体" w:eastAsia="宋体" w:hAnsi="宋体" w:cs="Tahoma" w:hint="eastAsia"/>
          <w:b/>
          <w:bCs/>
          <w:color w:val="000000"/>
          <w:kern w:val="0"/>
          <w:szCs w:val="21"/>
        </w:rPr>
        <w:t>一、适用基金范围</w:t>
      </w:r>
    </w:p>
    <w:p w:rsidR="00D86CEF" w:rsidRPr="00D86CEF" w:rsidRDefault="00D86CEF" w:rsidP="00D86CEF">
      <w:pPr>
        <w:widowControl/>
        <w:wordWrap w:val="0"/>
        <w:spacing w:line="315" w:lineRule="atLeast"/>
        <w:ind w:firstLine="413"/>
        <w:jc w:val="left"/>
        <w:rPr>
          <w:rFonts w:ascii="Tahoma" w:eastAsia="宋体" w:hAnsi="Tahoma" w:cs="Tahoma"/>
          <w:color w:val="000000"/>
          <w:kern w:val="0"/>
          <w:szCs w:val="21"/>
        </w:rPr>
      </w:pPr>
      <w:r w:rsidRPr="00D86CEF">
        <w:rPr>
          <w:rFonts w:ascii="宋体" w:eastAsia="宋体" w:hAnsi="宋体" w:cs="Tahoma" w:hint="eastAsia"/>
          <w:color w:val="000000"/>
          <w:kern w:val="0"/>
          <w:sz w:val="24"/>
          <w:szCs w:val="24"/>
        </w:rPr>
        <w:t>嘉实策略优选混合、嘉</w:t>
      </w:r>
      <w:proofErr w:type="gramStart"/>
      <w:r w:rsidRPr="00D86CEF">
        <w:rPr>
          <w:rFonts w:ascii="宋体" w:eastAsia="宋体" w:hAnsi="宋体" w:cs="Tahoma" w:hint="eastAsia"/>
          <w:color w:val="000000"/>
          <w:kern w:val="0"/>
          <w:sz w:val="24"/>
          <w:szCs w:val="24"/>
        </w:rPr>
        <w:t>实主题</w:t>
      </w:r>
      <w:proofErr w:type="gramEnd"/>
      <w:r w:rsidRPr="00D86CEF">
        <w:rPr>
          <w:rFonts w:ascii="宋体" w:eastAsia="宋体" w:hAnsi="宋体" w:cs="Tahoma" w:hint="eastAsia"/>
          <w:color w:val="000000"/>
          <w:kern w:val="0"/>
          <w:sz w:val="24"/>
          <w:szCs w:val="24"/>
        </w:rPr>
        <w:t>增强混合、嘉实价</w:t>
      </w:r>
      <w:proofErr w:type="gramStart"/>
      <w:r w:rsidRPr="00D86CEF">
        <w:rPr>
          <w:rFonts w:ascii="宋体" w:eastAsia="宋体" w:hAnsi="宋体" w:cs="Tahoma" w:hint="eastAsia"/>
          <w:color w:val="000000"/>
          <w:kern w:val="0"/>
          <w:sz w:val="24"/>
          <w:szCs w:val="24"/>
        </w:rPr>
        <w:t>值增强</w:t>
      </w:r>
      <w:proofErr w:type="gramEnd"/>
      <w:r w:rsidRPr="00D86CEF">
        <w:rPr>
          <w:rFonts w:ascii="宋体" w:eastAsia="宋体" w:hAnsi="宋体" w:cs="Tahoma" w:hint="eastAsia"/>
          <w:color w:val="000000"/>
          <w:kern w:val="0"/>
          <w:sz w:val="24"/>
          <w:szCs w:val="24"/>
        </w:rPr>
        <w:t>混合、嘉实定期宝6个月理财债券A、嘉实快线货币A、嘉实增益宝货币、嘉实新能源新材料股票、</w:t>
      </w:r>
      <w:proofErr w:type="gramStart"/>
      <w:r w:rsidRPr="00D86CEF">
        <w:rPr>
          <w:rFonts w:ascii="宋体" w:eastAsia="宋体" w:hAnsi="宋体" w:cs="Tahoma" w:hint="eastAsia"/>
          <w:color w:val="000000"/>
          <w:kern w:val="0"/>
          <w:sz w:val="24"/>
          <w:szCs w:val="24"/>
        </w:rPr>
        <w:t>嘉实沪港</w:t>
      </w:r>
      <w:proofErr w:type="gramEnd"/>
      <w:r w:rsidRPr="00D86CEF">
        <w:rPr>
          <w:rFonts w:ascii="宋体" w:eastAsia="宋体" w:hAnsi="宋体" w:cs="Tahoma" w:hint="eastAsia"/>
          <w:color w:val="000000"/>
          <w:kern w:val="0"/>
          <w:sz w:val="24"/>
          <w:szCs w:val="24"/>
        </w:rPr>
        <w:t>深回报混合、</w:t>
      </w:r>
      <w:proofErr w:type="gramStart"/>
      <w:r w:rsidRPr="00D86CEF">
        <w:rPr>
          <w:rFonts w:ascii="宋体" w:eastAsia="宋体" w:hAnsi="宋体" w:cs="Tahoma" w:hint="eastAsia"/>
          <w:color w:val="000000"/>
          <w:kern w:val="0"/>
          <w:sz w:val="24"/>
          <w:szCs w:val="24"/>
        </w:rPr>
        <w:t>嘉实富时</w:t>
      </w:r>
      <w:proofErr w:type="gramEnd"/>
      <w:r w:rsidRPr="00D86CEF">
        <w:rPr>
          <w:rFonts w:ascii="宋体" w:eastAsia="宋体" w:hAnsi="宋体" w:cs="Tahoma" w:hint="eastAsia"/>
          <w:color w:val="000000"/>
          <w:kern w:val="0"/>
          <w:sz w:val="24"/>
          <w:szCs w:val="24"/>
        </w:rPr>
        <w:t>中国A50ETF联接、嘉实价值精选股票、嘉实理财宝7天债券、嘉实</w:t>
      </w:r>
      <w:proofErr w:type="gramStart"/>
      <w:r w:rsidRPr="00D86CEF">
        <w:rPr>
          <w:rFonts w:ascii="宋体" w:eastAsia="宋体" w:hAnsi="宋体" w:cs="Tahoma" w:hint="eastAsia"/>
          <w:color w:val="000000"/>
          <w:kern w:val="0"/>
          <w:sz w:val="24"/>
          <w:szCs w:val="24"/>
        </w:rPr>
        <w:t>惠泽定增</w:t>
      </w:r>
      <w:proofErr w:type="gramEnd"/>
      <w:r w:rsidRPr="00D86CEF">
        <w:rPr>
          <w:rFonts w:ascii="宋体" w:eastAsia="宋体" w:hAnsi="宋体" w:cs="Tahoma" w:hint="eastAsia"/>
          <w:color w:val="000000"/>
          <w:kern w:val="0"/>
          <w:sz w:val="24"/>
          <w:szCs w:val="24"/>
        </w:rPr>
        <w:t>混合。</w:t>
      </w:r>
    </w:p>
    <w:p w:rsidR="00D86CEF" w:rsidRPr="00D86CEF" w:rsidRDefault="00D86CEF" w:rsidP="00D86CEF">
      <w:pPr>
        <w:widowControl/>
        <w:jc w:val="left"/>
        <w:rPr>
          <w:rFonts w:ascii="Tahoma" w:eastAsia="宋体" w:hAnsi="Tahoma" w:cs="Tahoma"/>
          <w:color w:val="000000"/>
          <w:kern w:val="0"/>
          <w:szCs w:val="21"/>
        </w:rPr>
      </w:pPr>
      <w:r w:rsidRPr="00D86CEF">
        <w:rPr>
          <w:rFonts w:ascii="楷体" w:eastAsia="楷体" w:hAnsi="楷体" w:cs="Tahoma" w:hint="eastAsia"/>
          <w:color w:val="000000"/>
          <w:kern w:val="0"/>
          <w:szCs w:val="21"/>
        </w:rPr>
        <w:t>注：嘉实策略优选混合、嘉</w:t>
      </w:r>
      <w:proofErr w:type="gramStart"/>
      <w:r w:rsidRPr="00D86CEF">
        <w:rPr>
          <w:rFonts w:ascii="楷体" w:eastAsia="楷体" w:hAnsi="楷体" w:cs="Tahoma" w:hint="eastAsia"/>
          <w:color w:val="000000"/>
          <w:kern w:val="0"/>
          <w:szCs w:val="21"/>
        </w:rPr>
        <w:t>实主题</w:t>
      </w:r>
      <w:proofErr w:type="gramEnd"/>
      <w:r w:rsidRPr="00D86CEF">
        <w:rPr>
          <w:rFonts w:ascii="楷体" w:eastAsia="楷体" w:hAnsi="楷体" w:cs="Tahoma" w:hint="eastAsia"/>
          <w:color w:val="000000"/>
          <w:kern w:val="0"/>
          <w:szCs w:val="21"/>
        </w:rPr>
        <w:t>增强混合、嘉实价</w:t>
      </w:r>
      <w:proofErr w:type="gramStart"/>
      <w:r w:rsidRPr="00D86CEF">
        <w:rPr>
          <w:rFonts w:ascii="楷体" w:eastAsia="楷体" w:hAnsi="楷体" w:cs="Tahoma" w:hint="eastAsia"/>
          <w:color w:val="000000"/>
          <w:kern w:val="0"/>
          <w:szCs w:val="21"/>
        </w:rPr>
        <w:t>值增强</w:t>
      </w:r>
      <w:proofErr w:type="gramEnd"/>
      <w:r w:rsidRPr="00D86CEF">
        <w:rPr>
          <w:rFonts w:ascii="楷体" w:eastAsia="楷体" w:hAnsi="楷体" w:cs="Tahoma" w:hint="eastAsia"/>
          <w:color w:val="000000"/>
          <w:kern w:val="0"/>
          <w:szCs w:val="21"/>
        </w:rPr>
        <w:t>混合、嘉实增益宝货币、嘉实理财宝7天债券实施限制大额申购（含转换转入）业务，恢复正常申购业务时间以嘉实公告为准。嘉实定期宝6个月理财债券A暂停申购、嘉实</w:t>
      </w:r>
      <w:proofErr w:type="gramStart"/>
      <w:r w:rsidRPr="00D86CEF">
        <w:rPr>
          <w:rFonts w:ascii="楷体" w:eastAsia="楷体" w:hAnsi="楷体" w:cs="Tahoma" w:hint="eastAsia"/>
          <w:color w:val="000000"/>
          <w:kern w:val="0"/>
          <w:szCs w:val="21"/>
        </w:rPr>
        <w:t>惠泽定增</w:t>
      </w:r>
      <w:proofErr w:type="gramEnd"/>
      <w:r w:rsidRPr="00D86CEF">
        <w:rPr>
          <w:rFonts w:ascii="楷体" w:eastAsia="楷体" w:hAnsi="楷体" w:cs="Tahoma" w:hint="eastAsia"/>
          <w:color w:val="000000"/>
          <w:kern w:val="0"/>
          <w:szCs w:val="21"/>
        </w:rPr>
        <w:t>混合目前处于封闭期，开放申购时间以嘉实公告为准。</w:t>
      </w:r>
    </w:p>
    <w:p w:rsidR="00D86CEF" w:rsidRPr="00D86CEF" w:rsidRDefault="00D86CEF" w:rsidP="00D86CEF">
      <w:pPr>
        <w:widowControl/>
        <w:wordWrap w:val="0"/>
        <w:spacing w:line="315" w:lineRule="atLeast"/>
        <w:ind w:firstLine="413"/>
        <w:jc w:val="left"/>
        <w:rPr>
          <w:rFonts w:ascii="Tahoma" w:eastAsia="宋体" w:hAnsi="Tahoma" w:cs="Tahoma"/>
          <w:color w:val="000000"/>
          <w:kern w:val="0"/>
          <w:szCs w:val="21"/>
        </w:rPr>
      </w:pPr>
      <w:r w:rsidRPr="00D86CEF">
        <w:rPr>
          <w:rFonts w:ascii="Tahoma" w:eastAsia="宋体" w:hAnsi="Tahoma" w:cs="Tahoma"/>
          <w:color w:val="000000"/>
          <w:kern w:val="0"/>
          <w:szCs w:val="21"/>
        </w:rPr>
        <w:t> </w:t>
      </w:r>
    </w:p>
    <w:p w:rsidR="00D86CEF" w:rsidRPr="00D86CEF" w:rsidRDefault="00D86CEF" w:rsidP="00D86CEF">
      <w:pPr>
        <w:widowControl/>
        <w:wordWrap w:val="0"/>
        <w:spacing w:line="315" w:lineRule="atLeast"/>
        <w:ind w:firstLine="413"/>
        <w:jc w:val="left"/>
        <w:rPr>
          <w:rFonts w:ascii="Tahoma" w:eastAsia="宋体" w:hAnsi="Tahoma" w:cs="Tahoma"/>
          <w:color w:val="000000"/>
          <w:kern w:val="0"/>
          <w:szCs w:val="21"/>
        </w:rPr>
      </w:pPr>
      <w:r w:rsidRPr="00D86CEF">
        <w:rPr>
          <w:rFonts w:ascii="宋体" w:eastAsia="宋体" w:hAnsi="宋体" w:cs="Tahoma" w:hint="eastAsia"/>
          <w:b/>
          <w:bCs/>
          <w:color w:val="000000"/>
          <w:kern w:val="0"/>
          <w:szCs w:val="21"/>
        </w:rPr>
        <w:t>二、基金开户、申购等业务</w:t>
      </w:r>
    </w:p>
    <w:p w:rsidR="00D86CEF" w:rsidRPr="00D86CEF" w:rsidRDefault="00D86CEF" w:rsidP="00D86CEF">
      <w:pPr>
        <w:widowControl/>
        <w:wordWrap w:val="0"/>
        <w:spacing w:line="315" w:lineRule="atLeast"/>
        <w:ind w:firstLine="424"/>
        <w:jc w:val="left"/>
        <w:rPr>
          <w:rFonts w:ascii="Tahoma" w:eastAsia="宋体" w:hAnsi="Tahoma" w:cs="Tahoma"/>
          <w:color w:val="000000"/>
          <w:kern w:val="0"/>
          <w:szCs w:val="21"/>
        </w:rPr>
      </w:pPr>
      <w:r w:rsidRPr="00D86CEF">
        <w:rPr>
          <w:rFonts w:ascii="宋体" w:eastAsia="宋体" w:hAnsi="宋体" w:cs="Tahoma" w:hint="eastAsia"/>
          <w:color w:val="000000"/>
          <w:kern w:val="0"/>
          <w:sz w:val="24"/>
          <w:szCs w:val="24"/>
        </w:rPr>
        <w:t>自2018年1月22日起，投资者可通过北京肯特瑞办理上述基金的开户、申购等业务，具体的业务流程、办理时间和办理方式以北京肯特瑞的规定为准。（特别说明除外）</w:t>
      </w:r>
    </w:p>
    <w:p w:rsidR="00D86CEF" w:rsidRPr="00D86CEF" w:rsidRDefault="00D86CEF" w:rsidP="00D86CEF">
      <w:pPr>
        <w:widowControl/>
        <w:wordWrap w:val="0"/>
        <w:spacing w:line="315" w:lineRule="atLeast"/>
        <w:ind w:firstLine="424"/>
        <w:jc w:val="left"/>
        <w:rPr>
          <w:rFonts w:ascii="Tahoma" w:eastAsia="宋体" w:hAnsi="Tahoma" w:cs="Tahoma"/>
          <w:color w:val="000000"/>
          <w:kern w:val="0"/>
          <w:szCs w:val="21"/>
        </w:rPr>
      </w:pPr>
      <w:r w:rsidRPr="00D86CEF">
        <w:rPr>
          <w:rFonts w:ascii="Tahoma" w:eastAsia="宋体" w:hAnsi="Tahoma" w:cs="Tahoma"/>
          <w:color w:val="000000"/>
          <w:kern w:val="0"/>
          <w:szCs w:val="21"/>
        </w:rPr>
        <w:t> </w:t>
      </w:r>
    </w:p>
    <w:p w:rsidR="00D86CEF" w:rsidRPr="00D86CEF" w:rsidRDefault="00D86CEF" w:rsidP="00D86CEF">
      <w:pPr>
        <w:widowControl/>
        <w:wordWrap w:val="0"/>
        <w:spacing w:line="315" w:lineRule="atLeast"/>
        <w:ind w:firstLine="413"/>
        <w:jc w:val="left"/>
        <w:rPr>
          <w:rFonts w:ascii="Tahoma" w:eastAsia="宋体" w:hAnsi="Tahoma" w:cs="Tahoma"/>
          <w:color w:val="000000"/>
          <w:kern w:val="0"/>
          <w:szCs w:val="21"/>
        </w:rPr>
      </w:pPr>
      <w:r w:rsidRPr="00D86CEF">
        <w:rPr>
          <w:rFonts w:ascii="宋体" w:eastAsia="宋体" w:hAnsi="宋体" w:cs="Tahoma" w:hint="eastAsia"/>
          <w:b/>
          <w:bCs/>
          <w:color w:val="000000"/>
          <w:kern w:val="0"/>
          <w:szCs w:val="21"/>
        </w:rPr>
        <w:t>三、定期定额投资业务</w:t>
      </w:r>
    </w:p>
    <w:p w:rsidR="00D86CEF" w:rsidRPr="00D86CEF" w:rsidRDefault="00D86CEF" w:rsidP="00D86CEF">
      <w:pPr>
        <w:widowControl/>
        <w:ind w:firstLine="413"/>
        <w:jc w:val="left"/>
        <w:rPr>
          <w:rFonts w:ascii="Tahoma" w:eastAsia="宋体" w:hAnsi="Tahoma" w:cs="Tahoma"/>
          <w:color w:val="000000"/>
          <w:kern w:val="0"/>
          <w:szCs w:val="21"/>
        </w:rPr>
      </w:pPr>
      <w:r w:rsidRPr="00D86CEF">
        <w:rPr>
          <w:rFonts w:ascii="宋体" w:eastAsia="宋体" w:hAnsi="宋体" w:cs="Tahoma" w:hint="eastAsia"/>
          <w:color w:val="000000"/>
          <w:kern w:val="0"/>
          <w:sz w:val="24"/>
          <w:szCs w:val="24"/>
        </w:rPr>
        <w:t>自2018年1月22日起，投资者可通过北京肯特瑞开办上述基金的定期定额投资业务，在办理“定期定额投资业务”的同时，仍然可以进行日常申购、赎回业务。其中，部分产品是否开通定期定额业务以对应产品相关公告为准。</w:t>
      </w:r>
    </w:p>
    <w:p w:rsidR="00D86CEF" w:rsidRPr="00D86CEF" w:rsidRDefault="00D86CEF" w:rsidP="00D86CEF">
      <w:pPr>
        <w:widowControl/>
        <w:wordWrap w:val="0"/>
        <w:spacing w:line="315" w:lineRule="atLeast"/>
        <w:ind w:firstLine="422"/>
        <w:jc w:val="left"/>
        <w:rPr>
          <w:rFonts w:ascii="Tahoma" w:eastAsia="宋体" w:hAnsi="Tahoma" w:cs="Tahoma"/>
          <w:color w:val="000000"/>
          <w:kern w:val="0"/>
          <w:szCs w:val="21"/>
        </w:rPr>
      </w:pPr>
      <w:r w:rsidRPr="00D86CEF">
        <w:rPr>
          <w:rFonts w:ascii="宋体" w:eastAsia="宋体" w:hAnsi="宋体" w:cs="Tahoma" w:hint="eastAsia"/>
          <w:b/>
          <w:bCs/>
          <w:color w:val="000000"/>
          <w:kern w:val="0"/>
          <w:szCs w:val="21"/>
        </w:rPr>
        <w:t>1、申请方式</w:t>
      </w:r>
    </w:p>
    <w:p w:rsidR="00D86CEF" w:rsidRPr="00D86CEF" w:rsidRDefault="00D86CEF" w:rsidP="00D86CEF">
      <w:pPr>
        <w:widowControl/>
        <w:wordWrap w:val="0"/>
        <w:spacing w:line="315" w:lineRule="atLeast"/>
        <w:ind w:firstLine="424"/>
        <w:jc w:val="left"/>
        <w:rPr>
          <w:rFonts w:ascii="Tahoma" w:eastAsia="宋体" w:hAnsi="Tahoma" w:cs="Tahoma"/>
          <w:color w:val="000000"/>
          <w:kern w:val="0"/>
          <w:szCs w:val="21"/>
        </w:rPr>
      </w:pPr>
      <w:r w:rsidRPr="00D86CEF">
        <w:rPr>
          <w:rFonts w:ascii="宋体" w:eastAsia="宋体" w:hAnsi="宋体" w:cs="Tahoma" w:hint="eastAsia"/>
          <w:color w:val="000000"/>
          <w:kern w:val="0"/>
          <w:sz w:val="24"/>
          <w:szCs w:val="24"/>
        </w:rPr>
        <w:t>（1）凡申请办理上述基金“定期定额投资业务”的投资者，须先开立嘉</w:t>
      </w:r>
      <w:proofErr w:type="gramStart"/>
      <w:r w:rsidRPr="00D86CEF">
        <w:rPr>
          <w:rFonts w:ascii="宋体" w:eastAsia="宋体" w:hAnsi="宋体" w:cs="Tahoma" w:hint="eastAsia"/>
          <w:color w:val="000000"/>
          <w:kern w:val="0"/>
          <w:sz w:val="24"/>
          <w:szCs w:val="24"/>
        </w:rPr>
        <w:t>实基金</w:t>
      </w:r>
      <w:proofErr w:type="gramEnd"/>
      <w:r w:rsidRPr="00D86CEF">
        <w:rPr>
          <w:rFonts w:ascii="宋体" w:eastAsia="宋体" w:hAnsi="宋体" w:cs="Tahoma" w:hint="eastAsia"/>
          <w:color w:val="000000"/>
          <w:kern w:val="0"/>
          <w:sz w:val="24"/>
          <w:szCs w:val="24"/>
        </w:rPr>
        <w:t>管理有限公司开放式基金账户。（已开户者除外）</w:t>
      </w:r>
    </w:p>
    <w:p w:rsidR="00D86CEF" w:rsidRPr="00D86CEF" w:rsidRDefault="00D86CEF" w:rsidP="00D86CEF">
      <w:pPr>
        <w:widowControl/>
        <w:wordWrap w:val="0"/>
        <w:spacing w:line="315" w:lineRule="atLeast"/>
        <w:ind w:firstLine="424"/>
        <w:jc w:val="left"/>
        <w:rPr>
          <w:rFonts w:ascii="Tahoma" w:eastAsia="宋体" w:hAnsi="Tahoma" w:cs="Tahoma"/>
          <w:color w:val="000000"/>
          <w:kern w:val="0"/>
          <w:szCs w:val="21"/>
        </w:rPr>
      </w:pPr>
      <w:r w:rsidRPr="00D86CEF">
        <w:rPr>
          <w:rFonts w:ascii="宋体" w:eastAsia="宋体" w:hAnsi="宋体" w:cs="Tahoma" w:hint="eastAsia"/>
          <w:color w:val="000000"/>
          <w:kern w:val="0"/>
          <w:sz w:val="24"/>
          <w:szCs w:val="24"/>
        </w:rPr>
        <w:t>（2）已开立上述基金账户的投资者，应携带本人有效身份证件及相关业务凭证，到北京肯特瑞的销售网</w:t>
      </w:r>
      <w:proofErr w:type="gramStart"/>
      <w:r w:rsidRPr="00D86CEF">
        <w:rPr>
          <w:rFonts w:ascii="宋体" w:eastAsia="宋体" w:hAnsi="宋体" w:cs="Tahoma" w:hint="eastAsia"/>
          <w:color w:val="000000"/>
          <w:kern w:val="0"/>
          <w:sz w:val="24"/>
          <w:szCs w:val="24"/>
        </w:rPr>
        <w:t>点申请</w:t>
      </w:r>
      <w:proofErr w:type="gramEnd"/>
      <w:r w:rsidRPr="00D86CEF">
        <w:rPr>
          <w:rFonts w:ascii="宋体" w:eastAsia="宋体" w:hAnsi="宋体" w:cs="Tahoma" w:hint="eastAsia"/>
          <w:color w:val="000000"/>
          <w:kern w:val="0"/>
          <w:sz w:val="24"/>
          <w:szCs w:val="24"/>
        </w:rPr>
        <w:t>办理此项业务。</w:t>
      </w:r>
    </w:p>
    <w:p w:rsidR="00D86CEF" w:rsidRPr="00D86CEF" w:rsidRDefault="00D86CEF" w:rsidP="00D86CEF">
      <w:pPr>
        <w:widowControl/>
        <w:wordWrap w:val="0"/>
        <w:spacing w:line="315" w:lineRule="atLeast"/>
        <w:ind w:firstLine="422"/>
        <w:jc w:val="left"/>
        <w:rPr>
          <w:rFonts w:ascii="Tahoma" w:eastAsia="宋体" w:hAnsi="Tahoma" w:cs="Tahoma"/>
          <w:color w:val="000000"/>
          <w:kern w:val="0"/>
          <w:szCs w:val="21"/>
        </w:rPr>
      </w:pPr>
      <w:r w:rsidRPr="00D86CEF">
        <w:rPr>
          <w:rFonts w:ascii="宋体" w:eastAsia="宋体" w:hAnsi="宋体" w:cs="Tahoma" w:hint="eastAsia"/>
          <w:b/>
          <w:bCs/>
          <w:color w:val="000000"/>
          <w:kern w:val="0"/>
          <w:szCs w:val="21"/>
        </w:rPr>
        <w:t>2、办理时间</w:t>
      </w:r>
    </w:p>
    <w:p w:rsidR="00D86CEF" w:rsidRPr="00D86CEF" w:rsidRDefault="00D86CEF" w:rsidP="00D86CEF">
      <w:pPr>
        <w:widowControl/>
        <w:wordWrap w:val="0"/>
        <w:spacing w:line="315" w:lineRule="atLeast"/>
        <w:ind w:firstLine="424"/>
        <w:jc w:val="left"/>
        <w:rPr>
          <w:rFonts w:ascii="Tahoma" w:eastAsia="宋体" w:hAnsi="Tahoma" w:cs="Tahoma"/>
          <w:color w:val="000000"/>
          <w:kern w:val="0"/>
          <w:szCs w:val="21"/>
        </w:rPr>
      </w:pPr>
      <w:r w:rsidRPr="00D86CEF">
        <w:rPr>
          <w:rFonts w:ascii="宋体" w:eastAsia="宋体" w:hAnsi="宋体" w:cs="Tahoma" w:hint="eastAsia"/>
          <w:color w:val="000000"/>
          <w:kern w:val="0"/>
          <w:sz w:val="24"/>
          <w:szCs w:val="24"/>
        </w:rPr>
        <w:t>“定期定额投资业务”申请办理时间，为开放式基金法定开放日9：30-15：00。</w:t>
      </w:r>
    </w:p>
    <w:p w:rsidR="00D86CEF" w:rsidRPr="00D86CEF" w:rsidRDefault="00D86CEF" w:rsidP="00D86CEF">
      <w:pPr>
        <w:widowControl/>
        <w:wordWrap w:val="0"/>
        <w:spacing w:line="315" w:lineRule="atLeast"/>
        <w:ind w:firstLine="422"/>
        <w:jc w:val="left"/>
        <w:rPr>
          <w:rFonts w:ascii="Tahoma" w:eastAsia="宋体" w:hAnsi="Tahoma" w:cs="Tahoma"/>
          <w:color w:val="000000"/>
          <w:kern w:val="0"/>
          <w:szCs w:val="21"/>
        </w:rPr>
      </w:pPr>
      <w:r w:rsidRPr="00D86CEF">
        <w:rPr>
          <w:rFonts w:ascii="宋体" w:eastAsia="宋体" w:hAnsi="宋体" w:cs="Tahoma" w:hint="eastAsia"/>
          <w:b/>
          <w:bCs/>
          <w:color w:val="000000"/>
          <w:kern w:val="0"/>
          <w:szCs w:val="21"/>
        </w:rPr>
        <w:t>3、扣款日</w:t>
      </w:r>
    </w:p>
    <w:p w:rsidR="00D86CEF" w:rsidRPr="00D86CEF" w:rsidRDefault="00D86CEF" w:rsidP="00D86CEF">
      <w:pPr>
        <w:widowControl/>
        <w:wordWrap w:val="0"/>
        <w:spacing w:line="315" w:lineRule="atLeast"/>
        <w:ind w:firstLine="424"/>
        <w:jc w:val="left"/>
        <w:rPr>
          <w:rFonts w:ascii="Tahoma" w:eastAsia="宋体" w:hAnsi="Tahoma" w:cs="Tahoma"/>
          <w:color w:val="000000"/>
          <w:kern w:val="0"/>
          <w:szCs w:val="21"/>
        </w:rPr>
      </w:pPr>
      <w:r w:rsidRPr="00D86CEF">
        <w:rPr>
          <w:rFonts w:ascii="宋体" w:eastAsia="宋体" w:hAnsi="宋体" w:cs="Tahoma" w:hint="eastAsia"/>
          <w:color w:val="000000"/>
          <w:kern w:val="0"/>
          <w:sz w:val="24"/>
          <w:szCs w:val="24"/>
        </w:rPr>
        <w:t>投资者应与北京肯特瑞约定每月固定扣款日期，该扣款日期视为基金合同中约定的申购申请日（T日）。</w:t>
      </w:r>
    </w:p>
    <w:p w:rsidR="00D86CEF" w:rsidRPr="00D86CEF" w:rsidRDefault="00D86CEF" w:rsidP="00D86CEF">
      <w:pPr>
        <w:widowControl/>
        <w:wordWrap w:val="0"/>
        <w:spacing w:line="315" w:lineRule="atLeast"/>
        <w:ind w:firstLine="422"/>
        <w:jc w:val="left"/>
        <w:rPr>
          <w:rFonts w:ascii="Tahoma" w:eastAsia="宋体" w:hAnsi="Tahoma" w:cs="Tahoma"/>
          <w:color w:val="000000"/>
          <w:kern w:val="0"/>
          <w:szCs w:val="21"/>
        </w:rPr>
      </w:pPr>
      <w:r w:rsidRPr="00D86CEF">
        <w:rPr>
          <w:rFonts w:ascii="宋体" w:eastAsia="宋体" w:hAnsi="宋体" w:cs="Tahoma" w:hint="eastAsia"/>
          <w:b/>
          <w:bCs/>
          <w:color w:val="000000"/>
          <w:kern w:val="0"/>
          <w:szCs w:val="21"/>
        </w:rPr>
        <w:lastRenderedPageBreak/>
        <w:t>4、扣款金额</w:t>
      </w:r>
    </w:p>
    <w:p w:rsidR="00D86CEF" w:rsidRPr="00D86CEF" w:rsidRDefault="00D86CEF" w:rsidP="00D86CEF">
      <w:pPr>
        <w:widowControl/>
        <w:wordWrap w:val="0"/>
        <w:spacing w:line="315" w:lineRule="atLeast"/>
        <w:ind w:firstLine="424"/>
        <w:jc w:val="left"/>
        <w:rPr>
          <w:rFonts w:ascii="Tahoma" w:eastAsia="宋体" w:hAnsi="Tahoma" w:cs="Tahoma"/>
          <w:color w:val="000000"/>
          <w:kern w:val="0"/>
          <w:szCs w:val="21"/>
        </w:rPr>
      </w:pPr>
      <w:r w:rsidRPr="00D86CEF">
        <w:rPr>
          <w:rFonts w:ascii="宋体" w:eastAsia="宋体" w:hAnsi="宋体" w:cs="Tahoma" w:hint="eastAsia"/>
          <w:color w:val="000000"/>
          <w:kern w:val="0"/>
          <w:sz w:val="24"/>
          <w:szCs w:val="24"/>
        </w:rPr>
        <w:t>投资者应与北京肯特瑞就上述基金申请开办“定期定额投资业务”约定每月固定扣款（申购）金额，每只基金每月扣款金额为人民币10元起（含10元）。</w:t>
      </w:r>
    </w:p>
    <w:p w:rsidR="00D86CEF" w:rsidRPr="00D86CEF" w:rsidRDefault="00D86CEF" w:rsidP="00D86CEF">
      <w:pPr>
        <w:widowControl/>
        <w:wordWrap w:val="0"/>
        <w:spacing w:line="315" w:lineRule="atLeast"/>
        <w:ind w:firstLine="422"/>
        <w:jc w:val="left"/>
        <w:rPr>
          <w:rFonts w:ascii="Tahoma" w:eastAsia="宋体" w:hAnsi="Tahoma" w:cs="Tahoma"/>
          <w:color w:val="000000"/>
          <w:kern w:val="0"/>
          <w:szCs w:val="21"/>
        </w:rPr>
      </w:pPr>
      <w:r w:rsidRPr="00D86CEF">
        <w:rPr>
          <w:rFonts w:ascii="宋体" w:eastAsia="宋体" w:hAnsi="宋体" w:cs="Tahoma" w:hint="eastAsia"/>
          <w:b/>
          <w:bCs/>
          <w:color w:val="000000"/>
          <w:kern w:val="0"/>
          <w:szCs w:val="21"/>
        </w:rPr>
        <w:t>5、扣款方式</w:t>
      </w:r>
    </w:p>
    <w:p w:rsidR="00D86CEF" w:rsidRPr="00D86CEF" w:rsidRDefault="00D86CEF" w:rsidP="00D86CEF">
      <w:pPr>
        <w:widowControl/>
        <w:wordWrap w:val="0"/>
        <w:spacing w:line="315" w:lineRule="atLeast"/>
        <w:ind w:firstLine="424"/>
        <w:jc w:val="left"/>
        <w:rPr>
          <w:rFonts w:ascii="Tahoma" w:eastAsia="宋体" w:hAnsi="Tahoma" w:cs="Tahoma"/>
          <w:color w:val="000000"/>
          <w:kern w:val="0"/>
          <w:szCs w:val="21"/>
        </w:rPr>
      </w:pPr>
      <w:r w:rsidRPr="00D86CEF">
        <w:rPr>
          <w:rFonts w:ascii="宋体" w:eastAsia="宋体" w:hAnsi="宋体" w:cs="Tahoma" w:hint="eastAsia"/>
          <w:color w:val="000000"/>
          <w:kern w:val="0"/>
          <w:sz w:val="24"/>
          <w:szCs w:val="24"/>
        </w:rPr>
        <w:t>（1）将按照投资者申请时所约定的每月固定扣款日、扣款金额扣款。若</w:t>
      </w:r>
      <w:proofErr w:type="gramStart"/>
      <w:r w:rsidRPr="00D86CEF">
        <w:rPr>
          <w:rFonts w:ascii="宋体" w:eastAsia="宋体" w:hAnsi="宋体" w:cs="Tahoma" w:hint="eastAsia"/>
          <w:color w:val="000000"/>
          <w:kern w:val="0"/>
          <w:sz w:val="24"/>
          <w:szCs w:val="24"/>
        </w:rPr>
        <w:t>遇非基金</w:t>
      </w:r>
      <w:proofErr w:type="gramEnd"/>
      <w:r w:rsidRPr="00D86CEF">
        <w:rPr>
          <w:rFonts w:ascii="宋体" w:eastAsia="宋体" w:hAnsi="宋体" w:cs="Tahoma" w:hint="eastAsia"/>
          <w:color w:val="000000"/>
          <w:kern w:val="0"/>
          <w:sz w:val="24"/>
          <w:szCs w:val="24"/>
        </w:rPr>
        <w:t>申购开放日，则顺延至下一基金申购开放日；</w:t>
      </w:r>
    </w:p>
    <w:p w:rsidR="00D86CEF" w:rsidRPr="00D86CEF" w:rsidRDefault="00D86CEF" w:rsidP="00D86CEF">
      <w:pPr>
        <w:widowControl/>
        <w:wordWrap w:val="0"/>
        <w:spacing w:line="315" w:lineRule="atLeast"/>
        <w:ind w:firstLine="424"/>
        <w:jc w:val="left"/>
        <w:rPr>
          <w:rFonts w:ascii="Tahoma" w:eastAsia="宋体" w:hAnsi="Tahoma" w:cs="Tahoma"/>
          <w:color w:val="000000"/>
          <w:kern w:val="0"/>
          <w:szCs w:val="21"/>
        </w:rPr>
      </w:pPr>
      <w:r w:rsidRPr="00D86CEF">
        <w:rPr>
          <w:rFonts w:ascii="宋体" w:eastAsia="宋体" w:hAnsi="宋体" w:cs="Tahoma" w:hint="eastAsia"/>
          <w:color w:val="000000"/>
          <w:kern w:val="0"/>
          <w:sz w:val="24"/>
          <w:szCs w:val="24"/>
        </w:rPr>
        <w:t>（2）投资者须指定一个有效资金账户作为每月固定扣款账户。</w:t>
      </w:r>
    </w:p>
    <w:p w:rsidR="00D86CEF" w:rsidRPr="00D86CEF" w:rsidRDefault="00D86CEF" w:rsidP="00D86CEF">
      <w:pPr>
        <w:widowControl/>
        <w:wordWrap w:val="0"/>
        <w:spacing w:line="315" w:lineRule="atLeast"/>
        <w:ind w:firstLine="422"/>
        <w:jc w:val="left"/>
        <w:rPr>
          <w:rFonts w:ascii="Tahoma" w:eastAsia="宋体" w:hAnsi="Tahoma" w:cs="Tahoma"/>
          <w:color w:val="000000"/>
          <w:kern w:val="0"/>
          <w:szCs w:val="21"/>
        </w:rPr>
      </w:pPr>
      <w:r w:rsidRPr="00D86CEF">
        <w:rPr>
          <w:rFonts w:ascii="宋体" w:eastAsia="宋体" w:hAnsi="宋体" w:cs="Tahoma" w:hint="eastAsia"/>
          <w:b/>
          <w:bCs/>
          <w:color w:val="000000"/>
          <w:kern w:val="0"/>
          <w:szCs w:val="21"/>
        </w:rPr>
        <w:t>6、交易确认</w:t>
      </w:r>
    </w:p>
    <w:p w:rsidR="00D86CEF" w:rsidRPr="00D86CEF" w:rsidRDefault="00D86CEF" w:rsidP="00D86CEF">
      <w:pPr>
        <w:widowControl/>
        <w:wordWrap w:val="0"/>
        <w:spacing w:line="315" w:lineRule="atLeast"/>
        <w:ind w:firstLine="424"/>
        <w:jc w:val="left"/>
        <w:rPr>
          <w:rFonts w:ascii="Tahoma" w:eastAsia="宋体" w:hAnsi="Tahoma" w:cs="Tahoma"/>
          <w:color w:val="000000"/>
          <w:kern w:val="0"/>
          <w:szCs w:val="21"/>
        </w:rPr>
      </w:pPr>
      <w:r w:rsidRPr="00D86CEF">
        <w:rPr>
          <w:rFonts w:ascii="宋体" w:eastAsia="宋体" w:hAnsi="宋体" w:cs="Tahoma" w:hint="eastAsia"/>
          <w:color w:val="000000"/>
          <w:kern w:val="0"/>
          <w:sz w:val="24"/>
          <w:szCs w:val="24"/>
        </w:rPr>
        <w:t>以每月实际扣款日（T日）的基金份额净值为基准计算申购份额。基金份额确认日为T+1日，投资者可在T＋2日到北京肯特瑞网点查询相应基金的申购确认情况。</w:t>
      </w:r>
    </w:p>
    <w:p w:rsidR="00D86CEF" w:rsidRPr="00D86CEF" w:rsidRDefault="00D86CEF" w:rsidP="00D86CEF">
      <w:pPr>
        <w:widowControl/>
        <w:wordWrap w:val="0"/>
        <w:spacing w:line="315" w:lineRule="atLeast"/>
        <w:ind w:firstLine="422"/>
        <w:jc w:val="left"/>
        <w:rPr>
          <w:rFonts w:ascii="Tahoma" w:eastAsia="宋体" w:hAnsi="Tahoma" w:cs="Tahoma"/>
          <w:color w:val="000000"/>
          <w:kern w:val="0"/>
          <w:szCs w:val="21"/>
        </w:rPr>
      </w:pPr>
      <w:r w:rsidRPr="00D86CEF">
        <w:rPr>
          <w:rFonts w:ascii="宋体" w:eastAsia="宋体" w:hAnsi="宋体" w:cs="Tahoma" w:hint="eastAsia"/>
          <w:b/>
          <w:bCs/>
          <w:color w:val="000000"/>
          <w:kern w:val="0"/>
          <w:szCs w:val="21"/>
        </w:rPr>
        <w:t>7、“定期定额投资业务”的变更和终止</w:t>
      </w:r>
    </w:p>
    <w:p w:rsidR="00D86CEF" w:rsidRPr="00D86CEF" w:rsidRDefault="00D86CEF" w:rsidP="00D86CEF">
      <w:pPr>
        <w:widowControl/>
        <w:wordWrap w:val="0"/>
        <w:spacing w:line="315" w:lineRule="atLeast"/>
        <w:ind w:firstLine="424"/>
        <w:jc w:val="left"/>
        <w:rPr>
          <w:rFonts w:ascii="Tahoma" w:eastAsia="宋体" w:hAnsi="Tahoma" w:cs="Tahoma"/>
          <w:color w:val="000000"/>
          <w:kern w:val="0"/>
          <w:szCs w:val="21"/>
        </w:rPr>
      </w:pPr>
      <w:r w:rsidRPr="00D86CEF">
        <w:rPr>
          <w:rFonts w:ascii="宋体" w:eastAsia="宋体" w:hAnsi="宋体" w:cs="Tahoma" w:hint="eastAsia"/>
          <w:color w:val="000000"/>
          <w:kern w:val="0"/>
          <w:sz w:val="24"/>
          <w:szCs w:val="24"/>
        </w:rPr>
        <w:t>（1）投资者变更每月扣款金额、扣款日期、扣款</w:t>
      </w:r>
      <w:proofErr w:type="gramStart"/>
      <w:r w:rsidRPr="00D86CEF">
        <w:rPr>
          <w:rFonts w:ascii="宋体" w:eastAsia="宋体" w:hAnsi="宋体" w:cs="Tahoma" w:hint="eastAsia"/>
          <w:color w:val="000000"/>
          <w:kern w:val="0"/>
          <w:sz w:val="24"/>
          <w:szCs w:val="24"/>
        </w:rPr>
        <w:t>帐户</w:t>
      </w:r>
      <w:proofErr w:type="gramEnd"/>
      <w:r w:rsidRPr="00D86CEF">
        <w:rPr>
          <w:rFonts w:ascii="宋体" w:eastAsia="宋体" w:hAnsi="宋体" w:cs="Tahoma" w:hint="eastAsia"/>
          <w:color w:val="000000"/>
          <w:kern w:val="0"/>
          <w:sz w:val="24"/>
          <w:szCs w:val="24"/>
        </w:rPr>
        <w:t>等信息，须携带本人有效身份证件及相关凭证到北京肯特瑞申请办理业务变更手续；</w:t>
      </w:r>
    </w:p>
    <w:p w:rsidR="00D86CEF" w:rsidRPr="00D86CEF" w:rsidRDefault="00D86CEF" w:rsidP="00D86CEF">
      <w:pPr>
        <w:widowControl/>
        <w:wordWrap w:val="0"/>
        <w:spacing w:line="315" w:lineRule="atLeast"/>
        <w:ind w:firstLine="424"/>
        <w:jc w:val="left"/>
        <w:rPr>
          <w:rFonts w:ascii="Tahoma" w:eastAsia="宋体" w:hAnsi="Tahoma" w:cs="Tahoma"/>
          <w:color w:val="000000"/>
          <w:kern w:val="0"/>
          <w:szCs w:val="21"/>
        </w:rPr>
      </w:pPr>
      <w:r w:rsidRPr="00D86CEF">
        <w:rPr>
          <w:rFonts w:ascii="宋体" w:eastAsia="宋体" w:hAnsi="宋体" w:cs="Tahoma" w:hint="eastAsia"/>
          <w:color w:val="000000"/>
          <w:kern w:val="0"/>
          <w:sz w:val="24"/>
          <w:szCs w:val="24"/>
        </w:rPr>
        <w:t>（2）投资者终止“定期定额投资业务”，须携带本人有效身份证件及相关凭证到北京肯特瑞申请办理业务终止手续；</w:t>
      </w:r>
    </w:p>
    <w:p w:rsidR="00D86CEF" w:rsidRPr="00D86CEF" w:rsidRDefault="00D86CEF" w:rsidP="00D86CEF">
      <w:pPr>
        <w:widowControl/>
        <w:wordWrap w:val="0"/>
        <w:spacing w:line="315" w:lineRule="atLeast"/>
        <w:ind w:firstLine="424"/>
        <w:jc w:val="left"/>
        <w:rPr>
          <w:rFonts w:ascii="Tahoma" w:eastAsia="宋体" w:hAnsi="Tahoma" w:cs="Tahoma"/>
          <w:color w:val="000000"/>
          <w:kern w:val="0"/>
          <w:szCs w:val="21"/>
        </w:rPr>
      </w:pPr>
      <w:r w:rsidRPr="00D86CEF">
        <w:rPr>
          <w:rFonts w:ascii="宋体" w:eastAsia="宋体" w:hAnsi="宋体" w:cs="Tahoma" w:hint="eastAsia"/>
          <w:color w:val="000000"/>
          <w:kern w:val="0"/>
          <w:sz w:val="24"/>
          <w:szCs w:val="24"/>
        </w:rPr>
        <w:t>（3）具体办理程序应遵循北京肯特瑞的有关规定。</w:t>
      </w:r>
    </w:p>
    <w:p w:rsidR="00D86CEF" w:rsidRPr="00D86CEF" w:rsidRDefault="00D86CEF" w:rsidP="00D86CEF">
      <w:pPr>
        <w:widowControl/>
        <w:wordWrap w:val="0"/>
        <w:spacing w:line="315" w:lineRule="atLeast"/>
        <w:ind w:firstLine="422"/>
        <w:jc w:val="left"/>
        <w:rPr>
          <w:rFonts w:ascii="Tahoma" w:eastAsia="宋体" w:hAnsi="Tahoma" w:cs="Tahoma"/>
          <w:color w:val="000000"/>
          <w:kern w:val="0"/>
          <w:szCs w:val="21"/>
        </w:rPr>
      </w:pPr>
      <w:r w:rsidRPr="00D86CEF">
        <w:rPr>
          <w:rFonts w:ascii="Tahoma" w:eastAsia="宋体" w:hAnsi="Tahoma" w:cs="Tahoma"/>
          <w:b/>
          <w:bCs/>
          <w:color w:val="000000"/>
          <w:kern w:val="0"/>
          <w:szCs w:val="21"/>
        </w:rPr>
        <w:t> </w:t>
      </w:r>
    </w:p>
    <w:p w:rsidR="00D86CEF" w:rsidRPr="00D86CEF" w:rsidRDefault="00D86CEF" w:rsidP="00D86CEF">
      <w:pPr>
        <w:widowControl/>
        <w:wordWrap w:val="0"/>
        <w:spacing w:line="315" w:lineRule="atLeast"/>
        <w:ind w:firstLine="422"/>
        <w:jc w:val="left"/>
        <w:rPr>
          <w:rFonts w:ascii="Tahoma" w:eastAsia="宋体" w:hAnsi="Tahoma" w:cs="Tahoma"/>
          <w:color w:val="000000"/>
          <w:kern w:val="0"/>
          <w:szCs w:val="21"/>
        </w:rPr>
      </w:pPr>
      <w:r w:rsidRPr="00D86CEF">
        <w:rPr>
          <w:rFonts w:ascii="宋体" w:eastAsia="宋体" w:hAnsi="宋体" w:cs="Tahoma" w:hint="eastAsia"/>
          <w:b/>
          <w:bCs/>
          <w:color w:val="000000"/>
          <w:kern w:val="0"/>
          <w:szCs w:val="21"/>
        </w:rPr>
        <w:t>四、费率优惠</w:t>
      </w:r>
    </w:p>
    <w:p w:rsidR="00D86CEF" w:rsidRPr="00D86CEF" w:rsidRDefault="00D86CEF" w:rsidP="00D86CEF">
      <w:pPr>
        <w:widowControl/>
        <w:wordWrap w:val="0"/>
        <w:spacing w:line="315" w:lineRule="atLeast"/>
        <w:ind w:firstLine="424"/>
        <w:jc w:val="left"/>
        <w:rPr>
          <w:rFonts w:ascii="Tahoma" w:eastAsia="宋体" w:hAnsi="Tahoma" w:cs="Tahoma"/>
          <w:color w:val="000000"/>
          <w:kern w:val="0"/>
          <w:szCs w:val="21"/>
        </w:rPr>
      </w:pPr>
      <w:r w:rsidRPr="00D86CEF">
        <w:rPr>
          <w:rFonts w:ascii="宋体" w:eastAsia="宋体" w:hAnsi="宋体" w:cs="Tahoma" w:hint="eastAsia"/>
          <w:color w:val="000000"/>
          <w:kern w:val="0"/>
          <w:sz w:val="24"/>
          <w:szCs w:val="24"/>
        </w:rPr>
        <w:t>自2018年1月22日起，投资者通过北京肯特瑞指定平台申购（</w:t>
      </w:r>
      <w:proofErr w:type="gramStart"/>
      <w:r w:rsidRPr="00D86CEF">
        <w:rPr>
          <w:rFonts w:ascii="宋体" w:eastAsia="宋体" w:hAnsi="宋体" w:cs="Tahoma" w:hint="eastAsia"/>
          <w:color w:val="000000"/>
          <w:kern w:val="0"/>
          <w:sz w:val="24"/>
          <w:szCs w:val="24"/>
        </w:rPr>
        <w:t>含定投</w:t>
      </w:r>
      <w:proofErr w:type="gramEnd"/>
      <w:r w:rsidRPr="00D86CEF">
        <w:rPr>
          <w:rFonts w:ascii="宋体" w:eastAsia="宋体" w:hAnsi="宋体" w:cs="Tahoma" w:hint="eastAsia"/>
          <w:color w:val="000000"/>
          <w:kern w:val="0"/>
          <w:sz w:val="24"/>
          <w:szCs w:val="24"/>
        </w:rPr>
        <w:t>）基金，其前端申购费率实行1折优惠，若原申购费率是固定费用的，则按其规定的固定费用执行，不再享有费率折扣。</w:t>
      </w:r>
    </w:p>
    <w:p w:rsidR="00D86CEF" w:rsidRPr="00D86CEF" w:rsidRDefault="00D86CEF" w:rsidP="00D86CEF">
      <w:pPr>
        <w:widowControl/>
        <w:wordWrap w:val="0"/>
        <w:spacing w:line="315" w:lineRule="atLeast"/>
        <w:ind w:firstLine="424"/>
        <w:jc w:val="left"/>
        <w:rPr>
          <w:rFonts w:ascii="Tahoma" w:eastAsia="宋体" w:hAnsi="Tahoma" w:cs="Tahoma"/>
          <w:color w:val="000000"/>
          <w:kern w:val="0"/>
          <w:szCs w:val="21"/>
        </w:rPr>
      </w:pPr>
      <w:r w:rsidRPr="00D86CEF">
        <w:rPr>
          <w:rFonts w:ascii="宋体" w:eastAsia="宋体" w:hAnsi="宋体" w:cs="Tahoma" w:hint="eastAsia"/>
          <w:color w:val="000000"/>
          <w:kern w:val="0"/>
          <w:sz w:val="24"/>
          <w:szCs w:val="24"/>
        </w:rPr>
        <w:t>优惠活动或业务规则如有变动，请以北京肯特瑞最新公告为准。</w:t>
      </w:r>
    </w:p>
    <w:p w:rsidR="00D86CEF" w:rsidRPr="00D86CEF" w:rsidRDefault="00D86CEF" w:rsidP="00D86CEF">
      <w:pPr>
        <w:widowControl/>
        <w:wordWrap w:val="0"/>
        <w:spacing w:line="315" w:lineRule="atLeast"/>
        <w:ind w:firstLine="413"/>
        <w:jc w:val="left"/>
        <w:rPr>
          <w:rFonts w:ascii="Tahoma" w:eastAsia="宋体" w:hAnsi="Tahoma" w:cs="Tahoma"/>
          <w:color w:val="000000"/>
          <w:kern w:val="0"/>
          <w:szCs w:val="21"/>
        </w:rPr>
      </w:pPr>
      <w:r w:rsidRPr="00D86CEF">
        <w:rPr>
          <w:rFonts w:ascii="Tahoma" w:eastAsia="宋体" w:hAnsi="Tahoma" w:cs="Tahoma"/>
          <w:b/>
          <w:bCs/>
          <w:color w:val="000000"/>
          <w:kern w:val="0"/>
          <w:szCs w:val="21"/>
        </w:rPr>
        <w:t> </w:t>
      </w:r>
    </w:p>
    <w:p w:rsidR="00D86CEF" w:rsidRPr="00D86CEF" w:rsidRDefault="00D86CEF" w:rsidP="00D86CEF">
      <w:pPr>
        <w:widowControl/>
        <w:wordWrap w:val="0"/>
        <w:spacing w:line="315" w:lineRule="atLeast"/>
        <w:ind w:firstLine="413"/>
        <w:jc w:val="left"/>
        <w:rPr>
          <w:rFonts w:ascii="Tahoma" w:eastAsia="宋体" w:hAnsi="Tahoma" w:cs="Tahoma"/>
          <w:color w:val="000000"/>
          <w:kern w:val="0"/>
          <w:szCs w:val="21"/>
        </w:rPr>
      </w:pPr>
      <w:r w:rsidRPr="00D86CEF">
        <w:rPr>
          <w:rFonts w:ascii="宋体" w:eastAsia="宋体" w:hAnsi="宋体" w:cs="Tahoma" w:hint="eastAsia"/>
          <w:b/>
          <w:bCs/>
          <w:color w:val="000000"/>
          <w:kern w:val="0"/>
          <w:szCs w:val="21"/>
        </w:rPr>
        <w:t>五、业务咨询</w:t>
      </w:r>
    </w:p>
    <w:p w:rsidR="00D86CEF" w:rsidRPr="00D86CEF" w:rsidRDefault="00D86CEF" w:rsidP="00D86CEF">
      <w:pPr>
        <w:widowControl/>
        <w:wordWrap w:val="0"/>
        <w:spacing w:line="315" w:lineRule="atLeast"/>
        <w:ind w:firstLine="424"/>
        <w:jc w:val="left"/>
        <w:rPr>
          <w:rFonts w:ascii="Tahoma" w:eastAsia="宋体" w:hAnsi="Tahoma" w:cs="Tahoma"/>
          <w:color w:val="000000"/>
          <w:kern w:val="0"/>
          <w:szCs w:val="21"/>
        </w:rPr>
      </w:pPr>
      <w:r w:rsidRPr="00D86CEF">
        <w:rPr>
          <w:rFonts w:ascii="宋体" w:eastAsia="宋体" w:hAnsi="宋体" w:cs="Tahoma" w:hint="eastAsia"/>
          <w:color w:val="000000"/>
          <w:kern w:val="0"/>
          <w:sz w:val="24"/>
          <w:szCs w:val="24"/>
        </w:rPr>
        <w:t>投资者可以通过以下途径咨询、了解有关基金详情：</w:t>
      </w:r>
    </w:p>
    <w:p w:rsidR="00D86CEF" w:rsidRPr="00D86CEF" w:rsidRDefault="00D86CEF" w:rsidP="00D86CEF">
      <w:pPr>
        <w:widowControl/>
        <w:wordWrap w:val="0"/>
        <w:spacing w:line="315" w:lineRule="atLeast"/>
        <w:ind w:firstLine="424"/>
        <w:jc w:val="left"/>
        <w:rPr>
          <w:rFonts w:ascii="Tahoma" w:eastAsia="宋体" w:hAnsi="Tahoma" w:cs="Tahoma"/>
          <w:color w:val="000000"/>
          <w:kern w:val="0"/>
          <w:szCs w:val="21"/>
        </w:rPr>
      </w:pPr>
      <w:r w:rsidRPr="00D86CEF">
        <w:rPr>
          <w:rFonts w:ascii="Tahoma" w:eastAsia="宋体" w:hAnsi="Tahoma" w:cs="Tahoma"/>
          <w:color w:val="000000"/>
          <w:kern w:val="0"/>
          <w:szCs w:val="21"/>
        </w:rPr>
        <w:t> </w:t>
      </w:r>
    </w:p>
    <w:p w:rsidR="00D86CEF" w:rsidRPr="00D86CEF" w:rsidRDefault="00D86CEF" w:rsidP="00D86CEF">
      <w:pPr>
        <w:widowControl/>
        <w:wordWrap w:val="0"/>
        <w:spacing w:line="378" w:lineRule="atLeast"/>
        <w:ind w:hanging="360"/>
        <w:jc w:val="left"/>
        <w:rPr>
          <w:rFonts w:ascii="Tahoma" w:eastAsia="宋体" w:hAnsi="Tahoma" w:cs="Tahoma"/>
          <w:color w:val="000000"/>
          <w:kern w:val="0"/>
          <w:szCs w:val="21"/>
        </w:rPr>
      </w:pPr>
      <w:r w:rsidRPr="00D86CEF">
        <w:rPr>
          <w:rFonts w:ascii="宋体" w:eastAsia="宋体" w:hAnsi="宋体" w:cs="Tahoma" w:hint="eastAsia"/>
          <w:b/>
          <w:bCs/>
          <w:color w:val="000000"/>
          <w:kern w:val="0"/>
          <w:sz w:val="24"/>
          <w:szCs w:val="24"/>
        </w:rPr>
        <w:t>1.</w:t>
      </w:r>
      <w:r w:rsidRPr="00D86CEF">
        <w:rPr>
          <w:rFonts w:ascii="宋体" w:eastAsia="宋体" w:hAnsi="宋体" w:cs="Tahoma" w:hint="eastAsia"/>
          <w:b/>
          <w:bCs/>
          <w:color w:val="000000"/>
          <w:kern w:val="0"/>
          <w:szCs w:val="21"/>
        </w:rPr>
        <w:t>北京肯特瑞财富投资管理有限公司</w:t>
      </w:r>
    </w:p>
    <w:tbl>
      <w:tblPr>
        <w:tblpPr w:leftFromText="180" w:rightFromText="180" w:vertAnchor="text"/>
        <w:tblW w:w="0" w:type="auto"/>
        <w:tblCellMar>
          <w:left w:w="0" w:type="dxa"/>
          <w:right w:w="0" w:type="dxa"/>
        </w:tblCellMar>
        <w:tblLook w:val="04A0" w:firstRow="1" w:lastRow="0" w:firstColumn="1" w:lastColumn="0" w:noHBand="0" w:noVBand="1"/>
      </w:tblPr>
      <w:tblGrid>
        <w:gridCol w:w="2000"/>
        <w:gridCol w:w="2121"/>
        <w:gridCol w:w="1879"/>
        <w:gridCol w:w="2000"/>
      </w:tblGrid>
      <w:tr w:rsidR="00D86CEF" w:rsidRPr="00D86CEF" w:rsidTr="00D86CEF">
        <w:trPr>
          <w:trHeight w:val="399"/>
        </w:trPr>
        <w:tc>
          <w:tcPr>
            <w:tcW w:w="2000" w:type="dxa"/>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D86CEF" w:rsidRPr="00D86CEF" w:rsidRDefault="00D86CEF" w:rsidP="00D86CEF">
            <w:pPr>
              <w:widowControl/>
              <w:wordWrap w:val="0"/>
              <w:spacing w:line="378" w:lineRule="atLeast"/>
              <w:jc w:val="left"/>
              <w:rPr>
                <w:rFonts w:ascii="inherit" w:eastAsia="宋体" w:hAnsi="inherit" w:cs="Tahoma"/>
                <w:color w:val="000000"/>
                <w:kern w:val="0"/>
                <w:szCs w:val="21"/>
              </w:rPr>
            </w:pPr>
            <w:r w:rsidRPr="00D86CEF">
              <w:rPr>
                <w:rFonts w:ascii="宋体" w:eastAsia="宋体" w:hAnsi="宋体" w:cs="Tahoma" w:hint="eastAsia"/>
                <w:color w:val="000000"/>
                <w:kern w:val="0"/>
                <w:szCs w:val="21"/>
              </w:rPr>
              <w:t>办公地址</w:t>
            </w:r>
          </w:p>
        </w:tc>
        <w:tc>
          <w:tcPr>
            <w:tcW w:w="6000" w:type="dxa"/>
            <w:gridSpan w:val="3"/>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D86CEF" w:rsidRPr="00D86CEF" w:rsidRDefault="00D86CEF" w:rsidP="00D86CEF">
            <w:pPr>
              <w:widowControl/>
              <w:wordWrap w:val="0"/>
              <w:spacing w:line="378" w:lineRule="atLeast"/>
              <w:jc w:val="left"/>
              <w:rPr>
                <w:rFonts w:ascii="inherit" w:eastAsia="宋体" w:hAnsi="inherit" w:cs="Tahoma"/>
                <w:color w:val="000000"/>
                <w:kern w:val="0"/>
                <w:szCs w:val="21"/>
              </w:rPr>
            </w:pPr>
            <w:r w:rsidRPr="00D86CEF">
              <w:rPr>
                <w:rFonts w:ascii="宋体" w:eastAsia="宋体" w:hAnsi="宋体" w:cs="Tahoma" w:hint="eastAsia"/>
                <w:color w:val="000000"/>
                <w:kern w:val="0"/>
                <w:szCs w:val="21"/>
              </w:rPr>
              <w:t>北京市海淀区中关村东路66号1号楼22层2603-06</w:t>
            </w:r>
          </w:p>
        </w:tc>
      </w:tr>
      <w:tr w:rsidR="00D86CEF" w:rsidRPr="00D86CEF" w:rsidTr="00D86CEF">
        <w:trPr>
          <w:trHeight w:val="399"/>
        </w:trPr>
        <w:tc>
          <w:tcPr>
            <w:tcW w:w="2000"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D86CEF" w:rsidRPr="00D86CEF" w:rsidRDefault="00D86CEF" w:rsidP="00D86CEF">
            <w:pPr>
              <w:widowControl/>
              <w:wordWrap w:val="0"/>
              <w:spacing w:line="378" w:lineRule="atLeast"/>
              <w:jc w:val="left"/>
              <w:rPr>
                <w:rFonts w:ascii="inherit" w:eastAsia="宋体" w:hAnsi="inherit" w:cs="Tahoma"/>
                <w:color w:val="000000"/>
                <w:kern w:val="0"/>
                <w:szCs w:val="21"/>
              </w:rPr>
            </w:pPr>
            <w:r w:rsidRPr="00D86CEF">
              <w:rPr>
                <w:rFonts w:ascii="宋体" w:eastAsia="宋体" w:hAnsi="宋体" w:cs="Tahoma" w:hint="eastAsia"/>
                <w:color w:val="333333"/>
                <w:kern w:val="0"/>
                <w:sz w:val="24"/>
                <w:szCs w:val="24"/>
              </w:rPr>
              <w:t>注册地址</w:t>
            </w:r>
          </w:p>
        </w:tc>
        <w:tc>
          <w:tcPr>
            <w:tcW w:w="6000" w:type="dxa"/>
            <w:gridSpan w:val="3"/>
            <w:tcBorders>
              <w:top w:val="nil"/>
              <w:left w:val="nil"/>
              <w:bottom w:val="single" w:sz="8" w:space="0" w:color="auto"/>
              <w:right w:val="single" w:sz="8" w:space="0" w:color="auto"/>
            </w:tcBorders>
            <w:tcMar>
              <w:top w:w="0" w:type="dxa"/>
              <w:left w:w="10" w:type="dxa"/>
              <w:bottom w:w="0" w:type="dxa"/>
              <w:right w:w="10" w:type="dxa"/>
            </w:tcMar>
            <w:vAlign w:val="center"/>
            <w:hideMark/>
          </w:tcPr>
          <w:p w:rsidR="00D86CEF" w:rsidRPr="00D86CEF" w:rsidRDefault="00D86CEF" w:rsidP="00D86CEF">
            <w:pPr>
              <w:widowControl/>
              <w:wordWrap w:val="0"/>
              <w:spacing w:line="378" w:lineRule="atLeast"/>
              <w:jc w:val="left"/>
              <w:rPr>
                <w:rFonts w:ascii="inherit" w:eastAsia="宋体" w:hAnsi="inherit" w:cs="Tahoma"/>
                <w:color w:val="000000"/>
                <w:kern w:val="0"/>
                <w:szCs w:val="21"/>
              </w:rPr>
            </w:pPr>
            <w:r w:rsidRPr="00D86CEF">
              <w:rPr>
                <w:rFonts w:ascii="宋体" w:eastAsia="宋体" w:hAnsi="宋体" w:cs="Tahoma" w:hint="eastAsia"/>
                <w:color w:val="000000"/>
                <w:kern w:val="0"/>
                <w:szCs w:val="21"/>
              </w:rPr>
              <w:t>北京市海淀区中关村东路66号1号楼22层2603-06</w:t>
            </w:r>
          </w:p>
        </w:tc>
      </w:tr>
      <w:tr w:rsidR="00D86CEF" w:rsidRPr="00D86CEF" w:rsidTr="00D86CEF">
        <w:trPr>
          <w:trHeight w:val="399"/>
        </w:trPr>
        <w:tc>
          <w:tcPr>
            <w:tcW w:w="2000"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D86CEF" w:rsidRPr="00D86CEF" w:rsidRDefault="00D86CEF" w:rsidP="00D86CEF">
            <w:pPr>
              <w:widowControl/>
              <w:wordWrap w:val="0"/>
              <w:spacing w:line="378" w:lineRule="atLeast"/>
              <w:jc w:val="left"/>
              <w:rPr>
                <w:rFonts w:ascii="inherit" w:eastAsia="宋体" w:hAnsi="inherit" w:cs="Tahoma"/>
                <w:color w:val="000000"/>
                <w:kern w:val="0"/>
                <w:szCs w:val="21"/>
              </w:rPr>
            </w:pPr>
            <w:r w:rsidRPr="00D86CEF">
              <w:rPr>
                <w:rFonts w:ascii="宋体" w:eastAsia="宋体" w:hAnsi="宋体" w:cs="Tahoma" w:hint="eastAsia"/>
                <w:color w:val="333333"/>
                <w:kern w:val="0"/>
                <w:sz w:val="24"/>
                <w:szCs w:val="24"/>
              </w:rPr>
              <w:t>法定代表人</w:t>
            </w:r>
          </w:p>
        </w:tc>
        <w:tc>
          <w:tcPr>
            <w:tcW w:w="2121"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D86CEF" w:rsidRPr="00D86CEF" w:rsidRDefault="00D86CEF" w:rsidP="00D86CEF">
            <w:pPr>
              <w:widowControl/>
              <w:wordWrap w:val="0"/>
              <w:spacing w:line="378" w:lineRule="atLeast"/>
              <w:jc w:val="left"/>
              <w:rPr>
                <w:rFonts w:ascii="inherit" w:eastAsia="宋体" w:hAnsi="inherit" w:cs="Tahoma"/>
                <w:color w:val="000000"/>
                <w:kern w:val="0"/>
                <w:szCs w:val="21"/>
              </w:rPr>
            </w:pPr>
            <w:r w:rsidRPr="00D86CEF">
              <w:rPr>
                <w:rFonts w:ascii="宋体" w:eastAsia="宋体" w:hAnsi="宋体" w:cs="Tahoma" w:hint="eastAsia"/>
                <w:color w:val="000000"/>
                <w:kern w:val="0"/>
                <w:sz w:val="24"/>
                <w:szCs w:val="24"/>
              </w:rPr>
              <w:t>江卉</w:t>
            </w:r>
          </w:p>
        </w:tc>
        <w:tc>
          <w:tcPr>
            <w:tcW w:w="1879"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D86CEF" w:rsidRPr="00D86CEF" w:rsidRDefault="00D86CEF" w:rsidP="00D86CEF">
            <w:pPr>
              <w:widowControl/>
              <w:wordWrap w:val="0"/>
              <w:spacing w:line="378" w:lineRule="atLeast"/>
              <w:jc w:val="left"/>
              <w:rPr>
                <w:rFonts w:ascii="inherit" w:eastAsia="宋体" w:hAnsi="inherit" w:cs="Tahoma"/>
                <w:color w:val="000000"/>
                <w:kern w:val="0"/>
                <w:szCs w:val="21"/>
              </w:rPr>
            </w:pPr>
            <w:r w:rsidRPr="00D86CEF">
              <w:rPr>
                <w:rFonts w:ascii="宋体" w:eastAsia="宋体" w:hAnsi="宋体" w:cs="Tahoma" w:hint="eastAsia"/>
                <w:color w:val="333333"/>
                <w:kern w:val="0"/>
                <w:sz w:val="24"/>
                <w:szCs w:val="24"/>
              </w:rPr>
              <w:t>联系人</w:t>
            </w:r>
          </w:p>
        </w:tc>
        <w:tc>
          <w:tcPr>
            <w:tcW w:w="2000"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D86CEF" w:rsidRPr="00D86CEF" w:rsidRDefault="00D86CEF" w:rsidP="00D86CEF">
            <w:pPr>
              <w:widowControl/>
              <w:wordWrap w:val="0"/>
              <w:spacing w:line="378" w:lineRule="atLeast"/>
              <w:jc w:val="left"/>
              <w:rPr>
                <w:rFonts w:ascii="inherit" w:eastAsia="宋体" w:hAnsi="inherit" w:cs="Tahoma"/>
                <w:color w:val="000000"/>
                <w:kern w:val="0"/>
                <w:szCs w:val="21"/>
              </w:rPr>
            </w:pPr>
            <w:r w:rsidRPr="00D86CEF">
              <w:rPr>
                <w:rFonts w:ascii="inherit" w:eastAsia="宋体" w:hAnsi="inherit" w:cs="Tahoma"/>
                <w:color w:val="000000"/>
                <w:kern w:val="0"/>
                <w:szCs w:val="21"/>
              </w:rPr>
              <w:t> </w:t>
            </w:r>
            <w:r w:rsidRPr="00D86CEF">
              <w:rPr>
                <w:rFonts w:ascii="宋体" w:eastAsia="宋体" w:hAnsi="宋体" w:cs="Tahoma" w:hint="eastAsia"/>
                <w:color w:val="000000"/>
                <w:kern w:val="0"/>
                <w:sz w:val="24"/>
                <w:szCs w:val="24"/>
              </w:rPr>
              <w:t>江卉</w:t>
            </w:r>
          </w:p>
        </w:tc>
      </w:tr>
      <w:tr w:rsidR="00D86CEF" w:rsidRPr="00D86CEF" w:rsidTr="00D86CEF">
        <w:trPr>
          <w:trHeight w:val="399"/>
        </w:trPr>
        <w:tc>
          <w:tcPr>
            <w:tcW w:w="2000"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D86CEF" w:rsidRPr="00D86CEF" w:rsidRDefault="00D86CEF" w:rsidP="00D86CEF">
            <w:pPr>
              <w:widowControl/>
              <w:wordWrap w:val="0"/>
              <w:spacing w:line="378" w:lineRule="atLeast"/>
              <w:jc w:val="left"/>
              <w:rPr>
                <w:rFonts w:ascii="inherit" w:eastAsia="宋体" w:hAnsi="inherit" w:cs="Tahoma"/>
                <w:color w:val="000000"/>
                <w:kern w:val="0"/>
                <w:szCs w:val="21"/>
              </w:rPr>
            </w:pPr>
            <w:r w:rsidRPr="00D86CEF">
              <w:rPr>
                <w:rFonts w:ascii="宋体" w:eastAsia="宋体" w:hAnsi="宋体" w:cs="Tahoma" w:hint="eastAsia"/>
                <w:color w:val="333333"/>
                <w:kern w:val="0"/>
                <w:sz w:val="24"/>
                <w:szCs w:val="24"/>
              </w:rPr>
              <w:t>电话</w:t>
            </w:r>
          </w:p>
        </w:tc>
        <w:tc>
          <w:tcPr>
            <w:tcW w:w="2121"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D86CEF" w:rsidRPr="00D86CEF" w:rsidRDefault="00D86CEF" w:rsidP="00D86CEF">
            <w:pPr>
              <w:widowControl/>
              <w:wordWrap w:val="0"/>
              <w:spacing w:line="378" w:lineRule="atLeast"/>
              <w:jc w:val="left"/>
              <w:rPr>
                <w:rFonts w:ascii="inherit" w:eastAsia="宋体" w:hAnsi="inherit" w:cs="Tahoma"/>
                <w:color w:val="000000"/>
                <w:kern w:val="0"/>
                <w:szCs w:val="21"/>
              </w:rPr>
            </w:pPr>
            <w:r w:rsidRPr="00D86CEF">
              <w:rPr>
                <w:rFonts w:ascii="inherit" w:eastAsia="宋体" w:hAnsi="inherit" w:cs="Tahoma"/>
                <w:color w:val="000000"/>
                <w:kern w:val="0"/>
                <w:szCs w:val="21"/>
              </w:rPr>
              <w:t> </w:t>
            </w:r>
            <w:r w:rsidRPr="00D86CEF">
              <w:rPr>
                <w:rFonts w:ascii="宋体" w:eastAsia="宋体" w:hAnsi="宋体" w:cs="Tahoma" w:hint="eastAsia"/>
                <w:color w:val="000000"/>
                <w:kern w:val="0"/>
                <w:szCs w:val="21"/>
              </w:rPr>
              <w:t>4000988511</w:t>
            </w:r>
          </w:p>
        </w:tc>
        <w:tc>
          <w:tcPr>
            <w:tcW w:w="1879"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D86CEF" w:rsidRPr="00D86CEF" w:rsidRDefault="00D86CEF" w:rsidP="00D86CEF">
            <w:pPr>
              <w:widowControl/>
              <w:wordWrap w:val="0"/>
              <w:spacing w:line="378" w:lineRule="atLeast"/>
              <w:jc w:val="left"/>
              <w:rPr>
                <w:rFonts w:ascii="inherit" w:eastAsia="宋体" w:hAnsi="inherit" w:cs="Tahoma"/>
                <w:color w:val="000000"/>
                <w:kern w:val="0"/>
                <w:szCs w:val="21"/>
              </w:rPr>
            </w:pPr>
            <w:r w:rsidRPr="00D86CEF">
              <w:rPr>
                <w:rFonts w:ascii="宋体" w:eastAsia="宋体" w:hAnsi="宋体" w:cs="Tahoma" w:hint="eastAsia"/>
                <w:color w:val="333333"/>
                <w:kern w:val="0"/>
                <w:sz w:val="24"/>
                <w:szCs w:val="24"/>
              </w:rPr>
              <w:t>传真</w:t>
            </w:r>
          </w:p>
        </w:tc>
        <w:tc>
          <w:tcPr>
            <w:tcW w:w="2000"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D86CEF" w:rsidRPr="00D86CEF" w:rsidRDefault="00D86CEF" w:rsidP="00D86CEF">
            <w:pPr>
              <w:widowControl/>
              <w:wordWrap w:val="0"/>
              <w:spacing w:line="378" w:lineRule="atLeast"/>
              <w:jc w:val="left"/>
              <w:rPr>
                <w:rFonts w:ascii="inherit" w:eastAsia="宋体" w:hAnsi="inherit" w:cs="Tahoma"/>
                <w:color w:val="000000"/>
                <w:kern w:val="0"/>
                <w:szCs w:val="21"/>
              </w:rPr>
            </w:pPr>
            <w:r w:rsidRPr="00D86CEF">
              <w:rPr>
                <w:rFonts w:ascii="inherit" w:eastAsia="宋体" w:hAnsi="inherit" w:cs="Tahoma"/>
                <w:color w:val="000000"/>
                <w:kern w:val="0"/>
                <w:szCs w:val="21"/>
              </w:rPr>
              <w:t> </w:t>
            </w:r>
            <w:r w:rsidRPr="00D86CEF">
              <w:rPr>
                <w:rFonts w:ascii="宋体" w:eastAsia="宋体" w:hAnsi="宋体" w:cs="Tahoma" w:hint="eastAsia"/>
                <w:color w:val="000000"/>
                <w:kern w:val="0"/>
                <w:szCs w:val="21"/>
              </w:rPr>
              <w:t>010-89188000</w:t>
            </w:r>
          </w:p>
        </w:tc>
      </w:tr>
      <w:tr w:rsidR="00D86CEF" w:rsidRPr="00D86CEF" w:rsidTr="00D86CEF">
        <w:trPr>
          <w:trHeight w:val="399"/>
        </w:trPr>
        <w:tc>
          <w:tcPr>
            <w:tcW w:w="2000" w:type="dxa"/>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D86CEF" w:rsidRPr="00D86CEF" w:rsidRDefault="00D86CEF" w:rsidP="00D86CEF">
            <w:pPr>
              <w:widowControl/>
              <w:wordWrap w:val="0"/>
              <w:spacing w:line="378" w:lineRule="atLeast"/>
              <w:jc w:val="left"/>
              <w:rPr>
                <w:rFonts w:ascii="inherit" w:eastAsia="宋体" w:hAnsi="inherit" w:cs="Tahoma"/>
                <w:color w:val="000000"/>
                <w:kern w:val="0"/>
                <w:szCs w:val="21"/>
              </w:rPr>
            </w:pPr>
            <w:r w:rsidRPr="00D86CEF">
              <w:rPr>
                <w:rFonts w:ascii="宋体" w:eastAsia="宋体" w:hAnsi="宋体" w:cs="Tahoma" w:hint="eastAsia"/>
                <w:color w:val="333333"/>
                <w:kern w:val="0"/>
                <w:sz w:val="24"/>
                <w:szCs w:val="24"/>
              </w:rPr>
              <w:t>网址</w:t>
            </w:r>
          </w:p>
        </w:tc>
        <w:tc>
          <w:tcPr>
            <w:tcW w:w="2121"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D86CEF" w:rsidRPr="00D86CEF" w:rsidRDefault="00D86CEF" w:rsidP="00D86CEF">
            <w:pPr>
              <w:widowControl/>
              <w:wordWrap w:val="0"/>
              <w:spacing w:line="378" w:lineRule="atLeast"/>
              <w:jc w:val="left"/>
              <w:rPr>
                <w:rFonts w:ascii="inherit" w:eastAsia="宋体" w:hAnsi="inherit" w:cs="Tahoma"/>
                <w:color w:val="000000"/>
                <w:kern w:val="0"/>
                <w:szCs w:val="21"/>
              </w:rPr>
            </w:pPr>
            <w:r w:rsidRPr="00D86CEF">
              <w:rPr>
                <w:rFonts w:ascii="inherit" w:eastAsia="宋体" w:hAnsi="inherit" w:cs="Tahoma"/>
                <w:color w:val="000000"/>
                <w:kern w:val="0"/>
                <w:szCs w:val="21"/>
              </w:rPr>
              <w:t> </w:t>
            </w:r>
            <w:r w:rsidRPr="00D86CEF">
              <w:rPr>
                <w:rFonts w:ascii="宋体" w:eastAsia="宋体" w:hAnsi="宋体" w:cs="Tahoma" w:hint="eastAsia"/>
                <w:color w:val="000000"/>
                <w:kern w:val="0"/>
                <w:szCs w:val="21"/>
              </w:rPr>
              <w:t>http://fund.jd.com</w:t>
            </w:r>
          </w:p>
        </w:tc>
        <w:tc>
          <w:tcPr>
            <w:tcW w:w="1879"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D86CEF" w:rsidRPr="00D86CEF" w:rsidRDefault="00D86CEF" w:rsidP="00D86CEF">
            <w:pPr>
              <w:widowControl/>
              <w:wordWrap w:val="0"/>
              <w:spacing w:line="378" w:lineRule="atLeast"/>
              <w:jc w:val="left"/>
              <w:rPr>
                <w:rFonts w:ascii="inherit" w:eastAsia="宋体" w:hAnsi="inherit" w:cs="Tahoma"/>
                <w:color w:val="000000"/>
                <w:kern w:val="0"/>
                <w:szCs w:val="21"/>
              </w:rPr>
            </w:pPr>
            <w:r w:rsidRPr="00D86CEF">
              <w:rPr>
                <w:rFonts w:ascii="宋体" w:eastAsia="宋体" w:hAnsi="宋体" w:cs="Tahoma" w:hint="eastAsia"/>
                <w:color w:val="333333"/>
                <w:kern w:val="0"/>
                <w:sz w:val="24"/>
                <w:szCs w:val="24"/>
              </w:rPr>
              <w:t>客</w:t>
            </w:r>
            <w:proofErr w:type="gramStart"/>
            <w:r w:rsidRPr="00D86CEF">
              <w:rPr>
                <w:rFonts w:ascii="宋体" w:eastAsia="宋体" w:hAnsi="宋体" w:cs="Tahoma" w:hint="eastAsia"/>
                <w:color w:val="333333"/>
                <w:kern w:val="0"/>
                <w:sz w:val="24"/>
                <w:szCs w:val="24"/>
              </w:rPr>
              <w:t>服电话</w:t>
            </w:r>
            <w:proofErr w:type="gramEnd"/>
          </w:p>
        </w:tc>
        <w:tc>
          <w:tcPr>
            <w:tcW w:w="2000" w:type="dxa"/>
            <w:tcBorders>
              <w:top w:val="nil"/>
              <w:left w:val="nil"/>
              <w:bottom w:val="single" w:sz="8" w:space="0" w:color="auto"/>
              <w:right w:val="single" w:sz="8" w:space="0" w:color="auto"/>
            </w:tcBorders>
            <w:tcMar>
              <w:top w:w="0" w:type="dxa"/>
              <w:left w:w="10" w:type="dxa"/>
              <w:bottom w:w="0" w:type="dxa"/>
              <w:right w:w="10" w:type="dxa"/>
            </w:tcMar>
            <w:vAlign w:val="center"/>
            <w:hideMark/>
          </w:tcPr>
          <w:p w:rsidR="00D86CEF" w:rsidRPr="00D86CEF" w:rsidRDefault="00D86CEF" w:rsidP="00D86CEF">
            <w:pPr>
              <w:widowControl/>
              <w:wordWrap w:val="0"/>
              <w:spacing w:line="378" w:lineRule="atLeast"/>
              <w:jc w:val="left"/>
              <w:rPr>
                <w:rFonts w:ascii="inherit" w:eastAsia="宋体" w:hAnsi="inherit" w:cs="Tahoma"/>
                <w:color w:val="000000"/>
                <w:kern w:val="0"/>
                <w:szCs w:val="21"/>
              </w:rPr>
            </w:pPr>
            <w:r w:rsidRPr="00D86CEF">
              <w:rPr>
                <w:rFonts w:ascii="inherit" w:eastAsia="宋体" w:hAnsi="inherit" w:cs="Tahoma"/>
                <w:color w:val="000000"/>
                <w:kern w:val="0"/>
                <w:szCs w:val="21"/>
              </w:rPr>
              <w:t> </w:t>
            </w:r>
            <w:r w:rsidRPr="00D86CEF">
              <w:rPr>
                <w:rFonts w:ascii="宋体" w:eastAsia="宋体" w:hAnsi="宋体" w:cs="Tahoma" w:hint="eastAsia"/>
                <w:color w:val="000000"/>
                <w:kern w:val="0"/>
                <w:szCs w:val="21"/>
              </w:rPr>
              <w:t>400-088-8816</w:t>
            </w:r>
          </w:p>
        </w:tc>
      </w:tr>
    </w:tbl>
    <w:p w:rsidR="00D86CEF" w:rsidRPr="00D86CEF" w:rsidRDefault="00D86CEF" w:rsidP="00D86CEF">
      <w:pPr>
        <w:widowControl/>
        <w:wordWrap w:val="0"/>
        <w:spacing w:line="378" w:lineRule="atLeast"/>
        <w:jc w:val="left"/>
        <w:rPr>
          <w:rFonts w:ascii="Tahoma" w:eastAsia="宋体" w:hAnsi="Tahoma" w:cs="Tahoma"/>
          <w:color w:val="000000"/>
          <w:kern w:val="0"/>
          <w:szCs w:val="21"/>
        </w:rPr>
      </w:pPr>
      <w:r w:rsidRPr="00D86CEF">
        <w:rPr>
          <w:rFonts w:ascii="Tahoma" w:eastAsia="宋体" w:hAnsi="Tahoma" w:cs="Tahoma"/>
          <w:color w:val="000000"/>
          <w:kern w:val="0"/>
          <w:szCs w:val="21"/>
        </w:rPr>
        <w:t> </w:t>
      </w:r>
    </w:p>
    <w:p w:rsidR="00D86CEF" w:rsidRPr="00D86CEF" w:rsidRDefault="00D86CEF" w:rsidP="00D86CEF">
      <w:pPr>
        <w:widowControl/>
        <w:wordWrap w:val="0"/>
        <w:spacing w:line="378" w:lineRule="atLeast"/>
        <w:ind w:hanging="720"/>
        <w:jc w:val="left"/>
        <w:rPr>
          <w:rFonts w:ascii="Tahoma" w:eastAsia="宋体" w:hAnsi="Tahoma" w:cs="Tahoma"/>
          <w:color w:val="000000"/>
          <w:kern w:val="0"/>
          <w:szCs w:val="21"/>
        </w:rPr>
      </w:pPr>
      <w:r w:rsidRPr="00D86CEF">
        <w:rPr>
          <w:rFonts w:ascii="Tahoma" w:eastAsia="宋体" w:hAnsi="Tahoma" w:cs="Tahoma"/>
          <w:color w:val="000000"/>
          <w:kern w:val="0"/>
          <w:szCs w:val="21"/>
        </w:rPr>
        <w:t>                  </w:t>
      </w:r>
    </w:p>
    <w:p w:rsidR="00D86CEF" w:rsidRPr="00D86CEF" w:rsidRDefault="00D86CEF" w:rsidP="00D86CEF">
      <w:pPr>
        <w:widowControl/>
        <w:wordWrap w:val="0"/>
        <w:spacing w:line="378" w:lineRule="atLeast"/>
        <w:ind w:hanging="720"/>
        <w:jc w:val="left"/>
        <w:rPr>
          <w:rFonts w:ascii="Tahoma" w:eastAsia="宋体" w:hAnsi="Tahoma" w:cs="Tahoma"/>
          <w:color w:val="000000"/>
          <w:kern w:val="0"/>
          <w:szCs w:val="21"/>
        </w:rPr>
      </w:pPr>
      <w:r w:rsidRPr="00D86CEF">
        <w:rPr>
          <w:rFonts w:ascii="Tahoma" w:eastAsia="宋体" w:hAnsi="Tahoma" w:cs="Tahoma"/>
          <w:color w:val="000000"/>
          <w:kern w:val="0"/>
          <w:szCs w:val="21"/>
        </w:rPr>
        <w:t> </w:t>
      </w:r>
    </w:p>
    <w:p w:rsidR="00D86CEF" w:rsidRPr="00D86CEF" w:rsidRDefault="00D86CEF" w:rsidP="00D86CEF">
      <w:pPr>
        <w:widowControl/>
        <w:wordWrap w:val="0"/>
        <w:spacing w:line="378" w:lineRule="atLeast"/>
        <w:ind w:hanging="720"/>
        <w:jc w:val="left"/>
        <w:rPr>
          <w:rFonts w:ascii="Tahoma" w:eastAsia="宋体" w:hAnsi="Tahoma" w:cs="Tahoma"/>
          <w:color w:val="000000"/>
          <w:kern w:val="0"/>
          <w:szCs w:val="21"/>
        </w:rPr>
      </w:pPr>
      <w:r w:rsidRPr="00D86CEF">
        <w:rPr>
          <w:rFonts w:ascii="Tahoma" w:eastAsia="宋体" w:hAnsi="Tahoma" w:cs="Tahoma"/>
          <w:color w:val="000000"/>
          <w:kern w:val="0"/>
          <w:szCs w:val="21"/>
        </w:rPr>
        <w:t> </w:t>
      </w:r>
    </w:p>
    <w:p w:rsidR="00D86CEF" w:rsidRPr="00D86CEF" w:rsidRDefault="00D86CEF" w:rsidP="00D86CEF">
      <w:pPr>
        <w:widowControl/>
        <w:wordWrap w:val="0"/>
        <w:spacing w:line="378" w:lineRule="atLeast"/>
        <w:ind w:hanging="720"/>
        <w:jc w:val="left"/>
        <w:rPr>
          <w:rFonts w:ascii="Tahoma" w:eastAsia="宋体" w:hAnsi="Tahoma" w:cs="Tahoma"/>
          <w:color w:val="000000"/>
          <w:kern w:val="0"/>
          <w:szCs w:val="21"/>
        </w:rPr>
      </w:pPr>
      <w:r w:rsidRPr="00D86CEF">
        <w:rPr>
          <w:rFonts w:ascii="Tahoma" w:eastAsia="宋体" w:hAnsi="Tahoma" w:cs="Tahoma"/>
          <w:color w:val="000000"/>
          <w:kern w:val="0"/>
          <w:szCs w:val="21"/>
        </w:rPr>
        <w:t> </w:t>
      </w:r>
    </w:p>
    <w:p w:rsidR="00D86CEF" w:rsidRPr="00D86CEF" w:rsidRDefault="00D86CEF" w:rsidP="00D86CEF">
      <w:pPr>
        <w:widowControl/>
        <w:wordWrap w:val="0"/>
        <w:spacing w:line="378" w:lineRule="atLeast"/>
        <w:ind w:hanging="720"/>
        <w:jc w:val="left"/>
        <w:rPr>
          <w:rFonts w:ascii="Tahoma" w:eastAsia="宋体" w:hAnsi="Tahoma" w:cs="Tahoma"/>
          <w:color w:val="000000"/>
          <w:kern w:val="0"/>
          <w:szCs w:val="21"/>
        </w:rPr>
      </w:pPr>
      <w:r w:rsidRPr="00D86CEF">
        <w:rPr>
          <w:rFonts w:ascii="Tahoma" w:eastAsia="宋体" w:hAnsi="Tahoma" w:cs="Tahoma"/>
          <w:color w:val="000000"/>
          <w:kern w:val="0"/>
          <w:szCs w:val="21"/>
        </w:rPr>
        <w:t> </w:t>
      </w:r>
    </w:p>
    <w:p w:rsidR="00D86CEF" w:rsidRPr="00D86CEF" w:rsidRDefault="00D86CEF" w:rsidP="00D86CEF">
      <w:pPr>
        <w:widowControl/>
        <w:wordWrap w:val="0"/>
        <w:spacing w:line="378" w:lineRule="atLeast"/>
        <w:ind w:hanging="720"/>
        <w:jc w:val="left"/>
        <w:rPr>
          <w:rFonts w:ascii="Tahoma" w:eastAsia="宋体" w:hAnsi="Tahoma" w:cs="Tahoma"/>
          <w:color w:val="000000"/>
          <w:kern w:val="0"/>
          <w:szCs w:val="21"/>
        </w:rPr>
      </w:pPr>
      <w:r w:rsidRPr="00D86CEF">
        <w:rPr>
          <w:rFonts w:ascii="Tahoma" w:eastAsia="宋体" w:hAnsi="Tahoma" w:cs="Tahoma"/>
          <w:color w:val="000000"/>
          <w:kern w:val="0"/>
          <w:szCs w:val="21"/>
        </w:rPr>
        <w:t> </w:t>
      </w:r>
    </w:p>
    <w:p w:rsidR="00D86CEF" w:rsidRPr="00D86CEF" w:rsidRDefault="00D86CEF" w:rsidP="00D86CEF">
      <w:pPr>
        <w:widowControl/>
        <w:wordWrap w:val="0"/>
        <w:spacing w:line="378" w:lineRule="atLeast"/>
        <w:ind w:hanging="720"/>
        <w:jc w:val="left"/>
        <w:rPr>
          <w:rFonts w:ascii="Tahoma" w:eastAsia="宋体" w:hAnsi="Tahoma" w:cs="Tahoma"/>
          <w:color w:val="000000"/>
          <w:kern w:val="0"/>
          <w:szCs w:val="21"/>
        </w:rPr>
      </w:pPr>
      <w:r w:rsidRPr="00D86CEF">
        <w:rPr>
          <w:rFonts w:ascii="宋体" w:eastAsia="宋体" w:hAnsi="宋体" w:cs="Tahoma" w:hint="eastAsia"/>
          <w:b/>
          <w:bCs/>
          <w:color w:val="000000"/>
          <w:kern w:val="0"/>
          <w:szCs w:val="21"/>
        </w:rPr>
        <w:lastRenderedPageBreak/>
        <w:t>        2.</w:t>
      </w:r>
      <w:r w:rsidRPr="00D86CEF">
        <w:rPr>
          <w:rFonts w:ascii="Times New Roman" w:eastAsia="宋体" w:hAnsi="Times New Roman" w:cs="Times New Roman"/>
          <w:b/>
          <w:bCs/>
          <w:color w:val="000000"/>
          <w:kern w:val="0"/>
          <w:sz w:val="14"/>
          <w:szCs w:val="14"/>
        </w:rPr>
        <w:t>      </w:t>
      </w:r>
      <w:r w:rsidRPr="00D86CEF">
        <w:rPr>
          <w:rFonts w:ascii="宋体" w:eastAsia="宋体" w:hAnsi="宋体" w:cs="Tahoma" w:hint="eastAsia"/>
          <w:b/>
          <w:bCs/>
          <w:color w:val="000000"/>
          <w:kern w:val="0"/>
          <w:szCs w:val="21"/>
        </w:rPr>
        <w:t>嘉</w:t>
      </w:r>
      <w:proofErr w:type="gramStart"/>
      <w:r w:rsidRPr="00D86CEF">
        <w:rPr>
          <w:rFonts w:ascii="宋体" w:eastAsia="宋体" w:hAnsi="宋体" w:cs="Tahoma" w:hint="eastAsia"/>
          <w:b/>
          <w:bCs/>
          <w:color w:val="000000"/>
          <w:kern w:val="0"/>
          <w:szCs w:val="21"/>
        </w:rPr>
        <w:t>实基金</w:t>
      </w:r>
      <w:proofErr w:type="gramEnd"/>
      <w:r w:rsidRPr="00D86CEF">
        <w:rPr>
          <w:rFonts w:ascii="宋体" w:eastAsia="宋体" w:hAnsi="宋体" w:cs="Tahoma" w:hint="eastAsia"/>
          <w:b/>
          <w:bCs/>
          <w:color w:val="000000"/>
          <w:kern w:val="0"/>
          <w:szCs w:val="21"/>
        </w:rPr>
        <w:t>管理有限公司</w:t>
      </w:r>
    </w:p>
    <w:p w:rsidR="00D86CEF" w:rsidRPr="00D86CEF" w:rsidRDefault="00D86CEF" w:rsidP="00D86CEF">
      <w:pPr>
        <w:widowControl/>
        <w:wordWrap w:val="0"/>
        <w:spacing w:line="315" w:lineRule="atLeast"/>
        <w:ind w:firstLine="424"/>
        <w:jc w:val="left"/>
        <w:rPr>
          <w:rFonts w:ascii="Tahoma" w:eastAsia="宋体" w:hAnsi="Tahoma" w:cs="Tahoma"/>
          <w:color w:val="000000"/>
          <w:kern w:val="0"/>
          <w:szCs w:val="21"/>
        </w:rPr>
      </w:pPr>
      <w:r w:rsidRPr="00D86CEF">
        <w:rPr>
          <w:rFonts w:ascii="宋体" w:eastAsia="宋体" w:hAnsi="宋体" w:cs="Tahoma" w:hint="eastAsia"/>
          <w:color w:val="000000"/>
          <w:kern w:val="0"/>
          <w:sz w:val="24"/>
          <w:szCs w:val="24"/>
        </w:rPr>
        <w:t>客户服务电话：400-600-8800，网址：www.jsfund.cn 。</w:t>
      </w:r>
    </w:p>
    <w:p w:rsidR="00D86CEF" w:rsidRPr="00D86CEF" w:rsidRDefault="00D86CEF" w:rsidP="00D86CEF">
      <w:pPr>
        <w:widowControl/>
        <w:wordWrap w:val="0"/>
        <w:spacing w:line="315" w:lineRule="atLeast"/>
        <w:ind w:firstLine="424"/>
        <w:jc w:val="left"/>
        <w:rPr>
          <w:rFonts w:ascii="Tahoma" w:eastAsia="宋体" w:hAnsi="Tahoma" w:cs="Tahoma"/>
          <w:color w:val="000000"/>
          <w:kern w:val="0"/>
          <w:szCs w:val="21"/>
        </w:rPr>
      </w:pPr>
      <w:r w:rsidRPr="00D86CEF">
        <w:rPr>
          <w:rFonts w:ascii="宋体" w:eastAsia="宋体" w:hAnsi="宋体" w:cs="Tahoma" w:hint="eastAsia"/>
          <w:color w:val="000000"/>
          <w:kern w:val="0"/>
          <w:sz w:val="24"/>
          <w:szCs w:val="24"/>
        </w:rPr>
        <w:t>特此公告。</w:t>
      </w:r>
      <w:r w:rsidRPr="00D86CEF">
        <w:rPr>
          <w:rFonts w:ascii="Tahoma" w:eastAsia="宋体" w:hAnsi="Tahoma" w:cs="Tahoma"/>
          <w:color w:val="000000"/>
          <w:kern w:val="0"/>
          <w:szCs w:val="21"/>
        </w:rPr>
        <w:t> </w:t>
      </w:r>
    </w:p>
    <w:p w:rsidR="00D86CEF" w:rsidRPr="00D86CEF" w:rsidRDefault="00D86CEF" w:rsidP="00D86CEF">
      <w:pPr>
        <w:widowControl/>
        <w:jc w:val="left"/>
        <w:rPr>
          <w:rFonts w:ascii="Tahoma" w:eastAsia="宋体" w:hAnsi="Tahoma" w:cs="Tahoma"/>
          <w:color w:val="000000"/>
          <w:kern w:val="0"/>
          <w:szCs w:val="21"/>
        </w:rPr>
      </w:pPr>
      <w:r w:rsidRPr="00D86CEF">
        <w:rPr>
          <w:rFonts w:ascii="Tahoma" w:eastAsia="宋体" w:hAnsi="Tahoma" w:cs="Tahoma"/>
          <w:color w:val="000000"/>
          <w:kern w:val="0"/>
          <w:szCs w:val="21"/>
        </w:rPr>
        <w:t> </w:t>
      </w:r>
    </w:p>
    <w:p w:rsidR="00D86CEF" w:rsidRPr="00D86CEF" w:rsidRDefault="00D86CEF" w:rsidP="00D86CEF">
      <w:pPr>
        <w:widowControl/>
        <w:jc w:val="left"/>
        <w:rPr>
          <w:rFonts w:ascii="Tahoma" w:eastAsia="宋体" w:hAnsi="Tahoma" w:cs="Tahoma"/>
          <w:color w:val="000000"/>
          <w:kern w:val="0"/>
          <w:szCs w:val="21"/>
        </w:rPr>
      </w:pPr>
      <w:r w:rsidRPr="00D86CEF">
        <w:rPr>
          <w:rFonts w:ascii="Tahoma" w:eastAsia="宋体" w:hAnsi="Tahoma" w:cs="Tahoma"/>
          <w:color w:val="000000"/>
          <w:kern w:val="0"/>
          <w:szCs w:val="21"/>
        </w:rPr>
        <w:t> </w:t>
      </w:r>
    </w:p>
    <w:p w:rsidR="00D86CEF" w:rsidRPr="00D86CEF" w:rsidRDefault="00D86CEF" w:rsidP="00D86CEF">
      <w:pPr>
        <w:widowControl/>
        <w:wordWrap w:val="0"/>
        <w:spacing w:line="315" w:lineRule="atLeast"/>
        <w:ind w:firstLine="424"/>
        <w:jc w:val="right"/>
        <w:rPr>
          <w:rFonts w:ascii="Tahoma" w:eastAsia="宋体" w:hAnsi="Tahoma" w:cs="Tahoma"/>
          <w:color w:val="000000"/>
          <w:kern w:val="0"/>
          <w:szCs w:val="21"/>
        </w:rPr>
      </w:pPr>
      <w:r w:rsidRPr="00D86CEF">
        <w:rPr>
          <w:rFonts w:ascii="宋体" w:eastAsia="宋体" w:hAnsi="宋体" w:cs="Tahoma" w:hint="eastAsia"/>
          <w:color w:val="000000"/>
          <w:kern w:val="0"/>
          <w:sz w:val="24"/>
          <w:szCs w:val="24"/>
        </w:rPr>
        <w:t>嘉</w:t>
      </w:r>
      <w:proofErr w:type="gramStart"/>
      <w:r w:rsidRPr="00D86CEF">
        <w:rPr>
          <w:rFonts w:ascii="宋体" w:eastAsia="宋体" w:hAnsi="宋体" w:cs="Tahoma" w:hint="eastAsia"/>
          <w:color w:val="000000"/>
          <w:kern w:val="0"/>
          <w:sz w:val="24"/>
          <w:szCs w:val="24"/>
        </w:rPr>
        <w:t>实基金</w:t>
      </w:r>
      <w:proofErr w:type="gramEnd"/>
      <w:r w:rsidRPr="00D86CEF">
        <w:rPr>
          <w:rFonts w:ascii="宋体" w:eastAsia="宋体" w:hAnsi="宋体" w:cs="Tahoma" w:hint="eastAsia"/>
          <w:color w:val="000000"/>
          <w:kern w:val="0"/>
          <w:sz w:val="24"/>
          <w:szCs w:val="24"/>
        </w:rPr>
        <w:t>管理有限公司</w:t>
      </w:r>
    </w:p>
    <w:p w:rsidR="00D86CEF" w:rsidRPr="00D86CEF" w:rsidRDefault="00D86CEF" w:rsidP="00D86CEF">
      <w:pPr>
        <w:widowControl/>
        <w:jc w:val="right"/>
        <w:rPr>
          <w:rFonts w:ascii="Tahoma" w:eastAsia="宋体" w:hAnsi="Tahoma" w:cs="Tahoma"/>
          <w:color w:val="000000"/>
          <w:kern w:val="0"/>
          <w:szCs w:val="21"/>
        </w:rPr>
      </w:pPr>
      <w:r w:rsidRPr="00D86CEF">
        <w:rPr>
          <w:rFonts w:ascii="宋体" w:eastAsia="宋体" w:hAnsi="宋体" w:cs="Tahoma" w:hint="eastAsia"/>
          <w:color w:val="000000"/>
          <w:kern w:val="0"/>
          <w:sz w:val="24"/>
          <w:szCs w:val="24"/>
        </w:rPr>
        <w:t>2018年1月22日</w:t>
      </w:r>
    </w:p>
    <w:p w:rsidR="000A38E1" w:rsidRDefault="000A38E1">
      <w:bookmarkStart w:id="0" w:name="_GoBack"/>
      <w:bookmarkEnd w:id="0"/>
    </w:p>
    <w:sectPr w:rsidR="000A38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CEF"/>
    <w:rsid w:val="000A38E1"/>
    <w:rsid w:val="00D86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86CE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86CEF"/>
    <w:rPr>
      <w:rFonts w:ascii="宋体" w:eastAsia="宋体" w:hAnsi="宋体" w:cs="宋体"/>
      <w:b/>
      <w:bCs/>
      <w:kern w:val="0"/>
      <w:sz w:val="36"/>
      <w:szCs w:val="36"/>
    </w:rPr>
  </w:style>
  <w:style w:type="character" w:styleId="a3">
    <w:name w:val="Hyperlink"/>
    <w:basedOn w:val="a0"/>
    <w:uiPriority w:val="99"/>
    <w:semiHidden/>
    <w:unhideWhenUsed/>
    <w:rsid w:val="00D86CEF"/>
    <w:rPr>
      <w:color w:val="0000FF"/>
      <w:u w:val="single"/>
    </w:rPr>
  </w:style>
  <w:style w:type="paragraph" w:styleId="a4">
    <w:name w:val="Normal (Web)"/>
    <w:basedOn w:val="a"/>
    <w:uiPriority w:val="99"/>
    <w:semiHidden/>
    <w:unhideWhenUsed/>
    <w:rsid w:val="00D86CE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86CE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86CEF"/>
    <w:rPr>
      <w:rFonts w:ascii="宋体" w:eastAsia="宋体" w:hAnsi="宋体" w:cs="宋体"/>
      <w:b/>
      <w:bCs/>
      <w:kern w:val="0"/>
      <w:sz w:val="36"/>
      <w:szCs w:val="36"/>
    </w:rPr>
  </w:style>
  <w:style w:type="character" w:styleId="a3">
    <w:name w:val="Hyperlink"/>
    <w:basedOn w:val="a0"/>
    <w:uiPriority w:val="99"/>
    <w:semiHidden/>
    <w:unhideWhenUsed/>
    <w:rsid w:val="00D86CEF"/>
    <w:rPr>
      <w:color w:val="0000FF"/>
      <w:u w:val="single"/>
    </w:rPr>
  </w:style>
  <w:style w:type="paragraph" w:styleId="a4">
    <w:name w:val="Normal (Web)"/>
    <w:basedOn w:val="a"/>
    <w:uiPriority w:val="99"/>
    <w:semiHidden/>
    <w:unhideWhenUsed/>
    <w:rsid w:val="00D86CE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6972">
      <w:bodyDiv w:val="1"/>
      <w:marLeft w:val="0"/>
      <w:marRight w:val="0"/>
      <w:marTop w:val="0"/>
      <w:marBottom w:val="0"/>
      <w:divBdr>
        <w:top w:val="none" w:sz="0" w:space="0" w:color="auto"/>
        <w:left w:val="none" w:sz="0" w:space="0" w:color="auto"/>
        <w:bottom w:val="none" w:sz="0" w:space="0" w:color="auto"/>
        <w:right w:val="none" w:sz="0" w:space="0" w:color="auto"/>
      </w:divBdr>
      <w:divsChild>
        <w:div w:id="2125227310">
          <w:marLeft w:val="0"/>
          <w:marRight w:val="0"/>
          <w:marTop w:val="0"/>
          <w:marBottom w:val="0"/>
          <w:divBdr>
            <w:top w:val="none" w:sz="0" w:space="0" w:color="auto"/>
            <w:left w:val="none" w:sz="0" w:space="0" w:color="auto"/>
            <w:bottom w:val="none" w:sz="0" w:space="0" w:color="auto"/>
            <w:right w:val="none" w:sz="0" w:space="0" w:color="auto"/>
          </w:divBdr>
        </w:div>
        <w:div w:id="709841972">
          <w:marLeft w:val="780"/>
          <w:marRight w:val="0"/>
          <w:marTop w:val="0"/>
          <w:marBottom w:val="0"/>
          <w:divBdr>
            <w:top w:val="none" w:sz="0" w:space="0" w:color="auto"/>
            <w:left w:val="none" w:sz="0" w:space="0" w:color="auto"/>
            <w:bottom w:val="none" w:sz="0" w:space="0" w:color="auto"/>
            <w:right w:val="none" w:sz="0" w:space="0" w:color="auto"/>
          </w:divBdr>
        </w:div>
        <w:div w:id="2097170823">
          <w:marLeft w:val="0"/>
          <w:marRight w:val="0"/>
          <w:marTop w:val="0"/>
          <w:marBottom w:val="0"/>
          <w:divBdr>
            <w:top w:val="none" w:sz="0" w:space="0" w:color="auto"/>
            <w:left w:val="none" w:sz="0" w:space="0" w:color="auto"/>
            <w:bottom w:val="none" w:sz="0" w:space="0" w:color="auto"/>
            <w:right w:val="none" w:sz="0" w:space="0" w:color="auto"/>
          </w:divBdr>
        </w:div>
        <w:div w:id="1596401220">
          <w:marLeft w:val="0"/>
          <w:marRight w:val="0"/>
          <w:marTop w:val="0"/>
          <w:marBottom w:val="0"/>
          <w:divBdr>
            <w:top w:val="none" w:sz="0" w:space="0" w:color="auto"/>
            <w:left w:val="none" w:sz="0" w:space="0" w:color="auto"/>
            <w:bottom w:val="none" w:sz="0" w:space="0" w:color="auto"/>
            <w:right w:val="none" w:sz="0" w:space="0" w:color="auto"/>
          </w:divBdr>
        </w:div>
        <w:div w:id="201749696">
          <w:marLeft w:val="0"/>
          <w:marRight w:val="0"/>
          <w:marTop w:val="0"/>
          <w:marBottom w:val="0"/>
          <w:divBdr>
            <w:top w:val="none" w:sz="0" w:space="0" w:color="auto"/>
            <w:left w:val="none" w:sz="0" w:space="0" w:color="auto"/>
            <w:bottom w:val="none" w:sz="0" w:space="0" w:color="auto"/>
            <w:right w:val="none" w:sz="0" w:space="0" w:color="auto"/>
          </w:divBdr>
        </w:div>
        <w:div w:id="516970188">
          <w:marLeft w:val="0"/>
          <w:marRight w:val="0"/>
          <w:marTop w:val="0"/>
          <w:marBottom w:val="0"/>
          <w:divBdr>
            <w:top w:val="none" w:sz="0" w:space="0" w:color="auto"/>
            <w:left w:val="none" w:sz="0" w:space="0" w:color="auto"/>
            <w:bottom w:val="none" w:sz="0" w:space="0" w:color="auto"/>
            <w:right w:val="none" w:sz="0" w:space="0" w:color="auto"/>
          </w:divBdr>
        </w:div>
        <w:div w:id="1998878361">
          <w:marLeft w:val="0"/>
          <w:marRight w:val="0"/>
          <w:marTop w:val="0"/>
          <w:marBottom w:val="0"/>
          <w:divBdr>
            <w:top w:val="none" w:sz="0" w:space="0" w:color="auto"/>
            <w:left w:val="none" w:sz="0" w:space="0" w:color="auto"/>
            <w:bottom w:val="none" w:sz="0" w:space="0" w:color="auto"/>
            <w:right w:val="none" w:sz="0" w:space="0" w:color="auto"/>
          </w:divBdr>
        </w:div>
        <w:div w:id="2001542114">
          <w:marLeft w:val="0"/>
          <w:marRight w:val="0"/>
          <w:marTop w:val="0"/>
          <w:marBottom w:val="0"/>
          <w:divBdr>
            <w:top w:val="none" w:sz="0" w:space="0" w:color="auto"/>
            <w:left w:val="none" w:sz="0" w:space="0" w:color="auto"/>
            <w:bottom w:val="none" w:sz="0" w:space="0" w:color="auto"/>
            <w:right w:val="none" w:sz="0" w:space="0" w:color="auto"/>
          </w:divBdr>
        </w:div>
        <w:div w:id="1147358697">
          <w:marLeft w:val="0"/>
          <w:marRight w:val="0"/>
          <w:marTop w:val="0"/>
          <w:marBottom w:val="0"/>
          <w:divBdr>
            <w:top w:val="none" w:sz="0" w:space="0" w:color="auto"/>
            <w:left w:val="none" w:sz="0" w:space="0" w:color="auto"/>
            <w:bottom w:val="none" w:sz="0" w:space="0" w:color="auto"/>
            <w:right w:val="none" w:sz="0" w:space="0" w:color="auto"/>
          </w:divBdr>
        </w:div>
        <w:div w:id="2030520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window.clo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printcon('printcontent','hide')" TargetMode="External"/><Relationship Id="rId5"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2018-01-22T06:09:00Z</dcterms:created>
  <dcterms:modified xsi:type="dcterms:W3CDTF">2018-01-22T06:09:00Z</dcterms:modified>
</cp:coreProperties>
</file>