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BA" w:rsidRPr="000159BA" w:rsidRDefault="000159BA" w:rsidP="000159BA">
      <w:pPr>
        <w:widowControl/>
        <w:jc w:val="center"/>
        <w:outlineLvl w:val="1"/>
        <w:rPr>
          <w:rFonts w:ascii="宋体" w:eastAsia="宋体" w:hAnsi="宋体" w:cs="宋体"/>
          <w:b/>
          <w:bCs/>
          <w:color w:val="333333"/>
          <w:kern w:val="0"/>
          <w:sz w:val="24"/>
          <w:szCs w:val="24"/>
        </w:rPr>
      </w:pPr>
      <w:bookmarkStart w:id="0" w:name="_GoBack"/>
      <w:r w:rsidRPr="000159BA">
        <w:rPr>
          <w:rFonts w:ascii="宋体" w:eastAsia="宋体" w:hAnsi="宋体" w:cs="宋体" w:hint="eastAsia"/>
          <w:b/>
          <w:bCs/>
          <w:color w:val="333333"/>
          <w:kern w:val="0"/>
          <w:sz w:val="24"/>
          <w:szCs w:val="24"/>
        </w:rPr>
        <w:t>关于增加深圳农商行为嘉实旗下基金代销机构并开展</w:t>
      </w:r>
      <w:proofErr w:type="gramStart"/>
      <w:r w:rsidRPr="000159BA">
        <w:rPr>
          <w:rFonts w:ascii="宋体" w:eastAsia="宋体" w:hAnsi="宋体" w:cs="宋体" w:hint="eastAsia"/>
          <w:b/>
          <w:bCs/>
          <w:color w:val="333333"/>
          <w:kern w:val="0"/>
          <w:sz w:val="24"/>
          <w:szCs w:val="24"/>
        </w:rPr>
        <w:t>定投业务</w:t>
      </w:r>
      <w:proofErr w:type="gramEnd"/>
      <w:r w:rsidRPr="000159BA">
        <w:rPr>
          <w:rFonts w:ascii="宋体" w:eastAsia="宋体" w:hAnsi="宋体" w:cs="宋体" w:hint="eastAsia"/>
          <w:b/>
          <w:bCs/>
          <w:color w:val="333333"/>
          <w:kern w:val="0"/>
          <w:sz w:val="24"/>
          <w:szCs w:val="24"/>
        </w:rPr>
        <w:t>的公告</w:t>
      </w:r>
    </w:p>
    <w:bookmarkEnd w:id="0"/>
    <w:p w:rsidR="000159BA" w:rsidRPr="000159BA" w:rsidRDefault="000159BA" w:rsidP="000159BA">
      <w:pPr>
        <w:widowControl/>
        <w:jc w:val="center"/>
        <w:rPr>
          <w:rFonts w:ascii="Tahoma" w:eastAsia="宋体" w:hAnsi="Tahoma" w:cs="Tahoma" w:hint="eastAsia"/>
          <w:color w:val="000000"/>
          <w:kern w:val="0"/>
          <w:szCs w:val="21"/>
        </w:rPr>
      </w:pPr>
      <w:r w:rsidRPr="000159BA">
        <w:rPr>
          <w:rFonts w:ascii="Tahoma" w:eastAsia="宋体" w:hAnsi="Tahoma" w:cs="Tahoma"/>
          <w:color w:val="000000"/>
          <w:kern w:val="0"/>
          <w:szCs w:val="21"/>
        </w:rPr>
        <w:t>来源：</w:t>
      </w:r>
      <w:r w:rsidRPr="000159BA">
        <w:rPr>
          <w:rFonts w:ascii="Tahoma" w:eastAsia="宋体" w:hAnsi="Tahoma" w:cs="Tahoma"/>
          <w:color w:val="000000"/>
          <w:kern w:val="0"/>
          <w:szCs w:val="21"/>
        </w:rPr>
        <w:t>  </w:t>
      </w:r>
      <w:r w:rsidRPr="000159BA">
        <w:rPr>
          <w:rFonts w:ascii="Tahoma" w:eastAsia="宋体" w:hAnsi="Tahoma" w:cs="Tahoma"/>
          <w:color w:val="000000"/>
          <w:kern w:val="0"/>
          <w:szCs w:val="21"/>
        </w:rPr>
        <w:t>作者：</w:t>
      </w:r>
      <w:r w:rsidRPr="000159BA">
        <w:rPr>
          <w:rFonts w:ascii="Tahoma" w:eastAsia="宋体" w:hAnsi="Tahoma" w:cs="Tahoma"/>
          <w:color w:val="000000"/>
          <w:kern w:val="0"/>
          <w:szCs w:val="21"/>
        </w:rPr>
        <w:t xml:space="preserve">   </w:t>
      </w:r>
      <w:r w:rsidRPr="000159BA">
        <w:rPr>
          <w:rFonts w:ascii="Tahoma" w:eastAsia="宋体" w:hAnsi="Tahoma" w:cs="Tahoma"/>
          <w:color w:val="000000"/>
          <w:kern w:val="0"/>
          <w:szCs w:val="21"/>
        </w:rPr>
        <w:t>时间：</w:t>
      </w:r>
      <w:r w:rsidRPr="000159BA">
        <w:rPr>
          <w:rFonts w:ascii="Tahoma" w:eastAsia="宋体" w:hAnsi="Tahoma" w:cs="Tahoma"/>
          <w:color w:val="000000"/>
          <w:kern w:val="0"/>
          <w:szCs w:val="21"/>
        </w:rPr>
        <w:t>2018</w:t>
      </w:r>
      <w:r w:rsidRPr="000159BA">
        <w:rPr>
          <w:rFonts w:ascii="Tahoma" w:eastAsia="宋体" w:hAnsi="Tahoma" w:cs="Tahoma"/>
          <w:color w:val="000000"/>
          <w:kern w:val="0"/>
          <w:szCs w:val="21"/>
        </w:rPr>
        <w:t>年</w:t>
      </w:r>
      <w:r w:rsidRPr="000159BA">
        <w:rPr>
          <w:rFonts w:ascii="Tahoma" w:eastAsia="宋体" w:hAnsi="Tahoma" w:cs="Tahoma"/>
          <w:color w:val="000000"/>
          <w:kern w:val="0"/>
          <w:szCs w:val="21"/>
        </w:rPr>
        <w:t>01</w:t>
      </w:r>
      <w:r w:rsidRPr="000159BA">
        <w:rPr>
          <w:rFonts w:ascii="Tahoma" w:eastAsia="宋体" w:hAnsi="Tahoma" w:cs="Tahoma"/>
          <w:color w:val="000000"/>
          <w:kern w:val="0"/>
          <w:szCs w:val="21"/>
        </w:rPr>
        <w:t>月</w:t>
      </w:r>
      <w:r w:rsidRPr="000159BA">
        <w:rPr>
          <w:rFonts w:ascii="Tahoma" w:eastAsia="宋体" w:hAnsi="Tahoma" w:cs="Tahoma"/>
          <w:color w:val="000000"/>
          <w:kern w:val="0"/>
          <w:szCs w:val="21"/>
        </w:rPr>
        <w:t>26</w:t>
      </w:r>
      <w:r w:rsidRPr="000159BA">
        <w:rPr>
          <w:rFonts w:ascii="Tahoma" w:eastAsia="宋体" w:hAnsi="Tahoma" w:cs="Tahoma"/>
          <w:color w:val="000000"/>
          <w:kern w:val="0"/>
          <w:szCs w:val="21"/>
        </w:rPr>
        <w:t>日</w:t>
      </w:r>
      <w:r w:rsidRPr="000159BA">
        <w:rPr>
          <w:rFonts w:ascii="Tahoma" w:eastAsia="宋体" w:hAnsi="Tahoma" w:cs="Tahoma"/>
          <w:color w:val="000000"/>
          <w:kern w:val="0"/>
          <w:szCs w:val="21"/>
        </w:rPr>
        <w:t xml:space="preserve">   </w:t>
      </w:r>
      <w:r w:rsidRPr="000159BA">
        <w:rPr>
          <w:rFonts w:ascii="Tahoma" w:eastAsia="宋体" w:hAnsi="Tahoma" w:cs="Tahoma"/>
          <w:color w:val="000000"/>
          <w:kern w:val="0"/>
          <w:szCs w:val="21"/>
        </w:rPr>
        <w:t>已访问次数</w:t>
      </w:r>
      <w:r w:rsidRPr="000159BA">
        <w:rPr>
          <w:rFonts w:ascii="Tahoma" w:eastAsia="宋体" w:hAnsi="Tahoma" w:cs="Tahoma"/>
          <w:color w:val="000000"/>
          <w:kern w:val="0"/>
          <w:szCs w:val="21"/>
        </w:rPr>
        <w:t>:3      </w:t>
      </w:r>
    </w:p>
    <w:p w:rsidR="000159BA" w:rsidRPr="000159BA" w:rsidRDefault="000159BA" w:rsidP="000159BA">
      <w:pPr>
        <w:widowControl/>
        <w:jc w:val="center"/>
        <w:rPr>
          <w:rFonts w:ascii="inherit" w:eastAsia="宋体" w:hAnsi="inherit" w:cs="Tahoma"/>
          <w:color w:val="777777"/>
          <w:kern w:val="0"/>
          <w:szCs w:val="21"/>
        </w:rPr>
      </w:pPr>
      <w:hyperlink r:id="rId5" w:history="1">
        <w:r w:rsidRPr="000159BA">
          <w:rPr>
            <w:rFonts w:ascii="inherit" w:eastAsia="宋体" w:hAnsi="inherit" w:cs="Tahoma"/>
            <w:color w:val="FF0000"/>
            <w:kern w:val="0"/>
            <w:szCs w:val="21"/>
            <w:u w:val="single"/>
            <w:bdr w:val="none" w:sz="0" w:space="0" w:color="auto" w:frame="1"/>
          </w:rPr>
          <w:t>在线购买</w:t>
        </w:r>
      </w:hyperlink>
      <w:r w:rsidRPr="000159BA">
        <w:rPr>
          <w:rFonts w:ascii="inherit" w:eastAsia="宋体" w:hAnsi="inherit" w:cs="Tahoma"/>
          <w:color w:val="777777"/>
          <w:kern w:val="0"/>
          <w:szCs w:val="21"/>
        </w:rPr>
        <w:t>  |  </w:t>
      </w:r>
      <w:hyperlink r:id="rId6" w:history="1">
        <w:r w:rsidRPr="000159BA">
          <w:rPr>
            <w:rFonts w:ascii="inherit" w:eastAsia="宋体" w:hAnsi="inherit" w:cs="Tahoma"/>
            <w:color w:val="777777"/>
            <w:kern w:val="0"/>
            <w:szCs w:val="21"/>
            <w:bdr w:val="none" w:sz="0" w:space="0" w:color="auto" w:frame="1"/>
          </w:rPr>
          <w:t>打印本页</w:t>
        </w:r>
      </w:hyperlink>
      <w:r w:rsidRPr="000159BA">
        <w:rPr>
          <w:rFonts w:ascii="inherit" w:eastAsia="宋体" w:hAnsi="inherit" w:cs="Tahoma"/>
          <w:color w:val="777777"/>
          <w:kern w:val="0"/>
          <w:szCs w:val="21"/>
        </w:rPr>
        <w:t>  |  </w:t>
      </w:r>
      <w:hyperlink r:id="rId7" w:history="1">
        <w:r w:rsidRPr="000159BA">
          <w:rPr>
            <w:rFonts w:ascii="inherit" w:eastAsia="宋体" w:hAnsi="inherit" w:cs="Tahoma"/>
            <w:color w:val="777777"/>
            <w:kern w:val="0"/>
            <w:szCs w:val="21"/>
            <w:bdr w:val="none" w:sz="0" w:space="0" w:color="auto" w:frame="1"/>
          </w:rPr>
          <w:t>关闭本页</w:t>
        </w:r>
      </w:hyperlink>
    </w:p>
    <w:p w:rsidR="000159BA" w:rsidRPr="000159BA" w:rsidRDefault="000159BA" w:rsidP="000159BA">
      <w:pPr>
        <w:widowControl/>
        <w:spacing w:before="120" w:after="120"/>
        <w:rPr>
          <w:rFonts w:ascii="Tahoma" w:eastAsia="宋体" w:hAnsi="Tahoma" w:cs="Tahoma"/>
          <w:color w:val="000000"/>
          <w:kern w:val="0"/>
          <w:szCs w:val="21"/>
        </w:rPr>
      </w:pPr>
      <w:r w:rsidRPr="000159BA">
        <w:rPr>
          <w:rFonts w:ascii="Tahoma" w:eastAsia="宋体" w:hAnsi="Tahoma" w:cs="Tahoma"/>
          <w:color w:val="000000"/>
          <w:kern w:val="0"/>
          <w:szCs w:val="21"/>
        </w:rPr>
        <w:t> </w:t>
      </w:r>
    </w:p>
    <w:p w:rsidR="000159BA" w:rsidRPr="000159BA" w:rsidRDefault="000159BA" w:rsidP="000159BA">
      <w:pPr>
        <w:widowControl/>
        <w:spacing w:line="315" w:lineRule="atLeast"/>
        <w:jc w:val="center"/>
        <w:rPr>
          <w:rFonts w:ascii="Tahoma" w:eastAsia="宋体" w:hAnsi="Tahoma" w:cs="Tahoma"/>
          <w:color w:val="000000"/>
          <w:kern w:val="0"/>
          <w:szCs w:val="21"/>
        </w:rPr>
      </w:pPr>
      <w:r w:rsidRPr="000159BA">
        <w:rPr>
          <w:rFonts w:ascii="黑体" w:eastAsia="黑体" w:hAnsi="黑体" w:cs="Tahoma" w:hint="eastAsia"/>
          <w:b/>
          <w:bCs/>
          <w:color w:val="FF0000"/>
          <w:kern w:val="0"/>
          <w:sz w:val="28"/>
          <w:szCs w:val="28"/>
        </w:rPr>
        <w:t>关于增加深圳农商行为嘉实旗下基金</w:t>
      </w:r>
    </w:p>
    <w:p w:rsidR="000159BA" w:rsidRPr="000159BA" w:rsidRDefault="000159BA" w:rsidP="000159BA">
      <w:pPr>
        <w:widowControl/>
        <w:spacing w:line="315" w:lineRule="atLeast"/>
        <w:jc w:val="center"/>
        <w:rPr>
          <w:rFonts w:ascii="Tahoma" w:eastAsia="宋体" w:hAnsi="Tahoma" w:cs="Tahoma"/>
          <w:color w:val="000000"/>
          <w:kern w:val="0"/>
          <w:szCs w:val="21"/>
        </w:rPr>
      </w:pPr>
      <w:r w:rsidRPr="000159BA">
        <w:rPr>
          <w:rFonts w:ascii="黑体" w:eastAsia="黑体" w:hAnsi="黑体" w:cs="Tahoma" w:hint="eastAsia"/>
          <w:b/>
          <w:bCs/>
          <w:color w:val="FF0000"/>
          <w:kern w:val="0"/>
          <w:sz w:val="28"/>
          <w:szCs w:val="28"/>
        </w:rPr>
        <w:t>代销机构并开展</w:t>
      </w:r>
      <w:proofErr w:type="gramStart"/>
      <w:r w:rsidRPr="000159BA">
        <w:rPr>
          <w:rFonts w:ascii="黑体" w:eastAsia="黑体" w:hAnsi="黑体" w:cs="Tahoma" w:hint="eastAsia"/>
          <w:b/>
          <w:bCs/>
          <w:color w:val="FF0000"/>
          <w:kern w:val="0"/>
          <w:sz w:val="28"/>
          <w:szCs w:val="28"/>
        </w:rPr>
        <w:t>定投业务</w:t>
      </w:r>
      <w:proofErr w:type="gramEnd"/>
      <w:r w:rsidRPr="000159BA">
        <w:rPr>
          <w:rFonts w:ascii="黑体" w:eastAsia="黑体" w:hAnsi="黑体" w:cs="Tahoma" w:hint="eastAsia"/>
          <w:b/>
          <w:bCs/>
          <w:color w:val="FF0000"/>
          <w:kern w:val="0"/>
          <w:sz w:val="28"/>
          <w:szCs w:val="28"/>
        </w:rPr>
        <w:t>的公告</w:t>
      </w:r>
    </w:p>
    <w:p w:rsidR="000159BA" w:rsidRPr="000159BA" w:rsidRDefault="000159BA" w:rsidP="000159BA">
      <w:pPr>
        <w:widowControl/>
        <w:spacing w:line="315" w:lineRule="atLeast"/>
        <w:ind w:firstLine="425"/>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根据嘉</w:t>
      </w:r>
      <w:proofErr w:type="gramStart"/>
      <w:r w:rsidRPr="000159BA">
        <w:rPr>
          <w:rFonts w:ascii="宋体" w:eastAsia="宋体" w:hAnsi="宋体" w:cs="Tahoma" w:hint="eastAsia"/>
          <w:color w:val="000000"/>
          <w:kern w:val="0"/>
          <w:szCs w:val="21"/>
        </w:rPr>
        <w:t>实基金</w:t>
      </w:r>
      <w:proofErr w:type="gramEnd"/>
      <w:r w:rsidRPr="000159BA">
        <w:rPr>
          <w:rFonts w:ascii="宋体" w:eastAsia="宋体" w:hAnsi="宋体" w:cs="Tahoma" w:hint="eastAsia"/>
          <w:color w:val="000000"/>
          <w:kern w:val="0"/>
          <w:szCs w:val="21"/>
        </w:rPr>
        <w:t>管理有限公司与深圳农村商业银行股份有限公司（以下简称</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深圳农商行</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）签署的开放式基金代销协议，自</w:t>
      </w:r>
      <w:r w:rsidRPr="000159BA">
        <w:rPr>
          <w:rFonts w:ascii="Times New Roman" w:eastAsia="宋体" w:hAnsi="Times New Roman" w:cs="Times New Roman"/>
          <w:color w:val="000000"/>
          <w:kern w:val="0"/>
          <w:szCs w:val="21"/>
        </w:rPr>
        <w:t>2018</w:t>
      </w:r>
      <w:r w:rsidRPr="000159BA">
        <w:rPr>
          <w:rFonts w:ascii="宋体" w:eastAsia="宋体" w:hAnsi="宋体" w:cs="Tahoma" w:hint="eastAsia"/>
          <w:color w:val="000000"/>
          <w:kern w:val="0"/>
          <w:szCs w:val="21"/>
        </w:rPr>
        <w:t>年</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月</w:t>
      </w:r>
      <w:r w:rsidRPr="000159BA">
        <w:rPr>
          <w:rFonts w:ascii="Times New Roman" w:eastAsia="宋体" w:hAnsi="Times New Roman" w:cs="Times New Roman"/>
          <w:color w:val="000000"/>
          <w:kern w:val="0"/>
          <w:szCs w:val="21"/>
        </w:rPr>
        <w:t>26</w:t>
      </w:r>
      <w:r w:rsidRPr="000159BA">
        <w:rPr>
          <w:rFonts w:ascii="宋体" w:eastAsia="宋体" w:hAnsi="宋体" w:cs="Tahoma" w:hint="eastAsia"/>
          <w:color w:val="000000"/>
          <w:kern w:val="0"/>
          <w:szCs w:val="21"/>
        </w:rPr>
        <w:t>日起，增加深圳农商行为嘉实旗下开放式基金代销机构。</w:t>
      </w:r>
    </w:p>
    <w:p w:rsidR="000159BA" w:rsidRPr="000159BA" w:rsidRDefault="000159BA" w:rsidP="000159BA">
      <w:pPr>
        <w:widowControl/>
        <w:spacing w:line="315" w:lineRule="atLeast"/>
        <w:ind w:firstLine="413"/>
        <w:jc w:val="left"/>
        <w:rPr>
          <w:rFonts w:ascii="Tahoma" w:eastAsia="宋体" w:hAnsi="Tahoma" w:cs="Tahoma"/>
          <w:color w:val="000000"/>
          <w:kern w:val="0"/>
          <w:szCs w:val="21"/>
        </w:rPr>
      </w:pPr>
      <w:r w:rsidRPr="000159BA">
        <w:rPr>
          <w:rFonts w:ascii="宋体" w:eastAsia="宋体" w:hAnsi="宋体" w:cs="Tahoma" w:hint="eastAsia"/>
          <w:b/>
          <w:bCs/>
          <w:color w:val="000000"/>
          <w:kern w:val="0"/>
          <w:szCs w:val="21"/>
        </w:rPr>
        <w:t>一、适用基金范围</w:t>
      </w:r>
    </w:p>
    <w:p w:rsidR="000159BA" w:rsidRPr="000159BA" w:rsidRDefault="000159BA" w:rsidP="000159BA">
      <w:pPr>
        <w:widowControl/>
        <w:spacing w:line="315" w:lineRule="atLeast"/>
        <w:ind w:firstLine="424"/>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嘉实前沿科技沪港深股票、嘉实价值精选股票合计</w:t>
      </w:r>
      <w:r w:rsidRPr="000159BA">
        <w:rPr>
          <w:rFonts w:ascii="Times New Roman" w:eastAsia="宋体" w:hAnsi="Times New Roman" w:cs="Times New Roman"/>
          <w:color w:val="000000"/>
          <w:kern w:val="0"/>
          <w:szCs w:val="21"/>
        </w:rPr>
        <w:t>2</w:t>
      </w:r>
      <w:r w:rsidRPr="000159BA">
        <w:rPr>
          <w:rFonts w:ascii="宋体" w:eastAsia="宋体" w:hAnsi="宋体" w:cs="Tahoma" w:hint="eastAsia"/>
          <w:color w:val="000000"/>
          <w:kern w:val="0"/>
          <w:szCs w:val="21"/>
        </w:rPr>
        <w:t>只基金。</w:t>
      </w:r>
    </w:p>
    <w:p w:rsidR="000159BA" w:rsidRPr="000159BA" w:rsidRDefault="000159BA" w:rsidP="000159BA">
      <w:pPr>
        <w:widowControl/>
        <w:spacing w:line="315" w:lineRule="atLeast"/>
        <w:ind w:firstLine="413"/>
        <w:jc w:val="left"/>
        <w:rPr>
          <w:rFonts w:ascii="Tahoma" w:eastAsia="宋体" w:hAnsi="Tahoma" w:cs="Tahoma"/>
          <w:color w:val="000000"/>
          <w:kern w:val="0"/>
          <w:szCs w:val="21"/>
        </w:rPr>
      </w:pPr>
      <w:r w:rsidRPr="000159BA">
        <w:rPr>
          <w:rFonts w:ascii="宋体" w:eastAsia="宋体" w:hAnsi="宋体" w:cs="Tahoma" w:hint="eastAsia"/>
          <w:b/>
          <w:bCs/>
          <w:color w:val="000000"/>
          <w:kern w:val="0"/>
          <w:szCs w:val="21"/>
        </w:rPr>
        <w:t>二、基金开户、申购等业务</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自</w:t>
      </w:r>
      <w:r w:rsidRPr="000159BA">
        <w:rPr>
          <w:rFonts w:ascii="Times New Roman" w:eastAsia="宋体" w:hAnsi="Times New Roman" w:cs="Times New Roman"/>
          <w:color w:val="000000"/>
          <w:kern w:val="0"/>
          <w:szCs w:val="21"/>
        </w:rPr>
        <w:t>2018</w:t>
      </w:r>
      <w:r w:rsidRPr="000159BA">
        <w:rPr>
          <w:rFonts w:ascii="宋体" w:eastAsia="宋体" w:hAnsi="宋体" w:cs="Tahoma" w:hint="eastAsia"/>
          <w:color w:val="000000"/>
          <w:kern w:val="0"/>
          <w:szCs w:val="21"/>
        </w:rPr>
        <w:t>年</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月</w:t>
      </w:r>
      <w:r w:rsidRPr="000159BA">
        <w:rPr>
          <w:rFonts w:ascii="Times New Roman" w:eastAsia="宋体" w:hAnsi="Times New Roman" w:cs="Times New Roman"/>
          <w:color w:val="000000"/>
          <w:kern w:val="0"/>
          <w:szCs w:val="21"/>
        </w:rPr>
        <w:t>26</w:t>
      </w:r>
      <w:r w:rsidRPr="000159BA">
        <w:rPr>
          <w:rFonts w:ascii="宋体" w:eastAsia="宋体" w:hAnsi="宋体" w:cs="Tahoma" w:hint="eastAsia"/>
          <w:color w:val="000000"/>
          <w:kern w:val="0"/>
          <w:szCs w:val="21"/>
        </w:rPr>
        <w:t>日起，投资者可通过深圳农商行办理上述基金的开户、申购等业务，具体的业务流程、办理时间和办理方式以深圳农商行的规定为准。（特别说明除外）</w:t>
      </w:r>
    </w:p>
    <w:p w:rsidR="000159BA" w:rsidRPr="000159BA" w:rsidRDefault="000159BA" w:rsidP="000159BA">
      <w:pPr>
        <w:widowControl/>
        <w:spacing w:line="315" w:lineRule="atLeast"/>
        <w:ind w:firstLine="413"/>
        <w:jc w:val="left"/>
        <w:rPr>
          <w:rFonts w:ascii="Tahoma" w:eastAsia="宋体" w:hAnsi="Tahoma" w:cs="Tahoma"/>
          <w:color w:val="000000"/>
          <w:kern w:val="0"/>
          <w:szCs w:val="21"/>
        </w:rPr>
      </w:pPr>
      <w:r w:rsidRPr="000159BA">
        <w:rPr>
          <w:rFonts w:ascii="宋体" w:eastAsia="宋体" w:hAnsi="宋体" w:cs="Tahoma" w:hint="eastAsia"/>
          <w:b/>
          <w:bCs/>
          <w:color w:val="000000"/>
          <w:kern w:val="0"/>
          <w:szCs w:val="21"/>
        </w:rPr>
        <w:t>三、定期定额投资业务</w:t>
      </w:r>
    </w:p>
    <w:p w:rsidR="000159BA" w:rsidRPr="000159BA" w:rsidRDefault="000159BA" w:rsidP="000159BA">
      <w:pPr>
        <w:widowControl/>
        <w:spacing w:line="315" w:lineRule="atLeast"/>
        <w:ind w:firstLine="425"/>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自</w:t>
      </w:r>
      <w:r w:rsidRPr="000159BA">
        <w:rPr>
          <w:rFonts w:ascii="Times New Roman" w:eastAsia="宋体" w:hAnsi="Times New Roman" w:cs="Times New Roman"/>
          <w:color w:val="000000"/>
          <w:kern w:val="0"/>
          <w:szCs w:val="21"/>
        </w:rPr>
        <w:t>2018</w:t>
      </w:r>
      <w:r w:rsidRPr="000159BA">
        <w:rPr>
          <w:rFonts w:ascii="宋体" w:eastAsia="宋体" w:hAnsi="宋体" w:cs="Tahoma" w:hint="eastAsia"/>
          <w:color w:val="000000"/>
          <w:kern w:val="0"/>
          <w:szCs w:val="21"/>
        </w:rPr>
        <w:t>年</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月</w:t>
      </w:r>
      <w:r w:rsidRPr="000159BA">
        <w:rPr>
          <w:rFonts w:ascii="Times New Roman" w:eastAsia="宋体" w:hAnsi="Times New Roman" w:cs="Times New Roman"/>
          <w:color w:val="000000"/>
          <w:kern w:val="0"/>
          <w:szCs w:val="21"/>
        </w:rPr>
        <w:t>26</w:t>
      </w:r>
      <w:r w:rsidRPr="000159BA">
        <w:rPr>
          <w:rFonts w:ascii="宋体" w:eastAsia="宋体" w:hAnsi="宋体" w:cs="Tahoma" w:hint="eastAsia"/>
          <w:color w:val="000000"/>
          <w:kern w:val="0"/>
          <w:szCs w:val="21"/>
        </w:rPr>
        <w:t>日起，投资者可通过深圳农商行开办上述基金的定期定额投资业务，在办理</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定期定额投资业务</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的同时，仍然可以进行日常申购、赎回业务。</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1</w:t>
      </w:r>
      <w:r w:rsidRPr="000159BA">
        <w:rPr>
          <w:rFonts w:ascii="宋体" w:eastAsia="宋体" w:hAnsi="宋体" w:cs="Tahoma" w:hint="eastAsia"/>
          <w:b/>
          <w:bCs/>
          <w:color w:val="000000"/>
          <w:kern w:val="0"/>
          <w:szCs w:val="21"/>
        </w:rPr>
        <w:t>、申请方式</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）凡申请办理上述基金</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定期定额投资业务</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的投资者，须先开立嘉</w:t>
      </w:r>
      <w:proofErr w:type="gramStart"/>
      <w:r w:rsidRPr="000159BA">
        <w:rPr>
          <w:rFonts w:ascii="宋体" w:eastAsia="宋体" w:hAnsi="宋体" w:cs="Tahoma" w:hint="eastAsia"/>
          <w:color w:val="000000"/>
          <w:kern w:val="0"/>
          <w:szCs w:val="21"/>
        </w:rPr>
        <w:t>实基金</w:t>
      </w:r>
      <w:proofErr w:type="gramEnd"/>
      <w:r w:rsidRPr="000159BA">
        <w:rPr>
          <w:rFonts w:ascii="宋体" w:eastAsia="宋体" w:hAnsi="宋体" w:cs="Tahoma" w:hint="eastAsia"/>
          <w:color w:val="000000"/>
          <w:kern w:val="0"/>
          <w:szCs w:val="21"/>
        </w:rPr>
        <w:t>管理有限公司开放式基金账户。（已开户者除外）</w:t>
      </w:r>
    </w:p>
    <w:p w:rsidR="000159BA" w:rsidRPr="000159BA" w:rsidRDefault="000159BA" w:rsidP="000159BA">
      <w:pPr>
        <w:widowControl/>
        <w:spacing w:line="315" w:lineRule="atLeast"/>
        <w:ind w:firstLine="424"/>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2</w:t>
      </w:r>
      <w:r w:rsidRPr="000159BA">
        <w:rPr>
          <w:rFonts w:ascii="宋体" w:eastAsia="宋体" w:hAnsi="宋体" w:cs="Tahoma" w:hint="eastAsia"/>
          <w:color w:val="000000"/>
          <w:kern w:val="0"/>
          <w:szCs w:val="21"/>
        </w:rPr>
        <w:t>）已开立上述基金账户的投资者，可通过深圳农商行申请办理此项业务。</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2</w:t>
      </w:r>
      <w:r w:rsidRPr="000159BA">
        <w:rPr>
          <w:rFonts w:ascii="宋体" w:eastAsia="宋体" w:hAnsi="宋体" w:cs="Tahoma" w:hint="eastAsia"/>
          <w:b/>
          <w:bCs/>
          <w:color w:val="000000"/>
          <w:kern w:val="0"/>
          <w:szCs w:val="21"/>
        </w:rPr>
        <w:t>、办理时间</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定期定额投资业务</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申请办理时间，为开放式基金法定开放日</w:t>
      </w:r>
      <w:r w:rsidRPr="000159BA">
        <w:rPr>
          <w:rFonts w:ascii="Times New Roman" w:eastAsia="宋体" w:hAnsi="Times New Roman" w:cs="Times New Roman"/>
          <w:color w:val="000000"/>
          <w:kern w:val="0"/>
          <w:szCs w:val="21"/>
        </w:rPr>
        <w:t>9</w:t>
      </w: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30-15</w:t>
      </w: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00</w:t>
      </w:r>
      <w:r w:rsidRPr="000159BA">
        <w:rPr>
          <w:rFonts w:ascii="宋体" w:eastAsia="宋体" w:hAnsi="宋体" w:cs="Tahoma" w:hint="eastAsia"/>
          <w:color w:val="000000"/>
          <w:kern w:val="0"/>
          <w:szCs w:val="21"/>
        </w:rPr>
        <w:t>。</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3</w:t>
      </w:r>
      <w:r w:rsidRPr="000159BA">
        <w:rPr>
          <w:rFonts w:ascii="宋体" w:eastAsia="宋体" w:hAnsi="宋体" w:cs="Tahoma" w:hint="eastAsia"/>
          <w:b/>
          <w:bCs/>
          <w:color w:val="000000"/>
          <w:kern w:val="0"/>
          <w:szCs w:val="21"/>
        </w:rPr>
        <w:t>、扣款日期</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投资者应与深圳农商行约定每月固定扣款日期，该扣款日期视为基金合同中约定的申购申请日（</w:t>
      </w:r>
      <w:r w:rsidRPr="000159BA">
        <w:rPr>
          <w:rFonts w:ascii="Times New Roman" w:eastAsia="宋体" w:hAnsi="Times New Roman" w:cs="Times New Roman"/>
          <w:color w:val="000000"/>
          <w:kern w:val="0"/>
          <w:szCs w:val="21"/>
        </w:rPr>
        <w:t>T</w:t>
      </w:r>
      <w:r w:rsidRPr="000159BA">
        <w:rPr>
          <w:rFonts w:ascii="宋体" w:eastAsia="宋体" w:hAnsi="宋体" w:cs="Tahoma" w:hint="eastAsia"/>
          <w:color w:val="000000"/>
          <w:kern w:val="0"/>
          <w:szCs w:val="21"/>
        </w:rPr>
        <w:t>日）。</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4</w:t>
      </w:r>
      <w:r w:rsidRPr="000159BA">
        <w:rPr>
          <w:rFonts w:ascii="宋体" w:eastAsia="宋体" w:hAnsi="宋体" w:cs="Tahoma" w:hint="eastAsia"/>
          <w:b/>
          <w:bCs/>
          <w:color w:val="000000"/>
          <w:kern w:val="0"/>
          <w:szCs w:val="21"/>
        </w:rPr>
        <w:t>、扣款金额</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投资者应与深圳农商行就上述基金申请开办</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定期定额投资业务</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约定每月固定扣款（申购）金额，每只基金每月扣款金额为人民币</w:t>
      </w:r>
      <w:r w:rsidRPr="000159BA">
        <w:rPr>
          <w:rFonts w:ascii="Times New Roman" w:eastAsia="宋体" w:hAnsi="Times New Roman" w:cs="Times New Roman"/>
          <w:color w:val="000000"/>
          <w:kern w:val="0"/>
          <w:szCs w:val="21"/>
        </w:rPr>
        <w:t>100</w:t>
      </w:r>
      <w:r w:rsidRPr="000159BA">
        <w:rPr>
          <w:rFonts w:ascii="宋体" w:eastAsia="宋体" w:hAnsi="宋体" w:cs="Tahoma" w:hint="eastAsia"/>
          <w:color w:val="000000"/>
          <w:kern w:val="0"/>
          <w:szCs w:val="21"/>
        </w:rPr>
        <w:t>元起（含</w:t>
      </w:r>
      <w:r w:rsidRPr="000159BA">
        <w:rPr>
          <w:rFonts w:ascii="Times New Roman" w:eastAsia="宋体" w:hAnsi="Times New Roman" w:cs="Times New Roman"/>
          <w:color w:val="000000"/>
          <w:kern w:val="0"/>
          <w:szCs w:val="21"/>
        </w:rPr>
        <w:t>100</w:t>
      </w:r>
      <w:r w:rsidRPr="000159BA">
        <w:rPr>
          <w:rFonts w:ascii="宋体" w:eastAsia="宋体" w:hAnsi="宋体" w:cs="Tahoma" w:hint="eastAsia"/>
          <w:color w:val="000000"/>
          <w:kern w:val="0"/>
          <w:szCs w:val="21"/>
        </w:rPr>
        <w:t>元）。</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5</w:t>
      </w:r>
      <w:r w:rsidRPr="000159BA">
        <w:rPr>
          <w:rFonts w:ascii="宋体" w:eastAsia="宋体" w:hAnsi="宋体" w:cs="Tahoma" w:hint="eastAsia"/>
          <w:b/>
          <w:bCs/>
          <w:color w:val="000000"/>
          <w:kern w:val="0"/>
          <w:szCs w:val="21"/>
        </w:rPr>
        <w:t>、扣款方式</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）将按照投资者申请时所约定的每月固定扣款日、扣款金额扣款。若</w:t>
      </w:r>
      <w:proofErr w:type="gramStart"/>
      <w:r w:rsidRPr="000159BA">
        <w:rPr>
          <w:rFonts w:ascii="宋体" w:eastAsia="宋体" w:hAnsi="宋体" w:cs="Tahoma" w:hint="eastAsia"/>
          <w:color w:val="000000"/>
          <w:kern w:val="0"/>
          <w:szCs w:val="21"/>
        </w:rPr>
        <w:t>遇非基金</w:t>
      </w:r>
      <w:proofErr w:type="gramEnd"/>
      <w:r w:rsidRPr="000159BA">
        <w:rPr>
          <w:rFonts w:ascii="宋体" w:eastAsia="宋体" w:hAnsi="宋体" w:cs="Tahoma" w:hint="eastAsia"/>
          <w:color w:val="000000"/>
          <w:kern w:val="0"/>
          <w:szCs w:val="21"/>
        </w:rPr>
        <w:t>申购开放日，则顺延至下一基金申购开放日；</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2</w:t>
      </w:r>
      <w:r w:rsidRPr="000159BA">
        <w:rPr>
          <w:rFonts w:ascii="宋体" w:eastAsia="宋体" w:hAnsi="宋体" w:cs="Tahoma" w:hint="eastAsia"/>
          <w:color w:val="000000"/>
          <w:kern w:val="0"/>
          <w:szCs w:val="21"/>
        </w:rPr>
        <w:t>）投资者须指定一个有效资金账户作为每月固定扣款账户。</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6</w:t>
      </w:r>
      <w:r w:rsidRPr="000159BA">
        <w:rPr>
          <w:rFonts w:ascii="宋体" w:eastAsia="宋体" w:hAnsi="宋体" w:cs="Tahoma" w:hint="eastAsia"/>
          <w:b/>
          <w:bCs/>
          <w:color w:val="000000"/>
          <w:kern w:val="0"/>
          <w:szCs w:val="21"/>
        </w:rPr>
        <w:t>、交易确认</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以每月实际扣款日（</w:t>
      </w:r>
      <w:r w:rsidRPr="000159BA">
        <w:rPr>
          <w:rFonts w:ascii="Times New Roman" w:eastAsia="宋体" w:hAnsi="Times New Roman" w:cs="Times New Roman"/>
          <w:color w:val="000000"/>
          <w:kern w:val="0"/>
          <w:szCs w:val="21"/>
        </w:rPr>
        <w:t>T</w:t>
      </w:r>
      <w:r w:rsidRPr="000159BA">
        <w:rPr>
          <w:rFonts w:ascii="宋体" w:eastAsia="宋体" w:hAnsi="宋体" w:cs="Tahoma" w:hint="eastAsia"/>
          <w:color w:val="000000"/>
          <w:kern w:val="0"/>
          <w:szCs w:val="21"/>
        </w:rPr>
        <w:t>日）的基金份额净值为基准计算申购份额。基金份额确认日为</w:t>
      </w:r>
      <w:r w:rsidRPr="000159BA">
        <w:rPr>
          <w:rFonts w:ascii="Times New Roman" w:eastAsia="宋体" w:hAnsi="Times New Roman" w:cs="Times New Roman"/>
          <w:color w:val="000000"/>
          <w:kern w:val="0"/>
          <w:szCs w:val="21"/>
        </w:rPr>
        <w:t>T+1</w:t>
      </w:r>
      <w:r w:rsidRPr="000159BA">
        <w:rPr>
          <w:rFonts w:ascii="宋体" w:eastAsia="宋体" w:hAnsi="宋体" w:cs="Tahoma" w:hint="eastAsia"/>
          <w:color w:val="000000"/>
          <w:kern w:val="0"/>
          <w:szCs w:val="21"/>
        </w:rPr>
        <w:t>日，投资者可在</w:t>
      </w:r>
      <w:r w:rsidRPr="000159BA">
        <w:rPr>
          <w:rFonts w:ascii="Times New Roman" w:eastAsia="宋体" w:hAnsi="Times New Roman" w:cs="Times New Roman"/>
          <w:color w:val="000000"/>
          <w:kern w:val="0"/>
          <w:szCs w:val="21"/>
        </w:rPr>
        <w:t>T</w:t>
      </w: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2</w:t>
      </w:r>
      <w:r w:rsidRPr="000159BA">
        <w:rPr>
          <w:rFonts w:ascii="宋体" w:eastAsia="宋体" w:hAnsi="宋体" w:cs="Tahoma" w:hint="eastAsia"/>
          <w:color w:val="000000"/>
          <w:kern w:val="0"/>
          <w:szCs w:val="21"/>
        </w:rPr>
        <w:t>日到深圳农商行查询相应基金的申购确认情况。</w:t>
      </w:r>
    </w:p>
    <w:p w:rsidR="000159BA" w:rsidRPr="000159BA" w:rsidRDefault="000159BA" w:rsidP="000159BA">
      <w:pPr>
        <w:widowControl/>
        <w:spacing w:line="315" w:lineRule="atLeast"/>
        <w:ind w:firstLine="422"/>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7</w:t>
      </w:r>
      <w:r w:rsidRPr="000159BA">
        <w:rPr>
          <w:rFonts w:ascii="宋体" w:eastAsia="宋体" w:hAnsi="宋体" w:cs="Tahoma" w:hint="eastAsia"/>
          <w:b/>
          <w:bCs/>
          <w:color w:val="000000"/>
          <w:kern w:val="0"/>
          <w:szCs w:val="21"/>
        </w:rPr>
        <w:t>、</w:t>
      </w:r>
      <w:r w:rsidRPr="000159BA">
        <w:rPr>
          <w:rFonts w:ascii="Times New Roman" w:eastAsia="宋体" w:hAnsi="Times New Roman" w:cs="Times New Roman"/>
          <w:b/>
          <w:bCs/>
          <w:color w:val="000000"/>
          <w:kern w:val="0"/>
          <w:szCs w:val="21"/>
        </w:rPr>
        <w:t>“</w:t>
      </w:r>
      <w:r w:rsidRPr="000159BA">
        <w:rPr>
          <w:rFonts w:ascii="宋体" w:eastAsia="宋体" w:hAnsi="宋体" w:cs="Tahoma" w:hint="eastAsia"/>
          <w:b/>
          <w:bCs/>
          <w:color w:val="000000"/>
          <w:kern w:val="0"/>
          <w:szCs w:val="21"/>
        </w:rPr>
        <w:t>定期定额投资业务</w:t>
      </w:r>
      <w:r w:rsidRPr="000159BA">
        <w:rPr>
          <w:rFonts w:ascii="Times New Roman" w:eastAsia="宋体" w:hAnsi="Times New Roman" w:cs="Times New Roman"/>
          <w:b/>
          <w:bCs/>
          <w:color w:val="000000"/>
          <w:kern w:val="0"/>
          <w:szCs w:val="21"/>
        </w:rPr>
        <w:t>”</w:t>
      </w:r>
      <w:r w:rsidRPr="000159BA">
        <w:rPr>
          <w:rFonts w:ascii="宋体" w:eastAsia="宋体" w:hAnsi="宋体" w:cs="Tahoma" w:hint="eastAsia"/>
          <w:b/>
          <w:bCs/>
          <w:color w:val="000000"/>
          <w:kern w:val="0"/>
          <w:szCs w:val="21"/>
        </w:rPr>
        <w:t>的变更和终止</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1</w:t>
      </w:r>
      <w:r w:rsidRPr="000159BA">
        <w:rPr>
          <w:rFonts w:ascii="宋体" w:eastAsia="宋体" w:hAnsi="宋体" w:cs="Tahoma" w:hint="eastAsia"/>
          <w:color w:val="000000"/>
          <w:kern w:val="0"/>
          <w:szCs w:val="21"/>
        </w:rPr>
        <w:t>）投资者变更每月扣款金额、扣款日期、扣款账户等信息，须携带本人有效身份证件及相关凭证到深圳农商行申请办理业务变更手续；</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w:t>
      </w:r>
      <w:r w:rsidRPr="000159BA">
        <w:rPr>
          <w:rFonts w:ascii="Times New Roman" w:eastAsia="宋体" w:hAnsi="Times New Roman" w:cs="Times New Roman"/>
          <w:color w:val="000000"/>
          <w:kern w:val="0"/>
          <w:szCs w:val="21"/>
        </w:rPr>
        <w:t>2</w:t>
      </w:r>
      <w:r w:rsidRPr="000159BA">
        <w:rPr>
          <w:rFonts w:ascii="宋体" w:eastAsia="宋体" w:hAnsi="宋体" w:cs="Tahoma" w:hint="eastAsia"/>
          <w:color w:val="000000"/>
          <w:kern w:val="0"/>
          <w:szCs w:val="21"/>
        </w:rPr>
        <w:t>）投资者终止</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定期定额投资业务</w:t>
      </w:r>
      <w:r w:rsidRPr="000159BA">
        <w:rPr>
          <w:rFonts w:ascii="Times New Roman" w:eastAsia="宋体" w:hAnsi="Times New Roman" w:cs="Times New Roman"/>
          <w:color w:val="000000"/>
          <w:kern w:val="0"/>
          <w:szCs w:val="21"/>
        </w:rPr>
        <w:t>”</w:t>
      </w:r>
      <w:r w:rsidRPr="000159BA">
        <w:rPr>
          <w:rFonts w:ascii="宋体" w:eastAsia="宋体" w:hAnsi="宋体" w:cs="Tahoma" w:hint="eastAsia"/>
          <w:color w:val="000000"/>
          <w:kern w:val="0"/>
          <w:szCs w:val="21"/>
        </w:rPr>
        <w:t>，须携带本人有效身份证件及相关凭证到深圳农商行申请办理业务终止手续；</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lastRenderedPageBreak/>
        <w:t>（</w:t>
      </w:r>
      <w:r w:rsidRPr="000159BA">
        <w:rPr>
          <w:rFonts w:ascii="Times New Roman" w:eastAsia="宋体" w:hAnsi="Times New Roman" w:cs="Times New Roman"/>
          <w:color w:val="000000"/>
          <w:kern w:val="0"/>
          <w:szCs w:val="21"/>
        </w:rPr>
        <w:t>3</w:t>
      </w:r>
      <w:r w:rsidRPr="000159BA">
        <w:rPr>
          <w:rFonts w:ascii="宋体" w:eastAsia="宋体" w:hAnsi="宋体" w:cs="Tahoma" w:hint="eastAsia"/>
          <w:color w:val="000000"/>
          <w:kern w:val="0"/>
          <w:szCs w:val="21"/>
        </w:rPr>
        <w:t>）具体办理程序应遵循深圳农商行的有关规定。</w:t>
      </w:r>
    </w:p>
    <w:p w:rsidR="000159BA" w:rsidRPr="000159BA" w:rsidRDefault="000159BA" w:rsidP="000159BA">
      <w:pPr>
        <w:widowControl/>
        <w:wordWrap w:val="0"/>
        <w:spacing w:line="315" w:lineRule="atLeast"/>
        <w:ind w:firstLine="422"/>
        <w:jc w:val="left"/>
        <w:rPr>
          <w:rFonts w:ascii="Tahoma" w:eastAsia="宋体" w:hAnsi="Tahoma" w:cs="Tahoma"/>
          <w:color w:val="000000"/>
          <w:kern w:val="0"/>
          <w:szCs w:val="21"/>
        </w:rPr>
      </w:pPr>
      <w:r w:rsidRPr="000159BA">
        <w:rPr>
          <w:rFonts w:ascii="宋体" w:eastAsia="宋体" w:hAnsi="宋体" w:cs="Tahoma" w:hint="eastAsia"/>
          <w:b/>
          <w:bCs/>
          <w:color w:val="000000"/>
          <w:kern w:val="0"/>
          <w:szCs w:val="21"/>
        </w:rPr>
        <w:t>四、业务咨询</w:t>
      </w:r>
    </w:p>
    <w:p w:rsidR="000159BA" w:rsidRPr="000159BA" w:rsidRDefault="000159BA" w:rsidP="000159BA">
      <w:pPr>
        <w:widowControl/>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投资者可以通过以下途径咨询、了解有关基金详情：</w:t>
      </w:r>
    </w:p>
    <w:p w:rsidR="000159BA" w:rsidRPr="000159BA" w:rsidRDefault="000159BA" w:rsidP="000159BA">
      <w:pPr>
        <w:widowControl/>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1.</w:t>
      </w:r>
      <w:r w:rsidRPr="000159BA">
        <w:rPr>
          <w:rFonts w:ascii="Times New Roman" w:eastAsia="宋体" w:hAnsi="Times New Roman" w:cs="Times New Roman"/>
          <w:color w:val="000000"/>
          <w:kern w:val="0"/>
          <w:sz w:val="14"/>
          <w:szCs w:val="14"/>
        </w:rPr>
        <w:t>         </w:t>
      </w:r>
      <w:r w:rsidRPr="000159BA">
        <w:rPr>
          <w:rFonts w:ascii="宋体" w:eastAsia="宋体" w:hAnsi="宋体" w:cs="Tahoma" w:hint="eastAsia"/>
          <w:b/>
          <w:bCs/>
          <w:color w:val="000000"/>
          <w:kern w:val="0"/>
          <w:szCs w:val="21"/>
        </w:rPr>
        <w:t>深圳农村商业银行股份有限公司</w:t>
      </w:r>
    </w:p>
    <w:tbl>
      <w:tblPr>
        <w:tblW w:w="0" w:type="auto"/>
        <w:tblInd w:w="534" w:type="dxa"/>
        <w:tblCellMar>
          <w:left w:w="0" w:type="dxa"/>
          <w:right w:w="0" w:type="dxa"/>
        </w:tblCellMar>
        <w:tblLook w:val="04A0" w:firstRow="1" w:lastRow="0" w:firstColumn="1" w:lastColumn="0" w:noHBand="0" w:noVBand="1"/>
      </w:tblPr>
      <w:tblGrid>
        <w:gridCol w:w="1918"/>
        <w:gridCol w:w="2189"/>
        <w:gridCol w:w="1602"/>
        <w:gridCol w:w="1726"/>
      </w:tblGrid>
      <w:tr w:rsidR="000159BA" w:rsidRPr="000159BA" w:rsidTr="000159BA">
        <w:trPr>
          <w:trHeight w:val="227"/>
        </w:trPr>
        <w:tc>
          <w:tcPr>
            <w:tcW w:w="1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住所、办公地址</w:t>
            </w:r>
          </w:p>
        </w:tc>
        <w:tc>
          <w:tcPr>
            <w:tcW w:w="55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广东省深圳市罗湖区深南东路</w:t>
            </w:r>
            <w:r w:rsidRPr="000159BA">
              <w:rPr>
                <w:rFonts w:ascii="Times New Roman" w:eastAsia="宋体" w:hAnsi="Times New Roman" w:cs="Times New Roman"/>
                <w:color w:val="000000"/>
                <w:kern w:val="0"/>
                <w:szCs w:val="21"/>
              </w:rPr>
              <w:t>3038</w:t>
            </w:r>
            <w:r w:rsidRPr="000159BA">
              <w:rPr>
                <w:rFonts w:ascii="宋体" w:eastAsia="宋体" w:hAnsi="宋体" w:cs="Tahoma" w:hint="eastAsia"/>
                <w:color w:val="000000"/>
                <w:kern w:val="0"/>
                <w:szCs w:val="21"/>
              </w:rPr>
              <w:t>号合作金融大厦</w:t>
            </w:r>
          </w:p>
        </w:tc>
      </w:tr>
      <w:tr w:rsidR="000159BA" w:rsidRPr="000159BA" w:rsidTr="000159BA">
        <w:trPr>
          <w:trHeight w:val="443"/>
        </w:trPr>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法定代表人</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proofErr w:type="gramStart"/>
            <w:r w:rsidRPr="000159BA">
              <w:rPr>
                <w:rFonts w:ascii="宋体" w:eastAsia="宋体" w:hAnsi="宋体" w:cs="Tahoma" w:hint="eastAsia"/>
                <w:color w:val="000000"/>
                <w:kern w:val="0"/>
                <w:szCs w:val="21"/>
              </w:rPr>
              <w:t>李光安</w:t>
            </w:r>
            <w:proofErr w:type="gramEnd"/>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联系人</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常志勇</w:t>
            </w:r>
          </w:p>
        </w:tc>
      </w:tr>
      <w:tr w:rsidR="000159BA" w:rsidRPr="000159BA" w:rsidTr="000159BA">
        <w:trPr>
          <w:trHeight w:val="227"/>
        </w:trPr>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电话</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Times New Roman" w:eastAsia="宋体" w:hAnsi="Times New Roman" w:cs="Times New Roman"/>
                <w:color w:val="000000"/>
                <w:kern w:val="0"/>
                <w:szCs w:val="21"/>
              </w:rPr>
              <w:t>0755-25188781</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传真</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Times New Roman" w:eastAsia="宋体" w:hAnsi="Times New Roman" w:cs="Times New Roman"/>
                <w:color w:val="000000"/>
                <w:kern w:val="0"/>
                <w:szCs w:val="21"/>
              </w:rPr>
              <w:t>0755-25188785</w:t>
            </w:r>
          </w:p>
        </w:tc>
      </w:tr>
      <w:tr w:rsidR="000159BA" w:rsidRPr="000159BA" w:rsidTr="000159BA">
        <w:trPr>
          <w:trHeight w:val="227"/>
        </w:trPr>
        <w:tc>
          <w:tcPr>
            <w:tcW w:w="1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网址</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Times New Roman" w:eastAsia="宋体" w:hAnsi="Times New Roman" w:cs="Times New Roman"/>
                <w:color w:val="000000"/>
                <w:kern w:val="0"/>
                <w:szCs w:val="21"/>
              </w:rPr>
              <w:t>www.4001961200.com</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宋体" w:eastAsia="宋体" w:hAnsi="宋体" w:cs="Tahoma" w:hint="eastAsia"/>
                <w:color w:val="000000"/>
                <w:kern w:val="0"/>
                <w:szCs w:val="21"/>
              </w:rPr>
              <w:t>客</w:t>
            </w:r>
            <w:proofErr w:type="gramStart"/>
            <w:r w:rsidRPr="000159BA">
              <w:rPr>
                <w:rFonts w:ascii="宋体" w:eastAsia="宋体" w:hAnsi="宋体" w:cs="Tahoma" w:hint="eastAsia"/>
                <w:color w:val="000000"/>
                <w:kern w:val="0"/>
                <w:szCs w:val="21"/>
              </w:rPr>
              <w:t>服电话</w:t>
            </w:r>
            <w:proofErr w:type="gramEnd"/>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9BA" w:rsidRPr="000159BA" w:rsidRDefault="000159BA" w:rsidP="000159BA">
            <w:pPr>
              <w:widowControl/>
              <w:wordWrap w:val="0"/>
              <w:spacing w:line="242" w:lineRule="atLeast"/>
              <w:jc w:val="left"/>
              <w:rPr>
                <w:rFonts w:ascii="inherit" w:eastAsia="宋体" w:hAnsi="inherit" w:cs="Tahoma"/>
                <w:color w:val="000000"/>
                <w:kern w:val="0"/>
                <w:szCs w:val="21"/>
              </w:rPr>
            </w:pPr>
            <w:r w:rsidRPr="000159BA">
              <w:rPr>
                <w:rFonts w:ascii="Times New Roman" w:eastAsia="宋体" w:hAnsi="Times New Roman" w:cs="Times New Roman"/>
                <w:color w:val="000000"/>
                <w:kern w:val="0"/>
                <w:szCs w:val="21"/>
              </w:rPr>
              <w:t>961200(</w:t>
            </w:r>
            <w:r w:rsidRPr="000159BA">
              <w:rPr>
                <w:rFonts w:ascii="宋体" w:eastAsia="宋体" w:hAnsi="宋体" w:cs="Tahoma" w:hint="eastAsia"/>
                <w:color w:val="000000"/>
                <w:kern w:val="0"/>
                <w:szCs w:val="21"/>
              </w:rPr>
              <w:t>深圳</w:t>
            </w:r>
            <w:r w:rsidRPr="000159BA">
              <w:rPr>
                <w:rFonts w:ascii="Times New Roman" w:eastAsia="宋体" w:hAnsi="Times New Roman" w:cs="Times New Roman"/>
                <w:color w:val="000000"/>
                <w:kern w:val="0"/>
                <w:szCs w:val="21"/>
              </w:rPr>
              <w:t>)</w:t>
            </w:r>
          </w:p>
        </w:tc>
      </w:tr>
    </w:tbl>
    <w:p w:rsidR="000159BA" w:rsidRPr="000159BA" w:rsidRDefault="000159BA" w:rsidP="000159BA">
      <w:pPr>
        <w:widowControl/>
        <w:jc w:val="left"/>
        <w:rPr>
          <w:rFonts w:ascii="Tahoma" w:eastAsia="宋体" w:hAnsi="Tahoma" w:cs="Tahoma"/>
          <w:color w:val="000000"/>
          <w:kern w:val="0"/>
          <w:szCs w:val="21"/>
        </w:rPr>
      </w:pPr>
      <w:r w:rsidRPr="000159BA">
        <w:rPr>
          <w:rFonts w:ascii="Times New Roman" w:eastAsia="宋体" w:hAnsi="Times New Roman" w:cs="Times New Roman"/>
          <w:b/>
          <w:bCs/>
          <w:color w:val="000000"/>
          <w:kern w:val="0"/>
          <w:szCs w:val="21"/>
        </w:rPr>
        <w:t>2.</w:t>
      </w:r>
      <w:r w:rsidRPr="000159BA">
        <w:rPr>
          <w:rFonts w:ascii="Times New Roman" w:eastAsia="宋体" w:hAnsi="Times New Roman" w:cs="Times New Roman"/>
          <w:color w:val="000000"/>
          <w:kern w:val="0"/>
          <w:sz w:val="14"/>
          <w:szCs w:val="14"/>
        </w:rPr>
        <w:t>         </w:t>
      </w:r>
      <w:r w:rsidRPr="000159BA">
        <w:rPr>
          <w:rFonts w:ascii="宋体" w:eastAsia="宋体" w:hAnsi="宋体" w:cs="Tahoma" w:hint="eastAsia"/>
          <w:b/>
          <w:bCs/>
          <w:color w:val="000000"/>
          <w:kern w:val="0"/>
          <w:szCs w:val="21"/>
        </w:rPr>
        <w:t>嘉</w:t>
      </w:r>
      <w:proofErr w:type="gramStart"/>
      <w:r w:rsidRPr="000159BA">
        <w:rPr>
          <w:rFonts w:ascii="宋体" w:eastAsia="宋体" w:hAnsi="宋体" w:cs="Tahoma" w:hint="eastAsia"/>
          <w:b/>
          <w:bCs/>
          <w:color w:val="000000"/>
          <w:kern w:val="0"/>
          <w:szCs w:val="21"/>
        </w:rPr>
        <w:t>实基金</w:t>
      </w:r>
      <w:proofErr w:type="gramEnd"/>
      <w:r w:rsidRPr="000159BA">
        <w:rPr>
          <w:rFonts w:ascii="宋体" w:eastAsia="宋体" w:hAnsi="宋体" w:cs="Tahoma" w:hint="eastAsia"/>
          <w:b/>
          <w:bCs/>
          <w:color w:val="000000"/>
          <w:kern w:val="0"/>
          <w:szCs w:val="21"/>
        </w:rPr>
        <w:t>管理有限公司</w:t>
      </w:r>
    </w:p>
    <w:p w:rsidR="000159BA" w:rsidRPr="000159BA" w:rsidRDefault="000159BA" w:rsidP="000159BA">
      <w:pPr>
        <w:widowControl/>
        <w:wordWrap w:val="0"/>
        <w:spacing w:line="315" w:lineRule="atLeast"/>
        <w:ind w:firstLine="409"/>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客户服务电话：</w:t>
      </w:r>
      <w:r w:rsidRPr="000159BA">
        <w:rPr>
          <w:rFonts w:ascii="Times New Roman" w:eastAsia="宋体" w:hAnsi="Times New Roman" w:cs="Times New Roman"/>
          <w:color w:val="000000"/>
          <w:kern w:val="0"/>
          <w:szCs w:val="21"/>
        </w:rPr>
        <w:t>400-600-8800</w:t>
      </w:r>
      <w:r w:rsidRPr="000159BA">
        <w:rPr>
          <w:rFonts w:ascii="宋体" w:eastAsia="宋体" w:hAnsi="宋体" w:cs="Tahoma" w:hint="eastAsia"/>
          <w:color w:val="000000"/>
          <w:kern w:val="0"/>
          <w:szCs w:val="21"/>
        </w:rPr>
        <w:t>，网址：</w:t>
      </w:r>
      <w:r w:rsidRPr="000159BA">
        <w:rPr>
          <w:rFonts w:ascii="Times New Roman" w:eastAsia="宋体" w:hAnsi="Times New Roman" w:cs="Times New Roman"/>
          <w:color w:val="000000"/>
          <w:kern w:val="0"/>
          <w:szCs w:val="21"/>
        </w:rPr>
        <w:t>www.jsfund.cn </w:t>
      </w:r>
      <w:r w:rsidRPr="000159BA">
        <w:rPr>
          <w:rFonts w:ascii="宋体" w:eastAsia="宋体" w:hAnsi="宋体" w:cs="Tahoma" w:hint="eastAsia"/>
          <w:color w:val="000000"/>
          <w:kern w:val="0"/>
          <w:szCs w:val="21"/>
        </w:rPr>
        <w:t>。</w:t>
      </w:r>
    </w:p>
    <w:p w:rsidR="000159BA" w:rsidRPr="000159BA" w:rsidRDefault="000159BA" w:rsidP="000159BA">
      <w:pPr>
        <w:widowControl/>
        <w:wordWrap w:val="0"/>
        <w:spacing w:line="315" w:lineRule="atLeast"/>
        <w:ind w:firstLine="420"/>
        <w:jc w:val="left"/>
        <w:rPr>
          <w:rFonts w:ascii="Tahoma" w:eastAsia="宋体" w:hAnsi="Tahoma" w:cs="Tahoma"/>
          <w:color w:val="000000"/>
          <w:kern w:val="0"/>
          <w:szCs w:val="21"/>
        </w:rPr>
      </w:pPr>
      <w:r w:rsidRPr="000159BA">
        <w:rPr>
          <w:rFonts w:ascii="宋体" w:eastAsia="宋体" w:hAnsi="宋体" w:cs="Tahoma" w:hint="eastAsia"/>
          <w:color w:val="000000"/>
          <w:kern w:val="0"/>
          <w:szCs w:val="21"/>
        </w:rPr>
        <w:t>特此公告。</w:t>
      </w:r>
    </w:p>
    <w:p w:rsidR="000159BA" w:rsidRPr="000159BA" w:rsidRDefault="000159BA" w:rsidP="000159BA">
      <w:pPr>
        <w:widowControl/>
        <w:wordWrap w:val="0"/>
        <w:spacing w:line="315" w:lineRule="atLeast"/>
        <w:ind w:firstLine="420"/>
        <w:jc w:val="left"/>
        <w:rPr>
          <w:rFonts w:ascii="Tahoma" w:eastAsia="宋体" w:hAnsi="Tahoma" w:cs="Tahoma"/>
          <w:color w:val="000000"/>
          <w:kern w:val="0"/>
          <w:szCs w:val="21"/>
        </w:rPr>
      </w:pPr>
      <w:r w:rsidRPr="000159BA">
        <w:rPr>
          <w:rFonts w:ascii="Tahoma" w:eastAsia="宋体" w:hAnsi="Tahoma" w:cs="Tahoma"/>
          <w:color w:val="000000"/>
          <w:kern w:val="0"/>
          <w:szCs w:val="21"/>
        </w:rPr>
        <w:t> </w:t>
      </w:r>
    </w:p>
    <w:p w:rsidR="000159BA" w:rsidRPr="000159BA" w:rsidRDefault="000159BA" w:rsidP="000159BA">
      <w:pPr>
        <w:widowControl/>
        <w:wordWrap w:val="0"/>
        <w:spacing w:line="242" w:lineRule="atLeast"/>
        <w:ind w:firstLine="241"/>
        <w:jc w:val="right"/>
        <w:rPr>
          <w:rFonts w:ascii="Tahoma" w:eastAsia="宋体" w:hAnsi="Tahoma" w:cs="Tahoma"/>
          <w:color w:val="000000"/>
          <w:kern w:val="0"/>
          <w:szCs w:val="21"/>
        </w:rPr>
      </w:pPr>
      <w:r w:rsidRPr="000159BA">
        <w:rPr>
          <w:rFonts w:ascii="Tahoma" w:eastAsia="宋体" w:hAnsi="Tahoma" w:cs="Tahoma"/>
          <w:b/>
          <w:bCs/>
          <w:color w:val="000000"/>
          <w:kern w:val="0"/>
          <w:szCs w:val="21"/>
        </w:rPr>
        <w:t> </w:t>
      </w:r>
    </w:p>
    <w:p w:rsidR="000159BA" w:rsidRPr="000159BA" w:rsidRDefault="000159BA" w:rsidP="000159BA">
      <w:pPr>
        <w:widowControl/>
        <w:wordWrap w:val="0"/>
        <w:spacing w:line="242" w:lineRule="atLeast"/>
        <w:ind w:firstLine="241"/>
        <w:jc w:val="right"/>
        <w:rPr>
          <w:rFonts w:ascii="Tahoma" w:eastAsia="宋体" w:hAnsi="Tahoma" w:cs="Tahoma"/>
          <w:color w:val="000000"/>
          <w:kern w:val="0"/>
          <w:szCs w:val="21"/>
        </w:rPr>
      </w:pPr>
      <w:r w:rsidRPr="000159BA">
        <w:rPr>
          <w:rFonts w:ascii="Tahoma" w:eastAsia="宋体" w:hAnsi="Tahoma" w:cs="Tahoma"/>
          <w:b/>
          <w:bCs/>
          <w:color w:val="000000"/>
          <w:kern w:val="0"/>
          <w:szCs w:val="21"/>
        </w:rPr>
        <w:t> </w:t>
      </w:r>
    </w:p>
    <w:p w:rsidR="000159BA" w:rsidRPr="000159BA" w:rsidRDefault="000159BA" w:rsidP="000159BA">
      <w:pPr>
        <w:widowControl/>
        <w:wordWrap w:val="0"/>
        <w:spacing w:line="315" w:lineRule="atLeast"/>
        <w:ind w:firstLine="241"/>
        <w:jc w:val="right"/>
        <w:rPr>
          <w:rFonts w:ascii="Tahoma" w:eastAsia="宋体" w:hAnsi="Tahoma" w:cs="Tahoma"/>
          <w:color w:val="000000"/>
          <w:kern w:val="0"/>
          <w:szCs w:val="21"/>
        </w:rPr>
      </w:pPr>
      <w:r w:rsidRPr="000159BA">
        <w:rPr>
          <w:rFonts w:ascii="黑体" w:eastAsia="黑体" w:hAnsi="黑体" w:cs="Tahoma" w:hint="eastAsia"/>
          <w:b/>
          <w:bCs/>
          <w:color w:val="000000"/>
          <w:kern w:val="0"/>
          <w:sz w:val="24"/>
          <w:szCs w:val="24"/>
        </w:rPr>
        <w:t>嘉</w:t>
      </w:r>
      <w:proofErr w:type="gramStart"/>
      <w:r w:rsidRPr="000159BA">
        <w:rPr>
          <w:rFonts w:ascii="黑体" w:eastAsia="黑体" w:hAnsi="黑体" w:cs="Tahoma" w:hint="eastAsia"/>
          <w:b/>
          <w:bCs/>
          <w:color w:val="000000"/>
          <w:kern w:val="0"/>
          <w:sz w:val="24"/>
          <w:szCs w:val="24"/>
        </w:rPr>
        <w:t>实基金</w:t>
      </w:r>
      <w:proofErr w:type="gramEnd"/>
      <w:r w:rsidRPr="000159BA">
        <w:rPr>
          <w:rFonts w:ascii="黑体" w:eastAsia="黑体" w:hAnsi="黑体" w:cs="Tahoma" w:hint="eastAsia"/>
          <w:b/>
          <w:bCs/>
          <w:color w:val="000000"/>
          <w:kern w:val="0"/>
          <w:sz w:val="24"/>
          <w:szCs w:val="24"/>
        </w:rPr>
        <w:t>管理有限公司</w:t>
      </w:r>
    </w:p>
    <w:p w:rsidR="000159BA" w:rsidRPr="000159BA" w:rsidRDefault="000159BA" w:rsidP="000159BA">
      <w:pPr>
        <w:widowControl/>
        <w:wordWrap w:val="0"/>
        <w:spacing w:line="315" w:lineRule="atLeast"/>
        <w:ind w:firstLine="241"/>
        <w:jc w:val="right"/>
        <w:rPr>
          <w:rFonts w:ascii="Tahoma" w:eastAsia="宋体" w:hAnsi="Tahoma" w:cs="Tahoma"/>
          <w:color w:val="000000"/>
          <w:kern w:val="0"/>
          <w:szCs w:val="21"/>
        </w:rPr>
      </w:pPr>
      <w:r w:rsidRPr="000159BA">
        <w:rPr>
          <w:rFonts w:ascii="黑体" w:eastAsia="黑体" w:hAnsi="黑体" w:cs="Tahoma" w:hint="eastAsia"/>
          <w:b/>
          <w:bCs/>
          <w:color w:val="000000"/>
          <w:kern w:val="0"/>
          <w:sz w:val="24"/>
          <w:szCs w:val="24"/>
        </w:rPr>
        <w:t xml:space="preserve">　　2018年1月26日</w:t>
      </w:r>
    </w:p>
    <w:p w:rsidR="00A22914" w:rsidRDefault="00A22914"/>
    <w:sectPr w:rsidR="00A22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BA"/>
    <w:rsid w:val="000159BA"/>
    <w:rsid w:val="00A2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59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59BA"/>
    <w:rPr>
      <w:rFonts w:ascii="宋体" w:eastAsia="宋体" w:hAnsi="宋体" w:cs="宋体"/>
      <w:b/>
      <w:bCs/>
      <w:kern w:val="0"/>
      <w:sz w:val="36"/>
      <w:szCs w:val="36"/>
    </w:rPr>
  </w:style>
  <w:style w:type="character" w:styleId="a3">
    <w:name w:val="Hyperlink"/>
    <w:basedOn w:val="a0"/>
    <w:uiPriority w:val="99"/>
    <w:semiHidden/>
    <w:unhideWhenUsed/>
    <w:rsid w:val="000159BA"/>
    <w:rPr>
      <w:color w:val="0000FF"/>
      <w:u w:val="single"/>
    </w:rPr>
  </w:style>
  <w:style w:type="paragraph" w:styleId="a4">
    <w:name w:val="Normal (Web)"/>
    <w:basedOn w:val="a"/>
    <w:uiPriority w:val="99"/>
    <w:semiHidden/>
    <w:unhideWhenUsed/>
    <w:rsid w:val="000159B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159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159BA"/>
    <w:rPr>
      <w:rFonts w:ascii="宋体" w:eastAsia="宋体" w:hAnsi="宋体" w:cs="宋体"/>
      <w:b/>
      <w:bCs/>
      <w:kern w:val="0"/>
      <w:sz w:val="36"/>
      <w:szCs w:val="36"/>
    </w:rPr>
  </w:style>
  <w:style w:type="character" w:styleId="a3">
    <w:name w:val="Hyperlink"/>
    <w:basedOn w:val="a0"/>
    <w:uiPriority w:val="99"/>
    <w:semiHidden/>
    <w:unhideWhenUsed/>
    <w:rsid w:val="000159BA"/>
    <w:rPr>
      <w:color w:val="0000FF"/>
      <w:u w:val="single"/>
    </w:rPr>
  </w:style>
  <w:style w:type="paragraph" w:styleId="a4">
    <w:name w:val="Normal (Web)"/>
    <w:basedOn w:val="a"/>
    <w:uiPriority w:val="99"/>
    <w:semiHidden/>
    <w:unhideWhenUsed/>
    <w:rsid w:val="000159B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8283">
      <w:bodyDiv w:val="1"/>
      <w:marLeft w:val="0"/>
      <w:marRight w:val="0"/>
      <w:marTop w:val="0"/>
      <w:marBottom w:val="0"/>
      <w:divBdr>
        <w:top w:val="none" w:sz="0" w:space="0" w:color="auto"/>
        <w:left w:val="none" w:sz="0" w:space="0" w:color="auto"/>
        <w:bottom w:val="none" w:sz="0" w:space="0" w:color="auto"/>
        <w:right w:val="none" w:sz="0" w:space="0" w:color="auto"/>
      </w:divBdr>
      <w:divsChild>
        <w:div w:id="1237587308">
          <w:marLeft w:val="0"/>
          <w:marRight w:val="0"/>
          <w:marTop w:val="0"/>
          <w:marBottom w:val="0"/>
          <w:divBdr>
            <w:top w:val="none" w:sz="0" w:space="0" w:color="auto"/>
            <w:left w:val="none" w:sz="0" w:space="0" w:color="auto"/>
            <w:bottom w:val="none" w:sz="0" w:space="0" w:color="auto"/>
            <w:right w:val="none" w:sz="0" w:space="0" w:color="auto"/>
          </w:divBdr>
        </w:div>
        <w:div w:id="1734238189">
          <w:marLeft w:val="-2"/>
          <w:marRight w:val="0"/>
          <w:marTop w:val="0"/>
          <w:marBottom w:val="0"/>
          <w:divBdr>
            <w:top w:val="none" w:sz="0" w:space="0" w:color="auto"/>
            <w:left w:val="none" w:sz="0" w:space="0" w:color="auto"/>
            <w:bottom w:val="none" w:sz="0" w:space="0" w:color="auto"/>
            <w:right w:val="none" w:sz="0" w:space="0" w:color="auto"/>
          </w:divBdr>
        </w:div>
        <w:div w:id="807236606">
          <w:marLeft w:val="0"/>
          <w:marRight w:val="0"/>
          <w:marTop w:val="0"/>
          <w:marBottom w:val="0"/>
          <w:divBdr>
            <w:top w:val="none" w:sz="0" w:space="0" w:color="auto"/>
            <w:left w:val="none" w:sz="0" w:space="0" w:color="auto"/>
            <w:bottom w:val="none" w:sz="0" w:space="0" w:color="auto"/>
            <w:right w:val="none" w:sz="0" w:space="0" w:color="auto"/>
          </w:divBdr>
        </w:div>
        <w:div w:id="295989174">
          <w:marLeft w:val="-2"/>
          <w:marRight w:val="0"/>
          <w:marTop w:val="0"/>
          <w:marBottom w:val="0"/>
          <w:divBdr>
            <w:top w:val="none" w:sz="0" w:space="0" w:color="auto"/>
            <w:left w:val="none" w:sz="0" w:space="0" w:color="auto"/>
            <w:bottom w:val="none" w:sz="0" w:space="0" w:color="auto"/>
            <w:right w:val="none" w:sz="0" w:space="0" w:color="auto"/>
          </w:divBdr>
        </w:div>
        <w:div w:id="1216551076">
          <w:marLeft w:val="-2"/>
          <w:marRight w:val="0"/>
          <w:marTop w:val="0"/>
          <w:marBottom w:val="0"/>
          <w:divBdr>
            <w:top w:val="none" w:sz="0" w:space="0" w:color="auto"/>
            <w:left w:val="none" w:sz="0" w:space="0" w:color="auto"/>
            <w:bottom w:val="none" w:sz="0" w:space="0" w:color="auto"/>
            <w:right w:val="none" w:sz="0" w:space="0" w:color="auto"/>
          </w:divBdr>
        </w:div>
        <w:div w:id="1667316310">
          <w:marLeft w:val="0"/>
          <w:marRight w:val="0"/>
          <w:marTop w:val="0"/>
          <w:marBottom w:val="0"/>
          <w:divBdr>
            <w:top w:val="none" w:sz="0" w:space="0" w:color="auto"/>
            <w:left w:val="none" w:sz="0" w:space="0" w:color="auto"/>
            <w:bottom w:val="none" w:sz="0" w:space="0" w:color="auto"/>
            <w:right w:val="none" w:sz="0" w:space="0" w:color="auto"/>
          </w:divBdr>
        </w:div>
        <w:div w:id="510878660">
          <w:marLeft w:val="0"/>
          <w:marRight w:val="0"/>
          <w:marTop w:val="0"/>
          <w:marBottom w:val="0"/>
          <w:divBdr>
            <w:top w:val="none" w:sz="0" w:space="0" w:color="auto"/>
            <w:left w:val="none" w:sz="0" w:space="0" w:color="auto"/>
            <w:bottom w:val="none" w:sz="0" w:space="0" w:color="auto"/>
            <w:right w:val="none" w:sz="0" w:space="0" w:color="auto"/>
          </w:divBdr>
        </w:div>
        <w:div w:id="221719126">
          <w:marLeft w:val="425"/>
          <w:marRight w:val="0"/>
          <w:marTop w:val="156"/>
          <w:marBottom w:val="0"/>
          <w:divBdr>
            <w:top w:val="none" w:sz="0" w:space="0" w:color="auto"/>
            <w:left w:val="none" w:sz="0" w:space="0" w:color="auto"/>
            <w:bottom w:val="none" w:sz="0" w:space="0" w:color="auto"/>
            <w:right w:val="none" w:sz="0" w:space="0" w:color="auto"/>
          </w:divBdr>
        </w:div>
        <w:div w:id="737483927">
          <w:marLeft w:val="0"/>
          <w:marRight w:val="0"/>
          <w:marTop w:val="0"/>
          <w:marBottom w:val="200"/>
          <w:divBdr>
            <w:top w:val="none" w:sz="0" w:space="0" w:color="auto"/>
            <w:left w:val="none" w:sz="0" w:space="0" w:color="auto"/>
            <w:bottom w:val="none" w:sz="0" w:space="0" w:color="auto"/>
            <w:right w:val="none" w:sz="0" w:space="0" w:color="auto"/>
          </w:divBdr>
        </w:div>
        <w:div w:id="1460539021">
          <w:marLeft w:val="0"/>
          <w:marRight w:val="0"/>
          <w:marTop w:val="0"/>
          <w:marBottom w:val="200"/>
          <w:divBdr>
            <w:top w:val="none" w:sz="0" w:space="0" w:color="auto"/>
            <w:left w:val="none" w:sz="0" w:space="0" w:color="auto"/>
            <w:bottom w:val="none" w:sz="0" w:space="0" w:color="auto"/>
            <w:right w:val="none" w:sz="0" w:space="0" w:color="auto"/>
          </w:divBdr>
        </w:div>
        <w:div w:id="1269971592">
          <w:marLeft w:val="0"/>
          <w:marRight w:val="0"/>
          <w:marTop w:val="0"/>
          <w:marBottom w:val="200"/>
          <w:divBdr>
            <w:top w:val="none" w:sz="0" w:space="0" w:color="auto"/>
            <w:left w:val="none" w:sz="0" w:space="0" w:color="auto"/>
            <w:bottom w:val="none" w:sz="0" w:space="0" w:color="auto"/>
            <w:right w:val="none" w:sz="0" w:space="0" w:color="auto"/>
          </w:divBdr>
        </w:div>
        <w:div w:id="70547089">
          <w:marLeft w:val="0"/>
          <w:marRight w:val="0"/>
          <w:marTop w:val="0"/>
          <w:marBottom w:val="200"/>
          <w:divBdr>
            <w:top w:val="none" w:sz="0" w:space="0" w:color="auto"/>
            <w:left w:val="none" w:sz="0" w:space="0" w:color="auto"/>
            <w:bottom w:val="none" w:sz="0" w:space="0" w:color="auto"/>
            <w:right w:val="none" w:sz="0" w:space="0" w:color="auto"/>
          </w:divBdr>
        </w:div>
        <w:div w:id="1310326790">
          <w:marLeft w:val="0"/>
          <w:marRight w:val="0"/>
          <w:marTop w:val="0"/>
          <w:marBottom w:val="200"/>
          <w:divBdr>
            <w:top w:val="none" w:sz="0" w:space="0" w:color="auto"/>
            <w:left w:val="none" w:sz="0" w:space="0" w:color="auto"/>
            <w:bottom w:val="none" w:sz="0" w:space="0" w:color="auto"/>
            <w:right w:val="none" w:sz="0" w:space="0" w:color="auto"/>
          </w:divBdr>
        </w:div>
        <w:div w:id="1652713336">
          <w:marLeft w:val="0"/>
          <w:marRight w:val="0"/>
          <w:marTop w:val="0"/>
          <w:marBottom w:val="200"/>
          <w:divBdr>
            <w:top w:val="none" w:sz="0" w:space="0" w:color="auto"/>
            <w:left w:val="none" w:sz="0" w:space="0" w:color="auto"/>
            <w:bottom w:val="none" w:sz="0" w:space="0" w:color="auto"/>
            <w:right w:val="none" w:sz="0" w:space="0" w:color="auto"/>
          </w:divBdr>
        </w:div>
        <w:div w:id="161362605">
          <w:marLeft w:val="0"/>
          <w:marRight w:val="0"/>
          <w:marTop w:val="0"/>
          <w:marBottom w:val="200"/>
          <w:divBdr>
            <w:top w:val="none" w:sz="0" w:space="0" w:color="auto"/>
            <w:left w:val="none" w:sz="0" w:space="0" w:color="auto"/>
            <w:bottom w:val="none" w:sz="0" w:space="0" w:color="auto"/>
            <w:right w:val="none" w:sz="0" w:space="0" w:color="auto"/>
          </w:divBdr>
        </w:div>
        <w:div w:id="793131442">
          <w:marLeft w:val="0"/>
          <w:marRight w:val="0"/>
          <w:marTop w:val="0"/>
          <w:marBottom w:val="200"/>
          <w:divBdr>
            <w:top w:val="none" w:sz="0" w:space="0" w:color="auto"/>
            <w:left w:val="none" w:sz="0" w:space="0" w:color="auto"/>
            <w:bottom w:val="none" w:sz="0" w:space="0" w:color="auto"/>
            <w:right w:val="none" w:sz="0" w:space="0" w:color="auto"/>
          </w:divBdr>
        </w:div>
        <w:div w:id="165093827">
          <w:marLeft w:val="0"/>
          <w:marRight w:val="0"/>
          <w:marTop w:val="0"/>
          <w:marBottom w:val="200"/>
          <w:divBdr>
            <w:top w:val="none" w:sz="0" w:space="0" w:color="auto"/>
            <w:left w:val="none" w:sz="0" w:space="0" w:color="auto"/>
            <w:bottom w:val="none" w:sz="0" w:space="0" w:color="auto"/>
            <w:right w:val="none" w:sz="0" w:space="0" w:color="auto"/>
          </w:divBdr>
        </w:div>
        <w:div w:id="1412699331">
          <w:marLeft w:val="0"/>
          <w:marRight w:val="0"/>
          <w:marTop w:val="0"/>
          <w:marBottom w:val="200"/>
          <w:divBdr>
            <w:top w:val="none" w:sz="0" w:space="0" w:color="auto"/>
            <w:left w:val="none" w:sz="0" w:space="0" w:color="auto"/>
            <w:bottom w:val="none" w:sz="0" w:space="0" w:color="auto"/>
            <w:right w:val="none" w:sz="0" w:space="0" w:color="auto"/>
          </w:divBdr>
        </w:div>
        <w:div w:id="428044413">
          <w:marLeft w:val="0"/>
          <w:marRight w:val="0"/>
          <w:marTop w:val="0"/>
          <w:marBottom w:val="200"/>
          <w:divBdr>
            <w:top w:val="none" w:sz="0" w:space="0" w:color="auto"/>
            <w:left w:val="none" w:sz="0" w:space="0" w:color="auto"/>
            <w:bottom w:val="none" w:sz="0" w:space="0" w:color="auto"/>
            <w:right w:val="none" w:sz="0" w:space="0" w:color="auto"/>
          </w:divBdr>
        </w:div>
        <w:div w:id="550459375">
          <w:marLeft w:val="0"/>
          <w:marRight w:val="0"/>
          <w:marTop w:val="0"/>
          <w:marBottom w:val="200"/>
          <w:divBdr>
            <w:top w:val="none" w:sz="0" w:space="0" w:color="auto"/>
            <w:left w:val="none" w:sz="0" w:space="0" w:color="auto"/>
            <w:bottom w:val="none" w:sz="0" w:space="0" w:color="auto"/>
            <w:right w:val="none" w:sz="0" w:space="0" w:color="auto"/>
          </w:divBdr>
        </w:div>
        <w:div w:id="249970024">
          <w:marLeft w:val="0"/>
          <w:marRight w:val="0"/>
          <w:marTop w:val="0"/>
          <w:marBottom w:val="200"/>
          <w:divBdr>
            <w:top w:val="none" w:sz="0" w:space="0" w:color="auto"/>
            <w:left w:val="none" w:sz="0" w:space="0" w:color="auto"/>
            <w:bottom w:val="none" w:sz="0" w:space="0" w:color="auto"/>
            <w:right w:val="none" w:sz="0" w:space="0" w:color="auto"/>
          </w:divBdr>
        </w:div>
        <w:div w:id="1576356630">
          <w:marLeft w:val="0"/>
          <w:marRight w:val="0"/>
          <w:marTop w:val="0"/>
          <w:marBottom w:val="200"/>
          <w:divBdr>
            <w:top w:val="none" w:sz="0" w:space="0" w:color="auto"/>
            <w:left w:val="none" w:sz="0" w:space="0" w:color="auto"/>
            <w:bottom w:val="none" w:sz="0" w:space="0" w:color="auto"/>
            <w:right w:val="none" w:sz="0" w:space="0" w:color="auto"/>
          </w:divBdr>
        </w:div>
        <w:div w:id="273054633">
          <w:marLeft w:val="425"/>
          <w:marRight w:val="0"/>
          <w:marTop w:val="156"/>
          <w:marBottom w:val="0"/>
          <w:divBdr>
            <w:top w:val="none" w:sz="0" w:space="0" w:color="auto"/>
            <w:left w:val="none" w:sz="0" w:space="0" w:color="auto"/>
            <w:bottom w:val="none" w:sz="0" w:space="0" w:color="auto"/>
            <w:right w:val="none" w:sz="0" w:space="0" w:color="auto"/>
          </w:divBdr>
        </w:div>
        <w:div w:id="1099251070">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2018-01-26T02:35:00Z</dcterms:created>
  <dcterms:modified xsi:type="dcterms:W3CDTF">2018-01-26T02:35:00Z</dcterms:modified>
</cp:coreProperties>
</file>