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C" w:rsidRPr="00D8550C" w:rsidRDefault="00D8550C" w:rsidP="00D8550C">
      <w:pPr>
        <w:widowControl/>
        <w:spacing w:line="420" w:lineRule="atLeast"/>
        <w:jc w:val="left"/>
        <w:outlineLvl w:val="0"/>
        <w:rPr>
          <w:rFonts w:ascii="微软雅黑" w:eastAsia="微软雅黑" w:hAnsi="微软雅黑" w:cs="宋体"/>
          <w:color w:val="0096DD"/>
          <w:kern w:val="36"/>
          <w:sz w:val="33"/>
          <w:szCs w:val="33"/>
        </w:rPr>
      </w:pPr>
      <w:r w:rsidRPr="00D8550C">
        <w:rPr>
          <w:rFonts w:ascii="微软雅黑" w:eastAsia="微软雅黑" w:hAnsi="微软雅黑" w:cs="宋体" w:hint="eastAsia"/>
          <w:color w:val="0096DD"/>
          <w:kern w:val="36"/>
          <w:sz w:val="33"/>
          <w:szCs w:val="33"/>
        </w:rPr>
        <w:t>富国基金管理有限公司关于旗下富国研究量化精选混合型证券投资基金在部分代销机构开通定投、转换业务及参与申购、定投费率优惠活动的公告</w:t>
      </w:r>
    </w:p>
    <w:p w:rsidR="00D8550C" w:rsidRPr="00D8550C" w:rsidRDefault="00D8550C" w:rsidP="00D8550C">
      <w:pPr>
        <w:widowControl/>
        <w:spacing w:line="660" w:lineRule="atLeast"/>
        <w:jc w:val="left"/>
        <w:rPr>
          <w:rFonts w:ascii="微软雅黑" w:eastAsia="微软雅黑" w:hAnsi="微软雅黑" w:cs="宋体" w:hint="eastAsia"/>
          <w:color w:val="333333"/>
          <w:kern w:val="0"/>
          <w:sz w:val="20"/>
          <w:szCs w:val="20"/>
        </w:rPr>
      </w:pPr>
      <w:r w:rsidRPr="00D8550C">
        <w:rPr>
          <w:rFonts w:ascii="微软雅黑" w:eastAsia="微软雅黑" w:hAnsi="微软雅黑" w:cs="宋体" w:hint="eastAsia"/>
          <w:color w:val="333333"/>
          <w:kern w:val="0"/>
          <w:sz w:val="20"/>
          <w:szCs w:val="20"/>
        </w:rPr>
        <w:t>日期：2018-01-26　　字体大小：</w:t>
      </w:r>
      <w:r w:rsidRPr="00D8550C">
        <w:rPr>
          <w:rFonts w:ascii="微软雅黑" w:eastAsia="微软雅黑" w:hAnsi="微软雅黑" w:cs="宋体" w:hint="eastAsia"/>
          <w:color w:val="333333"/>
          <w:kern w:val="0"/>
          <w:szCs w:val="21"/>
        </w:rPr>
        <w:t>T</w:t>
      </w:r>
      <w:r w:rsidRPr="00D8550C">
        <w:rPr>
          <w:rFonts w:ascii="微软雅黑" w:eastAsia="微软雅黑" w:hAnsi="微软雅黑" w:cs="宋体" w:hint="eastAsia"/>
          <w:color w:val="333333"/>
          <w:kern w:val="0"/>
          <w:sz w:val="24"/>
          <w:szCs w:val="24"/>
        </w:rPr>
        <w:t>T</w:t>
      </w:r>
      <w:r w:rsidRPr="00D8550C">
        <w:rPr>
          <w:rFonts w:ascii="微软雅黑" w:eastAsia="微软雅黑" w:hAnsi="微软雅黑" w:cs="宋体" w:hint="eastAsia"/>
          <w:color w:val="333333"/>
          <w:kern w:val="0"/>
          <w:sz w:val="27"/>
          <w:szCs w:val="27"/>
        </w:rPr>
        <w:t>T</w:t>
      </w:r>
    </w:p>
    <w:p w:rsidR="00D8550C" w:rsidRPr="00D8550C" w:rsidRDefault="00D8550C" w:rsidP="00D8550C">
      <w:pPr>
        <w:widowControl/>
        <w:spacing w:after="150" w:line="315" w:lineRule="atLeast"/>
        <w:ind w:firstLine="480"/>
        <w:jc w:val="center"/>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为答谢广大投资者长期以来的信任与支持，富国基金管理有限公司（以下简称“本公司”）旗下富国研究量化精选混合型证券投资基金（仅限前端收费模式，基金代码：005075,以下简称“本基金”）自2018年1月26日起，在部分代销机构开通定投、转换业务及参加部分代销机构网上交易系统或手机银行申购、定投费率优惠活动，具体情况如下：</w:t>
      </w:r>
    </w:p>
    <w:p w:rsidR="00D8550C" w:rsidRPr="00D8550C" w:rsidRDefault="00D8550C" w:rsidP="00D8550C">
      <w:pPr>
        <w:widowControl/>
        <w:spacing w:after="150" w:line="315" w:lineRule="atLeast"/>
        <w:ind w:left="45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一、 活动时间及内容</w:t>
      </w:r>
    </w:p>
    <w:p w:rsidR="00D8550C" w:rsidRPr="00D8550C" w:rsidRDefault="00D8550C" w:rsidP="00D8550C">
      <w:pPr>
        <w:widowControl/>
        <w:spacing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1、 参与此次申购费率优惠活动的机构及具体活动内容</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1184"/>
        <w:gridCol w:w="1470"/>
        <w:gridCol w:w="5862"/>
      </w:tblGrid>
      <w:tr w:rsidR="00D8550C" w:rsidRPr="00D8550C" w:rsidTr="00D8550C">
        <w:tc>
          <w:tcPr>
            <w:tcW w:w="118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代销机构</w:t>
            </w:r>
          </w:p>
        </w:tc>
        <w:tc>
          <w:tcPr>
            <w:tcW w:w="147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优惠期间</w:t>
            </w:r>
          </w:p>
        </w:tc>
        <w:tc>
          <w:tcPr>
            <w:tcW w:w="586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活动内容</w:t>
            </w:r>
          </w:p>
        </w:tc>
      </w:tr>
      <w:tr w:rsidR="00D8550C" w:rsidRPr="00D8550C" w:rsidTr="00D8550C">
        <w:trPr>
          <w:trHeight w:val="2010"/>
        </w:trPr>
        <w:tc>
          <w:tcPr>
            <w:tcW w:w="118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中国银行</w:t>
            </w:r>
          </w:p>
        </w:tc>
        <w:tc>
          <w:tcPr>
            <w:tcW w:w="147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中国银行的申购本基金的费率优惠活动：（1）投资者通过中国银行网上银行办理本基金申购业务，前端申购费率享受8折优惠；（2）通过中国银行手机银行办理本基金申购业务（不包括定期定额投资业务），前端申购费享受6折优惠。上述优惠折扣费率不得低于0.6%，低于0.6%的，按照0.6%收取；原申购费率低于0.6%或为固定费用的，按原申购费执行，不再享有费率优惠。</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工商银行</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w:t>
            </w:r>
            <w:r w:rsidRPr="00D8550C">
              <w:rPr>
                <w:rFonts w:ascii="微软雅黑" w:eastAsia="微软雅黑" w:hAnsi="微软雅黑" w:cs="宋体" w:hint="eastAsia"/>
                <w:color w:val="595757"/>
                <w:kern w:val="0"/>
                <w:szCs w:val="21"/>
              </w:rPr>
              <w:lastRenderedPageBreak/>
              <w:t>至2018年3月31日</w:t>
            </w:r>
          </w:p>
        </w:tc>
        <w:tc>
          <w:tcPr>
            <w:tcW w:w="586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通过工商银行个人网上银行、个人手机银行（WAP）和个人电话银行等电子银行渠道申购基金的个人投资者。其申购</w:t>
            </w:r>
            <w:r w:rsidRPr="00D8550C">
              <w:rPr>
                <w:rFonts w:ascii="微软雅黑" w:eastAsia="微软雅黑" w:hAnsi="微软雅黑" w:cs="宋体" w:hint="eastAsia"/>
                <w:color w:val="595757"/>
                <w:kern w:val="0"/>
                <w:szCs w:val="21"/>
              </w:rPr>
              <w:lastRenderedPageBreak/>
              <w:t>费率实行八折优惠。原申购费率（含分级费率）不低于0.6%的，折扣后的实际执行费率不得低于0.6%；原申购费率（含分级费率）低于0.6%（含0.6%）的，则按原费率执行。</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交通银行</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优惠活动期间，凡通过交通银行网上银行、手机银行申购基金的个人投资者，申购费率享有如下优惠：原申购费率高于0.6％的，基金申购费率按8折优惠，即实收申购费率＝原申购费率×0.8，优惠后费率如果低于0.6%，则按0.6%执行；原申购费率低于0.6%或等于0.6%或为固定费用的，则按原申购费率执行。</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民生银行</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投资者通过民生银行“基金通”平台销售系统申购前端收费模式的基金，单笔5万（含）以下给予申购费率1折优惠，单笔5-50万（含）给予申购费率5折优惠。</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天天基金</w:t>
            </w:r>
          </w:p>
        </w:tc>
        <w:tc>
          <w:tcPr>
            <w:tcW w:w="147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通过天天基金申购本基金，前端申购费率享受1折至4折费率优惠；原申购费率为固定费用的，按原申购费执行，不再享有费率优惠。具体以天天基金公告为准。</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好买基金</w:t>
            </w:r>
          </w:p>
        </w:tc>
        <w:tc>
          <w:tcPr>
            <w:tcW w:w="147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投资者通过好买基金电子交易平台采用“储蓄罐”支付方式申购本基金，可享 1折优惠；投资者通过好买基金电子交易平台采用“储蓄罐”以外的支付方式申购基金，可享4折优惠。申购费为固定费率的，则按原申购费率执行。</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众禄金融</w:t>
            </w:r>
          </w:p>
        </w:tc>
        <w:tc>
          <w:tcPr>
            <w:tcW w:w="147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通过众禄金融申购本基金，其前端申购费率享有优惠，按原前端申购费率的1折执行，原申购费率采用固定费用的，则按固定费用执行。</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同花顺基金</w:t>
            </w:r>
          </w:p>
        </w:tc>
        <w:tc>
          <w:tcPr>
            <w:tcW w:w="147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通过同花顺基金申购本基金，其前端申购费率享有优惠，按原前端申购费率的1折执行，原申购费率采用固定费用的，则按固定费用执行。</w:t>
            </w:r>
          </w:p>
        </w:tc>
      </w:tr>
      <w:tr w:rsidR="00D8550C" w:rsidRPr="00D8550C" w:rsidTr="00D8550C">
        <w:trPr>
          <w:trHeight w:val="900"/>
        </w:trPr>
        <w:tc>
          <w:tcPr>
            <w:tcW w:w="1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京东金融</w:t>
            </w:r>
          </w:p>
        </w:tc>
        <w:tc>
          <w:tcPr>
            <w:tcW w:w="147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58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通过京东金融申购本基金，其前端申购费率享有优惠，按原前端申购费率的1折执行，原申购费率采用固定费用的，则按固定费用执行。</w:t>
            </w:r>
          </w:p>
        </w:tc>
      </w:tr>
    </w:tbl>
    <w:p w:rsidR="00D8550C" w:rsidRPr="00D8550C" w:rsidRDefault="00D8550C" w:rsidP="00D8550C">
      <w:pPr>
        <w:widowControl/>
        <w:spacing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2、 此次开通定投业务及参与定投申购优惠活动的机构及具体活动内容</w:t>
      </w:r>
    </w:p>
    <w:tbl>
      <w:tblPr>
        <w:tblW w:w="8520"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1530"/>
        <w:gridCol w:w="1410"/>
        <w:gridCol w:w="1995"/>
        <w:gridCol w:w="3585"/>
      </w:tblGrid>
      <w:tr w:rsidR="00D8550C" w:rsidRPr="00D8550C" w:rsidTr="00D8550C">
        <w:tc>
          <w:tcPr>
            <w:tcW w:w="153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代销机构</w:t>
            </w:r>
          </w:p>
        </w:tc>
        <w:tc>
          <w:tcPr>
            <w:tcW w:w="141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定投开通时间及起点金额</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优惠期间</w:t>
            </w:r>
          </w:p>
        </w:tc>
        <w:tc>
          <w:tcPr>
            <w:tcW w:w="358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活动内容</w:t>
            </w:r>
          </w:p>
        </w:tc>
      </w:tr>
      <w:tr w:rsidR="00D8550C" w:rsidRPr="00D8550C" w:rsidTr="00D8550C">
        <w:trPr>
          <w:trHeight w:val="1875"/>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中国银行</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2018年1月26日起每月最低定投金额为100元（含申</w:t>
            </w:r>
            <w:r w:rsidRPr="00D8550C">
              <w:rPr>
                <w:rFonts w:ascii="微软雅黑" w:eastAsia="微软雅黑" w:hAnsi="微软雅黑" w:cs="宋体" w:hint="eastAsia"/>
                <w:color w:val="595757"/>
                <w:kern w:val="0"/>
                <w:szCs w:val="21"/>
              </w:rPr>
              <w:lastRenderedPageBreak/>
              <w:t>购费）</w:t>
            </w:r>
          </w:p>
        </w:tc>
        <w:tc>
          <w:tcPr>
            <w:tcW w:w="1995" w:type="dxa"/>
            <w:tcBorders>
              <w:top w:val="nil"/>
              <w:left w:val="nil"/>
              <w:bottom w:val="single" w:sz="6" w:space="0" w:color="auto"/>
              <w:right w:val="single" w:sz="6" w:space="0" w:color="auto"/>
            </w:tcBorders>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2018年1月26日起，具体结束时间另行公告</w:t>
            </w:r>
          </w:p>
        </w:tc>
        <w:tc>
          <w:tcPr>
            <w:tcW w:w="358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投资者通过中国银行网上银行、柜台及手机银行等进行本基金定期定额投资业务，前端申购费率享受8折优惠；上述优惠折扣费率不得低于0.6%，低于0.6%的，按照0.6%收取；</w:t>
            </w:r>
            <w:r w:rsidRPr="00D8550C">
              <w:rPr>
                <w:rFonts w:ascii="微软雅黑" w:eastAsia="微软雅黑" w:hAnsi="微软雅黑" w:cs="宋体" w:hint="eastAsia"/>
                <w:color w:val="595757"/>
                <w:kern w:val="0"/>
                <w:szCs w:val="21"/>
              </w:rPr>
              <w:lastRenderedPageBreak/>
              <w:t>原申购费率低于0.6%或为固定费用的，按原申购费执行，不再享有费率优惠。</w:t>
            </w:r>
          </w:p>
        </w:tc>
      </w:tr>
      <w:tr w:rsidR="00D8550C" w:rsidRPr="00D8550C" w:rsidTr="00D8550C">
        <w:trPr>
          <w:trHeight w:val="900"/>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工商银行</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2018年1月26日起至2018年3月31日，每月最低定投金额以工商银行公告为准</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2018年1月26日起至2018年3月31日</w:t>
            </w:r>
          </w:p>
        </w:tc>
        <w:tc>
          <w:tcPr>
            <w:tcW w:w="3585"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投资者通过工商银行采用前端收费模式成功定投基金的，其申购费率实行八折优惠。原申购费率（含分级费率）高于0.6%的，基金定投申购费率按8折优惠(即实收申购费率＝原申购费率×0.8)，但优惠后费率不低于0.6%；原申购费率低于0.6%或为固定费用的，则按原费率执行。</w:t>
            </w:r>
          </w:p>
        </w:tc>
      </w:tr>
      <w:tr w:rsidR="00D8550C" w:rsidRPr="00D8550C" w:rsidTr="00D8550C">
        <w:trPr>
          <w:trHeight w:val="900"/>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招商银行</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2018年1月26日起每月最低定投金额为300元</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（含申购费）</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暂无优惠、开通前另行公告</w:t>
            </w:r>
          </w:p>
        </w:tc>
        <w:tc>
          <w:tcPr>
            <w:tcW w:w="35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暂无优惠、开通前另行公告</w:t>
            </w:r>
          </w:p>
        </w:tc>
      </w:tr>
      <w:tr w:rsidR="00D8550C" w:rsidRPr="00D8550C" w:rsidTr="00D8550C">
        <w:trPr>
          <w:trHeight w:val="900"/>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中信银行</w:t>
            </w:r>
          </w:p>
        </w:tc>
        <w:tc>
          <w:tcPr>
            <w:tcW w:w="141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w:t>
            </w:r>
            <w:r w:rsidRPr="00D8550C">
              <w:rPr>
                <w:rFonts w:ascii="微软雅黑" w:eastAsia="微软雅黑" w:hAnsi="微软雅黑" w:cs="宋体" w:hint="eastAsia"/>
                <w:color w:val="595757"/>
                <w:kern w:val="0"/>
                <w:szCs w:val="21"/>
              </w:rPr>
              <w:lastRenderedPageBreak/>
              <w:t>起每月最低定投金额为100元（含申购费），定投阶梯为100元</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暂无优惠、开通</w:t>
            </w:r>
            <w:r w:rsidRPr="00D8550C">
              <w:rPr>
                <w:rFonts w:ascii="微软雅黑" w:eastAsia="微软雅黑" w:hAnsi="微软雅黑" w:cs="宋体" w:hint="eastAsia"/>
                <w:color w:val="595757"/>
                <w:kern w:val="0"/>
                <w:szCs w:val="21"/>
              </w:rPr>
              <w:lastRenderedPageBreak/>
              <w:t>前另行公告</w:t>
            </w:r>
          </w:p>
        </w:tc>
        <w:tc>
          <w:tcPr>
            <w:tcW w:w="35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暂无优惠、开通前另行公告</w:t>
            </w:r>
          </w:p>
        </w:tc>
      </w:tr>
      <w:tr w:rsidR="00D8550C" w:rsidRPr="00D8550C" w:rsidTr="00D8550C">
        <w:trPr>
          <w:trHeight w:val="900"/>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天天基金</w:t>
            </w:r>
          </w:p>
        </w:tc>
        <w:tc>
          <w:tcPr>
            <w:tcW w:w="141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2018年1月26日起，每月最低定投金额为100元   （含申购费）</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35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通过天天基金网上办理本基金定投业务，前端定投申购可享受1折至4折费率优惠；原申购费率为固定费用的，按原申购费执行，不再享有费率优惠。具体以天天基金公告为准。</w:t>
            </w:r>
          </w:p>
        </w:tc>
      </w:tr>
      <w:tr w:rsidR="00D8550C" w:rsidRPr="00D8550C" w:rsidTr="00D8550C">
        <w:trPr>
          <w:trHeight w:val="900"/>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好买基金</w:t>
            </w:r>
          </w:p>
        </w:tc>
        <w:tc>
          <w:tcPr>
            <w:tcW w:w="141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2018年1月26日起，每月最低定投金额为200元   （含申购费）</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35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通过好买基金网上办理本基金定投业务，前端定投申购可享受申购费率4折优惠，但优惠折扣后的费率不低于0.6%。原申购费率低于或等于0.6%或采用固定费用的将不再有折扣优惠，按原申购费率或固定费用执行。</w:t>
            </w:r>
          </w:p>
        </w:tc>
      </w:tr>
      <w:tr w:rsidR="00D8550C" w:rsidRPr="00D8550C" w:rsidTr="00D8550C">
        <w:trPr>
          <w:trHeight w:val="900"/>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众禄金融</w:t>
            </w:r>
          </w:p>
        </w:tc>
        <w:tc>
          <w:tcPr>
            <w:tcW w:w="141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w:t>
            </w:r>
            <w:r w:rsidRPr="00D8550C">
              <w:rPr>
                <w:rFonts w:ascii="微软雅黑" w:eastAsia="微软雅黑" w:hAnsi="微软雅黑" w:cs="宋体" w:hint="eastAsia"/>
                <w:color w:val="595757"/>
                <w:kern w:val="0"/>
                <w:szCs w:val="21"/>
              </w:rPr>
              <w:lastRenderedPageBreak/>
              <w:t>起，每月最低定投金额为100元   （含申购费）</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w:t>
            </w:r>
            <w:r w:rsidRPr="00D8550C">
              <w:rPr>
                <w:rFonts w:ascii="微软雅黑" w:eastAsia="微软雅黑" w:hAnsi="微软雅黑" w:cs="宋体" w:hint="eastAsia"/>
                <w:color w:val="595757"/>
                <w:kern w:val="0"/>
                <w:szCs w:val="21"/>
              </w:rPr>
              <w:lastRenderedPageBreak/>
              <w:t>日起，具体结束时间另行公告</w:t>
            </w:r>
          </w:p>
        </w:tc>
        <w:tc>
          <w:tcPr>
            <w:tcW w:w="35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通过众禄金融定投申购本基金，其前端申购费率享有优惠，按原前端</w:t>
            </w:r>
            <w:r w:rsidRPr="00D8550C">
              <w:rPr>
                <w:rFonts w:ascii="微软雅黑" w:eastAsia="微软雅黑" w:hAnsi="微软雅黑" w:cs="宋体" w:hint="eastAsia"/>
                <w:color w:val="595757"/>
                <w:kern w:val="0"/>
                <w:szCs w:val="21"/>
              </w:rPr>
              <w:lastRenderedPageBreak/>
              <w:t>申购费率的1折执行，原申购费率采用固定费用的，则按固定费用执行。</w:t>
            </w:r>
          </w:p>
        </w:tc>
      </w:tr>
      <w:tr w:rsidR="00D8550C" w:rsidRPr="00D8550C" w:rsidTr="00D8550C">
        <w:trPr>
          <w:trHeight w:val="900"/>
        </w:trPr>
        <w:tc>
          <w:tcPr>
            <w:tcW w:w="15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lastRenderedPageBreak/>
              <w:t>同花顺基金</w:t>
            </w:r>
          </w:p>
        </w:tc>
        <w:tc>
          <w:tcPr>
            <w:tcW w:w="141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2018年1月26日起，每月最低定投金额为100元   （含申购费）</w:t>
            </w:r>
          </w:p>
        </w:tc>
        <w:tc>
          <w:tcPr>
            <w:tcW w:w="1995" w:type="dxa"/>
            <w:tcBorders>
              <w:top w:val="nil"/>
              <w:left w:val="nil"/>
              <w:bottom w:val="single" w:sz="6" w:space="0" w:color="auto"/>
              <w:right w:val="single" w:sz="6" w:space="0" w:color="auto"/>
            </w:tcBorders>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2018年1月26日起，具体结束时间另行公告</w:t>
            </w:r>
          </w:p>
        </w:tc>
        <w:tc>
          <w:tcPr>
            <w:tcW w:w="35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通过同花顺基金定投申购本基金，其前端申购费率享有优惠，按原前端申购费率的1折执行，原申购费率采用固定费用的，则按固定费用执行。</w:t>
            </w:r>
          </w:p>
        </w:tc>
      </w:tr>
    </w:tbl>
    <w:p w:rsidR="00D8550C" w:rsidRPr="00D8550C" w:rsidRDefault="00D8550C" w:rsidP="00D8550C">
      <w:pPr>
        <w:widowControl/>
        <w:spacing w:after="150"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3、 经与招商银行、中国银行、中信银行、交通银行、天天基金、好买基金、同花顺基金、京东金融、众禄金融协商决定自2018年1月26日起在上述代销机构开通本基金转换业务。</w:t>
      </w:r>
    </w:p>
    <w:p w:rsidR="00D8550C" w:rsidRPr="00D8550C" w:rsidRDefault="00D8550C" w:rsidP="00D8550C">
      <w:pPr>
        <w:widowControl/>
        <w:spacing w:after="150"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15" w:lineRule="atLeast"/>
        <w:ind w:left="45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二、 注意事项</w:t>
      </w:r>
    </w:p>
    <w:p w:rsidR="00D8550C" w:rsidRPr="00D8550C" w:rsidRDefault="00D8550C" w:rsidP="00D8550C">
      <w:pPr>
        <w:widowControl/>
        <w:spacing w:after="150"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1、 本基金申购费率请参见《富国研究量化精选混合型证券投资基金招募说明书》及相关公告。</w:t>
      </w:r>
    </w:p>
    <w:p w:rsidR="00D8550C" w:rsidRPr="00D8550C" w:rsidRDefault="00D8550C" w:rsidP="00D8550C">
      <w:pPr>
        <w:widowControl/>
        <w:spacing w:after="150"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2、 上述未尽事宜请遵循各代销机构的具体规定，各代销机构保留对上述优惠活动的最终解释权。</w:t>
      </w:r>
    </w:p>
    <w:p w:rsidR="00D8550C" w:rsidRPr="00D8550C" w:rsidRDefault="00D8550C" w:rsidP="00D8550C">
      <w:pPr>
        <w:widowControl/>
        <w:spacing w:after="150"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15" w:lineRule="atLeast"/>
        <w:ind w:left="45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lastRenderedPageBreak/>
        <w:t>三、 咨询办法</w:t>
      </w:r>
    </w:p>
    <w:p w:rsidR="00D8550C" w:rsidRPr="00D8550C" w:rsidRDefault="00D8550C" w:rsidP="00D8550C">
      <w:pPr>
        <w:widowControl/>
        <w:spacing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1、 各代销机构客服电话及网址</w:t>
      </w:r>
    </w:p>
    <w:tbl>
      <w:tblPr>
        <w:tblW w:w="8340"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2280"/>
        <w:gridCol w:w="2700"/>
        <w:gridCol w:w="3360"/>
      </w:tblGrid>
      <w:tr w:rsidR="00D8550C" w:rsidRPr="00D8550C" w:rsidTr="00D8550C">
        <w:trPr>
          <w:trHeight w:val="270"/>
        </w:trPr>
        <w:tc>
          <w:tcPr>
            <w:tcW w:w="2280" w:type="dxa"/>
            <w:tcBorders>
              <w:top w:val="nil"/>
              <w:left w:val="nil"/>
              <w:bottom w:val="single" w:sz="6" w:space="0" w:color="auto"/>
              <w:right w:val="single" w:sz="6" w:space="0" w:color="auto"/>
            </w:tcBorders>
            <w:noWrap/>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center"/>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渠道名称</w:t>
            </w:r>
          </w:p>
        </w:tc>
        <w:tc>
          <w:tcPr>
            <w:tcW w:w="2700" w:type="dxa"/>
            <w:tcBorders>
              <w:top w:val="nil"/>
              <w:left w:val="nil"/>
              <w:bottom w:val="single" w:sz="6" w:space="0" w:color="auto"/>
              <w:right w:val="single" w:sz="6" w:space="0" w:color="auto"/>
            </w:tcBorders>
            <w:noWrap/>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center"/>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客服电话</w:t>
            </w:r>
          </w:p>
        </w:tc>
        <w:tc>
          <w:tcPr>
            <w:tcW w:w="3360" w:type="dxa"/>
            <w:tcBorders>
              <w:top w:val="nil"/>
              <w:left w:val="nil"/>
              <w:bottom w:val="single" w:sz="6" w:space="0" w:color="auto"/>
              <w:right w:val="single" w:sz="6" w:space="0" w:color="auto"/>
            </w:tcBorders>
            <w:noWrap/>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center"/>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公司网站</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中国银行</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95566</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www.boc.cn</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招商银行</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95555</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www.cmbchina.com</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工商银行</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95588</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hyperlink r:id="rId5" w:history="1">
              <w:r w:rsidRPr="00D8550C">
                <w:rPr>
                  <w:rFonts w:ascii="微软雅黑" w:eastAsia="微软雅黑" w:hAnsi="微软雅黑" w:cs="宋体" w:hint="eastAsia"/>
                  <w:color w:val="666666"/>
                  <w:kern w:val="0"/>
                  <w:szCs w:val="21"/>
                  <w:u w:val="single"/>
                </w:rPr>
                <w:t>www.icbc.com.cn</w:t>
              </w:r>
            </w:hyperlink>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交通银行</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95559</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www.bankcomm.com</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中信银行</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95558</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bank.ecitic.com</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民生银行</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10100123</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www.mszxyh.com</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同花顺基金</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4008-773-772</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www.5ifund.com</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天天基金</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400-1818-188</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www.1234567.com.cn</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好买基金</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4007009665</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242"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www.ehowbuy.com</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众禄金融</w:t>
            </w:r>
          </w:p>
        </w:tc>
        <w:tc>
          <w:tcPr>
            <w:tcW w:w="270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 400-821-5399</w:t>
            </w:r>
          </w:p>
        </w:tc>
        <w:tc>
          <w:tcPr>
            <w:tcW w:w="3360" w:type="dxa"/>
            <w:tcBorders>
              <w:top w:val="nil"/>
              <w:left w:val="nil"/>
              <w:bottom w:val="single" w:sz="6" w:space="0" w:color="auto"/>
              <w:right w:val="single" w:sz="6" w:space="0" w:color="auto"/>
            </w:tcBorders>
            <w:tcMar>
              <w:top w:w="0" w:type="dxa"/>
              <w:left w:w="105" w:type="dxa"/>
              <w:bottom w:w="0" w:type="dxa"/>
              <w:right w:w="105" w:type="dxa"/>
            </w:tcMar>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www.zlfund.cn</w:t>
            </w:r>
          </w:p>
        </w:tc>
      </w:tr>
      <w:tr w:rsidR="00D8550C" w:rsidRPr="00D8550C" w:rsidTr="00D8550C">
        <w:trPr>
          <w:trHeight w:val="270"/>
        </w:trPr>
        <w:tc>
          <w:tcPr>
            <w:tcW w:w="228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京东金融</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95118</w:t>
            </w:r>
          </w:p>
        </w:tc>
        <w:tc>
          <w:tcPr>
            <w:tcW w:w="3360" w:type="dxa"/>
            <w:tcBorders>
              <w:top w:val="nil"/>
              <w:left w:val="nil"/>
              <w:bottom w:val="single" w:sz="6" w:space="0" w:color="auto"/>
              <w:right w:val="single" w:sz="6" w:space="0" w:color="auto"/>
            </w:tcBorders>
            <w:tcMar>
              <w:top w:w="0" w:type="dxa"/>
              <w:left w:w="105" w:type="dxa"/>
              <w:bottom w:w="0" w:type="dxa"/>
              <w:right w:w="105" w:type="dxa"/>
            </w:tcMar>
            <w:vAlign w:val="bottom"/>
            <w:hideMark/>
          </w:tcPr>
          <w:p w:rsidR="00D8550C" w:rsidRPr="00D8550C" w:rsidRDefault="00D8550C" w:rsidP="00D8550C">
            <w:pPr>
              <w:widowControl/>
              <w:spacing w:after="150" w:line="390" w:lineRule="atLeast"/>
              <w:ind w:firstLine="480"/>
              <w:jc w:val="left"/>
              <w:rPr>
                <w:rFonts w:ascii="宋体" w:eastAsia="宋体" w:hAnsi="宋体" w:cs="宋体"/>
                <w:color w:val="595757"/>
                <w:kern w:val="0"/>
                <w:szCs w:val="21"/>
              </w:rPr>
            </w:pPr>
            <w:r w:rsidRPr="00D8550C">
              <w:rPr>
                <w:rFonts w:ascii="微软雅黑" w:eastAsia="微软雅黑" w:hAnsi="微软雅黑" w:cs="宋体" w:hint="eastAsia"/>
                <w:color w:val="595757"/>
                <w:kern w:val="0"/>
                <w:szCs w:val="21"/>
              </w:rPr>
              <w:t>jr.jd.com</w:t>
            </w:r>
          </w:p>
        </w:tc>
      </w:tr>
    </w:tbl>
    <w:p w:rsidR="00D8550C" w:rsidRPr="00D8550C" w:rsidRDefault="00D8550C" w:rsidP="00D8550C">
      <w:pPr>
        <w:widowControl/>
        <w:spacing w:after="150" w:line="315" w:lineRule="atLeast"/>
        <w:ind w:left="36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2、 富国基金联系方式</w:t>
      </w:r>
    </w:p>
    <w:p w:rsidR="00D8550C" w:rsidRPr="00D8550C" w:rsidRDefault="00D8550C" w:rsidP="00D8550C">
      <w:pPr>
        <w:widowControl/>
        <w:spacing w:after="150" w:line="315" w:lineRule="atLeast"/>
        <w:ind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客户服务热线：95105686，4008880688（全国统一，均免长途话费）</w:t>
      </w:r>
    </w:p>
    <w:p w:rsidR="00D8550C" w:rsidRPr="00D8550C" w:rsidRDefault="00D8550C" w:rsidP="00D8550C">
      <w:pPr>
        <w:widowControl/>
        <w:spacing w:after="150" w:line="315" w:lineRule="atLeast"/>
        <w:ind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公司网址：www.fullgoal.com.cn</w:t>
      </w:r>
    </w:p>
    <w:p w:rsidR="00D8550C" w:rsidRPr="00D8550C" w:rsidRDefault="00D8550C" w:rsidP="00D8550C">
      <w:pPr>
        <w:widowControl/>
        <w:spacing w:after="150" w:line="315" w:lineRule="atLeast"/>
        <w:ind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 </w:t>
      </w:r>
    </w:p>
    <w:p w:rsidR="00D8550C" w:rsidRPr="00D8550C" w:rsidRDefault="00D8550C" w:rsidP="00D8550C">
      <w:pPr>
        <w:widowControl/>
        <w:spacing w:after="150" w:line="315" w:lineRule="atLeast"/>
        <w:ind w:left="450" w:firstLine="48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lastRenderedPageBreak/>
        <w:t>四、 风险提示</w:t>
      </w:r>
    </w:p>
    <w:p w:rsidR="00D8550C" w:rsidRPr="00D8550C" w:rsidRDefault="00D8550C" w:rsidP="00D8550C">
      <w:pPr>
        <w:widowControl/>
        <w:spacing w:after="150" w:line="315" w:lineRule="atLeast"/>
        <w:ind w:firstLine="42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本公司承诺以诚实信用、勤勉尽责的原则管理和运用基金资产，但不保证基金一定盈利，也不保证最低收益。敬请投资者注意投资风险。投资者投资于本基金前应认真阅读本基金的基金合同、招募说明书。</w:t>
      </w:r>
    </w:p>
    <w:p w:rsidR="00D8550C" w:rsidRPr="00D8550C" w:rsidRDefault="00D8550C" w:rsidP="00D8550C">
      <w:pPr>
        <w:widowControl/>
        <w:spacing w:after="150" w:line="315" w:lineRule="atLeast"/>
        <w:ind w:firstLine="42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D8550C" w:rsidRPr="00D8550C" w:rsidRDefault="00D8550C" w:rsidP="00D8550C">
      <w:pPr>
        <w:widowControl/>
        <w:spacing w:after="150" w:line="315" w:lineRule="atLeast"/>
        <w:ind w:firstLine="42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本公告的解释权归本公司所有。</w:t>
      </w:r>
    </w:p>
    <w:p w:rsidR="00D8550C" w:rsidRPr="00D8550C" w:rsidRDefault="00D8550C" w:rsidP="00D8550C">
      <w:pPr>
        <w:widowControl/>
        <w:spacing w:after="150" w:line="315" w:lineRule="atLeast"/>
        <w:ind w:firstLine="420"/>
        <w:jc w:val="lef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特此公告。</w:t>
      </w:r>
    </w:p>
    <w:p w:rsidR="00D8550C" w:rsidRPr="00D8550C" w:rsidRDefault="00D8550C" w:rsidP="00D8550C">
      <w:pPr>
        <w:widowControl/>
        <w:spacing w:after="150" w:line="315" w:lineRule="atLeast"/>
        <w:ind w:firstLine="480"/>
        <w:jc w:val="righ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富国基金管理有限公司</w:t>
      </w:r>
    </w:p>
    <w:p w:rsidR="00D8550C" w:rsidRPr="00D8550C" w:rsidRDefault="00D8550C" w:rsidP="00D8550C">
      <w:pPr>
        <w:widowControl/>
        <w:spacing w:line="315" w:lineRule="atLeast"/>
        <w:ind w:firstLine="480"/>
        <w:jc w:val="right"/>
        <w:rPr>
          <w:rFonts w:ascii="微软雅黑" w:eastAsia="微软雅黑" w:hAnsi="微软雅黑" w:cs="宋体" w:hint="eastAsia"/>
          <w:color w:val="595757"/>
          <w:kern w:val="0"/>
          <w:szCs w:val="21"/>
        </w:rPr>
      </w:pPr>
      <w:r w:rsidRPr="00D8550C">
        <w:rPr>
          <w:rFonts w:ascii="微软雅黑" w:eastAsia="微软雅黑" w:hAnsi="微软雅黑" w:cs="宋体" w:hint="eastAsia"/>
          <w:color w:val="595757"/>
          <w:kern w:val="0"/>
          <w:szCs w:val="21"/>
        </w:rPr>
        <w:t>二〇一八年一月二十六日</w:t>
      </w:r>
    </w:p>
    <w:p w:rsidR="002B3CB7" w:rsidRDefault="002B3CB7">
      <w:bookmarkStart w:id="0" w:name="_GoBack"/>
      <w:bookmarkEnd w:id="0"/>
    </w:p>
    <w:sectPr w:rsidR="002B3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14"/>
    <w:rsid w:val="002B3CB7"/>
    <w:rsid w:val="00C31A14"/>
    <w:rsid w:val="00D85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55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550C"/>
    <w:rPr>
      <w:rFonts w:ascii="宋体" w:eastAsia="宋体" w:hAnsi="宋体" w:cs="宋体"/>
      <w:b/>
      <w:bCs/>
      <w:kern w:val="36"/>
      <w:sz w:val="48"/>
      <w:szCs w:val="48"/>
    </w:rPr>
  </w:style>
  <w:style w:type="character" w:customStyle="1" w:styleId="font">
    <w:name w:val="font"/>
    <w:basedOn w:val="a0"/>
    <w:rsid w:val="00D8550C"/>
  </w:style>
  <w:style w:type="paragraph" w:styleId="a3">
    <w:name w:val="Normal (Web)"/>
    <w:basedOn w:val="a"/>
    <w:uiPriority w:val="99"/>
    <w:unhideWhenUsed/>
    <w:rsid w:val="00D8550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8550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855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55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550C"/>
    <w:rPr>
      <w:rFonts w:ascii="宋体" w:eastAsia="宋体" w:hAnsi="宋体" w:cs="宋体"/>
      <w:b/>
      <w:bCs/>
      <w:kern w:val="36"/>
      <w:sz w:val="48"/>
      <w:szCs w:val="48"/>
    </w:rPr>
  </w:style>
  <w:style w:type="character" w:customStyle="1" w:styleId="font">
    <w:name w:val="font"/>
    <w:basedOn w:val="a0"/>
    <w:rsid w:val="00D8550C"/>
  </w:style>
  <w:style w:type="paragraph" w:styleId="a3">
    <w:name w:val="Normal (Web)"/>
    <w:basedOn w:val="a"/>
    <w:uiPriority w:val="99"/>
    <w:unhideWhenUsed/>
    <w:rsid w:val="00D8550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8550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85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8503">
      <w:bodyDiv w:val="1"/>
      <w:marLeft w:val="0"/>
      <w:marRight w:val="0"/>
      <w:marTop w:val="0"/>
      <w:marBottom w:val="0"/>
      <w:divBdr>
        <w:top w:val="none" w:sz="0" w:space="0" w:color="auto"/>
        <w:left w:val="none" w:sz="0" w:space="0" w:color="auto"/>
        <w:bottom w:val="none" w:sz="0" w:space="0" w:color="auto"/>
        <w:right w:val="none" w:sz="0" w:space="0" w:color="auto"/>
      </w:divBdr>
      <w:divsChild>
        <w:div w:id="1435710843">
          <w:marLeft w:val="0"/>
          <w:marRight w:val="0"/>
          <w:marTop w:val="150"/>
          <w:marBottom w:val="300"/>
          <w:divBdr>
            <w:top w:val="none" w:sz="0" w:space="0" w:color="auto"/>
            <w:left w:val="none" w:sz="0" w:space="0" w:color="auto"/>
            <w:bottom w:val="single" w:sz="12" w:space="0" w:color="DDDDDD"/>
            <w:right w:val="none" w:sz="0" w:space="0" w:color="auto"/>
          </w:divBdr>
        </w:div>
        <w:div w:id="559705078">
          <w:marLeft w:val="0"/>
          <w:marRight w:val="0"/>
          <w:marTop w:val="0"/>
          <w:marBottom w:val="450"/>
          <w:divBdr>
            <w:top w:val="none" w:sz="0" w:space="0" w:color="auto"/>
            <w:left w:val="none" w:sz="0" w:space="0" w:color="auto"/>
            <w:bottom w:val="none" w:sz="0" w:space="0" w:color="auto"/>
            <w:right w:val="none" w:sz="0" w:space="0" w:color="auto"/>
          </w:divBdr>
          <w:divsChild>
            <w:div w:id="3839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bc.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2018-01-26T06:15:00Z</dcterms:created>
  <dcterms:modified xsi:type="dcterms:W3CDTF">2018-01-26T06:15:00Z</dcterms:modified>
</cp:coreProperties>
</file>