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D" w:rsidRPr="00566C0D" w:rsidRDefault="00566C0D" w:rsidP="00566C0D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566C0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关于增加北京肯特瑞为嘉</w:t>
      </w:r>
      <w:proofErr w:type="gramStart"/>
      <w:r w:rsidRPr="00566C0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实核心</w:t>
      </w:r>
      <w:proofErr w:type="gramEnd"/>
      <w:r w:rsidRPr="00566C0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优势股票型发起式证券投资基金代销机构的公告</w:t>
      </w:r>
      <w:bookmarkStart w:id="0" w:name="_GoBack"/>
      <w:bookmarkEnd w:id="0"/>
    </w:p>
    <w:p w:rsidR="00566C0D" w:rsidRPr="00566C0D" w:rsidRDefault="00566C0D" w:rsidP="00566C0D">
      <w:pPr>
        <w:widowControl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2018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01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29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566C0D">
        <w:rPr>
          <w:rFonts w:ascii="Tahoma" w:eastAsia="宋体" w:hAnsi="Tahoma" w:cs="Tahoma"/>
          <w:color w:val="000000"/>
          <w:kern w:val="0"/>
          <w:szCs w:val="21"/>
        </w:rPr>
        <w:t>:16      </w:t>
      </w:r>
    </w:p>
    <w:p w:rsidR="00566C0D" w:rsidRPr="00566C0D" w:rsidRDefault="00566C0D" w:rsidP="00566C0D">
      <w:pPr>
        <w:widowControl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566C0D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566C0D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566C0D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566C0D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566C0D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566C0D" w:rsidRPr="00566C0D" w:rsidRDefault="00566C0D" w:rsidP="00566C0D">
      <w:pPr>
        <w:widowControl/>
        <w:spacing w:before="120" w:after="120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566C0D" w:rsidRPr="00566C0D" w:rsidRDefault="00566C0D" w:rsidP="00566C0D">
      <w:pPr>
        <w:widowControl/>
        <w:wordWrap w:val="0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嘉</w:t>
      </w:r>
      <w:proofErr w:type="gramStart"/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实基金</w:t>
      </w:r>
      <w:proofErr w:type="gramEnd"/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管理有限公司</w:t>
      </w:r>
    </w:p>
    <w:p w:rsidR="00566C0D" w:rsidRPr="00566C0D" w:rsidRDefault="00566C0D" w:rsidP="00566C0D">
      <w:pPr>
        <w:widowControl/>
        <w:wordWrap w:val="0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关于增加北京肯特瑞为嘉</w:t>
      </w:r>
      <w:proofErr w:type="gramStart"/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实核心</w:t>
      </w:r>
      <w:proofErr w:type="gramEnd"/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优势股票型发起式证券投资基金</w:t>
      </w:r>
    </w:p>
    <w:p w:rsidR="00566C0D" w:rsidRPr="00566C0D" w:rsidRDefault="00566C0D" w:rsidP="00566C0D">
      <w:pPr>
        <w:widowControl/>
        <w:wordWrap w:val="0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黑体" w:eastAsia="黑体" w:hAnsi="黑体" w:cs="Tahoma" w:hint="eastAsia"/>
          <w:b/>
          <w:bCs/>
          <w:color w:val="FF0000"/>
          <w:kern w:val="0"/>
          <w:sz w:val="28"/>
          <w:szCs w:val="28"/>
        </w:rPr>
        <w:t>代销机构的公告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根据嘉</w:t>
      </w:r>
      <w:proofErr w:type="gramStart"/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管理有限公司与北京肯特瑞财富投资管理有限公司（简称“北京肯特瑞”）签署的开放式基金代销协议，上述代销机构自</w:t>
      </w:r>
      <w:r w:rsidRPr="00566C0D">
        <w:rPr>
          <w:rFonts w:ascii="Arial" w:eastAsia="宋体" w:hAnsi="Arial" w:cs="Arial"/>
          <w:color w:val="000000"/>
          <w:kern w:val="0"/>
          <w:szCs w:val="21"/>
        </w:rPr>
        <w:t>2018</w:t>
      </w: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Pr="00566C0D">
        <w:rPr>
          <w:rFonts w:ascii="Arial" w:eastAsia="宋体" w:hAnsi="Arial" w:cs="Arial"/>
          <w:color w:val="000000"/>
          <w:kern w:val="0"/>
          <w:szCs w:val="21"/>
        </w:rPr>
        <w:t>1</w:t>
      </w: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Pr="00566C0D">
        <w:rPr>
          <w:rFonts w:ascii="Arial" w:eastAsia="宋体" w:hAnsi="Arial" w:cs="Arial"/>
          <w:color w:val="000000"/>
          <w:kern w:val="0"/>
          <w:szCs w:val="21"/>
        </w:rPr>
        <w:t>29</w:t>
      </w: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日起对所有投资者办理嘉</w:t>
      </w:r>
      <w:proofErr w:type="gramStart"/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实核心</w:t>
      </w:r>
      <w:proofErr w:type="gramEnd"/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优势股票型发起式证券投资基金的开户、认购等业务。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投资者可以通过以下途径咨询、了解有关详情：</w:t>
      </w:r>
    </w:p>
    <w:p w:rsidR="00566C0D" w:rsidRPr="00566C0D" w:rsidRDefault="00566C0D" w:rsidP="00566C0D">
      <w:pPr>
        <w:widowControl/>
        <w:wordWrap w:val="0"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1.</w:t>
      </w:r>
      <w:r w:rsidRPr="00566C0D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  </w:t>
      </w:r>
      <w:r w:rsidRPr="00566C0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北京肯特瑞财富投资管理有限公司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15"/>
        <w:gridCol w:w="2068"/>
        <w:gridCol w:w="1978"/>
      </w:tblGrid>
      <w:tr w:rsidR="00566C0D" w:rsidRPr="00566C0D" w:rsidTr="00566C0D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北京市海淀区中关村东路66号1号楼22层2603-06</w:t>
            </w:r>
          </w:p>
        </w:tc>
      </w:tr>
      <w:tr w:rsidR="00566C0D" w:rsidRPr="00566C0D" w:rsidTr="00566C0D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北京市海淀区中关村东路66号1号楼22层2603-06</w:t>
            </w:r>
          </w:p>
        </w:tc>
      </w:tr>
      <w:tr w:rsidR="00566C0D" w:rsidRPr="00566C0D" w:rsidTr="00566C0D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江卉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江卉</w:t>
            </w:r>
          </w:p>
        </w:tc>
      </w:tr>
      <w:tr w:rsidR="00566C0D" w:rsidRPr="00566C0D" w:rsidTr="00566C0D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4000988511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010-89188000</w:t>
            </w:r>
          </w:p>
        </w:tc>
      </w:tr>
      <w:tr w:rsidR="00566C0D" w:rsidRPr="00566C0D" w:rsidTr="00566C0D"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inherit" w:eastAsia="宋体" w:hAnsi="inherit" w:cs="Tahoma"/>
                <w:color w:val="000000"/>
                <w:kern w:val="0"/>
                <w:szCs w:val="21"/>
              </w:rPr>
              <w:t> </w:t>
            </w:r>
            <w:r w:rsidRPr="00566C0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http://fund.jd.com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客</w:t>
            </w:r>
            <w:proofErr w:type="gramStart"/>
            <w:r w:rsidRPr="00566C0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服电话</w:t>
            </w:r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0D" w:rsidRPr="00566C0D" w:rsidRDefault="00566C0D" w:rsidP="00566C0D">
            <w:pPr>
              <w:widowControl/>
              <w:wordWrap w:val="0"/>
              <w:spacing w:line="400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566C0D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400-088-8816</w:t>
            </w:r>
          </w:p>
        </w:tc>
      </w:tr>
    </w:tbl>
    <w:p w:rsidR="00566C0D" w:rsidRPr="00566C0D" w:rsidRDefault="00566C0D" w:rsidP="00566C0D">
      <w:pPr>
        <w:widowControl/>
        <w:wordWrap w:val="0"/>
        <w:spacing w:line="207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2.</w:t>
      </w:r>
      <w:r w:rsidRPr="00566C0D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    </w:t>
      </w:r>
      <w:r w:rsidRPr="00566C0D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  <w:r w:rsidRPr="00566C0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嘉</w:t>
      </w:r>
      <w:proofErr w:type="gramStart"/>
      <w:r w:rsidRPr="00566C0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实基金</w:t>
      </w:r>
      <w:proofErr w:type="gramEnd"/>
      <w:r w:rsidRPr="00566C0D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管理有限公司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566C0D">
        <w:rPr>
          <w:rFonts w:ascii="Arial" w:eastAsia="宋体" w:hAnsi="Arial" w:cs="Arial"/>
          <w:color w:val="000000"/>
          <w:kern w:val="0"/>
          <w:szCs w:val="21"/>
        </w:rPr>
        <w:t>400-600-8800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网址：</w:t>
      </w:r>
      <w:r w:rsidRPr="00566C0D">
        <w:rPr>
          <w:rFonts w:ascii="Arial" w:eastAsia="宋体" w:hAnsi="Arial" w:cs="Arial"/>
          <w:color w:val="000000"/>
          <w:kern w:val="0"/>
          <w:szCs w:val="21"/>
        </w:rPr>
        <w:t>www.jsfund.cn</w:t>
      </w:r>
    </w:p>
    <w:p w:rsidR="00566C0D" w:rsidRPr="00566C0D" w:rsidRDefault="00566C0D" w:rsidP="00566C0D">
      <w:pPr>
        <w:widowControl/>
        <w:wordWrap w:val="0"/>
        <w:spacing w:line="22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欢迎广大投资者垂询、惠顾办理本基金的开户、认购等相关业务。</w:t>
      </w:r>
    </w:p>
    <w:p w:rsidR="00566C0D" w:rsidRPr="00566C0D" w:rsidRDefault="00566C0D" w:rsidP="00566C0D">
      <w:pPr>
        <w:widowControl/>
        <w:wordWrap w:val="0"/>
        <w:spacing w:line="22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宋体" w:eastAsia="宋体" w:hAnsi="宋体" w:cs="Tahoma" w:hint="eastAsia"/>
          <w:color w:val="000000"/>
          <w:kern w:val="0"/>
          <w:szCs w:val="21"/>
        </w:rPr>
        <w:t>特此公告。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嘉</w:t>
      </w:r>
      <w:proofErr w:type="gramStart"/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管理有限公司</w:t>
      </w:r>
    </w:p>
    <w:p w:rsidR="00566C0D" w:rsidRPr="00566C0D" w:rsidRDefault="00566C0D" w:rsidP="00566C0D">
      <w:pPr>
        <w:widowControl/>
        <w:wordWrap w:val="0"/>
        <w:spacing w:line="270" w:lineRule="atLeast"/>
        <w:ind w:firstLine="241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 xml:space="preserve">　　</w:t>
      </w:r>
      <w:r w:rsidRPr="00566C0D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年</w:t>
      </w:r>
      <w:r w:rsidRPr="00566C0D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月</w:t>
      </w:r>
      <w:r w:rsidRPr="00566C0D">
        <w:rPr>
          <w:rFonts w:ascii="Arial" w:eastAsia="宋体" w:hAnsi="Arial" w:cs="Arial"/>
          <w:color w:val="000000"/>
          <w:kern w:val="0"/>
          <w:sz w:val="24"/>
          <w:szCs w:val="24"/>
        </w:rPr>
        <w:t>29</w:t>
      </w:r>
      <w:r w:rsidRPr="00566C0D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日</w:t>
      </w:r>
    </w:p>
    <w:p w:rsidR="00566C0D" w:rsidRPr="00566C0D" w:rsidRDefault="00566C0D" w:rsidP="00566C0D">
      <w:pPr>
        <w:widowControl/>
        <w:wordWrap w:val="0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566C0D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BA6F61" w:rsidRDefault="00BA6F61"/>
    <w:sectPr w:rsidR="00BA6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0D"/>
    <w:rsid w:val="00566C0D"/>
    <w:rsid w:val="00B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66C0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66C0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6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66C0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66C0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6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2018-01-29T05:22:00Z</dcterms:created>
  <dcterms:modified xsi:type="dcterms:W3CDTF">2018-01-29T05:22:00Z</dcterms:modified>
</cp:coreProperties>
</file>