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7E" w:rsidRPr="001C727E" w:rsidRDefault="001C727E" w:rsidP="001C727E">
      <w:pPr>
        <w:widowControl/>
        <w:jc w:val="left"/>
        <w:rPr>
          <w:rFonts w:ascii="宋体" w:eastAsia="宋体" w:hAnsi="宋体" w:cs="宋体"/>
          <w:kern w:val="0"/>
          <w:sz w:val="24"/>
          <w:szCs w:val="24"/>
        </w:rPr>
      </w:pPr>
      <w:proofErr w:type="gramStart"/>
      <w:r w:rsidRPr="001C727E">
        <w:rPr>
          <w:rFonts w:ascii="宋体" w:eastAsia="宋体" w:hAnsi="宋体" w:cs="宋体"/>
          <w:kern w:val="0"/>
          <w:sz w:val="24"/>
          <w:szCs w:val="24"/>
        </w:rPr>
        <w:t>九泰基金</w:t>
      </w:r>
      <w:proofErr w:type="gramEnd"/>
      <w:r w:rsidRPr="001C727E">
        <w:rPr>
          <w:rFonts w:ascii="宋体" w:eastAsia="宋体" w:hAnsi="宋体" w:cs="宋体"/>
          <w:kern w:val="0"/>
          <w:sz w:val="24"/>
          <w:szCs w:val="24"/>
        </w:rPr>
        <w:t>管理有限公司关于增加中信银行为销售机构并参与其费率优惠活动的公告</w:t>
      </w:r>
      <w:bookmarkStart w:id="0" w:name="_GoBack"/>
      <w:bookmarkEnd w:id="0"/>
    </w:p>
    <w:p w:rsidR="001C727E" w:rsidRPr="001C727E" w:rsidRDefault="001C727E" w:rsidP="001C727E">
      <w:pPr>
        <w:widowControl/>
        <w:shd w:val="clear" w:color="auto" w:fill="FBFBFB"/>
        <w:spacing w:line="432" w:lineRule="atLeast"/>
        <w:jc w:val="left"/>
        <w:rPr>
          <w:rFonts w:ascii="Arial" w:eastAsia="宋体" w:hAnsi="Arial" w:cs="Arial"/>
          <w:color w:val="535353"/>
          <w:kern w:val="0"/>
          <w:szCs w:val="21"/>
        </w:rPr>
      </w:pPr>
      <w:r w:rsidRPr="001C727E">
        <w:rPr>
          <w:rFonts w:ascii="Arial" w:eastAsia="宋体" w:hAnsi="Arial" w:cs="Arial"/>
          <w:color w:val="535353"/>
          <w:kern w:val="0"/>
          <w:szCs w:val="21"/>
        </w:rPr>
        <w:t>时间：</w:t>
      </w:r>
      <w:r w:rsidRPr="001C727E">
        <w:rPr>
          <w:rFonts w:ascii="Arial" w:eastAsia="宋体" w:hAnsi="Arial" w:cs="Arial"/>
          <w:color w:val="535353"/>
          <w:kern w:val="0"/>
          <w:szCs w:val="21"/>
        </w:rPr>
        <w:t>2018-01-30</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proofErr w:type="gramStart"/>
      <w:r w:rsidRPr="001C727E">
        <w:rPr>
          <w:rFonts w:ascii="宋体" w:eastAsia="宋体" w:hAnsi="宋体" w:cs="Arial" w:hint="eastAsia"/>
          <w:color w:val="535353"/>
          <w:kern w:val="0"/>
          <w:szCs w:val="21"/>
        </w:rPr>
        <w:t>根据九泰基金</w:t>
      </w:r>
      <w:proofErr w:type="gramEnd"/>
      <w:r w:rsidRPr="001C727E">
        <w:rPr>
          <w:rFonts w:ascii="宋体" w:eastAsia="宋体" w:hAnsi="宋体" w:cs="Arial" w:hint="eastAsia"/>
          <w:color w:val="535353"/>
          <w:kern w:val="0"/>
          <w:szCs w:val="21"/>
        </w:rPr>
        <w:t>管理有限公司（以下简称“本公司”）与中信银行股份有限公司（以下简称“中信银行”）签署的基金销售服务协议，自2018年1月30日起，本公司将增加中信银行为旗下部分基金销售机构并开通相关业务。同时，为满足广大投资者的理财需求，将参与其费率优惠活动。</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现将有关事项公告如下：</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b/>
          <w:bCs/>
          <w:color w:val="535353"/>
          <w:kern w:val="0"/>
          <w:szCs w:val="21"/>
        </w:rPr>
        <w:t>一、适用基金及业务范围</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投资者可通过中信银行办理列表中对应基金的相关业务，具体的业务流程、办理时间和办理方式以中信银行的规定为准。</w:t>
      </w:r>
    </w:p>
    <w:tbl>
      <w:tblPr>
        <w:tblW w:w="0" w:type="auto"/>
        <w:jc w:val="center"/>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1393"/>
        <w:gridCol w:w="1431"/>
        <w:gridCol w:w="1393"/>
        <w:gridCol w:w="1393"/>
        <w:gridCol w:w="1393"/>
        <w:gridCol w:w="1393"/>
      </w:tblGrid>
      <w:tr w:rsidR="001C727E" w:rsidRPr="001C727E" w:rsidTr="001C727E">
        <w:trPr>
          <w:jc w:val="center"/>
        </w:trPr>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编号</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基金代码</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基金名称</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申购赎回业务</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定期定额投资</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是否参加费率优惠</w:t>
            </w:r>
          </w:p>
        </w:tc>
      </w:tr>
      <w:tr w:rsidR="001C727E" w:rsidRPr="001C727E" w:rsidTr="001C727E">
        <w:trPr>
          <w:jc w:val="center"/>
        </w:trPr>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1</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A类：001897 C类：004510</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proofErr w:type="gramStart"/>
            <w:r w:rsidRPr="001C727E">
              <w:rPr>
                <w:rFonts w:ascii="宋体" w:eastAsia="宋体" w:hAnsi="宋体" w:cs="宋体" w:hint="eastAsia"/>
                <w:kern w:val="0"/>
                <w:szCs w:val="21"/>
              </w:rPr>
              <w:t>九泰久盛</w:t>
            </w:r>
            <w:proofErr w:type="gramEnd"/>
            <w:r w:rsidRPr="001C727E">
              <w:rPr>
                <w:rFonts w:ascii="宋体" w:eastAsia="宋体" w:hAnsi="宋体" w:cs="宋体" w:hint="eastAsia"/>
                <w:kern w:val="0"/>
                <w:szCs w:val="21"/>
              </w:rPr>
              <w:t>量化先锋灵活配置混合型证券投资基金</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开通</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开通</w:t>
            </w:r>
          </w:p>
        </w:tc>
        <w:tc>
          <w:tcPr>
            <w:tcW w:w="1500" w:type="dxa"/>
            <w:tcBorders>
              <w:top w:val="single" w:sz="6" w:space="0" w:color="DDDDDD"/>
              <w:left w:val="single" w:sz="6" w:space="0" w:color="DDDDDD"/>
              <w:bottom w:val="single" w:sz="6" w:space="0" w:color="CCCCCC"/>
              <w:right w:val="single" w:sz="6" w:space="0" w:color="CCCCCC"/>
            </w:tcBorders>
            <w:shd w:val="clear" w:color="auto" w:fill="FFFFFF"/>
            <w:tcMar>
              <w:top w:w="45" w:type="dxa"/>
              <w:left w:w="45" w:type="dxa"/>
              <w:bottom w:w="45" w:type="dxa"/>
              <w:right w:w="45" w:type="dxa"/>
            </w:tcMar>
            <w:vAlign w:val="center"/>
            <w:hideMark/>
          </w:tcPr>
          <w:p w:rsidR="001C727E" w:rsidRPr="001C727E" w:rsidRDefault="001C727E" w:rsidP="001C727E">
            <w:pPr>
              <w:widowControl/>
              <w:jc w:val="left"/>
              <w:rPr>
                <w:rFonts w:ascii="宋体" w:eastAsia="宋体" w:hAnsi="宋体" w:cs="宋体"/>
                <w:kern w:val="0"/>
                <w:sz w:val="24"/>
                <w:szCs w:val="24"/>
              </w:rPr>
            </w:pPr>
            <w:r w:rsidRPr="001C727E">
              <w:rPr>
                <w:rFonts w:ascii="宋体" w:eastAsia="宋体" w:hAnsi="宋体" w:cs="宋体" w:hint="eastAsia"/>
                <w:kern w:val="0"/>
                <w:szCs w:val="21"/>
              </w:rPr>
              <w:t>参加</w:t>
            </w:r>
          </w:p>
        </w:tc>
      </w:tr>
    </w:tbl>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b/>
          <w:bCs/>
          <w:color w:val="535353"/>
          <w:kern w:val="0"/>
          <w:szCs w:val="21"/>
        </w:rPr>
        <w:t>二、费率优惠活动</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1.定期定额投资业务介绍</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该业务相关规定如下：</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（1）除另有公告外，定期定额投资费率与日常申购费率相同。</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2）定期定额投资每期扣款金额：投资者通过中信银行办理定期定额投资业务，起点金额为1元。中信银行将按照与投资者申请时所约定的每期约定扣款日、扣款金额扣款，并在与基金日常申购业务相同的受理时间内提交申请。若</w:t>
      </w:r>
      <w:proofErr w:type="gramStart"/>
      <w:r w:rsidRPr="001C727E">
        <w:rPr>
          <w:rFonts w:ascii="宋体" w:eastAsia="宋体" w:hAnsi="宋体" w:cs="Arial" w:hint="eastAsia"/>
          <w:color w:val="535353"/>
          <w:kern w:val="0"/>
          <w:szCs w:val="21"/>
        </w:rPr>
        <w:t>遇非基金</w:t>
      </w:r>
      <w:proofErr w:type="gramEnd"/>
      <w:r w:rsidRPr="001C727E">
        <w:rPr>
          <w:rFonts w:ascii="宋体" w:eastAsia="宋体" w:hAnsi="宋体" w:cs="Arial" w:hint="eastAsia"/>
          <w:color w:val="535353"/>
          <w:kern w:val="0"/>
          <w:szCs w:val="21"/>
        </w:rPr>
        <w:t>开放日时，扣款是否顺延以中信银行的具体规定为准。具体扣款方式以中信银行的相关业务规则为准。</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（3）基金的注册登记人按照基金申购申请日（T日）的基金份额净值为基准计算申购份额，申购份额通常将在T+1工作日确认成功后直接计入投资者的基金账户，投资者可自T+2工作日起查询申购成交情况。</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（4）当发生限制申购或暂停申购的情形时，除另有公告外，定期定额投资与日常申购按相同的原则确认。</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（5）定期定额投资业务的其它具体办理程序请遵循中信银行的有关规定。</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2.费率优惠活动</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lastRenderedPageBreak/>
        <w:t>申购及定期定额投资均参与本次费率优惠活动，活动期间为2018年1月30日至2018年12月31日，若有变动，以中信银行相关公告为准。</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费率优惠活动期间，投资者通过中信银行智能</w:t>
      </w:r>
      <w:proofErr w:type="gramStart"/>
      <w:r w:rsidRPr="001C727E">
        <w:rPr>
          <w:rFonts w:ascii="宋体" w:eastAsia="宋体" w:hAnsi="宋体" w:cs="Arial" w:hint="eastAsia"/>
          <w:color w:val="535353"/>
          <w:kern w:val="0"/>
          <w:szCs w:val="21"/>
        </w:rPr>
        <w:t>投顾产品</w:t>
      </w:r>
      <w:proofErr w:type="gramEnd"/>
      <w:r w:rsidRPr="001C727E">
        <w:rPr>
          <w:rFonts w:ascii="宋体" w:eastAsia="宋体" w:hAnsi="宋体" w:cs="Arial" w:hint="eastAsia"/>
          <w:color w:val="535353"/>
          <w:kern w:val="0"/>
          <w:szCs w:val="21"/>
        </w:rPr>
        <w:t>组合“信智投”申购或定期定额投资上述适用基金，享有基金申购费率1折优惠，即实收申购费率＝原申购费率×0.1；原申购费率为固定费用的，则按原申购费率执行。</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上述适用基金的原申购费率参见各基金的相关法律文件及本公司发布的最新相关公告。</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b/>
          <w:bCs/>
          <w:color w:val="535353"/>
          <w:kern w:val="0"/>
          <w:szCs w:val="21"/>
        </w:rPr>
        <w:t>三、重要提示</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1.本公司所管理的尚未参加本优惠活动的开放式基金及今后发行的开放式基金是否参与此项优惠活动将根据具体情况确定。本优惠活动的规则以中信银行的规定为准。投资者欲了解基金产品的详细情况，请仔细阅读各基金的基金合同、更新的招募说明书等法律文件。本优惠活动仅适用于处于正常申购期的基金产品的日常申购手续费或定期定额投资手续费，不包括基金转换业务等其他业务的基金手续费。费率优惠活动期间，通过中信银行办理定期定额投资业务的投资者仅享有定期定额投资费率优惠，不同时享有申购费率优惠。</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2.本公司所管理的尚未开通定期定额投资业务的开放式基金及今后发行的开放式基金是否开通定期定额投资业务将根据具体情况确定并另行公告。若今后中信银行依据法律法规及基金相关法律文件对定期定额投资起点金额进行调整，在不低于本公司对各基金设定的定期定额投资起点金额的前提下，以中信银行最新规定为准。</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3.基金转换是指基金份额持有人按照《基金合同》和基金管理人届时有效公告规定的条件，申请将其持有基金管理人管理的、某一基金的基金份额转为基金管理人管理的、且由同一注册登记机构办理注册登记的其他</w:t>
      </w:r>
      <w:proofErr w:type="gramStart"/>
      <w:r w:rsidRPr="001C727E">
        <w:rPr>
          <w:rFonts w:ascii="宋体" w:eastAsia="宋体" w:hAnsi="宋体" w:cs="Arial" w:hint="eastAsia"/>
          <w:color w:val="535353"/>
          <w:kern w:val="0"/>
          <w:szCs w:val="21"/>
        </w:rPr>
        <w:t>基金基金</w:t>
      </w:r>
      <w:proofErr w:type="gramEnd"/>
      <w:r w:rsidRPr="001C727E">
        <w:rPr>
          <w:rFonts w:ascii="宋体" w:eastAsia="宋体" w:hAnsi="宋体" w:cs="Arial" w:hint="eastAsia"/>
          <w:color w:val="535353"/>
          <w:kern w:val="0"/>
          <w:szCs w:val="21"/>
        </w:rPr>
        <w:t>份额的行为。基金转换业务规则与转换费用请仔细阅读各基金的基金合同、更新的招募说明书等法律文件及相关公告。</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4.本公告的解释权</w:t>
      </w:r>
      <w:proofErr w:type="gramStart"/>
      <w:r w:rsidRPr="001C727E">
        <w:rPr>
          <w:rFonts w:ascii="宋体" w:eastAsia="宋体" w:hAnsi="宋体" w:cs="Arial" w:hint="eastAsia"/>
          <w:color w:val="535353"/>
          <w:kern w:val="0"/>
          <w:szCs w:val="21"/>
        </w:rPr>
        <w:t>归九泰</w:t>
      </w:r>
      <w:proofErr w:type="gramEnd"/>
      <w:r w:rsidRPr="001C727E">
        <w:rPr>
          <w:rFonts w:ascii="宋体" w:eastAsia="宋体" w:hAnsi="宋体" w:cs="Arial" w:hint="eastAsia"/>
          <w:color w:val="535353"/>
          <w:kern w:val="0"/>
          <w:szCs w:val="21"/>
        </w:rPr>
        <w:t>基金管理有限公司所有。</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b/>
          <w:bCs/>
          <w:color w:val="535353"/>
          <w:kern w:val="0"/>
          <w:szCs w:val="21"/>
        </w:rPr>
        <w:t>四、投资者可通过以下途径咨询有关详情</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1.中信银行</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注册地址：北京市东城区朝阳门北大街9号</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办公地址：北京市东城区朝阳门北大街9号</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法定代表人：李庆萍</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联系人：王晓琳</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客户服务电话：95558</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传真：010-85230049</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lastRenderedPageBreak/>
        <w:t>网址：bank.ecitic.com</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2.</w:t>
      </w:r>
      <w:proofErr w:type="gramStart"/>
      <w:r w:rsidRPr="001C727E">
        <w:rPr>
          <w:rFonts w:ascii="宋体" w:eastAsia="宋体" w:hAnsi="宋体" w:cs="Arial" w:hint="eastAsia"/>
          <w:color w:val="535353"/>
          <w:kern w:val="0"/>
          <w:szCs w:val="21"/>
        </w:rPr>
        <w:t>九泰基金</w:t>
      </w:r>
      <w:proofErr w:type="gramEnd"/>
      <w:r w:rsidRPr="001C727E">
        <w:rPr>
          <w:rFonts w:ascii="宋体" w:eastAsia="宋体" w:hAnsi="宋体" w:cs="Arial" w:hint="eastAsia"/>
          <w:color w:val="535353"/>
          <w:kern w:val="0"/>
          <w:szCs w:val="21"/>
        </w:rPr>
        <w:t>管理有限公司</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客户服务电话：400-628-0606</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网址：</w:t>
      </w:r>
      <w:hyperlink r:id="rId5" w:history="1">
        <w:r w:rsidRPr="001C727E">
          <w:rPr>
            <w:rFonts w:ascii="宋体" w:eastAsia="宋体" w:hAnsi="宋体" w:cs="Arial" w:hint="eastAsia"/>
            <w:color w:val="F35C11"/>
            <w:kern w:val="0"/>
            <w:szCs w:val="21"/>
            <w:u w:val="single"/>
          </w:rPr>
          <w:t>www.jtamc.com</w:t>
        </w:r>
      </w:hyperlink>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风险提示：</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基金管理人承诺以诚实信用、勤勉尽责的原则管理和运用基金资产，但不保证基金一定盈利，也不保证最低收益。定期定额投资是引导投资人进行长期投资、平均投资成本的一种简单易行的投资方式。但是定期定额投资并不能规避基金投资所固有的风险，不能保证投资人获得收益，也不是替代储蓄的等效理财方式。</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w:t>
      </w:r>
      <w:proofErr w:type="gramStart"/>
      <w:r w:rsidRPr="001C727E">
        <w:rPr>
          <w:rFonts w:ascii="宋体" w:eastAsia="宋体" w:hAnsi="宋体" w:cs="Arial" w:hint="eastAsia"/>
          <w:color w:val="535353"/>
          <w:kern w:val="0"/>
          <w:szCs w:val="21"/>
        </w:rPr>
        <w:t>作出</w:t>
      </w:r>
      <w:proofErr w:type="gramEnd"/>
      <w:r w:rsidRPr="001C727E">
        <w:rPr>
          <w:rFonts w:ascii="宋体" w:eastAsia="宋体" w:hAnsi="宋体" w:cs="Arial" w:hint="eastAsia"/>
          <w:color w:val="535353"/>
          <w:kern w:val="0"/>
          <w:szCs w:val="21"/>
        </w:rPr>
        <w:t>独立决策，选择合适的基金产品。</w:t>
      </w:r>
    </w:p>
    <w:p w:rsidR="001C727E" w:rsidRPr="001C727E" w:rsidRDefault="001C727E" w:rsidP="001C727E">
      <w:pPr>
        <w:widowControl/>
        <w:shd w:val="clear" w:color="auto" w:fill="FBFBFB"/>
        <w:spacing w:line="432" w:lineRule="atLeast"/>
        <w:ind w:firstLine="480"/>
        <w:jc w:val="left"/>
        <w:rPr>
          <w:rFonts w:ascii="Arial" w:eastAsia="宋体" w:hAnsi="Arial" w:cs="Arial"/>
          <w:color w:val="535353"/>
          <w:kern w:val="0"/>
          <w:szCs w:val="21"/>
        </w:rPr>
      </w:pPr>
      <w:r w:rsidRPr="001C727E">
        <w:rPr>
          <w:rFonts w:ascii="宋体" w:eastAsia="宋体" w:hAnsi="宋体" w:cs="Arial" w:hint="eastAsia"/>
          <w:color w:val="535353"/>
          <w:kern w:val="0"/>
          <w:szCs w:val="21"/>
        </w:rPr>
        <w:t>特此公告。</w:t>
      </w:r>
    </w:p>
    <w:p w:rsidR="001C727E" w:rsidRPr="001C727E" w:rsidRDefault="001C727E" w:rsidP="001C727E">
      <w:pPr>
        <w:widowControl/>
        <w:shd w:val="clear" w:color="auto" w:fill="FBFBFB"/>
        <w:spacing w:line="432" w:lineRule="atLeast"/>
        <w:ind w:firstLine="480"/>
        <w:jc w:val="right"/>
        <w:rPr>
          <w:rFonts w:ascii="Arial" w:eastAsia="宋体" w:hAnsi="Arial" w:cs="Arial"/>
          <w:color w:val="535353"/>
          <w:kern w:val="0"/>
          <w:szCs w:val="21"/>
        </w:rPr>
      </w:pPr>
      <w:proofErr w:type="gramStart"/>
      <w:r w:rsidRPr="001C727E">
        <w:rPr>
          <w:rFonts w:ascii="宋体" w:eastAsia="宋体" w:hAnsi="宋体" w:cs="Arial" w:hint="eastAsia"/>
          <w:color w:val="535353"/>
          <w:kern w:val="0"/>
          <w:szCs w:val="21"/>
        </w:rPr>
        <w:t>九泰基金</w:t>
      </w:r>
      <w:proofErr w:type="gramEnd"/>
      <w:r w:rsidRPr="001C727E">
        <w:rPr>
          <w:rFonts w:ascii="宋体" w:eastAsia="宋体" w:hAnsi="宋体" w:cs="Arial" w:hint="eastAsia"/>
          <w:color w:val="535353"/>
          <w:kern w:val="0"/>
          <w:szCs w:val="21"/>
        </w:rPr>
        <w:t>管理有限公司</w:t>
      </w:r>
    </w:p>
    <w:p w:rsidR="001C727E" w:rsidRPr="001C727E" w:rsidRDefault="001C727E" w:rsidP="001C727E">
      <w:pPr>
        <w:widowControl/>
        <w:shd w:val="clear" w:color="auto" w:fill="FBFBFB"/>
        <w:spacing w:line="432" w:lineRule="atLeast"/>
        <w:ind w:firstLine="480"/>
        <w:jc w:val="right"/>
        <w:rPr>
          <w:rFonts w:ascii="Arial" w:eastAsia="宋体" w:hAnsi="Arial" w:cs="Arial"/>
          <w:color w:val="535353"/>
          <w:kern w:val="0"/>
          <w:szCs w:val="21"/>
        </w:rPr>
      </w:pPr>
      <w:r w:rsidRPr="001C727E">
        <w:rPr>
          <w:rFonts w:ascii="宋体" w:eastAsia="宋体" w:hAnsi="宋体" w:cs="Arial" w:hint="eastAsia"/>
          <w:color w:val="535353"/>
          <w:kern w:val="0"/>
          <w:szCs w:val="21"/>
        </w:rPr>
        <w:t>2018年1月30日</w:t>
      </w:r>
    </w:p>
    <w:p w:rsidR="00DE1582" w:rsidRDefault="00DE1582"/>
    <w:sectPr w:rsidR="00DE15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7E"/>
    <w:rsid w:val="001C727E"/>
    <w:rsid w:val="00DE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2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727E"/>
    <w:rPr>
      <w:b/>
      <w:bCs/>
    </w:rPr>
  </w:style>
  <w:style w:type="character" w:styleId="a5">
    <w:name w:val="Hyperlink"/>
    <w:basedOn w:val="a0"/>
    <w:uiPriority w:val="99"/>
    <w:semiHidden/>
    <w:unhideWhenUsed/>
    <w:rsid w:val="001C72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727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C727E"/>
    <w:rPr>
      <w:b/>
      <w:bCs/>
    </w:rPr>
  </w:style>
  <w:style w:type="character" w:styleId="a5">
    <w:name w:val="Hyperlink"/>
    <w:basedOn w:val="a0"/>
    <w:uiPriority w:val="99"/>
    <w:semiHidden/>
    <w:unhideWhenUsed/>
    <w:rsid w:val="001C7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320356">
      <w:bodyDiv w:val="1"/>
      <w:marLeft w:val="0"/>
      <w:marRight w:val="0"/>
      <w:marTop w:val="0"/>
      <w:marBottom w:val="0"/>
      <w:divBdr>
        <w:top w:val="none" w:sz="0" w:space="0" w:color="auto"/>
        <w:left w:val="none" w:sz="0" w:space="0" w:color="auto"/>
        <w:bottom w:val="none" w:sz="0" w:space="0" w:color="auto"/>
        <w:right w:val="none" w:sz="0" w:space="0" w:color="auto"/>
      </w:divBdr>
      <w:divsChild>
        <w:div w:id="133955869">
          <w:marLeft w:val="0"/>
          <w:marRight w:val="0"/>
          <w:marTop w:val="0"/>
          <w:marBottom w:val="0"/>
          <w:divBdr>
            <w:top w:val="none" w:sz="0" w:space="0" w:color="auto"/>
            <w:left w:val="none" w:sz="0" w:space="0" w:color="auto"/>
            <w:bottom w:val="none" w:sz="0" w:space="0" w:color="auto"/>
            <w:right w:val="none" w:sz="0" w:space="0" w:color="auto"/>
          </w:divBdr>
          <w:divsChild>
            <w:div w:id="1866481362">
              <w:marLeft w:val="0"/>
              <w:marRight w:val="0"/>
              <w:marTop w:val="0"/>
              <w:marBottom w:val="0"/>
              <w:divBdr>
                <w:top w:val="none" w:sz="0" w:space="0" w:color="auto"/>
                <w:left w:val="none" w:sz="0" w:space="0" w:color="auto"/>
                <w:bottom w:val="none" w:sz="0" w:space="0" w:color="auto"/>
                <w:right w:val="none" w:sz="0" w:space="0" w:color="auto"/>
              </w:divBdr>
              <w:divsChild>
                <w:div w:id="15281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tam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2018-01-30T06:33:00Z</dcterms:created>
  <dcterms:modified xsi:type="dcterms:W3CDTF">2018-01-30T06:34:00Z</dcterms:modified>
</cp:coreProperties>
</file>