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79F" w:rsidRPr="00A6779F" w:rsidRDefault="00A6779F" w:rsidP="00A6779F">
      <w:pPr>
        <w:widowControl/>
        <w:spacing w:line="420" w:lineRule="atLeast"/>
        <w:jc w:val="left"/>
        <w:outlineLvl w:val="0"/>
        <w:rPr>
          <w:rFonts w:ascii="微软雅黑" w:eastAsia="微软雅黑" w:hAnsi="微软雅黑" w:cs="宋体"/>
          <w:color w:val="0096DD"/>
          <w:kern w:val="36"/>
          <w:sz w:val="33"/>
          <w:szCs w:val="33"/>
        </w:rPr>
      </w:pPr>
      <w:r w:rsidRPr="00A6779F">
        <w:rPr>
          <w:rFonts w:ascii="微软雅黑" w:eastAsia="微软雅黑" w:hAnsi="微软雅黑" w:cs="宋体" w:hint="eastAsia"/>
          <w:color w:val="0096DD"/>
          <w:kern w:val="36"/>
          <w:sz w:val="33"/>
          <w:szCs w:val="33"/>
        </w:rPr>
        <w:t>富国成长优选三年定期开放灵活配置混合型证券投资基金基金合同生效公告</w:t>
      </w:r>
    </w:p>
    <w:p w:rsidR="00A6779F" w:rsidRPr="00A6779F" w:rsidRDefault="00A6779F" w:rsidP="00A6779F">
      <w:pPr>
        <w:widowControl/>
        <w:spacing w:line="660" w:lineRule="atLeast"/>
        <w:jc w:val="left"/>
        <w:rPr>
          <w:rFonts w:ascii="微软雅黑" w:eastAsia="微软雅黑" w:hAnsi="微软雅黑" w:cs="宋体" w:hint="eastAsia"/>
          <w:color w:val="333333"/>
          <w:kern w:val="0"/>
          <w:sz w:val="20"/>
          <w:szCs w:val="20"/>
        </w:rPr>
      </w:pPr>
      <w:r w:rsidRPr="00A6779F">
        <w:rPr>
          <w:rFonts w:ascii="微软雅黑" w:eastAsia="微软雅黑" w:hAnsi="微软雅黑" w:cs="宋体" w:hint="eastAsia"/>
          <w:color w:val="333333"/>
          <w:kern w:val="0"/>
          <w:sz w:val="20"/>
          <w:szCs w:val="20"/>
        </w:rPr>
        <w:t>日期：2018-02-01　　字体大小：</w:t>
      </w:r>
      <w:r w:rsidRPr="00A6779F">
        <w:rPr>
          <w:rFonts w:ascii="微软雅黑" w:eastAsia="微软雅黑" w:hAnsi="微软雅黑" w:cs="宋体" w:hint="eastAsia"/>
          <w:color w:val="333333"/>
          <w:kern w:val="0"/>
          <w:szCs w:val="21"/>
        </w:rPr>
        <w:t>T</w:t>
      </w:r>
      <w:r w:rsidRPr="00A6779F">
        <w:rPr>
          <w:rFonts w:ascii="微软雅黑" w:eastAsia="微软雅黑" w:hAnsi="微软雅黑" w:cs="宋体" w:hint="eastAsia"/>
          <w:color w:val="333333"/>
          <w:kern w:val="0"/>
          <w:sz w:val="24"/>
          <w:szCs w:val="24"/>
        </w:rPr>
        <w:t>T</w:t>
      </w:r>
      <w:r w:rsidRPr="00A6779F">
        <w:rPr>
          <w:rFonts w:ascii="微软雅黑" w:eastAsia="微软雅黑" w:hAnsi="微软雅黑" w:cs="宋体" w:hint="eastAsia"/>
          <w:color w:val="333333"/>
          <w:kern w:val="0"/>
          <w:sz w:val="27"/>
          <w:szCs w:val="27"/>
        </w:rPr>
        <w:t>T</w:t>
      </w:r>
    </w:p>
    <w:p w:rsidR="00A6779F" w:rsidRPr="00A6779F" w:rsidRDefault="00A6779F" w:rsidP="00A6779F">
      <w:pPr>
        <w:widowControl/>
        <w:spacing w:after="150" w:line="390" w:lineRule="atLeast"/>
        <w:ind w:firstLine="480"/>
        <w:jc w:val="left"/>
        <w:rPr>
          <w:rFonts w:ascii="微软雅黑" w:eastAsia="微软雅黑" w:hAnsi="微软雅黑" w:cs="宋体" w:hint="eastAsia"/>
          <w:color w:val="595757"/>
          <w:kern w:val="0"/>
          <w:szCs w:val="21"/>
        </w:rPr>
      </w:pPr>
      <w:r w:rsidRPr="00A6779F">
        <w:rPr>
          <w:rFonts w:ascii="宋体" w:eastAsia="宋体" w:hAnsi="宋体" w:cs="宋体" w:hint="eastAsia"/>
          <w:color w:val="595757"/>
          <w:kern w:val="0"/>
          <w:szCs w:val="21"/>
        </w:rPr>
        <w:t> </w:t>
      </w:r>
    </w:p>
    <w:p w:rsidR="00A6779F" w:rsidRPr="00A6779F" w:rsidRDefault="00A6779F" w:rsidP="00A6779F">
      <w:pPr>
        <w:widowControl/>
        <w:spacing w:line="390" w:lineRule="atLeast"/>
        <w:jc w:val="left"/>
        <w:outlineLvl w:val="1"/>
        <w:rPr>
          <w:rFonts w:ascii="微软雅黑" w:eastAsia="微软雅黑" w:hAnsi="微软雅黑" w:cs="宋体" w:hint="eastAsia"/>
          <w:color w:val="595757"/>
          <w:kern w:val="0"/>
          <w:szCs w:val="21"/>
        </w:rPr>
      </w:pPr>
      <w:r w:rsidRPr="00A6779F">
        <w:rPr>
          <w:rFonts w:ascii="微软雅黑" w:eastAsia="微软雅黑" w:hAnsi="微软雅黑" w:cs="宋体" w:hint="eastAsia"/>
          <w:color w:val="595757"/>
          <w:kern w:val="0"/>
          <w:szCs w:val="21"/>
        </w:rPr>
        <w:t>1.        公告基本信息</w:t>
      </w:r>
    </w:p>
    <w:tbl>
      <w:tblPr>
        <w:tblW w:w="8520" w:type="dxa"/>
        <w:tblBorders>
          <w:top w:val="single" w:sz="6" w:space="0" w:color="auto"/>
          <w:left w:val="single" w:sz="6" w:space="0" w:color="auto"/>
        </w:tblBorders>
        <w:tblCellMar>
          <w:left w:w="0" w:type="dxa"/>
          <w:right w:w="0" w:type="dxa"/>
        </w:tblCellMar>
        <w:tblLook w:val="04A0" w:firstRow="1" w:lastRow="0" w:firstColumn="1" w:lastColumn="0" w:noHBand="0" w:noVBand="1"/>
      </w:tblPr>
      <w:tblGrid>
        <w:gridCol w:w="2280"/>
        <w:gridCol w:w="6240"/>
      </w:tblGrid>
      <w:tr w:rsidR="00A6779F" w:rsidRPr="00A6779F" w:rsidTr="00A6779F">
        <w:tc>
          <w:tcPr>
            <w:tcW w:w="2280" w:type="dxa"/>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基金名称</w:t>
            </w:r>
          </w:p>
        </w:tc>
        <w:tc>
          <w:tcPr>
            <w:tcW w:w="6240" w:type="dxa"/>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富国成长优选三年定期开放灵活配置混合型证券投资基金</w:t>
            </w:r>
          </w:p>
        </w:tc>
      </w:tr>
      <w:tr w:rsidR="00A6779F" w:rsidRPr="00A6779F" w:rsidTr="00A6779F">
        <w:tc>
          <w:tcPr>
            <w:tcW w:w="2280" w:type="dxa"/>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基金简称</w:t>
            </w:r>
          </w:p>
        </w:tc>
        <w:tc>
          <w:tcPr>
            <w:tcW w:w="6240" w:type="dxa"/>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富国成长优选三年定开混合</w:t>
            </w:r>
          </w:p>
        </w:tc>
      </w:tr>
      <w:tr w:rsidR="00A6779F" w:rsidRPr="00A6779F" w:rsidTr="00A6779F">
        <w:tc>
          <w:tcPr>
            <w:tcW w:w="2280" w:type="dxa"/>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基金主代码</w:t>
            </w:r>
          </w:p>
        </w:tc>
        <w:tc>
          <w:tcPr>
            <w:tcW w:w="6240" w:type="dxa"/>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005549</w:t>
            </w:r>
          </w:p>
        </w:tc>
      </w:tr>
      <w:tr w:rsidR="00A6779F" w:rsidRPr="00A6779F" w:rsidTr="00A6779F">
        <w:tc>
          <w:tcPr>
            <w:tcW w:w="2280" w:type="dxa"/>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基金运作方式</w:t>
            </w:r>
          </w:p>
        </w:tc>
        <w:tc>
          <w:tcPr>
            <w:tcW w:w="6240" w:type="dxa"/>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契约型，本基金以定期开放方式运作，即采取在封闭期内封闭运作、封闭期与封闭期之间定期开放的运作方式</w:t>
            </w:r>
          </w:p>
        </w:tc>
      </w:tr>
      <w:tr w:rsidR="00A6779F" w:rsidRPr="00A6779F" w:rsidTr="00A6779F">
        <w:tc>
          <w:tcPr>
            <w:tcW w:w="2280" w:type="dxa"/>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基金合同生效日</w:t>
            </w:r>
          </w:p>
        </w:tc>
        <w:tc>
          <w:tcPr>
            <w:tcW w:w="6240" w:type="dxa"/>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2018年1月31日</w:t>
            </w:r>
          </w:p>
        </w:tc>
      </w:tr>
      <w:tr w:rsidR="00A6779F" w:rsidRPr="00A6779F" w:rsidTr="00A6779F">
        <w:tc>
          <w:tcPr>
            <w:tcW w:w="2280" w:type="dxa"/>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基金管理人名称</w:t>
            </w:r>
          </w:p>
        </w:tc>
        <w:tc>
          <w:tcPr>
            <w:tcW w:w="6240" w:type="dxa"/>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富国基金管理有限公司</w:t>
            </w:r>
          </w:p>
        </w:tc>
      </w:tr>
      <w:tr w:rsidR="00A6779F" w:rsidRPr="00A6779F" w:rsidTr="00A6779F">
        <w:tc>
          <w:tcPr>
            <w:tcW w:w="2280" w:type="dxa"/>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基金托管人名称</w:t>
            </w:r>
          </w:p>
        </w:tc>
        <w:tc>
          <w:tcPr>
            <w:tcW w:w="6240" w:type="dxa"/>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中国工商银行股份有限公司</w:t>
            </w:r>
          </w:p>
        </w:tc>
      </w:tr>
      <w:tr w:rsidR="00A6779F" w:rsidRPr="00A6779F" w:rsidTr="00A6779F">
        <w:tc>
          <w:tcPr>
            <w:tcW w:w="2280" w:type="dxa"/>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公告依据</w:t>
            </w:r>
          </w:p>
        </w:tc>
        <w:tc>
          <w:tcPr>
            <w:tcW w:w="6240" w:type="dxa"/>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《中华人民共和国证券投资基金法》及配套法规、《富国成长优选三年定期开放灵活配置混合型证券投资基金基金合同》、《富国成长优选三年定期开放灵活配置混合型证券投资基金招募说明书》</w:t>
            </w:r>
          </w:p>
        </w:tc>
      </w:tr>
    </w:tbl>
    <w:p w:rsidR="00A6779F" w:rsidRPr="00A6779F" w:rsidRDefault="00A6779F" w:rsidP="00A6779F">
      <w:pPr>
        <w:widowControl/>
        <w:spacing w:line="390" w:lineRule="atLeast"/>
        <w:jc w:val="left"/>
        <w:outlineLvl w:val="1"/>
        <w:rPr>
          <w:rFonts w:ascii="微软雅黑" w:eastAsia="微软雅黑" w:hAnsi="微软雅黑" w:cs="宋体" w:hint="eastAsia"/>
          <w:color w:val="595757"/>
          <w:kern w:val="0"/>
          <w:szCs w:val="21"/>
        </w:rPr>
      </w:pPr>
      <w:r w:rsidRPr="00A6779F">
        <w:rPr>
          <w:rFonts w:ascii="微软雅黑" w:eastAsia="微软雅黑" w:hAnsi="微软雅黑" w:cs="宋体" w:hint="eastAsia"/>
          <w:color w:val="595757"/>
          <w:kern w:val="0"/>
          <w:szCs w:val="21"/>
        </w:rPr>
        <w:t>2.        基金募集情况</w:t>
      </w:r>
    </w:p>
    <w:tbl>
      <w:tblPr>
        <w:tblW w:w="9120" w:type="dxa"/>
        <w:tblBorders>
          <w:top w:val="single" w:sz="6" w:space="0" w:color="auto"/>
          <w:left w:val="single" w:sz="6" w:space="0" w:color="auto"/>
        </w:tblBorders>
        <w:tblCellMar>
          <w:left w:w="0" w:type="dxa"/>
          <w:right w:w="0" w:type="dxa"/>
        </w:tblCellMar>
        <w:tblLook w:val="04A0" w:firstRow="1" w:lastRow="0" w:firstColumn="1" w:lastColumn="0" w:noHBand="0" w:noVBand="1"/>
      </w:tblPr>
      <w:tblGrid>
        <w:gridCol w:w="2680"/>
        <w:gridCol w:w="3428"/>
        <w:gridCol w:w="3012"/>
      </w:tblGrid>
      <w:tr w:rsidR="00A6779F" w:rsidRPr="00A6779F" w:rsidTr="00A6779F">
        <w:tc>
          <w:tcPr>
            <w:tcW w:w="6105"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基金募集申请获中国证监会核准的文号</w:t>
            </w:r>
          </w:p>
        </w:tc>
        <w:tc>
          <w:tcPr>
            <w:tcW w:w="3015" w:type="dxa"/>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证监许可[2017]2404号</w:t>
            </w:r>
          </w:p>
        </w:tc>
      </w:tr>
      <w:tr w:rsidR="00A6779F" w:rsidRPr="00A6779F" w:rsidTr="00A6779F">
        <w:tc>
          <w:tcPr>
            <w:tcW w:w="610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基金募集期间</w:t>
            </w:r>
          </w:p>
        </w:tc>
        <w:tc>
          <w:tcPr>
            <w:tcW w:w="3015" w:type="dxa"/>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自2018年1月23日</w:t>
            </w:r>
          </w:p>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lastRenderedPageBreak/>
              <w:t>至2018年1月24日止</w:t>
            </w:r>
          </w:p>
        </w:tc>
      </w:tr>
      <w:tr w:rsidR="00A6779F" w:rsidRPr="00A6779F" w:rsidTr="00A6779F">
        <w:tc>
          <w:tcPr>
            <w:tcW w:w="610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lastRenderedPageBreak/>
              <w:t>验资机构名称</w:t>
            </w:r>
          </w:p>
        </w:tc>
        <w:tc>
          <w:tcPr>
            <w:tcW w:w="3015" w:type="dxa"/>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安永华明会计师事务所（特殊普通合伙）</w:t>
            </w:r>
          </w:p>
        </w:tc>
      </w:tr>
      <w:tr w:rsidR="00A6779F" w:rsidRPr="00A6779F" w:rsidTr="00A6779F">
        <w:tc>
          <w:tcPr>
            <w:tcW w:w="610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募集资金划入基金托管专户的日期</w:t>
            </w:r>
          </w:p>
        </w:tc>
        <w:tc>
          <w:tcPr>
            <w:tcW w:w="3015" w:type="dxa"/>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2018年1月26日</w:t>
            </w:r>
          </w:p>
        </w:tc>
      </w:tr>
      <w:tr w:rsidR="00A6779F" w:rsidRPr="00A6779F" w:rsidTr="00A6779F">
        <w:tc>
          <w:tcPr>
            <w:tcW w:w="610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募集有效认购总户数（单位：户）</w:t>
            </w:r>
          </w:p>
        </w:tc>
        <w:tc>
          <w:tcPr>
            <w:tcW w:w="3015" w:type="dxa"/>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58,564</w:t>
            </w:r>
          </w:p>
        </w:tc>
      </w:tr>
      <w:tr w:rsidR="00A6779F" w:rsidRPr="00A6779F" w:rsidTr="00A6779F">
        <w:tc>
          <w:tcPr>
            <w:tcW w:w="610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募集期间净认购金额（单位：人民币元）</w:t>
            </w:r>
          </w:p>
        </w:tc>
        <w:tc>
          <w:tcPr>
            <w:tcW w:w="3015" w:type="dxa"/>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2,615,206,604.35</w:t>
            </w:r>
          </w:p>
        </w:tc>
      </w:tr>
      <w:tr w:rsidR="00A6779F" w:rsidRPr="00A6779F" w:rsidTr="00A6779F">
        <w:tc>
          <w:tcPr>
            <w:tcW w:w="610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认购资金在募集期间产生的利息（单位：人民币元）</w:t>
            </w:r>
          </w:p>
        </w:tc>
        <w:tc>
          <w:tcPr>
            <w:tcW w:w="3015" w:type="dxa"/>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89,359.84</w:t>
            </w:r>
          </w:p>
        </w:tc>
      </w:tr>
      <w:tr w:rsidR="00A6779F" w:rsidRPr="00A6779F" w:rsidTr="00A6779F">
        <w:tc>
          <w:tcPr>
            <w:tcW w:w="26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募集份额（单位：份）</w:t>
            </w:r>
          </w:p>
        </w:tc>
        <w:tc>
          <w:tcPr>
            <w:tcW w:w="34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有效认购份额</w:t>
            </w:r>
          </w:p>
        </w:tc>
        <w:tc>
          <w:tcPr>
            <w:tcW w:w="3015" w:type="dxa"/>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2,615,206,604.35</w:t>
            </w:r>
          </w:p>
        </w:tc>
      </w:tr>
      <w:tr w:rsidR="00A6779F" w:rsidRPr="00A6779F" w:rsidTr="00A6779F">
        <w:tc>
          <w:tcPr>
            <w:tcW w:w="0" w:type="auto"/>
            <w:vMerge/>
            <w:tcBorders>
              <w:top w:val="nil"/>
              <w:left w:val="nil"/>
              <w:bottom w:val="single" w:sz="6" w:space="0" w:color="auto"/>
              <w:right w:val="single" w:sz="6" w:space="0" w:color="auto"/>
            </w:tcBorders>
            <w:vAlign w:val="center"/>
            <w:hideMark/>
          </w:tcPr>
          <w:p w:rsidR="00A6779F" w:rsidRPr="00A6779F" w:rsidRDefault="00A6779F" w:rsidP="00A6779F">
            <w:pPr>
              <w:widowControl/>
              <w:jc w:val="left"/>
              <w:rPr>
                <w:rFonts w:ascii="宋体" w:eastAsia="宋体" w:hAnsi="宋体" w:cs="宋体"/>
                <w:color w:val="595757"/>
                <w:kern w:val="0"/>
                <w:szCs w:val="21"/>
              </w:rPr>
            </w:pPr>
          </w:p>
        </w:tc>
        <w:tc>
          <w:tcPr>
            <w:tcW w:w="34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利息结转的份额</w:t>
            </w:r>
          </w:p>
        </w:tc>
        <w:tc>
          <w:tcPr>
            <w:tcW w:w="3015" w:type="dxa"/>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89,359.84</w:t>
            </w:r>
          </w:p>
        </w:tc>
      </w:tr>
      <w:tr w:rsidR="00A6779F" w:rsidRPr="00A6779F" w:rsidTr="00A6779F">
        <w:tc>
          <w:tcPr>
            <w:tcW w:w="0" w:type="auto"/>
            <w:vMerge/>
            <w:tcBorders>
              <w:top w:val="nil"/>
              <w:left w:val="nil"/>
              <w:bottom w:val="single" w:sz="6" w:space="0" w:color="auto"/>
              <w:right w:val="single" w:sz="6" w:space="0" w:color="auto"/>
            </w:tcBorders>
            <w:vAlign w:val="center"/>
            <w:hideMark/>
          </w:tcPr>
          <w:p w:rsidR="00A6779F" w:rsidRPr="00A6779F" w:rsidRDefault="00A6779F" w:rsidP="00A6779F">
            <w:pPr>
              <w:widowControl/>
              <w:jc w:val="left"/>
              <w:rPr>
                <w:rFonts w:ascii="宋体" w:eastAsia="宋体" w:hAnsi="宋体" w:cs="宋体"/>
                <w:color w:val="595757"/>
                <w:kern w:val="0"/>
                <w:szCs w:val="21"/>
              </w:rPr>
            </w:pPr>
          </w:p>
        </w:tc>
        <w:tc>
          <w:tcPr>
            <w:tcW w:w="34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合计</w:t>
            </w:r>
          </w:p>
        </w:tc>
        <w:tc>
          <w:tcPr>
            <w:tcW w:w="3015" w:type="dxa"/>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2,615,295,964.19</w:t>
            </w:r>
          </w:p>
        </w:tc>
      </w:tr>
      <w:tr w:rsidR="00A6779F" w:rsidRPr="00A6779F" w:rsidTr="00A6779F">
        <w:tc>
          <w:tcPr>
            <w:tcW w:w="26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其中：募集期间基金管理人运用固有资金认购本基金情况</w:t>
            </w:r>
          </w:p>
        </w:tc>
        <w:tc>
          <w:tcPr>
            <w:tcW w:w="34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认购的基金份额（单位：份）</w:t>
            </w:r>
          </w:p>
        </w:tc>
        <w:tc>
          <w:tcPr>
            <w:tcW w:w="3015" w:type="dxa"/>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0.00</w:t>
            </w:r>
          </w:p>
        </w:tc>
      </w:tr>
      <w:tr w:rsidR="00A6779F" w:rsidRPr="00A6779F" w:rsidTr="00A6779F">
        <w:tc>
          <w:tcPr>
            <w:tcW w:w="0" w:type="auto"/>
            <w:vMerge/>
            <w:tcBorders>
              <w:top w:val="nil"/>
              <w:left w:val="nil"/>
              <w:bottom w:val="single" w:sz="6" w:space="0" w:color="auto"/>
              <w:right w:val="single" w:sz="6" w:space="0" w:color="auto"/>
            </w:tcBorders>
            <w:vAlign w:val="center"/>
            <w:hideMark/>
          </w:tcPr>
          <w:p w:rsidR="00A6779F" w:rsidRPr="00A6779F" w:rsidRDefault="00A6779F" w:rsidP="00A6779F">
            <w:pPr>
              <w:widowControl/>
              <w:jc w:val="left"/>
              <w:rPr>
                <w:rFonts w:ascii="宋体" w:eastAsia="宋体" w:hAnsi="宋体" w:cs="宋体"/>
                <w:color w:val="595757"/>
                <w:kern w:val="0"/>
                <w:szCs w:val="21"/>
              </w:rPr>
            </w:pPr>
          </w:p>
        </w:tc>
        <w:tc>
          <w:tcPr>
            <w:tcW w:w="34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占基金总份额比例</w:t>
            </w:r>
          </w:p>
        </w:tc>
        <w:tc>
          <w:tcPr>
            <w:tcW w:w="3015" w:type="dxa"/>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0%</w:t>
            </w:r>
          </w:p>
        </w:tc>
      </w:tr>
      <w:tr w:rsidR="00A6779F" w:rsidRPr="00A6779F" w:rsidTr="00A6779F">
        <w:tc>
          <w:tcPr>
            <w:tcW w:w="0" w:type="auto"/>
            <w:vMerge/>
            <w:tcBorders>
              <w:top w:val="nil"/>
              <w:left w:val="nil"/>
              <w:bottom w:val="single" w:sz="6" w:space="0" w:color="auto"/>
              <w:right w:val="single" w:sz="6" w:space="0" w:color="auto"/>
            </w:tcBorders>
            <w:vAlign w:val="center"/>
            <w:hideMark/>
          </w:tcPr>
          <w:p w:rsidR="00A6779F" w:rsidRPr="00A6779F" w:rsidRDefault="00A6779F" w:rsidP="00A6779F">
            <w:pPr>
              <w:widowControl/>
              <w:jc w:val="left"/>
              <w:rPr>
                <w:rFonts w:ascii="宋体" w:eastAsia="宋体" w:hAnsi="宋体" w:cs="宋体"/>
                <w:color w:val="595757"/>
                <w:kern w:val="0"/>
                <w:szCs w:val="21"/>
              </w:rPr>
            </w:pPr>
          </w:p>
        </w:tc>
        <w:tc>
          <w:tcPr>
            <w:tcW w:w="34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其他需要说明的事项</w:t>
            </w:r>
          </w:p>
        </w:tc>
        <w:tc>
          <w:tcPr>
            <w:tcW w:w="3015" w:type="dxa"/>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无</w:t>
            </w:r>
          </w:p>
        </w:tc>
      </w:tr>
      <w:tr w:rsidR="00A6779F" w:rsidRPr="00A6779F" w:rsidTr="00A6779F">
        <w:tc>
          <w:tcPr>
            <w:tcW w:w="268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其中：募集期间基金管理人的从业人员认购本基金情况</w:t>
            </w:r>
          </w:p>
        </w:tc>
        <w:tc>
          <w:tcPr>
            <w:tcW w:w="34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认购的基金份额（单位：份）</w:t>
            </w:r>
          </w:p>
        </w:tc>
        <w:tc>
          <w:tcPr>
            <w:tcW w:w="3015" w:type="dxa"/>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8,091,385.72</w:t>
            </w:r>
          </w:p>
        </w:tc>
      </w:tr>
      <w:tr w:rsidR="00A6779F" w:rsidRPr="00A6779F" w:rsidTr="00A6779F">
        <w:tc>
          <w:tcPr>
            <w:tcW w:w="0" w:type="auto"/>
            <w:vMerge/>
            <w:tcBorders>
              <w:top w:val="nil"/>
              <w:left w:val="nil"/>
              <w:bottom w:val="single" w:sz="6" w:space="0" w:color="auto"/>
              <w:right w:val="single" w:sz="6" w:space="0" w:color="auto"/>
            </w:tcBorders>
            <w:vAlign w:val="center"/>
            <w:hideMark/>
          </w:tcPr>
          <w:p w:rsidR="00A6779F" w:rsidRPr="00A6779F" w:rsidRDefault="00A6779F" w:rsidP="00A6779F">
            <w:pPr>
              <w:widowControl/>
              <w:jc w:val="left"/>
              <w:rPr>
                <w:rFonts w:ascii="宋体" w:eastAsia="宋体" w:hAnsi="宋体" w:cs="宋体"/>
                <w:color w:val="595757"/>
                <w:kern w:val="0"/>
                <w:szCs w:val="21"/>
              </w:rPr>
            </w:pPr>
          </w:p>
        </w:tc>
        <w:tc>
          <w:tcPr>
            <w:tcW w:w="34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占基金总份额比例</w:t>
            </w:r>
          </w:p>
        </w:tc>
        <w:tc>
          <w:tcPr>
            <w:tcW w:w="3015" w:type="dxa"/>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0.3094%</w:t>
            </w:r>
          </w:p>
        </w:tc>
      </w:tr>
      <w:tr w:rsidR="00A6779F" w:rsidRPr="00A6779F" w:rsidTr="00A6779F">
        <w:tc>
          <w:tcPr>
            <w:tcW w:w="610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募集期限届满基金是否符合法律法规规定的办理基金备案手续的条件</w:t>
            </w:r>
          </w:p>
        </w:tc>
        <w:tc>
          <w:tcPr>
            <w:tcW w:w="3015" w:type="dxa"/>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是</w:t>
            </w:r>
          </w:p>
        </w:tc>
      </w:tr>
      <w:tr w:rsidR="00A6779F" w:rsidRPr="00A6779F" w:rsidTr="00A6779F">
        <w:tc>
          <w:tcPr>
            <w:tcW w:w="610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lastRenderedPageBreak/>
              <w:t>向中国证监会办理基金备案手续获得书面确认的日期</w:t>
            </w:r>
          </w:p>
        </w:tc>
        <w:tc>
          <w:tcPr>
            <w:tcW w:w="3015" w:type="dxa"/>
            <w:tcBorders>
              <w:top w:val="nil"/>
              <w:left w:val="nil"/>
              <w:bottom w:val="single" w:sz="6" w:space="0" w:color="auto"/>
              <w:right w:val="single" w:sz="6" w:space="0" w:color="auto"/>
            </w:tcBorders>
            <w:tcMar>
              <w:top w:w="0" w:type="dxa"/>
              <w:left w:w="105" w:type="dxa"/>
              <w:bottom w:w="0" w:type="dxa"/>
              <w:right w:w="105" w:type="dxa"/>
            </w:tcMar>
            <w:hideMark/>
          </w:tcPr>
          <w:p w:rsidR="00A6779F" w:rsidRPr="00A6779F" w:rsidRDefault="00A6779F" w:rsidP="00A6779F">
            <w:pPr>
              <w:widowControl/>
              <w:spacing w:after="150" w:line="390" w:lineRule="atLeast"/>
              <w:jc w:val="left"/>
              <w:rPr>
                <w:rFonts w:ascii="宋体" w:eastAsia="宋体" w:hAnsi="宋体" w:cs="宋体"/>
                <w:color w:val="595757"/>
                <w:kern w:val="0"/>
                <w:szCs w:val="21"/>
              </w:rPr>
            </w:pPr>
            <w:r w:rsidRPr="00A6779F">
              <w:rPr>
                <w:rFonts w:ascii="微软雅黑" w:eastAsia="微软雅黑" w:hAnsi="微软雅黑" w:cs="宋体" w:hint="eastAsia"/>
                <w:color w:val="595757"/>
                <w:kern w:val="0"/>
                <w:szCs w:val="21"/>
              </w:rPr>
              <w:t>2018年1月31日</w:t>
            </w:r>
          </w:p>
        </w:tc>
      </w:tr>
    </w:tbl>
    <w:p w:rsidR="00A6779F" w:rsidRPr="00A6779F" w:rsidRDefault="00A6779F" w:rsidP="00A6779F">
      <w:pPr>
        <w:widowControl/>
        <w:spacing w:after="150" w:line="390" w:lineRule="atLeast"/>
        <w:ind w:firstLine="480"/>
        <w:jc w:val="left"/>
        <w:rPr>
          <w:rFonts w:ascii="微软雅黑" w:eastAsia="微软雅黑" w:hAnsi="微软雅黑" w:cs="宋体" w:hint="eastAsia"/>
          <w:color w:val="595757"/>
          <w:kern w:val="0"/>
          <w:szCs w:val="21"/>
        </w:rPr>
      </w:pPr>
      <w:r w:rsidRPr="00A6779F">
        <w:rPr>
          <w:rFonts w:ascii="微软雅黑" w:eastAsia="微软雅黑" w:hAnsi="微软雅黑" w:cs="宋体" w:hint="eastAsia"/>
          <w:color w:val="595757"/>
          <w:kern w:val="0"/>
          <w:szCs w:val="21"/>
        </w:rPr>
        <w:t>注：</w:t>
      </w:r>
    </w:p>
    <w:p w:rsidR="00A6779F" w:rsidRPr="00A6779F" w:rsidRDefault="00A6779F" w:rsidP="00A6779F">
      <w:pPr>
        <w:widowControl/>
        <w:spacing w:after="150" w:line="390" w:lineRule="atLeast"/>
        <w:ind w:firstLine="480"/>
        <w:jc w:val="left"/>
        <w:rPr>
          <w:rFonts w:ascii="微软雅黑" w:eastAsia="微软雅黑" w:hAnsi="微软雅黑" w:cs="宋体" w:hint="eastAsia"/>
          <w:color w:val="595757"/>
          <w:kern w:val="0"/>
          <w:szCs w:val="21"/>
        </w:rPr>
      </w:pPr>
      <w:r w:rsidRPr="00A6779F">
        <w:rPr>
          <w:rFonts w:ascii="微软雅黑" w:eastAsia="微软雅黑" w:hAnsi="微软雅黑" w:cs="宋体" w:hint="eastAsia"/>
          <w:color w:val="595757"/>
          <w:kern w:val="0"/>
          <w:szCs w:val="21"/>
        </w:rPr>
        <w:t>（1）按照有关规定，本基金合同生效前的律师费、会计师费以及与本基金有关的法定信息披露费由本基金管理人承担。</w:t>
      </w:r>
    </w:p>
    <w:p w:rsidR="00A6779F" w:rsidRPr="00A6779F" w:rsidRDefault="00A6779F" w:rsidP="00A6779F">
      <w:pPr>
        <w:widowControl/>
        <w:spacing w:after="150" w:line="390" w:lineRule="atLeast"/>
        <w:ind w:firstLine="480"/>
        <w:jc w:val="left"/>
        <w:rPr>
          <w:rFonts w:ascii="微软雅黑" w:eastAsia="微软雅黑" w:hAnsi="微软雅黑" w:cs="宋体" w:hint="eastAsia"/>
          <w:color w:val="595757"/>
          <w:kern w:val="0"/>
          <w:szCs w:val="21"/>
        </w:rPr>
      </w:pPr>
      <w:r w:rsidRPr="00A6779F">
        <w:rPr>
          <w:rFonts w:ascii="微软雅黑" w:eastAsia="微软雅黑" w:hAnsi="微软雅黑" w:cs="宋体" w:hint="eastAsia"/>
          <w:color w:val="595757"/>
          <w:kern w:val="0"/>
          <w:szCs w:val="21"/>
        </w:rPr>
        <w:t>（2）本基金管理人高级管理人员、基金投资和研究部门负责人认购本基金份额总量的数量区间为10万份至50万份（含）。</w:t>
      </w:r>
    </w:p>
    <w:p w:rsidR="00A6779F" w:rsidRPr="00A6779F" w:rsidRDefault="00A6779F" w:rsidP="00A6779F">
      <w:pPr>
        <w:widowControl/>
        <w:spacing w:after="150" w:line="390" w:lineRule="atLeast"/>
        <w:ind w:firstLine="480"/>
        <w:jc w:val="left"/>
        <w:rPr>
          <w:rFonts w:ascii="微软雅黑" w:eastAsia="微软雅黑" w:hAnsi="微软雅黑" w:cs="宋体" w:hint="eastAsia"/>
          <w:color w:val="595757"/>
          <w:kern w:val="0"/>
          <w:szCs w:val="21"/>
        </w:rPr>
      </w:pPr>
      <w:r w:rsidRPr="00A6779F">
        <w:rPr>
          <w:rFonts w:ascii="微软雅黑" w:eastAsia="微软雅黑" w:hAnsi="微软雅黑" w:cs="宋体" w:hint="eastAsia"/>
          <w:color w:val="595757"/>
          <w:kern w:val="0"/>
          <w:szCs w:val="21"/>
        </w:rPr>
        <w:t>（3）本基金的基金经理认购本基金份额总量的数量区间为 100 万份以上。</w:t>
      </w:r>
    </w:p>
    <w:p w:rsidR="00A6779F" w:rsidRPr="00A6779F" w:rsidRDefault="00A6779F" w:rsidP="00A6779F">
      <w:pPr>
        <w:widowControl/>
        <w:spacing w:line="390" w:lineRule="atLeast"/>
        <w:jc w:val="left"/>
        <w:outlineLvl w:val="1"/>
        <w:rPr>
          <w:rFonts w:ascii="微软雅黑" w:eastAsia="微软雅黑" w:hAnsi="微软雅黑" w:cs="宋体" w:hint="eastAsia"/>
          <w:color w:val="595757"/>
          <w:kern w:val="0"/>
          <w:szCs w:val="21"/>
        </w:rPr>
      </w:pPr>
      <w:r w:rsidRPr="00A6779F">
        <w:rPr>
          <w:rFonts w:ascii="微软雅黑" w:eastAsia="微软雅黑" w:hAnsi="微软雅黑" w:cs="宋体" w:hint="eastAsia"/>
          <w:color w:val="595757"/>
          <w:kern w:val="0"/>
          <w:szCs w:val="21"/>
        </w:rPr>
        <w:t>3.        其他需要提示的事项</w:t>
      </w:r>
    </w:p>
    <w:p w:rsidR="00A6779F" w:rsidRPr="00A6779F" w:rsidRDefault="00A6779F" w:rsidP="00A6779F">
      <w:pPr>
        <w:widowControl/>
        <w:spacing w:after="150" w:line="390" w:lineRule="atLeast"/>
        <w:ind w:firstLine="480"/>
        <w:jc w:val="left"/>
        <w:rPr>
          <w:rFonts w:ascii="微软雅黑" w:eastAsia="微软雅黑" w:hAnsi="微软雅黑" w:cs="宋体" w:hint="eastAsia"/>
          <w:color w:val="595757"/>
          <w:kern w:val="0"/>
          <w:szCs w:val="21"/>
        </w:rPr>
      </w:pPr>
      <w:r w:rsidRPr="00A6779F">
        <w:rPr>
          <w:rFonts w:ascii="微软雅黑" w:eastAsia="微软雅黑" w:hAnsi="微软雅黑" w:cs="宋体" w:hint="eastAsia"/>
          <w:color w:val="595757"/>
          <w:kern w:val="0"/>
          <w:szCs w:val="21"/>
        </w:rPr>
        <w:t>自基金合同生效之日起，本基金管理人开始正式管理本基金。认购本基金的基金份额持有人可以到销售机构的网点查询交易确认情况，也可以通过本基金管理人的网站（www.fullgoal.com.cn）或客户服务电话（400-888-0688）查询交易确认情况。</w:t>
      </w:r>
    </w:p>
    <w:p w:rsidR="00A6779F" w:rsidRPr="00A6779F" w:rsidRDefault="00A6779F" w:rsidP="00A6779F">
      <w:pPr>
        <w:widowControl/>
        <w:spacing w:after="150" w:line="390" w:lineRule="atLeast"/>
        <w:ind w:firstLine="480"/>
        <w:jc w:val="left"/>
        <w:rPr>
          <w:rFonts w:ascii="微软雅黑" w:eastAsia="微软雅黑" w:hAnsi="微软雅黑" w:cs="宋体" w:hint="eastAsia"/>
          <w:color w:val="595757"/>
          <w:kern w:val="0"/>
          <w:szCs w:val="21"/>
        </w:rPr>
      </w:pPr>
      <w:r w:rsidRPr="00A6779F">
        <w:rPr>
          <w:rFonts w:ascii="微软雅黑" w:eastAsia="微软雅黑" w:hAnsi="微软雅黑" w:cs="宋体" w:hint="eastAsia"/>
          <w:color w:val="595757"/>
          <w:kern w:val="0"/>
          <w:szCs w:val="21"/>
        </w:rPr>
        <w:t>本基金以定期开放方式运作，即采用封闭运作和开放运作交替循环的方式。</w:t>
      </w:r>
    </w:p>
    <w:p w:rsidR="00A6779F" w:rsidRPr="00A6779F" w:rsidRDefault="00A6779F" w:rsidP="00A6779F">
      <w:pPr>
        <w:widowControl/>
        <w:spacing w:after="150" w:line="390" w:lineRule="atLeast"/>
        <w:ind w:firstLine="480"/>
        <w:jc w:val="left"/>
        <w:rPr>
          <w:rFonts w:ascii="微软雅黑" w:eastAsia="微软雅黑" w:hAnsi="微软雅黑" w:cs="宋体" w:hint="eastAsia"/>
          <w:color w:val="595757"/>
          <w:kern w:val="0"/>
          <w:szCs w:val="21"/>
        </w:rPr>
      </w:pPr>
      <w:r w:rsidRPr="00A6779F">
        <w:rPr>
          <w:rFonts w:ascii="微软雅黑" w:eastAsia="微软雅黑" w:hAnsi="微软雅黑" w:cs="宋体" w:hint="eastAsia"/>
          <w:color w:val="595757"/>
          <w:kern w:val="0"/>
          <w:szCs w:val="21"/>
        </w:rPr>
        <w:t>本基金以三年为一个封闭期。本基金的第一个封闭期的起始之日为基金合同生效日，结束之日为基金合同生效日所对应的三年后年度对日的前一日。第二个封闭期的起始之日为第一个开放期结束之日的下一日，结束之日为第二个封闭期起始之日所对应的三年后年度对日的前一日，依此类推。本基金在封闭期内不办理申购与赎回业务，也不上市交易。</w:t>
      </w:r>
    </w:p>
    <w:p w:rsidR="00A6779F" w:rsidRPr="00A6779F" w:rsidRDefault="00A6779F" w:rsidP="00A6779F">
      <w:pPr>
        <w:widowControl/>
        <w:spacing w:after="150" w:line="390" w:lineRule="atLeast"/>
        <w:ind w:firstLine="480"/>
        <w:jc w:val="left"/>
        <w:rPr>
          <w:rFonts w:ascii="微软雅黑" w:eastAsia="微软雅黑" w:hAnsi="微软雅黑" w:cs="宋体" w:hint="eastAsia"/>
          <w:color w:val="595757"/>
          <w:kern w:val="0"/>
          <w:szCs w:val="21"/>
        </w:rPr>
      </w:pPr>
      <w:r w:rsidRPr="00A6779F">
        <w:rPr>
          <w:rFonts w:ascii="微软雅黑" w:eastAsia="微软雅黑" w:hAnsi="微软雅黑" w:cs="宋体" w:hint="eastAsia"/>
          <w:color w:val="595757"/>
          <w:kern w:val="0"/>
          <w:szCs w:val="21"/>
        </w:rPr>
        <w:t>本基金自每个封闭期结束之后的第一个工作日起（即每个封闭期起始之日的三年后年度对日）进入开放期，开放期期间可以办理申购与赎回业务。每次开放期不少于5个工作日且最长不超过20个工作日。</w:t>
      </w:r>
    </w:p>
    <w:p w:rsidR="00A6779F" w:rsidRPr="00A6779F" w:rsidRDefault="00A6779F" w:rsidP="00A6779F">
      <w:pPr>
        <w:widowControl/>
        <w:spacing w:after="150" w:line="390" w:lineRule="atLeast"/>
        <w:ind w:firstLine="480"/>
        <w:jc w:val="left"/>
        <w:rPr>
          <w:rFonts w:ascii="微软雅黑" w:eastAsia="微软雅黑" w:hAnsi="微软雅黑" w:cs="宋体" w:hint="eastAsia"/>
          <w:color w:val="595757"/>
          <w:kern w:val="0"/>
          <w:szCs w:val="21"/>
        </w:rPr>
      </w:pPr>
      <w:r w:rsidRPr="00A6779F">
        <w:rPr>
          <w:rFonts w:ascii="微软雅黑" w:eastAsia="微软雅黑" w:hAnsi="微软雅黑" w:cs="宋体" w:hint="eastAsia"/>
          <w:color w:val="595757"/>
          <w:kern w:val="0"/>
          <w:szCs w:val="21"/>
        </w:rPr>
        <w:lastRenderedPageBreak/>
        <w:t>年度对日指某一特定日期在后续年度中的对应日期，若该日历年度中不存在对应日期的，则顺延至该月最后一日的下一工作日；年度对日为非工作日的，则顺延至下一个工作日。</w:t>
      </w:r>
    </w:p>
    <w:p w:rsidR="00A6779F" w:rsidRPr="00A6779F" w:rsidRDefault="00A6779F" w:rsidP="00A6779F">
      <w:pPr>
        <w:widowControl/>
        <w:spacing w:after="150" w:line="390" w:lineRule="atLeast"/>
        <w:ind w:firstLine="480"/>
        <w:jc w:val="left"/>
        <w:rPr>
          <w:rFonts w:ascii="微软雅黑" w:eastAsia="微软雅黑" w:hAnsi="微软雅黑" w:cs="宋体" w:hint="eastAsia"/>
          <w:color w:val="595757"/>
          <w:kern w:val="0"/>
          <w:szCs w:val="21"/>
        </w:rPr>
      </w:pPr>
      <w:r w:rsidRPr="00A6779F">
        <w:rPr>
          <w:rFonts w:ascii="微软雅黑" w:eastAsia="微软雅黑" w:hAnsi="微软雅黑" w:cs="宋体" w:hint="eastAsia"/>
          <w:color w:val="595757"/>
          <w:kern w:val="0"/>
          <w:szCs w:val="21"/>
        </w:rPr>
        <w:t>开放期的具体时间以基金管理人届时公告为准，且基金管理人最迟应于开放期开始前2日进行公告。如封闭期结束后或在开放期内发生不可抗力或其他情形致使基金无法按时开放申购与赎回等业务的，或依据基金合同需暂停申购或赎回等业务的，开放期时间相应顺延，直到满足开放期的时间要求，具体时间以基金管理人届时公告为准。</w:t>
      </w:r>
    </w:p>
    <w:p w:rsidR="00A6779F" w:rsidRPr="00A6779F" w:rsidRDefault="00A6779F" w:rsidP="00A6779F">
      <w:pPr>
        <w:widowControl/>
        <w:spacing w:after="150" w:line="390" w:lineRule="atLeast"/>
        <w:ind w:firstLine="480"/>
        <w:jc w:val="left"/>
        <w:rPr>
          <w:rFonts w:ascii="微软雅黑" w:eastAsia="微软雅黑" w:hAnsi="微软雅黑" w:cs="宋体" w:hint="eastAsia"/>
          <w:color w:val="595757"/>
          <w:kern w:val="0"/>
          <w:szCs w:val="21"/>
        </w:rPr>
      </w:pPr>
      <w:r w:rsidRPr="00A6779F">
        <w:rPr>
          <w:rFonts w:ascii="微软雅黑" w:eastAsia="微软雅黑" w:hAnsi="微软雅黑" w:cs="宋体" w:hint="eastAsia"/>
          <w:color w:val="595757"/>
          <w:kern w:val="0"/>
          <w:szCs w:val="21"/>
        </w:rPr>
        <w:t>风险提示：本公司承诺以诚实信用、勤勉尽责的原则管理和运用基金资产，但不保证基金一定盈利，也不保证最低收益。敬请投资人注意投资风险。投资者投资于上述基金前应认真阅读基金的基金合同、招募说明书。</w:t>
      </w:r>
    </w:p>
    <w:p w:rsidR="00A6779F" w:rsidRPr="00A6779F" w:rsidRDefault="00A6779F" w:rsidP="00A6779F">
      <w:pPr>
        <w:widowControl/>
        <w:spacing w:after="150" w:line="390" w:lineRule="atLeast"/>
        <w:ind w:firstLine="480"/>
        <w:jc w:val="left"/>
        <w:rPr>
          <w:rFonts w:ascii="微软雅黑" w:eastAsia="微软雅黑" w:hAnsi="微软雅黑" w:cs="宋体" w:hint="eastAsia"/>
          <w:color w:val="595757"/>
          <w:kern w:val="0"/>
          <w:szCs w:val="21"/>
        </w:rPr>
      </w:pPr>
      <w:r w:rsidRPr="00A6779F">
        <w:rPr>
          <w:rFonts w:ascii="微软雅黑" w:eastAsia="微软雅黑" w:hAnsi="微软雅黑" w:cs="宋体" w:hint="eastAsia"/>
          <w:color w:val="595757"/>
          <w:kern w:val="0"/>
          <w:szCs w:val="21"/>
        </w:rPr>
        <w:t>特此公告。</w:t>
      </w:r>
    </w:p>
    <w:p w:rsidR="00A6779F" w:rsidRPr="00A6779F" w:rsidRDefault="00A6779F" w:rsidP="00A6779F">
      <w:pPr>
        <w:widowControl/>
        <w:spacing w:after="150" w:line="390" w:lineRule="atLeast"/>
        <w:ind w:firstLine="480"/>
        <w:jc w:val="left"/>
        <w:rPr>
          <w:rFonts w:ascii="微软雅黑" w:eastAsia="微软雅黑" w:hAnsi="微软雅黑" w:cs="宋体" w:hint="eastAsia"/>
          <w:color w:val="595757"/>
          <w:kern w:val="0"/>
          <w:szCs w:val="21"/>
        </w:rPr>
      </w:pPr>
      <w:r w:rsidRPr="00A6779F">
        <w:rPr>
          <w:rFonts w:ascii="微软雅黑" w:eastAsia="微软雅黑" w:hAnsi="微软雅黑" w:cs="宋体" w:hint="eastAsia"/>
          <w:color w:val="595757"/>
          <w:kern w:val="0"/>
          <w:szCs w:val="21"/>
        </w:rPr>
        <w:t> </w:t>
      </w:r>
    </w:p>
    <w:p w:rsidR="00A6779F" w:rsidRPr="00A6779F" w:rsidRDefault="00A6779F" w:rsidP="00A6779F">
      <w:pPr>
        <w:widowControl/>
        <w:spacing w:after="150" w:line="390" w:lineRule="atLeast"/>
        <w:ind w:firstLine="480"/>
        <w:jc w:val="right"/>
        <w:rPr>
          <w:rFonts w:ascii="微软雅黑" w:eastAsia="微软雅黑" w:hAnsi="微软雅黑" w:cs="宋体" w:hint="eastAsia"/>
          <w:color w:val="595757"/>
          <w:kern w:val="0"/>
          <w:szCs w:val="21"/>
        </w:rPr>
      </w:pPr>
      <w:r w:rsidRPr="00A6779F">
        <w:rPr>
          <w:rFonts w:ascii="微软雅黑" w:eastAsia="微软雅黑" w:hAnsi="微软雅黑" w:cs="宋体" w:hint="eastAsia"/>
          <w:color w:val="595757"/>
          <w:kern w:val="0"/>
          <w:szCs w:val="21"/>
        </w:rPr>
        <w:t>富国基金管理有限公司</w:t>
      </w:r>
    </w:p>
    <w:p w:rsidR="00A6779F" w:rsidRPr="00A6779F" w:rsidRDefault="00A6779F" w:rsidP="00A6779F">
      <w:pPr>
        <w:widowControl/>
        <w:spacing w:line="390" w:lineRule="atLeast"/>
        <w:ind w:firstLine="480"/>
        <w:jc w:val="right"/>
        <w:rPr>
          <w:rFonts w:ascii="微软雅黑" w:eastAsia="微软雅黑" w:hAnsi="微软雅黑" w:cs="宋体" w:hint="eastAsia"/>
          <w:color w:val="595757"/>
          <w:kern w:val="0"/>
          <w:szCs w:val="21"/>
        </w:rPr>
      </w:pPr>
      <w:r w:rsidRPr="00A6779F">
        <w:rPr>
          <w:rFonts w:ascii="微软雅黑" w:eastAsia="微软雅黑" w:hAnsi="微软雅黑" w:cs="宋体" w:hint="eastAsia"/>
          <w:color w:val="595757"/>
          <w:kern w:val="0"/>
          <w:szCs w:val="21"/>
        </w:rPr>
        <w:t>2018年2月1日</w:t>
      </w:r>
    </w:p>
    <w:p w:rsidR="00AF0972" w:rsidRDefault="00AF0972">
      <w:bookmarkStart w:id="0" w:name="_GoBack"/>
      <w:bookmarkEnd w:id="0"/>
    </w:p>
    <w:sectPr w:rsidR="00AF09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EA4" w:rsidRDefault="00EE2EA4" w:rsidP="00A6779F">
      <w:r>
        <w:separator/>
      </w:r>
    </w:p>
  </w:endnote>
  <w:endnote w:type="continuationSeparator" w:id="0">
    <w:p w:rsidR="00EE2EA4" w:rsidRDefault="00EE2EA4" w:rsidP="00A6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EA4" w:rsidRDefault="00EE2EA4" w:rsidP="00A6779F">
      <w:r>
        <w:separator/>
      </w:r>
    </w:p>
  </w:footnote>
  <w:footnote w:type="continuationSeparator" w:id="0">
    <w:p w:rsidR="00EE2EA4" w:rsidRDefault="00EE2EA4" w:rsidP="00A67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CC"/>
    <w:rsid w:val="004C3ACC"/>
    <w:rsid w:val="00A6779F"/>
    <w:rsid w:val="00AF0972"/>
    <w:rsid w:val="00EE2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6779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A6779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77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779F"/>
    <w:rPr>
      <w:sz w:val="18"/>
      <w:szCs w:val="18"/>
    </w:rPr>
  </w:style>
  <w:style w:type="paragraph" w:styleId="a4">
    <w:name w:val="footer"/>
    <w:basedOn w:val="a"/>
    <w:link w:val="Char0"/>
    <w:uiPriority w:val="99"/>
    <w:unhideWhenUsed/>
    <w:rsid w:val="00A6779F"/>
    <w:pPr>
      <w:tabs>
        <w:tab w:val="center" w:pos="4153"/>
        <w:tab w:val="right" w:pos="8306"/>
      </w:tabs>
      <w:snapToGrid w:val="0"/>
      <w:jc w:val="left"/>
    </w:pPr>
    <w:rPr>
      <w:sz w:val="18"/>
      <w:szCs w:val="18"/>
    </w:rPr>
  </w:style>
  <w:style w:type="character" w:customStyle="1" w:styleId="Char0">
    <w:name w:val="页脚 Char"/>
    <w:basedOn w:val="a0"/>
    <w:link w:val="a4"/>
    <w:uiPriority w:val="99"/>
    <w:rsid w:val="00A6779F"/>
    <w:rPr>
      <w:sz w:val="18"/>
      <w:szCs w:val="18"/>
    </w:rPr>
  </w:style>
  <w:style w:type="character" w:customStyle="1" w:styleId="1Char">
    <w:name w:val="标题 1 Char"/>
    <w:basedOn w:val="a0"/>
    <w:link w:val="1"/>
    <w:uiPriority w:val="9"/>
    <w:rsid w:val="00A6779F"/>
    <w:rPr>
      <w:rFonts w:ascii="宋体" w:eastAsia="宋体" w:hAnsi="宋体" w:cs="宋体"/>
      <w:b/>
      <w:bCs/>
      <w:kern w:val="36"/>
      <w:sz w:val="48"/>
      <w:szCs w:val="48"/>
    </w:rPr>
  </w:style>
  <w:style w:type="character" w:customStyle="1" w:styleId="2Char">
    <w:name w:val="标题 2 Char"/>
    <w:basedOn w:val="a0"/>
    <w:link w:val="2"/>
    <w:uiPriority w:val="9"/>
    <w:rsid w:val="00A6779F"/>
    <w:rPr>
      <w:rFonts w:ascii="宋体" w:eastAsia="宋体" w:hAnsi="宋体" w:cs="宋体"/>
      <w:b/>
      <w:bCs/>
      <w:kern w:val="0"/>
      <w:sz w:val="36"/>
      <w:szCs w:val="36"/>
    </w:rPr>
  </w:style>
  <w:style w:type="character" w:customStyle="1" w:styleId="font">
    <w:name w:val="font"/>
    <w:basedOn w:val="a0"/>
    <w:rsid w:val="00A6779F"/>
  </w:style>
  <w:style w:type="paragraph" w:styleId="a5">
    <w:name w:val="Normal (Web)"/>
    <w:basedOn w:val="a"/>
    <w:uiPriority w:val="99"/>
    <w:unhideWhenUsed/>
    <w:rsid w:val="00A6779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6779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A6779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77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779F"/>
    <w:rPr>
      <w:sz w:val="18"/>
      <w:szCs w:val="18"/>
    </w:rPr>
  </w:style>
  <w:style w:type="paragraph" w:styleId="a4">
    <w:name w:val="footer"/>
    <w:basedOn w:val="a"/>
    <w:link w:val="Char0"/>
    <w:uiPriority w:val="99"/>
    <w:unhideWhenUsed/>
    <w:rsid w:val="00A6779F"/>
    <w:pPr>
      <w:tabs>
        <w:tab w:val="center" w:pos="4153"/>
        <w:tab w:val="right" w:pos="8306"/>
      </w:tabs>
      <w:snapToGrid w:val="0"/>
      <w:jc w:val="left"/>
    </w:pPr>
    <w:rPr>
      <w:sz w:val="18"/>
      <w:szCs w:val="18"/>
    </w:rPr>
  </w:style>
  <w:style w:type="character" w:customStyle="1" w:styleId="Char0">
    <w:name w:val="页脚 Char"/>
    <w:basedOn w:val="a0"/>
    <w:link w:val="a4"/>
    <w:uiPriority w:val="99"/>
    <w:rsid w:val="00A6779F"/>
    <w:rPr>
      <w:sz w:val="18"/>
      <w:szCs w:val="18"/>
    </w:rPr>
  </w:style>
  <w:style w:type="character" w:customStyle="1" w:styleId="1Char">
    <w:name w:val="标题 1 Char"/>
    <w:basedOn w:val="a0"/>
    <w:link w:val="1"/>
    <w:uiPriority w:val="9"/>
    <w:rsid w:val="00A6779F"/>
    <w:rPr>
      <w:rFonts w:ascii="宋体" w:eastAsia="宋体" w:hAnsi="宋体" w:cs="宋体"/>
      <w:b/>
      <w:bCs/>
      <w:kern w:val="36"/>
      <w:sz w:val="48"/>
      <w:szCs w:val="48"/>
    </w:rPr>
  </w:style>
  <w:style w:type="character" w:customStyle="1" w:styleId="2Char">
    <w:name w:val="标题 2 Char"/>
    <w:basedOn w:val="a0"/>
    <w:link w:val="2"/>
    <w:uiPriority w:val="9"/>
    <w:rsid w:val="00A6779F"/>
    <w:rPr>
      <w:rFonts w:ascii="宋体" w:eastAsia="宋体" w:hAnsi="宋体" w:cs="宋体"/>
      <w:b/>
      <w:bCs/>
      <w:kern w:val="0"/>
      <w:sz w:val="36"/>
      <w:szCs w:val="36"/>
    </w:rPr>
  </w:style>
  <w:style w:type="character" w:customStyle="1" w:styleId="font">
    <w:name w:val="font"/>
    <w:basedOn w:val="a0"/>
    <w:rsid w:val="00A6779F"/>
  </w:style>
  <w:style w:type="paragraph" w:styleId="a5">
    <w:name w:val="Normal (Web)"/>
    <w:basedOn w:val="a"/>
    <w:uiPriority w:val="99"/>
    <w:unhideWhenUsed/>
    <w:rsid w:val="00A677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25054">
      <w:bodyDiv w:val="1"/>
      <w:marLeft w:val="0"/>
      <w:marRight w:val="0"/>
      <w:marTop w:val="0"/>
      <w:marBottom w:val="0"/>
      <w:divBdr>
        <w:top w:val="none" w:sz="0" w:space="0" w:color="auto"/>
        <w:left w:val="none" w:sz="0" w:space="0" w:color="auto"/>
        <w:bottom w:val="none" w:sz="0" w:space="0" w:color="auto"/>
        <w:right w:val="none" w:sz="0" w:space="0" w:color="auto"/>
      </w:divBdr>
      <w:divsChild>
        <w:div w:id="291061938">
          <w:marLeft w:val="0"/>
          <w:marRight w:val="0"/>
          <w:marTop w:val="150"/>
          <w:marBottom w:val="300"/>
          <w:divBdr>
            <w:top w:val="none" w:sz="0" w:space="0" w:color="auto"/>
            <w:left w:val="none" w:sz="0" w:space="0" w:color="auto"/>
            <w:bottom w:val="single" w:sz="12" w:space="0" w:color="DDDDDD"/>
            <w:right w:val="none" w:sz="0" w:space="0" w:color="auto"/>
          </w:divBdr>
        </w:div>
        <w:div w:id="1847937758">
          <w:marLeft w:val="0"/>
          <w:marRight w:val="0"/>
          <w:marTop w:val="0"/>
          <w:marBottom w:val="450"/>
          <w:divBdr>
            <w:top w:val="none" w:sz="0" w:space="0" w:color="auto"/>
            <w:left w:val="none" w:sz="0" w:space="0" w:color="auto"/>
            <w:bottom w:val="none" w:sz="0" w:space="0" w:color="auto"/>
            <w:right w:val="none" w:sz="0" w:space="0" w:color="auto"/>
          </w:divBdr>
          <w:divsChild>
            <w:div w:id="10021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dc:creator>
  <cp:keywords/>
  <dc:description/>
  <cp:lastModifiedBy>wind</cp:lastModifiedBy>
  <cp:revision>2</cp:revision>
  <dcterms:created xsi:type="dcterms:W3CDTF">2018-02-01T05:25:00Z</dcterms:created>
  <dcterms:modified xsi:type="dcterms:W3CDTF">2018-02-01T05:25:00Z</dcterms:modified>
</cp:coreProperties>
</file>