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color w:val="292929"/>
          <w:sz w:val="27"/>
          <w:szCs w:val="27"/>
        </w:rPr>
      </w:pPr>
      <w:r>
        <w:rPr>
          <w:rFonts w:ascii="微软雅黑" w:eastAsia="微软雅黑" w:hAnsi="微软雅黑" w:hint="eastAsia"/>
          <w:color w:val="292929"/>
          <w:sz w:val="27"/>
          <w:szCs w:val="27"/>
        </w:rPr>
        <w:t> 关于汇</w:t>
      </w:r>
      <w:proofErr w:type="gramStart"/>
      <w:r>
        <w:rPr>
          <w:rFonts w:ascii="微软雅黑" w:eastAsia="微软雅黑" w:hAnsi="微软雅黑" w:hint="eastAsia"/>
          <w:color w:val="292929"/>
          <w:sz w:val="27"/>
          <w:szCs w:val="27"/>
        </w:rPr>
        <w:t>丰晋信</w:t>
      </w:r>
      <w:proofErr w:type="gramEnd"/>
      <w:r>
        <w:rPr>
          <w:rFonts w:ascii="微软雅黑" w:eastAsia="微软雅黑" w:hAnsi="微软雅黑" w:hint="eastAsia"/>
          <w:color w:val="292929"/>
          <w:sz w:val="27"/>
          <w:szCs w:val="27"/>
        </w:rPr>
        <w:t>基金管理有限公司旗下基金持有的停牌股票采用指数收益法进行估值的提示性公告</w:t>
      </w:r>
    </w:p>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根据《中国证监会关于证券投资基金估值业务的指导意见》（证监会公告[2017]13号）以及中国证券投资基金业协会《关于发布中基协（AMAC）基金行业股票估值指数的通知》（</w:t>
      </w:r>
      <w:proofErr w:type="gramStart"/>
      <w:r>
        <w:rPr>
          <w:rFonts w:ascii="微软雅黑" w:eastAsia="微软雅黑" w:hAnsi="微软雅黑" w:hint="eastAsia"/>
          <w:color w:val="292929"/>
          <w:sz w:val="27"/>
          <w:szCs w:val="27"/>
        </w:rPr>
        <w:t>中基协发</w:t>
      </w:r>
      <w:proofErr w:type="gramEnd"/>
      <w:r>
        <w:rPr>
          <w:rFonts w:ascii="微软雅黑" w:eastAsia="微软雅黑" w:hAnsi="微软雅黑" w:hint="eastAsia"/>
          <w:color w:val="292929"/>
          <w:sz w:val="27"/>
          <w:szCs w:val="27"/>
        </w:rPr>
        <w:t>[2013]13号）的有关规定，经与托管行协商一致，汇</w:t>
      </w:r>
      <w:proofErr w:type="gramStart"/>
      <w:r>
        <w:rPr>
          <w:rFonts w:ascii="微软雅黑" w:eastAsia="微软雅黑" w:hAnsi="微软雅黑" w:hint="eastAsia"/>
          <w:color w:val="292929"/>
          <w:sz w:val="27"/>
          <w:szCs w:val="27"/>
        </w:rPr>
        <w:t>丰晋信</w:t>
      </w:r>
      <w:proofErr w:type="gramEnd"/>
      <w:r>
        <w:rPr>
          <w:rFonts w:ascii="微软雅黑" w:eastAsia="微软雅黑" w:hAnsi="微软雅黑" w:hint="eastAsia"/>
          <w:color w:val="292929"/>
          <w:sz w:val="27"/>
          <w:szCs w:val="27"/>
        </w:rPr>
        <w:t>基金管理有限公司自2018年2月9日起对旗下基金所持有的停牌证券深</w:t>
      </w:r>
      <w:proofErr w:type="gramStart"/>
      <w:r>
        <w:rPr>
          <w:rFonts w:ascii="微软雅黑" w:eastAsia="微软雅黑" w:hAnsi="微软雅黑" w:hint="eastAsia"/>
          <w:color w:val="292929"/>
          <w:sz w:val="27"/>
          <w:szCs w:val="27"/>
        </w:rPr>
        <w:t>赤</w:t>
      </w:r>
      <w:proofErr w:type="gramEnd"/>
      <w:r>
        <w:rPr>
          <w:rFonts w:ascii="微软雅黑" w:eastAsia="微软雅黑" w:hAnsi="微软雅黑" w:hint="eastAsia"/>
          <w:color w:val="292929"/>
          <w:sz w:val="27"/>
          <w:szCs w:val="27"/>
        </w:rPr>
        <w:t>湾A（证券代码：000022）采用"指数收益法"进行估值。在上述停牌证券</w:t>
      </w:r>
      <w:proofErr w:type="gramStart"/>
      <w:r>
        <w:rPr>
          <w:rFonts w:ascii="微软雅黑" w:eastAsia="微软雅黑" w:hAnsi="微软雅黑" w:hint="eastAsia"/>
          <w:color w:val="292929"/>
          <w:sz w:val="27"/>
          <w:szCs w:val="27"/>
        </w:rPr>
        <w:t>复牌且其</w:t>
      </w:r>
      <w:proofErr w:type="gramEnd"/>
      <w:r>
        <w:rPr>
          <w:rFonts w:ascii="微软雅黑" w:eastAsia="微软雅黑" w:hAnsi="微软雅黑" w:hint="eastAsia"/>
          <w:color w:val="292929"/>
          <w:sz w:val="27"/>
          <w:szCs w:val="27"/>
        </w:rPr>
        <w:t>交易体现活跃市场交易特征后，本公司将恢复按市价估值方法进行估值，届时不再另行公告。</w:t>
      </w:r>
    </w:p>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本公司旗下开放式基金将严格按照《企业会计准则》、《关于进一步规范证券投资基金估值业务的指导意见》、中国证监会相关规定和基金合同中关于估值的约定对基金所持有的投资品种进行估值。投资者可登录本公司网站（www.hsbcjt.cn）或拨打本公司客户服务电话(021-20376888)了解基金份额净值变动情况。</w:t>
      </w:r>
    </w:p>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特此公告。</w:t>
      </w:r>
    </w:p>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w:t>
      </w:r>
      <w:r>
        <w:rPr>
          <w:rFonts w:ascii="微软雅黑" w:eastAsia="微软雅黑" w:hAnsi="微软雅黑" w:hint="eastAsia"/>
          <w:color w:val="292929"/>
          <w:sz w:val="27"/>
          <w:szCs w:val="27"/>
        </w:rPr>
        <w:lastRenderedPageBreak/>
        <w:t>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汇</w:t>
      </w:r>
      <w:proofErr w:type="gramStart"/>
      <w:r>
        <w:rPr>
          <w:rFonts w:ascii="微软雅黑" w:eastAsia="微软雅黑" w:hAnsi="微软雅黑" w:hint="eastAsia"/>
          <w:color w:val="292929"/>
          <w:sz w:val="27"/>
          <w:szCs w:val="27"/>
        </w:rPr>
        <w:t>丰晋信</w:t>
      </w:r>
      <w:proofErr w:type="gramEnd"/>
      <w:r>
        <w:rPr>
          <w:rFonts w:ascii="微软雅黑" w:eastAsia="微软雅黑" w:hAnsi="微软雅黑" w:hint="eastAsia"/>
          <w:color w:val="292929"/>
          <w:sz w:val="27"/>
          <w:szCs w:val="27"/>
        </w:rPr>
        <w:t>基金管理有限公司</w:t>
      </w:r>
    </w:p>
    <w:p w:rsidR="007A3B36" w:rsidRDefault="007A3B36" w:rsidP="007A3B36">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2018年2月10日</w:t>
      </w:r>
    </w:p>
    <w:p w:rsidR="00CF6A15" w:rsidRDefault="007A3B36">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36"/>
    <w:rsid w:val="0061117A"/>
    <w:rsid w:val="007A3B36"/>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B3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B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2018-02-10T05:55:00Z</dcterms:created>
  <dcterms:modified xsi:type="dcterms:W3CDTF">2018-02-10T05:55:00Z</dcterms:modified>
</cp:coreProperties>
</file>