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color w:val="292929"/>
          <w:sz w:val="27"/>
          <w:szCs w:val="27"/>
        </w:rPr>
      </w:pPr>
      <w:r>
        <w:rPr>
          <w:rFonts w:ascii="微软雅黑" w:eastAsia="微软雅黑" w:hAnsi="微软雅黑" w:hint="eastAsia"/>
          <w:color w:val="292929"/>
          <w:sz w:val="27"/>
          <w:szCs w:val="27"/>
        </w:rPr>
        <w:t> 关于汇</w:t>
      </w:r>
      <w:proofErr w:type="gramStart"/>
      <w:r>
        <w:rPr>
          <w:rFonts w:ascii="微软雅黑" w:eastAsia="微软雅黑" w:hAnsi="微软雅黑" w:hint="eastAsia"/>
          <w:color w:val="292929"/>
          <w:sz w:val="27"/>
          <w:szCs w:val="27"/>
        </w:rPr>
        <w:t>丰晋信</w:t>
      </w:r>
      <w:proofErr w:type="gramEnd"/>
      <w:r>
        <w:rPr>
          <w:rFonts w:ascii="微软雅黑" w:eastAsia="微软雅黑" w:hAnsi="微软雅黑" w:hint="eastAsia"/>
          <w:color w:val="292929"/>
          <w:sz w:val="27"/>
          <w:szCs w:val="27"/>
        </w:rPr>
        <w:t>基金管理有限公司旗下基金持有的停牌股票采用指数收益法进行估值的提示性公告</w:t>
      </w:r>
    </w:p>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hint="eastAsia"/>
          <w:color w:val="292929"/>
          <w:sz w:val="27"/>
          <w:szCs w:val="27"/>
        </w:rPr>
      </w:pPr>
      <w:r>
        <w:rPr>
          <w:rFonts w:ascii="微软雅黑" w:eastAsia="微软雅黑" w:hAnsi="微软雅黑" w:hint="eastAsia"/>
          <w:color w:val="292929"/>
          <w:sz w:val="27"/>
          <w:szCs w:val="27"/>
        </w:rPr>
        <w:t>  根据《中国证监会关于证券投资基金估值业务的指导意见》（证监会公告[2017]13号）以及中国证券投资基金业协会《关于发布中基协（AMAC）基金行业股票估值指数的通知》（</w:t>
      </w:r>
      <w:proofErr w:type="gramStart"/>
      <w:r>
        <w:rPr>
          <w:rFonts w:ascii="微软雅黑" w:eastAsia="微软雅黑" w:hAnsi="微软雅黑" w:hint="eastAsia"/>
          <w:color w:val="292929"/>
          <w:sz w:val="27"/>
          <w:szCs w:val="27"/>
        </w:rPr>
        <w:t>中基协发</w:t>
      </w:r>
      <w:proofErr w:type="gramEnd"/>
      <w:r>
        <w:rPr>
          <w:rFonts w:ascii="微软雅黑" w:eastAsia="微软雅黑" w:hAnsi="微软雅黑" w:hint="eastAsia"/>
          <w:color w:val="292929"/>
          <w:sz w:val="27"/>
          <w:szCs w:val="27"/>
        </w:rPr>
        <w:t>[2013]13号）的有关规定，经与托管行协商一致，汇</w:t>
      </w:r>
      <w:proofErr w:type="gramStart"/>
      <w:r>
        <w:rPr>
          <w:rFonts w:ascii="微软雅黑" w:eastAsia="微软雅黑" w:hAnsi="微软雅黑" w:hint="eastAsia"/>
          <w:color w:val="292929"/>
          <w:sz w:val="27"/>
          <w:szCs w:val="27"/>
        </w:rPr>
        <w:t>丰晋信</w:t>
      </w:r>
      <w:proofErr w:type="gramEnd"/>
      <w:r>
        <w:rPr>
          <w:rFonts w:ascii="微软雅黑" w:eastAsia="微软雅黑" w:hAnsi="微软雅黑" w:hint="eastAsia"/>
          <w:color w:val="292929"/>
          <w:sz w:val="27"/>
          <w:szCs w:val="27"/>
        </w:rPr>
        <w:t>基金管理有限公司自2018年2月9日起对旗下基金所持有的停牌证券深</w:t>
      </w:r>
      <w:proofErr w:type="gramStart"/>
      <w:r>
        <w:rPr>
          <w:rFonts w:ascii="微软雅黑" w:eastAsia="微软雅黑" w:hAnsi="微软雅黑" w:hint="eastAsia"/>
          <w:color w:val="292929"/>
          <w:sz w:val="27"/>
          <w:szCs w:val="27"/>
        </w:rPr>
        <w:t>赤</w:t>
      </w:r>
      <w:proofErr w:type="gramEnd"/>
      <w:r>
        <w:rPr>
          <w:rFonts w:ascii="微软雅黑" w:eastAsia="微软雅黑" w:hAnsi="微软雅黑" w:hint="eastAsia"/>
          <w:color w:val="292929"/>
          <w:sz w:val="27"/>
          <w:szCs w:val="27"/>
        </w:rPr>
        <w:t>湾A（证券代码：000022）采用"指数收益法"进行估值。在上述停牌证券</w:t>
      </w:r>
      <w:proofErr w:type="gramStart"/>
      <w:r>
        <w:rPr>
          <w:rFonts w:ascii="微软雅黑" w:eastAsia="微软雅黑" w:hAnsi="微软雅黑" w:hint="eastAsia"/>
          <w:color w:val="292929"/>
          <w:sz w:val="27"/>
          <w:szCs w:val="27"/>
        </w:rPr>
        <w:t>复牌且其</w:t>
      </w:r>
      <w:proofErr w:type="gramEnd"/>
      <w:r>
        <w:rPr>
          <w:rFonts w:ascii="微软雅黑" w:eastAsia="微软雅黑" w:hAnsi="微软雅黑" w:hint="eastAsia"/>
          <w:color w:val="292929"/>
          <w:sz w:val="27"/>
          <w:szCs w:val="27"/>
        </w:rPr>
        <w:t>交易体现活跃市场交易特征后，本公司将恢复按市价估值方法进行估值，届时不再另行公告。</w:t>
      </w:r>
    </w:p>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hint="eastAsia"/>
          <w:color w:val="292929"/>
          <w:sz w:val="27"/>
          <w:szCs w:val="27"/>
        </w:rPr>
      </w:pPr>
      <w:r>
        <w:rPr>
          <w:rFonts w:ascii="微软雅黑" w:eastAsia="微软雅黑" w:hAnsi="微软雅黑" w:hint="eastAsia"/>
          <w:color w:val="292929"/>
          <w:sz w:val="27"/>
          <w:szCs w:val="27"/>
        </w:rPr>
        <w:t>  本公司旗下开放式基金将严格按照《企业会计准则》、《关于进一步规范证券投资基金估值业务的指导意见》、中国证监会相关规定和基金合同中关于估值的约定对基金所持有的投资品种进行估值。投资者可登录本公司网站（www.hsbcjt.cn）或拨打本公司客户服务电话(021-20376888)了解基金份额净值变动情况。</w:t>
      </w:r>
    </w:p>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hint="eastAsia"/>
          <w:color w:val="292929"/>
          <w:sz w:val="27"/>
          <w:szCs w:val="27"/>
        </w:rPr>
      </w:pPr>
      <w:r>
        <w:rPr>
          <w:rFonts w:ascii="微软雅黑" w:eastAsia="微软雅黑" w:hAnsi="微软雅黑" w:hint="eastAsia"/>
          <w:color w:val="292929"/>
          <w:sz w:val="27"/>
          <w:szCs w:val="27"/>
        </w:rPr>
        <w:t>  特此公告。</w:t>
      </w:r>
    </w:p>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hint="eastAsia"/>
          <w:color w:val="292929"/>
          <w:sz w:val="27"/>
          <w:szCs w:val="27"/>
        </w:rPr>
      </w:pPr>
      <w:r>
        <w:rPr>
          <w:rFonts w:ascii="微软雅黑" w:eastAsia="微软雅黑" w:hAnsi="微软雅黑" w:hint="eastAsia"/>
          <w:color w:val="292929"/>
          <w:sz w:val="27"/>
          <w:szCs w:val="27"/>
        </w:rPr>
        <w:t>  风险提示：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w:t>
      </w:r>
      <w:r>
        <w:rPr>
          <w:rFonts w:ascii="微软雅黑" w:eastAsia="微软雅黑" w:hAnsi="微软雅黑" w:hint="eastAsia"/>
          <w:color w:val="292929"/>
          <w:sz w:val="27"/>
          <w:szCs w:val="27"/>
        </w:rPr>
        <w:lastRenderedPageBreak/>
        <w:t>在投资基金前认真阅读《基金合同》、《招募说明书》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hint="eastAsia"/>
          <w:color w:val="292929"/>
          <w:sz w:val="27"/>
          <w:szCs w:val="27"/>
        </w:rPr>
      </w:pPr>
      <w:r>
        <w:rPr>
          <w:rFonts w:ascii="微软雅黑" w:eastAsia="微软雅黑" w:hAnsi="微软雅黑" w:hint="eastAsia"/>
          <w:color w:val="292929"/>
          <w:sz w:val="27"/>
          <w:szCs w:val="27"/>
        </w:rPr>
        <w:t>  汇</w:t>
      </w:r>
      <w:proofErr w:type="gramStart"/>
      <w:r>
        <w:rPr>
          <w:rFonts w:ascii="微软雅黑" w:eastAsia="微软雅黑" w:hAnsi="微软雅黑" w:hint="eastAsia"/>
          <w:color w:val="292929"/>
          <w:sz w:val="27"/>
          <w:szCs w:val="27"/>
        </w:rPr>
        <w:t>丰晋信</w:t>
      </w:r>
      <w:proofErr w:type="gramEnd"/>
      <w:r>
        <w:rPr>
          <w:rFonts w:ascii="微软雅黑" w:eastAsia="微软雅黑" w:hAnsi="微软雅黑" w:hint="eastAsia"/>
          <w:color w:val="292929"/>
          <w:sz w:val="27"/>
          <w:szCs w:val="27"/>
        </w:rPr>
        <w:t>基金管理有限公司</w:t>
      </w:r>
    </w:p>
    <w:p w:rsidR="007A3B36" w:rsidRDefault="007A3B36" w:rsidP="007A3B36">
      <w:pPr>
        <w:pStyle w:val="a3"/>
        <w:shd w:val="clear" w:color="auto" w:fill="FFFFFF"/>
        <w:spacing w:before="0" w:beforeAutospacing="0" w:after="300" w:afterAutospacing="0" w:line="420" w:lineRule="atLeast"/>
        <w:jc w:val="both"/>
        <w:rPr>
          <w:rFonts w:ascii="微软雅黑" w:eastAsia="微软雅黑" w:hAnsi="微软雅黑" w:hint="eastAsia"/>
          <w:color w:val="292929"/>
          <w:sz w:val="27"/>
          <w:szCs w:val="27"/>
        </w:rPr>
      </w:pPr>
      <w:r>
        <w:rPr>
          <w:rFonts w:ascii="微软雅黑" w:eastAsia="微软雅黑" w:hAnsi="微软雅黑" w:hint="eastAsia"/>
          <w:color w:val="292929"/>
          <w:sz w:val="27"/>
          <w:szCs w:val="27"/>
        </w:rPr>
        <w:t>  2018年2月10日</w:t>
      </w:r>
    </w:p>
    <w:p w:rsidR="00CF6A15" w:rsidRDefault="007A3B36">
      <w:bookmarkStart w:id="0" w:name="_GoBack"/>
      <w:bookmarkEnd w:id="0"/>
    </w:p>
    <w:sectPr w:rsidR="00CF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36"/>
    <w:rsid w:val="0061117A"/>
    <w:rsid w:val="007A3B36"/>
    <w:rsid w:val="00F9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B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B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ChenWei</dc:creator>
  <cp:lastModifiedBy>Zhu ChenWei</cp:lastModifiedBy>
  <cp:revision>1</cp:revision>
  <dcterms:created xsi:type="dcterms:W3CDTF">2018-02-10T05:55:00Z</dcterms:created>
  <dcterms:modified xsi:type="dcterms:W3CDTF">2018-02-10T05:55:00Z</dcterms:modified>
</cp:coreProperties>
</file>