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57" w:rsidRPr="00FD2757" w:rsidRDefault="00FD2757" w:rsidP="00FD2757">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r w:rsidRPr="00FD2757">
        <w:rPr>
          <w:rFonts w:ascii="微软雅黑" w:eastAsia="微软雅黑" w:hAnsi="微软雅黑" w:cs="宋体" w:hint="eastAsia"/>
          <w:b/>
          <w:bCs/>
          <w:color w:val="666666"/>
          <w:kern w:val="0"/>
          <w:sz w:val="27"/>
          <w:szCs w:val="27"/>
        </w:rPr>
        <w:t>汇添富基金管理股份有限公司关于旗下部分基金增加云湾投资为代销机构的公告</w:t>
      </w:r>
    </w:p>
    <w:p w:rsidR="00FD2757" w:rsidRPr="00FD2757" w:rsidRDefault="00FD2757" w:rsidP="00FD2757">
      <w:pPr>
        <w:widowControl/>
        <w:shd w:val="clear" w:color="auto" w:fill="FFFFFF"/>
        <w:jc w:val="center"/>
        <w:rPr>
          <w:rFonts w:ascii="Microsoft Yahei" w:eastAsia="宋体" w:hAnsi="Microsoft Yahei" w:cs="宋体" w:hint="eastAsia"/>
          <w:color w:val="BBBBBB"/>
          <w:kern w:val="0"/>
          <w:sz w:val="17"/>
          <w:szCs w:val="17"/>
        </w:rPr>
      </w:pPr>
      <w:r w:rsidRPr="00FD2757">
        <w:rPr>
          <w:rFonts w:ascii="Microsoft Yahei" w:eastAsia="宋体" w:hAnsi="Microsoft Yahei" w:cs="宋体"/>
          <w:color w:val="BBBBBB"/>
          <w:kern w:val="0"/>
          <w:sz w:val="17"/>
          <w:szCs w:val="17"/>
        </w:rPr>
        <w:t>  2018-02-10 00:00:00   </w:t>
      </w:r>
      <w:r w:rsidRPr="00FD2757">
        <w:rPr>
          <w:rFonts w:ascii="Microsoft Yahei" w:eastAsia="宋体" w:hAnsi="Microsoft Yahei" w:cs="宋体"/>
          <w:color w:val="BBBBBB"/>
          <w:kern w:val="0"/>
          <w:sz w:val="17"/>
          <w:szCs w:val="17"/>
        </w:rPr>
        <w:t>字号：</w:t>
      </w:r>
      <w:hyperlink r:id="rId5" w:history="1">
        <w:r w:rsidRPr="00FD2757">
          <w:rPr>
            <w:rFonts w:ascii="Microsoft Yahei" w:eastAsia="宋体" w:hAnsi="Microsoft Yahei" w:cs="宋体"/>
            <w:color w:val="666666"/>
            <w:kern w:val="0"/>
            <w:sz w:val="17"/>
            <w:szCs w:val="17"/>
          </w:rPr>
          <w:t>大</w:t>
        </w:r>
      </w:hyperlink>
      <w:r w:rsidRPr="00FD2757">
        <w:rPr>
          <w:rFonts w:ascii="Microsoft Yahei" w:eastAsia="宋体" w:hAnsi="Microsoft Yahei" w:cs="宋体"/>
          <w:color w:val="BBBBBB"/>
          <w:kern w:val="0"/>
          <w:sz w:val="17"/>
          <w:szCs w:val="17"/>
        </w:rPr>
        <w:t> </w:t>
      </w:r>
      <w:hyperlink r:id="rId6" w:history="1">
        <w:r w:rsidRPr="00FD2757">
          <w:rPr>
            <w:rFonts w:ascii="Microsoft Yahei" w:eastAsia="宋体" w:hAnsi="Microsoft Yahei" w:cs="宋体"/>
            <w:color w:val="666666"/>
            <w:kern w:val="0"/>
            <w:sz w:val="17"/>
            <w:szCs w:val="17"/>
          </w:rPr>
          <w:t>中</w:t>
        </w:r>
      </w:hyperlink>
      <w:r w:rsidRPr="00FD2757">
        <w:rPr>
          <w:rFonts w:ascii="Microsoft Yahei" w:eastAsia="宋体" w:hAnsi="Microsoft Yahei" w:cs="宋体"/>
          <w:color w:val="BBBBBB"/>
          <w:kern w:val="0"/>
          <w:sz w:val="17"/>
          <w:szCs w:val="17"/>
        </w:rPr>
        <w:t> </w:t>
      </w:r>
      <w:hyperlink r:id="rId7" w:history="1">
        <w:r w:rsidRPr="00FD2757">
          <w:rPr>
            <w:rFonts w:ascii="Microsoft Yahei" w:eastAsia="宋体" w:hAnsi="Microsoft Yahei" w:cs="宋体"/>
            <w:color w:val="666666"/>
            <w:kern w:val="0"/>
            <w:sz w:val="17"/>
            <w:szCs w:val="17"/>
          </w:rPr>
          <w:t>小</w:t>
        </w:r>
      </w:hyperlink>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根据汇添富基金管理股份有限公司（以下简称</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本公司</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）与上海云湾投资管理有限公司（以下简称</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云湾投资</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）签署的销售协议，自</w:t>
      </w:r>
      <w:r w:rsidRPr="00FD2757">
        <w:rPr>
          <w:rFonts w:ascii="Microsoft Yahei" w:eastAsia="宋体" w:hAnsi="Microsoft Yahei" w:cs="宋体"/>
          <w:color w:val="666666"/>
          <w:kern w:val="0"/>
          <w:szCs w:val="21"/>
        </w:rPr>
        <w:t>2018</w:t>
      </w:r>
      <w:r w:rsidRPr="00FD2757">
        <w:rPr>
          <w:rFonts w:ascii="Microsoft Yahei" w:eastAsia="宋体" w:hAnsi="Microsoft Yahei" w:cs="宋体"/>
          <w:color w:val="666666"/>
          <w:kern w:val="0"/>
          <w:szCs w:val="21"/>
        </w:rPr>
        <w:t>年</w:t>
      </w:r>
      <w:r w:rsidRPr="00FD2757">
        <w:rPr>
          <w:rFonts w:ascii="Microsoft Yahei" w:eastAsia="宋体" w:hAnsi="Microsoft Yahei" w:cs="宋体"/>
          <w:color w:val="666666"/>
          <w:kern w:val="0"/>
          <w:szCs w:val="21"/>
        </w:rPr>
        <w:t>2</w:t>
      </w:r>
      <w:r w:rsidRPr="00FD2757">
        <w:rPr>
          <w:rFonts w:ascii="Microsoft Yahei" w:eastAsia="宋体" w:hAnsi="Microsoft Yahei" w:cs="宋体"/>
          <w:color w:val="666666"/>
          <w:kern w:val="0"/>
          <w:szCs w:val="21"/>
        </w:rPr>
        <w:t>月</w:t>
      </w:r>
      <w:r w:rsidRPr="00FD2757">
        <w:rPr>
          <w:rFonts w:ascii="Microsoft Yahei" w:eastAsia="宋体" w:hAnsi="Microsoft Yahei" w:cs="宋体"/>
          <w:color w:val="666666"/>
          <w:kern w:val="0"/>
          <w:szCs w:val="21"/>
        </w:rPr>
        <w:t>12</w:t>
      </w:r>
      <w:r w:rsidRPr="00FD2757">
        <w:rPr>
          <w:rFonts w:ascii="Microsoft Yahei" w:eastAsia="宋体" w:hAnsi="Microsoft Yahei" w:cs="宋体"/>
          <w:color w:val="666666"/>
          <w:kern w:val="0"/>
          <w:szCs w:val="21"/>
        </w:rPr>
        <w:t>日起，本公司新增云湾投资为旗下部分基金的代销机构。现将相关事项公告如下：</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b/>
          <w:bCs/>
          <w:i/>
          <w:iCs/>
          <w:color w:val="666666"/>
          <w:kern w:val="0"/>
          <w:szCs w:val="21"/>
        </w:rPr>
        <w:t>一、</w:t>
      </w:r>
      <w:r w:rsidRPr="00FD2757">
        <w:rPr>
          <w:rFonts w:ascii="Microsoft Yahei" w:eastAsia="宋体" w:hAnsi="Microsoft Yahei" w:cs="宋体"/>
          <w:b/>
          <w:bCs/>
          <w:i/>
          <w:iCs/>
          <w:color w:val="666666"/>
          <w:kern w:val="0"/>
          <w:szCs w:val="21"/>
        </w:rPr>
        <w:t>     </w:t>
      </w:r>
      <w:r w:rsidRPr="00FD2757">
        <w:rPr>
          <w:rFonts w:ascii="Microsoft Yahei" w:eastAsia="宋体" w:hAnsi="Microsoft Yahei" w:cs="宋体"/>
          <w:b/>
          <w:bCs/>
          <w:color w:val="666666"/>
          <w:kern w:val="0"/>
          <w:szCs w:val="21"/>
        </w:rPr>
        <w:t>适用基金及业务范围</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170"/>
        <w:gridCol w:w="3720"/>
        <w:gridCol w:w="885"/>
        <w:gridCol w:w="1020"/>
        <w:gridCol w:w="1455"/>
      </w:tblGrid>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b/>
                <w:bCs/>
                <w:color w:val="666666"/>
                <w:kern w:val="0"/>
                <w:szCs w:val="21"/>
              </w:rPr>
              <w:t>编号</w:t>
            </w:r>
          </w:p>
        </w:tc>
        <w:tc>
          <w:tcPr>
            <w:tcW w:w="1140"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b/>
                <w:bCs/>
                <w:color w:val="666666"/>
                <w:kern w:val="0"/>
                <w:szCs w:val="21"/>
              </w:rPr>
              <w:t>基金代码</w:t>
            </w:r>
          </w:p>
        </w:tc>
        <w:tc>
          <w:tcPr>
            <w:tcW w:w="3690"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center"/>
              <w:rPr>
                <w:rFonts w:ascii="宋体" w:eastAsia="宋体" w:hAnsi="宋体" w:cs="宋体"/>
                <w:color w:val="666666"/>
                <w:kern w:val="0"/>
                <w:szCs w:val="21"/>
              </w:rPr>
            </w:pPr>
            <w:r w:rsidRPr="00FD2757">
              <w:rPr>
                <w:rFonts w:ascii="宋体" w:eastAsia="宋体" w:hAnsi="宋体" w:cs="宋体"/>
                <w:b/>
                <w:bCs/>
                <w:color w:val="666666"/>
                <w:kern w:val="0"/>
                <w:szCs w:val="21"/>
              </w:rPr>
              <w:t>基金名称</w:t>
            </w:r>
          </w:p>
        </w:tc>
        <w:tc>
          <w:tcPr>
            <w:tcW w:w="855"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b/>
                <w:bCs/>
                <w:color w:val="666666"/>
                <w:kern w:val="0"/>
                <w:szCs w:val="21"/>
              </w:rPr>
              <w:t>是否开通转换</w:t>
            </w:r>
          </w:p>
        </w:tc>
        <w:tc>
          <w:tcPr>
            <w:tcW w:w="990"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center"/>
              <w:rPr>
                <w:rFonts w:ascii="宋体" w:eastAsia="宋体" w:hAnsi="宋体" w:cs="宋体"/>
                <w:color w:val="666666"/>
                <w:kern w:val="0"/>
                <w:szCs w:val="21"/>
              </w:rPr>
            </w:pPr>
            <w:r w:rsidRPr="00FD2757">
              <w:rPr>
                <w:rFonts w:ascii="宋体" w:eastAsia="宋体" w:hAnsi="宋体" w:cs="宋体"/>
                <w:b/>
                <w:bCs/>
                <w:color w:val="666666"/>
                <w:kern w:val="0"/>
                <w:szCs w:val="21"/>
              </w:rPr>
              <w:t>是否开通定投</w:t>
            </w:r>
          </w:p>
        </w:tc>
        <w:tc>
          <w:tcPr>
            <w:tcW w:w="1425" w:type="dxa"/>
            <w:tcBorders>
              <w:top w:val="outset" w:sz="6" w:space="0" w:color="auto"/>
              <w:left w:val="outset" w:sz="6" w:space="0" w:color="auto"/>
              <w:bottom w:val="outset" w:sz="6" w:space="0" w:color="auto"/>
              <w:right w:val="outset" w:sz="6" w:space="0" w:color="auto"/>
            </w:tcBorders>
            <w:hideMark/>
          </w:tcPr>
          <w:p w:rsidR="00FD2757" w:rsidRPr="00FD2757" w:rsidRDefault="00FD2757" w:rsidP="00FD2757">
            <w:pPr>
              <w:widowControl/>
              <w:spacing w:after="240" w:line="360" w:lineRule="atLeast"/>
              <w:ind w:firstLine="420"/>
              <w:jc w:val="center"/>
              <w:rPr>
                <w:rFonts w:ascii="宋体" w:eastAsia="宋体" w:hAnsi="宋体" w:cs="宋体"/>
                <w:color w:val="666666"/>
                <w:kern w:val="0"/>
                <w:szCs w:val="21"/>
              </w:rPr>
            </w:pPr>
            <w:r w:rsidRPr="00FD2757">
              <w:rPr>
                <w:rFonts w:ascii="宋体" w:eastAsia="宋体" w:hAnsi="宋体" w:cs="宋体"/>
                <w:b/>
                <w:bCs/>
                <w:color w:val="666666"/>
                <w:kern w:val="0"/>
                <w:szCs w:val="21"/>
              </w:rPr>
              <w:t>基金份额登记机构</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000762</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汇添富绝对收益定开混合</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001668</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汇添富全球互联混合（QDII）</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3</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001685</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汇添富沪港深新价值股票</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4</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001801</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汇添富达欣混合A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5</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002165</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汇添富达欣混合C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6</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002418</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汇添富优选回报混合C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7</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002959</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汇添富盈稳保本混合</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8</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004270</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汇添富民丰回报混合A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9</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004271</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汇添富民丰回报混合C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lastRenderedPageBreak/>
              <w:t>10</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004419</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汇添富美元债债券（QDII）人民币A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11</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004420</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汇添富美元债债券（QDII）人民币C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12</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004774</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添富添福吉祥混合</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13</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004877</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添富全球医疗混合(QDII)人民币</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14</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004946</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添富盈润混合A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15</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004947</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添富盈润混合C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16</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005228</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添富港股通专注成长</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17</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470021</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汇添富优选回报混合A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否</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汇添富基金</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18</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501006</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汇添富中证精准医指数（LOF）C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19</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501036</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汇添富中证500指数（LOF）A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20</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501037</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汇添富中证500指数（LOF）C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21</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501043</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汇添富沪深300指数（LOF）A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22</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501045</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汇添富沪深300指数（LOF）C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23</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501047</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汇添富中证全指证券公司指数（LOF）A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24</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501048</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汇添富中证全指证券公司指数（LOF）C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t>25</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501305</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汇添富中证港股通高股息投资指数</w:t>
            </w:r>
            <w:r w:rsidRPr="00FD2757">
              <w:rPr>
                <w:rFonts w:ascii="宋体" w:eastAsia="宋体" w:hAnsi="宋体" w:cs="宋体"/>
                <w:color w:val="666666"/>
                <w:kern w:val="0"/>
                <w:szCs w:val="21"/>
              </w:rPr>
              <w:lastRenderedPageBreak/>
              <w:t>（LOF）A</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lastRenderedPageBreak/>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r w:rsidR="00FD2757" w:rsidRPr="00FD2757" w:rsidTr="00FD2757">
        <w:trPr>
          <w:tblCellSpacing w:w="0" w:type="dxa"/>
        </w:trPr>
        <w:tc>
          <w:tcPr>
            <w:tcW w:w="70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right"/>
              <w:rPr>
                <w:rFonts w:ascii="宋体" w:eastAsia="宋体" w:hAnsi="宋体" w:cs="宋体"/>
                <w:color w:val="666666"/>
                <w:kern w:val="0"/>
                <w:szCs w:val="21"/>
              </w:rPr>
            </w:pPr>
            <w:r w:rsidRPr="00FD2757">
              <w:rPr>
                <w:rFonts w:ascii="宋体" w:eastAsia="宋体" w:hAnsi="宋体" w:cs="宋体"/>
                <w:color w:val="666666"/>
                <w:kern w:val="0"/>
                <w:szCs w:val="21"/>
              </w:rPr>
              <w:lastRenderedPageBreak/>
              <w:t>26</w:t>
            </w:r>
          </w:p>
        </w:tc>
        <w:tc>
          <w:tcPr>
            <w:tcW w:w="114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501306</w:t>
            </w:r>
          </w:p>
        </w:tc>
        <w:tc>
          <w:tcPr>
            <w:tcW w:w="36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汇添富中证港股通高股息投资指数（LOF）C</w:t>
            </w:r>
          </w:p>
        </w:tc>
        <w:tc>
          <w:tcPr>
            <w:tcW w:w="85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990"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是</w:t>
            </w:r>
          </w:p>
        </w:tc>
        <w:tc>
          <w:tcPr>
            <w:tcW w:w="1425" w:type="dxa"/>
            <w:tcBorders>
              <w:top w:val="outset" w:sz="6" w:space="0" w:color="auto"/>
              <w:left w:val="outset" w:sz="6" w:space="0" w:color="auto"/>
              <w:bottom w:val="outset" w:sz="6" w:space="0" w:color="auto"/>
              <w:right w:val="outset" w:sz="6" w:space="0" w:color="auto"/>
            </w:tcBorders>
            <w:noWrap/>
            <w:hideMark/>
          </w:tcPr>
          <w:p w:rsidR="00FD2757" w:rsidRPr="00FD2757" w:rsidRDefault="00FD2757" w:rsidP="00FD2757">
            <w:pPr>
              <w:widowControl/>
              <w:spacing w:after="240" w:line="360" w:lineRule="atLeast"/>
              <w:ind w:firstLine="420"/>
              <w:jc w:val="left"/>
              <w:rPr>
                <w:rFonts w:ascii="宋体" w:eastAsia="宋体" w:hAnsi="宋体" w:cs="宋体"/>
                <w:color w:val="666666"/>
                <w:kern w:val="0"/>
                <w:szCs w:val="21"/>
              </w:rPr>
            </w:pPr>
            <w:r w:rsidRPr="00FD2757">
              <w:rPr>
                <w:rFonts w:ascii="宋体" w:eastAsia="宋体" w:hAnsi="宋体" w:cs="宋体"/>
                <w:color w:val="666666"/>
                <w:kern w:val="0"/>
                <w:szCs w:val="21"/>
              </w:rPr>
              <w:t>中国结算</w:t>
            </w:r>
          </w:p>
        </w:tc>
      </w:tr>
    </w:tbl>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自</w:t>
      </w:r>
      <w:r w:rsidRPr="00FD2757">
        <w:rPr>
          <w:rFonts w:ascii="Microsoft Yahei" w:eastAsia="宋体" w:hAnsi="Microsoft Yahei" w:cs="宋体"/>
          <w:color w:val="666666"/>
          <w:kern w:val="0"/>
          <w:szCs w:val="21"/>
        </w:rPr>
        <w:t>2018</w:t>
      </w:r>
      <w:r w:rsidRPr="00FD2757">
        <w:rPr>
          <w:rFonts w:ascii="Microsoft Yahei" w:eastAsia="宋体" w:hAnsi="Microsoft Yahei" w:cs="宋体"/>
          <w:color w:val="666666"/>
          <w:kern w:val="0"/>
          <w:szCs w:val="21"/>
        </w:rPr>
        <w:t>年</w:t>
      </w:r>
      <w:r w:rsidRPr="00FD2757">
        <w:rPr>
          <w:rFonts w:ascii="Microsoft Yahei" w:eastAsia="宋体" w:hAnsi="Microsoft Yahei" w:cs="宋体"/>
          <w:color w:val="666666"/>
          <w:kern w:val="0"/>
          <w:szCs w:val="21"/>
        </w:rPr>
        <w:t>2</w:t>
      </w:r>
      <w:r w:rsidRPr="00FD2757">
        <w:rPr>
          <w:rFonts w:ascii="Microsoft Yahei" w:eastAsia="宋体" w:hAnsi="Microsoft Yahei" w:cs="宋体"/>
          <w:color w:val="666666"/>
          <w:kern w:val="0"/>
          <w:szCs w:val="21"/>
        </w:rPr>
        <w:t>月</w:t>
      </w:r>
      <w:r w:rsidRPr="00FD2757">
        <w:rPr>
          <w:rFonts w:ascii="Microsoft Yahei" w:eastAsia="宋体" w:hAnsi="Microsoft Yahei" w:cs="宋体"/>
          <w:color w:val="666666"/>
          <w:kern w:val="0"/>
          <w:szCs w:val="21"/>
        </w:rPr>
        <w:t>12</w:t>
      </w:r>
      <w:r w:rsidRPr="00FD2757">
        <w:rPr>
          <w:rFonts w:ascii="Microsoft Yahei" w:eastAsia="宋体" w:hAnsi="Microsoft Yahei" w:cs="宋体"/>
          <w:color w:val="666666"/>
          <w:kern w:val="0"/>
          <w:szCs w:val="21"/>
        </w:rPr>
        <w:t>日起，投资人可通过云湾投资办理上述列表中对应基金的开户、申购、赎回、定投、转换等业务，具体的业务流程、办理时间和办理方式以云湾投资的规定为准。</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二、</w:t>
      </w:r>
      <w:r w:rsidRPr="00FD2757">
        <w:rPr>
          <w:rFonts w:ascii="Microsoft Yahei" w:eastAsia="宋体" w:hAnsi="Microsoft Yahei" w:cs="宋体"/>
          <w:b/>
          <w:bCs/>
          <w:color w:val="666666"/>
          <w:kern w:val="0"/>
          <w:szCs w:val="21"/>
        </w:rPr>
        <w:t>重要提示</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1</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 xml:space="preserve">   </w:t>
      </w:r>
      <w:r w:rsidRPr="00FD2757">
        <w:rPr>
          <w:rFonts w:ascii="Microsoft Yahei" w:eastAsia="宋体" w:hAnsi="Microsoft Yahei" w:cs="宋体"/>
          <w:color w:val="666666"/>
          <w:kern w:val="0"/>
          <w:szCs w:val="21"/>
        </w:rPr>
        <w:t>上述申购、赎回等业务仅适用于处于正常申购期及处于特定开放日和开放时间的基金。基金封闭期等特殊期间的有关规定详见对应基金的《基金合同》和《招募说明书》等相关法律文件及本公司发布的最新业务公告。</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2</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 xml:space="preserve">   </w:t>
      </w:r>
      <w:r w:rsidRPr="00FD2757">
        <w:rPr>
          <w:rFonts w:ascii="Microsoft Yahei" w:eastAsia="宋体" w:hAnsi="Microsoft Yahei" w:cs="宋体"/>
          <w:color w:val="666666"/>
          <w:kern w:val="0"/>
          <w:szCs w:val="21"/>
        </w:rPr>
        <w:t>基金转换只能在同一代销机构进行。转换的两只基金必须都是该代销机构代理的同一基金管理人管理的、在同一基金份额登记机构注册登记的基金。投资者办理基金转换业务时，转出方的基金必须处于可赎回状态，转入方的基金必须处于可申购状态。同一基金的不同份额之间不能转换。</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基金持有人可将其全部或部分基金份额转换成其它基金，但单笔转换份额不得低于</w:t>
      </w:r>
      <w:r w:rsidRPr="00FD2757">
        <w:rPr>
          <w:rFonts w:ascii="Microsoft Yahei" w:eastAsia="宋体" w:hAnsi="Microsoft Yahei" w:cs="宋体"/>
          <w:color w:val="666666"/>
          <w:kern w:val="0"/>
          <w:szCs w:val="21"/>
        </w:rPr>
        <w:t>1</w:t>
      </w:r>
      <w:r w:rsidRPr="00FD2757">
        <w:rPr>
          <w:rFonts w:ascii="Microsoft Yahei" w:eastAsia="宋体" w:hAnsi="Microsoft Yahei" w:cs="宋体"/>
          <w:color w:val="666666"/>
          <w:kern w:val="0"/>
          <w:szCs w:val="21"/>
        </w:rPr>
        <w:t>份。单笔转换申请不受转入基金最低申购限额限制。</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转换后基金份额持有人在销售机构保留的上述基金的基金份额不足</w:t>
      </w:r>
      <w:r w:rsidRPr="00FD2757">
        <w:rPr>
          <w:rFonts w:ascii="Microsoft Yahei" w:eastAsia="宋体" w:hAnsi="Microsoft Yahei" w:cs="宋体"/>
          <w:color w:val="666666"/>
          <w:kern w:val="0"/>
          <w:szCs w:val="21"/>
        </w:rPr>
        <w:t>1</w:t>
      </w:r>
      <w:r w:rsidRPr="00FD2757">
        <w:rPr>
          <w:rFonts w:ascii="Microsoft Yahei" w:eastAsia="宋体" w:hAnsi="Microsoft Yahei" w:cs="宋体"/>
          <w:color w:val="666666"/>
          <w:kern w:val="0"/>
          <w:szCs w:val="21"/>
        </w:rPr>
        <w:t>份的，登记系统有权将全部剩余份额自动赎回。</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3</w:t>
      </w:r>
      <w:r w:rsidRPr="00FD2757">
        <w:rPr>
          <w:rFonts w:ascii="Microsoft Yahei" w:eastAsia="宋体" w:hAnsi="Microsoft Yahei" w:cs="宋体"/>
          <w:color w:val="666666"/>
          <w:kern w:val="0"/>
          <w:szCs w:val="21"/>
        </w:rPr>
        <w:t>、</w:t>
      </w:r>
      <w:r w:rsidRPr="00FD2757">
        <w:rPr>
          <w:rFonts w:ascii="Microsoft Yahei" w:eastAsia="宋体" w:hAnsi="Microsoft Yahei" w:cs="宋体"/>
          <w:color w:val="666666"/>
          <w:kern w:val="0"/>
          <w:szCs w:val="21"/>
        </w:rPr>
        <w:t xml:space="preserve">   </w:t>
      </w:r>
      <w:r w:rsidRPr="00FD2757">
        <w:rPr>
          <w:rFonts w:ascii="Microsoft Yahei" w:eastAsia="宋体" w:hAnsi="Microsoft Yahei" w:cs="宋体"/>
          <w:color w:val="666666"/>
          <w:kern w:val="0"/>
          <w:szCs w:val="21"/>
        </w:rPr>
        <w:t>投资者在云湾投资办理上述适用基金列表中开通定投业务基金的定期定额投资业务，每期最低扣款金额为</w:t>
      </w:r>
      <w:r w:rsidRPr="00FD2757">
        <w:rPr>
          <w:rFonts w:ascii="Microsoft Yahei" w:eastAsia="宋体" w:hAnsi="Microsoft Yahei" w:cs="宋体"/>
          <w:color w:val="666666"/>
          <w:kern w:val="0"/>
          <w:szCs w:val="21"/>
        </w:rPr>
        <w:t>100</w:t>
      </w:r>
      <w:r w:rsidRPr="00FD2757">
        <w:rPr>
          <w:rFonts w:ascii="Microsoft Yahei" w:eastAsia="宋体" w:hAnsi="Microsoft Yahei" w:cs="宋体"/>
          <w:color w:val="666666"/>
          <w:kern w:val="0"/>
          <w:szCs w:val="21"/>
        </w:rPr>
        <w:t>元人民币（含定投申购费）。</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b/>
          <w:bCs/>
          <w:color w:val="666666"/>
          <w:kern w:val="0"/>
          <w:szCs w:val="21"/>
        </w:rPr>
        <w:t>三、</w:t>
      </w:r>
      <w:r w:rsidRPr="00FD2757">
        <w:rPr>
          <w:rFonts w:ascii="Microsoft Yahei" w:eastAsia="宋体" w:hAnsi="Microsoft Yahei" w:cs="宋体"/>
          <w:b/>
          <w:bCs/>
          <w:color w:val="666666"/>
          <w:kern w:val="0"/>
          <w:szCs w:val="21"/>
        </w:rPr>
        <w:t>     </w:t>
      </w:r>
      <w:r w:rsidRPr="00FD2757">
        <w:rPr>
          <w:rFonts w:ascii="Microsoft Yahei" w:eastAsia="宋体" w:hAnsi="Microsoft Yahei" w:cs="宋体"/>
          <w:b/>
          <w:bCs/>
          <w:color w:val="666666"/>
          <w:kern w:val="0"/>
          <w:szCs w:val="21"/>
        </w:rPr>
        <w:t>投资者可通过以下途径咨询有关详情：</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1</w:t>
      </w:r>
      <w:r w:rsidRPr="00FD2757">
        <w:rPr>
          <w:rFonts w:ascii="Microsoft Yahei" w:eastAsia="宋体" w:hAnsi="Microsoft Yahei" w:cs="宋体"/>
          <w:color w:val="666666"/>
          <w:kern w:val="0"/>
          <w:szCs w:val="21"/>
        </w:rPr>
        <w:t>、上海云湾投资管理有限公司</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客服电话：</w:t>
      </w:r>
      <w:r w:rsidRPr="00FD2757">
        <w:rPr>
          <w:rFonts w:ascii="Microsoft Yahei" w:eastAsia="宋体" w:hAnsi="Microsoft Yahei" w:cs="宋体"/>
          <w:color w:val="666666"/>
          <w:kern w:val="0"/>
          <w:szCs w:val="21"/>
        </w:rPr>
        <w:t>400-820-1515</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网站：</w:t>
      </w:r>
      <w:r w:rsidRPr="00FD2757">
        <w:rPr>
          <w:rFonts w:ascii="Microsoft Yahei" w:eastAsia="宋体" w:hAnsi="Microsoft Yahei" w:cs="宋体"/>
          <w:color w:val="666666"/>
          <w:kern w:val="0"/>
          <w:szCs w:val="21"/>
        </w:rPr>
        <w:t>www.zhengtongfunds.com</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2</w:t>
      </w:r>
      <w:r w:rsidRPr="00FD2757">
        <w:rPr>
          <w:rFonts w:ascii="Microsoft Yahei" w:eastAsia="宋体" w:hAnsi="Microsoft Yahei" w:cs="宋体"/>
          <w:color w:val="666666"/>
          <w:kern w:val="0"/>
          <w:szCs w:val="21"/>
        </w:rPr>
        <w:t>、汇添富基金管理股份有限公司</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lastRenderedPageBreak/>
        <w:t>客服热线：</w:t>
      </w:r>
      <w:r w:rsidRPr="00FD2757">
        <w:rPr>
          <w:rFonts w:ascii="Microsoft Yahei" w:eastAsia="宋体" w:hAnsi="Microsoft Yahei" w:cs="宋体"/>
          <w:color w:val="666666"/>
          <w:kern w:val="0"/>
          <w:szCs w:val="21"/>
        </w:rPr>
        <w:t>400-888-9918</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网址：</w:t>
      </w:r>
      <w:r w:rsidRPr="00FD2757">
        <w:rPr>
          <w:rFonts w:ascii="Microsoft Yahei" w:eastAsia="宋体" w:hAnsi="Microsoft Yahei" w:cs="宋体"/>
          <w:color w:val="666666"/>
          <w:kern w:val="0"/>
          <w:szCs w:val="21"/>
        </w:rPr>
        <w:t>www.99fund.com</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FD2757" w:rsidRPr="00FD2757" w:rsidRDefault="00FD2757" w:rsidP="00FD2757">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特此公告。</w:t>
      </w:r>
    </w:p>
    <w:p w:rsidR="00FD2757" w:rsidRPr="00FD2757" w:rsidRDefault="00FD2757" w:rsidP="00FD275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汇添富基金管理股份有限公司</w:t>
      </w:r>
    </w:p>
    <w:p w:rsidR="00FD2757" w:rsidRPr="00FD2757" w:rsidRDefault="00FD2757" w:rsidP="00FD2757">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FD2757">
        <w:rPr>
          <w:rFonts w:ascii="Microsoft Yahei" w:eastAsia="宋体" w:hAnsi="Microsoft Yahei" w:cs="宋体"/>
          <w:color w:val="666666"/>
          <w:kern w:val="0"/>
          <w:szCs w:val="21"/>
        </w:rPr>
        <w:t>2018</w:t>
      </w:r>
      <w:r w:rsidRPr="00FD2757">
        <w:rPr>
          <w:rFonts w:ascii="Microsoft Yahei" w:eastAsia="宋体" w:hAnsi="Microsoft Yahei" w:cs="宋体"/>
          <w:color w:val="666666"/>
          <w:kern w:val="0"/>
          <w:szCs w:val="21"/>
        </w:rPr>
        <w:t>年</w:t>
      </w:r>
      <w:r w:rsidRPr="00FD2757">
        <w:rPr>
          <w:rFonts w:ascii="Microsoft Yahei" w:eastAsia="宋体" w:hAnsi="Microsoft Yahei" w:cs="宋体"/>
          <w:color w:val="666666"/>
          <w:kern w:val="0"/>
          <w:szCs w:val="21"/>
        </w:rPr>
        <w:t>2</w:t>
      </w:r>
      <w:r w:rsidRPr="00FD2757">
        <w:rPr>
          <w:rFonts w:ascii="Microsoft Yahei" w:eastAsia="宋体" w:hAnsi="Microsoft Yahei" w:cs="宋体"/>
          <w:color w:val="666666"/>
          <w:kern w:val="0"/>
          <w:szCs w:val="21"/>
        </w:rPr>
        <w:t>月</w:t>
      </w:r>
      <w:r w:rsidRPr="00FD2757">
        <w:rPr>
          <w:rFonts w:ascii="Microsoft Yahei" w:eastAsia="宋体" w:hAnsi="Microsoft Yahei" w:cs="宋体"/>
          <w:color w:val="666666"/>
          <w:kern w:val="0"/>
          <w:szCs w:val="21"/>
        </w:rPr>
        <w:t>10</w:t>
      </w:r>
      <w:r w:rsidRPr="00FD2757">
        <w:rPr>
          <w:rFonts w:ascii="Microsoft Yahei" w:eastAsia="宋体" w:hAnsi="Microsoft Yahei" w:cs="宋体"/>
          <w:color w:val="666666"/>
          <w:kern w:val="0"/>
          <w:szCs w:val="21"/>
        </w:rPr>
        <w:t>日</w:t>
      </w:r>
    </w:p>
    <w:p w:rsidR="00CF6A15" w:rsidRDefault="00FD2757">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57"/>
    <w:rsid w:val="0061117A"/>
    <w:rsid w:val="00F9220C"/>
    <w:rsid w:val="00FD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D27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D2757"/>
    <w:rPr>
      <w:rFonts w:ascii="宋体" w:eastAsia="宋体" w:hAnsi="宋体" w:cs="宋体"/>
      <w:b/>
      <w:bCs/>
      <w:kern w:val="0"/>
      <w:sz w:val="27"/>
      <w:szCs w:val="27"/>
    </w:rPr>
  </w:style>
  <w:style w:type="character" w:customStyle="1" w:styleId="apple-converted-space">
    <w:name w:val="apple-converted-space"/>
    <w:basedOn w:val="a0"/>
    <w:rsid w:val="00FD2757"/>
  </w:style>
  <w:style w:type="character" w:styleId="a3">
    <w:name w:val="Hyperlink"/>
    <w:basedOn w:val="a0"/>
    <w:uiPriority w:val="99"/>
    <w:semiHidden/>
    <w:unhideWhenUsed/>
    <w:rsid w:val="00FD2757"/>
    <w:rPr>
      <w:color w:val="0000FF"/>
      <w:u w:val="single"/>
    </w:rPr>
  </w:style>
  <w:style w:type="paragraph" w:styleId="a4">
    <w:name w:val="Normal (Web)"/>
    <w:basedOn w:val="a"/>
    <w:uiPriority w:val="99"/>
    <w:unhideWhenUsed/>
    <w:rsid w:val="00FD27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D27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D2757"/>
    <w:rPr>
      <w:rFonts w:ascii="宋体" w:eastAsia="宋体" w:hAnsi="宋体" w:cs="宋体"/>
      <w:b/>
      <w:bCs/>
      <w:kern w:val="0"/>
      <w:sz w:val="27"/>
      <w:szCs w:val="27"/>
    </w:rPr>
  </w:style>
  <w:style w:type="character" w:customStyle="1" w:styleId="apple-converted-space">
    <w:name w:val="apple-converted-space"/>
    <w:basedOn w:val="a0"/>
    <w:rsid w:val="00FD2757"/>
  </w:style>
  <w:style w:type="character" w:styleId="a3">
    <w:name w:val="Hyperlink"/>
    <w:basedOn w:val="a0"/>
    <w:uiPriority w:val="99"/>
    <w:semiHidden/>
    <w:unhideWhenUsed/>
    <w:rsid w:val="00FD2757"/>
    <w:rPr>
      <w:color w:val="0000FF"/>
      <w:u w:val="single"/>
    </w:rPr>
  </w:style>
  <w:style w:type="paragraph" w:styleId="a4">
    <w:name w:val="Normal (Web)"/>
    <w:basedOn w:val="a"/>
    <w:uiPriority w:val="99"/>
    <w:unhideWhenUsed/>
    <w:rsid w:val="00FD27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69608">
      <w:bodyDiv w:val="1"/>
      <w:marLeft w:val="0"/>
      <w:marRight w:val="0"/>
      <w:marTop w:val="0"/>
      <w:marBottom w:val="0"/>
      <w:divBdr>
        <w:top w:val="none" w:sz="0" w:space="0" w:color="auto"/>
        <w:left w:val="none" w:sz="0" w:space="0" w:color="auto"/>
        <w:bottom w:val="none" w:sz="0" w:space="0" w:color="auto"/>
        <w:right w:val="none" w:sz="0" w:space="0" w:color="auto"/>
      </w:divBdr>
      <w:divsChild>
        <w:div w:id="2121870131">
          <w:marLeft w:val="0"/>
          <w:marRight w:val="0"/>
          <w:marTop w:val="150"/>
          <w:marBottom w:val="300"/>
          <w:divBdr>
            <w:top w:val="single" w:sz="6" w:space="8" w:color="BBBBBB"/>
            <w:left w:val="none" w:sz="0" w:space="0" w:color="auto"/>
            <w:bottom w:val="none" w:sz="0" w:space="0" w:color="auto"/>
            <w:right w:val="none" w:sz="0" w:space="0" w:color="auto"/>
          </w:divBdr>
        </w:div>
        <w:div w:id="20290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fund.com/main/a/20180210/12501442.shtml?v=15181922565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80210/12501442.shtml?v=1518192256523" TargetMode="External"/><Relationship Id="rId5" Type="http://schemas.openxmlformats.org/officeDocument/2006/relationships/hyperlink" Target="http://www.99fund.com/main/a/20180210/12501442.shtml?v=15181922565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2018-02-10T07:15:00Z</dcterms:created>
  <dcterms:modified xsi:type="dcterms:W3CDTF">2018-02-10T07:15:00Z</dcterms:modified>
</cp:coreProperties>
</file>