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E3B" w:rsidRDefault="00782E3B">
      <w:pPr>
        <w:rPr>
          <w:rFonts w:hint="eastAsia"/>
        </w:rPr>
      </w:pPr>
      <w:bookmarkStart w:id="0" w:name="_GoBack"/>
      <w:r>
        <w:rPr>
          <w:rFonts w:hint="eastAsia"/>
        </w:rPr>
        <w:t>南方</w:t>
      </w:r>
      <w:r>
        <w:t>关于公司旗下基金调整停牌股票</w:t>
      </w:r>
      <w:r>
        <w:t xml:space="preserve"> </w:t>
      </w:r>
      <w:r>
        <w:t>估值方法的提示性公告</w:t>
      </w:r>
      <w:bookmarkEnd w:id="0"/>
      <w:r>
        <w:t xml:space="preserve"> </w:t>
      </w:r>
    </w:p>
    <w:p w:rsidR="00255A84" w:rsidRDefault="00782E3B">
      <w:r>
        <w:t>根据中国证监会</w:t>
      </w:r>
      <w:r>
        <w:t xml:space="preserve"> 2017 </w:t>
      </w:r>
      <w:r>
        <w:t>年</w:t>
      </w:r>
      <w:r>
        <w:t xml:space="preserve"> 9 </w:t>
      </w:r>
      <w:r>
        <w:t>月</w:t>
      </w:r>
      <w:r>
        <w:t xml:space="preserve"> 5 </w:t>
      </w:r>
      <w:r>
        <w:t>日下发的</w:t>
      </w:r>
      <w:r>
        <w:t xml:space="preserve">[2017]13 </w:t>
      </w:r>
      <w:r>
        <w:t>号《中国证监会关于证券投资基金估值业务的指导</w:t>
      </w:r>
      <w:r>
        <w:t xml:space="preserve"> </w:t>
      </w:r>
      <w:r>
        <w:t>意见》、中国证券投资基金业协会</w:t>
      </w:r>
      <w:r>
        <w:t xml:space="preserve"> 2013 </w:t>
      </w:r>
      <w:r>
        <w:t>年</w:t>
      </w:r>
      <w:r>
        <w:t xml:space="preserve"> 5 </w:t>
      </w:r>
      <w:r>
        <w:t>月</w:t>
      </w:r>
      <w:r>
        <w:t xml:space="preserve"> 20 </w:t>
      </w:r>
      <w:r>
        <w:t>日下发的</w:t>
      </w:r>
      <w:r>
        <w:t xml:space="preserve">[2013]13 </w:t>
      </w:r>
      <w:r>
        <w:t>号《关于发布中基协（</w:t>
      </w:r>
      <w:r>
        <w:t>AMAC</w:t>
      </w:r>
      <w:r>
        <w:t>）基金行</w:t>
      </w:r>
      <w:r>
        <w:t xml:space="preserve"> </w:t>
      </w:r>
      <w:r>
        <w:t>业股票估值指数的通知》及南方基金管理股份有限公司（以下简称</w:t>
      </w:r>
      <w:r>
        <w:t>“</w:t>
      </w:r>
      <w:r>
        <w:t>我公司</w:t>
      </w:r>
      <w:r>
        <w:t xml:space="preserve">” </w:t>
      </w:r>
      <w:r>
        <w:t>）长期停牌股票的估值政策和</w:t>
      </w:r>
      <w:r>
        <w:t xml:space="preserve"> </w:t>
      </w:r>
      <w:r>
        <w:t>程序，基金持有已停牌股票且潜在估值调整对前一估值日的基金资产净值的影响在</w:t>
      </w:r>
      <w:r>
        <w:t xml:space="preserve"> 0.25</w:t>
      </w:r>
      <w:r>
        <w:t>％以上的，相应股</w:t>
      </w:r>
      <w:r>
        <w:t xml:space="preserve"> </w:t>
      </w:r>
      <w:r>
        <w:t>票应参考应用上述有关规定中的行业估值指数确定其公允价值。</w:t>
      </w:r>
      <w:r>
        <w:t xml:space="preserve"> </w:t>
      </w:r>
      <w:r>
        <w:t>我公司旗下南方绝对收益策略定期开放混合型发起式基金、南方大数据</w:t>
      </w:r>
      <w:r>
        <w:t xml:space="preserve"> 100 </w:t>
      </w:r>
      <w:r>
        <w:t>指数证券投资基金、南方</w:t>
      </w:r>
      <w:r>
        <w:t xml:space="preserve"> </w:t>
      </w:r>
      <w:r>
        <w:t>大数据</w:t>
      </w:r>
      <w:r>
        <w:t xml:space="preserve"> 300 </w:t>
      </w:r>
      <w:r>
        <w:t>指数证券投资基金、南方量化成长股票型证券投资基金、南方安享绝对收益策略定期开放混合</w:t>
      </w:r>
      <w:r>
        <w:t xml:space="preserve"> </w:t>
      </w:r>
      <w:r>
        <w:t>型发起式证券投资基金、南方荣优鑫年享定期开放混合型证券投资基金、南方中证</w:t>
      </w:r>
      <w:r>
        <w:t xml:space="preserve"> 500 </w:t>
      </w:r>
      <w:r>
        <w:t>交易型开放式指数</w:t>
      </w:r>
      <w:r>
        <w:t xml:space="preserve"> </w:t>
      </w:r>
      <w:r>
        <w:t>证券投资基金联接基金</w:t>
      </w:r>
      <w:r>
        <w:t>(LOF)</w:t>
      </w:r>
      <w:r>
        <w:t>、南方深证成份交易型开放式指数证券投资基金联接基金、南方策略优化混合</w:t>
      </w:r>
      <w:r>
        <w:t xml:space="preserve"> </w:t>
      </w:r>
      <w:r>
        <w:t>型证券投资基金持有</w:t>
      </w:r>
      <w:proofErr w:type="gramStart"/>
      <w:r>
        <w:t>的恒逸石化</w:t>
      </w:r>
      <w:proofErr w:type="gramEnd"/>
      <w:r>
        <w:t>（股票代码</w:t>
      </w:r>
      <w:r>
        <w:t xml:space="preserve"> 000703</w:t>
      </w:r>
      <w:r>
        <w:t>）自</w:t>
      </w:r>
      <w:r>
        <w:t xml:space="preserve"> 2018 </w:t>
      </w:r>
      <w:r>
        <w:t>年</w:t>
      </w:r>
      <w:r>
        <w:t xml:space="preserve"> 1 </w:t>
      </w:r>
      <w:r>
        <w:t>月</w:t>
      </w:r>
      <w:r>
        <w:t xml:space="preserve"> 5 </w:t>
      </w:r>
      <w:r>
        <w:t>日起停牌。</w:t>
      </w:r>
      <w:r>
        <w:t xml:space="preserve"> </w:t>
      </w:r>
      <w:r>
        <w:t>经我公司与托管行协商</w:t>
      </w:r>
      <w:proofErr w:type="gramStart"/>
      <w:r>
        <w:t>一</w:t>
      </w:r>
      <w:proofErr w:type="gramEnd"/>
      <w:r>
        <w:t xml:space="preserve"> </w:t>
      </w:r>
      <w:r>
        <w:t>致，自</w:t>
      </w:r>
      <w:r>
        <w:t xml:space="preserve"> 2018 </w:t>
      </w:r>
      <w:r>
        <w:t>年</w:t>
      </w:r>
      <w:r>
        <w:t xml:space="preserve"> 2 </w:t>
      </w:r>
      <w:r>
        <w:t>月</w:t>
      </w:r>
      <w:r>
        <w:t xml:space="preserve"> 9 </w:t>
      </w:r>
      <w:r>
        <w:t>日起采用</w:t>
      </w:r>
      <w:r>
        <w:t>“</w:t>
      </w:r>
      <w:r>
        <w:t>指数收益法</w:t>
      </w:r>
      <w:r>
        <w:t xml:space="preserve">” </w:t>
      </w:r>
      <w:r>
        <w:t>对上述基金持有的上述股票估值。</w:t>
      </w:r>
      <w:r>
        <w:t xml:space="preserve"> </w:t>
      </w:r>
      <w:r>
        <w:t>自上述股票复牌之日起且其交易体现了活跃市场交易特征后，按市场价格进行估值，届时不再另行公</w:t>
      </w:r>
      <w:r>
        <w:t xml:space="preserve"> </w:t>
      </w:r>
      <w:r>
        <w:t>告。</w:t>
      </w:r>
      <w:r>
        <w:t xml:space="preserve"> </w:t>
      </w:r>
      <w:r>
        <w:t>敬请投资者予以关注。</w:t>
      </w:r>
      <w:r>
        <w:t xml:space="preserve"> </w:t>
      </w:r>
      <w:r>
        <w:t>特此公告。</w:t>
      </w:r>
      <w:r>
        <w:t xml:space="preserve"> </w:t>
      </w:r>
      <w:r>
        <w:t>南方基金管理股份有限公司</w:t>
      </w:r>
      <w:r>
        <w:t xml:space="preserve"> </w:t>
      </w:r>
      <w:r>
        <w:t>二</w:t>
      </w:r>
      <w:r>
        <w:t>○</w:t>
      </w:r>
      <w:r>
        <w:t>一八年二月十日</w:t>
      </w:r>
    </w:p>
    <w:sectPr w:rsidR="00255A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E3B"/>
    <w:rsid w:val="00255A84"/>
    <w:rsid w:val="00782E3B"/>
    <w:rsid w:val="00B40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2018-02-10T07:36:00Z</dcterms:created>
  <dcterms:modified xsi:type="dcterms:W3CDTF">2018-02-10T07:36:00Z</dcterms:modified>
</cp:coreProperties>
</file>