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4"/>
          <w:szCs w:val="28"/>
        </w:rPr>
      </w:pPr>
      <w:r>
        <w:rPr>
          <w:rFonts w:hint="eastAsia"/>
          <w:b/>
          <w:bCs/>
          <w:sz w:val="24"/>
          <w:szCs w:val="28"/>
        </w:rPr>
        <w:t>风险评级待调高产品列表</w:t>
      </w:r>
    </w:p>
    <w:tbl>
      <w:tblPr>
        <w:tblStyle w:val="2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804"/>
        <w:gridCol w:w="3498"/>
        <w:gridCol w:w="2257"/>
        <w:gridCol w:w="1834"/>
        <w:gridCol w:w="850"/>
        <w:gridCol w:w="9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50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序号</w:t>
            </w:r>
          </w:p>
        </w:tc>
        <w:tc>
          <w:tcPr>
            <w:tcW w:w="80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产品</w:t>
            </w:r>
          </w:p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代码</w:t>
            </w:r>
          </w:p>
        </w:tc>
        <w:tc>
          <w:tcPr>
            <w:tcW w:w="3498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产品名称</w:t>
            </w:r>
          </w:p>
        </w:tc>
        <w:tc>
          <w:tcPr>
            <w:tcW w:w="2257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基金公司</w:t>
            </w:r>
          </w:p>
        </w:tc>
        <w:tc>
          <w:tcPr>
            <w:tcW w:w="183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产品类型</w:t>
            </w:r>
          </w:p>
        </w:tc>
        <w:tc>
          <w:tcPr>
            <w:tcW w:w="85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原风险</w:t>
            </w:r>
          </w:p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评级</w:t>
            </w:r>
          </w:p>
        </w:tc>
        <w:tc>
          <w:tcPr>
            <w:tcW w:w="932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调整后</w:t>
            </w:r>
          </w:p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风险评级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007915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财通资管鸿福短债债券型证券投资基金A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财通证券资产管理有限公司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短期纯债型基金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007240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申万菱信安泰瑞利中短债债券C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申万菱信基金管理有限公司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短期纯债型基金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006609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申万菱信安泰瑞利中短债债券A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申万菱信基金管理有限公司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短期纯债型基金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006799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财通资管鸿运中短债债券型证券投资基金A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财通证券资产管理有限公司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短期纯债型基金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006542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财通资管鸿利中短债债券型证券投资基金A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财通证券资产管理有限公司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短期纯债型基金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006360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财通资管鸿益中短债债券型证券投资基金A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财通证券资产管理有限公司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短期纯债型基金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015064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华润元大润丰纯债债券型证券投资基金C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华润元大基金管理有限公司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中长期纯债型基金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004894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华润元大润泽债券型证券投资基金C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华润元大基金管理有限公司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中长期纯债型基金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006471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华润元大润鑫债券型证券投资基金C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华润元大基金管理有限公司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中长期纯债型基金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003418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华润元大润鑫债券型证券投资基金A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华润元大基金管理有限公司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中长期纯债型基金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880002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招商现金牛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012740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工银瑞信平衡回报6个月持有A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012741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工银瑞信平衡回报6个月持有C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151002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银河收益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银河基金管理有限公司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519977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长信可转债债券型基金A类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可转换债券型基金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519976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长信可转债债券型基金C类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可转换债券型基金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100051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富国可转换债券A/B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可转换债券型基金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007078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工银瑞信中债3-5年国开行债券A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被动指数型债券基金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007079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工银瑞信中债3-5年国开行债券C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被动指数型债券基金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012404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东方中债1-5年政策性金融债C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东方基金管理股份有限公司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被动指数型债券基金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012403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东方中债1-5年政策性金融债A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东方基金管理股份有限公司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被动指数型债券基金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020571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融通中概债券QDC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008367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富国亚洲收益债券（QDII）人民币A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019709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富国亚洲收益债券（QDII）人民币C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007360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易方达中短美元债人民币A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007361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易方达中短美元债人民币C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007205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银华美元债精选债券C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银华基金管理股份有限公司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007204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银华美元债精选债券A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银华基金管理股份有限公司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005243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融通中概债券QDA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004419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汇添富美元债债券（QDII）人民币A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汇添富基金管理股份有限公司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004420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汇添富美元债债券（QDII）人民币C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汇添富基金管理股份有限公司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002877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华夏大中华信用精选债券型证券投资基金（QDII）A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002880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华夏大中华信用精选债券型证券投资基金（QDII）C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002426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华安美元票息债-A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002429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华安美元票息债-C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002391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华安美元收益-A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002393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华安美元收益-C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002400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南方亚洲美元收益债券（QDII）A（人民币）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002401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南方亚洲美元收益债券（QDII）C（人民币）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000274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广发亚太中高收益债券(QDII)人民币A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000342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嘉实新兴市场A1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013508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广发亚太中高收益债券(QDII)人民币C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000290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鹏华全球高收益债人民币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050030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博时亚洲票息债券AQDII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019481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博时亚洲票息债券CQDII（美元汇）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050202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博时亚洲票息债券AQDII（美元汇）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019480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博时亚洲票息债券CQDII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001063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华夏海外收益债券型证券投资基金C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001061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华夏海外收益债券型证券投资基金A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100050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富国全球债券（QDII）人民币A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019518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富国全球债券（QDII）人民币C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206006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鹏华全球中短债债券A类人民币(QDII)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国际(QDII)债券型基金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017259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景顺长城稳健养老目标三年持有期混合型发起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混合型FOF基金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016245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易方达汇康养老一年FOFA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混合型FOF基金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018286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博时集兴配置优选6个月持有混合发起（FOF）C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混合型FOF基金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018285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博时集兴配置优选6个月持有混合发起（FOF）A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混合型FOF基金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012282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中欧睿智精选一年持有期混合型基金中基金（FOF）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中欧基金管理有限公司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混合型FOF基金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011697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南方浩睿进取京选3个月持有混合（FOF）C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混合型FOF基金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011696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南方浩睿进取京选3个月持有混合（FOF）A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混合型FOF基金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005795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博时中证500指数增强C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增强指数型基金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008396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博时中证500ETF发起式联接A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008397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博时中证500ETF发起式联接C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006438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博时中证央企结构调整ETF联接A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006439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博时中证央企结构调整ETF联接C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005737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博时上证50ETF联接C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001242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博时中证淘金大数据100指数A类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050013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博时上证超级大盘ETF联接A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014979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华安上证180ETF联接C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002385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博时沪深300指数C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050002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博时沪深300指数A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202023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南方成长后端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200001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长城久恒混合A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018790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华泰柏瑞均衡成长混合A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018791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华泰柏瑞均衡成长混合C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017639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银华尊颐稳健养老目标一年持有期混合型发起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011921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富国均衡成长三年持有期混合A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011922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富国均衡成长三年持有期混合C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011215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招商惠润1年定开MOM)C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011214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招商惠润1年定开MOM)A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012123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招商金安成长严选混合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011838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鹏扬中国优质成长混合型证券投资基金C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鹏扬基金管理有限公司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011837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鹏扬中国优质成长混合型证券投资基金A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鹏扬基金管理有限公司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010692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华夏核心价值混合型证券投资基金A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010693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华夏核心价值混合型证券投资基金C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010415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华泰柏瑞质量精选A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010416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华泰柏瑞质量精选C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010166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招商兴和优选1年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招商基金管理有限公司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009960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银华多元机遇混合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银华基金管理股份有限公司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900100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中信证券卓越成长两年持有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中信证券资产管理有限公司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519002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华安安信消费服务混合型证券投资基金A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550015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中信保诚至远动力混合型证券投资基金A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550016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中信保诚至远动力混合型证券投资基金C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166011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中欧盛世成长混合型证券投资基金(LOF)A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中欧基金管理有限公司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900010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中信证券卓越成长两年持有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中信证券资产管理有限公司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952099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国泰君安君得鑫两年持有C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上海国泰君安证券资产管理有限公司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952009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国泰君安君得鑫两年持有A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上海国泰君安证券资产管理有限公司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952004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国泰君安君得明混合型证券投资基金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上海国泰君安证券资产管理有限公司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016293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华安核心优选混合C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110009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易方达价值精选混合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202027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南方高端装备后端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202019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南方策略后端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202011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南方优选价值后端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202009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南方盛元红利后端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202007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南方隆元产业后端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202005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南方成份精选后端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202003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南方绩优后端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519994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长信金利趋势前收费基金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160106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南方高增长后收费基金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519996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长信银利精选前收费基金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长信基金管理有限责任公司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001073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华泰柏瑞绝对收益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华泰柏瑞基金管理有限公司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股票多空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070031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嘉实全球房地产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国际(QDII)另类投资基金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508098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嘉实京东仓储物流封闭式基础设施证券投资基金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REITs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180103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华夏杭州和达高科产业园封闭式基础设施证券投资基金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REITs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508077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华夏基金华润有巢租赁住房封闭式基础设施证券投资基金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REITs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180102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华夏合肥高新创新产业园封闭式基础设施证券投资基金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REITs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116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508068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华夏北京保障房中心租赁住房封闭式基础设施证券投资基金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REITs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117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180101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博时招商蛇口产业园封闭式基础设施证券投资基金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REITs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118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184801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鹏华前海万科REITs封闭式混合型发起式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类REITs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119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002610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博时黄金ETF联接A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商品型基金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120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002611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博时黄金ETF联接C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商品型基金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121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000307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易方达黄金ETF联接A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商品型基金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122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007937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华夏饲料豆粕期货交易型开放式证券投资基金A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商品型基金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123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007938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华夏饲料豆粕期货交易型开放式证券投资基金C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商品型基金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124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000216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华安黄金ETF联接A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商品型基金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125</w:t>
            </w:r>
          </w:p>
        </w:tc>
        <w:tc>
          <w:tcPr>
            <w:tcW w:w="804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000217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华安黄金ETF联接C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商品型基金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高风险</w:t>
            </w:r>
          </w:p>
        </w:tc>
      </w:tr>
    </w:tbl>
    <w:p>
      <w:pPr>
        <w:jc w:val="center"/>
        <w:rPr>
          <w:b/>
          <w:bCs/>
          <w:sz w:val="24"/>
          <w:szCs w:val="28"/>
        </w:rPr>
      </w:pPr>
    </w:p>
    <w:p>
      <w:pPr>
        <w:jc w:val="center"/>
        <w:rPr>
          <w:b/>
          <w:bCs/>
          <w:sz w:val="24"/>
          <w:szCs w:val="28"/>
        </w:rPr>
      </w:pPr>
    </w:p>
    <w:p>
      <w:pPr>
        <w:jc w:val="center"/>
        <w:rPr>
          <w:b/>
          <w:bCs/>
          <w:sz w:val="24"/>
          <w:szCs w:val="28"/>
        </w:rPr>
      </w:pPr>
    </w:p>
    <w:p>
      <w:pPr>
        <w:jc w:val="center"/>
        <w:rPr>
          <w:b/>
          <w:bCs/>
          <w:sz w:val="24"/>
          <w:szCs w:val="28"/>
        </w:rPr>
      </w:pPr>
    </w:p>
    <w:p>
      <w:pPr>
        <w:jc w:val="center"/>
        <w:rPr>
          <w:b/>
          <w:bCs/>
          <w:sz w:val="24"/>
          <w:szCs w:val="28"/>
        </w:rPr>
      </w:pPr>
    </w:p>
    <w:p>
      <w:pPr>
        <w:jc w:val="center"/>
        <w:rPr>
          <w:b/>
          <w:bCs/>
          <w:sz w:val="24"/>
          <w:szCs w:val="28"/>
        </w:rPr>
      </w:pPr>
    </w:p>
    <w:p>
      <w:pPr>
        <w:jc w:val="center"/>
        <w:rPr>
          <w:b/>
          <w:bCs/>
          <w:sz w:val="24"/>
          <w:szCs w:val="28"/>
        </w:rPr>
      </w:pPr>
    </w:p>
    <w:p>
      <w:pPr>
        <w:jc w:val="center"/>
        <w:rPr>
          <w:b/>
          <w:bCs/>
          <w:sz w:val="24"/>
          <w:szCs w:val="28"/>
        </w:rPr>
      </w:pPr>
    </w:p>
    <w:p>
      <w:pPr>
        <w:jc w:val="center"/>
        <w:rPr>
          <w:rFonts w:hint="eastAsia"/>
          <w:b/>
          <w:bCs/>
          <w:sz w:val="24"/>
          <w:szCs w:val="28"/>
        </w:rPr>
      </w:pPr>
      <w:bookmarkStart w:id="0" w:name="_GoBack"/>
      <w:bookmarkEnd w:id="0"/>
      <w:r>
        <w:rPr>
          <w:rFonts w:hint="eastAsia"/>
          <w:b/>
          <w:bCs/>
          <w:sz w:val="24"/>
          <w:szCs w:val="28"/>
        </w:rPr>
        <w:t>风险评级待调低产品列表</w:t>
      </w:r>
    </w:p>
    <w:tbl>
      <w:tblPr>
        <w:tblStyle w:val="2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790"/>
        <w:gridCol w:w="3512"/>
        <w:gridCol w:w="2257"/>
        <w:gridCol w:w="1834"/>
        <w:gridCol w:w="850"/>
        <w:gridCol w:w="9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50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序号</w:t>
            </w:r>
          </w:p>
        </w:tc>
        <w:tc>
          <w:tcPr>
            <w:tcW w:w="79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产品</w:t>
            </w:r>
          </w:p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代码</w:t>
            </w:r>
          </w:p>
        </w:tc>
        <w:tc>
          <w:tcPr>
            <w:tcW w:w="3512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产品名称</w:t>
            </w:r>
          </w:p>
        </w:tc>
        <w:tc>
          <w:tcPr>
            <w:tcW w:w="2257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基金公司</w:t>
            </w:r>
          </w:p>
        </w:tc>
        <w:tc>
          <w:tcPr>
            <w:tcW w:w="183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产品类型</w:t>
            </w:r>
          </w:p>
        </w:tc>
        <w:tc>
          <w:tcPr>
            <w:tcW w:w="85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原风险</w:t>
            </w:r>
          </w:p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评级</w:t>
            </w:r>
          </w:p>
        </w:tc>
        <w:tc>
          <w:tcPr>
            <w:tcW w:w="932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调整后</w:t>
            </w:r>
          </w:p>
          <w:p>
            <w:pPr>
              <w:widowControl/>
              <w:jc w:val="center"/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b/>
                <w:bCs/>
                <w:kern w:val="0"/>
                <w:sz w:val="15"/>
                <w:szCs w:val="15"/>
                <w14:ligatures w14:val="none"/>
              </w:rPr>
              <w:t>风险评级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510080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长盛全债指数增强债券A（前端）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长盛基金管理有限公司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增强指数型债券基金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163005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长信利众债券型证券投资基金（LOF）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162511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国联安双佳信用债券型证券投资基金（LOF）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161506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银河通利债券型证券投资基金(LOF)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165517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中信保诚双盈债券型证券投资基金(LOF)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270030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广发聚财信用债B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270029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广发聚财信用债A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163819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中银信用增利债券型证券投资基金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166401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浦银安盛稳健增利债券型证券投资基金（LOF）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浦银安盛基金管理有限公司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164208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天弘丰利债券型证券投资基金（LOF）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070025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嘉实信用A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070026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嘉实信用C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162215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宏利聚利债券型证券投资基金（LOF）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宏利基金管理有限公司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200013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长城积极增利债券A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200113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长城积极增利债券C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261001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景顺长城稳定收益债券型证券投资基金A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161216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国投瑞银双债增利债券型基金A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国投瑞银基金管理有限公司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161221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国投瑞银双债增利债券型证券投资基金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国投瑞银基金管理有限公司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261101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景顺长城稳定收益债券型证券投资基金C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164902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交银添利（LOF）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040019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华安稳固C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166008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中欧增强回报债券型证券投资基金(LOF)A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中欧基金管理有限公司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160617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鹏华丰润债券型基金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164105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华富强化回报债券型基金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233005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摩根士丹利强收益债券型证券投资基金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摩根士丹利基金管理(中国)有限公司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340009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兴全磐稳增利A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兴证全球基金管理有限公司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253021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国联安增利债券B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253020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国联安增利债券A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630103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华商收益增强债券型证券投资基金B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630003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华商收益增强债券型证券投资基金A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660102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农银恒久增利债券C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农银汇理基金管理有限公司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660002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农银恒久增利债券A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农银汇理基金管理有限公司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400009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东方稳健回报债券A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163806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中银稳健增利债券型证券投资基金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360008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光大保德信增利收益债券型证券投资基金A类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光大保德信基金管理有限公司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360009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光大保德信增利收益债券型证券投资基金C类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光大保德信基金管理有限公司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519023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海富通稳健添利债券型基金Ｃ类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海富通基金管理有限公司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519024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海富通稳健添利债券型基金Ａ类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海富通基金管理有限公司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217011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招商安心收益C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招商基金管理有限公司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161010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富国天丰前收费基金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530008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建信稳定增利债券C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410005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华富收益增强债券B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410004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华富收益增强债券A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040009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华安收益A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040010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华安收益B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485107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工银瑞信信用添利债券型证券投资基金A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485007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工银瑞信信用添利债券型证券投资基金B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395001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中海稳健收益债券型证券投资基金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519681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交银施罗德增利债券后收费基金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519682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交银施罗德增利债券销售费基金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519680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交银施罗德增利债券前收费基金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270009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广发增强债券C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110018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易方达增强回报债券B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110017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易方达增强回报债券A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519078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汇添富增强收益债券型证券投资基金A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485005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工银瑞信增强收益债券型证券投资基金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519667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银河银信添利债券型基金Ａ类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519666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银河银信添利债券型基金Ｂ类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288102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华夏稳定双利债券型证券投资基金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华夏债券投资基金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202102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南方多利增强债券C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202103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南方多利增强债券A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050006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博时稳定价值债券B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050106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博时稳定价值债券A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020012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金龙债券C类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国泰基金管理有限公司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020002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金龙债券A类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国泰基金管理有限公司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100018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富国天利增长债券A/B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240003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华宝宝康债券A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160602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鹏华普天债券基金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160608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鹏华普天债券B类基金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070005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092002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大成债券C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大成基金管理有限公司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090002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大成债券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大成基金管理有限公司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华夏债券投资基金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混合债券型一级基金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020811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富国盛利增强债券发起式A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020812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富国盛利增强债券发起式C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011672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中信建投双利3个月持有C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中信建投基金管理有限公司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011671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中信建投双利3个月持有A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中信建投基金管理有限公司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79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012330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广发集优9个月持有期债券A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012331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广发集优9个月持有期债券C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010012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景顺长城景颐招利6个月持有C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010011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景顺长城景颐招利6个月持有A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009731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中信保诚安鑫回报债券型证券投资基金C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009730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中信保诚安鑫回报债券型证券投资基金A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009000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景顺长城景颐嘉利6个月持有C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008999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景顺长城景颐嘉利6个月持有A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008948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华夏鼎源债券型证券投资基金C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008947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华夏鼎源债券型证券投资基金A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89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008529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汇安信利债券A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汇安基金管理有限责任公司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008530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汇安信利债券C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汇安基金管理有限责任公司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006060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鹏扬泓利债券型证券投资基金C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鹏扬基金管理有限公司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006059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鹏扬泓利债券型证券投资基金A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鹏扬基金管理有限公司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004025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融通收益增强债券A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004026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融通收益增强债券C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004585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鹏扬汇利债券型证券投资基金A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鹏扬基金管理有限公司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004586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鹏扬汇利债券型证券投资基金C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鹏扬基金管理有限公司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001296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长城悦享增利债券A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003218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前海开源祥和债券A类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前海开源基金管理有限公司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002969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易方达丰和债券A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003219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前海开源祥和债券C类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前海开源基金管理有限公司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002459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华夏鼎利债券型发起式证券投资基金A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002460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华夏鼎利债券型发起式证券投资基金C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003612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南方卓元债券A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003613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南方卓元债券C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002933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圆信永丰强化收益C类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圆信永丰基金管理有限公司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002932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圆信永丰强化收益A类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圆信永丰基金管理有限公司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002412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华富安福债券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002351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易方达裕祥回报债券A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002280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华富安享债券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001086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华富恒利债券A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001087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华富恒利债券C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519753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交银施罗德安心收益债券型证券投资基金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000333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长城稳固收益债券A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000334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长城稳固收益债券C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400027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东方双债添利债券A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400029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东方双债添利债券C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519733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交银强化回报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519735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交银施罗德强化回报债券型证券投资基金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519731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交银施罗德定期支付月月丰C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519730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交银施罗德定期支付月月丰A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000182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景顺长城四季金利债券型证券投资基金C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000181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景顺长城四季金利债券型证券投资基金A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景顺长城基金管理有限公司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519661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银河增利债券型发起式证券投资基金C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519660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银河增利债券型发起式证券投资基金A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000119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广发聚鑫债券C类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000118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广发聚鑫债券A类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000107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富国稳健增强债券A/B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000109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富国稳健增强债券C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610108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信澳信用债债券C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信达澳亚基金管理有限公司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610008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信澳信用债债券A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信达澳亚基金管理有限公司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000028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华富安鑫债券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华富基金管理有限公司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000046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工银瑞信产业债债券型证券投资基金B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000045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工银瑞信产业债债券型证券投资基金A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519190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万家双利债券型证券投资基金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万家基金管理有限公司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007100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中银稳健添利债券型发起式E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380009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中银稳健添利债券型发起式A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005852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中银稳健添利债券型发起式C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210014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金鹰元丰债券A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金鹰基金管理有限公司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139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900017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中信证券增益十八个月持有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160621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鹏华丰和债券型证券投资基金（LOF）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400016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东方强化收益债券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470011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汇添富多元收益债券C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470010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汇添富多元收益债券A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001033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华夏安康信用优选C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001031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华夏安康信用优选A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040037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华安安心收益B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040036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华安安心收益A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233013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摩根士丹利多元收益债型证券投资基金C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摩根士丹利基金管理(中国)有限公司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149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233012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摩根士丹利多元收益债型证券投资基金A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摩根士丹利基金管理(中国)有限公司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420108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天弘增益回报债券发起式B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420008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天弘增益回报债券发起式A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166105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信澳鑫安债券型证券投资基金(LOF)A类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信达澳亚基金管理有限公司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162105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金鹰持久增利债券型证券投资基金（LOF）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金鹰基金管理有限公司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253060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国联安信心增长债券A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253061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国联安信心增长债券B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470089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汇添富6月红定期开放债券C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470088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汇添富6月红定期开放债券A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530017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建信双息红利债券A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531017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建信双息红利债券C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519683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交银双利A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519685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交银施罗德双利债券基金C类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372110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摩根强化回报B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摩根基金管理(中国)有限公司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372010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摩根强化回报A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摩根基金管理(中国)有限公司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166010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中欧鼎利债券型证券投资基金A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中欧基金管理有限公司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519676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银河强化收益债券型证券投资基金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206008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鹏华丰盛债券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160718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嘉实多利收益债券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395012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中海增强收益债券型证券投资基金C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395011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中海增强收益债券型证券投资基金A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630109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华商稳定增利债券型证券投资基金C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630009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华商稳定增利债券型证券投资基金A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470018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汇添富双利债券A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180026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银华双利C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银华基金管理股份有限公司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180025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银华双利A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银华基金管理股份有限公司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163811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中银稳健双利债券型证券投资基金A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163812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中银稳健双利债券型证券投资基金B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519030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海富通稳固收益债券型证券投资基金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海富通基金管理有限公司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202105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南方广利A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179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202107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南方广利回报债券C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南方基金管理股份有限公司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165509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中信保诚增强收益债券型证券投资基金(LOF)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128112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国投瑞银强债C类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国投瑞银基金管理有限公司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121012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国投瑞银强债A类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国投瑞银基金管理有限公司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009089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嘉实稳固收益债券A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070020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嘉实稳固收益债券C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630107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华商稳健双利债券型证券投资基金B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630007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华商稳健双利债券型证券投资基金A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206003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鹏华信用增利债券A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206004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鹏华信用增利债券B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690202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民生加银增强收益债券C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民生加银基金管理有限公司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690002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民生加银增强收益债券A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民生加银基金管理有限公司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100037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富国优化增强债券C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100035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富国优化增强债券A/B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100036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富国优化增强债券A/B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530009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建信收益增强债券A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531009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建信收益增强债券C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建信基金管理有限责任公司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519112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浦银安盛优化收益债券基金C类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浦银安盛基金管理有限公司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040012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华安强债A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040013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华安强债B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199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620003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金元顺安丰利A类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金元顺安基金管理有限公司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020020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国泰双利债C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国泰基金管理有限公司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020019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国泰双利债A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国泰基金管理有限公司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240012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华宝增强债A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240013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华宝增强债B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519111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浦银安盛优化收益债券型基金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浦银安盛基金管理有限公司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180015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银华增强收益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银华基金管理股份有限公司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450005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富兰克林国海强化收益A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国海富兰克林基金管理有限公司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450006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富兰克林国海强化收益B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国海富兰克林基金管理有限公司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080003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长盛积极债券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长盛基金管理有限公司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550004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中信保诚三得益债券型证券投资基金A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550005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中信保诚三得益债券型证券投资基金B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162299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宏利集利债券型证券投资基金C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宏利基金管理有限公司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162210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宏利集利债券型证券投资基金A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宏利基金管理有限公司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070016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嘉实多元B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070015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嘉实多元A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200009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长城稳健增利债券A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160612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鹏华丰收债券型基金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鹏华基金管理有限公司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213007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宝盈增强收益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宝盈基金管理有限公司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213917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宝盈增强收益债券C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宝盈基金管理有限公司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420002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天弘永利债券A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420102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天弘永利债券B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华夏希望债券型证券投资基金A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001013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华夏希望债券型证券投资基金C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460003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华泰柏瑞增利B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华泰柏瑞基金管理有限公司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540001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汇丰2016前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汇丰晋信基金管理有限公司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519519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华泰柏瑞金字塔稳本增利基金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华泰柏瑞基金管理有限公司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110007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易方达稳健收益债券A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110008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易方达稳健收益债券B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易方达基金管理有限公司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161902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万家增强收益债券型基金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万家基金管理有限公司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混合债券型二级基金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较低风险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229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019350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中信保诚瑞丰6个月持有C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019349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中信保诚瑞丰6个月持有A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中信保诚基金管理有限公司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017096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广发稳润一年持有期混合A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017097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广发稳润一年持有期混合C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009819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嘉实鑫福一年持有期混合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013995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嘉实融惠混合A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013996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嘉实融惠混合C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013260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太平睿享混合A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太平基金管理有限公司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013261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太平睿享混合C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太平基金管理有限公司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012577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富国诚益回报12个月持有期混合C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239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012576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富国诚益回报12个月持有期混合A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012828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富国浦诚回报12个月持有期混合A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012829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富国浦诚回报12个月持有期混合C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010890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交银施罗德鸿福六个月持有A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010891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交银施罗德鸿福六个月持有C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010560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永赢稳健增利18个月持有混合A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永赢基金管理有限公司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013595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永赢稳健增利18个月持有混合E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永赢基金管理有限公司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010058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天弘荣创一年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天弘基金管理有限公司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010029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富国稳进回报12个月持有期混合A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010030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富国稳进回报12个月持有期混合C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249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009016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泓德睿享一年持有期混合C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泓德基金管理有限公司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009015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泓德睿享一年持有期混合A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泓德基金管理有限公司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偏债混合型基金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较高风险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中风险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004875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融通深成指数B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159905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工银深证红利联接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004876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融通深证100指数B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被动指数型基金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004870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融通创业板指B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增强指数型基金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163407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兴全沪深300后收费基金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兴证全球基金管理有限公司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增强指数型基金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100032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富国中证红利指数增强A/B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增强指数型基金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161607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融通巨潮100指数B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增强指数型基金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200002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长城久泰沪深300指数A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长城基金管理有限公司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增强指数型基金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001830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融通跨界成长后收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519700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交银主题优选灵活配置后收费基金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100029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富国天成红利灵活配置混合B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519181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万家和谐增长混合型后收费基金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万家基金管理有限公司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519690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交银施罗德稳健配置后收费基金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270006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广发策略优选混合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400003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东方精选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000011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华夏大盘精选混合B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000001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华夏成长前收费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002011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华夏红利前收费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华夏基金管理有限公司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269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100022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富国天瑞强势混合B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100020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富国天益价值混合A/B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510081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长盛动态精选后收费基金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长盛基金管理有限公司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009277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融通行业景气B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270001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广发聚富基金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019971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融通蓝筹成长B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050001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博时价值增长混合后端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100016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富国天源沪港深平衡混合A/B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灵活配置型基金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010647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融通价值趋势C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010646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融通价值趋势A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011011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融通产业趋势精选A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009868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工银瑞信创新精选一年定开C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009867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工银瑞信创新精选一年定开A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工银瑞信基金管理有限公司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519736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交银新成长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900027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中信证券信远一年持有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900022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中信证券臻选回报两年持有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中信证券资产管理有限公司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163415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兴全商业模式后收费基金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兴证全球基金管理有限公司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009275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融通医疗保健B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519704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交银制造后收费基金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163409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兴全绿色后收费基金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兴证全球基金管理有限公司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289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519702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交银趋势后收费基金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002553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博时创业成长混合A后端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400011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东方核心动力混合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014109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融通内需驱动B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519698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交银施罗德先锋股票后收费基金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257040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国联安红利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213008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宝盈资源优选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宝盈基金管理有限公司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519991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长信双利优选后收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长信基金管理有限责任公司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400007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东方策略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东方基金管理股份有限公司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050010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博时特许价值混合A后端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博时基金管理有限公司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299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519694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交银施罗德蓝筹股票后收费基金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161610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融通领先B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519035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富国天博创新主题后收费基金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257030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国联安优势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100026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富国天合稳健优选混合B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富国基金管理有限公司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019978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融通动力先锋B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519692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交银施罗德成长股票后收费基金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257020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国联安精选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国联安基金管理有限公司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270005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广发聚丰混合A类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广发基金管理有限公司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161706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招商优质成长后收费基金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招商基金管理有限公司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309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519688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交银施罗德精选股票后收费基金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交银施罗德基金管理有限公司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151001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银河稳健（后端）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银河基金管理有限公司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311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161601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新蓝筹后收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融通基金管理有限公司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偏股混合型基金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312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008935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大成科技消费股票C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大成基金管理有限公司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普通股票型基金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008934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大成科技消费股票A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大成基金管理有限公司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普通股票型基金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314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005662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嘉实金融精选股票A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普通股票型基金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005663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嘉实金融精选股票C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嘉实基金管理有限公司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普通股票型基金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316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000697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汇添富移动互联股票A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汇添富基金管理股份有限公司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普通股票型基金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317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162411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华宝标普石油天然气上游股票指数基金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国际(QDII)股票型基金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318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007844</w:t>
            </w:r>
          </w:p>
        </w:tc>
        <w:tc>
          <w:tcPr>
            <w:tcW w:w="3512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华宝油气C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华宝基金管理有限公司</w:t>
            </w:r>
          </w:p>
        </w:tc>
        <w:tc>
          <w:tcPr>
            <w:tcW w:w="1834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国际(QDII)股票型基金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color w:val="000000"/>
                <w:kern w:val="0"/>
                <w:sz w:val="15"/>
                <w:szCs w:val="15"/>
                <w14:ligatures w14:val="none"/>
              </w:rPr>
              <w:t>高风险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00"/>
            <w:noWrap/>
            <w:vAlign w:val="center"/>
          </w:tcPr>
          <w:p>
            <w:pPr>
              <w:widowControl/>
              <w:jc w:val="center"/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</w:pPr>
            <w:r>
              <w:rPr>
                <w:rFonts w:hint="eastAsia" w:cs="宋体" w:eastAsiaTheme="minorHAnsi"/>
                <w:kern w:val="0"/>
                <w:sz w:val="15"/>
                <w:szCs w:val="15"/>
                <w14:ligatures w14:val="none"/>
              </w:rPr>
              <w:t>较高风险</w:t>
            </w:r>
          </w:p>
        </w:tc>
      </w:tr>
    </w:tbl>
    <w:p>
      <w:pPr>
        <w:jc w:val="center"/>
        <w:rPr>
          <w:rFonts w:hint="eastAsia"/>
          <w:b/>
          <w:bCs/>
          <w:sz w:val="24"/>
          <w:szCs w:val="28"/>
        </w:rPr>
      </w:pPr>
    </w:p>
    <w:p>
      <w:pPr>
        <w:jc w:val="center"/>
        <w:rPr>
          <w:rFonts w:hint="eastAsia"/>
          <w:b/>
          <w:bCs/>
          <w:sz w:val="24"/>
          <w:szCs w:val="28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华文中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altName w:val="华文中宋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阿里巴巴普惠体 R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阿里巴巴普惠体 R">
    <w:panose1 w:val="00020600040101010101"/>
    <w:charset w:val="86"/>
    <w:family w:val="auto"/>
    <w:pitch w:val="default"/>
    <w:sig w:usb0="A00002FF" w:usb1="7ACF7CFB" w:usb2="0000001E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2"/>
  </w:compat>
  <w:rsids>
    <w:rsidRoot w:val="00F948C9"/>
    <w:rsid w:val="0029270F"/>
    <w:rsid w:val="00336DEC"/>
    <w:rsid w:val="00392EDB"/>
    <w:rsid w:val="00550FB8"/>
    <w:rsid w:val="00881152"/>
    <w:rsid w:val="008A5D4F"/>
    <w:rsid w:val="00974296"/>
    <w:rsid w:val="009A630D"/>
    <w:rsid w:val="00F948C9"/>
    <w:rsid w:val="F7A66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3"/>
    <w:semiHidden/>
    <w:unhideWhenUsed/>
    <w:qFormat/>
    <w:uiPriority w:val="99"/>
    <w:rPr>
      <w:color w:val="954F72"/>
      <w:u w:val="single"/>
    </w:rPr>
  </w:style>
  <w:style w:type="character" w:styleId="5">
    <w:name w:val="Hyperlink"/>
    <w:basedOn w:val="3"/>
    <w:semiHidden/>
    <w:unhideWhenUsed/>
    <w:qFormat/>
    <w:uiPriority w:val="99"/>
    <w:rPr>
      <w:color w:val="0563C1"/>
      <w:u w:val="single"/>
    </w:rPr>
  </w:style>
  <w:style w:type="paragraph" w:customStyle="1" w:styleId="6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7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8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9">
    <w:name w:val="xl65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0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等线" w:hAnsi="等线" w:eastAsia="等线" w:cs="宋体"/>
      <w:kern w:val="0"/>
      <w:sz w:val="24"/>
      <w:szCs w:val="24"/>
    </w:rPr>
  </w:style>
  <w:style w:type="paragraph" w:customStyle="1" w:styleId="11">
    <w:name w:val="xl67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4" w:space="0"/>
        <w:right w:val="single" w:color="auto" w:sz="4" w:space="0"/>
      </w:pBdr>
      <w:shd w:val="clear" w:color="000000" w:fill="C0C0C0"/>
      <w:spacing w:before="100" w:beforeAutospacing="1" w:after="100" w:afterAutospacing="1"/>
      <w:jc w:val="center"/>
    </w:pPr>
    <w:rPr>
      <w:rFonts w:ascii="等线" w:hAnsi="等线" w:eastAsia="等线" w:cs="宋体"/>
      <w:b/>
      <w:bCs/>
      <w:kern w:val="0"/>
      <w:sz w:val="24"/>
      <w:szCs w:val="24"/>
    </w:rPr>
  </w:style>
  <w:style w:type="paragraph" w:customStyle="1" w:styleId="12">
    <w:name w:val="xl68"/>
    <w:basedOn w:val="1"/>
    <w:qFormat/>
    <w:uiPriority w:val="0"/>
    <w:pPr>
      <w:widowControl/>
      <w:pBdr>
        <w:top w:val="single" w:color="auto" w:sz="8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C0C0C0"/>
      <w:spacing w:before="100" w:beforeAutospacing="1" w:after="100" w:afterAutospacing="1"/>
      <w:jc w:val="center"/>
    </w:pPr>
    <w:rPr>
      <w:rFonts w:ascii="等线" w:hAnsi="等线" w:eastAsia="等线" w:cs="宋体"/>
      <w:b/>
      <w:bCs/>
      <w:kern w:val="0"/>
      <w:sz w:val="24"/>
      <w:szCs w:val="24"/>
    </w:rPr>
  </w:style>
  <w:style w:type="paragraph" w:customStyle="1" w:styleId="13">
    <w:name w:val="xl69"/>
    <w:basedOn w:val="1"/>
    <w:qFormat/>
    <w:uiPriority w:val="0"/>
    <w:pPr>
      <w:widowControl/>
      <w:pBdr>
        <w:top w:val="single" w:color="auto" w:sz="8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C0C0C0"/>
      <w:spacing w:before="100" w:beforeAutospacing="1" w:after="100" w:afterAutospacing="1"/>
      <w:jc w:val="center"/>
    </w:pPr>
    <w:rPr>
      <w:rFonts w:ascii="等线" w:hAnsi="等线" w:eastAsia="等线" w:cs="宋体"/>
      <w:b/>
      <w:bCs/>
      <w:kern w:val="0"/>
      <w:sz w:val="24"/>
      <w:szCs w:val="24"/>
    </w:rPr>
  </w:style>
  <w:style w:type="paragraph" w:customStyle="1" w:styleId="14">
    <w:name w:val="xl70"/>
    <w:basedOn w:val="1"/>
    <w:qFormat/>
    <w:uiPriority w:val="0"/>
    <w:pPr>
      <w:widowControl/>
      <w:pBdr>
        <w:top w:val="single" w:color="auto" w:sz="8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C0C0C0"/>
      <w:spacing w:before="100" w:beforeAutospacing="1" w:after="100" w:afterAutospacing="1"/>
      <w:jc w:val="center"/>
    </w:pPr>
    <w:rPr>
      <w:rFonts w:ascii="等线" w:hAnsi="等线" w:eastAsia="等线" w:cs="宋体"/>
      <w:b/>
      <w:bCs/>
      <w:kern w:val="0"/>
      <w:sz w:val="24"/>
      <w:szCs w:val="24"/>
    </w:rPr>
  </w:style>
  <w:style w:type="paragraph" w:customStyle="1" w:styleId="15">
    <w:name w:val="xl71"/>
    <w:basedOn w:val="1"/>
    <w:qFormat/>
    <w:uiPriority w:val="0"/>
    <w:pPr>
      <w:widowControl/>
      <w:pBdr>
        <w:top w:val="single" w:color="auto" w:sz="8" w:space="0"/>
        <w:left w:val="single" w:color="auto" w:sz="4" w:space="0"/>
        <w:bottom w:val="single" w:color="auto" w:sz="4" w:space="0"/>
        <w:right w:val="single" w:color="auto" w:sz="8" w:space="0"/>
      </w:pBdr>
      <w:shd w:val="clear" w:color="000000" w:fill="C0C0C0"/>
      <w:spacing w:before="100" w:beforeAutospacing="1" w:after="100" w:afterAutospacing="1"/>
      <w:jc w:val="center"/>
    </w:pPr>
    <w:rPr>
      <w:rFonts w:ascii="等线" w:hAnsi="等线" w:eastAsia="等线" w:cs="宋体"/>
      <w:b/>
      <w:bCs/>
      <w:kern w:val="0"/>
      <w:sz w:val="24"/>
      <w:szCs w:val="24"/>
    </w:rPr>
  </w:style>
  <w:style w:type="paragraph" w:customStyle="1" w:styleId="16">
    <w:name w:val="xl7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8" w:space="0"/>
      </w:pBdr>
      <w:shd w:val="clear" w:color="000000" w:fill="FFFF00"/>
      <w:spacing w:before="100" w:beforeAutospacing="1" w:after="100" w:afterAutospacing="1"/>
      <w:jc w:val="center"/>
    </w:pPr>
    <w:rPr>
      <w:rFonts w:ascii="等线" w:hAnsi="等线" w:eastAsia="等线" w:cs="宋体"/>
      <w:kern w:val="0"/>
      <w:sz w:val="24"/>
      <w:szCs w:val="24"/>
    </w:rPr>
  </w:style>
  <w:style w:type="paragraph" w:customStyle="1" w:styleId="17">
    <w:name w:val="xl7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8" w:space="0"/>
        <w:right w:val="single" w:color="auto" w:sz="4" w:space="0"/>
      </w:pBdr>
      <w:spacing w:before="100" w:beforeAutospacing="1" w:after="100" w:afterAutospacing="1"/>
      <w:jc w:val="center"/>
    </w:pPr>
    <w:rPr>
      <w:rFonts w:ascii="等线" w:hAnsi="等线" w:eastAsia="等线" w:cs="宋体"/>
      <w:kern w:val="0"/>
      <w:sz w:val="24"/>
      <w:szCs w:val="24"/>
    </w:rPr>
  </w:style>
  <w:style w:type="paragraph" w:customStyle="1" w:styleId="18">
    <w:name w:val="xl7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8" w:space="0"/>
        <w:right w:val="single" w:color="auto" w:sz="8" w:space="0"/>
      </w:pBdr>
      <w:shd w:val="clear" w:color="000000" w:fill="FFFF00"/>
      <w:spacing w:before="100" w:beforeAutospacing="1" w:after="100" w:afterAutospacing="1"/>
      <w:jc w:val="center"/>
    </w:pPr>
    <w:rPr>
      <w:rFonts w:ascii="等线" w:hAnsi="等线" w:eastAsia="等线" w:cs="宋体"/>
      <w:kern w:val="0"/>
      <w:sz w:val="24"/>
      <w:szCs w:val="24"/>
    </w:rPr>
  </w:style>
  <w:style w:type="paragraph" w:customStyle="1" w:styleId="19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等线" w:hAnsi="等线" w:eastAsia="等线" w:cs="宋体"/>
      <w:color w:val="000000"/>
      <w:kern w:val="0"/>
      <w:sz w:val="24"/>
      <w:szCs w:val="24"/>
    </w:rPr>
  </w:style>
  <w:style w:type="paragraph" w:customStyle="1" w:styleId="20">
    <w:name w:val="xl7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等线" w:hAnsi="等线" w:eastAsia="等线" w:cs="宋体"/>
      <w:kern w:val="0"/>
      <w:sz w:val="24"/>
      <w:szCs w:val="24"/>
    </w:rPr>
  </w:style>
  <w:style w:type="paragraph" w:customStyle="1" w:styleId="21">
    <w:name w:val="xl7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等线" w:hAnsi="等线" w:eastAsia="等线" w:cs="宋体"/>
      <w:kern w:val="0"/>
      <w:sz w:val="24"/>
      <w:szCs w:val="24"/>
    </w:rPr>
  </w:style>
  <w:style w:type="paragraph" w:customStyle="1" w:styleId="22">
    <w:name w:val="xl78"/>
    <w:basedOn w:val="1"/>
    <w:qFormat/>
    <w:uiPriority w:val="0"/>
    <w:pPr>
      <w:widowControl/>
      <w:pBdr>
        <w:top w:val="single" w:color="auto" w:sz="4" w:space="0"/>
        <w:left w:val="single" w:color="auto" w:sz="8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等线" w:hAnsi="等线" w:eastAsia="等线" w:cs="宋体"/>
      <w:kern w:val="0"/>
      <w:sz w:val="24"/>
      <w:szCs w:val="24"/>
    </w:rPr>
  </w:style>
  <w:style w:type="paragraph" w:customStyle="1" w:styleId="23">
    <w:name w:val="xl79"/>
    <w:basedOn w:val="1"/>
    <w:qFormat/>
    <w:uiPriority w:val="0"/>
    <w:pPr>
      <w:widowControl/>
      <w:pBdr>
        <w:top w:val="single" w:color="auto" w:sz="4" w:space="0"/>
        <w:left w:val="single" w:color="auto" w:sz="8" w:space="0"/>
        <w:bottom w:val="single" w:color="auto" w:sz="8" w:space="0"/>
        <w:right w:val="single" w:color="auto" w:sz="4" w:space="0"/>
      </w:pBdr>
      <w:spacing w:before="100" w:beforeAutospacing="1" w:after="100" w:afterAutospacing="1"/>
      <w:jc w:val="center"/>
    </w:pPr>
    <w:rPr>
      <w:rFonts w:ascii="等线" w:hAnsi="等线" w:eastAsia="等线" w:cs="宋体"/>
      <w:kern w:val="0"/>
      <w:sz w:val="24"/>
      <w:szCs w:val="24"/>
    </w:rPr>
  </w:style>
  <w:style w:type="paragraph" w:customStyle="1" w:styleId="24">
    <w:name w:val="xl8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8" w:space="0"/>
        <w:right w:val="single" w:color="auto" w:sz="4" w:space="0"/>
      </w:pBdr>
      <w:spacing w:before="100" w:beforeAutospacing="1" w:after="100" w:afterAutospacing="1"/>
      <w:jc w:val="center"/>
    </w:pPr>
    <w:rPr>
      <w:rFonts w:ascii="等线" w:hAnsi="等线" w:eastAsia="等线" w:cs="宋体"/>
      <w:color w:val="000000"/>
      <w:kern w:val="0"/>
      <w:sz w:val="24"/>
      <w:szCs w:val="24"/>
    </w:rPr>
  </w:style>
  <w:style w:type="paragraph" w:customStyle="1" w:styleId="25">
    <w:name w:val="xl63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6">
    <w:name w:val="xl6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等线" w:hAnsi="等线" w:eastAsia="等线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3647</Words>
  <Characters>20793</Characters>
  <Lines>173</Lines>
  <Paragraphs>48</Paragraphs>
  <TotalTime>35</TotalTime>
  <ScaleCrop>false</ScaleCrop>
  <LinksUpToDate>false</LinksUpToDate>
  <CharactersWithSpaces>24392</CharactersWithSpaces>
  <Application>WPS Office_11.8.2.12128_F1E327BC-269C-435d-A152-05C5408002CA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2024-04-28T18:23:00Z</dcterms:created>
  <dc:creator>Kkumma</dc:creator>
  <cp:lastModifiedBy>lijiawei@uos</cp:lastModifiedBy>
  <dcterms:modified xsi:type="dcterms:W3CDTF">2024-04-30T09:26:30Z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2052-11.8.2.12128</vt:lpwstr>
  </property>
  <property fmtid="{D5CDD505-2E9C-101B-9397-08002B2CF9AE}" pid="3" name="ICV">
    <vt:lpwstr>7797019650D74563C64830663850EE64</vt:lpwstr>
  </property>
</Properties>
</file>