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E6644" w14:textId="77777777" w:rsidR="001404B1" w:rsidRDefault="001404B1">
      <w:pPr>
        <w:spacing w:line="520" w:lineRule="exact"/>
        <w:jc w:val="center"/>
        <w:rPr>
          <w:rFonts w:ascii="宋体" w:hAnsi="宋体"/>
          <w:szCs w:val="28"/>
        </w:rPr>
      </w:pPr>
    </w:p>
    <w:p w14:paraId="604CDD10" w14:textId="0443E218" w:rsidR="00B61FF9" w:rsidRPr="001E6DCD" w:rsidRDefault="00B61FF9" w:rsidP="0063311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7FC9A173" w14:textId="77777777" w:rsidR="00B61FF9" w:rsidRPr="001E6DCD"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7543B588" w14:textId="77777777" w:rsidR="00B61FF9" w:rsidRPr="001E6DCD"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41980CE1" w14:textId="77777777" w:rsidR="00B61FF9" w:rsidRPr="001E6DCD"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bookmarkStart w:id="0" w:name="_GoBack"/>
      <w:bookmarkEnd w:id="0"/>
    </w:p>
    <w:p w14:paraId="0132F1ED" w14:textId="77777777" w:rsidR="00B61FF9" w:rsidRPr="001E6DCD"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1A77D0F0" w14:textId="53236CC5" w:rsidR="00B61FF9" w:rsidRDefault="002229F6">
      <w:pPr>
        <w:spacing w:line="360" w:lineRule="auto"/>
        <w:jc w:val="center"/>
        <w:rPr>
          <w:rFonts w:ascii="宋体" w:hAnsi="宋体"/>
          <w:b/>
          <w:sz w:val="48"/>
        </w:rPr>
      </w:pPr>
      <w:bookmarkStart w:id="1" w:name="_Toc139991724"/>
      <w:bookmarkStart w:id="2" w:name="_Toc123112222"/>
      <w:bookmarkStart w:id="3" w:name="_Toc123701381"/>
      <w:bookmarkStart w:id="4" w:name="_Toc123112261"/>
      <w:bookmarkStart w:id="5" w:name="_Toc139992299"/>
      <w:r>
        <w:rPr>
          <w:rFonts w:ascii="宋体" w:hAnsi="宋体" w:hint="eastAsia"/>
          <w:b/>
          <w:sz w:val="48"/>
        </w:rPr>
        <w:t>中欧</w:t>
      </w:r>
      <w:r w:rsidR="00585020">
        <w:rPr>
          <w:rFonts w:ascii="宋体" w:hAnsi="宋体" w:hint="eastAsia"/>
          <w:b/>
          <w:sz w:val="48"/>
        </w:rPr>
        <w:t>睿见</w:t>
      </w:r>
      <w:r w:rsidR="00C809DB">
        <w:rPr>
          <w:rFonts w:ascii="宋体" w:hAnsi="宋体" w:hint="eastAsia"/>
          <w:b/>
          <w:sz w:val="48"/>
        </w:rPr>
        <w:t>混合型</w:t>
      </w:r>
      <w:r w:rsidR="001B0A60">
        <w:rPr>
          <w:rFonts w:ascii="宋体" w:hAnsi="宋体" w:hint="eastAsia"/>
          <w:b/>
          <w:sz w:val="48"/>
        </w:rPr>
        <w:t>证券投资基金</w:t>
      </w:r>
    </w:p>
    <w:bookmarkEnd w:id="1"/>
    <w:bookmarkEnd w:id="2"/>
    <w:bookmarkEnd w:id="3"/>
    <w:bookmarkEnd w:id="4"/>
    <w:bookmarkEnd w:id="5"/>
    <w:p w14:paraId="019757BE" w14:textId="10A80A49" w:rsidR="00B61FF9" w:rsidRDefault="001B0A60">
      <w:pPr>
        <w:spacing w:line="360" w:lineRule="auto"/>
        <w:jc w:val="center"/>
        <w:rPr>
          <w:rFonts w:ascii="宋体" w:hAnsi="宋体"/>
          <w:b/>
          <w:sz w:val="48"/>
        </w:rPr>
      </w:pPr>
      <w:r>
        <w:rPr>
          <w:rFonts w:ascii="宋体" w:hAnsi="宋体" w:hint="eastAsia"/>
          <w:b/>
          <w:sz w:val="48"/>
        </w:rPr>
        <w:t>托管协议</w:t>
      </w:r>
    </w:p>
    <w:p w14:paraId="7728D813" w14:textId="77777777" w:rsidR="00B61FF9" w:rsidRDefault="00B61FF9">
      <w:pPr>
        <w:pStyle w:val="20"/>
        <w:spacing w:line="520" w:lineRule="exact"/>
        <w:ind w:firstLine="560"/>
        <w:rPr>
          <w:rFonts w:hAnsi="宋体"/>
          <w:sz w:val="28"/>
          <w:szCs w:val="28"/>
        </w:rPr>
      </w:pPr>
    </w:p>
    <w:p w14:paraId="74F6494F" w14:textId="77777777" w:rsidR="00B61FF9" w:rsidRPr="003C67A3" w:rsidRDefault="00B61FF9">
      <w:pPr>
        <w:pStyle w:val="20"/>
        <w:spacing w:line="520" w:lineRule="exact"/>
        <w:ind w:firstLine="560"/>
        <w:rPr>
          <w:rFonts w:hAnsi="宋体"/>
          <w:sz w:val="28"/>
          <w:szCs w:val="28"/>
        </w:rPr>
      </w:pPr>
    </w:p>
    <w:p w14:paraId="27675802" w14:textId="77777777" w:rsidR="00B61FF9" w:rsidRDefault="00B61FF9">
      <w:pPr>
        <w:pStyle w:val="20"/>
        <w:spacing w:line="520" w:lineRule="exact"/>
        <w:ind w:firstLine="560"/>
        <w:rPr>
          <w:rFonts w:hAnsi="宋体"/>
          <w:sz w:val="28"/>
          <w:szCs w:val="28"/>
        </w:rPr>
      </w:pPr>
    </w:p>
    <w:p w14:paraId="42A80564" w14:textId="77777777" w:rsidR="00B61FF9" w:rsidRDefault="00B61FF9">
      <w:pPr>
        <w:pStyle w:val="20"/>
        <w:spacing w:line="520" w:lineRule="exact"/>
        <w:ind w:firstLine="560"/>
        <w:rPr>
          <w:rFonts w:hAnsi="宋体"/>
          <w:sz w:val="28"/>
          <w:szCs w:val="28"/>
        </w:rPr>
      </w:pPr>
    </w:p>
    <w:p w14:paraId="42E39DCD" w14:textId="49B3CFD2" w:rsidR="00B61FF9" w:rsidRPr="002229F6" w:rsidRDefault="001B0A60">
      <w:pPr>
        <w:spacing w:line="360" w:lineRule="auto"/>
        <w:jc w:val="center"/>
        <w:rPr>
          <w:rFonts w:ascii="宋体" w:hAnsi="宋体"/>
          <w:b/>
          <w:sz w:val="36"/>
        </w:rPr>
      </w:pPr>
      <w:bookmarkStart w:id="6" w:name="_Toc123112263"/>
      <w:bookmarkStart w:id="7" w:name="_Toc139992301"/>
      <w:bookmarkStart w:id="8" w:name="_Toc123701383"/>
      <w:bookmarkStart w:id="9" w:name="_Toc123112224"/>
      <w:bookmarkStart w:id="10" w:name="_Toc139991726"/>
      <w:r>
        <w:rPr>
          <w:rFonts w:ascii="宋体" w:hAnsi="宋体"/>
          <w:b/>
          <w:sz w:val="36"/>
        </w:rPr>
        <w:t>基金管理人：</w:t>
      </w:r>
      <w:bookmarkEnd w:id="6"/>
      <w:bookmarkEnd w:id="7"/>
      <w:bookmarkEnd w:id="8"/>
      <w:bookmarkEnd w:id="9"/>
      <w:bookmarkEnd w:id="10"/>
      <w:r w:rsidR="002229F6" w:rsidRPr="002229F6">
        <w:rPr>
          <w:rFonts w:ascii="宋体" w:hAnsi="宋体" w:hint="eastAsia"/>
          <w:b/>
          <w:sz w:val="36"/>
        </w:rPr>
        <w:t>中欧基金管理有限公司</w:t>
      </w:r>
    </w:p>
    <w:p w14:paraId="31299E76" w14:textId="4CDFDEC7" w:rsidR="00B61FF9" w:rsidRDefault="001B0A60">
      <w:pPr>
        <w:spacing w:line="360" w:lineRule="auto"/>
        <w:jc w:val="center"/>
        <w:rPr>
          <w:rFonts w:ascii="宋体" w:hAnsi="宋体"/>
          <w:b/>
          <w:sz w:val="36"/>
        </w:rPr>
      </w:pPr>
      <w:bookmarkStart w:id="11" w:name="_Toc123701384"/>
      <w:bookmarkStart w:id="12" w:name="_Toc139991727"/>
      <w:bookmarkStart w:id="13" w:name="_Toc139992302"/>
      <w:bookmarkStart w:id="14" w:name="_Toc123112225"/>
      <w:bookmarkStart w:id="15" w:name="_Toc123112264"/>
      <w:r>
        <w:rPr>
          <w:rFonts w:ascii="宋体" w:hAnsi="宋体"/>
          <w:b/>
          <w:sz w:val="36"/>
        </w:rPr>
        <w:t>基金托管人：</w:t>
      </w:r>
      <w:r>
        <w:rPr>
          <w:rFonts w:ascii="宋体" w:hAnsi="宋体" w:hint="eastAsia"/>
          <w:b/>
          <w:sz w:val="36"/>
        </w:rPr>
        <w:t>中信银行股份有限公司</w:t>
      </w:r>
      <w:bookmarkEnd w:id="11"/>
      <w:bookmarkEnd w:id="12"/>
      <w:bookmarkEnd w:id="13"/>
      <w:bookmarkEnd w:id="14"/>
      <w:bookmarkEnd w:id="15"/>
    </w:p>
    <w:p w14:paraId="24B0D84E" w14:textId="77777777" w:rsidR="00B61FF9" w:rsidRDefault="00B61FF9">
      <w:pPr>
        <w:spacing w:line="360" w:lineRule="auto"/>
        <w:jc w:val="center"/>
        <w:rPr>
          <w:rFonts w:ascii="宋体" w:hAnsi="宋体"/>
          <w:b/>
          <w:sz w:val="44"/>
          <w:szCs w:val="44"/>
        </w:rPr>
      </w:pPr>
    </w:p>
    <w:p w14:paraId="2F66EE18" w14:textId="77777777" w:rsidR="00B61FF9" w:rsidRDefault="00B61FF9">
      <w:pPr>
        <w:spacing w:line="360" w:lineRule="auto"/>
        <w:rPr>
          <w:rFonts w:ascii="宋体" w:hAnsi="宋体"/>
          <w:b/>
          <w:szCs w:val="28"/>
        </w:rPr>
      </w:pPr>
    </w:p>
    <w:p w14:paraId="1AC8ECAE" w14:textId="77777777" w:rsidR="00B61FF9" w:rsidRDefault="00B61FF9">
      <w:pPr>
        <w:spacing w:line="360" w:lineRule="auto"/>
        <w:ind w:firstLineChars="200" w:firstLine="562"/>
        <w:jc w:val="center"/>
        <w:rPr>
          <w:rFonts w:ascii="宋体" w:hAnsi="宋体"/>
          <w:b/>
          <w:bCs/>
          <w:sz w:val="28"/>
          <w:szCs w:val="28"/>
        </w:rPr>
      </w:pPr>
    </w:p>
    <w:p w14:paraId="292CA083" w14:textId="1DAA8669" w:rsidR="00B61FF9" w:rsidRDefault="00B61FF9">
      <w:pPr>
        <w:spacing w:line="360" w:lineRule="auto"/>
        <w:ind w:firstLineChars="200" w:firstLine="562"/>
        <w:jc w:val="center"/>
        <w:rPr>
          <w:rFonts w:ascii="宋体" w:hAnsi="宋体"/>
          <w:b/>
          <w:bCs/>
          <w:sz w:val="28"/>
          <w:szCs w:val="28"/>
        </w:rPr>
      </w:pPr>
    </w:p>
    <w:p w14:paraId="30167824" w14:textId="11837C12" w:rsidR="00B61FF9" w:rsidRDefault="00B61FF9">
      <w:pPr>
        <w:spacing w:line="360" w:lineRule="auto"/>
        <w:rPr>
          <w:rFonts w:ascii="宋体" w:hAnsi="宋体"/>
          <w:b/>
          <w:bCs/>
          <w:sz w:val="28"/>
          <w:szCs w:val="28"/>
        </w:rPr>
      </w:pPr>
    </w:p>
    <w:p w14:paraId="36D4FBA4" w14:textId="77777777" w:rsidR="00E23F4C" w:rsidRDefault="00B50738">
      <w:pPr>
        <w:spacing w:line="360" w:lineRule="auto"/>
        <w:ind w:firstLineChars="200" w:firstLine="562"/>
        <w:jc w:val="center"/>
        <w:rPr>
          <w:rFonts w:ascii="宋体" w:hAnsi="宋体"/>
          <w:b/>
          <w:bCs/>
          <w:sz w:val="28"/>
          <w:szCs w:val="28"/>
        </w:rPr>
      </w:pPr>
      <w:r w:rsidRPr="009F038B">
        <w:rPr>
          <w:rFonts w:ascii="宋体" w:hAnsi="宋体"/>
          <w:b/>
          <w:bCs/>
          <w:noProof/>
          <w:sz w:val="28"/>
          <w:szCs w:val="28"/>
        </w:rPr>
        <w:drawing>
          <wp:anchor distT="0" distB="0" distL="114300" distR="114300" simplePos="0" relativeHeight="251658240" behindDoc="0" locked="0" layoutInCell="1" allowOverlap="1" wp14:anchorId="3D2E2C99" wp14:editId="1B585078">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644525"/>
                    </a:xfrm>
                    <a:prstGeom prst="rect">
                      <a:avLst/>
                    </a:prstGeom>
                    <a:noFill/>
                  </pic:spPr>
                </pic:pic>
              </a:graphicData>
            </a:graphic>
            <wp14:sizeRelH relativeFrom="page">
              <wp14:pctWidth>0</wp14:pctWidth>
            </wp14:sizeRelH>
            <wp14:sizeRelV relativeFrom="page">
              <wp14:pctHeight>0</wp14:pctHeight>
            </wp14:sizeRelV>
          </wp:anchor>
        </w:drawing>
      </w:r>
      <w:r w:rsidR="001B0A60">
        <w:rPr>
          <w:rFonts w:ascii="宋体" w:hAnsi="宋体" w:hint="eastAsia"/>
          <w:b/>
          <w:bCs/>
          <w:sz w:val="28"/>
          <w:szCs w:val="28"/>
        </w:rPr>
        <w:br w:type="page"/>
      </w:r>
    </w:p>
    <w:p w14:paraId="690BB98B" w14:textId="23C6A603" w:rsidR="00B61FF9" w:rsidRDefault="001B0A60" w:rsidP="009F038B">
      <w:pPr>
        <w:spacing w:line="360" w:lineRule="auto"/>
        <w:jc w:val="center"/>
        <w:rPr>
          <w:rFonts w:ascii="宋体" w:hAnsi="宋体"/>
          <w:b/>
          <w:bCs/>
          <w:sz w:val="28"/>
          <w:szCs w:val="28"/>
        </w:rPr>
      </w:pPr>
      <w:r>
        <w:rPr>
          <w:rFonts w:ascii="宋体" w:hAnsi="宋体" w:hint="eastAsia"/>
          <w:b/>
          <w:bCs/>
          <w:sz w:val="28"/>
          <w:szCs w:val="28"/>
        </w:rPr>
        <w:lastRenderedPageBreak/>
        <w:t>目录</w:t>
      </w:r>
    </w:p>
    <w:p w14:paraId="01D9F9BE" w14:textId="77777777" w:rsidR="00B61FF9" w:rsidRDefault="00B61FF9">
      <w:pPr>
        <w:spacing w:line="360" w:lineRule="auto"/>
        <w:ind w:firstLineChars="200" w:firstLine="562"/>
        <w:jc w:val="center"/>
        <w:rPr>
          <w:rFonts w:ascii="宋体" w:hAnsi="宋体"/>
          <w:b/>
          <w:bCs/>
          <w:sz w:val="28"/>
          <w:szCs w:val="28"/>
        </w:rPr>
      </w:pPr>
    </w:p>
    <w:p w14:paraId="1CE2A94E" w14:textId="3B1B4206" w:rsidR="00C17895" w:rsidRDefault="001B0A60">
      <w:pPr>
        <w:pStyle w:val="12"/>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44321724" w:history="1">
        <w:r w:rsidR="00C17895" w:rsidRPr="001C6DDE">
          <w:rPr>
            <w:rStyle w:val="af5"/>
            <w:rFonts w:hint="eastAsia"/>
            <w:bCs/>
            <w:noProof/>
          </w:rPr>
          <w:t>第一条</w:t>
        </w:r>
        <w:r w:rsidR="00C17895" w:rsidRPr="001C6DDE">
          <w:rPr>
            <w:rStyle w:val="af5"/>
            <w:bCs/>
            <w:noProof/>
          </w:rPr>
          <w:t xml:space="preserve"> </w:t>
        </w:r>
        <w:r w:rsidR="00C17895" w:rsidRPr="001C6DDE">
          <w:rPr>
            <w:rStyle w:val="af5"/>
            <w:rFonts w:hint="eastAsia"/>
            <w:bCs/>
            <w:noProof/>
          </w:rPr>
          <w:t>本协议当事人</w:t>
        </w:r>
        <w:r w:rsidR="00C17895">
          <w:rPr>
            <w:noProof/>
            <w:webHidden/>
          </w:rPr>
          <w:tab/>
        </w:r>
        <w:r w:rsidR="00C17895">
          <w:rPr>
            <w:noProof/>
            <w:webHidden/>
          </w:rPr>
          <w:fldChar w:fldCharType="begin"/>
        </w:r>
        <w:r w:rsidR="00C17895">
          <w:rPr>
            <w:noProof/>
            <w:webHidden/>
          </w:rPr>
          <w:instrText xml:space="preserve"> PAGEREF _Toc44321724 \h </w:instrText>
        </w:r>
        <w:r w:rsidR="00C17895">
          <w:rPr>
            <w:noProof/>
            <w:webHidden/>
          </w:rPr>
        </w:r>
        <w:r w:rsidR="00C17895">
          <w:rPr>
            <w:noProof/>
            <w:webHidden/>
          </w:rPr>
          <w:fldChar w:fldCharType="separate"/>
        </w:r>
        <w:r w:rsidR="004E0606">
          <w:rPr>
            <w:noProof/>
            <w:webHidden/>
          </w:rPr>
          <w:t>3</w:t>
        </w:r>
        <w:r w:rsidR="00C17895">
          <w:rPr>
            <w:noProof/>
            <w:webHidden/>
          </w:rPr>
          <w:fldChar w:fldCharType="end"/>
        </w:r>
      </w:hyperlink>
    </w:p>
    <w:p w14:paraId="3E85C43E" w14:textId="29CD67CB" w:rsidR="00C17895" w:rsidRDefault="00467317">
      <w:pPr>
        <w:pStyle w:val="12"/>
        <w:rPr>
          <w:rFonts w:asciiTheme="minorHAnsi" w:eastAsiaTheme="minorEastAsia" w:hAnsiTheme="minorHAnsi" w:cstheme="minorBidi"/>
          <w:noProof/>
          <w:sz w:val="21"/>
          <w:szCs w:val="22"/>
        </w:rPr>
      </w:pPr>
      <w:hyperlink w:anchor="_Toc44321725" w:history="1">
        <w:r w:rsidR="00C17895" w:rsidRPr="001C6DDE">
          <w:rPr>
            <w:rStyle w:val="af5"/>
            <w:rFonts w:hint="eastAsia"/>
            <w:bCs/>
            <w:noProof/>
          </w:rPr>
          <w:t>第二条</w:t>
        </w:r>
        <w:r w:rsidR="00C17895" w:rsidRPr="001C6DDE">
          <w:rPr>
            <w:rStyle w:val="af5"/>
            <w:bCs/>
            <w:noProof/>
          </w:rPr>
          <w:t xml:space="preserve"> </w:t>
        </w:r>
        <w:r w:rsidR="00C17895" w:rsidRPr="001C6DDE">
          <w:rPr>
            <w:rStyle w:val="af5"/>
            <w:rFonts w:hint="eastAsia"/>
            <w:bCs/>
            <w:noProof/>
          </w:rPr>
          <w:t>本协议的依据、目的和原则</w:t>
        </w:r>
        <w:r w:rsidR="00C17895">
          <w:rPr>
            <w:noProof/>
            <w:webHidden/>
          </w:rPr>
          <w:tab/>
        </w:r>
        <w:r w:rsidR="00C17895">
          <w:rPr>
            <w:noProof/>
            <w:webHidden/>
          </w:rPr>
          <w:fldChar w:fldCharType="begin"/>
        </w:r>
        <w:r w:rsidR="00C17895">
          <w:rPr>
            <w:noProof/>
            <w:webHidden/>
          </w:rPr>
          <w:instrText xml:space="preserve"> PAGEREF _Toc44321725 \h </w:instrText>
        </w:r>
        <w:r w:rsidR="00C17895">
          <w:rPr>
            <w:noProof/>
            <w:webHidden/>
          </w:rPr>
        </w:r>
        <w:r w:rsidR="00C17895">
          <w:rPr>
            <w:noProof/>
            <w:webHidden/>
          </w:rPr>
          <w:fldChar w:fldCharType="separate"/>
        </w:r>
        <w:r w:rsidR="004E0606">
          <w:rPr>
            <w:noProof/>
            <w:webHidden/>
          </w:rPr>
          <w:t>4</w:t>
        </w:r>
        <w:r w:rsidR="00C17895">
          <w:rPr>
            <w:noProof/>
            <w:webHidden/>
          </w:rPr>
          <w:fldChar w:fldCharType="end"/>
        </w:r>
      </w:hyperlink>
    </w:p>
    <w:p w14:paraId="2CC64D20" w14:textId="1986EF96" w:rsidR="00C17895" w:rsidRDefault="00467317">
      <w:pPr>
        <w:pStyle w:val="12"/>
        <w:rPr>
          <w:rFonts w:asciiTheme="minorHAnsi" w:eastAsiaTheme="minorEastAsia" w:hAnsiTheme="minorHAnsi" w:cstheme="minorBidi"/>
          <w:noProof/>
          <w:sz w:val="21"/>
          <w:szCs w:val="22"/>
        </w:rPr>
      </w:pPr>
      <w:hyperlink w:anchor="_Toc44321726" w:history="1">
        <w:r w:rsidR="00C17895" w:rsidRPr="001C6DDE">
          <w:rPr>
            <w:rStyle w:val="af5"/>
            <w:rFonts w:hint="eastAsia"/>
            <w:bCs/>
            <w:noProof/>
          </w:rPr>
          <w:t>第三条</w:t>
        </w:r>
        <w:r w:rsidR="00C17895" w:rsidRPr="001C6DDE">
          <w:rPr>
            <w:rStyle w:val="af5"/>
            <w:bCs/>
            <w:noProof/>
          </w:rPr>
          <w:t xml:space="preserve"> </w:t>
        </w:r>
        <w:r w:rsidR="00C17895" w:rsidRPr="001C6DDE">
          <w:rPr>
            <w:rStyle w:val="af5"/>
            <w:rFonts w:hint="eastAsia"/>
            <w:bCs/>
            <w:noProof/>
          </w:rPr>
          <w:t>基金托管人对基金管理人的业务监督和核查</w:t>
        </w:r>
        <w:r w:rsidR="00C17895">
          <w:rPr>
            <w:noProof/>
            <w:webHidden/>
          </w:rPr>
          <w:tab/>
        </w:r>
        <w:r w:rsidR="00C17895">
          <w:rPr>
            <w:noProof/>
            <w:webHidden/>
          </w:rPr>
          <w:fldChar w:fldCharType="begin"/>
        </w:r>
        <w:r w:rsidR="00C17895">
          <w:rPr>
            <w:noProof/>
            <w:webHidden/>
          </w:rPr>
          <w:instrText xml:space="preserve"> PAGEREF _Toc44321726 \h </w:instrText>
        </w:r>
        <w:r w:rsidR="00C17895">
          <w:rPr>
            <w:noProof/>
            <w:webHidden/>
          </w:rPr>
        </w:r>
        <w:r w:rsidR="00C17895">
          <w:rPr>
            <w:noProof/>
            <w:webHidden/>
          </w:rPr>
          <w:fldChar w:fldCharType="separate"/>
        </w:r>
        <w:r w:rsidR="004E0606">
          <w:rPr>
            <w:noProof/>
            <w:webHidden/>
          </w:rPr>
          <w:t>4</w:t>
        </w:r>
        <w:r w:rsidR="00C17895">
          <w:rPr>
            <w:noProof/>
            <w:webHidden/>
          </w:rPr>
          <w:fldChar w:fldCharType="end"/>
        </w:r>
      </w:hyperlink>
    </w:p>
    <w:p w14:paraId="4E898CDB" w14:textId="6D0B2D52" w:rsidR="00C17895" w:rsidRDefault="00467317">
      <w:pPr>
        <w:pStyle w:val="12"/>
        <w:rPr>
          <w:rFonts w:asciiTheme="minorHAnsi" w:eastAsiaTheme="minorEastAsia" w:hAnsiTheme="minorHAnsi" w:cstheme="minorBidi"/>
          <w:noProof/>
          <w:sz w:val="21"/>
          <w:szCs w:val="22"/>
        </w:rPr>
      </w:pPr>
      <w:hyperlink w:anchor="_Toc44321727" w:history="1">
        <w:r w:rsidR="00C17895" w:rsidRPr="001C6DDE">
          <w:rPr>
            <w:rStyle w:val="af5"/>
            <w:rFonts w:hint="eastAsia"/>
            <w:bCs/>
            <w:noProof/>
          </w:rPr>
          <w:t>第四条</w:t>
        </w:r>
        <w:r w:rsidR="00C17895" w:rsidRPr="001C6DDE">
          <w:rPr>
            <w:rStyle w:val="af5"/>
            <w:bCs/>
            <w:noProof/>
          </w:rPr>
          <w:t xml:space="preserve"> </w:t>
        </w:r>
        <w:r w:rsidR="00C17895" w:rsidRPr="001C6DDE">
          <w:rPr>
            <w:rStyle w:val="af5"/>
            <w:rFonts w:hint="eastAsia"/>
            <w:bCs/>
            <w:noProof/>
          </w:rPr>
          <w:t>基金管理人对基金托管人的业务核查</w:t>
        </w:r>
        <w:r w:rsidR="00C17895">
          <w:rPr>
            <w:noProof/>
            <w:webHidden/>
          </w:rPr>
          <w:tab/>
        </w:r>
        <w:r w:rsidR="00C17895">
          <w:rPr>
            <w:noProof/>
            <w:webHidden/>
          </w:rPr>
          <w:fldChar w:fldCharType="begin"/>
        </w:r>
        <w:r w:rsidR="00C17895">
          <w:rPr>
            <w:noProof/>
            <w:webHidden/>
          </w:rPr>
          <w:instrText xml:space="preserve"> PAGEREF _Toc44321727 \h </w:instrText>
        </w:r>
        <w:r w:rsidR="00C17895">
          <w:rPr>
            <w:noProof/>
            <w:webHidden/>
          </w:rPr>
        </w:r>
        <w:r w:rsidR="00C17895">
          <w:rPr>
            <w:noProof/>
            <w:webHidden/>
          </w:rPr>
          <w:fldChar w:fldCharType="separate"/>
        </w:r>
        <w:r w:rsidR="004E0606">
          <w:rPr>
            <w:noProof/>
            <w:webHidden/>
          </w:rPr>
          <w:t>13</w:t>
        </w:r>
        <w:r w:rsidR="00C17895">
          <w:rPr>
            <w:noProof/>
            <w:webHidden/>
          </w:rPr>
          <w:fldChar w:fldCharType="end"/>
        </w:r>
      </w:hyperlink>
    </w:p>
    <w:p w14:paraId="0DED8B4C" w14:textId="50723398" w:rsidR="00C17895" w:rsidRDefault="00467317">
      <w:pPr>
        <w:pStyle w:val="12"/>
        <w:rPr>
          <w:rFonts w:asciiTheme="minorHAnsi" w:eastAsiaTheme="minorEastAsia" w:hAnsiTheme="minorHAnsi" w:cstheme="minorBidi"/>
          <w:noProof/>
          <w:sz w:val="21"/>
          <w:szCs w:val="22"/>
        </w:rPr>
      </w:pPr>
      <w:hyperlink w:anchor="_Toc44321728" w:history="1">
        <w:r w:rsidR="00C17895" w:rsidRPr="001C6DDE">
          <w:rPr>
            <w:rStyle w:val="af5"/>
            <w:rFonts w:hint="eastAsia"/>
            <w:bCs/>
            <w:noProof/>
          </w:rPr>
          <w:t>第五条</w:t>
        </w:r>
        <w:r w:rsidR="00C17895" w:rsidRPr="001C6DDE">
          <w:rPr>
            <w:rStyle w:val="af5"/>
            <w:bCs/>
            <w:noProof/>
          </w:rPr>
          <w:t xml:space="preserve"> </w:t>
        </w:r>
        <w:r w:rsidR="00C17895" w:rsidRPr="001C6DDE">
          <w:rPr>
            <w:rStyle w:val="af5"/>
            <w:rFonts w:hint="eastAsia"/>
            <w:bCs/>
            <w:noProof/>
          </w:rPr>
          <w:t>基金财产保管</w:t>
        </w:r>
        <w:r w:rsidR="00C17895">
          <w:rPr>
            <w:noProof/>
            <w:webHidden/>
          </w:rPr>
          <w:tab/>
        </w:r>
        <w:r w:rsidR="00C17895">
          <w:rPr>
            <w:noProof/>
            <w:webHidden/>
          </w:rPr>
          <w:fldChar w:fldCharType="begin"/>
        </w:r>
        <w:r w:rsidR="00C17895">
          <w:rPr>
            <w:noProof/>
            <w:webHidden/>
          </w:rPr>
          <w:instrText xml:space="preserve"> PAGEREF _Toc44321728 \h </w:instrText>
        </w:r>
        <w:r w:rsidR="00C17895">
          <w:rPr>
            <w:noProof/>
            <w:webHidden/>
          </w:rPr>
        </w:r>
        <w:r w:rsidR="00C17895">
          <w:rPr>
            <w:noProof/>
            <w:webHidden/>
          </w:rPr>
          <w:fldChar w:fldCharType="separate"/>
        </w:r>
        <w:r w:rsidR="004E0606">
          <w:rPr>
            <w:noProof/>
            <w:webHidden/>
          </w:rPr>
          <w:t>14</w:t>
        </w:r>
        <w:r w:rsidR="00C17895">
          <w:rPr>
            <w:noProof/>
            <w:webHidden/>
          </w:rPr>
          <w:fldChar w:fldCharType="end"/>
        </w:r>
      </w:hyperlink>
    </w:p>
    <w:p w14:paraId="6D059F00" w14:textId="273A7C5F" w:rsidR="00C17895" w:rsidRDefault="00467317">
      <w:pPr>
        <w:pStyle w:val="12"/>
        <w:rPr>
          <w:rFonts w:asciiTheme="minorHAnsi" w:eastAsiaTheme="minorEastAsia" w:hAnsiTheme="minorHAnsi" w:cstheme="minorBidi"/>
          <w:noProof/>
          <w:sz w:val="21"/>
          <w:szCs w:val="22"/>
        </w:rPr>
      </w:pPr>
      <w:hyperlink w:anchor="_Toc44321729" w:history="1">
        <w:r w:rsidR="00C17895" w:rsidRPr="001C6DDE">
          <w:rPr>
            <w:rStyle w:val="af5"/>
            <w:rFonts w:hint="eastAsia"/>
            <w:bCs/>
            <w:noProof/>
          </w:rPr>
          <w:t>第六条</w:t>
        </w:r>
        <w:r w:rsidR="00C17895" w:rsidRPr="001C6DDE">
          <w:rPr>
            <w:rStyle w:val="af5"/>
            <w:bCs/>
            <w:noProof/>
          </w:rPr>
          <w:t xml:space="preserve"> </w:t>
        </w:r>
        <w:r w:rsidR="00C17895" w:rsidRPr="001C6DDE">
          <w:rPr>
            <w:rStyle w:val="af5"/>
            <w:rFonts w:hint="eastAsia"/>
            <w:bCs/>
            <w:noProof/>
          </w:rPr>
          <w:t>指令的发送、确认和执行</w:t>
        </w:r>
        <w:r w:rsidR="00C17895">
          <w:rPr>
            <w:noProof/>
            <w:webHidden/>
          </w:rPr>
          <w:tab/>
        </w:r>
        <w:r w:rsidR="00C17895">
          <w:rPr>
            <w:noProof/>
            <w:webHidden/>
          </w:rPr>
          <w:fldChar w:fldCharType="begin"/>
        </w:r>
        <w:r w:rsidR="00C17895">
          <w:rPr>
            <w:noProof/>
            <w:webHidden/>
          </w:rPr>
          <w:instrText xml:space="preserve"> PAGEREF _Toc44321729 \h </w:instrText>
        </w:r>
        <w:r w:rsidR="00C17895">
          <w:rPr>
            <w:noProof/>
            <w:webHidden/>
          </w:rPr>
        </w:r>
        <w:r w:rsidR="00C17895">
          <w:rPr>
            <w:noProof/>
            <w:webHidden/>
          </w:rPr>
          <w:fldChar w:fldCharType="separate"/>
        </w:r>
        <w:r w:rsidR="004E0606">
          <w:rPr>
            <w:noProof/>
            <w:webHidden/>
          </w:rPr>
          <w:t>17</w:t>
        </w:r>
        <w:r w:rsidR="00C17895">
          <w:rPr>
            <w:noProof/>
            <w:webHidden/>
          </w:rPr>
          <w:fldChar w:fldCharType="end"/>
        </w:r>
      </w:hyperlink>
    </w:p>
    <w:p w14:paraId="0BB1AC47" w14:textId="0E63E617" w:rsidR="00C17895" w:rsidRDefault="00467317">
      <w:pPr>
        <w:pStyle w:val="12"/>
        <w:rPr>
          <w:rFonts w:asciiTheme="minorHAnsi" w:eastAsiaTheme="minorEastAsia" w:hAnsiTheme="minorHAnsi" w:cstheme="minorBidi"/>
          <w:noProof/>
          <w:sz w:val="21"/>
          <w:szCs w:val="22"/>
        </w:rPr>
      </w:pPr>
      <w:hyperlink w:anchor="_Toc44321730" w:history="1">
        <w:r w:rsidR="00C17895" w:rsidRPr="001C6DDE">
          <w:rPr>
            <w:rStyle w:val="af5"/>
            <w:rFonts w:hint="eastAsia"/>
            <w:bCs/>
            <w:noProof/>
          </w:rPr>
          <w:t>第七条</w:t>
        </w:r>
        <w:r w:rsidR="00C17895" w:rsidRPr="001C6DDE">
          <w:rPr>
            <w:rStyle w:val="af5"/>
            <w:bCs/>
            <w:noProof/>
          </w:rPr>
          <w:t xml:space="preserve"> </w:t>
        </w:r>
        <w:r w:rsidR="00C17895" w:rsidRPr="001C6DDE">
          <w:rPr>
            <w:rStyle w:val="af5"/>
            <w:rFonts w:hint="eastAsia"/>
            <w:bCs/>
            <w:noProof/>
          </w:rPr>
          <w:t>交易及清算交收安排</w:t>
        </w:r>
        <w:r w:rsidR="00C17895">
          <w:rPr>
            <w:noProof/>
            <w:webHidden/>
          </w:rPr>
          <w:tab/>
        </w:r>
        <w:r w:rsidR="00C17895">
          <w:rPr>
            <w:noProof/>
            <w:webHidden/>
          </w:rPr>
          <w:fldChar w:fldCharType="begin"/>
        </w:r>
        <w:r w:rsidR="00C17895">
          <w:rPr>
            <w:noProof/>
            <w:webHidden/>
          </w:rPr>
          <w:instrText xml:space="preserve"> PAGEREF _Toc44321730 \h </w:instrText>
        </w:r>
        <w:r w:rsidR="00C17895">
          <w:rPr>
            <w:noProof/>
            <w:webHidden/>
          </w:rPr>
        </w:r>
        <w:r w:rsidR="00C17895">
          <w:rPr>
            <w:noProof/>
            <w:webHidden/>
          </w:rPr>
          <w:fldChar w:fldCharType="separate"/>
        </w:r>
        <w:r w:rsidR="004E0606">
          <w:rPr>
            <w:noProof/>
            <w:webHidden/>
          </w:rPr>
          <w:t>20</w:t>
        </w:r>
        <w:r w:rsidR="00C17895">
          <w:rPr>
            <w:noProof/>
            <w:webHidden/>
          </w:rPr>
          <w:fldChar w:fldCharType="end"/>
        </w:r>
      </w:hyperlink>
    </w:p>
    <w:p w14:paraId="3A2ADB36" w14:textId="407C8BCB" w:rsidR="00C17895" w:rsidRDefault="00467317">
      <w:pPr>
        <w:pStyle w:val="12"/>
        <w:rPr>
          <w:rFonts w:asciiTheme="minorHAnsi" w:eastAsiaTheme="minorEastAsia" w:hAnsiTheme="minorHAnsi" w:cstheme="minorBidi"/>
          <w:noProof/>
          <w:sz w:val="21"/>
          <w:szCs w:val="22"/>
        </w:rPr>
      </w:pPr>
      <w:hyperlink w:anchor="_Toc44321731" w:history="1">
        <w:r w:rsidR="00C17895" w:rsidRPr="001C6DDE">
          <w:rPr>
            <w:rStyle w:val="af5"/>
            <w:rFonts w:hint="eastAsia"/>
            <w:bCs/>
            <w:noProof/>
          </w:rPr>
          <w:t>第八条</w:t>
        </w:r>
        <w:r w:rsidR="00C17895" w:rsidRPr="001C6DDE">
          <w:rPr>
            <w:rStyle w:val="af5"/>
            <w:bCs/>
            <w:noProof/>
          </w:rPr>
          <w:t xml:space="preserve"> </w:t>
        </w:r>
        <w:r w:rsidR="00C17895" w:rsidRPr="001C6DDE">
          <w:rPr>
            <w:rStyle w:val="af5"/>
            <w:rFonts w:hint="eastAsia"/>
            <w:bCs/>
            <w:noProof/>
          </w:rPr>
          <w:t>基金净值计算和会计核算</w:t>
        </w:r>
        <w:r w:rsidR="00C17895">
          <w:rPr>
            <w:noProof/>
            <w:webHidden/>
          </w:rPr>
          <w:tab/>
        </w:r>
        <w:r w:rsidR="00C17895">
          <w:rPr>
            <w:noProof/>
            <w:webHidden/>
          </w:rPr>
          <w:fldChar w:fldCharType="begin"/>
        </w:r>
        <w:r w:rsidR="00C17895">
          <w:rPr>
            <w:noProof/>
            <w:webHidden/>
          </w:rPr>
          <w:instrText xml:space="preserve"> PAGEREF _Toc44321731 \h </w:instrText>
        </w:r>
        <w:r w:rsidR="00C17895">
          <w:rPr>
            <w:noProof/>
            <w:webHidden/>
          </w:rPr>
        </w:r>
        <w:r w:rsidR="00C17895">
          <w:rPr>
            <w:noProof/>
            <w:webHidden/>
          </w:rPr>
          <w:fldChar w:fldCharType="separate"/>
        </w:r>
        <w:r w:rsidR="004E0606">
          <w:rPr>
            <w:noProof/>
            <w:webHidden/>
          </w:rPr>
          <w:t>23</w:t>
        </w:r>
        <w:r w:rsidR="00C17895">
          <w:rPr>
            <w:noProof/>
            <w:webHidden/>
          </w:rPr>
          <w:fldChar w:fldCharType="end"/>
        </w:r>
      </w:hyperlink>
    </w:p>
    <w:p w14:paraId="19288208" w14:textId="29DE3BEE" w:rsidR="00C17895" w:rsidRDefault="00467317">
      <w:pPr>
        <w:pStyle w:val="12"/>
        <w:rPr>
          <w:rFonts w:asciiTheme="minorHAnsi" w:eastAsiaTheme="minorEastAsia" w:hAnsiTheme="minorHAnsi" w:cstheme="minorBidi"/>
          <w:noProof/>
          <w:sz w:val="21"/>
          <w:szCs w:val="22"/>
        </w:rPr>
      </w:pPr>
      <w:hyperlink w:anchor="_Toc44321732" w:history="1">
        <w:r w:rsidR="00C17895" w:rsidRPr="001C6DDE">
          <w:rPr>
            <w:rStyle w:val="af5"/>
            <w:rFonts w:hint="eastAsia"/>
            <w:bCs/>
            <w:noProof/>
          </w:rPr>
          <w:t>第九条</w:t>
        </w:r>
        <w:r w:rsidR="00C17895" w:rsidRPr="001C6DDE">
          <w:rPr>
            <w:rStyle w:val="af5"/>
            <w:bCs/>
            <w:noProof/>
          </w:rPr>
          <w:t xml:space="preserve"> </w:t>
        </w:r>
        <w:r w:rsidR="00C17895" w:rsidRPr="001C6DDE">
          <w:rPr>
            <w:rStyle w:val="af5"/>
            <w:rFonts w:hint="eastAsia"/>
            <w:bCs/>
            <w:noProof/>
          </w:rPr>
          <w:t>基金收益分配</w:t>
        </w:r>
        <w:r w:rsidR="00C17895">
          <w:rPr>
            <w:noProof/>
            <w:webHidden/>
          </w:rPr>
          <w:tab/>
        </w:r>
        <w:r w:rsidR="00C17895">
          <w:rPr>
            <w:noProof/>
            <w:webHidden/>
          </w:rPr>
          <w:fldChar w:fldCharType="begin"/>
        </w:r>
        <w:r w:rsidR="00C17895">
          <w:rPr>
            <w:noProof/>
            <w:webHidden/>
          </w:rPr>
          <w:instrText xml:space="preserve"> PAGEREF _Toc44321732 \h </w:instrText>
        </w:r>
        <w:r w:rsidR="00C17895">
          <w:rPr>
            <w:noProof/>
            <w:webHidden/>
          </w:rPr>
        </w:r>
        <w:r w:rsidR="00C17895">
          <w:rPr>
            <w:noProof/>
            <w:webHidden/>
          </w:rPr>
          <w:fldChar w:fldCharType="separate"/>
        </w:r>
        <w:r w:rsidR="004E0606">
          <w:rPr>
            <w:noProof/>
            <w:webHidden/>
          </w:rPr>
          <w:t>28</w:t>
        </w:r>
        <w:r w:rsidR="00C17895">
          <w:rPr>
            <w:noProof/>
            <w:webHidden/>
          </w:rPr>
          <w:fldChar w:fldCharType="end"/>
        </w:r>
      </w:hyperlink>
    </w:p>
    <w:p w14:paraId="42113776" w14:textId="659744AD" w:rsidR="00C17895" w:rsidRDefault="00467317">
      <w:pPr>
        <w:pStyle w:val="12"/>
        <w:rPr>
          <w:rFonts w:asciiTheme="minorHAnsi" w:eastAsiaTheme="minorEastAsia" w:hAnsiTheme="minorHAnsi" w:cstheme="minorBidi"/>
          <w:noProof/>
          <w:sz w:val="21"/>
          <w:szCs w:val="22"/>
        </w:rPr>
      </w:pPr>
      <w:hyperlink w:anchor="_Toc44321733" w:history="1">
        <w:r w:rsidR="00C17895" w:rsidRPr="001C6DDE">
          <w:rPr>
            <w:rStyle w:val="af5"/>
            <w:rFonts w:hint="eastAsia"/>
            <w:bCs/>
            <w:noProof/>
          </w:rPr>
          <w:t>第十条</w:t>
        </w:r>
        <w:r w:rsidR="00C17895" w:rsidRPr="001C6DDE">
          <w:rPr>
            <w:rStyle w:val="af5"/>
            <w:bCs/>
            <w:noProof/>
          </w:rPr>
          <w:t xml:space="preserve"> </w:t>
        </w:r>
        <w:r w:rsidR="00C17895" w:rsidRPr="001C6DDE">
          <w:rPr>
            <w:rStyle w:val="af5"/>
            <w:rFonts w:hint="eastAsia"/>
            <w:bCs/>
            <w:noProof/>
          </w:rPr>
          <w:t>信息披露</w:t>
        </w:r>
        <w:r w:rsidR="00C17895">
          <w:rPr>
            <w:noProof/>
            <w:webHidden/>
          </w:rPr>
          <w:tab/>
        </w:r>
        <w:r w:rsidR="00C17895">
          <w:rPr>
            <w:noProof/>
            <w:webHidden/>
          </w:rPr>
          <w:fldChar w:fldCharType="begin"/>
        </w:r>
        <w:r w:rsidR="00C17895">
          <w:rPr>
            <w:noProof/>
            <w:webHidden/>
          </w:rPr>
          <w:instrText xml:space="preserve"> PAGEREF _Toc44321733 \h </w:instrText>
        </w:r>
        <w:r w:rsidR="00C17895">
          <w:rPr>
            <w:noProof/>
            <w:webHidden/>
          </w:rPr>
        </w:r>
        <w:r w:rsidR="00C17895">
          <w:rPr>
            <w:noProof/>
            <w:webHidden/>
          </w:rPr>
          <w:fldChar w:fldCharType="separate"/>
        </w:r>
        <w:r w:rsidR="004E0606">
          <w:rPr>
            <w:noProof/>
            <w:webHidden/>
          </w:rPr>
          <w:t>29</w:t>
        </w:r>
        <w:r w:rsidR="00C17895">
          <w:rPr>
            <w:noProof/>
            <w:webHidden/>
          </w:rPr>
          <w:fldChar w:fldCharType="end"/>
        </w:r>
      </w:hyperlink>
    </w:p>
    <w:p w14:paraId="29897971" w14:textId="2F9308FA" w:rsidR="00C17895" w:rsidRDefault="00467317">
      <w:pPr>
        <w:pStyle w:val="12"/>
        <w:rPr>
          <w:rFonts w:asciiTheme="minorHAnsi" w:eastAsiaTheme="minorEastAsia" w:hAnsiTheme="minorHAnsi" w:cstheme="minorBidi"/>
          <w:noProof/>
          <w:sz w:val="21"/>
          <w:szCs w:val="22"/>
        </w:rPr>
      </w:pPr>
      <w:hyperlink w:anchor="_Toc44321734" w:history="1">
        <w:r w:rsidR="00C17895" w:rsidRPr="001C6DDE">
          <w:rPr>
            <w:rStyle w:val="af5"/>
            <w:rFonts w:hint="eastAsia"/>
            <w:bCs/>
            <w:noProof/>
          </w:rPr>
          <w:t>第十一条</w:t>
        </w:r>
        <w:r w:rsidR="00C17895" w:rsidRPr="001C6DDE">
          <w:rPr>
            <w:rStyle w:val="af5"/>
            <w:bCs/>
            <w:noProof/>
          </w:rPr>
          <w:t xml:space="preserve"> </w:t>
        </w:r>
        <w:r w:rsidR="00C17895" w:rsidRPr="001C6DDE">
          <w:rPr>
            <w:rStyle w:val="af5"/>
            <w:rFonts w:hint="eastAsia"/>
            <w:bCs/>
            <w:noProof/>
          </w:rPr>
          <w:t>基金费用</w:t>
        </w:r>
        <w:r w:rsidR="00C17895">
          <w:rPr>
            <w:noProof/>
            <w:webHidden/>
          </w:rPr>
          <w:tab/>
        </w:r>
        <w:r w:rsidR="00C17895">
          <w:rPr>
            <w:noProof/>
            <w:webHidden/>
          </w:rPr>
          <w:fldChar w:fldCharType="begin"/>
        </w:r>
        <w:r w:rsidR="00C17895">
          <w:rPr>
            <w:noProof/>
            <w:webHidden/>
          </w:rPr>
          <w:instrText xml:space="preserve"> PAGEREF _Toc44321734 \h </w:instrText>
        </w:r>
        <w:r w:rsidR="00C17895">
          <w:rPr>
            <w:noProof/>
            <w:webHidden/>
          </w:rPr>
        </w:r>
        <w:r w:rsidR="00C17895">
          <w:rPr>
            <w:noProof/>
            <w:webHidden/>
          </w:rPr>
          <w:fldChar w:fldCharType="separate"/>
        </w:r>
        <w:r w:rsidR="004E0606">
          <w:rPr>
            <w:noProof/>
            <w:webHidden/>
          </w:rPr>
          <w:t>31</w:t>
        </w:r>
        <w:r w:rsidR="00C17895">
          <w:rPr>
            <w:noProof/>
            <w:webHidden/>
          </w:rPr>
          <w:fldChar w:fldCharType="end"/>
        </w:r>
      </w:hyperlink>
    </w:p>
    <w:p w14:paraId="1A04BA25" w14:textId="766997EA" w:rsidR="00C17895" w:rsidRDefault="00467317">
      <w:pPr>
        <w:pStyle w:val="12"/>
        <w:rPr>
          <w:rFonts w:asciiTheme="minorHAnsi" w:eastAsiaTheme="minorEastAsia" w:hAnsiTheme="minorHAnsi" w:cstheme="minorBidi"/>
          <w:noProof/>
          <w:sz w:val="21"/>
          <w:szCs w:val="22"/>
        </w:rPr>
      </w:pPr>
      <w:hyperlink w:anchor="_Toc44321735" w:history="1">
        <w:r w:rsidR="00C17895" w:rsidRPr="001C6DDE">
          <w:rPr>
            <w:rStyle w:val="af5"/>
            <w:rFonts w:hint="eastAsia"/>
            <w:bCs/>
            <w:noProof/>
          </w:rPr>
          <w:t>第十二条</w:t>
        </w:r>
        <w:r w:rsidR="00C17895" w:rsidRPr="001C6DDE">
          <w:rPr>
            <w:rStyle w:val="af5"/>
            <w:bCs/>
            <w:noProof/>
          </w:rPr>
          <w:t xml:space="preserve"> </w:t>
        </w:r>
        <w:r w:rsidR="00C17895" w:rsidRPr="001C6DDE">
          <w:rPr>
            <w:rStyle w:val="af5"/>
            <w:rFonts w:hint="eastAsia"/>
            <w:bCs/>
            <w:noProof/>
          </w:rPr>
          <w:t>基金份额持有人名册的保管</w:t>
        </w:r>
        <w:r w:rsidR="00C17895">
          <w:rPr>
            <w:noProof/>
            <w:webHidden/>
          </w:rPr>
          <w:tab/>
        </w:r>
        <w:r w:rsidR="00C17895">
          <w:rPr>
            <w:noProof/>
            <w:webHidden/>
          </w:rPr>
          <w:fldChar w:fldCharType="begin"/>
        </w:r>
        <w:r w:rsidR="00C17895">
          <w:rPr>
            <w:noProof/>
            <w:webHidden/>
          </w:rPr>
          <w:instrText xml:space="preserve"> PAGEREF _Toc44321735 \h </w:instrText>
        </w:r>
        <w:r w:rsidR="00C17895">
          <w:rPr>
            <w:noProof/>
            <w:webHidden/>
          </w:rPr>
        </w:r>
        <w:r w:rsidR="00C17895">
          <w:rPr>
            <w:noProof/>
            <w:webHidden/>
          </w:rPr>
          <w:fldChar w:fldCharType="separate"/>
        </w:r>
        <w:r w:rsidR="004E0606">
          <w:rPr>
            <w:noProof/>
            <w:webHidden/>
          </w:rPr>
          <w:t>32</w:t>
        </w:r>
        <w:r w:rsidR="00C17895">
          <w:rPr>
            <w:noProof/>
            <w:webHidden/>
          </w:rPr>
          <w:fldChar w:fldCharType="end"/>
        </w:r>
      </w:hyperlink>
    </w:p>
    <w:p w14:paraId="4265EBF7" w14:textId="6F3522E4" w:rsidR="00C17895" w:rsidRDefault="00467317">
      <w:pPr>
        <w:pStyle w:val="12"/>
        <w:rPr>
          <w:rFonts w:asciiTheme="minorHAnsi" w:eastAsiaTheme="minorEastAsia" w:hAnsiTheme="minorHAnsi" w:cstheme="minorBidi"/>
          <w:noProof/>
          <w:sz w:val="21"/>
          <w:szCs w:val="22"/>
        </w:rPr>
      </w:pPr>
      <w:hyperlink w:anchor="_Toc44321736" w:history="1">
        <w:r w:rsidR="00C17895" w:rsidRPr="001C6DDE">
          <w:rPr>
            <w:rStyle w:val="af5"/>
            <w:rFonts w:hint="eastAsia"/>
            <w:bCs/>
            <w:noProof/>
          </w:rPr>
          <w:t>第十三条</w:t>
        </w:r>
        <w:r w:rsidR="00C17895" w:rsidRPr="001C6DDE">
          <w:rPr>
            <w:rStyle w:val="af5"/>
            <w:bCs/>
            <w:noProof/>
          </w:rPr>
          <w:t xml:space="preserve"> </w:t>
        </w:r>
        <w:r w:rsidR="00C17895" w:rsidRPr="001C6DDE">
          <w:rPr>
            <w:rStyle w:val="af5"/>
            <w:rFonts w:hint="eastAsia"/>
            <w:bCs/>
            <w:noProof/>
          </w:rPr>
          <w:t>基金有关文件和档案的保存</w:t>
        </w:r>
        <w:r w:rsidR="00C17895">
          <w:rPr>
            <w:noProof/>
            <w:webHidden/>
          </w:rPr>
          <w:tab/>
        </w:r>
        <w:r w:rsidR="00C17895">
          <w:rPr>
            <w:noProof/>
            <w:webHidden/>
          </w:rPr>
          <w:fldChar w:fldCharType="begin"/>
        </w:r>
        <w:r w:rsidR="00C17895">
          <w:rPr>
            <w:noProof/>
            <w:webHidden/>
          </w:rPr>
          <w:instrText xml:space="preserve"> PAGEREF _Toc44321736 \h </w:instrText>
        </w:r>
        <w:r w:rsidR="00C17895">
          <w:rPr>
            <w:noProof/>
            <w:webHidden/>
          </w:rPr>
        </w:r>
        <w:r w:rsidR="00C17895">
          <w:rPr>
            <w:noProof/>
            <w:webHidden/>
          </w:rPr>
          <w:fldChar w:fldCharType="separate"/>
        </w:r>
        <w:r w:rsidR="004E0606">
          <w:rPr>
            <w:noProof/>
            <w:webHidden/>
          </w:rPr>
          <w:t>33</w:t>
        </w:r>
        <w:r w:rsidR="00C17895">
          <w:rPr>
            <w:noProof/>
            <w:webHidden/>
          </w:rPr>
          <w:fldChar w:fldCharType="end"/>
        </w:r>
      </w:hyperlink>
    </w:p>
    <w:p w14:paraId="5B1A4A5B" w14:textId="0C72D3BD" w:rsidR="00C17895" w:rsidRDefault="00467317">
      <w:pPr>
        <w:pStyle w:val="12"/>
        <w:rPr>
          <w:rFonts w:asciiTheme="minorHAnsi" w:eastAsiaTheme="minorEastAsia" w:hAnsiTheme="minorHAnsi" w:cstheme="minorBidi"/>
          <w:noProof/>
          <w:sz w:val="21"/>
          <w:szCs w:val="22"/>
        </w:rPr>
      </w:pPr>
      <w:hyperlink w:anchor="_Toc44321737" w:history="1">
        <w:r w:rsidR="00C17895" w:rsidRPr="001C6DDE">
          <w:rPr>
            <w:rStyle w:val="af5"/>
            <w:rFonts w:hint="eastAsia"/>
            <w:bCs/>
            <w:noProof/>
          </w:rPr>
          <w:t>第十四条</w:t>
        </w:r>
        <w:r w:rsidR="00C17895" w:rsidRPr="001C6DDE">
          <w:rPr>
            <w:rStyle w:val="af5"/>
            <w:bCs/>
            <w:noProof/>
          </w:rPr>
          <w:t xml:space="preserve"> </w:t>
        </w:r>
        <w:r w:rsidR="00C17895" w:rsidRPr="001C6DDE">
          <w:rPr>
            <w:rStyle w:val="af5"/>
            <w:rFonts w:hint="eastAsia"/>
            <w:bCs/>
            <w:noProof/>
          </w:rPr>
          <w:t>基金管理人和基金托管人的更换</w:t>
        </w:r>
        <w:r w:rsidR="00C17895">
          <w:rPr>
            <w:noProof/>
            <w:webHidden/>
          </w:rPr>
          <w:tab/>
        </w:r>
        <w:r w:rsidR="00C17895">
          <w:rPr>
            <w:noProof/>
            <w:webHidden/>
          </w:rPr>
          <w:fldChar w:fldCharType="begin"/>
        </w:r>
        <w:r w:rsidR="00C17895">
          <w:rPr>
            <w:noProof/>
            <w:webHidden/>
          </w:rPr>
          <w:instrText xml:space="preserve"> PAGEREF _Toc44321737 \h </w:instrText>
        </w:r>
        <w:r w:rsidR="00C17895">
          <w:rPr>
            <w:noProof/>
            <w:webHidden/>
          </w:rPr>
        </w:r>
        <w:r w:rsidR="00C17895">
          <w:rPr>
            <w:noProof/>
            <w:webHidden/>
          </w:rPr>
          <w:fldChar w:fldCharType="separate"/>
        </w:r>
        <w:r w:rsidR="004E0606">
          <w:rPr>
            <w:noProof/>
            <w:webHidden/>
          </w:rPr>
          <w:t>33</w:t>
        </w:r>
        <w:r w:rsidR="00C17895">
          <w:rPr>
            <w:noProof/>
            <w:webHidden/>
          </w:rPr>
          <w:fldChar w:fldCharType="end"/>
        </w:r>
      </w:hyperlink>
    </w:p>
    <w:p w14:paraId="1AA366EB" w14:textId="27AA09EA" w:rsidR="00C17895" w:rsidRDefault="00467317">
      <w:pPr>
        <w:pStyle w:val="12"/>
        <w:rPr>
          <w:rFonts w:asciiTheme="minorHAnsi" w:eastAsiaTheme="minorEastAsia" w:hAnsiTheme="minorHAnsi" w:cstheme="minorBidi"/>
          <w:noProof/>
          <w:sz w:val="21"/>
          <w:szCs w:val="22"/>
        </w:rPr>
      </w:pPr>
      <w:hyperlink w:anchor="_Toc44321738" w:history="1">
        <w:r w:rsidR="00C17895" w:rsidRPr="001C6DDE">
          <w:rPr>
            <w:rStyle w:val="af5"/>
            <w:rFonts w:hint="eastAsia"/>
            <w:bCs/>
            <w:noProof/>
          </w:rPr>
          <w:t>第十五条</w:t>
        </w:r>
        <w:r w:rsidR="00C17895" w:rsidRPr="001C6DDE">
          <w:rPr>
            <w:rStyle w:val="af5"/>
            <w:bCs/>
            <w:noProof/>
          </w:rPr>
          <w:t xml:space="preserve"> </w:t>
        </w:r>
        <w:r w:rsidR="00C17895" w:rsidRPr="001C6DDE">
          <w:rPr>
            <w:rStyle w:val="af5"/>
            <w:rFonts w:hint="eastAsia"/>
            <w:bCs/>
            <w:noProof/>
          </w:rPr>
          <w:t>禁止行为</w:t>
        </w:r>
        <w:r w:rsidR="00C17895">
          <w:rPr>
            <w:noProof/>
            <w:webHidden/>
          </w:rPr>
          <w:tab/>
        </w:r>
        <w:r w:rsidR="00C17895">
          <w:rPr>
            <w:noProof/>
            <w:webHidden/>
          </w:rPr>
          <w:fldChar w:fldCharType="begin"/>
        </w:r>
        <w:r w:rsidR="00C17895">
          <w:rPr>
            <w:noProof/>
            <w:webHidden/>
          </w:rPr>
          <w:instrText xml:space="preserve"> PAGEREF _Toc44321738 \h </w:instrText>
        </w:r>
        <w:r w:rsidR="00C17895">
          <w:rPr>
            <w:noProof/>
            <w:webHidden/>
          </w:rPr>
        </w:r>
        <w:r w:rsidR="00C17895">
          <w:rPr>
            <w:noProof/>
            <w:webHidden/>
          </w:rPr>
          <w:fldChar w:fldCharType="separate"/>
        </w:r>
        <w:r w:rsidR="004E0606">
          <w:rPr>
            <w:noProof/>
            <w:webHidden/>
          </w:rPr>
          <w:t>35</w:t>
        </w:r>
        <w:r w:rsidR="00C17895">
          <w:rPr>
            <w:noProof/>
            <w:webHidden/>
          </w:rPr>
          <w:fldChar w:fldCharType="end"/>
        </w:r>
      </w:hyperlink>
    </w:p>
    <w:p w14:paraId="09B00164" w14:textId="41C08A02" w:rsidR="00C17895" w:rsidRDefault="00467317">
      <w:pPr>
        <w:pStyle w:val="12"/>
        <w:rPr>
          <w:rFonts w:asciiTheme="minorHAnsi" w:eastAsiaTheme="minorEastAsia" w:hAnsiTheme="minorHAnsi" w:cstheme="minorBidi"/>
          <w:noProof/>
          <w:sz w:val="21"/>
          <w:szCs w:val="22"/>
        </w:rPr>
      </w:pPr>
      <w:hyperlink w:anchor="_Toc44321739" w:history="1">
        <w:r w:rsidR="00C17895" w:rsidRPr="001C6DDE">
          <w:rPr>
            <w:rStyle w:val="af5"/>
            <w:rFonts w:hint="eastAsia"/>
            <w:bCs/>
            <w:noProof/>
          </w:rPr>
          <w:t>第十六条</w:t>
        </w:r>
        <w:r w:rsidR="00C17895" w:rsidRPr="001C6DDE">
          <w:rPr>
            <w:rStyle w:val="af5"/>
            <w:bCs/>
            <w:noProof/>
          </w:rPr>
          <w:t xml:space="preserve"> </w:t>
        </w:r>
        <w:r w:rsidR="00C17895" w:rsidRPr="001C6DDE">
          <w:rPr>
            <w:rStyle w:val="af5"/>
            <w:rFonts w:hint="eastAsia"/>
            <w:bCs/>
            <w:noProof/>
          </w:rPr>
          <w:t>本协议的变更、终止与基金财产的清算</w:t>
        </w:r>
        <w:r w:rsidR="00C17895">
          <w:rPr>
            <w:noProof/>
            <w:webHidden/>
          </w:rPr>
          <w:tab/>
        </w:r>
        <w:r w:rsidR="00C17895">
          <w:rPr>
            <w:noProof/>
            <w:webHidden/>
          </w:rPr>
          <w:fldChar w:fldCharType="begin"/>
        </w:r>
        <w:r w:rsidR="00C17895">
          <w:rPr>
            <w:noProof/>
            <w:webHidden/>
          </w:rPr>
          <w:instrText xml:space="preserve"> PAGEREF _Toc44321739 \h </w:instrText>
        </w:r>
        <w:r w:rsidR="00C17895">
          <w:rPr>
            <w:noProof/>
            <w:webHidden/>
          </w:rPr>
        </w:r>
        <w:r w:rsidR="00C17895">
          <w:rPr>
            <w:noProof/>
            <w:webHidden/>
          </w:rPr>
          <w:fldChar w:fldCharType="separate"/>
        </w:r>
        <w:r w:rsidR="004E0606">
          <w:rPr>
            <w:noProof/>
            <w:webHidden/>
          </w:rPr>
          <w:t>36</w:t>
        </w:r>
        <w:r w:rsidR="00C17895">
          <w:rPr>
            <w:noProof/>
            <w:webHidden/>
          </w:rPr>
          <w:fldChar w:fldCharType="end"/>
        </w:r>
      </w:hyperlink>
    </w:p>
    <w:p w14:paraId="40321FC3" w14:textId="2116B44A" w:rsidR="00C17895" w:rsidRDefault="00467317">
      <w:pPr>
        <w:pStyle w:val="12"/>
        <w:rPr>
          <w:rFonts w:asciiTheme="minorHAnsi" w:eastAsiaTheme="minorEastAsia" w:hAnsiTheme="minorHAnsi" w:cstheme="minorBidi"/>
          <w:noProof/>
          <w:sz w:val="21"/>
          <w:szCs w:val="22"/>
        </w:rPr>
      </w:pPr>
      <w:hyperlink w:anchor="_Toc44321740" w:history="1">
        <w:r w:rsidR="00C17895" w:rsidRPr="001C6DDE">
          <w:rPr>
            <w:rStyle w:val="af5"/>
            <w:rFonts w:hint="eastAsia"/>
            <w:bCs/>
            <w:noProof/>
          </w:rPr>
          <w:t>第十七条</w:t>
        </w:r>
        <w:r w:rsidR="00C17895" w:rsidRPr="001C6DDE">
          <w:rPr>
            <w:rStyle w:val="af5"/>
            <w:bCs/>
            <w:noProof/>
          </w:rPr>
          <w:t xml:space="preserve"> </w:t>
        </w:r>
        <w:r w:rsidR="00C17895" w:rsidRPr="001C6DDE">
          <w:rPr>
            <w:rStyle w:val="af5"/>
            <w:rFonts w:hint="eastAsia"/>
            <w:bCs/>
            <w:noProof/>
          </w:rPr>
          <w:t>违约责任</w:t>
        </w:r>
        <w:r w:rsidR="00C17895">
          <w:rPr>
            <w:noProof/>
            <w:webHidden/>
          </w:rPr>
          <w:tab/>
        </w:r>
        <w:r w:rsidR="00C17895">
          <w:rPr>
            <w:noProof/>
            <w:webHidden/>
          </w:rPr>
          <w:fldChar w:fldCharType="begin"/>
        </w:r>
        <w:r w:rsidR="00C17895">
          <w:rPr>
            <w:noProof/>
            <w:webHidden/>
          </w:rPr>
          <w:instrText xml:space="preserve"> PAGEREF _Toc44321740 \h </w:instrText>
        </w:r>
        <w:r w:rsidR="00C17895">
          <w:rPr>
            <w:noProof/>
            <w:webHidden/>
          </w:rPr>
        </w:r>
        <w:r w:rsidR="00C17895">
          <w:rPr>
            <w:noProof/>
            <w:webHidden/>
          </w:rPr>
          <w:fldChar w:fldCharType="separate"/>
        </w:r>
        <w:r w:rsidR="004E0606">
          <w:rPr>
            <w:noProof/>
            <w:webHidden/>
          </w:rPr>
          <w:t>38</w:t>
        </w:r>
        <w:r w:rsidR="00C17895">
          <w:rPr>
            <w:noProof/>
            <w:webHidden/>
          </w:rPr>
          <w:fldChar w:fldCharType="end"/>
        </w:r>
      </w:hyperlink>
    </w:p>
    <w:p w14:paraId="5DF94BC9" w14:textId="618064F4" w:rsidR="00C17895" w:rsidRDefault="00467317">
      <w:pPr>
        <w:pStyle w:val="12"/>
        <w:rPr>
          <w:rFonts w:asciiTheme="minorHAnsi" w:eastAsiaTheme="minorEastAsia" w:hAnsiTheme="minorHAnsi" w:cstheme="minorBidi"/>
          <w:noProof/>
          <w:sz w:val="21"/>
          <w:szCs w:val="22"/>
        </w:rPr>
      </w:pPr>
      <w:hyperlink w:anchor="_Toc44321741" w:history="1">
        <w:r w:rsidR="00C17895" w:rsidRPr="001C6DDE">
          <w:rPr>
            <w:rStyle w:val="af5"/>
            <w:rFonts w:hint="eastAsia"/>
            <w:bCs/>
            <w:noProof/>
          </w:rPr>
          <w:t>第十八条</w:t>
        </w:r>
        <w:r w:rsidR="00C17895" w:rsidRPr="001C6DDE">
          <w:rPr>
            <w:rStyle w:val="af5"/>
            <w:bCs/>
            <w:noProof/>
          </w:rPr>
          <w:t xml:space="preserve"> </w:t>
        </w:r>
        <w:r w:rsidR="00C17895" w:rsidRPr="001C6DDE">
          <w:rPr>
            <w:rStyle w:val="af5"/>
            <w:rFonts w:hint="eastAsia"/>
            <w:bCs/>
            <w:noProof/>
          </w:rPr>
          <w:t>法律适用和争议解决</w:t>
        </w:r>
        <w:r w:rsidR="00C17895">
          <w:rPr>
            <w:noProof/>
            <w:webHidden/>
          </w:rPr>
          <w:tab/>
        </w:r>
        <w:r w:rsidR="00C17895">
          <w:rPr>
            <w:noProof/>
            <w:webHidden/>
          </w:rPr>
          <w:fldChar w:fldCharType="begin"/>
        </w:r>
        <w:r w:rsidR="00C17895">
          <w:rPr>
            <w:noProof/>
            <w:webHidden/>
          </w:rPr>
          <w:instrText xml:space="preserve"> PAGEREF _Toc44321741 \h </w:instrText>
        </w:r>
        <w:r w:rsidR="00C17895">
          <w:rPr>
            <w:noProof/>
            <w:webHidden/>
          </w:rPr>
        </w:r>
        <w:r w:rsidR="00C17895">
          <w:rPr>
            <w:noProof/>
            <w:webHidden/>
          </w:rPr>
          <w:fldChar w:fldCharType="separate"/>
        </w:r>
        <w:r w:rsidR="004E0606">
          <w:rPr>
            <w:noProof/>
            <w:webHidden/>
          </w:rPr>
          <w:t>39</w:t>
        </w:r>
        <w:r w:rsidR="00C17895">
          <w:rPr>
            <w:noProof/>
            <w:webHidden/>
          </w:rPr>
          <w:fldChar w:fldCharType="end"/>
        </w:r>
      </w:hyperlink>
    </w:p>
    <w:p w14:paraId="3FDD56F4" w14:textId="58301A12" w:rsidR="00C17895" w:rsidRDefault="00467317">
      <w:pPr>
        <w:pStyle w:val="12"/>
        <w:rPr>
          <w:rFonts w:asciiTheme="minorHAnsi" w:eastAsiaTheme="minorEastAsia" w:hAnsiTheme="minorHAnsi" w:cstheme="minorBidi"/>
          <w:noProof/>
          <w:sz w:val="21"/>
          <w:szCs w:val="22"/>
        </w:rPr>
      </w:pPr>
      <w:hyperlink w:anchor="_Toc44321742" w:history="1">
        <w:r w:rsidR="00C17895" w:rsidRPr="001C6DDE">
          <w:rPr>
            <w:rStyle w:val="af5"/>
            <w:rFonts w:hint="eastAsia"/>
            <w:bCs/>
            <w:noProof/>
          </w:rPr>
          <w:t>第十九条</w:t>
        </w:r>
        <w:r w:rsidR="00C17895" w:rsidRPr="001C6DDE">
          <w:rPr>
            <w:rStyle w:val="af5"/>
            <w:bCs/>
            <w:noProof/>
          </w:rPr>
          <w:t xml:space="preserve"> </w:t>
        </w:r>
        <w:r w:rsidR="00C17895" w:rsidRPr="001C6DDE">
          <w:rPr>
            <w:rStyle w:val="af5"/>
            <w:rFonts w:hint="eastAsia"/>
            <w:bCs/>
            <w:noProof/>
          </w:rPr>
          <w:t>本协议的效力</w:t>
        </w:r>
        <w:r w:rsidR="00C17895">
          <w:rPr>
            <w:noProof/>
            <w:webHidden/>
          </w:rPr>
          <w:tab/>
        </w:r>
        <w:r w:rsidR="00C17895">
          <w:rPr>
            <w:noProof/>
            <w:webHidden/>
          </w:rPr>
          <w:fldChar w:fldCharType="begin"/>
        </w:r>
        <w:r w:rsidR="00C17895">
          <w:rPr>
            <w:noProof/>
            <w:webHidden/>
          </w:rPr>
          <w:instrText xml:space="preserve"> PAGEREF _Toc44321742 \h </w:instrText>
        </w:r>
        <w:r w:rsidR="00C17895">
          <w:rPr>
            <w:noProof/>
            <w:webHidden/>
          </w:rPr>
        </w:r>
        <w:r w:rsidR="00C17895">
          <w:rPr>
            <w:noProof/>
            <w:webHidden/>
          </w:rPr>
          <w:fldChar w:fldCharType="separate"/>
        </w:r>
        <w:r w:rsidR="004E0606">
          <w:rPr>
            <w:noProof/>
            <w:webHidden/>
          </w:rPr>
          <w:t>40</w:t>
        </w:r>
        <w:r w:rsidR="00C17895">
          <w:rPr>
            <w:noProof/>
            <w:webHidden/>
          </w:rPr>
          <w:fldChar w:fldCharType="end"/>
        </w:r>
      </w:hyperlink>
    </w:p>
    <w:p w14:paraId="295DAEED" w14:textId="7DE75D08" w:rsidR="00C17895" w:rsidRDefault="00467317">
      <w:pPr>
        <w:pStyle w:val="12"/>
        <w:rPr>
          <w:rFonts w:asciiTheme="minorHAnsi" w:eastAsiaTheme="minorEastAsia" w:hAnsiTheme="minorHAnsi" w:cstheme="minorBidi"/>
          <w:noProof/>
          <w:sz w:val="21"/>
          <w:szCs w:val="22"/>
        </w:rPr>
      </w:pPr>
      <w:hyperlink w:anchor="_Toc44321743" w:history="1">
        <w:r w:rsidR="00C17895" w:rsidRPr="001C6DDE">
          <w:rPr>
            <w:rStyle w:val="af5"/>
            <w:rFonts w:hint="eastAsia"/>
            <w:bCs/>
            <w:noProof/>
          </w:rPr>
          <w:t>第二十条</w:t>
        </w:r>
        <w:r w:rsidR="00C17895" w:rsidRPr="001C6DDE">
          <w:rPr>
            <w:rStyle w:val="af5"/>
            <w:bCs/>
            <w:noProof/>
          </w:rPr>
          <w:t xml:space="preserve"> </w:t>
        </w:r>
        <w:r w:rsidR="00C17895" w:rsidRPr="001C6DDE">
          <w:rPr>
            <w:rStyle w:val="af5"/>
            <w:rFonts w:hint="eastAsia"/>
            <w:bCs/>
            <w:noProof/>
          </w:rPr>
          <w:t>本协议的签订</w:t>
        </w:r>
        <w:r w:rsidR="00C17895">
          <w:rPr>
            <w:noProof/>
            <w:webHidden/>
          </w:rPr>
          <w:tab/>
        </w:r>
        <w:r w:rsidR="00C17895">
          <w:rPr>
            <w:noProof/>
            <w:webHidden/>
          </w:rPr>
          <w:fldChar w:fldCharType="begin"/>
        </w:r>
        <w:r w:rsidR="00C17895">
          <w:rPr>
            <w:noProof/>
            <w:webHidden/>
          </w:rPr>
          <w:instrText xml:space="preserve"> PAGEREF _Toc44321743 \h </w:instrText>
        </w:r>
        <w:r w:rsidR="00C17895">
          <w:rPr>
            <w:noProof/>
            <w:webHidden/>
          </w:rPr>
        </w:r>
        <w:r w:rsidR="00C17895">
          <w:rPr>
            <w:noProof/>
            <w:webHidden/>
          </w:rPr>
          <w:fldChar w:fldCharType="separate"/>
        </w:r>
        <w:r w:rsidR="004E0606">
          <w:rPr>
            <w:noProof/>
            <w:webHidden/>
          </w:rPr>
          <w:t>40</w:t>
        </w:r>
        <w:r w:rsidR="00C17895">
          <w:rPr>
            <w:noProof/>
            <w:webHidden/>
          </w:rPr>
          <w:fldChar w:fldCharType="end"/>
        </w:r>
      </w:hyperlink>
    </w:p>
    <w:p w14:paraId="0A0C7D3D" w14:textId="2E296AD2" w:rsidR="00C17895" w:rsidRDefault="00467317">
      <w:pPr>
        <w:pStyle w:val="12"/>
        <w:rPr>
          <w:rFonts w:asciiTheme="minorHAnsi" w:eastAsiaTheme="minorEastAsia" w:hAnsiTheme="minorHAnsi" w:cstheme="minorBidi"/>
          <w:noProof/>
          <w:sz w:val="21"/>
          <w:szCs w:val="22"/>
        </w:rPr>
      </w:pPr>
      <w:hyperlink w:anchor="_Toc44321744" w:history="1">
        <w:r w:rsidR="00C17895" w:rsidRPr="001C6DDE">
          <w:rPr>
            <w:rStyle w:val="af5"/>
            <w:rFonts w:hint="eastAsia"/>
            <w:bCs/>
            <w:noProof/>
          </w:rPr>
          <w:t>第二十一条</w:t>
        </w:r>
        <w:r w:rsidR="00C17895" w:rsidRPr="001C6DDE">
          <w:rPr>
            <w:rStyle w:val="af5"/>
            <w:bCs/>
            <w:noProof/>
          </w:rPr>
          <w:t xml:space="preserve"> </w:t>
        </w:r>
        <w:r w:rsidR="00C17895" w:rsidRPr="001C6DDE">
          <w:rPr>
            <w:rStyle w:val="af5"/>
            <w:rFonts w:hint="eastAsia"/>
            <w:bCs/>
            <w:noProof/>
          </w:rPr>
          <w:t>不可抗力</w:t>
        </w:r>
        <w:r w:rsidR="00C17895">
          <w:rPr>
            <w:noProof/>
            <w:webHidden/>
          </w:rPr>
          <w:tab/>
        </w:r>
        <w:r w:rsidR="00C17895">
          <w:rPr>
            <w:noProof/>
            <w:webHidden/>
          </w:rPr>
          <w:fldChar w:fldCharType="begin"/>
        </w:r>
        <w:r w:rsidR="00C17895">
          <w:rPr>
            <w:noProof/>
            <w:webHidden/>
          </w:rPr>
          <w:instrText xml:space="preserve"> PAGEREF _Toc44321744 \h </w:instrText>
        </w:r>
        <w:r w:rsidR="00C17895">
          <w:rPr>
            <w:noProof/>
            <w:webHidden/>
          </w:rPr>
        </w:r>
        <w:r w:rsidR="00C17895">
          <w:rPr>
            <w:noProof/>
            <w:webHidden/>
          </w:rPr>
          <w:fldChar w:fldCharType="separate"/>
        </w:r>
        <w:r w:rsidR="004E0606">
          <w:rPr>
            <w:noProof/>
            <w:webHidden/>
          </w:rPr>
          <w:t>40</w:t>
        </w:r>
        <w:r w:rsidR="00C17895">
          <w:rPr>
            <w:noProof/>
            <w:webHidden/>
          </w:rPr>
          <w:fldChar w:fldCharType="end"/>
        </w:r>
      </w:hyperlink>
    </w:p>
    <w:p w14:paraId="1C2D370C" w14:textId="72230A7D" w:rsidR="00C17895" w:rsidRDefault="00467317">
      <w:pPr>
        <w:pStyle w:val="12"/>
        <w:rPr>
          <w:rFonts w:asciiTheme="minorHAnsi" w:eastAsiaTheme="minorEastAsia" w:hAnsiTheme="minorHAnsi" w:cstheme="minorBidi"/>
          <w:noProof/>
          <w:sz w:val="21"/>
          <w:szCs w:val="22"/>
        </w:rPr>
      </w:pPr>
      <w:hyperlink w:anchor="_Toc44321745" w:history="1">
        <w:r w:rsidR="00C17895" w:rsidRPr="001C6DDE">
          <w:rPr>
            <w:rStyle w:val="af5"/>
            <w:rFonts w:hint="eastAsia"/>
            <w:bCs/>
            <w:noProof/>
          </w:rPr>
          <w:t>第二十二条</w:t>
        </w:r>
        <w:r w:rsidR="00C17895" w:rsidRPr="001C6DDE">
          <w:rPr>
            <w:rStyle w:val="af5"/>
            <w:bCs/>
            <w:noProof/>
          </w:rPr>
          <w:t xml:space="preserve"> </w:t>
        </w:r>
        <w:r w:rsidR="00C17895" w:rsidRPr="001C6DDE">
          <w:rPr>
            <w:rStyle w:val="af5"/>
            <w:rFonts w:hint="eastAsia"/>
            <w:bCs/>
            <w:noProof/>
          </w:rPr>
          <w:t>可分割性</w:t>
        </w:r>
        <w:r w:rsidR="00C17895">
          <w:rPr>
            <w:noProof/>
            <w:webHidden/>
          </w:rPr>
          <w:tab/>
        </w:r>
        <w:r w:rsidR="00C17895">
          <w:rPr>
            <w:noProof/>
            <w:webHidden/>
          </w:rPr>
          <w:fldChar w:fldCharType="begin"/>
        </w:r>
        <w:r w:rsidR="00C17895">
          <w:rPr>
            <w:noProof/>
            <w:webHidden/>
          </w:rPr>
          <w:instrText xml:space="preserve"> PAGEREF _Toc44321745 \h </w:instrText>
        </w:r>
        <w:r w:rsidR="00C17895">
          <w:rPr>
            <w:noProof/>
            <w:webHidden/>
          </w:rPr>
        </w:r>
        <w:r w:rsidR="00C17895">
          <w:rPr>
            <w:noProof/>
            <w:webHidden/>
          </w:rPr>
          <w:fldChar w:fldCharType="separate"/>
        </w:r>
        <w:r w:rsidR="004E0606">
          <w:rPr>
            <w:noProof/>
            <w:webHidden/>
          </w:rPr>
          <w:t>41</w:t>
        </w:r>
        <w:r w:rsidR="00C17895">
          <w:rPr>
            <w:noProof/>
            <w:webHidden/>
          </w:rPr>
          <w:fldChar w:fldCharType="end"/>
        </w:r>
      </w:hyperlink>
    </w:p>
    <w:p w14:paraId="0DA58F72" w14:textId="502E5870" w:rsidR="00C17895" w:rsidRDefault="00467317">
      <w:pPr>
        <w:pStyle w:val="12"/>
        <w:rPr>
          <w:rFonts w:asciiTheme="minorHAnsi" w:eastAsiaTheme="minorEastAsia" w:hAnsiTheme="minorHAnsi" w:cstheme="minorBidi"/>
          <w:noProof/>
          <w:sz w:val="21"/>
          <w:szCs w:val="22"/>
        </w:rPr>
      </w:pPr>
      <w:hyperlink w:anchor="_Toc44321746" w:history="1">
        <w:r w:rsidR="00C17895" w:rsidRPr="001C6DDE">
          <w:rPr>
            <w:rStyle w:val="af5"/>
            <w:rFonts w:hint="eastAsia"/>
            <w:bCs/>
            <w:noProof/>
          </w:rPr>
          <w:t>第二十三条</w:t>
        </w:r>
        <w:r w:rsidR="00C17895" w:rsidRPr="001C6DDE">
          <w:rPr>
            <w:rStyle w:val="af5"/>
            <w:bCs/>
            <w:noProof/>
          </w:rPr>
          <w:t xml:space="preserve"> </w:t>
        </w:r>
        <w:r w:rsidR="00C17895" w:rsidRPr="001C6DDE">
          <w:rPr>
            <w:rStyle w:val="af5"/>
            <w:rFonts w:hint="eastAsia"/>
            <w:bCs/>
            <w:noProof/>
          </w:rPr>
          <w:t>通知与送达</w:t>
        </w:r>
        <w:r w:rsidR="00C17895">
          <w:rPr>
            <w:noProof/>
            <w:webHidden/>
          </w:rPr>
          <w:tab/>
        </w:r>
        <w:r w:rsidR="00C17895">
          <w:rPr>
            <w:noProof/>
            <w:webHidden/>
          </w:rPr>
          <w:fldChar w:fldCharType="begin"/>
        </w:r>
        <w:r w:rsidR="00C17895">
          <w:rPr>
            <w:noProof/>
            <w:webHidden/>
          </w:rPr>
          <w:instrText xml:space="preserve"> PAGEREF _Toc44321746 \h </w:instrText>
        </w:r>
        <w:r w:rsidR="00C17895">
          <w:rPr>
            <w:noProof/>
            <w:webHidden/>
          </w:rPr>
        </w:r>
        <w:r w:rsidR="00C17895">
          <w:rPr>
            <w:noProof/>
            <w:webHidden/>
          </w:rPr>
          <w:fldChar w:fldCharType="separate"/>
        </w:r>
        <w:r w:rsidR="004E0606">
          <w:rPr>
            <w:noProof/>
            <w:webHidden/>
          </w:rPr>
          <w:t>41</w:t>
        </w:r>
        <w:r w:rsidR="00C17895">
          <w:rPr>
            <w:noProof/>
            <w:webHidden/>
          </w:rPr>
          <w:fldChar w:fldCharType="end"/>
        </w:r>
      </w:hyperlink>
    </w:p>
    <w:p w14:paraId="237CB1DA" w14:textId="44695B06" w:rsidR="00C17895" w:rsidRDefault="00467317">
      <w:pPr>
        <w:pStyle w:val="12"/>
        <w:rPr>
          <w:rFonts w:asciiTheme="minorHAnsi" w:eastAsiaTheme="minorEastAsia" w:hAnsiTheme="minorHAnsi" w:cstheme="minorBidi"/>
          <w:noProof/>
          <w:sz w:val="21"/>
          <w:szCs w:val="22"/>
        </w:rPr>
      </w:pPr>
      <w:hyperlink w:anchor="_Toc44321747" w:history="1">
        <w:r w:rsidR="00C17895" w:rsidRPr="001C6DDE">
          <w:rPr>
            <w:rStyle w:val="af5"/>
            <w:rFonts w:hint="eastAsia"/>
            <w:bCs/>
            <w:noProof/>
          </w:rPr>
          <w:t>第二十四条</w:t>
        </w:r>
        <w:r w:rsidR="00C17895" w:rsidRPr="001C6DDE">
          <w:rPr>
            <w:rStyle w:val="af5"/>
            <w:bCs/>
            <w:noProof/>
          </w:rPr>
          <w:t xml:space="preserve"> </w:t>
        </w:r>
        <w:r w:rsidR="00C17895" w:rsidRPr="001C6DDE">
          <w:rPr>
            <w:rStyle w:val="af5"/>
            <w:rFonts w:hint="eastAsia"/>
            <w:bCs/>
            <w:noProof/>
          </w:rPr>
          <w:t>其他约定事项</w:t>
        </w:r>
        <w:r w:rsidR="00C17895">
          <w:rPr>
            <w:noProof/>
            <w:webHidden/>
          </w:rPr>
          <w:tab/>
        </w:r>
        <w:r w:rsidR="00C17895">
          <w:rPr>
            <w:noProof/>
            <w:webHidden/>
          </w:rPr>
          <w:fldChar w:fldCharType="begin"/>
        </w:r>
        <w:r w:rsidR="00C17895">
          <w:rPr>
            <w:noProof/>
            <w:webHidden/>
          </w:rPr>
          <w:instrText xml:space="preserve"> PAGEREF _Toc44321747 \h </w:instrText>
        </w:r>
        <w:r w:rsidR="00C17895">
          <w:rPr>
            <w:noProof/>
            <w:webHidden/>
          </w:rPr>
        </w:r>
        <w:r w:rsidR="00C17895">
          <w:rPr>
            <w:noProof/>
            <w:webHidden/>
          </w:rPr>
          <w:fldChar w:fldCharType="separate"/>
        </w:r>
        <w:r w:rsidR="004E0606">
          <w:rPr>
            <w:noProof/>
            <w:webHidden/>
          </w:rPr>
          <w:t>41</w:t>
        </w:r>
        <w:r w:rsidR="00C17895">
          <w:rPr>
            <w:noProof/>
            <w:webHidden/>
          </w:rPr>
          <w:fldChar w:fldCharType="end"/>
        </w:r>
      </w:hyperlink>
    </w:p>
    <w:p w14:paraId="6A84B50D" w14:textId="77777777" w:rsidR="00B61FF9" w:rsidRDefault="001B0A60">
      <w:pPr>
        <w:snapToGrid w:val="0"/>
        <w:spacing w:line="360" w:lineRule="auto"/>
        <w:jc w:val="center"/>
        <w:rPr>
          <w:rFonts w:ascii="宋体" w:hAnsi="宋体"/>
          <w:b/>
          <w:sz w:val="28"/>
          <w:szCs w:val="28"/>
        </w:rPr>
      </w:pPr>
      <w:r>
        <w:rPr>
          <w:rFonts w:ascii="宋体" w:hAnsi="宋体"/>
          <w:b/>
          <w:sz w:val="28"/>
          <w:szCs w:val="28"/>
        </w:rPr>
        <w:fldChar w:fldCharType="end"/>
      </w:r>
    </w:p>
    <w:p w14:paraId="0022B401" w14:textId="42E10DF3" w:rsidR="00B61FF9" w:rsidRDefault="001B0A60" w:rsidP="006643B1">
      <w:pPr>
        <w:adjustRightInd w:val="0"/>
        <w:snapToGrid w:val="0"/>
        <w:spacing w:line="520" w:lineRule="atLeast"/>
        <w:jc w:val="center"/>
        <w:rPr>
          <w:rFonts w:ascii="宋体" w:hAnsi="宋体"/>
          <w:b/>
          <w:sz w:val="28"/>
          <w:szCs w:val="28"/>
        </w:rPr>
      </w:pPr>
      <w:r>
        <w:rPr>
          <w:rFonts w:ascii="宋体" w:hAnsi="宋体"/>
          <w:b/>
          <w:sz w:val="28"/>
          <w:szCs w:val="28"/>
        </w:rPr>
        <w:br w:type="page"/>
      </w:r>
      <w:r w:rsidR="00DE7C1F">
        <w:rPr>
          <w:rFonts w:ascii="宋体" w:hAnsi="宋体" w:hint="eastAsia"/>
          <w:b/>
          <w:sz w:val="28"/>
          <w:szCs w:val="28"/>
        </w:rPr>
        <w:lastRenderedPageBreak/>
        <w:t>中欧</w:t>
      </w:r>
      <w:r w:rsidR="00585020">
        <w:rPr>
          <w:rFonts w:ascii="宋体" w:hAnsi="宋体"/>
          <w:b/>
          <w:sz w:val="28"/>
          <w:szCs w:val="28"/>
        </w:rPr>
        <w:t>睿见</w:t>
      </w:r>
      <w:r w:rsidR="007F1DE8">
        <w:rPr>
          <w:rFonts w:ascii="宋体" w:hAnsi="宋体" w:hint="eastAsia"/>
          <w:b/>
          <w:sz w:val="28"/>
          <w:szCs w:val="28"/>
        </w:rPr>
        <w:t>混合型</w:t>
      </w:r>
      <w:r>
        <w:rPr>
          <w:rFonts w:ascii="宋体" w:hAnsi="宋体" w:hint="eastAsia"/>
          <w:b/>
          <w:sz w:val="28"/>
          <w:szCs w:val="28"/>
        </w:rPr>
        <w:t>证券投资基金托管协议</w:t>
      </w:r>
    </w:p>
    <w:p w14:paraId="5C53CA99" w14:textId="77777777" w:rsidR="0091746B" w:rsidRPr="009F038B" w:rsidRDefault="0091746B" w:rsidP="006643B1">
      <w:pPr>
        <w:adjustRightInd w:val="0"/>
        <w:snapToGrid w:val="0"/>
        <w:spacing w:line="520" w:lineRule="atLeast"/>
        <w:jc w:val="center"/>
        <w:rPr>
          <w:rFonts w:ascii="宋体" w:hAnsi="宋体"/>
          <w:b/>
          <w:sz w:val="28"/>
          <w:szCs w:val="28"/>
        </w:rPr>
      </w:pPr>
    </w:p>
    <w:p w14:paraId="6B471D2A" w14:textId="431535EA" w:rsidR="001C545B" w:rsidRDefault="001C545B" w:rsidP="006643B1">
      <w:pPr>
        <w:tabs>
          <w:tab w:val="left" w:pos="5940"/>
        </w:tabs>
        <w:adjustRightInd w:val="0"/>
        <w:snapToGrid w:val="0"/>
        <w:spacing w:line="520" w:lineRule="atLeast"/>
        <w:rPr>
          <w:rFonts w:ascii="宋体" w:hAnsi="宋体"/>
          <w:b/>
          <w:sz w:val="24"/>
          <w:szCs w:val="24"/>
        </w:rPr>
      </w:pPr>
      <w:r>
        <w:rPr>
          <w:rFonts w:ascii="宋体" w:hAnsi="宋体" w:hint="eastAsia"/>
          <w:b/>
          <w:sz w:val="24"/>
          <w:szCs w:val="24"/>
        </w:rPr>
        <w:t>基金管理人：</w:t>
      </w:r>
      <w:r w:rsidR="007A5E74" w:rsidRPr="007A5E74">
        <w:rPr>
          <w:rFonts w:ascii="宋体" w:hAnsi="宋体" w:hint="eastAsia"/>
          <w:b/>
          <w:sz w:val="24"/>
          <w:szCs w:val="24"/>
        </w:rPr>
        <w:t>中欧基金管理有限公司</w:t>
      </w:r>
      <w:r w:rsidDel="001527A3">
        <w:rPr>
          <w:rFonts w:ascii="宋体" w:hAnsi="宋体" w:hint="eastAsia"/>
          <w:b/>
          <w:sz w:val="24"/>
          <w:szCs w:val="24"/>
        </w:rPr>
        <w:t xml:space="preserve"> </w:t>
      </w:r>
    </w:p>
    <w:p w14:paraId="2236B7B1" w14:textId="3EE86FD5" w:rsidR="001C545B" w:rsidRPr="007A5E74" w:rsidRDefault="001C545B" w:rsidP="006643B1">
      <w:pPr>
        <w:tabs>
          <w:tab w:val="left" w:pos="5940"/>
        </w:tabs>
        <w:adjustRightInd w:val="0"/>
        <w:snapToGrid w:val="0"/>
        <w:spacing w:line="520" w:lineRule="atLeast"/>
        <w:rPr>
          <w:rFonts w:ascii="宋体" w:hAnsi="宋体"/>
          <w:sz w:val="24"/>
          <w:szCs w:val="24"/>
        </w:rPr>
      </w:pPr>
      <w:r w:rsidRPr="007A5E74">
        <w:rPr>
          <w:rFonts w:ascii="宋体" w:hAnsi="宋体" w:hint="eastAsia"/>
          <w:sz w:val="24"/>
          <w:szCs w:val="24"/>
        </w:rPr>
        <w:t>法定代表人：</w:t>
      </w:r>
      <w:r w:rsidR="007A5E74" w:rsidRPr="007A5E74">
        <w:rPr>
          <w:rFonts w:ascii="宋体" w:hAnsi="宋体" w:hint="eastAsia"/>
          <w:sz w:val="24"/>
          <w:szCs w:val="24"/>
        </w:rPr>
        <w:t>窦玉明</w:t>
      </w:r>
    </w:p>
    <w:p w14:paraId="2831B647" w14:textId="7FE5EA06" w:rsidR="001C545B" w:rsidRPr="007A5E74" w:rsidRDefault="001C545B" w:rsidP="006643B1">
      <w:pPr>
        <w:tabs>
          <w:tab w:val="left" w:pos="5940"/>
        </w:tabs>
        <w:adjustRightInd w:val="0"/>
        <w:snapToGrid w:val="0"/>
        <w:spacing w:line="520" w:lineRule="atLeast"/>
        <w:rPr>
          <w:rFonts w:ascii="宋体" w:hAnsi="宋体"/>
          <w:sz w:val="24"/>
          <w:szCs w:val="24"/>
        </w:rPr>
      </w:pPr>
      <w:r w:rsidRPr="007A5E74">
        <w:rPr>
          <w:rFonts w:ascii="宋体" w:hAnsi="宋体" w:hint="eastAsia"/>
          <w:sz w:val="24"/>
          <w:szCs w:val="24"/>
        </w:rPr>
        <w:t>住    所：</w:t>
      </w:r>
      <w:r w:rsidR="00065064" w:rsidRPr="00065064">
        <w:rPr>
          <w:rFonts w:ascii="宋体" w:hAnsi="宋体" w:hint="eastAsia"/>
          <w:sz w:val="24"/>
          <w:szCs w:val="24"/>
        </w:rPr>
        <w:t>中国（上海）自由贸易试验区陆家嘴环路333号5层</w:t>
      </w:r>
    </w:p>
    <w:p w14:paraId="162A8562" w14:textId="00F704EA" w:rsidR="001C545B" w:rsidRPr="007A5E74" w:rsidRDefault="001C545B" w:rsidP="006643B1">
      <w:pPr>
        <w:tabs>
          <w:tab w:val="left" w:pos="5940"/>
        </w:tabs>
        <w:snapToGrid w:val="0"/>
        <w:spacing w:line="520" w:lineRule="atLeast"/>
        <w:rPr>
          <w:rFonts w:ascii="宋体" w:hAnsi="宋体"/>
          <w:sz w:val="24"/>
          <w:szCs w:val="24"/>
        </w:rPr>
      </w:pPr>
      <w:r w:rsidRPr="007A5E74">
        <w:rPr>
          <w:rFonts w:ascii="宋体" w:hAnsi="宋体" w:hint="eastAsia"/>
          <w:sz w:val="24"/>
          <w:szCs w:val="24"/>
        </w:rPr>
        <w:t>邮政编码：</w:t>
      </w:r>
      <w:r w:rsidR="00065064" w:rsidRPr="00065064">
        <w:rPr>
          <w:rFonts w:ascii="宋体" w:hAnsi="宋体"/>
          <w:sz w:val="24"/>
          <w:szCs w:val="24"/>
        </w:rPr>
        <w:t>200120</w:t>
      </w:r>
    </w:p>
    <w:p w14:paraId="784BADEE" w14:textId="7C5EFB30" w:rsidR="001C545B" w:rsidRPr="007A5E74" w:rsidRDefault="001C545B" w:rsidP="006643B1">
      <w:pPr>
        <w:tabs>
          <w:tab w:val="left" w:pos="5940"/>
        </w:tabs>
        <w:snapToGrid w:val="0"/>
        <w:spacing w:line="520" w:lineRule="atLeast"/>
        <w:rPr>
          <w:rFonts w:ascii="宋体" w:hAnsi="宋体"/>
          <w:sz w:val="24"/>
          <w:szCs w:val="24"/>
        </w:rPr>
      </w:pPr>
      <w:r w:rsidRPr="007A5E74">
        <w:rPr>
          <w:rFonts w:ascii="宋体" w:hAnsi="宋体" w:hint="eastAsia"/>
          <w:sz w:val="24"/>
          <w:szCs w:val="24"/>
        </w:rPr>
        <w:t>联 系 人：</w:t>
      </w:r>
      <w:r w:rsidR="00065064" w:rsidRPr="00065064">
        <w:rPr>
          <w:rFonts w:ascii="宋体" w:hAnsi="宋体" w:hint="eastAsia"/>
          <w:sz w:val="24"/>
          <w:szCs w:val="24"/>
        </w:rPr>
        <w:t>马云歌</w:t>
      </w:r>
    </w:p>
    <w:p w14:paraId="0A5C7F8C" w14:textId="28BA998C" w:rsidR="001C545B" w:rsidRPr="007A5E74" w:rsidRDefault="001C545B" w:rsidP="006643B1">
      <w:pPr>
        <w:tabs>
          <w:tab w:val="left" w:pos="5940"/>
        </w:tabs>
        <w:snapToGrid w:val="0"/>
        <w:spacing w:line="520" w:lineRule="atLeast"/>
        <w:rPr>
          <w:rFonts w:ascii="宋体" w:hAnsi="宋体"/>
          <w:sz w:val="24"/>
          <w:szCs w:val="24"/>
        </w:rPr>
      </w:pPr>
      <w:r w:rsidRPr="007A5E74">
        <w:rPr>
          <w:rFonts w:ascii="宋体" w:hAnsi="宋体" w:hint="eastAsia"/>
          <w:sz w:val="24"/>
          <w:szCs w:val="24"/>
        </w:rPr>
        <w:t>联系电话：</w:t>
      </w:r>
      <w:r w:rsidR="00065064" w:rsidRPr="00065064">
        <w:rPr>
          <w:rFonts w:ascii="宋体" w:hAnsi="宋体"/>
          <w:sz w:val="24"/>
          <w:szCs w:val="24"/>
        </w:rPr>
        <w:t>021-68609600</w:t>
      </w:r>
    </w:p>
    <w:p w14:paraId="1995C98C" w14:textId="42087A90" w:rsidR="001C545B" w:rsidRPr="007A5E74" w:rsidRDefault="001C545B" w:rsidP="006643B1">
      <w:pPr>
        <w:tabs>
          <w:tab w:val="left" w:pos="5940"/>
        </w:tabs>
        <w:snapToGrid w:val="0"/>
        <w:spacing w:line="520" w:lineRule="atLeast"/>
        <w:rPr>
          <w:rFonts w:ascii="宋体" w:hAnsi="宋体"/>
          <w:sz w:val="24"/>
          <w:szCs w:val="24"/>
        </w:rPr>
      </w:pPr>
      <w:r w:rsidRPr="007A5E74">
        <w:rPr>
          <w:rFonts w:ascii="宋体" w:hAnsi="宋体" w:hint="eastAsia"/>
          <w:sz w:val="24"/>
          <w:szCs w:val="24"/>
        </w:rPr>
        <w:t>传    真：</w:t>
      </w:r>
      <w:r w:rsidR="00065064" w:rsidRPr="00065064">
        <w:rPr>
          <w:rFonts w:ascii="宋体" w:hAnsi="宋体"/>
          <w:sz w:val="24"/>
          <w:szCs w:val="24"/>
        </w:rPr>
        <w:t>021-33830351</w:t>
      </w:r>
    </w:p>
    <w:p w14:paraId="189162C5" w14:textId="77777777" w:rsidR="001C545B" w:rsidRDefault="001C545B" w:rsidP="006643B1">
      <w:pPr>
        <w:snapToGrid w:val="0"/>
        <w:spacing w:line="520" w:lineRule="atLeast"/>
        <w:rPr>
          <w:rFonts w:ascii="宋体" w:hAnsi="宋体"/>
          <w:sz w:val="24"/>
          <w:szCs w:val="24"/>
        </w:rPr>
      </w:pPr>
    </w:p>
    <w:p w14:paraId="1C86ED32" w14:textId="33F8F46E" w:rsidR="001C545B" w:rsidRDefault="001C545B" w:rsidP="006643B1">
      <w:pPr>
        <w:tabs>
          <w:tab w:val="left" w:pos="5940"/>
        </w:tabs>
        <w:snapToGrid w:val="0"/>
        <w:spacing w:line="520" w:lineRule="atLeast"/>
        <w:rPr>
          <w:rFonts w:ascii="宋体" w:hAnsi="宋体"/>
          <w:b/>
          <w:sz w:val="24"/>
          <w:szCs w:val="24"/>
        </w:rPr>
      </w:pPr>
      <w:r>
        <w:rPr>
          <w:rFonts w:ascii="宋体" w:hAnsi="宋体" w:hint="eastAsia"/>
          <w:b/>
          <w:sz w:val="24"/>
          <w:szCs w:val="24"/>
        </w:rPr>
        <w:t>基金托管人：中信银行股份有限公司</w:t>
      </w:r>
    </w:p>
    <w:p w14:paraId="7F465188" w14:textId="27E71BF0"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法定代表人：</w:t>
      </w:r>
      <w:r w:rsidR="00F83193" w:rsidRPr="00664D4A">
        <w:rPr>
          <w:rFonts w:ascii="宋体" w:hAnsi="宋体" w:hint="eastAsia"/>
          <w:sz w:val="24"/>
          <w:szCs w:val="24"/>
        </w:rPr>
        <w:t>李</w:t>
      </w:r>
      <w:r w:rsidR="00F83193" w:rsidRPr="00664D4A">
        <w:rPr>
          <w:rFonts w:ascii="宋体" w:hAnsi="宋体"/>
          <w:sz w:val="24"/>
          <w:szCs w:val="24"/>
        </w:rPr>
        <w:t>庆</w:t>
      </w:r>
      <w:r w:rsidR="00F83193" w:rsidRPr="00664D4A">
        <w:rPr>
          <w:rFonts w:ascii="宋体" w:hAnsi="宋体" w:hint="eastAsia"/>
          <w:sz w:val="24"/>
          <w:szCs w:val="24"/>
        </w:rPr>
        <w:t>萍</w:t>
      </w:r>
    </w:p>
    <w:p w14:paraId="47B2BB5A" w14:textId="19E8D67A"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住    所：</w:t>
      </w:r>
      <w:r w:rsidR="00F83193" w:rsidRPr="00F83193">
        <w:rPr>
          <w:rFonts w:ascii="宋体" w:hAnsi="宋体"/>
          <w:sz w:val="24"/>
          <w:szCs w:val="24"/>
        </w:rPr>
        <w:t>北京市东城区朝阳门北大街9号</w:t>
      </w:r>
    </w:p>
    <w:p w14:paraId="2ECA49BB" w14:textId="682791F0"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邮政编码：</w:t>
      </w:r>
      <w:r w:rsidR="00F83193" w:rsidRPr="00F83193">
        <w:rPr>
          <w:rFonts w:ascii="宋体" w:hAnsi="宋体" w:hint="eastAsia"/>
          <w:sz w:val="24"/>
          <w:szCs w:val="24"/>
        </w:rPr>
        <w:t>1</w:t>
      </w:r>
      <w:r w:rsidR="00F83193" w:rsidRPr="00F83193">
        <w:rPr>
          <w:rFonts w:ascii="宋体" w:hAnsi="宋体"/>
          <w:sz w:val="24"/>
          <w:szCs w:val="24"/>
        </w:rPr>
        <w:t>000</w:t>
      </w:r>
      <w:r w:rsidR="00DC6CED">
        <w:rPr>
          <w:rFonts w:ascii="宋体" w:hAnsi="宋体" w:hint="eastAsia"/>
          <w:sz w:val="24"/>
          <w:szCs w:val="24"/>
        </w:rPr>
        <w:t>10</w:t>
      </w:r>
    </w:p>
    <w:p w14:paraId="217B6334" w14:textId="21B2ED9E"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联 系 人：</w:t>
      </w:r>
      <w:r w:rsidR="00DC6CED" w:rsidRPr="00DC6CED">
        <w:rPr>
          <w:rFonts w:ascii="宋体" w:hAnsi="宋体" w:hint="eastAsia"/>
          <w:sz w:val="24"/>
          <w:szCs w:val="24"/>
        </w:rPr>
        <w:t>中信银行资产托管部</w:t>
      </w:r>
    </w:p>
    <w:p w14:paraId="15997452" w14:textId="68529C0A"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联系电话：</w:t>
      </w:r>
      <w:r w:rsidR="00DC6CED" w:rsidRPr="00DC6CED">
        <w:rPr>
          <w:rFonts w:ascii="宋体" w:hAnsi="宋体"/>
          <w:sz w:val="24"/>
          <w:szCs w:val="24"/>
        </w:rPr>
        <w:t>4006800000</w:t>
      </w:r>
    </w:p>
    <w:p w14:paraId="3B102AA2" w14:textId="44391D13"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传    真：</w:t>
      </w:r>
      <w:r w:rsidR="00DC6CED">
        <w:rPr>
          <w:rFonts w:ascii="宋体" w:hAnsi="宋体" w:hint="eastAsia"/>
          <w:sz w:val="24"/>
          <w:szCs w:val="24"/>
        </w:rPr>
        <w:t>010-</w:t>
      </w:r>
      <w:r w:rsidR="00DC6CED">
        <w:rPr>
          <w:rFonts w:ascii="宋体" w:hAnsi="宋体"/>
          <w:sz w:val="24"/>
          <w:szCs w:val="24"/>
        </w:rPr>
        <w:t>65559281</w:t>
      </w:r>
    </w:p>
    <w:p w14:paraId="7E89DEC1" w14:textId="77777777" w:rsidR="00B61FF9" w:rsidRDefault="00B61FF9" w:rsidP="006643B1">
      <w:pPr>
        <w:autoSpaceDE w:val="0"/>
        <w:autoSpaceDN w:val="0"/>
        <w:adjustRightInd w:val="0"/>
        <w:spacing w:line="520" w:lineRule="atLeast"/>
        <w:rPr>
          <w:rFonts w:ascii="宋体" w:hAnsi="宋体"/>
          <w:sz w:val="24"/>
          <w:szCs w:val="24"/>
        </w:rPr>
      </w:pPr>
    </w:p>
    <w:p w14:paraId="0A339E9C" w14:textId="77777777" w:rsidR="00B61FF9" w:rsidRDefault="001B0A60" w:rsidP="006643B1">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14:paraId="795869F6" w14:textId="4902101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w:t>
      </w:r>
      <w:r w:rsidR="00B1488B" w:rsidRPr="00B1488B">
        <w:rPr>
          <w:rFonts w:hAnsi="宋体" w:hint="eastAsia"/>
          <w:szCs w:val="24"/>
        </w:rPr>
        <w:t>中欧基金管理有限公司</w:t>
      </w:r>
      <w:r>
        <w:rPr>
          <w:rFonts w:hAnsi="宋体" w:hint="eastAsia"/>
          <w:szCs w:val="24"/>
        </w:rPr>
        <w:t>系一家依照中国法律合法成立并有效存续的</w:t>
      </w:r>
      <w:r w:rsidR="00850170" w:rsidRPr="00B9229E">
        <w:rPr>
          <w:rFonts w:hAnsi="宋体" w:hint="eastAsia"/>
          <w:szCs w:val="24"/>
        </w:rPr>
        <w:t>企业</w:t>
      </w:r>
      <w:r w:rsidR="000877E6">
        <w:rPr>
          <w:rFonts w:hAnsi="宋体" w:hint="eastAsia"/>
          <w:szCs w:val="24"/>
        </w:rPr>
        <w:t>法人或其他</w:t>
      </w:r>
      <w:r w:rsidR="000877E6">
        <w:rPr>
          <w:rFonts w:hAnsi="宋体"/>
          <w:szCs w:val="24"/>
        </w:rPr>
        <w:t>组织</w:t>
      </w:r>
      <w:r>
        <w:rPr>
          <w:rFonts w:hAnsi="宋体" w:hint="eastAsia"/>
          <w:szCs w:val="24"/>
        </w:rPr>
        <w:t>，按照相关法律法规的规定具备担任基金管理人的资格和能力；</w:t>
      </w:r>
    </w:p>
    <w:p w14:paraId="4FE5F169" w14:textId="5BB9683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436B2A7A" w14:textId="31205CA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sidR="00B1488B" w:rsidRPr="00B1488B">
        <w:rPr>
          <w:rFonts w:hint="eastAsia"/>
        </w:rPr>
        <w:t xml:space="preserve"> </w:t>
      </w:r>
      <w:r w:rsidR="00B1488B" w:rsidRPr="00B1488B">
        <w:rPr>
          <w:rFonts w:hAnsi="宋体" w:hint="eastAsia"/>
          <w:szCs w:val="24"/>
        </w:rPr>
        <w:t>中欧基金管理有限公司</w:t>
      </w:r>
      <w:r>
        <w:rPr>
          <w:rFonts w:hAnsi="宋体" w:hint="eastAsia"/>
          <w:szCs w:val="24"/>
        </w:rPr>
        <w:t>拟担任</w:t>
      </w:r>
      <w:r w:rsidR="00B1488B">
        <w:rPr>
          <w:rFonts w:hAnsi="宋体" w:hint="eastAsia"/>
          <w:szCs w:val="24"/>
        </w:rPr>
        <w:t>中欧</w:t>
      </w:r>
      <w:r w:rsidR="00585020">
        <w:rPr>
          <w:rFonts w:hAnsi="宋体" w:hint="eastAsia"/>
          <w:szCs w:val="24"/>
        </w:rPr>
        <w:t>睿见</w:t>
      </w:r>
      <w:r w:rsidR="007F1DE8">
        <w:rPr>
          <w:rFonts w:hAnsi="宋体" w:hint="eastAsia"/>
          <w:szCs w:val="24"/>
        </w:rPr>
        <w:t>混合型</w:t>
      </w:r>
      <w:r>
        <w:rPr>
          <w:rFonts w:hAnsi="宋体" w:hint="eastAsia"/>
          <w:szCs w:val="24"/>
        </w:rPr>
        <w:t>证券投资基金的基金管理人，中信银行股份有限公司拟担任</w:t>
      </w:r>
      <w:r w:rsidR="00A873CF">
        <w:rPr>
          <w:rFonts w:hAnsi="宋体" w:hint="eastAsia"/>
          <w:szCs w:val="24"/>
        </w:rPr>
        <w:t>中欧</w:t>
      </w:r>
      <w:r w:rsidR="00585020">
        <w:rPr>
          <w:rFonts w:hAnsi="宋体" w:hint="eastAsia"/>
          <w:szCs w:val="24"/>
        </w:rPr>
        <w:t>睿见</w:t>
      </w:r>
      <w:r w:rsidR="007F1DE8">
        <w:rPr>
          <w:rFonts w:hAnsi="宋体" w:hint="eastAsia"/>
          <w:szCs w:val="24"/>
        </w:rPr>
        <w:t>混合型</w:t>
      </w:r>
      <w:r>
        <w:rPr>
          <w:rFonts w:hAnsi="宋体" w:hint="eastAsia"/>
          <w:szCs w:val="24"/>
        </w:rPr>
        <w:t>证券投资基金的基金托管人；</w:t>
      </w:r>
    </w:p>
    <w:p w14:paraId="774C6DCC" w14:textId="159AAEA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w:t>
      </w:r>
      <w:r w:rsidR="006117E4" w:rsidRPr="00B9229E">
        <w:rPr>
          <w:rFonts w:hAnsi="宋体" w:hint="eastAsia"/>
          <w:szCs w:val="24"/>
        </w:rPr>
        <w:t>相关法律法规和监管规定</w:t>
      </w:r>
      <w:r>
        <w:rPr>
          <w:rFonts w:hAnsi="宋体" w:hint="eastAsia"/>
          <w:szCs w:val="24"/>
        </w:rPr>
        <w:t>，双方本着平等自愿、诚实守信的原则特签订本协议。</w:t>
      </w:r>
    </w:p>
    <w:p w14:paraId="4A1D1ECD" w14:textId="77777777" w:rsidR="00B61FF9" w:rsidRDefault="001B0A60" w:rsidP="006643B1">
      <w:pPr>
        <w:pStyle w:val="20"/>
        <w:spacing w:before="0" w:after="0" w:line="520" w:lineRule="atLeast"/>
        <w:ind w:left="0" w:firstLine="541"/>
        <w:rPr>
          <w:rFonts w:hAnsi="宋体"/>
          <w:b/>
          <w:bCs/>
          <w:szCs w:val="24"/>
        </w:rPr>
      </w:pPr>
      <w:r>
        <w:rPr>
          <w:rFonts w:hAnsi="宋体" w:hint="eastAsia"/>
          <w:b/>
          <w:bCs/>
          <w:szCs w:val="24"/>
        </w:rPr>
        <w:lastRenderedPageBreak/>
        <w:t>释义：</w:t>
      </w:r>
    </w:p>
    <w:p w14:paraId="02313709" w14:textId="2A436C7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除非另有约定，《</w:t>
      </w:r>
      <w:r w:rsidR="00176023">
        <w:rPr>
          <w:rFonts w:hAnsi="宋体" w:hint="eastAsia"/>
          <w:szCs w:val="24"/>
        </w:rPr>
        <w:t>中欧</w:t>
      </w:r>
      <w:r w:rsidR="00585020">
        <w:rPr>
          <w:rFonts w:hAnsi="宋体" w:hint="eastAsia"/>
          <w:szCs w:val="24"/>
        </w:rPr>
        <w:t>睿见</w:t>
      </w:r>
      <w:r w:rsidR="007F1DE8">
        <w:rPr>
          <w:rFonts w:hAnsi="宋体" w:hint="eastAsia"/>
          <w:szCs w:val="24"/>
        </w:rPr>
        <w:t>混合型</w:t>
      </w:r>
      <w:r>
        <w:rPr>
          <w:rFonts w:hAnsi="宋体" w:hint="eastAsia"/>
          <w:szCs w:val="24"/>
        </w:rPr>
        <w:t>证券投资基金基金合同》(以下简称“基金合同”)中定义的术语在用于本托管协议时应具有相同的含义；若有抵触</w:t>
      </w:r>
      <w:r w:rsidR="00BC0D5D">
        <w:rPr>
          <w:rFonts w:hAnsi="宋体" w:hint="eastAsia"/>
          <w:szCs w:val="24"/>
        </w:rPr>
        <w:t>，</w:t>
      </w:r>
      <w:r>
        <w:rPr>
          <w:rFonts w:hAnsi="宋体" w:hint="eastAsia"/>
          <w:szCs w:val="24"/>
        </w:rPr>
        <w:t xml:space="preserve">应以基金合同为准，并依其条款解释。 </w:t>
      </w:r>
    </w:p>
    <w:p w14:paraId="77A438F6" w14:textId="194D9DF2" w:rsidR="007C7CD4" w:rsidRPr="007C7CD4" w:rsidRDefault="007C7CD4" w:rsidP="006643B1">
      <w:pPr>
        <w:pStyle w:val="20"/>
        <w:spacing w:before="0" w:after="0" w:line="520" w:lineRule="atLeast"/>
        <w:ind w:left="0" w:firstLineChars="200" w:firstLine="480"/>
        <w:rPr>
          <w:rFonts w:hAnsi="宋体"/>
          <w:szCs w:val="24"/>
        </w:rPr>
      </w:pPr>
      <w:r w:rsidRPr="007C7CD4">
        <w:rPr>
          <w:rFonts w:hAnsi="宋体" w:hint="eastAsia"/>
          <w:szCs w:val="24"/>
        </w:rPr>
        <w:t>若本基金实施侧袋机制的，侧袋机制实施期间的相关安排见基金合同和招募说明书的规定。</w:t>
      </w:r>
    </w:p>
    <w:p w14:paraId="3518F577" w14:textId="123EB22C" w:rsidR="00B61FF9" w:rsidRDefault="001B0A60" w:rsidP="006643B1">
      <w:pPr>
        <w:pStyle w:val="1"/>
        <w:spacing w:line="520" w:lineRule="atLeast"/>
        <w:ind w:firstLineChars="200" w:firstLine="482"/>
        <w:rPr>
          <w:bCs/>
          <w:color w:val="auto"/>
          <w:szCs w:val="24"/>
        </w:rPr>
      </w:pPr>
      <w:bookmarkStart w:id="16" w:name="_Toc296551337"/>
      <w:bookmarkStart w:id="17" w:name="_Toc44321724"/>
      <w:r>
        <w:rPr>
          <w:rFonts w:hint="eastAsia"/>
          <w:bCs/>
          <w:color w:val="auto"/>
          <w:szCs w:val="24"/>
        </w:rPr>
        <w:t xml:space="preserve">第一条 </w:t>
      </w:r>
      <w:r w:rsidR="00271BEE">
        <w:rPr>
          <w:rFonts w:hint="eastAsia"/>
          <w:bCs/>
          <w:color w:val="auto"/>
          <w:szCs w:val="24"/>
        </w:rPr>
        <w:t>本</w:t>
      </w:r>
      <w:r>
        <w:rPr>
          <w:rFonts w:hint="eastAsia"/>
          <w:bCs/>
          <w:color w:val="auto"/>
          <w:szCs w:val="24"/>
        </w:rPr>
        <w:t>协议当事人</w:t>
      </w:r>
      <w:bookmarkEnd w:id="16"/>
      <w:bookmarkEnd w:id="17"/>
    </w:p>
    <w:p w14:paraId="198D9B9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1.1基金管理人：</w:t>
      </w:r>
    </w:p>
    <w:p w14:paraId="6897CE85" w14:textId="6B46A9E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名称：</w:t>
      </w:r>
      <w:r w:rsidR="002E4D07" w:rsidRPr="002E4D07">
        <w:rPr>
          <w:rFonts w:hAnsi="宋体" w:hint="eastAsia"/>
          <w:szCs w:val="24"/>
        </w:rPr>
        <w:t>中欧基金管理有限公司</w:t>
      </w:r>
    </w:p>
    <w:p w14:paraId="22DAA128" w14:textId="27B64CE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住所：</w:t>
      </w:r>
      <w:r w:rsidR="002E4D07" w:rsidRPr="002E4D07">
        <w:rPr>
          <w:rFonts w:hAnsi="宋体" w:hint="eastAsia"/>
          <w:szCs w:val="24"/>
        </w:rPr>
        <w:t>中国（上海）自由贸易试验区陆家嘴环路333号5层</w:t>
      </w:r>
    </w:p>
    <w:p w14:paraId="38653108" w14:textId="7C326F5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法定代表人：</w:t>
      </w:r>
      <w:r w:rsidR="002E4D07" w:rsidRPr="002E4D07">
        <w:rPr>
          <w:rFonts w:hAnsi="宋体" w:hint="eastAsia"/>
          <w:szCs w:val="24"/>
        </w:rPr>
        <w:t>窦玉明</w:t>
      </w:r>
    </w:p>
    <w:p w14:paraId="1D16CDE9" w14:textId="1A2C810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成立时间：</w:t>
      </w:r>
      <w:r w:rsidR="002E4D07" w:rsidRPr="002E4D07">
        <w:rPr>
          <w:rFonts w:hAnsi="宋体" w:hint="eastAsia"/>
          <w:szCs w:val="24"/>
        </w:rPr>
        <w:t>2006年7月19日</w:t>
      </w:r>
      <w:r>
        <w:rPr>
          <w:rFonts w:hAnsi="宋体" w:hint="eastAsia"/>
          <w:szCs w:val="24"/>
        </w:rPr>
        <w:t xml:space="preserve"> </w:t>
      </w:r>
    </w:p>
    <w:p w14:paraId="0EE61A7F" w14:textId="4D04D0B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批准设立机关：</w:t>
      </w:r>
      <w:r w:rsidR="00EE7113" w:rsidRPr="00EE7113">
        <w:rPr>
          <w:rFonts w:hAnsi="宋体" w:hint="eastAsia"/>
          <w:szCs w:val="24"/>
        </w:rPr>
        <w:t>中国证监会</w:t>
      </w:r>
    </w:p>
    <w:p w14:paraId="2C932C1E" w14:textId="54A91B1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批准设立文号：</w:t>
      </w:r>
      <w:r w:rsidR="00EE7113" w:rsidRPr="00EE7113">
        <w:rPr>
          <w:rFonts w:hAnsi="宋体" w:hint="eastAsia"/>
          <w:szCs w:val="24"/>
        </w:rPr>
        <w:t>证监基金字[2006]102号</w:t>
      </w:r>
      <w:r>
        <w:rPr>
          <w:rFonts w:hAnsi="宋体" w:hint="eastAsia"/>
          <w:szCs w:val="24"/>
        </w:rPr>
        <w:t xml:space="preserve"> </w:t>
      </w:r>
    </w:p>
    <w:p w14:paraId="2510344C" w14:textId="3CC2783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组织形式：</w:t>
      </w:r>
      <w:r w:rsidR="00EE7113" w:rsidRPr="00EE7113">
        <w:rPr>
          <w:rFonts w:hAnsi="宋体" w:hint="eastAsia"/>
          <w:szCs w:val="24"/>
        </w:rPr>
        <w:t>有限责任公司</w:t>
      </w:r>
    </w:p>
    <w:p w14:paraId="5F3F0A7E" w14:textId="77777777" w:rsidR="00EE7113" w:rsidRDefault="001B0A60" w:rsidP="006643B1">
      <w:pPr>
        <w:pStyle w:val="20"/>
        <w:spacing w:before="0" w:after="0" w:line="520" w:lineRule="atLeast"/>
        <w:ind w:left="0" w:firstLineChars="200" w:firstLine="480"/>
        <w:rPr>
          <w:rFonts w:hAnsi="宋体"/>
          <w:szCs w:val="24"/>
        </w:rPr>
      </w:pPr>
      <w:r>
        <w:rPr>
          <w:rFonts w:hAnsi="宋体" w:hint="eastAsia"/>
          <w:szCs w:val="24"/>
        </w:rPr>
        <w:t>注册资本：</w:t>
      </w:r>
      <w:r w:rsidR="00EE7113" w:rsidRPr="00EE7113">
        <w:rPr>
          <w:rFonts w:hAnsi="宋体" w:hint="eastAsia"/>
          <w:szCs w:val="24"/>
        </w:rPr>
        <w:t>2.20亿元人民币</w:t>
      </w:r>
    </w:p>
    <w:p w14:paraId="6320839C" w14:textId="3306F6F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经营范围：</w:t>
      </w:r>
      <w:r w:rsidR="003F74DB" w:rsidRPr="003F74DB">
        <w:rPr>
          <w:rFonts w:hAnsi="宋体" w:hint="eastAsia"/>
          <w:szCs w:val="24"/>
        </w:rPr>
        <w:t>基金募集、基金销售、资产管理和经中国证监会许可的其他业务。（依法须经批准的项目，经相关部门批准后方可开展经营活动）</w:t>
      </w:r>
      <w:r>
        <w:rPr>
          <w:rFonts w:hAnsi="宋体" w:hint="eastAsia"/>
          <w:szCs w:val="24"/>
        </w:rPr>
        <w:t xml:space="preserve"> </w:t>
      </w:r>
    </w:p>
    <w:p w14:paraId="7165E37E" w14:textId="02AAC4E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存续期间：</w:t>
      </w:r>
      <w:r w:rsidR="003F74DB" w:rsidRPr="003F74DB">
        <w:rPr>
          <w:rFonts w:hAnsi="宋体" w:hint="eastAsia"/>
          <w:szCs w:val="24"/>
        </w:rPr>
        <w:t>持续经营</w:t>
      </w:r>
    </w:p>
    <w:p w14:paraId="6CD5413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1.2基金托管人：</w:t>
      </w:r>
    </w:p>
    <w:p w14:paraId="4C3409A3" w14:textId="554BC49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名称：中信银行股份有限公司</w:t>
      </w:r>
    </w:p>
    <w:p w14:paraId="03629BA5" w14:textId="095FCB7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住所：</w:t>
      </w:r>
      <w:r w:rsidR="0049007F" w:rsidRPr="0049007F">
        <w:rPr>
          <w:rFonts w:hAnsi="宋体" w:hint="eastAsia"/>
          <w:szCs w:val="24"/>
        </w:rPr>
        <w:t>北京市东城区朝阳门北大街9号</w:t>
      </w:r>
    </w:p>
    <w:p w14:paraId="78F9ABDB" w14:textId="0C1525E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法定代表人：</w:t>
      </w:r>
      <w:r w:rsidR="0049007F">
        <w:rPr>
          <w:rFonts w:hAnsi="宋体" w:hint="eastAsia"/>
          <w:szCs w:val="24"/>
        </w:rPr>
        <w:t>李</w:t>
      </w:r>
      <w:r w:rsidR="0049007F">
        <w:rPr>
          <w:rFonts w:hAnsi="宋体"/>
          <w:szCs w:val="24"/>
        </w:rPr>
        <w:t>庆萍</w:t>
      </w:r>
    </w:p>
    <w:p w14:paraId="1D42E32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成立时间：1987年4月</w:t>
      </w:r>
      <w:r>
        <w:rPr>
          <w:rFonts w:hAnsi="宋体"/>
          <w:szCs w:val="24"/>
        </w:rPr>
        <w:t>20</w:t>
      </w:r>
      <w:r>
        <w:rPr>
          <w:rFonts w:hAnsi="宋体" w:hint="eastAsia"/>
          <w:szCs w:val="24"/>
        </w:rPr>
        <w:t>日</w:t>
      </w:r>
    </w:p>
    <w:p w14:paraId="2A10122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批准设立文号：国办函[1987]14号</w:t>
      </w:r>
    </w:p>
    <w:p w14:paraId="459424C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基金托管业务批准文号：证监基金字[2004]125号</w:t>
      </w:r>
    </w:p>
    <w:p w14:paraId="5F52AC6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组织形式：股份有限公司</w:t>
      </w:r>
    </w:p>
    <w:p w14:paraId="77501349" w14:textId="77777777" w:rsidR="0035230D" w:rsidRDefault="001B0A60" w:rsidP="006643B1">
      <w:pPr>
        <w:pStyle w:val="20"/>
        <w:spacing w:before="0" w:after="0" w:line="520" w:lineRule="atLeast"/>
        <w:ind w:left="0" w:firstLineChars="200" w:firstLine="480"/>
        <w:rPr>
          <w:rFonts w:hAnsi="宋体"/>
          <w:szCs w:val="24"/>
        </w:rPr>
      </w:pPr>
      <w:r>
        <w:rPr>
          <w:rFonts w:hAnsi="宋体" w:hint="eastAsia"/>
          <w:szCs w:val="24"/>
        </w:rPr>
        <w:t>注册资本：</w:t>
      </w:r>
      <w:r w:rsidR="0035230D" w:rsidRPr="0035230D">
        <w:rPr>
          <w:rFonts w:hAnsi="宋体" w:hint="eastAsia"/>
          <w:szCs w:val="24"/>
        </w:rPr>
        <w:t>4893479.6573万元</w:t>
      </w:r>
    </w:p>
    <w:p w14:paraId="232A018F" w14:textId="7A87293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存续期间：持续经营</w:t>
      </w:r>
    </w:p>
    <w:p w14:paraId="1D8A7D14" w14:textId="3A704FD2" w:rsidR="00B61FF9" w:rsidRDefault="001B0A60" w:rsidP="006643B1">
      <w:pPr>
        <w:pStyle w:val="1"/>
        <w:spacing w:line="520" w:lineRule="atLeast"/>
        <w:ind w:firstLineChars="200" w:firstLine="482"/>
        <w:rPr>
          <w:bCs/>
          <w:color w:val="auto"/>
          <w:szCs w:val="24"/>
        </w:rPr>
      </w:pPr>
      <w:bookmarkStart w:id="18" w:name="_Toc296551338"/>
      <w:bookmarkStart w:id="19" w:name="_Toc44321725"/>
      <w:r>
        <w:rPr>
          <w:rFonts w:hint="eastAsia"/>
          <w:bCs/>
          <w:color w:val="auto"/>
          <w:szCs w:val="24"/>
        </w:rPr>
        <w:t xml:space="preserve">第二条 </w:t>
      </w:r>
      <w:r w:rsidR="00271BEE">
        <w:rPr>
          <w:rFonts w:hint="eastAsia"/>
          <w:bCs/>
          <w:color w:val="auto"/>
          <w:szCs w:val="24"/>
        </w:rPr>
        <w:t>本</w:t>
      </w:r>
      <w:r>
        <w:rPr>
          <w:rFonts w:hint="eastAsia"/>
          <w:bCs/>
          <w:color w:val="auto"/>
          <w:szCs w:val="24"/>
        </w:rPr>
        <w:t>协议的依据、目的和原则</w:t>
      </w:r>
      <w:bookmarkEnd w:id="18"/>
      <w:bookmarkEnd w:id="19"/>
    </w:p>
    <w:p w14:paraId="64ED2F98" w14:textId="4D6822A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w:t>
      </w:r>
      <w:r w:rsidR="00271BEE">
        <w:rPr>
          <w:rFonts w:hAnsi="宋体" w:hint="eastAsia"/>
          <w:szCs w:val="24"/>
        </w:rPr>
        <w:t>本</w:t>
      </w:r>
      <w:r>
        <w:rPr>
          <w:rFonts w:hAnsi="宋体" w:hint="eastAsia"/>
          <w:szCs w:val="24"/>
        </w:rPr>
        <w:t>协议的依据</w:t>
      </w:r>
    </w:p>
    <w:p w14:paraId="7A47D76C" w14:textId="1E48C5B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订立本协议的依据是《中华人民共和国证券投资基金法》（以下简称“《基金法》”）、《公开募集证券投资基金运作管理办法》（以下简称“《运作办法》”）、《</w:t>
      </w:r>
      <w:r w:rsidR="001A0528" w:rsidRPr="001A0528">
        <w:rPr>
          <w:rFonts w:hAnsi="宋体" w:hint="eastAsia"/>
          <w:szCs w:val="24"/>
        </w:rPr>
        <w:t>公开募集证券投资基金销售机构监督管理办法</w:t>
      </w:r>
      <w:r>
        <w:rPr>
          <w:rFonts w:hAnsi="宋体" w:hint="eastAsia"/>
          <w:szCs w:val="24"/>
        </w:rPr>
        <w:t>》</w:t>
      </w:r>
      <w:r w:rsidR="00786335" w:rsidRPr="00786335">
        <w:rPr>
          <w:rFonts w:hAnsi="宋体" w:hint="eastAsia"/>
          <w:szCs w:val="24"/>
        </w:rPr>
        <w:t>(以下简称“《销售办法》”)</w:t>
      </w:r>
      <w:r>
        <w:rPr>
          <w:rFonts w:hAnsi="宋体" w:hint="eastAsia"/>
          <w:szCs w:val="24"/>
        </w:rPr>
        <w:t>、《</w:t>
      </w:r>
      <w:r w:rsidR="00DE7DCF">
        <w:rPr>
          <w:rFonts w:hAnsi="宋体" w:hint="eastAsia"/>
          <w:szCs w:val="24"/>
        </w:rPr>
        <w:t>公开</w:t>
      </w:r>
      <w:r w:rsidR="00DE7DCF">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w:t>
      </w:r>
      <w:r w:rsidR="00DE7DCF">
        <w:rPr>
          <w:rFonts w:hAnsi="宋体" w:hint="eastAsia"/>
          <w:szCs w:val="24"/>
        </w:rPr>
        <w:t>、《</w:t>
      </w:r>
      <w:r w:rsidR="00A65F5A">
        <w:rPr>
          <w:rFonts w:hAnsi="宋体" w:hint="eastAsia"/>
          <w:szCs w:val="24"/>
        </w:rPr>
        <w:t>中欧</w:t>
      </w:r>
      <w:r w:rsidR="00585020">
        <w:rPr>
          <w:rFonts w:hAnsi="宋体" w:hint="eastAsia"/>
          <w:szCs w:val="24"/>
        </w:rPr>
        <w:t>睿见</w:t>
      </w:r>
      <w:r w:rsidR="007F1DE8">
        <w:rPr>
          <w:rFonts w:hAnsi="宋体" w:hint="eastAsia"/>
          <w:szCs w:val="24"/>
        </w:rPr>
        <w:t>混合型</w:t>
      </w:r>
      <w:r w:rsidR="00DE7DCF" w:rsidRPr="00DE7DCF">
        <w:rPr>
          <w:rFonts w:hAnsi="宋体" w:hint="eastAsia"/>
          <w:szCs w:val="24"/>
        </w:rPr>
        <w:t>证券投资基金基金合同》（以下简称“基金合同”）</w:t>
      </w:r>
      <w:r>
        <w:rPr>
          <w:rFonts w:hAnsi="宋体" w:hint="eastAsia"/>
          <w:szCs w:val="24"/>
        </w:rPr>
        <w:t>及其他有关规定。</w:t>
      </w:r>
    </w:p>
    <w:p w14:paraId="31203815" w14:textId="4B50C06F"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2.2</w:t>
      </w:r>
      <w:r w:rsidR="00271BEE">
        <w:rPr>
          <w:rFonts w:hAnsi="宋体" w:hint="eastAsia"/>
          <w:szCs w:val="24"/>
        </w:rPr>
        <w:t>本</w:t>
      </w:r>
      <w:r>
        <w:rPr>
          <w:rFonts w:hAnsi="宋体" w:hint="eastAsia"/>
          <w:szCs w:val="24"/>
        </w:rPr>
        <w:t>协议的目的</w:t>
      </w:r>
    </w:p>
    <w:p w14:paraId="3C143C32"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F561756" w14:textId="534140FC"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2.3</w:t>
      </w:r>
      <w:r w:rsidR="00271BEE">
        <w:rPr>
          <w:rFonts w:hAnsi="宋体" w:hint="eastAsia"/>
          <w:szCs w:val="24"/>
        </w:rPr>
        <w:t>本</w:t>
      </w:r>
      <w:r>
        <w:rPr>
          <w:rFonts w:hAnsi="宋体" w:hint="eastAsia"/>
          <w:szCs w:val="24"/>
        </w:rPr>
        <w:t>协议的原则</w:t>
      </w:r>
    </w:p>
    <w:p w14:paraId="6E4EA736" w14:textId="43D203FA"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5A71A539" w14:textId="77777777" w:rsidR="00B61FF9" w:rsidRDefault="001B0A60" w:rsidP="006643B1">
      <w:pPr>
        <w:pStyle w:val="1"/>
        <w:adjustRightInd w:val="0"/>
        <w:spacing w:line="520" w:lineRule="atLeast"/>
        <w:ind w:firstLineChars="200" w:firstLine="482"/>
        <w:rPr>
          <w:bCs/>
          <w:color w:val="auto"/>
          <w:szCs w:val="24"/>
        </w:rPr>
      </w:pPr>
      <w:bookmarkStart w:id="20" w:name="_Toc296551339"/>
      <w:bookmarkStart w:id="21" w:name="_Toc44321726"/>
      <w:r>
        <w:rPr>
          <w:rFonts w:hint="eastAsia"/>
          <w:bCs/>
          <w:color w:val="auto"/>
          <w:szCs w:val="24"/>
        </w:rPr>
        <w:t>第三条 基金托管人对基金管理人的业务监督和核查</w:t>
      </w:r>
      <w:bookmarkEnd w:id="20"/>
      <w:bookmarkEnd w:id="21"/>
    </w:p>
    <w:p w14:paraId="54DC570B"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3.1基金托管人对基金管理人的投资行为行使监督权</w:t>
      </w:r>
    </w:p>
    <w:p w14:paraId="24042AF2"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3.1.1基金托管人根据有关法律法规的规定和基金合同的约定，对下述基金投资范围、投资对象进行监督。本基金将投资于以下金融工具：</w:t>
      </w:r>
    </w:p>
    <w:p w14:paraId="75AA8B63" w14:textId="28540D14" w:rsidR="001B0A60" w:rsidRPr="002771AB" w:rsidRDefault="007B0DCD" w:rsidP="006643B1">
      <w:pPr>
        <w:adjustRightInd w:val="0"/>
        <w:snapToGrid w:val="0"/>
        <w:spacing w:line="520" w:lineRule="atLeast"/>
        <w:ind w:firstLine="480"/>
        <w:rPr>
          <w:rFonts w:ascii="宋体" w:hAnsi="宋体"/>
          <w:sz w:val="24"/>
          <w:szCs w:val="24"/>
        </w:rPr>
      </w:pPr>
      <w:r w:rsidRPr="007B0DCD">
        <w:rPr>
          <w:rFonts w:ascii="宋体" w:hAnsi="宋体" w:hint="eastAsia"/>
          <w:sz w:val="24"/>
          <w:szCs w:val="24"/>
        </w:rPr>
        <w:t>本基金的投资范围包括具有良好流动性的金融工具，包括：</w:t>
      </w:r>
      <w:r w:rsidR="001B0A60" w:rsidRPr="002771AB">
        <w:rPr>
          <w:rFonts w:ascii="宋体" w:hAnsi="宋体" w:hint="eastAsia"/>
          <w:sz w:val="24"/>
          <w:szCs w:val="24"/>
        </w:rPr>
        <w:t xml:space="preserve">                                                              </w:t>
      </w:r>
    </w:p>
    <w:p w14:paraId="1870F2D5" w14:textId="5FA8C93A" w:rsidR="002014F0" w:rsidRPr="002014F0" w:rsidRDefault="002014F0" w:rsidP="002014F0">
      <w:pPr>
        <w:spacing w:line="520" w:lineRule="atLeast"/>
        <w:ind w:firstLine="480"/>
        <w:rPr>
          <w:rFonts w:ascii="宋体" w:hAnsi="宋体"/>
          <w:sz w:val="24"/>
          <w:szCs w:val="24"/>
        </w:rPr>
      </w:pPr>
      <w:r w:rsidRPr="002014F0">
        <w:rPr>
          <w:rFonts w:ascii="宋体" w:hAnsi="宋体" w:hint="eastAsia"/>
          <w:sz w:val="24"/>
          <w:szCs w:val="24"/>
        </w:rPr>
        <w:t>国内依法发行上市的股票（包括中小板、创业板以及其他经中国证监会允许发行上市的股票）、港股通标的股票、债券（包括国债、地方政府债、政府支持机构债、金融债、企业债、公司债、央行票据、中期票据、短期融资券、超短期融资券、可转换债券、可交换债券、公开发行的次级债、分离交易可转债的纯债部分等）、资产支持证券、债券回购、银行存款、同业存单、现金、衍生工具（包括国债期货、股指期货、股票期权）、信用衍生品以及法律法规或中国证监会允许基金投资的其</w:t>
      </w:r>
      <w:r w:rsidRPr="002014F0">
        <w:rPr>
          <w:rFonts w:ascii="宋体" w:hAnsi="宋体" w:hint="eastAsia"/>
          <w:sz w:val="24"/>
          <w:szCs w:val="24"/>
        </w:rPr>
        <w:lastRenderedPageBreak/>
        <w:t>他金融工具（但须符合中国证监会的相关规定）。</w:t>
      </w:r>
    </w:p>
    <w:p w14:paraId="40209CC9" w14:textId="77777777" w:rsidR="002014F0" w:rsidRPr="002014F0" w:rsidRDefault="002014F0" w:rsidP="002014F0">
      <w:pPr>
        <w:spacing w:line="520" w:lineRule="atLeast"/>
        <w:ind w:firstLine="480"/>
        <w:rPr>
          <w:rFonts w:ascii="宋体" w:hAnsi="宋体"/>
          <w:sz w:val="24"/>
          <w:szCs w:val="24"/>
        </w:rPr>
      </w:pPr>
      <w:r w:rsidRPr="002014F0">
        <w:rPr>
          <w:rFonts w:ascii="宋体" w:hAnsi="宋体" w:hint="eastAsia"/>
          <w:sz w:val="24"/>
          <w:szCs w:val="24"/>
        </w:rPr>
        <w:t>本基金可以参与融资业务。</w:t>
      </w:r>
    </w:p>
    <w:p w14:paraId="154F31D2" w14:textId="5A32DABC" w:rsidR="001B0A60" w:rsidRPr="009F038B" w:rsidRDefault="002014F0" w:rsidP="002014F0">
      <w:pPr>
        <w:spacing w:line="520" w:lineRule="atLeast"/>
        <w:ind w:firstLine="480"/>
        <w:rPr>
          <w:rFonts w:ascii="宋体" w:hAnsi="宋体"/>
          <w:sz w:val="24"/>
          <w:szCs w:val="24"/>
        </w:rPr>
      </w:pPr>
      <w:r w:rsidRPr="002014F0">
        <w:rPr>
          <w:rFonts w:ascii="宋体" w:hAnsi="宋体" w:hint="eastAsia"/>
          <w:sz w:val="24"/>
          <w:szCs w:val="24"/>
        </w:rPr>
        <w:t>如法律法规或监管机构以后允许基金投资其他品种，基金管理人在履行适当程序后，可以将其纳入投资范围。</w:t>
      </w:r>
    </w:p>
    <w:p w14:paraId="1A3705E1" w14:textId="77777777" w:rsidR="001B0A60" w:rsidRPr="007451E3" w:rsidRDefault="001B0A60" w:rsidP="006643B1">
      <w:pPr>
        <w:spacing w:line="520" w:lineRule="atLeast"/>
        <w:ind w:firstLine="480"/>
        <w:rPr>
          <w:rFonts w:ascii="宋体" w:hAnsi="宋体"/>
          <w:sz w:val="24"/>
          <w:szCs w:val="24"/>
        </w:rPr>
      </w:pPr>
      <w:r w:rsidRPr="007451E3">
        <w:rPr>
          <w:rFonts w:ascii="宋体" w:hAnsi="宋体" w:hint="eastAsia"/>
          <w:sz w:val="24"/>
          <w:szCs w:val="24"/>
        </w:rPr>
        <w:t>本基金各类资产的投资比例范围为：</w:t>
      </w:r>
    </w:p>
    <w:p w14:paraId="5104F5A1" w14:textId="67848A44" w:rsidR="00B61FF9" w:rsidRPr="002771AB" w:rsidRDefault="002014F0" w:rsidP="006643B1">
      <w:pPr>
        <w:spacing w:line="520" w:lineRule="atLeast"/>
        <w:ind w:firstLine="480"/>
        <w:rPr>
          <w:rFonts w:ascii="宋体" w:hAnsi="宋体"/>
          <w:sz w:val="24"/>
          <w:szCs w:val="24"/>
        </w:rPr>
      </w:pPr>
      <w:r w:rsidRPr="002014F0">
        <w:rPr>
          <w:rFonts w:ascii="宋体" w:hAnsi="宋体" w:hint="eastAsia"/>
          <w:sz w:val="24"/>
          <w:szCs w:val="24"/>
        </w:rPr>
        <w:t>本基金投资组合中股票投资比例为基金资产的60%-95%，港股通标的股票投资比例不超过全部股票资产的50%；每个交易日日终在扣除股指期货、国债期货和股票期权合约需缴纳的交易保证金后，保持现金（不包括结算备付金、存出保证金、应收申购款等）或者到期日在一年以内的政府债券投资比例合计不低于基金资产净值的5%。如果法律法规或中国证监会变更投资品种的投资比例限制，基金管理人在履行适当程序后，可以调整上述投资品种的投资比例。</w:t>
      </w:r>
      <w:r w:rsidR="001B0A60" w:rsidRPr="009F038B">
        <w:rPr>
          <w:rFonts w:ascii="宋体" w:hAnsi="宋体"/>
          <w:sz w:val="24"/>
          <w:szCs w:val="24"/>
        </w:rPr>
        <w:t xml:space="preserve">                                                                                                                             </w:t>
      </w:r>
    </w:p>
    <w:p w14:paraId="615A5EA5" w14:textId="740C8B18" w:rsidR="00130C38" w:rsidRPr="00130C38" w:rsidRDefault="00130C38" w:rsidP="006643B1">
      <w:pPr>
        <w:spacing w:line="520" w:lineRule="atLeast"/>
        <w:jc w:val="left"/>
        <w:rPr>
          <w:rFonts w:ascii="宋体" w:hAnsi="宋体"/>
          <w:sz w:val="24"/>
        </w:rPr>
      </w:pPr>
      <w:r>
        <w:rPr>
          <w:rFonts w:ascii="宋体" w:hAnsi="宋体" w:hint="eastAsia"/>
          <w:sz w:val="24"/>
        </w:rPr>
        <w:t xml:space="preserve">    </w:t>
      </w:r>
      <w:r w:rsidR="001B0A60" w:rsidRPr="00130C38">
        <w:rPr>
          <w:rFonts w:ascii="宋体" w:hAnsi="宋体" w:hint="eastAsia"/>
          <w:sz w:val="24"/>
        </w:rPr>
        <w:t>3.1.2基金托管人根据有关法律法规的规定及基金合同的约定对下述基金投</w:t>
      </w:r>
      <w:r w:rsidR="000559C3" w:rsidRPr="00130C38">
        <w:rPr>
          <w:rFonts w:ascii="宋体" w:hAnsi="宋体" w:hint="eastAsia"/>
          <w:sz w:val="24"/>
        </w:rPr>
        <w:t>融</w:t>
      </w:r>
      <w:r w:rsidR="001B0A60" w:rsidRPr="00130C38">
        <w:rPr>
          <w:rFonts w:ascii="宋体" w:hAnsi="宋体" w:hint="eastAsia"/>
          <w:sz w:val="24"/>
        </w:rPr>
        <w:t>资比例进行监督：</w:t>
      </w:r>
      <w:r w:rsidR="007B0DCD" w:rsidRPr="00130C38">
        <w:rPr>
          <w:rFonts w:ascii="宋体" w:hAnsi="宋体" w:hint="eastAsia"/>
          <w:sz w:val="24"/>
        </w:rPr>
        <w:t xml:space="preserve">    </w:t>
      </w:r>
    </w:p>
    <w:p w14:paraId="3F5BE9E3" w14:textId="58943D66"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（1）股票资产占基金资产的比例范围为60%-95%，其中，投资于港股通标的股票不超过股票资产的50%；</w:t>
      </w:r>
    </w:p>
    <w:p w14:paraId="44287418"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2）每个交易日日终，在扣除股指期货、国债期货和股票期权合约需缴纳的交易保证金后，保持现金（不包括结算备付金、存出保证金、应收申购款等）或者到期日在一年以内的政府债券投资比例合计不低于基金资产净值的5%；</w:t>
      </w:r>
    </w:p>
    <w:p w14:paraId="5EFA9342"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（3）本基金持有一家公司发行的证券，其市值（同一家公司在境内和香港同时上市的A+H股合计计算）不超过基金资产净值的10％；</w:t>
      </w:r>
    </w:p>
    <w:p w14:paraId="4DF04350"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4）本基金管理人管理的全部基金持有一家公司发行的证券（同一家公司在境内和香港同时上市的A+H股合计计算），不超过该证券的10％，完全按照有关指数的构成比例进行证券投资的基金品种可以不受此条款规定的比例限制；</w:t>
      </w:r>
    </w:p>
    <w:p w14:paraId="155322F7"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（5）本基金投资于同一原始权益人的各类资产支持证券的比例，不得超过基金资产净值的10％；</w:t>
      </w:r>
    </w:p>
    <w:p w14:paraId="31711B79"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（6）本基金持有的全部资产支持证券，其市值不得超过基金资产净值的20％；</w:t>
      </w:r>
    </w:p>
    <w:p w14:paraId="5B37BE35"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（7）本基金持有的同一(指同一信用级别)资产支持证券的比例，不得超过该资产支持证券规模的10％；</w:t>
      </w:r>
    </w:p>
    <w:p w14:paraId="0488DB83"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lastRenderedPageBreak/>
        <w:t>（8）本基金管理人管理的全部基金投资于同一原始权益人的各类资产支持证券，不得超过其各类资产支持证券合计规模的10％；</w:t>
      </w:r>
    </w:p>
    <w:p w14:paraId="1159E56B"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40C2EF85"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（10）基金财产参与股票发行申购，本基金所申报的金额不超过本基金的总资产，本基金所申报的股票数量不超过拟发行股票公司本次发行股票的总量；</w:t>
      </w:r>
    </w:p>
    <w:p w14:paraId="116B9D42"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（11）本基金进入全国银行间同业市场进行债券回购的资金余额不得超过基金资产净值的40%，进入全国银行间同业市场进行债券回购的最长期限为1年，债券回购到期后不得展期；</w:t>
      </w:r>
    </w:p>
    <w:p w14:paraId="687C9B94"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（12）本基金不得持有信用保护卖方属性的信用衍生品，持有的信用衍生品的名义本金不得超过本基金对应受保护债券面值的100%；</w:t>
      </w:r>
    </w:p>
    <w:p w14:paraId="0F697C39"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（13）本基金投资于同一信用保护卖方的各类信用衍生品的名义本金合计不得超过基金资产净值的10%。</w:t>
      </w:r>
    </w:p>
    <w:p w14:paraId="5CCF490F"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因证券、期货市场波动、证券发行人合并、基金规模变动等基金管理人之外的因素致使基金不符合前述（12）、（13）所规定比例限制的，基金管理人应在3个月之内进行调整；</w:t>
      </w:r>
    </w:p>
    <w:p w14:paraId="1732A0B0"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0C4B4A6B"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F72B37A" w14:textId="1F06C171"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（16）本基金与私募类证券资管产品及中国证监会认定的其他主体为交易对手开展逆回购交易的，可接受质押品的资质要求应当与基金合同约定的投资范围保持一致；</w:t>
      </w:r>
    </w:p>
    <w:p w14:paraId="2E5C2989"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lastRenderedPageBreak/>
        <w:t>（17）本基金若参与国债期货、股指期货交易的，需遵守下列投资比例限制：</w:t>
      </w:r>
    </w:p>
    <w:p w14:paraId="20B23AEC"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1）本基金在任何交易日日终，持有的买入股指期货合约价值，不得超过基金资产净值的10%；</w:t>
      </w:r>
    </w:p>
    <w:p w14:paraId="708B3484"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2）本基金在任何交易日日终，持有的买入国债期货合约价值，不得超过基金资产净值的15%；</w:t>
      </w:r>
    </w:p>
    <w:p w14:paraId="276AA26B"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3）本基金在任何交易日日终，持有的卖出股指期货合约价值不得超过基金持有的股票总市值的20%；</w:t>
      </w:r>
    </w:p>
    <w:p w14:paraId="40E59D17"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4）本基金在任何交易日日终，持有的卖出国债期货合约价值不得超过基金持有的债券总市值的30%；</w:t>
      </w:r>
    </w:p>
    <w:p w14:paraId="43C85A5D"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5）本基金在任何交易日内交易（不包括平仓）的股指期货合约的成交金额不得超过上一交易日基金资产净值的20%；</w:t>
      </w:r>
    </w:p>
    <w:p w14:paraId="783F87E9"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6）本基金在任何交易日内交易（不包括平仓）的国债期货合约的成交金额不得超过上一交易日基金资产净值的30%；</w:t>
      </w:r>
    </w:p>
    <w:p w14:paraId="384DE597"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7）本基金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1F6D93B8"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8）本基金所持有的股票市值和买入、卖出股指期货合约价值，合计（轧差计算）应当符合基金合同关于股票投资比例的有关约定；</w:t>
      </w:r>
    </w:p>
    <w:p w14:paraId="49C8C6B8"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（18）本基金若参与股票期权交易的，需遵守下列投资比例限制：</w:t>
      </w:r>
    </w:p>
    <w:p w14:paraId="367C689F"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1）本基金因未平仓的期权合约支付和收取的权利金总额不得超过基金资产净值的10%；</w:t>
      </w:r>
    </w:p>
    <w:p w14:paraId="5DC66531"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2）本基金开仓卖出认购期权的，应持有足额标的证券；开仓卖出认沽期权的，应持有合约行权所需的全额现金或交易所规则认可的可冲抵期权保证金的现金等价物；</w:t>
      </w:r>
    </w:p>
    <w:p w14:paraId="1F24E2F1"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3）本基金未平仓的期权合约面值不得超过基金资产净值的20%。其中，合约面值按照行权价乘以合约乘数计算；</w:t>
      </w:r>
    </w:p>
    <w:p w14:paraId="6522FEBB"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（19）本基金参与融资的，每个交易日日终，本基金持有的融资买入股票与其</w:t>
      </w:r>
      <w:r w:rsidRPr="007C4C14">
        <w:rPr>
          <w:rFonts w:ascii="宋体" w:hAnsi="宋体" w:hint="eastAsia"/>
          <w:sz w:val="24"/>
        </w:rPr>
        <w:lastRenderedPageBreak/>
        <w:t>他有价证券市值之和，不得超过基金资产净值的95%；</w:t>
      </w:r>
    </w:p>
    <w:p w14:paraId="0A933B35"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（20）本基金资产总值不超过基金资产净值的140%；</w:t>
      </w:r>
    </w:p>
    <w:p w14:paraId="4D53099D"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（21）法律法规及中国证监会规定的和《基金合同》约定的其他投资限制。</w:t>
      </w:r>
    </w:p>
    <w:p w14:paraId="05A4B011" w14:textId="77777777"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除上述（2）、（9）、（12）、（13）、（15）、（16）情形之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1A034276" w14:textId="231738A5" w:rsidR="007C4C14" w:rsidRPr="007C4C14" w:rsidRDefault="007C4C14" w:rsidP="007C4C14">
      <w:pPr>
        <w:spacing w:line="520" w:lineRule="atLeast"/>
        <w:ind w:firstLine="480"/>
        <w:rPr>
          <w:rFonts w:ascii="宋体" w:hAnsi="宋体"/>
          <w:sz w:val="24"/>
        </w:rPr>
      </w:pPr>
      <w:r w:rsidRPr="007C4C14">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80BBFB6" w14:textId="0A196AE2" w:rsidR="00B61FF9" w:rsidRPr="007C4C14" w:rsidRDefault="007C4C14" w:rsidP="007C4C14">
      <w:pPr>
        <w:spacing w:line="520" w:lineRule="atLeast"/>
        <w:ind w:firstLine="480"/>
        <w:rPr>
          <w:rFonts w:ascii="宋体" w:hAnsi="宋体"/>
          <w:sz w:val="24"/>
        </w:rPr>
      </w:pPr>
      <w:r w:rsidRPr="007C4C14">
        <w:rPr>
          <w:rFonts w:ascii="宋体" w:hAnsi="宋体" w:hint="eastAsia"/>
          <w:sz w:val="24"/>
        </w:rPr>
        <w:t>法律法规或监管部门取消或调整上述限制，如适用于本基金，基金管理人在履行适当程序后，则本基金投资不再受相关限制或按照调整后的规定执行。</w:t>
      </w:r>
    </w:p>
    <w:p w14:paraId="65C673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0941FDB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根据法律法规的规定及基金合同的约定，本基金禁止从事下列行为：</w:t>
      </w:r>
    </w:p>
    <w:p w14:paraId="43AECD17"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（1）承销证券；</w:t>
      </w:r>
    </w:p>
    <w:p w14:paraId="23FEB802"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（2）违反规定向他人贷款或者提供担保；</w:t>
      </w:r>
    </w:p>
    <w:p w14:paraId="7DE5F798"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（3）从事承担无限责任的投资；</w:t>
      </w:r>
    </w:p>
    <w:p w14:paraId="7A587E5F"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（4）买卖其他基金份额，但法律法规或中国证监会另有规定的除外；</w:t>
      </w:r>
    </w:p>
    <w:p w14:paraId="2FF501F7"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（5）向其基金管理人、基金托管人出资；</w:t>
      </w:r>
    </w:p>
    <w:p w14:paraId="65593985"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（6）从事内幕交易、操纵证券交易价格及其他不正当的证券交易活动；</w:t>
      </w:r>
    </w:p>
    <w:p w14:paraId="4E358909" w14:textId="55A4BCF4" w:rsidR="00B61FF9" w:rsidRDefault="001B0A60" w:rsidP="00F55F8F">
      <w:pPr>
        <w:pStyle w:val="20"/>
        <w:adjustRightInd w:val="0"/>
        <w:snapToGrid w:val="0"/>
        <w:spacing w:before="0" w:after="0" w:line="520" w:lineRule="atLeast"/>
        <w:ind w:left="0" w:firstLineChars="200" w:firstLine="480"/>
        <w:rPr>
          <w:rFonts w:hAnsi="宋体"/>
        </w:rPr>
      </w:pPr>
      <w:r>
        <w:rPr>
          <w:rFonts w:hAnsi="宋体" w:hint="eastAsia"/>
          <w:szCs w:val="24"/>
        </w:rPr>
        <w:t>（7）法律、行政法规和中国证监会规定禁止的其他活动。</w:t>
      </w:r>
    </w:p>
    <w:p w14:paraId="76D70D9C" w14:textId="6431ACAF"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法律</w:t>
      </w:r>
      <w:r w:rsidR="00B42635" w:rsidRPr="00B42635">
        <w:rPr>
          <w:rFonts w:hAnsi="宋体" w:hint="eastAsia"/>
          <w:szCs w:val="24"/>
        </w:rPr>
        <w:t>、行政</w:t>
      </w:r>
      <w:r>
        <w:rPr>
          <w:rFonts w:hAnsi="宋体" w:hint="eastAsia"/>
          <w:szCs w:val="24"/>
        </w:rPr>
        <w:t>法规或监管部门取消或变更上述禁止性规定，如适用于本基金，基金管理人在履行适当程序后，可不受上述规定的限制或按变更后的规定执行。</w:t>
      </w:r>
    </w:p>
    <w:p w14:paraId="333216B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14:paraId="5EDBD7C2" w14:textId="613BEE03" w:rsidR="00F55F8F" w:rsidRDefault="00F55F8F" w:rsidP="006643B1">
      <w:pPr>
        <w:pStyle w:val="20"/>
        <w:spacing w:before="0" w:after="0" w:line="520" w:lineRule="atLeast"/>
        <w:ind w:left="0" w:firstLineChars="200" w:firstLine="480"/>
        <w:rPr>
          <w:rFonts w:hAnsi="宋体"/>
          <w:szCs w:val="24"/>
        </w:rPr>
      </w:pPr>
      <w:r w:rsidRPr="00F55F8F">
        <w:rPr>
          <w:rFonts w:hAnsi="宋体" w:hint="eastAsia"/>
          <w:szCs w:val="24"/>
        </w:rPr>
        <w:t>基金管理人运用基金财产买卖基金管理人、基金托管人及其控股股东、实际控制人或者与其有重大利害关系的公司发行的证券或者承销期内承销的证券，或者从</w:t>
      </w:r>
      <w:r w:rsidRPr="00F55F8F">
        <w:rPr>
          <w:rFonts w:hAnsi="宋体" w:hint="eastAsia"/>
          <w:szCs w:val="24"/>
        </w:rPr>
        <w:lastRenderedPageBreak/>
        <w:t>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39EBD8E" w14:textId="3E1068A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w:t>
      </w:r>
      <w:r w:rsidR="000877E6">
        <w:rPr>
          <w:rFonts w:hAnsi="宋体" w:hint="eastAsia"/>
          <w:szCs w:val="24"/>
        </w:rPr>
        <w:t>相互</w:t>
      </w:r>
      <w:r>
        <w:rPr>
          <w:rFonts w:hAnsi="宋体" w:hint="eastAsia"/>
          <w:szCs w:val="24"/>
        </w:rPr>
        <w:t>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14:paraId="1BDABE37" w14:textId="77777777" w:rsidR="00AB08D8" w:rsidRDefault="00AB08D8" w:rsidP="006643B1">
      <w:pPr>
        <w:pStyle w:val="20"/>
        <w:spacing w:before="0" w:after="0" w:line="520" w:lineRule="atLeast"/>
        <w:ind w:left="0" w:firstLineChars="200" w:firstLine="480"/>
        <w:rPr>
          <w:rFonts w:hAnsi="宋体"/>
          <w:szCs w:val="24"/>
        </w:rPr>
      </w:pPr>
      <w:r w:rsidRPr="00AB08D8">
        <w:rPr>
          <w:rFonts w:hAnsi="宋体" w:hint="eastAsia"/>
          <w:szCs w:val="24"/>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31BFFE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2D8D8947" w14:textId="2BF1B28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w:t>
      </w:r>
      <w:r w:rsidR="0088782C" w:rsidRPr="0088782C">
        <w:rPr>
          <w:rFonts w:hAnsi="宋体" w:hint="eastAsia"/>
          <w:szCs w:val="24"/>
        </w:rPr>
        <w:t>基金托管人对于基金管理人参与银行间债券市场交易时是否按交易对手名单进行交易进行监督</w:t>
      </w:r>
      <w:r>
        <w:rPr>
          <w:rFonts w:hAnsi="宋体" w:hint="eastAsia"/>
          <w:szCs w:val="24"/>
        </w:rPr>
        <w:t>。</w:t>
      </w:r>
    </w:p>
    <w:p w14:paraId="29D846A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w:t>
      </w:r>
      <w:r>
        <w:rPr>
          <w:rFonts w:hAnsi="宋体" w:hint="eastAsia"/>
          <w:szCs w:val="24"/>
        </w:rPr>
        <w:lastRenderedPageBreak/>
        <w:t>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91C4B8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7D8ACE2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（2）基金托管人对于基金管理人参与银行间债券市场交易的交易方式的控制</w:t>
      </w:r>
    </w:p>
    <w:p w14:paraId="511403B6" w14:textId="2CE36C7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07DF5109" w14:textId="599917C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（3）基金管理人有责任控制交易对手的资信风险</w:t>
      </w:r>
      <w:r w:rsidR="00541A7B">
        <w:rPr>
          <w:rFonts w:hAnsi="宋体" w:hint="eastAsia"/>
          <w:szCs w:val="24"/>
        </w:rPr>
        <w:t>。</w:t>
      </w:r>
    </w:p>
    <w:p w14:paraId="1D3479AC" w14:textId="61321D75" w:rsidR="00B61FF9" w:rsidRDefault="000877E6" w:rsidP="006643B1">
      <w:pPr>
        <w:pStyle w:val="20"/>
        <w:spacing w:before="0" w:after="0" w:line="520" w:lineRule="atLeast"/>
        <w:ind w:left="0" w:firstLineChars="200" w:firstLine="480"/>
        <w:rPr>
          <w:rFonts w:hAnsi="宋体"/>
          <w:szCs w:val="24"/>
        </w:rPr>
      </w:pPr>
      <w:r>
        <w:rPr>
          <w:rFonts w:hAnsi="宋体" w:hint="eastAsia"/>
          <w:szCs w:val="24"/>
        </w:rPr>
        <w:t>基金</w:t>
      </w:r>
      <w:r>
        <w:rPr>
          <w:rFonts w:hAnsi="宋体"/>
          <w:szCs w:val="24"/>
        </w:rPr>
        <w:t>管理人</w:t>
      </w:r>
      <w:r w:rsidR="001B0A60">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14:paraId="012C863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3.1.6基金托管人对基金投资流通受限证券的监督：</w:t>
      </w:r>
    </w:p>
    <w:p w14:paraId="2424BCF3" w14:textId="0634307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（1）基金投资流通受限证券，应遵守有关法律法规规定。流通受限证券</w:t>
      </w:r>
      <w:r w:rsidR="00441A0E" w:rsidRPr="002041DF">
        <w:rPr>
          <w:rFonts w:hAnsi="宋体" w:hint="eastAsia"/>
          <w:szCs w:val="24"/>
        </w:rPr>
        <w:t>与上文所述的流动性受限资产并不完全一致</w:t>
      </w:r>
      <w:r w:rsidR="00441A0E">
        <w:rPr>
          <w:rFonts w:hAnsi="宋体" w:hint="eastAsia"/>
          <w:szCs w:val="24"/>
        </w:rPr>
        <w:t>，</w:t>
      </w:r>
      <w:r>
        <w:rPr>
          <w:rFonts w:hAnsi="宋体" w:hint="eastAsia"/>
          <w:szCs w:val="24"/>
        </w:rPr>
        <w:t>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3071842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（2）基金管理人应在基金首次投资流通受限证券前，向基金托管人提供经基金管理人董事会批准的有关基金投资流通受限证券的投资决策流程、风险控制制度。</w:t>
      </w:r>
      <w:r w:rsidR="00922C37" w:rsidRPr="00922C37">
        <w:rPr>
          <w:rFonts w:hAnsi="宋体" w:hint="eastAsia"/>
          <w:szCs w:val="24"/>
        </w:rPr>
        <w:t>基金投资非公开发行股票，基金管理人还应提供基金管理人董事会批准的流动性风险处置预案。</w:t>
      </w:r>
      <w:r>
        <w:rPr>
          <w:rFonts w:hAnsi="宋体" w:hint="eastAsia"/>
          <w:szCs w:val="24"/>
        </w:rPr>
        <w:t>上述资料应包括但不限于基金投资流通受限证券的投资额度和投资比例控制情况。</w:t>
      </w:r>
    </w:p>
    <w:p w14:paraId="0DE6C0C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基金管理人应至少于首次执行投资指令之前2个工作日将上述资料书面发至基金托管人，保证基金托管人有足够的时间进行审核。基金托管人应在收到上述资料后2个工作日内，以书面或其他双方认可的方式确认收到上述资料。</w:t>
      </w:r>
    </w:p>
    <w:p w14:paraId="687DE81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413CD9F6" w14:textId="0286B63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（4）基金托管人应对基金管理人是否遵守法律法规、投资决策流程、风险控制制度情况进行监督，并审核基金管理人提供的有关书面信息。基金托管人认为上述资料</w:t>
      </w:r>
      <w:r w:rsidR="000E69F8" w:rsidRPr="000E69F8">
        <w:rPr>
          <w:rFonts w:hAnsi="宋体" w:hint="eastAsia"/>
          <w:szCs w:val="24"/>
        </w:rPr>
        <w:t>不符合法律法规、投资决策流程、风险控制制度</w:t>
      </w:r>
      <w:r>
        <w:rPr>
          <w:rFonts w:hAnsi="宋体" w:hint="eastAsia"/>
          <w:szCs w:val="24"/>
        </w:rPr>
        <w:t>的，有权要求基金管理人在投资流通受限证券前</w:t>
      </w:r>
      <w:r w:rsidR="000E69F8" w:rsidRPr="000E69F8">
        <w:rPr>
          <w:rFonts w:hAnsi="宋体" w:hint="eastAsia"/>
          <w:szCs w:val="24"/>
        </w:rPr>
        <w:t>就以上事项进行调整</w:t>
      </w:r>
      <w:r>
        <w:rPr>
          <w:rFonts w:hAnsi="宋体" w:hint="eastAsia"/>
          <w:szCs w:val="24"/>
        </w:rPr>
        <w:t>，否则，基金托管人有权拒绝执行有关指令。因拒绝执行该指令造成基金财产损失的，基金托管人不承担任何责任，并有权报告中国证监会。</w:t>
      </w:r>
    </w:p>
    <w:p w14:paraId="5682853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683E4AF3" w14:textId="77777777" w:rsidR="00922C37" w:rsidRPr="00922C37" w:rsidRDefault="00922C37" w:rsidP="006643B1">
      <w:pPr>
        <w:pStyle w:val="20"/>
        <w:spacing w:before="0" w:after="0" w:line="520" w:lineRule="atLeast"/>
        <w:rPr>
          <w:rFonts w:hAnsi="宋体"/>
          <w:szCs w:val="24"/>
        </w:rPr>
      </w:pPr>
      <w:r w:rsidRPr="00922C37">
        <w:rPr>
          <w:rFonts w:hAnsi="宋体" w:hint="eastAsia"/>
          <w:szCs w:val="24"/>
        </w:rPr>
        <w:t>3.1.</w:t>
      </w:r>
      <w:r>
        <w:rPr>
          <w:rFonts w:hAnsi="宋体"/>
          <w:szCs w:val="24"/>
        </w:rPr>
        <w:t>7</w:t>
      </w:r>
      <w:r w:rsidRPr="00922C37">
        <w:rPr>
          <w:rFonts w:hAnsi="宋体" w:hint="eastAsia"/>
          <w:szCs w:val="24"/>
        </w:rPr>
        <w:t>基金托管人对基金投资中期票据的监督：</w:t>
      </w:r>
    </w:p>
    <w:p w14:paraId="38CE4BA8" w14:textId="77777777" w:rsidR="00922C37" w:rsidRPr="00922C37" w:rsidRDefault="00922C37" w:rsidP="006643B1">
      <w:pPr>
        <w:pStyle w:val="20"/>
        <w:spacing w:before="0" w:after="0" w:line="520" w:lineRule="atLeast"/>
        <w:ind w:left="0" w:firstLineChars="200" w:firstLine="480"/>
        <w:rPr>
          <w:rFonts w:hAnsi="宋体"/>
          <w:szCs w:val="24"/>
        </w:rPr>
      </w:pPr>
      <w:r w:rsidRPr="00922C37">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393DC7" w14:textId="5AA10E7C" w:rsidR="00922C37" w:rsidRPr="00922C37" w:rsidRDefault="00922C37" w:rsidP="006643B1">
      <w:pPr>
        <w:pStyle w:val="20"/>
        <w:spacing w:before="0" w:after="0" w:line="520" w:lineRule="atLeast"/>
        <w:ind w:left="0" w:firstLineChars="200" w:firstLine="480"/>
        <w:rPr>
          <w:rFonts w:hAnsi="宋体"/>
          <w:szCs w:val="24"/>
        </w:rPr>
      </w:pPr>
      <w:r w:rsidRPr="00922C37">
        <w:rPr>
          <w:rFonts w:hAnsi="宋体" w:hint="eastAsia"/>
          <w:szCs w:val="24"/>
        </w:rPr>
        <w:t>（2）如未来有关监管部门发布的法律法规对证券投资基金投资中期票据另有规定的，从其</w:t>
      </w:r>
      <w:r w:rsidR="00B77FC9">
        <w:rPr>
          <w:rFonts w:hAnsi="宋体" w:hint="eastAsia"/>
          <w:szCs w:val="24"/>
        </w:rPr>
        <w:t>规定</w:t>
      </w:r>
      <w:r w:rsidRPr="00922C37">
        <w:rPr>
          <w:rFonts w:hAnsi="宋体" w:hint="eastAsia"/>
          <w:szCs w:val="24"/>
        </w:rPr>
        <w:t>。</w:t>
      </w:r>
    </w:p>
    <w:p w14:paraId="7803DBA6" w14:textId="21954BB1" w:rsidR="00922C37" w:rsidRDefault="00922C37" w:rsidP="006643B1">
      <w:pPr>
        <w:pStyle w:val="20"/>
        <w:spacing w:before="0" w:after="0" w:line="520" w:lineRule="atLeast"/>
        <w:ind w:left="0" w:firstLineChars="200" w:firstLine="480"/>
        <w:rPr>
          <w:rFonts w:hAnsi="宋体"/>
          <w:szCs w:val="24"/>
        </w:rPr>
      </w:pPr>
      <w:r w:rsidRPr="00922C37">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w:t>
      </w:r>
      <w:r w:rsidR="000877E6">
        <w:rPr>
          <w:rFonts w:hAnsi="宋体" w:hint="eastAsia"/>
          <w:szCs w:val="24"/>
        </w:rPr>
        <w:t>的</w:t>
      </w:r>
      <w:r w:rsidR="000877E6">
        <w:rPr>
          <w:rFonts w:hAnsi="宋体"/>
          <w:szCs w:val="24"/>
        </w:rPr>
        <w:t>规定</w:t>
      </w:r>
      <w:r w:rsidRPr="00922C37">
        <w:rPr>
          <w:rFonts w:hAnsi="宋体" w:hint="eastAsia"/>
          <w:szCs w:val="24"/>
        </w:rPr>
        <w:t>和基金合同以及本协议的</w:t>
      </w:r>
      <w:r w:rsidR="000877E6">
        <w:rPr>
          <w:rFonts w:hAnsi="宋体" w:hint="eastAsia"/>
          <w:szCs w:val="24"/>
        </w:rPr>
        <w:t>约定</w:t>
      </w:r>
      <w:r w:rsidRPr="00922C37">
        <w:rPr>
          <w:rFonts w:hAnsi="宋体" w:hint="eastAsia"/>
          <w:szCs w:val="24"/>
        </w:rPr>
        <w:t>，应及时以书面形式通知基金管理人</w:t>
      </w:r>
      <w:r w:rsidR="000877E6">
        <w:rPr>
          <w:rFonts w:hAnsi="宋体" w:hint="eastAsia"/>
          <w:szCs w:val="24"/>
        </w:rPr>
        <w:t>限期</w:t>
      </w:r>
      <w:r w:rsidRPr="00922C37">
        <w:rPr>
          <w:rFonts w:hAnsi="宋体" w:hint="eastAsia"/>
          <w:szCs w:val="24"/>
        </w:rPr>
        <w:t>纠正。基金管理人应积极配合和协助基金托管人的监督和核查。基金管理人应按</w:t>
      </w:r>
      <w:r w:rsidR="00777C8C">
        <w:rPr>
          <w:rFonts w:hAnsi="宋体" w:hint="eastAsia"/>
          <w:szCs w:val="24"/>
        </w:rPr>
        <w:t>本协议</w:t>
      </w:r>
      <w:r w:rsidRPr="00922C37">
        <w:rPr>
          <w:rFonts w:hAnsi="宋体" w:hint="eastAsia"/>
          <w:szCs w:val="24"/>
        </w:rPr>
        <w:t>要求向基金托管人及时发出回函，并及时改正。基金托管人有权随时对所通知事项进行复查,</w:t>
      </w:r>
      <w:r w:rsidRPr="00922C37">
        <w:rPr>
          <w:rFonts w:hAnsi="宋体" w:hint="eastAsia"/>
          <w:szCs w:val="24"/>
        </w:rPr>
        <w:lastRenderedPageBreak/>
        <w:t>督促基金管理人改正。如果基金管理人违规事项未能在限期内纠正的，基金托管人应报告中国证监会。基金托管人不承担由此造成的任何损失和责任。</w:t>
      </w:r>
    </w:p>
    <w:p w14:paraId="66964A8B" w14:textId="2A5B7B2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w:t>
      </w:r>
      <w:r w:rsidR="00FA7BBF">
        <w:rPr>
          <w:rFonts w:hAnsi="宋体"/>
          <w:szCs w:val="24"/>
        </w:rPr>
        <w:t>8</w:t>
      </w:r>
      <w:r>
        <w:rPr>
          <w:rFonts w:hAnsi="宋体" w:hint="eastAsia"/>
          <w:szCs w:val="24"/>
        </w:rPr>
        <w:t>基金托管人根据有关法律法规的规定及基金合同的约定，对基金管理人选择存款银行进行监督：</w:t>
      </w:r>
    </w:p>
    <w:p w14:paraId="2EB69D60" w14:textId="77777777" w:rsidR="007D21F7" w:rsidRDefault="007D21F7" w:rsidP="006643B1">
      <w:pPr>
        <w:pStyle w:val="20"/>
        <w:spacing w:before="0" w:after="0" w:line="520" w:lineRule="atLeast"/>
        <w:ind w:left="0" w:firstLineChars="200" w:firstLine="480"/>
        <w:rPr>
          <w:rFonts w:hAnsi="宋体"/>
          <w:szCs w:val="24"/>
        </w:rPr>
      </w:pPr>
      <w:r w:rsidRPr="007D21F7">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EC02E6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本基金投资银行存款应符合如下规定：</w:t>
      </w:r>
    </w:p>
    <w:p w14:paraId="1DC1576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1D41C09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E85211C" w14:textId="66FF2C2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（3）基金托管人应对基金银行存款业务</w:t>
      </w:r>
      <w:r w:rsidR="00490CC4">
        <w:rPr>
          <w:rFonts w:hAnsi="宋体" w:hint="eastAsia"/>
          <w:szCs w:val="24"/>
        </w:rPr>
        <w:t>进行</w:t>
      </w:r>
      <w:r>
        <w:rPr>
          <w:rFonts w:hAnsi="宋体" w:hint="eastAsia"/>
          <w:szCs w:val="24"/>
        </w:rPr>
        <w:t>监督与核查，审查、复核相关协议、账户资料、投资指令、存款证实书等有关文件，履行托管职责。</w:t>
      </w:r>
    </w:p>
    <w:p w14:paraId="5454365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3DB59B8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3.2基金托管人对基金管理人业务进行监督和核查的有关措施：</w:t>
      </w:r>
    </w:p>
    <w:p w14:paraId="7B1C171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FAE4B5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w:t>
      </w:r>
      <w:r>
        <w:rPr>
          <w:rFonts w:hAnsi="宋体" w:hint="eastAsia"/>
          <w:szCs w:val="24"/>
        </w:rPr>
        <w:lastRenderedPageBreak/>
        <w:t>人发出回函，进行解释或举证。</w:t>
      </w:r>
    </w:p>
    <w:p w14:paraId="5C8CD97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227F7F2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3.2.4基金托管人发现基金管理人的投资指令违反关法律法规规定或者违反基金合同约定的，应当拒绝执行，立即通知基金管理人。</w:t>
      </w:r>
    </w:p>
    <w:p w14:paraId="103CC0C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5BB3C3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7B02329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14:paraId="1E5AD90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58B3C291" w14:textId="0FADE39A" w:rsidR="00180B60" w:rsidRDefault="00180B60" w:rsidP="006643B1">
      <w:pPr>
        <w:pStyle w:val="20"/>
        <w:spacing w:before="0" w:after="0" w:line="520" w:lineRule="atLeast"/>
        <w:ind w:left="0" w:firstLineChars="200" w:firstLine="480"/>
        <w:rPr>
          <w:rFonts w:hAnsi="宋体"/>
          <w:szCs w:val="24"/>
        </w:rPr>
      </w:pPr>
      <w:r w:rsidRPr="00180B60">
        <w:rPr>
          <w:rFonts w:hAnsi="宋体" w:hint="eastAsia"/>
          <w:szCs w:val="24"/>
        </w:rPr>
        <w:t>3.2.9基金托管人对资金来源、投资收益及投资安全不承担审核责任，特别是对于本基金所投标的的后续资金使用情况无审核责任，不保证托管财产投资不受损失，不保证最低收益。</w:t>
      </w:r>
    </w:p>
    <w:p w14:paraId="5F98E3AE" w14:textId="2B25F37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.2.</w:t>
      </w:r>
      <w:r w:rsidR="00180B60">
        <w:rPr>
          <w:rFonts w:hAnsi="宋体"/>
          <w:szCs w:val="24"/>
        </w:rPr>
        <w:t>10</w:t>
      </w:r>
      <w:r>
        <w:rPr>
          <w:rFonts w:hAnsi="宋体" w:hint="eastAsia"/>
          <w:szCs w:val="24"/>
        </w:rPr>
        <w:t>基金管理人应遵守中华人民共和国反洗钱法律法规，不参与涉嫌洗钱、恐怖融资、扩散融资等违法犯罪活动；主动配合基金托管人客户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076365DA" w14:textId="77777777" w:rsidR="00B61FF9" w:rsidRDefault="001B0A60" w:rsidP="006643B1">
      <w:pPr>
        <w:pStyle w:val="1"/>
        <w:spacing w:line="520" w:lineRule="atLeast"/>
        <w:ind w:firstLineChars="200" w:firstLine="482"/>
        <w:rPr>
          <w:bCs/>
          <w:color w:val="auto"/>
          <w:szCs w:val="24"/>
        </w:rPr>
      </w:pPr>
      <w:bookmarkStart w:id="22" w:name="_Toc296551340"/>
      <w:bookmarkStart w:id="23" w:name="_Toc44321727"/>
      <w:r>
        <w:rPr>
          <w:rFonts w:hint="eastAsia"/>
          <w:bCs/>
          <w:color w:val="auto"/>
          <w:szCs w:val="24"/>
        </w:rPr>
        <w:t>第四条 基金管理人对基金托管人的业务核查</w:t>
      </w:r>
      <w:bookmarkEnd w:id="22"/>
      <w:bookmarkEnd w:id="23"/>
    </w:p>
    <w:p w14:paraId="0B47154B" w14:textId="79950BF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4.1基金管理人对基金托管人履行托管职责情况进行核查，核查事项包括但不</w:t>
      </w:r>
      <w:r>
        <w:rPr>
          <w:rFonts w:hAnsi="宋体" w:hint="eastAsia"/>
          <w:szCs w:val="24"/>
        </w:rPr>
        <w:lastRenderedPageBreak/>
        <w:t>限于基金托管人安全保管基金财产、开设基金财产的资金账户</w:t>
      </w:r>
      <w:r w:rsidR="009144D9">
        <w:rPr>
          <w:rFonts w:hAnsi="宋体" w:hint="eastAsia"/>
          <w:szCs w:val="24"/>
        </w:rPr>
        <w:t>、</w:t>
      </w:r>
      <w:r>
        <w:rPr>
          <w:rFonts w:hAnsi="宋体" w:hint="eastAsia"/>
          <w:szCs w:val="24"/>
        </w:rPr>
        <w:t>证券账户</w:t>
      </w:r>
      <w:r w:rsidR="009144D9">
        <w:rPr>
          <w:rFonts w:hAnsi="宋体" w:hint="eastAsia"/>
          <w:szCs w:val="24"/>
        </w:rPr>
        <w:t>和期货账户</w:t>
      </w:r>
      <w:r>
        <w:rPr>
          <w:rFonts w:hAnsi="宋体" w:hint="eastAsia"/>
          <w:szCs w:val="24"/>
        </w:rPr>
        <w:t>等投资所需的其他账户、复核基金管理人计算的基金资产净值和基金份额净值、根据基金管理人指令办理清算交收、相关信息披露和监督基金投资运作等行为。</w:t>
      </w:r>
    </w:p>
    <w:p w14:paraId="4108A175" w14:textId="777D64C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4.2基金管理人发现基金托管人擅自挪用基金财产、未对基金财产实行分账管理、</w:t>
      </w:r>
      <w:r w:rsidR="00D872FC" w:rsidRPr="00D872FC">
        <w:rPr>
          <w:rFonts w:hAnsi="宋体" w:hint="eastAsia"/>
          <w:szCs w:val="24"/>
        </w:rPr>
        <w:t>无故拒绝</w:t>
      </w:r>
      <w:r>
        <w:rPr>
          <w:rFonts w:hAnsi="宋体" w:hint="eastAsia"/>
          <w:szCs w:val="24"/>
        </w:rPr>
        <w:t>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0326DCB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04EE692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4.4基金托管人应积极配合基金管理人的核查行为，包括但不限于：提交相关资料以供基金管理人核查托管财产的完整性和真实性，在规定时间内答复基金管理人并改正。</w:t>
      </w:r>
    </w:p>
    <w:p w14:paraId="06857838" w14:textId="3EBAF93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4961B7E9" w14:textId="77777777" w:rsidR="00B61FF9" w:rsidRDefault="001B0A60" w:rsidP="006643B1">
      <w:pPr>
        <w:pStyle w:val="1"/>
        <w:spacing w:line="520" w:lineRule="atLeast"/>
        <w:ind w:firstLineChars="200" w:firstLine="482"/>
        <w:rPr>
          <w:bCs/>
          <w:color w:val="auto"/>
          <w:szCs w:val="24"/>
        </w:rPr>
      </w:pPr>
      <w:bookmarkStart w:id="24" w:name="_Toc296551341"/>
      <w:bookmarkStart w:id="25" w:name="_Toc44321728"/>
      <w:r>
        <w:rPr>
          <w:rFonts w:hint="eastAsia"/>
          <w:bCs/>
          <w:color w:val="auto"/>
          <w:szCs w:val="24"/>
        </w:rPr>
        <w:t>第五条 基金财产保管</w:t>
      </w:r>
      <w:bookmarkEnd w:id="24"/>
      <w:bookmarkEnd w:id="25"/>
    </w:p>
    <w:p w14:paraId="44D94EF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5.1基金财产保管的原则</w:t>
      </w:r>
    </w:p>
    <w:p w14:paraId="5FB84EF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5.1.1基金财产应独立于基金管理人、基金托管人的固有财产。</w:t>
      </w:r>
    </w:p>
    <w:p w14:paraId="3CB9909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35ED32FF" w14:textId="41ED679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5.1.3基金托管人按照规定开设基金财产的资金账户</w:t>
      </w:r>
      <w:r w:rsidR="009144D9">
        <w:rPr>
          <w:rFonts w:hAnsi="宋体" w:hint="eastAsia"/>
          <w:szCs w:val="24"/>
        </w:rPr>
        <w:t>、</w:t>
      </w:r>
      <w:r>
        <w:rPr>
          <w:rFonts w:hAnsi="宋体" w:hint="eastAsia"/>
          <w:szCs w:val="24"/>
        </w:rPr>
        <w:t>证券账户</w:t>
      </w:r>
      <w:r w:rsidR="009144D9">
        <w:rPr>
          <w:rFonts w:hAnsi="宋体" w:hint="eastAsia"/>
          <w:szCs w:val="24"/>
        </w:rPr>
        <w:t>和期货账户</w:t>
      </w:r>
      <w:r>
        <w:rPr>
          <w:rFonts w:hAnsi="宋体" w:hint="eastAsia"/>
          <w:szCs w:val="24"/>
        </w:rPr>
        <w:t>等投资所需的其他账户。</w:t>
      </w:r>
    </w:p>
    <w:p w14:paraId="67CA2C5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5212E46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5.1.5基金托管人根据基金管理人的指令，按照基金合同和本协议的约定保管基金财产，如有特殊情况双方可另行协商解决。</w:t>
      </w:r>
    </w:p>
    <w:p w14:paraId="39D25B5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560679A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5.2募集资金的验资</w:t>
      </w:r>
    </w:p>
    <w:p w14:paraId="5176218F" w14:textId="49CACCCE" w:rsidR="00B61FF9" w:rsidRPr="009F038B" w:rsidRDefault="001B0A60" w:rsidP="006643B1">
      <w:pPr>
        <w:pStyle w:val="CharCharCharCharCharCharChar"/>
        <w:adjustRightInd/>
        <w:spacing w:line="520" w:lineRule="atLeast"/>
        <w:ind w:firstLineChars="200" w:firstLine="480"/>
        <w:rPr>
          <w:rFonts w:hAnsi="宋体"/>
          <w:szCs w:val="24"/>
        </w:rPr>
      </w:pPr>
      <w:r w:rsidRPr="009F038B">
        <w:rPr>
          <w:rFonts w:ascii="宋体" w:hAnsi="宋体" w:hint="eastAsia"/>
          <w:szCs w:val="24"/>
        </w:rPr>
        <w:t>5.2.1基金募集期间募集的资金应存于基金管理人在基金托管人的营业机构或在其他银行开立的</w:t>
      </w:r>
      <w:r w:rsidR="0014169A" w:rsidRPr="009F038B">
        <w:rPr>
          <w:rFonts w:ascii="宋体" w:hAnsi="宋体" w:hint="eastAsia"/>
          <w:szCs w:val="24"/>
        </w:rPr>
        <w:t>【</w:t>
      </w:r>
      <w:r w:rsidRPr="009F038B">
        <w:rPr>
          <w:rFonts w:ascii="宋体" w:hAnsi="宋体" w:hint="eastAsia"/>
          <w:szCs w:val="24"/>
        </w:rPr>
        <w:t>基金募集专户</w:t>
      </w:r>
      <w:r w:rsidR="0014169A" w:rsidRPr="009F038B">
        <w:rPr>
          <w:rFonts w:ascii="宋体" w:hAnsi="宋体" w:hint="eastAsia"/>
          <w:szCs w:val="24"/>
        </w:rPr>
        <w:t>】</w:t>
      </w:r>
      <w:r w:rsidRPr="009F038B">
        <w:rPr>
          <w:rFonts w:ascii="宋体" w:hAnsi="宋体" w:hint="eastAsia"/>
          <w:szCs w:val="24"/>
        </w:rPr>
        <w:t>，</w:t>
      </w:r>
      <w:r w:rsidR="000107EC" w:rsidRPr="009F038B">
        <w:rPr>
          <w:rFonts w:ascii="宋体" w:hAnsi="宋体" w:hint="eastAsia"/>
          <w:szCs w:val="24"/>
        </w:rPr>
        <w:t>该账户由</w:t>
      </w:r>
      <w:r w:rsidR="00777C8C" w:rsidRPr="009F038B">
        <w:rPr>
          <w:rFonts w:ascii="宋体" w:hAnsi="宋体" w:hint="eastAsia"/>
          <w:szCs w:val="24"/>
        </w:rPr>
        <w:t>【</w:t>
      </w:r>
      <w:r w:rsidR="00757C03" w:rsidRPr="00757C03">
        <w:rPr>
          <w:rFonts w:ascii="宋体" w:hAnsi="宋体" w:hint="eastAsia"/>
          <w:szCs w:val="24"/>
        </w:rPr>
        <w:t>基金管理人</w:t>
      </w:r>
      <w:r w:rsidR="009144D9">
        <w:rPr>
          <w:rFonts w:ascii="宋体" w:hAnsi="宋体" w:hint="eastAsia"/>
          <w:szCs w:val="24"/>
        </w:rPr>
        <w:t>或其</w:t>
      </w:r>
      <w:r w:rsidR="00757C03" w:rsidRPr="00757C03">
        <w:rPr>
          <w:rFonts w:ascii="宋体" w:hAnsi="宋体" w:hint="eastAsia"/>
          <w:szCs w:val="24"/>
        </w:rPr>
        <w:t>委托的注册登记机构</w:t>
      </w:r>
      <w:r w:rsidR="00777C8C" w:rsidRPr="009F038B">
        <w:rPr>
          <w:rFonts w:ascii="宋体" w:hAnsi="宋体" w:hint="eastAsia"/>
          <w:szCs w:val="24"/>
        </w:rPr>
        <w:t>】</w:t>
      </w:r>
      <w:r w:rsidR="000107EC" w:rsidRPr="009F038B">
        <w:rPr>
          <w:rFonts w:ascii="宋体" w:hAnsi="宋体" w:hint="eastAsia"/>
          <w:szCs w:val="24"/>
        </w:rPr>
        <w:t>开立并管理</w:t>
      </w:r>
      <w:r w:rsidRPr="009F038B">
        <w:rPr>
          <w:rFonts w:ascii="宋体" w:hAnsi="宋体" w:hint="eastAsia"/>
          <w:szCs w:val="24"/>
        </w:rPr>
        <w:t>。</w:t>
      </w:r>
    </w:p>
    <w:p w14:paraId="3BF24AA2" w14:textId="358C5E3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请</w:t>
      </w:r>
      <w:r w:rsidR="00B9229E" w:rsidRPr="00B9229E">
        <w:rPr>
          <w:rFonts w:hAnsi="宋体" w:hint="eastAsia"/>
          <w:szCs w:val="24"/>
        </w:rPr>
        <w:t>具备相关业务资质的</w:t>
      </w:r>
      <w:r>
        <w:rPr>
          <w:rFonts w:hAnsi="宋体" w:hint="eastAsia"/>
          <w:szCs w:val="24"/>
        </w:rPr>
        <w:t>会计师事务所进行验资，出具验资报告，出具的验资报告应由参加验资的2名以上（含2名）中国注册会计师签字有效。</w:t>
      </w:r>
    </w:p>
    <w:p w14:paraId="592600F7" w14:textId="022E09F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5.2.3若基金募集期限届满，未能达到基金备案条件，由基金管理人按规定办理退款事宜。</w:t>
      </w:r>
    </w:p>
    <w:p w14:paraId="21FFF4F3" w14:textId="65078DF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5.3基金的银行账户的开立和管理</w:t>
      </w:r>
    </w:p>
    <w:p w14:paraId="7364D35C" w14:textId="0CAAB9B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5.3.1基金托管人以本基金的名义在其营业机构开立基金的银行账户，并根据基金管理人合法合规的指令办理资金收付。本基金的银行预留印鉴由基金托管人刻制、保管和使用。</w:t>
      </w:r>
    </w:p>
    <w:p w14:paraId="7E0D5C64" w14:textId="0CA451D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5.3.2基金银行</w:t>
      </w:r>
      <w:r w:rsidRPr="00FF6FFB">
        <w:rPr>
          <w:rFonts w:hAnsi="宋体" w:hint="eastAsia"/>
          <w:szCs w:val="24"/>
        </w:rPr>
        <w:t>账户</w:t>
      </w:r>
      <w:r>
        <w:rPr>
          <w:rFonts w:hAnsi="宋体" w:hint="eastAsia"/>
          <w:szCs w:val="24"/>
        </w:rPr>
        <w:t>的开立和使用，限于满足开展本基金业务的需要。基金托管人和基金管理人不得假借本基金的名义开立任何其他银行账户；亦不得使用基金的任何账户进行本基金业务以外的活动。</w:t>
      </w:r>
    </w:p>
    <w:p w14:paraId="619E5ECA" w14:textId="16E4783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5.3.3基金银行</w:t>
      </w:r>
      <w:r w:rsidRPr="00FF6FFB">
        <w:rPr>
          <w:rFonts w:hAnsi="宋体" w:hint="eastAsia"/>
          <w:szCs w:val="24"/>
        </w:rPr>
        <w:t>账户</w:t>
      </w:r>
      <w:r>
        <w:rPr>
          <w:rFonts w:hAnsi="宋体" w:hint="eastAsia"/>
          <w:szCs w:val="24"/>
        </w:rPr>
        <w:t>的开立和管理应符合有关法律法规以及银行业监督管理机构的有关规定。</w:t>
      </w:r>
    </w:p>
    <w:p w14:paraId="13A74BF8" w14:textId="55E4273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5.4基金证券账户与证券交易资金账户的开设和管理</w:t>
      </w:r>
    </w:p>
    <w:p w14:paraId="141A21BE" w14:textId="52B4FB9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5.4.1基金托管人以基金托管人和本基金联名的方式在中国证券登记结算有限责任公司</w:t>
      </w:r>
      <w:r w:rsidR="00777C8C">
        <w:rPr>
          <w:rFonts w:hAnsi="宋体" w:hint="eastAsia"/>
          <w:szCs w:val="24"/>
        </w:rPr>
        <w:t>（以下简称“中登公司”）</w:t>
      </w:r>
      <w:r>
        <w:rPr>
          <w:rFonts w:hAnsi="宋体" w:hint="eastAsia"/>
          <w:szCs w:val="24"/>
        </w:rPr>
        <w:t>上海分公司/深圳分公司开设证券账户。</w:t>
      </w:r>
    </w:p>
    <w:p w14:paraId="498D35CA" w14:textId="2CC1A8B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5.4.2基金托管人以基金托管人的名义在</w:t>
      </w:r>
      <w:r w:rsidR="00E2562C" w:rsidRPr="00E2562C">
        <w:rPr>
          <w:rFonts w:hAnsi="宋体" w:hint="eastAsia"/>
          <w:szCs w:val="24"/>
        </w:rPr>
        <w:t>中登公司</w:t>
      </w:r>
      <w:r>
        <w:rPr>
          <w:rFonts w:hAnsi="宋体" w:hint="eastAsia"/>
          <w:szCs w:val="24"/>
        </w:rPr>
        <w:t>上海分公司/深圳分公司开立基金证券交易资金账户，用于证券清算。</w:t>
      </w:r>
    </w:p>
    <w:p w14:paraId="49554FF6" w14:textId="2CD24A2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5.4.3基金证券账户</w:t>
      </w:r>
      <w:r w:rsidR="00777C8C">
        <w:rPr>
          <w:rFonts w:hAnsi="宋体" w:hint="eastAsia"/>
          <w:szCs w:val="24"/>
        </w:rPr>
        <w:t>与证券交易资金账户</w:t>
      </w:r>
      <w:r>
        <w:rPr>
          <w:rFonts w:hAnsi="宋体" w:hint="eastAsia"/>
          <w:szCs w:val="24"/>
        </w:rPr>
        <w:t>的开立和使用，限于满足开展本基金业务的需要。基金托管人和基金管理人不得出借和未经对方同意擅自转让基金的任何证券账户</w:t>
      </w:r>
      <w:r w:rsidR="00777C8C">
        <w:rPr>
          <w:rFonts w:hAnsi="宋体" w:hint="eastAsia"/>
          <w:szCs w:val="24"/>
        </w:rPr>
        <w:t>或证券交易资金账户</w:t>
      </w:r>
      <w:r>
        <w:rPr>
          <w:rFonts w:hAnsi="宋体" w:hint="eastAsia"/>
          <w:szCs w:val="24"/>
        </w:rPr>
        <w:t>；亦不得使用基金的任何账户进行本基金业务以外的活动。</w:t>
      </w:r>
    </w:p>
    <w:p w14:paraId="1A7436D4" w14:textId="3A7B7867" w:rsidR="00777C8C" w:rsidRDefault="00777C8C" w:rsidP="006643B1">
      <w:pPr>
        <w:pStyle w:val="20"/>
        <w:spacing w:before="0" w:after="0" w:line="520" w:lineRule="atLeast"/>
        <w:ind w:left="0" w:firstLineChars="200" w:firstLine="480"/>
        <w:rPr>
          <w:rFonts w:hAnsi="宋体"/>
          <w:szCs w:val="24"/>
        </w:rPr>
      </w:pPr>
      <w:r>
        <w:rPr>
          <w:rFonts w:hAnsi="宋体" w:hint="eastAsia"/>
          <w:szCs w:val="24"/>
        </w:rPr>
        <w:t>5.4.4</w:t>
      </w:r>
      <w:r w:rsidRPr="00BC7C1B">
        <w:rPr>
          <w:rFonts w:hAnsi="宋体" w:hint="eastAsia"/>
          <w:szCs w:val="24"/>
        </w:rPr>
        <w:t>基金证券账户</w:t>
      </w:r>
      <w:r>
        <w:rPr>
          <w:rFonts w:hAnsi="宋体" w:hint="eastAsia"/>
          <w:szCs w:val="24"/>
        </w:rPr>
        <w:t>与证券交易资金账户</w:t>
      </w:r>
      <w:r w:rsidRPr="00BC7C1B">
        <w:rPr>
          <w:rFonts w:hAnsi="宋体" w:hint="eastAsia"/>
          <w:szCs w:val="24"/>
        </w:rPr>
        <w:t>相关证明文件的保管由基金托管人负责，账户资产的管理和运用由基金管理人负责。</w:t>
      </w:r>
    </w:p>
    <w:p w14:paraId="68E9787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5.5债券托管账户的开立和管理</w:t>
      </w:r>
    </w:p>
    <w:p w14:paraId="5FBE6C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274FA8B7" w14:textId="2435F93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5.5.2</w:t>
      </w:r>
      <w:r w:rsidR="00627E17" w:rsidRPr="00627E17">
        <w:rPr>
          <w:rFonts w:hAnsi="宋体" w:hint="eastAsia"/>
          <w:szCs w:val="24"/>
        </w:rPr>
        <w:t>基金管理人和基金托管人应一起负责为基金对外签订全国银行间国债市场回购主协议，正本由</w:t>
      </w:r>
      <w:r w:rsidR="00712E45">
        <w:rPr>
          <w:rFonts w:hAnsi="宋体" w:hint="eastAsia"/>
          <w:szCs w:val="24"/>
        </w:rPr>
        <w:t>基金管理人保存</w:t>
      </w:r>
      <w:r w:rsidR="00627E17" w:rsidRPr="00627E17">
        <w:rPr>
          <w:rFonts w:hAnsi="宋体" w:hint="eastAsia"/>
          <w:szCs w:val="24"/>
        </w:rPr>
        <w:t>。</w:t>
      </w:r>
    </w:p>
    <w:p w14:paraId="36083D2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5.6其他账户的开设和管理</w:t>
      </w:r>
    </w:p>
    <w:p w14:paraId="751F2F1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85DDC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5.7基金财产投资的有关实物证券、银行定期存款存单等有价凭证的保管</w:t>
      </w:r>
    </w:p>
    <w:p w14:paraId="53D914C4" w14:textId="1C72941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w:t>
      </w:r>
      <w:r w:rsidR="00E2562C" w:rsidRPr="00E2562C">
        <w:rPr>
          <w:rFonts w:hAnsi="宋体" w:hint="eastAsia"/>
          <w:szCs w:val="24"/>
        </w:rPr>
        <w:t>中登公司</w:t>
      </w:r>
      <w:r>
        <w:rPr>
          <w:rFonts w:hAnsi="宋体" w:hint="eastAsia"/>
          <w:szCs w:val="24"/>
        </w:rPr>
        <w:t>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49FE962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5.8与基金财产有关的重大合同的保管</w:t>
      </w:r>
    </w:p>
    <w:p w14:paraId="214F6AE3" w14:textId="7BB80F9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001110CB">
        <w:rPr>
          <w:rFonts w:hAnsi="宋体" w:hint="eastAsia"/>
          <w:szCs w:val="24"/>
        </w:rPr>
        <w:t>，</w:t>
      </w:r>
      <w:r w:rsidR="001110CB">
        <w:rPr>
          <w:rFonts w:hint="eastAsia"/>
        </w:rPr>
        <w:t>保存期限不低于法定最低期限</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7EC438BD" w14:textId="77777777" w:rsidR="00B61FF9" w:rsidRDefault="001B0A60" w:rsidP="006643B1">
      <w:pPr>
        <w:pStyle w:val="1"/>
        <w:spacing w:line="520" w:lineRule="atLeast"/>
        <w:ind w:firstLineChars="200" w:firstLine="482"/>
        <w:rPr>
          <w:bCs/>
          <w:color w:val="auto"/>
          <w:szCs w:val="24"/>
        </w:rPr>
      </w:pPr>
      <w:bookmarkStart w:id="26" w:name="_Toc296551342"/>
      <w:bookmarkStart w:id="27" w:name="_Toc44321729"/>
      <w:r>
        <w:rPr>
          <w:rFonts w:hint="eastAsia"/>
          <w:bCs/>
          <w:color w:val="auto"/>
          <w:szCs w:val="24"/>
        </w:rPr>
        <w:t>第六条 指令的发送、确认和执行</w:t>
      </w:r>
      <w:bookmarkEnd w:id="26"/>
      <w:bookmarkEnd w:id="27"/>
    </w:p>
    <w:p w14:paraId="48C1A6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6.1基金管理人对发送指令人员的书面授权</w:t>
      </w:r>
    </w:p>
    <w:p w14:paraId="373554B7" w14:textId="539275D4" w:rsidR="00DA1D58" w:rsidRDefault="00AD46EC" w:rsidP="006643B1">
      <w:pPr>
        <w:pStyle w:val="20"/>
        <w:spacing w:before="0" w:after="0" w:line="520" w:lineRule="atLeast"/>
        <w:ind w:left="0" w:firstLineChars="200" w:firstLine="480"/>
        <w:rPr>
          <w:rFonts w:hAnsi="宋体"/>
          <w:szCs w:val="24"/>
        </w:rPr>
      </w:pPr>
      <w:r w:rsidRPr="00AD46EC">
        <w:rPr>
          <w:rFonts w:hAnsi="宋体" w:hint="eastAsia"/>
          <w:szCs w:val="24"/>
        </w:rPr>
        <w:t>基金管理人应事先向基金托管人提供书面授权通知（以下称“授权通知”），指定有权发送指令的人员</w:t>
      </w:r>
      <w:r w:rsidR="00F24AAE">
        <w:rPr>
          <w:rFonts w:hAnsi="宋体" w:hint="eastAsia"/>
          <w:szCs w:val="24"/>
        </w:rPr>
        <w:t>（以下</w:t>
      </w:r>
      <w:r w:rsidR="00F24AAE" w:rsidRPr="00F24AAE">
        <w:rPr>
          <w:rFonts w:hAnsi="宋体" w:hint="eastAsia"/>
          <w:szCs w:val="24"/>
        </w:rPr>
        <w:t>称“被授权人”）</w:t>
      </w:r>
      <w:r w:rsidRPr="00AD46EC">
        <w:rPr>
          <w:rFonts w:hAnsi="宋体" w:hint="eastAsia"/>
          <w:szCs w:val="24"/>
        </w:rPr>
        <w:t>名单、预留印鉴和被授权人</w:t>
      </w:r>
      <w:r w:rsidR="00B9229E">
        <w:rPr>
          <w:rFonts w:hAnsi="宋体" w:hint="eastAsia"/>
          <w:szCs w:val="24"/>
        </w:rPr>
        <w:t>签章</w:t>
      </w:r>
      <w:r w:rsidRPr="00AD46EC">
        <w:rPr>
          <w:rFonts w:hAnsi="宋体" w:hint="eastAsia"/>
          <w:szCs w:val="24"/>
        </w:rPr>
        <w:t>样本，注明相应的交易权限，</w:t>
      </w:r>
      <w:r w:rsidR="001B0A60">
        <w:rPr>
          <w:rFonts w:hAnsi="宋体" w:hint="eastAsia"/>
          <w:szCs w:val="24"/>
        </w:rPr>
        <w:t>并规定基金管理人向基金托管人发送指令时基金托管人确认</w:t>
      </w:r>
      <w:r w:rsidR="00F24AAE" w:rsidRPr="00F24AAE">
        <w:rPr>
          <w:rFonts w:hAnsi="宋体" w:hint="eastAsia"/>
          <w:szCs w:val="24"/>
        </w:rPr>
        <w:t>被授权人</w:t>
      </w:r>
      <w:r w:rsidR="001B0A60">
        <w:rPr>
          <w:rFonts w:hAnsi="宋体" w:hint="eastAsia"/>
          <w:szCs w:val="24"/>
        </w:rPr>
        <w:t>身份的方法。</w:t>
      </w:r>
      <w:r w:rsidR="00DA1D58" w:rsidRPr="00DA1D58">
        <w:rPr>
          <w:rFonts w:hAnsi="宋体" w:hint="eastAsia"/>
          <w:szCs w:val="24"/>
        </w:rPr>
        <w:t>授权通知应加盖基金管理人公章。基金管理人应使用传真方式</w:t>
      </w:r>
      <w:r w:rsidR="000603A2" w:rsidRPr="00B9229E">
        <w:rPr>
          <w:rFonts w:hAnsi="宋体" w:hint="eastAsia"/>
          <w:szCs w:val="24"/>
        </w:rPr>
        <w:t>或其他基金托管人和基金管理人书面确认过的方式</w:t>
      </w:r>
      <w:r w:rsidR="00DA1D58" w:rsidRPr="00DA1D58">
        <w:rPr>
          <w:rFonts w:hAnsi="宋体" w:hint="eastAsia"/>
          <w:szCs w:val="24"/>
        </w:rPr>
        <w:t>向基金托管人发出授权通知，同时电话通知基金托管人。</w:t>
      </w:r>
      <w:r w:rsidR="001B0A60">
        <w:rPr>
          <w:rFonts w:hAnsi="宋体" w:hint="eastAsia"/>
          <w:szCs w:val="24"/>
        </w:rPr>
        <w:t>基金托管人在收到授权通知当日</w:t>
      </w:r>
      <w:r w:rsidR="0094040B">
        <w:rPr>
          <w:rFonts w:hAnsi="宋体" w:hint="eastAsia"/>
          <w:szCs w:val="24"/>
        </w:rPr>
        <w:t>与</w:t>
      </w:r>
      <w:r w:rsidR="001B0A60">
        <w:rPr>
          <w:rFonts w:hAnsi="宋体" w:hint="eastAsia"/>
          <w:szCs w:val="24"/>
        </w:rPr>
        <w:t>基金管理人确认。基金管理人在收到基金托管人的确认之后，授权通知生效。</w:t>
      </w:r>
      <w:r w:rsidR="00DA1D58" w:rsidRPr="00DA1D58">
        <w:rPr>
          <w:rFonts w:hAnsi="宋体" w:hint="eastAsia"/>
          <w:szCs w:val="24"/>
        </w:rPr>
        <w:t>基金管理人在此后3个工作日内将授权通知的正本送交基金托管人。</w:t>
      </w:r>
      <w:r w:rsidR="00AD1B3E" w:rsidRPr="00135EC6">
        <w:rPr>
          <w:rFonts w:hAnsi="宋体" w:hint="eastAsia"/>
          <w:szCs w:val="24"/>
        </w:rPr>
        <w:t>授权通知正本内容</w:t>
      </w:r>
      <w:r w:rsidR="00AD1B3E">
        <w:rPr>
          <w:rFonts w:hAnsi="宋体" w:hint="eastAsia"/>
          <w:szCs w:val="24"/>
        </w:rPr>
        <w:t>应</w:t>
      </w:r>
      <w:r w:rsidR="00AD1B3E" w:rsidRPr="00135EC6">
        <w:rPr>
          <w:rFonts w:hAnsi="宋体" w:hint="eastAsia"/>
          <w:szCs w:val="24"/>
        </w:rPr>
        <w:t>与基金托管人收到的传真</w:t>
      </w:r>
      <w:r w:rsidR="00AD1B3E">
        <w:rPr>
          <w:rFonts w:hAnsi="宋体" w:hint="eastAsia"/>
          <w:szCs w:val="24"/>
        </w:rPr>
        <w:t>内容</w:t>
      </w:r>
      <w:r w:rsidR="00AD1B3E">
        <w:rPr>
          <w:rFonts w:hAnsi="宋体"/>
          <w:szCs w:val="24"/>
        </w:rPr>
        <w:t>一致，若有</w:t>
      </w:r>
      <w:r w:rsidR="00AD1B3E" w:rsidRPr="00135EC6">
        <w:rPr>
          <w:rFonts w:hAnsi="宋体" w:hint="eastAsia"/>
          <w:szCs w:val="24"/>
        </w:rPr>
        <w:t>不一致的，以基金托管人收到的传真为准。</w:t>
      </w:r>
    </w:p>
    <w:p w14:paraId="481559FF" w14:textId="13FFCAE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基金管理人和基金托管人对授权文件负有保密义务，其内容不得向被授权人及相关操作人员以外的任何人泄露，</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762A61C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6.2指令的内容</w:t>
      </w:r>
    </w:p>
    <w:p w14:paraId="52F6F15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6695071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6.3指令的发送、确认和执行的时间和程序</w:t>
      </w:r>
    </w:p>
    <w:p w14:paraId="7E3E0CEA" w14:textId="35D0C1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6.3.1指令由“授权通知”确定的</w:t>
      </w:r>
      <w:r w:rsidR="00F24AAE" w:rsidRPr="00F24AAE">
        <w:rPr>
          <w:rFonts w:hAnsi="宋体" w:hint="eastAsia"/>
          <w:szCs w:val="24"/>
        </w:rPr>
        <w:t>被授权人</w:t>
      </w:r>
      <w:r>
        <w:rPr>
          <w:rFonts w:hAnsi="宋体" w:hint="eastAsia"/>
          <w:szCs w:val="24"/>
        </w:rPr>
        <w:t>代表基金管理人用传真的方式或其他基金托管人和基金管理人书面确认过的方式向基金托管人发送。基金管理人有义务在发送指令后及时与托管人进行确认，因基金管理人未能及时与基金托管人进行指令确认</w:t>
      </w:r>
      <w:r w:rsidR="00F63198">
        <w:rPr>
          <w:rFonts w:hAnsi="宋体" w:hint="eastAsia"/>
          <w:szCs w:val="24"/>
        </w:rPr>
        <w:t>，</w:t>
      </w:r>
      <w:r>
        <w:rPr>
          <w:rFonts w:hAnsi="宋体" w:hint="eastAsia"/>
          <w:szCs w:val="24"/>
        </w:rPr>
        <w:t>致使资金未能及时到账所造成的损失</w:t>
      </w:r>
      <w:r w:rsidR="00F63198" w:rsidRPr="00B9229E">
        <w:rPr>
          <w:rFonts w:hAnsi="宋体" w:hint="eastAsia"/>
          <w:szCs w:val="24"/>
        </w:rPr>
        <w:t>，基金托管人不承担任何形式的责任。</w:t>
      </w:r>
      <w:r>
        <w:rPr>
          <w:rFonts w:hAnsi="宋体" w:hint="eastAsia"/>
          <w:szCs w:val="24"/>
        </w:rPr>
        <w:t>基金托管人依照“授权通知”规定的方法确认指令有效后，方可执行指令。对于被授权人发出的指令，基金管理人不得否认其效力。</w:t>
      </w:r>
      <w:r w:rsidR="00DB3C21" w:rsidRPr="00DB3C21">
        <w:rPr>
          <w:rFonts w:hAnsi="宋体" w:hint="eastAsia"/>
          <w:szCs w:val="24"/>
        </w:rPr>
        <w:t>基金托管人正确执行基金管理人发送的有效指令，基金份额持有人或基金财产发生损失的，基金托管人不承担任何形式的责任。</w:t>
      </w:r>
      <w:r>
        <w:rPr>
          <w:rFonts w:hAnsi="宋体" w:hint="eastAsia"/>
          <w:szCs w:val="24"/>
        </w:rPr>
        <w:t>基金管理人应按照《基金法》、有关法律法规和基金合同的规定，在其合法的经营权限和交易权限内发送划款指令，被授权人应按照其授权权限发送划款指令。基金管理人在发送指令时，应为基金托管人留出</w:t>
      </w:r>
      <w:r w:rsidR="00777C8C">
        <w:rPr>
          <w:rFonts w:hAnsi="宋体" w:hint="eastAsia"/>
          <w:szCs w:val="24"/>
        </w:rPr>
        <w:t>【2】小时</w:t>
      </w:r>
      <w:r w:rsidR="00777C8C">
        <w:rPr>
          <w:rFonts w:hAnsi="宋体"/>
          <w:szCs w:val="24"/>
        </w:rPr>
        <w:t>，作为</w:t>
      </w:r>
      <w:r>
        <w:rPr>
          <w:rFonts w:hAnsi="宋体" w:hint="eastAsia"/>
          <w:szCs w:val="24"/>
        </w:rPr>
        <w:t>执行指令所必需的时间。由基金管理人原因造成的指令传输不及时、未能留出足够划款所需时间，基金托管人不承担资金未能及时到账所造成的损失。</w:t>
      </w:r>
    </w:p>
    <w:p w14:paraId="78CFF98E" w14:textId="144A789C" w:rsidR="00A33B45" w:rsidRDefault="00A33B45" w:rsidP="006643B1">
      <w:pPr>
        <w:pStyle w:val="20"/>
        <w:spacing w:before="0" w:after="0" w:line="520" w:lineRule="atLeast"/>
        <w:ind w:left="0" w:firstLineChars="200" w:firstLine="480"/>
        <w:rPr>
          <w:rFonts w:hAnsi="宋体"/>
          <w:szCs w:val="24"/>
        </w:rPr>
      </w:pPr>
      <w:r w:rsidRPr="00A33B45">
        <w:rPr>
          <w:rFonts w:hAnsi="宋体" w:hint="eastAsia"/>
          <w:szCs w:val="24"/>
        </w:rPr>
        <w:t>6.3.2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方带来的损失，全部责任由基金管理人承担，基金托管人由此遭受的损失，由基金管理人负责赔偿，但基金托管人未按协议约定尽形式审核义务执行指令而造成损失的情形除外。</w:t>
      </w:r>
    </w:p>
    <w:p w14:paraId="2D826E1C" w14:textId="24905B1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r w:rsidR="00777C8C">
        <w:rPr>
          <w:rFonts w:hAnsi="宋体" w:hint="eastAsia"/>
          <w:szCs w:val="24"/>
        </w:rPr>
        <w:t>基金托管人</w:t>
      </w:r>
      <w:r w:rsidR="00777C8C">
        <w:rPr>
          <w:rFonts w:hAnsi="宋体"/>
          <w:szCs w:val="24"/>
        </w:rPr>
        <w:t>由此</w:t>
      </w:r>
      <w:r w:rsidR="00DF5FB3">
        <w:rPr>
          <w:rFonts w:hAnsi="宋体" w:hint="eastAsia"/>
          <w:szCs w:val="24"/>
        </w:rPr>
        <w:t>遭受</w:t>
      </w:r>
      <w:r w:rsidR="00777C8C">
        <w:rPr>
          <w:rFonts w:hAnsi="宋体"/>
          <w:szCs w:val="24"/>
        </w:rPr>
        <w:t>的损失，由基金管理人负责赔偿。</w:t>
      </w:r>
    </w:p>
    <w:p w14:paraId="7FC700CF" w14:textId="6390AE4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4</w:t>
      </w:r>
      <w:r>
        <w:rPr>
          <w:rFonts w:hAnsi="宋体" w:hint="eastAsia"/>
          <w:szCs w:val="24"/>
        </w:rPr>
        <w:t>基金托管人应指定专人接收基金管理人的指令，预先通知基金管理人其名单，并与基金管理人商定指令发送和接收方式。基金托管人收到基金管理人发送的指令后，</w:t>
      </w:r>
      <w:r w:rsidR="00757ED4" w:rsidRPr="00757ED4">
        <w:rPr>
          <w:rFonts w:hAnsi="宋体" w:hint="eastAsia"/>
          <w:szCs w:val="24"/>
        </w:rPr>
        <w:t>应对指令进行表面形式审查，验证指令的要素是否齐全，</w:t>
      </w:r>
      <w:r w:rsidR="00961105" w:rsidRPr="00961105">
        <w:rPr>
          <w:rFonts w:hAnsi="宋体" w:hint="eastAsia"/>
          <w:szCs w:val="24"/>
        </w:rPr>
        <w:t>传真指令仅对划款指令的印鉴及被授权人签章等通过肉眼辨识的方式与预留印鉴和签章样本进行比对，形式上不存在重大差异的，即视为通过表面审查。基金管理人出具的划款</w:t>
      </w:r>
      <w:r w:rsidR="00961105" w:rsidRPr="00961105">
        <w:rPr>
          <w:rFonts w:hAnsi="宋体" w:hint="eastAsia"/>
          <w:szCs w:val="24"/>
        </w:rPr>
        <w:lastRenderedPageBreak/>
        <w:t>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w:t>
      </w:r>
      <w:r w:rsidR="00757ED4" w:rsidRPr="00757ED4">
        <w:rPr>
          <w:rFonts w:hAnsi="宋体" w:hint="eastAsia"/>
          <w:szCs w:val="24"/>
        </w:rPr>
        <w:t>指令复核无误后应在规定期限内及时执行。</w:t>
      </w:r>
      <w:r w:rsidR="003B7C32" w:rsidRPr="003B7C32">
        <w:rPr>
          <w:rFonts w:hAnsi="宋体" w:hint="eastAsia"/>
          <w:szCs w:val="24"/>
        </w:rPr>
        <w:t>指令若以传真方式发出，则正本由基金管理人保管，基金托管人保管指令传真件。当两者不一致时，以基金托管人收到的指令传真件为准。</w:t>
      </w:r>
    </w:p>
    <w:p w14:paraId="107700D6" w14:textId="6F16E67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665C5A2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6.4基金管理人发送错误指令的情形和处理程序</w:t>
      </w:r>
    </w:p>
    <w:p w14:paraId="7FFB860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6F5177A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236956C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6.5基金托管人依照法律法规暂缓、拒绝执行指令的情形和处理程序</w:t>
      </w:r>
    </w:p>
    <w:p w14:paraId="1B33FBC6" w14:textId="34FD97B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w:t>
      </w:r>
      <w:r w:rsidR="00D53004">
        <w:rPr>
          <w:rFonts w:hAnsi="宋体" w:hint="eastAsia"/>
          <w:szCs w:val="24"/>
        </w:rPr>
        <w:t>执行</w:t>
      </w:r>
      <w:r>
        <w:rPr>
          <w:rFonts w:hAnsi="宋体" w:hint="eastAsia"/>
          <w:szCs w:val="24"/>
        </w:rPr>
        <w:t>或不予执行，并应及时以书面形式通知基金管理人纠正，基金托管人不承担任何损失和责任。对基金管理人更正并重新发送后的指令经基金托管人核对确认后方能执行。</w:t>
      </w:r>
    </w:p>
    <w:p w14:paraId="344E93B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6.6基金托管人未按照基金管理人指令执行的处理方法</w:t>
      </w:r>
    </w:p>
    <w:p w14:paraId="45861445" w14:textId="3508438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基金托管人由于自身</w:t>
      </w:r>
      <w:r w:rsidR="00AD13BC">
        <w:rPr>
          <w:rFonts w:hAnsi="宋体" w:hint="eastAsia"/>
          <w:szCs w:val="24"/>
        </w:rPr>
        <w:t>过错</w:t>
      </w:r>
      <w:r>
        <w:rPr>
          <w:rFonts w:hAnsi="宋体" w:hint="eastAsia"/>
          <w:szCs w:val="24"/>
        </w:rPr>
        <w:t>原因造成未按照或者未及时按照基金管理人发送的符合法律法规规定以及基金合同</w:t>
      </w:r>
      <w:r w:rsidR="00631068" w:rsidRPr="00631068">
        <w:rPr>
          <w:rFonts w:hAnsi="宋体" w:hint="eastAsia"/>
          <w:szCs w:val="24"/>
        </w:rPr>
        <w:t>、本协议</w:t>
      </w:r>
      <w:r>
        <w:rPr>
          <w:rFonts w:hAnsi="宋体" w:hint="eastAsia"/>
          <w:szCs w:val="24"/>
        </w:rPr>
        <w:t>约定的指令执行，给基金份额持有人或</w:t>
      </w:r>
      <w:r>
        <w:rPr>
          <w:rFonts w:hAnsi="宋体"/>
          <w:szCs w:val="24"/>
        </w:rPr>
        <w:t>基金财产</w:t>
      </w:r>
      <w:r>
        <w:rPr>
          <w:rFonts w:hAnsi="宋体" w:hint="eastAsia"/>
          <w:szCs w:val="24"/>
        </w:rPr>
        <w:t>造成损失的，应</w:t>
      </w:r>
      <w:r w:rsidR="007865D8" w:rsidRPr="007865D8">
        <w:rPr>
          <w:rFonts w:hAnsi="宋体" w:hint="eastAsia"/>
          <w:szCs w:val="24"/>
        </w:rPr>
        <w:t>承担相应的责任，但如遇到不可抗力的情况除外。</w:t>
      </w:r>
    </w:p>
    <w:p w14:paraId="43C482C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6.7更换被授权人的程序</w:t>
      </w:r>
    </w:p>
    <w:p w14:paraId="64D98207" w14:textId="3CED3E6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基金管理人撤换被授权人或改变被授权人的权限，必须提前至少1个交易日，</w:t>
      </w:r>
      <w:r>
        <w:rPr>
          <w:rFonts w:hAnsi="宋体" w:hint="eastAsia"/>
          <w:szCs w:val="24"/>
        </w:rPr>
        <w:lastRenderedPageBreak/>
        <w:t>使用传真</w:t>
      </w:r>
      <w:r w:rsidR="000603A2" w:rsidRPr="00B9229E">
        <w:rPr>
          <w:rFonts w:hAnsi="宋体" w:hint="eastAsia"/>
          <w:szCs w:val="24"/>
        </w:rPr>
        <w:t>方式或其他基金托管人和基金管理人书面确认过的方式</w:t>
      </w:r>
      <w:r>
        <w:rPr>
          <w:rFonts w:hAnsi="宋体" w:hint="eastAsia"/>
          <w:szCs w:val="24"/>
        </w:rPr>
        <w:t>向基金托管人发出由基金管理人签字和盖章的被授权人变更通知，同时电话通知基金托管人，基金托管人收到变更通知当日</w:t>
      </w:r>
      <w:r w:rsidR="00F711DA">
        <w:rPr>
          <w:rFonts w:hAnsi="宋体" w:hint="eastAsia"/>
          <w:szCs w:val="24"/>
        </w:rPr>
        <w:t>与</w:t>
      </w:r>
      <w:r>
        <w:rPr>
          <w:rFonts w:hAnsi="宋体" w:hint="eastAsia"/>
          <w:szCs w:val="24"/>
        </w:rPr>
        <w:t>基金管理人确认。被授权人变更通知，自基金管理人收到基金托管人确认时开始生效。基金管理人在此后</w:t>
      </w:r>
      <w:r w:rsidR="00DA1D58" w:rsidRPr="00DA1D58">
        <w:rPr>
          <w:rFonts w:hAnsi="宋体" w:hint="eastAsia"/>
          <w:szCs w:val="24"/>
        </w:rPr>
        <w:t>3个工作日</w:t>
      </w:r>
      <w:r>
        <w:rPr>
          <w:rFonts w:hAnsi="宋体" w:hint="eastAsia"/>
          <w:szCs w:val="24"/>
        </w:rPr>
        <w:t>内将被授权人变更通知的正本送交基金托管人。被授权人变更通知的正本应与传真内容一致，若有不一致的，以基金托管人收到的传真件为准。</w:t>
      </w:r>
      <w:r w:rsidR="00E97CC8" w:rsidRPr="00B9229E">
        <w:rPr>
          <w:rFonts w:hAnsi="宋体" w:hint="eastAsia"/>
          <w:szCs w:val="24"/>
        </w:rPr>
        <w:t>在被授权人变更通知生效之前，基金托管人所接收的原被授权人所签发的划款指令及其它文件仍然完全有效。</w:t>
      </w:r>
      <w:r>
        <w:rPr>
          <w:rFonts w:hAnsi="宋体" w:hint="eastAsia"/>
          <w:szCs w:val="24"/>
        </w:rPr>
        <w:t>基金管理人更换被授权人通知生效后，对于已被撤换的人员无权发送的指令，或被改变授权人员超权限发送的指令，基金管理人不承担责任。</w:t>
      </w:r>
    </w:p>
    <w:p w14:paraId="075E24CE" w14:textId="0AAC0ABF" w:rsidR="00B61FF9" w:rsidRPr="003E619A" w:rsidRDefault="003E619A" w:rsidP="006643B1">
      <w:pPr>
        <w:pStyle w:val="1"/>
        <w:spacing w:line="520" w:lineRule="atLeast"/>
        <w:ind w:firstLineChars="200" w:firstLine="482"/>
        <w:rPr>
          <w:bCs/>
          <w:color w:val="auto"/>
          <w:szCs w:val="24"/>
        </w:rPr>
      </w:pPr>
      <w:bookmarkStart w:id="28" w:name="_Toc44321730"/>
      <w:r>
        <w:rPr>
          <w:rFonts w:hint="eastAsia"/>
          <w:bCs/>
          <w:color w:val="auto"/>
          <w:szCs w:val="24"/>
        </w:rPr>
        <w:t>第七条 交易及清算交收安排</w:t>
      </w:r>
      <w:bookmarkEnd w:id="28"/>
      <w:r>
        <w:rPr>
          <w:rFonts w:hint="eastAsia"/>
          <w:bCs/>
          <w:color w:val="auto"/>
          <w:szCs w:val="24"/>
        </w:rPr>
        <w:t xml:space="preserve"> </w:t>
      </w:r>
    </w:p>
    <w:p w14:paraId="27A4DDBC" w14:textId="15C6D308" w:rsidR="00342101" w:rsidRPr="00342101" w:rsidRDefault="00342101" w:rsidP="006643B1">
      <w:pPr>
        <w:pStyle w:val="20"/>
        <w:spacing w:before="0" w:after="0" w:line="520" w:lineRule="atLeast"/>
        <w:rPr>
          <w:rFonts w:hAnsi="宋体"/>
          <w:szCs w:val="24"/>
        </w:rPr>
      </w:pPr>
      <w:r w:rsidRPr="00342101">
        <w:rPr>
          <w:rFonts w:hAnsi="宋体" w:hint="eastAsia"/>
          <w:szCs w:val="24"/>
        </w:rPr>
        <w:t>7.1选择代理证券</w:t>
      </w:r>
      <w:r w:rsidR="00623BCE">
        <w:rPr>
          <w:rFonts w:hAnsi="宋体" w:hint="eastAsia"/>
          <w:szCs w:val="24"/>
        </w:rPr>
        <w:t>、期货</w:t>
      </w:r>
      <w:r w:rsidRPr="00342101">
        <w:rPr>
          <w:rFonts w:hAnsi="宋体" w:hint="eastAsia"/>
          <w:szCs w:val="24"/>
        </w:rPr>
        <w:t>买卖的证券经营机构</w:t>
      </w:r>
      <w:r w:rsidR="002C7695" w:rsidRPr="002464B8">
        <w:rPr>
          <w:rFonts w:hAnsi="宋体" w:hint="eastAsia"/>
          <w:bCs/>
          <w:szCs w:val="24"/>
        </w:rPr>
        <w:t>、期货经纪机构</w:t>
      </w:r>
    </w:p>
    <w:p w14:paraId="7ADB3462" w14:textId="3B7595D8" w:rsidR="00342101" w:rsidRDefault="00342101" w:rsidP="002464B8">
      <w:pPr>
        <w:pStyle w:val="20"/>
        <w:spacing w:before="0" w:after="0" w:line="520" w:lineRule="atLeast"/>
        <w:ind w:left="0" w:firstLine="480"/>
        <w:rPr>
          <w:rFonts w:hAnsi="宋体"/>
          <w:szCs w:val="24"/>
        </w:rPr>
      </w:pPr>
      <w:r w:rsidRPr="00342101">
        <w:rPr>
          <w:rFonts w:hAnsi="宋体" w:hint="eastAsia"/>
          <w:szCs w:val="24"/>
        </w:rPr>
        <w:t>7.1.1基金管理人应制定选择代理证券买卖的证券经营机构的标准和程序。基金管理人负责选择代理本基金证券买卖的证券经营机构，使用其交易单元作为基金的专用交易单元。基金管理人和被选中的证券经营机构签订</w:t>
      </w:r>
      <w:r w:rsidR="00802BA7">
        <w:rPr>
          <w:rFonts w:hAnsi="宋体" w:hint="eastAsia"/>
          <w:szCs w:val="24"/>
        </w:rPr>
        <w:t>交易单元租用协议</w:t>
      </w:r>
      <w:r w:rsidRPr="00342101">
        <w:rPr>
          <w:rFonts w:hAnsi="宋体" w:hint="eastAsia"/>
          <w:szCs w:val="24"/>
        </w:rPr>
        <w:t>，由基金管理人提前通知基金托管人，并在法定信息披露公告中披露有关内容。交易单元保证金由被选中的证券经营机构支付。</w:t>
      </w:r>
    </w:p>
    <w:p w14:paraId="313C8CFF" w14:textId="5939DFD7" w:rsidR="00BF54C4" w:rsidRPr="00342101" w:rsidRDefault="00BF54C4" w:rsidP="002464B8">
      <w:pPr>
        <w:pStyle w:val="20"/>
        <w:spacing w:before="0" w:after="0" w:line="520" w:lineRule="atLeast"/>
        <w:ind w:left="0" w:firstLine="480"/>
        <w:rPr>
          <w:rFonts w:hAnsi="宋体"/>
          <w:szCs w:val="24"/>
        </w:rPr>
      </w:pPr>
      <w:r w:rsidRPr="00BF54C4">
        <w:rPr>
          <w:rFonts w:hAnsi="宋体" w:hint="eastAsia"/>
          <w:szCs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675918E" w14:textId="6F460EDA"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7.1.2基金管理人应及时将基金专用交易单元号、佣金费率等基本信息以及变更情况以书面形式通知基金托管人。</w:t>
      </w:r>
    </w:p>
    <w:p w14:paraId="44E392DB" w14:textId="514214E2" w:rsidR="007041FF" w:rsidRDefault="00342101" w:rsidP="006643B1">
      <w:pPr>
        <w:pStyle w:val="20"/>
        <w:spacing w:before="0" w:after="0" w:line="520" w:lineRule="atLeast"/>
        <w:rPr>
          <w:rFonts w:hAnsi="宋体"/>
          <w:szCs w:val="24"/>
        </w:rPr>
      </w:pPr>
      <w:r w:rsidRPr="00342101">
        <w:rPr>
          <w:rFonts w:hAnsi="宋体" w:hint="eastAsia"/>
          <w:szCs w:val="24"/>
        </w:rPr>
        <w:t>7.2</w:t>
      </w:r>
      <w:r w:rsidR="007041FF" w:rsidRPr="007041FF">
        <w:rPr>
          <w:rFonts w:hAnsi="宋体" w:hint="eastAsia"/>
          <w:szCs w:val="24"/>
        </w:rPr>
        <w:t>清算与交割</w:t>
      </w:r>
    </w:p>
    <w:p w14:paraId="275DDB77" w14:textId="6F2814BD" w:rsidR="00342101" w:rsidRPr="00342101" w:rsidRDefault="007041FF" w:rsidP="006643B1">
      <w:pPr>
        <w:pStyle w:val="20"/>
        <w:spacing w:before="0" w:after="0" w:line="520" w:lineRule="atLeast"/>
        <w:rPr>
          <w:rFonts w:hAnsi="宋体"/>
          <w:szCs w:val="24"/>
        </w:rPr>
      </w:pPr>
      <w:r>
        <w:rPr>
          <w:rFonts w:hAnsi="宋体" w:hint="eastAsia"/>
          <w:szCs w:val="24"/>
        </w:rPr>
        <w:t>7.2.1</w:t>
      </w:r>
      <w:r w:rsidR="00342101" w:rsidRPr="00342101">
        <w:rPr>
          <w:rFonts w:hAnsi="宋体" w:hint="eastAsia"/>
          <w:szCs w:val="24"/>
        </w:rPr>
        <w:t>基金投资证券后的清算交收安排</w:t>
      </w:r>
    </w:p>
    <w:p w14:paraId="1811126F" w14:textId="2A482D6A"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基金管理人与基金托管人应根据有关法律法规及相关业务规则，签订《证券交易资金结算协议》，用以具体明确基金管理人与基金托管人在证券交易资金结算业务中的责任。</w:t>
      </w:r>
    </w:p>
    <w:p w14:paraId="61FCEF02" w14:textId="256E4290"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对基金管理人的资金划拨指令，基金托管人在复核无误后应在规定期限内执行并在执行完毕后回函确认，不得无故延误。</w:t>
      </w:r>
    </w:p>
    <w:p w14:paraId="083F2C01" w14:textId="7639A23C" w:rsidR="00342101" w:rsidRDefault="00342101" w:rsidP="006643B1">
      <w:pPr>
        <w:pStyle w:val="20"/>
        <w:spacing w:before="0" w:after="0" w:line="520" w:lineRule="atLeast"/>
        <w:ind w:left="0" w:firstLine="480"/>
        <w:rPr>
          <w:rFonts w:hAnsi="宋体"/>
          <w:szCs w:val="24"/>
        </w:rPr>
      </w:pPr>
      <w:r w:rsidRPr="00342101">
        <w:rPr>
          <w:rFonts w:hAnsi="宋体" w:hint="eastAsia"/>
          <w:szCs w:val="24"/>
        </w:rPr>
        <w:lastRenderedPageBreak/>
        <w:t>本基金投资于证券发生的所有场内、场外交易的资金清算交割，全部由基金托管人负责办理。</w:t>
      </w:r>
    </w:p>
    <w:p w14:paraId="636395A2" w14:textId="6DB4B256" w:rsidR="00342101" w:rsidRPr="00342101" w:rsidRDefault="00342101" w:rsidP="006643B1">
      <w:pPr>
        <w:pStyle w:val="20"/>
        <w:spacing w:before="0" w:after="0" w:line="520" w:lineRule="atLeast"/>
        <w:ind w:left="0" w:firstLine="480"/>
        <w:rPr>
          <w:rFonts w:hAnsi="宋体"/>
          <w:szCs w:val="24"/>
        </w:rPr>
      </w:pPr>
      <w:r w:rsidRPr="00342101">
        <w:rPr>
          <w:rFonts w:hAnsi="宋体" w:hint="eastAsia"/>
          <w:szCs w:val="24"/>
        </w:rPr>
        <w:t>本基金证券投资的清算交割，由基金托管人通过</w:t>
      </w:r>
      <w:r w:rsidR="00E2562C" w:rsidRPr="00E2562C">
        <w:rPr>
          <w:rFonts w:hAnsi="宋体" w:hint="eastAsia"/>
          <w:szCs w:val="24"/>
        </w:rPr>
        <w:t>中登公司</w:t>
      </w:r>
      <w:r w:rsidRPr="00342101">
        <w:rPr>
          <w:rFonts w:hAnsi="宋体" w:hint="eastAsia"/>
          <w:szCs w:val="24"/>
        </w:rPr>
        <w:t>上海分公司/深圳分公司及清算代理银行办理。</w:t>
      </w:r>
    </w:p>
    <w:p w14:paraId="0F48D44E" w14:textId="079A92DB" w:rsidR="00FA4707" w:rsidRPr="00342101" w:rsidRDefault="00FA4707" w:rsidP="006643B1">
      <w:pPr>
        <w:pStyle w:val="20"/>
        <w:spacing w:before="0" w:after="0" w:line="520" w:lineRule="atLeast"/>
        <w:ind w:left="0" w:firstLine="480"/>
        <w:rPr>
          <w:rFonts w:hAnsi="宋体"/>
          <w:szCs w:val="24"/>
        </w:rPr>
      </w:pPr>
      <w:r w:rsidRPr="00FA4707">
        <w:rPr>
          <w:rFonts w:hAnsi="宋体" w:hint="eastAsia"/>
          <w:szCs w:val="24"/>
        </w:rPr>
        <w:t>交易及清算交收安排中管理人应为托管人预留2个小时的指令处理时间，</w:t>
      </w:r>
      <w:r w:rsidR="008A7F32" w:rsidRPr="00B9229E">
        <w:rPr>
          <w:rFonts w:hAnsi="宋体" w:hint="eastAsia"/>
          <w:szCs w:val="24"/>
        </w:rPr>
        <w:t>当日</w:t>
      </w:r>
      <w:r w:rsidRPr="00FA4707">
        <w:rPr>
          <w:rFonts w:hAnsi="宋体" w:hint="eastAsia"/>
          <w:szCs w:val="24"/>
        </w:rPr>
        <w:t>15:00之后收到的指令，</w:t>
      </w:r>
      <w:r w:rsidR="00623BCE">
        <w:rPr>
          <w:rFonts w:hAnsi="宋体" w:hint="eastAsia"/>
          <w:szCs w:val="24"/>
        </w:rPr>
        <w:t>基金</w:t>
      </w:r>
      <w:r w:rsidRPr="00FA4707">
        <w:rPr>
          <w:rFonts w:hAnsi="宋体" w:hint="eastAsia"/>
          <w:szCs w:val="24"/>
        </w:rPr>
        <w:t>托管人尽力负责但不承诺指令支付成功。如果因基金托管人</w:t>
      </w:r>
      <w:r w:rsidR="00CB1963">
        <w:rPr>
          <w:rFonts w:hAnsi="宋体" w:hint="eastAsia"/>
          <w:szCs w:val="24"/>
        </w:rPr>
        <w:t>过错</w:t>
      </w:r>
      <w:r w:rsidRPr="00FA4707">
        <w:rPr>
          <w:rFonts w:hAnsi="宋体" w:hint="eastAsia"/>
          <w:szCs w:val="24"/>
        </w:rPr>
        <w:t>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377D47F8"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7.2.2基金出现超买或超卖的责任认定及处理程序</w:t>
      </w:r>
    </w:p>
    <w:p w14:paraId="5C3EBFF2" w14:textId="06458110"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基金托管人在履行监督职能时，如果发现基金投资证券过程中出现超买或超卖现象，应立即提醒基金管理人，由基金管理人负责解决，由此给基金造成的损失由基金管理人承担。</w:t>
      </w:r>
    </w:p>
    <w:p w14:paraId="6E56925C"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7.2.3基金无法按时支付证券清算款的责任认定及处理程序</w:t>
      </w:r>
    </w:p>
    <w:p w14:paraId="0A39BF66" w14:textId="53254D46"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647055CA" w14:textId="1C24B123" w:rsidR="00342101" w:rsidRDefault="00342101" w:rsidP="007041FF">
      <w:pPr>
        <w:pStyle w:val="20"/>
        <w:spacing w:before="0" w:after="0" w:line="520" w:lineRule="atLeast"/>
        <w:ind w:left="0" w:firstLine="480"/>
        <w:rPr>
          <w:rFonts w:hAnsi="宋体"/>
          <w:szCs w:val="24"/>
        </w:rPr>
      </w:pPr>
      <w:r w:rsidRPr="00342101">
        <w:rPr>
          <w:rFonts w:hAnsi="宋体" w:hint="eastAsia"/>
          <w:szCs w:val="24"/>
        </w:rPr>
        <w:t>在基金资金头寸充足的情况下，基金托管人对基金管理人符合法律法规、基金合同、本托管协议的指令不得拖延或拒绝执行。如由于基金托管人的</w:t>
      </w:r>
      <w:r w:rsidR="006631BB">
        <w:rPr>
          <w:rFonts w:hAnsi="宋体" w:hint="eastAsia"/>
          <w:szCs w:val="24"/>
        </w:rPr>
        <w:t>过错</w:t>
      </w:r>
      <w:r w:rsidRPr="00342101">
        <w:rPr>
          <w:rFonts w:hAnsi="宋体" w:hint="eastAsia"/>
          <w:szCs w:val="24"/>
        </w:rPr>
        <w:t>原因导致基金无法按时支付证券清算款，由此给基金造成的损失由基金托管人承担。</w:t>
      </w:r>
    </w:p>
    <w:p w14:paraId="0E56B5B4" w14:textId="77777777" w:rsidR="007041FF" w:rsidRPr="007041FF" w:rsidRDefault="007041FF" w:rsidP="007041FF">
      <w:pPr>
        <w:pStyle w:val="20"/>
        <w:spacing w:line="520" w:lineRule="atLeast"/>
        <w:ind w:left="0" w:firstLineChars="200" w:firstLine="480"/>
        <w:rPr>
          <w:rFonts w:hAnsi="宋体"/>
          <w:szCs w:val="24"/>
        </w:rPr>
      </w:pPr>
      <w:r w:rsidRPr="007041FF">
        <w:rPr>
          <w:rFonts w:hAnsi="宋体" w:hint="eastAsia"/>
          <w:szCs w:val="24"/>
        </w:rPr>
        <w:t>7.2.4场外交易资金结算</w:t>
      </w:r>
    </w:p>
    <w:p w14:paraId="3CC2E700" w14:textId="2F857FED" w:rsidR="007041FF" w:rsidRPr="00342101" w:rsidRDefault="007041FF" w:rsidP="007041FF">
      <w:pPr>
        <w:pStyle w:val="20"/>
        <w:spacing w:before="0" w:after="0" w:line="520" w:lineRule="atLeast"/>
        <w:ind w:left="0" w:firstLine="480"/>
        <w:rPr>
          <w:rFonts w:hAnsi="宋体"/>
          <w:szCs w:val="24"/>
        </w:rPr>
      </w:pPr>
      <w:r w:rsidRPr="007041FF">
        <w:rPr>
          <w:rFonts w:hAnsi="宋体" w:hint="eastAsia"/>
          <w:szCs w:val="24"/>
        </w:rPr>
        <w:t>场外资金对外投资划款由基金托管人凭基金管理人符合本托管协议约定的有效资金划拨指令和相关投资合同（如有）进行资金划拨；场外投资本金及收益的划回，由管理人负责协调相关资金划拨回产品托管户事宜。</w:t>
      </w:r>
    </w:p>
    <w:p w14:paraId="449806E4"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lastRenderedPageBreak/>
        <w:t>7.3资金、证券账目及交易记录的核对</w:t>
      </w:r>
    </w:p>
    <w:p w14:paraId="174D30DF" w14:textId="0A8AD8BE"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7.3.1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07589EE7" w14:textId="6732FD74"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7.3.2对基金的资金账目，由相关各方每日对账一次，确保相关各方账账相符。对基金证券账目，由相关各方每日进行对账。对实物券账目，每月月末由相关各方进行账实核对。对交易记录，由相关各方每日对账一次。</w:t>
      </w:r>
    </w:p>
    <w:p w14:paraId="6DD4A6C2" w14:textId="482A71DF"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7.4申购、赎回、转换开放式基金的资金清算、数据传递及</w:t>
      </w:r>
      <w:r w:rsidR="00D91349" w:rsidRPr="00D91349">
        <w:rPr>
          <w:rFonts w:hAnsi="宋体" w:hint="eastAsia"/>
          <w:szCs w:val="24"/>
        </w:rPr>
        <w:t>基金管理人、基金托管人</w:t>
      </w:r>
      <w:r w:rsidRPr="00342101">
        <w:rPr>
          <w:rFonts w:hAnsi="宋体" w:hint="eastAsia"/>
          <w:szCs w:val="24"/>
        </w:rPr>
        <w:t>的责任</w:t>
      </w:r>
    </w:p>
    <w:p w14:paraId="120E4C14" w14:textId="1F5F4FC1"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7.4.1</w:t>
      </w:r>
      <w:r w:rsidR="00AA3B97" w:rsidRPr="00AA3B97">
        <w:rPr>
          <w:rFonts w:hAnsi="宋体" w:hint="eastAsia"/>
          <w:szCs w:val="24"/>
        </w:rPr>
        <w:t>基金管理人和基金托管人</w:t>
      </w:r>
      <w:r w:rsidRPr="00342101">
        <w:rPr>
          <w:rFonts w:hAnsi="宋体" w:hint="eastAsia"/>
          <w:szCs w:val="24"/>
        </w:rPr>
        <w:t>在基金的申购赎回、转换中的责任</w:t>
      </w:r>
    </w:p>
    <w:p w14:paraId="49894872" w14:textId="26836D7D"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14:paraId="32AD2B8F"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7.4.2基金的数据传递</w:t>
      </w:r>
    </w:p>
    <w:p w14:paraId="386CE73D" w14:textId="692F4ECC"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基金管理人应保证本基金（或本基金管理人委托）的登记机构于每个开放日15：00之前将本基金的申购、赎回、转换的数据传送给基金托管人。基金管理人应对传递的数据的真实性、准确性和完整性负责。</w:t>
      </w:r>
    </w:p>
    <w:p w14:paraId="44EFE447" w14:textId="3D515F2E"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登记机构应通过与基金管理人建立的系统发送有关数据，如因各种原因，该系统无法正常发送，双方可协商解决处理方式。</w:t>
      </w:r>
    </w:p>
    <w:p w14:paraId="42155ED2"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7.4.3基金的资金清算</w:t>
      </w:r>
    </w:p>
    <w:p w14:paraId="48E36EC3" w14:textId="76A0225B"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基金托管</w:t>
      </w:r>
      <w:r w:rsidR="00777C8C">
        <w:rPr>
          <w:rFonts w:hAnsi="宋体" w:hint="eastAsia"/>
          <w:szCs w:val="24"/>
        </w:rPr>
        <w:t>专户</w:t>
      </w:r>
      <w:r w:rsidRPr="00342101">
        <w:rPr>
          <w:rFonts w:hAnsi="宋体" w:hint="eastAsia"/>
          <w:szCs w:val="24"/>
        </w:rPr>
        <w:t>与“基金清算账户”间的资金结算遵循“全额清算、净额交收”的原则，每日按照托管</w:t>
      </w:r>
      <w:r w:rsidR="00777C8C">
        <w:rPr>
          <w:rFonts w:hAnsi="宋体" w:hint="eastAsia"/>
          <w:szCs w:val="24"/>
        </w:rPr>
        <w:t>专户</w:t>
      </w:r>
      <w:r w:rsidRPr="00342101">
        <w:rPr>
          <w:rFonts w:hAnsi="宋体" w:hint="eastAsia"/>
          <w:szCs w:val="24"/>
        </w:rPr>
        <w:t>应收资金与应付资金的差额来确定托管</w:t>
      </w:r>
      <w:r w:rsidR="00777C8C">
        <w:rPr>
          <w:rFonts w:hAnsi="宋体" w:hint="eastAsia"/>
          <w:szCs w:val="24"/>
        </w:rPr>
        <w:t>专户</w:t>
      </w:r>
      <w:r w:rsidRPr="00342101">
        <w:rPr>
          <w:rFonts w:hAnsi="宋体" w:hint="eastAsia"/>
          <w:szCs w:val="24"/>
        </w:rPr>
        <w:t>净应收额或净应付额，以此确定资金交收额。</w:t>
      </w:r>
    </w:p>
    <w:p w14:paraId="335F81B0" w14:textId="28BB4297" w:rsidR="00B61FF9" w:rsidRDefault="004702E5" w:rsidP="006643B1">
      <w:pPr>
        <w:pStyle w:val="20"/>
        <w:spacing w:before="0" w:after="0" w:line="520" w:lineRule="atLeast"/>
        <w:ind w:left="0" w:firstLineChars="200" w:firstLine="480"/>
        <w:rPr>
          <w:rFonts w:hAnsi="宋体"/>
          <w:szCs w:val="24"/>
        </w:rPr>
      </w:pPr>
      <w:r w:rsidRPr="00591580">
        <w:rPr>
          <w:rFonts w:hAnsi="宋体" w:hint="eastAsia"/>
          <w:szCs w:val="24"/>
        </w:rPr>
        <w:t>如果当日基金为净应付款，基金托管人应根据基金管理人的指令在T+2日中午12:00前进行划付</w:t>
      </w:r>
      <w:r w:rsidR="006374EE">
        <w:rPr>
          <w:rFonts w:hAnsi="宋体" w:hint="eastAsia"/>
          <w:szCs w:val="24"/>
        </w:rPr>
        <w:t>，</w:t>
      </w:r>
      <w:r w:rsidRPr="00591580">
        <w:rPr>
          <w:rFonts w:hAnsi="宋体" w:hint="eastAsia"/>
          <w:szCs w:val="24"/>
        </w:rPr>
        <w:t>对于未准时划付的资金，基金管理人应及时通知基金托管人划付。</w:t>
      </w:r>
      <w:r w:rsidRPr="004702E5">
        <w:rPr>
          <w:rFonts w:hAnsi="宋体" w:hint="eastAsia"/>
          <w:szCs w:val="24"/>
        </w:rPr>
        <w:t>因基金托管专户没有足够的资金，导致基金托管人不能按时拨付，基金托管人</w:t>
      </w:r>
      <w:r w:rsidRPr="004702E5">
        <w:rPr>
          <w:rFonts w:hAnsi="宋体" w:hint="eastAsia"/>
          <w:szCs w:val="24"/>
        </w:rPr>
        <w:lastRenderedPageBreak/>
        <w:t>应及时通知基金管理人。</w:t>
      </w:r>
    </w:p>
    <w:p w14:paraId="71FF034B" w14:textId="74B51147" w:rsidR="00B61FF9" w:rsidRDefault="001B0A60" w:rsidP="006643B1">
      <w:pPr>
        <w:pStyle w:val="1"/>
        <w:spacing w:line="520" w:lineRule="atLeast"/>
        <w:ind w:firstLineChars="200" w:firstLine="482"/>
        <w:rPr>
          <w:bCs/>
          <w:color w:val="auto"/>
          <w:szCs w:val="24"/>
        </w:rPr>
      </w:pPr>
      <w:bookmarkStart w:id="29" w:name="_Toc296551344"/>
      <w:bookmarkStart w:id="30" w:name="_Toc44321731"/>
      <w:r>
        <w:rPr>
          <w:rFonts w:hint="eastAsia"/>
          <w:bCs/>
          <w:color w:val="auto"/>
          <w:szCs w:val="24"/>
        </w:rPr>
        <w:t>第八条 基金净值计算和会计核算</w:t>
      </w:r>
      <w:bookmarkEnd w:id="29"/>
      <w:bookmarkEnd w:id="30"/>
    </w:p>
    <w:p w14:paraId="5F2E4397" w14:textId="0BAF5F7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8.1基金净值的计算、复核的时间和程序</w:t>
      </w:r>
    </w:p>
    <w:p w14:paraId="0CE3CEB3" w14:textId="0DC743C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8.1.1基金</w:t>
      </w:r>
      <w:r w:rsidR="00674E25">
        <w:rPr>
          <w:rFonts w:hAnsi="宋体"/>
          <w:szCs w:val="24"/>
        </w:rPr>
        <w:t>净值包括基金资产净值</w:t>
      </w:r>
      <w:r w:rsidR="00674E25">
        <w:rPr>
          <w:rFonts w:hAnsi="宋体" w:hint="eastAsia"/>
          <w:szCs w:val="24"/>
        </w:rPr>
        <w:t>、基金</w:t>
      </w:r>
      <w:r w:rsidR="00674E25">
        <w:rPr>
          <w:rFonts w:hAnsi="宋体"/>
          <w:szCs w:val="24"/>
        </w:rPr>
        <w:t>份额净值、基金</w:t>
      </w:r>
      <w:r w:rsidR="00674E25">
        <w:rPr>
          <w:rFonts w:hAnsi="宋体" w:hint="eastAsia"/>
          <w:szCs w:val="24"/>
        </w:rPr>
        <w:t>份额</w:t>
      </w:r>
      <w:r w:rsidR="00674E25">
        <w:rPr>
          <w:rFonts w:hAnsi="宋体"/>
          <w:szCs w:val="24"/>
        </w:rPr>
        <w:t>累计净值。</w:t>
      </w:r>
      <w:r w:rsidR="00674E25">
        <w:rPr>
          <w:rFonts w:hAnsi="宋体" w:hint="eastAsia"/>
          <w:szCs w:val="24"/>
        </w:rPr>
        <w:t>基金</w:t>
      </w:r>
      <w:r>
        <w:rPr>
          <w:rFonts w:hAnsi="宋体" w:hint="eastAsia"/>
          <w:szCs w:val="24"/>
        </w:rPr>
        <w:t>资产净值是指基金资产总值减去</w:t>
      </w:r>
      <w:r w:rsidR="003F4548">
        <w:rPr>
          <w:rFonts w:hAnsi="宋体" w:hint="eastAsia"/>
          <w:szCs w:val="24"/>
        </w:rPr>
        <w:t>基金</w:t>
      </w:r>
      <w:r>
        <w:rPr>
          <w:rFonts w:hAnsi="宋体" w:hint="eastAsia"/>
          <w:szCs w:val="24"/>
        </w:rPr>
        <w:t>负债后的净资产值。基金份额净值是指计算日基金资产净值除以该计算日基金份额总份额后的数值。</w:t>
      </w:r>
      <w:r w:rsidR="00674E25">
        <w:rPr>
          <w:rFonts w:hAnsi="宋体" w:hint="eastAsia"/>
          <w:szCs w:val="24"/>
        </w:rPr>
        <w:t>基金</w:t>
      </w:r>
      <w:r w:rsidR="00674E25">
        <w:rPr>
          <w:rFonts w:hAnsi="宋体"/>
          <w:szCs w:val="24"/>
        </w:rPr>
        <w:t>份额</w:t>
      </w:r>
      <w:r w:rsidR="00674E25">
        <w:rPr>
          <w:rFonts w:hAnsi="宋体" w:hint="eastAsia"/>
          <w:szCs w:val="24"/>
        </w:rPr>
        <w:t>累计净值是指</w:t>
      </w:r>
      <w:r w:rsidR="00674E25">
        <w:rPr>
          <w:rFonts w:hAnsi="宋体"/>
          <w:szCs w:val="24"/>
        </w:rPr>
        <w:t>【</w:t>
      </w:r>
      <w:r w:rsidR="00B9229E" w:rsidRPr="00B9229E">
        <w:rPr>
          <w:rFonts w:hAnsi="宋体" w:hint="eastAsia"/>
          <w:szCs w:val="24"/>
        </w:rPr>
        <w:t>基金份额净值与基金历来分红累计金额之和</w:t>
      </w:r>
      <w:r w:rsidR="00674E25">
        <w:rPr>
          <w:rFonts w:hAnsi="宋体"/>
          <w:szCs w:val="24"/>
        </w:rPr>
        <w:t>】</w:t>
      </w:r>
      <w:r w:rsidR="00674E25">
        <w:rPr>
          <w:rFonts w:hAnsi="宋体" w:hint="eastAsia"/>
          <w:szCs w:val="24"/>
        </w:rPr>
        <w:t>。基金</w:t>
      </w:r>
      <w:r>
        <w:rPr>
          <w:rFonts w:hAnsi="宋体" w:hint="eastAsia"/>
          <w:szCs w:val="24"/>
        </w:rPr>
        <w:t>净值的计算保留到小数点后4位，小数点后第5位四舍五入，由此产生的误差计入基金财产。</w:t>
      </w:r>
      <w:r>
        <w:rPr>
          <w:rFonts w:hAnsi="宋体"/>
          <w:szCs w:val="24"/>
        </w:rPr>
        <w:t>基金管理人可以设立大额赎回情形下的净值精度应急调整机制。国家另有规定的，从其规定。</w:t>
      </w:r>
    </w:p>
    <w:p w14:paraId="1A7D7083" w14:textId="6A6E8E1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8.1.2基金管理人应每工作日对基金资产估值，但基金管理人根据法律法规或基金合同的规定暂停估值时除外。估值原则应符合基金合同、《证券投资基金会计核算业务指引》及其他法律、法规的规定。用于基金信息披露的基金资产净值</w:t>
      </w:r>
      <w:r w:rsidR="00674E25">
        <w:rPr>
          <w:rFonts w:hAnsi="宋体" w:hint="eastAsia"/>
          <w:szCs w:val="24"/>
        </w:rPr>
        <w:t>、基金份额净值</w:t>
      </w:r>
      <w:r>
        <w:rPr>
          <w:rFonts w:hAnsi="宋体" w:hint="eastAsia"/>
          <w:szCs w:val="24"/>
        </w:rPr>
        <w:t>和基金份额</w:t>
      </w:r>
      <w:r w:rsidR="00674E25">
        <w:rPr>
          <w:rFonts w:hAnsi="宋体" w:hint="eastAsia"/>
          <w:szCs w:val="24"/>
        </w:rPr>
        <w:t>累计</w:t>
      </w:r>
      <w:r>
        <w:rPr>
          <w:rFonts w:hAnsi="宋体" w:hint="eastAsia"/>
          <w:szCs w:val="24"/>
        </w:rPr>
        <w:t>净值由基金管理人负责计算，基金托管人复核。基金管理人应于每个工作日交易结束后计算当日的基金净值并以双方认可的方式发送给基金托管人。基金托管人对净值计算结果复核后以双方认可的方式发送给基金管理人，</w:t>
      </w:r>
      <w:r w:rsidR="00674E25">
        <w:rPr>
          <w:rFonts w:hAnsi="宋体" w:hint="eastAsia"/>
          <w:szCs w:val="24"/>
        </w:rPr>
        <w:t>基金管理人在不晚于</w:t>
      </w:r>
      <w:r w:rsidR="00674E25">
        <w:rPr>
          <w:rFonts w:hAnsi="宋体"/>
          <w:szCs w:val="24"/>
        </w:rPr>
        <w:t>每个开放日的次日，通过</w:t>
      </w:r>
      <w:r w:rsidR="00953A11">
        <w:rPr>
          <w:rFonts w:hAnsi="宋体" w:hint="eastAsia"/>
          <w:szCs w:val="24"/>
        </w:rPr>
        <w:t>规定网站</w:t>
      </w:r>
      <w:r w:rsidR="00674E25">
        <w:rPr>
          <w:rFonts w:hAnsi="宋体" w:hint="eastAsia"/>
          <w:szCs w:val="24"/>
        </w:rPr>
        <w:t>披露</w:t>
      </w:r>
      <w:r w:rsidR="00674E25">
        <w:rPr>
          <w:rFonts w:hAnsi="宋体"/>
          <w:szCs w:val="24"/>
        </w:rPr>
        <w:t>开放日的</w:t>
      </w:r>
      <w:r w:rsidR="00674E25">
        <w:rPr>
          <w:rFonts w:hAnsi="宋体" w:hint="eastAsia"/>
          <w:szCs w:val="24"/>
        </w:rPr>
        <w:t>基金</w:t>
      </w:r>
      <w:r w:rsidR="00E53675">
        <w:rPr>
          <w:rFonts w:hAnsi="宋体" w:hint="eastAsia"/>
          <w:szCs w:val="24"/>
        </w:rPr>
        <w:t>份额</w:t>
      </w:r>
      <w:r w:rsidR="00674E25">
        <w:rPr>
          <w:rFonts w:hAnsi="宋体" w:hint="eastAsia"/>
          <w:szCs w:val="24"/>
        </w:rPr>
        <w:t>净值</w:t>
      </w:r>
      <w:r w:rsidR="00E53675">
        <w:rPr>
          <w:rFonts w:hAnsi="宋体" w:hint="eastAsia"/>
          <w:szCs w:val="24"/>
        </w:rPr>
        <w:t>和基金份额累计净值</w:t>
      </w:r>
      <w:r w:rsidR="00674E25">
        <w:rPr>
          <w:rFonts w:hAnsi="宋体" w:hint="eastAsia"/>
          <w:szCs w:val="24"/>
        </w:rPr>
        <w:t>，</w:t>
      </w:r>
      <w:r w:rsidR="00674E25">
        <w:rPr>
          <w:rFonts w:hAnsi="宋体"/>
          <w:szCs w:val="24"/>
        </w:rPr>
        <w:t>并在不晚于半年度和年度最后一日的次日，在</w:t>
      </w:r>
      <w:r w:rsidR="00953A11">
        <w:rPr>
          <w:rFonts w:hAnsi="宋体"/>
          <w:szCs w:val="24"/>
        </w:rPr>
        <w:t>规定网站</w:t>
      </w:r>
      <w:r w:rsidR="00674E25">
        <w:rPr>
          <w:rFonts w:hAnsi="宋体"/>
          <w:szCs w:val="24"/>
        </w:rPr>
        <w:t>披露</w:t>
      </w:r>
      <w:r w:rsidR="00674E25">
        <w:rPr>
          <w:rFonts w:hAnsi="宋体" w:hint="eastAsia"/>
          <w:szCs w:val="24"/>
        </w:rPr>
        <w:t>半年度</w:t>
      </w:r>
      <w:r w:rsidR="00674E25">
        <w:rPr>
          <w:rFonts w:hAnsi="宋体"/>
          <w:szCs w:val="24"/>
        </w:rPr>
        <w:t>和年度最后一日的基金</w:t>
      </w:r>
      <w:r w:rsidR="00E53675">
        <w:rPr>
          <w:rFonts w:hAnsi="宋体" w:hint="eastAsia"/>
          <w:szCs w:val="24"/>
        </w:rPr>
        <w:t>份额</w:t>
      </w:r>
      <w:r w:rsidR="00674E25">
        <w:rPr>
          <w:rFonts w:hAnsi="宋体"/>
          <w:szCs w:val="24"/>
        </w:rPr>
        <w:t>净值</w:t>
      </w:r>
      <w:r w:rsidR="00E53675">
        <w:rPr>
          <w:rFonts w:hAnsi="宋体" w:hint="eastAsia"/>
          <w:szCs w:val="24"/>
        </w:rPr>
        <w:t>和基金份额累计净值</w:t>
      </w:r>
      <w:r w:rsidR="00674E25">
        <w:rPr>
          <w:rFonts w:hAnsi="宋体" w:hint="eastAsia"/>
          <w:szCs w:val="24"/>
        </w:rPr>
        <w:t>。</w:t>
      </w:r>
    </w:p>
    <w:p w14:paraId="59521001" w14:textId="5A68884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sidR="00777C8C">
        <w:rPr>
          <w:rFonts w:hAnsi="宋体" w:hint="eastAsia"/>
          <w:szCs w:val="24"/>
        </w:rPr>
        <w:t>，</w:t>
      </w:r>
      <w:r w:rsidR="00777C8C">
        <w:rPr>
          <w:rFonts w:hAnsi="宋体"/>
          <w:szCs w:val="24"/>
        </w:rPr>
        <w:t>基金托管人对未达成一致意见的</w:t>
      </w:r>
      <w:r w:rsidR="00777C8C">
        <w:rPr>
          <w:rFonts w:hAnsi="宋体" w:hint="eastAsia"/>
          <w:szCs w:val="24"/>
        </w:rPr>
        <w:t>基金净值计算结果不承担任何</w:t>
      </w:r>
      <w:r w:rsidR="00777C8C">
        <w:rPr>
          <w:rFonts w:hAnsi="宋体"/>
          <w:szCs w:val="24"/>
        </w:rPr>
        <w:t>责任</w:t>
      </w:r>
      <w:r>
        <w:rPr>
          <w:rFonts w:hAnsi="宋体" w:hint="eastAsia"/>
          <w:szCs w:val="24"/>
        </w:rPr>
        <w:t>。</w:t>
      </w:r>
    </w:p>
    <w:p w14:paraId="3C3CDBF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8.2基金资产估值方法</w:t>
      </w:r>
    </w:p>
    <w:p w14:paraId="05CF784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8.2.1估值对象</w:t>
      </w:r>
    </w:p>
    <w:p w14:paraId="03455A8A" w14:textId="05CC5B0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基金所拥有的</w:t>
      </w:r>
      <w:r w:rsidRPr="007B0DCD">
        <w:rPr>
          <w:rFonts w:hAnsi="宋体" w:hint="eastAsia"/>
          <w:szCs w:val="24"/>
        </w:rPr>
        <w:t>股票、</w:t>
      </w:r>
      <w:r w:rsidR="00400544" w:rsidRPr="00400544">
        <w:rPr>
          <w:rFonts w:hAnsi="宋体" w:hint="eastAsia"/>
          <w:bCs/>
          <w:szCs w:val="24"/>
        </w:rPr>
        <w:t>国债期货合约、股指期货合约、股票期权合约、债券和银行存款本息、应收款项、信用</w:t>
      </w:r>
      <w:r w:rsidR="00400544" w:rsidRPr="00400544">
        <w:rPr>
          <w:rFonts w:hAnsi="宋体"/>
          <w:bCs/>
          <w:szCs w:val="24"/>
        </w:rPr>
        <w:t>衍生品、</w:t>
      </w:r>
      <w:r w:rsidR="00400544" w:rsidRPr="00400544">
        <w:rPr>
          <w:rFonts w:hAnsi="宋体" w:hint="eastAsia"/>
          <w:bCs/>
          <w:szCs w:val="24"/>
        </w:rPr>
        <w:t>资产支持证券、其它投资等资产及负债</w:t>
      </w:r>
      <w:r>
        <w:rPr>
          <w:rFonts w:hAnsi="宋体" w:hint="eastAsia"/>
          <w:szCs w:val="24"/>
        </w:rPr>
        <w:t>。</w:t>
      </w:r>
    </w:p>
    <w:p w14:paraId="16AF1C7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8.2.2估值方法</w:t>
      </w:r>
    </w:p>
    <w:p w14:paraId="29FA8888" w14:textId="315A976F" w:rsidR="00AB76A9" w:rsidRPr="00AB76A9" w:rsidRDefault="00AB76A9" w:rsidP="006643B1">
      <w:pPr>
        <w:spacing w:line="520" w:lineRule="atLeast"/>
        <w:rPr>
          <w:bCs/>
          <w:sz w:val="24"/>
        </w:rPr>
      </w:pPr>
      <w:r>
        <w:rPr>
          <w:rFonts w:ascii="宋体" w:hint="eastAsia"/>
          <w:bCs/>
          <w:sz w:val="24"/>
        </w:rPr>
        <w:lastRenderedPageBreak/>
        <w:t xml:space="preserve">    </w:t>
      </w:r>
      <w:r w:rsidRPr="00AB76A9">
        <w:rPr>
          <w:rFonts w:hint="eastAsia"/>
          <w:bCs/>
          <w:sz w:val="24"/>
        </w:rPr>
        <w:t>（</w:t>
      </w:r>
      <w:r w:rsidRPr="00AB76A9">
        <w:rPr>
          <w:rFonts w:hint="eastAsia"/>
          <w:bCs/>
          <w:sz w:val="24"/>
        </w:rPr>
        <w:t>1</w:t>
      </w:r>
      <w:r w:rsidRPr="00AB76A9">
        <w:rPr>
          <w:rFonts w:hint="eastAsia"/>
          <w:bCs/>
          <w:sz w:val="24"/>
        </w:rPr>
        <w:t>）证券交易所上市的有价证券的估值：</w:t>
      </w:r>
    </w:p>
    <w:p w14:paraId="0B548A5F" w14:textId="4EC57663" w:rsidR="00AB76A9" w:rsidRPr="00AB76A9" w:rsidRDefault="00AB76A9" w:rsidP="006643B1">
      <w:pPr>
        <w:spacing w:line="520" w:lineRule="atLeast"/>
        <w:ind w:firstLineChars="200" w:firstLine="480"/>
        <w:rPr>
          <w:bCs/>
          <w:sz w:val="24"/>
        </w:rPr>
      </w:pPr>
      <w:r w:rsidRPr="00AB76A9">
        <w:rPr>
          <w:rFonts w:hint="eastAsia"/>
          <w:bCs/>
          <w:sz w:val="24"/>
        </w:rPr>
        <w:t>①交易所上市的有价证券</w:t>
      </w:r>
      <w:r w:rsidRPr="00AB76A9">
        <w:rPr>
          <w:rFonts w:hint="eastAsia"/>
          <w:bCs/>
          <w:sz w:val="24"/>
        </w:rPr>
        <w:t>(</w:t>
      </w:r>
      <w:r w:rsidRPr="00AB76A9">
        <w:rPr>
          <w:rFonts w:hint="eastAsia"/>
          <w:bCs/>
          <w:sz w:val="24"/>
        </w:rPr>
        <w:t>包括股票等</w:t>
      </w:r>
      <w:r w:rsidRPr="00AB76A9">
        <w:rPr>
          <w:rFonts w:hint="eastAsia"/>
          <w:bCs/>
          <w:sz w:val="24"/>
        </w:rPr>
        <w:t>)</w:t>
      </w:r>
      <w:r w:rsidRPr="00AB76A9">
        <w:rPr>
          <w:rFonts w:hint="eastAsia"/>
          <w:bCs/>
          <w:sz w:val="24"/>
        </w:rPr>
        <w:t>，以其估值日在证券交易所挂牌的市价（收盘价）估值；估值日无交易的，且最近交易日后经济环境未发生重大变化</w:t>
      </w:r>
      <w:r w:rsidR="00A42CF9">
        <w:rPr>
          <w:rFonts w:hint="eastAsia"/>
          <w:bCs/>
          <w:sz w:val="24"/>
        </w:rPr>
        <w:t>或</w:t>
      </w:r>
      <w:r w:rsidRPr="00AB76A9">
        <w:rPr>
          <w:rFonts w:hint="eastAsia"/>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54D247F" w14:textId="2799464F" w:rsidR="00AB76A9" w:rsidRPr="00AB76A9" w:rsidRDefault="00AB76A9" w:rsidP="006643B1">
      <w:pPr>
        <w:spacing w:line="520" w:lineRule="atLeast"/>
        <w:ind w:firstLineChars="200" w:firstLine="480"/>
        <w:rPr>
          <w:bCs/>
          <w:sz w:val="24"/>
        </w:rPr>
      </w:pPr>
      <w:r w:rsidRPr="00AB76A9">
        <w:rPr>
          <w:rFonts w:hint="eastAsia"/>
          <w:bCs/>
          <w:sz w:val="24"/>
        </w:rPr>
        <w:t>②</w:t>
      </w:r>
      <w:r w:rsidR="00D52A85" w:rsidRPr="00D52A85">
        <w:rPr>
          <w:bCs/>
          <w:sz w:val="24"/>
        </w:rPr>
        <w:t>交易所上市交易或挂牌转让的固定收益品种</w:t>
      </w:r>
      <w:r w:rsidR="00FE19F0">
        <w:rPr>
          <w:rFonts w:hint="eastAsia"/>
          <w:bCs/>
          <w:sz w:val="24"/>
        </w:rPr>
        <w:t>（</w:t>
      </w:r>
      <w:r w:rsidR="00D52A85" w:rsidRPr="00D52A85">
        <w:rPr>
          <w:rFonts w:hint="eastAsia"/>
          <w:bCs/>
          <w:sz w:val="24"/>
        </w:rPr>
        <w:t>基金合同另有规定的除外）</w:t>
      </w:r>
      <w:r w:rsidR="00D52A85" w:rsidRPr="00D52A85">
        <w:rPr>
          <w:bCs/>
          <w:sz w:val="24"/>
        </w:rPr>
        <w:t>，选取估值日第三方估值机构提供的相应品种当日的估值净价进行估值</w:t>
      </w:r>
      <w:r w:rsidR="00D52A85" w:rsidRPr="00D52A85">
        <w:rPr>
          <w:rFonts w:hint="eastAsia"/>
          <w:bCs/>
          <w:sz w:val="24"/>
        </w:rPr>
        <w:t>，具体估值机构由基金管理人与基金托管人另行协商约定</w:t>
      </w:r>
      <w:r w:rsidRPr="00AB76A9">
        <w:rPr>
          <w:rFonts w:hint="eastAsia"/>
          <w:bCs/>
          <w:sz w:val="24"/>
        </w:rPr>
        <w:t>；</w:t>
      </w:r>
    </w:p>
    <w:p w14:paraId="3B7DE8A4" w14:textId="1761E441" w:rsidR="00AB76A9" w:rsidRPr="00AB76A9" w:rsidRDefault="00AB76A9" w:rsidP="006643B1">
      <w:pPr>
        <w:spacing w:line="520" w:lineRule="atLeast"/>
        <w:ind w:firstLineChars="200" w:firstLine="480"/>
        <w:rPr>
          <w:bCs/>
          <w:sz w:val="24"/>
        </w:rPr>
      </w:pPr>
      <w:r w:rsidRPr="00AB76A9">
        <w:rPr>
          <w:rFonts w:hint="eastAsia"/>
          <w:bCs/>
          <w:sz w:val="24"/>
        </w:rPr>
        <w:t>③</w:t>
      </w:r>
      <w:r w:rsidR="00551DD9" w:rsidRPr="00551DD9">
        <w:rPr>
          <w:bCs/>
          <w:sz w:val="24"/>
        </w:rPr>
        <w:t>交易所上市交易的可转换债券</w:t>
      </w:r>
      <w:r w:rsidR="00551DD9" w:rsidRPr="00551DD9">
        <w:rPr>
          <w:rFonts w:hint="eastAsia"/>
          <w:bCs/>
          <w:sz w:val="24"/>
        </w:rPr>
        <w:t>（含可交换债券）以每日收盘价作为估值全价；交易所上市实行全价交易的债券（可转债除外），选取第三方估值机构提供的估值全价减去估值全价中所含的债券（税后）应收利息得到的净价进行估值</w:t>
      </w:r>
      <w:r w:rsidRPr="00AB76A9">
        <w:rPr>
          <w:rFonts w:hint="eastAsia"/>
          <w:bCs/>
          <w:sz w:val="24"/>
        </w:rPr>
        <w:t>；</w:t>
      </w:r>
    </w:p>
    <w:p w14:paraId="6852A083" w14:textId="217E5FEA" w:rsidR="00AB76A9" w:rsidRPr="00AB76A9" w:rsidRDefault="00AB76A9" w:rsidP="006643B1">
      <w:pPr>
        <w:spacing w:line="520" w:lineRule="atLeast"/>
        <w:ind w:firstLineChars="200" w:firstLine="480"/>
        <w:rPr>
          <w:bCs/>
          <w:sz w:val="24"/>
        </w:rPr>
      </w:pPr>
      <w:r w:rsidRPr="00AB76A9">
        <w:rPr>
          <w:rFonts w:hint="eastAsia"/>
          <w:bCs/>
          <w:sz w:val="24"/>
        </w:rPr>
        <w:t>④交易所上市不存在活跃市场的有价证券，采用估值技术确定公允价值。交易所上市的资产支持证券，采用估值技术确定公允价值，在估值技术难以可靠计量公允价值的情况下，按成本估值。</w:t>
      </w:r>
    </w:p>
    <w:p w14:paraId="44E49FA0" w14:textId="77777777" w:rsidR="00AB76A9" w:rsidRPr="00AB76A9" w:rsidRDefault="00AB76A9" w:rsidP="006643B1">
      <w:pPr>
        <w:spacing w:line="520" w:lineRule="atLeast"/>
        <w:ind w:firstLineChars="200" w:firstLine="480"/>
        <w:rPr>
          <w:bCs/>
          <w:sz w:val="24"/>
        </w:rPr>
      </w:pPr>
      <w:r w:rsidRPr="00AB76A9">
        <w:rPr>
          <w:rFonts w:hint="eastAsia"/>
          <w:bCs/>
          <w:sz w:val="24"/>
        </w:rPr>
        <w:t>（</w:t>
      </w:r>
      <w:r w:rsidRPr="00AB76A9">
        <w:rPr>
          <w:rFonts w:hint="eastAsia"/>
          <w:bCs/>
          <w:sz w:val="24"/>
        </w:rPr>
        <w:t>2</w:t>
      </w:r>
      <w:r w:rsidRPr="00AB76A9">
        <w:rPr>
          <w:rFonts w:hint="eastAsia"/>
          <w:bCs/>
          <w:sz w:val="24"/>
        </w:rPr>
        <w:t>）处于未上市期间的有价证券应区分如下情况处理：</w:t>
      </w:r>
    </w:p>
    <w:p w14:paraId="11CC9565" w14:textId="77777777" w:rsidR="00AB76A9" w:rsidRPr="00AB76A9" w:rsidRDefault="00AB76A9" w:rsidP="006643B1">
      <w:pPr>
        <w:spacing w:line="520" w:lineRule="atLeast"/>
        <w:ind w:firstLineChars="200" w:firstLine="480"/>
        <w:rPr>
          <w:bCs/>
          <w:sz w:val="24"/>
        </w:rPr>
      </w:pPr>
      <w:r w:rsidRPr="00AB76A9">
        <w:rPr>
          <w:rFonts w:hint="eastAsia"/>
          <w:bCs/>
          <w:sz w:val="24"/>
        </w:rPr>
        <w:t>①送股、转增股、配股和公开增发的新股，按估值日在证券交易所挂牌的同一股票的估值方法估值；该日无交易的，以最近一日的市价（收盘价）估值；</w:t>
      </w:r>
    </w:p>
    <w:p w14:paraId="708BF61E" w14:textId="100622B3" w:rsidR="00AB76A9" w:rsidRPr="00AB76A9" w:rsidRDefault="00AB76A9" w:rsidP="006643B1">
      <w:pPr>
        <w:spacing w:line="520" w:lineRule="atLeast"/>
        <w:ind w:firstLineChars="200" w:firstLine="480"/>
        <w:rPr>
          <w:bCs/>
          <w:sz w:val="24"/>
        </w:rPr>
      </w:pPr>
      <w:r w:rsidRPr="00AB76A9">
        <w:rPr>
          <w:rFonts w:hint="eastAsia"/>
          <w:bCs/>
          <w:sz w:val="24"/>
        </w:rPr>
        <w:t>②首次公开发行未上市的股票、债券，采用估值技术确定公允价值，在估值技术难以可靠计量公允价值的情况下，按成本估值；</w:t>
      </w:r>
    </w:p>
    <w:p w14:paraId="446DC01B" w14:textId="01966EE4" w:rsidR="00AB76A9" w:rsidRPr="00AB76A9" w:rsidRDefault="00AB76A9" w:rsidP="006643B1">
      <w:pPr>
        <w:spacing w:line="520" w:lineRule="atLeast"/>
        <w:ind w:firstLineChars="200" w:firstLine="480"/>
        <w:rPr>
          <w:bCs/>
          <w:sz w:val="24"/>
        </w:rPr>
      </w:pPr>
      <w:r w:rsidRPr="00AB76A9">
        <w:rPr>
          <w:rFonts w:hint="eastAsia"/>
          <w:bCs/>
          <w:sz w:val="24"/>
        </w:rPr>
        <w:t>③</w:t>
      </w:r>
      <w:r w:rsidR="00875A71" w:rsidRPr="00875A71">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AB76A9">
        <w:rPr>
          <w:rFonts w:hint="eastAsia"/>
          <w:bCs/>
          <w:sz w:val="24"/>
        </w:rPr>
        <w:t>。</w:t>
      </w:r>
    </w:p>
    <w:p w14:paraId="416F922B" w14:textId="7468E14F" w:rsidR="00AB76A9" w:rsidRPr="00AB76A9" w:rsidRDefault="00AB76A9" w:rsidP="006643B1">
      <w:pPr>
        <w:spacing w:line="520" w:lineRule="atLeast"/>
        <w:ind w:firstLineChars="200" w:firstLine="480"/>
        <w:rPr>
          <w:bCs/>
          <w:sz w:val="24"/>
        </w:rPr>
      </w:pPr>
      <w:r w:rsidRPr="00AB76A9">
        <w:rPr>
          <w:rFonts w:hint="eastAsia"/>
          <w:bCs/>
          <w:sz w:val="24"/>
        </w:rPr>
        <w:t>（</w:t>
      </w:r>
      <w:r w:rsidRPr="00AB76A9">
        <w:rPr>
          <w:rFonts w:hint="eastAsia"/>
          <w:bCs/>
          <w:sz w:val="24"/>
        </w:rPr>
        <w:t>3</w:t>
      </w:r>
      <w:r w:rsidRPr="00AB76A9">
        <w:rPr>
          <w:rFonts w:hint="eastAsia"/>
          <w:bCs/>
          <w:sz w:val="24"/>
        </w:rPr>
        <w:t>）</w:t>
      </w:r>
      <w:r w:rsidR="004A5137" w:rsidRPr="004A5137">
        <w:rPr>
          <w:rFonts w:hint="eastAsia"/>
          <w:bCs/>
          <w:sz w:val="24"/>
        </w:rPr>
        <w:t>全国银行间债券市场交易的债券、资产支持证券等固定收益品种，以第三方估值机构提供的估值净价估值；对银行间市场未上市，且第三方估值机构未提供估值价格的债券、资产支持证券等固定收益品种，按成本估值</w:t>
      </w:r>
      <w:r w:rsidRPr="00AB76A9">
        <w:rPr>
          <w:rFonts w:hint="eastAsia"/>
          <w:bCs/>
          <w:sz w:val="24"/>
        </w:rPr>
        <w:t>。</w:t>
      </w:r>
    </w:p>
    <w:p w14:paraId="70474499" w14:textId="08B71732" w:rsidR="00AB76A9" w:rsidRPr="00AB76A9" w:rsidRDefault="00AB76A9" w:rsidP="006643B1">
      <w:pPr>
        <w:spacing w:line="520" w:lineRule="atLeast"/>
        <w:ind w:firstLineChars="200" w:firstLine="480"/>
        <w:rPr>
          <w:bCs/>
          <w:sz w:val="24"/>
        </w:rPr>
      </w:pPr>
      <w:r w:rsidRPr="00AB76A9">
        <w:rPr>
          <w:rFonts w:hint="eastAsia"/>
          <w:bCs/>
          <w:sz w:val="24"/>
        </w:rPr>
        <w:lastRenderedPageBreak/>
        <w:t>（</w:t>
      </w:r>
      <w:r w:rsidRPr="00AB76A9">
        <w:rPr>
          <w:rFonts w:hint="eastAsia"/>
          <w:bCs/>
          <w:sz w:val="24"/>
        </w:rPr>
        <w:t>4</w:t>
      </w:r>
      <w:r w:rsidRPr="00AB76A9">
        <w:rPr>
          <w:rFonts w:hint="eastAsia"/>
          <w:bCs/>
          <w:sz w:val="24"/>
        </w:rPr>
        <w:t>）同一债券</w:t>
      </w:r>
      <w:r w:rsidR="00B657A6" w:rsidRPr="00B657A6">
        <w:rPr>
          <w:rFonts w:hint="eastAsia"/>
          <w:bCs/>
          <w:sz w:val="24"/>
        </w:rPr>
        <w:t>或股票</w:t>
      </w:r>
      <w:r w:rsidRPr="00AB76A9">
        <w:rPr>
          <w:rFonts w:hint="eastAsia"/>
          <w:bCs/>
          <w:sz w:val="24"/>
        </w:rPr>
        <w:t>同时在两个或两个以上市场交易的，按债券</w:t>
      </w:r>
      <w:r w:rsidR="00B657A6" w:rsidRPr="00B657A6">
        <w:rPr>
          <w:rFonts w:hint="eastAsia"/>
          <w:bCs/>
          <w:sz w:val="24"/>
        </w:rPr>
        <w:t>或股票</w:t>
      </w:r>
      <w:r w:rsidRPr="00AB76A9">
        <w:rPr>
          <w:rFonts w:hint="eastAsia"/>
          <w:bCs/>
          <w:sz w:val="24"/>
        </w:rPr>
        <w:t>所处的市场分别估值。</w:t>
      </w:r>
    </w:p>
    <w:p w14:paraId="791F9EA2" w14:textId="7FA37F1B" w:rsidR="00AB76A9" w:rsidRPr="00AB76A9" w:rsidRDefault="00AB76A9" w:rsidP="006643B1">
      <w:pPr>
        <w:spacing w:line="520" w:lineRule="atLeast"/>
        <w:ind w:firstLineChars="200" w:firstLine="480"/>
        <w:rPr>
          <w:bCs/>
          <w:sz w:val="24"/>
        </w:rPr>
      </w:pPr>
      <w:r w:rsidRPr="00AB76A9">
        <w:rPr>
          <w:rFonts w:hint="eastAsia"/>
          <w:bCs/>
          <w:sz w:val="24"/>
        </w:rPr>
        <w:t>（</w:t>
      </w:r>
      <w:r w:rsidRPr="00AB76A9">
        <w:rPr>
          <w:rFonts w:hint="eastAsia"/>
          <w:bCs/>
          <w:sz w:val="24"/>
        </w:rPr>
        <w:t>5</w:t>
      </w:r>
      <w:r w:rsidRPr="00AB76A9">
        <w:rPr>
          <w:rFonts w:hint="eastAsia"/>
          <w:bCs/>
          <w:sz w:val="24"/>
        </w:rPr>
        <w:t>）本基金投资股指期货、国债期货</w:t>
      </w:r>
      <w:r w:rsidR="005033BA" w:rsidRPr="005033BA">
        <w:rPr>
          <w:rFonts w:hint="eastAsia"/>
          <w:bCs/>
          <w:sz w:val="24"/>
        </w:rPr>
        <w:t>、股票期权</w:t>
      </w:r>
      <w:r w:rsidRPr="00AB76A9">
        <w:rPr>
          <w:rFonts w:hint="eastAsia"/>
          <w:bCs/>
          <w:sz w:val="24"/>
        </w:rPr>
        <w:t>合约，一般以估值当日</w:t>
      </w:r>
      <w:r w:rsidR="00E52A9A">
        <w:rPr>
          <w:rFonts w:hint="eastAsia"/>
          <w:bCs/>
          <w:sz w:val="24"/>
        </w:rPr>
        <w:t>的</w:t>
      </w:r>
      <w:r w:rsidRPr="00AB76A9">
        <w:rPr>
          <w:rFonts w:hint="eastAsia"/>
          <w:bCs/>
          <w:sz w:val="24"/>
        </w:rPr>
        <w:t>结算价估值，估值当日无结算价的，且最近交易日后经济环境未发生重大变化的，采用最近交易日结算价估值。</w:t>
      </w:r>
    </w:p>
    <w:p w14:paraId="382B1B83" w14:textId="77777777" w:rsidR="0013126F" w:rsidRPr="0013126F" w:rsidRDefault="00AB76A9" w:rsidP="0013126F">
      <w:pPr>
        <w:spacing w:line="520" w:lineRule="atLeast"/>
        <w:ind w:firstLineChars="200" w:firstLine="480"/>
        <w:rPr>
          <w:bCs/>
          <w:sz w:val="24"/>
        </w:rPr>
      </w:pPr>
      <w:r w:rsidRPr="00AB76A9">
        <w:rPr>
          <w:rFonts w:hint="eastAsia"/>
          <w:bCs/>
          <w:sz w:val="24"/>
        </w:rPr>
        <w:t>（</w:t>
      </w:r>
      <w:r w:rsidRPr="00AB76A9">
        <w:rPr>
          <w:rFonts w:hint="eastAsia"/>
          <w:bCs/>
          <w:sz w:val="24"/>
        </w:rPr>
        <w:t>6</w:t>
      </w:r>
      <w:r w:rsidRPr="00AB76A9">
        <w:rPr>
          <w:rFonts w:hint="eastAsia"/>
          <w:bCs/>
          <w:sz w:val="24"/>
        </w:rPr>
        <w:t>）</w:t>
      </w:r>
      <w:r w:rsidR="0013126F" w:rsidRPr="0013126F">
        <w:rPr>
          <w:rFonts w:hint="eastAsia"/>
          <w:bCs/>
          <w:sz w:val="24"/>
        </w:rPr>
        <w:t>持有的银行定期存款或通知存款以本金列示，按相应利率逐日计提利息。</w:t>
      </w:r>
    </w:p>
    <w:p w14:paraId="68CB415C" w14:textId="4AFF79FC" w:rsidR="0013126F" w:rsidRPr="0013126F" w:rsidRDefault="0013126F" w:rsidP="0013126F">
      <w:pPr>
        <w:spacing w:line="520" w:lineRule="atLeast"/>
        <w:ind w:firstLineChars="200" w:firstLine="480"/>
        <w:rPr>
          <w:bCs/>
          <w:sz w:val="24"/>
        </w:rPr>
      </w:pPr>
      <w:r>
        <w:rPr>
          <w:rFonts w:hint="eastAsia"/>
          <w:bCs/>
          <w:sz w:val="24"/>
        </w:rPr>
        <w:t>（</w:t>
      </w:r>
      <w:r w:rsidRPr="0013126F">
        <w:rPr>
          <w:bCs/>
          <w:sz w:val="24"/>
        </w:rPr>
        <w:t>7</w:t>
      </w:r>
      <w:r>
        <w:rPr>
          <w:rFonts w:hint="eastAsia"/>
          <w:bCs/>
          <w:sz w:val="24"/>
        </w:rPr>
        <w:t>）</w:t>
      </w:r>
      <w:r w:rsidRPr="0013126F">
        <w:rPr>
          <w:rFonts w:hint="eastAsia"/>
          <w:bCs/>
          <w:sz w:val="24"/>
        </w:rPr>
        <w:t>估值计算中涉及港币对人民币汇率的，应当以基金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59DB95FC" w14:textId="77777777" w:rsidR="0013126F" w:rsidRDefault="0013126F" w:rsidP="0013126F">
      <w:pPr>
        <w:spacing w:line="520" w:lineRule="atLeast"/>
        <w:ind w:firstLineChars="200" w:firstLine="480"/>
        <w:rPr>
          <w:bCs/>
          <w:sz w:val="24"/>
        </w:rPr>
      </w:pPr>
      <w:r>
        <w:rPr>
          <w:rFonts w:hint="eastAsia"/>
          <w:bCs/>
          <w:sz w:val="24"/>
        </w:rPr>
        <w:t>（</w:t>
      </w:r>
      <w:r>
        <w:rPr>
          <w:rFonts w:hint="eastAsia"/>
          <w:bCs/>
          <w:sz w:val="24"/>
        </w:rPr>
        <w:t>8</w:t>
      </w:r>
      <w:r>
        <w:rPr>
          <w:rFonts w:hint="eastAsia"/>
          <w:bCs/>
          <w:sz w:val="24"/>
        </w:rPr>
        <w:t>）</w:t>
      </w:r>
      <w:r w:rsidRPr="0013126F">
        <w:rPr>
          <w:rFonts w:hint="eastAsia"/>
          <w:bCs/>
          <w:sz w:val="24"/>
        </w:rPr>
        <w:t>信用衍生品按第三方估值机构提供的当日估值价格进行估值，但基金管理人依法应当承担的估值责任不应委托而免除；选定的第三方估值机构未提供估值价格的，依照有关法律法规及《企业会计准则》要求采用合理估值技术确定公允价值。</w:t>
      </w:r>
    </w:p>
    <w:p w14:paraId="4D15B333" w14:textId="2F138EC8" w:rsidR="00AB76A9" w:rsidRPr="00AB76A9" w:rsidRDefault="0013126F" w:rsidP="0013126F">
      <w:pPr>
        <w:spacing w:line="520" w:lineRule="atLeast"/>
        <w:ind w:firstLineChars="200" w:firstLine="480"/>
        <w:rPr>
          <w:bCs/>
          <w:sz w:val="24"/>
        </w:rPr>
      </w:pPr>
      <w:r>
        <w:rPr>
          <w:rFonts w:hint="eastAsia"/>
          <w:bCs/>
          <w:sz w:val="24"/>
        </w:rPr>
        <w:t>（</w:t>
      </w:r>
      <w:r>
        <w:rPr>
          <w:rFonts w:hint="eastAsia"/>
          <w:bCs/>
          <w:sz w:val="24"/>
        </w:rPr>
        <w:t>9</w:t>
      </w:r>
      <w:r>
        <w:rPr>
          <w:rFonts w:hint="eastAsia"/>
          <w:bCs/>
          <w:sz w:val="24"/>
        </w:rPr>
        <w:t>）</w:t>
      </w:r>
      <w:r w:rsidR="00AB76A9" w:rsidRPr="00AB76A9">
        <w:rPr>
          <w:rFonts w:hint="eastAsia"/>
          <w:bCs/>
          <w:sz w:val="24"/>
        </w:rPr>
        <w:t>如有确凿证据表明按上述方法进行估值不能客观反映其公允价值的，基金管理人可根据具体情况与基金托管人商定后，按最能反映公允价值的价格估值。</w:t>
      </w:r>
    </w:p>
    <w:p w14:paraId="5488793A" w14:textId="2DE9AF52" w:rsidR="00AB76A9" w:rsidRPr="00AB76A9" w:rsidRDefault="00AB76A9" w:rsidP="006643B1">
      <w:pPr>
        <w:spacing w:line="520" w:lineRule="atLeast"/>
        <w:ind w:firstLineChars="200" w:firstLine="480"/>
        <w:rPr>
          <w:bCs/>
          <w:sz w:val="24"/>
        </w:rPr>
      </w:pPr>
      <w:r w:rsidRPr="00AB76A9">
        <w:rPr>
          <w:rFonts w:hint="eastAsia"/>
          <w:bCs/>
          <w:sz w:val="24"/>
        </w:rPr>
        <w:t>（</w:t>
      </w:r>
      <w:r w:rsidR="00B36D5B">
        <w:rPr>
          <w:bCs/>
          <w:sz w:val="24"/>
        </w:rPr>
        <w:t>10</w:t>
      </w:r>
      <w:r w:rsidRPr="00AB76A9">
        <w:rPr>
          <w:rFonts w:hint="eastAsia"/>
          <w:bCs/>
          <w:sz w:val="24"/>
        </w:rPr>
        <w:t>）相关法律法规以及监管部门有强制规定的，从其规定。如有新增事项，按国家最新规定估值。</w:t>
      </w:r>
    </w:p>
    <w:p w14:paraId="06EE398F" w14:textId="62F7721A" w:rsidR="00AB76A9" w:rsidRDefault="00D40F8E" w:rsidP="006643B1">
      <w:pPr>
        <w:spacing w:line="520" w:lineRule="atLeast"/>
        <w:rPr>
          <w:bCs/>
          <w:sz w:val="24"/>
        </w:rPr>
      </w:pPr>
      <w:r>
        <w:rPr>
          <w:rFonts w:hint="eastAsia"/>
          <w:bCs/>
          <w:sz w:val="24"/>
        </w:rPr>
        <w:t xml:space="preserve">    </w:t>
      </w:r>
      <w:r w:rsidR="00AB76A9" w:rsidRPr="00AB76A9">
        <w:rPr>
          <w:rFonts w:hint="eastAsia"/>
          <w:bCs/>
          <w:sz w:val="24"/>
        </w:rPr>
        <w:t>（</w:t>
      </w:r>
      <w:r w:rsidR="00B36D5B">
        <w:rPr>
          <w:rFonts w:hint="eastAsia"/>
          <w:bCs/>
          <w:sz w:val="24"/>
        </w:rPr>
        <w:t>1</w:t>
      </w:r>
      <w:r w:rsidR="00B36D5B">
        <w:rPr>
          <w:bCs/>
          <w:sz w:val="24"/>
        </w:rPr>
        <w:t>1</w:t>
      </w:r>
      <w:r w:rsidR="00AB76A9" w:rsidRPr="00AB76A9">
        <w:rPr>
          <w:rFonts w:hint="eastAsia"/>
          <w:bCs/>
          <w:sz w:val="24"/>
        </w:rPr>
        <w:t>）当发生大额申购或赎回情形时，基金管理人可以采用摆动定价机制，以确保基金估值的公平性。</w:t>
      </w:r>
    </w:p>
    <w:p w14:paraId="3BED0E5F" w14:textId="77777777" w:rsidR="00B61FF9" w:rsidRDefault="001B0A60" w:rsidP="006643B1">
      <w:pPr>
        <w:spacing w:line="520" w:lineRule="atLeast"/>
        <w:ind w:firstLineChars="200" w:firstLine="480"/>
      </w:pPr>
      <w:r>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D38DE" w14:textId="458719C7" w:rsidR="00B61FF9" w:rsidRDefault="001B0A60" w:rsidP="006643B1">
      <w:pPr>
        <w:pStyle w:val="20"/>
        <w:spacing w:before="0" w:after="0" w:line="520" w:lineRule="atLeast"/>
        <w:ind w:left="0" w:firstLineChars="200" w:firstLine="480"/>
        <w:rPr>
          <w:rFonts w:hAnsi="宋体"/>
          <w:szCs w:val="24"/>
        </w:rPr>
      </w:pPr>
      <w:r>
        <w:rPr>
          <w:rFonts w:hint="eastAsia"/>
          <w:bCs/>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00777C8C">
        <w:rPr>
          <w:rFonts w:hAnsi="宋体" w:hint="eastAsia"/>
          <w:szCs w:val="24"/>
        </w:rPr>
        <w:t>，</w:t>
      </w:r>
      <w:r w:rsidR="00777C8C">
        <w:rPr>
          <w:rFonts w:hAnsi="宋体"/>
          <w:szCs w:val="24"/>
        </w:rPr>
        <w:t>基金托管人对未达成一致意见的</w:t>
      </w:r>
      <w:r w:rsidR="00777C8C">
        <w:rPr>
          <w:rFonts w:hAnsi="宋体" w:hint="eastAsia"/>
          <w:szCs w:val="24"/>
        </w:rPr>
        <w:t>基金净值计</w:t>
      </w:r>
      <w:r w:rsidR="00777C8C">
        <w:rPr>
          <w:rFonts w:hAnsi="宋体" w:hint="eastAsia"/>
          <w:szCs w:val="24"/>
        </w:rPr>
        <w:lastRenderedPageBreak/>
        <w:t>算结果不承担任何</w:t>
      </w:r>
      <w:r w:rsidR="00777C8C">
        <w:rPr>
          <w:rFonts w:hAnsi="宋体"/>
          <w:szCs w:val="24"/>
        </w:rPr>
        <w:t>责任</w:t>
      </w:r>
      <w:r>
        <w:rPr>
          <w:rFonts w:hAnsi="宋体" w:hint="eastAsia"/>
          <w:szCs w:val="24"/>
        </w:rPr>
        <w:t>。</w:t>
      </w:r>
    </w:p>
    <w:p w14:paraId="7D8B54C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8.3估值差错处理</w:t>
      </w:r>
    </w:p>
    <w:p w14:paraId="653FE54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8.3.1因基金估值错误给投资人造成损失的应先由基金管理人承担，基金管理人对不应由其承担的责任，有权向过错人追偿。</w:t>
      </w:r>
    </w:p>
    <w:p w14:paraId="5F4BBB38" w14:textId="5BCAEB7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8.3.2当基金管理人计算的基金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5B41C1B3" w14:textId="68163D74" w:rsidR="00B61FF9" w:rsidRDefault="001B0A60" w:rsidP="002B2B46">
      <w:pPr>
        <w:pStyle w:val="20"/>
        <w:spacing w:before="0" w:after="0" w:line="520" w:lineRule="atLeast"/>
        <w:ind w:left="0" w:firstLineChars="200" w:firstLine="480"/>
        <w:rPr>
          <w:rFonts w:hAnsi="宋体"/>
          <w:szCs w:val="24"/>
        </w:rPr>
      </w:pPr>
      <w:r>
        <w:rPr>
          <w:rFonts w:hAnsi="宋体" w:hint="eastAsia"/>
          <w:szCs w:val="24"/>
        </w:rPr>
        <w:t>8.3.3由于一方当事人提供的信息错误，另一方当事人在采取了必要合理的措施后仍不能发现该错误，进而导致基金净值计算错误造成投资人或基金的损失，以及由此造成以后交易日基金净值计算顺延错误而引起的投资人或基金的损失，由提供错误信息的当事人一方负责赔偿。</w:t>
      </w:r>
    </w:p>
    <w:p w14:paraId="04B0D6E8" w14:textId="3840877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8.3.</w:t>
      </w:r>
      <w:r w:rsidR="00C15064">
        <w:rPr>
          <w:rFonts w:hAnsi="宋体"/>
          <w:szCs w:val="24"/>
        </w:rPr>
        <w:t>4</w:t>
      </w:r>
      <w:r>
        <w:rPr>
          <w:rFonts w:hAnsi="宋体" w:hint="eastAsia"/>
          <w:szCs w:val="24"/>
        </w:rPr>
        <w:t>当基金管理人计算的基金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7E6B3578" w14:textId="4434751F" w:rsidR="00777C8C" w:rsidRDefault="00777C8C" w:rsidP="006643B1">
      <w:pPr>
        <w:pStyle w:val="20"/>
        <w:spacing w:before="0" w:after="0" w:line="520" w:lineRule="atLeast"/>
        <w:ind w:left="0" w:firstLineChars="200" w:firstLine="480"/>
        <w:rPr>
          <w:rFonts w:hAnsi="宋体"/>
          <w:szCs w:val="24"/>
        </w:rPr>
      </w:pPr>
      <w:r>
        <w:rPr>
          <w:rFonts w:hAnsi="宋体" w:hint="eastAsia"/>
          <w:szCs w:val="24"/>
        </w:rPr>
        <w:t>8.3.</w:t>
      </w:r>
      <w:r w:rsidR="00C15064">
        <w:rPr>
          <w:rFonts w:hAnsi="宋体"/>
          <w:szCs w:val="24"/>
        </w:rPr>
        <w:t>5</w:t>
      </w:r>
      <w:r w:rsidRPr="00BA6DFF">
        <w:rPr>
          <w:rFonts w:hAnsi="宋体" w:hint="eastAsia"/>
          <w:szCs w:val="24"/>
        </w:rPr>
        <w:t>基金管理人及基金托管人</w:t>
      </w:r>
      <w:r w:rsidR="0069476A">
        <w:rPr>
          <w:rFonts w:hAnsi="宋体" w:hint="eastAsia"/>
          <w:szCs w:val="24"/>
        </w:rPr>
        <w:t>基金份额净值计算</w:t>
      </w:r>
      <w:r w:rsidR="001A77E6" w:rsidRPr="001A77E6">
        <w:rPr>
          <w:rFonts w:hAnsi="宋体" w:hint="eastAsia"/>
          <w:szCs w:val="24"/>
        </w:rPr>
        <w:t>错误偏差达到基金份额净值的0.25%时，基金管理人应当通报基金托管人并报中国证监会备案；错误偏差达到基金份额净值的0.5%时，基金管理人应当公告，并报中国证监会备案。</w:t>
      </w:r>
    </w:p>
    <w:p w14:paraId="0F3144D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8.4基金账册的建立</w:t>
      </w:r>
    </w:p>
    <w:p w14:paraId="7029EB2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32F2038" w14:textId="04B2863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11F3D14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8.5基金定期报告的编制和复核</w:t>
      </w:r>
    </w:p>
    <w:p w14:paraId="3DE2BD04" w14:textId="5531C433" w:rsidR="005B7532" w:rsidRDefault="001B0A60" w:rsidP="006643B1">
      <w:pPr>
        <w:pStyle w:val="20"/>
        <w:spacing w:before="0" w:after="0" w:line="520" w:lineRule="atLeast"/>
        <w:ind w:left="0" w:firstLineChars="200" w:firstLine="480"/>
        <w:rPr>
          <w:rFonts w:hAnsi="宋体"/>
          <w:szCs w:val="24"/>
        </w:rPr>
      </w:pPr>
      <w:r>
        <w:rPr>
          <w:rFonts w:hAnsi="宋体" w:hint="eastAsia"/>
          <w:szCs w:val="24"/>
        </w:rPr>
        <w:t>8.5.1基金财务</w:t>
      </w:r>
      <w:r w:rsidR="00777C8C">
        <w:rPr>
          <w:rFonts w:hAnsi="宋体" w:hint="eastAsia"/>
          <w:szCs w:val="24"/>
        </w:rPr>
        <w:t>报告</w:t>
      </w:r>
      <w:r>
        <w:rPr>
          <w:rFonts w:hAnsi="宋体" w:hint="eastAsia"/>
          <w:szCs w:val="24"/>
        </w:rPr>
        <w:t>由基金管理人编制</w:t>
      </w:r>
      <w:r w:rsidR="00777C8C">
        <w:rPr>
          <w:rFonts w:hAnsi="宋体" w:hint="eastAsia"/>
          <w:szCs w:val="24"/>
        </w:rPr>
        <w:t>，</w:t>
      </w:r>
      <w:r w:rsidR="00777C8C">
        <w:rPr>
          <w:rFonts w:hAnsi="宋体"/>
          <w:szCs w:val="24"/>
        </w:rPr>
        <w:t>基金托管人</w:t>
      </w:r>
      <w:r w:rsidR="00777C8C">
        <w:rPr>
          <w:rFonts w:hAnsi="宋体" w:hint="eastAsia"/>
          <w:szCs w:val="24"/>
        </w:rPr>
        <w:t>复核</w:t>
      </w:r>
      <w:r>
        <w:rPr>
          <w:rFonts w:hAnsi="宋体" w:hint="eastAsia"/>
          <w:szCs w:val="24"/>
        </w:rPr>
        <w:t>。月度</w:t>
      </w:r>
      <w:r w:rsidR="00777C8C">
        <w:rPr>
          <w:rFonts w:hAnsi="宋体" w:hint="eastAsia"/>
          <w:szCs w:val="24"/>
        </w:rPr>
        <w:t>报告</w:t>
      </w:r>
      <w:r>
        <w:rPr>
          <w:rFonts w:hAnsi="宋体" w:hint="eastAsia"/>
          <w:szCs w:val="24"/>
        </w:rPr>
        <w:t>的编制，应于每月终了后5个工作日内完成。</w:t>
      </w:r>
    </w:p>
    <w:p w14:paraId="784C9691" w14:textId="7269FB99" w:rsidR="001B2AF0" w:rsidRDefault="001B2AF0" w:rsidP="006643B1">
      <w:pPr>
        <w:pStyle w:val="20"/>
        <w:spacing w:before="0" w:after="0" w:line="520" w:lineRule="atLeast"/>
        <w:ind w:left="0" w:firstLineChars="200" w:firstLine="480"/>
        <w:rPr>
          <w:rFonts w:hAnsi="宋体"/>
          <w:szCs w:val="24"/>
        </w:rPr>
      </w:pPr>
      <w:r>
        <w:rPr>
          <w:rFonts w:hAnsi="宋体" w:hint="eastAsia"/>
          <w:szCs w:val="24"/>
        </w:rPr>
        <w:t>8.5.2</w:t>
      </w:r>
      <w:r w:rsidRPr="001B2AF0">
        <w:rPr>
          <w:rFonts w:hAnsi="宋体" w:hint="eastAsia"/>
          <w:szCs w:val="24"/>
        </w:rPr>
        <w:t>基金管理人应当在每年结束之日起三个月内，编制完成基金年度报告，将年度报告登载</w:t>
      </w:r>
      <w:r w:rsidR="00376534">
        <w:rPr>
          <w:rFonts w:hAnsi="宋体" w:hint="eastAsia"/>
          <w:szCs w:val="24"/>
        </w:rPr>
        <w:t>在</w:t>
      </w:r>
      <w:r w:rsidR="00953A11">
        <w:rPr>
          <w:rFonts w:hAnsi="宋体" w:hint="eastAsia"/>
          <w:szCs w:val="24"/>
        </w:rPr>
        <w:t>规定网站</w:t>
      </w:r>
      <w:r w:rsidRPr="001B2AF0">
        <w:rPr>
          <w:rFonts w:hAnsi="宋体" w:hint="eastAsia"/>
          <w:szCs w:val="24"/>
        </w:rPr>
        <w:t>上，并将年度报告提示性公告登载在</w:t>
      </w:r>
      <w:r w:rsidR="00953A11">
        <w:rPr>
          <w:rFonts w:hAnsi="宋体" w:hint="eastAsia"/>
          <w:szCs w:val="24"/>
        </w:rPr>
        <w:t>规定报刊</w:t>
      </w:r>
      <w:r w:rsidRPr="001B2AF0">
        <w:rPr>
          <w:rFonts w:hAnsi="宋体" w:hint="eastAsia"/>
          <w:szCs w:val="24"/>
        </w:rPr>
        <w:t>上。基金年度报告中的财务会计报告应当经过</w:t>
      </w:r>
      <w:r w:rsidR="00A1274F" w:rsidRPr="00A1274F">
        <w:rPr>
          <w:rFonts w:hAnsi="宋体" w:hint="eastAsia"/>
          <w:bCs/>
          <w:szCs w:val="24"/>
        </w:rPr>
        <w:t>符合《中华人民共和国证券法》规定</w:t>
      </w:r>
      <w:r w:rsidR="00B9229E" w:rsidRPr="00B9229E">
        <w:rPr>
          <w:rFonts w:hAnsi="宋体" w:hint="eastAsia"/>
          <w:szCs w:val="24"/>
        </w:rPr>
        <w:t>的</w:t>
      </w:r>
      <w:r w:rsidRPr="001B2AF0">
        <w:rPr>
          <w:rFonts w:hAnsi="宋体" w:hint="eastAsia"/>
          <w:szCs w:val="24"/>
        </w:rPr>
        <w:t>会计师事务所审计。基金管理人应当在上半年结束之日起两个月内，编制完成基金中期报告，将中期报告登载在</w:t>
      </w:r>
      <w:r w:rsidR="00953A11">
        <w:rPr>
          <w:rFonts w:hAnsi="宋体" w:hint="eastAsia"/>
          <w:szCs w:val="24"/>
        </w:rPr>
        <w:t>规定网站</w:t>
      </w:r>
      <w:r w:rsidRPr="001B2AF0">
        <w:rPr>
          <w:rFonts w:hAnsi="宋体" w:hint="eastAsia"/>
          <w:szCs w:val="24"/>
        </w:rPr>
        <w:t>上，并将中期报告提示性公告登载在</w:t>
      </w:r>
      <w:r w:rsidR="00953A11">
        <w:rPr>
          <w:rFonts w:hAnsi="宋体" w:hint="eastAsia"/>
          <w:szCs w:val="24"/>
        </w:rPr>
        <w:t>规定报刊</w:t>
      </w:r>
      <w:r w:rsidRPr="001B2AF0">
        <w:rPr>
          <w:rFonts w:hAnsi="宋体" w:hint="eastAsia"/>
          <w:szCs w:val="24"/>
        </w:rPr>
        <w:t>上。基金管理人应当在季度结束之日起15个工作日内，编制完成基金季度报告，将季度报告登载在</w:t>
      </w:r>
      <w:r w:rsidR="00953A11">
        <w:rPr>
          <w:rFonts w:hAnsi="宋体" w:hint="eastAsia"/>
          <w:szCs w:val="24"/>
        </w:rPr>
        <w:t>规定网站</w:t>
      </w:r>
      <w:r w:rsidRPr="001B2AF0">
        <w:rPr>
          <w:rFonts w:hAnsi="宋体" w:hint="eastAsia"/>
          <w:szCs w:val="24"/>
        </w:rPr>
        <w:t>上，并将季度报告提示性公告登载在</w:t>
      </w:r>
      <w:r w:rsidR="00953A11">
        <w:rPr>
          <w:rFonts w:hAnsi="宋体" w:hint="eastAsia"/>
          <w:szCs w:val="24"/>
        </w:rPr>
        <w:t>规定报刊</w:t>
      </w:r>
      <w:r w:rsidRPr="001B2AF0">
        <w:rPr>
          <w:rFonts w:hAnsi="宋体" w:hint="eastAsia"/>
          <w:szCs w:val="24"/>
        </w:rPr>
        <w:t>上。《基金合同》生效不足2个月的，基金管理人可以不编制当期季度报告、中期报告或者年度报告。</w:t>
      </w:r>
    </w:p>
    <w:p w14:paraId="26A94805" w14:textId="783A0B94" w:rsidR="001B2AF0" w:rsidRDefault="001B2AF0" w:rsidP="006643B1">
      <w:pPr>
        <w:pStyle w:val="20"/>
        <w:spacing w:before="0" w:after="0" w:line="520" w:lineRule="atLeast"/>
        <w:ind w:left="0" w:firstLineChars="200" w:firstLine="480"/>
        <w:rPr>
          <w:rFonts w:hAnsi="宋体"/>
          <w:szCs w:val="24"/>
        </w:rPr>
      </w:pPr>
      <w:r>
        <w:rPr>
          <w:rFonts w:hAnsi="宋体" w:hint="eastAsia"/>
          <w:szCs w:val="24"/>
        </w:rPr>
        <w:t>8.5.3</w:t>
      </w:r>
      <w:r w:rsidRPr="001B2AF0">
        <w:rPr>
          <w:rFonts w:hAnsi="宋体" w:hint="eastAsia"/>
          <w:szCs w:val="24"/>
        </w:rPr>
        <w:t>《基金合同》生效后，基金招募说明书、基金产品资料概要的信息发生重大变更的，基金管理人应当在三个工作日内，更新基金招募说明书、基金产品资料概要，并登载在</w:t>
      </w:r>
      <w:r w:rsidR="00953A11">
        <w:rPr>
          <w:rFonts w:hAnsi="宋体" w:hint="eastAsia"/>
          <w:szCs w:val="24"/>
        </w:rPr>
        <w:t>规定网站</w:t>
      </w:r>
      <w:r w:rsidRPr="001B2AF0">
        <w:rPr>
          <w:rFonts w:hAnsi="宋体" w:hint="eastAsia"/>
          <w:szCs w:val="24"/>
        </w:rPr>
        <w:t>上，并将基金产品资料概要登载在基金销售机构网站或营业网点。基金招募说明书、基金产品资料概要其他信息发生变更的，基金管理人至少每年更新一次。</w:t>
      </w:r>
      <w:r w:rsidR="00CD0653" w:rsidRPr="00CD0653">
        <w:rPr>
          <w:rFonts w:hAnsi="宋体" w:hint="eastAsia"/>
          <w:szCs w:val="24"/>
        </w:rPr>
        <w:t>基金终止运作的，基金管理人不再更新基金招募说明书</w:t>
      </w:r>
      <w:r w:rsidR="00CD0653">
        <w:rPr>
          <w:rFonts w:hAnsi="宋体" w:hint="eastAsia"/>
          <w:szCs w:val="24"/>
        </w:rPr>
        <w:t>和</w:t>
      </w:r>
      <w:r w:rsidR="00CD0653" w:rsidRPr="001B2AF0">
        <w:rPr>
          <w:rFonts w:hAnsi="宋体" w:hint="eastAsia"/>
          <w:szCs w:val="24"/>
        </w:rPr>
        <w:t>基金产品资料概要</w:t>
      </w:r>
      <w:r w:rsidR="00CD0653" w:rsidRPr="00CD0653">
        <w:rPr>
          <w:rFonts w:hAnsi="宋体" w:hint="eastAsia"/>
          <w:szCs w:val="24"/>
        </w:rPr>
        <w:t>。</w:t>
      </w:r>
    </w:p>
    <w:p w14:paraId="52FC67A4" w14:textId="2142E051" w:rsidR="00B61FF9" w:rsidRDefault="001B0A60" w:rsidP="006643B1">
      <w:pPr>
        <w:pStyle w:val="20"/>
        <w:spacing w:before="0" w:after="0" w:line="520" w:lineRule="atLeast"/>
        <w:ind w:left="0" w:firstLineChars="200" w:firstLine="480"/>
        <w:rPr>
          <w:rFonts w:hAnsi="宋体"/>
          <w:szCs w:val="24"/>
        </w:rPr>
      </w:pPr>
      <w:bookmarkStart w:id="31" w:name="_DV_C270"/>
      <w:r>
        <w:rPr>
          <w:rFonts w:hAnsi="宋体" w:hint="eastAsia"/>
          <w:szCs w:val="24"/>
        </w:rPr>
        <w:t>8.5.</w:t>
      </w:r>
      <w:r w:rsidR="001B2AF0">
        <w:rPr>
          <w:rFonts w:hAnsi="宋体"/>
          <w:szCs w:val="24"/>
        </w:rPr>
        <w:t>4</w:t>
      </w:r>
      <w:r>
        <w:rPr>
          <w:rFonts w:hAnsi="宋体" w:hint="eastAsia"/>
          <w:szCs w:val="24"/>
        </w:rPr>
        <w:t>基金管理人应及时完成</w:t>
      </w:r>
      <w:r w:rsidR="00777C8C">
        <w:rPr>
          <w:rFonts w:hAnsi="宋体" w:hint="eastAsia"/>
          <w:szCs w:val="24"/>
        </w:rPr>
        <w:t>报告</w:t>
      </w:r>
      <w:r>
        <w:rPr>
          <w:rFonts w:hAnsi="宋体" w:hint="eastAsia"/>
          <w:szCs w:val="24"/>
        </w:rPr>
        <w:t>编制，将有关</w:t>
      </w:r>
      <w:r w:rsidR="00777C8C">
        <w:rPr>
          <w:rFonts w:hAnsi="宋体" w:hint="eastAsia"/>
          <w:szCs w:val="24"/>
        </w:rPr>
        <w:t>报告</w:t>
      </w:r>
      <w:r>
        <w:rPr>
          <w:rFonts w:hAnsi="宋体" w:hint="eastAsia"/>
          <w:szCs w:val="24"/>
        </w:rPr>
        <w:t>提供基金托管人复核；基金托管人应当在收到报告之日起2个工作日内完成月度</w:t>
      </w:r>
      <w:r w:rsidR="00777C8C">
        <w:rPr>
          <w:rFonts w:hAnsi="宋体" w:hint="eastAsia"/>
          <w:szCs w:val="24"/>
        </w:rPr>
        <w:t>报告</w:t>
      </w:r>
      <w:r>
        <w:rPr>
          <w:rFonts w:hAnsi="宋体" w:hint="eastAsia"/>
          <w:szCs w:val="24"/>
        </w:rPr>
        <w:t>的复核；在收到报告之日起7个工作日内完成基金季度报告的复核；在收到报告之日起20</w:t>
      </w:r>
      <w:r w:rsidR="003D48C9" w:rsidRPr="003D48C9">
        <w:rPr>
          <w:rFonts w:hAnsi="宋体" w:hint="eastAsia"/>
          <w:szCs w:val="24"/>
        </w:rPr>
        <w:t>个工作日</w:t>
      </w:r>
      <w:r>
        <w:rPr>
          <w:rFonts w:hAnsi="宋体" w:hint="eastAsia"/>
          <w:szCs w:val="24"/>
        </w:rPr>
        <w:t>内完成基金</w:t>
      </w:r>
      <w:r w:rsidR="005B7532">
        <w:rPr>
          <w:rFonts w:hAnsi="宋体" w:hint="eastAsia"/>
          <w:szCs w:val="24"/>
        </w:rPr>
        <w:t>中期</w:t>
      </w:r>
      <w:r>
        <w:rPr>
          <w:rFonts w:hAnsi="宋体" w:hint="eastAsia"/>
          <w:szCs w:val="24"/>
        </w:rPr>
        <w:t>报告的复核；在收到报告之日起30</w:t>
      </w:r>
      <w:r w:rsidR="003D48C9" w:rsidRPr="003D48C9">
        <w:rPr>
          <w:rFonts w:hAnsi="宋体" w:hint="eastAsia"/>
          <w:szCs w:val="24"/>
        </w:rPr>
        <w:t>个工作日</w:t>
      </w:r>
      <w:r>
        <w:rPr>
          <w:rFonts w:hAnsi="宋体" w:hint="eastAsia"/>
          <w:szCs w:val="24"/>
        </w:rPr>
        <w:t>内完成基金年度报告的</w:t>
      </w:r>
      <w:bookmarkEnd w:id="31"/>
      <w:r>
        <w:rPr>
          <w:rFonts w:hAnsi="宋体" w:hint="eastAsia"/>
          <w:szCs w:val="24"/>
        </w:rPr>
        <w:t>复核。基金托管人在复核过程中，发现双方的</w:t>
      </w:r>
      <w:r w:rsidR="002B0CA2">
        <w:rPr>
          <w:rFonts w:hAnsi="宋体" w:hint="eastAsia"/>
          <w:szCs w:val="24"/>
        </w:rPr>
        <w:t>数据、</w:t>
      </w:r>
      <w:r w:rsidR="002B0CA2">
        <w:rPr>
          <w:rFonts w:hAnsi="宋体"/>
          <w:szCs w:val="24"/>
        </w:rPr>
        <w:t>信息</w:t>
      </w:r>
      <w:r>
        <w:rPr>
          <w:rFonts w:hAnsi="宋体" w:hint="eastAsia"/>
          <w:szCs w:val="24"/>
        </w:rPr>
        <w:t>存在不符时，基金管理人和基金托管人应共同查明原因，进行调整，调整以国家有关规定为准。</w:t>
      </w:r>
    </w:p>
    <w:p w14:paraId="6188369B" w14:textId="3E977BB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8.5.</w:t>
      </w:r>
      <w:r w:rsidR="00B60E44">
        <w:rPr>
          <w:rFonts w:hAnsi="宋体"/>
          <w:szCs w:val="24"/>
        </w:rPr>
        <w:t>5</w:t>
      </w:r>
      <w:r>
        <w:rPr>
          <w:rFonts w:hAnsi="宋体" w:hint="eastAsia"/>
          <w:szCs w:val="24"/>
        </w:rPr>
        <w:t>基金托管人在对财务会计报告、季度</w:t>
      </w:r>
      <w:r w:rsidR="00CD0653">
        <w:rPr>
          <w:rFonts w:hAnsi="宋体" w:hint="eastAsia"/>
          <w:szCs w:val="24"/>
        </w:rPr>
        <w:t>报告</w:t>
      </w:r>
      <w:r>
        <w:rPr>
          <w:rFonts w:hAnsi="宋体" w:hint="eastAsia"/>
          <w:szCs w:val="24"/>
        </w:rPr>
        <w:t>、</w:t>
      </w:r>
      <w:r w:rsidR="005B7532">
        <w:rPr>
          <w:rFonts w:hAnsi="宋体" w:hint="eastAsia"/>
          <w:szCs w:val="24"/>
        </w:rPr>
        <w:t>中期</w:t>
      </w:r>
      <w:r>
        <w:rPr>
          <w:rFonts w:hAnsi="宋体" w:hint="eastAsia"/>
          <w:szCs w:val="24"/>
        </w:rPr>
        <w:t>报告或年度报告复核完毕后，需盖章确认或出具相应的复核确认书，以备有权机构对相关文件审核时提示。</w:t>
      </w:r>
    </w:p>
    <w:p w14:paraId="4479B97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8.6暂停估值的情形</w:t>
      </w:r>
    </w:p>
    <w:p w14:paraId="0CCDC2C3" w14:textId="5F700F2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（1）基金投资所涉及的证券</w:t>
      </w:r>
      <w:r w:rsidR="0069113B" w:rsidRPr="0069113B">
        <w:rPr>
          <w:rFonts w:hAnsi="宋体"/>
          <w:bCs/>
          <w:szCs w:val="24"/>
        </w:rPr>
        <w:t>/</w:t>
      </w:r>
      <w:r w:rsidR="0069113B" w:rsidRPr="0069113B">
        <w:rPr>
          <w:rFonts w:hAnsi="宋体" w:hint="eastAsia"/>
          <w:bCs/>
          <w:szCs w:val="24"/>
        </w:rPr>
        <w:t>期货</w:t>
      </w:r>
      <w:r>
        <w:rPr>
          <w:rFonts w:hAnsi="宋体" w:hint="eastAsia"/>
          <w:szCs w:val="24"/>
        </w:rPr>
        <w:t>交易市场遇法定节假日或因其他原因暂停营</w:t>
      </w:r>
      <w:r>
        <w:rPr>
          <w:rFonts w:hAnsi="宋体" w:hint="eastAsia"/>
          <w:szCs w:val="24"/>
        </w:rPr>
        <w:lastRenderedPageBreak/>
        <w:t>业时；</w:t>
      </w:r>
    </w:p>
    <w:p w14:paraId="4CB557D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（2）因不可抗力致使基金管理人、基金托管人无法准确评估基金资产价值时；</w:t>
      </w:r>
    </w:p>
    <w:p w14:paraId="63F83C0E" w14:textId="209BC3F4" w:rsidR="00B61FF9" w:rsidRPr="00390329" w:rsidRDefault="001B0A60" w:rsidP="006643B1">
      <w:pPr>
        <w:pStyle w:val="20"/>
        <w:spacing w:before="0" w:after="0" w:line="520" w:lineRule="atLeast"/>
        <w:ind w:left="0" w:firstLineChars="200" w:firstLine="480"/>
        <w:rPr>
          <w:bCs/>
        </w:rPr>
      </w:pPr>
      <w:r>
        <w:rPr>
          <w:rFonts w:hint="eastAsia"/>
          <w:bCs/>
        </w:rPr>
        <w:t>（3）</w:t>
      </w:r>
      <w:r w:rsidR="00390329" w:rsidRPr="00390329">
        <w:rPr>
          <w:rFonts w:hint="eastAsia"/>
          <w:bCs/>
        </w:rPr>
        <w:t>当特定资产占前一估值日基金资产净值50%以上的，经与基金托管人协商确认后，基金管理人应当暂停估值；</w:t>
      </w:r>
    </w:p>
    <w:p w14:paraId="4524DA9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（4）法律法规、中国证监会和基金合同认定的其他情形。</w:t>
      </w:r>
    </w:p>
    <w:p w14:paraId="383F2DD3" w14:textId="77777777" w:rsidR="002B0CA2" w:rsidRDefault="002B0CA2" w:rsidP="006643B1">
      <w:pPr>
        <w:pStyle w:val="20"/>
        <w:spacing w:before="0" w:after="0" w:line="520" w:lineRule="atLeast"/>
        <w:ind w:left="0" w:firstLineChars="200" w:firstLine="480"/>
        <w:rPr>
          <w:rFonts w:hAnsi="宋体"/>
          <w:szCs w:val="24"/>
        </w:rPr>
      </w:pPr>
      <w:r>
        <w:rPr>
          <w:rFonts w:hAnsi="宋体" w:hint="eastAsia"/>
          <w:szCs w:val="24"/>
        </w:rPr>
        <w:t>8.7</w:t>
      </w:r>
      <w:r w:rsidRPr="00BA6DFF">
        <w:rPr>
          <w:rFonts w:hAnsi="宋体" w:hint="eastAsia"/>
          <w:szCs w:val="24"/>
        </w:rPr>
        <w:t>特殊情况的处理</w:t>
      </w:r>
      <w:r>
        <w:rPr>
          <w:rFonts w:hAnsi="宋体" w:hint="eastAsia"/>
          <w:szCs w:val="24"/>
        </w:rPr>
        <w:t> </w:t>
      </w:r>
    </w:p>
    <w:p w14:paraId="6ACDCD11" w14:textId="19732B82" w:rsidR="002B0CA2" w:rsidRDefault="002B0CA2" w:rsidP="006643B1">
      <w:pPr>
        <w:pStyle w:val="20"/>
        <w:spacing w:before="0" w:after="0" w:line="520" w:lineRule="atLeast"/>
        <w:ind w:left="0" w:firstLineChars="200" w:firstLine="480"/>
        <w:rPr>
          <w:rFonts w:hAnsi="宋体"/>
          <w:szCs w:val="24"/>
        </w:rPr>
      </w:pPr>
      <w:r w:rsidRPr="00BA6DFF">
        <w:rPr>
          <w:rFonts w:hAnsi="宋体" w:hint="eastAsia"/>
          <w:szCs w:val="24"/>
        </w:rPr>
        <w:t>（1）基金管理人或基金托管人按《基金合同》规定估值方法</w:t>
      </w:r>
      <w:r w:rsidR="0064144A" w:rsidRPr="0064144A">
        <w:rPr>
          <w:rFonts w:hAnsi="宋体" w:hint="eastAsia"/>
          <w:bCs/>
          <w:szCs w:val="24"/>
        </w:rPr>
        <w:t>的第</w:t>
      </w:r>
      <w:r w:rsidR="002B0695">
        <w:rPr>
          <w:rFonts w:hAnsi="宋体" w:hint="eastAsia"/>
          <w:bCs/>
          <w:szCs w:val="24"/>
        </w:rPr>
        <w:t>（9）</w:t>
      </w:r>
      <w:r w:rsidR="0064144A" w:rsidRPr="0064144A">
        <w:rPr>
          <w:rFonts w:hAnsi="宋体" w:hint="eastAsia"/>
          <w:bCs/>
          <w:szCs w:val="24"/>
        </w:rPr>
        <w:t>项</w:t>
      </w:r>
      <w:r w:rsidRPr="00BA6DFF">
        <w:rPr>
          <w:rFonts w:hAnsi="宋体" w:hint="eastAsia"/>
          <w:szCs w:val="24"/>
        </w:rPr>
        <w:t>进行估值时，所造成的误差不作为</w:t>
      </w:r>
      <w:r w:rsidR="002B0695" w:rsidRPr="0062730F">
        <w:rPr>
          <w:rFonts w:hint="eastAsia"/>
          <w:bCs/>
        </w:rPr>
        <w:t>基金资产估值</w:t>
      </w:r>
      <w:r w:rsidRPr="00BA6DFF">
        <w:rPr>
          <w:rFonts w:hAnsi="宋体" w:hint="eastAsia"/>
          <w:szCs w:val="24"/>
        </w:rPr>
        <w:t>错误处理。</w:t>
      </w:r>
      <w:r>
        <w:rPr>
          <w:rFonts w:hAnsi="宋体" w:hint="eastAsia"/>
          <w:szCs w:val="24"/>
        </w:rPr>
        <w:t> </w:t>
      </w:r>
    </w:p>
    <w:p w14:paraId="31E20C0D" w14:textId="1A294F1B" w:rsidR="00B61FF9" w:rsidRDefault="002B0CA2" w:rsidP="006643B1">
      <w:pPr>
        <w:pStyle w:val="20"/>
        <w:spacing w:before="0" w:after="0" w:line="520" w:lineRule="atLeast"/>
        <w:ind w:left="0" w:firstLineChars="200" w:firstLine="480"/>
        <w:rPr>
          <w:rFonts w:hAnsi="宋体"/>
          <w:szCs w:val="24"/>
        </w:rPr>
      </w:pPr>
      <w:r w:rsidRPr="00BA6DFF">
        <w:rPr>
          <w:rFonts w:hAnsi="宋体" w:hint="eastAsia"/>
          <w:szCs w:val="24"/>
        </w:rPr>
        <w:t>（2）</w:t>
      </w:r>
      <w:r w:rsidR="00C15064" w:rsidRPr="00C15064">
        <w:rPr>
          <w:rFonts w:hAnsi="宋体" w:hint="eastAsia"/>
          <w:szCs w:val="24"/>
        </w:rPr>
        <w:t>由于不可抗力，或证券</w:t>
      </w:r>
      <w:r w:rsidR="00682722" w:rsidRPr="00682722">
        <w:rPr>
          <w:rFonts w:hAnsi="宋体"/>
          <w:bCs/>
          <w:szCs w:val="24"/>
        </w:rPr>
        <w:t>/</w:t>
      </w:r>
      <w:r w:rsidR="00682722" w:rsidRPr="00682722">
        <w:rPr>
          <w:rFonts w:hAnsi="宋体" w:hint="eastAsia"/>
          <w:bCs/>
          <w:szCs w:val="24"/>
        </w:rPr>
        <w:t>期货</w:t>
      </w:r>
      <w:r w:rsidR="00C15064" w:rsidRPr="00C15064">
        <w:rPr>
          <w:rFonts w:hAnsi="宋体" w:hint="eastAsia"/>
          <w:szCs w:val="24"/>
        </w:rPr>
        <w:t>交易所、登记机构及存款银行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7F50F9C" w14:textId="77777777" w:rsidR="00B61FF9" w:rsidRDefault="001B0A60" w:rsidP="006643B1">
      <w:pPr>
        <w:pStyle w:val="1"/>
        <w:spacing w:line="520" w:lineRule="atLeast"/>
        <w:ind w:firstLineChars="200" w:firstLine="482"/>
        <w:rPr>
          <w:bCs/>
          <w:color w:val="auto"/>
          <w:szCs w:val="24"/>
        </w:rPr>
      </w:pPr>
      <w:bookmarkStart w:id="32" w:name="_Toc296551345"/>
      <w:bookmarkStart w:id="33" w:name="_Toc44321732"/>
      <w:r>
        <w:rPr>
          <w:rFonts w:hint="eastAsia"/>
          <w:bCs/>
          <w:color w:val="auto"/>
          <w:szCs w:val="24"/>
        </w:rPr>
        <w:t>第九条 基金收益分配</w:t>
      </w:r>
      <w:bookmarkEnd w:id="32"/>
      <w:bookmarkEnd w:id="33"/>
    </w:p>
    <w:p w14:paraId="1F64B90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9.1基金利润的构成</w:t>
      </w:r>
    </w:p>
    <w:p w14:paraId="761BF85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基金利润指基金利息收入、投资收益、公允价值变动收益和其他收入扣除相关费用后的余额；基金已实现收益指基金利润减去公允价值变动收益后的余额。</w:t>
      </w:r>
    </w:p>
    <w:p w14:paraId="2A1332E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9.2基金可供分配利润</w:t>
      </w:r>
    </w:p>
    <w:p w14:paraId="3D94367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基金可供分配利润指截至收益分配基准日基金未分配利润与未分配利润中已实现收益的孰低数。</w:t>
      </w:r>
    </w:p>
    <w:p w14:paraId="79FA1A5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9.3收益分配原则</w:t>
      </w:r>
    </w:p>
    <w:p w14:paraId="2079521B" w14:textId="6CAE0EDF" w:rsidR="00B61FF9" w:rsidRDefault="001B0A60" w:rsidP="006643B1">
      <w:pPr>
        <w:spacing w:line="520" w:lineRule="atLeast"/>
        <w:ind w:firstLineChars="225" w:firstLine="540"/>
        <w:rPr>
          <w:bCs/>
          <w:sz w:val="24"/>
        </w:rPr>
      </w:pPr>
      <w:r>
        <w:rPr>
          <w:rFonts w:hint="eastAsia"/>
          <w:bCs/>
          <w:sz w:val="24"/>
        </w:rPr>
        <w:t>（</w:t>
      </w:r>
      <w:r w:rsidR="009E38AE">
        <w:rPr>
          <w:rFonts w:hint="eastAsia"/>
          <w:bCs/>
          <w:sz w:val="24"/>
        </w:rPr>
        <w:t>1</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2CDC557A" w14:textId="5C2D4BFF" w:rsidR="00B61FF9" w:rsidRDefault="001B0A60" w:rsidP="006643B1">
      <w:pPr>
        <w:spacing w:line="520" w:lineRule="atLeast"/>
        <w:ind w:firstLineChars="225" w:firstLine="540"/>
        <w:rPr>
          <w:bCs/>
          <w:sz w:val="24"/>
        </w:rPr>
      </w:pPr>
      <w:r>
        <w:rPr>
          <w:rFonts w:hint="eastAsia"/>
          <w:bCs/>
          <w:sz w:val="24"/>
        </w:rPr>
        <w:t>（</w:t>
      </w:r>
      <w:r w:rsidR="009E38AE">
        <w:rPr>
          <w:rFonts w:hint="eastAsia"/>
          <w:bCs/>
          <w:sz w:val="24"/>
        </w:rPr>
        <w:t>2</w:t>
      </w:r>
      <w:r>
        <w:rPr>
          <w:rFonts w:hint="eastAsia"/>
          <w:bCs/>
          <w:sz w:val="24"/>
        </w:rPr>
        <w:t>）基金收益分配后基金份额净值不能低于面值；即基金收益分配基准日的基金份额净值减去每单位基金份额收益分配金额后不能低于面值；</w:t>
      </w:r>
    </w:p>
    <w:p w14:paraId="5BA47DAE" w14:textId="24AFD2D8" w:rsidR="009E38AE" w:rsidRPr="009E38AE" w:rsidRDefault="009E38AE" w:rsidP="006643B1">
      <w:pPr>
        <w:spacing w:line="520" w:lineRule="atLeast"/>
        <w:ind w:firstLineChars="225" w:firstLine="540"/>
        <w:rPr>
          <w:bCs/>
          <w:sz w:val="24"/>
        </w:rPr>
      </w:pPr>
      <w:r>
        <w:rPr>
          <w:rFonts w:hint="eastAsia"/>
          <w:bCs/>
          <w:sz w:val="24"/>
        </w:rPr>
        <w:t>（</w:t>
      </w:r>
      <w:r>
        <w:rPr>
          <w:rFonts w:hint="eastAsia"/>
          <w:bCs/>
          <w:sz w:val="24"/>
        </w:rPr>
        <w:t>3</w:t>
      </w:r>
      <w:r>
        <w:rPr>
          <w:rFonts w:hint="eastAsia"/>
          <w:bCs/>
          <w:sz w:val="24"/>
        </w:rPr>
        <w:t>）</w:t>
      </w:r>
      <w:r w:rsidRPr="009E38AE">
        <w:rPr>
          <w:rFonts w:hint="eastAsia"/>
          <w:bCs/>
          <w:sz w:val="24"/>
        </w:rPr>
        <w:t>每一基金份额享有同等分配权；</w:t>
      </w:r>
    </w:p>
    <w:p w14:paraId="1BC7E737" w14:textId="5DBF9462" w:rsidR="00B61FF9" w:rsidRDefault="001B0A60" w:rsidP="006643B1">
      <w:pPr>
        <w:spacing w:line="520" w:lineRule="atLeast"/>
        <w:ind w:firstLineChars="225" w:firstLine="540"/>
        <w:rPr>
          <w:bCs/>
          <w:sz w:val="24"/>
        </w:rPr>
      </w:pPr>
      <w:r>
        <w:rPr>
          <w:rFonts w:hint="eastAsia"/>
          <w:bCs/>
          <w:sz w:val="24"/>
        </w:rPr>
        <w:t>（</w:t>
      </w:r>
      <w:r w:rsidR="002B0CA2">
        <w:rPr>
          <w:bCs/>
          <w:sz w:val="24"/>
        </w:rPr>
        <w:t>4</w:t>
      </w:r>
      <w:r>
        <w:rPr>
          <w:rFonts w:hint="eastAsia"/>
          <w:bCs/>
          <w:sz w:val="24"/>
        </w:rPr>
        <w:t>）法律法规或监管机关另有规定的，从其规定</w:t>
      </w:r>
      <w:r>
        <w:rPr>
          <w:bCs/>
          <w:sz w:val="24"/>
        </w:rPr>
        <w:t>。</w:t>
      </w:r>
    </w:p>
    <w:p w14:paraId="25C58FD4" w14:textId="78DB7EE6" w:rsidR="009C5013" w:rsidRDefault="009C5013" w:rsidP="006643B1">
      <w:pPr>
        <w:spacing w:line="520" w:lineRule="atLeast"/>
        <w:ind w:firstLineChars="225" w:firstLine="540"/>
        <w:rPr>
          <w:bCs/>
          <w:sz w:val="24"/>
        </w:rPr>
      </w:pPr>
      <w:r w:rsidRPr="009C5013">
        <w:rPr>
          <w:rFonts w:hint="eastAsia"/>
          <w:bCs/>
          <w:sz w:val="24"/>
        </w:rPr>
        <w:lastRenderedPageBreak/>
        <w:t>在不违反法律法规且对基金份额持有人利益无实质不利影响的前提下，基金管理人可对基金收益分配原则进行调整，不需召开基金份额持有人大会。</w:t>
      </w:r>
    </w:p>
    <w:p w14:paraId="5EFDDDC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9.4收益分配方案</w:t>
      </w:r>
    </w:p>
    <w:p w14:paraId="4C3303D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基金收益分配方案中应载明截止收益分配基准日的可供分配利润、基金收益分配对象、分配时间、分配数额及比例、分配方式等内容。</w:t>
      </w:r>
    </w:p>
    <w:p w14:paraId="5C2777C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9.5收益分配的时间和程序</w:t>
      </w:r>
    </w:p>
    <w:p w14:paraId="712A9588" w14:textId="4FE275B8" w:rsidR="00B61FF9" w:rsidRDefault="001B0A60" w:rsidP="006643B1">
      <w:pPr>
        <w:pStyle w:val="20"/>
        <w:spacing w:before="0" w:after="0" w:line="520" w:lineRule="atLeast"/>
        <w:ind w:left="0" w:firstLineChars="200" w:firstLine="480"/>
        <w:rPr>
          <w:bCs/>
        </w:rPr>
      </w:pPr>
      <w:r>
        <w:rPr>
          <w:rFonts w:hAnsi="宋体" w:hint="eastAsia"/>
          <w:szCs w:val="24"/>
        </w:rPr>
        <w:t>9.5.1本基金收益分配方案由基金管理人拟定，并由基金托管人复核，按照《信息披露办法》有关规定在</w:t>
      </w:r>
      <w:r w:rsidR="00953A11">
        <w:rPr>
          <w:rFonts w:hAnsi="宋体" w:hint="eastAsia"/>
          <w:szCs w:val="24"/>
        </w:rPr>
        <w:t>规定媒介</w:t>
      </w:r>
      <w:r>
        <w:rPr>
          <w:rFonts w:hAnsi="宋体" w:hint="eastAsia"/>
          <w:szCs w:val="24"/>
        </w:rPr>
        <w:t>公告。</w:t>
      </w:r>
    </w:p>
    <w:p w14:paraId="09B781DD" w14:textId="4756DEA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w:t>
      </w:r>
      <w:r w:rsidR="00816328" w:rsidRPr="00816328">
        <w:rPr>
          <w:rFonts w:hAnsi="宋体" w:hint="eastAsia"/>
          <w:szCs w:val="24"/>
        </w:rPr>
        <w:t>基金托管人负责核对收益分配方案的总金额与划款指令金额一致，不对每个投资者的明细分配金额进行复核。</w:t>
      </w:r>
    </w:p>
    <w:p w14:paraId="21FE0253" w14:textId="5DBC54C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9.5.3法律法规或监管机关另有规定的，从其规定。</w:t>
      </w:r>
    </w:p>
    <w:p w14:paraId="28ABF083" w14:textId="77777777" w:rsidR="00B61FF9" w:rsidRDefault="001B0A60" w:rsidP="006643B1">
      <w:pPr>
        <w:pStyle w:val="1"/>
        <w:spacing w:line="520" w:lineRule="atLeast"/>
        <w:ind w:firstLineChars="200" w:firstLine="482"/>
        <w:rPr>
          <w:bCs/>
          <w:color w:val="auto"/>
          <w:szCs w:val="24"/>
        </w:rPr>
      </w:pPr>
      <w:bookmarkStart w:id="34" w:name="_Toc296551346"/>
      <w:bookmarkStart w:id="35" w:name="_Toc44321733"/>
      <w:r>
        <w:rPr>
          <w:rFonts w:hint="eastAsia"/>
          <w:bCs/>
          <w:color w:val="auto"/>
          <w:szCs w:val="24"/>
        </w:rPr>
        <w:t>第十条 信息披露</w:t>
      </w:r>
      <w:bookmarkEnd w:id="34"/>
      <w:bookmarkEnd w:id="35"/>
    </w:p>
    <w:p w14:paraId="67369A9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10.1保密义务</w:t>
      </w:r>
    </w:p>
    <w:p w14:paraId="34D4A9BB" w14:textId="0FC79CD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5D804AD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（1）非因基金管理人和基金托管人的原因导致保密信息被披露、泄露或公开；</w:t>
      </w:r>
    </w:p>
    <w:p w14:paraId="1DC4072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04523B7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10.2基金管理人和基金托管人在信息披露中的职责和信息披露程序</w:t>
      </w:r>
    </w:p>
    <w:p w14:paraId="73D423FD" w14:textId="15267DA8" w:rsidR="00F91330" w:rsidRDefault="001B0A60" w:rsidP="006643B1">
      <w:pPr>
        <w:pStyle w:val="20"/>
        <w:spacing w:before="0" w:after="0" w:line="520" w:lineRule="atLeas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7D69F301" w14:textId="77660F0C" w:rsidR="00F91330" w:rsidRDefault="00F91330" w:rsidP="006643B1">
      <w:pPr>
        <w:pStyle w:val="20"/>
        <w:spacing w:before="0" w:after="0" w:line="520" w:lineRule="atLeast"/>
        <w:ind w:left="0" w:firstLineChars="200" w:firstLine="480"/>
        <w:rPr>
          <w:rFonts w:hAnsi="宋体"/>
          <w:szCs w:val="24"/>
        </w:rPr>
      </w:pPr>
      <w:r>
        <w:rPr>
          <w:rFonts w:hAnsi="宋体" w:hint="eastAsia"/>
          <w:szCs w:val="24"/>
        </w:rPr>
        <w:lastRenderedPageBreak/>
        <w:t>10.2.2</w:t>
      </w:r>
      <w:r w:rsidRPr="00F91330">
        <w:rPr>
          <w:rFonts w:hAnsi="宋体" w:hint="eastAsia"/>
          <w:szCs w:val="24"/>
        </w:rPr>
        <w:t>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投资资产支持证券、国债期货</w:t>
      </w:r>
      <w:r w:rsidR="00C65D92">
        <w:rPr>
          <w:rFonts w:hAnsi="宋体" w:hint="eastAsia"/>
          <w:szCs w:val="24"/>
        </w:rPr>
        <w:t>、股指期货、股票期权、</w:t>
      </w:r>
      <w:r w:rsidR="000C7A76" w:rsidRPr="000C7A76">
        <w:rPr>
          <w:rFonts w:hAnsi="宋体" w:hint="eastAsia"/>
          <w:bCs/>
          <w:szCs w:val="24"/>
        </w:rPr>
        <w:t>港股通标的股票</w:t>
      </w:r>
      <w:r w:rsidR="000C7A76">
        <w:rPr>
          <w:rFonts w:hAnsi="宋体" w:hint="eastAsia"/>
          <w:bCs/>
          <w:szCs w:val="24"/>
        </w:rPr>
        <w:t>、</w:t>
      </w:r>
      <w:r w:rsidR="000C7A76" w:rsidRPr="000C7A76">
        <w:rPr>
          <w:rFonts w:hAnsi="宋体" w:hint="eastAsia"/>
          <w:bCs/>
          <w:szCs w:val="24"/>
        </w:rPr>
        <w:t>信用衍生品</w:t>
      </w:r>
      <w:r w:rsidR="000C7A76">
        <w:rPr>
          <w:rFonts w:hAnsi="宋体" w:hint="eastAsia"/>
          <w:bCs/>
          <w:szCs w:val="24"/>
        </w:rPr>
        <w:t>、</w:t>
      </w:r>
      <w:r w:rsidR="000C7A76" w:rsidRPr="000C7A76">
        <w:rPr>
          <w:rFonts w:hAnsi="宋体" w:hint="eastAsia"/>
          <w:bCs/>
          <w:szCs w:val="24"/>
        </w:rPr>
        <w:t>参与融资业务</w:t>
      </w:r>
      <w:r w:rsidR="000C7A76">
        <w:rPr>
          <w:rFonts w:hAnsi="宋体" w:hint="eastAsia"/>
          <w:bCs/>
          <w:szCs w:val="24"/>
        </w:rPr>
        <w:t>等</w:t>
      </w:r>
      <w:r w:rsidRPr="00F91330">
        <w:rPr>
          <w:rFonts w:hAnsi="宋体" w:hint="eastAsia"/>
          <w:szCs w:val="24"/>
        </w:rPr>
        <w:t>的信息披露以及中国证监会规定的其他信息。</w:t>
      </w:r>
    </w:p>
    <w:p w14:paraId="1E001AC2" w14:textId="15BB2B88" w:rsidR="00AD38E5" w:rsidRDefault="00AD38E5" w:rsidP="006643B1">
      <w:pPr>
        <w:pStyle w:val="20"/>
        <w:spacing w:before="0" w:after="0" w:line="520" w:lineRule="atLeast"/>
        <w:ind w:left="0" w:firstLineChars="200" w:firstLine="480"/>
        <w:rPr>
          <w:rFonts w:hAnsi="宋体"/>
          <w:szCs w:val="24"/>
        </w:rPr>
      </w:pPr>
      <w:r>
        <w:rPr>
          <w:rFonts w:hAnsi="宋体" w:hint="eastAsia"/>
          <w:szCs w:val="24"/>
        </w:rPr>
        <w:t>10.2.3</w:t>
      </w:r>
      <w:r w:rsidRPr="00AD38E5">
        <w:rPr>
          <w:rFonts w:hAnsi="宋体" w:hint="eastAsia"/>
          <w:szCs w:val="24"/>
        </w:rPr>
        <w:t>基金募集申请经中国证监会注册后，基金管理人应当在基金份额发售的三日前，将基金份额发售公告、基金招募说明书提示性公告和基金合同提示性公告登载在</w:t>
      </w:r>
      <w:r w:rsidR="00953A11">
        <w:rPr>
          <w:rFonts w:hAnsi="宋体" w:hint="eastAsia"/>
          <w:szCs w:val="24"/>
        </w:rPr>
        <w:t>规定报刊</w:t>
      </w:r>
      <w:r w:rsidRPr="00AD38E5">
        <w:rPr>
          <w:rFonts w:hAnsi="宋体" w:hint="eastAsia"/>
          <w:szCs w:val="24"/>
        </w:rPr>
        <w:t>上，将基金份额发售公告、基金招募说明书、基金产品资料概要、基金合同和基金托管协议登载在</w:t>
      </w:r>
      <w:r w:rsidR="00953A11">
        <w:rPr>
          <w:rFonts w:hAnsi="宋体" w:hint="eastAsia"/>
          <w:szCs w:val="24"/>
        </w:rPr>
        <w:t>规定网站</w:t>
      </w:r>
      <w:r w:rsidRPr="00AD38E5">
        <w:rPr>
          <w:rFonts w:hAnsi="宋体" w:hint="eastAsia"/>
          <w:szCs w:val="24"/>
        </w:rPr>
        <w:t>上；基金托管人应当同时将基金合同、基金托管协议登载在</w:t>
      </w:r>
      <w:r w:rsidR="00953A11">
        <w:rPr>
          <w:rFonts w:hAnsi="宋体" w:hint="eastAsia"/>
          <w:szCs w:val="24"/>
        </w:rPr>
        <w:t>规定网站</w:t>
      </w:r>
      <w:r w:rsidRPr="00AD38E5">
        <w:rPr>
          <w:rFonts w:hAnsi="宋体" w:hint="eastAsia"/>
          <w:szCs w:val="24"/>
        </w:rPr>
        <w:t>上。</w:t>
      </w:r>
    </w:p>
    <w:p w14:paraId="77511525" w14:textId="7F16BA0D" w:rsidR="00F91330" w:rsidRDefault="00F9133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4</w:t>
      </w:r>
      <w:r w:rsidRPr="00F91330">
        <w:rPr>
          <w:rFonts w:hAnsi="宋体" w:hint="eastAsia"/>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w:t>
      </w:r>
      <w:r w:rsidR="00C23A10">
        <w:rPr>
          <w:rFonts w:hAnsi="宋体" w:hint="eastAsia"/>
          <w:bCs/>
          <w:szCs w:val="24"/>
        </w:rPr>
        <w:t>进行书面或电子确认</w:t>
      </w:r>
      <w:r w:rsidRPr="00F91330">
        <w:rPr>
          <w:rFonts w:hAnsi="宋体" w:hint="eastAsia"/>
          <w:szCs w:val="24"/>
        </w:rPr>
        <w:t>。</w:t>
      </w:r>
    </w:p>
    <w:p w14:paraId="79A96C17" w14:textId="7C87159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5</w:t>
      </w:r>
      <w:r>
        <w:rPr>
          <w:rFonts w:hAnsi="宋体" w:hint="eastAsia"/>
          <w:szCs w:val="24"/>
        </w:rPr>
        <w:t>基金年</w:t>
      </w:r>
      <w:r w:rsidR="00E71B58">
        <w:rPr>
          <w:rFonts w:hAnsi="宋体" w:hint="eastAsia"/>
          <w:szCs w:val="24"/>
        </w:rPr>
        <w:t>度</w:t>
      </w:r>
      <w:r w:rsidR="00E71B58">
        <w:rPr>
          <w:rFonts w:hAnsi="宋体"/>
          <w:szCs w:val="24"/>
        </w:rPr>
        <w:t>报</w:t>
      </w:r>
      <w:r w:rsidR="00E71B58">
        <w:rPr>
          <w:rFonts w:hAnsi="宋体" w:hint="eastAsia"/>
          <w:szCs w:val="24"/>
        </w:rPr>
        <w:t>告</w:t>
      </w:r>
      <w:r>
        <w:rPr>
          <w:rFonts w:hAnsi="宋体" w:hint="eastAsia"/>
          <w:szCs w:val="24"/>
        </w:rPr>
        <w:t>中的财务</w:t>
      </w:r>
      <w:r w:rsidR="001B4434">
        <w:rPr>
          <w:rFonts w:hAnsi="宋体" w:hint="eastAsia"/>
          <w:szCs w:val="24"/>
        </w:rPr>
        <w:t>会计</w:t>
      </w:r>
      <w:r>
        <w:rPr>
          <w:rFonts w:hAnsi="宋体" w:hint="eastAsia"/>
          <w:szCs w:val="24"/>
        </w:rPr>
        <w:t>报告部分，经</w:t>
      </w:r>
      <w:r w:rsidR="005C5E8C" w:rsidRPr="005C5E8C">
        <w:rPr>
          <w:rFonts w:hAnsi="宋体" w:hint="eastAsia"/>
          <w:bCs/>
          <w:szCs w:val="24"/>
        </w:rPr>
        <w:t>符合《中华人民共和国证券法》规定</w:t>
      </w:r>
      <w:r w:rsidR="00B9229E" w:rsidRPr="00B9229E">
        <w:rPr>
          <w:rFonts w:hAnsi="宋体" w:hint="eastAsia"/>
          <w:szCs w:val="24"/>
        </w:rPr>
        <w:t>的</w:t>
      </w:r>
      <w:r>
        <w:rPr>
          <w:rFonts w:hAnsi="宋体" w:hint="eastAsia"/>
          <w:szCs w:val="24"/>
        </w:rPr>
        <w:t>会计师事务所审计后，方可披露。</w:t>
      </w:r>
    </w:p>
    <w:p w14:paraId="73A4A26B" w14:textId="1045228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6</w:t>
      </w:r>
      <w:r>
        <w:rPr>
          <w:rFonts w:hAnsi="宋体" w:hint="eastAsia"/>
          <w:szCs w:val="24"/>
        </w:rPr>
        <w:t>基金管理人应当在中国证监会规定的时间内，将应予披露的基金信息通过中国证监会</w:t>
      </w:r>
      <w:r w:rsidR="00953A11">
        <w:rPr>
          <w:rFonts w:hAnsi="宋体" w:hint="eastAsia"/>
          <w:szCs w:val="24"/>
        </w:rPr>
        <w:t>规定媒介</w:t>
      </w:r>
      <w:r>
        <w:rPr>
          <w:rFonts w:hAnsi="宋体" w:hint="eastAsia"/>
          <w:szCs w:val="24"/>
        </w:rPr>
        <w:t>披露。根据法律法规应由基金托管人公开披露的信息，基金托管人将通过中国证监会</w:t>
      </w:r>
      <w:r w:rsidR="00953A11">
        <w:rPr>
          <w:rFonts w:hAnsi="宋体" w:hint="eastAsia"/>
          <w:szCs w:val="24"/>
        </w:rPr>
        <w:t>规定媒介</w:t>
      </w:r>
      <w:r>
        <w:rPr>
          <w:rFonts w:hAnsi="宋体" w:hint="eastAsia"/>
          <w:szCs w:val="24"/>
        </w:rPr>
        <w:t>公开披露。</w:t>
      </w:r>
    </w:p>
    <w:p w14:paraId="0DF7CAA6" w14:textId="45BE6E5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7</w:t>
      </w:r>
      <w:r w:rsidR="002F5606" w:rsidRPr="002F5606">
        <w:rPr>
          <w:rFonts w:hAnsi="宋体" w:hint="eastAsia"/>
          <w:bCs/>
          <w:szCs w:val="24"/>
        </w:rPr>
        <w:t>依法必须披露的信息发布后，基金管理人、基金托管人应当按照相关法律法规规定将信息置备于各自住所，供社会公众查阅、复制</w:t>
      </w:r>
      <w:r>
        <w:rPr>
          <w:rFonts w:hAnsi="宋体" w:hint="eastAsia"/>
          <w:szCs w:val="24"/>
        </w:rPr>
        <w:t>。在支付工本费后可在合理时间获得上述文件的复制件或复印件。基金管理人和基金托管人应保证文本的内容与所公告的内容完全一致。</w:t>
      </w:r>
    </w:p>
    <w:p w14:paraId="76260BC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10.3暂停或延迟信息披露的情形</w:t>
      </w:r>
    </w:p>
    <w:p w14:paraId="2C9FE54F" w14:textId="2234E66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（1）基金投资所涉及的证券</w:t>
      </w:r>
      <w:r w:rsidR="00BE4AB4">
        <w:rPr>
          <w:rFonts w:hAnsi="宋体" w:hint="eastAsia"/>
          <w:szCs w:val="24"/>
        </w:rPr>
        <w:t>、期货</w:t>
      </w:r>
      <w:r>
        <w:rPr>
          <w:rFonts w:hAnsi="宋体" w:hint="eastAsia"/>
          <w:szCs w:val="24"/>
        </w:rPr>
        <w:t>交易市场遇法定节假日或因其他原因暂停营业时；</w:t>
      </w:r>
    </w:p>
    <w:p w14:paraId="0D2CCAC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（2）不可抗力；</w:t>
      </w:r>
    </w:p>
    <w:p w14:paraId="0A6B642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（3）</w:t>
      </w:r>
      <w:r>
        <w:rPr>
          <w:rFonts w:hint="eastAsia"/>
          <w:bCs/>
        </w:rPr>
        <w:t>发生暂停估值的情形；</w:t>
      </w:r>
    </w:p>
    <w:p w14:paraId="54ECC57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（4）法律法规、</w:t>
      </w:r>
      <w:r>
        <w:rPr>
          <w:rFonts w:hAnsi="宋体" w:hint="eastAsia"/>
        </w:rPr>
        <w:t>基金合同或</w:t>
      </w:r>
      <w:r>
        <w:rPr>
          <w:rFonts w:hAnsi="宋体" w:hint="eastAsia"/>
          <w:szCs w:val="24"/>
        </w:rPr>
        <w:t>中国证监会规定的情况。</w:t>
      </w:r>
    </w:p>
    <w:p w14:paraId="1A6035A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10.4基金托管人报告</w:t>
      </w:r>
    </w:p>
    <w:p w14:paraId="61E6A634" w14:textId="1D0D6C7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w:t>
      </w:r>
      <w:r w:rsidR="00E71B58">
        <w:rPr>
          <w:rFonts w:hAnsi="宋体" w:hint="eastAsia"/>
          <w:szCs w:val="24"/>
        </w:rPr>
        <w:t>两个</w:t>
      </w:r>
      <w:r w:rsidR="00E71B58">
        <w:rPr>
          <w:rFonts w:hAnsi="宋体"/>
          <w:szCs w:val="24"/>
        </w:rPr>
        <w:t>月</w:t>
      </w:r>
      <w:r>
        <w:rPr>
          <w:rFonts w:hAnsi="宋体" w:hint="eastAsia"/>
          <w:szCs w:val="24"/>
        </w:rPr>
        <w:t>内、每个会计年度结束后</w:t>
      </w:r>
      <w:r w:rsidR="00E71B58">
        <w:rPr>
          <w:rFonts w:hAnsi="宋体" w:hint="eastAsia"/>
          <w:szCs w:val="24"/>
        </w:rPr>
        <w:t>三个</w:t>
      </w:r>
      <w:r w:rsidR="00E71B58">
        <w:rPr>
          <w:rFonts w:hAnsi="宋体"/>
          <w:szCs w:val="24"/>
        </w:rPr>
        <w:t>月</w:t>
      </w:r>
      <w:r>
        <w:rPr>
          <w:rFonts w:hAnsi="宋体" w:hint="eastAsia"/>
          <w:szCs w:val="24"/>
        </w:rPr>
        <w:t>内在基金</w:t>
      </w:r>
      <w:r w:rsidR="00E71B58">
        <w:rPr>
          <w:rFonts w:hAnsi="宋体" w:hint="eastAsia"/>
          <w:szCs w:val="24"/>
        </w:rPr>
        <w:t>中期</w:t>
      </w:r>
      <w:r>
        <w:rPr>
          <w:rFonts w:hAnsi="宋体" w:hint="eastAsia"/>
          <w:szCs w:val="24"/>
        </w:rPr>
        <w:t>报告及年度报告中分别出具基金托管人报告</w:t>
      </w:r>
      <w:r w:rsidR="003A4C9D">
        <w:rPr>
          <w:rFonts w:hAnsi="宋体" w:hint="eastAsia"/>
          <w:szCs w:val="24"/>
        </w:rPr>
        <w:t>，</w:t>
      </w:r>
      <w:r w:rsidR="003A4C9D">
        <w:rPr>
          <w:rFonts w:hAnsi="宋体"/>
          <w:szCs w:val="24"/>
        </w:rPr>
        <w:t>并提交给基金管理人</w:t>
      </w:r>
      <w:r>
        <w:rPr>
          <w:rFonts w:hAnsi="宋体" w:hint="eastAsia"/>
          <w:szCs w:val="24"/>
        </w:rPr>
        <w:t>。</w:t>
      </w:r>
    </w:p>
    <w:p w14:paraId="6882FFEA" w14:textId="77777777" w:rsidR="00B61FF9" w:rsidRDefault="001B0A60" w:rsidP="006643B1">
      <w:pPr>
        <w:pStyle w:val="1"/>
        <w:spacing w:line="520" w:lineRule="atLeast"/>
        <w:ind w:firstLineChars="200" w:firstLine="482"/>
        <w:rPr>
          <w:bCs/>
          <w:color w:val="auto"/>
          <w:szCs w:val="24"/>
        </w:rPr>
      </w:pPr>
      <w:bookmarkStart w:id="36" w:name="_Toc296551347"/>
      <w:bookmarkStart w:id="37" w:name="_Toc44321734"/>
      <w:r>
        <w:rPr>
          <w:rFonts w:hint="eastAsia"/>
          <w:bCs/>
          <w:color w:val="auto"/>
          <w:szCs w:val="24"/>
        </w:rPr>
        <w:t>第十一条 基金费用</w:t>
      </w:r>
      <w:bookmarkEnd w:id="36"/>
      <w:bookmarkEnd w:id="37"/>
    </w:p>
    <w:p w14:paraId="04A0AAD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11.1基金管理费的计提比例和计提方法</w:t>
      </w:r>
    </w:p>
    <w:p w14:paraId="22C6FD75" w14:textId="4747E63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本基金的管理费按前一日基金资产净值的</w:t>
      </w:r>
      <w:r w:rsidR="00DD0494">
        <w:rPr>
          <w:rFonts w:hAnsi="宋体" w:hint="eastAsia"/>
          <w:szCs w:val="24"/>
        </w:rPr>
        <w:t>1</w:t>
      </w:r>
      <w:r w:rsidR="00DD0494">
        <w:rPr>
          <w:rFonts w:hAnsi="宋体"/>
          <w:szCs w:val="24"/>
        </w:rPr>
        <w:t>.50%</w:t>
      </w:r>
      <w:r>
        <w:rPr>
          <w:rFonts w:hAnsi="宋体" w:hint="eastAsia"/>
          <w:szCs w:val="24"/>
        </w:rPr>
        <w:t>年费率计提。管理费的计算方法如下：</w:t>
      </w:r>
    </w:p>
    <w:p w14:paraId="46F634F0" w14:textId="4AB6431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H＝E×</w:t>
      </w:r>
      <w:r w:rsidR="00DD0494">
        <w:rPr>
          <w:rFonts w:hAnsi="宋体" w:hint="eastAsia"/>
        </w:rPr>
        <w:t>1</w:t>
      </w:r>
      <w:r w:rsidR="00DD0494">
        <w:rPr>
          <w:rFonts w:hAnsi="宋体"/>
        </w:rPr>
        <w:t>.50</w:t>
      </w:r>
      <w:r w:rsidR="00DD0494">
        <w:rPr>
          <w:rFonts w:hAnsi="宋体" w:hint="eastAsia"/>
        </w:rPr>
        <w:t>%</w:t>
      </w:r>
      <w:r>
        <w:rPr>
          <w:rFonts w:hAnsi="宋体" w:hint="eastAsia"/>
          <w:szCs w:val="24"/>
        </w:rPr>
        <w:t>÷当年天数</w:t>
      </w:r>
    </w:p>
    <w:p w14:paraId="6E59C74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H为每日应计提的基金管理费</w:t>
      </w:r>
    </w:p>
    <w:p w14:paraId="053FFFA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033FC7D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14:paraId="40E26DF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11.2基金托管费的计提比例和计提方法</w:t>
      </w:r>
    </w:p>
    <w:p w14:paraId="49A1043B" w14:textId="151B477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本基金的托管费按前一日基金资产净值的</w:t>
      </w:r>
      <w:r w:rsidR="00615CA5">
        <w:rPr>
          <w:rFonts w:hAnsi="宋体" w:hint="eastAsia"/>
          <w:szCs w:val="24"/>
        </w:rPr>
        <w:t>0</w:t>
      </w:r>
      <w:r w:rsidR="00615CA5">
        <w:rPr>
          <w:rFonts w:hAnsi="宋体"/>
          <w:szCs w:val="24"/>
        </w:rPr>
        <w:t>.25%</w:t>
      </w:r>
      <w:r>
        <w:rPr>
          <w:rFonts w:hAnsi="宋体" w:hint="eastAsia"/>
          <w:szCs w:val="24"/>
        </w:rPr>
        <w:t>的年费率计提。托管费的计算方法如下：</w:t>
      </w:r>
    </w:p>
    <w:p w14:paraId="412C2D11" w14:textId="55FC0A3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H＝E×</w:t>
      </w:r>
      <w:r w:rsidR="00615CA5">
        <w:rPr>
          <w:rFonts w:hAnsi="宋体" w:hint="eastAsia"/>
          <w:szCs w:val="24"/>
        </w:rPr>
        <w:t>0</w:t>
      </w:r>
      <w:r w:rsidR="00615CA5">
        <w:rPr>
          <w:rFonts w:hAnsi="宋体"/>
          <w:szCs w:val="24"/>
        </w:rPr>
        <w:t>.25%</w:t>
      </w:r>
      <w:r>
        <w:rPr>
          <w:rFonts w:hAnsi="宋体" w:hint="eastAsia"/>
          <w:szCs w:val="24"/>
        </w:rPr>
        <w:t>÷当年天数</w:t>
      </w:r>
    </w:p>
    <w:p w14:paraId="56C9B2A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H为每日应计提的基金托管费</w:t>
      </w:r>
    </w:p>
    <w:p w14:paraId="12D7837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70DB3B0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14:paraId="445ED6AC" w14:textId="10451557" w:rsidR="00B61FF9" w:rsidRDefault="00630130" w:rsidP="006643B1">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3</w:t>
      </w:r>
      <w:r w:rsidR="001B0A60">
        <w:rPr>
          <w:rFonts w:hAnsi="宋体" w:hint="eastAsia"/>
          <w:szCs w:val="24"/>
        </w:rPr>
        <w:t>为基金财产及基金运作所开立账户的开户费和维护费、证券</w:t>
      </w:r>
      <w:r w:rsidR="00DB4AA7">
        <w:rPr>
          <w:rFonts w:hAnsi="宋体" w:hint="eastAsia"/>
          <w:szCs w:val="24"/>
        </w:rPr>
        <w:t>/期货等</w:t>
      </w:r>
      <w:r w:rsidR="001B0A60">
        <w:rPr>
          <w:rFonts w:hAnsi="宋体" w:hint="eastAsia"/>
          <w:szCs w:val="24"/>
        </w:rPr>
        <w:t>交易</w:t>
      </w:r>
      <w:r w:rsidR="001B0A60">
        <w:rPr>
          <w:rFonts w:hAnsi="宋体" w:hint="eastAsia"/>
          <w:szCs w:val="24"/>
        </w:rPr>
        <w:lastRenderedPageBreak/>
        <w:t>费用、基金合同生效后与</w:t>
      </w:r>
      <w:r w:rsidR="001B0A60">
        <w:rPr>
          <w:rFonts w:hAnsi="宋体"/>
          <w:szCs w:val="24"/>
        </w:rPr>
        <w:t>基金相关</w:t>
      </w:r>
      <w:r w:rsidR="001B0A60">
        <w:rPr>
          <w:rFonts w:hAnsi="宋体" w:hint="eastAsia"/>
          <w:szCs w:val="24"/>
        </w:rPr>
        <w:t>的信息披露费用、基金份额持有人大会费用、基金合同生效后与基金相关的会计师费、律师费</w:t>
      </w:r>
      <w:r w:rsidR="001B0A60">
        <w:rPr>
          <w:rFonts w:hint="eastAsia"/>
          <w:bCs/>
        </w:rPr>
        <w:t>、仲裁费</w:t>
      </w:r>
      <w:r w:rsidR="001B0A60">
        <w:rPr>
          <w:bCs/>
        </w:rPr>
        <w:t>和诉讼费</w:t>
      </w:r>
      <w:r w:rsidR="001B0A60">
        <w:rPr>
          <w:rFonts w:hint="eastAsia"/>
          <w:bCs/>
        </w:rPr>
        <w:t>、</w:t>
      </w:r>
      <w:r w:rsidR="001B0A60">
        <w:rPr>
          <w:bCs/>
        </w:rPr>
        <w:t>基金的银行划款费用</w:t>
      </w:r>
      <w:r w:rsidR="001B0A60">
        <w:rPr>
          <w:rFonts w:hAnsi="宋体" w:hint="eastAsia"/>
          <w:szCs w:val="24"/>
        </w:rPr>
        <w:t>等根据有关法律法规、</w:t>
      </w:r>
      <w:r w:rsidR="00C70EEE" w:rsidRPr="00C70EEE">
        <w:rPr>
          <w:rFonts w:hAnsi="宋体" w:hint="eastAsia"/>
          <w:szCs w:val="24"/>
        </w:rPr>
        <w:t>因投资港股通标的股票而产生的各项合理费用</w:t>
      </w:r>
      <w:r w:rsidR="00C70EEE">
        <w:rPr>
          <w:rFonts w:hAnsi="宋体" w:hint="eastAsia"/>
          <w:szCs w:val="24"/>
        </w:rPr>
        <w:t>、</w:t>
      </w:r>
      <w:r w:rsidR="001B0A60">
        <w:rPr>
          <w:rFonts w:hAnsi="宋体" w:hint="eastAsia"/>
          <w:szCs w:val="24"/>
        </w:rPr>
        <w:t>基金合同及相应协议的规定，由基金托管人按基金管理人的划款指令并根据费用实际支出金额支付，列入或摊入当期基金费用。</w:t>
      </w:r>
    </w:p>
    <w:p w14:paraId="055E4E71" w14:textId="0EA302B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630130">
        <w:rPr>
          <w:rFonts w:hAnsi="宋体"/>
          <w:szCs w:val="24"/>
        </w:rPr>
        <w:t>4</w:t>
      </w:r>
      <w:r>
        <w:rPr>
          <w:rFonts w:hAnsi="宋体" w:hint="eastAsia"/>
          <w:szCs w:val="24"/>
        </w:rPr>
        <w:t>不列入基金费用的项目</w:t>
      </w:r>
    </w:p>
    <w:p w14:paraId="0DF4033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652D3238" w14:textId="5C859F0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630130">
        <w:rPr>
          <w:rFonts w:hAnsi="宋体"/>
          <w:szCs w:val="24"/>
        </w:rPr>
        <w:t>5</w:t>
      </w:r>
      <w:r>
        <w:rPr>
          <w:rFonts w:hAnsi="宋体" w:hint="eastAsia"/>
          <w:szCs w:val="24"/>
        </w:rPr>
        <w:t>基金管理费和基金托管费的调整</w:t>
      </w:r>
    </w:p>
    <w:p w14:paraId="11EC803D" w14:textId="77777777" w:rsidR="00B61FF9" w:rsidRDefault="001B0A60" w:rsidP="006643B1">
      <w:pPr>
        <w:spacing w:line="520" w:lineRule="atLeast"/>
        <w:ind w:firstLineChars="200" w:firstLine="480"/>
        <w:rPr>
          <w:bCs/>
          <w:sz w:val="24"/>
        </w:rPr>
      </w:pPr>
      <w:r>
        <w:rPr>
          <w:rFonts w:hint="eastAsia"/>
          <w:bCs/>
          <w:sz w:val="24"/>
        </w:rPr>
        <w:t>在不对基金份额持有人权益产生实质性不利影响的情况下，基金管理人和基金托管人协商一致且在履行适当程序后，可按照基金发展情况，并根据法律法规规定和基金合同约定酌情调整基金管理费率、基金托管费率等相关费率。</w:t>
      </w:r>
    </w:p>
    <w:p w14:paraId="39005B3C" w14:textId="7A4D5F4E" w:rsidR="00B61FF9" w:rsidRDefault="001B0A60" w:rsidP="006643B1">
      <w:pPr>
        <w:spacing w:line="520" w:lineRule="atLeast"/>
        <w:ind w:firstLineChars="200" w:firstLine="480"/>
        <w:rPr>
          <w:bCs/>
          <w:sz w:val="24"/>
        </w:rPr>
      </w:pPr>
      <w:r>
        <w:rPr>
          <w:rFonts w:hint="eastAsia"/>
          <w:bCs/>
          <w:sz w:val="24"/>
        </w:rPr>
        <w:t>基金管理人必须于新的费率实施日前依照</w:t>
      </w:r>
      <w:r>
        <w:rPr>
          <w:bCs/>
          <w:sz w:val="24"/>
        </w:rPr>
        <w:t>《</w:t>
      </w:r>
      <w:r>
        <w:rPr>
          <w:rFonts w:hint="eastAsia"/>
          <w:bCs/>
          <w:sz w:val="24"/>
        </w:rPr>
        <w:t>信息</w:t>
      </w:r>
      <w:r>
        <w:rPr>
          <w:bCs/>
          <w:sz w:val="24"/>
        </w:rPr>
        <w:t>披露办法》</w:t>
      </w:r>
      <w:r>
        <w:rPr>
          <w:rFonts w:hint="eastAsia"/>
          <w:bCs/>
          <w:sz w:val="24"/>
        </w:rPr>
        <w:t>的</w:t>
      </w:r>
      <w:r>
        <w:rPr>
          <w:bCs/>
          <w:sz w:val="24"/>
        </w:rPr>
        <w:t>规定</w:t>
      </w:r>
      <w:r>
        <w:rPr>
          <w:rFonts w:hint="eastAsia"/>
          <w:bCs/>
          <w:sz w:val="24"/>
        </w:rPr>
        <w:t>在</w:t>
      </w:r>
      <w:r w:rsidR="00953A11">
        <w:rPr>
          <w:rFonts w:hint="eastAsia"/>
          <w:bCs/>
          <w:sz w:val="24"/>
        </w:rPr>
        <w:t>规定媒介</w:t>
      </w:r>
      <w:r>
        <w:rPr>
          <w:rFonts w:hint="eastAsia"/>
          <w:bCs/>
          <w:sz w:val="24"/>
        </w:rPr>
        <w:t>上公告。</w:t>
      </w:r>
    </w:p>
    <w:p w14:paraId="169D8D9C" w14:textId="11B1CA7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630130">
        <w:rPr>
          <w:rFonts w:hAnsi="宋体"/>
          <w:szCs w:val="24"/>
        </w:rPr>
        <w:t>6</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354E5384" w14:textId="77777777" w:rsidR="00B61FF9" w:rsidRDefault="001B0A60" w:rsidP="006643B1">
      <w:pPr>
        <w:pStyle w:val="1"/>
        <w:spacing w:line="520" w:lineRule="atLeast"/>
        <w:ind w:firstLineChars="200" w:firstLine="482"/>
        <w:rPr>
          <w:bCs/>
          <w:color w:val="auto"/>
          <w:szCs w:val="24"/>
        </w:rPr>
      </w:pPr>
      <w:bookmarkStart w:id="38" w:name="_Toc296551348"/>
      <w:bookmarkStart w:id="39" w:name="_Toc44321735"/>
      <w:r>
        <w:rPr>
          <w:rFonts w:hint="eastAsia"/>
          <w:bCs/>
          <w:color w:val="auto"/>
          <w:szCs w:val="24"/>
        </w:rPr>
        <w:t>第十二条 基金份额持有人名册的保管</w:t>
      </w:r>
      <w:bookmarkEnd w:id="38"/>
      <w:bookmarkEnd w:id="39"/>
    </w:p>
    <w:p w14:paraId="18E6D17D" w14:textId="4DF88AD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12.1基金管理人和基金托管人须分别妥善保管基金份额持有人名册，基金份额持有人名册的内容必须包括基金份额持有人的名称和持有的基金份额。</w:t>
      </w:r>
    </w:p>
    <w:p w14:paraId="69FF566A" w14:textId="407B534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12.2基金份额持有人名册由基金的基金登记机构根据基金管理人的指令编制和保管，基金管理人和基金托管人应按照目前相关规则分别保管基金份额持有人名册。保管方式可以采用电子或文档的形式。保管期限为</w:t>
      </w:r>
      <w:r w:rsidR="008F4C30">
        <w:rPr>
          <w:rFonts w:hAnsi="宋体"/>
          <w:szCs w:val="24"/>
        </w:rPr>
        <w:t>20</w:t>
      </w:r>
      <w:r>
        <w:rPr>
          <w:rFonts w:hAnsi="宋体" w:hint="eastAsia"/>
          <w:szCs w:val="24"/>
        </w:rPr>
        <w:t>年，</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5749803B" w14:textId="1C342C0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w:t>
      </w:r>
      <w:r w:rsidR="00BB1D20">
        <w:rPr>
          <w:rFonts w:hAnsi="宋体"/>
          <w:szCs w:val="24"/>
        </w:rPr>
        <w:t>3</w:t>
      </w:r>
      <w:r>
        <w:rPr>
          <w:rFonts w:hAnsi="宋体" w:hint="eastAsia"/>
          <w:szCs w:val="24"/>
        </w:rPr>
        <w:t>若基金管理人或基金托管人由于自身原因无法妥善保管基金份额持有人</w:t>
      </w:r>
      <w:r>
        <w:rPr>
          <w:rFonts w:hAnsi="宋体" w:hint="eastAsia"/>
          <w:szCs w:val="24"/>
        </w:rPr>
        <w:lastRenderedPageBreak/>
        <w:t>名册，应按有关法规规定各自承担相应的责任。</w:t>
      </w:r>
    </w:p>
    <w:p w14:paraId="39C93E16" w14:textId="77777777" w:rsidR="00B61FF9" w:rsidRDefault="001B0A60" w:rsidP="006643B1">
      <w:pPr>
        <w:pStyle w:val="1"/>
        <w:spacing w:line="520" w:lineRule="atLeast"/>
        <w:ind w:firstLineChars="200" w:firstLine="482"/>
        <w:rPr>
          <w:bCs/>
          <w:color w:val="auto"/>
          <w:szCs w:val="24"/>
        </w:rPr>
      </w:pPr>
      <w:bookmarkStart w:id="40" w:name="_Toc296551349"/>
      <w:bookmarkStart w:id="41" w:name="_Toc44321736"/>
      <w:r>
        <w:rPr>
          <w:rFonts w:hint="eastAsia"/>
          <w:bCs/>
          <w:color w:val="auto"/>
          <w:szCs w:val="24"/>
        </w:rPr>
        <w:t>第十三条 基金有关文件和档案的保存</w:t>
      </w:r>
      <w:bookmarkEnd w:id="40"/>
      <w:bookmarkEnd w:id="41"/>
    </w:p>
    <w:p w14:paraId="785FA5FC" w14:textId="5637ABE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13.1基金管理人、基金托管人按各自职责完整保存原始凭证、记账凭证、基金账册、交易记录和重要合同等，保存期限不少于</w:t>
      </w:r>
      <w:r w:rsidR="008F4C30">
        <w:rPr>
          <w:rFonts w:hAnsi="宋体"/>
          <w:szCs w:val="24"/>
        </w:rPr>
        <w:t>20</w:t>
      </w:r>
      <w:r>
        <w:rPr>
          <w:rFonts w:hAnsi="宋体" w:hint="eastAsia"/>
          <w:szCs w:val="24"/>
        </w:rPr>
        <w:t>年，对相关信息负有保密义务，</w:t>
      </w:r>
      <w:r w:rsidR="00251308" w:rsidRPr="00251308">
        <w:rPr>
          <w:rFonts w:hAnsi="宋体" w:hint="eastAsia"/>
          <w:szCs w:val="24"/>
        </w:rPr>
        <w:t>但根据有关法律法规规定或有权机关要求披露的除外。</w:t>
      </w:r>
      <w:r>
        <w:rPr>
          <w:rFonts w:hAnsi="宋体" w:hint="eastAsia"/>
          <w:szCs w:val="24"/>
        </w:rPr>
        <w:t>其中，基金管理人应保存基金财产管理业务活动的记录、账册、报表和其他相关资料，基金托管人应保存基金托管业务活动的记录、账册、报表和其他相关资料。</w:t>
      </w:r>
    </w:p>
    <w:p w14:paraId="086FA62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09988EF3" w14:textId="1666A6C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13.3基金管理人或基金托管人变更后，未变更的一方有义务协助接任人接</w:t>
      </w:r>
      <w:r w:rsidR="00D73BC0">
        <w:rPr>
          <w:rFonts w:hAnsi="宋体" w:hint="eastAsia"/>
          <w:szCs w:val="24"/>
        </w:rPr>
        <w:t>收</w:t>
      </w:r>
      <w:r>
        <w:rPr>
          <w:rFonts w:hAnsi="宋体" w:hint="eastAsia"/>
          <w:szCs w:val="24"/>
        </w:rPr>
        <w:t>基金的有关文件。</w:t>
      </w:r>
    </w:p>
    <w:p w14:paraId="3CB0ABD0" w14:textId="77777777" w:rsidR="00B61FF9" w:rsidRDefault="001B0A60" w:rsidP="006643B1">
      <w:pPr>
        <w:pStyle w:val="1"/>
        <w:spacing w:line="520" w:lineRule="atLeast"/>
        <w:ind w:firstLineChars="200" w:firstLine="482"/>
        <w:rPr>
          <w:bCs/>
          <w:color w:val="auto"/>
          <w:szCs w:val="24"/>
        </w:rPr>
      </w:pPr>
      <w:bookmarkStart w:id="42" w:name="_Toc296551350"/>
      <w:bookmarkStart w:id="43" w:name="_Toc44321737"/>
      <w:r>
        <w:rPr>
          <w:rFonts w:hint="eastAsia"/>
          <w:bCs/>
          <w:color w:val="auto"/>
          <w:szCs w:val="24"/>
        </w:rPr>
        <w:t>第十四条 基金管理人和基金托管人的更换</w:t>
      </w:r>
      <w:bookmarkEnd w:id="42"/>
      <w:bookmarkEnd w:id="43"/>
    </w:p>
    <w:p w14:paraId="60BC127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14.1基金管理人的更换</w:t>
      </w:r>
    </w:p>
    <w:p w14:paraId="2A1E540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14.1.1基金管理人的更换条件</w:t>
      </w:r>
    </w:p>
    <w:p w14:paraId="688950E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有下列情形之一的，基金管理人职责终止：</w:t>
      </w:r>
    </w:p>
    <w:p w14:paraId="76F0892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（1）基金管理人被依法取消基金管理资格；</w:t>
      </w:r>
    </w:p>
    <w:p w14:paraId="04CA669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（2）基金管理人依法解散、被依法撤销或者被依法宣告破产；</w:t>
      </w:r>
    </w:p>
    <w:p w14:paraId="63CED5B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（3）基金管理人被基金份额持有人大会解任；</w:t>
      </w:r>
    </w:p>
    <w:p w14:paraId="10E9E16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7778823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14.1.2基金管理人的更换程序</w:t>
      </w:r>
    </w:p>
    <w:p w14:paraId="6529078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更换基金管理人必须依照如下程序进行：</w:t>
      </w:r>
    </w:p>
    <w:p w14:paraId="72125D5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（1）提名：新任基金管理人由基金托管人或由单独或合计持有10%以上（含10%）基金份额的基金份额持有人提名；</w:t>
      </w:r>
    </w:p>
    <w:p w14:paraId="4593E59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（2）决议：基金份额持有人大会在基金管理人职责终止后6个月内对被提名的基金管理人形成决议，</w:t>
      </w:r>
      <w:r>
        <w:rPr>
          <w:bCs/>
        </w:rPr>
        <w:t>该决议需经参加大会的基金份额持有人所持表决权的</w:t>
      </w:r>
      <w:r>
        <w:rPr>
          <w:rFonts w:hint="eastAsia"/>
          <w:bCs/>
        </w:rPr>
        <w:t>2/3</w:t>
      </w:r>
      <w:r>
        <w:rPr>
          <w:bCs/>
        </w:rPr>
        <w:t>以上（含</w:t>
      </w:r>
      <w:r>
        <w:rPr>
          <w:rFonts w:hint="eastAsia"/>
          <w:bCs/>
        </w:rPr>
        <w:t>2/3</w:t>
      </w:r>
      <w:r>
        <w:rPr>
          <w:bCs/>
        </w:rPr>
        <w:t>）表决通过</w:t>
      </w:r>
      <w:r>
        <w:rPr>
          <w:rFonts w:hint="eastAsia"/>
          <w:bCs/>
        </w:rPr>
        <w:t>，决议自表决通过之日起生效</w:t>
      </w:r>
      <w:r>
        <w:rPr>
          <w:rFonts w:hAnsi="宋体" w:hint="eastAsia"/>
          <w:szCs w:val="24"/>
        </w:rPr>
        <w:t>；</w:t>
      </w:r>
    </w:p>
    <w:p w14:paraId="55DCA08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（3）临时基金管理人：新任基金管理人产生之前，由中国证监会指定临时基</w:t>
      </w:r>
      <w:r>
        <w:rPr>
          <w:rFonts w:hAnsi="宋体" w:hint="eastAsia"/>
          <w:szCs w:val="24"/>
        </w:rPr>
        <w:lastRenderedPageBreak/>
        <w:t>金管理人；</w:t>
      </w:r>
    </w:p>
    <w:p w14:paraId="0C0876B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 xml:space="preserve">（4）备案：基金份额持有人大会更换基金管理人的决议须报中国证监会备案；  </w:t>
      </w:r>
    </w:p>
    <w:p w14:paraId="3BBE8852" w14:textId="3C062335" w:rsidR="00B61FF9" w:rsidRDefault="001B0A60" w:rsidP="006643B1">
      <w:pPr>
        <w:pStyle w:val="20"/>
        <w:spacing w:before="0" w:after="0" w:line="520" w:lineRule="atLeast"/>
        <w:ind w:left="0"/>
        <w:rPr>
          <w:rFonts w:hAnsi="宋体"/>
          <w:szCs w:val="24"/>
        </w:rPr>
      </w:pPr>
      <w:r>
        <w:rPr>
          <w:rFonts w:hint="eastAsia"/>
          <w:bCs/>
        </w:rPr>
        <w:t xml:space="preserve">  </w:t>
      </w:r>
      <w:r>
        <w:rPr>
          <w:bCs/>
        </w:rPr>
        <w:t xml:space="preserve">  </w:t>
      </w:r>
      <w:r>
        <w:rPr>
          <w:rFonts w:hAnsi="宋体" w:hint="eastAsia"/>
          <w:szCs w:val="24"/>
        </w:rPr>
        <w:t>（5）公告：基金管理人更换后，由基金托管人在</w:t>
      </w:r>
      <w:r>
        <w:rPr>
          <w:rFonts w:hint="eastAsia"/>
          <w:bCs/>
        </w:rPr>
        <w:t>更换</w:t>
      </w:r>
      <w:r>
        <w:rPr>
          <w:bCs/>
        </w:rPr>
        <w:t>基金管理人的</w:t>
      </w:r>
      <w:r>
        <w:rPr>
          <w:rFonts w:hint="eastAsia"/>
          <w:bCs/>
        </w:rPr>
        <w:t>基金</w:t>
      </w:r>
      <w:r>
        <w:rPr>
          <w:bCs/>
        </w:rPr>
        <w:t>份额持有人大会</w:t>
      </w:r>
      <w:r>
        <w:rPr>
          <w:rFonts w:hint="eastAsia"/>
          <w:bCs/>
        </w:rPr>
        <w:t>决议生效后按照《信息披露办法》有关规定</w:t>
      </w:r>
      <w:r>
        <w:rPr>
          <w:bCs/>
        </w:rPr>
        <w:t>在</w:t>
      </w:r>
      <w:r w:rsidR="00953A11">
        <w:rPr>
          <w:rFonts w:hint="eastAsia"/>
          <w:bCs/>
        </w:rPr>
        <w:t>规定媒介</w:t>
      </w:r>
      <w:r>
        <w:rPr>
          <w:bCs/>
        </w:rPr>
        <w:t>公告</w:t>
      </w:r>
      <w:r>
        <w:rPr>
          <w:rFonts w:hAnsi="宋体" w:hint="eastAsia"/>
          <w:szCs w:val="24"/>
        </w:rPr>
        <w:t>；</w:t>
      </w:r>
    </w:p>
    <w:p w14:paraId="17807CB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）交接：基金管理人职责终止的，</w:t>
      </w:r>
      <w:r>
        <w:rPr>
          <w:bCs/>
        </w:rPr>
        <w:t>基金管理人</w:t>
      </w:r>
      <w:r>
        <w:rPr>
          <w:rFonts w:hAnsi="宋体" w:hint="eastAsia"/>
          <w:szCs w:val="24"/>
        </w:rPr>
        <w:t>应妥善保管基金管理业务资料，及时</w:t>
      </w:r>
      <w:r>
        <w:rPr>
          <w:bCs/>
        </w:rPr>
        <w:t>向临时基金管理人或新任基金管理人</w:t>
      </w:r>
      <w:r>
        <w:rPr>
          <w:rFonts w:hAnsi="宋体" w:hint="eastAsia"/>
          <w:szCs w:val="24"/>
        </w:rPr>
        <w:t>办理基金管理业务的移交手续，临时基金管理人或新任基金管理人应及时接收，临时基金管理人或新任基金管理人应与基金托管人核对基金资产总值</w:t>
      </w:r>
      <w:r>
        <w:rPr>
          <w:rFonts w:hint="eastAsia"/>
          <w:bCs/>
        </w:rPr>
        <w:t>和</w:t>
      </w:r>
      <w:r>
        <w:rPr>
          <w:bCs/>
        </w:rPr>
        <w:t>净值</w:t>
      </w:r>
      <w:r>
        <w:rPr>
          <w:rFonts w:hAnsi="宋体" w:hint="eastAsia"/>
          <w:szCs w:val="24"/>
        </w:rPr>
        <w:t>；</w:t>
      </w:r>
    </w:p>
    <w:p w14:paraId="373D6AE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7</w:t>
      </w:r>
      <w:r>
        <w:rPr>
          <w:rFonts w:hAnsi="宋体" w:hint="eastAsia"/>
          <w:szCs w:val="24"/>
        </w:rPr>
        <w:t>）审计：基金管理人职责终止的，应当按照法律法规规定聘请会计师事务所对基金财产进行审计，并将审计结果予以公告，同时报中国证监会备案，审计费由基金财产承担；</w:t>
      </w:r>
    </w:p>
    <w:p w14:paraId="4A3ABB0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8</w:t>
      </w:r>
      <w:r>
        <w:rPr>
          <w:rFonts w:hAnsi="宋体" w:hint="eastAsia"/>
          <w:szCs w:val="24"/>
        </w:rPr>
        <w:t>）基金名称变更：基金管理人更换后，如果原任或新任基金管理人要求，应按其要求替换或删除基金名称中与原基金管理人有关的名称字样。</w:t>
      </w:r>
    </w:p>
    <w:p w14:paraId="4A26656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14.2基金托管人的更换</w:t>
      </w:r>
    </w:p>
    <w:p w14:paraId="3E0CA9B6" w14:textId="7A2C7EC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14.2.1基金托管人的更换条件</w:t>
      </w:r>
    </w:p>
    <w:p w14:paraId="06D772A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有下列情形之一的，基金托管人职责终止：</w:t>
      </w:r>
    </w:p>
    <w:p w14:paraId="12571C3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（1）基金托管人被依法取消基金托管资格；</w:t>
      </w:r>
    </w:p>
    <w:p w14:paraId="32E2E4E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（2）基金托管人依法解散、被依法撤销或者被依法宣布破产；</w:t>
      </w:r>
    </w:p>
    <w:p w14:paraId="4574CAE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（3）基金托管人被基金份额持有人大会解任；</w:t>
      </w:r>
    </w:p>
    <w:p w14:paraId="2C9927A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0A9432A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14.2.2基金托管人的更换程序</w:t>
      </w:r>
    </w:p>
    <w:p w14:paraId="7267EE7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（1）提名：新任基金托管人由基金管理人或由单独或合计持有10%以上（含10%）基金份额的基金份额持有人提名；</w:t>
      </w:r>
    </w:p>
    <w:p w14:paraId="1834DF4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（2）决议：基金份额持有人大会在基金托管人职责终止后6个月内对被提名的基金托管人形成决议，</w:t>
      </w:r>
      <w:r>
        <w:rPr>
          <w:rFonts w:hAnsi="宋体"/>
          <w:szCs w:val="24"/>
        </w:rPr>
        <w:t>该决议需经参加大会的基金份额持有人所持表决权的</w:t>
      </w:r>
      <w:r>
        <w:rPr>
          <w:rFonts w:hAnsi="宋体" w:hint="eastAsia"/>
          <w:szCs w:val="24"/>
        </w:rPr>
        <w:t>2/3</w:t>
      </w:r>
      <w:r>
        <w:rPr>
          <w:rFonts w:hAnsi="宋体"/>
          <w:szCs w:val="24"/>
        </w:rPr>
        <w:t>以上（含</w:t>
      </w:r>
      <w:r>
        <w:rPr>
          <w:rFonts w:hAnsi="宋体" w:hint="eastAsia"/>
          <w:szCs w:val="24"/>
        </w:rPr>
        <w:t>2/3</w:t>
      </w:r>
      <w:r>
        <w:rPr>
          <w:rFonts w:hAnsi="宋体"/>
          <w:szCs w:val="24"/>
        </w:rPr>
        <w:t>）表决通过</w:t>
      </w:r>
      <w:r>
        <w:rPr>
          <w:rFonts w:hAnsi="宋体" w:hint="eastAsia"/>
          <w:szCs w:val="24"/>
        </w:rPr>
        <w:t>，决议自表决通过之日起生效；</w:t>
      </w:r>
    </w:p>
    <w:p w14:paraId="3F6613D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临时基金托管人：新任基金托管人产生之前，由中国证监会指定临时基金托管人；</w:t>
      </w:r>
    </w:p>
    <w:p w14:paraId="4A13D44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（4）</w:t>
      </w:r>
      <w:r>
        <w:rPr>
          <w:rFonts w:hint="eastAsia"/>
          <w:bCs/>
        </w:rPr>
        <w:t>备案</w:t>
      </w:r>
      <w:r>
        <w:rPr>
          <w:bCs/>
        </w:rPr>
        <w:t>：</w:t>
      </w:r>
      <w:r>
        <w:rPr>
          <w:rFonts w:hint="eastAsia"/>
          <w:bCs/>
        </w:rPr>
        <w:t xml:space="preserve">基金份额持有人大会更换基金托管人的决议须报中国证监会备案；  </w:t>
      </w:r>
      <w:r>
        <w:rPr>
          <w:bCs/>
        </w:rPr>
        <w:t xml:space="preserve"> </w:t>
      </w:r>
    </w:p>
    <w:p w14:paraId="75C48CD3" w14:textId="2B26B09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（5）公告：基金托管人更换后，由基金管理人在</w:t>
      </w:r>
      <w:r>
        <w:rPr>
          <w:rFonts w:hint="eastAsia"/>
          <w:bCs/>
        </w:rPr>
        <w:t>更换</w:t>
      </w:r>
      <w:r>
        <w:rPr>
          <w:bCs/>
        </w:rPr>
        <w:t>基金托管人的基金</w:t>
      </w:r>
      <w:r>
        <w:rPr>
          <w:rFonts w:hint="eastAsia"/>
          <w:bCs/>
        </w:rPr>
        <w:t>份额</w:t>
      </w:r>
      <w:r>
        <w:rPr>
          <w:bCs/>
        </w:rPr>
        <w:t>持有人大会</w:t>
      </w:r>
      <w:r>
        <w:rPr>
          <w:rFonts w:hint="eastAsia"/>
          <w:bCs/>
        </w:rPr>
        <w:t>决议生效</w:t>
      </w:r>
      <w:r>
        <w:rPr>
          <w:bCs/>
        </w:rPr>
        <w:t>后</w:t>
      </w:r>
      <w:r>
        <w:rPr>
          <w:rFonts w:hint="eastAsia"/>
          <w:bCs/>
        </w:rPr>
        <w:t>按照《信息披露办法》有关规定</w:t>
      </w:r>
      <w:r>
        <w:rPr>
          <w:bCs/>
        </w:rPr>
        <w:t>在</w:t>
      </w:r>
      <w:r w:rsidR="00953A11">
        <w:rPr>
          <w:rFonts w:hint="eastAsia"/>
          <w:bCs/>
        </w:rPr>
        <w:t>规定媒介</w:t>
      </w:r>
      <w:r>
        <w:rPr>
          <w:bCs/>
        </w:rPr>
        <w:t>公告</w:t>
      </w:r>
      <w:r>
        <w:rPr>
          <w:rFonts w:hAnsi="宋体" w:hint="eastAsia"/>
          <w:szCs w:val="24"/>
        </w:rPr>
        <w:t>；</w:t>
      </w:r>
    </w:p>
    <w:p w14:paraId="105B68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交接：基金托管人职责终止的，应当妥善保管基金财产和基金托管业务资料，及时办理基金财产和基金托管业务的移交手续，临时基金托管人或新任基金托管人应当及时接收，临时基金托管人或新任基金托管人应与基金管理人核对基金资产总值</w:t>
      </w:r>
      <w:r>
        <w:rPr>
          <w:rFonts w:hint="eastAsia"/>
          <w:bCs/>
        </w:rPr>
        <w:t>和</w:t>
      </w:r>
      <w:r>
        <w:rPr>
          <w:bCs/>
        </w:rPr>
        <w:t>净值</w:t>
      </w:r>
      <w:r>
        <w:rPr>
          <w:rFonts w:hAnsi="宋体" w:hint="eastAsia"/>
          <w:szCs w:val="24"/>
        </w:rPr>
        <w:t>；</w:t>
      </w:r>
    </w:p>
    <w:p w14:paraId="1DBEF52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（7）审计：基金托管人职责终止的，应当按照法律法规规定聘请会计师事务所对基金财产进行审计，并将审计结果予以公告，同时报中国证监会备案。审计费由基金财产承担。</w:t>
      </w:r>
    </w:p>
    <w:p w14:paraId="41D086D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14.3基金管理人与基金托管人同时更换</w:t>
      </w:r>
    </w:p>
    <w:p w14:paraId="77D157C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14:paraId="3521EC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14.3.2基金管理人和基金托管人的更换分别按上述程序进行。</w:t>
      </w:r>
    </w:p>
    <w:p w14:paraId="08ED22FB" w14:textId="5CFFF626" w:rsidR="006E1C21" w:rsidRDefault="006E1C21" w:rsidP="006643B1">
      <w:pPr>
        <w:pStyle w:val="20"/>
        <w:spacing w:before="0" w:after="0" w:line="520" w:lineRule="atLeast"/>
        <w:ind w:left="0" w:firstLineChars="200" w:firstLine="480"/>
        <w:rPr>
          <w:rFonts w:hAnsi="宋体"/>
          <w:szCs w:val="24"/>
        </w:rPr>
      </w:pPr>
      <w:r>
        <w:rPr>
          <w:rFonts w:hAnsi="宋体"/>
          <w:szCs w:val="24"/>
        </w:rPr>
        <w:t>14.3.3</w:t>
      </w:r>
      <w:r w:rsidRPr="006E1C21">
        <w:rPr>
          <w:rFonts w:hAnsi="宋体" w:hint="eastAsia"/>
          <w:szCs w:val="24"/>
        </w:rPr>
        <w:t>公告：新任基金管理人和新任基金托管人应在更换基金管理人和基金托管人的基金份额持有人大会决议生效后2日内在</w:t>
      </w:r>
      <w:r w:rsidR="00953A11">
        <w:rPr>
          <w:rFonts w:hAnsi="宋体" w:hint="eastAsia"/>
          <w:szCs w:val="24"/>
        </w:rPr>
        <w:t>规定媒介</w:t>
      </w:r>
      <w:r w:rsidRPr="006E1C21">
        <w:rPr>
          <w:rFonts w:hAnsi="宋体" w:hint="eastAsia"/>
          <w:szCs w:val="24"/>
        </w:rPr>
        <w:t>上联合公告。</w:t>
      </w:r>
    </w:p>
    <w:p w14:paraId="2F55917C" w14:textId="6653B5DB" w:rsidR="00B61FF9" w:rsidRDefault="001B0A60" w:rsidP="006643B1">
      <w:pPr>
        <w:pStyle w:val="20"/>
        <w:spacing w:before="0" w:after="0" w:line="520" w:lineRule="atLeast"/>
        <w:ind w:left="0" w:firstLineChars="200" w:firstLine="480"/>
        <w:rPr>
          <w:bCs/>
        </w:rPr>
      </w:pPr>
      <w:r>
        <w:rPr>
          <w:rFonts w:hAnsi="宋体" w:hint="eastAsia"/>
          <w:szCs w:val="24"/>
        </w:rPr>
        <w:t>14.4新任或临时基金管理人</w:t>
      </w:r>
      <w:r w:rsidR="00D73BC0">
        <w:rPr>
          <w:rFonts w:hint="eastAsia"/>
          <w:bCs/>
        </w:rPr>
        <w:t>接收</w:t>
      </w:r>
      <w:r>
        <w:rPr>
          <w:rFonts w:hAnsi="宋体" w:hint="eastAsia"/>
          <w:szCs w:val="24"/>
        </w:rPr>
        <w:t>基金管理业务或新任或临时基金托管人</w:t>
      </w:r>
      <w:r w:rsidR="00D73BC0">
        <w:rPr>
          <w:rFonts w:hint="eastAsia"/>
          <w:bCs/>
        </w:rPr>
        <w:t>接收</w:t>
      </w:r>
      <w:r>
        <w:rPr>
          <w:rFonts w:hAnsi="宋体" w:hint="eastAsia"/>
          <w:szCs w:val="24"/>
        </w:rPr>
        <w:t>基金财产和基金托管业务前，原基金管理人或原基金托管人应</w:t>
      </w:r>
      <w:r>
        <w:rPr>
          <w:rFonts w:hint="eastAsia"/>
          <w:bCs/>
        </w:rPr>
        <w:t>依据法律法规和基金合同的规定</w:t>
      </w:r>
      <w:r>
        <w:rPr>
          <w:rFonts w:hAnsi="宋体" w:hint="eastAsia"/>
          <w:szCs w:val="24"/>
        </w:rPr>
        <w:t>继续履行相关职责，并保证不对基金份额持有人的利益造成损害。</w:t>
      </w:r>
      <w:r>
        <w:rPr>
          <w:rFonts w:hint="eastAsia"/>
          <w:bCs/>
        </w:rPr>
        <w:t>原基金管理人或原基金托管人在继续履行相关职责期间，仍有权按照</w:t>
      </w:r>
      <w:r>
        <w:rPr>
          <w:bCs/>
        </w:rPr>
        <w:t>基金</w:t>
      </w:r>
      <w:r>
        <w:rPr>
          <w:rFonts w:hint="eastAsia"/>
          <w:bCs/>
        </w:rPr>
        <w:t>合同的规定收取基金管理费或基金托管费。</w:t>
      </w:r>
    </w:p>
    <w:p w14:paraId="00BAFE85" w14:textId="5ABBC300" w:rsidR="00B61FF9" w:rsidRDefault="006E1C21" w:rsidP="006643B1">
      <w:pPr>
        <w:pStyle w:val="20"/>
        <w:spacing w:before="0" w:after="0" w:line="520" w:lineRule="atLeast"/>
        <w:ind w:left="0" w:firstLineChars="200" w:firstLine="480"/>
        <w:rPr>
          <w:rFonts w:hAnsi="宋体"/>
          <w:szCs w:val="24"/>
        </w:rPr>
      </w:pPr>
      <w:r>
        <w:rPr>
          <w:rFonts w:hint="eastAsia"/>
          <w:bCs/>
        </w:rPr>
        <w:t>14.5</w:t>
      </w:r>
      <w:r w:rsidRPr="006E1C21">
        <w:rPr>
          <w:rFonts w:hint="eastAsia"/>
          <w:bCs/>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0C2D7D6" w14:textId="77777777" w:rsidR="00B61FF9" w:rsidRDefault="001B0A60" w:rsidP="006643B1">
      <w:pPr>
        <w:pStyle w:val="1"/>
        <w:spacing w:line="520" w:lineRule="atLeast"/>
        <w:ind w:firstLineChars="200" w:firstLine="482"/>
        <w:rPr>
          <w:bCs/>
          <w:color w:val="auto"/>
          <w:szCs w:val="24"/>
        </w:rPr>
      </w:pPr>
      <w:bookmarkStart w:id="44" w:name="_Toc296551351"/>
      <w:bookmarkStart w:id="45" w:name="_Toc44321738"/>
      <w:r>
        <w:rPr>
          <w:rFonts w:hint="eastAsia"/>
          <w:bCs/>
          <w:color w:val="auto"/>
          <w:szCs w:val="24"/>
        </w:rPr>
        <w:t>第十五条 禁止行为</w:t>
      </w:r>
      <w:bookmarkEnd w:id="44"/>
      <w:bookmarkEnd w:id="45"/>
    </w:p>
    <w:p w14:paraId="6DDEE3F7" w14:textId="5916ABD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w:t>
      </w:r>
      <w:r w:rsidR="00956305" w:rsidRPr="00956305">
        <w:rPr>
          <w:rFonts w:hAnsi="宋体" w:hint="eastAsia"/>
          <w:szCs w:val="24"/>
        </w:rPr>
        <w:t>基金管理人、基金托管人</w:t>
      </w:r>
      <w:r>
        <w:rPr>
          <w:rFonts w:hAnsi="宋体" w:hint="eastAsia"/>
          <w:szCs w:val="24"/>
        </w:rPr>
        <w:t>禁止从事的行为，包括但不限于：</w:t>
      </w:r>
    </w:p>
    <w:p w14:paraId="1ADC5B0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15.1.1基金管理人、基金托管人将其固有财产或者他人财产混同于基金财产</w:t>
      </w:r>
      <w:r>
        <w:rPr>
          <w:rFonts w:hAnsi="宋体" w:hint="eastAsia"/>
          <w:szCs w:val="24"/>
        </w:rPr>
        <w:lastRenderedPageBreak/>
        <w:t>从事证券投资。</w:t>
      </w:r>
    </w:p>
    <w:p w14:paraId="129DDB9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4CFCF4F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1F4F40F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15.1.4基金管理人、基金托管人向基金份额持有人违规承诺收益或者承担损失。</w:t>
      </w:r>
    </w:p>
    <w:p w14:paraId="3E7B056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15.1.5基金管理人、基金托管人对他人泄漏基金运作和管理过程中任何尚未按法律法规规定的方式公开披露的信息。</w:t>
      </w:r>
    </w:p>
    <w:p w14:paraId="108B7F4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529DF95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11727950" w14:textId="55CBFF8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15.1.8基金托管人私自动用或处分基金财产，根据基金管理人的合法指令、基金合同或</w:t>
      </w:r>
      <w:r w:rsidR="00956305">
        <w:rPr>
          <w:rFonts w:hAnsi="宋体" w:hint="eastAsia"/>
          <w:szCs w:val="24"/>
        </w:rPr>
        <w:t>本</w:t>
      </w:r>
      <w:r>
        <w:rPr>
          <w:rFonts w:hAnsi="宋体" w:hint="eastAsia"/>
          <w:szCs w:val="24"/>
        </w:rPr>
        <w:t>协议的规定进行处分的除外。</w:t>
      </w:r>
    </w:p>
    <w:p w14:paraId="6FA4A03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15.1.9基金财产用于下列投资或者活动：</w:t>
      </w:r>
    </w:p>
    <w:p w14:paraId="19A359F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（1）承销证券；</w:t>
      </w:r>
    </w:p>
    <w:p w14:paraId="2AC00A1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14:paraId="244EE8C6" w14:textId="20A5AD7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（3）从事承担无限责任的投资；</w:t>
      </w:r>
    </w:p>
    <w:p w14:paraId="0244A90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（4）买卖其他基金份额，但法律法规或中国证监会另有规定的除外；</w:t>
      </w:r>
    </w:p>
    <w:p w14:paraId="1F164F9C" w14:textId="0EFB7C4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（5）向其基金管理人、基金托管人出资</w:t>
      </w:r>
      <w:r w:rsidR="00674E25" w:rsidRPr="005C076E">
        <w:rPr>
          <w:rFonts w:hAnsi="宋体" w:hint="eastAsia"/>
          <w:szCs w:val="24"/>
        </w:rPr>
        <w:t>或者买卖其基金管理人、基金托管人发行的股票或者债券</w:t>
      </w:r>
      <w:r>
        <w:rPr>
          <w:rFonts w:hAnsi="宋体" w:hint="eastAsia"/>
          <w:szCs w:val="24"/>
        </w:rPr>
        <w:t>；</w:t>
      </w:r>
    </w:p>
    <w:p w14:paraId="35F8DF2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14:paraId="2794BC19" w14:textId="77777777" w:rsidR="00B61FF9" w:rsidRDefault="001B0A60" w:rsidP="006643B1">
      <w:pPr>
        <w:pStyle w:val="20"/>
        <w:spacing w:before="0" w:after="0" w:line="520" w:lineRule="atLeas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09C60CAA" w14:textId="7034BEF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14:paraId="0DE0930D" w14:textId="0E16810A" w:rsidR="00B61FF9" w:rsidRDefault="001B0A60" w:rsidP="006643B1">
      <w:pPr>
        <w:pStyle w:val="1"/>
        <w:spacing w:line="520" w:lineRule="atLeast"/>
        <w:ind w:firstLineChars="200" w:firstLine="482"/>
        <w:rPr>
          <w:bCs/>
          <w:color w:val="auto"/>
          <w:szCs w:val="24"/>
        </w:rPr>
      </w:pPr>
      <w:bookmarkStart w:id="46" w:name="_Toc296551352"/>
      <w:bookmarkStart w:id="47" w:name="_Toc44321739"/>
      <w:r>
        <w:rPr>
          <w:rFonts w:hint="eastAsia"/>
          <w:bCs/>
          <w:color w:val="auto"/>
          <w:szCs w:val="24"/>
        </w:rPr>
        <w:t xml:space="preserve">第十六条 </w:t>
      </w:r>
      <w:r w:rsidR="00AA086B">
        <w:rPr>
          <w:rFonts w:hint="eastAsia"/>
          <w:bCs/>
          <w:color w:val="auto"/>
          <w:szCs w:val="24"/>
        </w:rPr>
        <w:t>本</w:t>
      </w:r>
      <w:r>
        <w:rPr>
          <w:rFonts w:hint="eastAsia"/>
          <w:bCs/>
          <w:color w:val="auto"/>
          <w:szCs w:val="24"/>
        </w:rPr>
        <w:t>协议的变更、终止与基金财产的清算</w:t>
      </w:r>
      <w:bookmarkEnd w:id="46"/>
      <w:bookmarkEnd w:id="47"/>
    </w:p>
    <w:p w14:paraId="7B762386" w14:textId="32872C6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16.1</w:t>
      </w:r>
      <w:r w:rsidR="002309FE">
        <w:rPr>
          <w:rFonts w:hAnsi="宋体" w:hint="eastAsia"/>
          <w:szCs w:val="24"/>
        </w:rPr>
        <w:t>本</w:t>
      </w:r>
      <w:r>
        <w:rPr>
          <w:rFonts w:hAnsi="宋体" w:hint="eastAsia"/>
          <w:szCs w:val="24"/>
        </w:rPr>
        <w:t>协议的变更与终止</w:t>
      </w:r>
    </w:p>
    <w:p w14:paraId="7E3DC8A8" w14:textId="06BF4D0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16.1.1</w:t>
      </w:r>
      <w:r w:rsidR="002309FE">
        <w:rPr>
          <w:rFonts w:hAnsi="宋体" w:hint="eastAsia"/>
          <w:szCs w:val="24"/>
        </w:rPr>
        <w:t>本</w:t>
      </w:r>
      <w:r>
        <w:rPr>
          <w:rFonts w:hAnsi="宋体" w:hint="eastAsia"/>
          <w:szCs w:val="24"/>
        </w:rPr>
        <w:t>协议的变更程序</w:t>
      </w:r>
    </w:p>
    <w:p w14:paraId="2347D456" w14:textId="73FBB9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本协议双方当事人经协商一致，可以对协议的内容进行变更。变更后的托管协议，其内容不得与基金合同的规定有任何冲突。本协议的变更报中国证监会注册或备案。</w:t>
      </w:r>
    </w:p>
    <w:p w14:paraId="15A9B219" w14:textId="1AFCAC5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16.1.2</w:t>
      </w:r>
      <w:r w:rsidR="002309FE">
        <w:rPr>
          <w:rFonts w:hAnsi="宋体" w:hint="eastAsia"/>
          <w:szCs w:val="24"/>
        </w:rPr>
        <w:t>本</w:t>
      </w:r>
      <w:r>
        <w:rPr>
          <w:rFonts w:hAnsi="宋体" w:hint="eastAsia"/>
          <w:szCs w:val="24"/>
        </w:rPr>
        <w:t>协议终止的情形</w:t>
      </w:r>
    </w:p>
    <w:p w14:paraId="2A222E2B" w14:textId="6A6BBB0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发生以下情况，本协议终止：</w:t>
      </w:r>
    </w:p>
    <w:p w14:paraId="7C51ED3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（1）基金合同终止；</w:t>
      </w:r>
    </w:p>
    <w:p w14:paraId="6E06C07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（2）基金托管人解散、依法被撤销、破产或由其他基金托管人接管基金资产；</w:t>
      </w:r>
    </w:p>
    <w:p w14:paraId="1412220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（3）基金管理人解散、依法被撤销、破产或由其他基金管理人接管基金管理权；</w:t>
      </w:r>
    </w:p>
    <w:p w14:paraId="16B0DC3C" w14:textId="4CBB9F1D" w:rsidR="00B61FF9" w:rsidRDefault="00BA71B2" w:rsidP="001A77E6">
      <w:pPr>
        <w:pStyle w:val="20"/>
        <w:spacing w:before="0" w:after="0" w:line="520" w:lineRule="atLeast"/>
        <w:ind w:left="0" w:firstLineChars="200" w:firstLine="480"/>
        <w:rPr>
          <w:rFonts w:hAnsi="宋体"/>
          <w:szCs w:val="24"/>
        </w:rPr>
      </w:pPr>
      <w:r>
        <w:rPr>
          <w:rFonts w:hAnsi="宋体" w:hint="eastAsia"/>
          <w:szCs w:val="24"/>
        </w:rPr>
        <w:t>（4）</w:t>
      </w:r>
      <w:r w:rsidR="001A77E6" w:rsidRPr="001A77E6">
        <w:rPr>
          <w:rFonts w:hAnsi="宋体" w:hint="eastAsia"/>
          <w:szCs w:val="24"/>
        </w:rPr>
        <w:t>发生法律法规、中国证监会或《基金合同》规定的终止事项</w:t>
      </w:r>
      <w:r w:rsidR="001B0A60">
        <w:rPr>
          <w:rFonts w:hAnsi="宋体" w:hint="eastAsia"/>
          <w:szCs w:val="24"/>
        </w:rPr>
        <w:t>。</w:t>
      </w:r>
    </w:p>
    <w:p w14:paraId="19FDB44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16.2基金财产的清算</w:t>
      </w:r>
    </w:p>
    <w:p w14:paraId="34F9D066" w14:textId="3FF9234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16.2.1基金财产清算小组</w:t>
      </w:r>
    </w:p>
    <w:p w14:paraId="6EBCB34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（1）自出现基金合同终止事由之日起30个工作日内成立基金财产清算小组，基金管理人组织基金财产清算小组并在中国证监会的监督下进行基金清算。</w:t>
      </w:r>
    </w:p>
    <w:p w14:paraId="58362C37" w14:textId="062A200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（2）基金财产清算小组成员由基金管理人、基金托管人、</w:t>
      </w:r>
      <w:r w:rsidR="0078308D" w:rsidRPr="0078308D">
        <w:rPr>
          <w:rFonts w:hAnsi="宋体" w:hint="eastAsia"/>
          <w:bCs/>
          <w:szCs w:val="24"/>
        </w:rPr>
        <w:t>符合《中华人民共和国证券法》规定</w:t>
      </w:r>
      <w:r w:rsidR="00B9229E" w:rsidRPr="00B9229E">
        <w:rPr>
          <w:rFonts w:hAnsi="宋体" w:hint="eastAsia"/>
          <w:szCs w:val="24"/>
        </w:rPr>
        <w:t>的</w:t>
      </w:r>
      <w:r>
        <w:rPr>
          <w:rFonts w:hAnsi="宋体" w:hint="eastAsia"/>
          <w:szCs w:val="24"/>
        </w:rPr>
        <w:t>注册会计师、律师以及中国证监会指定的人员组成。基金财产清算小组可以聘用必要的工作人员。</w:t>
      </w:r>
    </w:p>
    <w:p w14:paraId="314B2534" w14:textId="25FF51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（3）在基金财产清算过程中，基金管理人和基金托管人应各自履行职责，继续忠实、勤勉、尽责地履行基金合同和本协议规定的义务，维护基金份额持有人的合法权益。</w:t>
      </w:r>
    </w:p>
    <w:p w14:paraId="2ADF12F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14:paraId="4AE71D6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16.2.2基金财产清算程序</w:t>
      </w:r>
    </w:p>
    <w:p w14:paraId="289C28C0" w14:textId="1C4CE60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（1）基金合同终止情形出现时，由基金财产清算小组统一接管基金财产；</w:t>
      </w:r>
    </w:p>
    <w:p w14:paraId="09D428B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（2）对基金财产和债权债务进行清理和确认；</w:t>
      </w:r>
    </w:p>
    <w:p w14:paraId="2B2ABB9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（3）对基金财产进行估值和变现；</w:t>
      </w:r>
    </w:p>
    <w:p w14:paraId="216B51C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（4）制作清算报告；</w:t>
      </w:r>
    </w:p>
    <w:p w14:paraId="2D2DAC9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（5）聘请会计师事务所对清算报告进行外部审计，聘请律师事务所对清算报告出具法律意见书；</w:t>
      </w:r>
    </w:p>
    <w:p w14:paraId="4C43008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（6）将清算报告报中国证监会备案并公告；</w:t>
      </w:r>
    </w:p>
    <w:p w14:paraId="41776B6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（7）对基金剩余财产进行分配。</w:t>
      </w:r>
    </w:p>
    <w:p w14:paraId="1D5FD850" w14:textId="77777777" w:rsidR="00B61FF9" w:rsidRDefault="001B0A60" w:rsidP="006643B1">
      <w:pPr>
        <w:pStyle w:val="20"/>
        <w:spacing w:before="0" w:after="0" w:line="520" w:lineRule="atLeas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，但因本基金所持证券的流动性受到限制而不能及时变现的，清算期限相应顺延。</w:t>
      </w:r>
    </w:p>
    <w:p w14:paraId="00FA27A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16.2.3清算费用</w:t>
      </w:r>
    </w:p>
    <w:p w14:paraId="17CF895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清算费用是指基金财产清算小组在进行基金财产清算过程中发生的所有合理费用，清算费用由基金财产清算小组优先从基金剩余财产中支付。</w:t>
      </w:r>
    </w:p>
    <w:p w14:paraId="0FD54C8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16.2.4基金财产按下列顺序清偿：</w:t>
      </w:r>
    </w:p>
    <w:p w14:paraId="04E61F5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（1）支付清算费用；</w:t>
      </w:r>
    </w:p>
    <w:p w14:paraId="0B4E111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（2）交纳所欠税款；</w:t>
      </w:r>
    </w:p>
    <w:p w14:paraId="4CF2301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（3）清偿基金债务；</w:t>
      </w:r>
    </w:p>
    <w:p w14:paraId="022C32FF" w14:textId="2183969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w:t>
      </w:r>
      <w:r w:rsidR="003F648A" w:rsidRPr="0062730F">
        <w:rPr>
          <w:rFonts w:hint="eastAsia"/>
          <w:bCs/>
        </w:rPr>
        <w:t>按基金份额持有人持有的基金份额比例进行分配</w:t>
      </w:r>
      <w:r>
        <w:rPr>
          <w:rFonts w:hAnsi="宋体" w:hint="eastAsia"/>
          <w:szCs w:val="24"/>
        </w:rPr>
        <w:t>。</w:t>
      </w:r>
    </w:p>
    <w:p w14:paraId="74AD1ED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基金财产未按前款（1）－（3）项规定清偿前，不分配给基金份额持有人。</w:t>
      </w:r>
    </w:p>
    <w:p w14:paraId="30847BB8" w14:textId="4EDAA0D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16.2.5基金财产清算的公告</w:t>
      </w:r>
    </w:p>
    <w:p w14:paraId="65F57273" w14:textId="4018E599" w:rsidR="006E1C21" w:rsidRDefault="006E1C21" w:rsidP="006643B1">
      <w:pPr>
        <w:spacing w:line="520" w:lineRule="atLeast"/>
        <w:ind w:firstLineChars="200" w:firstLine="480"/>
        <w:rPr>
          <w:bCs/>
          <w:sz w:val="24"/>
        </w:rPr>
      </w:pPr>
      <w:r w:rsidRPr="006E1C21">
        <w:rPr>
          <w:rFonts w:hint="eastAsia"/>
          <w:bCs/>
          <w:sz w:val="24"/>
        </w:rPr>
        <w:t>基金财产清算公告于基金财产清算报告报中国证监会备案后</w:t>
      </w:r>
      <w:r w:rsidRPr="006E1C21">
        <w:rPr>
          <w:rFonts w:hint="eastAsia"/>
          <w:bCs/>
          <w:sz w:val="24"/>
        </w:rPr>
        <w:t>5</w:t>
      </w:r>
      <w:r w:rsidRPr="006E1C21">
        <w:rPr>
          <w:rFonts w:hint="eastAsia"/>
          <w:bCs/>
          <w:sz w:val="24"/>
        </w:rPr>
        <w:t>个工作日内由基金财产清算小组公告；清算过程中的有关重大事项须及时公告；基金财产清算报告经</w:t>
      </w:r>
      <w:r w:rsidR="002F5B87" w:rsidRPr="002F5B87">
        <w:rPr>
          <w:rFonts w:hint="eastAsia"/>
          <w:bCs/>
          <w:sz w:val="24"/>
        </w:rPr>
        <w:t>符合《中华人民共和国证券法》规定</w:t>
      </w:r>
      <w:r w:rsidR="00B9229E" w:rsidRPr="00B9229E">
        <w:rPr>
          <w:rFonts w:hint="eastAsia"/>
          <w:bCs/>
          <w:sz w:val="24"/>
        </w:rPr>
        <w:t>的</w:t>
      </w:r>
      <w:r w:rsidRPr="006E1C21">
        <w:rPr>
          <w:rFonts w:hint="eastAsia"/>
          <w:bCs/>
          <w:sz w:val="24"/>
        </w:rPr>
        <w:t>会计师事务所审计，律师事务所出具法律意见书后，由基金财产清算小组报中国证监会备案并公告，基金财产清算小组应当将清算报告登载在</w:t>
      </w:r>
      <w:r w:rsidR="00953A11">
        <w:rPr>
          <w:rFonts w:hint="eastAsia"/>
          <w:bCs/>
          <w:sz w:val="24"/>
        </w:rPr>
        <w:t>规定网站</w:t>
      </w:r>
      <w:r w:rsidRPr="006E1C21">
        <w:rPr>
          <w:rFonts w:hint="eastAsia"/>
          <w:bCs/>
          <w:sz w:val="24"/>
        </w:rPr>
        <w:t>上，并将清算报告提示性公告登载在</w:t>
      </w:r>
      <w:r w:rsidR="00953A11">
        <w:rPr>
          <w:rFonts w:hint="eastAsia"/>
          <w:bCs/>
          <w:sz w:val="24"/>
        </w:rPr>
        <w:t>规定报刊</w:t>
      </w:r>
      <w:r w:rsidRPr="006E1C21">
        <w:rPr>
          <w:rFonts w:hint="eastAsia"/>
          <w:bCs/>
          <w:sz w:val="24"/>
        </w:rPr>
        <w:t>上。</w:t>
      </w:r>
    </w:p>
    <w:p w14:paraId="203F8D7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16.2.6基金财产清算账册及文件的保存</w:t>
      </w:r>
    </w:p>
    <w:p w14:paraId="6AB66DB8" w14:textId="30CBA61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基金财产清算账册及有关文件由基金托管人保存</w:t>
      </w:r>
      <w:r w:rsidR="008F4C30">
        <w:rPr>
          <w:rFonts w:hAnsi="宋体"/>
          <w:szCs w:val="24"/>
        </w:rPr>
        <w:t>20</w:t>
      </w:r>
      <w:r>
        <w:rPr>
          <w:rFonts w:hAnsi="宋体" w:hint="eastAsia"/>
          <w:szCs w:val="24"/>
        </w:rPr>
        <w:t>年以上。</w:t>
      </w:r>
      <w:bookmarkStart w:id="48" w:name="_Toc296551353"/>
    </w:p>
    <w:p w14:paraId="739C2B72" w14:textId="77777777" w:rsidR="00B61FF9" w:rsidRDefault="001B0A60" w:rsidP="006643B1">
      <w:pPr>
        <w:pStyle w:val="1"/>
        <w:spacing w:line="520" w:lineRule="atLeast"/>
        <w:ind w:firstLineChars="200" w:firstLine="482"/>
        <w:rPr>
          <w:bCs/>
          <w:color w:val="auto"/>
          <w:szCs w:val="24"/>
        </w:rPr>
      </w:pPr>
      <w:bookmarkStart w:id="49" w:name="_Toc44321740"/>
      <w:r>
        <w:rPr>
          <w:rFonts w:hint="eastAsia"/>
          <w:bCs/>
          <w:color w:val="auto"/>
          <w:szCs w:val="24"/>
        </w:rPr>
        <w:t>第十七条 违约责任</w:t>
      </w:r>
      <w:bookmarkEnd w:id="48"/>
      <w:bookmarkEnd w:id="49"/>
    </w:p>
    <w:p w14:paraId="493B9B11" w14:textId="5F9A63A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17.1如果基金管理人或基金托管人不履行本协议或者履行本协议不符合约定的，应当承担违约责任。</w:t>
      </w:r>
    </w:p>
    <w:p w14:paraId="0EB8AF53" w14:textId="67304D7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17.2因托管协议当事人违约给基金财产或者基金份额持有人造成损害的，应当分别对各自的行为依法承担赔偿责任，因共同行为给基金财产或者基金份额持有</w:t>
      </w:r>
      <w:r>
        <w:rPr>
          <w:rFonts w:hAnsi="宋体" w:hint="eastAsia"/>
          <w:szCs w:val="24"/>
        </w:rPr>
        <w:lastRenderedPageBreak/>
        <w:t>人造成损害的，应当承担连带赔偿责任。但是发生下列情况，当事人免责：</w:t>
      </w:r>
    </w:p>
    <w:p w14:paraId="5E2AB5F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（1）不可抗力；</w:t>
      </w:r>
    </w:p>
    <w:p w14:paraId="2793315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届时</w:t>
      </w:r>
      <w:r>
        <w:rPr>
          <w:rFonts w:hAnsi="宋体" w:hint="eastAsia"/>
          <w:szCs w:val="24"/>
        </w:rPr>
        <w:t>有效的法律法规或中国证监会的规定作为或不作为而造成的损失等；</w:t>
      </w:r>
    </w:p>
    <w:p w14:paraId="54D8154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（3）基金管理人由于按照基金合同规定的投资原则</w:t>
      </w:r>
      <w:r>
        <w:rPr>
          <w:rFonts w:hint="eastAsia"/>
          <w:bCs/>
        </w:rPr>
        <w:t>投资或不投资</w:t>
      </w:r>
      <w:r>
        <w:rPr>
          <w:rFonts w:hAnsi="宋体" w:hint="eastAsia"/>
          <w:szCs w:val="24"/>
        </w:rPr>
        <w:t>而造成的损失等。</w:t>
      </w:r>
    </w:p>
    <w:p w14:paraId="00B4C2ED" w14:textId="5D01548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17.3如果由于本协议一方当事人（以下简称“违约方”）的违约行为给基金财产或</w:t>
      </w:r>
      <w:r w:rsidR="002E423B" w:rsidRPr="002E423B">
        <w:rPr>
          <w:rFonts w:hAnsi="宋体" w:hint="eastAsia"/>
          <w:szCs w:val="24"/>
        </w:rPr>
        <w:t>基金份额持有人</w:t>
      </w:r>
      <w:r>
        <w:rPr>
          <w:rFonts w:hAnsi="宋体" w:hint="eastAsia"/>
          <w:szCs w:val="24"/>
        </w:rPr>
        <w:t>造成损失，另一方当事人（以下简称“守约方”）有权利并且有义务代表基金对违约方进行追偿；如果由于违约方的违约行为导致守约方赔偿了该基金财产或</w:t>
      </w:r>
      <w:r w:rsidR="002E423B" w:rsidRPr="002E423B">
        <w:rPr>
          <w:rFonts w:hAnsi="宋体" w:hint="eastAsia"/>
          <w:szCs w:val="24"/>
        </w:rPr>
        <w:t>基金份额持有人</w:t>
      </w:r>
      <w:r>
        <w:rPr>
          <w:rFonts w:hAnsi="宋体" w:hint="eastAsia"/>
          <w:szCs w:val="24"/>
        </w:rPr>
        <w:t>所遭受的损失，则守约方有权向违约方追索，违约方应赔偿和补偿守约方由此发生的所有成本、费用和支出，以及由此遭受的损失。</w:t>
      </w:r>
    </w:p>
    <w:p w14:paraId="31A69CD2" w14:textId="2234DA0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17.4当事人一方违约，</w:t>
      </w:r>
      <w:r w:rsidR="00257E18">
        <w:rPr>
          <w:rFonts w:hAnsi="宋体" w:hint="eastAsia"/>
          <w:szCs w:val="24"/>
        </w:rPr>
        <w:t>守约方</w:t>
      </w:r>
      <w:r>
        <w:rPr>
          <w:rFonts w:hAnsi="宋体" w:hint="eastAsia"/>
          <w:szCs w:val="24"/>
        </w:rPr>
        <w:t>当事人在职责范围内有义务及时采取必要的措施，防止损失的扩大。没有采取适当措施致使损失进一步扩大的，不得就扩大的损失要求赔偿。</w:t>
      </w:r>
      <w:r w:rsidR="00257E18">
        <w:rPr>
          <w:rFonts w:hAnsi="宋体" w:hint="eastAsia"/>
          <w:szCs w:val="24"/>
        </w:rPr>
        <w:t>守约方</w:t>
      </w:r>
      <w:r>
        <w:rPr>
          <w:rFonts w:hAnsi="宋体" w:hint="eastAsia"/>
          <w:szCs w:val="24"/>
        </w:rPr>
        <w:t>因防止损失扩大而支出的合理费用由违约方承担。</w:t>
      </w:r>
    </w:p>
    <w:p w14:paraId="5FDAE9E6" w14:textId="17151D4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17.5违约行为虽已发生，但本协议能够继续履行的，在最大限度地保护基金份额持有人利益的前提下，基金管理人和基金托管人应当继续履行本协议。</w:t>
      </w:r>
    </w:p>
    <w:p w14:paraId="6C4BF814" w14:textId="2011234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w:t>
      </w:r>
      <w:r w:rsidR="002E423B" w:rsidRPr="002E423B">
        <w:rPr>
          <w:rFonts w:hAnsi="宋体" w:hint="eastAsia"/>
          <w:szCs w:val="24"/>
        </w:rPr>
        <w:t>基金份额持有人</w:t>
      </w:r>
      <w:r>
        <w:rPr>
          <w:rFonts w:hAnsi="宋体" w:hint="eastAsia"/>
          <w:szCs w:val="24"/>
        </w:rPr>
        <w:t>损失，基金管理人和基金托管人免除赔偿责任。但是基金管理人和基金托管人应积极采取必要的措施减轻或消除由此造成的影响。</w:t>
      </w:r>
    </w:p>
    <w:p w14:paraId="71EB71ED" w14:textId="2FEF45A5" w:rsidR="00B61FF9" w:rsidRDefault="001B0A60" w:rsidP="006643B1">
      <w:pPr>
        <w:pStyle w:val="20"/>
        <w:snapToGrid w:val="0"/>
        <w:spacing w:before="0" w:after="0" w:line="520" w:lineRule="atLeast"/>
        <w:ind w:left="0" w:firstLineChars="200" w:firstLine="480"/>
        <w:rPr>
          <w:rFonts w:hAnsi="宋体"/>
          <w:szCs w:val="24"/>
        </w:rPr>
      </w:pPr>
      <w:r>
        <w:rPr>
          <w:rFonts w:hAnsi="宋体" w:hint="eastAsia"/>
          <w:szCs w:val="24"/>
        </w:rPr>
        <w:t>17.7本协议所指损失均为直接损失。</w:t>
      </w:r>
    </w:p>
    <w:p w14:paraId="707E8AEE" w14:textId="4C82551F" w:rsidR="00B61FF9" w:rsidRDefault="001B0A60" w:rsidP="006643B1">
      <w:pPr>
        <w:pStyle w:val="1"/>
        <w:spacing w:line="520" w:lineRule="atLeast"/>
        <w:ind w:firstLineChars="200" w:firstLine="482"/>
        <w:rPr>
          <w:bCs/>
          <w:color w:val="auto"/>
          <w:szCs w:val="24"/>
        </w:rPr>
      </w:pPr>
      <w:bookmarkStart w:id="50" w:name="_Toc296551354"/>
      <w:bookmarkStart w:id="51" w:name="_Toc44321741"/>
      <w:r>
        <w:rPr>
          <w:rFonts w:hint="eastAsia"/>
          <w:bCs/>
          <w:color w:val="auto"/>
          <w:szCs w:val="24"/>
        </w:rPr>
        <w:t xml:space="preserve">第十八条 </w:t>
      </w:r>
      <w:r w:rsidR="00317BE9">
        <w:rPr>
          <w:rFonts w:hint="eastAsia"/>
          <w:bCs/>
          <w:color w:val="auto"/>
          <w:szCs w:val="24"/>
        </w:rPr>
        <w:t>法律</w:t>
      </w:r>
      <w:r w:rsidR="00317BE9">
        <w:rPr>
          <w:bCs/>
          <w:color w:val="auto"/>
          <w:szCs w:val="24"/>
        </w:rPr>
        <w:t>适用和</w:t>
      </w:r>
      <w:r>
        <w:rPr>
          <w:rFonts w:hint="eastAsia"/>
          <w:bCs/>
          <w:color w:val="auto"/>
          <w:szCs w:val="24"/>
        </w:rPr>
        <w:t>争议解决</w:t>
      </w:r>
      <w:bookmarkEnd w:id="50"/>
      <w:bookmarkEnd w:id="51"/>
    </w:p>
    <w:p w14:paraId="554F0FF5" w14:textId="77777777"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5523FC6D" w14:textId="066D8471"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凡因本协议产生的及与本协议有关的争议，双方均应协商解决；协商不成的，双方均同意采取以下第【</w:t>
      </w:r>
      <w:r w:rsidR="00540B08">
        <w:rPr>
          <w:rFonts w:hint="eastAsia"/>
          <w:bCs/>
          <w:sz w:val="24"/>
        </w:rPr>
        <w:t>1</w:t>
      </w:r>
      <w:r w:rsidRPr="005B05A6">
        <w:rPr>
          <w:rFonts w:hint="eastAsia"/>
          <w:bCs/>
          <w:sz w:val="24"/>
        </w:rPr>
        <w:t>】种方式解决：</w:t>
      </w:r>
    </w:p>
    <w:p w14:paraId="6097B3F1" w14:textId="0AEF1A7C"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lastRenderedPageBreak/>
        <w:t>1.</w:t>
      </w:r>
      <w:r w:rsidRPr="005B05A6">
        <w:rPr>
          <w:rFonts w:hint="eastAsia"/>
          <w:bCs/>
          <w:sz w:val="24"/>
        </w:rPr>
        <w:t>向</w:t>
      </w:r>
      <w:r w:rsidR="00540B08" w:rsidRPr="00540B08">
        <w:rPr>
          <w:rFonts w:hint="eastAsia"/>
          <w:bCs/>
          <w:sz w:val="24"/>
        </w:rPr>
        <w:t>中国国际经济贸易仲裁委员会</w:t>
      </w:r>
      <w:r w:rsidRPr="005B05A6">
        <w:rPr>
          <w:rFonts w:hint="eastAsia"/>
          <w:bCs/>
          <w:sz w:val="24"/>
        </w:rPr>
        <w:t>申请仲裁，并适用申请仲裁时该仲裁机构现行有效的仲裁规则；</w:t>
      </w:r>
      <w:r w:rsidR="008D0B7C" w:rsidRPr="0062730F">
        <w:rPr>
          <w:rFonts w:hint="eastAsia"/>
          <w:sz w:val="24"/>
        </w:rPr>
        <w:t>仲裁</w:t>
      </w:r>
      <w:r w:rsidR="008D0B7C" w:rsidRPr="0062730F">
        <w:rPr>
          <w:rFonts w:hint="eastAsia"/>
          <w:bCs/>
          <w:sz w:val="24"/>
        </w:rPr>
        <w:t>的</w:t>
      </w:r>
      <w:r w:rsidR="008D0B7C" w:rsidRPr="0062730F">
        <w:rPr>
          <w:rFonts w:hint="eastAsia"/>
          <w:sz w:val="24"/>
        </w:rPr>
        <w:t>地点</w:t>
      </w:r>
      <w:r w:rsidR="008D0B7C" w:rsidRPr="0062730F">
        <w:rPr>
          <w:rFonts w:hint="eastAsia"/>
          <w:bCs/>
          <w:sz w:val="24"/>
        </w:rPr>
        <w:t>在</w:t>
      </w:r>
      <w:r w:rsidR="008D0B7C">
        <w:rPr>
          <w:rFonts w:hint="eastAsia"/>
          <w:bCs/>
          <w:sz w:val="24"/>
        </w:rPr>
        <w:t>北京</w:t>
      </w:r>
      <w:r w:rsidR="008D0B7C" w:rsidRPr="0062730F">
        <w:rPr>
          <w:rFonts w:hint="eastAsia"/>
          <w:bCs/>
          <w:sz w:val="24"/>
        </w:rPr>
        <w:t>市</w:t>
      </w:r>
      <w:r w:rsidR="008D0B7C">
        <w:rPr>
          <w:rFonts w:hint="eastAsia"/>
          <w:bCs/>
          <w:sz w:val="24"/>
        </w:rPr>
        <w:t>。</w:t>
      </w:r>
      <w:r w:rsidR="008D0B7C" w:rsidRPr="0062730F">
        <w:rPr>
          <w:rFonts w:hint="eastAsia"/>
          <w:bCs/>
          <w:sz w:val="24"/>
        </w:rPr>
        <w:t>仲裁裁决是终局性的并对相关各方均有约束力，仲裁费用由败诉方承担。</w:t>
      </w:r>
    </w:p>
    <w:p w14:paraId="36DF164B" w14:textId="77777777"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2.</w:t>
      </w:r>
      <w:r w:rsidRPr="005B05A6">
        <w:rPr>
          <w:rFonts w:hint="eastAsia"/>
          <w:bCs/>
          <w:sz w:val="24"/>
        </w:rPr>
        <w:t>向基金托管人住所地有管辖权的人民法院提起诉讼。</w:t>
      </w:r>
    </w:p>
    <w:p w14:paraId="2DB6717E" w14:textId="27670ABF" w:rsidR="00B61FF9" w:rsidRPr="00A3173D" w:rsidRDefault="005B05A6" w:rsidP="005B05A6">
      <w:pPr>
        <w:adjustRightInd w:val="0"/>
        <w:snapToGrid w:val="0"/>
        <w:spacing w:line="520" w:lineRule="atLeast"/>
        <w:ind w:firstLineChars="200" w:firstLine="480"/>
        <w:rPr>
          <w:bCs/>
          <w:sz w:val="24"/>
        </w:rPr>
      </w:pPr>
      <w:r w:rsidRPr="005B05A6">
        <w:rPr>
          <w:rFonts w:hint="eastAsia"/>
          <w:bCs/>
          <w:sz w:val="24"/>
        </w:rPr>
        <w:t>争议处理期间，双方当事人应恪守基金管理人和基金托管人职责，继续忠实、勤勉、尽责地履行基金合同和本协议规定的义务，维护基金份额持有人的合法权益。</w:t>
      </w:r>
    </w:p>
    <w:p w14:paraId="4B2CCD2F" w14:textId="48421760" w:rsidR="00B61FF9" w:rsidRDefault="001B0A60" w:rsidP="006643B1">
      <w:pPr>
        <w:pStyle w:val="1"/>
        <w:adjustRightInd w:val="0"/>
        <w:spacing w:line="520" w:lineRule="atLeast"/>
        <w:ind w:firstLineChars="200" w:firstLine="482"/>
        <w:rPr>
          <w:bCs/>
          <w:color w:val="auto"/>
          <w:szCs w:val="24"/>
        </w:rPr>
      </w:pPr>
      <w:bookmarkStart w:id="52" w:name="_Toc296551355"/>
      <w:bookmarkStart w:id="53" w:name="_Toc44321742"/>
      <w:r>
        <w:rPr>
          <w:rFonts w:hint="eastAsia"/>
          <w:bCs/>
          <w:color w:val="auto"/>
          <w:szCs w:val="24"/>
        </w:rPr>
        <w:t xml:space="preserve">第十九条 </w:t>
      </w:r>
      <w:r w:rsidR="00E83608">
        <w:rPr>
          <w:rFonts w:hint="eastAsia"/>
          <w:bCs/>
          <w:color w:val="auto"/>
          <w:szCs w:val="24"/>
        </w:rPr>
        <w:t>本</w:t>
      </w:r>
      <w:r>
        <w:rPr>
          <w:rFonts w:hint="eastAsia"/>
          <w:bCs/>
          <w:color w:val="auto"/>
          <w:szCs w:val="24"/>
        </w:rPr>
        <w:t>协议的效力</w:t>
      </w:r>
      <w:bookmarkEnd w:id="52"/>
      <w:bookmarkEnd w:id="53"/>
    </w:p>
    <w:p w14:paraId="10C858D2" w14:textId="18D14173"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w:t>
      </w:r>
      <w:r w:rsidR="0078303E" w:rsidRPr="00B9229E">
        <w:rPr>
          <w:rFonts w:hAnsi="宋体"/>
          <w:szCs w:val="24"/>
        </w:rPr>
        <w:t>/负责人</w:t>
      </w:r>
      <w:r>
        <w:rPr>
          <w:rFonts w:hAnsi="宋体" w:hint="eastAsia"/>
          <w:szCs w:val="24"/>
        </w:rPr>
        <w:t>或授权代理人签字或盖章，</w:t>
      </w:r>
      <w:r w:rsidR="00E83608">
        <w:rPr>
          <w:rFonts w:hAnsi="宋体" w:hint="eastAsia"/>
          <w:szCs w:val="24"/>
        </w:rPr>
        <w:t>本</w:t>
      </w:r>
      <w:r>
        <w:rPr>
          <w:rFonts w:hAnsi="宋体" w:hint="eastAsia"/>
          <w:szCs w:val="24"/>
        </w:rPr>
        <w:t>协议当事人双方可能不时根据中国证监会的意见修改托管协议草案。</w:t>
      </w:r>
      <w:r w:rsidR="00E83608">
        <w:rPr>
          <w:rFonts w:hAnsi="宋体" w:hint="eastAsia"/>
          <w:szCs w:val="24"/>
        </w:rPr>
        <w:t>本</w:t>
      </w:r>
      <w:r>
        <w:rPr>
          <w:rFonts w:hAnsi="宋体" w:hint="eastAsia"/>
          <w:szCs w:val="24"/>
        </w:rPr>
        <w:t>协议以中国证监会注册的</w:t>
      </w:r>
      <w:r w:rsidR="0026403B" w:rsidRPr="00B9229E">
        <w:rPr>
          <w:rFonts w:hAnsi="宋体" w:hint="eastAsia"/>
          <w:szCs w:val="24"/>
        </w:rPr>
        <w:t>最终</w:t>
      </w:r>
      <w:r>
        <w:rPr>
          <w:rFonts w:hAnsi="宋体" w:hint="eastAsia"/>
          <w:szCs w:val="24"/>
        </w:rPr>
        <w:t>文本为正式文本。</w:t>
      </w:r>
    </w:p>
    <w:p w14:paraId="71043479" w14:textId="2B657CA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19.2本协议自</w:t>
      </w:r>
      <w:r w:rsidR="00E83608">
        <w:rPr>
          <w:rFonts w:hAnsi="宋体" w:hint="eastAsia"/>
          <w:szCs w:val="24"/>
        </w:rPr>
        <w:t>双方</w:t>
      </w:r>
      <w:r>
        <w:rPr>
          <w:rFonts w:hAnsi="宋体"/>
          <w:szCs w:val="24"/>
        </w:rPr>
        <w:t>签订</w:t>
      </w:r>
      <w:r>
        <w:rPr>
          <w:rFonts w:hAnsi="宋体" w:hint="eastAsia"/>
          <w:szCs w:val="24"/>
        </w:rPr>
        <w:t>之日起成立，自基金合同生效之日起生效。本协议的有效期自其生效之日起至该基金财产清算结果报中国证监会备案并公告之日止。</w:t>
      </w:r>
    </w:p>
    <w:p w14:paraId="495DEB09" w14:textId="0297BAA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19.3本协议自生效之日起对</w:t>
      </w:r>
      <w:r w:rsidR="00E83608">
        <w:rPr>
          <w:rFonts w:hAnsi="宋体" w:hint="eastAsia"/>
          <w:szCs w:val="24"/>
        </w:rPr>
        <w:t>双方</w:t>
      </w:r>
      <w:r>
        <w:rPr>
          <w:rFonts w:hAnsi="宋体" w:hint="eastAsia"/>
          <w:szCs w:val="24"/>
        </w:rPr>
        <w:t>具有同等的法律约束力。</w:t>
      </w:r>
    </w:p>
    <w:p w14:paraId="513BCB84" w14:textId="602B290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19.4本协议正本一式</w:t>
      </w:r>
      <w:r w:rsidR="000C0F8F">
        <w:rPr>
          <w:rFonts w:hAnsi="宋体" w:hint="eastAsia"/>
          <w:szCs w:val="24"/>
        </w:rPr>
        <w:t>三</w:t>
      </w:r>
      <w:r>
        <w:rPr>
          <w:rFonts w:hAnsi="宋体" w:hint="eastAsia"/>
          <w:szCs w:val="24"/>
        </w:rPr>
        <w:t>份，除上报有关监管机构外，基金管理人和基金托管人分别持有</w:t>
      </w:r>
      <w:r w:rsidR="00D05F5E">
        <w:rPr>
          <w:rFonts w:hAnsi="宋体" w:hint="eastAsia"/>
          <w:szCs w:val="24"/>
        </w:rPr>
        <w:t>一</w:t>
      </w:r>
      <w:r>
        <w:rPr>
          <w:rFonts w:hAnsi="宋体" w:hint="eastAsia"/>
          <w:szCs w:val="24"/>
        </w:rPr>
        <w:t>份，每份具有同等的法律效力。</w:t>
      </w:r>
    </w:p>
    <w:p w14:paraId="7DFB62E3" w14:textId="15240CC2" w:rsidR="00B61FF9" w:rsidRDefault="001B0A60" w:rsidP="006643B1">
      <w:pPr>
        <w:pStyle w:val="1"/>
        <w:spacing w:line="520" w:lineRule="atLeast"/>
        <w:ind w:firstLineChars="200" w:firstLine="482"/>
        <w:rPr>
          <w:bCs/>
          <w:color w:val="auto"/>
          <w:szCs w:val="24"/>
        </w:rPr>
      </w:pPr>
      <w:bookmarkStart w:id="54" w:name="_Toc296551356"/>
      <w:bookmarkStart w:id="55" w:name="_Toc44321743"/>
      <w:r>
        <w:rPr>
          <w:rFonts w:hint="eastAsia"/>
          <w:bCs/>
          <w:color w:val="auto"/>
          <w:szCs w:val="24"/>
        </w:rPr>
        <w:t xml:space="preserve">第二十条 </w:t>
      </w:r>
      <w:r w:rsidR="00062E2D">
        <w:rPr>
          <w:rFonts w:hint="eastAsia"/>
          <w:bCs/>
          <w:color w:val="auto"/>
          <w:szCs w:val="24"/>
        </w:rPr>
        <w:t>本</w:t>
      </w:r>
      <w:r>
        <w:rPr>
          <w:rFonts w:hint="eastAsia"/>
          <w:bCs/>
          <w:color w:val="auto"/>
          <w:szCs w:val="24"/>
        </w:rPr>
        <w:t>协议的签订</w:t>
      </w:r>
      <w:bookmarkEnd w:id="54"/>
      <w:bookmarkEnd w:id="55"/>
    </w:p>
    <w:p w14:paraId="14D2005A" w14:textId="34D1B983" w:rsidR="00B61FF9" w:rsidRPr="00A3173D" w:rsidRDefault="001B0A60" w:rsidP="006643B1">
      <w:pPr>
        <w:snapToGrid w:val="0"/>
        <w:spacing w:line="520" w:lineRule="atLeast"/>
        <w:ind w:firstLineChars="200" w:firstLine="480"/>
        <w:rPr>
          <w:rFonts w:ascii="宋体" w:hAnsi="宋体"/>
          <w:sz w:val="24"/>
          <w:szCs w:val="24"/>
        </w:rPr>
      </w:pPr>
      <w:r>
        <w:rPr>
          <w:rFonts w:ascii="宋体" w:hAnsi="宋体" w:hint="eastAsia"/>
          <w:sz w:val="24"/>
          <w:szCs w:val="24"/>
        </w:rPr>
        <w:t>20.1本协议经基金管理人和基金托管人认可后，由双方当事人在本协议上加盖公章或合同专用章，并由各自的法定代表人</w:t>
      </w:r>
      <w:r w:rsidR="0078303E" w:rsidRPr="00B9229E">
        <w:rPr>
          <w:rFonts w:ascii="宋体" w:hAnsi="宋体"/>
          <w:sz w:val="24"/>
          <w:szCs w:val="24"/>
        </w:rPr>
        <w:t>/负责人</w:t>
      </w:r>
      <w:r>
        <w:rPr>
          <w:rFonts w:ascii="宋体" w:hAnsi="宋体" w:hint="eastAsia"/>
          <w:sz w:val="24"/>
          <w:szCs w:val="24"/>
        </w:rPr>
        <w:t>或授权代理人签字或盖章，并注明本托管协议的签订地点和签订日期。</w:t>
      </w:r>
    </w:p>
    <w:p w14:paraId="57643CFC" w14:textId="77777777" w:rsidR="00B61FF9" w:rsidRDefault="001B0A60" w:rsidP="006643B1">
      <w:pPr>
        <w:pStyle w:val="1"/>
        <w:spacing w:line="520" w:lineRule="atLeast"/>
        <w:ind w:firstLineChars="200" w:firstLine="482"/>
        <w:rPr>
          <w:bCs/>
          <w:color w:val="auto"/>
          <w:szCs w:val="24"/>
        </w:rPr>
      </w:pPr>
      <w:bookmarkStart w:id="56" w:name="_Toc44321744"/>
      <w:r>
        <w:rPr>
          <w:rFonts w:hint="eastAsia"/>
          <w:bCs/>
          <w:color w:val="auto"/>
          <w:szCs w:val="24"/>
        </w:rPr>
        <w:t>第二十一条 不可抗力</w:t>
      </w:r>
      <w:bookmarkEnd w:id="56"/>
    </w:p>
    <w:p w14:paraId="3B84638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60EB96B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49021F22" w14:textId="7CC6CCB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21.3不可抗力事件发生时，</w:t>
      </w:r>
      <w:r w:rsidR="00062E2D">
        <w:rPr>
          <w:rFonts w:hAnsi="宋体" w:hint="eastAsia"/>
          <w:szCs w:val="24"/>
        </w:rPr>
        <w:t>双</w:t>
      </w:r>
      <w:r>
        <w:rPr>
          <w:rFonts w:hAnsi="宋体" w:hint="eastAsia"/>
          <w:szCs w:val="24"/>
        </w:rPr>
        <w:t>方应立即通过友好协商决定如何执行本协议。</w:t>
      </w:r>
      <w:r>
        <w:rPr>
          <w:rFonts w:hAnsi="宋体" w:hint="eastAsia"/>
          <w:szCs w:val="24"/>
        </w:rPr>
        <w:lastRenderedPageBreak/>
        <w:t>不可抗力事件或其影响终止或消除后，</w:t>
      </w:r>
      <w:r w:rsidR="00062E2D">
        <w:rPr>
          <w:rFonts w:hAnsi="宋体" w:hint="eastAsia"/>
          <w:szCs w:val="24"/>
        </w:rPr>
        <w:t>双</w:t>
      </w:r>
      <w:r>
        <w:rPr>
          <w:rFonts w:hAnsi="宋体" w:hint="eastAsia"/>
          <w:szCs w:val="24"/>
        </w:rPr>
        <w:t>方须立即恢复履行各自在本协议项下的各项义务。</w:t>
      </w:r>
    </w:p>
    <w:p w14:paraId="1EB38EBE" w14:textId="6CC6A50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21.4本条所述的不可抗力事件是指不能预见、不能避免并不能克服的客观情况。</w:t>
      </w:r>
    </w:p>
    <w:p w14:paraId="6977D707" w14:textId="77777777" w:rsidR="00B61FF9" w:rsidRDefault="001B0A60" w:rsidP="006643B1">
      <w:pPr>
        <w:pStyle w:val="1"/>
        <w:spacing w:line="520" w:lineRule="atLeast"/>
        <w:ind w:firstLineChars="200" w:firstLine="482"/>
        <w:rPr>
          <w:bCs/>
          <w:szCs w:val="24"/>
        </w:rPr>
      </w:pPr>
      <w:bookmarkStart w:id="57" w:name="_Toc132794324"/>
      <w:bookmarkStart w:id="58" w:name="_Toc132794325"/>
      <w:bookmarkStart w:id="59" w:name="_Toc132794326"/>
      <w:bookmarkStart w:id="60" w:name="_Toc132794327"/>
      <w:bookmarkStart w:id="61" w:name="_Toc132794328"/>
      <w:bookmarkStart w:id="62" w:name="_Toc132794329"/>
      <w:bookmarkStart w:id="63" w:name="_Toc132794330"/>
      <w:bookmarkStart w:id="64" w:name="_Toc44321745"/>
      <w:bookmarkEnd w:id="57"/>
      <w:bookmarkEnd w:id="58"/>
      <w:bookmarkEnd w:id="59"/>
      <w:bookmarkEnd w:id="60"/>
      <w:bookmarkEnd w:id="61"/>
      <w:bookmarkEnd w:id="62"/>
      <w:bookmarkEnd w:id="63"/>
      <w:r>
        <w:rPr>
          <w:rFonts w:hint="eastAsia"/>
          <w:bCs/>
          <w:color w:val="auto"/>
          <w:szCs w:val="24"/>
        </w:rPr>
        <w:t>第二十二条</w:t>
      </w:r>
      <w:r>
        <w:rPr>
          <w:bCs/>
          <w:color w:val="auto"/>
          <w:szCs w:val="24"/>
        </w:rPr>
        <w:t xml:space="preserve"> </w:t>
      </w:r>
      <w:r>
        <w:rPr>
          <w:rFonts w:hint="eastAsia"/>
          <w:bCs/>
          <w:color w:val="auto"/>
          <w:szCs w:val="24"/>
        </w:rPr>
        <w:t>可分割性</w:t>
      </w:r>
      <w:bookmarkEnd w:id="64"/>
    </w:p>
    <w:p w14:paraId="3452196B" w14:textId="1BB6514B" w:rsidR="00B61FF9" w:rsidRPr="00A3173D" w:rsidRDefault="001B0A60" w:rsidP="006643B1">
      <w:pPr>
        <w:pStyle w:val="20"/>
        <w:spacing w:before="0" w:after="0" w:line="520" w:lineRule="atLeast"/>
        <w:ind w:left="0" w:firstLineChars="200" w:firstLine="480"/>
        <w:rPr>
          <w:rFonts w:hAnsi="宋体"/>
          <w:szCs w:val="24"/>
        </w:rPr>
      </w:pPr>
      <w:r>
        <w:rPr>
          <w:rFonts w:hAnsi="宋体"/>
          <w:szCs w:val="24"/>
        </w:rPr>
        <w:t>22.1如果本协议任何约定依现行法律被确定为无效或无法实施，本协议的其他条款将继续有效。此种情况下，</w:t>
      </w:r>
      <w:r w:rsidR="004F5507">
        <w:rPr>
          <w:rFonts w:hAnsi="宋体" w:hint="eastAsia"/>
          <w:szCs w:val="24"/>
        </w:rPr>
        <w:t>双</w:t>
      </w:r>
      <w:r>
        <w:rPr>
          <w:rFonts w:hAnsi="宋体"/>
          <w:szCs w:val="24"/>
        </w:rPr>
        <w:t>方将积极协商以达成有效的约定，且该有效约定应尽可能接近原规定和本协议相应的精神和宗旨。</w:t>
      </w:r>
    </w:p>
    <w:p w14:paraId="4CA5DFA8" w14:textId="77777777" w:rsidR="00B61FF9" w:rsidRDefault="001B0A60" w:rsidP="006643B1">
      <w:pPr>
        <w:pStyle w:val="1"/>
        <w:spacing w:line="520" w:lineRule="atLeast"/>
        <w:ind w:firstLineChars="200" w:firstLine="482"/>
        <w:rPr>
          <w:bCs/>
          <w:szCs w:val="24"/>
        </w:rPr>
      </w:pPr>
      <w:bookmarkStart w:id="65" w:name="_Toc44321746"/>
      <w:r>
        <w:rPr>
          <w:rFonts w:hint="eastAsia"/>
          <w:bCs/>
          <w:color w:val="auto"/>
          <w:szCs w:val="24"/>
        </w:rPr>
        <w:t>第二十三条</w:t>
      </w:r>
      <w:r>
        <w:rPr>
          <w:bCs/>
          <w:color w:val="auto"/>
          <w:szCs w:val="24"/>
        </w:rPr>
        <w:t xml:space="preserve"> </w:t>
      </w:r>
      <w:r>
        <w:rPr>
          <w:rFonts w:hint="eastAsia"/>
          <w:bCs/>
          <w:color w:val="auto"/>
          <w:szCs w:val="24"/>
        </w:rPr>
        <w:t>通知与送达</w:t>
      </w:r>
      <w:bookmarkEnd w:id="65"/>
    </w:p>
    <w:p w14:paraId="4512589F" w14:textId="77777777" w:rsidR="005C1C72" w:rsidRPr="00F67A57" w:rsidRDefault="005C1C72" w:rsidP="006643B1">
      <w:pPr>
        <w:autoSpaceDE w:val="0"/>
        <w:autoSpaceDN w:val="0"/>
        <w:spacing w:line="520" w:lineRule="atLeast"/>
        <w:ind w:firstLineChars="200" w:firstLine="480"/>
        <w:rPr>
          <w:rFonts w:ascii="宋体" w:hAnsi="宋体"/>
          <w:sz w:val="24"/>
          <w:szCs w:val="24"/>
        </w:rPr>
      </w:pPr>
      <w:r w:rsidRPr="00F67A57">
        <w:rPr>
          <w:rFonts w:ascii="宋体" w:hAnsi="宋体"/>
          <w:sz w:val="24"/>
          <w:szCs w:val="24"/>
        </w:rPr>
        <w:t>23.1</w:t>
      </w:r>
      <w:r w:rsidRPr="00F67A57">
        <w:rPr>
          <w:rFonts w:ascii="宋体" w:hAnsi="宋体" w:hint="eastAsia"/>
          <w:sz w:val="24"/>
          <w:szCs w:val="24"/>
        </w:rPr>
        <w:t>除本协议</w:t>
      </w:r>
      <w:r w:rsidRPr="00F67A57">
        <w:rPr>
          <w:rFonts w:ascii="宋体" w:hAnsi="宋体"/>
          <w:sz w:val="24"/>
          <w:szCs w:val="24"/>
        </w:rPr>
        <w:t>另有约定外，</w:t>
      </w:r>
      <w:r w:rsidRPr="00F67A57">
        <w:rPr>
          <w:rFonts w:ascii="宋体" w:hAnsi="宋体" w:hint="eastAsia"/>
          <w:sz w:val="24"/>
          <w:szCs w:val="24"/>
        </w:rPr>
        <w:t>本协议项下的通知、要求、诉讼（仲裁）的法律文书或其他通信可交付或发送至本协议首部所约定的地址或联系方式。</w:t>
      </w:r>
    </w:p>
    <w:p w14:paraId="6BDEA752" w14:textId="77777777" w:rsidR="005C1C72" w:rsidRPr="00F67A57" w:rsidRDefault="005C1C72" w:rsidP="006643B1">
      <w:pPr>
        <w:autoSpaceDE w:val="0"/>
        <w:autoSpaceDN w:val="0"/>
        <w:spacing w:line="520" w:lineRule="atLeast"/>
        <w:ind w:firstLineChars="200" w:firstLine="480"/>
        <w:rPr>
          <w:rFonts w:ascii="宋体" w:hAnsi="宋体"/>
          <w:sz w:val="24"/>
          <w:szCs w:val="24"/>
        </w:rPr>
      </w:pPr>
      <w:r w:rsidRPr="00F67A57">
        <w:rPr>
          <w:rFonts w:ascii="宋体" w:hAnsi="宋体" w:hint="eastAsia"/>
          <w:sz w:val="24"/>
          <w:szCs w:val="24"/>
        </w:rPr>
        <w:t>2</w:t>
      </w:r>
      <w:r w:rsidRPr="00F67A57">
        <w:rPr>
          <w:rFonts w:ascii="宋体" w:hAnsi="宋体"/>
          <w:sz w:val="24"/>
          <w:szCs w:val="24"/>
        </w:rPr>
        <w:t>3.2</w:t>
      </w:r>
      <w:r w:rsidRPr="00F67A57">
        <w:rPr>
          <w:rFonts w:ascii="宋体" w:hAnsi="宋体" w:hint="eastAsia"/>
          <w:sz w:val="24"/>
          <w:szCs w:val="24"/>
        </w:rPr>
        <w:t>就本协议项下基金托管人给予基金管理人的任何通知、要求或其他通信，其中电传、电话、传真、电子邮件等一经发出即视为已送达基金管理人；邮政信函于投寄之日起第三日即视为已送达基金管理人；若派人专程送达，则基金管理人签收日视为送达，基金管理人拒收的，送达人可采取拍照、录像方式记录送达过程，并将文书留置，亦视为送达。</w:t>
      </w:r>
    </w:p>
    <w:p w14:paraId="57C5F3A4" w14:textId="77777777" w:rsidR="005C1C72" w:rsidRPr="00F67A57" w:rsidRDefault="005C1C72" w:rsidP="006643B1">
      <w:pPr>
        <w:autoSpaceDE w:val="0"/>
        <w:autoSpaceDN w:val="0"/>
        <w:spacing w:line="520" w:lineRule="atLeast"/>
        <w:ind w:firstLineChars="200" w:firstLine="480"/>
        <w:rPr>
          <w:rFonts w:ascii="宋体" w:hAnsi="宋体"/>
          <w:sz w:val="24"/>
          <w:szCs w:val="24"/>
        </w:rPr>
      </w:pPr>
      <w:r w:rsidRPr="00F67A57">
        <w:rPr>
          <w:rFonts w:ascii="宋体" w:hAnsi="宋体" w:hint="eastAsia"/>
          <w:sz w:val="24"/>
          <w:szCs w:val="24"/>
        </w:rPr>
        <w:t>2</w:t>
      </w:r>
      <w:r w:rsidRPr="00F67A57">
        <w:rPr>
          <w:rFonts w:ascii="宋体" w:hAnsi="宋体"/>
          <w:sz w:val="24"/>
          <w:szCs w:val="24"/>
        </w:rPr>
        <w:t>3.3</w:t>
      </w:r>
      <w:r w:rsidRPr="00F67A57">
        <w:rPr>
          <w:rFonts w:ascii="宋体" w:hAnsi="宋体" w:hint="eastAsia"/>
          <w:sz w:val="24"/>
          <w:szCs w:val="24"/>
        </w:rPr>
        <w:t>司法机关或仲裁机构亦可按本款约定的地址、联系方式向基金管理人发送相关（法律）文书，无人签收或基金管理人拒收的，则（法律）文书退回之日视为送达之日；若直接送达时基金管理人拒收的，送达人可采取拍照、录像方式记录送达过程，并将（法律）文书留置，亦视为送达。基金管理人提供错误联系方式或未及时告知变更后联系方式的，导致（法律）文书未能送达或退回的，则（法律）文书退回之日视为送达之日。</w:t>
      </w:r>
    </w:p>
    <w:p w14:paraId="7D15ED7E" w14:textId="3C596A03" w:rsidR="00EB5BF5" w:rsidRDefault="005C1C72" w:rsidP="006643B1">
      <w:pPr>
        <w:pStyle w:val="20"/>
        <w:spacing w:before="0" w:after="0" w:line="520" w:lineRule="atLeast"/>
        <w:ind w:left="0" w:firstLineChars="200" w:firstLine="480"/>
        <w:rPr>
          <w:rFonts w:hAnsi="宋体"/>
          <w:szCs w:val="24"/>
        </w:rPr>
      </w:pPr>
      <w:r w:rsidRPr="00F67A57">
        <w:rPr>
          <w:rFonts w:hAnsi="宋体" w:hint="eastAsia"/>
          <w:szCs w:val="24"/>
        </w:rPr>
        <w:t>2</w:t>
      </w:r>
      <w:r w:rsidRPr="00F67A57">
        <w:rPr>
          <w:rFonts w:hAnsi="宋体"/>
          <w:szCs w:val="24"/>
        </w:rPr>
        <w:t>3.4</w:t>
      </w:r>
      <w:r w:rsidRPr="00F67A57">
        <w:rPr>
          <w:rFonts w:hAnsi="宋体" w:hint="eastAsia"/>
          <w:szCs w:val="24"/>
        </w:rPr>
        <w:t>如果基金管理人提供的上述联系方式发生变更的，应在变更后三日内书面通知基金托管人；在本协议项下债务进入诉讼或仲裁阶段后，则须以书面方式告知审理机关。否则按原联系方式发出的通知或其他文书，即使变更方没有收到，仍视为送达。</w:t>
      </w:r>
    </w:p>
    <w:p w14:paraId="618CC53F" w14:textId="77777777" w:rsidR="00EB5BF5" w:rsidRPr="00F67A57" w:rsidRDefault="00EB5BF5" w:rsidP="006643B1">
      <w:pPr>
        <w:pStyle w:val="1"/>
        <w:snapToGrid/>
        <w:spacing w:line="520" w:lineRule="atLeast"/>
        <w:ind w:firstLineChars="200" w:firstLine="482"/>
        <w:rPr>
          <w:bCs/>
          <w:color w:val="auto"/>
          <w:szCs w:val="24"/>
        </w:rPr>
      </w:pPr>
      <w:bookmarkStart w:id="66" w:name="_Toc44321747"/>
      <w:r w:rsidRPr="00F67A57">
        <w:rPr>
          <w:rFonts w:hint="eastAsia"/>
          <w:bCs/>
          <w:color w:val="auto"/>
          <w:szCs w:val="24"/>
        </w:rPr>
        <w:t>第二十四条 其他约定</w:t>
      </w:r>
      <w:r w:rsidRPr="00F67A57">
        <w:rPr>
          <w:bCs/>
          <w:color w:val="auto"/>
          <w:szCs w:val="24"/>
        </w:rPr>
        <w:t>事项</w:t>
      </w:r>
      <w:bookmarkEnd w:id="66"/>
    </w:p>
    <w:p w14:paraId="124A0854" w14:textId="1DC71E04" w:rsidR="00B61FF9" w:rsidRPr="007A326F" w:rsidRDefault="00EB5BF5" w:rsidP="007A326F">
      <w:pPr>
        <w:pStyle w:val="20"/>
        <w:spacing w:before="0" w:after="0" w:line="520" w:lineRule="atLeast"/>
        <w:ind w:left="0"/>
        <w:rPr>
          <w:rFonts w:hAnsi="宋体"/>
          <w:szCs w:val="24"/>
        </w:rPr>
      </w:pPr>
      <w:r w:rsidRPr="00650B4B">
        <w:rPr>
          <w:rFonts w:hAnsi="宋体" w:hint="eastAsia"/>
          <w:szCs w:val="24"/>
        </w:rPr>
        <w:t xml:space="preserve">    如本条约定与其他条款约定冲突的，应以本条约定为准。</w:t>
      </w:r>
    </w:p>
    <w:sectPr w:rsidR="00B61FF9" w:rsidRPr="007A326F">
      <w:footerReference w:type="even" r:id="rId10"/>
      <w:footerReference w:type="default" r:id="rId11"/>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537F5" w14:textId="77777777" w:rsidR="00467317" w:rsidRDefault="00467317">
      <w:r>
        <w:separator/>
      </w:r>
    </w:p>
  </w:endnote>
  <w:endnote w:type="continuationSeparator" w:id="0">
    <w:p w14:paraId="4277EB43" w14:textId="77777777" w:rsidR="00467317" w:rsidRDefault="0046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5495" w14:textId="77777777" w:rsidR="001A0528" w:rsidRDefault="001A0528">
    <w:pPr>
      <w:pStyle w:val="af"/>
      <w:framePr w:wrap="around" w:vAnchor="text" w:hAnchor="margin" w:xAlign="center" w:y="1"/>
      <w:rPr>
        <w:rStyle w:val="af3"/>
      </w:rPr>
    </w:pPr>
    <w:r>
      <w:fldChar w:fldCharType="begin"/>
    </w:r>
    <w:r>
      <w:rPr>
        <w:rStyle w:val="af3"/>
      </w:rPr>
      <w:instrText xml:space="preserve">PAGE  </w:instrText>
    </w:r>
    <w:r>
      <w:fldChar w:fldCharType="end"/>
    </w:r>
  </w:p>
  <w:p w14:paraId="357C8D2E" w14:textId="77777777" w:rsidR="001A0528" w:rsidRDefault="001A0528">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5F49" w14:textId="0EDB150D" w:rsidR="001A0528" w:rsidRDefault="001A0528">
    <w:pPr>
      <w:pStyle w:val="af"/>
      <w:framePr w:wrap="around" w:vAnchor="text" w:hAnchor="margin" w:xAlign="center" w:y="1"/>
      <w:rPr>
        <w:rStyle w:val="af3"/>
      </w:rPr>
    </w:pPr>
    <w:r>
      <w:fldChar w:fldCharType="begin"/>
    </w:r>
    <w:r>
      <w:rPr>
        <w:rStyle w:val="af3"/>
      </w:rPr>
      <w:instrText xml:space="preserve">PAGE  </w:instrText>
    </w:r>
    <w:r>
      <w:fldChar w:fldCharType="separate"/>
    </w:r>
    <w:r w:rsidR="0063311D">
      <w:rPr>
        <w:rStyle w:val="af3"/>
        <w:noProof/>
      </w:rPr>
      <w:t>19</w:t>
    </w:r>
    <w:r>
      <w:fldChar w:fldCharType="end"/>
    </w:r>
  </w:p>
  <w:p w14:paraId="4C231A2F" w14:textId="77777777" w:rsidR="001A0528" w:rsidRDefault="001A052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D6C3B" w14:textId="77777777" w:rsidR="00467317" w:rsidRDefault="00467317">
      <w:r>
        <w:separator/>
      </w:r>
    </w:p>
  </w:footnote>
  <w:footnote w:type="continuationSeparator" w:id="0">
    <w:p w14:paraId="3FAB735F" w14:textId="77777777" w:rsidR="00467317" w:rsidRDefault="00467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5F02"/>
    <w:rsid w:val="00006A92"/>
    <w:rsid w:val="00006EF5"/>
    <w:rsid w:val="00007EEE"/>
    <w:rsid w:val="000107EC"/>
    <w:rsid w:val="00014405"/>
    <w:rsid w:val="00014C75"/>
    <w:rsid w:val="00014D0C"/>
    <w:rsid w:val="000156D9"/>
    <w:rsid w:val="0001713B"/>
    <w:rsid w:val="00017F23"/>
    <w:rsid w:val="000217E4"/>
    <w:rsid w:val="00023A92"/>
    <w:rsid w:val="00027285"/>
    <w:rsid w:val="00033A7B"/>
    <w:rsid w:val="00035920"/>
    <w:rsid w:val="00037404"/>
    <w:rsid w:val="00037818"/>
    <w:rsid w:val="00037980"/>
    <w:rsid w:val="00042A25"/>
    <w:rsid w:val="00042EEE"/>
    <w:rsid w:val="00043FB7"/>
    <w:rsid w:val="000467D6"/>
    <w:rsid w:val="00046B2A"/>
    <w:rsid w:val="000559C3"/>
    <w:rsid w:val="000603A2"/>
    <w:rsid w:val="00062021"/>
    <w:rsid w:val="00062E2D"/>
    <w:rsid w:val="00065064"/>
    <w:rsid w:val="00066BF4"/>
    <w:rsid w:val="0006754D"/>
    <w:rsid w:val="00071F28"/>
    <w:rsid w:val="0007356D"/>
    <w:rsid w:val="00074856"/>
    <w:rsid w:val="0007750D"/>
    <w:rsid w:val="000778F3"/>
    <w:rsid w:val="0008163D"/>
    <w:rsid w:val="00083E01"/>
    <w:rsid w:val="000877E6"/>
    <w:rsid w:val="00092C2A"/>
    <w:rsid w:val="00093120"/>
    <w:rsid w:val="000A228B"/>
    <w:rsid w:val="000A6FC1"/>
    <w:rsid w:val="000B1E50"/>
    <w:rsid w:val="000B385D"/>
    <w:rsid w:val="000C0905"/>
    <w:rsid w:val="000C0F8F"/>
    <w:rsid w:val="000C152B"/>
    <w:rsid w:val="000C2F51"/>
    <w:rsid w:val="000C4913"/>
    <w:rsid w:val="000C7A76"/>
    <w:rsid w:val="000C7AB7"/>
    <w:rsid w:val="000D0BD5"/>
    <w:rsid w:val="000D17C9"/>
    <w:rsid w:val="000D59DE"/>
    <w:rsid w:val="000D7C66"/>
    <w:rsid w:val="000E216E"/>
    <w:rsid w:val="000E3608"/>
    <w:rsid w:val="000E68B4"/>
    <w:rsid w:val="000E69F8"/>
    <w:rsid w:val="000F6613"/>
    <w:rsid w:val="001022CC"/>
    <w:rsid w:val="0010239C"/>
    <w:rsid w:val="00102F71"/>
    <w:rsid w:val="00107051"/>
    <w:rsid w:val="001110CB"/>
    <w:rsid w:val="00115AA2"/>
    <w:rsid w:val="001177F0"/>
    <w:rsid w:val="00126409"/>
    <w:rsid w:val="00130C38"/>
    <w:rsid w:val="0013126F"/>
    <w:rsid w:val="001320BF"/>
    <w:rsid w:val="00132302"/>
    <w:rsid w:val="00132BE4"/>
    <w:rsid w:val="00135362"/>
    <w:rsid w:val="00137C67"/>
    <w:rsid w:val="001404B1"/>
    <w:rsid w:val="0014134F"/>
    <w:rsid w:val="0014169A"/>
    <w:rsid w:val="0014323B"/>
    <w:rsid w:val="00143504"/>
    <w:rsid w:val="00145C16"/>
    <w:rsid w:val="00146F90"/>
    <w:rsid w:val="001618D7"/>
    <w:rsid w:val="00161A9B"/>
    <w:rsid w:val="00163717"/>
    <w:rsid w:val="001657D8"/>
    <w:rsid w:val="00171079"/>
    <w:rsid w:val="00175B0A"/>
    <w:rsid w:val="00176023"/>
    <w:rsid w:val="00180B60"/>
    <w:rsid w:val="00183760"/>
    <w:rsid w:val="001848CC"/>
    <w:rsid w:val="001A0528"/>
    <w:rsid w:val="001A77E6"/>
    <w:rsid w:val="001B0A60"/>
    <w:rsid w:val="001B0F1A"/>
    <w:rsid w:val="001B2959"/>
    <w:rsid w:val="001B2AF0"/>
    <w:rsid w:val="001B2E1D"/>
    <w:rsid w:val="001B4434"/>
    <w:rsid w:val="001B687D"/>
    <w:rsid w:val="001B7022"/>
    <w:rsid w:val="001C2ACF"/>
    <w:rsid w:val="001C545B"/>
    <w:rsid w:val="001C65F2"/>
    <w:rsid w:val="001C66BC"/>
    <w:rsid w:val="001C7953"/>
    <w:rsid w:val="001D03D4"/>
    <w:rsid w:val="001D09A0"/>
    <w:rsid w:val="001D3E64"/>
    <w:rsid w:val="001D444B"/>
    <w:rsid w:val="001E33B7"/>
    <w:rsid w:val="001E6B63"/>
    <w:rsid w:val="001E6DCD"/>
    <w:rsid w:val="001F050A"/>
    <w:rsid w:val="001F1C99"/>
    <w:rsid w:val="001F5108"/>
    <w:rsid w:val="00200CF2"/>
    <w:rsid w:val="00200D45"/>
    <w:rsid w:val="002014F0"/>
    <w:rsid w:val="00203D12"/>
    <w:rsid w:val="002041DF"/>
    <w:rsid w:val="002045A2"/>
    <w:rsid w:val="00205409"/>
    <w:rsid w:val="00205438"/>
    <w:rsid w:val="00206D81"/>
    <w:rsid w:val="00214195"/>
    <w:rsid w:val="002158ED"/>
    <w:rsid w:val="00216E66"/>
    <w:rsid w:val="00217901"/>
    <w:rsid w:val="002216DF"/>
    <w:rsid w:val="00221C8C"/>
    <w:rsid w:val="002229F6"/>
    <w:rsid w:val="00222AE4"/>
    <w:rsid w:val="002254CA"/>
    <w:rsid w:val="00225A43"/>
    <w:rsid w:val="002309FE"/>
    <w:rsid w:val="00234CB5"/>
    <w:rsid w:val="00244076"/>
    <w:rsid w:val="00244CEE"/>
    <w:rsid w:val="00244F0B"/>
    <w:rsid w:val="002464B8"/>
    <w:rsid w:val="002464DB"/>
    <w:rsid w:val="00251308"/>
    <w:rsid w:val="00256509"/>
    <w:rsid w:val="002567AE"/>
    <w:rsid w:val="00257E18"/>
    <w:rsid w:val="002620B5"/>
    <w:rsid w:val="0026403B"/>
    <w:rsid w:val="00270B1B"/>
    <w:rsid w:val="00271BEE"/>
    <w:rsid w:val="00273F36"/>
    <w:rsid w:val="0027511C"/>
    <w:rsid w:val="00275823"/>
    <w:rsid w:val="002771AB"/>
    <w:rsid w:val="00280105"/>
    <w:rsid w:val="00282CB6"/>
    <w:rsid w:val="00283722"/>
    <w:rsid w:val="002861AD"/>
    <w:rsid w:val="002A153D"/>
    <w:rsid w:val="002A34FB"/>
    <w:rsid w:val="002A4594"/>
    <w:rsid w:val="002A5134"/>
    <w:rsid w:val="002B0695"/>
    <w:rsid w:val="002B0CA2"/>
    <w:rsid w:val="002B2B25"/>
    <w:rsid w:val="002B2B46"/>
    <w:rsid w:val="002B3398"/>
    <w:rsid w:val="002B436F"/>
    <w:rsid w:val="002C4590"/>
    <w:rsid w:val="002C7260"/>
    <w:rsid w:val="002C7695"/>
    <w:rsid w:val="002C7F16"/>
    <w:rsid w:val="002D278E"/>
    <w:rsid w:val="002D5AC8"/>
    <w:rsid w:val="002E423B"/>
    <w:rsid w:val="002E4D07"/>
    <w:rsid w:val="002F1D9A"/>
    <w:rsid w:val="002F1FB2"/>
    <w:rsid w:val="002F5606"/>
    <w:rsid w:val="002F5B87"/>
    <w:rsid w:val="002F7C1F"/>
    <w:rsid w:val="0030473A"/>
    <w:rsid w:val="0030528F"/>
    <w:rsid w:val="0030785F"/>
    <w:rsid w:val="00311AE2"/>
    <w:rsid w:val="00314EE7"/>
    <w:rsid w:val="003152B4"/>
    <w:rsid w:val="00317BE9"/>
    <w:rsid w:val="003229E8"/>
    <w:rsid w:val="003230F9"/>
    <w:rsid w:val="00330DBF"/>
    <w:rsid w:val="00335AC5"/>
    <w:rsid w:val="003402AC"/>
    <w:rsid w:val="00342101"/>
    <w:rsid w:val="00343183"/>
    <w:rsid w:val="00345E38"/>
    <w:rsid w:val="0035177F"/>
    <w:rsid w:val="0035230D"/>
    <w:rsid w:val="00363BF9"/>
    <w:rsid w:val="00370E6A"/>
    <w:rsid w:val="00371F4C"/>
    <w:rsid w:val="00376470"/>
    <w:rsid w:val="00376534"/>
    <w:rsid w:val="00380257"/>
    <w:rsid w:val="003820CE"/>
    <w:rsid w:val="00382655"/>
    <w:rsid w:val="00383377"/>
    <w:rsid w:val="00384270"/>
    <w:rsid w:val="0038599A"/>
    <w:rsid w:val="00385CF5"/>
    <w:rsid w:val="00390329"/>
    <w:rsid w:val="00393A4B"/>
    <w:rsid w:val="0039570A"/>
    <w:rsid w:val="0039704D"/>
    <w:rsid w:val="00397134"/>
    <w:rsid w:val="003A21D3"/>
    <w:rsid w:val="003A4C9D"/>
    <w:rsid w:val="003A64E9"/>
    <w:rsid w:val="003A7609"/>
    <w:rsid w:val="003B0F07"/>
    <w:rsid w:val="003B240A"/>
    <w:rsid w:val="003B7C32"/>
    <w:rsid w:val="003C20E6"/>
    <w:rsid w:val="003C235D"/>
    <w:rsid w:val="003C2DEB"/>
    <w:rsid w:val="003C306C"/>
    <w:rsid w:val="003C3C90"/>
    <w:rsid w:val="003C5A81"/>
    <w:rsid w:val="003C67A3"/>
    <w:rsid w:val="003C6E19"/>
    <w:rsid w:val="003D0785"/>
    <w:rsid w:val="003D24E0"/>
    <w:rsid w:val="003D2BED"/>
    <w:rsid w:val="003D48C9"/>
    <w:rsid w:val="003D6E5F"/>
    <w:rsid w:val="003D7086"/>
    <w:rsid w:val="003D778D"/>
    <w:rsid w:val="003E25E9"/>
    <w:rsid w:val="003E57C9"/>
    <w:rsid w:val="003E5B9D"/>
    <w:rsid w:val="003E619A"/>
    <w:rsid w:val="003F0FC9"/>
    <w:rsid w:val="003F26BF"/>
    <w:rsid w:val="003F32DF"/>
    <w:rsid w:val="003F38FA"/>
    <w:rsid w:val="003F4121"/>
    <w:rsid w:val="003F4548"/>
    <w:rsid w:val="003F648A"/>
    <w:rsid w:val="003F74DB"/>
    <w:rsid w:val="003F7614"/>
    <w:rsid w:val="003F76F1"/>
    <w:rsid w:val="003F7AAF"/>
    <w:rsid w:val="00400544"/>
    <w:rsid w:val="00403FA4"/>
    <w:rsid w:val="00411E11"/>
    <w:rsid w:val="00411EC2"/>
    <w:rsid w:val="0041673C"/>
    <w:rsid w:val="00417D16"/>
    <w:rsid w:val="00420E57"/>
    <w:rsid w:val="0042648F"/>
    <w:rsid w:val="00430FD3"/>
    <w:rsid w:val="004311E8"/>
    <w:rsid w:val="00432606"/>
    <w:rsid w:val="004339DF"/>
    <w:rsid w:val="00436366"/>
    <w:rsid w:val="0043710B"/>
    <w:rsid w:val="004412E4"/>
    <w:rsid w:val="004417C8"/>
    <w:rsid w:val="00441A0E"/>
    <w:rsid w:val="00443EEB"/>
    <w:rsid w:val="00444F92"/>
    <w:rsid w:val="004464B7"/>
    <w:rsid w:val="0044652B"/>
    <w:rsid w:val="00451371"/>
    <w:rsid w:val="00455161"/>
    <w:rsid w:val="004558DF"/>
    <w:rsid w:val="00455917"/>
    <w:rsid w:val="00456A15"/>
    <w:rsid w:val="0046023B"/>
    <w:rsid w:val="00462A74"/>
    <w:rsid w:val="004668F1"/>
    <w:rsid w:val="004670BB"/>
    <w:rsid w:val="00467317"/>
    <w:rsid w:val="004702E5"/>
    <w:rsid w:val="0047086F"/>
    <w:rsid w:val="00470F6A"/>
    <w:rsid w:val="00472976"/>
    <w:rsid w:val="004734B3"/>
    <w:rsid w:val="00474712"/>
    <w:rsid w:val="0048045F"/>
    <w:rsid w:val="0049007F"/>
    <w:rsid w:val="00490CC4"/>
    <w:rsid w:val="004A0749"/>
    <w:rsid w:val="004A2093"/>
    <w:rsid w:val="004A21FA"/>
    <w:rsid w:val="004A26BE"/>
    <w:rsid w:val="004A4507"/>
    <w:rsid w:val="004A5137"/>
    <w:rsid w:val="004B0A2F"/>
    <w:rsid w:val="004B3E29"/>
    <w:rsid w:val="004B3F78"/>
    <w:rsid w:val="004B6EAA"/>
    <w:rsid w:val="004B76D3"/>
    <w:rsid w:val="004C14BD"/>
    <w:rsid w:val="004C5378"/>
    <w:rsid w:val="004C7064"/>
    <w:rsid w:val="004D7082"/>
    <w:rsid w:val="004E0606"/>
    <w:rsid w:val="004E306E"/>
    <w:rsid w:val="004E5206"/>
    <w:rsid w:val="004E5621"/>
    <w:rsid w:val="004E7254"/>
    <w:rsid w:val="004F2CD0"/>
    <w:rsid w:val="004F4570"/>
    <w:rsid w:val="004F5507"/>
    <w:rsid w:val="004F5ED3"/>
    <w:rsid w:val="004F7098"/>
    <w:rsid w:val="00500435"/>
    <w:rsid w:val="005033BA"/>
    <w:rsid w:val="00507836"/>
    <w:rsid w:val="005121E1"/>
    <w:rsid w:val="005147D9"/>
    <w:rsid w:val="00514ECE"/>
    <w:rsid w:val="005223A4"/>
    <w:rsid w:val="0052651C"/>
    <w:rsid w:val="00526BD9"/>
    <w:rsid w:val="00530616"/>
    <w:rsid w:val="005307DB"/>
    <w:rsid w:val="00533B7B"/>
    <w:rsid w:val="005366E9"/>
    <w:rsid w:val="0054036A"/>
    <w:rsid w:val="00540B08"/>
    <w:rsid w:val="005417F4"/>
    <w:rsid w:val="00541A7B"/>
    <w:rsid w:val="00543408"/>
    <w:rsid w:val="00551DD9"/>
    <w:rsid w:val="00552415"/>
    <w:rsid w:val="00552CCB"/>
    <w:rsid w:val="005576FE"/>
    <w:rsid w:val="00565C9F"/>
    <w:rsid w:val="005662BD"/>
    <w:rsid w:val="00573F9F"/>
    <w:rsid w:val="00585020"/>
    <w:rsid w:val="00587AA1"/>
    <w:rsid w:val="00587B90"/>
    <w:rsid w:val="00591580"/>
    <w:rsid w:val="00591B16"/>
    <w:rsid w:val="005A11E0"/>
    <w:rsid w:val="005A1862"/>
    <w:rsid w:val="005A1FC8"/>
    <w:rsid w:val="005A301C"/>
    <w:rsid w:val="005A52A1"/>
    <w:rsid w:val="005A745C"/>
    <w:rsid w:val="005B05A6"/>
    <w:rsid w:val="005B0CCB"/>
    <w:rsid w:val="005B0F25"/>
    <w:rsid w:val="005B4A54"/>
    <w:rsid w:val="005B6D06"/>
    <w:rsid w:val="005B7532"/>
    <w:rsid w:val="005C1C72"/>
    <w:rsid w:val="005C5DFC"/>
    <w:rsid w:val="005C5E8C"/>
    <w:rsid w:val="005D0467"/>
    <w:rsid w:val="005D11F0"/>
    <w:rsid w:val="005D18F6"/>
    <w:rsid w:val="005D442A"/>
    <w:rsid w:val="005D4DA3"/>
    <w:rsid w:val="005E0DF0"/>
    <w:rsid w:val="005E2FF6"/>
    <w:rsid w:val="005E3419"/>
    <w:rsid w:val="005E3FB2"/>
    <w:rsid w:val="005E751A"/>
    <w:rsid w:val="005F012D"/>
    <w:rsid w:val="005F0CA6"/>
    <w:rsid w:val="005F221B"/>
    <w:rsid w:val="005F42C5"/>
    <w:rsid w:val="005F48DE"/>
    <w:rsid w:val="005F7024"/>
    <w:rsid w:val="00601D3D"/>
    <w:rsid w:val="0060330F"/>
    <w:rsid w:val="006039BB"/>
    <w:rsid w:val="00604C7B"/>
    <w:rsid w:val="00606976"/>
    <w:rsid w:val="006117E4"/>
    <w:rsid w:val="00612C00"/>
    <w:rsid w:val="00615CA5"/>
    <w:rsid w:val="00616872"/>
    <w:rsid w:val="006238E1"/>
    <w:rsid w:val="00623BCE"/>
    <w:rsid w:val="00627E17"/>
    <w:rsid w:val="00630130"/>
    <w:rsid w:val="00630C12"/>
    <w:rsid w:val="00631068"/>
    <w:rsid w:val="00631AFF"/>
    <w:rsid w:val="0063311D"/>
    <w:rsid w:val="006333AF"/>
    <w:rsid w:val="0063582D"/>
    <w:rsid w:val="006374EE"/>
    <w:rsid w:val="0064144A"/>
    <w:rsid w:val="006433ED"/>
    <w:rsid w:val="00645BD9"/>
    <w:rsid w:val="00646351"/>
    <w:rsid w:val="0065050A"/>
    <w:rsid w:val="006513FE"/>
    <w:rsid w:val="0065472A"/>
    <w:rsid w:val="0065631C"/>
    <w:rsid w:val="0065675D"/>
    <w:rsid w:val="0066277C"/>
    <w:rsid w:val="006631BB"/>
    <w:rsid w:val="006643B1"/>
    <w:rsid w:val="00664D4A"/>
    <w:rsid w:val="006704D3"/>
    <w:rsid w:val="00671709"/>
    <w:rsid w:val="00672EA6"/>
    <w:rsid w:val="006745D6"/>
    <w:rsid w:val="00674E25"/>
    <w:rsid w:val="0067636E"/>
    <w:rsid w:val="00676F66"/>
    <w:rsid w:val="00681B36"/>
    <w:rsid w:val="00682722"/>
    <w:rsid w:val="00682F3F"/>
    <w:rsid w:val="0068465B"/>
    <w:rsid w:val="0069113B"/>
    <w:rsid w:val="0069476A"/>
    <w:rsid w:val="006949B3"/>
    <w:rsid w:val="006963A4"/>
    <w:rsid w:val="006A13FF"/>
    <w:rsid w:val="006A187B"/>
    <w:rsid w:val="006A493D"/>
    <w:rsid w:val="006A4D75"/>
    <w:rsid w:val="006A7C46"/>
    <w:rsid w:val="006B3419"/>
    <w:rsid w:val="006B4100"/>
    <w:rsid w:val="006B5645"/>
    <w:rsid w:val="006B567E"/>
    <w:rsid w:val="006D0FAB"/>
    <w:rsid w:val="006D15C7"/>
    <w:rsid w:val="006E1C21"/>
    <w:rsid w:val="006E31D4"/>
    <w:rsid w:val="006E5F66"/>
    <w:rsid w:val="006E616F"/>
    <w:rsid w:val="006E6265"/>
    <w:rsid w:val="006F0DA6"/>
    <w:rsid w:val="006F4830"/>
    <w:rsid w:val="006F5149"/>
    <w:rsid w:val="006F76CB"/>
    <w:rsid w:val="006F7F18"/>
    <w:rsid w:val="00702258"/>
    <w:rsid w:val="007041FF"/>
    <w:rsid w:val="0070432C"/>
    <w:rsid w:val="00705281"/>
    <w:rsid w:val="0070544A"/>
    <w:rsid w:val="007105D4"/>
    <w:rsid w:val="00712E45"/>
    <w:rsid w:val="00714EDA"/>
    <w:rsid w:val="00715971"/>
    <w:rsid w:val="0072239D"/>
    <w:rsid w:val="00722E92"/>
    <w:rsid w:val="00723A7F"/>
    <w:rsid w:val="00731307"/>
    <w:rsid w:val="00742138"/>
    <w:rsid w:val="0074389D"/>
    <w:rsid w:val="007451E3"/>
    <w:rsid w:val="00750A9C"/>
    <w:rsid w:val="0075595F"/>
    <w:rsid w:val="0075615E"/>
    <w:rsid w:val="007564E2"/>
    <w:rsid w:val="00757C03"/>
    <w:rsid w:val="00757ED4"/>
    <w:rsid w:val="00762691"/>
    <w:rsid w:val="00770384"/>
    <w:rsid w:val="00772F6C"/>
    <w:rsid w:val="00773CE9"/>
    <w:rsid w:val="00775161"/>
    <w:rsid w:val="00777C8C"/>
    <w:rsid w:val="0078303E"/>
    <w:rsid w:val="0078308D"/>
    <w:rsid w:val="00786335"/>
    <w:rsid w:val="007865D8"/>
    <w:rsid w:val="00786DDE"/>
    <w:rsid w:val="00792ABE"/>
    <w:rsid w:val="00795FC7"/>
    <w:rsid w:val="007A019E"/>
    <w:rsid w:val="007A326F"/>
    <w:rsid w:val="007A4FFD"/>
    <w:rsid w:val="007A5E74"/>
    <w:rsid w:val="007B055F"/>
    <w:rsid w:val="007B0920"/>
    <w:rsid w:val="007B0DCD"/>
    <w:rsid w:val="007B40CD"/>
    <w:rsid w:val="007C3B71"/>
    <w:rsid w:val="007C4C14"/>
    <w:rsid w:val="007C56B2"/>
    <w:rsid w:val="007C7CD4"/>
    <w:rsid w:val="007D21AE"/>
    <w:rsid w:val="007D21F7"/>
    <w:rsid w:val="007E0210"/>
    <w:rsid w:val="007E2AA0"/>
    <w:rsid w:val="007E3074"/>
    <w:rsid w:val="007E66C2"/>
    <w:rsid w:val="007F1DE8"/>
    <w:rsid w:val="007F28F2"/>
    <w:rsid w:val="007F37EC"/>
    <w:rsid w:val="007F780A"/>
    <w:rsid w:val="00800530"/>
    <w:rsid w:val="00802BA7"/>
    <w:rsid w:val="00806439"/>
    <w:rsid w:val="00810562"/>
    <w:rsid w:val="008138B1"/>
    <w:rsid w:val="00815E67"/>
    <w:rsid w:val="00816073"/>
    <w:rsid w:val="00816328"/>
    <w:rsid w:val="00816E98"/>
    <w:rsid w:val="0082011A"/>
    <w:rsid w:val="00820261"/>
    <w:rsid w:val="00822DB5"/>
    <w:rsid w:val="008265FB"/>
    <w:rsid w:val="0083307F"/>
    <w:rsid w:val="00837E56"/>
    <w:rsid w:val="008402D5"/>
    <w:rsid w:val="00844028"/>
    <w:rsid w:val="0084464F"/>
    <w:rsid w:val="00844681"/>
    <w:rsid w:val="0084596D"/>
    <w:rsid w:val="00850170"/>
    <w:rsid w:val="00850A81"/>
    <w:rsid w:val="00852CE9"/>
    <w:rsid w:val="00853FDC"/>
    <w:rsid w:val="00855B9C"/>
    <w:rsid w:val="00857A81"/>
    <w:rsid w:val="0086120E"/>
    <w:rsid w:val="008723BB"/>
    <w:rsid w:val="0087434D"/>
    <w:rsid w:val="008758F6"/>
    <w:rsid w:val="00875A71"/>
    <w:rsid w:val="0088044B"/>
    <w:rsid w:val="008815F1"/>
    <w:rsid w:val="00881775"/>
    <w:rsid w:val="00886001"/>
    <w:rsid w:val="0088782C"/>
    <w:rsid w:val="00894C7D"/>
    <w:rsid w:val="00895349"/>
    <w:rsid w:val="008A160E"/>
    <w:rsid w:val="008A1C89"/>
    <w:rsid w:val="008A452D"/>
    <w:rsid w:val="008A50D6"/>
    <w:rsid w:val="008A772E"/>
    <w:rsid w:val="008A77A6"/>
    <w:rsid w:val="008A7F32"/>
    <w:rsid w:val="008B2490"/>
    <w:rsid w:val="008B7214"/>
    <w:rsid w:val="008D0B7C"/>
    <w:rsid w:val="008D2524"/>
    <w:rsid w:val="008E3AE4"/>
    <w:rsid w:val="008E4808"/>
    <w:rsid w:val="008E7B24"/>
    <w:rsid w:val="008F3907"/>
    <w:rsid w:val="008F3F36"/>
    <w:rsid w:val="008F4C30"/>
    <w:rsid w:val="008F7242"/>
    <w:rsid w:val="0090034A"/>
    <w:rsid w:val="00901F55"/>
    <w:rsid w:val="00910563"/>
    <w:rsid w:val="00910BB9"/>
    <w:rsid w:val="00910CC6"/>
    <w:rsid w:val="00912984"/>
    <w:rsid w:val="00912E35"/>
    <w:rsid w:val="0091346D"/>
    <w:rsid w:val="009144D9"/>
    <w:rsid w:val="009168DA"/>
    <w:rsid w:val="0091746B"/>
    <w:rsid w:val="00922C37"/>
    <w:rsid w:val="00922E0D"/>
    <w:rsid w:val="00923621"/>
    <w:rsid w:val="00925BAE"/>
    <w:rsid w:val="00934CFF"/>
    <w:rsid w:val="0094040B"/>
    <w:rsid w:val="00942E0B"/>
    <w:rsid w:val="009519CD"/>
    <w:rsid w:val="00951D67"/>
    <w:rsid w:val="009534CD"/>
    <w:rsid w:val="00953A11"/>
    <w:rsid w:val="00956305"/>
    <w:rsid w:val="009568E1"/>
    <w:rsid w:val="00956C59"/>
    <w:rsid w:val="00961105"/>
    <w:rsid w:val="00961CF2"/>
    <w:rsid w:val="009629BB"/>
    <w:rsid w:val="009637CC"/>
    <w:rsid w:val="00967914"/>
    <w:rsid w:val="00972325"/>
    <w:rsid w:val="00972E11"/>
    <w:rsid w:val="00976194"/>
    <w:rsid w:val="00980790"/>
    <w:rsid w:val="00980965"/>
    <w:rsid w:val="00980AED"/>
    <w:rsid w:val="00983D29"/>
    <w:rsid w:val="00983EC2"/>
    <w:rsid w:val="0098467D"/>
    <w:rsid w:val="00990EAA"/>
    <w:rsid w:val="009929CB"/>
    <w:rsid w:val="00992C48"/>
    <w:rsid w:val="00994EDA"/>
    <w:rsid w:val="00996D63"/>
    <w:rsid w:val="00997B73"/>
    <w:rsid w:val="00997B9E"/>
    <w:rsid w:val="00997CAB"/>
    <w:rsid w:val="009A3719"/>
    <w:rsid w:val="009B335A"/>
    <w:rsid w:val="009B7AFF"/>
    <w:rsid w:val="009C05E6"/>
    <w:rsid w:val="009C3730"/>
    <w:rsid w:val="009C5013"/>
    <w:rsid w:val="009D3DFA"/>
    <w:rsid w:val="009D5128"/>
    <w:rsid w:val="009D5D04"/>
    <w:rsid w:val="009D636B"/>
    <w:rsid w:val="009E0844"/>
    <w:rsid w:val="009E263C"/>
    <w:rsid w:val="009E38AE"/>
    <w:rsid w:val="009E4F5A"/>
    <w:rsid w:val="009F038B"/>
    <w:rsid w:val="009F232A"/>
    <w:rsid w:val="009F37F6"/>
    <w:rsid w:val="00A11937"/>
    <w:rsid w:val="00A11C5F"/>
    <w:rsid w:val="00A1274F"/>
    <w:rsid w:val="00A13FF3"/>
    <w:rsid w:val="00A3173D"/>
    <w:rsid w:val="00A317FB"/>
    <w:rsid w:val="00A32ED7"/>
    <w:rsid w:val="00A33B45"/>
    <w:rsid w:val="00A34C6D"/>
    <w:rsid w:val="00A37A6F"/>
    <w:rsid w:val="00A42CF9"/>
    <w:rsid w:val="00A430CF"/>
    <w:rsid w:val="00A464EF"/>
    <w:rsid w:val="00A478F7"/>
    <w:rsid w:val="00A52F6F"/>
    <w:rsid w:val="00A5325C"/>
    <w:rsid w:val="00A5593A"/>
    <w:rsid w:val="00A61E5C"/>
    <w:rsid w:val="00A65A30"/>
    <w:rsid w:val="00A65F5A"/>
    <w:rsid w:val="00A708D8"/>
    <w:rsid w:val="00A72A31"/>
    <w:rsid w:val="00A76D15"/>
    <w:rsid w:val="00A80572"/>
    <w:rsid w:val="00A82BB8"/>
    <w:rsid w:val="00A872C3"/>
    <w:rsid w:val="00A873CF"/>
    <w:rsid w:val="00A90358"/>
    <w:rsid w:val="00A90A88"/>
    <w:rsid w:val="00A91212"/>
    <w:rsid w:val="00AA0837"/>
    <w:rsid w:val="00AA086B"/>
    <w:rsid w:val="00AA1214"/>
    <w:rsid w:val="00AA26EB"/>
    <w:rsid w:val="00AA3B97"/>
    <w:rsid w:val="00AA5D4A"/>
    <w:rsid w:val="00AA703D"/>
    <w:rsid w:val="00AA74F1"/>
    <w:rsid w:val="00AB08D8"/>
    <w:rsid w:val="00AB76A9"/>
    <w:rsid w:val="00AC7A32"/>
    <w:rsid w:val="00AD13BC"/>
    <w:rsid w:val="00AD1B3E"/>
    <w:rsid w:val="00AD38E5"/>
    <w:rsid w:val="00AD46EC"/>
    <w:rsid w:val="00B0046B"/>
    <w:rsid w:val="00B03495"/>
    <w:rsid w:val="00B049FA"/>
    <w:rsid w:val="00B04E35"/>
    <w:rsid w:val="00B10BEE"/>
    <w:rsid w:val="00B10D72"/>
    <w:rsid w:val="00B13317"/>
    <w:rsid w:val="00B1488B"/>
    <w:rsid w:val="00B14B93"/>
    <w:rsid w:val="00B240D8"/>
    <w:rsid w:val="00B310E5"/>
    <w:rsid w:val="00B34B8F"/>
    <w:rsid w:val="00B34F38"/>
    <w:rsid w:val="00B36D5B"/>
    <w:rsid w:val="00B3784B"/>
    <w:rsid w:val="00B37F3D"/>
    <w:rsid w:val="00B41AB2"/>
    <w:rsid w:val="00B42635"/>
    <w:rsid w:val="00B42A85"/>
    <w:rsid w:val="00B4586E"/>
    <w:rsid w:val="00B47EC6"/>
    <w:rsid w:val="00B50738"/>
    <w:rsid w:val="00B52396"/>
    <w:rsid w:val="00B56ABC"/>
    <w:rsid w:val="00B60E44"/>
    <w:rsid w:val="00B61FF9"/>
    <w:rsid w:val="00B63751"/>
    <w:rsid w:val="00B657A6"/>
    <w:rsid w:val="00B66879"/>
    <w:rsid w:val="00B719B1"/>
    <w:rsid w:val="00B73796"/>
    <w:rsid w:val="00B73D26"/>
    <w:rsid w:val="00B74A93"/>
    <w:rsid w:val="00B76F64"/>
    <w:rsid w:val="00B77FC9"/>
    <w:rsid w:val="00B90203"/>
    <w:rsid w:val="00B92165"/>
    <w:rsid w:val="00B9229E"/>
    <w:rsid w:val="00B93503"/>
    <w:rsid w:val="00BA1072"/>
    <w:rsid w:val="00BA1995"/>
    <w:rsid w:val="00BA1FFA"/>
    <w:rsid w:val="00BA5C73"/>
    <w:rsid w:val="00BA71B2"/>
    <w:rsid w:val="00BA7CDA"/>
    <w:rsid w:val="00BB055E"/>
    <w:rsid w:val="00BB1D20"/>
    <w:rsid w:val="00BB45C2"/>
    <w:rsid w:val="00BB6B31"/>
    <w:rsid w:val="00BC0D5D"/>
    <w:rsid w:val="00BC11DF"/>
    <w:rsid w:val="00BC397C"/>
    <w:rsid w:val="00BC7CA0"/>
    <w:rsid w:val="00BD1B35"/>
    <w:rsid w:val="00BD582F"/>
    <w:rsid w:val="00BD6014"/>
    <w:rsid w:val="00BD79B1"/>
    <w:rsid w:val="00BE3072"/>
    <w:rsid w:val="00BE46D4"/>
    <w:rsid w:val="00BE4AB4"/>
    <w:rsid w:val="00BE78A0"/>
    <w:rsid w:val="00BF3585"/>
    <w:rsid w:val="00BF54C4"/>
    <w:rsid w:val="00BF7EE7"/>
    <w:rsid w:val="00C00745"/>
    <w:rsid w:val="00C00B3A"/>
    <w:rsid w:val="00C01EEA"/>
    <w:rsid w:val="00C04FDD"/>
    <w:rsid w:val="00C06901"/>
    <w:rsid w:val="00C10BBA"/>
    <w:rsid w:val="00C118AC"/>
    <w:rsid w:val="00C14204"/>
    <w:rsid w:val="00C14219"/>
    <w:rsid w:val="00C15064"/>
    <w:rsid w:val="00C17895"/>
    <w:rsid w:val="00C21B5A"/>
    <w:rsid w:val="00C22575"/>
    <w:rsid w:val="00C23A10"/>
    <w:rsid w:val="00C25D19"/>
    <w:rsid w:val="00C324F8"/>
    <w:rsid w:val="00C34241"/>
    <w:rsid w:val="00C37C51"/>
    <w:rsid w:val="00C44C0D"/>
    <w:rsid w:val="00C44C75"/>
    <w:rsid w:val="00C51A27"/>
    <w:rsid w:val="00C520BD"/>
    <w:rsid w:val="00C63EF2"/>
    <w:rsid w:val="00C65D92"/>
    <w:rsid w:val="00C70EEE"/>
    <w:rsid w:val="00C747D9"/>
    <w:rsid w:val="00C75FBE"/>
    <w:rsid w:val="00C7729D"/>
    <w:rsid w:val="00C809DB"/>
    <w:rsid w:val="00C822D7"/>
    <w:rsid w:val="00C850FD"/>
    <w:rsid w:val="00C934E2"/>
    <w:rsid w:val="00C94574"/>
    <w:rsid w:val="00C9703A"/>
    <w:rsid w:val="00CA48B0"/>
    <w:rsid w:val="00CA7829"/>
    <w:rsid w:val="00CB1555"/>
    <w:rsid w:val="00CB1963"/>
    <w:rsid w:val="00CB1C5E"/>
    <w:rsid w:val="00CB1E25"/>
    <w:rsid w:val="00CB545C"/>
    <w:rsid w:val="00CB595B"/>
    <w:rsid w:val="00CB6238"/>
    <w:rsid w:val="00CC0307"/>
    <w:rsid w:val="00CC031C"/>
    <w:rsid w:val="00CC6542"/>
    <w:rsid w:val="00CC7CE6"/>
    <w:rsid w:val="00CD0653"/>
    <w:rsid w:val="00CD2AB3"/>
    <w:rsid w:val="00CD3127"/>
    <w:rsid w:val="00CD5447"/>
    <w:rsid w:val="00CD5757"/>
    <w:rsid w:val="00CD5DD1"/>
    <w:rsid w:val="00CE187B"/>
    <w:rsid w:val="00CE1A63"/>
    <w:rsid w:val="00CF0833"/>
    <w:rsid w:val="00CF1814"/>
    <w:rsid w:val="00CF2667"/>
    <w:rsid w:val="00CF2E69"/>
    <w:rsid w:val="00CF33B4"/>
    <w:rsid w:val="00D039C5"/>
    <w:rsid w:val="00D03C31"/>
    <w:rsid w:val="00D05F5E"/>
    <w:rsid w:val="00D12262"/>
    <w:rsid w:val="00D127E7"/>
    <w:rsid w:val="00D14DFD"/>
    <w:rsid w:val="00D15D80"/>
    <w:rsid w:val="00D167CB"/>
    <w:rsid w:val="00D211F9"/>
    <w:rsid w:val="00D2248B"/>
    <w:rsid w:val="00D23019"/>
    <w:rsid w:val="00D23C7C"/>
    <w:rsid w:val="00D25D94"/>
    <w:rsid w:val="00D267C4"/>
    <w:rsid w:val="00D27344"/>
    <w:rsid w:val="00D348CE"/>
    <w:rsid w:val="00D40F8E"/>
    <w:rsid w:val="00D4246A"/>
    <w:rsid w:val="00D470C6"/>
    <w:rsid w:val="00D52A85"/>
    <w:rsid w:val="00D52B93"/>
    <w:rsid w:val="00D53004"/>
    <w:rsid w:val="00D60D2D"/>
    <w:rsid w:val="00D70AB1"/>
    <w:rsid w:val="00D71350"/>
    <w:rsid w:val="00D736CF"/>
    <w:rsid w:val="00D73BC0"/>
    <w:rsid w:val="00D836E6"/>
    <w:rsid w:val="00D872FC"/>
    <w:rsid w:val="00D91349"/>
    <w:rsid w:val="00D91F97"/>
    <w:rsid w:val="00D951D7"/>
    <w:rsid w:val="00D9729F"/>
    <w:rsid w:val="00D9774E"/>
    <w:rsid w:val="00DA1D58"/>
    <w:rsid w:val="00DA3524"/>
    <w:rsid w:val="00DA7F7F"/>
    <w:rsid w:val="00DB3581"/>
    <w:rsid w:val="00DB35A9"/>
    <w:rsid w:val="00DB3C21"/>
    <w:rsid w:val="00DB4AA7"/>
    <w:rsid w:val="00DC33C9"/>
    <w:rsid w:val="00DC3413"/>
    <w:rsid w:val="00DC6CED"/>
    <w:rsid w:val="00DD0494"/>
    <w:rsid w:val="00DD3B63"/>
    <w:rsid w:val="00DD76DE"/>
    <w:rsid w:val="00DE1377"/>
    <w:rsid w:val="00DE275A"/>
    <w:rsid w:val="00DE59E9"/>
    <w:rsid w:val="00DE7037"/>
    <w:rsid w:val="00DE723D"/>
    <w:rsid w:val="00DE7C1F"/>
    <w:rsid w:val="00DE7D0B"/>
    <w:rsid w:val="00DE7DCF"/>
    <w:rsid w:val="00DF1530"/>
    <w:rsid w:val="00DF29C3"/>
    <w:rsid w:val="00DF411A"/>
    <w:rsid w:val="00DF447B"/>
    <w:rsid w:val="00DF5FB3"/>
    <w:rsid w:val="00E000EB"/>
    <w:rsid w:val="00E02E28"/>
    <w:rsid w:val="00E069ED"/>
    <w:rsid w:val="00E142BD"/>
    <w:rsid w:val="00E20017"/>
    <w:rsid w:val="00E23F4C"/>
    <w:rsid w:val="00E24C6C"/>
    <w:rsid w:val="00E2562C"/>
    <w:rsid w:val="00E25905"/>
    <w:rsid w:val="00E31992"/>
    <w:rsid w:val="00E379DC"/>
    <w:rsid w:val="00E44321"/>
    <w:rsid w:val="00E45E88"/>
    <w:rsid w:val="00E46345"/>
    <w:rsid w:val="00E47EEE"/>
    <w:rsid w:val="00E52A9A"/>
    <w:rsid w:val="00E53675"/>
    <w:rsid w:val="00E53F89"/>
    <w:rsid w:val="00E60EE5"/>
    <w:rsid w:val="00E65237"/>
    <w:rsid w:val="00E658FF"/>
    <w:rsid w:val="00E70BB6"/>
    <w:rsid w:val="00E70F4D"/>
    <w:rsid w:val="00E71B58"/>
    <w:rsid w:val="00E7429F"/>
    <w:rsid w:val="00E758C6"/>
    <w:rsid w:val="00E75CAA"/>
    <w:rsid w:val="00E82285"/>
    <w:rsid w:val="00E83608"/>
    <w:rsid w:val="00E855F4"/>
    <w:rsid w:val="00E8622A"/>
    <w:rsid w:val="00E86688"/>
    <w:rsid w:val="00E925E0"/>
    <w:rsid w:val="00E94441"/>
    <w:rsid w:val="00E97CC8"/>
    <w:rsid w:val="00EA14B0"/>
    <w:rsid w:val="00EA2F66"/>
    <w:rsid w:val="00EA3DF0"/>
    <w:rsid w:val="00EA45C6"/>
    <w:rsid w:val="00EA5145"/>
    <w:rsid w:val="00EA5223"/>
    <w:rsid w:val="00EB5BF5"/>
    <w:rsid w:val="00EC6164"/>
    <w:rsid w:val="00EC63BE"/>
    <w:rsid w:val="00ED07E9"/>
    <w:rsid w:val="00ED799A"/>
    <w:rsid w:val="00EE13AA"/>
    <w:rsid w:val="00EE2B34"/>
    <w:rsid w:val="00EE7113"/>
    <w:rsid w:val="00EF05EA"/>
    <w:rsid w:val="00EF3346"/>
    <w:rsid w:val="00EF53BE"/>
    <w:rsid w:val="00EF5A21"/>
    <w:rsid w:val="00F02AC7"/>
    <w:rsid w:val="00F04B03"/>
    <w:rsid w:val="00F1139C"/>
    <w:rsid w:val="00F14DEF"/>
    <w:rsid w:val="00F21554"/>
    <w:rsid w:val="00F21570"/>
    <w:rsid w:val="00F24AAE"/>
    <w:rsid w:val="00F25B51"/>
    <w:rsid w:val="00F27457"/>
    <w:rsid w:val="00F3012F"/>
    <w:rsid w:val="00F3208D"/>
    <w:rsid w:val="00F32FC8"/>
    <w:rsid w:val="00F3520D"/>
    <w:rsid w:val="00F37F1C"/>
    <w:rsid w:val="00F4392A"/>
    <w:rsid w:val="00F51862"/>
    <w:rsid w:val="00F52160"/>
    <w:rsid w:val="00F53C8C"/>
    <w:rsid w:val="00F55670"/>
    <w:rsid w:val="00F55DCE"/>
    <w:rsid w:val="00F55F8F"/>
    <w:rsid w:val="00F565AB"/>
    <w:rsid w:val="00F578FD"/>
    <w:rsid w:val="00F60532"/>
    <w:rsid w:val="00F63198"/>
    <w:rsid w:val="00F711DA"/>
    <w:rsid w:val="00F71DFD"/>
    <w:rsid w:val="00F744ED"/>
    <w:rsid w:val="00F778EE"/>
    <w:rsid w:val="00F821F1"/>
    <w:rsid w:val="00F83193"/>
    <w:rsid w:val="00F91330"/>
    <w:rsid w:val="00F96366"/>
    <w:rsid w:val="00FA228E"/>
    <w:rsid w:val="00FA4707"/>
    <w:rsid w:val="00FA600E"/>
    <w:rsid w:val="00FA7BBF"/>
    <w:rsid w:val="00FB2B25"/>
    <w:rsid w:val="00FB6193"/>
    <w:rsid w:val="00FB7505"/>
    <w:rsid w:val="00FC0D21"/>
    <w:rsid w:val="00FC450E"/>
    <w:rsid w:val="00FC5FF9"/>
    <w:rsid w:val="00FD0230"/>
    <w:rsid w:val="00FD1371"/>
    <w:rsid w:val="00FD320B"/>
    <w:rsid w:val="00FE10B3"/>
    <w:rsid w:val="00FE19F0"/>
    <w:rsid w:val="00FE6D09"/>
    <w:rsid w:val="00FF3396"/>
    <w:rsid w:val="00FF559D"/>
    <w:rsid w:val="00FF6FFB"/>
    <w:rsid w:val="01223B82"/>
    <w:rsid w:val="016F1D40"/>
    <w:rsid w:val="03E33DD9"/>
    <w:rsid w:val="176C72F7"/>
    <w:rsid w:val="17D50F45"/>
    <w:rsid w:val="18973A8F"/>
    <w:rsid w:val="272B250C"/>
    <w:rsid w:val="31E242B8"/>
    <w:rsid w:val="346D7BCB"/>
    <w:rsid w:val="3658101D"/>
    <w:rsid w:val="3E98676B"/>
    <w:rsid w:val="4B931DE9"/>
    <w:rsid w:val="50BE55B0"/>
    <w:rsid w:val="59A61CD2"/>
    <w:rsid w:val="5B1332C5"/>
    <w:rsid w:val="5FB2527F"/>
    <w:rsid w:val="63011BB9"/>
    <w:rsid w:val="6B0C2D7F"/>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AF3E26"/>
  <w15:docId w15:val="{5542456A-B70D-4082-B606-66C480BF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11"/>
    <w:uiPriority w:val="99"/>
    <w:pPr>
      <w:jc w:val="left"/>
    </w:pPr>
  </w:style>
  <w:style w:type="paragraph" w:styleId="a6">
    <w:name w:val="Document Map"/>
    <w:basedOn w:val="a"/>
    <w:link w:val="a7"/>
    <w:uiPriority w:val="99"/>
    <w:unhideWhenUsed/>
    <w:rPr>
      <w:rFonts w:ascii="宋体" w:hAnsi="Calibri"/>
      <w:kern w:val="0"/>
      <w:sz w:val="18"/>
      <w:szCs w:val="18"/>
    </w:rPr>
  </w:style>
  <w:style w:type="paragraph" w:styleId="a8">
    <w:name w:val="Body Text Indent"/>
    <w:basedOn w:val="a"/>
    <w:link w:val="a9"/>
    <w:pPr>
      <w:autoSpaceDE w:val="0"/>
      <w:autoSpaceDN w:val="0"/>
      <w:adjustRightInd w:val="0"/>
      <w:spacing w:line="360" w:lineRule="auto"/>
      <w:ind w:firstLineChars="199" w:firstLine="478"/>
    </w:pPr>
    <w:rPr>
      <w:rFonts w:ascii="宋体" w:hAnsi="宋体"/>
      <w:kern w:val="0"/>
      <w:sz w:val="24"/>
      <w:szCs w:val="21"/>
    </w:rPr>
  </w:style>
  <w:style w:type="paragraph" w:styleId="aa">
    <w:name w:val="Plain Text"/>
    <w:basedOn w:val="a"/>
    <w:link w:val="ab"/>
    <w:rPr>
      <w:rFonts w:ascii="宋体" w:hAnsi="Courier New"/>
      <w:szCs w:val="21"/>
    </w:rPr>
  </w:style>
  <w:style w:type="paragraph" w:styleId="ac">
    <w:name w:val="Date"/>
    <w:basedOn w:val="a"/>
    <w:next w:val="a"/>
    <w:qFormat/>
    <w:pPr>
      <w:ind w:leftChars="2500" w:left="100"/>
    </w:pPr>
    <w:rPr>
      <w:rFonts w:ascii="宋体" w:hAnsi="宋体"/>
      <w:sz w:val="24"/>
    </w:rPr>
  </w:style>
  <w:style w:type="paragraph" w:styleId="20">
    <w:name w:val="Body Text Indent 2"/>
    <w:basedOn w:val="a"/>
    <w:link w:val="21"/>
    <w:pPr>
      <w:spacing w:before="60" w:after="60"/>
      <w:ind w:left="479"/>
    </w:pPr>
    <w:rPr>
      <w:rFonts w:ascii="宋体"/>
      <w:sz w:val="24"/>
    </w:rPr>
  </w:style>
  <w:style w:type="paragraph" w:styleId="ad">
    <w:name w:val="Balloon Text"/>
    <w:basedOn w:val="a"/>
    <w:link w:val="ae"/>
    <w:uiPriority w:val="99"/>
    <w:semiHidden/>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pPr>
      <w:tabs>
        <w:tab w:val="right" w:leader="hyphen" w:pos="8296"/>
      </w:tabs>
      <w:spacing w:line="360" w:lineRule="auto"/>
    </w:pPr>
    <w:rPr>
      <w:rFonts w:ascii="宋体" w:hAnsi="宋体"/>
      <w:sz w:val="24"/>
      <w:szCs w:val="24"/>
    </w:rPr>
  </w:style>
  <w:style w:type="character" w:styleId="af3">
    <w:name w:val="page number"/>
    <w:basedOn w:val="a0"/>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uiPriority w:val="99"/>
    <w:semiHidden/>
    <w:rPr>
      <w:sz w:val="21"/>
      <w:szCs w:val="21"/>
    </w:rPr>
  </w:style>
  <w:style w:type="character" w:customStyle="1" w:styleId="af2">
    <w:name w:val="页眉 字符"/>
    <w:link w:val="af1"/>
    <w:uiPriority w:val="99"/>
    <w:rPr>
      <w:kern w:val="2"/>
      <w:sz w:val="18"/>
      <w:szCs w:val="18"/>
    </w:rPr>
  </w:style>
  <w:style w:type="character" w:customStyle="1" w:styleId="DeltaViewInsertion">
    <w:name w:val="DeltaView Insertion"/>
    <w:rPr>
      <w:color w:val="0000FF"/>
      <w:spacing w:val="0"/>
      <w:u w:val="double"/>
    </w:rPr>
  </w:style>
  <w:style w:type="character" w:customStyle="1" w:styleId="21">
    <w:name w:val="正文文本缩进 2 字符"/>
    <w:link w:val="20"/>
    <w:rPr>
      <w:rFonts w:ascii="宋体"/>
      <w:kern w:val="2"/>
      <w:sz w:val="24"/>
    </w:rPr>
  </w:style>
  <w:style w:type="character" w:customStyle="1" w:styleId="ab">
    <w:name w:val="纯文本 字符"/>
    <w:link w:val="aa"/>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0">
    <w:name w:val="标题 1 字符"/>
    <w:link w:val="1"/>
    <w:uiPriority w:val="9"/>
    <w:rPr>
      <w:rFonts w:ascii="宋体" w:hAnsi="宋体"/>
      <w:b/>
      <w:color w:val="000000"/>
      <w:kern w:val="2"/>
      <w:sz w:val="24"/>
    </w:rPr>
  </w:style>
  <w:style w:type="character" w:customStyle="1" w:styleId="a5">
    <w:name w:val="批注主题 字符"/>
    <w:link w:val="a3"/>
    <w:uiPriority w:val="99"/>
    <w:semiHidden/>
    <w:rPr>
      <w:b/>
      <w:bCs/>
      <w:kern w:val="2"/>
      <w:sz w:val="21"/>
    </w:rPr>
  </w:style>
  <w:style w:type="character" w:customStyle="1" w:styleId="a7">
    <w:name w:val="文档结构图 字符"/>
    <w:link w:val="a6"/>
    <w:uiPriority w:val="99"/>
    <w:rPr>
      <w:rFonts w:ascii="宋体" w:hAnsi="Calibri"/>
      <w:sz w:val="18"/>
      <w:szCs w:val="18"/>
    </w:rPr>
  </w:style>
  <w:style w:type="character" w:customStyle="1" w:styleId="ae">
    <w:name w:val="批注框文本 字符"/>
    <w:link w:val="ad"/>
    <w:uiPriority w:val="99"/>
    <w:semiHidden/>
    <w:qFormat/>
    <w:rPr>
      <w:kern w:val="2"/>
      <w:sz w:val="18"/>
      <w:szCs w:val="18"/>
    </w:rPr>
  </w:style>
  <w:style w:type="character" w:customStyle="1" w:styleId="11">
    <w:name w:val="批注文字 字符1"/>
    <w:link w:val="a4"/>
    <w:uiPriority w:val="99"/>
    <w:qFormat/>
    <w:rPr>
      <w:kern w:val="2"/>
      <w:sz w:val="21"/>
    </w:rPr>
  </w:style>
  <w:style w:type="character" w:customStyle="1" w:styleId="a9">
    <w:name w:val="正文文本缩进 字符"/>
    <w:link w:val="a8"/>
    <w:qFormat/>
    <w:rPr>
      <w:rFonts w:ascii="宋体" w:hAnsi="宋体" w:cs="Arial"/>
      <w:sz w:val="24"/>
      <w:szCs w:val="21"/>
    </w:rPr>
  </w:style>
  <w:style w:type="character" w:customStyle="1" w:styleId="apple-style-span">
    <w:name w:val="apple-style-span"/>
  </w:style>
  <w:style w:type="character" w:customStyle="1" w:styleId="af0">
    <w:name w:val="页脚 字符"/>
    <w:link w:val="af"/>
    <w:uiPriority w:val="99"/>
    <w:qFormat/>
    <w:rPr>
      <w:kern w:val="2"/>
      <w:sz w:val="18"/>
      <w:szCs w:val="18"/>
    </w:rPr>
  </w:style>
  <w:style w:type="paragraph" w:customStyle="1" w:styleId="13">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styleId="af8">
    <w:name w:val="Revision"/>
    <w:hidden/>
    <w:uiPriority w:val="99"/>
    <w:semiHidden/>
    <w:rsid w:val="007B0DC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52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4C04C-2827-40FC-8003-24542790B3EC}">
  <ds:schemaRefs>
    <ds:schemaRef ds:uri="http://schemas.openxmlformats.org/officeDocument/2006/bibliography"/>
  </ds:schemaRefs>
</ds:datastoreItem>
</file>

<file path=customXml/itemProps3.xml><?xml version="1.0" encoding="utf-8"?>
<ds:datastoreItem xmlns:ds="http://schemas.openxmlformats.org/officeDocument/2006/customXml" ds:itemID="{76C6706F-E63C-471A-BA34-22261E0E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5085</Words>
  <Characters>28991</Characters>
  <Application>Microsoft Office Word</Application>
  <DocSecurity>0</DocSecurity>
  <Lines>241</Lines>
  <Paragraphs>68</Paragraphs>
  <ScaleCrop>false</ScaleCrop>
  <Company/>
  <LinksUpToDate>false</LinksUpToDate>
  <CharactersWithSpaces>34008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陈晓倩</dc:creator>
  <cp:lastModifiedBy>陈晓倩</cp:lastModifiedBy>
  <cp:revision>4</cp:revision>
  <cp:lastPrinted>2020-09-04T06:08:00Z</cp:lastPrinted>
  <dcterms:created xsi:type="dcterms:W3CDTF">2020-10-15T01:05:00Z</dcterms:created>
  <dcterms:modified xsi:type="dcterms:W3CDTF">2020-10-15T01:15:00Z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