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483BE" w14:textId="77777777" w:rsidR="006E1A20" w:rsidRPr="000532ED" w:rsidRDefault="000E02E2">
      <w:pPr>
        <w:spacing w:line="520" w:lineRule="exact"/>
        <w:jc w:val="right"/>
        <w:rPr>
          <w:rFonts w:ascii="宋体" w:hAnsi="宋体"/>
          <w:sz w:val="28"/>
          <w:szCs w:val="28"/>
          <w14:shadow w14:blurRad="0" w14:dist="0" w14:dir="0" w14:sx="100000" w14:sy="100000" w14:kx="0" w14:ky="0" w14:algn="none">
            <w14:srgbClr w14:val="808080"/>
          </w14:shadow>
        </w:rPr>
      </w:pPr>
      <w:r w:rsidRPr="000532ED">
        <w:rPr>
          <w:rFonts w:ascii="宋体" w:hint="eastAsia"/>
          <w:sz w:val="24"/>
          <w:szCs w:val="28"/>
        </w:rPr>
        <w:t>编号：银【 】字/第【 】号</w:t>
      </w:r>
    </w:p>
    <w:p w14:paraId="25FF11E0" w14:textId="77777777" w:rsidR="006E1A20" w:rsidRPr="000532ED" w:rsidRDefault="000E02E2">
      <w:pPr>
        <w:spacing w:line="520" w:lineRule="exact"/>
        <w:jc w:val="center"/>
        <w:rPr>
          <w:rFonts w:ascii="宋体" w:hAnsi="宋体"/>
          <w:sz w:val="28"/>
          <w:szCs w:val="28"/>
          <w14:shadow w14:blurRad="0" w14:dist="0" w14:dir="0" w14:sx="100000" w14:sy="100000" w14:kx="0" w14:ky="0" w14:algn="none">
            <w14:srgbClr w14:val="808080"/>
          </w14:shadow>
        </w:rPr>
      </w:pPr>
      <w:r w:rsidRPr="000532ED">
        <w:rPr>
          <w:rFonts w:ascii="宋体" w:hAnsi="宋体" w:hint="eastAsia"/>
          <w:szCs w:val="28"/>
        </w:rPr>
        <w:t xml:space="preserve">                             </w:t>
      </w:r>
    </w:p>
    <w:p w14:paraId="455D8FF9" w14:textId="77777777" w:rsidR="006E1A20" w:rsidRPr="000532ED" w:rsidRDefault="006E1A20">
      <w:pPr>
        <w:spacing w:line="520" w:lineRule="exact"/>
        <w:jc w:val="center"/>
        <w:rPr>
          <w:rFonts w:ascii="宋体" w:hAnsi="宋体"/>
          <w:sz w:val="28"/>
          <w:szCs w:val="28"/>
          <w14:shadow w14:blurRad="0" w14:dist="0" w14:dir="0" w14:sx="100000" w14:sy="100000" w14:kx="0" w14:ky="0" w14:algn="none">
            <w14:srgbClr w14:val="808080"/>
          </w14:shadow>
        </w:rPr>
      </w:pPr>
    </w:p>
    <w:p w14:paraId="316915E1" w14:textId="77777777" w:rsidR="006E1A20" w:rsidRPr="000532ED" w:rsidRDefault="006E1A20">
      <w:pPr>
        <w:spacing w:line="520" w:lineRule="exact"/>
        <w:jc w:val="center"/>
        <w:rPr>
          <w:rFonts w:ascii="宋体" w:hAnsi="宋体"/>
          <w:sz w:val="28"/>
          <w:szCs w:val="28"/>
          <w14:shadow w14:blurRad="0" w14:dist="0" w14:dir="0" w14:sx="100000" w14:sy="100000" w14:kx="0" w14:ky="0" w14:algn="none">
            <w14:srgbClr w14:val="808080"/>
          </w14:shadow>
        </w:rPr>
      </w:pPr>
    </w:p>
    <w:p w14:paraId="27792B16" w14:textId="77777777" w:rsidR="006E1A20" w:rsidRPr="000532ED" w:rsidRDefault="006E1A20">
      <w:pPr>
        <w:spacing w:line="520" w:lineRule="exact"/>
        <w:jc w:val="center"/>
        <w:rPr>
          <w:rFonts w:ascii="宋体" w:hAnsi="宋体"/>
          <w:sz w:val="28"/>
          <w:szCs w:val="28"/>
          <w14:shadow w14:blurRad="0" w14:dist="0" w14:dir="0" w14:sx="100000" w14:sy="100000" w14:kx="0" w14:ky="0" w14:algn="none">
            <w14:srgbClr w14:val="808080"/>
          </w14:shadow>
        </w:rPr>
      </w:pPr>
    </w:p>
    <w:p w14:paraId="6E76B65E" w14:textId="77777777" w:rsidR="006E1A20" w:rsidRPr="000532ED" w:rsidRDefault="006E1A20">
      <w:pPr>
        <w:spacing w:line="520" w:lineRule="exact"/>
        <w:jc w:val="center"/>
        <w:rPr>
          <w:rFonts w:ascii="宋体" w:hAnsi="宋体"/>
          <w:sz w:val="28"/>
          <w:szCs w:val="28"/>
          <w14:shadow w14:blurRad="0" w14:dist="0" w14:dir="0" w14:sx="100000" w14:sy="100000" w14:kx="0" w14:ky="0" w14:algn="none">
            <w14:srgbClr w14:val="808080"/>
          </w14:shadow>
        </w:rPr>
      </w:pPr>
    </w:p>
    <w:p w14:paraId="5B3F2A02" w14:textId="77777777" w:rsidR="004F25D5" w:rsidRPr="000532ED" w:rsidRDefault="000E02E2">
      <w:pPr>
        <w:spacing w:line="360" w:lineRule="auto"/>
        <w:jc w:val="center"/>
        <w:rPr>
          <w:b/>
          <w:sz w:val="48"/>
        </w:rPr>
      </w:pPr>
      <w:bookmarkStart w:id="0" w:name="_Toc139991724"/>
      <w:bookmarkStart w:id="1" w:name="_Toc123112222"/>
      <w:bookmarkStart w:id="2" w:name="_Toc123701381"/>
      <w:bookmarkStart w:id="3" w:name="_Toc123112261"/>
      <w:bookmarkStart w:id="4" w:name="_Toc139992299"/>
      <w:r w:rsidRPr="000532ED">
        <w:rPr>
          <w:rFonts w:hint="eastAsia"/>
          <w:b/>
          <w:sz w:val="48"/>
        </w:rPr>
        <w:t>易方达悦信一年持有期混合型</w:t>
      </w:r>
    </w:p>
    <w:p w14:paraId="213B844B" w14:textId="77777777" w:rsidR="006E1A20" w:rsidRPr="000532ED" w:rsidRDefault="000E02E2">
      <w:pPr>
        <w:spacing w:line="360" w:lineRule="auto"/>
        <w:jc w:val="center"/>
        <w:rPr>
          <w:rFonts w:ascii="宋体" w:hAnsi="宋体"/>
          <w:b/>
          <w:sz w:val="48"/>
        </w:rPr>
      </w:pPr>
      <w:r w:rsidRPr="000532ED">
        <w:rPr>
          <w:rFonts w:ascii="宋体" w:hAnsi="宋体" w:hint="eastAsia"/>
          <w:b/>
          <w:sz w:val="48"/>
        </w:rPr>
        <w:t>证券投资基金</w:t>
      </w:r>
      <w:bookmarkEnd w:id="0"/>
      <w:bookmarkEnd w:id="1"/>
      <w:bookmarkEnd w:id="2"/>
      <w:bookmarkEnd w:id="3"/>
      <w:bookmarkEnd w:id="4"/>
      <w:r w:rsidRPr="000532ED">
        <w:rPr>
          <w:rFonts w:ascii="宋体" w:hAnsi="宋体" w:hint="eastAsia"/>
          <w:b/>
          <w:sz w:val="48"/>
        </w:rPr>
        <w:t>托管协议</w:t>
      </w:r>
    </w:p>
    <w:p w14:paraId="17F157F5" w14:textId="77777777" w:rsidR="00615363" w:rsidRPr="000532ED" w:rsidRDefault="00615363">
      <w:pPr>
        <w:pStyle w:val="20"/>
        <w:spacing w:line="520" w:lineRule="exact"/>
        <w:ind w:firstLine="560"/>
        <w:rPr>
          <w:rFonts w:hAnsi="宋体"/>
          <w:sz w:val="32"/>
          <w:szCs w:val="80"/>
        </w:rPr>
      </w:pPr>
    </w:p>
    <w:p w14:paraId="20C8070E" w14:textId="77777777" w:rsidR="00615363" w:rsidRPr="000532ED" w:rsidRDefault="00615363">
      <w:pPr>
        <w:pStyle w:val="20"/>
        <w:spacing w:line="520" w:lineRule="exact"/>
        <w:ind w:firstLine="560"/>
        <w:rPr>
          <w:rFonts w:hAnsi="宋体"/>
          <w:sz w:val="32"/>
          <w:szCs w:val="80"/>
        </w:rPr>
      </w:pPr>
    </w:p>
    <w:p w14:paraId="25D67976" w14:textId="77777777" w:rsidR="006E1A20" w:rsidRPr="000532ED" w:rsidRDefault="006E1A20">
      <w:pPr>
        <w:pStyle w:val="20"/>
        <w:spacing w:line="520" w:lineRule="exact"/>
        <w:ind w:firstLine="560"/>
        <w:rPr>
          <w:rFonts w:hAnsi="宋体"/>
          <w:sz w:val="28"/>
          <w:szCs w:val="28"/>
        </w:rPr>
      </w:pPr>
    </w:p>
    <w:p w14:paraId="2FFE619A" w14:textId="77777777" w:rsidR="006E1A20" w:rsidRPr="000532ED" w:rsidRDefault="006E1A20">
      <w:pPr>
        <w:pStyle w:val="20"/>
        <w:spacing w:line="520" w:lineRule="exact"/>
        <w:ind w:firstLine="560"/>
        <w:rPr>
          <w:rFonts w:hAnsi="宋体"/>
          <w:sz w:val="28"/>
          <w:szCs w:val="28"/>
        </w:rPr>
      </w:pPr>
    </w:p>
    <w:p w14:paraId="686F0E36" w14:textId="77777777" w:rsidR="00615363" w:rsidRPr="000532ED" w:rsidRDefault="00615363">
      <w:pPr>
        <w:pStyle w:val="20"/>
        <w:spacing w:line="520" w:lineRule="exact"/>
        <w:ind w:firstLine="560"/>
        <w:rPr>
          <w:rFonts w:hAnsi="宋体"/>
          <w:sz w:val="28"/>
          <w:szCs w:val="28"/>
        </w:rPr>
      </w:pPr>
    </w:p>
    <w:p w14:paraId="07811CAB" w14:textId="77777777" w:rsidR="00615363" w:rsidRPr="000532ED" w:rsidRDefault="00615363">
      <w:pPr>
        <w:pStyle w:val="20"/>
        <w:spacing w:line="520" w:lineRule="exact"/>
        <w:ind w:firstLine="560"/>
        <w:rPr>
          <w:rFonts w:hAnsi="宋体"/>
          <w:sz w:val="28"/>
          <w:szCs w:val="28"/>
        </w:rPr>
      </w:pPr>
    </w:p>
    <w:p w14:paraId="7F357793" w14:textId="77777777" w:rsidR="00615363" w:rsidRPr="000532ED" w:rsidRDefault="00615363">
      <w:pPr>
        <w:pStyle w:val="20"/>
        <w:spacing w:line="520" w:lineRule="exact"/>
        <w:ind w:firstLine="560"/>
        <w:rPr>
          <w:rFonts w:hAnsi="宋体"/>
          <w:sz w:val="28"/>
          <w:szCs w:val="28"/>
        </w:rPr>
      </w:pPr>
    </w:p>
    <w:p w14:paraId="4CF30EF3" w14:textId="77777777" w:rsidR="006E1A20" w:rsidRPr="000532ED" w:rsidRDefault="006E1A20">
      <w:pPr>
        <w:pStyle w:val="20"/>
        <w:spacing w:line="520" w:lineRule="exact"/>
        <w:ind w:firstLine="560"/>
        <w:rPr>
          <w:rFonts w:hAnsi="宋体"/>
          <w:sz w:val="28"/>
          <w:szCs w:val="28"/>
        </w:rPr>
      </w:pPr>
    </w:p>
    <w:p w14:paraId="239152BD" w14:textId="77777777" w:rsidR="006E1A20" w:rsidRPr="000532ED" w:rsidRDefault="006E1A20">
      <w:pPr>
        <w:pStyle w:val="20"/>
        <w:spacing w:line="520" w:lineRule="exact"/>
        <w:ind w:firstLine="560"/>
        <w:rPr>
          <w:rFonts w:hAnsi="宋体"/>
          <w:sz w:val="28"/>
          <w:szCs w:val="28"/>
        </w:rPr>
      </w:pPr>
    </w:p>
    <w:p w14:paraId="191FDF59" w14:textId="77777777" w:rsidR="006E1A20" w:rsidRPr="000532ED" w:rsidRDefault="000E02E2">
      <w:pPr>
        <w:spacing w:line="360" w:lineRule="auto"/>
        <w:jc w:val="center"/>
        <w:rPr>
          <w:rFonts w:ascii="宋体" w:hAnsi="宋体"/>
          <w:b/>
          <w:sz w:val="36"/>
        </w:rPr>
      </w:pPr>
      <w:bookmarkStart w:id="5" w:name="_Toc123112263"/>
      <w:bookmarkStart w:id="6" w:name="_Toc139992301"/>
      <w:bookmarkStart w:id="7" w:name="_Toc123701383"/>
      <w:bookmarkStart w:id="8" w:name="_Toc123112224"/>
      <w:bookmarkStart w:id="9" w:name="_Toc139991726"/>
      <w:r w:rsidRPr="000532ED">
        <w:rPr>
          <w:rFonts w:ascii="宋体" w:hAnsi="宋体"/>
          <w:b/>
          <w:sz w:val="36"/>
        </w:rPr>
        <w:t>基金管理人：</w:t>
      </w:r>
      <w:bookmarkEnd w:id="5"/>
      <w:bookmarkEnd w:id="6"/>
      <w:bookmarkEnd w:id="7"/>
      <w:bookmarkEnd w:id="8"/>
      <w:bookmarkEnd w:id="9"/>
      <w:r w:rsidRPr="000532ED">
        <w:rPr>
          <w:rFonts w:ascii="宋体" w:hAnsi="宋体" w:hint="eastAsia"/>
          <w:b/>
          <w:sz w:val="36"/>
        </w:rPr>
        <w:t>易方达基金管理有限公司</w:t>
      </w:r>
    </w:p>
    <w:p w14:paraId="76C82621" w14:textId="77777777" w:rsidR="006E1A20" w:rsidRPr="000532ED" w:rsidRDefault="000E02E2">
      <w:pPr>
        <w:spacing w:line="360" w:lineRule="auto"/>
        <w:jc w:val="center"/>
        <w:rPr>
          <w:rFonts w:ascii="宋体" w:hAnsi="宋体"/>
          <w:b/>
          <w:sz w:val="36"/>
        </w:rPr>
      </w:pPr>
      <w:bookmarkStart w:id="10" w:name="_Toc123701384"/>
      <w:bookmarkStart w:id="11" w:name="_Toc139991727"/>
      <w:bookmarkStart w:id="12" w:name="_Toc139992302"/>
      <w:bookmarkStart w:id="13" w:name="_Toc123112225"/>
      <w:bookmarkStart w:id="14" w:name="_Toc123112264"/>
      <w:r w:rsidRPr="000532ED">
        <w:rPr>
          <w:rFonts w:ascii="宋体" w:hAnsi="宋体"/>
          <w:b/>
          <w:sz w:val="36"/>
        </w:rPr>
        <w:t>基金托管人：</w:t>
      </w:r>
      <w:r w:rsidRPr="000532ED">
        <w:rPr>
          <w:rFonts w:ascii="宋体" w:hAnsi="宋体" w:hint="eastAsia"/>
          <w:b/>
          <w:sz w:val="36"/>
        </w:rPr>
        <w:t>中信银行股份有限公司</w:t>
      </w:r>
      <w:bookmarkEnd w:id="10"/>
      <w:bookmarkEnd w:id="11"/>
      <w:bookmarkEnd w:id="12"/>
      <w:bookmarkEnd w:id="13"/>
      <w:bookmarkEnd w:id="14"/>
    </w:p>
    <w:p w14:paraId="7CC43D71" w14:textId="471813F6" w:rsidR="006E1A20" w:rsidRPr="000532ED" w:rsidRDefault="00615363" w:rsidP="000532ED">
      <w:pPr>
        <w:spacing w:line="360" w:lineRule="auto"/>
        <w:jc w:val="center"/>
        <w:rPr>
          <w:rFonts w:ascii="宋体" w:hAnsi="宋体"/>
          <w:b/>
          <w:szCs w:val="28"/>
        </w:rPr>
      </w:pPr>
      <w:r w:rsidRPr="000532ED">
        <w:rPr>
          <w:rFonts w:ascii="宋体" w:hAnsi="宋体"/>
          <w:b/>
          <w:bCs/>
          <w:noProof/>
          <w:sz w:val="28"/>
          <w:szCs w:val="28"/>
        </w:rPr>
        <w:drawing>
          <wp:anchor distT="0" distB="0" distL="114300" distR="114300" simplePos="0" relativeHeight="251659264" behindDoc="0" locked="0" layoutInCell="1" allowOverlap="1" wp14:anchorId="773C86B1" wp14:editId="20B29397">
            <wp:simplePos x="0" y="0"/>
            <wp:positionH relativeFrom="margin">
              <wp:posOffset>1819275</wp:posOffset>
            </wp:positionH>
            <wp:positionV relativeFrom="margin">
              <wp:posOffset>7672070</wp:posOffset>
            </wp:positionV>
            <wp:extent cx="1800225" cy="644525"/>
            <wp:effectExtent l="0" t="0" r="9525" b="3175"/>
            <wp:wrapSquare wrapText="bothSides"/>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4" cstate="print"/>
                    <a:srcRect/>
                    <a:stretch/>
                  </pic:blipFill>
                  <pic:spPr>
                    <a:xfrm>
                      <a:off x="0" y="0"/>
                      <a:ext cx="1800225" cy="644525"/>
                    </a:xfrm>
                    <a:prstGeom prst="rect">
                      <a:avLst/>
                    </a:prstGeom>
                  </pic:spPr>
                </pic:pic>
              </a:graphicData>
            </a:graphic>
            <wp14:sizeRelH relativeFrom="page">
              <wp14:pctWidth>0</wp14:pctWidth>
            </wp14:sizeRelH>
            <wp14:sizeRelV relativeFrom="page">
              <wp14:pctHeight>0</wp14:pctHeight>
            </wp14:sizeRelV>
          </wp:anchor>
        </w:drawing>
      </w:r>
    </w:p>
    <w:p w14:paraId="0F761842" w14:textId="77777777" w:rsidR="006E1A20" w:rsidRPr="000532ED" w:rsidRDefault="006E1A20">
      <w:pPr>
        <w:spacing w:line="360" w:lineRule="auto"/>
        <w:ind w:firstLineChars="200" w:firstLine="562"/>
        <w:jc w:val="center"/>
        <w:rPr>
          <w:rFonts w:ascii="宋体" w:hAnsi="宋体"/>
          <w:b/>
          <w:bCs/>
          <w:sz w:val="28"/>
          <w:szCs w:val="28"/>
        </w:rPr>
      </w:pPr>
    </w:p>
    <w:p w14:paraId="408D475C" w14:textId="07C9974B" w:rsidR="006E1A20" w:rsidRPr="000532ED" w:rsidRDefault="006E1A20">
      <w:pPr>
        <w:spacing w:line="360" w:lineRule="auto"/>
        <w:ind w:firstLineChars="200" w:firstLine="562"/>
        <w:jc w:val="center"/>
        <w:rPr>
          <w:rFonts w:ascii="宋体" w:hAnsi="宋体"/>
          <w:b/>
          <w:bCs/>
          <w:sz w:val="28"/>
          <w:szCs w:val="28"/>
        </w:rPr>
      </w:pPr>
    </w:p>
    <w:p w14:paraId="41395018" w14:textId="77777777" w:rsidR="00615363" w:rsidRPr="000532ED" w:rsidRDefault="00615363" w:rsidP="000532ED">
      <w:pPr>
        <w:spacing w:line="360" w:lineRule="auto"/>
        <w:jc w:val="center"/>
        <w:rPr>
          <w:rFonts w:ascii="宋体" w:hAnsi="宋体"/>
          <w:b/>
          <w:bCs/>
          <w:sz w:val="32"/>
          <w:szCs w:val="32"/>
        </w:rPr>
      </w:pPr>
    </w:p>
    <w:p w14:paraId="4C010343" w14:textId="53046E5B" w:rsidR="00615363" w:rsidRPr="000532ED" w:rsidRDefault="00615363" w:rsidP="000532ED">
      <w:pPr>
        <w:spacing w:line="360" w:lineRule="auto"/>
        <w:jc w:val="center"/>
        <w:rPr>
          <w:rFonts w:ascii="宋体" w:hAnsi="宋体"/>
          <w:b/>
          <w:bCs/>
          <w:sz w:val="32"/>
          <w:szCs w:val="32"/>
        </w:rPr>
      </w:pPr>
      <w:r w:rsidRPr="000532ED">
        <w:rPr>
          <w:rFonts w:ascii="宋体" w:hAnsi="宋体" w:hint="eastAsia"/>
          <w:b/>
          <w:bCs/>
          <w:sz w:val="32"/>
          <w:szCs w:val="32"/>
        </w:rPr>
        <w:t>二〇二一</w:t>
      </w:r>
      <w:r w:rsidRPr="000532ED">
        <w:rPr>
          <w:rFonts w:ascii="宋体" w:hAnsi="宋体"/>
          <w:b/>
          <w:bCs/>
          <w:sz w:val="32"/>
          <w:szCs w:val="32"/>
        </w:rPr>
        <w:t>年三月</w:t>
      </w:r>
    </w:p>
    <w:p w14:paraId="5E47E6C2" w14:textId="01C2AB8C" w:rsidR="006E1A20" w:rsidRPr="000532ED" w:rsidRDefault="000E02E2">
      <w:pPr>
        <w:spacing w:line="360" w:lineRule="auto"/>
        <w:ind w:firstLineChars="200" w:firstLine="562"/>
        <w:jc w:val="center"/>
        <w:rPr>
          <w:rFonts w:ascii="宋体" w:hAnsi="宋体"/>
          <w:b/>
          <w:bCs/>
          <w:sz w:val="28"/>
          <w:szCs w:val="28"/>
        </w:rPr>
      </w:pPr>
      <w:r w:rsidRPr="000532ED">
        <w:rPr>
          <w:rFonts w:ascii="宋体" w:hAnsi="宋体" w:hint="eastAsia"/>
          <w:b/>
          <w:bCs/>
          <w:sz w:val="28"/>
          <w:szCs w:val="28"/>
        </w:rPr>
        <w:br w:type="page"/>
      </w:r>
    </w:p>
    <w:p w14:paraId="076C92F9" w14:textId="77777777" w:rsidR="006E1A20" w:rsidRPr="000532ED" w:rsidRDefault="006E1A20">
      <w:pPr>
        <w:spacing w:line="360" w:lineRule="auto"/>
        <w:rPr>
          <w:rFonts w:ascii="宋体" w:hAnsi="宋体"/>
          <w:b/>
          <w:bCs/>
          <w:sz w:val="28"/>
          <w:szCs w:val="28"/>
        </w:rPr>
      </w:pPr>
    </w:p>
    <w:p w14:paraId="6B4EFC8C" w14:textId="77777777" w:rsidR="006E1A20" w:rsidRPr="000532ED" w:rsidRDefault="000E02E2">
      <w:pPr>
        <w:spacing w:line="360" w:lineRule="auto"/>
        <w:jc w:val="center"/>
        <w:rPr>
          <w:rFonts w:ascii="宋体" w:hAnsi="宋体"/>
          <w:b/>
          <w:bCs/>
          <w:sz w:val="28"/>
          <w:szCs w:val="28"/>
        </w:rPr>
      </w:pPr>
      <w:r w:rsidRPr="000532ED">
        <w:rPr>
          <w:rFonts w:ascii="宋体" w:hAnsi="宋体" w:hint="eastAsia"/>
          <w:b/>
          <w:bCs/>
          <w:sz w:val="28"/>
          <w:szCs w:val="28"/>
        </w:rPr>
        <w:t>目录</w:t>
      </w:r>
    </w:p>
    <w:p w14:paraId="503B7980" w14:textId="77777777" w:rsidR="006E1A20" w:rsidRPr="000532ED" w:rsidRDefault="006E1A20">
      <w:pPr>
        <w:spacing w:line="360" w:lineRule="auto"/>
        <w:ind w:firstLineChars="200" w:firstLine="562"/>
        <w:jc w:val="center"/>
        <w:rPr>
          <w:rFonts w:ascii="宋体" w:hAnsi="宋体"/>
          <w:b/>
          <w:bCs/>
          <w:sz w:val="28"/>
          <w:szCs w:val="28"/>
        </w:rPr>
      </w:pPr>
    </w:p>
    <w:p w14:paraId="14B0FA0C" w14:textId="77777777" w:rsidR="006E1A20" w:rsidRPr="000532ED" w:rsidRDefault="000E02E2">
      <w:pPr>
        <w:pStyle w:val="10"/>
        <w:rPr>
          <w:rFonts w:ascii="Calibri" w:hAnsi="Calibri" w:cs="宋体"/>
          <w:noProof/>
          <w:sz w:val="21"/>
          <w:szCs w:val="22"/>
        </w:rPr>
      </w:pPr>
      <w:r w:rsidRPr="000532ED">
        <w:rPr>
          <w:b/>
          <w:sz w:val="28"/>
          <w:szCs w:val="28"/>
        </w:rPr>
        <w:fldChar w:fldCharType="begin"/>
      </w:r>
      <w:r w:rsidRPr="000532ED">
        <w:rPr>
          <w:b/>
          <w:sz w:val="28"/>
          <w:szCs w:val="28"/>
        </w:rPr>
        <w:instrText xml:space="preserve"> </w:instrText>
      </w:r>
      <w:r w:rsidRPr="000532ED">
        <w:rPr>
          <w:rFonts w:hint="eastAsia"/>
          <w:b/>
          <w:sz w:val="28"/>
          <w:szCs w:val="28"/>
        </w:rPr>
        <w:instrText>TOC \o "1-1" \h \z \u</w:instrText>
      </w:r>
      <w:r w:rsidRPr="000532ED">
        <w:rPr>
          <w:b/>
          <w:sz w:val="28"/>
          <w:szCs w:val="28"/>
        </w:rPr>
        <w:instrText xml:space="preserve"> </w:instrText>
      </w:r>
      <w:r w:rsidRPr="000532ED">
        <w:rPr>
          <w:b/>
          <w:sz w:val="28"/>
          <w:szCs w:val="28"/>
        </w:rPr>
        <w:fldChar w:fldCharType="separate"/>
      </w:r>
      <w:hyperlink w:anchor="_Toc44321724" w:history="1">
        <w:r w:rsidRPr="000532ED">
          <w:rPr>
            <w:rStyle w:val="ae"/>
            <w:rFonts w:hint="eastAsia"/>
            <w:bCs/>
            <w:noProof/>
          </w:rPr>
          <w:t>第一条</w:t>
        </w:r>
        <w:r w:rsidRPr="000532ED">
          <w:rPr>
            <w:rStyle w:val="ae"/>
            <w:bCs/>
            <w:noProof/>
          </w:rPr>
          <w:t xml:space="preserve"> </w:t>
        </w:r>
        <w:r w:rsidRPr="000532ED">
          <w:rPr>
            <w:rStyle w:val="ae"/>
            <w:rFonts w:hint="eastAsia"/>
            <w:bCs/>
            <w:noProof/>
          </w:rPr>
          <w:t>本协议当事人</w:t>
        </w:r>
        <w:r w:rsidRPr="000532ED">
          <w:rPr>
            <w:noProof/>
            <w:webHidden/>
          </w:rPr>
          <w:tab/>
        </w:r>
        <w:r w:rsidRPr="000532ED">
          <w:rPr>
            <w:noProof/>
            <w:webHidden/>
          </w:rPr>
          <w:fldChar w:fldCharType="begin"/>
        </w:r>
        <w:r w:rsidRPr="000532ED">
          <w:rPr>
            <w:noProof/>
            <w:webHidden/>
          </w:rPr>
          <w:instrText xml:space="preserve"> PAGEREF _Toc44321724 \h </w:instrText>
        </w:r>
        <w:r w:rsidRPr="000532ED">
          <w:rPr>
            <w:noProof/>
            <w:webHidden/>
          </w:rPr>
        </w:r>
        <w:r w:rsidRPr="000532ED">
          <w:rPr>
            <w:noProof/>
            <w:webHidden/>
          </w:rPr>
          <w:fldChar w:fldCharType="separate"/>
        </w:r>
        <w:r w:rsidR="000532ED">
          <w:rPr>
            <w:noProof/>
            <w:webHidden/>
          </w:rPr>
          <w:t>3</w:t>
        </w:r>
        <w:r w:rsidRPr="000532ED">
          <w:rPr>
            <w:noProof/>
            <w:webHidden/>
          </w:rPr>
          <w:fldChar w:fldCharType="end"/>
        </w:r>
      </w:hyperlink>
    </w:p>
    <w:p w14:paraId="647549F7" w14:textId="77777777" w:rsidR="006E1A20" w:rsidRPr="000532ED" w:rsidRDefault="00ED77C4">
      <w:pPr>
        <w:pStyle w:val="10"/>
        <w:rPr>
          <w:rFonts w:ascii="Calibri" w:hAnsi="Calibri" w:cs="宋体"/>
          <w:noProof/>
          <w:sz w:val="21"/>
          <w:szCs w:val="22"/>
        </w:rPr>
      </w:pPr>
      <w:hyperlink w:anchor="_Toc44321725" w:history="1">
        <w:r w:rsidR="000E02E2" w:rsidRPr="000532ED">
          <w:rPr>
            <w:rStyle w:val="ae"/>
            <w:rFonts w:hint="eastAsia"/>
            <w:bCs/>
            <w:noProof/>
          </w:rPr>
          <w:t>第二条</w:t>
        </w:r>
        <w:r w:rsidR="000E02E2" w:rsidRPr="000532ED">
          <w:rPr>
            <w:rStyle w:val="ae"/>
            <w:bCs/>
            <w:noProof/>
          </w:rPr>
          <w:t xml:space="preserve"> </w:t>
        </w:r>
        <w:r w:rsidR="000E02E2" w:rsidRPr="000532ED">
          <w:rPr>
            <w:rStyle w:val="ae"/>
            <w:rFonts w:hint="eastAsia"/>
            <w:bCs/>
            <w:noProof/>
          </w:rPr>
          <w:t>本协议的依据、目的和原则</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_Toc44321725 \h </w:instrText>
        </w:r>
        <w:r w:rsidR="000E02E2" w:rsidRPr="000532ED">
          <w:rPr>
            <w:noProof/>
            <w:webHidden/>
          </w:rPr>
        </w:r>
        <w:r w:rsidR="000E02E2" w:rsidRPr="000532ED">
          <w:rPr>
            <w:noProof/>
            <w:webHidden/>
          </w:rPr>
          <w:fldChar w:fldCharType="separate"/>
        </w:r>
        <w:r w:rsidR="000532ED">
          <w:rPr>
            <w:noProof/>
            <w:webHidden/>
          </w:rPr>
          <w:t>3</w:t>
        </w:r>
        <w:r w:rsidR="000E02E2" w:rsidRPr="000532ED">
          <w:rPr>
            <w:noProof/>
            <w:webHidden/>
          </w:rPr>
          <w:fldChar w:fldCharType="end"/>
        </w:r>
      </w:hyperlink>
    </w:p>
    <w:p w14:paraId="02A37DFF" w14:textId="77777777" w:rsidR="006E1A20" w:rsidRPr="000532ED" w:rsidRDefault="00ED77C4">
      <w:pPr>
        <w:pStyle w:val="10"/>
        <w:rPr>
          <w:rFonts w:ascii="Calibri" w:hAnsi="Calibri" w:cs="宋体"/>
          <w:noProof/>
          <w:sz w:val="21"/>
          <w:szCs w:val="22"/>
        </w:rPr>
      </w:pPr>
      <w:hyperlink w:anchor="_Toc44321726" w:history="1">
        <w:r w:rsidR="000E02E2" w:rsidRPr="000532ED">
          <w:rPr>
            <w:rStyle w:val="ae"/>
            <w:rFonts w:hint="eastAsia"/>
            <w:bCs/>
            <w:noProof/>
          </w:rPr>
          <w:t>第三条</w:t>
        </w:r>
        <w:r w:rsidR="000E02E2" w:rsidRPr="000532ED">
          <w:rPr>
            <w:rStyle w:val="ae"/>
            <w:bCs/>
            <w:noProof/>
          </w:rPr>
          <w:t xml:space="preserve"> </w:t>
        </w:r>
        <w:r w:rsidR="000E02E2" w:rsidRPr="000532ED">
          <w:rPr>
            <w:rStyle w:val="ae"/>
            <w:rFonts w:hint="eastAsia"/>
            <w:bCs/>
            <w:noProof/>
          </w:rPr>
          <w:t>基金托管人对基金管理人的业务监督和核查</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_Toc44321726 \h </w:instrText>
        </w:r>
        <w:r w:rsidR="000E02E2" w:rsidRPr="000532ED">
          <w:rPr>
            <w:noProof/>
            <w:webHidden/>
          </w:rPr>
        </w:r>
        <w:r w:rsidR="000E02E2" w:rsidRPr="000532ED">
          <w:rPr>
            <w:noProof/>
            <w:webHidden/>
          </w:rPr>
          <w:fldChar w:fldCharType="separate"/>
        </w:r>
        <w:r w:rsidR="000532ED">
          <w:rPr>
            <w:noProof/>
            <w:webHidden/>
          </w:rPr>
          <w:t>4</w:t>
        </w:r>
        <w:r w:rsidR="000E02E2" w:rsidRPr="000532ED">
          <w:rPr>
            <w:noProof/>
            <w:webHidden/>
          </w:rPr>
          <w:fldChar w:fldCharType="end"/>
        </w:r>
      </w:hyperlink>
    </w:p>
    <w:p w14:paraId="55255D60" w14:textId="0ABB2D9F" w:rsidR="006E1A20" w:rsidRPr="000532ED" w:rsidRDefault="00ED77C4">
      <w:pPr>
        <w:pStyle w:val="10"/>
        <w:rPr>
          <w:rFonts w:ascii="Calibri" w:hAnsi="Calibri" w:cs="宋体"/>
          <w:noProof/>
          <w:sz w:val="21"/>
          <w:szCs w:val="22"/>
        </w:rPr>
      </w:pPr>
      <w:hyperlink w:anchor="_Toc44321727" w:history="1">
        <w:r w:rsidR="000E02E2" w:rsidRPr="000532ED">
          <w:rPr>
            <w:rStyle w:val="ae"/>
            <w:rFonts w:hint="eastAsia"/>
            <w:bCs/>
            <w:noProof/>
          </w:rPr>
          <w:t>第四条</w:t>
        </w:r>
        <w:r w:rsidR="000E02E2" w:rsidRPr="000532ED">
          <w:rPr>
            <w:rStyle w:val="ae"/>
            <w:bCs/>
            <w:noProof/>
          </w:rPr>
          <w:t xml:space="preserve"> </w:t>
        </w:r>
        <w:r w:rsidR="000E02E2" w:rsidRPr="000532ED">
          <w:rPr>
            <w:rStyle w:val="ae"/>
            <w:rFonts w:hint="eastAsia"/>
            <w:bCs/>
            <w:noProof/>
          </w:rPr>
          <w:t>基金管理人对基金托管人的业务核查</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_Toc44321727 \h </w:instrText>
        </w:r>
        <w:r w:rsidR="000E02E2" w:rsidRPr="000532ED">
          <w:rPr>
            <w:noProof/>
            <w:webHidden/>
          </w:rPr>
        </w:r>
        <w:r w:rsidR="000E02E2" w:rsidRPr="000532ED">
          <w:rPr>
            <w:noProof/>
            <w:webHidden/>
          </w:rPr>
          <w:fldChar w:fldCharType="separate"/>
        </w:r>
        <w:r w:rsidR="000532ED">
          <w:rPr>
            <w:noProof/>
            <w:webHidden/>
          </w:rPr>
          <w:t>13</w:t>
        </w:r>
        <w:r w:rsidR="000E02E2" w:rsidRPr="000532ED">
          <w:rPr>
            <w:noProof/>
            <w:webHidden/>
          </w:rPr>
          <w:fldChar w:fldCharType="end"/>
        </w:r>
      </w:hyperlink>
    </w:p>
    <w:p w14:paraId="157C1F7F" w14:textId="49D1D18D" w:rsidR="006E1A20" w:rsidRPr="000532ED" w:rsidRDefault="00ED77C4">
      <w:pPr>
        <w:pStyle w:val="10"/>
        <w:rPr>
          <w:rFonts w:ascii="Calibri" w:hAnsi="Calibri" w:cs="宋体"/>
          <w:noProof/>
          <w:sz w:val="21"/>
          <w:szCs w:val="22"/>
        </w:rPr>
      </w:pPr>
      <w:hyperlink w:anchor="_Toc44321728" w:history="1">
        <w:r w:rsidR="000E02E2" w:rsidRPr="000532ED">
          <w:rPr>
            <w:rStyle w:val="ae"/>
            <w:rFonts w:hint="eastAsia"/>
            <w:bCs/>
            <w:noProof/>
          </w:rPr>
          <w:t>第五条</w:t>
        </w:r>
        <w:r w:rsidR="000E02E2" w:rsidRPr="000532ED">
          <w:rPr>
            <w:rStyle w:val="ae"/>
            <w:bCs/>
            <w:noProof/>
          </w:rPr>
          <w:t xml:space="preserve"> </w:t>
        </w:r>
        <w:r w:rsidR="000E02E2" w:rsidRPr="000532ED">
          <w:rPr>
            <w:rStyle w:val="ae"/>
            <w:rFonts w:hint="eastAsia"/>
            <w:bCs/>
            <w:noProof/>
          </w:rPr>
          <w:t>基金财产保管</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_Toc44321728 \h </w:instrText>
        </w:r>
        <w:r w:rsidR="000E02E2" w:rsidRPr="000532ED">
          <w:rPr>
            <w:noProof/>
            <w:webHidden/>
          </w:rPr>
        </w:r>
        <w:r w:rsidR="000E02E2" w:rsidRPr="000532ED">
          <w:rPr>
            <w:noProof/>
            <w:webHidden/>
          </w:rPr>
          <w:fldChar w:fldCharType="separate"/>
        </w:r>
        <w:r w:rsidR="000532ED">
          <w:rPr>
            <w:noProof/>
            <w:webHidden/>
          </w:rPr>
          <w:t>14</w:t>
        </w:r>
        <w:r w:rsidR="000E02E2" w:rsidRPr="000532ED">
          <w:rPr>
            <w:noProof/>
            <w:webHidden/>
          </w:rPr>
          <w:fldChar w:fldCharType="end"/>
        </w:r>
      </w:hyperlink>
    </w:p>
    <w:p w14:paraId="55D0F9AB" w14:textId="77777777" w:rsidR="006E1A20" w:rsidRPr="000532ED" w:rsidRDefault="00ED77C4">
      <w:pPr>
        <w:pStyle w:val="10"/>
        <w:rPr>
          <w:rFonts w:ascii="Calibri" w:hAnsi="Calibri" w:cs="宋体"/>
          <w:noProof/>
          <w:sz w:val="21"/>
          <w:szCs w:val="22"/>
        </w:rPr>
      </w:pPr>
      <w:hyperlink w:anchor="_Toc44321729" w:history="1">
        <w:r w:rsidR="000E02E2" w:rsidRPr="000532ED">
          <w:rPr>
            <w:rStyle w:val="ae"/>
            <w:rFonts w:hint="eastAsia"/>
            <w:bCs/>
            <w:noProof/>
          </w:rPr>
          <w:t>第六条</w:t>
        </w:r>
        <w:r w:rsidR="000E02E2" w:rsidRPr="000532ED">
          <w:rPr>
            <w:rStyle w:val="ae"/>
            <w:bCs/>
            <w:noProof/>
          </w:rPr>
          <w:t xml:space="preserve"> </w:t>
        </w:r>
        <w:r w:rsidR="000E02E2" w:rsidRPr="000532ED">
          <w:rPr>
            <w:rStyle w:val="ae"/>
            <w:rFonts w:hint="eastAsia"/>
            <w:bCs/>
            <w:noProof/>
          </w:rPr>
          <w:t>指令的发送、确认和执行</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_Toc44321729 \h </w:instrText>
        </w:r>
        <w:r w:rsidR="000E02E2" w:rsidRPr="000532ED">
          <w:rPr>
            <w:noProof/>
            <w:webHidden/>
          </w:rPr>
        </w:r>
        <w:r w:rsidR="000E02E2" w:rsidRPr="000532ED">
          <w:rPr>
            <w:noProof/>
            <w:webHidden/>
          </w:rPr>
          <w:fldChar w:fldCharType="separate"/>
        </w:r>
        <w:r w:rsidR="000532ED">
          <w:rPr>
            <w:noProof/>
            <w:webHidden/>
          </w:rPr>
          <w:t>16</w:t>
        </w:r>
        <w:r w:rsidR="000E02E2" w:rsidRPr="000532ED">
          <w:rPr>
            <w:noProof/>
            <w:webHidden/>
          </w:rPr>
          <w:fldChar w:fldCharType="end"/>
        </w:r>
      </w:hyperlink>
    </w:p>
    <w:p w14:paraId="4D06E73E" w14:textId="1160EF2F" w:rsidR="006E1A20" w:rsidRPr="000532ED" w:rsidRDefault="00ED77C4">
      <w:pPr>
        <w:pStyle w:val="10"/>
        <w:rPr>
          <w:rFonts w:ascii="Calibri" w:hAnsi="Calibri" w:cs="宋体"/>
          <w:noProof/>
          <w:sz w:val="21"/>
          <w:szCs w:val="22"/>
        </w:rPr>
      </w:pPr>
      <w:hyperlink w:anchor="_Toc44321730" w:history="1">
        <w:r w:rsidR="000E02E2" w:rsidRPr="000532ED">
          <w:rPr>
            <w:rStyle w:val="ae"/>
            <w:rFonts w:hint="eastAsia"/>
            <w:bCs/>
            <w:noProof/>
          </w:rPr>
          <w:t>第七条</w:t>
        </w:r>
        <w:r w:rsidR="000E02E2" w:rsidRPr="000532ED">
          <w:rPr>
            <w:rStyle w:val="ae"/>
            <w:bCs/>
            <w:noProof/>
          </w:rPr>
          <w:t xml:space="preserve"> </w:t>
        </w:r>
        <w:r w:rsidR="000E02E2" w:rsidRPr="000532ED">
          <w:rPr>
            <w:rStyle w:val="ae"/>
            <w:rFonts w:hint="eastAsia"/>
            <w:bCs/>
            <w:noProof/>
          </w:rPr>
          <w:t>交易及清算交收安排</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_Toc44321730 \h </w:instrText>
        </w:r>
        <w:r w:rsidR="000E02E2" w:rsidRPr="000532ED">
          <w:rPr>
            <w:noProof/>
            <w:webHidden/>
          </w:rPr>
        </w:r>
        <w:r w:rsidR="000E02E2" w:rsidRPr="000532ED">
          <w:rPr>
            <w:noProof/>
            <w:webHidden/>
          </w:rPr>
          <w:fldChar w:fldCharType="separate"/>
        </w:r>
        <w:r w:rsidR="000532ED">
          <w:rPr>
            <w:noProof/>
            <w:webHidden/>
          </w:rPr>
          <w:t>19</w:t>
        </w:r>
        <w:r w:rsidR="000E02E2" w:rsidRPr="000532ED">
          <w:rPr>
            <w:noProof/>
            <w:webHidden/>
          </w:rPr>
          <w:fldChar w:fldCharType="end"/>
        </w:r>
      </w:hyperlink>
    </w:p>
    <w:p w14:paraId="1CE2125D" w14:textId="77777777" w:rsidR="006E1A20" w:rsidRPr="000532ED" w:rsidRDefault="00ED77C4">
      <w:pPr>
        <w:pStyle w:val="10"/>
        <w:rPr>
          <w:rFonts w:ascii="Calibri" w:hAnsi="Calibri" w:cs="宋体"/>
          <w:noProof/>
          <w:sz w:val="21"/>
          <w:szCs w:val="22"/>
        </w:rPr>
      </w:pPr>
      <w:hyperlink w:anchor="_Toc44321731" w:history="1">
        <w:r w:rsidR="000E02E2" w:rsidRPr="000532ED">
          <w:rPr>
            <w:rStyle w:val="ae"/>
            <w:rFonts w:hint="eastAsia"/>
            <w:bCs/>
            <w:noProof/>
          </w:rPr>
          <w:t>第八条</w:t>
        </w:r>
        <w:r w:rsidR="000E02E2" w:rsidRPr="000532ED">
          <w:rPr>
            <w:rStyle w:val="ae"/>
            <w:bCs/>
            <w:noProof/>
          </w:rPr>
          <w:t xml:space="preserve"> </w:t>
        </w:r>
        <w:r w:rsidR="000E02E2" w:rsidRPr="000532ED">
          <w:rPr>
            <w:rStyle w:val="ae"/>
            <w:rFonts w:hint="eastAsia"/>
            <w:bCs/>
            <w:noProof/>
          </w:rPr>
          <w:t>基金净值计算和会计核算</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_Toc44321731 \h </w:instrText>
        </w:r>
        <w:r w:rsidR="000E02E2" w:rsidRPr="000532ED">
          <w:rPr>
            <w:noProof/>
            <w:webHidden/>
          </w:rPr>
        </w:r>
        <w:r w:rsidR="000E02E2" w:rsidRPr="000532ED">
          <w:rPr>
            <w:noProof/>
            <w:webHidden/>
          </w:rPr>
          <w:fldChar w:fldCharType="separate"/>
        </w:r>
        <w:r w:rsidR="000532ED">
          <w:rPr>
            <w:noProof/>
            <w:webHidden/>
          </w:rPr>
          <w:t>21</w:t>
        </w:r>
        <w:r w:rsidR="000E02E2" w:rsidRPr="000532ED">
          <w:rPr>
            <w:noProof/>
            <w:webHidden/>
          </w:rPr>
          <w:fldChar w:fldCharType="end"/>
        </w:r>
      </w:hyperlink>
    </w:p>
    <w:p w14:paraId="27E72F49" w14:textId="77777777" w:rsidR="006E1A20" w:rsidRPr="000532ED" w:rsidRDefault="00ED77C4">
      <w:pPr>
        <w:pStyle w:val="10"/>
        <w:rPr>
          <w:rFonts w:ascii="Calibri" w:hAnsi="Calibri" w:cs="宋体"/>
          <w:noProof/>
          <w:sz w:val="21"/>
          <w:szCs w:val="22"/>
        </w:rPr>
      </w:pPr>
      <w:hyperlink w:anchor="_Toc44321732" w:history="1">
        <w:r w:rsidR="000E02E2" w:rsidRPr="000532ED">
          <w:rPr>
            <w:rStyle w:val="ae"/>
            <w:rFonts w:hint="eastAsia"/>
            <w:bCs/>
            <w:noProof/>
          </w:rPr>
          <w:t>第九条</w:t>
        </w:r>
        <w:r w:rsidR="000E02E2" w:rsidRPr="000532ED">
          <w:rPr>
            <w:rStyle w:val="ae"/>
            <w:bCs/>
            <w:noProof/>
          </w:rPr>
          <w:t xml:space="preserve"> </w:t>
        </w:r>
        <w:r w:rsidR="000E02E2" w:rsidRPr="000532ED">
          <w:rPr>
            <w:rStyle w:val="ae"/>
            <w:rFonts w:hint="eastAsia"/>
            <w:bCs/>
            <w:noProof/>
          </w:rPr>
          <w:t>基金收益分配</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_Toc44321732 \h </w:instrText>
        </w:r>
        <w:r w:rsidR="000E02E2" w:rsidRPr="000532ED">
          <w:rPr>
            <w:noProof/>
            <w:webHidden/>
          </w:rPr>
        </w:r>
        <w:r w:rsidR="000E02E2" w:rsidRPr="000532ED">
          <w:rPr>
            <w:noProof/>
            <w:webHidden/>
          </w:rPr>
          <w:fldChar w:fldCharType="separate"/>
        </w:r>
        <w:r w:rsidR="000532ED">
          <w:rPr>
            <w:noProof/>
            <w:webHidden/>
          </w:rPr>
          <w:t>27</w:t>
        </w:r>
        <w:r w:rsidR="000E02E2" w:rsidRPr="000532ED">
          <w:rPr>
            <w:noProof/>
            <w:webHidden/>
          </w:rPr>
          <w:fldChar w:fldCharType="end"/>
        </w:r>
      </w:hyperlink>
    </w:p>
    <w:p w14:paraId="6B0DD185" w14:textId="4EC49333" w:rsidR="006E1A20" w:rsidRPr="000532ED" w:rsidRDefault="00ED77C4">
      <w:pPr>
        <w:pStyle w:val="10"/>
        <w:rPr>
          <w:rFonts w:ascii="Calibri" w:hAnsi="Calibri" w:cs="宋体"/>
          <w:noProof/>
          <w:sz w:val="21"/>
          <w:szCs w:val="22"/>
        </w:rPr>
      </w:pPr>
      <w:hyperlink w:anchor="_Toc44321733" w:history="1">
        <w:r w:rsidR="000E02E2" w:rsidRPr="000532ED">
          <w:rPr>
            <w:rStyle w:val="ae"/>
            <w:rFonts w:hint="eastAsia"/>
            <w:bCs/>
            <w:noProof/>
          </w:rPr>
          <w:t>第十条</w:t>
        </w:r>
        <w:r w:rsidR="000E02E2" w:rsidRPr="000532ED">
          <w:rPr>
            <w:rStyle w:val="ae"/>
            <w:bCs/>
            <w:noProof/>
          </w:rPr>
          <w:t xml:space="preserve"> </w:t>
        </w:r>
        <w:r w:rsidR="000E02E2" w:rsidRPr="000532ED">
          <w:rPr>
            <w:rStyle w:val="ae"/>
            <w:rFonts w:hint="eastAsia"/>
            <w:bCs/>
            <w:noProof/>
          </w:rPr>
          <w:t>信息披露</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_Toc44321733 \h </w:instrText>
        </w:r>
        <w:r w:rsidR="000E02E2" w:rsidRPr="000532ED">
          <w:rPr>
            <w:noProof/>
            <w:webHidden/>
          </w:rPr>
        </w:r>
        <w:r w:rsidR="000E02E2" w:rsidRPr="000532ED">
          <w:rPr>
            <w:noProof/>
            <w:webHidden/>
          </w:rPr>
          <w:fldChar w:fldCharType="separate"/>
        </w:r>
        <w:r w:rsidR="000532ED">
          <w:rPr>
            <w:noProof/>
            <w:webHidden/>
          </w:rPr>
          <w:t>29</w:t>
        </w:r>
        <w:r w:rsidR="000E02E2" w:rsidRPr="000532ED">
          <w:rPr>
            <w:noProof/>
            <w:webHidden/>
          </w:rPr>
          <w:fldChar w:fldCharType="end"/>
        </w:r>
      </w:hyperlink>
    </w:p>
    <w:p w14:paraId="0C2BB888" w14:textId="77777777" w:rsidR="006E1A20" w:rsidRPr="000532ED" w:rsidRDefault="00ED77C4">
      <w:pPr>
        <w:pStyle w:val="10"/>
        <w:rPr>
          <w:rFonts w:ascii="Calibri" w:hAnsi="Calibri" w:cs="宋体"/>
          <w:noProof/>
          <w:sz w:val="21"/>
          <w:szCs w:val="22"/>
        </w:rPr>
      </w:pPr>
      <w:hyperlink w:anchor="_Toc44321734" w:history="1">
        <w:r w:rsidR="000E02E2" w:rsidRPr="000532ED">
          <w:rPr>
            <w:rStyle w:val="ae"/>
            <w:rFonts w:hint="eastAsia"/>
            <w:bCs/>
            <w:noProof/>
          </w:rPr>
          <w:t>第十一条</w:t>
        </w:r>
        <w:r w:rsidR="000E02E2" w:rsidRPr="000532ED">
          <w:rPr>
            <w:rStyle w:val="ae"/>
            <w:bCs/>
            <w:noProof/>
          </w:rPr>
          <w:t xml:space="preserve"> </w:t>
        </w:r>
        <w:r w:rsidR="000E02E2" w:rsidRPr="000532ED">
          <w:rPr>
            <w:rStyle w:val="ae"/>
            <w:rFonts w:hint="eastAsia"/>
            <w:bCs/>
            <w:noProof/>
          </w:rPr>
          <w:t>基金费用</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_Toc44321734 \h </w:instrText>
        </w:r>
        <w:r w:rsidR="000E02E2" w:rsidRPr="000532ED">
          <w:rPr>
            <w:noProof/>
            <w:webHidden/>
          </w:rPr>
        </w:r>
        <w:r w:rsidR="000E02E2" w:rsidRPr="000532ED">
          <w:rPr>
            <w:noProof/>
            <w:webHidden/>
          </w:rPr>
          <w:fldChar w:fldCharType="separate"/>
        </w:r>
        <w:r w:rsidR="000532ED">
          <w:rPr>
            <w:noProof/>
            <w:webHidden/>
          </w:rPr>
          <w:t>30</w:t>
        </w:r>
        <w:r w:rsidR="000E02E2" w:rsidRPr="000532ED">
          <w:rPr>
            <w:noProof/>
            <w:webHidden/>
          </w:rPr>
          <w:fldChar w:fldCharType="end"/>
        </w:r>
      </w:hyperlink>
    </w:p>
    <w:p w14:paraId="0452EB63" w14:textId="77777777" w:rsidR="006E1A20" w:rsidRPr="000532ED" w:rsidRDefault="00ED77C4">
      <w:pPr>
        <w:pStyle w:val="10"/>
        <w:rPr>
          <w:rFonts w:ascii="Calibri" w:hAnsi="Calibri" w:cs="宋体"/>
          <w:noProof/>
          <w:sz w:val="21"/>
          <w:szCs w:val="22"/>
        </w:rPr>
      </w:pPr>
      <w:hyperlink w:anchor="_Toc44321735" w:history="1">
        <w:r w:rsidR="000E02E2" w:rsidRPr="000532ED">
          <w:rPr>
            <w:rStyle w:val="ae"/>
            <w:rFonts w:hint="eastAsia"/>
            <w:bCs/>
            <w:noProof/>
          </w:rPr>
          <w:t>第十二条</w:t>
        </w:r>
        <w:r w:rsidR="000E02E2" w:rsidRPr="000532ED">
          <w:rPr>
            <w:rStyle w:val="ae"/>
            <w:bCs/>
            <w:noProof/>
          </w:rPr>
          <w:t xml:space="preserve"> </w:t>
        </w:r>
        <w:r w:rsidR="000E02E2" w:rsidRPr="000532ED">
          <w:rPr>
            <w:rStyle w:val="ae"/>
            <w:rFonts w:hint="eastAsia"/>
            <w:bCs/>
            <w:noProof/>
          </w:rPr>
          <w:t>基金份额持有人名册的保管</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_Toc44321735 \h </w:instrText>
        </w:r>
        <w:r w:rsidR="000E02E2" w:rsidRPr="000532ED">
          <w:rPr>
            <w:noProof/>
            <w:webHidden/>
          </w:rPr>
        </w:r>
        <w:r w:rsidR="000E02E2" w:rsidRPr="000532ED">
          <w:rPr>
            <w:noProof/>
            <w:webHidden/>
          </w:rPr>
          <w:fldChar w:fldCharType="separate"/>
        </w:r>
        <w:r w:rsidR="000532ED">
          <w:rPr>
            <w:noProof/>
            <w:webHidden/>
          </w:rPr>
          <w:t>32</w:t>
        </w:r>
        <w:r w:rsidR="000E02E2" w:rsidRPr="000532ED">
          <w:rPr>
            <w:noProof/>
            <w:webHidden/>
          </w:rPr>
          <w:fldChar w:fldCharType="end"/>
        </w:r>
      </w:hyperlink>
    </w:p>
    <w:p w14:paraId="7C1CEE5B" w14:textId="664FDD0C" w:rsidR="006E1A20" w:rsidRPr="000532ED" w:rsidRDefault="00ED77C4">
      <w:pPr>
        <w:pStyle w:val="10"/>
        <w:rPr>
          <w:rFonts w:ascii="Calibri" w:hAnsi="Calibri" w:cs="宋体"/>
          <w:noProof/>
          <w:sz w:val="21"/>
          <w:szCs w:val="22"/>
        </w:rPr>
      </w:pPr>
      <w:hyperlink w:anchor="_Toc44321736" w:history="1">
        <w:r w:rsidR="000E02E2" w:rsidRPr="000532ED">
          <w:rPr>
            <w:rStyle w:val="ae"/>
            <w:rFonts w:hint="eastAsia"/>
            <w:bCs/>
            <w:noProof/>
          </w:rPr>
          <w:t>第十三条</w:t>
        </w:r>
        <w:r w:rsidR="000E02E2" w:rsidRPr="000532ED">
          <w:rPr>
            <w:rStyle w:val="ae"/>
            <w:bCs/>
            <w:noProof/>
          </w:rPr>
          <w:t xml:space="preserve"> </w:t>
        </w:r>
        <w:r w:rsidR="000E02E2" w:rsidRPr="000532ED">
          <w:rPr>
            <w:rStyle w:val="ae"/>
            <w:rFonts w:hint="eastAsia"/>
            <w:bCs/>
            <w:noProof/>
          </w:rPr>
          <w:t>基金有关文件和档案的保存</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_Toc44321736 \h </w:instrText>
        </w:r>
        <w:r w:rsidR="000E02E2" w:rsidRPr="000532ED">
          <w:rPr>
            <w:noProof/>
            <w:webHidden/>
          </w:rPr>
        </w:r>
        <w:r w:rsidR="000E02E2" w:rsidRPr="000532ED">
          <w:rPr>
            <w:noProof/>
            <w:webHidden/>
          </w:rPr>
          <w:fldChar w:fldCharType="separate"/>
        </w:r>
        <w:r w:rsidR="000532ED">
          <w:rPr>
            <w:noProof/>
            <w:webHidden/>
          </w:rPr>
          <w:t>33</w:t>
        </w:r>
        <w:r w:rsidR="000E02E2" w:rsidRPr="000532ED">
          <w:rPr>
            <w:noProof/>
            <w:webHidden/>
          </w:rPr>
          <w:fldChar w:fldCharType="end"/>
        </w:r>
      </w:hyperlink>
    </w:p>
    <w:p w14:paraId="7CF11E81" w14:textId="77777777" w:rsidR="006E1A20" w:rsidRPr="000532ED" w:rsidRDefault="00ED77C4">
      <w:pPr>
        <w:pStyle w:val="10"/>
        <w:rPr>
          <w:rFonts w:ascii="Calibri" w:hAnsi="Calibri" w:cs="宋体"/>
          <w:noProof/>
          <w:sz w:val="21"/>
          <w:szCs w:val="22"/>
        </w:rPr>
      </w:pPr>
      <w:hyperlink w:anchor="_Toc44321737" w:history="1">
        <w:r w:rsidR="000E02E2" w:rsidRPr="000532ED">
          <w:rPr>
            <w:rStyle w:val="ae"/>
            <w:rFonts w:hint="eastAsia"/>
            <w:bCs/>
            <w:noProof/>
          </w:rPr>
          <w:t>第十四条</w:t>
        </w:r>
        <w:r w:rsidR="000E02E2" w:rsidRPr="000532ED">
          <w:rPr>
            <w:rStyle w:val="ae"/>
            <w:bCs/>
            <w:noProof/>
          </w:rPr>
          <w:t xml:space="preserve"> </w:t>
        </w:r>
        <w:r w:rsidR="000E02E2" w:rsidRPr="000532ED">
          <w:rPr>
            <w:rStyle w:val="ae"/>
            <w:rFonts w:hint="eastAsia"/>
            <w:bCs/>
            <w:noProof/>
          </w:rPr>
          <w:t>基金管理人和基金托管人的更换</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_Toc44321737 \h </w:instrText>
        </w:r>
        <w:r w:rsidR="000E02E2" w:rsidRPr="000532ED">
          <w:rPr>
            <w:noProof/>
            <w:webHidden/>
          </w:rPr>
        </w:r>
        <w:r w:rsidR="000E02E2" w:rsidRPr="000532ED">
          <w:rPr>
            <w:noProof/>
            <w:webHidden/>
          </w:rPr>
          <w:fldChar w:fldCharType="separate"/>
        </w:r>
        <w:r w:rsidR="000532ED">
          <w:rPr>
            <w:noProof/>
            <w:webHidden/>
          </w:rPr>
          <w:t>33</w:t>
        </w:r>
        <w:r w:rsidR="000E02E2" w:rsidRPr="000532ED">
          <w:rPr>
            <w:noProof/>
            <w:webHidden/>
          </w:rPr>
          <w:fldChar w:fldCharType="end"/>
        </w:r>
      </w:hyperlink>
    </w:p>
    <w:p w14:paraId="492C2809" w14:textId="20E0072D" w:rsidR="006E1A20" w:rsidRPr="000532ED" w:rsidRDefault="00ED77C4">
      <w:pPr>
        <w:pStyle w:val="10"/>
        <w:rPr>
          <w:rFonts w:ascii="Calibri" w:hAnsi="Calibri" w:cs="宋体"/>
          <w:noProof/>
          <w:sz w:val="21"/>
          <w:szCs w:val="22"/>
        </w:rPr>
      </w:pPr>
      <w:hyperlink w:anchor="_Toc44321738" w:history="1">
        <w:r w:rsidR="000E02E2" w:rsidRPr="000532ED">
          <w:rPr>
            <w:rStyle w:val="ae"/>
            <w:rFonts w:hint="eastAsia"/>
            <w:bCs/>
            <w:noProof/>
          </w:rPr>
          <w:t>第十五条</w:t>
        </w:r>
        <w:r w:rsidR="000E02E2" w:rsidRPr="000532ED">
          <w:rPr>
            <w:rStyle w:val="ae"/>
            <w:bCs/>
            <w:noProof/>
          </w:rPr>
          <w:t xml:space="preserve"> </w:t>
        </w:r>
        <w:r w:rsidR="000E02E2" w:rsidRPr="000532ED">
          <w:rPr>
            <w:rStyle w:val="ae"/>
            <w:rFonts w:hint="eastAsia"/>
            <w:bCs/>
            <w:noProof/>
          </w:rPr>
          <w:t>禁止行为</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_Toc44321738 \h </w:instrText>
        </w:r>
        <w:r w:rsidR="000E02E2" w:rsidRPr="000532ED">
          <w:rPr>
            <w:noProof/>
            <w:webHidden/>
          </w:rPr>
        </w:r>
        <w:r w:rsidR="000E02E2" w:rsidRPr="000532ED">
          <w:rPr>
            <w:noProof/>
            <w:webHidden/>
          </w:rPr>
          <w:fldChar w:fldCharType="separate"/>
        </w:r>
        <w:r w:rsidR="000532ED">
          <w:rPr>
            <w:noProof/>
            <w:webHidden/>
          </w:rPr>
          <w:t>36</w:t>
        </w:r>
        <w:r w:rsidR="000E02E2" w:rsidRPr="000532ED">
          <w:rPr>
            <w:noProof/>
            <w:webHidden/>
          </w:rPr>
          <w:fldChar w:fldCharType="end"/>
        </w:r>
      </w:hyperlink>
    </w:p>
    <w:p w14:paraId="3E08ADC6" w14:textId="4D801FD0" w:rsidR="006E1A20" w:rsidRPr="000532ED" w:rsidRDefault="00ED77C4">
      <w:pPr>
        <w:pStyle w:val="10"/>
        <w:rPr>
          <w:rFonts w:ascii="Calibri" w:hAnsi="Calibri" w:cs="宋体"/>
          <w:noProof/>
          <w:sz w:val="21"/>
          <w:szCs w:val="22"/>
        </w:rPr>
      </w:pPr>
      <w:hyperlink w:anchor="_Toc44321739" w:history="1">
        <w:r w:rsidR="000E02E2" w:rsidRPr="000532ED">
          <w:rPr>
            <w:rStyle w:val="ae"/>
            <w:rFonts w:hint="eastAsia"/>
            <w:bCs/>
            <w:noProof/>
          </w:rPr>
          <w:t>第十六条</w:t>
        </w:r>
        <w:r w:rsidR="000E02E2" w:rsidRPr="000532ED">
          <w:rPr>
            <w:rStyle w:val="ae"/>
            <w:bCs/>
            <w:noProof/>
          </w:rPr>
          <w:t xml:space="preserve"> </w:t>
        </w:r>
        <w:r w:rsidR="000E02E2" w:rsidRPr="000532ED">
          <w:rPr>
            <w:rStyle w:val="ae"/>
            <w:rFonts w:hint="eastAsia"/>
            <w:bCs/>
            <w:noProof/>
          </w:rPr>
          <w:t>本协议的变更、终止与基金财产的清算</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_Toc44321739 \h </w:instrText>
        </w:r>
        <w:r w:rsidR="000E02E2" w:rsidRPr="000532ED">
          <w:rPr>
            <w:noProof/>
            <w:webHidden/>
          </w:rPr>
        </w:r>
        <w:r w:rsidR="000E02E2" w:rsidRPr="000532ED">
          <w:rPr>
            <w:noProof/>
            <w:webHidden/>
          </w:rPr>
          <w:fldChar w:fldCharType="separate"/>
        </w:r>
        <w:r w:rsidR="000532ED">
          <w:rPr>
            <w:noProof/>
            <w:webHidden/>
          </w:rPr>
          <w:t>37</w:t>
        </w:r>
        <w:r w:rsidR="000E02E2" w:rsidRPr="000532ED">
          <w:rPr>
            <w:noProof/>
            <w:webHidden/>
          </w:rPr>
          <w:fldChar w:fldCharType="end"/>
        </w:r>
      </w:hyperlink>
    </w:p>
    <w:p w14:paraId="6DFF49DC" w14:textId="77777777" w:rsidR="006E1A20" w:rsidRPr="000532ED" w:rsidRDefault="00ED77C4">
      <w:pPr>
        <w:pStyle w:val="10"/>
        <w:rPr>
          <w:rFonts w:ascii="Calibri" w:hAnsi="Calibri" w:cs="宋体"/>
          <w:noProof/>
          <w:sz w:val="21"/>
          <w:szCs w:val="22"/>
        </w:rPr>
      </w:pPr>
      <w:hyperlink w:anchor="_Toc44321740" w:history="1">
        <w:r w:rsidR="000E02E2" w:rsidRPr="000532ED">
          <w:rPr>
            <w:rStyle w:val="ae"/>
            <w:rFonts w:hint="eastAsia"/>
            <w:bCs/>
            <w:noProof/>
          </w:rPr>
          <w:t>第十七条</w:t>
        </w:r>
        <w:r w:rsidR="000E02E2" w:rsidRPr="000532ED">
          <w:rPr>
            <w:rStyle w:val="ae"/>
            <w:bCs/>
            <w:noProof/>
          </w:rPr>
          <w:t xml:space="preserve"> </w:t>
        </w:r>
        <w:r w:rsidR="000E02E2" w:rsidRPr="000532ED">
          <w:rPr>
            <w:rStyle w:val="ae"/>
            <w:rFonts w:hint="eastAsia"/>
            <w:bCs/>
            <w:noProof/>
          </w:rPr>
          <w:t>违约责任</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_Toc44321740 \h </w:instrText>
        </w:r>
        <w:r w:rsidR="000E02E2" w:rsidRPr="000532ED">
          <w:rPr>
            <w:noProof/>
            <w:webHidden/>
          </w:rPr>
        </w:r>
        <w:r w:rsidR="000E02E2" w:rsidRPr="000532ED">
          <w:rPr>
            <w:noProof/>
            <w:webHidden/>
          </w:rPr>
          <w:fldChar w:fldCharType="separate"/>
        </w:r>
        <w:r w:rsidR="000532ED">
          <w:rPr>
            <w:noProof/>
            <w:webHidden/>
          </w:rPr>
          <w:t>39</w:t>
        </w:r>
        <w:r w:rsidR="000E02E2" w:rsidRPr="000532ED">
          <w:rPr>
            <w:noProof/>
            <w:webHidden/>
          </w:rPr>
          <w:fldChar w:fldCharType="end"/>
        </w:r>
      </w:hyperlink>
    </w:p>
    <w:p w14:paraId="75C18151" w14:textId="77777777" w:rsidR="006E1A20" w:rsidRPr="000532ED" w:rsidRDefault="00ED77C4">
      <w:pPr>
        <w:pStyle w:val="10"/>
        <w:rPr>
          <w:rFonts w:ascii="Calibri" w:hAnsi="Calibri" w:cs="宋体"/>
          <w:noProof/>
          <w:sz w:val="21"/>
          <w:szCs w:val="22"/>
        </w:rPr>
      </w:pPr>
      <w:hyperlink w:anchor="_Toc44321741" w:history="1">
        <w:r w:rsidR="000E02E2" w:rsidRPr="000532ED">
          <w:rPr>
            <w:rStyle w:val="ae"/>
            <w:rFonts w:hint="eastAsia"/>
            <w:bCs/>
            <w:noProof/>
          </w:rPr>
          <w:t>第十八条</w:t>
        </w:r>
        <w:r w:rsidR="000E02E2" w:rsidRPr="000532ED">
          <w:rPr>
            <w:rStyle w:val="ae"/>
            <w:bCs/>
            <w:noProof/>
          </w:rPr>
          <w:t xml:space="preserve"> </w:t>
        </w:r>
        <w:r w:rsidR="000E02E2" w:rsidRPr="000532ED">
          <w:rPr>
            <w:rStyle w:val="ae"/>
            <w:rFonts w:hint="eastAsia"/>
            <w:bCs/>
            <w:noProof/>
          </w:rPr>
          <w:t>法律适用和争议解决</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_Toc44321741 \h </w:instrText>
        </w:r>
        <w:r w:rsidR="000E02E2" w:rsidRPr="000532ED">
          <w:rPr>
            <w:noProof/>
            <w:webHidden/>
          </w:rPr>
        </w:r>
        <w:r w:rsidR="000E02E2" w:rsidRPr="000532ED">
          <w:rPr>
            <w:noProof/>
            <w:webHidden/>
          </w:rPr>
          <w:fldChar w:fldCharType="separate"/>
        </w:r>
        <w:r w:rsidR="000532ED">
          <w:rPr>
            <w:noProof/>
            <w:webHidden/>
          </w:rPr>
          <w:t>40</w:t>
        </w:r>
        <w:r w:rsidR="000E02E2" w:rsidRPr="000532ED">
          <w:rPr>
            <w:noProof/>
            <w:webHidden/>
          </w:rPr>
          <w:fldChar w:fldCharType="end"/>
        </w:r>
      </w:hyperlink>
    </w:p>
    <w:p w14:paraId="1B8AFF22" w14:textId="77777777" w:rsidR="006E1A20" w:rsidRPr="000532ED" w:rsidRDefault="00ED77C4">
      <w:pPr>
        <w:pStyle w:val="10"/>
        <w:rPr>
          <w:rFonts w:ascii="Calibri" w:hAnsi="Calibri" w:cs="宋体"/>
          <w:noProof/>
          <w:sz w:val="21"/>
          <w:szCs w:val="22"/>
        </w:rPr>
      </w:pPr>
      <w:hyperlink w:anchor="_Toc44321742" w:history="1">
        <w:r w:rsidR="000E02E2" w:rsidRPr="000532ED">
          <w:rPr>
            <w:rStyle w:val="ae"/>
            <w:rFonts w:hint="eastAsia"/>
            <w:bCs/>
            <w:noProof/>
          </w:rPr>
          <w:t>第十九条</w:t>
        </w:r>
        <w:r w:rsidR="000E02E2" w:rsidRPr="000532ED">
          <w:rPr>
            <w:rStyle w:val="ae"/>
            <w:bCs/>
            <w:noProof/>
          </w:rPr>
          <w:t xml:space="preserve"> </w:t>
        </w:r>
        <w:r w:rsidR="000E02E2" w:rsidRPr="000532ED">
          <w:rPr>
            <w:rStyle w:val="ae"/>
            <w:rFonts w:hint="eastAsia"/>
            <w:bCs/>
            <w:noProof/>
          </w:rPr>
          <w:t>本协议的效力</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_Toc44321742 \h </w:instrText>
        </w:r>
        <w:r w:rsidR="000E02E2" w:rsidRPr="000532ED">
          <w:rPr>
            <w:noProof/>
            <w:webHidden/>
          </w:rPr>
        </w:r>
        <w:r w:rsidR="000E02E2" w:rsidRPr="000532ED">
          <w:rPr>
            <w:noProof/>
            <w:webHidden/>
          </w:rPr>
          <w:fldChar w:fldCharType="separate"/>
        </w:r>
        <w:r w:rsidR="000532ED">
          <w:rPr>
            <w:noProof/>
            <w:webHidden/>
          </w:rPr>
          <w:t>40</w:t>
        </w:r>
        <w:r w:rsidR="000E02E2" w:rsidRPr="000532ED">
          <w:rPr>
            <w:noProof/>
            <w:webHidden/>
          </w:rPr>
          <w:fldChar w:fldCharType="end"/>
        </w:r>
      </w:hyperlink>
    </w:p>
    <w:p w14:paraId="3E6A74D2" w14:textId="47515FEE" w:rsidR="006E1A20" w:rsidRPr="000532ED" w:rsidRDefault="00ED77C4">
      <w:pPr>
        <w:pStyle w:val="10"/>
        <w:rPr>
          <w:rFonts w:ascii="Calibri" w:hAnsi="Calibri" w:cs="宋体"/>
          <w:noProof/>
          <w:sz w:val="21"/>
          <w:szCs w:val="22"/>
        </w:rPr>
      </w:pPr>
      <w:hyperlink w:anchor="_Toc44321743" w:history="1">
        <w:r w:rsidR="000E02E2" w:rsidRPr="000532ED">
          <w:rPr>
            <w:rStyle w:val="ae"/>
            <w:rFonts w:hint="eastAsia"/>
            <w:bCs/>
            <w:noProof/>
          </w:rPr>
          <w:t>第二十条</w:t>
        </w:r>
        <w:r w:rsidR="000E02E2" w:rsidRPr="000532ED">
          <w:rPr>
            <w:rStyle w:val="ae"/>
            <w:bCs/>
            <w:noProof/>
          </w:rPr>
          <w:t xml:space="preserve"> </w:t>
        </w:r>
        <w:r w:rsidR="000E02E2" w:rsidRPr="000532ED">
          <w:rPr>
            <w:rStyle w:val="ae"/>
            <w:rFonts w:hint="eastAsia"/>
            <w:bCs/>
            <w:noProof/>
          </w:rPr>
          <w:t>本协议的签订</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_Toc44321743 \h </w:instrText>
        </w:r>
        <w:r w:rsidR="000E02E2" w:rsidRPr="000532ED">
          <w:rPr>
            <w:noProof/>
            <w:webHidden/>
          </w:rPr>
        </w:r>
        <w:r w:rsidR="000E02E2" w:rsidRPr="000532ED">
          <w:rPr>
            <w:noProof/>
            <w:webHidden/>
          </w:rPr>
          <w:fldChar w:fldCharType="separate"/>
        </w:r>
        <w:r w:rsidR="000532ED">
          <w:rPr>
            <w:noProof/>
            <w:webHidden/>
          </w:rPr>
          <w:t>41</w:t>
        </w:r>
        <w:r w:rsidR="000E02E2" w:rsidRPr="000532ED">
          <w:rPr>
            <w:noProof/>
            <w:webHidden/>
          </w:rPr>
          <w:fldChar w:fldCharType="end"/>
        </w:r>
      </w:hyperlink>
    </w:p>
    <w:p w14:paraId="15108258" w14:textId="17DA007C" w:rsidR="006E1A20" w:rsidRPr="000532ED" w:rsidRDefault="00ED77C4">
      <w:pPr>
        <w:pStyle w:val="10"/>
        <w:rPr>
          <w:rFonts w:ascii="Calibri" w:hAnsi="Calibri" w:cs="宋体"/>
          <w:noProof/>
          <w:sz w:val="21"/>
          <w:szCs w:val="22"/>
        </w:rPr>
      </w:pPr>
      <w:hyperlink w:anchor="_Toc44321744" w:history="1">
        <w:r w:rsidR="000E02E2" w:rsidRPr="000532ED">
          <w:rPr>
            <w:rStyle w:val="ae"/>
            <w:rFonts w:hint="eastAsia"/>
            <w:bCs/>
            <w:noProof/>
          </w:rPr>
          <w:t>第二十一条</w:t>
        </w:r>
        <w:r w:rsidR="000E02E2" w:rsidRPr="000532ED">
          <w:rPr>
            <w:rStyle w:val="ae"/>
            <w:bCs/>
            <w:noProof/>
          </w:rPr>
          <w:t xml:space="preserve"> </w:t>
        </w:r>
        <w:r w:rsidR="000E02E2" w:rsidRPr="000532ED">
          <w:rPr>
            <w:rStyle w:val="ae"/>
            <w:rFonts w:hint="eastAsia"/>
            <w:bCs/>
            <w:noProof/>
          </w:rPr>
          <w:t>不可抗力</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_Toc44321744 \h </w:instrText>
        </w:r>
        <w:r w:rsidR="000E02E2" w:rsidRPr="000532ED">
          <w:rPr>
            <w:noProof/>
            <w:webHidden/>
          </w:rPr>
        </w:r>
        <w:r w:rsidR="000E02E2" w:rsidRPr="000532ED">
          <w:rPr>
            <w:noProof/>
            <w:webHidden/>
          </w:rPr>
          <w:fldChar w:fldCharType="separate"/>
        </w:r>
        <w:r w:rsidR="000532ED">
          <w:rPr>
            <w:noProof/>
            <w:webHidden/>
          </w:rPr>
          <w:t>41</w:t>
        </w:r>
        <w:r w:rsidR="000E02E2" w:rsidRPr="000532ED">
          <w:rPr>
            <w:noProof/>
            <w:webHidden/>
          </w:rPr>
          <w:fldChar w:fldCharType="end"/>
        </w:r>
      </w:hyperlink>
    </w:p>
    <w:p w14:paraId="35652C95" w14:textId="77777777" w:rsidR="006E1A20" w:rsidRPr="000532ED" w:rsidRDefault="00ED77C4">
      <w:pPr>
        <w:pStyle w:val="10"/>
        <w:rPr>
          <w:rFonts w:ascii="Calibri" w:hAnsi="Calibri" w:cs="宋体"/>
          <w:noProof/>
          <w:sz w:val="21"/>
          <w:szCs w:val="22"/>
        </w:rPr>
      </w:pPr>
      <w:hyperlink w:anchor="_Toc44321745" w:history="1">
        <w:r w:rsidR="000E02E2" w:rsidRPr="000532ED">
          <w:rPr>
            <w:rStyle w:val="ae"/>
            <w:rFonts w:hint="eastAsia"/>
            <w:bCs/>
            <w:noProof/>
          </w:rPr>
          <w:t>第二十二条</w:t>
        </w:r>
        <w:r w:rsidR="000E02E2" w:rsidRPr="000532ED">
          <w:rPr>
            <w:rStyle w:val="ae"/>
            <w:bCs/>
            <w:noProof/>
          </w:rPr>
          <w:t xml:space="preserve"> </w:t>
        </w:r>
        <w:r w:rsidR="000E02E2" w:rsidRPr="000532ED">
          <w:rPr>
            <w:rStyle w:val="ae"/>
            <w:rFonts w:hint="eastAsia"/>
            <w:bCs/>
            <w:noProof/>
          </w:rPr>
          <w:t>可分割性</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_Toc44321745 \h </w:instrText>
        </w:r>
        <w:r w:rsidR="000E02E2" w:rsidRPr="000532ED">
          <w:rPr>
            <w:noProof/>
            <w:webHidden/>
          </w:rPr>
        </w:r>
        <w:r w:rsidR="000E02E2" w:rsidRPr="000532ED">
          <w:rPr>
            <w:noProof/>
            <w:webHidden/>
          </w:rPr>
          <w:fldChar w:fldCharType="separate"/>
        </w:r>
        <w:r w:rsidR="000532ED">
          <w:rPr>
            <w:noProof/>
            <w:webHidden/>
          </w:rPr>
          <w:t>41</w:t>
        </w:r>
        <w:r w:rsidR="000E02E2" w:rsidRPr="000532ED">
          <w:rPr>
            <w:noProof/>
            <w:webHidden/>
          </w:rPr>
          <w:fldChar w:fldCharType="end"/>
        </w:r>
      </w:hyperlink>
    </w:p>
    <w:p w14:paraId="056C15F7" w14:textId="77777777" w:rsidR="006E1A20" w:rsidRPr="000532ED" w:rsidRDefault="00ED77C4">
      <w:pPr>
        <w:pStyle w:val="10"/>
        <w:rPr>
          <w:rFonts w:ascii="Calibri" w:hAnsi="Calibri" w:cs="宋体"/>
          <w:noProof/>
          <w:sz w:val="21"/>
          <w:szCs w:val="22"/>
        </w:rPr>
      </w:pPr>
      <w:hyperlink w:anchor="_Toc44321746" w:history="1">
        <w:r w:rsidR="000E02E2" w:rsidRPr="000532ED">
          <w:rPr>
            <w:rStyle w:val="ae"/>
            <w:rFonts w:hint="eastAsia"/>
            <w:bCs/>
            <w:noProof/>
          </w:rPr>
          <w:t>第二十三条</w:t>
        </w:r>
        <w:r w:rsidR="000E02E2" w:rsidRPr="000532ED">
          <w:rPr>
            <w:rStyle w:val="ae"/>
            <w:bCs/>
            <w:noProof/>
          </w:rPr>
          <w:t xml:space="preserve"> </w:t>
        </w:r>
        <w:r w:rsidR="000E02E2" w:rsidRPr="000532ED">
          <w:rPr>
            <w:rStyle w:val="ae"/>
            <w:rFonts w:hint="eastAsia"/>
            <w:bCs/>
            <w:noProof/>
          </w:rPr>
          <w:t>通知与送达</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_Toc44321746 \h </w:instrText>
        </w:r>
        <w:r w:rsidR="000E02E2" w:rsidRPr="000532ED">
          <w:rPr>
            <w:noProof/>
            <w:webHidden/>
          </w:rPr>
        </w:r>
        <w:r w:rsidR="000E02E2" w:rsidRPr="000532ED">
          <w:rPr>
            <w:noProof/>
            <w:webHidden/>
          </w:rPr>
          <w:fldChar w:fldCharType="separate"/>
        </w:r>
        <w:r w:rsidR="000532ED">
          <w:rPr>
            <w:noProof/>
            <w:webHidden/>
          </w:rPr>
          <w:t>41</w:t>
        </w:r>
        <w:r w:rsidR="000E02E2" w:rsidRPr="000532ED">
          <w:rPr>
            <w:noProof/>
            <w:webHidden/>
          </w:rPr>
          <w:fldChar w:fldCharType="end"/>
        </w:r>
      </w:hyperlink>
    </w:p>
    <w:p w14:paraId="1E93634C" w14:textId="2151526A" w:rsidR="006E1A20" w:rsidRPr="000532ED" w:rsidRDefault="00ED77C4">
      <w:pPr>
        <w:pStyle w:val="10"/>
        <w:rPr>
          <w:rFonts w:ascii="Calibri" w:hAnsi="Calibri" w:cs="宋体"/>
          <w:noProof/>
          <w:sz w:val="21"/>
          <w:szCs w:val="22"/>
        </w:rPr>
      </w:pPr>
      <w:hyperlink w:anchor="_Toc44321747" w:history="1">
        <w:r w:rsidR="000E02E2" w:rsidRPr="000532ED">
          <w:rPr>
            <w:rStyle w:val="ae"/>
            <w:rFonts w:hint="eastAsia"/>
            <w:bCs/>
            <w:noProof/>
          </w:rPr>
          <w:t>第二十四条</w:t>
        </w:r>
        <w:r w:rsidR="000E02E2" w:rsidRPr="000532ED">
          <w:rPr>
            <w:rStyle w:val="ae"/>
            <w:bCs/>
            <w:noProof/>
          </w:rPr>
          <w:t xml:space="preserve"> </w:t>
        </w:r>
        <w:r w:rsidR="000E02E2" w:rsidRPr="000532ED">
          <w:rPr>
            <w:rStyle w:val="ae"/>
            <w:rFonts w:hint="eastAsia"/>
            <w:bCs/>
            <w:noProof/>
          </w:rPr>
          <w:t>其他约定事项</w:t>
        </w:r>
        <w:r w:rsidR="000E02E2" w:rsidRPr="000532ED">
          <w:rPr>
            <w:noProof/>
            <w:webHidden/>
          </w:rPr>
          <w:tab/>
        </w:r>
        <w:r w:rsidR="000E02E2" w:rsidRPr="000532ED">
          <w:rPr>
            <w:noProof/>
            <w:webHidden/>
          </w:rPr>
          <w:fldChar w:fldCharType="begin"/>
        </w:r>
        <w:r w:rsidR="000E02E2" w:rsidRPr="000532ED">
          <w:rPr>
            <w:noProof/>
            <w:webHidden/>
          </w:rPr>
          <w:instrText xml:space="preserve"> PAGEREF _Toc44321747 \h </w:instrText>
        </w:r>
        <w:r w:rsidR="000E02E2" w:rsidRPr="000532ED">
          <w:rPr>
            <w:noProof/>
            <w:webHidden/>
          </w:rPr>
        </w:r>
        <w:r w:rsidR="000E02E2" w:rsidRPr="000532ED">
          <w:rPr>
            <w:noProof/>
            <w:webHidden/>
          </w:rPr>
          <w:fldChar w:fldCharType="separate"/>
        </w:r>
        <w:r w:rsidR="000532ED">
          <w:rPr>
            <w:noProof/>
            <w:webHidden/>
          </w:rPr>
          <w:t>42</w:t>
        </w:r>
        <w:r w:rsidR="000E02E2" w:rsidRPr="000532ED">
          <w:rPr>
            <w:noProof/>
            <w:webHidden/>
          </w:rPr>
          <w:fldChar w:fldCharType="end"/>
        </w:r>
      </w:hyperlink>
    </w:p>
    <w:p w14:paraId="175527CA" w14:textId="77777777" w:rsidR="006E1A20" w:rsidRPr="000532ED" w:rsidRDefault="000E02E2">
      <w:pPr>
        <w:snapToGrid w:val="0"/>
        <w:spacing w:line="360" w:lineRule="auto"/>
        <w:jc w:val="center"/>
        <w:rPr>
          <w:rFonts w:ascii="宋体" w:hAnsi="宋体"/>
          <w:b/>
          <w:sz w:val="28"/>
          <w:szCs w:val="28"/>
        </w:rPr>
      </w:pPr>
      <w:r w:rsidRPr="000532ED">
        <w:rPr>
          <w:rFonts w:ascii="宋体" w:hAnsi="宋体"/>
          <w:b/>
          <w:sz w:val="28"/>
          <w:szCs w:val="28"/>
        </w:rPr>
        <w:fldChar w:fldCharType="end"/>
      </w:r>
    </w:p>
    <w:p w14:paraId="38E4274E" w14:textId="77777777" w:rsidR="006E1A20" w:rsidRPr="000532ED" w:rsidRDefault="000E02E2">
      <w:pPr>
        <w:adjustRightInd w:val="0"/>
        <w:snapToGrid w:val="0"/>
        <w:spacing w:line="520" w:lineRule="atLeast"/>
        <w:jc w:val="center"/>
        <w:rPr>
          <w:rFonts w:ascii="宋体" w:hAnsi="宋体"/>
          <w:b/>
          <w:sz w:val="28"/>
          <w:szCs w:val="28"/>
        </w:rPr>
      </w:pPr>
      <w:r w:rsidRPr="000532ED">
        <w:rPr>
          <w:rFonts w:ascii="宋体" w:hAnsi="宋体"/>
          <w:b/>
          <w:sz w:val="28"/>
          <w:szCs w:val="28"/>
        </w:rPr>
        <w:br w:type="page"/>
      </w:r>
      <w:r w:rsidRPr="000532ED">
        <w:rPr>
          <w:rFonts w:ascii="宋体" w:hAnsi="宋体" w:hint="eastAsia"/>
          <w:b/>
          <w:sz w:val="28"/>
          <w:szCs w:val="28"/>
        </w:rPr>
        <w:lastRenderedPageBreak/>
        <w:t>易方达悦信一年持有期混合型证券投资基金托管协议</w:t>
      </w:r>
    </w:p>
    <w:p w14:paraId="4D392794" w14:textId="25ABE4A0" w:rsidR="006E1A20" w:rsidRPr="000532ED" w:rsidRDefault="006E1A20">
      <w:pPr>
        <w:adjustRightInd w:val="0"/>
        <w:snapToGrid w:val="0"/>
        <w:spacing w:line="520" w:lineRule="atLeast"/>
        <w:jc w:val="center"/>
        <w:rPr>
          <w:rFonts w:ascii="宋体" w:hAnsi="宋体"/>
          <w:b/>
          <w:sz w:val="28"/>
          <w:szCs w:val="28"/>
        </w:rPr>
      </w:pPr>
      <w:bookmarkStart w:id="15" w:name="_GoBack"/>
      <w:bookmarkEnd w:id="15"/>
    </w:p>
    <w:p w14:paraId="24B0383A" w14:textId="77777777" w:rsidR="006E1A20" w:rsidRPr="000532ED" w:rsidRDefault="006E1A20">
      <w:pPr>
        <w:adjustRightInd w:val="0"/>
        <w:snapToGrid w:val="0"/>
        <w:spacing w:line="520" w:lineRule="atLeast"/>
        <w:jc w:val="center"/>
        <w:rPr>
          <w:rFonts w:ascii="宋体" w:hAnsi="宋体"/>
          <w:b/>
          <w:sz w:val="28"/>
          <w:szCs w:val="28"/>
        </w:rPr>
      </w:pPr>
    </w:p>
    <w:p w14:paraId="1769CC49" w14:textId="77777777" w:rsidR="006E1A20" w:rsidRPr="000532ED" w:rsidRDefault="000E02E2">
      <w:pPr>
        <w:tabs>
          <w:tab w:val="left" w:pos="5940"/>
        </w:tabs>
        <w:adjustRightInd w:val="0"/>
        <w:snapToGrid w:val="0"/>
        <w:spacing w:line="520" w:lineRule="atLeast"/>
        <w:rPr>
          <w:rFonts w:ascii="宋体" w:hAnsi="宋体"/>
          <w:b/>
          <w:sz w:val="24"/>
          <w:szCs w:val="24"/>
        </w:rPr>
      </w:pPr>
      <w:r w:rsidRPr="000532ED">
        <w:rPr>
          <w:rFonts w:ascii="宋体" w:hAnsi="宋体" w:hint="eastAsia"/>
          <w:b/>
          <w:sz w:val="24"/>
          <w:szCs w:val="24"/>
        </w:rPr>
        <w:t>基金管理人：易方达基金管理有限公司</w:t>
      </w:r>
    </w:p>
    <w:p w14:paraId="50CEBD5F" w14:textId="77777777" w:rsidR="006E1A20" w:rsidRPr="000532ED" w:rsidRDefault="000E02E2">
      <w:pPr>
        <w:tabs>
          <w:tab w:val="left" w:pos="5940"/>
        </w:tabs>
        <w:adjustRightInd w:val="0"/>
        <w:snapToGrid w:val="0"/>
        <w:spacing w:line="520" w:lineRule="atLeast"/>
        <w:rPr>
          <w:rFonts w:ascii="宋体" w:hAnsi="宋体"/>
          <w:b/>
          <w:sz w:val="24"/>
          <w:szCs w:val="24"/>
        </w:rPr>
      </w:pPr>
      <w:r w:rsidRPr="000532ED">
        <w:rPr>
          <w:rFonts w:ascii="宋体" w:hAnsi="宋体" w:hint="eastAsia"/>
          <w:b/>
          <w:sz w:val="24"/>
          <w:szCs w:val="24"/>
        </w:rPr>
        <w:t>法定代表人：刘晓艳</w:t>
      </w:r>
    </w:p>
    <w:p w14:paraId="2643CFD6" w14:textId="77777777" w:rsidR="006E1A20" w:rsidRPr="000532ED" w:rsidRDefault="000E02E2">
      <w:pPr>
        <w:tabs>
          <w:tab w:val="left" w:pos="5940"/>
        </w:tabs>
        <w:adjustRightInd w:val="0"/>
        <w:snapToGrid w:val="0"/>
        <w:spacing w:line="520" w:lineRule="atLeast"/>
        <w:rPr>
          <w:rFonts w:ascii="宋体" w:hAnsi="宋体"/>
          <w:b/>
          <w:sz w:val="24"/>
          <w:szCs w:val="24"/>
        </w:rPr>
      </w:pPr>
      <w:r w:rsidRPr="000532ED">
        <w:rPr>
          <w:rFonts w:ascii="宋体" w:hAnsi="宋体" w:hint="eastAsia"/>
          <w:b/>
          <w:sz w:val="24"/>
          <w:szCs w:val="24"/>
        </w:rPr>
        <w:t>住</w:t>
      </w:r>
      <w:r w:rsidRPr="000532ED">
        <w:rPr>
          <w:rFonts w:ascii="宋体" w:hAnsi="宋体"/>
          <w:b/>
          <w:sz w:val="24"/>
          <w:szCs w:val="24"/>
        </w:rPr>
        <w:t xml:space="preserve">    </w:t>
      </w:r>
      <w:r w:rsidRPr="000532ED">
        <w:rPr>
          <w:rFonts w:ascii="宋体" w:hAnsi="宋体" w:hint="eastAsia"/>
          <w:b/>
          <w:sz w:val="24"/>
          <w:szCs w:val="24"/>
        </w:rPr>
        <w:t>所：广东省珠海市横琴新区宝华路6号105室-42891（集中办公区）</w:t>
      </w:r>
    </w:p>
    <w:p w14:paraId="128914EB" w14:textId="77777777" w:rsidR="006E1A20" w:rsidRPr="000532ED" w:rsidRDefault="000E02E2">
      <w:pPr>
        <w:tabs>
          <w:tab w:val="left" w:pos="5940"/>
        </w:tabs>
        <w:snapToGrid w:val="0"/>
        <w:spacing w:line="520" w:lineRule="atLeast"/>
        <w:rPr>
          <w:rFonts w:ascii="宋体" w:hAnsi="宋体"/>
          <w:b/>
          <w:sz w:val="24"/>
          <w:szCs w:val="24"/>
        </w:rPr>
      </w:pPr>
      <w:r w:rsidRPr="000532ED">
        <w:rPr>
          <w:rFonts w:ascii="宋体" w:hAnsi="宋体" w:hint="eastAsia"/>
          <w:b/>
          <w:sz w:val="24"/>
          <w:szCs w:val="24"/>
        </w:rPr>
        <w:t>联系电话：</w:t>
      </w:r>
      <w:r w:rsidRPr="000532ED">
        <w:rPr>
          <w:rFonts w:ascii="宋体" w:hAnsi="宋体"/>
          <w:b/>
          <w:sz w:val="24"/>
          <w:szCs w:val="24"/>
        </w:rPr>
        <w:t>020-38797888</w:t>
      </w:r>
    </w:p>
    <w:p w14:paraId="2FF43C7C" w14:textId="77777777" w:rsidR="006E1A20" w:rsidRPr="000532ED" w:rsidRDefault="006E1A20">
      <w:pPr>
        <w:snapToGrid w:val="0"/>
        <w:spacing w:line="520" w:lineRule="atLeast"/>
        <w:rPr>
          <w:rFonts w:ascii="宋体" w:hAnsi="宋体"/>
          <w:sz w:val="24"/>
          <w:szCs w:val="24"/>
        </w:rPr>
      </w:pPr>
    </w:p>
    <w:p w14:paraId="47C134F7" w14:textId="77777777" w:rsidR="00D874CE" w:rsidRPr="000532ED" w:rsidRDefault="00D874CE" w:rsidP="00D874CE">
      <w:pPr>
        <w:snapToGrid w:val="0"/>
        <w:spacing w:line="520" w:lineRule="atLeast"/>
        <w:rPr>
          <w:rFonts w:ascii="宋体" w:hAnsi="宋体"/>
          <w:b/>
          <w:sz w:val="24"/>
          <w:szCs w:val="24"/>
        </w:rPr>
      </w:pPr>
      <w:r w:rsidRPr="000532ED">
        <w:rPr>
          <w:rFonts w:ascii="宋体" w:hAnsi="宋体" w:hint="eastAsia"/>
          <w:b/>
          <w:sz w:val="24"/>
          <w:szCs w:val="24"/>
        </w:rPr>
        <w:t xml:space="preserve">基金托管人：中信银行股份有限公司 </w:t>
      </w:r>
    </w:p>
    <w:p w14:paraId="5A19D25A" w14:textId="77777777" w:rsidR="00D874CE" w:rsidRPr="000532ED" w:rsidRDefault="00D874CE" w:rsidP="00D874CE">
      <w:pPr>
        <w:snapToGrid w:val="0"/>
        <w:spacing w:line="520" w:lineRule="atLeast"/>
        <w:rPr>
          <w:rFonts w:ascii="宋体" w:hAnsi="宋体"/>
          <w:b/>
          <w:sz w:val="24"/>
          <w:szCs w:val="24"/>
        </w:rPr>
      </w:pPr>
      <w:r w:rsidRPr="000532ED">
        <w:rPr>
          <w:rFonts w:ascii="宋体" w:hAnsi="宋体" w:hint="eastAsia"/>
          <w:b/>
          <w:sz w:val="24"/>
          <w:szCs w:val="24"/>
        </w:rPr>
        <w:t>住所：北京市朝阳区光华路10号院1号楼</w:t>
      </w:r>
    </w:p>
    <w:p w14:paraId="2BA7B2BE" w14:textId="77777777" w:rsidR="00D874CE" w:rsidRPr="000532ED" w:rsidRDefault="00D874CE" w:rsidP="00D874CE">
      <w:pPr>
        <w:snapToGrid w:val="0"/>
        <w:spacing w:line="520" w:lineRule="atLeast"/>
        <w:rPr>
          <w:rFonts w:ascii="宋体" w:hAnsi="宋体"/>
          <w:b/>
          <w:sz w:val="24"/>
          <w:szCs w:val="24"/>
        </w:rPr>
      </w:pPr>
      <w:r w:rsidRPr="000532ED">
        <w:rPr>
          <w:rFonts w:ascii="宋体" w:hAnsi="宋体" w:hint="eastAsia"/>
          <w:b/>
          <w:sz w:val="24"/>
          <w:szCs w:val="24"/>
        </w:rPr>
        <w:t>邮政编码：100010</w:t>
      </w:r>
    </w:p>
    <w:p w14:paraId="5B80FA04" w14:textId="77777777" w:rsidR="00D874CE" w:rsidRPr="000532ED" w:rsidRDefault="00D874CE" w:rsidP="00D874CE">
      <w:pPr>
        <w:snapToGrid w:val="0"/>
        <w:spacing w:line="520" w:lineRule="atLeast"/>
        <w:rPr>
          <w:rFonts w:ascii="宋体" w:hAnsi="宋体"/>
          <w:b/>
          <w:sz w:val="24"/>
          <w:szCs w:val="24"/>
        </w:rPr>
      </w:pPr>
      <w:r w:rsidRPr="000532ED">
        <w:rPr>
          <w:rFonts w:ascii="宋体" w:hAnsi="宋体" w:hint="eastAsia"/>
          <w:b/>
          <w:sz w:val="24"/>
          <w:szCs w:val="24"/>
        </w:rPr>
        <w:t>电话：4006800000</w:t>
      </w:r>
    </w:p>
    <w:p w14:paraId="7E0440DE" w14:textId="77777777" w:rsidR="00D874CE" w:rsidRPr="000532ED" w:rsidRDefault="00D874CE" w:rsidP="00D874CE">
      <w:pPr>
        <w:snapToGrid w:val="0"/>
        <w:spacing w:line="520" w:lineRule="atLeast"/>
        <w:rPr>
          <w:rFonts w:ascii="宋体" w:hAnsi="宋体"/>
          <w:b/>
          <w:sz w:val="24"/>
          <w:szCs w:val="24"/>
        </w:rPr>
      </w:pPr>
      <w:r w:rsidRPr="000532ED">
        <w:rPr>
          <w:rFonts w:ascii="宋体" w:hAnsi="宋体" w:hint="eastAsia"/>
          <w:b/>
          <w:sz w:val="24"/>
          <w:szCs w:val="24"/>
        </w:rPr>
        <w:t>传真：010-65559281</w:t>
      </w:r>
    </w:p>
    <w:p w14:paraId="0439878D" w14:textId="77777777" w:rsidR="006E1A20" w:rsidRPr="000532ED" w:rsidRDefault="00D874CE">
      <w:pPr>
        <w:autoSpaceDE w:val="0"/>
        <w:autoSpaceDN w:val="0"/>
        <w:adjustRightInd w:val="0"/>
        <w:spacing w:line="520" w:lineRule="atLeast"/>
        <w:rPr>
          <w:rFonts w:ascii="宋体" w:hAnsi="宋体"/>
          <w:sz w:val="24"/>
          <w:szCs w:val="24"/>
        </w:rPr>
      </w:pPr>
      <w:r w:rsidRPr="000532ED">
        <w:rPr>
          <w:rFonts w:ascii="宋体" w:hAnsi="宋体" w:hint="eastAsia"/>
          <w:b/>
          <w:sz w:val="24"/>
          <w:szCs w:val="24"/>
        </w:rPr>
        <w:t>法定代表人：李庆萍</w:t>
      </w:r>
    </w:p>
    <w:p w14:paraId="2E11EC4A" w14:textId="77777777" w:rsidR="006E1A20" w:rsidRPr="000532ED" w:rsidRDefault="000E02E2">
      <w:pPr>
        <w:autoSpaceDE w:val="0"/>
        <w:autoSpaceDN w:val="0"/>
        <w:adjustRightInd w:val="0"/>
        <w:spacing w:line="520" w:lineRule="atLeast"/>
        <w:ind w:firstLineChars="200" w:firstLine="482"/>
        <w:rPr>
          <w:rFonts w:ascii="宋体" w:hAnsi="宋体"/>
          <w:b/>
          <w:sz w:val="24"/>
          <w:szCs w:val="24"/>
        </w:rPr>
      </w:pPr>
      <w:r w:rsidRPr="000532ED">
        <w:rPr>
          <w:rFonts w:ascii="宋体" w:hAnsi="宋体" w:hint="eastAsia"/>
          <w:b/>
          <w:sz w:val="24"/>
          <w:szCs w:val="24"/>
        </w:rPr>
        <w:t>鉴于：</w:t>
      </w:r>
    </w:p>
    <w:p w14:paraId="00A291F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1．易方达基金管理有限公司系一家依照中国法律合法成立并有效存续的企业法人或其他</w:t>
      </w:r>
      <w:r w:rsidRPr="000532ED">
        <w:rPr>
          <w:rFonts w:hAnsi="宋体"/>
          <w:szCs w:val="24"/>
        </w:rPr>
        <w:t>组织</w:t>
      </w:r>
      <w:r w:rsidRPr="000532ED">
        <w:rPr>
          <w:rFonts w:hAnsi="宋体" w:hint="eastAsia"/>
          <w:szCs w:val="24"/>
        </w:rPr>
        <w:t>，按照相关法律法规的规定具备担任基金管理人的资格和能力；</w:t>
      </w:r>
    </w:p>
    <w:p w14:paraId="77C6D50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2.中信银行股份有限公司系一家依照中国法律合法成立并有效存续的银行，按照相关法律法规的规定具备担任基金托管人的资格和能力；</w:t>
      </w:r>
    </w:p>
    <w:p w14:paraId="21E8142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3.易方达基金管理有限公司拟担任易方达悦信一年持有期混合型证券投资基金的基金管理人，中信银行股份有限公司拟担任易方达悦信一年持有期混合型证券投资基金的基金托管人；</w:t>
      </w:r>
    </w:p>
    <w:p w14:paraId="5F5A565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为明确双方在基金托管中的权利、义务及责任，确保基金财产的安全，保护基金份额持有人的合法权益，依据相关法律法规和监管规定，双方本着平等自愿、诚实守信的原则特签订本协议。</w:t>
      </w:r>
    </w:p>
    <w:p w14:paraId="27B01616" w14:textId="77777777" w:rsidR="006E1A20" w:rsidRPr="000532ED" w:rsidRDefault="000E02E2">
      <w:pPr>
        <w:pStyle w:val="20"/>
        <w:spacing w:before="0" w:after="0" w:line="520" w:lineRule="atLeast"/>
        <w:ind w:left="0" w:firstLine="541"/>
        <w:rPr>
          <w:rFonts w:hAnsi="宋体"/>
          <w:b/>
          <w:bCs/>
          <w:szCs w:val="24"/>
        </w:rPr>
      </w:pPr>
      <w:r w:rsidRPr="000532ED">
        <w:rPr>
          <w:rFonts w:hAnsi="宋体" w:hint="eastAsia"/>
          <w:b/>
          <w:bCs/>
          <w:szCs w:val="24"/>
        </w:rPr>
        <w:t>释义：</w:t>
      </w:r>
    </w:p>
    <w:p w14:paraId="294C1DD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除非另有约定，《易方达悦信一年持有期混合型证券投资基金基金合同》(以下简称“基金合同”)中定义的术语在用于本托管协议时应具有相同的含义；若有抵</w:t>
      </w:r>
      <w:r w:rsidRPr="000532ED">
        <w:rPr>
          <w:rFonts w:hAnsi="宋体" w:hint="eastAsia"/>
          <w:szCs w:val="24"/>
        </w:rPr>
        <w:lastRenderedPageBreak/>
        <w:t xml:space="preserve">触，应以基金合同为准，并依其条款解释。 </w:t>
      </w:r>
    </w:p>
    <w:p w14:paraId="68217E65" w14:textId="77777777" w:rsidR="006E1A20" w:rsidRPr="000532ED" w:rsidRDefault="000E02E2">
      <w:pPr>
        <w:pStyle w:val="1"/>
        <w:spacing w:line="520" w:lineRule="atLeast"/>
        <w:ind w:firstLineChars="200" w:firstLine="482"/>
        <w:rPr>
          <w:bCs/>
          <w:color w:val="auto"/>
          <w:szCs w:val="24"/>
        </w:rPr>
      </w:pPr>
      <w:bookmarkStart w:id="16" w:name="_Toc296551337"/>
      <w:bookmarkStart w:id="17" w:name="_Toc44321724"/>
      <w:r w:rsidRPr="000532ED">
        <w:rPr>
          <w:rFonts w:hint="eastAsia"/>
          <w:bCs/>
          <w:color w:val="auto"/>
          <w:szCs w:val="24"/>
        </w:rPr>
        <w:t>第一条 本协议当事人</w:t>
      </w:r>
      <w:bookmarkEnd w:id="16"/>
      <w:bookmarkEnd w:id="17"/>
    </w:p>
    <w:p w14:paraId="67FAD8DB"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1.1基金管理人：</w:t>
      </w:r>
    </w:p>
    <w:p w14:paraId="1D5E468B" w14:textId="77777777" w:rsidR="006E1A20" w:rsidRPr="000532ED" w:rsidRDefault="000E02E2" w:rsidP="00360B46">
      <w:pPr>
        <w:pStyle w:val="20"/>
        <w:spacing w:line="520" w:lineRule="atLeast"/>
        <w:rPr>
          <w:rFonts w:hAnsi="宋体"/>
          <w:szCs w:val="24"/>
        </w:rPr>
      </w:pPr>
      <w:r w:rsidRPr="000532ED">
        <w:rPr>
          <w:rFonts w:hAnsi="宋体" w:hint="eastAsia"/>
          <w:szCs w:val="24"/>
        </w:rPr>
        <w:t>名称：易方达基金管理有限公司</w:t>
      </w:r>
    </w:p>
    <w:p w14:paraId="44C4F513" w14:textId="77777777" w:rsidR="006E1A20" w:rsidRPr="000532ED" w:rsidRDefault="000E02E2" w:rsidP="00360B46">
      <w:pPr>
        <w:pStyle w:val="20"/>
        <w:spacing w:line="520" w:lineRule="atLeast"/>
        <w:rPr>
          <w:rFonts w:hAnsi="宋体"/>
          <w:szCs w:val="24"/>
        </w:rPr>
      </w:pPr>
      <w:r w:rsidRPr="000532ED">
        <w:rPr>
          <w:rFonts w:hAnsi="宋体" w:hint="eastAsia"/>
          <w:szCs w:val="24"/>
        </w:rPr>
        <w:t>住所：广东省珠海市横琴新区宝华路6号105室-42891（集中办公区）</w:t>
      </w:r>
    </w:p>
    <w:p w14:paraId="52FAA4AE" w14:textId="77777777" w:rsidR="006E1A20" w:rsidRPr="000532ED" w:rsidRDefault="000E02E2" w:rsidP="00360B46">
      <w:pPr>
        <w:pStyle w:val="20"/>
        <w:spacing w:line="520" w:lineRule="atLeast"/>
        <w:rPr>
          <w:rFonts w:hAnsi="宋体"/>
          <w:szCs w:val="24"/>
        </w:rPr>
      </w:pPr>
      <w:r w:rsidRPr="000532ED">
        <w:rPr>
          <w:rFonts w:hAnsi="宋体" w:hint="eastAsia"/>
          <w:szCs w:val="24"/>
        </w:rPr>
        <w:t>法定代表人：刘晓艳</w:t>
      </w:r>
    </w:p>
    <w:p w14:paraId="748C8BB0" w14:textId="77777777" w:rsidR="006E1A20" w:rsidRPr="000532ED" w:rsidRDefault="000E02E2" w:rsidP="00360B46">
      <w:pPr>
        <w:pStyle w:val="20"/>
        <w:spacing w:line="520" w:lineRule="atLeast"/>
        <w:rPr>
          <w:rFonts w:hAnsi="宋体"/>
          <w:szCs w:val="24"/>
        </w:rPr>
      </w:pPr>
      <w:r w:rsidRPr="000532ED">
        <w:rPr>
          <w:rFonts w:hAnsi="宋体" w:hint="eastAsia"/>
          <w:szCs w:val="24"/>
        </w:rPr>
        <w:t>设立日期：2001年4月17日</w:t>
      </w:r>
    </w:p>
    <w:p w14:paraId="4ED7CF08" w14:textId="77777777" w:rsidR="006E1A20" w:rsidRPr="000532ED" w:rsidRDefault="000E02E2" w:rsidP="00360B46">
      <w:pPr>
        <w:pStyle w:val="20"/>
        <w:spacing w:line="520" w:lineRule="atLeast"/>
        <w:rPr>
          <w:rFonts w:hAnsi="宋体"/>
          <w:szCs w:val="24"/>
        </w:rPr>
      </w:pPr>
      <w:r w:rsidRPr="000532ED">
        <w:rPr>
          <w:rFonts w:hAnsi="宋体" w:hint="eastAsia"/>
          <w:szCs w:val="24"/>
        </w:rPr>
        <w:t>批准设立机关及批准设立文号：中国证券监督管理委员会，证监基金字[2001]4号</w:t>
      </w:r>
    </w:p>
    <w:p w14:paraId="482E358E" w14:textId="77777777" w:rsidR="006E1A20" w:rsidRPr="000532ED" w:rsidRDefault="000E02E2" w:rsidP="00360B46">
      <w:pPr>
        <w:pStyle w:val="20"/>
        <w:spacing w:line="520" w:lineRule="atLeast"/>
        <w:rPr>
          <w:rFonts w:hAnsi="宋体"/>
          <w:szCs w:val="24"/>
        </w:rPr>
      </w:pPr>
      <w:r w:rsidRPr="000532ED">
        <w:rPr>
          <w:rFonts w:hAnsi="宋体" w:hint="eastAsia"/>
          <w:szCs w:val="24"/>
        </w:rPr>
        <w:t>组织形式：有限责任公司</w:t>
      </w:r>
    </w:p>
    <w:p w14:paraId="2FC965A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注册资本：13,244.2万元人民币</w:t>
      </w:r>
    </w:p>
    <w:p w14:paraId="5C4D5BB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经营范围：</w:t>
      </w:r>
      <w:r w:rsidRPr="000532ED">
        <w:rPr>
          <w:rFonts w:hAnsi="宋体" w:hint="eastAsia"/>
          <w:bCs/>
        </w:rPr>
        <w:t>公开募集证券投资基金管理、基金销售、特定客户资产管理</w:t>
      </w:r>
    </w:p>
    <w:p w14:paraId="1EC416C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存续期间：</w:t>
      </w:r>
      <w:r w:rsidRPr="000532ED">
        <w:rPr>
          <w:rFonts w:hint="eastAsia"/>
          <w:bCs/>
        </w:rPr>
        <w:t>持续经营</w:t>
      </w:r>
    </w:p>
    <w:p w14:paraId="63A9C87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1.2基金托管人：</w:t>
      </w:r>
    </w:p>
    <w:p w14:paraId="037BB18F" w14:textId="77777777" w:rsidR="00D874CE" w:rsidRPr="000532ED" w:rsidRDefault="00D874CE" w:rsidP="00360B46">
      <w:pPr>
        <w:pStyle w:val="20"/>
        <w:spacing w:before="0" w:after="0" w:line="520" w:lineRule="atLeast"/>
        <w:ind w:left="0" w:firstLineChars="200" w:firstLine="480"/>
        <w:rPr>
          <w:rFonts w:hAnsi="宋体"/>
          <w:szCs w:val="24"/>
        </w:rPr>
      </w:pPr>
      <w:r w:rsidRPr="000532ED">
        <w:rPr>
          <w:rFonts w:hAnsi="宋体" w:hint="eastAsia"/>
          <w:szCs w:val="24"/>
        </w:rPr>
        <w:t>名称：中信银行股份有限公司</w:t>
      </w:r>
    </w:p>
    <w:p w14:paraId="3B575CE4" w14:textId="77777777" w:rsidR="00D874CE" w:rsidRPr="000532ED" w:rsidRDefault="00D874CE" w:rsidP="00360B46">
      <w:pPr>
        <w:pStyle w:val="20"/>
        <w:spacing w:before="0" w:after="0" w:line="520" w:lineRule="atLeast"/>
        <w:ind w:left="0" w:firstLineChars="200" w:firstLine="480"/>
        <w:rPr>
          <w:rFonts w:hAnsi="宋体"/>
          <w:szCs w:val="24"/>
        </w:rPr>
      </w:pPr>
      <w:r w:rsidRPr="000532ED">
        <w:rPr>
          <w:rFonts w:hAnsi="宋体" w:hint="eastAsia"/>
          <w:szCs w:val="24"/>
        </w:rPr>
        <w:t>住所：北京市朝阳区光华路</w:t>
      </w:r>
      <w:r w:rsidRPr="000532ED">
        <w:rPr>
          <w:rFonts w:hAnsi="宋体"/>
          <w:szCs w:val="24"/>
        </w:rPr>
        <w:t>10号院1号楼</w:t>
      </w:r>
    </w:p>
    <w:p w14:paraId="21937B89" w14:textId="77777777" w:rsidR="00D874CE" w:rsidRPr="000532ED" w:rsidRDefault="00D874CE" w:rsidP="00360B46">
      <w:pPr>
        <w:pStyle w:val="20"/>
        <w:spacing w:before="0" w:after="0" w:line="520" w:lineRule="atLeast"/>
        <w:ind w:left="0" w:firstLineChars="200" w:firstLine="480"/>
        <w:rPr>
          <w:rFonts w:hAnsi="宋体"/>
          <w:szCs w:val="24"/>
        </w:rPr>
      </w:pPr>
      <w:r w:rsidRPr="000532ED">
        <w:rPr>
          <w:rFonts w:hAnsi="宋体" w:hint="eastAsia"/>
          <w:szCs w:val="24"/>
        </w:rPr>
        <w:t>法定代表人：李庆萍</w:t>
      </w:r>
    </w:p>
    <w:p w14:paraId="31F6EF0B" w14:textId="77777777" w:rsidR="00D874CE" w:rsidRPr="000532ED" w:rsidRDefault="00D874CE" w:rsidP="00360B46">
      <w:pPr>
        <w:pStyle w:val="20"/>
        <w:spacing w:before="0" w:after="0" w:line="520" w:lineRule="atLeast"/>
        <w:ind w:left="0" w:firstLineChars="200" w:firstLine="480"/>
        <w:rPr>
          <w:rFonts w:hAnsi="宋体"/>
          <w:szCs w:val="24"/>
        </w:rPr>
      </w:pPr>
      <w:r w:rsidRPr="000532ED">
        <w:rPr>
          <w:rFonts w:hAnsi="宋体" w:hint="eastAsia"/>
          <w:szCs w:val="24"/>
        </w:rPr>
        <w:t>成立时间：</w:t>
      </w:r>
      <w:r w:rsidRPr="000532ED">
        <w:rPr>
          <w:rFonts w:hAnsi="宋体"/>
          <w:szCs w:val="24"/>
        </w:rPr>
        <w:t>1987年4月20日</w:t>
      </w:r>
    </w:p>
    <w:p w14:paraId="693D3C48" w14:textId="77777777" w:rsidR="00D874CE" w:rsidRPr="000532ED" w:rsidRDefault="00D874CE" w:rsidP="00360B46">
      <w:pPr>
        <w:pStyle w:val="20"/>
        <w:spacing w:before="0" w:after="0" w:line="520" w:lineRule="atLeast"/>
        <w:ind w:left="0" w:firstLineChars="200" w:firstLine="480"/>
        <w:rPr>
          <w:rFonts w:hAnsi="宋体"/>
          <w:szCs w:val="24"/>
        </w:rPr>
      </w:pPr>
      <w:r w:rsidRPr="000532ED">
        <w:rPr>
          <w:rFonts w:hAnsi="宋体" w:hint="eastAsia"/>
          <w:szCs w:val="24"/>
        </w:rPr>
        <w:t>批准设立文号：国办函</w:t>
      </w:r>
      <w:r w:rsidRPr="000532ED">
        <w:rPr>
          <w:rFonts w:hAnsi="宋体"/>
          <w:szCs w:val="24"/>
        </w:rPr>
        <w:t>[1987]14号</w:t>
      </w:r>
    </w:p>
    <w:p w14:paraId="6D3E7457" w14:textId="77777777" w:rsidR="00D874CE" w:rsidRPr="000532ED" w:rsidRDefault="00D874CE" w:rsidP="00360B46">
      <w:pPr>
        <w:pStyle w:val="20"/>
        <w:spacing w:before="0" w:after="0" w:line="520" w:lineRule="atLeast"/>
        <w:ind w:left="0" w:firstLineChars="200" w:firstLine="480"/>
        <w:rPr>
          <w:rFonts w:hAnsi="宋体"/>
          <w:szCs w:val="24"/>
        </w:rPr>
      </w:pPr>
      <w:r w:rsidRPr="000532ED">
        <w:rPr>
          <w:rFonts w:hAnsi="宋体" w:hint="eastAsia"/>
          <w:szCs w:val="24"/>
        </w:rPr>
        <w:t>基金托管业务批准文号：证监基金字</w:t>
      </w:r>
      <w:r w:rsidRPr="000532ED">
        <w:rPr>
          <w:rFonts w:hAnsi="宋体"/>
          <w:szCs w:val="24"/>
        </w:rPr>
        <w:t>[2004]125号</w:t>
      </w:r>
    </w:p>
    <w:p w14:paraId="100213D0" w14:textId="77777777" w:rsidR="00D874CE" w:rsidRPr="000532ED" w:rsidRDefault="00D874CE" w:rsidP="00360B46">
      <w:pPr>
        <w:pStyle w:val="20"/>
        <w:spacing w:before="0" w:after="0" w:line="520" w:lineRule="atLeast"/>
        <w:ind w:left="0" w:firstLineChars="200" w:firstLine="480"/>
        <w:rPr>
          <w:rFonts w:hAnsi="宋体"/>
          <w:szCs w:val="24"/>
        </w:rPr>
      </w:pPr>
      <w:r w:rsidRPr="000532ED">
        <w:rPr>
          <w:rFonts w:hAnsi="宋体" w:hint="eastAsia"/>
          <w:szCs w:val="24"/>
        </w:rPr>
        <w:t>组织形式：股份有限公司</w:t>
      </w:r>
    </w:p>
    <w:p w14:paraId="3ABEBCBF" w14:textId="77777777" w:rsidR="00D874CE" w:rsidRPr="000532ED" w:rsidRDefault="00D874CE" w:rsidP="00360B46">
      <w:pPr>
        <w:pStyle w:val="20"/>
        <w:spacing w:before="0" w:after="0" w:line="520" w:lineRule="atLeast"/>
        <w:ind w:left="0" w:firstLineChars="200" w:firstLine="480"/>
        <w:rPr>
          <w:rFonts w:hAnsi="宋体"/>
          <w:szCs w:val="24"/>
        </w:rPr>
      </w:pPr>
      <w:r w:rsidRPr="000532ED">
        <w:rPr>
          <w:rFonts w:hAnsi="宋体" w:hint="eastAsia"/>
          <w:szCs w:val="24"/>
        </w:rPr>
        <w:t>注册资本：</w:t>
      </w:r>
      <w:r w:rsidRPr="000532ED">
        <w:rPr>
          <w:rFonts w:hAnsi="宋体"/>
          <w:szCs w:val="24"/>
        </w:rPr>
        <w:t xml:space="preserve">4893479.6573万元 </w:t>
      </w:r>
    </w:p>
    <w:p w14:paraId="425BCF5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存续期间：持续经营</w:t>
      </w:r>
    </w:p>
    <w:p w14:paraId="572E2248" w14:textId="77777777" w:rsidR="006E1A20" w:rsidRPr="000532ED" w:rsidRDefault="000E02E2">
      <w:pPr>
        <w:pStyle w:val="1"/>
        <w:spacing w:line="520" w:lineRule="atLeast"/>
        <w:ind w:firstLineChars="200" w:firstLine="482"/>
        <w:rPr>
          <w:bCs/>
          <w:color w:val="auto"/>
          <w:szCs w:val="24"/>
        </w:rPr>
      </w:pPr>
      <w:bookmarkStart w:id="18" w:name="_Toc296551338"/>
      <w:bookmarkStart w:id="19" w:name="_Toc44321725"/>
      <w:r w:rsidRPr="000532ED">
        <w:rPr>
          <w:rFonts w:hint="eastAsia"/>
          <w:bCs/>
          <w:color w:val="auto"/>
          <w:szCs w:val="24"/>
        </w:rPr>
        <w:t>第二条 本协议的依据、目的和原则</w:t>
      </w:r>
      <w:bookmarkEnd w:id="18"/>
      <w:bookmarkEnd w:id="19"/>
    </w:p>
    <w:p w14:paraId="1FE610A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2.1本协议的依据</w:t>
      </w:r>
    </w:p>
    <w:p w14:paraId="5819B11B"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订立本协议的依据是《中华人民共和国证券投资基金法》（以下简称“《基金法》”）、《公开募集证券投资基金运作管理办法》（以下简称“《运作办法》”）、《公开</w:t>
      </w:r>
      <w:r w:rsidRPr="000532ED">
        <w:rPr>
          <w:rFonts w:hAnsi="宋体" w:hint="eastAsia"/>
          <w:szCs w:val="24"/>
        </w:rPr>
        <w:lastRenderedPageBreak/>
        <w:t>募集证券投资基金销售机构监督管理办法》（以下简称“《销售办法》”）、《公开</w:t>
      </w:r>
      <w:r w:rsidRPr="000532ED">
        <w:rPr>
          <w:rFonts w:hAnsi="宋体"/>
          <w:szCs w:val="24"/>
        </w:rPr>
        <w:t>募集</w:t>
      </w:r>
      <w:r w:rsidRPr="000532ED">
        <w:rPr>
          <w:rFonts w:hAnsi="宋体" w:hint="eastAsia"/>
          <w:szCs w:val="24"/>
        </w:rPr>
        <w:t>证券投资基金信息披露管理办法》（以下简称“《信息披露办法》”）、</w:t>
      </w:r>
      <w:r w:rsidRPr="000532ED">
        <w:rPr>
          <w:rFonts w:hint="eastAsia"/>
          <w:bCs/>
        </w:rPr>
        <w:t>《公开募集开放式证券投资基金流动性风险管理规定》（以下简称“《流动性风险管理规定》”）、</w:t>
      </w:r>
      <w:r w:rsidRPr="000532ED">
        <w:rPr>
          <w:rFonts w:hAnsi="宋体" w:hint="eastAsia"/>
          <w:szCs w:val="24"/>
        </w:rPr>
        <w:t>《证券投资基金信息披露内容与格式准则第7号〈托管协议的内容与格式〉》、《易方达悦信一年持有期混合型证券投资基金基金合同》（以下简称“基金合同”）及其他有关规定。</w:t>
      </w:r>
    </w:p>
    <w:p w14:paraId="6CAC3BDD" w14:textId="77777777" w:rsidR="006E1A20" w:rsidRPr="000532ED" w:rsidRDefault="000E02E2">
      <w:pPr>
        <w:pStyle w:val="20"/>
        <w:adjustRightInd w:val="0"/>
        <w:snapToGrid w:val="0"/>
        <w:spacing w:before="0" w:after="0" w:line="520" w:lineRule="atLeast"/>
        <w:ind w:left="0" w:firstLineChars="200" w:firstLine="480"/>
        <w:rPr>
          <w:rFonts w:hAnsi="宋体"/>
          <w:szCs w:val="24"/>
        </w:rPr>
      </w:pPr>
      <w:r w:rsidRPr="000532ED">
        <w:rPr>
          <w:rFonts w:hAnsi="宋体" w:hint="eastAsia"/>
          <w:szCs w:val="24"/>
        </w:rPr>
        <w:t>2.2本协议的目的</w:t>
      </w:r>
    </w:p>
    <w:p w14:paraId="26816C12" w14:textId="77777777" w:rsidR="006E1A20" w:rsidRPr="000532ED" w:rsidRDefault="000E02E2">
      <w:pPr>
        <w:pStyle w:val="20"/>
        <w:adjustRightInd w:val="0"/>
        <w:snapToGrid w:val="0"/>
        <w:spacing w:before="0" w:after="0" w:line="520" w:lineRule="atLeast"/>
        <w:ind w:left="0" w:firstLineChars="200" w:firstLine="480"/>
        <w:rPr>
          <w:rFonts w:hAnsi="宋体"/>
          <w:szCs w:val="24"/>
        </w:rPr>
      </w:pPr>
      <w:r w:rsidRPr="000532ED">
        <w:rPr>
          <w:rFonts w:hAnsi="宋体"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4E1BBFD6" w14:textId="77777777" w:rsidR="006E1A20" w:rsidRPr="000532ED" w:rsidRDefault="000E02E2">
      <w:pPr>
        <w:pStyle w:val="20"/>
        <w:adjustRightInd w:val="0"/>
        <w:snapToGrid w:val="0"/>
        <w:spacing w:before="0" w:after="0" w:line="520" w:lineRule="atLeast"/>
        <w:ind w:left="0" w:firstLineChars="200" w:firstLine="480"/>
        <w:rPr>
          <w:rFonts w:hAnsi="宋体"/>
          <w:szCs w:val="24"/>
        </w:rPr>
      </w:pPr>
      <w:r w:rsidRPr="000532ED">
        <w:rPr>
          <w:rFonts w:hAnsi="宋体" w:hint="eastAsia"/>
          <w:szCs w:val="24"/>
        </w:rPr>
        <w:t>2.3本协议的原则</w:t>
      </w:r>
    </w:p>
    <w:p w14:paraId="199B51A8" w14:textId="77777777" w:rsidR="006E1A20" w:rsidRPr="000532ED" w:rsidRDefault="000E02E2">
      <w:pPr>
        <w:pStyle w:val="20"/>
        <w:adjustRightInd w:val="0"/>
        <w:snapToGrid w:val="0"/>
        <w:spacing w:before="0" w:after="0" w:line="520" w:lineRule="atLeast"/>
        <w:ind w:left="0" w:firstLineChars="200" w:firstLine="480"/>
        <w:rPr>
          <w:rFonts w:hAnsi="宋体"/>
          <w:szCs w:val="24"/>
        </w:rPr>
      </w:pPr>
      <w:r w:rsidRPr="000532ED">
        <w:rPr>
          <w:rFonts w:hAnsi="宋体" w:hint="eastAsia"/>
          <w:szCs w:val="24"/>
        </w:rPr>
        <w:t>基金管理人和基金托管人本着平等自愿、诚实信用、充分保护基金份额持有人合法权益的原则，经协商一致，签订本协议。</w:t>
      </w:r>
    </w:p>
    <w:p w14:paraId="7698567F" w14:textId="77777777" w:rsidR="006E1A20" w:rsidRPr="000532ED" w:rsidRDefault="000E02E2">
      <w:pPr>
        <w:pStyle w:val="1"/>
        <w:adjustRightInd w:val="0"/>
        <w:spacing w:line="520" w:lineRule="atLeast"/>
        <w:ind w:firstLineChars="200" w:firstLine="482"/>
        <w:rPr>
          <w:bCs/>
          <w:color w:val="auto"/>
          <w:szCs w:val="24"/>
        </w:rPr>
      </w:pPr>
      <w:bookmarkStart w:id="20" w:name="_Toc296551339"/>
      <w:bookmarkStart w:id="21" w:name="_Toc44321726"/>
      <w:r w:rsidRPr="000532ED">
        <w:rPr>
          <w:rFonts w:hint="eastAsia"/>
          <w:bCs/>
          <w:color w:val="auto"/>
          <w:szCs w:val="24"/>
        </w:rPr>
        <w:t>第三条 基金托管人对基金管理人的业务监督和核查</w:t>
      </w:r>
      <w:bookmarkEnd w:id="20"/>
      <w:bookmarkEnd w:id="21"/>
    </w:p>
    <w:p w14:paraId="4D3B3661" w14:textId="77777777" w:rsidR="006E1A20" w:rsidRPr="000532ED" w:rsidRDefault="000E02E2">
      <w:pPr>
        <w:pStyle w:val="20"/>
        <w:adjustRightInd w:val="0"/>
        <w:snapToGrid w:val="0"/>
        <w:spacing w:before="0" w:after="0" w:line="520" w:lineRule="atLeast"/>
        <w:ind w:left="0" w:firstLineChars="200" w:firstLine="480"/>
        <w:rPr>
          <w:rFonts w:hAnsi="宋体"/>
          <w:szCs w:val="24"/>
        </w:rPr>
      </w:pPr>
      <w:r w:rsidRPr="000532ED">
        <w:rPr>
          <w:rFonts w:hAnsi="宋体" w:hint="eastAsia"/>
          <w:szCs w:val="24"/>
        </w:rPr>
        <w:t>3.1基金托管人对基金管理人的投资行为行使监督权</w:t>
      </w:r>
    </w:p>
    <w:p w14:paraId="73A204F9" w14:textId="77777777" w:rsidR="006E1A20" w:rsidRPr="000532ED" w:rsidRDefault="000E02E2">
      <w:pPr>
        <w:pStyle w:val="20"/>
        <w:adjustRightInd w:val="0"/>
        <w:snapToGrid w:val="0"/>
        <w:spacing w:before="0" w:after="0" w:line="520" w:lineRule="atLeast"/>
        <w:ind w:left="0" w:firstLineChars="200" w:firstLine="480"/>
        <w:rPr>
          <w:rFonts w:hAnsi="宋体"/>
          <w:szCs w:val="24"/>
        </w:rPr>
      </w:pPr>
      <w:r w:rsidRPr="000532ED">
        <w:rPr>
          <w:rFonts w:hAnsi="宋体" w:hint="eastAsia"/>
          <w:szCs w:val="24"/>
        </w:rPr>
        <w:t>3.1.1基金托管人根据有关法律法规的规定和基金合同的约定，对下述基金投资范围、投资对象进行监督。本基金将投资于以下金融工具：</w:t>
      </w:r>
    </w:p>
    <w:p w14:paraId="29A5A737" w14:textId="77777777" w:rsidR="006E1A20" w:rsidRPr="000532ED" w:rsidRDefault="000E02E2" w:rsidP="004F25D5">
      <w:pPr>
        <w:pStyle w:val="20"/>
        <w:adjustRightInd w:val="0"/>
        <w:snapToGrid w:val="0"/>
        <w:spacing w:before="0" w:after="0" w:line="520" w:lineRule="atLeast"/>
        <w:ind w:left="0" w:firstLineChars="200" w:firstLine="480"/>
        <w:rPr>
          <w:rFonts w:hAnsi="宋体"/>
          <w:szCs w:val="24"/>
        </w:rPr>
      </w:pPr>
      <w:r w:rsidRPr="000532ED">
        <w:rPr>
          <w:rFonts w:hAnsi="宋体" w:hint="eastAsia"/>
          <w:szCs w:val="24"/>
        </w:rPr>
        <w:t xml:space="preserve">本基金的投资范围包括具有良好流动性的金融工具，包括：                                                              </w:t>
      </w:r>
    </w:p>
    <w:p w14:paraId="530CAC0A" w14:textId="77777777" w:rsidR="006E1A20" w:rsidRPr="000532ED" w:rsidRDefault="000E02E2" w:rsidP="004F25D5">
      <w:pPr>
        <w:pStyle w:val="20"/>
        <w:adjustRightInd w:val="0"/>
        <w:snapToGrid w:val="0"/>
        <w:spacing w:before="0" w:after="0" w:line="520" w:lineRule="atLeast"/>
        <w:ind w:left="0" w:firstLineChars="200" w:firstLine="480"/>
        <w:rPr>
          <w:rFonts w:hAnsi="宋体"/>
          <w:szCs w:val="24"/>
        </w:rPr>
      </w:pPr>
      <w:r w:rsidRPr="000532ED">
        <w:rPr>
          <w:rFonts w:hAnsi="宋体" w:hint="eastAsia"/>
          <w:szCs w:val="24"/>
        </w:rPr>
        <w:t>内地依法发行上市的股票（含中小板、创业板及其他依法发行、上市的股票、存托凭证）、内地与香港股票市场交易互联互通机制允许买卖的香港证券市场股票（以下简称“港股通股票”）、内地依法发行、上市的债券（包括国债、央行票据、地方政府债、金融债、企业债、公司债、次级债、中期票据、短期融资券、可转换债券、可交换债券、证券公司短期公司债券等）、资产支持证券、债券回购、银行存款、同业存单、货币市场工具、股指期货、国债期货、股票期权及法律法规或中国证监会允许基金投资的其他金融工具。</w:t>
      </w:r>
      <w:r w:rsidRPr="000532ED">
        <w:rPr>
          <w:rFonts w:hAnsi="宋体"/>
          <w:szCs w:val="24"/>
        </w:rPr>
        <w:t xml:space="preserve">                                                                                                                            </w:t>
      </w:r>
    </w:p>
    <w:p w14:paraId="2830EB47" w14:textId="77777777" w:rsidR="006E1A20" w:rsidRPr="000532ED" w:rsidRDefault="000E02E2">
      <w:pPr>
        <w:spacing w:line="520" w:lineRule="atLeast"/>
        <w:ind w:firstLine="480"/>
        <w:rPr>
          <w:rFonts w:ascii="宋体" w:hAnsi="宋体"/>
          <w:sz w:val="24"/>
          <w:szCs w:val="24"/>
        </w:rPr>
      </w:pPr>
      <w:r w:rsidRPr="000532ED">
        <w:rPr>
          <w:rFonts w:ascii="宋体" w:hAnsi="宋体" w:hint="eastAsia"/>
          <w:sz w:val="24"/>
          <w:szCs w:val="24"/>
        </w:rPr>
        <w:t>本基金各类资产的投资比例范围为：</w:t>
      </w:r>
    </w:p>
    <w:p w14:paraId="77BECEFE" w14:textId="77777777" w:rsidR="006E1A20" w:rsidRPr="000532ED" w:rsidRDefault="000E02E2">
      <w:pPr>
        <w:spacing w:line="520" w:lineRule="atLeast"/>
        <w:ind w:firstLine="480"/>
        <w:rPr>
          <w:rFonts w:ascii="宋体" w:hAnsi="宋体"/>
          <w:sz w:val="24"/>
          <w:szCs w:val="24"/>
        </w:rPr>
      </w:pPr>
      <w:r w:rsidRPr="000532ED">
        <w:rPr>
          <w:rFonts w:hint="eastAsia"/>
          <w:sz w:val="24"/>
        </w:rPr>
        <w:t>本基金投资于股票资产的比例不高于基金资产的</w:t>
      </w:r>
      <w:r w:rsidRPr="000532ED">
        <w:rPr>
          <w:rFonts w:hint="eastAsia"/>
          <w:sz w:val="24"/>
        </w:rPr>
        <w:t>30%</w:t>
      </w:r>
      <w:r w:rsidRPr="000532ED">
        <w:rPr>
          <w:rFonts w:hint="eastAsia"/>
          <w:sz w:val="24"/>
        </w:rPr>
        <w:t>（其中港股通股票不超过股票资产的</w:t>
      </w:r>
      <w:r w:rsidRPr="000532ED">
        <w:rPr>
          <w:rFonts w:hint="eastAsia"/>
          <w:sz w:val="24"/>
        </w:rPr>
        <w:t>50%</w:t>
      </w:r>
      <w:r w:rsidRPr="000532ED">
        <w:rPr>
          <w:rFonts w:hint="eastAsia"/>
          <w:sz w:val="24"/>
        </w:rPr>
        <w:t>）；本基金投资同业存单的比例不超过基金资产的</w:t>
      </w:r>
      <w:r w:rsidRPr="000532ED">
        <w:rPr>
          <w:rFonts w:hint="eastAsia"/>
          <w:sz w:val="24"/>
        </w:rPr>
        <w:t>20%</w:t>
      </w:r>
      <w:r w:rsidRPr="000532ED">
        <w:rPr>
          <w:rFonts w:hint="eastAsia"/>
          <w:sz w:val="24"/>
        </w:rPr>
        <w:t>；每个交易</w:t>
      </w:r>
      <w:r w:rsidRPr="000532ED">
        <w:rPr>
          <w:rFonts w:hint="eastAsia"/>
          <w:sz w:val="24"/>
        </w:rPr>
        <w:lastRenderedPageBreak/>
        <w:t>日日终，扣除股指期货、国债期货、</w:t>
      </w:r>
      <w:r w:rsidRPr="000532ED">
        <w:rPr>
          <w:sz w:val="24"/>
        </w:rPr>
        <w:t>股票期权</w:t>
      </w:r>
      <w:r w:rsidRPr="000532ED">
        <w:rPr>
          <w:rFonts w:hint="eastAsia"/>
          <w:sz w:val="24"/>
        </w:rPr>
        <w:t>合约需缴纳的交易保证金后，现金或到期日在一年以内的政府债券不低于基金资产净值的</w:t>
      </w:r>
      <w:r w:rsidRPr="000532ED">
        <w:rPr>
          <w:rFonts w:hint="eastAsia"/>
          <w:sz w:val="24"/>
        </w:rPr>
        <w:t>5%</w:t>
      </w:r>
      <w:r w:rsidRPr="000532ED">
        <w:rPr>
          <w:rFonts w:hint="eastAsia"/>
          <w:sz w:val="24"/>
        </w:rPr>
        <w:t>，现金不包括结算备付金、存出保证金、应收申购款等。股指期货、国债期货、股票期权及其他金融工具的投资比例依照法律法规或监管机构的规定执行。</w:t>
      </w:r>
      <w:r w:rsidRPr="000532ED">
        <w:rPr>
          <w:rFonts w:ascii="宋体" w:hAnsi="宋体"/>
          <w:sz w:val="24"/>
          <w:szCs w:val="24"/>
        </w:rPr>
        <w:t xml:space="preserve">                                                                                                                                </w:t>
      </w:r>
    </w:p>
    <w:p w14:paraId="6E17DC0F" w14:textId="77777777" w:rsidR="006E1A20" w:rsidRPr="000532ED" w:rsidRDefault="000E02E2">
      <w:pPr>
        <w:spacing w:line="520" w:lineRule="atLeast"/>
        <w:ind w:firstLine="480"/>
        <w:rPr>
          <w:rFonts w:ascii="宋体" w:hAnsi="宋体"/>
          <w:sz w:val="24"/>
        </w:rPr>
      </w:pPr>
      <w:r w:rsidRPr="000532ED">
        <w:rPr>
          <w:rFonts w:ascii="宋体" w:hAnsi="宋体" w:hint="eastAsia"/>
          <w:sz w:val="24"/>
        </w:rPr>
        <w:t>如法律法规或监管机构以后允许基金投资其他品种，基金管理人在履行适当程序后，可以将其纳入投资范围</w:t>
      </w:r>
      <w:r w:rsidRPr="000532ED">
        <w:rPr>
          <w:rFonts w:ascii="宋体" w:hAnsi="宋体" w:hint="eastAsia"/>
          <w:sz w:val="24"/>
          <w:szCs w:val="24"/>
        </w:rPr>
        <w:t>，并可依据届时有效的法律法规适时合理地调整投资</w:t>
      </w:r>
      <w:r w:rsidRPr="000532ED">
        <w:rPr>
          <w:rFonts w:ascii="宋体" w:hAnsi="宋体" w:hint="eastAsia"/>
          <w:sz w:val="24"/>
        </w:rPr>
        <w:t>范围。</w:t>
      </w:r>
    </w:p>
    <w:p w14:paraId="246219F8" w14:textId="77777777" w:rsidR="006E1A20" w:rsidRPr="000532ED" w:rsidRDefault="000E02E2" w:rsidP="004F25D5">
      <w:pPr>
        <w:spacing w:line="520" w:lineRule="atLeast"/>
        <w:ind w:firstLine="480"/>
        <w:rPr>
          <w:rFonts w:ascii="宋体" w:hAnsi="宋体"/>
          <w:sz w:val="24"/>
        </w:rPr>
      </w:pPr>
      <w:r w:rsidRPr="000532ED">
        <w:rPr>
          <w:rFonts w:ascii="宋体" w:hAnsi="宋体" w:hint="eastAsia"/>
          <w:sz w:val="24"/>
        </w:rPr>
        <w:t xml:space="preserve"> 3.1.2基金托管人根据有关法律法规的规定及基金合同的约定对下述基金投融资比例进行监督：  </w:t>
      </w:r>
    </w:p>
    <w:p w14:paraId="628B15EF" w14:textId="77777777" w:rsidR="006E1A20" w:rsidRPr="000532ED" w:rsidRDefault="000E02E2" w:rsidP="004F25D5">
      <w:pPr>
        <w:spacing w:line="520" w:lineRule="atLeast"/>
        <w:ind w:firstLine="480"/>
        <w:rPr>
          <w:rFonts w:ascii="宋体" w:hAnsi="宋体"/>
          <w:sz w:val="24"/>
        </w:rPr>
      </w:pPr>
      <w:r w:rsidRPr="000532ED">
        <w:rPr>
          <w:rFonts w:ascii="宋体" w:hAnsi="宋体"/>
          <w:sz w:val="24"/>
        </w:rPr>
        <w:t>（1）</w:t>
      </w:r>
      <w:r w:rsidRPr="000532ED">
        <w:rPr>
          <w:rFonts w:ascii="宋体" w:hAnsi="宋体" w:hint="eastAsia"/>
          <w:sz w:val="24"/>
        </w:rPr>
        <w:t>本基金投资于股票资产的比例不高于基金资产的30%（其中港股通股票不超过股票资产的50%）；本基金投资同业存单的比例不超过基金资产的20%；</w:t>
      </w:r>
    </w:p>
    <w:p w14:paraId="0CD55FAC" w14:textId="77777777" w:rsidR="006E1A20" w:rsidRPr="000532ED" w:rsidRDefault="000E02E2" w:rsidP="004F25D5">
      <w:pPr>
        <w:spacing w:line="520" w:lineRule="atLeast"/>
        <w:ind w:firstLine="480"/>
        <w:rPr>
          <w:rFonts w:ascii="宋体" w:hAnsi="宋体"/>
          <w:sz w:val="24"/>
        </w:rPr>
      </w:pPr>
      <w:r w:rsidRPr="000532ED">
        <w:rPr>
          <w:rFonts w:ascii="宋体" w:hAnsi="宋体" w:hint="eastAsia"/>
          <w:sz w:val="24"/>
        </w:rPr>
        <w:t>（</w:t>
      </w:r>
      <w:r w:rsidRPr="000532ED">
        <w:rPr>
          <w:rFonts w:ascii="宋体" w:hAnsi="宋体"/>
          <w:sz w:val="24"/>
        </w:rPr>
        <w:t>2）</w:t>
      </w:r>
      <w:r w:rsidRPr="000532ED">
        <w:rPr>
          <w:rFonts w:ascii="宋体" w:hAnsi="宋体" w:hint="eastAsia"/>
          <w:sz w:val="24"/>
        </w:rPr>
        <w:t>每个交易日日终，扣除股指期货、国债期货、</w:t>
      </w:r>
      <w:r w:rsidRPr="000532ED">
        <w:rPr>
          <w:rFonts w:ascii="宋体" w:hAnsi="宋体"/>
          <w:sz w:val="24"/>
        </w:rPr>
        <w:t>股票期权</w:t>
      </w:r>
      <w:r w:rsidRPr="000532ED">
        <w:rPr>
          <w:rFonts w:ascii="宋体" w:hAnsi="宋体" w:hint="eastAsia"/>
          <w:sz w:val="24"/>
        </w:rPr>
        <w:t>合约需缴纳的交易保证金后，保持不低于基金资产净值</w:t>
      </w:r>
      <w:r w:rsidRPr="000532ED">
        <w:rPr>
          <w:rFonts w:ascii="宋体" w:hAnsi="宋体"/>
          <w:sz w:val="24"/>
        </w:rPr>
        <w:t>5</w:t>
      </w:r>
      <w:r w:rsidRPr="000532ED">
        <w:rPr>
          <w:rFonts w:ascii="宋体" w:hAnsi="宋体" w:hint="eastAsia"/>
          <w:sz w:val="24"/>
        </w:rPr>
        <w:t>％的现金或者到期日在一年以内的政府债券，其中现金不包括结算备付金、存出保证金和应收申购款等；</w:t>
      </w:r>
    </w:p>
    <w:p w14:paraId="70C407E6" w14:textId="77777777" w:rsidR="006E1A20" w:rsidRPr="000532ED" w:rsidRDefault="000E02E2" w:rsidP="004F25D5">
      <w:pPr>
        <w:spacing w:line="520" w:lineRule="atLeast"/>
        <w:ind w:firstLine="480"/>
        <w:rPr>
          <w:rFonts w:ascii="宋体" w:hAnsi="宋体"/>
          <w:sz w:val="24"/>
        </w:rPr>
      </w:pPr>
      <w:r w:rsidRPr="000532ED">
        <w:rPr>
          <w:rFonts w:ascii="宋体" w:hAnsi="宋体"/>
          <w:sz w:val="24"/>
        </w:rPr>
        <w:t>（</w:t>
      </w:r>
      <w:r w:rsidRPr="000532ED">
        <w:rPr>
          <w:rFonts w:ascii="宋体" w:hAnsi="宋体" w:hint="eastAsia"/>
          <w:sz w:val="24"/>
        </w:rPr>
        <w:t>3</w:t>
      </w:r>
      <w:r w:rsidRPr="000532ED">
        <w:rPr>
          <w:rFonts w:ascii="宋体" w:hAnsi="宋体"/>
          <w:sz w:val="24"/>
        </w:rPr>
        <w:t>）本基金持有一家公司</w:t>
      </w:r>
      <w:r w:rsidRPr="000532ED">
        <w:rPr>
          <w:rFonts w:ascii="宋体" w:hAnsi="宋体" w:hint="eastAsia"/>
          <w:sz w:val="24"/>
        </w:rPr>
        <w:t>发行</w:t>
      </w:r>
      <w:r w:rsidRPr="000532ED">
        <w:rPr>
          <w:rFonts w:ascii="宋体" w:hAnsi="宋体"/>
          <w:sz w:val="24"/>
        </w:rPr>
        <w:t>的</w:t>
      </w:r>
      <w:r w:rsidRPr="000532ED">
        <w:rPr>
          <w:rFonts w:ascii="宋体" w:hAnsi="宋体" w:hint="eastAsia"/>
          <w:sz w:val="24"/>
        </w:rPr>
        <w:t>证券</w:t>
      </w:r>
      <w:r w:rsidRPr="000532ED">
        <w:rPr>
          <w:rFonts w:ascii="宋体" w:hAnsi="宋体"/>
          <w:sz w:val="24"/>
        </w:rPr>
        <w:t>，其市值不超过基金资产净值的10％；</w:t>
      </w:r>
    </w:p>
    <w:p w14:paraId="2B6FE829" w14:textId="77777777" w:rsidR="006E1A20" w:rsidRPr="000532ED" w:rsidRDefault="000E02E2" w:rsidP="004F25D5">
      <w:pPr>
        <w:spacing w:line="520" w:lineRule="atLeast"/>
        <w:ind w:firstLine="480"/>
        <w:rPr>
          <w:rFonts w:ascii="宋体" w:hAnsi="宋体"/>
          <w:sz w:val="24"/>
        </w:rPr>
      </w:pPr>
      <w:r w:rsidRPr="000532ED">
        <w:rPr>
          <w:rFonts w:ascii="宋体" w:hAnsi="宋体"/>
          <w:sz w:val="24"/>
        </w:rPr>
        <w:t>（</w:t>
      </w:r>
      <w:r w:rsidRPr="000532ED">
        <w:rPr>
          <w:rFonts w:ascii="宋体" w:hAnsi="宋体" w:hint="eastAsia"/>
          <w:sz w:val="24"/>
        </w:rPr>
        <w:t>4</w:t>
      </w:r>
      <w:r w:rsidRPr="000532ED">
        <w:rPr>
          <w:rFonts w:ascii="宋体" w:hAnsi="宋体"/>
          <w:sz w:val="24"/>
        </w:rPr>
        <w:t>）本基金管理人管理的全部基金持有一家公司发行的证券，不超过该证券的10％</w:t>
      </w:r>
      <w:r w:rsidRPr="000532ED">
        <w:rPr>
          <w:rFonts w:ascii="宋体" w:hAnsi="宋体" w:hint="eastAsia"/>
          <w:sz w:val="24"/>
        </w:rPr>
        <w:t>，完全按照有关指数的构成比例进行证券投资的基金品种可以不受此条款规定的比例限制</w:t>
      </w:r>
      <w:r w:rsidRPr="000532ED">
        <w:rPr>
          <w:rFonts w:ascii="宋体" w:hAnsi="宋体"/>
          <w:sz w:val="24"/>
        </w:rPr>
        <w:t>；</w:t>
      </w:r>
    </w:p>
    <w:p w14:paraId="7F2A2C0E" w14:textId="77777777" w:rsidR="006E1A20" w:rsidRPr="000532ED" w:rsidRDefault="000E02E2" w:rsidP="004F25D5">
      <w:pPr>
        <w:spacing w:line="520" w:lineRule="atLeast"/>
        <w:ind w:firstLine="480"/>
        <w:rPr>
          <w:rFonts w:ascii="宋体" w:hAnsi="宋体"/>
          <w:sz w:val="24"/>
        </w:rPr>
      </w:pPr>
      <w:r w:rsidRPr="000532ED">
        <w:rPr>
          <w:rFonts w:ascii="宋体" w:hAnsi="宋体"/>
          <w:sz w:val="24"/>
        </w:rPr>
        <w:t>（</w:t>
      </w:r>
      <w:r w:rsidRPr="000532ED">
        <w:rPr>
          <w:rFonts w:ascii="宋体" w:hAnsi="宋体" w:hint="eastAsia"/>
          <w:sz w:val="24"/>
        </w:rPr>
        <w:t>5</w:t>
      </w:r>
      <w:r w:rsidRPr="000532ED">
        <w:rPr>
          <w:rFonts w:ascii="宋体" w:hAnsi="宋体"/>
          <w:sz w:val="24"/>
        </w:rPr>
        <w:t>）本基金投资于同一原始权益人的各类资产支持证券的比例，不得超过基金资产净值的10％；</w:t>
      </w:r>
    </w:p>
    <w:p w14:paraId="0FE91A03" w14:textId="77777777" w:rsidR="006E1A20" w:rsidRPr="000532ED" w:rsidRDefault="000E02E2" w:rsidP="004F25D5">
      <w:pPr>
        <w:spacing w:line="520" w:lineRule="atLeast"/>
        <w:ind w:firstLine="480"/>
        <w:rPr>
          <w:rFonts w:ascii="宋体" w:hAnsi="宋体"/>
          <w:sz w:val="24"/>
        </w:rPr>
      </w:pPr>
      <w:r w:rsidRPr="000532ED">
        <w:rPr>
          <w:rFonts w:ascii="宋体" w:hAnsi="宋体"/>
          <w:sz w:val="24"/>
        </w:rPr>
        <w:t>（</w:t>
      </w:r>
      <w:r w:rsidRPr="000532ED">
        <w:rPr>
          <w:rFonts w:ascii="宋体" w:hAnsi="宋体" w:hint="eastAsia"/>
          <w:sz w:val="24"/>
        </w:rPr>
        <w:t>6</w:t>
      </w:r>
      <w:r w:rsidRPr="000532ED">
        <w:rPr>
          <w:rFonts w:ascii="宋体" w:hAnsi="宋体"/>
          <w:sz w:val="24"/>
        </w:rPr>
        <w:t>）本基金持有的全部资产支持证券，其市值不得超过基金资产净值的20％；</w:t>
      </w:r>
    </w:p>
    <w:p w14:paraId="7C97A18E" w14:textId="77777777" w:rsidR="006E1A20" w:rsidRPr="000532ED" w:rsidRDefault="000E02E2" w:rsidP="004F25D5">
      <w:pPr>
        <w:spacing w:line="520" w:lineRule="atLeast"/>
        <w:ind w:firstLine="480"/>
        <w:rPr>
          <w:rFonts w:ascii="宋体" w:hAnsi="宋体"/>
          <w:sz w:val="24"/>
        </w:rPr>
      </w:pPr>
      <w:r w:rsidRPr="000532ED">
        <w:rPr>
          <w:rFonts w:ascii="宋体" w:hAnsi="宋体"/>
          <w:sz w:val="24"/>
        </w:rPr>
        <w:t>（7）本基金持有的同一(指同一信用级别)资产支持证券的比例，不得超过该资产支持证券规模的10％；</w:t>
      </w:r>
    </w:p>
    <w:p w14:paraId="601DB4D4" w14:textId="77777777" w:rsidR="006E1A20" w:rsidRPr="000532ED" w:rsidRDefault="000E02E2" w:rsidP="004F25D5">
      <w:pPr>
        <w:spacing w:line="520" w:lineRule="atLeast"/>
        <w:ind w:firstLine="480"/>
        <w:rPr>
          <w:rFonts w:ascii="宋体" w:hAnsi="宋体"/>
          <w:sz w:val="24"/>
        </w:rPr>
      </w:pPr>
      <w:r w:rsidRPr="000532ED">
        <w:rPr>
          <w:rFonts w:ascii="宋体" w:hAnsi="宋体"/>
          <w:sz w:val="24"/>
        </w:rPr>
        <w:t>（8）本基金管理人管理的全部基金投资于同一原始权益人的各类资产支持证券，不得超过其各类资产支持证券合计规模的10％；</w:t>
      </w:r>
    </w:p>
    <w:p w14:paraId="6EAF06C0" w14:textId="77777777" w:rsidR="006E1A20" w:rsidRPr="000532ED" w:rsidRDefault="000E02E2" w:rsidP="004F25D5">
      <w:pPr>
        <w:spacing w:line="520" w:lineRule="atLeast"/>
        <w:ind w:firstLine="480"/>
        <w:rPr>
          <w:rFonts w:ascii="宋体" w:hAnsi="宋体"/>
          <w:sz w:val="24"/>
        </w:rPr>
      </w:pPr>
      <w:r w:rsidRPr="000532ED">
        <w:rPr>
          <w:rFonts w:ascii="宋体" w:hAnsi="宋体"/>
          <w:sz w:val="24"/>
        </w:rPr>
        <w:t>（9）本基金应投资于信用级别评级为BBB以上(含BBB)的资产支持证券。基金持有资产支持证券期间，如果其信用等级下降、不再符合投资标准，应在评级报告发布之日起3个月内予以全部卖出；</w:t>
      </w:r>
    </w:p>
    <w:p w14:paraId="4BA2D681" w14:textId="77777777" w:rsidR="006E1A20" w:rsidRPr="000532ED" w:rsidRDefault="000E02E2" w:rsidP="004F25D5">
      <w:pPr>
        <w:spacing w:line="520" w:lineRule="atLeast"/>
        <w:ind w:firstLine="480"/>
        <w:rPr>
          <w:rFonts w:ascii="宋体" w:hAnsi="宋体"/>
          <w:sz w:val="24"/>
        </w:rPr>
      </w:pPr>
      <w:r w:rsidRPr="000532ED">
        <w:rPr>
          <w:rFonts w:ascii="宋体" w:hAnsi="宋体"/>
          <w:sz w:val="24"/>
        </w:rPr>
        <w:lastRenderedPageBreak/>
        <w:t>（1</w:t>
      </w:r>
      <w:r w:rsidRPr="000532ED">
        <w:rPr>
          <w:rFonts w:ascii="宋体" w:hAnsi="宋体" w:hint="eastAsia"/>
          <w:sz w:val="24"/>
        </w:rPr>
        <w:t>0</w:t>
      </w:r>
      <w:r w:rsidRPr="000532ED">
        <w:rPr>
          <w:rFonts w:ascii="宋体" w:hAnsi="宋体"/>
          <w:sz w:val="24"/>
        </w:rPr>
        <w:t>）基金财产参与股票发行申购，本基金所申报的金额不超过本基金的总资产，本基金所申报的股票数量不超过拟发行股票公司本次发行股票的总量；</w:t>
      </w:r>
    </w:p>
    <w:p w14:paraId="410BFC4A" w14:textId="77777777" w:rsidR="006E1A20" w:rsidRPr="000532ED" w:rsidRDefault="000E02E2" w:rsidP="004F25D5">
      <w:pPr>
        <w:spacing w:line="520" w:lineRule="atLeast"/>
        <w:ind w:firstLine="480"/>
        <w:rPr>
          <w:rFonts w:ascii="宋体" w:hAnsi="宋体"/>
          <w:sz w:val="24"/>
        </w:rPr>
      </w:pPr>
      <w:r w:rsidRPr="000532ED">
        <w:rPr>
          <w:rFonts w:ascii="宋体" w:hAnsi="宋体"/>
          <w:sz w:val="24"/>
        </w:rPr>
        <w:t>（1</w:t>
      </w:r>
      <w:r w:rsidRPr="000532ED">
        <w:rPr>
          <w:rFonts w:ascii="宋体" w:hAnsi="宋体" w:hint="eastAsia"/>
          <w:sz w:val="24"/>
        </w:rPr>
        <w:t>1</w:t>
      </w:r>
      <w:r w:rsidRPr="000532ED">
        <w:rPr>
          <w:rFonts w:ascii="宋体" w:hAnsi="宋体"/>
          <w:sz w:val="24"/>
        </w:rPr>
        <w:t>）本基金进入全国银行间同业市场进行债券回购的资金余额不得超过基金资产净值的40%</w:t>
      </w:r>
      <w:r w:rsidRPr="000532ED">
        <w:rPr>
          <w:rFonts w:ascii="宋体" w:hAnsi="宋体" w:hint="eastAsia"/>
          <w:sz w:val="24"/>
        </w:rPr>
        <w:t>，进入全国银行间同业市场进行债券回购的最长期限为1年，债券回购到期后不得展期</w:t>
      </w:r>
      <w:r w:rsidRPr="000532ED">
        <w:rPr>
          <w:rFonts w:ascii="宋体" w:hAnsi="宋体"/>
          <w:sz w:val="24"/>
        </w:rPr>
        <w:t>；</w:t>
      </w:r>
    </w:p>
    <w:p w14:paraId="03DA6C2B" w14:textId="77777777" w:rsidR="006E1A20" w:rsidRPr="000532ED" w:rsidRDefault="000E02E2" w:rsidP="004F25D5">
      <w:pPr>
        <w:spacing w:line="520" w:lineRule="atLeast"/>
        <w:ind w:firstLine="480"/>
        <w:rPr>
          <w:rFonts w:ascii="宋体" w:hAnsi="宋体"/>
          <w:sz w:val="24"/>
        </w:rPr>
      </w:pPr>
      <w:r w:rsidRPr="000532ED">
        <w:rPr>
          <w:rFonts w:ascii="宋体" w:hAnsi="宋体"/>
          <w:sz w:val="24"/>
        </w:rPr>
        <w:t>（12）本基金</w:t>
      </w:r>
      <w:r w:rsidRPr="000532ED">
        <w:rPr>
          <w:rFonts w:ascii="宋体" w:hAnsi="宋体" w:hint="eastAsia"/>
          <w:sz w:val="24"/>
        </w:rPr>
        <w:t>管理人管理的全部开放式基金持有一家上市公司发行的可流通股票，不得超过该上市公司可流通股票的15%</w:t>
      </w:r>
      <w:r w:rsidRPr="000532ED">
        <w:rPr>
          <w:rFonts w:ascii="宋体" w:hAnsi="宋体"/>
          <w:sz w:val="24"/>
        </w:rPr>
        <w:t>；</w:t>
      </w:r>
      <w:r w:rsidRPr="000532ED">
        <w:rPr>
          <w:rFonts w:ascii="宋体" w:hAnsi="宋体" w:hint="eastAsia"/>
          <w:sz w:val="24"/>
        </w:rPr>
        <w:t>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6D745375" w14:textId="77777777" w:rsidR="006E1A20" w:rsidRPr="000532ED" w:rsidRDefault="000E02E2" w:rsidP="004F25D5">
      <w:pPr>
        <w:spacing w:line="520" w:lineRule="atLeast"/>
        <w:ind w:firstLine="480"/>
        <w:rPr>
          <w:rFonts w:ascii="宋体" w:hAnsi="宋体"/>
          <w:sz w:val="24"/>
        </w:rPr>
      </w:pPr>
      <w:r w:rsidRPr="000532ED">
        <w:rPr>
          <w:rFonts w:ascii="宋体" w:hAnsi="宋体"/>
          <w:sz w:val="24"/>
        </w:rPr>
        <w:t>（1</w:t>
      </w:r>
      <w:r w:rsidRPr="000532ED">
        <w:rPr>
          <w:rFonts w:ascii="宋体" w:hAnsi="宋体" w:hint="eastAsia"/>
          <w:sz w:val="24"/>
        </w:rPr>
        <w:t>3</w:t>
      </w:r>
      <w:r w:rsidRPr="000532ED">
        <w:rPr>
          <w:rFonts w:ascii="宋体" w:hAnsi="宋体"/>
          <w:sz w:val="24"/>
        </w:rPr>
        <w:t>）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22B2A54B" w14:textId="77777777" w:rsidR="006E1A20" w:rsidRPr="000532ED" w:rsidRDefault="000E02E2" w:rsidP="004F25D5">
      <w:pPr>
        <w:spacing w:line="520" w:lineRule="atLeast"/>
        <w:ind w:firstLine="480"/>
        <w:rPr>
          <w:rFonts w:ascii="宋体" w:hAnsi="宋体"/>
          <w:sz w:val="24"/>
        </w:rPr>
      </w:pPr>
      <w:r w:rsidRPr="000532ED">
        <w:rPr>
          <w:rFonts w:ascii="宋体" w:hAnsi="宋体"/>
          <w:sz w:val="24"/>
        </w:rPr>
        <w:t>（1</w:t>
      </w:r>
      <w:r w:rsidRPr="000532ED">
        <w:rPr>
          <w:rFonts w:ascii="宋体" w:hAnsi="宋体" w:hint="eastAsia"/>
          <w:sz w:val="24"/>
        </w:rPr>
        <w:t>4</w:t>
      </w:r>
      <w:r w:rsidRPr="000532ED">
        <w:rPr>
          <w:rFonts w:ascii="宋体" w:hAnsi="宋体"/>
          <w:sz w:val="24"/>
        </w:rPr>
        <w:t>）本基金与私募类证券资管产品及中国证监会认定的其他主体为交易对手开展逆回购交易的，可接受质押品的资质要求应当与本基金合同约定的投资范围保持一致；</w:t>
      </w:r>
    </w:p>
    <w:p w14:paraId="3A7BF667" w14:textId="77777777" w:rsidR="006E1A20" w:rsidRPr="000532ED" w:rsidRDefault="000E02E2" w:rsidP="004F25D5">
      <w:pPr>
        <w:spacing w:line="520" w:lineRule="atLeast"/>
        <w:ind w:firstLine="480"/>
        <w:rPr>
          <w:rFonts w:ascii="宋体" w:hAnsi="宋体"/>
          <w:sz w:val="24"/>
        </w:rPr>
      </w:pPr>
      <w:r w:rsidRPr="000532ED">
        <w:rPr>
          <w:rFonts w:ascii="宋体" w:hAnsi="宋体"/>
          <w:sz w:val="24"/>
        </w:rPr>
        <w:t>（1</w:t>
      </w:r>
      <w:r w:rsidRPr="000532ED">
        <w:rPr>
          <w:rFonts w:ascii="宋体" w:hAnsi="宋体" w:hint="eastAsia"/>
          <w:sz w:val="24"/>
        </w:rPr>
        <w:t>5</w:t>
      </w:r>
      <w:r w:rsidRPr="000532ED">
        <w:rPr>
          <w:rFonts w:ascii="宋体" w:hAnsi="宋体"/>
          <w:sz w:val="24"/>
        </w:rPr>
        <w:t>）本基金资产总值不超过基金资产净值的140%；</w:t>
      </w:r>
    </w:p>
    <w:p w14:paraId="40A8A42F" w14:textId="77777777" w:rsidR="006E1A20" w:rsidRPr="000532ED" w:rsidRDefault="000E02E2" w:rsidP="004F25D5">
      <w:pPr>
        <w:spacing w:line="520" w:lineRule="atLeast"/>
        <w:ind w:firstLine="480"/>
        <w:rPr>
          <w:rFonts w:ascii="宋体" w:hAnsi="宋体"/>
          <w:sz w:val="24"/>
        </w:rPr>
      </w:pPr>
      <w:r w:rsidRPr="000532ED">
        <w:rPr>
          <w:rFonts w:ascii="宋体" w:hAnsi="宋体" w:hint="eastAsia"/>
          <w:sz w:val="24"/>
        </w:rPr>
        <w:t>（</w:t>
      </w:r>
      <w:r w:rsidRPr="000532ED">
        <w:rPr>
          <w:rFonts w:ascii="宋体" w:hAnsi="宋体"/>
          <w:sz w:val="24"/>
        </w:rPr>
        <w:t>16</w:t>
      </w:r>
      <w:r w:rsidRPr="000532ED">
        <w:rPr>
          <w:rFonts w:ascii="宋体" w:hAnsi="宋体" w:hint="eastAsia"/>
          <w:sz w:val="24"/>
        </w:rPr>
        <w:t>）本</w:t>
      </w:r>
      <w:r w:rsidRPr="000532ED">
        <w:rPr>
          <w:rFonts w:ascii="宋体" w:hAnsi="宋体"/>
          <w:sz w:val="24"/>
        </w:rPr>
        <w:t>基金参与股指期货交易</w:t>
      </w:r>
      <w:r w:rsidRPr="000532ED">
        <w:rPr>
          <w:rFonts w:ascii="宋体" w:hAnsi="宋体" w:hint="eastAsia"/>
          <w:sz w:val="24"/>
        </w:rPr>
        <w:t>，</w:t>
      </w:r>
      <w:r w:rsidRPr="000532ED">
        <w:rPr>
          <w:rFonts w:ascii="宋体" w:hAnsi="宋体"/>
          <w:sz w:val="24"/>
        </w:rPr>
        <w:t>应当遵守下列要求</w:t>
      </w:r>
      <w:r w:rsidRPr="000532ED">
        <w:rPr>
          <w:rFonts w:ascii="宋体" w:hAnsi="宋体" w:hint="eastAsia"/>
          <w:sz w:val="24"/>
        </w:rPr>
        <w:t>：本基金在任何交易日日终，持有的买入股指期货合约价值不得超过基金资产净值的</w:t>
      </w:r>
      <w:r w:rsidRPr="000532ED">
        <w:rPr>
          <w:rFonts w:ascii="宋体" w:hAnsi="宋体"/>
          <w:sz w:val="24"/>
        </w:rPr>
        <w:t>10%</w:t>
      </w:r>
      <w:r w:rsidRPr="000532ED">
        <w:rPr>
          <w:rFonts w:ascii="宋体" w:hAnsi="宋体" w:hint="eastAsia"/>
          <w:sz w:val="24"/>
        </w:rPr>
        <w:t>；在任何交易日日终，持有的买入国债期货和股指期货合约价值与有价证券市值之和，不得超过基金资产净值的</w:t>
      </w:r>
      <w:r w:rsidRPr="000532ED">
        <w:rPr>
          <w:rFonts w:ascii="宋体" w:hAnsi="宋体"/>
          <w:sz w:val="24"/>
        </w:rPr>
        <w:t>95%</w:t>
      </w:r>
      <w:r w:rsidRPr="000532ED">
        <w:rPr>
          <w:rFonts w:ascii="宋体" w:hAnsi="宋体" w:hint="eastAsia"/>
          <w:sz w:val="24"/>
        </w:rPr>
        <w:t>，其中，有价证券指股票、债券（不含到期日在一年以内的政府债券）、资产支持证券、买入返售金融资产（不含质押式回购）等；在任何交易日终，持有的卖出股指期货合约价值不得超过基金持有的股票总市值的</w:t>
      </w:r>
      <w:r w:rsidRPr="000532ED">
        <w:rPr>
          <w:rFonts w:ascii="宋体" w:hAnsi="宋体"/>
          <w:sz w:val="24"/>
        </w:rPr>
        <w:t>20%</w:t>
      </w:r>
      <w:r w:rsidRPr="000532ED">
        <w:rPr>
          <w:rFonts w:ascii="宋体" w:hAnsi="宋体" w:hint="eastAsia"/>
          <w:sz w:val="24"/>
        </w:rPr>
        <w:t>；本基金所持有的股票市值和买入、卖出股指期货合约价值，合计（轧差计算）</w:t>
      </w:r>
      <w:r w:rsidRPr="000532ED">
        <w:rPr>
          <w:rFonts w:ascii="宋体" w:hAnsi="宋体"/>
          <w:sz w:val="24"/>
        </w:rPr>
        <w:t>应当符合基金合同关于股票投资比例的有关约定</w:t>
      </w:r>
      <w:r w:rsidRPr="000532ED">
        <w:rPr>
          <w:rFonts w:ascii="宋体" w:hAnsi="宋体" w:hint="eastAsia"/>
          <w:sz w:val="24"/>
        </w:rPr>
        <w:t>；在任何交易日内交易</w:t>
      </w:r>
      <w:r w:rsidRPr="000532ED">
        <w:rPr>
          <w:rFonts w:ascii="宋体" w:hAnsi="宋体"/>
          <w:sz w:val="24"/>
        </w:rPr>
        <w:t>(</w:t>
      </w:r>
      <w:r w:rsidRPr="000532ED">
        <w:rPr>
          <w:rFonts w:ascii="宋体" w:hAnsi="宋体" w:hint="eastAsia"/>
          <w:sz w:val="24"/>
        </w:rPr>
        <w:t>不包括平仓</w:t>
      </w:r>
      <w:r w:rsidRPr="000532ED">
        <w:rPr>
          <w:rFonts w:ascii="宋体" w:hAnsi="宋体"/>
          <w:sz w:val="24"/>
        </w:rPr>
        <w:t>)</w:t>
      </w:r>
      <w:r w:rsidRPr="000532ED">
        <w:rPr>
          <w:rFonts w:ascii="宋体" w:hAnsi="宋体" w:hint="eastAsia"/>
          <w:sz w:val="24"/>
        </w:rPr>
        <w:t>的股指期货合约的成交金额不得超过上一交易日基金资产净值的</w:t>
      </w:r>
      <w:r w:rsidRPr="000532ED">
        <w:rPr>
          <w:rFonts w:ascii="宋体" w:hAnsi="宋体"/>
          <w:sz w:val="24"/>
        </w:rPr>
        <w:t>20%</w:t>
      </w:r>
      <w:r w:rsidRPr="000532ED">
        <w:rPr>
          <w:rFonts w:ascii="宋体" w:hAnsi="宋体" w:hint="eastAsia"/>
          <w:sz w:val="24"/>
        </w:rPr>
        <w:t>；</w:t>
      </w:r>
    </w:p>
    <w:p w14:paraId="20AF85F4" w14:textId="77777777" w:rsidR="006E1A20" w:rsidRPr="000532ED" w:rsidRDefault="000E02E2" w:rsidP="004F25D5">
      <w:pPr>
        <w:spacing w:line="520" w:lineRule="atLeast"/>
        <w:ind w:firstLine="480"/>
        <w:rPr>
          <w:rFonts w:ascii="宋体" w:hAnsi="宋体"/>
          <w:sz w:val="24"/>
        </w:rPr>
      </w:pPr>
      <w:r w:rsidRPr="000532ED">
        <w:rPr>
          <w:rFonts w:ascii="宋体" w:hAnsi="宋体" w:hint="eastAsia"/>
          <w:sz w:val="24"/>
        </w:rPr>
        <w:t>（</w:t>
      </w:r>
      <w:r w:rsidRPr="000532ED">
        <w:rPr>
          <w:rFonts w:ascii="宋体" w:hAnsi="宋体"/>
          <w:sz w:val="24"/>
        </w:rPr>
        <w:t>17</w:t>
      </w:r>
      <w:r w:rsidRPr="000532ED">
        <w:rPr>
          <w:rFonts w:ascii="宋体" w:hAnsi="宋体" w:hint="eastAsia"/>
          <w:sz w:val="24"/>
        </w:rPr>
        <w:t>）本基金参与国债期货交易，应当遵守下列要求：在任何交易日日终，本</w:t>
      </w:r>
      <w:r w:rsidRPr="000532ED">
        <w:rPr>
          <w:rFonts w:ascii="宋体" w:hAnsi="宋体" w:hint="eastAsia"/>
          <w:sz w:val="24"/>
        </w:rPr>
        <w:lastRenderedPageBreak/>
        <w:t>基金持有的买入国债期货合约价值，不得超过基金资产净值的</w:t>
      </w:r>
      <w:r w:rsidRPr="000532ED">
        <w:rPr>
          <w:rFonts w:ascii="宋体" w:hAnsi="宋体"/>
          <w:sz w:val="24"/>
        </w:rPr>
        <w:t>15%</w:t>
      </w:r>
      <w:r w:rsidRPr="000532ED">
        <w:rPr>
          <w:rFonts w:ascii="宋体" w:hAnsi="宋体" w:hint="eastAsia"/>
          <w:sz w:val="24"/>
        </w:rPr>
        <w:t>；本基金在任何交易日日终，持有的卖出国债期货合约价值不得超过基金持有的债券总市值的</w:t>
      </w:r>
      <w:r w:rsidRPr="000532ED">
        <w:rPr>
          <w:rFonts w:ascii="宋体" w:hAnsi="宋体"/>
          <w:sz w:val="24"/>
        </w:rPr>
        <w:t>30%</w:t>
      </w:r>
      <w:r w:rsidRPr="000532ED">
        <w:rPr>
          <w:rFonts w:ascii="宋体" w:hAnsi="宋体" w:hint="eastAsia"/>
          <w:sz w:val="24"/>
        </w:rPr>
        <w:t>；本基金在任何交易日内交易（不包括平仓）的国债期货合约的成交金额不得超过上一交易日基金资产净值的</w:t>
      </w:r>
      <w:r w:rsidRPr="000532ED">
        <w:rPr>
          <w:rFonts w:ascii="宋体" w:hAnsi="宋体"/>
          <w:sz w:val="24"/>
        </w:rPr>
        <w:t>30%</w:t>
      </w:r>
      <w:r w:rsidRPr="000532ED">
        <w:rPr>
          <w:rFonts w:ascii="宋体" w:hAnsi="宋体" w:hint="eastAsia"/>
          <w:sz w:val="24"/>
        </w:rPr>
        <w:t>；本基金所持有的债券（不含到期日在一年以内的政府债券）市值和买入、卖出国债期货合约价值，合计（轧差计算）应当符合基金合同关于债券投资比例的有关约定；</w:t>
      </w:r>
    </w:p>
    <w:p w14:paraId="08B2A42E" w14:textId="77777777" w:rsidR="006E1A20" w:rsidRPr="000532ED" w:rsidRDefault="000E02E2" w:rsidP="004F25D5">
      <w:pPr>
        <w:spacing w:line="520" w:lineRule="atLeast"/>
        <w:ind w:firstLine="480"/>
        <w:rPr>
          <w:rFonts w:ascii="宋体" w:hAnsi="宋体"/>
          <w:sz w:val="24"/>
        </w:rPr>
      </w:pPr>
      <w:r w:rsidRPr="000532ED">
        <w:rPr>
          <w:rFonts w:ascii="宋体" w:hAnsi="宋体" w:hint="eastAsia"/>
          <w:sz w:val="24"/>
        </w:rPr>
        <w:t>（</w:t>
      </w:r>
      <w:r w:rsidRPr="000532ED">
        <w:rPr>
          <w:rFonts w:ascii="宋体" w:hAnsi="宋体"/>
          <w:sz w:val="24"/>
        </w:rPr>
        <w:t>18</w:t>
      </w:r>
      <w:r w:rsidRPr="000532ED">
        <w:rPr>
          <w:rFonts w:ascii="宋体" w:hAnsi="宋体" w:hint="eastAsia"/>
          <w:sz w:val="24"/>
        </w:rPr>
        <w:t>）本基金参与股票期权交易的，应当符合下列要求：基金因未平仓的期权合约支付和收取的权利金总额不得超过基金资产净值的</w:t>
      </w:r>
      <w:r w:rsidRPr="000532ED">
        <w:rPr>
          <w:rFonts w:ascii="宋体" w:hAnsi="宋体"/>
          <w:sz w:val="24"/>
        </w:rPr>
        <w:t>10%</w:t>
      </w:r>
      <w:r w:rsidRPr="000532ED">
        <w:rPr>
          <w:rFonts w:ascii="宋体" w:hAnsi="宋体" w:hint="eastAsia"/>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0532ED">
        <w:rPr>
          <w:rFonts w:ascii="宋体" w:hAnsi="宋体"/>
          <w:sz w:val="24"/>
        </w:rPr>
        <w:t>20%</w:t>
      </w:r>
      <w:r w:rsidRPr="000532ED">
        <w:rPr>
          <w:rFonts w:ascii="宋体" w:hAnsi="宋体" w:hint="eastAsia"/>
          <w:sz w:val="24"/>
        </w:rPr>
        <w:t>。其中，合约面值按照行权价乘以合约乘数计算；</w:t>
      </w:r>
    </w:p>
    <w:p w14:paraId="48513793" w14:textId="77777777" w:rsidR="006E1A20" w:rsidRPr="000532ED" w:rsidRDefault="000E02E2" w:rsidP="004F25D5">
      <w:pPr>
        <w:spacing w:line="520" w:lineRule="atLeast"/>
        <w:ind w:firstLine="480"/>
        <w:rPr>
          <w:rFonts w:ascii="宋体" w:hAnsi="宋体"/>
          <w:sz w:val="24"/>
        </w:rPr>
      </w:pPr>
      <w:r w:rsidRPr="000532ED">
        <w:rPr>
          <w:rFonts w:ascii="宋体" w:hAnsi="宋体"/>
          <w:sz w:val="24"/>
        </w:rPr>
        <w:t>（</w:t>
      </w:r>
      <w:r w:rsidRPr="000532ED">
        <w:rPr>
          <w:rFonts w:ascii="宋体" w:hAnsi="宋体" w:hint="eastAsia"/>
          <w:sz w:val="24"/>
        </w:rPr>
        <w:t>19</w:t>
      </w:r>
      <w:r w:rsidRPr="000532ED">
        <w:rPr>
          <w:rFonts w:ascii="宋体" w:hAnsi="宋体"/>
          <w:sz w:val="24"/>
        </w:rPr>
        <w:t>）</w:t>
      </w:r>
      <w:r w:rsidRPr="000532ED">
        <w:rPr>
          <w:rFonts w:ascii="宋体" w:hAnsi="宋体" w:hint="eastAsia"/>
          <w:sz w:val="24"/>
        </w:rPr>
        <w:t>本基金投资存托凭证的比例限制依照境内上市交易的股票执行，与境内上市交易的股票合并计算；</w:t>
      </w:r>
    </w:p>
    <w:p w14:paraId="6ECDEB73" w14:textId="77777777" w:rsidR="006E1A20" w:rsidRPr="000532ED" w:rsidRDefault="000E02E2" w:rsidP="004F25D5">
      <w:pPr>
        <w:spacing w:line="520" w:lineRule="atLeast"/>
        <w:ind w:firstLine="480"/>
        <w:rPr>
          <w:rFonts w:ascii="宋体" w:hAnsi="宋体"/>
          <w:sz w:val="24"/>
        </w:rPr>
      </w:pPr>
      <w:r w:rsidRPr="000532ED">
        <w:rPr>
          <w:rFonts w:ascii="宋体" w:hAnsi="宋体" w:hint="eastAsia"/>
          <w:sz w:val="24"/>
        </w:rPr>
        <w:t>（20）法律法规及中国证监会规定的和《基金合同》约定的其他投资限制。</w:t>
      </w:r>
    </w:p>
    <w:p w14:paraId="6CCE8DF1" w14:textId="77777777" w:rsidR="006E1A20" w:rsidRPr="000532ED" w:rsidRDefault="000E02E2" w:rsidP="004F25D5">
      <w:pPr>
        <w:spacing w:line="520" w:lineRule="atLeast"/>
        <w:ind w:firstLine="480"/>
        <w:rPr>
          <w:rFonts w:ascii="宋体" w:hAnsi="宋体"/>
          <w:sz w:val="24"/>
        </w:rPr>
      </w:pPr>
      <w:r w:rsidRPr="000532ED">
        <w:rPr>
          <w:rFonts w:ascii="宋体" w:hAnsi="宋体"/>
          <w:sz w:val="24"/>
        </w:rPr>
        <w:t>除上述（2）、（9）、</w:t>
      </w:r>
      <w:r w:rsidRPr="000532ED">
        <w:rPr>
          <w:rFonts w:ascii="宋体" w:hAnsi="宋体" w:hint="eastAsia"/>
          <w:sz w:val="24"/>
        </w:rPr>
        <w:t>（</w:t>
      </w:r>
      <w:r w:rsidRPr="000532ED">
        <w:rPr>
          <w:rFonts w:ascii="宋体" w:hAnsi="宋体"/>
          <w:sz w:val="24"/>
        </w:rPr>
        <w:t>10</w:t>
      </w:r>
      <w:r w:rsidRPr="000532ED">
        <w:rPr>
          <w:rFonts w:ascii="宋体" w:hAnsi="宋体" w:hint="eastAsia"/>
          <w:sz w:val="24"/>
        </w:rPr>
        <w:t>）、</w:t>
      </w:r>
      <w:r w:rsidRPr="000532ED">
        <w:rPr>
          <w:rFonts w:ascii="宋体" w:hAnsi="宋体"/>
          <w:sz w:val="24"/>
        </w:rPr>
        <w:t>（1</w:t>
      </w:r>
      <w:r w:rsidRPr="000532ED">
        <w:rPr>
          <w:rFonts w:ascii="宋体" w:hAnsi="宋体" w:hint="eastAsia"/>
          <w:sz w:val="24"/>
        </w:rPr>
        <w:t>3</w:t>
      </w:r>
      <w:r w:rsidRPr="000532ED">
        <w:rPr>
          <w:rFonts w:ascii="宋体" w:hAnsi="宋体"/>
          <w:sz w:val="24"/>
        </w:rPr>
        <w:t>）、（1</w:t>
      </w:r>
      <w:r w:rsidRPr="000532ED">
        <w:rPr>
          <w:rFonts w:ascii="宋体" w:hAnsi="宋体" w:hint="eastAsia"/>
          <w:sz w:val="24"/>
        </w:rPr>
        <w:t>4</w:t>
      </w:r>
      <w:r w:rsidRPr="000532ED">
        <w:rPr>
          <w:rFonts w:ascii="宋体" w:hAnsi="宋体"/>
          <w:sz w:val="24"/>
        </w:rPr>
        <w:t>）情形之外，因证券市场波动、上市公司合并、基金规模变动等基金管理人之外的因素致使基金投资比例不符合上述规定投资比例的，基金管理人应当在10个交易日内进行调整</w:t>
      </w:r>
      <w:r w:rsidRPr="000532ED">
        <w:rPr>
          <w:rFonts w:ascii="宋体" w:hAnsi="宋体" w:hint="eastAsia"/>
          <w:sz w:val="24"/>
        </w:rPr>
        <w:t>，</w:t>
      </w:r>
      <w:r w:rsidRPr="000532ED">
        <w:rPr>
          <w:rFonts w:ascii="宋体" w:hAnsi="宋体"/>
          <w:sz w:val="24"/>
        </w:rPr>
        <w:t>但中国证监会规定的特殊情形除外。</w:t>
      </w:r>
    </w:p>
    <w:p w14:paraId="4B28376F" w14:textId="77777777" w:rsidR="006E1A20" w:rsidRPr="000532ED" w:rsidRDefault="000E02E2" w:rsidP="004F25D5">
      <w:pPr>
        <w:spacing w:line="520" w:lineRule="atLeast"/>
        <w:ind w:firstLine="480"/>
        <w:rPr>
          <w:rFonts w:ascii="宋体" w:hAnsi="宋体"/>
          <w:sz w:val="24"/>
        </w:rPr>
      </w:pPr>
      <w:r w:rsidRPr="000532ED">
        <w:rPr>
          <w:rFonts w:ascii="宋体" w:hAnsi="宋体" w:hint="eastAsia"/>
          <w:sz w:val="24"/>
        </w:rPr>
        <w:t>基金管理人应当自基金合同生效之日起</w:t>
      </w:r>
      <w:r w:rsidRPr="000532ED">
        <w:rPr>
          <w:rFonts w:ascii="宋体" w:hAnsi="宋体"/>
          <w:sz w:val="24"/>
        </w:rPr>
        <w:t>6</w:t>
      </w:r>
      <w:r w:rsidRPr="000532ED">
        <w:rPr>
          <w:rFonts w:ascii="宋体" w:hAnsi="宋体" w:hint="eastAsia"/>
          <w:sz w:val="24"/>
        </w:rPr>
        <w:t>个月内使基金的投资组合比例符合基金合同的有关约定。</w:t>
      </w:r>
      <w:r w:rsidRPr="000532ED">
        <w:rPr>
          <w:rFonts w:ascii="宋体" w:hAnsi="宋体"/>
          <w:sz w:val="24"/>
        </w:rPr>
        <w:t>在上述期间内，本基金的投资范围</w:t>
      </w:r>
      <w:r w:rsidRPr="000532ED">
        <w:rPr>
          <w:rFonts w:ascii="宋体" w:hAnsi="宋体" w:hint="eastAsia"/>
          <w:sz w:val="24"/>
        </w:rPr>
        <w:t>、投资策略应当符合基金合同的约定。基金托管人对基金的投资的监督与检查自本基金合同生效之日起开始。</w:t>
      </w:r>
    </w:p>
    <w:p w14:paraId="60E371EB"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3.1.3基金托管人根据有关法律法规的规定及基金合同的约定对下述基金投资禁止行为进行监督：</w:t>
      </w:r>
    </w:p>
    <w:p w14:paraId="109620F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根据法律法规的规定及基金合同的约定，本基金禁止从事下列行为：</w:t>
      </w:r>
    </w:p>
    <w:p w14:paraId="6A7C2A80" w14:textId="77777777" w:rsidR="006E1A20" w:rsidRPr="000532ED" w:rsidRDefault="000E02E2">
      <w:pPr>
        <w:pStyle w:val="20"/>
        <w:adjustRightInd w:val="0"/>
        <w:snapToGrid w:val="0"/>
        <w:spacing w:before="0" w:after="0" w:line="520" w:lineRule="atLeast"/>
        <w:ind w:left="0" w:firstLineChars="200" w:firstLine="480"/>
        <w:rPr>
          <w:rFonts w:hAnsi="宋体"/>
          <w:szCs w:val="24"/>
        </w:rPr>
      </w:pPr>
      <w:r w:rsidRPr="000532ED">
        <w:rPr>
          <w:rFonts w:hAnsi="宋体" w:hint="eastAsia"/>
          <w:szCs w:val="24"/>
        </w:rPr>
        <w:t>（1）承销证券；</w:t>
      </w:r>
    </w:p>
    <w:p w14:paraId="3877713A" w14:textId="77777777" w:rsidR="006E1A20" w:rsidRPr="000532ED" w:rsidRDefault="000E02E2">
      <w:pPr>
        <w:pStyle w:val="20"/>
        <w:adjustRightInd w:val="0"/>
        <w:snapToGrid w:val="0"/>
        <w:spacing w:before="0" w:after="0" w:line="520" w:lineRule="atLeast"/>
        <w:ind w:left="0" w:firstLineChars="200" w:firstLine="480"/>
        <w:rPr>
          <w:rFonts w:hAnsi="宋体"/>
          <w:szCs w:val="24"/>
        </w:rPr>
      </w:pPr>
      <w:r w:rsidRPr="000532ED">
        <w:rPr>
          <w:rFonts w:hAnsi="宋体" w:hint="eastAsia"/>
          <w:szCs w:val="24"/>
        </w:rPr>
        <w:t>（2）违反规定向他人贷款或者提供担保；</w:t>
      </w:r>
    </w:p>
    <w:p w14:paraId="593F9A28" w14:textId="77777777" w:rsidR="006E1A20" w:rsidRPr="000532ED" w:rsidRDefault="000E02E2">
      <w:pPr>
        <w:pStyle w:val="20"/>
        <w:adjustRightInd w:val="0"/>
        <w:snapToGrid w:val="0"/>
        <w:spacing w:before="0" w:after="0" w:line="520" w:lineRule="atLeast"/>
        <w:ind w:left="0" w:firstLineChars="200" w:firstLine="480"/>
        <w:rPr>
          <w:rFonts w:hAnsi="宋体"/>
          <w:szCs w:val="24"/>
        </w:rPr>
      </w:pPr>
      <w:r w:rsidRPr="000532ED">
        <w:rPr>
          <w:rFonts w:hAnsi="宋体" w:hint="eastAsia"/>
          <w:szCs w:val="24"/>
        </w:rPr>
        <w:t>（3）从事承担无限责任的投资；</w:t>
      </w:r>
    </w:p>
    <w:p w14:paraId="7809D36F" w14:textId="77777777" w:rsidR="006E1A20" w:rsidRPr="000532ED" w:rsidRDefault="000E02E2">
      <w:pPr>
        <w:pStyle w:val="20"/>
        <w:adjustRightInd w:val="0"/>
        <w:snapToGrid w:val="0"/>
        <w:spacing w:before="0" w:after="0" w:line="520" w:lineRule="atLeast"/>
        <w:ind w:left="0" w:firstLineChars="200" w:firstLine="480"/>
        <w:rPr>
          <w:rFonts w:hAnsi="宋体"/>
          <w:szCs w:val="24"/>
        </w:rPr>
      </w:pPr>
      <w:r w:rsidRPr="000532ED">
        <w:rPr>
          <w:rFonts w:hAnsi="宋体" w:hint="eastAsia"/>
          <w:szCs w:val="24"/>
        </w:rPr>
        <w:t>（4）向其基金管理人、基金托管人出资；</w:t>
      </w:r>
    </w:p>
    <w:p w14:paraId="2C014089" w14:textId="77777777" w:rsidR="006E1A20" w:rsidRPr="000532ED" w:rsidRDefault="000E02E2">
      <w:pPr>
        <w:pStyle w:val="20"/>
        <w:adjustRightInd w:val="0"/>
        <w:snapToGrid w:val="0"/>
        <w:spacing w:before="0" w:after="0" w:line="520" w:lineRule="atLeast"/>
        <w:ind w:left="0" w:firstLineChars="200" w:firstLine="480"/>
        <w:rPr>
          <w:rFonts w:hAnsi="宋体"/>
          <w:szCs w:val="24"/>
        </w:rPr>
      </w:pPr>
      <w:r w:rsidRPr="000532ED">
        <w:rPr>
          <w:rFonts w:hAnsi="宋体" w:hint="eastAsia"/>
          <w:szCs w:val="24"/>
        </w:rPr>
        <w:lastRenderedPageBreak/>
        <w:t>（</w:t>
      </w:r>
      <w:r w:rsidRPr="000532ED">
        <w:rPr>
          <w:rFonts w:hAnsi="宋体"/>
          <w:szCs w:val="24"/>
        </w:rPr>
        <w:t>5</w:t>
      </w:r>
      <w:r w:rsidRPr="000532ED">
        <w:rPr>
          <w:rFonts w:hAnsi="宋体" w:hint="eastAsia"/>
          <w:szCs w:val="24"/>
        </w:rPr>
        <w:t>）从事内幕交易、操纵证券交易价格及其他不正当的证券交易活动；</w:t>
      </w:r>
    </w:p>
    <w:p w14:paraId="4715A14F" w14:textId="77777777" w:rsidR="006E1A20" w:rsidRPr="000532ED" w:rsidRDefault="000E02E2">
      <w:pPr>
        <w:pStyle w:val="20"/>
        <w:adjustRightInd w:val="0"/>
        <w:snapToGrid w:val="0"/>
        <w:spacing w:before="0" w:after="0" w:line="520" w:lineRule="atLeast"/>
        <w:ind w:left="0" w:firstLineChars="200" w:firstLine="480"/>
        <w:rPr>
          <w:rFonts w:hAnsi="宋体"/>
        </w:rPr>
      </w:pPr>
      <w:r w:rsidRPr="000532ED">
        <w:rPr>
          <w:rFonts w:hAnsi="宋体" w:hint="eastAsia"/>
          <w:szCs w:val="24"/>
        </w:rPr>
        <w:t>（</w:t>
      </w:r>
      <w:r w:rsidRPr="000532ED">
        <w:rPr>
          <w:rFonts w:hAnsi="宋体"/>
          <w:szCs w:val="24"/>
        </w:rPr>
        <w:t>6</w:t>
      </w:r>
      <w:r w:rsidRPr="000532ED">
        <w:rPr>
          <w:rFonts w:hAnsi="宋体" w:hint="eastAsia"/>
          <w:szCs w:val="24"/>
        </w:rPr>
        <w:t>）法律、行政法规和中国证监会规定禁止的其他活动。</w:t>
      </w:r>
    </w:p>
    <w:p w14:paraId="23DA2FDD" w14:textId="77777777" w:rsidR="006E1A20" w:rsidRPr="000532ED" w:rsidRDefault="000E02E2">
      <w:pPr>
        <w:pStyle w:val="20"/>
        <w:adjustRightInd w:val="0"/>
        <w:snapToGrid w:val="0"/>
        <w:spacing w:before="0" w:after="0" w:line="520" w:lineRule="atLeast"/>
        <w:ind w:left="0" w:firstLineChars="200" w:firstLine="480"/>
        <w:rPr>
          <w:rFonts w:hAnsi="宋体"/>
          <w:szCs w:val="24"/>
        </w:rPr>
      </w:pPr>
      <w:r w:rsidRPr="000532ED">
        <w:rPr>
          <w:rFonts w:hAnsi="宋体" w:hint="eastAsia"/>
          <w:szCs w:val="24"/>
        </w:rPr>
        <w:t>法律法规或监管部门取消或变更上述禁止性规定，如适用于本基金，基金管理人在履行适当程序后，可不受上述规定的限制或按变更后的规定执行。</w:t>
      </w:r>
    </w:p>
    <w:p w14:paraId="046AF4C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3.1.4基金托管人依据有关法律法规的规定和基金合同的约定对于基金关联投资限制进行监督：</w:t>
      </w:r>
    </w:p>
    <w:p w14:paraId="163E02D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3FFA59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14:paraId="618016C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09F78FD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3.1.5基金托管人依据有关法律法规的规定和基金合同的约定对基金管理人参</w:t>
      </w:r>
      <w:r w:rsidRPr="000532ED">
        <w:rPr>
          <w:rFonts w:hAnsi="宋体" w:hint="eastAsia"/>
          <w:szCs w:val="24"/>
        </w:rPr>
        <w:lastRenderedPageBreak/>
        <w:t>与银行间债券市场进行监督：</w:t>
      </w:r>
    </w:p>
    <w:p w14:paraId="7956DF8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（1）基金托管人对于基金管理人参与银行间债券市场交易时是否按交易对手名单进行交易进行监督。</w:t>
      </w:r>
    </w:p>
    <w:p w14:paraId="14C9705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0EE7AC0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68BF23A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（2）基金托管人对于基金管理人参与银行间债券市场交易的交易方式的控制</w:t>
      </w:r>
    </w:p>
    <w:p w14:paraId="07C8278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14:paraId="24A0EF5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（3）基金管理人有责任控制交易对手的资信风险。</w:t>
      </w:r>
    </w:p>
    <w:p w14:paraId="4D0A7DC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w:t>
      </w:r>
      <w:r w:rsidRPr="000532ED">
        <w:rPr>
          <w:rFonts w:hAnsi="宋体"/>
          <w:szCs w:val="24"/>
        </w:rPr>
        <w:t>管理人</w:t>
      </w:r>
      <w:r w:rsidRPr="000532ED">
        <w:rPr>
          <w:rFonts w:hAnsi="宋体" w:hint="eastAsia"/>
          <w:szCs w:val="24"/>
        </w:rPr>
        <w:t>按银行间债券市场的交易规则进行交易，并负责解决因交易对手不履行合同而造成的纠纷。若未履约的交易对手在基金管理人确定的时间内仍未承担违约责任及其他相关法律责任的，基金管理人可以向相关交易对手追偿。</w:t>
      </w:r>
    </w:p>
    <w:p w14:paraId="2688E6D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3.1.6基金托管人对基金投资流通受限证券的监督：</w:t>
      </w:r>
    </w:p>
    <w:p w14:paraId="6D0D410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基金投资流通受限证券，应遵守有关法律法规规定。流通受限证券指由《上市公司证券发行管理办法》规范的非公开发行股票、公开发行股票网下配售部分等在发行时明确一定期限锁定期的可交易证券，不包括由于发布重大消息或其他</w:t>
      </w:r>
      <w:r w:rsidRPr="000532ED">
        <w:rPr>
          <w:rFonts w:hAnsi="宋体" w:hint="eastAsia"/>
          <w:szCs w:val="24"/>
        </w:rPr>
        <w:lastRenderedPageBreak/>
        <w:t>原因而临时停牌的证券、已发行未上市证券、回购交易中的质押券等流通受限证券。</w:t>
      </w:r>
    </w:p>
    <w:p w14:paraId="30850289"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79BF1CC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管理人应至少于首次执行投资指令之前2个工作日将上述资料书面发至基金托管人，保证基金托管人有足够的时间进行审核。基金托管人应在收到上述资料后2个工作日内，以书面或其他双方认可的方式确认收到上述资料。</w:t>
      </w:r>
    </w:p>
    <w:p w14:paraId="33C0FF4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14:paraId="0E0E04C3"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基金托管人应对基金管理人是否遵守法律法规、投资决策流程、风险控制制度情况进行监督，并审核基金管理人提供的有关书面信息。基金托管人认为上述资料不符合法律法规、投资决策流程、风险控制制度的，有权要求基金管理人在投资流通受限证券前就以上事项进行调整，否则，基金托管人有权拒绝执行有关指令。因拒绝执行该指令造成基金财产损失的，基金托管人不承担任何责任，并有权报告中国证监会。</w:t>
      </w:r>
    </w:p>
    <w:p w14:paraId="4AD968A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118FE6BF" w14:textId="77777777" w:rsidR="006E1A20" w:rsidRPr="000532ED" w:rsidRDefault="000E02E2">
      <w:pPr>
        <w:pStyle w:val="20"/>
        <w:spacing w:before="0" w:after="0" w:line="520" w:lineRule="atLeast"/>
        <w:rPr>
          <w:rFonts w:hAnsi="宋体"/>
          <w:szCs w:val="24"/>
        </w:rPr>
      </w:pPr>
      <w:r w:rsidRPr="000532ED">
        <w:rPr>
          <w:rFonts w:hAnsi="宋体" w:hint="eastAsia"/>
          <w:szCs w:val="24"/>
        </w:rPr>
        <w:t>3.1.</w:t>
      </w:r>
      <w:r w:rsidRPr="000532ED">
        <w:rPr>
          <w:rFonts w:hAnsi="宋体"/>
          <w:szCs w:val="24"/>
        </w:rPr>
        <w:t>7</w:t>
      </w:r>
      <w:r w:rsidRPr="000532ED">
        <w:rPr>
          <w:rFonts w:hAnsi="宋体" w:hint="eastAsia"/>
          <w:szCs w:val="24"/>
        </w:rPr>
        <w:t>基金托管人对基金投资中期票据的监督：</w:t>
      </w:r>
    </w:p>
    <w:p w14:paraId="5893E35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3C852BB1"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（2）如未来有关监管部门发布的法律法规对证券投资基金投资中期票据另有规定的，从其规定。</w:t>
      </w:r>
    </w:p>
    <w:p w14:paraId="5BE9E9C9"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lastRenderedPageBreak/>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w:t>
      </w:r>
      <w:r w:rsidRPr="000532ED">
        <w:rPr>
          <w:rFonts w:hAnsi="宋体"/>
          <w:szCs w:val="24"/>
        </w:rPr>
        <w:t>规定</w:t>
      </w:r>
      <w:r w:rsidRPr="000532ED">
        <w:rPr>
          <w:rFonts w:hAnsi="宋体" w:hint="eastAsia"/>
          <w:szCs w:val="24"/>
        </w:rPr>
        <w:t>和基金合同以及本协议的约定，应及时以书面形式通知基金管理人限期纠正。基金管理人应积极配合和协助基金托管人的监督和核查。基金管理人应按本协议要求向基金托管人及时发出回函，并及时改正。基金托管人有权随时对所通知事项进行复查,督促基金管理人改正。如果基金管理人违规事项未能在限期内纠正的，基金托管人应报告中国证监会。如果基金托管人未能切实履行监督职责，导致基金出现风险，基金托管人应承担相应责任。</w:t>
      </w:r>
    </w:p>
    <w:p w14:paraId="37BA9E9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3.1.</w:t>
      </w:r>
      <w:r w:rsidR="00DF0DF9" w:rsidRPr="000532ED">
        <w:rPr>
          <w:rFonts w:hAnsi="宋体"/>
          <w:szCs w:val="24"/>
        </w:rPr>
        <w:t>8</w:t>
      </w:r>
      <w:r w:rsidRPr="000532ED">
        <w:rPr>
          <w:rFonts w:hAnsi="宋体" w:hint="eastAsia"/>
          <w:szCs w:val="24"/>
        </w:rPr>
        <w:t>基金托管人根据有关法律法规的规定及基金合同的约定，对基金管理人选择存款银行进行监督：</w:t>
      </w:r>
    </w:p>
    <w:p w14:paraId="0D63914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3FCA0D8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本基金投资银行存款应符合如下规定：</w:t>
      </w:r>
    </w:p>
    <w:p w14:paraId="457552E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（1）基金管理人、基金托管人应当与存款银行建立定期对账机制，确保基金银行存款业务账目及核算的真实、准确。</w:t>
      </w:r>
    </w:p>
    <w:p w14:paraId="40FB1CFF"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C9446B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（3）基金托管人应对基金银行存款业务进行监督与核查，审查、复核相关协议、账户资料、投资指令、存款证实书等有关文件，履行托管职责。</w:t>
      </w:r>
    </w:p>
    <w:p w14:paraId="5F6AB44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（4）基金管理人与基金托管人在开展基金存款业务时，应严格遵守《基金法》、《运作办法》等有关法律法规，以及国家有关账户管理、利率管理、支付结算等的各项规定。</w:t>
      </w:r>
    </w:p>
    <w:p w14:paraId="1B92C5C3"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3.2基金托管人对基金管理人业务进行监督和核查的有关措施：</w:t>
      </w:r>
    </w:p>
    <w:p w14:paraId="68B985A1"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lastRenderedPageBreak/>
        <w:t>3.2.1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0486FB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65F3A85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3.2.3在限期内，基金托管人有权随时对通知事项进行复查，督促基金管理人改正。基金管理人对基金托管人通知的违规事项未能在限期内纠正的，基金托管人应报告中国证监会。</w:t>
      </w:r>
    </w:p>
    <w:p w14:paraId="4F8DBCB0"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3.2.4基金托管人发现基金管理人的投资指令违反关法律法规规定或者违反基金合同约定的，应当拒绝执行，立即通知基金管理人。</w:t>
      </w:r>
    </w:p>
    <w:p w14:paraId="0B8C96C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2B81779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20D6664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3.2.7基金托管人发现基金管理人有重大违规行为，应立即报告中国证监会，同时通知基金管理人限期纠正。</w:t>
      </w:r>
    </w:p>
    <w:p w14:paraId="5C1F6E83"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3CDF8FE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3.2.9基金托管人对资金来源、投资收益及投资安全不承担审核责任，特别是对于本基金所投标的的后续资金使用情况无审核责任，不保证托管财产投资不受损失，不保证最低收益。</w:t>
      </w:r>
    </w:p>
    <w:p w14:paraId="67A145FF"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lastRenderedPageBreak/>
        <w:t>3</w:t>
      </w:r>
      <w:r w:rsidRPr="000532ED">
        <w:rPr>
          <w:rFonts w:hAnsi="宋体"/>
          <w:szCs w:val="24"/>
        </w:rPr>
        <w:t>.2.10</w:t>
      </w:r>
      <w:r w:rsidRPr="000532ED">
        <w:rPr>
          <w:rFonts w:hAnsi="宋体" w:hint="eastAsia"/>
          <w:szCs w:val="24"/>
        </w:rPr>
        <w:t>基金管理人应遵守中华人民共和国反洗钱法律法规，不参与涉嫌洗钱、恐怖融资、扩散融资等违法犯罪活动；主动配合基金托管人客户身份识别与尽职调查，提供真实、准确、完整客户资料，遵守基金托管人反洗钱与反恐怖融资相关管理规定。对具备合理理由怀疑涉嫌洗钱、恐怖融资的客户，基金托管人将按照中国人民银行反洗钱监管规定采取必要管控措施。</w:t>
      </w:r>
    </w:p>
    <w:p w14:paraId="31072BBE" w14:textId="77777777" w:rsidR="006E1A20" w:rsidRPr="000532ED" w:rsidRDefault="000E02E2">
      <w:pPr>
        <w:pStyle w:val="1"/>
        <w:spacing w:line="520" w:lineRule="atLeast"/>
        <w:ind w:firstLineChars="200" w:firstLine="482"/>
        <w:rPr>
          <w:bCs/>
          <w:color w:val="auto"/>
          <w:szCs w:val="24"/>
        </w:rPr>
      </w:pPr>
      <w:bookmarkStart w:id="22" w:name="_Toc296551340"/>
      <w:bookmarkStart w:id="23" w:name="_Toc44321727"/>
      <w:r w:rsidRPr="000532ED">
        <w:rPr>
          <w:rFonts w:hint="eastAsia"/>
          <w:bCs/>
          <w:color w:val="auto"/>
          <w:szCs w:val="24"/>
        </w:rPr>
        <w:t>第四条 基金管理人对基金托管人的业务核查</w:t>
      </w:r>
      <w:bookmarkEnd w:id="22"/>
      <w:bookmarkEnd w:id="23"/>
    </w:p>
    <w:p w14:paraId="7B25E54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4.1基金管理人对基金托管人履行托管职责情况进行核查，核查事项包括但不限于基金托管人安全保管基金财产、开设基金财产的资金账户和证券账户等投资所需的其他账户、复核基金管理人计算的基金资产净值和基金份额净值、根据基金管理人指令办理清算交收、相关信息披露和监督基金投资运作等行为。</w:t>
      </w:r>
    </w:p>
    <w:p w14:paraId="77D992A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4.2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因此所遭受的损失。</w:t>
      </w:r>
    </w:p>
    <w:p w14:paraId="70DD1EE9"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4.3基金管理人发现基金托管人有重大违规行为，应立即报告中国证监会和银行业监督管理机构，同时通知基金托管人限期纠正。</w:t>
      </w:r>
    </w:p>
    <w:p w14:paraId="6DF7BAA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4.4基金托管人应积极配合基金管理人的核查行为，包括但不限于：提交相关资料以供基金管理人核查托管财产的完整性和真实性，在规定时间内答复基金管理人并改正。</w:t>
      </w:r>
    </w:p>
    <w:p w14:paraId="53C10CD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30172C90" w14:textId="77777777" w:rsidR="006E1A20" w:rsidRPr="000532ED" w:rsidRDefault="000E02E2">
      <w:pPr>
        <w:pStyle w:val="1"/>
        <w:spacing w:line="520" w:lineRule="atLeast"/>
        <w:ind w:firstLineChars="200" w:firstLine="482"/>
        <w:rPr>
          <w:bCs/>
          <w:color w:val="auto"/>
          <w:szCs w:val="24"/>
        </w:rPr>
      </w:pPr>
      <w:bookmarkStart w:id="24" w:name="_Toc296551341"/>
      <w:bookmarkStart w:id="25" w:name="_Toc44321728"/>
      <w:r w:rsidRPr="000532ED">
        <w:rPr>
          <w:rFonts w:hint="eastAsia"/>
          <w:bCs/>
          <w:color w:val="auto"/>
          <w:szCs w:val="24"/>
        </w:rPr>
        <w:t>第五条 基金财产保管</w:t>
      </w:r>
      <w:bookmarkEnd w:id="24"/>
      <w:bookmarkEnd w:id="25"/>
    </w:p>
    <w:p w14:paraId="0415659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5.1基金财产保管的原则</w:t>
      </w:r>
    </w:p>
    <w:p w14:paraId="43E6D3BB"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lastRenderedPageBreak/>
        <w:t>5.1.1基金财产应独立于基金管理人、基金托管人的固有财产。</w:t>
      </w:r>
    </w:p>
    <w:p w14:paraId="0955752B"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5.1.2基金托管人应安全保管基金财产。除依据法律法规规定、基金合同和本托管协议约定及基金管理人的正当指令外，不得自行运用、处分、分配基金的任何财产。</w:t>
      </w:r>
    </w:p>
    <w:p w14:paraId="2E7CA9FF"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5.1.3基金托管人按照规定开设基金财产的资金账户和证券账户等投资所需的其他账户。</w:t>
      </w:r>
    </w:p>
    <w:p w14:paraId="7F92580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5.1.4基金托管人对所托管的不同基金财产分别设置账户，与基金托管人的其他业务和其他基金的托管业务实行严格的分账管理，确保基金财产的完整与独立。</w:t>
      </w:r>
    </w:p>
    <w:p w14:paraId="2C47EDD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5.1.5基金托管人根据基金管理人的指令，按照基金合同和本协议的约定保管基金财产，如有特殊情况双方可另行协商解决。</w:t>
      </w:r>
    </w:p>
    <w:p w14:paraId="5E7B4CB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5.1.6除依据法律法规和基金合同的规定外，基金托管人不得委托第三人托管基金资产。</w:t>
      </w:r>
    </w:p>
    <w:p w14:paraId="3B3A972B"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5.2募集资金的验资</w:t>
      </w:r>
    </w:p>
    <w:p w14:paraId="51C6172D" w14:textId="77777777" w:rsidR="006E1A20" w:rsidRPr="000532ED" w:rsidRDefault="000E02E2">
      <w:pPr>
        <w:pStyle w:val="CharCharCharCharCharCharChar"/>
        <w:adjustRightInd/>
        <w:spacing w:line="520" w:lineRule="atLeast"/>
        <w:ind w:firstLineChars="200" w:firstLine="480"/>
        <w:rPr>
          <w:rFonts w:hAnsi="宋体"/>
          <w:szCs w:val="24"/>
        </w:rPr>
      </w:pPr>
      <w:r w:rsidRPr="000532ED">
        <w:rPr>
          <w:rFonts w:ascii="宋体" w:hAnsi="宋体" w:hint="eastAsia"/>
          <w:szCs w:val="24"/>
        </w:rPr>
        <w:t>5.2.1基金募集期间募集的资金应存于【基金募集专户】，该账户由【基金管理人委托的注册登记机构】开立并管理。</w:t>
      </w:r>
    </w:p>
    <w:p w14:paraId="3773E8E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5.2.2基金募集期满或基金提前结束募集时，募集的基金份额总额、基金募集金额、基金份额持有人人数符合《基金法》、《运作办法》等有关规定后，基金管理人应将募集的属于本基金财产的全部资金划入基金托管人为本基金开立的托管专户中，基金托管人在收到资金当日出具确认文件。同时，基金管理人应聘请具备相关业务资质的会计师事务所进行验资，出具验资报告，出具的验资报告应由参加验资的2名以上（含2名）中国注册会计师签字有效。</w:t>
      </w:r>
    </w:p>
    <w:p w14:paraId="74BB7BD3"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5.2.3若基金募集期限届满，未能达到基金备案条件，由基金管理人按规定办理退款事宜。</w:t>
      </w:r>
    </w:p>
    <w:p w14:paraId="578A428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5.3基金的银行账户的开立和管理</w:t>
      </w:r>
    </w:p>
    <w:p w14:paraId="6E278FC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5.3.1基金托管人以本基金的名义在其营业机构开立基金的银行账户，并根据基金管理人合法合规的指令办理资金收付。本基金的银行预留印鉴由基金托管人刻制、保管和使用。</w:t>
      </w:r>
    </w:p>
    <w:p w14:paraId="7EC2E75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5.3.2基金银行账户的开立和使用，限于满足开展本基金业务的需要。基金托</w:t>
      </w:r>
      <w:r w:rsidRPr="000532ED">
        <w:rPr>
          <w:rFonts w:hAnsi="宋体" w:hint="eastAsia"/>
          <w:szCs w:val="24"/>
        </w:rPr>
        <w:lastRenderedPageBreak/>
        <w:t>管人和基金管理人不得假借本基金的名义开立任何其他银行账户；亦不得使用基金的任何账户进行本基金业务以外的活动。</w:t>
      </w:r>
    </w:p>
    <w:p w14:paraId="16318A6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5.3.3基金银行账户的开立和管理应符合有关法律法规以及银行业监督管理机构的有关规定。</w:t>
      </w:r>
    </w:p>
    <w:p w14:paraId="0597B29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5.4基金证券账户与证券交易资金账户的开设和管理</w:t>
      </w:r>
    </w:p>
    <w:p w14:paraId="27AB198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5.4.1基金托管人以基金托管人和本基金联名的方式在中国证券登记结算有限责任公司（以下简称“中登公司”）上海分公司/深圳分公司开设证券账户。</w:t>
      </w:r>
    </w:p>
    <w:p w14:paraId="69FF459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5.4.2基金托管人以基金托管人的名义在中登公司上海分公司/深圳分公司开立基金证券交易资金账户，用于证券清算。</w:t>
      </w:r>
    </w:p>
    <w:p w14:paraId="011E24E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5.4.3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14:paraId="7C7B54D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5.4.4基金证券账户与证券交易资金账户相关证明文件的保管由基金托管人负责，账户资产的管理和运用由基金管理人负责。</w:t>
      </w:r>
    </w:p>
    <w:p w14:paraId="2273880B"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5.5债券托管账户的开立和管理</w:t>
      </w:r>
    </w:p>
    <w:p w14:paraId="4536C04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607B12B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5.5.2基金管理人负责为基金对外签订全国银行间国债市场回购主协议。</w:t>
      </w:r>
    </w:p>
    <w:p w14:paraId="6C892BA0"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5.6其他账户的开设和管理</w:t>
      </w:r>
    </w:p>
    <w:p w14:paraId="655B87B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03727B9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5.7基金财产投资的有关实物证券、银行定期存款存单等有价凭证的保管</w:t>
      </w:r>
    </w:p>
    <w:p w14:paraId="59FBBF8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lastRenderedPageBreak/>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29EF3A9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5.8与基金财产有关的重大合同的保管</w:t>
      </w:r>
    </w:p>
    <w:p w14:paraId="59A79490"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sidRPr="000532ED">
        <w:rPr>
          <w:rFonts w:hAnsi="宋体"/>
          <w:szCs w:val="24"/>
        </w:rPr>
        <w:t>20</w:t>
      </w:r>
      <w:r w:rsidRPr="000532ED">
        <w:rPr>
          <w:rFonts w:hAnsi="宋体" w:hint="eastAsia"/>
          <w:szCs w:val="24"/>
        </w:rPr>
        <w:t>年以上，</w:t>
      </w:r>
      <w:r w:rsidRPr="000532ED">
        <w:rPr>
          <w:rFonts w:hAnsi="宋体"/>
          <w:szCs w:val="24"/>
        </w:rPr>
        <w:t>法律法规或监管规则另有规定</w:t>
      </w:r>
      <w:r w:rsidRPr="000532ED">
        <w:rPr>
          <w:rFonts w:hAnsi="宋体" w:hint="eastAsia"/>
          <w:szCs w:val="24"/>
        </w:rPr>
        <w:t>的</w:t>
      </w:r>
      <w:r w:rsidRPr="000532ED">
        <w:rPr>
          <w:rFonts w:hAnsi="宋体"/>
          <w:szCs w:val="24"/>
        </w:rPr>
        <w:t>，从其规定</w:t>
      </w:r>
      <w:r w:rsidRPr="000532ED">
        <w:rPr>
          <w:rFonts w:hAnsi="宋体" w:hint="eastAsia"/>
          <w:szCs w:val="24"/>
        </w:rPr>
        <w:t>。对于无法取得二份以上的正本的，基金管理人应向基金托管人提供加盖授权业务章的合同传真件，未经双方协商或未在合同约定范围内，合同原件不得转移，由基金管理人保管。</w:t>
      </w:r>
    </w:p>
    <w:p w14:paraId="0CFB2CC3" w14:textId="77777777" w:rsidR="006E1A20" w:rsidRPr="000532ED" w:rsidRDefault="000E02E2">
      <w:pPr>
        <w:pStyle w:val="1"/>
        <w:spacing w:line="520" w:lineRule="atLeast"/>
        <w:ind w:firstLineChars="200" w:firstLine="482"/>
        <w:rPr>
          <w:bCs/>
          <w:color w:val="auto"/>
          <w:szCs w:val="24"/>
        </w:rPr>
      </w:pPr>
      <w:bookmarkStart w:id="26" w:name="_Toc296551342"/>
      <w:bookmarkStart w:id="27" w:name="_Toc44321729"/>
      <w:r w:rsidRPr="000532ED">
        <w:rPr>
          <w:rFonts w:hint="eastAsia"/>
          <w:bCs/>
          <w:color w:val="auto"/>
          <w:szCs w:val="24"/>
        </w:rPr>
        <w:t>第六条 指令的发送、确认和执行</w:t>
      </w:r>
      <w:bookmarkEnd w:id="26"/>
      <w:bookmarkEnd w:id="27"/>
    </w:p>
    <w:p w14:paraId="1AF0DD2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6.1基金管理人对发送指令人员的书面授权</w:t>
      </w:r>
    </w:p>
    <w:p w14:paraId="2560F05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管理人应事先向基金托管人提供书面授权通知（以下称“授权通知”），指定有权发送指令的人员（以下称“被授权人”）名单、预留印鉴和被授权人签章样本，注明相应的交易权限，并规定基金管理人向基金托管人发送指令时基金托管人确认被授权人身份的方法。授权通知应加盖基金管理人公章。基金管理人应使用传真方式或其他基金托管人和基金管理人书面确认过的方式向基金托管人发出授权通知，同时电话通知基金托管人。基金托管人在收到授权通知当日与基金管理人确认。基金管理人在收到基金托管人的确认之后，授权通知生效。基金管理人在此后3个工作日内将授权通知的正本送交基金托管人。授权通知正本内容应与基金托管人收到的传真内容</w:t>
      </w:r>
      <w:r w:rsidRPr="000532ED">
        <w:rPr>
          <w:rFonts w:hAnsi="宋体"/>
          <w:szCs w:val="24"/>
        </w:rPr>
        <w:t>一致，若有</w:t>
      </w:r>
      <w:r w:rsidRPr="000532ED">
        <w:rPr>
          <w:rFonts w:hAnsi="宋体" w:hint="eastAsia"/>
          <w:szCs w:val="24"/>
        </w:rPr>
        <w:t>不一致的，以基金托管人收到的传真为准。</w:t>
      </w:r>
    </w:p>
    <w:p w14:paraId="12F21FC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基金管理人和基金托管人对授权文件负有保密义务，其内容不得向被授权人及</w:t>
      </w:r>
      <w:r w:rsidRPr="000532ED">
        <w:rPr>
          <w:rFonts w:hAnsi="宋体" w:hint="eastAsia"/>
          <w:szCs w:val="24"/>
        </w:rPr>
        <w:lastRenderedPageBreak/>
        <w:t>相关操作人员以外的任何人泄露，</w:t>
      </w:r>
      <w:r w:rsidRPr="000532ED">
        <w:rPr>
          <w:rFonts w:hAnsi="宋体"/>
          <w:szCs w:val="24"/>
        </w:rPr>
        <w:t>法律法规另有规定</w:t>
      </w:r>
      <w:r w:rsidRPr="000532ED">
        <w:rPr>
          <w:rFonts w:hAnsi="宋体" w:hint="eastAsia"/>
          <w:szCs w:val="24"/>
        </w:rPr>
        <w:t>或</w:t>
      </w:r>
      <w:r w:rsidRPr="000532ED">
        <w:rPr>
          <w:rFonts w:hAnsi="宋体"/>
          <w:szCs w:val="24"/>
        </w:rPr>
        <w:t>有权机关另有要求的除外</w:t>
      </w:r>
      <w:r w:rsidRPr="000532ED">
        <w:rPr>
          <w:rFonts w:hAnsi="宋体" w:hint="eastAsia"/>
          <w:szCs w:val="24"/>
        </w:rPr>
        <w:t>。</w:t>
      </w:r>
    </w:p>
    <w:p w14:paraId="6DB95EF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6.2指令的内容</w:t>
      </w:r>
    </w:p>
    <w:p w14:paraId="7B7D35D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14:paraId="0D87931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6.3指令的发送、确认和执行的时间和程序</w:t>
      </w:r>
    </w:p>
    <w:p w14:paraId="252270F6" w14:textId="77777777" w:rsidR="006E1A20" w:rsidRPr="000532ED" w:rsidRDefault="000E02E2" w:rsidP="00360B46">
      <w:pPr>
        <w:pStyle w:val="20"/>
        <w:spacing w:before="0" w:after="0" w:line="520" w:lineRule="atLeast"/>
        <w:ind w:left="0" w:firstLineChars="200" w:firstLine="480"/>
        <w:rPr>
          <w:rFonts w:hAnsi="宋体"/>
          <w:kern w:val="0"/>
          <w:szCs w:val="24"/>
        </w:rPr>
      </w:pPr>
      <w:r w:rsidRPr="000532ED">
        <w:rPr>
          <w:rFonts w:hAnsi="宋体"/>
          <w:szCs w:val="24"/>
        </w:rPr>
        <w:t>6.3.1</w:t>
      </w:r>
      <w:r w:rsidRPr="000532ED">
        <w:rPr>
          <w:rFonts w:hAnsi="宋体" w:hint="eastAsia"/>
          <w:szCs w:val="24"/>
        </w:rPr>
        <w:t>指令由“授权通知”确定的被授权人代表基金管理人用传真的方式或其他基金托管人和基金管理人书面确认过的方式向基金托管人发送。基金管理人有义务在发送指令后及时与托管人进行确认，因基金管理人未能及时与基金托管人进行指令确认</w:t>
      </w:r>
      <w:r w:rsidRPr="000532ED">
        <w:rPr>
          <w:rFonts w:hAnsi="宋体"/>
          <w:szCs w:val="24"/>
        </w:rPr>
        <w:t>,</w:t>
      </w:r>
      <w:r w:rsidRPr="000532ED">
        <w:rPr>
          <w:rFonts w:hAnsi="宋体" w:hint="eastAsia"/>
          <w:szCs w:val="24"/>
        </w:rPr>
        <w:t>致使资金未能及时到账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w:t>
      </w:r>
      <w:r w:rsidR="00FD58C3" w:rsidRPr="000532ED">
        <w:rPr>
          <w:rFonts w:hAnsi="宋体" w:hint="eastAsia"/>
          <w:szCs w:val="24"/>
        </w:rPr>
        <w:t>（不超过2小时）</w:t>
      </w:r>
      <w:r w:rsidRPr="000532ED">
        <w:rPr>
          <w:rFonts w:hAnsi="宋体" w:hint="eastAsia"/>
          <w:szCs w:val="24"/>
        </w:rPr>
        <w:t>。由基金管理人原因造成的指令传输不及时、未能留出足够划款所需时间，基金托管人不承担资金未能及时到账所造成的损失。</w:t>
      </w:r>
    </w:p>
    <w:p w14:paraId="35544929" w14:textId="77777777" w:rsidR="006E1A20" w:rsidRPr="000532ED" w:rsidRDefault="000E02E2" w:rsidP="00360B46">
      <w:pPr>
        <w:pStyle w:val="20"/>
        <w:spacing w:before="0" w:after="0" w:line="520" w:lineRule="atLeast"/>
        <w:ind w:left="0" w:firstLineChars="200" w:firstLine="480"/>
        <w:rPr>
          <w:rFonts w:hAnsi="宋体"/>
          <w:szCs w:val="24"/>
        </w:rPr>
      </w:pPr>
      <w:r w:rsidRPr="000532ED">
        <w:rPr>
          <w:rFonts w:hAnsi="宋体"/>
          <w:szCs w:val="24"/>
        </w:rPr>
        <w:t>6.3.2</w:t>
      </w:r>
      <w:r w:rsidRPr="000532ED">
        <w:rPr>
          <w:rFonts w:hAnsi="宋体" w:hint="eastAsia"/>
          <w:szCs w:val="24"/>
        </w:rPr>
        <w:t>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w:t>
      </w:r>
    </w:p>
    <w:p w14:paraId="7D8781C8" w14:textId="77777777" w:rsidR="006E1A20" w:rsidRPr="000532ED" w:rsidRDefault="000E02E2" w:rsidP="00360B46">
      <w:pPr>
        <w:pStyle w:val="20"/>
        <w:spacing w:before="0" w:after="0" w:line="520" w:lineRule="atLeast"/>
        <w:ind w:left="0" w:firstLineChars="200" w:firstLine="480"/>
        <w:rPr>
          <w:rFonts w:hAnsi="宋体"/>
          <w:szCs w:val="24"/>
        </w:rPr>
      </w:pPr>
      <w:r w:rsidRPr="000532ED">
        <w:rPr>
          <w:rFonts w:hAnsi="宋体"/>
          <w:szCs w:val="24"/>
        </w:rPr>
        <w:t>6.3.3</w:t>
      </w:r>
      <w:r w:rsidRPr="000532ED">
        <w:rPr>
          <w:rFonts w:hAnsi="宋体" w:hint="eastAsia"/>
          <w:szCs w:val="24"/>
        </w:rPr>
        <w:t>基金托管人应指定专人接收基金管理人的指令，预先通知基金管理人其名单，并与基金管理人商定指令发送和接收方式。基金托管人收到基金管理人发送的指令后，应立即审慎验证有关内容及印鉴和签名，复核无误后应在规定期限内执行，不得延误。</w:t>
      </w:r>
    </w:p>
    <w:p w14:paraId="528AD85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szCs w:val="24"/>
        </w:rPr>
        <w:t>6.3.4</w:t>
      </w:r>
      <w:r w:rsidRPr="000532ED">
        <w:rPr>
          <w:rFonts w:hAnsi="宋体" w:hint="eastAsia"/>
          <w:szCs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w:t>
      </w:r>
      <w:r w:rsidRPr="000532ED">
        <w:rPr>
          <w:rFonts w:hAnsi="宋体" w:hint="eastAsia"/>
          <w:szCs w:val="24"/>
        </w:rPr>
        <w:lastRenderedPageBreak/>
        <w:t>造成损失的责任。</w:t>
      </w:r>
    </w:p>
    <w:p w14:paraId="339A065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6.4基金管理人发送错误指令的情形和处理程序</w:t>
      </w:r>
    </w:p>
    <w:p w14:paraId="36F18900"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6.4.1基金管理人发送错误指令的情形包括指令违反相关法律法规或基金合同、指令发送人员无权或超越权限发送指令及交割信息错误，指令中重要信息模糊不清或不全等。</w:t>
      </w:r>
    </w:p>
    <w:p w14:paraId="6B219F9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6.4.2基金托管人在履行监督职能时，发现基金管理人的指令错误时，有权拒绝执行，并及时通知基金管理人改正。</w:t>
      </w:r>
    </w:p>
    <w:p w14:paraId="03F42E7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6.5基金托管人依照法律法规暂缓、拒绝执行指令的情形和处理程序</w:t>
      </w:r>
    </w:p>
    <w:p w14:paraId="49A8219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托管人发现基金管理人发送的指令违反《基金法》、基金合同、本协议或有关基金法规的有关规定，有权视情况暂缓执行或不予执行，并应及时以书面形式通知基金管理人纠正，基金托管人不承担任何损失和责任。对基金管理人更正并重新发送后的指令经基金托管人核对确认后方能执行。</w:t>
      </w:r>
    </w:p>
    <w:p w14:paraId="521D6FD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6.6基金托管人未按照基金管理人指令执行的处理方法</w:t>
      </w:r>
    </w:p>
    <w:p w14:paraId="4E57E6E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基金托管人由于自身过错原因造成未按照或者未及时按照基金管理人发送的符合法律法规规定以及基金合同、本协议约定的指令执行，给基金份额持有人或</w:t>
      </w:r>
      <w:r w:rsidRPr="000532ED">
        <w:rPr>
          <w:rFonts w:hAnsi="宋体"/>
          <w:szCs w:val="24"/>
        </w:rPr>
        <w:t>基金财产</w:t>
      </w:r>
      <w:r w:rsidRPr="000532ED">
        <w:rPr>
          <w:rFonts w:hAnsi="宋体" w:hint="eastAsia"/>
          <w:szCs w:val="24"/>
        </w:rPr>
        <w:t>造成损失的，应承担相应的责任，但如遇到不可抗力的情况除外。</w:t>
      </w:r>
    </w:p>
    <w:p w14:paraId="1D42831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6.7更换被授权人的程序</w:t>
      </w:r>
    </w:p>
    <w:p w14:paraId="1BACBCC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管理人撤换被授权人员或改变被授权人员的权限，必须提前至少1个交易日，使用传真方式或其他基金托管人和基金管理人书面确认过的方式向基金托管人发出由基金管理人签字和盖章的被授权人变更通知，同时电话通知基金托管人，基金托管人收到变更通知当日与基金管理人确认。被授权人变更通知，自基金管理人收到基金托管人确认时开始生效。基金管理人在此后3个工作日内将被授权人变更通知的正本送交基金托管人。被授权人变更通知的正本应与传真内容一致，若有不一致的，以基金托管人收到的传真件为准。在被授权人变更通知生效之前，基金托管人所接收的原被授权人所签发的划款指令及其它文件仍然完全有效。基金管理人更换被授权人通知生效后，对于已被撤换的人员无权发送的指令，或被改变授权人员超权限发送的指令，基金管理人不承担责任。</w:t>
      </w:r>
    </w:p>
    <w:p w14:paraId="4CD34F46" w14:textId="77777777" w:rsidR="006E1A20" w:rsidRPr="000532ED" w:rsidRDefault="000E02E2">
      <w:pPr>
        <w:pStyle w:val="1"/>
        <w:spacing w:line="520" w:lineRule="atLeast"/>
        <w:ind w:firstLineChars="200" w:firstLine="482"/>
        <w:rPr>
          <w:bCs/>
          <w:color w:val="auto"/>
          <w:szCs w:val="24"/>
        </w:rPr>
      </w:pPr>
      <w:bookmarkStart w:id="28" w:name="_Toc44321730"/>
      <w:r w:rsidRPr="000532ED">
        <w:rPr>
          <w:rFonts w:hint="eastAsia"/>
          <w:bCs/>
          <w:color w:val="auto"/>
          <w:szCs w:val="24"/>
        </w:rPr>
        <w:lastRenderedPageBreak/>
        <w:t>第七条 交易及清算交收安排</w:t>
      </w:r>
      <w:bookmarkEnd w:id="28"/>
      <w:r w:rsidRPr="000532ED">
        <w:rPr>
          <w:rFonts w:hint="eastAsia"/>
          <w:bCs/>
          <w:color w:val="auto"/>
          <w:szCs w:val="24"/>
        </w:rPr>
        <w:t xml:space="preserve"> </w:t>
      </w:r>
    </w:p>
    <w:p w14:paraId="61950B9E" w14:textId="77777777" w:rsidR="006E1A20" w:rsidRPr="000532ED" w:rsidRDefault="000E02E2">
      <w:pPr>
        <w:pStyle w:val="20"/>
        <w:spacing w:before="0" w:after="0" w:line="520" w:lineRule="atLeast"/>
        <w:rPr>
          <w:rFonts w:hAnsi="宋体"/>
          <w:szCs w:val="24"/>
        </w:rPr>
      </w:pPr>
      <w:r w:rsidRPr="000532ED">
        <w:rPr>
          <w:rFonts w:hAnsi="宋体" w:hint="eastAsia"/>
          <w:szCs w:val="24"/>
        </w:rPr>
        <w:t>7.1选择代理证券买卖的证券经营机构</w:t>
      </w:r>
    </w:p>
    <w:p w14:paraId="2DEB8869"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 xml:space="preserve">    7.1.1基金管理人应制定选择代理证券买卖的证券经营机构的标准和程序。基金管理人负责选择代理本基金证券买卖的证券经营机构，使用其交易单元作为基金的专用交易单元。基金管理人和被选中的证券经营机构签订委托协议，由基金管理人提前通知基金托管人，并在法定信息披露公告中披露有关内容。交易单元保证金由被选中的证券经营机构支付。</w:t>
      </w:r>
    </w:p>
    <w:p w14:paraId="3FDD0015"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 xml:space="preserve">    7.1.2基金管理人应及时将基金专用交易单元号、佣金费率等基本信息以及变更情况以书面形式通知基金托管人。</w:t>
      </w:r>
    </w:p>
    <w:p w14:paraId="1C58FA9A" w14:textId="77777777" w:rsidR="006E1A20" w:rsidRPr="000532ED" w:rsidRDefault="000E02E2">
      <w:pPr>
        <w:pStyle w:val="20"/>
        <w:spacing w:before="0" w:after="0" w:line="520" w:lineRule="atLeast"/>
        <w:rPr>
          <w:rFonts w:hAnsi="宋体"/>
          <w:szCs w:val="24"/>
        </w:rPr>
      </w:pPr>
      <w:r w:rsidRPr="000532ED">
        <w:rPr>
          <w:rFonts w:hAnsi="宋体" w:hint="eastAsia"/>
          <w:szCs w:val="24"/>
        </w:rPr>
        <w:t>7.2清算与交割</w:t>
      </w:r>
    </w:p>
    <w:p w14:paraId="1C9298AD" w14:textId="77777777" w:rsidR="006E1A20" w:rsidRPr="000532ED" w:rsidRDefault="000E02E2">
      <w:pPr>
        <w:pStyle w:val="20"/>
        <w:spacing w:before="0" w:after="0" w:line="520" w:lineRule="atLeast"/>
        <w:rPr>
          <w:rFonts w:hAnsi="宋体"/>
          <w:szCs w:val="24"/>
        </w:rPr>
      </w:pPr>
      <w:r w:rsidRPr="000532ED">
        <w:rPr>
          <w:rFonts w:hAnsi="宋体" w:hint="eastAsia"/>
          <w:szCs w:val="24"/>
        </w:rPr>
        <w:t>7.2.1基金投资证券后的清算交收安排</w:t>
      </w:r>
    </w:p>
    <w:p w14:paraId="3EF7D733"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 xml:space="preserve">    基金管理人与基金托管人应根据有关法律法规及相关业务规则，签订《证券交易资金结算协议》，用以具体明确基金管理人与基金托管人在证券交易资金结算业务中的责任。</w:t>
      </w:r>
    </w:p>
    <w:p w14:paraId="45079BC4"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 xml:space="preserve">    对基金管理人的资金划拨指令，基金托管人在复核无误后应在规定期限内执行并在执行完毕后回函确认，不得无故延误。</w:t>
      </w:r>
    </w:p>
    <w:p w14:paraId="4FEF78AE" w14:textId="77777777" w:rsidR="006E1A20" w:rsidRPr="000532ED" w:rsidRDefault="000E02E2">
      <w:pPr>
        <w:pStyle w:val="20"/>
        <w:spacing w:before="0" w:after="0" w:line="520" w:lineRule="atLeast"/>
        <w:ind w:left="0" w:firstLine="480"/>
        <w:rPr>
          <w:rFonts w:hAnsi="宋体"/>
          <w:szCs w:val="24"/>
        </w:rPr>
      </w:pPr>
      <w:r w:rsidRPr="000532ED">
        <w:rPr>
          <w:rFonts w:hAnsi="宋体" w:hint="eastAsia"/>
          <w:szCs w:val="24"/>
        </w:rPr>
        <w:t>本基金投资于证券发生的所有场内、场外交易的资金清算交割，全部由基金托管人负责办理。</w:t>
      </w:r>
    </w:p>
    <w:p w14:paraId="30F59A2E" w14:textId="77777777" w:rsidR="006E1A20" w:rsidRPr="000532ED" w:rsidRDefault="000E02E2">
      <w:pPr>
        <w:pStyle w:val="20"/>
        <w:spacing w:before="0" w:after="0" w:line="520" w:lineRule="atLeast"/>
        <w:ind w:left="0" w:firstLine="480"/>
        <w:rPr>
          <w:rFonts w:hAnsi="宋体"/>
          <w:szCs w:val="24"/>
        </w:rPr>
      </w:pPr>
      <w:r w:rsidRPr="000532ED">
        <w:rPr>
          <w:rFonts w:hAnsi="宋体" w:hint="eastAsia"/>
          <w:szCs w:val="24"/>
        </w:rPr>
        <w:t>本基金证券投资的清算交割，由基金托管人通过中登公司上海分公司/深圳分公司及清算代理银行办理。</w:t>
      </w:r>
    </w:p>
    <w:p w14:paraId="5928B0EC" w14:textId="77777777" w:rsidR="006E1A20" w:rsidRPr="000532ED" w:rsidRDefault="000E02E2">
      <w:pPr>
        <w:pStyle w:val="20"/>
        <w:spacing w:before="0" w:after="0" w:line="520" w:lineRule="atLeast"/>
        <w:ind w:left="0" w:firstLine="480"/>
        <w:rPr>
          <w:rFonts w:hAnsi="宋体"/>
          <w:szCs w:val="24"/>
        </w:rPr>
      </w:pPr>
      <w:r w:rsidRPr="000532ED">
        <w:rPr>
          <w:rFonts w:hAnsi="宋体" w:hint="eastAsia"/>
          <w:szCs w:val="24"/>
        </w:rPr>
        <w:t>交易及清算交收安排中管理人应为托管人预留2个小时的指令处理时间，当日15:00之后收到的指令，托管人尽力负责但不承诺指令支付成功。如果因基金托管人过错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14:paraId="09184240" w14:textId="77777777" w:rsidR="006E1A20" w:rsidRPr="000532ED" w:rsidRDefault="000E02E2">
      <w:pPr>
        <w:pStyle w:val="20"/>
        <w:spacing w:before="0" w:after="0" w:line="520" w:lineRule="atLeast"/>
        <w:rPr>
          <w:rFonts w:hAnsi="宋体"/>
          <w:szCs w:val="24"/>
        </w:rPr>
      </w:pPr>
      <w:r w:rsidRPr="000532ED">
        <w:rPr>
          <w:rFonts w:hAnsi="宋体" w:hint="eastAsia"/>
          <w:szCs w:val="24"/>
        </w:rPr>
        <w:t>7.2.2基金出现超买或超卖的责任认定及处理程序</w:t>
      </w:r>
    </w:p>
    <w:p w14:paraId="02B2560A"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lastRenderedPageBreak/>
        <w:t xml:space="preserve">    基金托管人在履行监督职能时，如果发现基金投资证券过程中出现超买或超卖现象，应立即提醒基金管理人，由基金管理人负责解决，由此给基金造成的损失由基金管理人承担。</w:t>
      </w:r>
    </w:p>
    <w:p w14:paraId="0E9B675F" w14:textId="77777777" w:rsidR="006E1A20" w:rsidRPr="000532ED" w:rsidRDefault="000E02E2">
      <w:pPr>
        <w:pStyle w:val="20"/>
        <w:spacing w:before="0" w:after="0" w:line="520" w:lineRule="atLeast"/>
        <w:rPr>
          <w:rFonts w:hAnsi="宋体"/>
          <w:szCs w:val="24"/>
        </w:rPr>
      </w:pPr>
      <w:r w:rsidRPr="000532ED">
        <w:rPr>
          <w:rFonts w:hAnsi="宋体" w:hint="eastAsia"/>
          <w:szCs w:val="24"/>
        </w:rPr>
        <w:t>7.2.3基金无法按时支付证券清算款的责任认定及处理程序</w:t>
      </w:r>
    </w:p>
    <w:p w14:paraId="7AD961A8"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 xml:space="preserve">    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14:paraId="00845914" w14:textId="77777777" w:rsidR="006E1A20" w:rsidRPr="000532ED" w:rsidRDefault="000E02E2">
      <w:pPr>
        <w:pStyle w:val="20"/>
        <w:spacing w:before="0" w:after="0" w:line="520" w:lineRule="atLeast"/>
        <w:ind w:left="0" w:firstLine="480"/>
        <w:rPr>
          <w:rFonts w:hAnsi="宋体"/>
          <w:szCs w:val="24"/>
        </w:rPr>
      </w:pPr>
      <w:r w:rsidRPr="000532ED">
        <w:rPr>
          <w:rFonts w:hAnsi="宋体" w:hint="eastAsia"/>
          <w:szCs w:val="24"/>
        </w:rPr>
        <w:t>在基金资金头寸充足的情况下，基金托管人对基金管理人符合法律法规、基金合同、本托管协议的指令不得拖延或拒绝执行。如由于基金托管人的过错原因导致基金无法按时支付证券清算款，由此给基金造成的损失由基金托管人承担。</w:t>
      </w:r>
    </w:p>
    <w:p w14:paraId="705A0F3B" w14:textId="77777777" w:rsidR="006E1A20" w:rsidRPr="000532ED" w:rsidRDefault="000E02E2">
      <w:pPr>
        <w:pStyle w:val="20"/>
        <w:spacing w:line="520" w:lineRule="atLeast"/>
        <w:ind w:left="0" w:firstLineChars="200" w:firstLine="480"/>
        <w:rPr>
          <w:rFonts w:hAnsi="宋体"/>
          <w:szCs w:val="24"/>
        </w:rPr>
      </w:pPr>
      <w:r w:rsidRPr="000532ED">
        <w:rPr>
          <w:rFonts w:hAnsi="宋体" w:hint="eastAsia"/>
          <w:szCs w:val="24"/>
        </w:rPr>
        <w:t>7.2.4场外交易资金结算</w:t>
      </w:r>
    </w:p>
    <w:p w14:paraId="4A0748C3" w14:textId="77777777" w:rsidR="006E1A20" w:rsidRPr="000532ED" w:rsidRDefault="000E02E2">
      <w:pPr>
        <w:pStyle w:val="20"/>
        <w:spacing w:before="0" w:after="0" w:line="520" w:lineRule="atLeast"/>
        <w:ind w:left="0" w:firstLine="480"/>
        <w:rPr>
          <w:rFonts w:hAnsi="宋体"/>
          <w:szCs w:val="24"/>
        </w:rPr>
      </w:pPr>
      <w:r w:rsidRPr="000532ED">
        <w:rPr>
          <w:rFonts w:hAnsi="宋体" w:hint="eastAsia"/>
          <w:szCs w:val="24"/>
        </w:rPr>
        <w:t>场外资金对外投资划款由基金托管人凭基金管理人符合本托管协议约定的有效资金划拨指令和相关投资合同（如有）进行资金划拨；场外投资本金及收益的划回，由管理人负责协调相关资金划拨回产品托管户事宜。</w:t>
      </w:r>
    </w:p>
    <w:p w14:paraId="147F4FA9" w14:textId="77777777" w:rsidR="006E1A20" w:rsidRPr="000532ED" w:rsidRDefault="000E02E2">
      <w:pPr>
        <w:pStyle w:val="20"/>
        <w:spacing w:before="0" w:after="0" w:line="520" w:lineRule="atLeast"/>
        <w:rPr>
          <w:rFonts w:hAnsi="宋体"/>
          <w:szCs w:val="24"/>
        </w:rPr>
      </w:pPr>
      <w:r w:rsidRPr="000532ED">
        <w:rPr>
          <w:rFonts w:hAnsi="宋体" w:hint="eastAsia"/>
          <w:szCs w:val="24"/>
        </w:rPr>
        <w:t>7.3资金、证券账目及交易记录的核对</w:t>
      </w:r>
    </w:p>
    <w:p w14:paraId="731FD2AB"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 xml:space="preserve">    7.3.1基金管理人与基金托管人按日进行交易记录的核对。每日对外披露基金份额净值之前，必须保证当天所有实际交易记录与基金会计账簿上的交易记录完全一致。如果实际交易记录与会计账簿记录不一致，造成基金会计核算不完整或不真实，由此导致的损失由责任方承担。</w:t>
      </w:r>
    </w:p>
    <w:p w14:paraId="26E1E6E1"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 xml:space="preserve">    7.3.2对基金的资金账目，由相关各方每日对账一次，确保相关各方账账相符。对基金证券账目，由相关各方每日进行对账。对实物券账目，每月月末由相关各方进行账实核对。对交易记录，由相关各方每日对账一次。</w:t>
      </w:r>
    </w:p>
    <w:p w14:paraId="436309D9"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 xml:space="preserve">    7.4申购、赎回、转换开放式基金的资金清算、数据传递及基金管理人、基金托管人的责任</w:t>
      </w:r>
    </w:p>
    <w:p w14:paraId="497DA7F1"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 xml:space="preserve">    7.4.1基金管理人和基金托管人在基金的申购赎回、转换中的责任</w:t>
      </w:r>
    </w:p>
    <w:p w14:paraId="74A0A7C8"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 xml:space="preserve">    基金投资人可通过基金管理人的直销中心和销售机构的代销网点进行申购和</w:t>
      </w:r>
      <w:r w:rsidRPr="000532ED">
        <w:rPr>
          <w:rFonts w:hAnsi="宋体" w:hint="eastAsia"/>
          <w:szCs w:val="24"/>
        </w:rPr>
        <w:lastRenderedPageBreak/>
        <w:t>赎回申请，基金份额申购、赎回的确认、清算由基金管理人或其委托的登记机构负责。基金托管人负责接收并确认资金的到账情况，以及依照基金管理人的投资指令划付赎回款项。</w:t>
      </w:r>
    </w:p>
    <w:p w14:paraId="52519EB0" w14:textId="77777777" w:rsidR="006E1A20" w:rsidRPr="000532ED" w:rsidRDefault="000E02E2">
      <w:pPr>
        <w:pStyle w:val="20"/>
        <w:spacing w:before="0" w:after="0" w:line="520" w:lineRule="atLeast"/>
        <w:rPr>
          <w:rFonts w:hAnsi="宋体"/>
          <w:szCs w:val="24"/>
        </w:rPr>
      </w:pPr>
      <w:r w:rsidRPr="000532ED">
        <w:rPr>
          <w:rFonts w:hAnsi="宋体" w:hint="eastAsia"/>
          <w:szCs w:val="24"/>
        </w:rPr>
        <w:t>7.4.2基金的数据传递</w:t>
      </w:r>
    </w:p>
    <w:p w14:paraId="2041A9AB"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 xml:space="preserve">    基金管理人应保证本基金（或本基金管理人委托）的登记机构于每个开放日15：00之前将本基金的申购、赎回、转换的数据传送给基金托管人。基金管理人应对传递的数据的真实性、准确性和完整性负责。</w:t>
      </w:r>
    </w:p>
    <w:p w14:paraId="1216D5E6"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 xml:space="preserve">    登记机构应通过与基金管理人建立的系统发送有关数据，如因各种原因，该系统无法正常发送，双方可协商解决处理方式。</w:t>
      </w:r>
    </w:p>
    <w:p w14:paraId="111884B1" w14:textId="77777777" w:rsidR="006E1A20" w:rsidRPr="000532ED" w:rsidRDefault="000E02E2">
      <w:pPr>
        <w:pStyle w:val="20"/>
        <w:spacing w:before="0" w:after="0" w:line="520" w:lineRule="atLeast"/>
        <w:rPr>
          <w:rFonts w:hAnsi="宋体"/>
          <w:szCs w:val="24"/>
        </w:rPr>
      </w:pPr>
      <w:r w:rsidRPr="000532ED">
        <w:rPr>
          <w:rFonts w:hAnsi="宋体" w:hint="eastAsia"/>
          <w:szCs w:val="24"/>
        </w:rPr>
        <w:t>7.4.3基金的资金清算</w:t>
      </w:r>
    </w:p>
    <w:p w14:paraId="74A72D40"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 xml:space="preserve">    基金托管专户与“基金清算账户”间的资金结算遵循“全额清算、净额交收”的原则，每日按照托管专户应收资金与应付资金的差额来确定托管专户净应收额或净应付额，以此确定资金交收额。</w:t>
      </w:r>
    </w:p>
    <w:p w14:paraId="4C7FDDDF"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如果当日基金为净应付款，基金托管人应根据基金管理人的指令在交收日及时进行划付，对于未准时划付的资金，基金管理人应及时通知基金托管人划付。因基金托管专户没有足够的资金，导致基金托管人不能按时拨付，基金托管人应及时通知基金管理人。</w:t>
      </w:r>
    </w:p>
    <w:p w14:paraId="606F83F5" w14:textId="77777777" w:rsidR="006E1A20" w:rsidRPr="000532ED" w:rsidRDefault="000E02E2">
      <w:pPr>
        <w:pStyle w:val="1"/>
        <w:spacing w:line="520" w:lineRule="atLeast"/>
        <w:ind w:firstLineChars="200" w:firstLine="482"/>
        <w:rPr>
          <w:bCs/>
          <w:color w:val="auto"/>
          <w:szCs w:val="24"/>
        </w:rPr>
      </w:pPr>
      <w:bookmarkStart w:id="29" w:name="_Toc296551344"/>
      <w:bookmarkStart w:id="30" w:name="_Toc44321731"/>
      <w:r w:rsidRPr="000532ED">
        <w:rPr>
          <w:rFonts w:hint="eastAsia"/>
          <w:bCs/>
          <w:color w:val="auto"/>
          <w:szCs w:val="24"/>
        </w:rPr>
        <w:t>第八条 基金净值计算和会计核算</w:t>
      </w:r>
      <w:bookmarkEnd w:id="29"/>
      <w:bookmarkEnd w:id="30"/>
    </w:p>
    <w:p w14:paraId="312646F0"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8.1基金净值的计算、复核的时间和程序</w:t>
      </w:r>
    </w:p>
    <w:p w14:paraId="247C4579"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8.1.1基金</w:t>
      </w:r>
      <w:r w:rsidRPr="000532ED">
        <w:rPr>
          <w:rFonts w:hAnsi="宋体"/>
          <w:szCs w:val="24"/>
        </w:rPr>
        <w:t>净值包括基金资产净值</w:t>
      </w:r>
      <w:r w:rsidRPr="000532ED">
        <w:rPr>
          <w:rFonts w:hAnsi="宋体" w:hint="eastAsia"/>
          <w:szCs w:val="24"/>
        </w:rPr>
        <w:t>、基金</w:t>
      </w:r>
      <w:r w:rsidRPr="000532ED">
        <w:rPr>
          <w:rFonts w:hAnsi="宋体"/>
          <w:szCs w:val="24"/>
        </w:rPr>
        <w:t>份额净值、基金</w:t>
      </w:r>
      <w:r w:rsidRPr="000532ED">
        <w:rPr>
          <w:rFonts w:hAnsi="宋体" w:hint="eastAsia"/>
          <w:szCs w:val="24"/>
        </w:rPr>
        <w:t>份额</w:t>
      </w:r>
      <w:r w:rsidRPr="000532ED">
        <w:rPr>
          <w:rFonts w:hAnsi="宋体"/>
          <w:szCs w:val="24"/>
        </w:rPr>
        <w:t>累计净值。</w:t>
      </w:r>
      <w:r w:rsidRPr="000532ED">
        <w:rPr>
          <w:rFonts w:hAnsi="宋体" w:hint="eastAsia"/>
          <w:szCs w:val="24"/>
        </w:rPr>
        <w:t>基金资产净值是指基金资产总值减去负债后的净资产值。基金份额净值是指计算日基金资产净值除以该计算日基金份额总份额后的数值。基金</w:t>
      </w:r>
      <w:r w:rsidRPr="000532ED">
        <w:rPr>
          <w:rFonts w:hAnsi="宋体"/>
          <w:szCs w:val="24"/>
        </w:rPr>
        <w:t>份额</w:t>
      </w:r>
      <w:r w:rsidRPr="000532ED">
        <w:rPr>
          <w:rFonts w:hAnsi="宋体" w:hint="eastAsia"/>
          <w:szCs w:val="24"/>
        </w:rPr>
        <w:t>累计净值是指</w:t>
      </w:r>
      <w:r w:rsidRPr="000532ED">
        <w:rPr>
          <w:rFonts w:hAnsi="宋体"/>
          <w:szCs w:val="24"/>
        </w:rPr>
        <w:t>【</w:t>
      </w:r>
      <w:r w:rsidRPr="000532ED">
        <w:rPr>
          <w:rFonts w:hAnsi="宋体" w:hint="eastAsia"/>
          <w:szCs w:val="24"/>
        </w:rPr>
        <w:t>基金份额净值与基金历来分红累计金额之和</w:t>
      </w:r>
      <w:r w:rsidRPr="000532ED">
        <w:rPr>
          <w:rFonts w:hAnsi="宋体"/>
          <w:szCs w:val="24"/>
        </w:rPr>
        <w:t>】</w:t>
      </w:r>
      <w:r w:rsidRPr="000532ED">
        <w:rPr>
          <w:rFonts w:hAnsi="宋体" w:hint="eastAsia"/>
          <w:szCs w:val="24"/>
        </w:rPr>
        <w:t>。基金净值的计算保留到小数点后4位，小数点后第5位四舍五入，由此产生的误差计入基金财产。</w:t>
      </w:r>
      <w:r w:rsidRPr="000532ED">
        <w:rPr>
          <w:rFonts w:hAnsi="宋体"/>
          <w:szCs w:val="24"/>
        </w:rPr>
        <w:t>基金管理人可以设立大额赎回情形下的净值精度应急调整机制。国家另有规定</w:t>
      </w:r>
      <w:r w:rsidRPr="000532ED">
        <w:rPr>
          <w:rFonts w:hAnsi="宋体" w:hint="eastAsia"/>
          <w:szCs w:val="24"/>
        </w:rPr>
        <w:t>或基金合同另有约定</w:t>
      </w:r>
      <w:r w:rsidRPr="000532ED">
        <w:rPr>
          <w:rFonts w:hAnsi="宋体"/>
          <w:szCs w:val="24"/>
        </w:rPr>
        <w:t>的，从其规定。</w:t>
      </w:r>
    </w:p>
    <w:p w14:paraId="4E81F61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8.1.2基金管理人应每工作日对基金资产估值，但基金管理人根据法律法规或基金合同的规定暂停估值时除外。估值原则应符合基金合同、《证券投资基金会计</w:t>
      </w:r>
      <w:r w:rsidRPr="000532ED">
        <w:rPr>
          <w:rFonts w:hAnsi="宋体" w:hint="eastAsia"/>
          <w:szCs w:val="24"/>
        </w:rPr>
        <w:lastRenderedPageBreak/>
        <w:t>核算业务指引》及其他法律、法规的规定。用于基金信息披露的基金资产净值、基金份额净值和基金份额累计净值由基金管理人负责计算，基金托管人复核。基金管理人应于每个工作日交易结束后计算当日的基金净值并以双方认可的方式发送给基金托管人。基金托管人对净值计算结果复核后以双方认可的方式发送给基金管理人，基金管理人在不晚于</w:t>
      </w:r>
      <w:r w:rsidRPr="000532ED">
        <w:rPr>
          <w:rFonts w:hAnsi="宋体"/>
          <w:szCs w:val="24"/>
        </w:rPr>
        <w:t>每个开放日的次日，通过</w:t>
      </w:r>
      <w:r w:rsidRPr="000532ED">
        <w:rPr>
          <w:rFonts w:hAnsi="宋体" w:hint="eastAsia"/>
          <w:szCs w:val="24"/>
        </w:rPr>
        <w:t>规定网站披露</w:t>
      </w:r>
      <w:r w:rsidRPr="000532ED">
        <w:rPr>
          <w:rFonts w:hAnsi="宋体"/>
          <w:szCs w:val="24"/>
        </w:rPr>
        <w:t>开放日的</w:t>
      </w:r>
      <w:r w:rsidRPr="000532ED">
        <w:rPr>
          <w:rFonts w:hAnsi="宋体" w:hint="eastAsia"/>
          <w:szCs w:val="24"/>
        </w:rPr>
        <w:t>基金净值，</w:t>
      </w:r>
      <w:r w:rsidRPr="000532ED">
        <w:rPr>
          <w:rFonts w:hAnsi="宋体"/>
          <w:szCs w:val="24"/>
        </w:rPr>
        <w:t>并在不晚于半年度和年度最后一日的次日，在规定网站披露</w:t>
      </w:r>
      <w:r w:rsidRPr="000532ED">
        <w:rPr>
          <w:rFonts w:hAnsi="宋体" w:hint="eastAsia"/>
          <w:szCs w:val="24"/>
        </w:rPr>
        <w:t>半年度</w:t>
      </w:r>
      <w:r w:rsidRPr="000532ED">
        <w:rPr>
          <w:rFonts w:hAnsi="宋体"/>
          <w:szCs w:val="24"/>
        </w:rPr>
        <w:t>和年度最后一日的基金净值</w:t>
      </w:r>
      <w:r w:rsidRPr="000532ED">
        <w:rPr>
          <w:rFonts w:hAnsi="宋体" w:hint="eastAsia"/>
          <w:szCs w:val="24"/>
        </w:rPr>
        <w:t>。</w:t>
      </w:r>
    </w:p>
    <w:p w14:paraId="6ACAC6F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8.1.3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w:t>
      </w:r>
    </w:p>
    <w:p w14:paraId="003FE02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8.2基金资产估值方法</w:t>
      </w:r>
    </w:p>
    <w:p w14:paraId="2D87EE4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8.2.1估值对象</w:t>
      </w:r>
    </w:p>
    <w:p w14:paraId="52CDAC2E" w14:textId="77777777" w:rsidR="006E1A20" w:rsidRPr="000532ED" w:rsidRDefault="000E02E2">
      <w:pPr>
        <w:pStyle w:val="20"/>
        <w:spacing w:before="0" w:after="0" w:line="520" w:lineRule="atLeast"/>
        <w:ind w:left="0" w:firstLineChars="200" w:firstLine="480"/>
        <w:rPr>
          <w:rFonts w:hAnsi="宋体"/>
          <w:szCs w:val="24"/>
        </w:rPr>
      </w:pPr>
      <w:r w:rsidRPr="000532ED">
        <w:rPr>
          <w:rFonts w:hint="eastAsia"/>
          <w:bCs/>
        </w:rPr>
        <w:t>基金所拥有的股票</w:t>
      </w:r>
      <w:r w:rsidRPr="000532ED">
        <w:rPr>
          <w:bCs/>
        </w:rPr>
        <w:t>、债券、衍生工具和银行存款本息</w:t>
      </w:r>
      <w:r w:rsidRPr="000532ED">
        <w:rPr>
          <w:rFonts w:hint="eastAsia"/>
          <w:bCs/>
        </w:rPr>
        <w:t>、应收款项、其它投资等资产及负债。</w:t>
      </w:r>
    </w:p>
    <w:p w14:paraId="37534F6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8.2.2估值方法</w:t>
      </w:r>
    </w:p>
    <w:p w14:paraId="121920F2"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hint="eastAsia"/>
          <w:color w:val="000000"/>
          <w:kern w:val="0"/>
          <w:sz w:val="24"/>
        </w:rPr>
        <w:t>（1）证券交易所上市的有价证券的估值</w:t>
      </w:r>
    </w:p>
    <w:p w14:paraId="69119C2F"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color w:val="000000"/>
          <w:kern w:val="0"/>
          <w:sz w:val="24"/>
        </w:rPr>
        <w:fldChar w:fldCharType="begin"/>
      </w:r>
      <w:r w:rsidRPr="000532ED">
        <w:rPr>
          <w:rFonts w:ascii="宋体" w:hAnsi="宋体"/>
          <w:color w:val="000000"/>
          <w:kern w:val="0"/>
          <w:sz w:val="24"/>
        </w:rPr>
        <w:instrText xml:space="preserve"> </w:instrText>
      </w:r>
      <w:r w:rsidRPr="000532ED">
        <w:rPr>
          <w:rFonts w:ascii="宋体" w:hAnsi="宋体" w:hint="eastAsia"/>
          <w:color w:val="000000"/>
          <w:kern w:val="0"/>
          <w:sz w:val="24"/>
        </w:rPr>
        <w:instrText>= 1 \* GB3</w:instrText>
      </w:r>
      <w:r w:rsidRPr="000532ED">
        <w:rPr>
          <w:rFonts w:ascii="宋体" w:hAnsi="宋体"/>
          <w:color w:val="000000"/>
          <w:kern w:val="0"/>
          <w:sz w:val="24"/>
        </w:rPr>
        <w:instrText xml:space="preserve"> </w:instrText>
      </w:r>
      <w:r w:rsidRPr="000532ED">
        <w:rPr>
          <w:rFonts w:ascii="宋体" w:hAnsi="宋体"/>
          <w:color w:val="000000"/>
          <w:kern w:val="0"/>
          <w:sz w:val="24"/>
        </w:rPr>
        <w:fldChar w:fldCharType="separate"/>
      </w:r>
      <w:r w:rsidRPr="000532ED">
        <w:rPr>
          <w:rFonts w:ascii="宋体" w:hAnsi="宋体" w:hint="eastAsia"/>
          <w:noProof/>
          <w:color w:val="000000"/>
          <w:kern w:val="0"/>
          <w:sz w:val="24"/>
        </w:rPr>
        <w:t>①</w:t>
      </w:r>
      <w:r w:rsidRPr="000532ED">
        <w:rPr>
          <w:rFonts w:ascii="宋体" w:hAnsi="宋体"/>
          <w:color w:val="000000"/>
          <w:kern w:val="0"/>
          <w:sz w:val="24"/>
        </w:rPr>
        <w:fldChar w:fldCharType="end"/>
      </w:r>
      <w:r w:rsidRPr="000532ED">
        <w:rPr>
          <w:bCs/>
          <w:sz w:val="24"/>
        </w:rPr>
        <w:t>交易所上市的有价证券（包括股票等）</w:t>
      </w:r>
      <w:r w:rsidRPr="000532ED">
        <w:rPr>
          <w:rFonts w:ascii="宋体" w:hAnsi="宋体" w:hint="eastAsia"/>
          <w:color w:val="000000"/>
          <w:kern w:val="0"/>
          <w:sz w:val="24"/>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3A1A0B9" w14:textId="77777777" w:rsidR="006E1A20" w:rsidRPr="000532ED" w:rsidRDefault="000E02E2">
      <w:pPr>
        <w:widowControl/>
        <w:spacing w:line="360" w:lineRule="auto"/>
        <w:ind w:firstLineChars="200" w:firstLine="480"/>
        <w:rPr>
          <w:rFonts w:ascii="宋体" w:hAnsi="宋体"/>
          <w:noProof/>
          <w:color w:val="000000"/>
          <w:kern w:val="0"/>
          <w:sz w:val="24"/>
        </w:rPr>
      </w:pPr>
      <w:r w:rsidRPr="000532ED">
        <w:rPr>
          <w:rFonts w:ascii="宋体" w:hAnsi="宋体"/>
          <w:noProof/>
          <w:color w:val="000000"/>
          <w:kern w:val="0"/>
          <w:sz w:val="24"/>
        </w:rPr>
        <w:fldChar w:fldCharType="begin"/>
      </w:r>
      <w:r w:rsidRPr="000532ED">
        <w:rPr>
          <w:rFonts w:ascii="宋体" w:hAnsi="宋体"/>
          <w:noProof/>
          <w:color w:val="000000"/>
          <w:kern w:val="0"/>
          <w:sz w:val="24"/>
        </w:rPr>
        <w:instrText xml:space="preserve"> </w:instrText>
      </w:r>
      <w:r w:rsidRPr="000532ED">
        <w:rPr>
          <w:rFonts w:ascii="宋体" w:hAnsi="宋体" w:hint="eastAsia"/>
          <w:noProof/>
          <w:color w:val="000000"/>
          <w:kern w:val="0"/>
          <w:sz w:val="24"/>
        </w:rPr>
        <w:instrText>= 2 \* GB3</w:instrText>
      </w:r>
      <w:r w:rsidRPr="000532ED">
        <w:rPr>
          <w:rFonts w:ascii="宋体" w:hAnsi="宋体"/>
          <w:noProof/>
          <w:color w:val="000000"/>
          <w:kern w:val="0"/>
          <w:sz w:val="24"/>
        </w:rPr>
        <w:instrText xml:space="preserve"> </w:instrText>
      </w:r>
      <w:r w:rsidRPr="000532ED">
        <w:rPr>
          <w:rFonts w:ascii="宋体" w:hAnsi="宋体"/>
          <w:noProof/>
          <w:color w:val="000000"/>
          <w:kern w:val="0"/>
          <w:sz w:val="24"/>
        </w:rPr>
        <w:fldChar w:fldCharType="separate"/>
      </w:r>
      <w:r w:rsidRPr="000532ED">
        <w:rPr>
          <w:rFonts w:ascii="宋体" w:hAnsi="宋体" w:hint="eastAsia"/>
          <w:noProof/>
          <w:color w:val="000000"/>
          <w:kern w:val="0"/>
          <w:sz w:val="24"/>
        </w:rPr>
        <w:t>②</w:t>
      </w:r>
      <w:r w:rsidRPr="000532ED">
        <w:rPr>
          <w:rFonts w:ascii="宋体" w:hAnsi="宋体"/>
          <w:noProof/>
          <w:color w:val="000000"/>
          <w:kern w:val="0"/>
          <w:sz w:val="24"/>
        </w:rPr>
        <w:fldChar w:fldCharType="end"/>
      </w:r>
      <w:r w:rsidRPr="000532ED">
        <w:rPr>
          <w:rFonts w:ascii="宋体" w:hAnsi="宋体" w:hint="eastAsia"/>
          <w:noProof/>
          <w:color w:val="000000"/>
          <w:kern w:val="0"/>
          <w:sz w:val="24"/>
        </w:rPr>
        <w:t>交易所上市交易或挂牌转让的不含权固定收益品种，选取估值日第三方估值机构提供的相应品种当日的估值净价进行估值；</w:t>
      </w:r>
    </w:p>
    <w:p w14:paraId="4A9FB764" w14:textId="77777777" w:rsidR="006E1A20" w:rsidRPr="000532ED" w:rsidRDefault="000E02E2">
      <w:pPr>
        <w:widowControl/>
        <w:spacing w:line="360" w:lineRule="auto"/>
        <w:ind w:firstLineChars="200" w:firstLine="480"/>
        <w:rPr>
          <w:rFonts w:ascii="宋体" w:hAnsi="宋体"/>
          <w:noProof/>
          <w:color w:val="000000"/>
          <w:kern w:val="0"/>
          <w:sz w:val="24"/>
        </w:rPr>
      </w:pPr>
      <w:r w:rsidRPr="000532ED">
        <w:rPr>
          <w:rFonts w:ascii="宋体" w:hAnsi="宋体"/>
          <w:noProof/>
          <w:color w:val="000000"/>
          <w:kern w:val="0"/>
          <w:sz w:val="24"/>
        </w:rPr>
        <w:fldChar w:fldCharType="begin"/>
      </w:r>
      <w:r w:rsidRPr="000532ED">
        <w:rPr>
          <w:rFonts w:ascii="宋体" w:hAnsi="宋体"/>
          <w:noProof/>
          <w:color w:val="000000"/>
          <w:kern w:val="0"/>
          <w:sz w:val="24"/>
        </w:rPr>
        <w:instrText xml:space="preserve"> </w:instrText>
      </w:r>
      <w:r w:rsidRPr="000532ED">
        <w:rPr>
          <w:rFonts w:ascii="宋体" w:hAnsi="宋体" w:hint="eastAsia"/>
          <w:noProof/>
          <w:color w:val="000000"/>
          <w:kern w:val="0"/>
          <w:sz w:val="24"/>
        </w:rPr>
        <w:instrText>= 3 \* GB3</w:instrText>
      </w:r>
      <w:r w:rsidRPr="000532ED">
        <w:rPr>
          <w:rFonts w:ascii="宋体" w:hAnsi="宋体"/>
          <w:noProof/>
          <w:color w:val="000000"/>
          <w:kern w:val="0"/>
          <w:sz w:val="24"/>
        </w:rPr>
        <w:instrText xml:space="preserve"> </w:instrText>
      </w:r>
      <w:r w:rsidRPr="000532ED">
        <w:rPr>
          <w:rFonts w:ascii="宋体" w:hAnsi="宋体"/>
          <w:noProof/>
          <w:color w:val="000000"/>
          <w:kern w:val="0"/>
          <w:sz w:val="24"/>
        </w:rPr>
        <w:fldChar w:fldCharType="separate"/>
      </w:r>
      <w:r w:rsidRPr="000532ED">
        <w:rPr>
          <w:rFonts w:ascii="宋体" w:hAnsi="宋体" w:hint="eastAsia"/>
          <w:noProof/>
          <w:color w:val="000000"/>
          <w:kern w:val="0"/>
          <w:sz w:val="24"/>
        </w:rPr>
        <w:t>③</w:t>
      </w:r>
      <w:r w:rsidRPr="000532ED">
        <w:rPr>
          <w:rFonts w:ascii="宋体" w:hAnsi="宋体"/>
          <w:noProof/>
          <w:color w:val="000000"/>
          <w:kern w:val="0"/>
          <w:sz w:val="24"/>
        </w:rPr>
        <w:fldChar w:fldCharType="end"/>
      </w:r>
      <w:r w:rsidRPr="000532ED">
        <w:rPr>
          <w:rFonts w:ascii="宋体" w:hAnsi="宋体" w:hint="eastAsia"/>
          <w:noProof/>
          <w:color w:val="000000"/>
          <w:kern w:val="0"/>
          <w:sz w:val="24"/>
        </w:rPr>
        <w:t>交易所上市交易或挂牌转让的含权固定收益品种，选取估值日第三方估值机构提供的相应品种当日的唯一估值净价或推荐估值净价进行估值；</w:t>
      </w:r>
    </w:p>
    <w:p w14:paraId="6C4B5D87" w14:textId="77777777" w:rsidR="006E1A20" w:rsidRPr="000532ED" w:rsidRDefault="000E02E2">
      <w:pPr>
        <w:widowControl/>
        <w:spacing w:line="360" w:lineRule="auto"/>
        <w:ind w:firstLineChars="200" w:firstLine="480"/>
        <w:rPr>
          <w:rFonts w:ascii="宋体" w:hAnsi="宋体"/>
          <w:noProof/>
          <w:color w:val="000000"/>
          <w:kern w:val="0"/>
          <w:sz w:val="24"/>
        </w:rPr>
      </w:pPr>
      <w:r w:rsidRPr="000532ED">
        <w:rPr>
          <w:rFonts w:ascii="宋体" w:hAnsi="宋体"/>
          <w:noProof/>
          <w:color w:val="000000"/>
          <w:kern w:val="0"/>
          <w:sz w:val="24"/>
        </w:rPr>
        <w:fldChar w:fldCharType="begin"/>
      </w:r>
      <w:r w:rsidRPr="000532ED">
        <w:rPr>
          <w:rFonts w:ascii="宋体" w:hAnsi="宋体"/>
          <w:noProof/>
          <w:color w:val="000000"/>
          <w:kern w:val="0"/>
          <w:sz w:val="24"/>
        </w:rPr>
        <w:instrText xml:space="preserve"> </w:instrText>
      </w:r>
      <w:r w:rsidRPr="000532ED">
        <w:rPr>
          <w:rFonts w:ascii="宋体" w:hAnsi="宋体" w:hint="eastAsia"/>
          <w:noProof/>
          <w:color w:val="000000"/>
          <w:kern w:val="0"/>
          <w:sz w:val="24"/>
        </w:rPr>
        <w:instrText>= 4 \* GB3</w:instrText>
      </w:r>
      <w:r w:rsidRPr="000532ED">
        <w:rPr>
          <w:rFonts w:ascii="宋体" w:hAnsi="宋体"/>
          <w:noProof/>
          <w:color w:val="000000"/>
          <w:kern w:val="0"/>
          <w:sz w:val="24"/>
        </w:rPr>
        <w:instrText xml:space="preserve"> </w:instrText>
      </w:r>
      <w:r w:rsidRPr="000532ED">
        <w:rPr>
          <w:rFonts w:ascii="宋体" w:hAnsi="宋体"/>
          <w:noProof/>
          <w:color w:val="000000"/>
          <w:kern w:val="0"/>
          <w:sz w:val="24"/>
        </w:rPr>
        <w:fldChar w:fldCharType="separate"/>
      </w:r>
      <w:r w:rsidRPr="000532ED">
        <w:rPr>
          <w:rFonts w:ascii="宋体" w:hAnsi="宋体" w:hint="eastAsia"/>
          <w:noProof/>
          <w:color w:val="000000"/>
          <w:kern w:val="0"/>
          <w:sz w:val="24"/>
        </w:rPr>
        <w:t>④</w:t>
      </w:r>
      <w:r w:rsidRPr="000532ED">
        <w:rPr>
          <w:rFonts w:ascii="宋体" w:hAnsi="宋体"/>
          <w:noProof/>
          <w:color w:val="000000"/>
          <w:kern w:val="0"/>
          <w:sz w:val="24"/>
        </w:rPr>
        <w:fldChar w:fldCharType="end"/>
      </w:r>
      <w:r w:rsidRPr="000532ED">
        <w:rPr>
          <w:rFonts w:ascii="宋体" w:hAnsi="宋体" w:hint="eastAsia"/>
          <w:noProof/>
          <w:color w:val="000000"/>
          <w:kern w:val="0"/>
          <w:sz w:val="24"/>
        </w:rPr>
        <w:t>交易所上市交易的可转换债券以每日收盘价作为估值全价；</w:t>
      </w:r>
    </w:p>
    <w:p w14:paraId="224FFAF5" w14:textId="77777777" w:rsidR="006E1A20" w:rsidRPr="000532ED" w:rsidRDefault="000E02E2">
      <w:pPr>
        <w:widowControl/>
        <w:spacing w:line="360" w:lineRule="auto"/>
        <w:ind w:firstLineChars="200" w:firstLine="480"/>
        <w:rPr>
          <w:rFonts w:ascii="宋体" w:hAnsi="宋体"/>
          <w:noProof/>
          <w:color w:val="000000"/>
          <w:kern w:val="0"/>
          <w:sz w:val="24"/>
        </w:rPr>
      </w:pPr>
      <w:r w:rsidRPr="000532ED">
        <w:rPr>
          <w:rFonts w:ascii="宋体" w:hAnsi="宋体"/>
          <w:noProof/>
          <w:color w:val="000000"/>
          <w:kern w:val="0"/>
          <w:sz w:val="24"/>
        </w:rPr>
        <w:fldChar w:fldCharType="begin"/>
      </w:r>
      <w:r w:rsidRPr="000532ED">
        <w:rPr>
          <w:rFonts w:ascii="宋体" w:hAnsi="宋体"/>
          <w:noProof/>
          <w:color w:val="000000"/>
          <w:kern w:val="0"/>
          <w:sz w:val="24"/>
        </w:rPr>
        <w:instrText xml:space="preserve"> </w:instrText>
      </w:r>
      <w:r w:rsidRPr="000532ED">
        <w:rPr>
          <w:rFonts w:ascii="宋体" w:hAnsi="宋体" w:hint="eastAsia"/>
          <w:noProof/>
          <w:color w:val="000000"/>
          <w:kern w:val="0"/>
          <w:sz w:val="24"/>
        </w:rPr>
        <w:instrText>= 5 \* GB3</w:instrText>
      </w:r>
      <w:r w:rsidRPr="000532ED">
        <w:rPr>
          <w:rFonts w:ascii="宋体" w:hAnsi="宋体"/>
          <w:noProof/>
          <w:color w:val="000000"/>
          <w:kern w:val="0"/>
          <w:sz w:val="24"/>
        </w:rPr>
        <w:instrText xml:space="preserve"> </w:instrText>
      </w:r>
      <w:r w:rsidRPr="000532ED">
        <w:rPr>
          <w:rFonts w:ascii="宋体" w:hAnsi="宋体"/>
          <w:noProof/>
          <w:color w:val="000000"/>
          <w:kern w:val="0"/>
          <w:sz w:val="24"/>
        </w:rPr>
        <w:fldChar w:fldCharType="separate"/>
      </w:r>
      <w:r w:rsidRPr="000532ED">
        <w:rPr>
          <w:rFonts w:ascii="宋体" w:hAnsi="宋体" w:hint="eastAsia"/>
          <w:noProof/>
          <w:color w:val="000000"/>
          <w:kern w:val="0"/>
          <w:sz w:val="24"/>
        </w:rPr>
        <w:t>⑤</w:t>
      </w:r>
      <w:r w:rsidRPr="000532ED">
        <w:rPr>
          <w:rFonts w:ascii="宋体" w:hAnsi="宋体"/>
          <w:noProof/>
          <w:color w:val="000000"/>
          <w:kern w:val="0"/>
          <w:sz w:val="24"/>
        </w:rPr>
        <w:fldChar w:fldCharType="end"/>
      </w:r>
      <w:r w:rsidRPr="000532ED">
        <w:rPr>
          <w:rFonts w:ascii="宋体" w:hAnsi="宋体" w:hint="eastAsia"/>
          <w:noProof/>
          <w:color w:val="000000"/>
          <w:kern w:val="0"/>
          <w:sz w:val="24"/>
        </w:rPr>
        <w:t>交易所上市不存在活跃市场的有价证券，采用估值技术确定公允价值。交易所市场挂牌转让的资产支持证券，采用估值技术确定公允价值；</w:t>
      </w:r>
    </w:p>
    <w:p w14:paraId="715B46AB" w14:textId="77777777" w:rsidR="006E1A20" w:rsidRPr="000532ED" w:rsidRDefault="000E02E2">
      <w:pPr>
        <w:widowControl/>
        <w:spacing w:line="360" w:lineRule="auto"/>
        <w:ind w:firstLineChars="200" w:firstLine="480"/>
        <w:rPr>
          <w:rFonts w:ascii="宋体" w:hAnsi="宋体"/>
          <w:noProof/>
          <w:color w:val="000000"/>
          <w:kern w:val="0"/>
          <w:sz w:val="24"/>
        </w:rPr>
      </w:pPr>
      <w:r w:rsidRPr="000532ED">
        <w:rPr>
          <w:rFonts w:ascii="宋体" w:hAnsi="宋体"/>
          <w:noProof/>
          <w:color w:val="000000"/>
          <w:kern w:val="0"/>
          <w:sz w:val="24"/>
        </w:rPr>
        <w:lastRenderedPageBreak/>
        <w:fldChar w:fldCharType="begin"/>
      </w:r>
      <w:r w:rsidRPr="000532ED">
        <w:rPr>
          <w:rFonts w:ascii="宋体" w:hAnsi="宋体"/>
          <w:noProof/>
          <w:color w:val="000000"/>
          <w:kern w:val="0"/>
          <w:sz w:val="24"/>
        </w:rPr>
        <w:instrText xml:space="preserve"> </w:instrText>
      </w:r>
      <w:r w:rsidRPr="000532ED">
        <w:rPr>
          <w:rFonts w:ascii="宋体" w:hAnsi="宋体" w:hint="eastAsia"/>
          <w:noProof/>
          <w:color w:val="000000"/>
          <w:kern w:val="0"/>
          <w:sz w:val="24"/>
        </w:rPr>
        <w:instrText>= 6 \* GB3</w:instrText>
      </w:r>
      <w:r w:rsidRPr="000532ED">
        <w:rPr>
          <w:rFonts w:ascii="宋体" w:hAnsi="宋体"/>
          <w:noProof/>
          <w:color w:val="000000"/>
          <w:kern w:val="0"/>
          <w:sz w:val="24"/>
        </w:rPr>
        <w:instrText xml:space="preserve"> </w:instrText>
      </w:r>
      <w:r w:rsidRPr="000532ED">
        <w:rPr>
          <w:rFonts w:ascii="宋体" w:hAnsi="宋体"/>
          <w:noProof/>
          <w:color w:val="000000"/>
          <w:kern w:val="0"/>
          <w:sz w:val="24"/>
        </w:rPr>
        <w:fldChar w:fldCharType="separate"/>
      </w:r>
      <w:r w:rsidRPr="000532ED">
        <w:rPr>
          <w:rFonts w:ascii="宋体" w:hAnsi="宋体" w:hint="eastAsia"/>
          <w:noProof/>
          <w:color w:val="000000"/>
          <w:kern w:val="0"/>
          <w:sz w:val="24"/>
        </w:rPr>
        <w:t>⑥</w:t>
      </w:r>
      <w:r w:rsidRPr="000532ED">
        <w:rPr>
          <w:rFonts w:ascii="宋体" w:hAnsi="宋体"/>
          <w:noProof/>
          <w:color w:val="000000"/>
          <w:kern w:val="0"/>
          <w:sz w:val="24"/>
        </w:rPr>
        <w:fldChar w:fldCharType="end"/>
      </w:r>
      <w:r w:rsidRPr="000532ED">
        <w:rPr>
          <w:rFonts w:ascii="宋体" w:hAnsi="宋体" w:hint="eastAsia"/>
          <w:noProof/>
          <w:color w:val="000000"/>
          <w:kern w:val="0"/>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5B2FAC4"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hint="eastAsia"/>
          <w:color w:val="000000"/>
          <w:kern w:val="0"/>
          <w:sz w:val="24"/>
        </w:rPr>
        <w:t>（</w:t>
      </w:r>
      <w:r w:rsidRPr="000532ED">
        <w:rPr>
          <w:rFonts w:ascii="宋体" w:hAnsi="宋体"/>
          <w:color w:val="000000"/>
          <w:kern w:val="0"/>
          <w:sz w:val="24"/>
        </w:rPr>
        <w:t>2</w:t>
      </w:r>
      <w:r w:rsidRPr="000532ED">
        <w:rPr>
          <w:rFonts w:ascii="宋体" w:hAnsi="宋体" w:hint="eastAsia"/>
          <w:color w:val="000000"/>
          <w:kern w:val="0"/>
          <w:sz w:val="24"/>
        </w:rPr>
        <w:t>）处于未上市期间的有价证券应区分如下情况处理：</w:t>
      </w:r>
    </w:p>
    <w:p w14:paraId="4E4B19BA"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color w:val="000000"/>
          <w:kern w:val="0"/>
          <w:sz w:val="24"/>
        </w:rPr>
        <w:fldChar w:fldCharType="begin"/>
      </w:r>
      <w:r w:rsidRPr="000532ED">
        <w:rPr>
          <w:rFonts w:ascii="宋体" w:hAnsi="宋体"/>
          <w:color w:val="000000"/>
          <w:kern w:val="0"/>
          <w:sz w:val="24"/>
        </w:rPr>
        <w:instrText xml:space="preserve"> </w:instrText>
      </w:r>
      <w:r w:rsidRPr="000532ED">
        <w:rPr>
          <w:rFonts w:ascii="宋体" w:hAnsi="宋体" w:hint="eastAsia"/>
          <w:color w:val="000000"/>
          <w:kern w:val="0"/>
          <w:sz w:val="24"/>
        </w:rPr>
        <w:instrText>= 1 \* GB3</w:instrText>
      </w:r>
      <w:r w:rsidRPr="000532ED">
        <w:rPr>
          <w:rFonts w:ascii="宋体" w:hAnsi="宋体"/>
          <w:color w:val="000000"/>
          <w:kern w:val="0"/>
          <w:sz w:val="24"/>
        </w:rPr>
        <w:instrText xml:space="preserve"> </w:instrText>
      </w:r>
      <w:r w:rsidRPr="000532ED">
        <w:rPr>
          <w:rFonts w:ascii="宋体" w:hAnsi="宋体"/>
          <w:color w:val="000000"/>
          <w:kern w:val="0"/>
          <w:sz w:val="24"/>
        </w:rPr>
        <w:fldChar w:fldCharType="separate"/>
      </w:r>
      <w:r w:rsidRPr="000532ED">
        <w:rPr>
          <w:rFonts w:ascii="宋体" w:hAnsi="宋体" w:hint="eastAsia"/>
          <w:noProof/>
          <w:color w:val="000000"/>
          <w:kern w:val="0"/>
          <w:sz w:val="24"/>
        </w:rPr>
        <w:t>①</w:t>
      </w:r>
      <w:r w:rsidRPr="000532ED">
        <w:rPr>
          <w:rFonts w:ascii="宋体" w:hAnsi="宋体"/>
          <w:color w:val="000000"/>
          <w:kern w:val="0"/>
          <w:sz w:val="24"/>
        </w:rPr>
        <w:fldChar w:fldCharType="end"/>
      </w:r>
      <w:r w:rsidRPr="000532ED">
        <w:rPr>
          <w:rFonts w:ascii="宋体" w:hAnsi="宋体" w:hint="eastAsia"/>
          <w:color w:val="000000"/>
          <w:kern w:val="0"/>
          <w:sz w:val="24"/>
        </w:rPr>
        <w:t>送股、转增股、配股和公开增发的新股，按估值日在证券交易所挂牌的同一股票的估值方法估值；该日无交易的，以最近一日的市价（收盘价）估值；</w:t>
      </w:r>
    </w:p>
    <w:p w14:paraId="3226DD52"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color w:val="000000"/>
          <w:kern w:val="0"/>
          <w:sz w:val="24"/>
        </w:rPr>
        <w:fldChar w:fldCharType="begin"/>
      </w:r>
      <w:r w:rsidRPr="000532ED">
        <w:rPr>
          <w:rFonts w:ascii="宋体" w:hAnsi="宋体"/>
          <w:color w:val="000000"/>
          <w:kern w:val="0"/>
          <w:sz w:val="24"/>
        </w:rPr>
        <w:instrText xml:space="preserve"> </w:instrText>
      </w:r>
      <w:r w:rsidRPr="000532ED">
        <w:rPr>
          <w:rFonts w:ascii="宋体" w:hAnsi="宋体" w:hint="eastAsia"/>
          <w:color w:val="000000"/>
          <w:kern w:val="0"/>
          <w:sz w:val="24"/>
        </w:rPr>
        <w:instrText>= 2 \* GB3</w:instrText>
      </w:r>
      <w:r w:rsidRPr="000532ED">
        <w:rPr>
          <w:rFonts w:ascii="宋体" w:hAnsi="宋体"/>
          <w:color w:val="000000"/>
          <w:kern w:val="0"/>
          <w:sz w:val="24"/>
        </w:rPr>
        <w:instrText xml:space="preserve"> </w:instrText>
      </w:r>
      <w:r w:rsidRPr="000532ED">
        <w:rPr>
          <w:rFonts w:ascii="宋体" w:hAnsi="宋体"/>
          <w:color w:val="000000"/>
          <w:kern w:val="0"/>
          <w:sz w:val="24"/>
        </w:rPr>
        <w:fldChar w:fldCharType="separate"/>
      </w:r>
      <w:r w:rsidRPr="000532ED">
        <w:rPr>
          <w:rFonts w:ascii="宋体" w:hAnsi="宋体" w:hint="eastAsia"/>
          <w:noProof/>
          <w:color w:val="000000"/>
          <w:kern w:val="0"/>
          <w:sz w:val="24"/>
        </w:rPr>
        <w:t>②</w:t>
      </w:r>
      <w:r w:rsidRPr="000532ED">
        <w:rPr>
          <w:rFonts w:ascii="宋体" w:hAnsi="宋体"/>
          <w:color w:val="000000"/>
          <w:kern w:val="0"/>
          <w:sz w:val="24"/>
        </w:rPr>
        <w:fldChar w:fldCharType="end"/>
      </w:r>
      <w:r w:rsidRPr="000532ED">
        <w:rPr>
          <w:rFonts w:ascii="宋体" w:hAnsi="宋体" w:hint="eastAsia"/>
          <w:color w:val="000000"/>
          <w:kern w:val="0"/>
          <w:sz w:val="24"/>
        </w:rPr>
        <w:t>首次公开发行未上市的股票和债券，采用估值技术确定公允价值，在估值技术难以可靠计量公允价值的情况下，按成本估值；</w:t>
      </w:r>
    </w:p>
    <w:p w14:paraId="18056A15"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color w:val="000000"/>
          <w:kern w:val="0"/>
          <w:sz w:val="24"/>
        </w:rPr>
        <w:fldChar w:fldCharType="begin"/>
      </w:r>
      <w:r w:rsidRPr="000532ED">
        <w:rPr>
          <w:rFonts w:ascii="宋体" w:hAnsi="宋体"/>
          <w:color w:val="000000"/>
          <w:kern w:val="0"/>
          <w:sz w:val="24"/>
        </w:rPr>
        <w:instrText xml:space="preserve"> </w:instrText>
      </w:r>
      <w:r w:rsidRPr="000532ED">
        <w:rPr>
          <w:rFonts w:ascii="宋体" w:hAnsi="宋体" w:hint="eastAsia"/>
          <w:color w:val="000000"/>
          <w:kern w:val="0"/>
          <w:sz w:val="24"/>
        </w:rPr>
        <w:instrText>= 3 \* GB3</w:instrText>
      </w:r>
      <w:r w:rsidRPr="000532ED">
        <w:rPr>
          <w:rFonts w:ascii="宋体" w:hAnsi="宋体"/>
          <w:color w:val="000000"/>
          <w:kern w:val="0"/>
          <w:sz w:val="24"/>
        </w:rPr>
        <w:instrText xml:space="preserve"> </w:instrText>
      </w:r>
      <w:r w:rsidRPr="000532ED">
        <w:rPr>
          <w:rFonts w:ascii="宋体" w:hAnsi="宋体"/>
          <w:color w:val="000000"/>
          <w:kern w:val="0"/>
          <w:sz w:val="24"/>
        </w:rPr>
        <w:fldChar w:fldCharType="separate"/>
      </w:r>
      <w:r w:rsidRPr="000532ED">
        <w:rPr>
          <w:rFonts w:ascii="宋体" w:hAnsi="宋体" w:hint="eastAsia"/>
          <w:noProof/>
          <w:color w:val="000000"/>
          <w:kern w:val="0"/>
          <w:sz w:val="24"/>
        </w:rPr>
        <w:t>③</w:t>
      </w:r>
      <w:r w:rsidRPr="000532ED">
        <w:rPr>
          <w:rFonts w:ascii="宋体" w:hAnsi="宋体"/>
          <w:color w:val="000000"/>
          <w:kern w:val="0"/>
          <w:sz w:val="24"/>
        </w:rPr>
        <w:fldChar w:fldCharType="end"/>
      </w:r>
      <w:r w:rsidRPr="000532ED">
        <w:rPr>
          <w:rFonts w:ascii="宋体" w:hAnsi="宋体" w:hint="eastAsia"/>
          <w:color w:val="000000"/>
          <w:kern w:val="0"/>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2C3728F"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hint="eastAsia"/>
          <w:color w:val="000000"/>
          <w:kern w:val="0"/>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F0EA400"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hint="eastAsia"/>
          <w:color w:val="000000"/>
          <w:kern w:val="0"/>
          <w:sz w:val="24"/>
        </w:rPr>
        <w:t>（4）同一债券同时在两个或两个以上市场交易的，按债券所处的市场分别估值。</w:t>
      </w:r>
    </w:p>
    <w:p w14:paraId="2FB67BDA"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hint="eastAsia"/>
          <w:color w:val="000000"/>
          <w:kern w:val="0"/>
          <w:sz w:val="24"/>
        </w:rPr>
        <w:t>（5）期货合约以估值当日结算价进行估值，估值当日无结算价的，且最近交易日后经济环境未发生重大变化的，采用最近交易日结算价估值。</w:t>
      </w:r>
    </w:p>
    <w:p w14:paraId="06BA2A99"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hint="eastAsia"/>
          <w:color w:val="000000"/>
          <w:kern w:val="0"/>
          <w:sz w:val="24"/>
        </w:rPr>
        <w:t>（6）本基金投资期权，根据相关法律法规以及监管部门的规定估值。</w:t>
      </w:r>
    </w:p>
    <w:p w14:paraId="2F00DF3D"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hint="eastAsia"/>
          <w:color w:val="000000"/>
          <w:kern w:val="0"/>
          <w:sz w:val="24"/>
        </w:rPr>
        <w:t>（7）本基金投资存托凭证的估值核算，依照境内上市交易的股票执行。</w:t>
      </w:r>
    </w:p>
    <w:p w14:paraId="4F80EEB7"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hint="eastAsia"/>
          <w:color w:val="000000"/>
          <w:kern w:val="0"/>
          <w:sz w:val="24"/>
        </w:rPr>
        <w:t>（8）汇率</w:t>
      </w:r>
    </w:p>
    <w:p w14:paraId="2052CE3B"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hint="eastAsia"/>
          <w:color w:val="000000"/>
          <w:kern w:val="0"/>
          <w:sz w:val="24"/>
        </w:rPr>
        <w:t>如本基金投资股票市场交易互联互通机制允许买卖的境外证券市场上市的股票，涉及相关货币对人民币汇率的，汇率来源详见招募说明书。</w:t>
      </w:r>
    </w:p>
    <w:p w14:paraId="23BE688E"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hint="eastAsia"/>
          <w:color w:val="000000"/>
          <w:kern w:val="0"/>
          <w:sz w:val="24"/>
        </w:rPr>
        <w:t>（9）税收</w:t>
      </w:r>
    </w:p>
    <w:p w14:paraId="5ABDCF20"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hint="eastAsia"/>
          <w:color w:val="000000"/>
          <w:kern w:val="0"/>
          <w:sz w:val="24"/>
        </w:rPr>
        <w:t>对于按照中国法律法规和基金投资股票市场交易互联互通机制涉及的境外交易场所所在地的法律法规规定应交纳的各项税金，本基金将按权责发生制原则进行</w:t>
      </w:r>
      <w:r w:rsidRPr="000532ED">
        <w:rPr>
          <w:rFonts w:ascii="宋体" w:hAnsi="宋体" w:hint="eastAsia"/>
          <w:color w:val="000000"/>
          <w:kern w:val="0"/>
          <w:sz w:val="24"/>
        </w:rPr>
        <w:lastRenderedPageBreak/>
        <w:t>估值；对于因税收规定调整或其他原因导致基金实际交纳税金与估算的应交税金有差异的，基金将在相关税金调整日或实际支付日进行相应的估值调整。</w:t>
      </w:r>
    </w:p>
    <w:p w14:paraId="3EBFD9AA"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hint="eastAsia"/>
          <w:color w:val="000000"/>
          <w:kern w:val="0"/>
          <w:sz w:val="24"/>
        </w:rPr>
        <w:t>（1</w:t>
      </w:r>
      <w:r w:rsidRPr="000532ED">
        <w:rPr>
          <w:rFonts w:ascii="宋体" w:hAnsi="宋体"/>
          <w:color w:val="000000"/>
          <w:kern w:val="0"/>
          <w:sz w:val="24"/>
        </w:rPr>
        <w:t>0</w:t>
      </w:r>
      <w:r w:rsidRPr="000532ED">
        <w:rPr>
          <w:rFonts w:ascii="宋体" w:hAnsi="宋体" w:hint="eastAsia"/>
          <w:color w:val="000000"/>
          <w:kern w:val="0"/>
          <w:sz w:val="24"/>
        </w:rPr>
        <w:t>）如有充分理由表明按上述方法进行估值不能客观反映其公允价值的，基金管理人可根据具体情况与基金托管人商定后，按最能反映公允价值的价格估值。</w:t>
      </w:r>
    </w:p>
    <w:p w14:paraId="610E1CD5" w14:textId="77777777" w:rsidR="006E1A20" w:rsidRPr="000532ED" w:rsidRDefault="000E02E2">
      <w:pPr>
        <w:widowControl/>
        <w:spacing w:line="360" w:lineRule="auto"/>
        <w:ind w:firstLineChars="200" w:firstLine="480"/>
        <w:rPr>
          <w:rFonts w:ascii="宋体" w:hAnsi="宋体"/>
          <w:color w:val="000000"/>
          <w:kern w:val="0"/>
          <w:sz w:val="24"/>
        </w:rPr>
      </w:pPr>
      <w:r w:rsidRPr="000532ED">
        <w:rPr>
          <w:rFonts w:ascii="宋体" w:hAnsi="宋体" w:hint="eastAsia"/>
          <w:color w:val="000000"/>
          <w:kern w:val="0"/>
          <w:sz w:val="24"/>
        </w:rPr>
        <w:t>（1</w:t>
      </w:r>
      <w:r w:rsidRPr="000532ED">
        <w:rPr>
          <w:rFonts w:ascii="宋体" w:hAnsi="宋体"/>
          <w:color w:val="000000"/>
          <w:kern w:val="0"/>
          <w:sz w:val="24"/>
        </w:rPr>
        <w:t>1</w:t>
      </w:r>
      <w:r w:rsidRPr="000532ED">
        <w:rPr>
          <w:rFonts w:ascii="宋体" w:hAnsi="宋体" w:hint="eastAsia"/>
          <w:color w:val="000000"/>
          <w:kern w:val="0"/>
          <w:sz w:val="24"/>
        </w:rPr>
        <w:t>）当发生大额申购或赎回情形时，基金管理人可以采用摆动定价机制，以确保基金估值的公平性。</w:t>
      </w:r>
    </w:p>
    <w:p w14:paraId="7574FB8E" w14:textId="77777777" w:rsidR="006E1A20" w:rsidRPr="000532ED" w:rsidRDefault="000E02E2" w:rsidP="00360B46">
      <w:pPr>
        <w:spacing w:line="520" w:lineRule="atLeast"/>
        <w:ind w:firstLineChars="200" w:firstLine="480"/>
        <w:rPr>
          <w:bCs/>
          <w:sz w:val="24"/>
        </w:rPr>
      </w:pPr>
      <w:r w:rsidRPr="000532ED">
        <w:rPr>
          <w:rFonts w:ascii="宋体" w:hAnsi="宋体" w:hint="eastAsia"/>
          <w:color w:val="000000"/>
          <w:kern w:val="0"/>
          <w:sz w:val="24"/>
        </w:rPr>
        <w:t>（1</w:t>
      </w:r>
      <w:r w:rsidRPr="000532ED">
        <w:rPr>
          <w:rFonts w:ascii="宋体" w:hAnsi="宋体"/>
          <w:color w:val="000000"/>
          <w:kern w:val="0"/>
          <w:sz w:val="24"/>
        </w:rPr>
        <w:t>2</w:t>
      </w:r>
      <w:r w:rsidRPr="000532ED">
        <w:rPr>
          <w:rFonts w:ascii="宋体" w:hAnsi="宋体" w:hint="eastAsia"/>
          <w:color w:val="000000"/>
          <w:kern w:val="0"/>
          <w:sz w:val="24"/>
        </w:rPr>
        <w:t>）相关法律法规以及监管部门有强制规定的，从其规定。如有新增事项，按国家最新规定估值。</w:t>
      </w:r>
    </w:p>
    <w:p w14:paraId="23E3712C" w14:textId="77777777" w:rsidR="006E1A20" w:rsidRPr="000532ED" w:rsidRDefault="000E02E2">
      <w:pPr>
        <w:spacing w:line="520" w:lineRule="atLeast"/>
        <w:ind w:firstLineChars="200" w:firstLine="480"/>
      </w:pPr>
      <w:r w:rsidRPr="000532ED">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7795EC1" w14:textId="77777777" w:rsidR="006E1A20" w:rsidRPr="000532ED" w:rsidRDefault="000E02E2">
      <w:pPr>
        <w:pStyle w:val="20"/>
        <w:spacing w:before="0" w:after="0" w:line="520" w:lineRule="atLeast"/>
        <w:ind w:left="0" w:firstLineChars="200" w:firstLine="480"/>
        <w:rPr>
          <w:rFonts w:hAnsi="宋体"/>
          <w:szCs w:val="24"/>
        </w:rPr>
      </w:pPr>
      <w:r w:rsidRPr="000532ED">
        <w:rPr>
          <w:rFonts w:hint="eastAsia"/>
          <w:bCs/>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0532ED">
        <w:rPr>
          <w:rFonts w:hAnsi="宋体" w:hint="eastAsia"/>
          <w:szCs w:val="24"/>
        </w:rPr>
        <w:t>。</w:t>
      </w:r>
    </w:p>
    <w:p w14:paraId="3634EDA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8.3估值差错处理</w:t>
      </w:r>
    </w:p>
    <w:p w14:paraId="278EDE57"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8.3.1估值错误类型</w:t>
      </w:r>
    </w:p>
    <w:p w14:paraId="2EF476F0"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7383AC07"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上述估值错误的主要类型包括但不限于：资料申报差错、数据传输差错、数据计算差错、系统故障差错、下达指令差错等。</w:t>
      </w:r>
    </w:p>
    <w:p w14:paraId="1D6B7664"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8.3.2估值错误处理原则</w:t>
      </w:r>
    </w:p>
    <w:p w14:paraId="3EA998E5"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w:t>
      </w:r>
      <w:r w:rsidRPr="000532ED">
        <w:rPr>
          <w:rFonts w:hint="eastAsia"/>
          <w:bCs/>
        </w:rPr>
        <w:lastRenderedPageBreak/>
        <w:t>错误责任方应对更正的情况向有关当事人进行确认，确保估值错误已得到更正。</w:t>
      </w:r>
    </w:p>
    <w:p w14:paraId="0B5B565F"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（2）估值错误的责任方对有关当事人的直接损失负责，不对间接损失负责，并且仅对估值错误的有关直接当事人负责，不对第三方负责。</w:t>
      </w:r>
    </w:p>
    <w:p w14:paraId="4A0D316F"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72E4EA1"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（4）估值错误调整采用尽量恢复至假设未发生估值错误的正确情形的方式。</w:t>
      </w:r>
    </w:p>
    <w:p w14:paraId="468B787D"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8.3.3估值错误处理程序</w:t>
      </w:r>
    </w:p>
    <w:p w14:paraId="6F9A32F1"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估值错误被发现后，有关的当事人应当及时进行处理，处理的程序如下：</w:t>
      </w:r>
    </w:p>
    <w:p w14:paraId="09A13819"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（1）查明估值错误发生的原因，列明所有的当事人，并根据估值错误发生的原因确定估值错误的责任方；</w:t>
      </w:r>
    </w:p>
    <w:p w14:paraId="08F1C3F8"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（2）根据估值错误处理原则或当事人协商的方法对因估值错误造成的损失进行评估；</w:t>
      </w:r>
    </w:p>
    <w:p w14:paraId="3DF7AD01"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（3）根据估值错误处理原则或当事人协商的方法由估值错误的责任方进行更正和赔偿损失；</w:t>
      </w:r>
    </w:p>
    <w:p w14:paraId="61B4C3C5"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（4）根据估值错误处理的方法，需要修改基金登记机构交易数据的，由基金登记机构进行更正，并就估值错误的更正向有关当事人进行确认。</w:t>
      </w:r>
    </w:p>
    <w:p w14:paraId="6EC7568C"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8.3.4基金份额净值估值错误处理的方法如下：</w:t>
      </w:r>
    </w:p>
    <w:p w14:paraId="70502DF8"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（1）基金份额净值计算出现错误时，基金管理人应当立即予以纠正，通报基金托管人，并采取合理的措施防止损失进一步扩大。</w:t>
      </w:r>
    </w:p>
    <w:p w14:paraId="4F007FB3" w14:textId="77777777" w:rsidR="006F3B62" w:rsidRPr="000532ED" w:rsidRDefault="006F3B62" w:rsidP="006F3B62">
      <w:pPr>
        <w:pStyle w:val="20"/>
        <w:spacing w:before="0" w:after="0" w:line="520" w:lineRule="atLeast"/>
        <w:ind w:left="0" w:firstLineChars="200" w:firstLine="480"/>
        <w:rPr>
          <w:bCs/>
        </w:rPr>
      </w:pPr>
      <w:r w:rsidRPr="000532ED">
        <w:rPr>
          <w:rFonts w:hint="eastAsia"/>
          <w:bCs/>
        </w:rPr>
        <w:t>（2）错误偏差达到基金份额净值的0.25%时，基金管理人应当通报基金托管人并报中国证监会备案；错误偏差达到基金份额净值的0.5%时，基金管理人应当公告，并报中国证监会备案。</w:t>
      </w:r>
    </w:p>
    <w:p w14:paraId="612FD290" w14:textId="77777777" w:rsidR="006E1A20" w:rsidRPr="000532ED" w:rsidRDefault="006F3B62">
      <w:pPr>
        <w:pStyle w:val="20"/>
        <w:spacing w:before="0" w:after="0" w:line="520" w:lineRule="atLeast"/>
        <w:ind w:left="0" w:firstLineChars="200" w:firstLine="480"/>
        <w:rPr>
          <w:bCs/>
        </w:rPr>
      </w:pPr>
      <w:r w:rsidRPr="000532ED">
        <w:rPr>
          <w:rFonts w:hint="eastAsia"/>
          <w:bCs/>
        </w:rPr>
        <w:t>（3）前述内容如法律法规或监管机关另有规定的，从其规定处理。</w:t>
      </w:r>
    </w:p>
    <w:p w14:paraId="02ADC4AB"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lastRenderedPageBreak/>
        <w:t>8.4基金账册的建立</w:t>
      </w:r>
    </w:p>
    <w:p w14:paraId="5F5E8C3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4937023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5E5DB53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8.5基金定期报告的编制和复核</w:t>
      </w:r>
    </w:p>
    <w:p w14:paraId="4BFE4E7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8.5.1基金财务报告由基金管理人编制，</w:t>
      </w:r>
      <w:r w:rsidRPr="000532ED">
        <w:rPr>
          <w:rFonts w:hAnsi="宋体"/>
          <w:szCs w:val="24"/>
        </w:rPr>
        <w:t>基金托管人</w:t>
      </w:r>
      <w:r w:rsidRPr="000532ED">
        <w:rPr>
          <w:rFonts w:hAnsi="宋体" w:hint="eastAsia"/>
          <w:szCs w:val="24"/>
        </w:rPr>
        <w:t>复核。月度报</w:t>
      </w:r>
      <w:r w:rsidR="00EA32AE" w:rsidRPr="000532ED">
        <w:rPr>
          <w:rFonts w:hAnsi="宋体"/>
          <w:szCs w:val="24"/>
        </w:rPr>
        <w:t>表</w:t>
      </w:r>
      <w:r w:rsidRPr="000532ED">
        <w:rPr>
          <w:rFonts w:hAnsi="宋体" w:hint="eastAsia"/>
          <w:szCs w:val="24"/>
        </w:rPr>
        <w:t>的编制，应于每月终了后5个工作日内完成。</w:t>
      </w:r>
    </w:p>
    <w:p w14:paraId="7614B6EB"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8.5.2基金管理人应当在每年结束之日起三个月内，编制完成基金年度报告，将年度报告登载在规定网站上，并将年度报告提示性公告登载在指定报刊上。基金年度报告中的财务会计报告应当经</w:t>
      </w:r>
      <w:r w:rsidRPr="000532ED">
        <w:rPr>
          <w:rFonts w:hint="eastAsia"/>
        </w:rPr>
        <w:t>符合《证券法》规定</w:t>
      </w:r>
      <w:r w:rsidRPr="000532ED">
        <w:rPr>
          <w:rFonts w:hAnsi="宋体" w:hint="eastAsia"/>
          <w:szCs w:val="24"/>
        </w:rPr>
        <w:t>的会计师事务所审计。基金管理人应当在上半年结束之日起两个月内，编制完成基金中期报告，将中期报告登载在规定网站上，并将中期报告提示性公告登载在指定报刊上。基金管理人应当在季度结束之日起15个工作日内，编制完成基金季度报告，将季度报告登载在规定网站上，并将季度报告提示性公告登载在指定报刊上。《基金合同》生效不足2个月的，基金管理人可以不编制当期季度报告、中期报告或者年度报告。</w:t>
      </w:r>
    </w:p>
    <w:p w14:paraId="13BA3C1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8.5.3《基金合同》生效后，基金招募说明书、基金产品资料概要的信息发生重大变更的，基金管理人应当在三个工作日内，更新基金招募说明书、基金产品资料概要，并登载在规定网站上，并将基金产品资料概要登载在基金销售机构网站或营业网点。基金招募说明书、基金产品资料概要其他信息发生变更的，基金管理人至少每年更新一次。</w:t>
      </w:r>
    </w:p>
    <w:p w14:paraId="6AA0661E" w14:textId="77777777" w:rsidR="006E1A20" w:rsidRPr="000532ED" w:rsidRDefault="000E02E2">
      <w:pPr>
        <w:pStyle w:val="20"/>
        <w:spacing w:before="0" w:after="0" w:line="520" w:lineRule="atLeast"/>
        <w:ind w:left="0" w:firstLineChars="200" w:firstLine="480"/>
        <w:rPr>
          <w:rFonts w:hAnsi="宋体"/>
          <w:szCs w:val="24"/>
        </w:rPr>
      </w:pPr>
      <w:bookmarkStart w:id="31" w:name="_DV_C270"/>
      <w:r w:rsidRPr="000532ED">
        <w:rPr>
          <w:rFonts w:hAnsi="宋体" w:hint="eastAsia"/>
          <w:szCs w:val="24"/>
        </w:rPr>
        <w:t>8.5.</w:t>
      </w:r>
      <w:r w:rsidRPr="000532ED">
        <w:rPr>
          <w:rFonts w:hAnsi="宋体"/>
          <w:szCs w:val="24"/>
        </w:rPr>
        <w:t>4</w:t>
      </w:r>
      <w:r w:rsidRPr="000532ED">
        <w:rPr>
          <w:rFonts w:hAnsi="宋体" w:hint="eastAsia"/>
          <w:szCs w:val="24"/>
        </w:rPr>
        <w:t>基金管理人应及时完成报告编制，将有关报告提供基金托管人复核；基金托管人应当在收到报告之日起2个工作日内完成月度报</w:t>
      </w:r>
      <w:r w:rsidR="00EA32AE" w:rsidRPr="000532ED">
        <w:rPr>
          <w:rFonts w:hAnsi="宋体"/>
          <w:szCs w:val="24"/>
        </w:rPr>
        <w:t>表</w:t>
      </w:r>
      <w:r w:rsidRPr="000532ED">
        <w:rPr>
          <w:rFonts w:hAnsi="宋体" w:hint="eastAsia"/>
          <w:szCs w:val="24"/>
        </w:rPr>
        <w:t>的复核；在收到报告之日起7个工作日内完成基金季度报告的复核；在收到报告之日起20个工作日内完</w:t>
      </w:r>
      <w:r w:rsidRPr="000532ED">
        <w:rPr>
          <w:rFonts w:hAnsi="宋体" w:hint="eastAsia"/>
          <w:szCs w:val="24"/>
        </w:rPr>
        <w:lastRenderedPageBreak/>
        <w:t>成基金中期报告的复核；在收到报告之日起30个工作日内完成基金年度报告的</w:t>
      </w:r>
      <w:bookmarkEnd w:id="31"/>
      <w:r w:rsidRPr="000532ED">
        <w:rPr>
          <w:rFonts w:hAnsi="宋体" w:hint="eastAsia"/>
          <w:szCs w:val="24"/>
        </w:rPr>
        <w:t>复核。基金托管人在复核过程中，发现双方的数据、</w:t>
      </w:r>
      <w:r w:rsidRPr="000532ED">
        <w:rPr>
          <w:rFonts w:hAnsi="宋体"/>
          <w:szCs w:val="24"/>
        </w:rPr>
        <w:t>信息</w:t>
      </w:r>
      <w:r w:rsidRPr="000532ED">
        <w:rPr>
          <w:rFonts w:hAnsi="宋体" w:hint="eastAsia"/>
          <w:szCs w:val="24"/>
        </w:rPr>
        <w:t>存在不符时，基金管理人和基金托管人应共同查明原因，进行调整，调整以国家有关规定为准。</w:t>
      </w:r>
    </w:p>
    <w:p w14:paraId="267A815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8.5.</w:t>
      </w:r>
      <w:r w:rsidRPr="000532ED">
        <w:rPr>
          <w:rFonts w:hAnsi="宋体"/>
          <w:szCs w:val="24"/>
        </w:rPr>
        <w:t>5</w:t>
      </w:r>
      <w:r w:rsidRPr="000532ED">
        <w:rPr>
          <w:rFonts w:hAnsi="宋体" w:hint="eastAsia"/>
          <w:szCs w:val="24"/>
        </w:rPr>
        <w:t>基金托管人在对财务会计报告、季度、中期报告或年度报告复核完毕后，需盖章确认或出具相应的复核确认书，以备有权机构对相关文件审核时提示。</w:t>
      </w:r>
    </w:p>
    <w:p w14:paraId="44C0A46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8.6暂停估值的情形</w:t>
      </w:r>
    </w:p>
    <w:p w14:paraId="2D70977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（1）基金投资所涉及的证券交易市场遇法定节假日或因其他原因暂停营业时；</w:t>
      </w:r>
    </w:p>
    <w:p w14:paraId="536F1D4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（2）因不可抗力致使基金管理人、基金托管人无法准确评估基金资产价值时；</w:t>
      </w:r>
    </w:p>
    <w:p w14:paraId="68C2E1FD" w14:textId="77777777" w:rsidR="006E1A20" w:rsidRPr="000532ED" w:rsidRDefault="000E02E2">
      <w:pPr>
        <w:pStyle w:val="20"/>
        <w:spacing w:before="0" w:after="0" w:line="520" w:lineRule="atLeast"/>
        <w:ind w:left="0" w:firstLineChars="200" w:firstLine="480"/>
        <w:rPr>
          <w:bCs/>
        </w:rPr>
      </w:pPr>
      <w:r w:rsidRPr="000532ED">
        <w:rPr>
          <w:rFonts w:hint="eastAsia"/>
          <w:bCs/>
        </w:rPr>
        <w:t>（3）当特定资产占前一估值日基金资产净值50%以上的，经与基金托管人协商确认后，基金管理人应当暂停估值；</w:t>
      </w:r>
    </w:p>
    <w:p w14:paraId="1764A5C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（4）法律法规、中国证监会和基金合同认定的其他情形。</w:t>
      </w:r>
    </w:p>
    <w:p w14:paraId="0B38178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8.7特殊情况的处理 </w:t>
      </w:r>
    </w:p>
    <w:p w14:paraId="01EBB99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（1）基金管理人或基金托管人按《基金合同》规定估值方法进行估值时，所造成的误差不作为基金份额净值错误处理。 </w:t>
      </w:r>
    </w:p>
    <w:p w14:paraId="4B3C838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由于不可抗力，或证券交易所、登记机构及存款银行等第三方机构发送的数据错误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B8E43BB" w14:textId="77777777" w:rsidR="006E1A20" w:rsidRPr="000532ED" w:rsidRDefault="000E02E2">
      <w:pPr>
        <w:tabs>
          <w:tab w:val="left" w:pos="5400"/>
        </w:tabs>
        <w:spacing w:line="360" w:lineRule="auto"/>
        <w:ind w:firstLineChars="200" w:firstLine="480"/>
        <w:rPr>
          <w:rFonts w:ascii="宋体" w:hAnsi="宋体"/>
          <w:sz w:val="24"/>
          <w:szCs w:val="21"/>
        </w:rPr>
      </w:pPr>
      <w:r w:rsidRPr="000532ED">
        <w:rPr>
          <w:rFonts w:ascii="宋体" w:hAnsi="宋体"/>
          <w:sz w:val="24"/>
          <w:szCs w:val="21"/>
        </w:rPr>
        <w:t>8.8</w:t>
      </w:r>
      <w:r w:rsidRPr="000532ED">
        <w:rPr>
          <w:rFonts w:ascii="宋体" w:hAnsi="宋体" w:hint="eastAsia"/>
          <w:sz w:val="24"/>
          <w:szCs w:val="21"/>
        </w:rPr>
        <w:t>实施侧袋机制期间的基金资产估值</w:t>
      </w:r>
      <w:r w:rsidRPr="000532ED">
        <w:rPr>
          <w:rFonts w:ascii="宋体" w:hAnsi="宋体"/>
          <w:sz w:val="24"/>
          <w:szCs w:val="21"/>
        </w:rPr>
        <w:tab/>
      </w:r>
    </w:p>
    <w:p w14:paraId="4BC9598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1"/>
        </w:rPr>
        <w:t>本基金实施侧袋机制的，应根据本部分的约定对主袋账户资产进行估值并披露主袋账户的基金资产净值和份额净值，暂停披露侧袋账户份额净值。</w:t>
      </w:r>
    </w:p>
    <w:p w14:paraId="067CDFAC" w14:textId="77777777" w:rsidR="006E1A20" w:rsidRPr="000532ED" w:rsidRDefault="000E02E2">
      <w:pPr>
        <w:pStyle w:val="1"/>
        <w:spacing w:line="520" w:lineRule="atLeast"/>
        <w:ind w:firstLineChars="200" w:firstLine="482"/>
        <w:rPr>
          <w:bCs/>
          <w:color w:val="auto"/>
          <w:szCs w:val="24"/>
        </w:rPr>
      </w:pPr>
      <w:bookmarkStart w:id="32" w:name="_Toc296551345"/>
      <w:bookmarkStart w:id="33" w:name="_Toc44321732"/>
      <w:r w:rsidRPr="000532ED">
        <w:rPr>
          <w:rFonts w:hint="eastAsia"/>
          <w:bCs/>
          <w:color w:val="auto"/>
          <w:szCs w:val="24"/>
        </w:rPr>
        <w:t>第九条 基金收益分配</w:t>
      </w:r>
      <w:bookmarkEnd w:id="32"/>
      <w:bookmarkEnd w:id="33"/>
    </w:p>
    <w:p w14:paraId="7F9D897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9.1基金利润的构成</w:t>
      </w:r>
    </w:p>
    <w:p w14:paraId="59AFC571"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基金利润指基金利息收入、投资收益、公允价值变动收益和其他收入扣除相关费用后的余额；基金已实现收益指基金利润减去公允价值变动收益后的余额。</w:t>
      </w:r>
    </w:p>
    <w:p w14:paraId="47365BD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9.2基金可供分配利润</w:t>
      </w:r>
    </w:p>
    <w:p w14:paraId="0B6E0E2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基金可供分配利润指截至收益分配基准日基金未分配利润与未分配利润中已</w:t>
      </w:r>
      <w:r w:rsidRPr="000532ED">
        <w:rPr>
          <w:rFonts w:hAnsi="宋体" w:hint="eastAsia"/>
          <w:szCs w:val="24"/>
        </w:rPr>
        <w:lastRenderedPageBreak/>
        <w:t>实现收益的孰低数。</w:t>
      </w:r>
    </w:p>
    <w:p w14:paraId="1821360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9.3收益分配原则</w:t>
      </w:r>
    </w:p>
    <w:p w14:paraId="4D234253" w14:textId="77777777" w:rsidR="006E1A20" w:rsidRPr="000532ED" w:rsidRDefault="000E02E2" w:rsidP="00360B46">
      <w:pPr>
        <w:pStyle w:val="20"/>
        <w:spacing w:before="0" w:after="0" w:line="520" w:lineRule="atLeast"/>
        <w:ind w:left="0" w:firstLineChars="200" w:firstLine="480"/>
        <w:rPr>
          <w:rFonts w:ascii="Times New Roman" w:hAnsi="宋体"/>
          <w:szCs w:val="24"/>
        </w:rPr>
      </w:pPr>
      <w:r w:rsidRPr="000532ED">
        <w:rPr>
          <w:rFonts w:hAnsi="宋体" w:hint="eastAsia"/>
          <w:szCs w:val="24"/>
        </w:rPr>
        <w:t>（1）</w:t>
      </w:r>
      <w:r w:rsidRPr="000532ED">
        <w:rPr>
          <w:rFonts w:ascii="Times New Roman" w:hAnsi="宋体" w:hint="eastAsia"/>
          <w:szCs w:val="24"/>
        </w:rPr>
        <w:t>在符合有关基金分红条件的前提下，基金管理人可以根据实际情况进行收益分配，具体分配方案以公告为准，若《基金合同》生效不满</w:t>
      </w:r>
      <w:r w:rsidRPr="000532ED">
        <w:rPr>
          <w:rFonts w:ascii="Times New Roman" w:hAnsi="宋体"/>
          <w:szCs w:val="24"/>
        </w:rPr>
        <w:t>3</w:t>
      </w:r>
      <w:r w:rsidRPr="000532ED">
        <w:rPr>
          <w:rFonts w:ascii="Times New Roman" w:hAnsi="宋体" w:hint="eastAsia"/>
          <w:szCs w:val="24"/>
        </w:rPr>
        <w:t>个月可不进行收益分配；</w:t>
      </w:r>
    </w:p>
    <w:p w14:paraId="5CB44D6E" w14:textId="77777777" w:rsidR="006E1A20" w:rsidRPr="000532ED" w:rsidRDefault="000E02E2" w:rsidP="00360B46">
      <w:pPr>
        <w:pStyle w:val="20"/>
        <w:spacing w:before="0" w:after="0" w:line="520" w:lineRule="atLeast"/>
        <w:ind w:left="0" w:firstLineChars="200" w:firstLine="480"/>
        <w:rPr>
          <w:rFonts w:ascii="Times New Roman" w:hAnsi="宋体"/>
          <w:szCs w:val="24"/>
        </w:rPr>
      </w:pPr>
      <w:r w:rsidRPr="000532ED">
        <w:rPr>
          <w:rFonts w:hAnsi="宋体" w:hint="eastAsia"/>
          <w:szCs w:val="24"/>
        </w:rPr>
        <w:t>（2）</w:t>
      </w:r>
      <w:r w:rsidRPr="000532ED">
        <w:rPr>
          <w:rFonts w:ascii="Times New Roman" w:hAnsi="宋体" w:hint="eastAsia"/>
          <w:szCs w:val="24"/>
        </w:rPr>
        <w:t>本基金收益分配方式分两种：现金分红与红利再投资，投资者可选择现金红利或将现金红利自动转为对应类别的基金份额进行再投资；若投资者不选择，本基金默认的收益分配方式是现金分红；</w:t>
      </w:r>
    </w:p>
    <w:p w14:paraId="0C0B68A7" w14:textId="77777777" w:rsidR="006E1A20" w:rsidRPr="000532ED" w:rsidRDefault="000E02E2" w:rsidP="00360B46">
      <w:pPr>
        <w:pStyle w:val="20"/>
        <w:spacing w:before="0" w:after="0" w:line="520" w:lineRule="atLeast"/>
        <w:ind w:left="0" w:firstLineChars="200" w:firstLine="480"/>
        <w:rPr>
          <w:rFonts w:ascii="Times New Roman" w:hAnsi="宋体"/>
          <w:szCs w:val="24"/>
        </w:rPr>
      </w:pPr>
      <w:r w:rsidRPr="000532ED">
        <w:rPr>
          <w:rFonts w:hAnsi="宋体" w:hint="eastAsia"/>
          <w:szCs w:val="24"/>
        </w:rPr>
        <w:t>（3）</w:t>
      </w:r>
      <w:r w:rsidRPr="000532ED">
        <w:rPr>
          <w:rFonts w:ascii="Times New Roman" w:hAnsi="宋体" w:hint="eastAsia"/>
          <w:szCs w:val="24"/>
        </w:rPr>
        <w:t>基金收益分配后基金份额净值不能低于面值；即基金收益分配基准日的基金份额净值减去每单位基金份额收益分配金额后不能低于面值；</w:t>
      </w:r>
    </w:p>
    <w:p w14:paraId="2CBA9387" w14:textId="77777777" w:rsidR="006E1A20" w:rsidRPr="000532ED" w:rsidRDefault="000E02E2" w:rsidP="00360B46">
      <w:pPr>
        <w:pStyle w:val="20"/>
        <w:spacing w:before="0" w:after="0" w:line="520" w:lineRule="atLeast"/>
        <w:ind w:left="0" w:firstLineChars="200" w:firstLine="480"/>
        <w:rPr>
          <w:rFonts w:ascii="Times New Roman" w:hAnsi="宋体"/>
          <w:szCs w:val="24"/>
        </w:rPr>
      </w:pPr>
      <w:r w:rsidRPr="000532ED">
        <w:rPr>
          <w:rFonts w:hAnsi="宋体" w:hint="eastAsia"/>
          <w:szCs w:val="24"/>
        </w:rPr>
        <w:t>（4）</w:t>
      </w:r>
      <w:r w:rsidRPr="000532ED">
        <w:rPr>
          <w:rFonts w:ascii="Times New Roman" w:hAnsi="宋体" w:hint="eastAsia"/>
          <w:szCs w:val="24"/>
        </w:rPr>
        <w:t>本基金各基金份额类别在费用收取上不同，其对应的可分配收益可能有所不同。同一类别的每一基金份额享有同等分配权；</w:t>
      </w:r>
    </w:p>
    <w:p w14:paraId="0CBA791D" w14:textId="77777777" w:rsidR="006E1A20" w:rsidRPr="000532ED" w:rsidRDefault="000E02E2" w:rsidP="00360B46">
      <w:pPr>
        <w:pStyle w:val="20"/>
        <w:spacing w:before="0" w:after="0" w:line="520" w:lineRule="atLeast"/>
        <w:ind w:left="0" w:firstLineChars="200" w:firstLine="480"/>
        <w:rPr>
          <w:rFonts w:ascii="Times New Roman" w:hAnsi="宋体"/>
          <w:szCs w:val="24"/>
        </w:rPr>
      </w:pPr>
      <w:r w:rsidRPr="000532ED">
        <w:rPr>
          <w:rFonts w:hAnsi="宋体" w:hint="eastAsia"/>
          <w:szCs w:val="24"/>
        </w:rPr>
        <w:t>（5）</w:t>
      </w:r>
      <w:r w:rsidRPr="000532ED">
        <w:rPr>
          <w:rFonts w:ascii="Times New Roman" w:hAnsi="宋体" w:hint="eastAsia"/>
          <w:szCs w:val="24"/>
        </w:rPr>
        <w:t>在对基金份额持有人利益无实质不利影响的前提下，基金管理人可调整基金收益的分配原则和支付方式，不需召开基金份额持有人大会审议；</w:t>
      </w:r>
    </w:p>
    <w:p w14:paraId="68C5038E" w14:textId="77777777" w:rsidR="006E1A20" w:rsidRPr="000532ED" w:rsidRDefault="000E02E2">
      <w:pPr>
        <w:spacing w:line="520" w:lineRule="atLeast"/>
        <w:ind w:firstLineChars="225" w:firstLine="473"/>
        <w:rPr>
          <w:bCs/>
          <w:sz w:val="24"/>
        </w:rPr>
      </w:pPr>
      <w:r w:rsidRPr="000532ED">
        <w:rPr>
          <w:rFonts w:hAnsi="宋体" w:hint="eastAsia"/>
          <w:szCs w:val="24"/>
        </w:rPr>
        <w:t>（</w:t>
      </w:r>
      <w:r w:rsidRPr="000532ED">
        <w:rPr>
          <w:rFonts w:hAnsi="宋体" w:hint="eastAsia"/>
          <w:szCs w:val="24"/>
        </w:rPr>
        <w:t>6</w:t>
      </w:r>
      <w:r w:rsidRPr="000532ED">
        <w:rPr>
          <w:rFonts w:hAnsi="宋体" w:hint="eastAsia"/>
          <w:szCs w:val="24"/>
        </w:rPr>
        <w:t>）</w:t>
      </w:r>
      <w:r w:rsidRPr="000532ED">
        <w:rPr>
          <w:rFonts w:ascii="宋体" w:hAnsi="宋体" w:hint="eastAsia"/>
          <w:sz w:val="24"/>
          <w:szCs w:val="24"/>
        </w:rPr>
        <w:t>法律法规或监管机关另有规定的，从其规定。</w:t>
      </w:r>
    </w:p>
    <w:p w14:paraId="69265D5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9.4收益分配方案</w:t>
      </w:r>
    </w:p>
    <w:p w14:paraId="7FD89F8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基金收益分配方案中应载明截止收益分配基准日的可供分配利润、基金收益分配对象、分配时间、分配数额及比例、分配方式等内容。</w:t>
      </w:r>
    </w:p>
    <w:p w14:paraId="346C3F8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9.5收益分配的时间和程序</w:t>
      </w:r>
    </w:p>
    <w:p w14:paraId="37CEF1D8" w14:textId="77777777" w:rsidR="006E1A20" w:rsidRPr="000532ED" w:rsidRDefault="000E02E2">
      <w:pPr>
        <w:pStyle w:val="20"/>
        <w:spacing w:before="0" w:after="0" w:line="520" w:lineRule="atLeast"/>
        <w:ind w:left="0" w:firstLineChars="200" w:firstLine="480"/>
        <w:rPr>
          <w:bCs/>
        </w:rPr>
      </w:pPr>
      <w:r w:rsidRPr="000532ED">
        <w:rPr>
          <w:rFonts w:hAnsi="宋体" w:hint="eastAsia"/>
          <w:szCs w:val="24"/>
        </w:rPr>
        <w:t>9.5.1本基金收益分配方案由基金管理人拟定，并由基金托管人复核，按照《信息披露办法》有关规定在规定媒介公告。</w:t>
      </w:r>
    </w:p>
    <w:p w14:paraId="1920BB5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9.5.2在收益分配方案公布后，基金管理人依据具体方案的规定就支付的现金红利向基金托管人发送划款指令，基金托管人按照基金管理人的指令及时进行分红资金的划付。基金托管人负责核对收益分配方案的总金额与划款指令金额一致，不对每个投资者的明细分配金额进行复核。</w:t>
      </w:r>
    </w:p>
    <w:p w14:paraId="17BFEA93"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9.5.3法律法规或监管机关另有规定的，从其规定。</w:t>
      </w:r>
    </w:p>
    <w:p w14:paraId="3896C772" w14:textId="77777777" w:rsidR="006E1A20" w:rsidRPr="000532ED" w:rsidRDefault="000E02E2">
      <w:pPr>
        <w:spacing w:line="360" w:lineRule="auto"/>
        <w:ind w:firstLineChars="200" w:firstLine="480"/>
        <w:rPr>
          <w:rFonts w:ascii="宋体" w:hAnsi="宋体"/>
          <w:sz w:val="24"/>
        </w:rPr>
      </w:pPr>
      <w:r w:rsidRPr="000532ED">
        <w:rPr>
          <w:rFonts w:ascii="宋体" w:hAnsi="宋体" w:hint="eastAsia"/>
          <w:sz w:val="24"/>
        </w:rPr>
        <w:t>9</w:t>
      </w:r>
      <w:r w:rsidRPr="000532ED">
        <w:rPr>
          <w:rFonts w:ascii="宋体" w:hAnsi="宋体"/>
          <w:sz w:val="24"/>
        </w:rPr>
        <w:t>.6</w:t>
      </w:r>
      <w:r w:rsidRPr="000532ED">
        <w:rPr>
          <w:rFonts w:ascii="宋体" w:hAnsi="宋体" w:hint="eastAsia"/>
          <w:sz w:val="24"/>
        </w:rPr>
        <w:t>实施侧袋机制期间的收益分配</w:t>
      </w:r>
    </w:p>
    <w:p w14:paraId="0B6E232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rPr>
        <w:t>本基金实施侧袋机制的，侧袋账户不进行收益分配，详见招募说明书的规定。</w:t>
      </w:r>
    </w:p>
    <w:p w14:paraId="1B48491F" w14:textId="77777777" w:rsidR="006E1A20" w:rsidRPr="000532ED" w:rsidRDefault="000E02E2">
      <w:pPr>
        <w:pStyle w:val="1"/>
        <w:spacing w:line="520" w:lineRule="atLeast"/>
        <w:ind w:firstLineChars="200" w:firstLine="482"/>
        <w:rPr>
          <w:bCs/>
          <w:color w:val="auto"/>
          <w:szCs w:val="24"/>
        </w:rPr>
      </w:pPr>
      <w:bookmarkStart w:id="34" w:name="_Toc296551346"/>
      <w:bookmarkStart w:id="35" w:name="_Toc44321733"/>
      <w:r w:rsidRPr="000532ED">
        <w:rPr>
          <w:rFonts w:hint="eastAsia"/>
          <w:bCs/>
          <w:color w:val="auto"/>
          <w:szCs w:val="24"/>
        </w:rPr>
        <w:lastRenderedPageBreak/>
        <w:t>第十条 信息披露</w:t>
      </w:r>
      <w:bookmarkEnd w:id="34"/>
      <w:bookmarkEnd w:id="35"/>
    </w:p>
    <w:p w14:paraId="3F29E09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10.1保密义务</w:t>
      </w:r>
    </w:p>
    <w:p w14:paraId="4499A86B"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除按照《基金法》、《信息披露办法》、《流动性</w:t>
      </w:r>
      <w:r w:rsidRPr="000532ED">
        <w:rPr>
          <w:rFonts w:hAnsi="宋体"/>
          <w:szCs w:val="24"/>
        </w:rPr>
        <w:t>风险管理规定</w:t>
      </w:r>
      <w:r w:rsidRPr="000532ED">
        <w:rPr>
          <w:rFonts w:hAnsi="宋体" w:hint="eastAsia"/>
          <w:szCs w:val="24"/>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55DEE71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（1）非因基金管理人和基金托管人的原因导致保密信息被披露、泄露或公开；</w:t>
      </w:r>
    </w:p>
    <w:p w14:paraId="63551FFF"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（2）基金管理人和基金托管人为遵守和服从法院判决或裁定、仲裁裁决或中国证监会等监管机构的命令、决定所做出的信息披露或公开。</w:t>
      </w:r>
    </w:p>
    <w:p w14:paraId="53B9590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10.2基金管理人和基金托管人在信息披露中的职责和信息披露程序</w:t>
      </w:r>
    </w:p>
    <w:p w14:paraId="0898F76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6F58C59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10.2.2本基金信息披露的文件主要包括基金招募说明书、基金产品资料概要、基金合同、托管协议、基金份额发售公告、基金合同生效公告、基金净值信息、基金份额申购赎回价格、基金定期报告（包括基金年度报告、基金中期报告和基金季度报告）、临时报告、澄清公告、基金份额持有人大会决议、投资资产支持证券、国债期货的信息披露以及中国证监会规定的其他信息。</w:t>
      </w:r>
    </w:p>
    <w:p w14:paraId="3BA05BF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10.2.3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规定网站上；基金托管人应当同时将基金合同、基金托管协议登载在规定网站上。</w:t>
      </w:r>
    </w:p>
    <w:p w14:paraId="11F5CCC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10.2.</w:t>
      </w:r>
      <w:r w:rsidRPr="000532ED">
        <w:rPr>
          <w:rFonts w:hAnsi="宋体"/>
          <w:szCs w:val="24"/>
        </w:rPr>
        <w:t>4</w:t>
      </w:r>
      <w:r w:rsidRPr="000532ED">
        <w:rPr>
          <w:rFonts w:hAnsi="宋体" w:hint="eastAsia"/>
          <w:szCs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w:t>
      </w:r>
      <w:r w:rsidRPr="000532ED">
        <w:rPr>
          <w:rFonts w:hAnsi="宋体" w:hint="eastAsia"/>
          <w:szCs w:val="24"/>
        </w:rPr>
        <w:lastRenderedPageBreak/>
        <w:t>披露的相关基金信息进行复核、审查，并向基金管理人出具书面文件或者盖章确认。</w:t>
      </w:r>
    </w:p>
    <w:p w14:paraId="1DBCEBC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10.2.</w:t>
      </w:r>
      <w:r w:rsidRPr="000532ED">
        <w:rPr>
          <w:rFonts w:hAnsi="宋体"/>
          <w:szCs w:val="24"/>
        </w:rPr>
        <w:t>5</w:t>
      </w:r>
      <w:r w:rsidRPr="000532ED">
        <w:rPr>
          <w:rFonts w:hAnsi="宋体" w:hint="eastAsia"/>
          <w:szCs w:val="24"/>
        </w:rPr>
        <w:t>基金年度</w:t>
      </w:r>
      <w:r w:rsidRPr="000532ED">
        <w:rPr>
          <w:rFonts w:hAnsi="宋体"/>
          <w:szCs w:val="24"/>
        </w:rPr>
        <w:t>报</w:t>
      </w:r>
      <w:r w:rsidRPr="000532ED">
        <w:rPr>
          <w:rFonts w:hAnsi="宋体" w:hint="eastAsia"/>
          <w:szCs w:val="24"/>
        </w:rPr>
        <w:t>告中的财务报告部分，经</w:t>
      </w:r>
      <w:r w:rsidRPr="000532ED">
        <w:rPr>
          <w:rFonts w:hint="eastAsia"/>
        </w:rPr>
        <w:t>符合《证券法》规定</w:t>
      </w:r>
      <w:r w:rsidRPr="000532ED">
        <w:rPr>
          <w:rFonts w:hAnsi="宋体" w:hint="eastAsia"/>
          <w:szCs w:val="24"/>
        </w:rPr>
        <w:t>的会计师事务所审计后，方可披露。</w:t>
      </w:r>
    </w:p>
    <w:p w14:paraId="73ADAE5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10.2.</w:t>
      </w:r>
      <w:r w:rsidRPr="000532ED">
        <w:rPr>
          <w:rFonts w:hAnsi="宋体"/>
          <w:szCs w:val="24"/>
        </w:rPr>
        <w:t>6</w:t>
      </w:r>
      <w:r w:rsidRPr="000532ED">
        <w:rPr>
          <w:rFonts w:hAnsi="宋体" w:hint="eastAsia"/>
          <w:szCs w:val="24"/>
        </w:rPr>
        <w:t>基金管理人应当在中国证监会规定的时间内，将应予披露的基金信息通过基金管理人网站和中国证监会规定媒介披露。根据法律法规应由基金托管人公开披露的信息，基金托管人将通过中国证监会规定媒介公开披露。</w:t>
      </w:r>
    </w:p>
    <w:p w14:paraId="69074920"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10.2.</w:t>
      </w:r>
      <w:r w:rsidRPr="000532ED">
        <w:rPr>
          <w:rFonts w:hAnsi="宋体"/>
          <w:szCs w:val="24"/>
        </w:rPr>
        <w:t>7</w:t>
      </w:r>
      <w:r w:rsidRPr="000532ED">
        <w:rPr>
          <w:rFonts w:hAnsi="宋体" w:hint="eastAsia"/>
          <w:szCs w:val="24"/>
        </w:rPr>
        <w:t>予以披露的信息文本，存放在基金管理人和基金托管人处，投资人可以免费查阅。在支付工本费后可在合理时间获得上述文件的复制件或复印件。基金管理人和基金托管人应保证文本的内容与所公告的内容完全一致。</w:t>
      </w:r>
    </w:p>
    <w:p w14:paraId="578D4FE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10.3暂停或延迟信息披露的情形</w:t>
      </w:r>
    </w:p>
    <w:p w14:paraId="6340283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（1）基金投资所涉及的证券交易市场遇法定节假日或因其他原因暂停营业时；</w:t>
      </w:r>
    </w:p>
    <w:p w14:paraId="2F5490A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（2）不可抗力；</w:t>
      </w:r>
    </w:p>
    <w:p w14:paraId="5A3DAD4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w:t>
      </w:r>
      <w:r w:rsidRPr="000532ED">
        <w:rPr>
          <w:rFonts w:hint="eastAsia"/>
          <w:bCs/>
        </w:rPr>
        <w:t>发生暂停估值的情形；</w:t>
      </w:r>
    </w:p>
    <w:p w14:paraId="0B2E7F5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（4）法律法规、</w:t>
      </w:r>
      <w:r w:rsidRPr="000532ED">
        <w:rPr>
          <w:rFonts w:hAnsi="宋体" w:hint="eastAsia"/>
        </w:rPr>
        <w:t>基金合同或</w:t>
      </w:r>
      <w:r w:rsidRPr="000532ED">
        <w:rPr>
          <w:rFonts w:hAnsi="宋体" w:hint="eastAsia"/>
          <w:szCs w:val="24"/>
        </w:rPr>
        <w:t>中国证监会规定的情况。</w:t>
      </w:r>
    </w:p>
    <w:p w14:paraId="11D8566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10.4基金托管人报告</w:t>
      </w:r>
    </w:p>
    <w:p w14:paraId="33772B19"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基金托管人应按《基金法》、《运作办法》、《信息披露办法》和其他有关法律法规的规定于每个上半年度结束后两个</w:t>
      </w:r>
      <w:r w:rsidRPr="000532ED">
        <w:rPr>
          <w:rFonts w:hAnsi="宋体"/>
          <w:szCs w:val="24"/>
        </w:rPr>
        <w:t>月</w:t>
      </w:r>
      <w:r w:rsidRPr="000532ED">
        <w:rPr>
          <w:rFonts w:hAnsi="宋体" w:hint="eastAsia"/>
          <w:szCs w:val="24"/>
        </w:rPr>
        <w:t>内、每个会计年度结束后三个</w:t>
      </w:r>
      <w:r w:rsidRPr="000532ED">
        <w:rPr>
          <w:rFonts w:hAnsi="宋体"/>
          <w:szCs w:val="24"/>
        </w:rPr>
        <w:t>月</w:t>
      </w:r>
      <w:r w:rsidRPr="000532ED">
        <w:rPr>
          <w:rFonts w:hAnsi="宋体" w:hint="eastAsia"/>
          <w:szCs w:val="24"/>
        </w:rPr>
        <w:t>内在基金中期报告及年度报告中分别出具基金托管人报告，</w:t>
      </w:r>
      <w:r w:rsidRPr="000532ED">
        <w:rPr>
          <w:rFonts w:hAnsi="宋体"/>
          <w:szCs w:val="24"/>
        </w:rPr>
        <w:t>并提交给基金管理人</w:t>
      </w:r>
      <w:r w:rsidRPr="000532ED">
        <w:rPr>
          <w:rFonts w:hAnsi="宋体" w:hint="eastAsia"/>
          <w:szCs w:val="24"/>
        </w:rPr>
        <w:t>。</w:t>
      </w:r>
    </w:p>
    <w:p w14:paraId="7DBD1FB7" w14:textId="77777777" w:rsidR="006E1A20" w:rsidRPr="000532ED" w:rsidRDefault="000E02E2">
      <w:pPr>
        <w:spacing w:line="360" w:lineRule="auto"/>
        <w:ind w:firstLine="480"/>
        <w:rPr>
          <w:rFonts w:ascii="宋体" w:hAnsi="宋体"/>
          <w:sz w:val="24"/>
        </w:rPr>
      </w:pPr>
      <w:r w:rsidRPr="000532ED">
        <w:rPr>
          <w:rFonts w:ascii="宋体" w:hAnsi="宋体" w:hint="eastAsia"/>
          <w:sz w:val="24"/>
        </w:rPr>
        <w:t>1</w:t>
      </w:r>
      <w:r w:rsidRPr="000532ED">
        <w:rPr>
          <w:rFonts w:ascii="宋体" w:hAnsi="宋体"/>
          <w:sz w:val="24"/>
        </w:rPr>
        <w:t>0.4</w:t>
      </w:r>
      <w:r w:rsidRPr="000532ED">
        <w:rPr>
          <w:rFonts w:ascii="宋体" w:hAnsi="宋体" w:hint="eastAsia"/>
          <w:sz w:val="24"/>
        </w:rPr>
        <w:t>实施侧袋机制期间的信息披露</w:t>
      </w:r>
    </w:p>
    <w:p w14:paraId="5B76B42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rPr>
        <w:t>本基金实施侧袋机制的，相关信息披露义务人应当根据法律法规、基金合同和招募说明书的规定进行信息披露，详见招募说明书的规定。</w:t>
      </w:r>
    </w:p>
    <w:p w14:paraId="73EB168F" w14:textId="77777777" w:rsidR="006E1A20" w:rsidRPr="000532ED" w:rsidRDefault="000E02E2">
      <w:pPr>
        <w:pStyle w:val="1"/>
        <w:spacing w:line="520" w:lineRule="atLeast"/>
        <w:ind w:firstLineChars="200" w:firstLine="482"/>
        <w:rPr>
          <w:bCs/>
          <w:color w:val="auto"/>
          <w:szCs w:val="24"/>
        </w:rPr>
      </w:pPr>
      <w:bookmarkStart w:id="36" w:name="_Toc296551347"/>
      <w:bookmarkStart w:id="37" w:name="_Toc44321734"/>
      <w:r w:rsidRPr="000532ED">
        <w:rPr>
          <w:rFonts w:hint="eastAsia"/>
          <w:bCs/>
          <w:color w:val="auto"/>
          <w:szCs w:val="24"/>
        </w:rPr>
        <w:t>第十一条 基金费用</w:t>
      </w:r>
      <w:bookmarkEnd w:id="36"/>
      <w:bookmarkEnd w:id="37"/>
    </w:p>
    <w:p w14:paraId="1CCD619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11.1基金管理费的计提比例和计提方法</w:t>
      </w:r>
    </w:p>
    <w:p w14:paraId="0E25983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本基金的管理费按前一日基金资产净值的【0</w:t>
      </w:r>
      <w:r w:rsidRPr="000532ED">
        <w:rPr>
          <w:rFonts w:hAnsi="宋体"/>
          <w:szCs w:val="24"/>
        </w:rPr>
        <w:t>.60</w:t>
      </w:r>
      <w:r w:rsidRPr="000532ED">
        <w:rPr>
          <w:rFonts w:hAnsi="宋体" w:hint="eastAsia"/>
          <w:szCs w:val="24"/>
        </w:rPr>
        <w:t xml:space="preserve">% </w:t>
      </w:r>
      <w:r w:rsidRPr="000532ED">
        <w:rPr>
          <w:rFonts w:hAnsi="宋体"/>
          <w:szCs w:val="24"/>
        </w:rPr>
        <w:t xml:space="preserve"> </w:t>
      </w:r>
      <w:r w:rsidRPr="000532ED">
        <w:rPr>
          <w:rFonts w:hAnsi="宋体" w:hint="eastAsia"/>
          <w:szCs w:val="24"/>
        </w:rPr>
        <w:t>】年费率计提。管理费的计算方法如下：</w:t>
      </w:r>
    </w:p>
    <w:p w14:paraId="534DAFA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H＝E×</w:t>
      </w:r>
      <w:r w:rsidRPr="000532ED">
        <w:rPr>
          <w:rFonts w:hAnsi="宋体" w:hint="eastAsia"/>
        </w:rPr>
        <w:t>【</w:t>
      </w:r>
      <w:r w:rsidRPr="000532ED">
        <w:rPr>
          <w:rFonts w:hAnsi="宋体" w:hint="eastAsia"/>
          <w:szCs w:val="24"/>
        </w:rPr>
        <w:t>0</w:t>
      </w:r>
      <w:r w:rsidRPr="000532ED">
        <w:rPr>
          <w:rFonts w:hAnsi="宋体"/>
          <w:szCs w:val="24"/>
        </w:rPr>
        <w:t>.60</w:t>
      </w:r>
      <w:r w:rsidRPr="000532ED">
        <w:rPr>
          <w:rFonts w:hAnsi="宋体" w:hint="eastAsia"/>
          <w:szCs w:val="24"/>
        </w:rPr>
        <w:t>%</w:t>
      </w:r>
      <w:r w:rsidRPr="000532ED">
        <w:rPr>
          <w:rFonts w:hAnsi="宋体" w:hint="eastAsia"/>
        </w:rPr>
        <w:t xml:space="preserve"> </w:t>
      </w:r>
      <w:r w:rsidRPr="000532ED">
        <w:rPr>
          <w:rFonts w:hAnsi="宋体"/>
        </w:rPr>
        <w:t xml:space="preserve"> </w:t>
      </w:r>
      <w:r w:rsidRPr="000532ED">
        <w:rPr>
          <w:rFonts w:hAnsi="宋体" w:hint="eastAsia"/>
        </w:rPr>
        <w:t>】</w:t>
      </w:r>
      <w:r w:rsidRPr="000532ED">
        <w:rPr>
          <w:rFonts w:hAnsi="宋体" w:hint="eastAsia"/>
          <w:szCs w:val="24"/>
        </w:rPr>
        <w:t>÷当年天数</w:t>
      </w:r>
    </w:p>
    <w:p w14:paraId="6658778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H为每日应计提的基金管理费</w:t>
      </w:r>
    </w:p>
    <w:p w14:paraId="6AEF4CE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E为前一日的基金资产净值</w:t>
      </w:r>
    </w:p>
    <w:p w14:paraId="79668E09"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lastRenderedPageBreak/>
        <w:t>基金管理费每日计算，</w:t>
      </w:r>
      <w:r w:rsidRPr="000532ED">
        <w:rPr>
          <w:rFonts w:hAnsi="宋体" w:hint="eastAsia"/>
        </w:rPr>
        <w:t>逐日累计至</w:t>
      </w:r>
      <w:r w:rsidRPr="000532ED">
        <w:rPr>
          <w:rFonts w:hAnsi="宋体" w:hint="eastAsia"/>
          <w:szCs w:val="24"/>
        </w:rPr>
        <w:t>每</w:t>
      </w:r>
      <w:r w:rsidRPr="000532ED">
        <w:rPr>
          <w:rFonts w:hAnsi="宋体" w:hint="eastAsia"/>
        </w:rPr>
        <w:t>月月末，</w:t>
      </w:r>
      <w:r w:rsidRPr="000532ED">
        <w:rPr>
          <w:rFonts w:hAnsi="宋体" w:hint="eastAsia"/>
          <w:szCs w:val="24"/>
        </w:rPr>
        <w:t>按月支付，由基金管理人与基金托管人核对一致后，基金托管人按照与基金管理人协商一致的方式于次月前5个工作日内从基金财产中一次性支付给基金管理人。若遇法定节假日、休息日或不可抗力致使无法按时支付的，支付日期顺延。</w:t>
      </w:r>
    </w:p>
    <w:p w14:paraId="6E63F829"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11.2基金托管费的计提比例和计提方法</w:t>
      </w:r>
    </w:p>
    <w:p w14:paraId="0C3437B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本基金的托管费按前一日基金资产净值的【</w:t>
      </w:r>
      <w:r w:rsidRPr="000532ED">
        <w:rPr>
          <w:rFonts w:hint="eastAsia"/>
          <w:color w:val="000000"/>
        </w:rPr>
        <w:t>0</w:t>
      </w:r>
      <w:r w:rsidRPr="000532ED">
        <w:rPr>
          <w:color w:val="000000"/>
        </w:rPr>
        <w:t>.15%</w:t>
      </w:r>
      <w:r w:rsidRPr="000532ED">
        <w:rPr>
          <w:rFonts w:hAnsi="宋体" w:hint="eastAsia"/>
          <w:szCs w:val="24"/>
        </w:rPr>
        <w:t>】的年费率计提。托管费的计算方法如下：</w:t>
      </w:r>
    </w:p>
    <w:p w14:paraId="4A49C32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H＝E×【</w:t>
      </w:r>
      <w:r w:rsidRPr="000532ED">
        <w:rPr>
          <w:rFonts w:hint="eastAsia"/>
          <w:color w:val="000000"/>
        </w:rPr>
        <w:t>0</w:t>
      </w:r>
      <w:r w:rsidRPr="000532ED">
        <w:rPr>
          <w:color w:val="000000"/>
        </w:rPr>
        <w:t>.15%</w:t>
      </w:r>
      <w:r w:rsidRPr="000532ED">
        <w:rPr>
          <w:rFonts w:hAnsi="宋体" w:hint="eastAsia"/>
          <w:szCs w:val="24"/>
        </w:rPr>
        <w:t>】÷当年天数</w:t>
      </w:r>
    </w:p>
    <w:p w14:paraId="0AD01240"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H为每日应计提的基金托管费</w:t>
      </w:r>
    </w:p>
    <w:p w14:paraId="6B58D061"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E为前一日的基金资产净值</w:t>
      </w:r>
    </w:p>
    <w:p w14:paraId="493EFCB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基金托管费每日计算，</w:t>
      </w:r>
      <w:r w:rsidRPr="000532ED">
        <w:rPr>
          <w:rFonts w:hAnsi="宋体" w:hint="eastAsia"/>
        </w:rPr>
        <w:t>逐日累计至</w:t>
      </w:r>
      <w:r w:rsidRPr="000532ED">
        <w:rPr>
          <w:rFonts w:hAnsi="宋体" w:hint="eastAsia"/>
          <w:szCs w:val="24"/>
        </w:rPr>
        <w:t>每</w:t>
      </w:r>
      <w:r w:rsidRPr="000532ED">
        <w:rPr>
          <w:rFonts w:hAnsi="宋体" w:hint="eastAsia"/>
        </w:rPr>
        <w:t>月月末，</w:t>
      </w:r>
      <w:r w:rsidRPr="000532ED">
        <w:rPr>
          <w:rFonts w:hAnsi="宋体" w:hint="eastAsia"/>
          <w:szCs w:val="24"/>
        </w:rPr>
        <w:t>按月支付，由基金管理人与基金托管人核对一致后，基金托管人按照与基金管理人协商一致的方式于次月前5个工作日内从基金财产中一次性支取。若遇法定节假日、休息日或不可抗力致使无法按时支付的，支付日期顺延。</w:t>
      </w:r>
    </w:p>
    <w:p w14:paraId="1072E74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11.3销售服务费的计提比例和计提方法</w:t>
      </w:r>
    </w:p>
    <w:p w14:paraId="231E8779" w14:textId="77777777" w:rsidR="006E1A20" w:rsidRPr="000532ED" w:rsidRDefault="000E02E2">
      <w:pPr>
        <w:pStyle w:val="20"/>
        <w:spacing w:before="0" w:after="0" w:line="520" w:lineRule="atLeast"/>
        <w:ind w:left="0" w:firstLineChars="200" w:firstLine="480"/>
        <w:rPr>
          <w:rFonts w:hAnsi="宋体"/>
          <w:szCs w:val="24"/>
        </w:rPr>
      </w:pPr>
      <w:r w:rsidRPr="000532ED">
        <w:rPr>
          <w:rFonts w:hint="eastAsia"/>
          <w:bCs/>
        </w:rPr>
        <w:t>本基金A类基金份额不收取销售服务费，C类基金份额的销售服务费年费率为</w:t>
      </w:r>
      <w:r w:rsidRPr="000532ED">
        <w:rPr>
          <w:bCs/>
        </w:rPr>
        <w:t>0.40</w:t>
      </w:r>
      <w:r w:rsidRPr="000532ED">
        <w:rPr>
          <w:rFonts w:hint="eastAsia"/>
          <w:bCs/>
        </w:rPr>
        <w:t>%，按前一日C类基金资产净值的</w:t>
      </w:r>
      <w:r w:rsidRPr="000532ED">
        <w:rPr>
          <w:bCs/>
        </w:rPr>
        <w:t>0.40</w:t>
      </w:r>
      <w:r w:rsidRPr="000532ED">
        <w:rPr>
          <w:rFonts w:hint="eastAsia"/>
          <w:bCs/>
        </w:rPr>
        <w:t>%年费率计提。</w:t>
      </w:r>
    </w:p>
    <w:p w14:paraId="6540052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H＝E×【</w:t>
      </w:r>
      <w:r w:rsidRPr="000532ED">
        <w:rPr>
          <w:bCs/>
        </w:rPr>
        <w:t>0.40</w:t>
      </w:r>
      <w:r w:rsidRPr="000532ED">
        <w:rPr>
          <w:rFonts w:hint="eastAsia"/>
          <w:bCs/>
        </w:rPr>
        <w:t>%</w:t>
      </w:r>
      <w:r w:rsidRPr="000532ED">
        <w:rPr>
          <w:rFonts w:hAnsi="宋体" w:hint="eastAsia"/>
          <w:szCs w:val="24"/>
        </w:rPr>
        <w:t xml:space="preserve"> </w:t>
      </w:r>
      <w:r w:rsidRPr="000532ED">
        <w:rPr>
          <w:rFonts w:hAnsi="宋体"/>
          <w:szCs w:val="24"/>
        </w:rPr>
        <w:t xml:space="preserve"> </w:t>
      </w:r>
      <w:r w:rsidRPr="000532ED">
        <w:rPr>
          <w:rFonts w:hAnsi="宋体" w:hint="eastAsia"/>
          <w:szCs w:val="24"/>
        </w:rPr>
        <w:t xml:space="preserve">】÷当年天数 </w:t>
      </w:r>
    </w:p>
    <w:p w14:paraId="641254A0" w14:textId="77777777" w:rsidR="006E1A20" w:rsidRPr="000532ED" w:rsidRDefault="000E02E2" w:rsidP="00360B46">
      <w:pPr>
        <w:pStyle w:val="20"/>
        <w:spacing w:line="520" w:lineRule="atLeast"/>
        <w:rPr>
          <w:rFonts w:hAnsi="宋体"/>
          <w:szCs w:val="24"/>
        </w:rPr>
      </w:pPr>
      <w:r w:rsidRPr="000532ED">
        <w:rPr>
          <w:rFonts w:hAnsi="宋体" w:hint="eastAsia"/>
          <w:szCs w:val="24"/>
        </w:rPr>
        <w:t>H 为C类基金份额每日应计提的销售服务费</w:t>
      </w:r>
    </w:p>
    <w:p w14:paraId="2E45657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E 为C类基金份额前一日基金资产净值</w:t>
      </w:r>
    </w:p>
    <w:p w14:paraId="3751D920"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基金销售服务费每日计提，逐日累计至每月月末，按月支付。由基金管理人与基金托管人核对一致后，基金托管人按照与基金管理人协商一致的方式于次月前</w:t>
      </w:r>
      <w:r w:rsidRPr="000532ED">
        <w:rPr>
          <w:rFonts w:hAnsi="宋体"/>
          <w:szCs w:val="24"/>
        </w:rPr>
        <w:t>5个工作日内从基金财产中一次性支付给基金管理人并由基金管理人代付给各基金销售机构。</w:t>
      </w:r>
      <w:r w:rsidRPr="000532ED">
        <w:rPr>
          <w:rFonts w:hAnsi="宋体" w:hint="eastAsia"/>
          <w:szCs w:val="24"/>
        </w:rPr>
        <w:t>若遇法定节假日、休息日或不可抗力致使无法按时支付的，支付日期顺延。</w:t>
      </w:r>
    </w:p>
    <w:p w14:paraId="5A036D20"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11.4为基金财产及基金运作所开立账户的开户费和维护费、证券交易费用、基金合同生效后与</w:t>
      </w:r>
      <w:r w:rsidRPr="000532ED">
        <w:rPr>
          <w:rFonts w:hAnsi="宋体"/>
          <w:szCs w:val="24"/>
        </w:rPr>
        <w:t>基金相关</w:t>
      </w:r>
      <w:r w:rsidRPr="000532ED">
        <w:rPr>
          <w:rFonts w:hAnsi="宋体" w:hint="eastAsia"/>
          <w:szCs w:val="24"/>
        </w:rPr>
        <w:t>的信息披露费用、基金份额持有人大会费用、基金合同生效后与基金相关的会计师费、律师费</w:t>
      </w:r>
      <w:r w:rsidRPr="000532ED">
        <w:rPr>
          <w:rFonts w:hint="eastAsia"/>
          <w:bCs/>
        </w:rPr>
        <w:t>、仲裁费</w:t>
      </w:r>
      <w:r w:rsidRPr="000532ED">
        <w:rPr>
          <w:bCs/>
        </w:rPr>
        <w:t>和诉讼费</w:t>
      </w:r>
      <w:r w:rsidRPr="000532ED">
        <w:rPr>
          <w:rFonts w:hint="eastAsia"/>
          <w:bCs/>
        </w:rPr>
        <w:t>、</w:t>
      </w:r>
      <w:r w:rsidRPr="000532ED">
        <w:rPr>
          <w:bCs/>
        </w:rPr>
        <w:t>基金的银行划款费用</w:t>
      </w:r>
      <w:r w:rsidRPr="000532ED">
        <w:rPr>
          <w:rFonts w:hAnsi="宋体" w:hint="eastAsia"/>
          <w:szCs w:val="24"/>
        </w:rPr>
        <w:t>等</w:t>
      </w:r>
      <w:r w:rsidRPr="000532ED">
        <w:rPr>
          <w:rFonts w:hAnsi="宋体" w:hint="eastAsia"/>
          <w:szCs w:val="24"/>
        </w:rPr>
        <w:lastRenderedPageBreak/>
        <w:t>根据有关法律法规、基金合同及相应协议的规定，由基金托管人按基金管理人的划款指令并根据费用实际支出金额支付，列入或摊入当期基金费用。</w:t>
      </w:r>
    </w:p>
    <w:p w14:paraId="507E4FE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11.</w:t>
      </w:r>
      <w:r w:rsidRPr="000532ED">
        <w:rPr>
          <w:rFonts w:hAnsi="宋体"/>
          <w:szCs w:val="24"/>
        </w:rPr>
        <w:t>5</w:t>
      </w:r>
      <w:r w:rsidRPr="000532ED">
        <w:rPr>
          <w:rFonts w:hAnsi="宋体" w:hint="eastAsia"/>
          <w:szCs w:val="24"/>
        </w:rPr>
        <w:t>不列入基金费用的项目</w:t>
      </w:r>
    </w:p>
    <w:p w14:paraId="18CCEEC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管理人与基金托管人因未履行或未完全履行义务导致的费用支出或基金财产的损失，以及处理与基金运作无关的事项发生的费用等不列入基金费用。基金合同生效前所发生的信息披露费、律师费、验资费和会计师费以及其他费用不从基金财产中支付。其他根据相关法律法规及中国证监会的有关规定不得列入基金费用的项目也不列入基金费用。</w:t>
      </w:r>
    </w:p>
    <w:p w14:paraId="08F0D3D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11.</w:t>
      </w:r>
      <w:r w:rsidRPr="000532ED">
        <w:rPr>
          <w:rFonts w:hAnsi="宋体"/>
          <w:szCs w:val="24"/>
        </w:rPr>
        <w:t>6</w:t>
      </w:r>
      <w:r w:rsidRPr="000532ED">
        <w:rPr>
          <w:rFonts w:hAnsi="宋体" w:hint="eastAsia"/>
          <w:szCs w:val="24"/>
        </w:rPr>
        <w:t>基金管理费和基金托管费的调整</w:t>
      </w:r>
    </w:p>
    <w:p w14:paraId="19FB6B2C" w14:textId="77777777" w:rsidR="006E1A20" w:rsidRPr="000532ED" w:rsidRDefault="000E02E2">
      <w:pPr>
        <w:spacing w:line="520" w:lineRule="atLeast"/>
        <w:ind w:firstLineChars="200" w:firstLine="480"/>
        <w:rPr>
          <w:bCs/>
          <w:sz w:val="24"/>
        </w:rPr>
      </w:pPr>
      <w:r w:rsidRPr="000532ED">
        <w:rPr>
          <w:rFonts w:hint="eastAsia"/>
          <w:bCs/>
          <w:sz w:val="24"/>
        </w:rPr>
        <w:t>在不对基金份额持有人权益产生实质性不利影响的情况下，基金管理人和基金托管人协商一致且在履行适当程序后，可按照基金发展情况，并根据法律法规规定和基金合同约定酌情调整基金管理费率、基金托管费率等相关费率。</w:t>
      </w:r>
    </w:p>
    <w:p w14:paraId="5D4B33D3" w14:textId="77777777" w:rsidR="006E1A20" w:rsidRPr="000532ED" w:rsidRDefault="000E02E2">
      <w:pPr>
        <w:spacing w:line="520" w:lineRule="atLeast"/>
        <w:ind w:firstLineChars="200" w:firstLine="480"/>
        <w:rPr>
          <w:bCs/>
          <w:sz w:val="24"/>
        </w:rPr>
      </w:pPr>
      <w:r w:rsidRPr="000532ED">
        <w:rPr>
          <w:rFonts w:hint="eastAsia"/>
          <w:bCs/>
          <w:sz w:val="24"/>
        </w:rPr>
        <w:t>基金管理人必须于新的费率实施日前依照</w:t>
      </w:r>
      <w:r w:rsidRPr="000532ED">
        <w:rPr>
          <w:bCs/>
          <w:sz w:val="24"/>
        </w:rPr>
        <w:t>《</w:t>
      </w:r>
      <w:r w:rsidRPr="000532ED">
        <w:rPr>
          <w:rFonts w:hint="eastAsia"/>
          <w:bCs/>
          <w:sz w:val="24"/>
        </w:rPr>
        <w:t>信息</w:t>
      </w:r>
      <w:r w:rsidRPr="000532ED">
        <w:rPr>
          <w:bCs/>
          <w:sz w:val="24"/>
        </w:rPr>
        <w:t>披露办法》</w:t>
      </w:r>
      <w:r w:rsidRPr="000532ED">
        <w:rPr>
          <w:rFonts w:hint="eastAsia"/>
          <w:bCs/>
          <w:sz w:val="24"/>
        </w:rPr>
        <w:t>的</w:t>
      </w:r>
      <w:r w:rsidRPr="000532ED">
        <w:rPr>
          <w:bCs/>
          <w:sz w:val="24"/>
        </w:rPr>
        <w:t>规定</w:t>
      </w:r>
      <w:r w:rsidRPr="000532ED">
        <w:rPr>
          <w:rFonts w:hint="eastAsia"/>
          <w:bCs/>
          <w:sz w:val="24"/>
        </w:rPr>
        <w:t>在规定媒介上公告。</w:t>
      </w:r>
    </w:p>
    <w:p w14:paraId="29101260"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11.</w:t>
      </w:r>
      <w:r w:rsidRPr="000532ED">
        <w:rPr>
          <w:rFonts w:hAnsi="宋体"/>
          <w:szCs w:val="24"/>
        </w:rPr>
        <w:t>7</w:t>
      </w:r>
      <w:r w:rsidRPr="000532ED">
        <w:rPr>
          <w:rFonts w:hAnsi="宋体" w:hint="eastAsia"/>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689DB5DA" w14:textId="77777777" w:rsidR="006E1A20" w:rsidRPr="000532ED" w:rsidRDefault="000E02E2" w:rsidP="004A0251">
      <w:pPr>
        <w:pStyle w:val="20"/>
        <w:spacing w:before="0" w:after="0" w:line="520" w:lineRule="atLeast"/>
        <w:ind w:left="0" w:firstLineChars="200" w:firstLine="480"/>
        <w:rPr>
          <w:rFonts w:hAnsi="宋体"/>
          <w:szCs w:val="24"/>
        </w:rPr>
      </w:pPr>
      <w:r w:rsidRPr="000532ED">
        <w:rPr>
          <w:rFonts w:hAnsi="宋体" w:hint="eastAsia"/>
          <w:szCs w:val="24"/>
        </w:rPr>
        <w:t>1</w:t>
      </w:r>
      <w:r w:rsidRPr="000532ED">
        <w:rPr>
          <w:rFonts w:hAnsi="宋体"/>
          <w:szCs w:val="24"/>
        </w:rPr>
        <w:t>1.8</w:t>
      </w:r>
      <w:r w:rsidRPr="000532ED">
        <w:rPr>
          <w:rFonts w:hAnsi="宋体" w:hint="eastAsia"/>
          <w:szCs w:val="24"/>
        </w:rPr>
        <w:t>实施侧袋机制期间的基金费用</w:t>
      </w:r>
    </w:p>
    <w:p w14:paraId="05566941"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本基金实施侧袋机制的，与侧袋账户有关的费用可以从侧袋账户中列支，但应待侧袋账户资产变现后方可列支，有关费用可酌情收取或减免，但不得收取管理费，详见招募说明书的规定。</w:t>
      </w:r>
    </w:p>
    <w:p w14:paraId="5F109C28" w14:textId="77777777" w:rsidR="006E1A20" w:rsidRPr="000532ED" w:rsidRDefault="000E02E2">
      <w:pPr>
        <w:pStyle w:val="1"/>
        <w:spacing w:line="520" w:lineRule="atLeast"/>
        <w:ind w:firstLineChars="200" w:firstLine="482"/>
        <w:rPr>
          <w:bCs/>
          <w:color w:val="auto"/>
          <w:szCs w:val="24"/>
        </w:rPr>
      </w:pPr>
      <w:bookmarkStart w:id="38" w:name="_Toc296551348"/>
      <w:bookmarkStart w:id="39" w:name="_Toc44321735"/>
      <w:r w:rsidRPr="000532ED">
        <w:rPr>
          <w:rFonts w:hint="eastAsia"/>
          <w:bCs/>
          <w:color w:val="auto"/>
          <w:szCs w:val="24"/>
        </w:rPr>
        <w:t>第十二条 基金份额持有人名册的保管</w:t>
      </w:r>
      <w:bookmarkEnd w:id="38"/>
      <w:bookmarkEnd w:id="39"/>
    </w:p>
    <w:p w14:paraId="1B43978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12.1基金管理人和基金托管人须分别妥善保管基金份额持有人名册，基金份额持有人名册的内容必须包括基金份额持有人的名称和持有的基金份额。</w:t>
      </w:r>
    </w:p>
    <w:p w14:paraId="0B19E11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12.2基金份额持有人名册由基金的基金登记机构根据基金管理人的指令编制和保管，基金管理人和基金托管人应按照目前相关规则分别保管基金份额持有人名册。保管方式可以采用电子或文档的形式。保管期限为</w:t>
      </w:r>
      <w:r w:rsidRPr="000532ED">
        <w:rPr>
          <w:rFonts w:hAnsi="宋体"/>
          <w:szCs w:val="24"/>
        </w:rPr>
        <w:t>20</w:t>
      </w:r>
      <w:r w:rsidRPr="000532ED">
        <w:rPr>
          <w:rFonts w:hAnsi="宋体" w:hint="eastAsia"/>
          <w:szCs w:val="24"/>
        </w:rPr>
        <w:t>年，</w:t>
      </w:r>
      <w:r w:rsidRPr="000532ED">
        <w:rPr>
          <w:rFonts w:hAnsi="宋体"/>
          <w:szCs w:val="24"/>
        </w:rPr>
        <w:t>法律法规或监管规则另有</w:t>
      </w:r>
      <w:r w:rsidRPr="000532ED">
        <w:rPr>
          <w:rFonts w:hAnsi="宋体" w:hint="eastAsia"/>
          <w:szCs w:val="24"/>
        </w:rPr>
        <w:t>规定</w:t>
      </w:r>
      <w:r w:rsidRPr="000532ED">
        <w:rPr>
          <w:rFonts w:hAnsi="宋体"/>
          <w:szCs w:val="24"/>
        </w:rPr>
        <w:t>的，从其规定</w:t>
      </w:r>
      <w:r w:rsidRPr="000532ED">
        <w:rPr>
          <w:rFonts w:hAnsi="宋体" w:hint="eastAsia"/>
          <w:szCs w:val="24"/>
        </w:rPr>
        <w:t>。</w:t>
      </w:r>
    </w:p>
    <w:p w14:paraId="7ADC827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lastRenderedPageBreak/>
        <w:t>12.</w:t>
      </w:r>
      <w:r w:rsidRPr="000532ED">
        <w:rPr>
          <w:rFonts w:hAnsi="宋体"/>
          <w:szCs w:val="24"/>
        </w:rPr>
        <w:t>3</w:t>
      </w:r>
      <w:r w:rsidRPr="000532ED">
        <w:rPr>
          <w:rFonts w:hAnsi="宋体" w:hint="eastAsia"/>
          <w:szCs w:val="24"/>
        </w:rPr>
        <w:t>若基金管理人或基金托管人由于自身原因无法妥善保管基金份额持有人名册，应按有关法规规定各自承担相应的责任。</w:t>
      </w:r>
    </w:p>
    <w:p w14:paraId="78863D5C" w14:textId="77777777" w:rsidR="006E1A20" w:rsidRPr="000532ED" w:rsidRDefault="000E02E2">
      <w:pPr>
        <w:pStyle w:val="1"/>
        <w:spacing w:line="520" w:lineRule="atLeast"/>
        <w:ind w:firstLineChars="200" w:firstLine="482"/>
        <w:rPr>
          <w:bCs/>
          <w:color w:val="auto"/>
          <w:szCs w:val="24"/>
        </w:rPr>
      </w:pPr>
      <w:bookmarkStart w:id="40" w:name="_Toc296551349"/>
      <w:bookmarkStart w:id="41" w:name="_Toc44321736"/>
      <w:r w:rsidRPr="000532ED">
        <w:rPr>
          <w:rFonts w:hint="eastAsia"/>
          <w:bCs/>
          <w:color w:val="auto"/>
          <w:szCs w:val="24"/>
        </w:rPr>
        <w:t>第十三条 基金有关文件和档案的保存</w:t>
      </w:r>
      <w:bookmarkEnd w:id="40"/>
      <w:bookmarkEnd w:id="41"/>
    </w:p>
    <w:p w14:paraId="50ECF7B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13.1基金管理人、基金托管人按各自职责完整保存原始凭证、记账凭证、基金账册、交易记录和重要合同等，保存期限不少于</w:t>
      </w:r>
      <w:r w:rsidRPr="000532ED">
        <w:rPr>
          <w:rFonts w:hAnsi="宋体"/>
          <w:szCs w:val="24"/>
        </w:rPr>
        <w:t>20</w:t>
      </w:r>
      <w:r w:rsidRPr="000532ED">
        <w:rPr>
          <w:rFonts w:hAnsi="宋体" w:hint="eastAsia"/>
          <w:szCs w:val="24"/>
        </w:rPr>
        <w:t>年，对相关信息负有保密义务，但根据有关法律法规规定或有权机关要求披露的除外。其中，基金管理人应保存基金财产管理业务活动的记录、账册、报表和其他相关资料，基金托管人应保存基金托管业务活动的记录、账册、报表和其他相关资料。</w:t>
      </w:r>
    </w:p>
    <w:p w14:paraId="2DE82D1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14:paraId="3F162CEF"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13.3基金管理人或基金托管人变更后，未变更的一方有义务协助接任人接受基金的有关文件。</w:t>
      </w:r>
    </w:p>
    <w:p w14:paraId="50C6B067" w14:textId="77777777" w:rsidR="006E1A20" w:rsidRPr="000532ED" w:rsidRDefault="000E02E2">
      <w:pPr>
        <w:pStyle w:val="1"/>
        <w:spacing w:line="520" w:lineRule="atLeast"/>
        <w:ind w:firstLineChars="200" w:firstLine="482"/>
        <w:rPr>
          <w:bCs/>
          <w:color w:val="auto"/>
          <w:szCs w:val="24"/>
        </w:rPr>
      </w:pPr>
      <w:bookmarkStart w:id="42" w:name="_Toc296551350"/>
      <w:bookmarkStart w:id="43" w:name="_Toc44321737"/>
      <w:r w:rsidRPr="000532ED">
        <w:rPr>
          <w:rFonts w:hint="eastAsia"/>
          <w:bCs/>
          <w:color w:val="auto"/>
          <w:szCs w:val="24"/>
        </w:rPr>
        <w:t>第十四条 基金管理人和基金托管人的更换</w:t>
      </w:r>
      <w:bookmarkEnd w:id="42"/>
      <w:bookmarkEnd w:id="43"/>
    </w:p>
    <w:p w14:paraId="716A489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14.1基金管理人的更换</w:t>
      </w:r>
    </w:p>
    <w:p w14:paraId="1570B02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14.1.1基金管理人的更换条件</w:t>
      </w:r>
    </w:p>
    <w:p w14:paraId="1F22075B"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有下列情形之一的，基金管理人职责终止：</w:t>
      </w:r>
    </w:p>
    <w:p w14:paraId="77810353"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（1）基金管理人被依法取消基金管理资格；</w:t>
      </w:r>
    </w:p>
    <w:p w14:paraId="2B697C1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（2）基金管理人依法解散、被依法撤销或者被依法宣告破产；</w:t>
      </w:r>
    </w:p>
    <w:p w14:paraId="08CB533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（3）基金管理人被基金份额持有人大会解任；</w:t>
      </w:r>
    </w:p>
    <w:p w14:paraId="7B43D69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（4）法律法规</w:t>
      </w:r>
      <w:r w:rsidRPr="000532ED">
        <w:rPr>
          <w:rFonts w:hint="eastAsia"/>
          <w:bCs/>
        </w:rPr>
        <w:t>及中国证监会规定的</w:t>
      </w:r>
      <w:r w:rsidRPr="000532ED">
        <w:rPr>
          <w:rFonts w:hAnsi="宋体" w:hint="eastAsia"/>
          <w:szCs w:val="24"/>
        </w:rPr>
        <w:t>和基金合同规定的其他情形。</w:t>
      </w:r>
    </w:p>
    <w:p w14:paraId="748C63D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14.1.2基金管理人的更换程序</w:t>
      </w:r>
    </w:p>
    <w:p w14:paraId="48DF8BEB"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更换基金管理人必须依照如下程序进行：</w:t>
      </w:r>
    </w:p>
    <w:p w14:paraId="43079B99"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（1）提名：新任基金管理人由基金托管人或由单独或合计持有10%以上（含10%）基金份额的基金份额持有人提名；</w:t>
      </w:r>
    </w:p>
    <w:p w14:paraId="15E925A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（2）决议：基金份额持有人大会在基金管理人职责终止后6个月内对被提名的基金管理人形成决议，</w:t>
      </w:r>
      <w:r w:rsidRPr="000532ED">
        <w:rPr>
          <w:bCs/>
        </w:rPr>
        <w:t>该决议需经参加大会的基金份额持有人所持表决权的</w:t>
      </w:r>
      <w:r w:rsidRPr="000532ED">
        <w:rPr>
          <w:rFonts w:hint="eastAsia"/>
          <w:bCs/>
        </w:rPr>
        <w:t>2/3</w:t>
      </w:r>
      <w:r w:rsidRPr="000532ED">
        <w:rPr>
          <w:bCs/>
        </w:rPr>
        <w:t>以上（含</w:t>
      </w:r>
      <w:r w:rsidRPr="000532ED">
        <w:rPr>
          <w:rFonts w:hint="eastAsia"/>
          <w:bCs/>
        </w:rPr>
        <w:t>2/3</w:t>
      </w:r>
      <w:r w:rsidRPr="000532ED">
        <w:rPr>
          <w:bCs/>
        </w:rPr>
        <w:t>）表决通过</w:t>
      </w:r>
      <w:r w:rsidRPr="000532ED">
        <w:rPr>
          <w:rFonts w:hint="eastAsia"/>
          <w:bCs/>
        </w:rPr>
        <w:t>，决议自表决通过之日起生效</w:t>
      </w:r>
      <w:r w:rsidRPr="000532ED">
        <w:rPr>
          <w:rFonts w:hAnsi="宋体" w:hint="eastAsia"/>
          <w:szCs w:val="24"/>
        </w:rPr>
        <w:t>；</w:t>
      </w:r>
    </w:p>
    <w:p w14:paraId="2C5584A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lastRenderedPageBreak/>
        <w:t>（3）临时基金管理人：新任基金管理人产生之前，由中国证监会指定临时基金管理人；</w:t>
      </w:r>
    </w:p>
    <w:p w14:paraId="67CEDB79"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 xml:space="preserve">（4）备案：基金份额持有人大会更换基金管理人的决议须报中国证监会备案；  </w:t>
      </w:r>
    </w:p>
    <w:p w14:paraId="05C6A4E0" w14:textId="77777777" w:rsidR="006E1A20" w:rsidRPr="000532ED" w:rsidRDefault="000E02E2">
      <w:pPr>
        <w:pStyle w:val="20"/>
        <w:spacing w:before="0" w:after="0" w:line="520" w:lineRule="atLeast"/>
        <w:ind w:left="0"/>
        <w:rPr>
          <w:rFonts w:hAnsi="宋体"/>
          <w:szCs w:val="24"/>
        </w:rPr>
      </w:pPr>
      <w:r w:rsidRPr="000532ED">
        <w:rPr>
          <w:rFonts w:hint="eastAsia"/>
          <w:bCs/>
        </w:rPr>
        <w:t xml:space="preserve">  </w:t>
      </w:r>
      <w:r w:rsidRPr="000532ED">
        <w:rPr>
          <w:bCs/>
        </w:rPr>
        <w:t xml:space="preserve">  </w:t>
      </w:r>
      <w:r w:rsidRPr="000532ED">
        <w:rPr>
          <w:rFonts w:hAnsi="宋体" w:hint="eastAsia"/>
          <w:szCs w:val="24"/>
        </w:rPr>
        <w:t>（5）公告：基金管理人更换后，由基金托管人在</w:t>
      </w:r>
      <w:r w:rsidRPr="000532ED">
        <w:rPr>
          <w:rFonts w:hint="eastAsia"/>
          <w:bCs/>
        </w:rPr>
        <w:t>更换</w:t>
      </w:r>
      <w:r w:rsidRPr="000532ED">
        <w:rPr>
          <w:bCs/>
        </w:rPr>
        <w:t>基金管理人的</w:t>
      </w:r>
      <w:r w:rsidRPr="000532ED">
        <w:rPr>
          <w:rFonts w:hint="eastAsia"/>
          <w:bCs/>
        </w:rPr>
        <w:t>基金</w:t>
      </w:r>
      <w:r w:rsidRPr="000532ED">
        <w:rPr>
          <w:bCs/>
        </w:rPr>
        <w:t>份额持有人大会</w:t>
      </w:r>
      <w:r w:rsidRPr="000532ED">
        <w:rPr>
          <w:rFonts w:hint="eastAsia"/>
          <w:bCs/>
        </w:rPr>
        <w:t>决议生效后按照《信息披露办法》有关规定</w:t>
      </w:r>
      <w:r w:rsidRPr="000532ED">
        <w:rPr>
          <w:bCs/>
        </w:rPr>
        <w:t>在</w:t>
      </w:r>
      <w:r w:rsidRPr="000532ED">
        <w:rPr>
          <w:rFonts w:hint="eastAsia"/>
          <w:bCs/>
        </w:rPr>
        <w:t>规定媒介</w:t>
      </w:r>
      <w:r w:rsidRPr="000532ED">
        <w:rPr>
          <w:bCs/>
        </w:rPr>
        <w:t>公告</w:t>
      </w:r>
      <w:r w:rsidRPr="000532ED">
        <w:rPr>
          <w:rFonts w:hAnsi="宋体" w:hint="eastAsia"/>
          <w:szCs w:val="24"/>
        </w:rPr>
        <w:t>；</w:t>
      </w:r>
    </w:p>
    <w:p w14:paraId="30AFD8C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w:t>
      </w:r>
      <w:r w:rsidRPr="000532ED">
        <w:rPr>
          <w:rFonts w:hAnsi="宋体"/>
          <w:szCs w:val="24"/>
        </w:rPr>
        <w:t>6</w:t>
      </w:r>
      <w:r w:rsidRPr="000532ED">
        <w:rPr>
          <w:rFonts w:hAnsi="宋体" w:hint="eastAsia"/>
          <w:szCs w:val="24"/>
        </w:rPr>
        <w:t>）交接：基金管理人职责终止的，</w:t>
      </w:r>
      <w:r w:rsidRPr="000532ED">
        <w:rPr>
          <w:bCs/>
        </w:rPr>
        <w:t>基金管理人</w:t>
      </w:r>
      <w:r w:rsidRPr="000532ED">
        <w:rPr>
          <w:rFonts w:hAnsi="宋体" w:hint="eastAsia"/>
          <w:szCs w:val="24"/>
        </w:rPr>
        <w:t>应妥善保管基金管理业务资料，及时</w:t>
      </w:r>
      <w:r w:rsidRPr="000532ED">
        <w:rPr>
          <w:bCs/>
        </w:rPr>
        <w:t>向临时基金管理人或新任基金管理人</w:t>
      </w:r>
      <w:r w:rsidRPr="000532ED">
        <w:rPr>
          <w:rFonts w:hAnsi="宋体" w:hint="eastAsia"/>
          <w:szCs w:val="24"/>
        </w:rPr>
        <w:t>办理基金管理业务的移交手续，临时基金管理人或新任基金管理人应及时接收，临时基金管理人或新任基金管理人应与基金托管人核对基金资产总值</w:t>
      </w:r>
      <w:r w:rsidRPr="000532ED">
        <w:rPr>
          <w:rFonts w:hint="eastAsia"/>
          <w:bCs/>
        </w:rPr>
        <w:t>和</w:t>
      </w:r>
      <w:r w:rsidRPr="000532ED">
        <w:rPr>
          <w:bCs/>
        </w:rPr>
        <w:t>净值</w:t>
      </w:r>
      <w:r w:rsidRPr="000532ED">
        <w:rPr>
          <w:rFonts w:hAnsi="宋体" w:hint="eastAsia"/>
          <w:szCs w:val="24"/>
        </w:rPr>
        <w:t>；</w:t>
      </w:r>
    </w:p>
    <w:p w14:paraId="651C14FF"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w:t>
      </w:r>
      <w:r w:rsidRPr="000532ED">
        <w:rPr>
          <w:rFonts w:hAnsi="宋体"/>
          <w:szCs w:val="24"/>
        </w:rPr>
        <w:t>7</w:t>
      </w:r>
      <w:r w:rsidRPr="000532ED">
        <w:rPr>
          <w:rFonts w:hAnsi="宋体" w:hint="eastAsia"/>
          <w:szCs w:val="24"/>
        </w:rPr>
        <w:t>）审计：基金管理人职责终止的，应当按照法律法规规定聘请会计师事务所对基金财产进行审计，并将审计结果予以公告，同时报中国证监会备案，审计费由基金财产承担；</w:t>
      </w:r>
    </w:p>
    <w:p w14:paraId="015E582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w:t>
      </w:r>
      <w:r w:rsidRPr="000532ED">
        <w:rPr>
          <w:rFonts w:hAnsi="宋体"/>
          <w:szCs w:val="24"/>
        </w:rPr>
        <w:t>8</w:t>
      </w:r>
      <w:r w:rsidRPr="000532ED">
        <w:rPr>
          <w:rFonts w:hAnsi="宋体" w:hint="eastAsia"/>
          <w:szCs w:val="24"/>
        </w:rPr>
        <w:t>）基金名称变更：基金管理人更换后，如果原任或新任基金管理人要求，应按其要求替换或删除基金名称中与原基金管理人有关的名称字样。</w:t>
      </w:r>
    </w:p>
    <w:p w14:paraId="1B6877A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14.2基金托管人的更换</w:t>
      </w:r>
    </w:p>
    <w:p w14:paraId="11C3374F"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14.2.1基金托管人的更换条件</w:t>
      </w:r>
    </w:p>
    <w:p w14:paraId="092D976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有下列情形之一的，基金托管人职责终止：</w:t>
      </w:r>
    </w:p>
    <w:p w14:paraId="3516D18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（1）基金托管人被依法取消基金托管资格；</w:t>
      </w:r>
    </w:p>
    <w:p w14:paraId="47710E9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（2）基金托管人依法解散、被依法撤销或者被依法宣布破产；</w:t>
      </w:r>
    </w:p>
    <w:p w14:paraId="574946D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（3）基金托管人被基金份额持有人大会解任；</w:t>
      </w:r>
    </w:p>
    <w:p w14:paraId="312FFDC0"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（4）法律法规</w:t>
      </w:r>
      <w:r w:rsidRPr="000532ED">
        <w:rPr>
          <w:rFonts w:hint="eastAsia"/>
          <w:bCs/>
        </w:rPr>
        <w:t>及中国证监会规定的</w:t>
      </w:r>
      <w:r w:rsidRPr="000532ED">
        <w:rPr>
          <w:rFonts w:hAnsi="宋体" w:hint="eastAsia"/>
          <w:szCs w:val="24"/>
        </w:rPr>
        <w:t>和基金合同规定的其他情形。</w:t>
      </w:r>
    </w:p>
    <w:p w14:paraId="19267F73"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14.2.2基金托管人的更换程序</w:t>
      </w:r>
    </w:p>
    <w:p w14:paraId="74F42A4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（1）提名：新任基金托管人由基金管理人或由单独或合计持有10%以上（含10%）基金份额的基金份额持有人提名；</w:t>
      </w:r>
    </w:p>
    <w:p w14:paraId="5607CFC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（2）决议：基金份额持有人大会在基金托管人职责终止后6个月内对被提名的基金托管人形成决议，</w:t>
      </w:r>
      <w:r w:rsidRPr="000532ED">
        <w:rPr>
          <w:rFonts w:hAnsi="宋体"/>
          <w:szCs w:val="24"/>
        </w:rPr>
        <w:t>该决议需经参加大会的基金份额持有人所持表决权的</w:t>
      </w:r>
      <w:r w:rsidRPr="000532ED">
        <w:rPr>
          <w:rFonts w:hAnsi="宋体" w:hint="eastAsia"/>
          <w:szCs w:val="24"/>
        </w:rPr>
        <w:t>2/3</w:t>
      </w:r>
      <w:r w:rsidRPr="000532ED">
        <w:rPr>
          <w:rFonts w:hAnsi="宋体"/>
          <w:szCs w:val="24"/>
        </w:rPr>
        <w:t>以上（含</w:t>
      </w:r>
      <w:r w:rsidRPr="000532ED">
        <w:rPr>
          <w:rFonts w:hAnsi="宋体" w:hint="eastAsia"/>
          <w:szCs w:val="24"/>
        </w:rPr>
        <w:t>2/3</w:t>
      </w:r>
      <w:r w:rsidRPr="000532ED">
        <w:rPr>
          <w:rFonts w:hAnsi="宋体"/>
          <w:szCs w:val="24"/>
        </w:rPr>
        <w:t>）表决通过</w:t>
      </w:r>
      <w:r w:rsidRPr="000532ED">
        <w:rPr>
          <w:rFonts w:hAnsi="宋体" w:hint="eastAsia"/>
          <w:szCs w:val="24"/>
        </w:rPr>
        <w:t>，决议自表决通过之日起生效；</w:t>
      </w:r>
    </w:p>
    <w:p w14:paraId="04BAA5E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w:t>
      </w:r>
      <w:r w:rsidRPr="000532ED">
        <w:rPr>
          <w:rFonts w:hAnsi="宋体"/>
          <w:szCs w:val="24"/>
        </w:rPr>
        <w:t>临时基金托管人：新任基金托管人产生之前，由中国证监会指定临时基</w:t>
      </w:r>
      <w:r w:rsidRPr="000532ED">
        <w:rPr>
          <w:rFonts w:hAnsi="宋体"/>
          <w:szCs w:val="24"/>
        </w:rPr>
        <w:lastRenderedPageBreak/>
        <w:t>金托管人；</w:t>
      </w:r>
    </w:p>
    <w:p w14:paraId="077ACFD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w:t>
      </w:r>
      <w:r w:rsidRPr="000532ED">
        <w:rPr>
          <w:rFonts w:hint="eastAsia"/>
          <w:bCs/>
        </w:rPr>
        <w:t>备案</w:t>
      </w:r>
      <w:r w:rsidRPr="000532ED">
        <w:rPr>
          <w:bCs/>
        </w:rPr>
        <w:t>：</w:t>
      </w:r>
      <w:r w:rsidRPr="000532ED">
        <w:rPr>
          <w:rFonts w:hint="eastAsia"/>
          <w:bCs/>
        </w:rPr>
        <w:t xml:space="preserve">基金份额持有人大会更换基金托管人的决议须报中国证监会备案；  </w:t>
      </w:r>
      <w:r w:rsidRPr="000532ED">
        <w:rPr>
          <w:bCs/>
        </w:rPr>
        <w:t xml:space="preserve"> </w:t>
      </w:r>
    </w:p>
    <w:p w14:paraId="0D83D41B"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（5）公告：基金托管人更换后，由基金管理人在</w:t>
      </w:r>
      <w:r w:rsidRPr="000532ED">
        <w:rPr>
          <w:rFonts w:hint="eastAsia"/>
          <w:bCs/>
        </w:rPr>
        <w:t>更换</w:t>
      </w:r>
      <w:r w:rsidRPr="000532ED">
        <w:rPr>
          <w:bCs/>
        </w:rPr>
        <w:t>基金托管人的基金</w:t>
      </w:r>
      <w:r w:rsidRPr="000532ED">
        <w:rPr>
          <w:rFonts w:hint="eastAsia"/>
          <w:bCs/>
        </w:rPr>
        <w:t>份额</w:t>
      </w:r>
      <w:r w:rsidRPr="000532ED">
        <w:rPr>
          <w:bCs/>
        </w:rPr>
        <w:t>持有人大会</w:t>
      </w:r>
      <w:r w:rsidRPr="000532ED">
        <w:rPr>
          <w:rFonts w:hint="eastAsia"/>
          <w:bCs/>
        </w:rPr>
        <w:t>决议生效</w:t>
      </w:r>
      <w:r w:rsidRPr="000532ED">
        <w:rPr>
          <w:bCs/>
        </w:rPr>
        <w:t>后</w:t>
      </w:r>
      <w:r w:rsidRPr="000532ED">
        <w:rPr>
          <w:rFonts w:hint="eastAsia"/>
          <w:bCs/>
        </w:rPr>
        <w:t>按照《信息披露办法》有关规定</w:t>
      </w:r>
      <w:r w:rsidRPr="000532ED">
        <w:rPr>
          <w:bCs/>
        </w:rPr>
        <w:t>在</w:t>
      </w:r>
      <w:r w:rsidRPr="000532ED">
        <w:rPr>
          <w:rFonts w:hint="eastAsia"/>
          <w:bCs/>
        </w:rPr>
        <w:t>规定媒介</w:t>
      </w:r>
      <w:r w:rsidRPr="000532ED">
        <w:rPr>
          <w:bCs/>
        </w:rPr>
        <w:t>公告</w:t>
      </w:r>
      <w:r w:rsidRPr="000532ED">
        <w:rPr>
          <w:rFonts w:hAnsi="宋体" w:hint="eastAsia"/>
          <w:szCs w:val="24"/>
        </w:rPr>
        <w:t>；</w:t>
      </w:r>
    </w:p>
    <w:p w14:paraId="156CCC5B"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6）交接：基金托管人职责终止的，应当妥善保管基金财产和基金托管业务资料，及时办理基金财产和基金托管业务的移交手续，临时基金托管人或新任基金托管人应当及时接收，临时基金托管人或新任基金托管人应与基金管理人核对基金资产总值</w:t>
      </w:r>
      <w:r w:rsidRPr="000532ED">
        <w:rPr>
          <w:rFonts w:hint="eastAsia"/>
          <w:bCs/>
        </w:rPr>
        <w:t>和</w:t>
      </w:r>
      <w:r w:rsidRPr="000532ED">
        <w:rPr>
          <w:bCs/>
        </w:rPr>
        <w:t>净值</w:t>
      </w:r>
      <w:r w:rsidRPr="000532ED">
        <w:rPr>
          <w:rFonts w:hAnsi="宋体" w:hint="eastAsia"/>
          <w:szCs w:val="24"/>
        </w:rPr>
        <w:t>；</w:t>
      </w:r>
    </w:p>
    <w:p w14:paraId="09E8698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（7）审计：基金托管人职责终止的，应当按照法律法规规定聘请会计师事务所对基金财产进行审计，并将审计结果予以公告，同时报中国证监会备案。审计费由基金财产承担。</w:t>
      </w:r>
    </w:p>
    <w:p w14:paraId="3425D2F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14.3基金管理人与基金托管人同时更换</w:t>
      </w:r>
    </w:p>
    <w:p w14:paraId="2A1AFC90"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14.3.1提名：如果基金管理人和基金托管人同时更换，由单独或合计持有基金总份额10%以上</w:t>
      </w:r>
      <w:r w:rsidRPr="000532ED">
        <w:rPr>
          <w:bCs/>
        </w:rPr>
        <w:t>（含</w:t>
      </w:r>
      <w:r w:rsidRPr="000532ED">
        <w:rPr>
          <w:rFonts w:hint="eastAsia"/>
          <w:bCs/>
        </w:rPr>
        <w:t>10%</w:t>
      </w:r>
      <w:r w:rsidRPr="000532ED">
        <w:rPr>
          <w:bCs/>
        </w:rPr>
        <w:t>）</w:t>
      </w:r>
      <w:r w:rsidRPr="000532ED">
        <w:rPr>
          <w:rFonts w:hAnsi="宋体" w:hint="eastAsia"/>
          <w:szCs w:val="24"/>
        </w:rPr>
        <w:t>的基金份额持有人提名新的基金管理人和基金托管人。</w:t>
      </w:r>
    </w:p>
    <w:p w14:paraId="6857E7F1"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14.3.2基金管理人和基金托管人的更换分别按上述程序进行。</w:t>
      </w:r>
    </w:p>
    <w:p w14:paraId="0F69FB4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szCs w:val="24"/>
        </w:rPr>
        <w:t>14.3.3</w:t>
      </w:r>
      <w:r w:rsidRPr="000532ED">
        <w:rPr>
          <w:rFonts w:hAnsi="宋体" w:hint="eastAsia"/>
          <w:szCs w:val="24"/>
        </w:rPr>
        <w:t>备案并公告：新任基金管理人和新任基金托管人应在更换基金管理人和基金托管人的基金份额持有人大会决议生效后2日内在规定媒介上联合公告并向中国证监会备案。</w:t>
      </w:r>
    </w:p>
    <w:p w14:paraId="6FD93D10" w14:textId="77777777" w:rsidR="006E1A20" w:rsidRPr="000532ED" w:rsidRDefault="000E02E2">
      <w:pPr>
        <w:pStyle w:val="20"/>
        <w:spacing w:before="0" w:after="0" w:line="520" w:lineRule="atLeast"/>
        <w:ind w:left="0" w:firstLineChars="200" w:firstLine="480"/>
        <w:rPr>
          <w:bCs/>
        </w:rPr>
      </w:pPr>
      <w:r w:rsidRPr="000532ED">
        <w:rPr>
          <w:rFonts w:hAnsi="宋体" w:hint="eastAsia"/>
          <w:szCs w:val="24"/>
        </w:rPr>
        <w:t>14.4新任或临时基金管理人</w:t>
      </w:r>
      <w:r w:rsidRPr="000532ED">
        <w:rPr>
          <w:rFonts w:hint="eastAsia"/>
          <w:bCs/>
        </w:rPr>
        <w:t>接受</w:t>
      </w:r>
      <w:r w:rsidRPr="000532ED">
        <w:rPr>
          <w:rFonts w:hAnsi="宋体" w:hint="eastAsia"/>
          <w:szCs w:val="24"/>
        </w:rPr>
        <w:t>基金管理业务或新任或临时基金托管人</w:t>
      </w:r>
      <w:r w:rsidRPr="000532ED">
        <w:rPr>
          <w:rFonts w:hint="eastAsia"/>
          <w:bCs/>
        </w:rPr>
        <w:t>接受</w:t>
      </w:r>
      <w:r w:rsidRPr="000532ED">
        <w:rPr>
          <w:rFonts w:hAnsi="宋体" w:hint="eastAsia"/>
          <w:szCs w:val="24"/>
        </w:rPr>
        <w:t>基金财产和基金托管业务前，原基金管理人或原基金托管人应</w:t>
      </w:r>
      <w:r w:rsidRPr="000532ED">
        <w:rPr>
          <w:rFonts w:hint="eastAsia"/>
          <w:bCs/>
        </w:rPr>
        <w:t>依据法律法规和基金合同的规定</w:t>
      </w:r>
      <w:r w:rsidRPr="000532ED">
        <w:rPr>
          <w:rFonts w:hAnsi="宋体" w:hint="eastAsia"/>
          <w:szCs w:val="24"/>
        </w:rPr>
        <w:t>继续履行相关职责，并保证不对基金份额持有人的利益造成损害。</w:t>
      </w:r>
      <w:r w:rsidRPr="000532ED">
        <w:rPr>
          <w:rFonts w:hint="eastAsia"/>
          <w:bCs/>
        </w:rPr>
        <w:t>原基金管理人或原基金托管人在继续履行相关职责期间，仍有权按照</w:t>
      </w:r>
      <w:r w:rsidRPr="000532ED">
        <w:rPr>
          <w:bCs/>
        </w:rPr>
        <w:t>基金</w:t>
      </w:r>
      <w:r w:rsidRPr="000532ED">
        <w:rPr>
          <w:rFonts w:hint="eastAsia"/>
          <w:bCs/>
        </w:rPr>
        <w:t>合同的规定收取基金管理费或基金托管费。</w:t>
      </w:r>
    </w:p>
    <w:p w14:paraId="7C087516" w14:textId="77777777" w:rsidR="006E1A20" w:rsidRPr="000532ED" w:rsidRDefault="000E02E2">
      <w:pPr>
        <w:pStyle w:val="20"/>
        <w:spacing w:before="0" w:after="0" w:line="520" w:lineRule="atLeast"/>
        <w:ind w:left="0" w:firstLineChars="200" w:firstLine="480"/>
        <w:rPr>
          <w:rFonts w:hAnsi="宋体"/>
          <w:szCs w:val="24"/>
        </w:rPr>
      </w:pPr>
      <w:r w:rsidRPr="000532ED">
        <w:rPr>
          <w:rFonts w:hint="eastAsia"/>
          <w:bCs/>
        </w:rPr>
        <w:t>14.5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B80CAF2" w14:textId="77777777" w:rsidR="006E1A20" w:rsidRPr="000532ED" w:rsidRDefault="000E02E2">
      <w:pPr>
        <w:pStyle w:val="1"/>
        <w:spacing w:line="520" w:lineRule="atLeast"/>
        <w:ind w:firstLineChars="200" w:firstLine="482"/>
        <w:rPr>
          <w:bCs/>
          <w:color w:val="auto"/>
          <w:szCs w:val="24"/>
        </w:rPr>
      </w:pPr>
      <w:bookmarkStart w:id="44" w:name="_Toc296551351"/>
      <w:bookmarkStart w:id="45" w:name="_Toc44321738"/>
      <w:r w:rsidRPr="000532ED">
        <w:rPr>
          <w:rFonts w:hint="eastAsia"/>
          <w:bCs/>
          <w:color w:val="auto"/>
          <w:szCs w:val="24"/>
        </w:rPr>
        <w:lastRenderedPageBreak/>
        <w:t>第十五条 禁止行为</w:t>
      </w:r>
      <w:bookmarkEnd w:id="44"/>
      <w:bookmarkEnd w:id="45"/>
    </w:p>
    <w:p w14:paraId="46F68CC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15.1基金管理人、基金托管人禁止从事的行为，包括但不限于：</w:t>
      </w:r>
    </w:p>
    <w:p w14:paraId="7B840A5B"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15.1.1基金管理人、基金托管人将其固有财产或者他人财产混同于基金财产从事证券投资。</w:t>
      </w:r>
    </w:p>
    <w:p w14:paraId="138E314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15.1.2基金管理人不公平地对待其管理的不同基金财产，基金托管人不公平地对待其托管的不同基金财产。</w:t>
      </w:r>
    </w:p>
    <w:p w14:paraId="51046F8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15.1.3基金管理人、基金托管人利用基金财产为基金份额持有人以外的第三人牟取利益。</w:t>
      </w:r>
    </w:p>
    <w:p w14:paraId="3237F4A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15.1.4基金管理人、基金托管人向基金份额持有人违规承诺收益或者承担损失。</w:t>
      </w:r>
    </w:p>
    <w:p w14:paraId="27B247C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15.1.5基金管理人、基金托管人对他人泄漏基金运作和管理过程中任何尚未按法律法规规定的方式公开披露的信息。</w:t>
      </w:r>
    </w:p>
    <w:p w14:paraId="7D782FDF"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15.1.6基金管理人在没有充足资金的情况下向基金托管人发出投资指令和赎回、分红资金的划拨指令，或违规向基金托管人发出指令。</w:t>
      </w:r>
    </w:p>
    <w:p w14:paraId="06D1800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15.1.7基金管理人、基金托管人在行政上、财务上不独立，其高级管理人员和其他从业人员相互兼职。</w:t>
      </w:r>
    </w:p>
    <w:p w14:paraId="2E28D2A0"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15.1.8基金托管人私自动用或处分基金财产，根据基金管理人的合法指令、基金合同或本协议的规定进行处分的除外。</w:t>
      </w:r>
    </w:p>
    <w:p w14:paraId="6F250E4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15.1.9基金财产用于下列投资或者活动：</w:t>
      </w:r>
    </w:p>
    <w:p w14:paraId="7BA2996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（1）承销证券；</w:t>
      </w:r>
    </w:p>
    <w:p w14:paraId="27E4FBB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w:t>
      </w:r>
      <w:r w:rsidRPr="000532ED">
        <w:rPr>
          <w:rFonts w:hint="eastAsia"/>
          <w:bCs/>
        </w:rPr>
        <w:t>违反规定</w:t>
      </w:r>
      <w:r w:rsidRPr="000532ED">
        <w:rPr>
          <w:rFonts w:hAnsi="宋体" w:hint="eastAsia"/>
          <w:szCs w:val="24"/>
        </w:rPr>
        <w:t>向他人贷款或者提供担保；</w:t>
      </w:r>
    </w:p>
    <w:p w14:paraId="169A2EFF"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（3）从事承担无限责任的投资；</w:t>
      </w:r>
    </w:p>
    <w:p w14:paraId="34099BF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（4）向其基金管理人、基金托管人出资；</w:t>
      </w:r>
    </w:p>
    <w:p w14:paraId="6FB23151"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w:t>
      </w:r>
      <w:r w:rsidRPr="000532ED">
        <w:rPr>
          <w:rFonts w:hAnsi="宋体"/>
          <w:szCs w:val="24"/>
        </w:rPr>
        <w:t>5</w:t>
      </w:r>
      <w:r w:rsidRPr="000532ED">
        <w:rPr>
          <w:rFonts w:hAnsi="宋体" w:hint="eastAsia"/>
          <w:szCs w:val="24"/>
        </w:rPr>
        <w:t>）从事内幕交易、操纵证券交易价格及其他不正当的证券交易活动；</w:t>
      </w:r>
    </w:p>
    <w:p w14:paraId="221AECA9" w14:textId="77777777" w:rsidR="006E1A20" w:rsidRPr="000532ED" w:rsidRDefault="000E02E2">
      <w:pPr>
        <w:pStyle w:val="20"/>
        <w:spacing w:before="0" w:after="0" w:line="520" w:lineRule="atLeast"/>
        <w:ind w:left="0" w:firstLineChars="200" w:firstLine="480"/>
        <w:rPr>
          <w:rFonts w:hAnsi="宋体"/>
          <w:szCs w:val="24"/>
        </w:rPr>
      </w:pPr>
      <w:r w:rsidRPr="000532ED">
        <w:rPr>
          <w:rFonts w:hint="eastAsia"/>
          <w:bCs/>
        </w:rPr>
        <w:t>（</w:t>
      </w:r>
      <w:r w:rsidRPr="000532ED">
        <w:rPr>
          <w:bCs/>
        </w:rPr>
        <w:t>6</w:t>
      </w:r>
      <w:r w:rsidRPr="000532ED">
        <w:rPr>
          <w:rFonts w:hint="eastAsia"/>
          <w:bCs/>
        </w:rPr>
        <w:t>）</w:t>
      </w:r>
      <w:r w:rsidRPr="000532ED">
        <w:rPr>
          <w:bCs/>
        </w:rPr>
        <w:t>法律</w:t>
      </w:r>
      <w:r w:rsidRPr="000532ED">
        <w:rPr>
          <w:rFonts w:hint="eastAsia"/>
          <w:bCs/>
        </w:rPr>
        <w:t>、</w:t>
      </w:r>
      <w:r w:rsidRPr="000532ED">
        <w:rPr>
          <w:bCs/>
        </w:rPr>
        <w:t>行政法规</w:t>
      </w:r>
      <w:r w:rsidRPr="000532ED">
        <w:rPr>
          <w:rFonts w:hint="eastAsia"/>
          <w:bCs/>
        </w:rPr>
        <w:t>和中国证监会规定禁止的其他活动</w:t>
      </w:r>
      <w:r w:rsidRPr="000532ED">
        <w:rPr>
          <w:rFonts w:hAnsi="宋体" w:hint="eastAsia"/>
          <w:szCs w:val="24"/>
        </w:rPr>
        <w:t>。</w:t>
      </w:r>
    </w:p>
    <w:p w14:paraId="7DF5C929"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15.1.10法律法规或监管部门取消</w:t>
      </w:r>
      <w:r w:rsidRPr="000532ED">
        <w:rPr>
          <w:rFonts w:hint="eastAsia"/>
          <w:bCs/>
        </w:rPr>
        <w:t>或变更上述禁止性规定</w:t>
      </w:r>
      <w:r w:rsidRPr="000532ED">
        <w:rPr>
          <w:bCs/>
        </w:rPr>
        <w:t>，</w:t>
      </w:r>
      <w:r w:rsidRPr="000532ED">
        <w:rPr>
          <w:rFonts w:hint="eastAsia"/>
          <w:bCs/>
        </w:rPr>
        <w:t>如适用于本基金</w:t>
      </w:r>
      <w:r w:rsidRPr="000532ED">
        <w:rPr>
          <w:rFonts w:hAnsi="宋体" w:hint="eastAsia"/>
          <w:szCs w:val="24"/>
        </w:rPr>
        <w:t>，基金管理人在履行适当程序后，</w:t>
      </w:r>
      <w:r w:rsidRPr="000532ED">
        <w:rPr>
          <w:rFonts w:hint="eastAsia"/>
          <w:bCs/>
        </w:rPr>
        <w:t>可不受上述规定的限制或按变更后的规定执行</w:t>
      </w:r>
      <w:r w:rsidRPr="000532ED">
        <w:rPr>
          <w:rFonts w:hAnsi="宋体" w:hint="eastAsia"/>
          <w:szCs w:val="24"/>
        </w:rPr>
        <w:t>。</w:t>
      </w:r>
    </w:p>
    <w:p w14:paraId="59332BD2" w14:textId="77777777" w:rsidR="006E1A20" w:rsidRPr="000532ED" w:rsidRDefault="000E02E2">
      <w:pPr>
        <w:pStyle w:val="1"/>
        <w:spacing w:line="520" w:lineRule="atLeast"/>
        <w:ind w:firstLineChars="200" w:firstLine="482"/>
        <w:rPr>
          <w:bCs/>
          <w:color w:val="auto"/>
          <w:szCs w:val="24"/>
        </w:rPr>
      </w:pPr>
      <w:bookmarkStart w:id="46" w:name="_Toc296551352"/>
      <w:bookmarkStart w:id="47" w:name="_Toc44321739"/>
      <w:r w:rsidRPr="000532ED">
        <w:rPr>
          <w:rFonts w:hint="eastAsia"/>
          <w:bCs/>
          <w:color w:val="auto"/>
          <w:szCs w:val="24"/>
        </w:rPr>
        <w:lastRenderedPageBreak/>
        <w:t>第十六条 本协议的变更、终止与基金财产的清算</w:t>
      </w:r>
      <w:bookmarkEnd w:id="46"/>
      <w:bookmarkEnd w:id="47"/>
    </w:p>
    <w:p w14:paraId="1B24EFEF"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16.1本协议的变更与终止</w:t>
      </w:r>
    </w:p>
    <w:p w14:paraId="731552B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16.1.1本协议的变更程序</w:t>
      </w:r>
    </w:p>
    <w:p w14:paraId="14139E89"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本协议双方当事人经协商一致，可以对协议的内容进行变更。变更后的托管协议，其内容不得与基金合同的规定有任何冲突。本协议的变更报中国证监会注册或备案。</w:t>
      </w:r>
    </w:p>
    <w:p w14:paraId="4FB5B613"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16.1.2本协议终止的情形</w:t>
      </w:r>
    </w:p>
    <w:p w14:paraId="0916DB9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发生以下情况，本协议终止：</w:t>
      </w:r>
    </w:p>
    <w:p w14:paraId="4CF3A7F1"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（1）基金合同终止；</w:t>
      </w:r>
    </w:p>
    <w:p w14:paraId="3A7EB233"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（2）基金托管人解散、依法被撤销、破产或由其他基金托管人接管基金资产；</w:t>
      </w:r>
    </w:p>
    <w:p w14:paraId="29872CB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（3）基金管理人解散、依法被撤销、破产或由其他基金管理人接管基金管理权；</w:t>
      </w:r>
    </w:p>
    <w:p w14:paraId="41CB285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（4）基金托管人发现基金管理人有</w:t>
      </w:r>
      <w:r w:rsidRPr="000532ED">
        <w:rPr>
          <w:rFonts w:hAnsi="宋体"/>
          <w:szCs w:val="24"/>
        </w:rPr>
        <w:t>下列情形的，有权</w:t>
      </w:r>
      <w:r w:rsidRPr="000532ED">
        <w:rPr>
          <w:rFonts w:hAnsi="宋体" w:hint="eastAsia"/>
          <w:szCs w:val="24"/>
        </w:rPr>
        <w:t>终止</w:t>
      </w:r>
      <w:r w:rsidRPr="000532ED">
        <w:rPr>
          <w:rFonts w:hAnsi="宋体"/>
          <w:szCs w:val="24"/>
        </w:rPr>
        <w:t>本协议</w:t>
      </w:r>
      <w:r w:rsidRPr="000532ED">
        <w:rPr>
          <w:rFonts w:hAnsi="宋体" w:hint="eastAsia"/>
          <w:szCs w:val="24"/>
        </w:rPr>
        <w:t>，</w:t>
      </w:r>
      <w:r w:rsidRPr="000532ED">
        <w:rPr>
          <w:rFonts w:hAnsi="宋体"/>
          <w:szCs w:val="24"/>
        </w:rPr>
        <w:t>并要求</w:t>
      </w:r>
      <w:r w:rsidRPr="000532ED">
        <w:rPr>
          <w:rFonts w:hAnsi="宋体" w:hint="eastAsia"/>
          <w:szCs w:val="24"/>
        </w:rPr>
        <w:t>基金管理人</w:t>
      </w:r>
      <w:r w:rsidRPr="000532ED">
        <w:rPr>
          <w:rFonts w:hAnsi="宋体"/>
          <w:szCs w:val="24"/>
        </w:rPr>
        <w:t>赔偿损失：</w:t>
      </w:r>
    </w:p>
    <w:p w14:paraId="29D6A257" w14:textId="77777777" w:rsidR="006E1A20" w:rsidRPr="000532ED" w:rsidRDefault="000E02E2">
      <w:pPr>
        <w:pStyle w:val="20"/>
        <w:spacing w:before="0" w:after="0" w:line="520" w:lineRule="atLeast"/>
        <w:rPr>
          <w:rFonts w:hAnsi="宋体"/>
          <w:szCs w:val="24"/>
        </w:rPr>
      </w:pPr>
      <w:r w:rsidRPr="000532ED">
        <w:rPr>
          <w:rFonts w:hAnsi="宋体" w:hint="eastAsia"/>
          <w:szCs w:val="24"/>
        </w:rPr>
        <w:t>①</w:t>
      </w:r>
      <w:r w:rsidRPr="000532ED">
        <w:rPr>
          <w:rFonts w:hAnsi="宋体"/>
          <w:szCs w:val="24"/>
        </w:rPr>
        <w:t>违反</w:t>
      </w:r>
      <w:r w:rsidRPr="000532ED">
        <w:rPr>
          <w:rFonts w:hAnsi="宋体" w:hint="eastAsia"/>
          <w:szCs w:val="24"/>
        </w:rPr>
        <w:t>基金合同</w:t>
      </w:r>
      <w:r w:rsidRPr="000532ED">
        <w:rPr>
          <w:rFonts w:hAnsi="宋体"/>
          <w:szCs w:val="24"/>
        </w:rPr>
        <w:t>的投资目的，不当处分产品财产的；</w:t>
      </w:r>
    </w:p>
    <w:p w14:paraId="2A1EA133" w14:textId="77777777" w:rsidR="006E1A20" w:rsidRPr="000532ED" w:rsidRDefault="000E02E2">
      <w:pPr>
        <w:pStyle w:val="20"/>
        <w:spacing w:before="0" w:after="0" w:line="520" w:lineRule="atLeast"/>
        <w:rPr>
          <w:rFonts w:hAnsi="宋体"/>
          <w:szCs w:val="24"/>
        </w:rPr>
      </w:pPr>
      <w:r w:rsidRPr="000532ED">
        <w:rPr>
          <w:rFonts w:hAnsi="宋体" w:hint="eastAsia"/>
          <w:szCs w:val="24"/>
        </w:rPr>
        <w:t>②</w:t>
      </w:r>
      <w:r w:rsidRPr="000532ED">
        <w:rPr>
          <w:rFonts w:hAnsi="宋体"/>
          <w:szCs w:val="24"/>
        </w:rPr>
        <w:t>未能遵守或履行</w:t>
      </w:r>
      <w:r w:rsidRPr="000532ED">
        <w:rPr>
          <w:rFonts w:hAnsi="宋体" w:hint="eastAsia"/>
          <w:szCs w:val="24"/>
        </w:rPr>
        <w:t>基金</w:t>
      </w:r>
      <w:r w:rsidRPr="000532ED">
        <w:rPr>
          <w:rFonts w:hAnsi="宋体"/>
          <w:szCs w:val="24"/>
        </w:rPr>
        <w:t>合同</w:t>
      </w:r>
      <w:r w:rsidRPr="000532ED">
        <w:rPr>
          <w:rFonts w:hAnsi="宋体" w:hint="eastAsia"/>
          <w:szCs w:val="24"/>
        </w:rPr>
        <w:t>及本协议</w:t>
      </w:r>
      <w:r w:rsidRPr="000532ED">
        <w:rPr>
          <w:rFonts w:hAnsi="宋体"/>
          <w:szCs w:val="24"/>
        </w:rPr>
        <w:t>约定的有关承诺、义务、陈述或保证；</w:t>
      </w:r>
    </w:p>
    <w:p w14:paraId="741AE0D7" w14:textId="77777777" w:rsidR="006E1A20" w:rsidRPr="000532ED" w:rsidRDefault="000E02E2">
      <w:pPr>
        <w:pStyle w:val="20"/>
        <w:spacing w:before="0" w:after="0" w:line="520" w:lineRule="atLeast"/>
        <w:rPr>
          <w:rFonts w:hAnsi="宋体"/>
          <w:szCs w:val="24"/>
        </w:rPr>
      </w:pPr>
      <w:r w:rsidRPr="000532ED">
        <w:rPr>
          <w:rFonts w:hAnsi="宋体" w:hint="eastAsia"/>
          <w:szCs w:val="24"/>
        </w:rPr>
        <w:t>③</w:t>
      </w:r>
      <w:r w:rsidRPr="000532ED">
        <w:rPr>
          <w:rFonts w:hAnsi="宋体"/>
          <w:szCs w:val="24"/>
        </w:rPr>
        <w:t>被依法取消</w:t>
      </w:r>
      <w:r w:rsidRPr="000532ED">
        <w:rPr>
          <w:rFonts w:hAnsi="宋体" w:hint="eastAsia"/>
          <w:szCs w:val="24"/>
        </w:rPr>
        <w:t>基金管理人</w:t>
      </w:r>
      <w:r w:rsidRPr="000532ED">
        <w:rPr>
          <w:rFonts w:hAnsi="宋体"/>
          <w:szCs w:val="24"/>
        </w:rPr>
        <w:t>资质或经营异常；</w:t>
      </w:r>
    </w:p>
    <w:p w14:paraId="4630849A" w14:textId="77777777" w:rsidR="006E1A20" w:rsidRPr="000532ED" w:rsidRDefault="000E02E2">
      <w:pPr>
        <w:pStyle w:val="20"/>
        <w:spacing w:before="0" w:after="0" w:line="520" w:lineRule="atLeast"/>
        <w:rPr>
          <w:rFonts w:hAnsi="宋体"/>
          <w:szCs w:val="24"/>
        </w:rPr>
      </w:pPr>
      <w:r w:rsidRPr="000532ED">
        <w:rPr>
          <w:rFonts w:hAnsi="宋体" w:hint="eastAsia"/>
          <w:szCs w:val="24"/>
        </w:rPr>
        <w:t>④</w:t>
      </w:r>
      <w:r w:rsidRPr="000532ED">
        <w:rPr>
          <w:rFonts w:hAnsi="宋体"/>
          <w:szCs w:val="24"/>
        </w:rPr>
        <w:t>被依法解散、被依法撤销、被依法宣告破产或失联</w:t>
      </w:r>
      <w:r w:rsidRPr="000532ED">
        <w:rPr>
          <w:rFonts w:hAnsi="宋体" w:hint="eastAsia"/>
          <w:szCs w:val="24"/>
        </w:rPr>
        <w:t>；</w:t>
      </w:r>
    </w:p>
    <w:p w14:paraId="4E5BE26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⑤</w:t>
      </w:r>
      <w:r w:rsidRPr="000532ED">
        <w:rPr>
          <w:rFonts w:hAnsi="宋体"/>
          <w:szCs w:val="24"/>
        </w:rPr>
        <w:t>法律法规明确规定和</w:t>
      </w:r>
      <w:r w:rsidRPr="000532ED">
        <w:rPr>
          <w:rFonts w:hAnsi="宋体" w:hint="eastAsia"/>
          <w:szCs w:val="24"/>
        </w:rPr>
        <w:t>本协议</w:t>
      </w:r>
      <w:r w:rsidRPr="000532ED">
        <w:rPr>
          <w:rFonts w:hAnsi="宋体"/>
          <w:szCs w:val="24"/>
        </w:rPr>
        <w:t>约定的其他情形。</w:t>
      </w:r>
    </w:p>
    <w:p w14:paraId="3608ACA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w:t>
      </w:r>
      <w:r w:rsidRPr="000532ED">
        <w:rPr>
          <w:rFonts w:hAnsi="宋体"/>
          <w:szCs w:val="24"/>
        </w:rPr>
        <w:t>5</w:t>
      </w:r>
      <w:r w:rsidRPr="000532ED">
        <w:rPr>
          <w:rFonts w:hAnsi="宋体" w:hint="eastAsia"/>
          <w:szCs w:val="24"/>
        </w:rPr>
        <w:t>）发生法律法规或基金合同规定的终止事项。</w:t>
      </w:r>
    </w:p>
    <w:p w14:paraId="05D487D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16.2基金财产的清算</w:t>
      </w:r>
    </w:p>
    <w:p w14:paraId="456B2E2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16.2.1基金财产清算小组</w:t>
      </w:r>
    </w:p>
    <w:p w14:paraId="3BD63DBF"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（1）自出现基金合同终止事由之日起30个工作日内成立基金财产清算小组，基金管理人组织基金财产清算小组并在中国证监会的监督下进行基金清算。</w:t>
      </w:r>
    </w:p>
    <w:p w14:paraId="250BAF5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（2）基金财产清算小组成员由基金管理人、基金托管人、具有从事证券相关业务资格的注册会计师、律师以及中国证监会指定的人员组成。基金财产清算小组可以聘用必要的工作人员。</w:t>
      </w:r>
    </w:p>
    <w:p w14:paraId="4C52661C"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（3）在基金财产清算过程中，基金管理人和基金托管人应各自履行职责，继</w:t>
      </w:r>
      <w:r w:rsidRPr="000532ED">
        <w:rPr>
          <w:rFonts w:hAnsi="宋体" w:hint="eastAsia"/>
          <w:szCs w:val="24"/>
        </w:rPr>
        <w:lastRenderedPageBreak/>
        <w:t>续忠实、勤勉、尽责地履行基金合同和本协议规定的义务，维护基金份额持有人的合法权益。</w:t>
      </w:r>
    </w:p>
    <w:p w14:paraId="1024214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（4）基金财产清算小组负责基金财产的保管、清理、估价、变现和分配。基金财产清算小组可以依法进行必要的民事活动。</w:t>
      </w:r>
    </w:p>
    <w:p w14:paraId="551D8A3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16.2.2基金财产清算程序</w:t>
      </w:r>
    </w:p>
    <w:p w14:paraId="694C4F9F"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基金合同终止，应当按法律法规和基金合同的有关规定对基金财产进行清算。基金财产清算程序主要包括：</w:t>
      </w:r>
    </w:p>
    <w:p w14:paraId="2F97795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（1）基金合同终止情形出现时，由基金财产清算小组统一接管基金财产；</w:t>
      </w:r>
    </w:p>
    <w:p w14:paraId="61165AF0"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（2）对基金财产和债权债务进行清理和确认；</w:t>
      </w:r>
    </w:p>
    <w:p w14:paraId="31AB97B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（3）对基金财产进行估值和变现；</w:t>
      </w:r>
    </w:p>
    <w:p w14:paraId="1EE7D18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（4）制作清算报告；</w:t>
      </w:r>
    </w:p>
    <w:p w14:paraId="3E5DC232"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（5）聘请会计师事务所对清算报告进行外部审计，聘请律师事务所对清算报告出具法律意见书；</w:t>
      </w:r>
    </w:p>
    <w:p w14:paraId="2DEFBAB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（6）将清算报告报中国证监会备案并公告；</w:t>
      </w:r>
    </w:p>
    <w:p w14:paraId="60DA4A41"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（7）对基金剩余财产进行分配。</w:t>
      </w:r>
    </w:p>
    <w:p w14:paraId="315F88AA" w14:textId="77777777" w:rsidR="006E1A20" w:rsidRPr="000532ED" w:rsidRDefault="000E02E2">
      <w:pPr>
        <w:pStyle w:val="20"/>
        <w:spacing w:before="0" w:after="0" w:line="520" w:lineRule="atLeast"/>
        <w:ind w:left="0" w:firstLineChars="200" w:firstLine="480"/>
        <w:rPr>
          <w:bCs/>
          <w:szCs w:val="24"/>
        </w:rPr>
      </w:pPr>
      <w:r w:rsidRPr="000532ED">
        <w:rPr>
          <w:bCs/>
        </w:rPr>
        <w:t>基金财产清算的期限为</w:t>
      </w:r>
      <w:r w:rsidRPr="000532ED">
        <w:rPr>
          <w:rFonts w:hint="eastAsia"/>
          <w:bCs/>
        </w:rPr>
        <w:t>6</w:t>
      </w:r>
      <w:r w:rsidRPr="000532ED">
        <w:rPr>
          <w:bCs/>
        </w:rPr>
        <w:t>个月</w:t>
      </w:r>
      <w:r w:rsidRPr="000532ED">
        <w:rPr>
          <w:rFonts w:hint="eastAsia"/>
          <w:bCs/>
          <w:szCs w:val="24"/>
        </w:rPr>
        <w:t>，但因本基金所持证券的流动性受到限制而不能及时变现的，清算期限相应顺延。</w:t>
      </w:r>
    </w:p>
    <w:p w14:paraId="390AAE8F"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16.2.3清算费用</w:t>
      </w:r>
    </w:p>
    <w:p w14:paraId="69D784C1"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清算费用是指基金财产清算小组在进行基金财产清算过程中发生的所有合理费用，清算费用由基金财产清算小组优先从基金剩余财产中支付。</w:t>
      </w:r>
    </w:p>
    <w:p w14:paraId="0C0CD40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16.2.4基金财产按下列顺序清偿：</w:t>
      </w:r>
    </w:p>
    <w:p w14:paraId="632EEA4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（1）支付清算费用；</w:t>
      </w:r>
    </w:p>
    <w:p w14:paraId="19DFA36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（2）交纳所欠税款；</w:t>
      </w:r>
    </w:p>
    <w:p w14:paraId="338C83E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（3）清偿基金债务；</w:t>
      </w:r>
    </w:p>
    <w:p w14:paraId="30AE0F50"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4）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208E3F5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基金财产未按前款（1）－（3）项规定清偿前，不分配给基金份额持有人。</w:t>
      </w:r>
    </w:p>
    <w:p w14:paraId="0C20A6D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lastRenderedPageBreak/>
        <w:t>16.2.5基金财产清算的公告</w:t>
      </w:r>
    </w:p>
    <w:p w14:paraId="5BACCBA9" w14:textId="77777777" w:rsidR="006E1A20" w:rsidRPr="000532ED" w:rsidRDefault="000E02E2">
      <w:pPr>
        <w:spacing w:line="520" w:lineRule="atLeast"/>
        <w:ind w:firstLineChars="200" w:firstLine="480"/>
        <w:rPr>
          <w:bCs/>
          <w:sz w:val="24"/>
        </w:rPr>
      </w:pPr>
      <w:r w:rsidRPr="000532ED">
        <w:rPr>
          <w:rFonts w:hint="eastAsia"/>
          <w:bCs/>
          <w:sz w:val="24"/>
        </w:rPr>
        <w:t>基金财产清算公告于基金财产清算报告报中国证监会备案后</w:t>
      </w:r>
      <w:r w:rsidRPr="000532ED">
        <w:rPr>
          <w:rFonts w:hint="eastAsia"/>
          <w:bCs/>
          <w:sz w:val="24"/>
        </w:rPr>
        <w:t>5</w:t>
      </w:r>
      <w:r w:rsidRPr="000532ED">
        <w:rPr>
          <w:rFonts w:hint="eastAsia"/>
          <w:bCs/>
          <w:sz w:val="24"/>
        </w:rPr>
        <w:t>个工作日内由基金财产清算小组公告；清算过程中的有关重大事项须及时公告；基金财产清算报告经</w:t>
      </w:r>
      <w:r w:rsidRPr="000532ED">
        <w:rPr>
          <w:rFonts w:hint="eastAsia"/>
          <w:sz w:val="24"/>
        </w:rPr>
        <w:t>符合《证券法》规定</w:t>
      </w:r>
      <w:r w:rsidRPr="000532ED">
        <w:rPr>
          <w:rFonts w:hint="eastAsia"/>
          <w:bCs/>
          <w:sz w:val="24"/>
        </w:rPr>
        <w:t>的会计师事务所审计，律师事务所出具法律意见书后，由基金财产清算小组报中国证监会备案并公告，基金财产清算小组应当将清算报告登载在规定网站上，并将清算报告提示性公告登载在指定报刊上。</w:t>
      </w:r>
    </w:p>
    <w:p w14:paraId="0F0DF88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16.2.6基金财产清算账册及文件的保存</w:t>
      </w:r>
    </w:p>
    <w:p w14:paraId="2603F643"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基金财产清算账册及有关文件由基金托管人保存</w:t>
      </w:r>
      <w:r w:rsidRPr="000532ED">
        <w:rPr>
          <w:rFonts w:hAnsi="宋体"/>
          <w:szCs w:val="24"/>
        </w:rPr>
        <w:t>20</w:t>
      </w:r>
      <w:r w:rsidRPr="000532ED">
        <w:rPr>
          <w:rFonts w:hAnsi="宋体" w:hint="eastAsia"/>
          <w:szCs w:val="24"/>
        </w:rPr>
        <w:t>年以上。</w:t>
      </w:r>
      <w:bookmarkStart w:id="48" w:name="_Toc296551353"/>
    </w:p>
    <w:p w14:paraId="010B2A0E" w14:textId="77777777" w:rsidR="006E1A20" w:rsidRPr="000532ED" w:rsidRDefault="000E02E2">
      <w:pPr>
        <w:pStyle w:val="1"/>
        <w:spacing w:line="520" w:lineRule="atLeast"/>
        <w:ind w:firstLineChars="200" w:firstLine="482"/>
        <w:rPr>
          <w:bCs/>
          <w:color w:val="auto"/>
          <w:szCs w:val="24"/>
        </w:rPr>
      </w:pPr>
      <w:bookmarkStart w:id="49" w:name="_Toc44321740"/>
      <w:r w:rsidRPr="000532ED">
        <w:rPr>
          <w:rFonts w:hint="eastAsia"/>
          <w:bCs/>
          <w:color w:val="auto"/>
          <w:szCs w:val="24"/>
        </w:rPr>
        <w:t>第十七条 违约责任</w:t>
      </w:r>
      <w:bookmarkEnd w:id="48"/>
      <w:bookmarkEnd w:id="49"/>
    </w:p>
    <w:p w14:paraId="24591A0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17.1如果基金管理人或基金托管人不履行本协议或者履行本协议不符合约定的，应当承担违约责任。</w:t>
      </w:r>
    </w:p>
    <w:p w14:paraId="0948483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17.2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14:paraId="3506A0B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（1）不可抗力；</w:t>
      </w:r>
    </w:p>
    <w:p w14:paraId="5A502F9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（2）基金管理人</w:t>
      </w:r>
      <w:r w:rsidRPr="000532ED">
        <w:rPr>
          <w:rFonts w:hint="eastAsia"/>
          <w:bCs/>
        </w:rPr>
        <w:t>和/或</w:t>
      </w:r>
      <w:r w:rsidRPr="000532ED">
        <w:rPr>
          <w:rFonts w:hAnsi="宋体" w:hint="eastAsia"/>
          <w:szCs w:val="24"/>
        </w:rPr>
        <w:t>基金托管人按照</w:t>
      </w:r>
      <w:r w:rsidRPr="000532ED">
        <w:rPr>
          <w:rFonts w:hint="eastAsia"/>
          <w:bCs/>
        </w:rPr>
        <w:t>届时</w:t>
      </w:r>
      <w:r w:rsidRPr="000532ED">
        <w:rPr>
          <w:rFonts w:hAnsi="宋体" w:hint="eastAsia"/>
          <w:szCs w:val="24"/>
        </w:rPr>
        <w:t>有效的法律法规或中国证监会的规定作为或不作为而造成的损失等；</w:t>
      </w:r>
    </w:p>
    <w:p w14:paraId="513E57EF"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（3）基金管理人由于按照基金合同规定的投资原则</w:t>
      </w:r>
      <w:r w:rsidRPr="000532ED">
        <w:rPr>
          <w:rFonts w:hint="eastAsia"/>
          <w:bCs/>
        </w:rPr>
        <w:t>投资或不投资</w:t>
      </w:r>
      <w:r w:rsidRPr="000532ED">
        <w:rPr>
          <w:rFonts w:hAnsi="宋体" w:hint="eastAsia"/>
          <w:szCs w:val="24"/>
        </w:rPr>
        <w:t>而造成的损失等。</w:t>
      </w:r>
    </w:p>
    <w:p w14:paraId="5FC04417"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17.3如果由于本协议一方当事人（以下简称“违约方”）的违约行为给基金财产或基金份额持有人造成损失，另一方当事人（以下简称“守约方”）有权利并且有义务代表基金对违约方进行追偿；如果由于违约方的违约行为导致守约方赔偿了该基金财产或基金份额持有人所遭受的损失，则守约方有权向违约方追索，违约方应赔偿和补偿守约方由此发生的所有成本、费用和支出，以及由此遭受的损失。</w:t>
      </w:r>
    </w:p>
    <w:p w14:paraId="6E00FF25"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74911A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17.5违约行为虽已发生，但本协议能够继续履行的，在最大限度地保护基金</w:t>
      </w:r>
      <w:r w:rsidRPr="000532ED">
        <w:rPr>
          <w:rFonts w:hAnsi="宋体" w:hint="eastAsia"/>
          <w:szCs w:val="24"/>
        </w:rPr>
        <w:lastRenderedPageBreak/>
        <w:t>份额持有人利益的前提下，基金管理人和基金托管人应当继续履行本协议。</w:t>
      </w:r>
    </w:p>
    <w:p w14:paraId="0936D3AB"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17.6由于基金管理人、基金托管人不可控制的因素导致业务出现差错，基金管理人和基金托管人虽然已经采取必要、适当、合理的措施进行检查，但是未能发现错误的，由此造成基金财产或基金份额持有人损失，基金管理人和基金托管人免除赔偿责任。但是基金管理人和基金托管人应积极采取必要的措施减轻或消除由此造成的影响。</w:t>
      </w:r>
    </w:p>
    <w:p w14:paraId="1762E9BE" w14:textId="77777777" w:rsidR="006E1A20" w:rsidRPr="000532ED" w:rsidRDefault="000E02E2">
      <w:pPr>
        <w:pStyle w:val="20"/>
        <w:snapToGrid w:val="0"/>
        <w:spacing w:before="0" w:after="0" w:line="520" w:lineRule="atLeast"/>
        <w:ind w:left="0" w:firstLineChars="200" w:firstLine="480"/>
        <w:rPr>
          <w:rFonts w:hAnsi="宋体"/>
          <w:szCs w:val="24"/>
        </w:rPr>
      </w:pPr>
      <w:r w:rsidRPr="000532ED">
        <w:rPr>
          <w:rFonts w:hAnsi="宋体" w:hint="eastAsia"/>
          <w:szCs w:val="24"/>
        </w:rPr>
        <w:t>17.7本协议所指损失均为直接损失。</w:t>
      </w:r>
    </w:p>
    <w:p w14:paraId="48ADCE5A" w14:textId="77777777" w:rsidR="006E1A20" w:rsidRPr="000532ED" w:rsidRDefault="000E02E2">
      <w:pPr>
        <w:pStyle w:val="1"/>
        <w:spacing w:line="520" w:lineRule="atLeast"/>
        <w:ind w:firstLineChars="200" w:firstLine="482"/>
        <w:rPr>
          <w:bCs/>
          <w:color w:val="auto"/>
          <w:szCs w:val="24"/>
        </w:rPr>
      </w:pPr>
      <w:bookmarkStart w:id="50" w:name="_Toc296551354"/>
      <w:bookmarkStart w:id="51" w:name="_Toc44321741"/>
      <w:r w:rsidRPr="000532ED">
        <w:rPr>
          <w:rFonts w:hint="eastAsia"/>
          <w:bCs/>
          <w:color w:val="auto"/>
          <w:szCs w:val="24"/>
        </w:rPr>
        <w:t>第十八条 法律</w:t>
      </w:r>
      <w:r w:rsidRPr="000532ED">
        <w:rPr>
          <w:bCs/>
          <w:color w:val="auto"/>
          <w:szCs w:val="24"/>
        </w:rPr>
        <w:t>适用和</w:t>
      </w:r>
      <w:r w:rsidRPr="000532ED">
        <w:rPr>
          <w:rFonts w:hint="eastAsia"/>
          <w:bCs/>
          <w:color w:val="auto"/>
          <w:szCs w:val="24"/>
        </w:rPr>
        <w:t>争议解决</w:t>
      </w:r>
      <w:bookmarkEnd w:id="50"/>
      <w:bookmarkEnd w:id="51"/>
    </w:p>
    <w:p w14:paraId="4ED2329A" w14:textId="77777777" w:rsidR="006E1A20" w:rsidRPr="000532ED" w:rsidRDefault="000E02E2">
      <w:pPr>
        <w:adjustRightInd w:val="0"/>
        <w:snapToGrid w:val="0"/>
        <w:spacing w:line="520" w:lineRule="atLeast"/>
        <w:ind w:firstLineChars="200" w:firstLine="480"/>
        <w:rPr>
          <w:bCs/>
          <w:sz w:val="24"/>
        </w:rPr>
      </w:pPr>
      <w:r w:rsidRPr="000532ED">
        <w:rPr>
          <w:rFonts w:hint="eastAsia"/>
          <w:bCs/>
          <w:sz w:val="24"/>
        </w:rPr>
        <w:t>本协议的效力、解释、变更、执行及争议的解决等均适用中华人民共和国法律（为本协议之目的，不包括香港特别行政区、澳门特别行政区以及台湾地区法律），没有相关成文规定的，参照通用的商业惯例和（或）行业惯例。</w:t>
      </w:r>
    </w:p>
    <w:p w14:paraId="70EC2AF7" w14:textId="77777777" w:rsidR="006E1A20" w:rsidRPr="000532ED" w:rsidRDefault="000E02E2">
      <w:pPr>
        <w:adjustRightInd w:val="0"/>
        <w:snapToGrid w:val="0"/>
        <w:spacing w:line="520" w:lineRule="atLeast"/>
        <w:ind w:firstLineChars="200" w:firstLine="480"/>
        <w:rPr>
          <w:bCs/>
          <w:sz w:val="24"/>
        </w:rPr>
      </w:pPr>
      <w:r w:rsidRPr="000532ED">
        <w:rPr>
          <w:rFonts w:hint="eastAsia"/>
          <w:bCs/>
          <w:sz w:val="24"/>
        </w:rPr>
        <w:t>凡因本协议产生的及与本协议有关的争议，双方均应协商解决；协商不成的，双方均同意采取以下第【</w:t>
      </w:r>
      <w:r w:rsidRPr="000532ED">
        <w:rPr>
          <w:rFonts w:hint="eastAsia"/>
          <w:bCs/>
          <w:sz w:val="24"/>
        </w:rPr>
        <w:t xml:space="preserve">1 </w:t>
      </w:r>
      <w:r w:rsidRPr="000532ED">
        <w:rPr>
          <w:rFonts w:hint="eastAsia"/>
          <w:bCs/>
          <w:sz w:val="24"/>
        </w:rPr>
        <w:t>】种方式解决：</w:t>
      </w:r>
    </w:p>
    <w:p w14:paraId="2F392A96" w14:textId="77777777" w:rsidR="006E1A20" w:rsidRPr="000532ED" w:rsidRDefault="000E02E2">
      <w:pPr>
        <w:adjustRightInd w:val="0"/>
        <w:snapToGrid w:val="0"/>
        <w:spacing w:line="520" w:lineRule="atLeast"/>
        <w:ind w:firstLineChars="200" w:firstLine="480"/>
        <w:rPr>
          <w:bCs/>
          <w:sz w:val="24"/>
        </w:rPr>
      </w:pPr>
      <w:r w:rsidRPr="000532ED">
        <w:rPr>
          <w:rFonts w:hint="eastAsia"/>
          <w:bCs/>
          <w:sz w:val="24"/>
        </w:rPr>
        <w:t>1.</w:t>
      </w:r>
      <w:r w:rsidRPr="000532ED">
        <w:rPr>
          <w:rFonts w:hint="eastAsia"/>
          <w:bCs/>
          <w:sz w:val="24"/>
        </w:rPr>
        <w:t>向【</w:t>
      </w:r>
      <w:r w:rsidRPr="000532ED">
        <w:rPr>
          <w:rFonts w:hint="eastAsia"/>
          <w:sz w:val="24"/>
        </w:rPr>
        <w:t>中国国际经济贸易仲裁委员会</w:t>
      </w:r>
      <w:r w:rsidRPr="000532ED">
        <w:rPr>
          <w:rFonts w:hint="eastAsia"/>
          <w:bCs/>
          <w:sz w:val="24"/>
        </w:rPr>
        <w:t xml:space="preserve"> </w:t>
      </w:r>
      <w:r w:rsidRPr="000532ED">
        <w:rPr>
          <w:rFonts w:hint="eastAsia"/>
          <w:bCs/>
          <w:sz w:val="24"/>
        </w:rPr>
        <w:t>】申请仲裁，并适用申请仲裁时该仲裁机构现行有效的仲裁规则；</w:t>
      </w:r>
    </w:p>
    <w:p w14:paraId="3F2382DA" w14:textId="77777777" w:rsidR="006E1A20" w:rsidRPr="000532ED" w:rsidRDefault="000E02E2">
      <w:pPr>
        <w:adjustRightInd w:val="0"/>
        <w:snapToGrid w:val="0"/>
        <w:spacing w:line="520" w:lineRule="atLeast"/>
        <w:ind w:firstLineChars="200" w:firstLine="480"/>
        <w:rPr>
          <w:bCs/>
          <w:sz w:val="24"/>
        </w:rPr>
      </w:pPr>
      <w:r w:rsidRPr="000532ED">
        <w:rPr>
          <w:rFonts w:hint="eastAsia"/>
          <w:bCs/>
          <w:sz w:val="24"/>
        </w:rPr>
        <w:t>2.</w:t>
      </w:r>
      <w:r w:rsidRPr="000532ED">
        <w:rPr>
          <w:rFonts w:hint="eastAsia"/>
          <w:bCs/>
          <w:sz w:val="24"/>
        </w:rPr>
        <w:t>向基金托管人住所地有管辖权的人民法院提起诉讼。</w:t>
      </w:r>
    </w:p>
    <w:p w14:paraId="505FAE2D" w14:textId="77777777" w:rsidR="006E1A20" w:rsidRPr="000532ED" w:rsidRDefault="000E02E2">
      <w:pPr>
        <w:adjustRightInd w:val="0"/>
        <w:snapToGrid w:val="0"/>
        <w:spacing w:line="520" w:lineRule="atLeast"/>
        <w:ind w:firstLineChars="200" w:firstLine="480"/>
        <w:rPr>
          <w:bCs/>
          <w:sz w:val="24"/>
        </w:rPr>
      </w:pPr>
      <w:r w:rsidRPr="000532ED">
        <w:rPr>
          <w:rFonts w:hint="eastAsia"/>
          <w:bCs/>
          <w:sz w:val="24"/>
        </w:rPr>
        <w:t>争议处理期间，双方当事人应恪守基金管理人和基金托管人职责，继续忠实、勤勉、尽责地履行基金合同和本协议规定的义务，维护基金份额持有人的合法权益。</w:t>
      </w:r>
    </w:p>
    <w:p w14:paraId="01A9CB0B" w14:textId="77777777" w:rsidR="006E1A20" w:rsidRPr="000532ED" w:rsidRDefault="000E02E2">
      <w:pPr>
        <w:pStyle w:val="1"/>
        <w:adjustRightInd w:val="0"/>
        <w:spacing w:line="520" w:lineRule="atLeast"/>
        <w:ind w:firstLineChars="200" w:firstLine="482"/>
        <w:rPr>
          <w:bCs/>
          <w:color w:val="auto"/>
          <w:szCs w:val="24"/>
        </w:rPr>
      </w:pPr>
      <w:bookmarkStart w:id="52" w:name="_Toc296551355"/>
      <w:bookmarkStart w:id="53" w:name="_Toc44321742"/>
      <w:r w:rsidRPr="000532ED">
        <w:rPr>
          <w:rFonts w:hint="eastAsia"/>
          <w:bCs/>
          <w:color w:val="auto"/>
          <w:szCs w:val="24"/>
        </w:rPr>
        <w:t>第十九条 本协议的效力</w:t>
      </w:r>
      <w:bookmarkEnd w:id="52"/>
      <w:bookmarkEnd w:id="53"/>
    </w:p>
    <w:p w14:paraId="69DF1E8A" w14:textId="77777777" w:rsidR="006E1A20" w:rsidRPr="000532ED" w:rsidRDefault="000E02E2">
      <w:pPr>
        <w:pStyle w:val="20"/>
        <w:adjustRightInd w:val="0"/>
        <w:snapToGrid w:val="0"/>
        <w:spacing w:before="0" w:after="0" w:line="520" w:lineRule="atLeast"/>
        <w:ind w:left="0" w:firstLineChars="200" w:firstLine="480"/>
        <w:rPr>
          <w:rFonts w:hAnsi="宋体"/>
          <w:szCs w:val="24"/>
        </w:rPr>
      </w:pPr>
      <w:r w:rsidRPr="000532ED">
        <w:rPr>
          <w:rFonts w:hAnsi="宋体" w:hint="eastAsia"/>
          <w:szCs w:val="24"/>
        </w:rPr>
        <w:t>19.1基金管理人在向中国证监会申请发售基金份额时提交的托管协议草案，应经托管协议当事人加盖公章或合同专用章以及双方法定代表人</w:t>
      </w:r>
      <w:r w:rsidRPr="000532ED">
        <w:rPr>
          <w:rFonts w:hAnsi="宋体"/>
          <w:szCs w:val="24"/>
        </w:rPr>
        <w:t>/负责人</w:t>
      </w:r>
      <w:r w:rsidRPr="000532ED">
        <w:rPr>
          <w:rFonts w:hAnsi="宋体" w:hint="eastAsia"/>
          <w:szCs w:val="24"/>
        </w:rPr>
        <w:t>或授权代理人签字或盖章，本协议当事人双方可能不时根据中国证监会的意见修改托管协议草案。本协议以中国证监会注册的最终文本为正式文本。</w:t>
      </w:r>
    </w:p>
    <w:p w14:paraId="2FA38128"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19.2本协议自双方</w:t>
      </w:r>
      <w:r w:rsidRPr="000532ED">
        <w:rPr>
          <w:rFonts w:hAnsi="宋体"/>
          <w:szCs w:val="24"/>
        </w:rPr>
        <w:t>签订</w:t>
      </w:r>
      <w:r w:rsidRPr="000532ED">
        <w:rPr>
          <w:rFonts w:hAnsi="宋体" w:hint="eastAsia"/>
          <w:szCs w:val="24"/>
        </w:rPr>
        <w:t>之日起成立，自基金合同生效之日起生效。本协议的有效期自其生效之日起至该基金财产清算结果报中国证监会备案并公告之日止。</w:t>
      </w:r>
    </w:p>
    <w:p w14:paraId="2E9EA57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19.3本协议自生效之日起对双方具有同等的法律约束力。</w:t>
      </w:r>
    </w:p>
    <w:p w14:paraId="173F6A9A"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19.4本协议正本一式</w:t>
      </w:r>
      <w:r w:rsidR="00B812F1" w:rsidRPr="000532ED">
        <w:rPr>
          <w:rFonts w:hAnsi="宋体" w:hint="eastAsia"/>
          <w:szCs w:val="24"/>
        </w:rPr>
        <w:t>叁</w:t>
      </w:r>
      <w:r w:rsidRPr="000532ED">
        <w:rPr>
          <w:rFonts w:hAnsi="宋体" w:hint="eastAsia"/>
          <w:szCs w:val="24"/>
        </w:rPr>
        <w:t>份，除上报有关监管机构</w:t>
      </w:r>
      <w:r w:rsidR="00B812F1" w:rsidRPr="000532ED">
        <w:rPr>
          <w:rFonts w:hAnsi="宋体"/>
          <w:szCs w:val="24"/>
        </w:rPr>
        <w:t>壹</w:t>
      </w:r>
      <w:r w:rsidRPr="000532ED">
        <w:rPr>
          <w:rFonts w:hAnsi="宋体" w:hint="eastAsia"/>
          <w:szCs w:val="24"/>
        </w:rPr>
        <w:t>份外，基金管理人和基金托管人分别持有</w:t>
      </w:r>
      <w:r w:rsidR="00B812F1" w:rsidRPr="000532ED">
        <w:rPr>
          <w:rFonts w:hAnsi="宋体"/>
          <w:szCs w:val="24"/>
        </w:rPr>
        <w:t>壹</w:t>
      </w:r>
      <w:r w:rsidRPr="000532ED">
        <w:rPr>
          <w:rFonts w:hAnsi="宋体" w:hint="eastAsia"/>
          <w:szCs w:val="24"/>
        </w:rPr>
        <w:t>份，每份具有同等的法律效力。</w:t>
      </w:r>
    </w:p>
    <w:p w14:paraId="76E966A4" w14:textId="77777777" w:rsidR="006E1A20" w:rsidRPr="000532ED" w:rsidRDefault="000E02E2">
      <w:pPr>
        <w:pStyle w:val="1"/>
        <w:spacing w:line="520" w:lineRule="atLeast"/>
        <w:ind w:firstLineChars="200" w:firstLine="482"/>
        <w:rPr>
          <w:bCs/>
          <w:color w:val="auto"/>
          <w:szCs w:val="24"/>
        </w:rPr>
      </w:pPr>
      <w:bookmarkStart w:id="54" w:name="_Toc296551356"/>
      <w:bookmarkStart w:id="55" w:name="_Toc44321743"/>
      <w:r w:rsidRPr="000532ED">
        <w:rPr>
          <w:rFonts w:hint="eastAsia"/>
          <w:bCs/>
          <w:color w:val="auto"/>
          <w:szCs w:val="24"/>
        </w:rPr>
        <w:lastRenderedPageBreak/>
        <w:t>第二十条 本协议的签订</w:t>
      </w:r>
      <w:bookmarkEnd w:id="54"/>
      <w:bookmarkEnd w:id="55"/>
    </w:p>
    <w:p w14:paraId="73139377" w14:textId="77777777" w:rsidR="006E1A20" w:rsidRPr="000532ED" w:rsidRDefault="000E02E2">
      <w:pPr>
        <w:snapToGrid w:val="0"/>
        <w:spacing w:line="520" w:lineRule="atLeast"/>
        <w:ind w:firstLineChars="200" w:firstLine="480"/>
        <w:rPr>
          <w:rFonts w:ascii="宋体" w:hAnsi="宋体"/>
          <w:sz w:val="24"/>
          <w:szCs w:val="24"/>
        </w:rPr>
      </w:pPr>
      <w:r w:rsidRPr="000532ED">
        <w:rPr>
          <w:rFonts w:ascii="宋体" w:hAnsi="宋体" w:hint="eastAsia"/>
          <w:sz w:val="24"/>
          <w:szCs w:val="24"/>
        </w:rPr>
        <w:t>20.1本协议经基金管理人和基金托管人认可后，由双方当事人在本协议上加盖公章或合同专用章，并由各自的法定代表人</w:t>
      </w:r>
      <w:r w:rsidRPr="000532ED">
        <w:rPr>
          <w:rFonts w:ascii="宋体" w:hAnsi="宋体"/>
          <w:sz w:val="24"/>
          <w:szCs w:val="24"/>
        </w:rPr>
        <w:t>/负责人</w:t>
      </w:r>
      <w:r w:rsidRPr="000532ED">
        <w:rPr>
          <w:rFonts w:ascii="宋体" w:hAnsi="宋体" w:hint="eastAsia"/>
          <w:sz w:val="24"/>
          <w:szCs w:val="24"/>
        </w:rPr>
        <w:t>或授权代理人签字或盖章，并注明本托管协议的签订地点和签订日期。</w:t>
      </w:r>
    </w:p>
    <w:p w14:paraId="510D4007" w14:textId="77777777" w:rsidR="006E1A20" w:rsidRPr="000532ED" w:rsidRDefault="000E02E2">
      <w:pPr>
        <w:pStyle w:val="1"/>
        <w:spacing w:line="520" w:lineRule="atLeast"/>
        <w:ind w:firstLineChars="200" w:firstLine="482"/>
        <w:rPr>
          <w:bCs/>
          <w:color w:val="auto"/>
          <w:szCs w:val="24"/>
        </w:rPr>
      </w:pPr>
      <w:bookmarkStart w:id="56" w:name="_Toc44321744"/>
      <w:r w:rsidRPr="000532ED">
        <w:rPr>
          <w:rFonts w:hint="eastAsia"/>
          <w:bCs/>
          <w:color w:val="auto"/>
          <w:szCs w:val="24"/>
        </w:rPr>
        <w:t>第二十一条 不可抗力</w:t>
      </w:r>
      <w:bookmarkEnd w:id="56"/>
    </w:p>
    <w:p w14:paraId="045E39DE"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21.1如果本协议任何一方因受不可抗力事件影响而未能履行其在本协议下的全部或部分义务，该义务的履行在不可抗力事件妨碍其履行期间应予中止。</w:t>
      </w:r>
    </w:p>
    <w:p w14:paraId="2DDEADA6"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52B89564"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21.3不可抗力事件发生时，双方应立即通过友好协商决定如何执行本协议。不可抗力事件或其影响终止或消除后，双方须立即恢复履行各自在本协议项下的各项义务。</w:t>
      </w:r>
    </w:p>
    <w:p w14:paraId="0E48003D"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hint="eastAsia"/>
          <w:szCs w:val="24"/>
        </w:rPr>
        <w:t>21.4本条所述的不可抗力事件是指不能预见、不能避免并不能克服的客观情况。</w:t>
      </w:r>
    </w:p>
    <w:p w14:paraId="7B3DCEA4" w14:textId="77777777" w:rsidR="006E1A20" w:rsidRPr="000532ED" w:rsidRDefault="000E02E2">
      <w:pPr>
        <w:pStyle w:val="1"/>
        <w:spacing w:line="520" w:lineRule="atLeast"/>
        <w:ind w:firstLineChars="200" w:firstLine="482"/>
        <w:rPr>
          <w:bCs/>
          <w:szCs w:val="24"/>
        </w:rPr>
      </w:pPr>
      <w:bookmarkStart w:id="57" w:name="_Toc132794324"/>
      <w:bookmarkStart w:id="58" w:name="_Toc132794325"/>
      <w:bookmarkStart w:id="59" w:name="_Toc132794326"/>
      <w:bookmarkStart w:id="60" w:name="_Toc132794327"/>
      <w:bookmarkStart w:id="61" w:name="_Toc132794328"/>
      <w:bookmarkStart w:id="62" w:name="_Toc132794329"/>
      <w:bookmarkStart w:id="63" w:name="_Toc132794330"/>
      <w:bookmarkStart w:id="64" w:name="_Toc44321745"/>
      <w:bookmarkEnd w:id="57"/>
      <w:bookmarkEnd w:id="58"/>
      <w:bookmarkEnd w:id="59"/>
      <w:bookmarkEnd w:id="60"/>
      <w:bookmarkEnd w:id="61"/>
      <w:bookmarkEnd w:id="62"/>
      <w:bookmarkEnd w:id="63"/>
      <w:r w:rsidRPr="000532ED">
        <w:rPr>
          <w:rFonts w:hint="eastAsia"/>
          <w:bCs/>
          <w:color w:val="auto"/>
          <w:szCs w:val="24"/>
        </w:rPr>
        <w:t>第二十二条</w:t>
      </w:r>
      <w:r w:rsidRPr="000532ED">
        <w:rPr>
          <w:bCs/>
          <w:color w:val="auto"/>
          <w:szCs w:val="24"/>
        </w:rPr>
        <w:t xml:space="preserve"> </w:t>
      </w:r>
      <w:r w:rsidRPr="000532ED">
        <w:rPr>
          <w:rFonts w:hint="eastAsia"/>
          <w:bCs/>
          <w:color w:val="auto"/>
          <w:szCs w:val="24"/>
        </w:rPr>
        <w:t>可分割性</w:t>
      </w:r>
      <w:bookmarkEnd w:id="64"/>
    </w:p>
    <w:p w14:paraId="0D2D6969" w14:textId="77777777" w:rsidR="006E1A20" w:rsidRPr="000532ED" w:rsidRDefault="000E02E2">
      <w:pPr>
        <w:pStyle w:val="20"/>
        <w:spacing w:before="0" w:after="0" w:line="520" w:lineRule="atLeast"/>
        <w:ind w:left="0" w:firstLineChars="200" w:firstLine="480"/>
        <w:rPr>
          <w:rFonts w:hAnsi="宋体"/>
          <w:szCs w:val="24"/>
        </w:rPr>
      </w:pPr>
      <w:r w:rsidRPr="000532ED">
        <w:rPr>
          <w:rFonts w:hAnsi="宋体"/>
          <w:szCs w:val="24"/>
        </w:rPr>
        <w:t>22.1如果本协议任何约定依现行法律被确定为无效或无法实施，本协议的其他条款将继续有效。此种情况下，</w:t>
      </w:r>
      <w:r w:rsidRPr="000532ED">
        <w:rPr>
          <w:rFonts w:hAnsi="宋体" w:hint="eastAsia"/>
          <w:szCs w:val="24"/>
        </w:rPr>
        <w:t>双</w:t>
      </w:r>
      <w:r w:rsidRPr="000532ED">
        <w:rPr>
          <w:rFonts w:hAnsi="宋体"/>
          <w:szCs w:val="24"/>
        </w:rPr>
        <w:t>方将积极协商以达成有效的约定，且该有效约定应尽可能接近原规定和本协议相应的精神和宗旨。</w:t>
      </w:r>
    </w:p>
    <w:p w14:paraId="22319020" w14:textId="77777777" w:rsidR="006E1A20" w:rsidRPr="000532ED" w:rsidRDefault="000E02E2">
      <w:pPr>
        <w:pStyle w:val="1"/>
        <w:spacing w:line="520" w:lineRule="atLeast"/>
        <w:ind w:firstLineChars="200" w:firstLine="482"/>
        <w:rPr>
          <w:bCs/>
          <w:szCs w:val="24"/>
        </w:rPr>
      </w:pPr>
      <w:bookmarkStart w:id="65" w:name="_Toc44321746"/>
      <w:r w:rsidRPr="000532ED">
        <w:rPr>
          <w:rFonts w:hint="eastAsia"/>
          <w:bCs/>
          <w:color w:val="auto"/>
          <w:szCs w:val="24"/>
        </w:rPr>
        <w:t>第二十三条</w:t>
      </w:r>
      <w:r w:rsidRPr="000532ED">
        <w:rPr>
          <w:bCs/>
          <w:color w:val="auto"/>
          <w:szCs w:val="24"/>
        </w:rPr>
        <w:t xml:space="preserve"> </w:t>
      </w:r>
      <w:r w:rsidRPr="000532ED">
        <w:rPr>
          <w:rFonts w:hint="eastAsia"/>
          <w:bCs/>
          <w:color w:val="auto"/>
          <w:szCs w:val="24"/>
        </w:rPr>
        <w:t>通知与送达</w:t>
      </w:r>
      <w:bookmarkEnd w:id="65"/>
    </w:p>
    <w:p w14:paraId="6272F131" w14:textId="77777777" w:rsidR="006E1A20" w:rsidRPr="000532ED" w:rsidRDefault="000E02E2">
      <w:pPr>
        <w:autoSpaceDE w:val="0"/>
        <w:autoSpaceDN w:val="0"/>
        <w:spacing w:line="520" w:lineRule="atLeast"/>
        <w:ind w:firstLineChars="200" w:firstLine="480"/>
        <w:rPr>
          <w:rFonts w:ascii="宋体" w:hAnsi="宋体"/>
          <w:sz w:val="24"/>
          <w:szCs w:val="24"/>
        </w:rPr>
      </w:pPr>
      <w:r w:rsidRPr="000532ED">
        <w:rPr>
          <w:rFonts w:ascii="宋体" w:hAnsi="宋体"/>
          <w:sz w:val="24"/>
          <w:szCs w:val="24"/>
        </w:rPr>
        <w:t>23.1</w:t>
      </w:r>
      <w:r w:rsidRPr="000532ED">
        <w:rPr>
          <w:rFonts w:ascii="宋体" w:hAnsi="宋体" w:hint="eastAsia"/>
          <w:sz w:val="24"/>
          <w:szCs w:val="24"/>
        </w:rPr>
        <w:t>除本协议另有约定外，按本协议约定由任何一方发给其他方的正式通知或者书面通讯，应以挂号邮寄、图文传真、快递或者其他通讯形式发出，送至各方通知地址。</w:t>
      </w:r>
      <w:r w:rsidRPr="000532ED">
        <w:rPr>
          <w:rFonts w:ascii="宋体" w:hAnsi="宋体" w:cs="Arial" w:hint="eastAsia"/>
          <w:sz w:val="24"/>
        </w:rPr>
        <w:t>协议各方应另行约定</w:t>
      </w:r>
      <w:r w:rsidRPr="000532ED">
        <w:rPr>
          <w:rFonts w:ascii="宋体" w:hAnsi="宋体" w:hint="eastAsia"/>
          <w:sz w:val="24"/>
          <w:szCs w:val="24"/>
        </w:rPr>
        <w:t>通知地址</w:t>
      </w:r>
      <w:r w:rsidRPr="000532ED">
        <w:rPr>
          <w:rFonts w:ascii="宋体" w:hAnsi="宋体" w:cs="Arial" w:hint="eastAsia"/>
          <w:sz w:val="24"/>
        </w:rPr>
        <w:t>。</w:t>
      </w:r>
    </w:p>
    <w:p w14:paraId="6E9BCF45" w14:textId="77777777" w:rsidR="006E1A20" w:rsidRPr="000532ED" w:rsidRDefault="000E02E2">
      <w:pPr>
        <w:autoSpaceDE w:val="0"/>
        <w:autoSpaceDN w:val="0"/>
        <w:spacing w:line="520" w:lineRule="atLeast"/>
        <w:ind w:firstLineChars="200" w:firstLine="480"/>
        <w:rPr>
          <w:rFonts w:ascii="宋体" w:hAnsi="宋体"/>
          <w:sz w:val="24"/>
          <w:szCs w:val="24"/>
        </w:rPr>
      </w:pPr>
      <w:r w:rsidRPr="000532ED">
        <w:rPr>
          <w:rFonts w:ascii="宋体" w:hAnsi="宋体" w:hint="eastAsia"/>
          <w:sz w:val="24"/>
          <w:szCs w:val="24"/>
        </w:rPr>
        <w:t>2</w:t>
      </w:r>
      <w:r w:rsidRPr="000532ED">
        <w:rPr>
          <w:rFonts w:ascii="宋体" w:hAnsi="宋体"/>
          <w:sz w:val="24"/>
          <w:szCs w:val="24"/>
        </w:rPr>
        <w:t>3.2</w:t>
      </w:r>
      <w:r w:rsidRPr="000532ED">
        <w:rPr>
          <w:rFonts w:ascii="宋体" w:hAnsi="宋体" w:hint="eastAsia"/>
          <w:sz w:val="24"/>
          <w:szCs w:val="24"/>
        </w:rPr>
        <w:t>如采用挂号邮寄方式，上述文件或通知在投邮后第4日，即视为送达；如采用快递方式，上述文件或通知在投邮后第2日，即视为送达；如采用图文传真方式，发送成功回执所示之日，即视为送达。</w:t>
      </w:r>
    </w:p>
    <w:p w14:paraId="6A6B8E8A" w14:textId="77777777" w:rsidR="006E1A20" w:rsidRPr="000532ED" w:rsidRDefault="000E02E2">
      <w:pPr>
        <w:autoSpaceDE w:val="0"/>
        <w:autoSpaceDN w:val="0"/>
        <w:spacing w:line="520" w:lineRule="atLeast"/>
        <w:ind w:firstLineChars="200" w:firstLine="480"/>
        <w:rPr>
          <w:rFonts w:ascii="宋体" w:hAnsi="宋体"/>
          <w:sz w:val="24"/>
          <w:szCs w:val="24"/>
        </w:rPr>
      </w:pPr>
      <w:r w:rsidRPr="000532ED">
        <w:rPr>
          <w:rFonts w:ascii="宋体" w:hAnsi="宋体" w:hint="eastAsia"/>
          <w:sz w:val="24"/>
          <w:szCs w:val="24"/>
        </w:rPr>
        <w:t>2</w:t>
      </w:r>
      <w:r w:rsidRPr="000532ED">
        <w:rPr>
          <w:rFonts w:ascii="宋体" w:hAnsi="宋体"/>
          <w:sz w:val="24"/>
          <w:szCs w:val="24"/>
        </w:rPr>
        <w:t>3.3</w:t>
      </w:r>
      <w:r w:rsidRPr="000532ED">
        <w:rPr>
          <w:rFonts w:ascii="宋体" w:hAnsi="宋体" w:hint="eastAsia"/>
          <w:sz w:val="24"/>
          <w:szCs w:val="24"/>
        </w:rPr>
        <w:t>如果联系方式之任何一项发生变更，相关方应在变更后 7 日内将更改后</w:t>
      </w:r>
      <w:r w:rsidRPr="000532ED">
        <w:rPr>
          <w:rFonts w:ascii="宋体" w:hAnsi="宋体" w:hint="eastAsia"/>
          <w:sz w:val="24"/>
          <w:szCs w:val="24"/>
        </w:rPr>
        <w:lastRenderedPageBreak/>
        <w:t>的联系方式按本条的约定邮件通知对方。此后，本条约定的文件或通知应按变更后的联系方式送达，如相关方未能及时通知的，由此引发的全部不利后果由责任方承担。</w:t>
      </w:r>
    </w:p>
    <w:p w14:paraId="3B48235E" w14:textId="77777777" w:rsidR="006E1A20" w:rsidRPr="000532ED" w:rsidRDefault="006E1A20">
      <w:pPr>
        <w:pStyle w:val="20"/>
        <w:spacing w:before="0" w:after="0" w:line="520" w:lineRule="atLeast"/>
        <w:ind w:left="0" w:firstLineChars="200" w:firstLine="480"/>
        <w:rPr>
          <w:rFonts w:hAnsi="宋体"/>
          <w:szCs w:val="24"/>
        </w:rPr>
      </w:pPr>
    </w:p>
    <w:p w14:paraId="5981A1D1" w14:textId="77777777" w:rsidR="006E1A20" w:rsidRPr="000532ED" w:rsidRDefault="000E02E2">
      <w:pPr>
        <w:pStyle w:val="1"/>
        <w:snapToGrid/>
        <w:spacing w:line="520" w:lineRule="atLeast"/>
        <w:ind w:firstLineChars="200" w:firstLine="482"/>
        <w:rPr>
          <w:bCs/>
          <w:color w:val="auto"/>
          <w:szCs w:val="24"/>
        </w:rPr>
      </w:pPr>
      <w:bookmarkStart w:id="66" w:name="_Toc44321747"/>
      <w:r w:rsidRPr="000532ED">
        <w:rPr>
          <w:rFonts w:hint="eastAsia"/>
          <w:bCs/>
          <w:color w:val="auto"/>
          <w:szCs w:val="24"/>
        </w:rPr>
        <w:t>第二十四条 其他约定</w:t>
      </w:r>
      <w:r w:rsidRPr="000532ED">
        <w:rPr>
          <w:bCs/>
          <w:color w:val="auto"/>
          <w:szCs w:val="24"/>
        </w:rPr>
        <w:t>事项</w:t>
      </w:r>
      <w:bookmarkEnd w:id="66"/>
    </w:p>
    <w:p w14:paraId="5D29B281" w14:textId="77777777" w:rsidR="006E1A20" w:rsidRPr="000532ED" w:rsidRDefault="000E02E2" w:rsidP="00360B46">
      <w:pPr>
        <w:pStyle w:val="20"/>
        <w:spacing w:before="0" w:after="0" w:line="520" w:lineRule="atLeast"/>
        <w:rPr>
          <w:rFonts w:hAnsi="宋体"/>
          <w:szCs w:val="24"/>
        </w:rPr>
      </w:pPr>
      <w:r w:rsidRPr="000532ED">
        <w:rPr>
          <w:rFonts w:hAnsi="宋体" w:hint="eastAsia"/>
          <w:szCs w:val="24"/>
        </w:rPr>
        <w:t>如本条约定与其他条款约定冲突的，应以本条约定为准。</w:t>
      </w:r>
    </w:p>
    <w:p w14:paraId="23B1E811" w14:textId="77777777" w:rsidR="006E1A20" w:rsidRPr="000532ED" w:rsidRDefault="000E02E2">
      <w:pPr>
        <w:widowControl/>
        <w:spacing w:line="520" w:lineRule="atLeast"/>
        <w:ind w:firstLineChars="100" w:firstLine="240"/>
        <w:jc w:val="left"/>
        <w:rPr>
          <w:rFonts w:ascii="宋体" w:hAnsi="宋体"/>
          <w:sz w:val="24"/>
          <w:szCs w:val="24"/>
        </w:rPr>
      </w:pPr>
      <w:r w:rsidRPr="000532ED">
        <w:rPr>
          <w:rFonts w:ascii="宋体" w:hAnsi="宋体" w:hint="eastAsia"/>
          <w:sz w:val="24"/>
          <w:szCs w:val="24"/>
        </w:rPr>
        <w:t>（以下无正文）</w:t>
      </w:r>
    </w:p>
    <w:p w14:paraId="7B20888C" w14:textId="77777777" w:rsidR="009D6DB0" w:rsidRPr="000532ED" w:rsidRDefault="009D6DB0">
      <w:pPr>
        <w:widowControl/>
        <w:jc w:val="left"/>
        <w:rPr>
          <w:rFonts w:hAnsi="宋体"/>
          <w:sz w:val="28"/>
          <w:szCs w:val="28"/>
        </w:rPr>
      </w:pPr>
      <w:r w:rsidRPr="000532ED">
        <w:rPr>
          <w:rFonts w:hAnsi="宋体"/>
          <w:sz w:val="28"/>
          <w:szCs w:val="28"/>
        </w:rPr>
        <w:br w:type="page"/>
      </w:r>
    </w:p>
    <w:p w14:paraId="2A2361CA" w14:textId="77777777" w:rsidR="006E1A20" w:rsidRPr="000532ED" w:rsidRDefault="006E1A20">
      <w:pPr>
        <w:widowControl/>
        <w:spacing w:line="520" w:lineRule="atLeast"/>
        <w:jc w:val="left"/>
        <w:rPr>
          <w:rFonts w:hAnsi="宋体"/>
          <w:sz w:val="28"/>
          <w:szCs w:val="28"/>
        </w:rPr>
      </w:pPr>
    </w:p>
    <w:p w14:paraId="2A6B50D6"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（本页无正文，为编号</w:t>
      </w:r>
      <w:r w:rsidRPr="000532ED">
        <w:rPr>
          <w:rFonts w:hAnsi="宋体"/>
          <w:szCs w:val="24"/>
          <w:u w:val="single"/>
        </w:rPr>
        <w:t xml:space="preserve">         </w:t>
      </w:r>
      <w:r w:rsidRPr="000532ED">
        <w:rPr>
          <w:rFonts w:hAnsi="宋体" w:hint="eastAsia"/>
          <w:szCs w:val="24"/>
        </w:rPr>
        <w:t>的《【易方达悦信一年持有期混合型】证券投资基金托管协议》的签署页）</w:t>
      </w:r>
    </w:p>
    <w:p w14:paraId="7208DC09" w14:textId="77777777" w:rsidR="006E1A20" w:rsidRPr="000532ED" w:rsidRDefault="006E1A20">
      <w:pPr>
        <w:pStyle w:val="20"/>
        <w:spacing w:before="0" w:after="0" w:line="520" w:lineRule="atLeast"/>
        <w:ind w:left="0" w:firstLineChars="200" w:firstLine="480"/>
        <w:rPr>
          <w:rFonts w:hAnsi="宋体"/>
          <w:szCs w:val="24"/>
        </w:rPr>
      </w:pPr>
    </w:p>
    <w:p w14:paraId="58EE2B3F" w14:textId="77777777" w:rsidR="006E1A20" w:rsidRPr="000532ED" w:rsidRDefault="006E1A20">
      <w:pPr>
        <w:pStyle w:val="20"/>
        <w:spacing w:before="0" w:after="0" w:line="520" w:lineRule="atLeast"/>
        <w:ind w:left="0" w:firstLineChars="200" w:firstLine="480"/>
        <w:rPr>
          <w:rFonts w:hAnsi="宋体"/>
          <w:szCs w:val="24"/>
        </w:rPr>
      </w:pPr>
    </w:p>
    <w:p w14:paraId="43FDF1F8"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基金管理人：</w:t>
      </w:r>
      <w:r w:rsidR="004F25D5" w:rsidRPr="000532ED">
        <w:rPr>
          <w:rFonts w:hAnsi="宋体" w:hint="eastAsia"/>
          <w:szCs w:val="24"/>
        </w:rPr>
        <w:t>易方达基金管理有限公司</w:t>
      </w:r>
      <w:r w:rsidRPr="000532ED">
        <w:rPr>
          <w:rFonts w:hAnsi="宋体" w:hint="eastAsia"/>
          <w:szCs w:val="24"/>
        </w:rPr>
        <w:t>（盖章）</w:t>
      </w:r>
    </w:p>
    <w:p w14:paraId="00388805" w14:textId="77777777" w:rsidR="006E1A20" w:rsidRPr="000532ED" w:rsidRDefault="006E1A20">
      <w:pPr>
        <w:pStyle w:val="20"/>
        <w:spacing w:before="0" w:after="0" w:line="520" w:lineRule="atLeast"/>
        <w:ind w:left="0"/>
        <w:rPr>
          <w:rFonts w:hAnsi="宋体"/>
          <w:szCs w:val="24"/>
        </w:rPr>
      </w:pPr>
    </w:p>
    <w:p w14:paraId="13C6E1E4"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法定代表人</w:t>
      </w:r>
    </w:p>
    <w:p w14:paraId="4FD4928A"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 xml:space="preserve">（或授权代理人）：           </w:t>
      </w:r>
    </w:p>
    <w:p w14:paraId="29068E82" w14:textId="77777777" w:rsidR="006E1A20" w:rsidRPr="000532ED" w:rsidRDefault="006E1A20">
      <w:pPr>
        <w:pStyle w:val="20"/>
        <w:spacing w:before="0" w:after="0" w:line="520" w:lineRule="atLeast"/>
        <w:ind w:left="0" w:firstLineChars="200" w:firstLine="480"/>
        <w:rPr>
          <w:rFonts w:hAnsi="宋体"/>
          <w:szCs w:val="24"/>
        </w:rPr>
      </w:pPr>
    </w:p>
    <w:p w14:paraId="7B95DD20"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签署日期：</w:t>
      </w:r>
    </w:p>
    <w:p w14:paraId="3F5114E7" w14:textId="77777777" w:rsidR="006E1A20" w:rsidRPr="000532ED" w:rsidRDefault="006E1A20">
      <w:pPr>
        <w:pStyle w:val="20"/>
        <w:spacing w:before="0" w:after="0" w:line="520" w:lineRule="atLeast"/>
        <w:ind w:left="0" w:firstLineChars="200" w:firstLine="480"/>
        <w:rPr>
          <w:rFonts w:hAnsi="宋体"/>
          <w:szCs w:val="24"/>
        </w:rPr>
      </w:pPr>
    </w:p>
    <w:p w14:paraId="249BBA8F" w14:textId="77777777" w:rsidR="006E1A20" w:rsidRPr="000532ED" w:rsidRDefault="006E1A20">
      <w:pPr>
        <w:pStyle w:val="20"/>
        <w:spacing w:before="0" w:after="0" w:line="520" w:lineRule="atLeast"/>
        <w:ind w:left="0" w:firstLineChars="200" w:firstLine="480"/>
        <w:rPr>
          <w:rFonts w:hAnsi="宋体"/>
          <w:szCs w:val="24"/>
        </w:rPr>
      </w:pPr>
    </w:p>
    <w:p w14:paraId="0550D539" w14:textId="77777777" w:rsidR="006E1A20" w:rsidRPr="000532ED" w:rsidRDefault="006E1A20">
      <w:pPr>
        <w:pStyle w:val="20"/>
        <w:spacing w:before="0" w:after="0" w:line="520" w:lineRule="atLeast"/>
        <w:ind w:left="0" w:firstLineChars="200" w:firstLine="480"/>
        <w:rPr>
          <w:rFonts w:hAnsi="宋体"/>
          <w:szCs w:val="24"/>
        </w:rPr>
      </w:pPr>
    </w:p>
    <w:p w14:paraId="091093F2"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基金托管人：中信银行股份有限公司（盖章）</w:t>
      </w:r>
    </w:p>
    <w:p w14:paraId="5C087325" w14:textId="77777777" w:rsidR="006E1A20" w:rsidRPr="000532ED" w:rsidRDefault="006E1A20">
      <w:pPr>
        <w:pStyle w:val="20"/>
        <w:spacing w:before="0" w:after="0" w:line="520" w:lineRule="atLeast"/>
        <w:ind w:left="0"/>
        <w:rPr>
          <w:rFonts w:hAnsi="宋体"/>
          <w:szCs w:val="24"/>
        </w:rPr>
      </w:pPr>
    </w:p>
    <w:p w14:paraId="4B36302D"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法定代表人/负责人</w:t>
      </w:r>
    </w:p>
    <w:p w14:paraId="78E3111A"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 xml:space="preserve">（或授权代理人）：  </w:t>
      </w:r>
    </w:p>
    <w:p w14:paraId="3A13FBB8" w14:textId="77777777" w:rsidR="006E1A20" w:rsidRPr="000532ED" w:rsidRDefault="006E1A20">
      <w:pPr>
        <w:pStyle w:val="20"/>
        <w:spacing w:before="0" w:after="0" w:line="520" w:lineRule="atLeast"/>
        <w:ind w:left="0"/>
        <w:rPr>
          <w:rFonts w:hAnsi="宋体"/>
          <w:szCs w:val="24"/>
        </w:rPr>
      </w:pPr>
    </w:p>
    <w:p w14:paraId="2BACA3A0" w14:textId="77777777" w:rsidR="006E1A20" w:rsidRPr="000532ED" w:rsidRDefault="000E02E2">
      <w:pPr>
        <w:pStyle w:val="20"/>
        <w:spacing w:before="0" w:after="0" w:line="520" w:lineRule="atLeast"/>
        <w:ind w:left="0"/>
        <w:rPr>
          <w:rFonts w:hAnsi="宋体"/>
          <w:szCs w:val="24"/>
        </w:rPr>
      </w:pPr>
      <w:r w:rsidRPr="000532ED">
        <w:rPr>
          <w:rFonts w:hAnsi="宋体" w:hint="eastAsia"/>
          <w:szCs w:val="24"/>
        </w:rPr>
        <w:t>签署日期：</w:t>
      </w:r>
    </w:p>
    <w:p w14:paraId="190E0C8A" w14:textId="77777777" w:rsidR="006E1A20" w:rsidRPr="000532ED" w:rsidRDefault="000E02E2">
      <w:pPr>
        <w:pStyle w:val="20"/>
        <w:spacing w:before="0" w:after="0" w:line="520" w:lineRule="atLeast"/>
        <w:ind w:left="0"/>
        <w:rPr>
          <w:rFonts w:hAnsi="宋体"/>
          <w:sz w:val="28"/>
          <w:szCs w:val="28"/>
        </w:rPr>
      </w:pPr>
      <w:r w:rsidRPr="000532ED">
        <w:rPr>
          <w:rFonts w:hAnsi="宋体" w:hint="eastAsia"/>
          <w:sz w:val="28"/>
          <w:szCs w:val="28"/>
        </w:rPr>
        <w:t xml:space="preserve">           </w:t>
      </w:r>
    </w:p>
    <w:p w14:paraId="4B03D4B0" w14:textId="77777777" w:rsidR="006E1A20" w:rsidRPr="000532ED" w:rsidRDefault="006E1A20">
      <w:pPr>
        <w:pStyle w:val="20"/>
        <w:spacing w:before="0" w:after="0" w:line="520" w:lineRule="atLeast"/>
        <w:ind w:left="0" w:firstLineChars="200" w:firstLine="560"/>
        <w:rPr>
          <w:rFonts w:hAnsi="宋体"/>
          <w:sz w:val="28"/>
          <w:szCs w:val="28"/>
        </w:rPr>
      </w:pPr>
    </w:p>
    <w:p w14:paraId="6D033382" w14:textId="77777777" w:rsidR="006E1A20" w:rsidRPr="000532ED" w:rsidRDefault="006E1A20">
      <w:pPr>
        <w:pStyle w:val="20"/>
        <w:spacing w:before="0" w:after="0" w:line="520" w:lineRule="atLeast"/>
        <w:ind w:left="0" w:firstLineChars="200" w:firstLine="560"/>
        <w:rPr>
          <w:rFonts w:hAnsi="宋体"/>
          <w:sz w:val="28"/>
          <w:szCs w:val="28"/>
        </w:rPr>
      </w:pPr>
    </w:p>
    <w:p w14:paraId="2EDBFEAF" w14:textId="77777777" w:rsidR="006E1A20" w:rsidRPr="000532ED" w:rsidRDefault="006E1A20">
      <w:pPr>
        <w:pStyle w:val="20"/>
        <w:spacing w:before="0" w:after="0" w:line="520" w:lineRule="atLeast"/>
        <w:ind w:left="0" w:firstLineChars="200" w:firstLine="560"/>
        <w:rPr>
          <w:rFonts w:hAnsi="宋体"/>
          <w:sz w:val="28"/>
          <w:szCs w:val="28"/>
        </w:rPr>
      </w:pPr>
    </w:p>
    <w:p w14:paraId="48C64E2C" w14:textId="77777777" w:rsidR="006E1A20" w:rsidRPr="000532ED" w:rsidRDefault="006E1A20">
      <w:pPr>
        <w:pStyle w:val="20"/>
        <w:spacing w:before="0" w:after="0" w:line="520" w:lineRule="atLeast"/>
        <w:ind w:left="0"/>
        <w:rPr>
          <w:rFonts w:hAnsi="宋体"/>
          <w:szCs w:val="24"/>
        </w:rPr>
      </w:pPr>
    </w:p>
    <w:p w14:paraId="7AB1DC93" w14:textId="77777777" w:rsidR="006E1A20" w:rsidRDefault="000E02E2">
      <w:pPr>
        <w:pStyle w:val="20"/>
        <w:spacing w:before="0" w:after="0" w:line="520" w:lineRule="atLeast"/>
        <w:ind w:left="0"/>
        <w:rPr>
          <w:rFonts w:hAnsi="宋体"/>
          <w:szCs w:val="24"/>
        </w:rPr>
      </w:pPr>
      <w:r w:rsidRPr="000532ED">
        <w:rPr>
          <w:rFonts w:hAnsi="宋体" w:hint="eastAsia"/>
          <w:szCs w:val="24"/>
        </w:rPr>
        <w:t>签订地：</w:t>
      </w:r>
      <w:r>
        <w:rPr>
          <w:rFonts w:hAnsi="宋体" w:hint="eastAsia"/>
          <w:szCs w:val="24"/>
        </w:rPr>
        <w:t xml:space="preserve"> </w:t>
      </w:r>
    </w:p>
    <w:p w14:paraId="1467F781" w14:textId="77777777" w:rsidR="006E1A20" w:rsidRDefault="006E1A20">
      <w:pPr>
        <w:pStyle w:val="20"/>
        <w:spacing w:before="0" w:after="0" w:line="520" w:lineRule="atLeast"/>
        <w:ind w:left="0" w:firstLineChars="200" w:firstLine="480"/>
        <w:rPr>
          <w:rFonts w:hAnsi="宋体"/>
          <w:szCs w:val="24"/>
        </w:rPr>
      </w:pPr>
    </w:p>
    <w:p w14:paraId="738ECC54" w14:textId="77777777" w:rsidR="006E1A20" w:rsidRDefault="000E02E2" w:rsidP="004F25D5">
      <w:pPr>
        <w:pStyle w:val="20"/>
        <w:spacing w:before="0" w:after="0" w:line="520" w:lineRule="atLeast"/>
        <w:ind w:left="0"/>
        <w:rPr>
          <w:rFonts w:hAnsi="宋体"/>
          <w:sz w:val="28"/>
          <w:szCs w:val="28"/>
        </w:rPr>
      </w:pPr>
      <w:r>
        <w:rPr>
          <w:rFonts w:hAnsi="宋体" w:hint="eastAsia"/>
          <w:szCs w:val="24"/>
        </w:rPr>
        <w:t xml:space="preserve"> </w:t>
      </w:r>
      <w:r>
        <w:rPr>
          <w:rFonts w:hAnsi="宋体" w:hint="eastAsia"/>
          <w:sz w:val="28"/>
          <w:szCs w:val="28"/>
        </w:rPr>
        <w:t xml:space="preserve">  </w:t>
      </w:r>
    </w:p>
    <w:sectPr w:rsidR="006E1A20">
      <w:footerReference w:type="even" r:id="rId15"/>
      <w:footerReference w:type="default" r:id="rId16"/>
      <w:pgSz w:w="11907" w:h="16840"/>
      <w:pgMar w:top="1090" w:right="1678" w:bottom="935" w:left="1678" w:header="720" w:footer="720" w:gutter="0"/>
      <w:pgNumType w:start="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B2BCA" w14:textId="77777777" w:rsidR="00ED77C4" w:rsidRDefault="00ED77C4">
      <w:r>
        <w:separator/>
      </w:r>
    </w:p>
  </w:endnote>
  <w:endnote w:type="continuationSeparator" w:id="0">
    <w:p w14:paraId="763D9223" w14:textId="77777777" w:rsidR="00ED77C4" w:rsidRDefault="00ED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F57E7" w14:textId="77777777" w:rsidR="006E1A20" w:rsidRDefault="000E02E2">
    <w:pPr>
      <w:pStyle w:val="aa"/>
      <w:framePr w:wrap="around" w:vAnchor="text" w:hAnchor="margin" w:xAlign="center" w:y="1"/>
      <w:rPr>
        <w:rStyle w:val="ac"/>
      </w:rPr>
    </w:pPr>
    <w:r>
      <w:fldChar w:fldCharType="begin"/>
    </w:r>
    <w:r>
      <w:rPr>
        <w:rStyle w:val="ac"/>
      </w:rPr>
      <w:instrText xml:space="preserve">PAGE  </w:instrText>
    </w:r>
    <w:r>
      <w:fldChar w:fldCharType="end"/>
    </w:r>
  </w:p>
  <w:p w14:paraId="218C0592" w14:textId="77777777" w:rsidR="006E1A20" w:rsidRDefault="006E1A2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DB471" w14:textId="77777777" w:rsidR="006E1A20" w:rsidRDefault="000E02E2">
    <w:pPr>
      <w:pStyle w:val="aa"/>
      <w:framePr w:wrap="around" w:vAnchor="text" w:hAnchor="margin" w:xAlign="center" w:y="1"/>
      <w:rPr>
        <w:rStyle w:val="ac"/>
      </w:rPr>
    </w:pPr>
    <w:r>
      <w:fldChar w:fldCharType="begin"/>
    </w:r>
    <w:r>
      <w:rPr>
        <w:rStyle w:val="ac"/>
      </w:rPr>
      <w:instrText xml:space="preserve">PAGE  </w:instrText>
    </w:r>
    <w:r>
      <w:fldChar w:fldCharType="separate"/>
    </w:r>
    <w:r w:rsidR="000F1F27">
      <w:rPr>
        <w:rStyle w:val="ac"/>
        <w:noProof/>
      </w:rPr>
      <w:t>3</w:t>
    </w:r>
    <w:r>
      <w:fldChar w:fldCharType="end"/>
    </w:r>
  </w:p>
  <w:p w14:paraId="360005B4" w14:textId="77777777" w:rsidR="006E1A20" w:rsidRDefault="006E1A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A44F3" w14:textId="77777777" w:rsidR="00ED77C4" w:rsidRDefault="00ED77C4">
      <w:r>
        <w:separator/>
      </w:r>
    </w:p>
  </w:footnote>
  <w:footnote w:type="continuationSeparator" w:id="0">
    <w:p w14:paraId="03989878" w14:textId="77777777" w:rsidR="00ED77C4" w:rsidRDefault="00ED7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20"/>
    <w:rsid w:val="000532ED"/>
    <w:rsid w:val="00063760"/>
    <w:rsid w:val="000E02E2"/>
    <w:rsid w:val="000E5A8A"/>
    <w:rsid w:val="000F1F27"/>
    <w:rsid w:val="00227A39"/>
    <w:rsid w:val="002F5A3D"/>
    <w:rsid w:val="00321ABA"/>
    <w:rsid w:val="00360B46"/>
    <w:rsid w:val="004A0251"/>
    <w:rsid w:val="004F25D5"/>
    <w:rsid w:val="005C284F"/>
    <w:rsid w:val="005D3030"/>
    <w:rsid w:val="00615363"/>
    <w:rsid w:val="00654818"/>
    <w:rsid w:val="00684DD3"/>
    <w:rsid w:val="006B5D22"/>
    <w:rsid w:val="006E1A20"/>
    <w:rsid w:val="006F3B62"/>
    <w:rsid w:val="007C49D0"/>
    <w:rsid w:val="009D6DB0"/>
    <w:rsid w:val="009D6EEC"/>
    <w:rsid w:val="00A17EC6"/>
    <w:rsid w:val="00A24323"/>
    <w:rsid w:val="00A41A10"/>
    <w:rsid w:val="00AC6400"/>
    <w:rsid w:val="00B52E01"/>
    <w:rsid w:val="00B812F1"/>
    <w:rsid w:val="00C60731"/>
    <w:rsid w:val="00D24FC4"/>
    <w:rsid w:val="00D72909"/>
    <w:rsid w:val="00D874CE"/>
    <w:rsid w:val="00DF0DF9"/>
    <w:rsid w:val="00E3377D"/>
    <w:rsid w:val="00EA32AE"/>
    <w:rsid w:val="00ED77C4"/>
    <w:rsid w:val="00FD550A"/>
    <w:rsid w:val="00FD5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0B2DB"/>
  <w15:docId w15:val="{5CA3D694-78DA-494B-8DC8-FD008669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pPr>
      <w:jc w:val="left"/>
    </w:pPr>
  </w:style>
  <w:style w:type="paragraph" w:styleId="a5">
    <w:name w:val="Document Map"/>
    <w:basedOn w:val="a"/>
    <w:link w:val="Char1"/>
    <w:uiPriority w:val="99"/>
    <w:rPr>
      <w:rFonts w:ascii="宋体" w:hAnsi="Calibri"/>
      <w:kern w:val="0"/>
      <w:sz w:val="18"/>
      <w:szCs w:val="18"/>
    </w:rPr>
  </w:style>
  <w:style w:type="paragraph" w:styleId="a6">
    <w:name w:val="Body Text Indent"/>
    <w:basedOn w:val="a"/>
    <w:link w:val="Char2"/>
    <w:pPr>
      <w:autoSpaceDE w:val="0"/>
      <w:autoSpaceDN w:val="0"/>
      <w:adjustRightInd w:val="0"/>
      <w:spacing w:line="360" w:lineRule="auto"/>
      <w:ind w:firstLineChars="199" w:firstLine="478"/>
    </w:pPr>
    <w:rPr>
      <w:rFonts w:ascii="宋体" w:hAnsi="宋体"/>
      <w:kern w:val="0"/>
      <w:sz w:val="24"/>
      <w:szCs w:val="21"/>
    </w:rPr>
  </w:style>
  <w:style w:type="paragraph" w:styleId="a7">
    <w:name w:val="Plain Text"/>
    <w:basedOn w:val="a"/>
    <w:link w:val="Char3"/>
    <w:rPr>
      <w:rFonts w:ascii="宋体" w:hAnsi="Courier New"/>
      <w:szCs w:val="21"/>
    </w:rPr>
  </w:style>
  <w:style w:type="paragraph" w:styleId="a8">
    <w:name w:val="Date"/>
    <w:basedOn w:val="a"/>
    <w:next w:val="a"/>
    <w:qFormat/>
    <w:pPr>
      <w:ind w:leftChars="2500" w:left="100"/>
    </w:pPr>
    <w:rPr>
      <w:rFonts w:ascii="宋体" w:hAnsi="宋体"/>
      <w:sz w:val="24"/>
    </w:rPr>
  </w:style>
  <w:style w:type="paragraph" w:styleId="20">
    <w:name w:val="Body Text Indent 2"/>
    <w:basedOn w:val="a"/>
    <w:link w:val="2Char"/>
    <w:pPr>
      <w:spacing w:before="60" w:after="60"/>
      <w:ind w:left="479"/>
    </w:pPr>
    <w:rPr>
      <w:rFonts w:ascii="宋体"/>
      <w:sz w:val="24"/>
    </w:rPr>
  </w:style>
  <w:style w:type="paragraph" w:styleId="a9">
    <w:name w:val="Balloon Text"/>
    <w:basedOn w:val="a"/>
    <w:link w:val="Char4"/>
    <w:uiPriority w:val="99"/>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hyphen" w:pos="8296"/>
      </w:tabs>
      <w:spacing w:line="360" w:lineRule="auto"/>
    </w:pPr>
    <w:rPr>
      <w:rFonts w:ascii="宋体" w:hAnsi="宋体"/>
      <w:sz w:val="24"/>
      <w:szCs w:val="24"/>
    </w:rPr>
  </w:style>
  <w:style w:type="character" w:styleId="ac">
    <w:name w:val="page number"/>
    <w:basedOn w:val="a0"/>
  </w:style>
  <w:style w:type="character" w:styleId="ad">
    <w:name w:val="FollowedHyperlink"/>
    <w:rPr>
      <w:color w:val="800080"/>
      <w:u w:val="single"/>
    </w:rPr>
  </w:style>
  <w:style w:type="character" w:styleId="ae">
    <w:name w:val="Hyperlink"/>
    <w:uiPriority w:val="99"/>
    <w:rPr>
      <w:color w:val="0000FF"/>
      <w:u w:val="single"/>
    </w:rPr>
  </w:style>
  <w:style w:type="character" w:styleId="af">
    <w:name w:val="annotation reference"/>
    <w:uiPriority w:val="99"/>
    <w:rPr>
      <w:sz w:val="21"/>
      <w:szCs w:val="21"/>
    </w:rPr>
  </w:style>
  <w:style w:type="character" w:customStyle="1" w:styleId="Char6">
    <w:name w:val="页眉 Char"/>
    <w:link w:val="ab"/>
    <w:uiPriority w:val="99"/>
    <w:rPr>
      <w:kern w:val="2"/>
      <w:sz w:val="18"/>
      <w:szCs w:val="18"/>
    </w:rPr>
  </w:style>
  <w:style w:type="character" w:customStyle="1" w:styleId="DeltaViewInsertion">
    <w:name w:val="DeltaView Insertion"/>
    <w:rPr>
      <w:color w:val="0000FF"/>
      <w:spacing w:val="0"/>
      <w:u w:val="double"/>
    </w:rPr>
  </w:style>
  <w:style w:type="character" w:customStyle="1" w:styleId="2Char">
    <w:name w:val="正文文本缩进 2 Char"/>
    <w:link w:val="20"/>
    <w:rPr>
      <w:rFonts w:ascii="宋体"/>
      <w:kern w:val="2"/>
      <w:sz w:val="24"/>
    </w:rPr>
  </w:style>
  <w:style w:type="character" w:customStyle="1" w:styleId="Char3">
    <w:name w:val="纯文本 Char"/>
    <w:link w:val="a7"/>
    <w:rPr>
      <w:rFonts w:ascii="宋体" w:hAnsi="Courier New" w:cs="Courier New"/>
      <w:kern w:val="2"/>
      <w:sz w:val="21"/>
      <w:szCs w:val="21"/>
    </w:rPr>
  </w:style>
  <w:style w:type="character" w:customStyle="1" w:styleId="e-arialb101">
    <w:name w:val="e-arialb101"/>
    <w:rPr>
      <w:rFonts w:ascii="Arial" w:hAnsi="Arial" w:cs="Arial" w:hint="default"/>
      <w:color w:val="000000"/>
      <w:sz w:val="14"/>
      <w:szCs w:val="14"/>
    </w:rPr>
  </w:style>
  <w:style w:type="character" w:customStyle="1" w:styleId="1Char">
    <w:name w:val="标题 1 Char"/>
    <w:link w:val="1"/>
    <w:uiPriority w:val="9"/>
    <w:rPr>
      <w:rFonts w:ascii="宋体" w:hAnsi="宋体"/>
      <w:b/>
      <w:color w:val="000000"/>
      <w:kern w:val="2"/>
      <w:sz w:val="24"/>
    </w:rPr>
  </w:style>
  <w:style w:type="character" w:customStyle="1" w:styleId="Char">
    <w:name w:val="批注主题 Char"/>
    <w:link w:val="a3"/>
    <w:uiPriority w:val="99"/>
    <w:rPr>
      <w:b/>
      <w:bCs/>
      <w:kern w:val="2"/>
      <w:sz w:val="21"/>
    </w:rPr>
  </w:style>
  <w:style w:type="character" w:customStyle="1" w:styleId="Char1">
    <w:name w:val="文档结构图 Char"/>
    <w:link w:val="a5"/>
    <w:uiPriority w:val="99"/>
    <w:rPr>
      <w:rFonts w:ascii="宋体" w:hAnsi="Calibri"/>
      <w:sz w:val="18"/>
      <w:szCs w:val="18"/>
    </w:rPr>
  </w:style>
  <w:style w:type="character" w:customStyle="1" w:styleId="Char4">
    <w:name w:val="批注框文本 Char"/>
    <w:link w:val="a9"/>
    <w:uiPriority w:val="99"/>
    <w:qFormat/>
    <w:rPr>
      <w:kern w:val="2"/>
      <w:sz w:val="18"/>
      <w:szCs w:val="18"/>
    </w:rPr>
  </w:style>
  <w:style w:type="character" w:customStyle="1" w:styleId="Char0">
    <w:name w:val="批注文字 Char"/>
    <w:link w:val="a4"/>
    <w:uiPriority w:val="99"/>
    <w:qFormat/>
    <w:rPr>
      <w:kern w:val="2"/>
      <w:sz w:val="21"/>
    </w:rPr>
  </w:style>
  <w:style w:type="character" w:customStyle="1" w:styleId="Char2">
    <w:name w:val="正文文本缩进 Char"/>
    <w:link w:val="a6"/>
    <w:qFormat/>
    <w:rPr>
      <w:rFonts w:ascii="宋体" w:hAnsi="宋体" w:cs="Arial"/>
      <w:sz w:val="24"/>
      <w:szCs w:val="21"/>
    </w:rPr>
  </w:style>
  <w:style w:type="character" w:customStyle="1" w:styleId="apple-style-span">
    <w:name w:val="apple-style-span"/>
  </w:style>
  <w:style w:type="character" w:customStyle="1" w:styleId="Char5">
    <w:name w:val="页脚 Char"/>
    <w:link w:val="aa"/>
    <w:uiPriority w:val="99"/>
    <w:qFormat/>
    <w:rPr>
      <w:kern w:val="2"/>
      <w:sz w:val="18"/>
      <w:szCs w:val="18"/>
    </w:rPr>
  </w:style>
  <w:style w:type="paragraph" w:customStyle="1" w:styleId="11">
    <w:name w:val="修订1"/>
    <w:uiPriority w:val="99"/>
    <w:rPr>
      <w:rFonts w:ascii="Calibri" w:hAnsi="Calibri"/>
      <w:kern w:val="2"/>
      <w:sz w:val="21"/>
      <w:szCs w:val="22"/>
    </w:rPr>
  </w:style>
  <w:style w:type="paragraph" w:customStyle="1" w:styleId="NormalJustified">
    <w:name w:val="Normal (Justified)"/>
    <w:basedOn w:val="a"/>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Pr>
      <w:rFonts w:ascii="Tahoma" w:hAnsi="Tahoma"/>
      <w:sz w:val="24"/>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7">
    <w:name w:val="Char"/>
    <w:basedOn w:val="a"/>
    <w:pPr>
      <w:widowControl/>
      <w:spacing w:after="160" w:line="240" w:lineRule="exact"/>
      <w:jc w:val="left"/>
    </w:pPr>
  </w:style>
  <w:style w:type="paragraph" w:customStyle="1" w:styleId="CharCharChar">
    <w:name w:val="Char Char Char"/>
    <w:basedOn w:val="a"/>
    <w:qFormat/>
    <w:rPr>
      <w:szCs w:val="24"/>
    </w:rPr>
  </w:style>
  <w:style w:type="paragraph" w:customStyle="1" w:styleId="CharCharCharCharCharCharChar">
    <w:name w:val="Char Char Char Char Char Char Char"/>
    <w:basedOn w:val="a"/>
    <w:qFormat/>
    <w:pPr>
      <w:tabs>
        <w:tab w:val="left" w:pos="360"/>
      </w:tabs>
      <w:adjustRightInd w:val="0"/>
      <w:textAlignment w:val="baseline"/>
    </w:pPr>
    <w:rPr>
      <w:sz w:val="24"/>
    </w:rPr>
  </w:style>
  <w:style w:type="paragraph" w:customStyle="1" w:styleId="CM16">
    <w:name w:val="CM16"/>
    <w:basedOn w:val="Default"/>
    <w:next w:val="Default"/>
    <w:qFormat/>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pPr>
      <w:tabs>
        <w:tab w:val="left" w:pos="360"/>
      </w:tabs>
    </w:pPr>
    <w:rPr>
      <w:sz w:val="24"/>
      <w:szCs w:val="24"/>
    </w:rPr>
  </w:style>
  <w:style w:type="paragraph" w:customStyle="1" w:styleId="4CharCharCharChar">
    <w:name w:val="4 Char Char Char Char"/>
    <w:basedOn w:val="a"/>
    <w:qFormat/>
    <w:rPr>
      <w:rFonts w:ascii="Tahoma" w:hAnsi="Tahoma"/>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style>
  <w:style w:type="character" w:customStyle="1" w:styleId="af0">
    <w:name w:val="批注文字 字符"/>
    <w:qFormat/>
    <w:rPr>
      <w:rFonts w:ascii="Times New Roman" w:eastAsia="宋体" w:hAnsi="Times New Roman" w:cs="Times New Roman"/>
      <w:szCs w:val="24"/>
    </w:rPr>
  </w:style>
  <w:style w:type="paragraph" w:styleId="af1">
    <w:name w:val="Revision"/>
    <w:uiPriority w:val="99"/>
    <w:rPr>
      <w:kern w:val="2"/>
      <w:sz w:val="21"/>
    </w:rPr>
  </w:style>
  <w:style w:type="character" w:customStyle="1" w:styleId="21">
    <w:name w:val="正文文本缩进 2 字符"/>
    <w:rsid w:val="00D874CE"/>
    <w:rPr>
      <w:rFonts w:ascii="宋体"/>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56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3CAF-1CA1-4563-ADA6-1343783911D0}">
  <ds:schemaRefs>
    <ds:schemaRef ds:uri="http://www.wps.cn/android/officeDocument/2013/mofficeCustomData"/>
  </ds:schemaRefs>
</ds:datastoreItem>
</file>

<file path=customXml/itemProps2.xml><?xml version="1.0" encoding="utf-8"?>
<ds:datastoreItem xmlns:ds="http://schemas.openxmlformats.org/officeDocument/2006/customXml" ds:itemID="{544F1294-445D-4265-BE6F-9855D348A9D5}">
  <ds:schemaRefs>
    <ds:schemaRef ds:uri="http://www.wps.cn/android/officeDocument/2013/mofficeCustomData"/>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1FE1F41-A7F4-4EDD-8187-1A4706AB36C1}">
  <ds:schemaRefs>
    <ds:schemaRef ds:uri="http://www.wps.cn/android/officeDocument/2013/mofficeCustomData"/>
  </ds:schemaRefs>
</ds:datastoreItem>
</file>

<file path=customXml/itemProps5.xml><?xml version="1.0" encoding="utf-8"?>
<ds:datastoreItem xmlns:ds="http://schemas.openxmlformats.org/officeDocument/2006/customXml" ds:itemID="{7370FC2C-767C-4B48-97E3-88558E5A5195}">
  <ds:schemaRefs>
    <ds:schemaRef ds:uri="http://www.wps.cn/android/officeDocument/2013/mofficeCustomData"/>
  </ds:schemaRefs>
</ds:datastoreItem>
</file>

<file path=customXml/itemProps6.xml><?xml version="1.0" encoding="utf-8"?>
<ds:datastoreItem xmlns:ds="http://schemas.openxmlformats.org/officeDocument/2006/customXml" ds:itemID="{759C94B2-E359-4EEA-872E-AEF29811C370}">
  <ds:schemaRefs>
    <ds:schemaRef ds:uri="http://schemas.openxmlformats.org/officeDocument/2006/bibliography"/>
  </ds:schemaRefs>
</ds:datastoreItem>
</file>

<file path=customXml/itemProps7.xml><?xml version="1.0" encoding="utf-8"?>
<ds:datastoreItem xmlns:ds="http://schemas.openxmlformats.org/officeDocument/2006/customXml" ds:itemID="{DF3D1A9B-9A00-49E4-B333-ECC58868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5180</Words>
  <Characters>29530</Characters>
  <Application>Microsoft Office Word</Application>
  <DocSecurity>0</DocSecurity>
  <Lines>246</Lines>
  <Paragraphs>69</Paragraphs>
  <ScaleCrop>false</ScaleCrop>
  <Company/>
  <LinksUpToDate>false</LinksUpToDate>
  <CharactersWithSpaces>34641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刘斓</dc:creator>
  <cp:lastModifiedBy>叶焕青</cp:lastModifiedBy>
  <cp:revision>6</cp:revision>
  <cp:lastPrinted>2020-11-26T07:13:00Z</cp:lastPrinted>
  <dcterms:created xsi:type="dcterms:W3CDTF">2021-03-29T07:15:00Z</dcterms:created>
  <dcterms:modified xsi:type="dcterms:W3CDTF">2021-03-30T11:03:00Z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