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97DAA" w14:textId="77777777" w:rsidR="00F45A57" w:rsidRDefault="00F45A57">
      <w:pPr>
        <w:rPr>
          <w:rFonts w:ascii="仿宋" w:eastAsia="仿宋" w:hAnsi="仿宋"/>
          <w:color w:val="000000"/>
          <w:sz w:val="28"/>
          <w:szCs w:val="28"/>
        </w:rPr>
      </w:pPr>
      <w:bookmarkStart w:id="0" w:name="_GoBack"/>
      <w:bookmarkEnd w:id="0"/>
    </w:p>
    <w:p w14:paraId="4656C92F" w14:textId="77777777" w:rsidR="00F45A57" w:rsidRDefault="00815DA3">
      <w:pPr>
        <w:spacing w:line="520" w:lineRule="exact"/>
        <w:jc w:val="center"/>
        <w:rPr>
          <w:rFonts w:ascii="仿宋_GB2312" w:eastAsia="黑体" w:hAnsi="黑体" w:cs="宋体"/>
          <w:b/>
          <w:bCs/>
          <w:sz w:val="24"/>
          <w:szCs w:val="24"/>
        </w:rPr>
      </w:pPr>
      <w:r>
        <w:rPr>
          <w:rFonts w:ascii="黑体" w:eastAsia="黑体" w:hAnsi="黑体" w:cs="宋体" w:hint="eastAsia"/>
          <w:sz w:val="24"/>
          <w:szCs w:val="24"/>
        </w:rPr>
        <w:t xml:space="preserve">                                 编号：银</w:t>
      </w:r>
      <w:r>
        <w:rPr>
          <w:rFonts w:ascii="黑体" w:eastAsia="黑体" w:hAnsi="黑体" w:cs="宋体" w:hint="eastAsia"/>
          <w:sz w:val="24"/>
          <w:szCs w:val="24"/>
          <w:u w:val="single"/>
        </w:rPr>
        <w:t xml:space="preserve">    </w:t>
      </w:r>
      <w:r>
        <w:rPr>
          <w:rFonts w:ascii="黑体" w:eastAsia="黑体" w:hAnsi="黑体" w:cs="宋体" w:hint="eastAsia"/>
          <w:sz w:val="24"/>
          <w:szCs w:val="24"/>
        </w:rPr>
        <w:t>字/第</w:t>
      </w:r>
      <w:r>
        <w:rPr>
          <w:rFonts w:ascii="黑体" w:eastAsia="黑体" w:hAnsi="黑体" w:cs="宋体" w:hint="eastAsia"/>
          <w:sz w:val="24"/>
          <w:szCs w:val="24"/>
          <w:u w:val="single"/>
        </w:rPr>
        <w:t xml:space="preserve">         </w:t>
      </w:r>
      <w:r>
        <w:rPr>
          <w:rFonts w:ascii="黑体" w:eastAsia="黑体" w:hAnsi="黑体" w:cs="宋体" w:hint="eastAsia"/>
          <w:sz w:val="24"/>
          <w:szCs w:val="24"/>
        </w:rPr>
        <w:t>号</w:t>
      </w:r>
    </w:p>
    <w:p w14:paraId="0A70F588" w14:textId="77777777" w:rsidR="00F45A57" w:rsidRDefault="00F45A57">
      <w:pPr>
        <w:rPr>
          <w:rFonts w:ascii="仿宋" w:eastAsia="仿宋" w:hAnsi="仿宋"/>
          <w:color w:val="000000"/>
          <w:sz w:val="28"/>
          <w:szCs w:val="28"/>
        </w:rPr>
      </w:pPr>
    </w:p>
    <w:p w14:paraId="2A8813A3" w14:textId="77777777" w:rsidR="00F45A57" w:rsidRDefault="00F45A57">
      <w:pPr>
        <w:rPr>
          <w:rFonts w:ascii="仿宋" w:eastAsia="仿宋" w:hAnsi="仿宋"/>
          <w:color w:val="000000"/>
          <w:sz w:val="28"/>
          <w:szCs w:val="28"/>
        </w:rPr>
      </w:pPr>
    </w:p>
    <w:p w14:paraId="416614A7" w14:textId="77777777" w:rsidR="00F45A57" w:rsidRPr="004B001B" w:rsidRDefault="00F45A57">
      <w:pPr>
        <w:rPr>
          <w:rFonts w:ascii="仿宋" w:eastAsia="仿宋" w:hAnsi="仿宋"/>
          <w:color w:val="000000"/>
          <w:sz w:val="28"/>
          <w:szCs w:val="28"/>
        </w:rPr>
      </w:pPr>
    </w:p>
    <w:p w14:paraId="04332C9A" w14:textId="77777777" w:rsidR="00F45A57" w:rsidRDefault="00F45A57">
      <w:pPr>
        <w:rPr>
          <w:rFonts w:ascii="仿宋" w:eastAsia="仿宋" w:hAnsi="仿宋"/>
          <w:color w:val="000000"/>
          <w:sz w:val="28"/>
          <w:szCs w:val="28"/>
        </w:rPr>
      </w:pPr>
    </w:p>
    <w:p w14:paraId="3A42D2EF" w14:textId="77777777" w:rsidR="00F45A57" w:rsidRDefault="00F45A57">
      <w:pPr>
        <w:rPr>
          <w:rFonts w:ascii="仿宋" w:eastAsia="仿宋" w:hAnsi="仿宋"/>
          <w:color w:val="000000"/>
          <w:sz w:val="28"/>
          <w:szCs w:val="28"/>
        </w:rPr>
      </w:pPr>
    </w:p>
    <w:p w14:paraId="30A2DD23" w14:textId="77777777" w:rsidR="00F45A57" w:rsidRDefault="00F45A57">
      <w:pPr>
        <w:rPr>
          <w:rFonts w:ascii="仿宋" w:eastAsia="仿宋" w:hAnsi="仿宋"/>
          <w:color w:val="000000"/>
          <w:sz w:val="28"/>
          <w:szCs w:val="28"/>
        </w:rPr>
      </w:pPr>
    </w:p>
    <w:p w14:paraId="730A5809" w14:textId="77777777" w:rsidR="00F45A57" w:rsidRDefault="00F45A57">
      <w:pPr>
        <w:rPr>
          <w:rFonts w:ascii="仿宋" w:eastAsia="仿宋" w:hAnsi="仿宋"/>
          <w:color w:val="000000"/>
          <w:sz w:val="28"/>
          <w:szCs w:val="28"/>
        </w:rPr>
      </w:pPr>
    </w:p>
    <w:p w14:paraId="6EE046AE" w14:textId="77777777" w:rsidR="00F45A57" w:rsidRDefault="00F45A57">
      <w:pPr>
        <w:rPr>
          <w:rFonts w:ascii="仿宋" w:eastAsia="仿宋" w:hAnsi="仿宋"/>
          <w:color w:val="000000"/>
          <w:sz w:val="28"/>
          <w:szCs w:val="28"/>
        </w:rPr>
      </w:pPr>
    </w:p>
    <w:p w14:paraId="2D047354" w14:textId="47EA235B" w:rsidR="00F45A57" w:rsidRDefault="00A46D0E">
      <w:pPr>
        <w:jc w:val="center"/>
        <w:rPr>
          <w:b/>
          <w:color w:val="000000"/>
          <w:sz w:val="36"/>
          <w:szCs w:val="36"/>
        </w:rPr>
      </w:pPr>
      <w:bookmarkStart w:id="1" w:name="_Toc123112262"/>
      <w:bookmarkStart w:id="2" w:name="_Toc123112223"/>
      <w:bookmarkStart w:id="3" w:name="_Toc123701382"/>
      <w:bookmarkStart w:id="4" w:name="_Toc139992300"/>
      <w:bookmarkStart w:id="5" w:name="_Toc139991725"/>
      <w:r>
        <w:rPr>
          <w:rFonts w:hint="eastAsia"/>
          <w:b/>
          <w:color w:val="000000"/>
          <w:sz w:val="36"/>
          <w:szCs w:val="36"/>
        </w:rPr>
        <w:t>中信证券信远一年持有期混合型集合资产管理计划</w:t>
      </w:r>
    </w:p>
    <w:bookmarkEnd w:id="1"/>
    <w:bookmarkEnd w:id="2"/>
    <w:bookmarkEnd w:id="3"/>
    <w:bookmarkEnd w:id="4"/>
    <w:bookmarkEnd w:id="5"/>
    <w:p w14:paraId="1EC92992" w14:textId="3A30EAA8" w:rsidR="00F45A57" w:rsidRDefault="00815DA3">
      <w:pPr>
        <w:jc w:val="center"/>
        <w:rPr>
          <w:b/>
          <w:color w:val="000000"/>
          <w:sz w:val="36"/>
          <w:szCs w:val="36"/>
        </w:rPr>
      </w:pPr>
      <w:r>
        <w:rPr>
          <w:rFonts w:hint="eastAsia"/>
          <w:b/>
          <w:color w:val="000000"/>
          <w:sz w:val="36"/>
          <w:szCs w:val="36"/>
        </w:rPr>
        <w:t>托管协议</w:t>
      </w:r>
    </w:p>
    <w:p w14:paraId="264C8787" w14:textId="77777777" w:rsidR="00F45A57" w:rsidRDefault="00F45A57">
      <w:pPr>
        <w:pStyle w:val="21"/>
        <w:rPr>
          <w:rFonts w:ascii="仿宋" w:eastAsia="仿宋" w:hAnsi="仿宋"/>
          <w:color w:val="000000"/>
          <w:sz w:val="44"/>
          <w:szCs w:val="44"/>
        </w:rPr>
      </w:pPr>
    </w:p>
    <w:p w14:paraId="60F81670" w14:textId="77777777" w:rsidR="00F45A57" w:rsidRDefault="00F45A57">
      <w:pPr>
        <w:pStyle w:val="21"/>
        <w:rPr>
          <w:rFonts w:ascii="仿宋" w:eastAsia="仿宋" w:hAnsi="仿宋"/>
          <w:color w:val="000000"/>
          <w:sz w:val="28"/>
          <w:szCs w:val="28"/>
        </w:rPr>
      </w:pPr>
    </w:p>
    <w:p w14:paraId="2881C312" w14:textId="77777777" w:rsidR="00F45A57" w:rsidRDefault="00F45A57">
      <w:pPr>
        <w:pStyle w:val="21"/>
        <w:rPr>
          <w:rFonts w:ascii="仿宋" w:eastAsia="仿宋" w:hAnsi="仿宋"/>
          <w:color w:val="000000"/>
          <w:sz w:val="28"/>
          <w:szCs w:val="28"/>
        </w:rPr>
      </w:pPr>
    </w:p>
    <w:p w14:paraId="15255119" w14:textId="77777777" w:rsidR="00F45A57" w:rsidRDefault="00F45A57">
      <w:pPr>
        <w:pStyle w:val="21"/>
        <w:rPr>
          <w:rFonts w:ascii="仿宋" w:eastAsia="仿宋" w:hAnsi="仿宋"/>
          <w:color w:val="000000"/>
          <w:sz w:val="28"/>
          <w:szCs w:val="28"/>
        </w:rPr>
      </w:pPr>
    </w:p>
    <w:p w14:paraId="53A4F177" w14:textId="77777777" w:rsidR="00F45A57" w:rsidRDefault="00F45A57">
      <w:pPr>
        <w:pStyle w:val="21"/>
        <w:rPr>
          <w:rFonts w:ascii="仿宋" w:eastAsia="仿宋" w:hAnsi="仿宋"/>
          <w:color w:val="000000"/>
          <w:sz w:val="28"/>
          <w:szCs w:val="28"/>
        </w:rPr>
      </w:pPr>
    </w:p>
    <w:p w14:paraId="79D043B5" w14:textId="77777777" w:rsidR="00F45A57" w:rsidRDefault="00F45A57">
      <w:pPr>
        <w:rPr>
          <w:rFonts w:ascii="仿宋" w:eastAsia="仿宋" w:hAnsi="仿宋"/>
          <w:b/>
          <w:color w:val="000000"/>
          <w:sz w:val="44"/>
          <w:szCs w:val="44"/>
        </w:rPr>
      </w:pPr>
    </w:p>
    <w:p w14:paraId="45C28305" w14:textId="77777777" w:rsidR="00F45A57" w:rsidRDefault="00F45A57">
      <w:pPr>
        <w:rPr>
          <w:rFonts w:ascii="仿宋" w:eastAsia="仿宋" w:hAnsi="仿宋"/>
          <w:b/>
          <w:color w:val="000000"/>
          <w:szCs w:val="28"/>
        </w:rPr>
      </w:pPr>
    </w:p>
    <w:p w14:paraId="522931DA" w14:textId="77777777" w:rsidR="00F45A57" w:rsidRDefault="00F45A57">
      <w:pPr>
        <w:rPr>
          <w:rFonts w:ascii="仿宋" w:eastAsia="仿宋" w:hAnsi="仿宋"/>
          <w:b/>
          <w:bCs/>
          <w:color w:val="000000"/>
          <w:sz w:val="28"/>
          <w:szCs w:val="28"/>
        </w:rPr>
      </w:pPr>
    </w:p>
    <w:p w14:paraId="116A6CA3" w14:textId="77777777" w:rsidR="00F45A57" w:rsidRDefault="00F45A57">
      <w:pPr>
        <w:rPr>
          <w:rFonts w:ascii="仿宋" w:eastAsia="仿宋" w:hAnsi="仿宋"/>
          <w:b/>
          <w:bCs/>
          <w:color w:val="000000"/>
          <w:sz w:val="28"/>
          <w:szCs w:val="28"/>
        </w:rPr>
      </w:pPr>
    </w:p>
    <w:p w14:paraId="3AD66708" w14:textId="77777777" w:rsidR="00F45A57" w:rsidRDefault="00F45A57">
      <w:pPr>
        <w:rPr>
          <w:rFonts w:ascii="仿宋" w:eastAsia="仿宋" w:hAnsi="仿宋"/>
          <w:b/>
          <w:bCs/>
          <w:color w:val="000000"/>
          <w:sz w:val="28"/>
          <w:szCs w:val="28"/>
        </w:rPr>
      </w:pPr>
    </w:p>
    <w:p w14:paraId="4E3B7220" w14:textId="77777777" w:rsidR="00F45A57" w:rsidRDefault="00F45A57">
      <w:pPr>
        <w:rPr>
          <w:b/>
          <w:color w:val="000000"/>
          <w:sz w:val="32"/>
          <w:szCs w:val="32"/>
        </w:rPr>
      </w:pPr>
    </w:p>
    <w:p w14:paraId="599615C2" w14:textId="77777777" w:rsidR="00F45A57" w:rsidRDefault="00815DA3">
      <w:pPr>
        <w:ind w:firstLineChars="450" w:firstLine="1446"/>
        <w:rPr>
          <w:b/>
          <w:color w:val="000000"/>
          <w:sz w:val="32"/>
          <w:szCs w:val="32"/>
        </w:rPr>
      </w:pPr>
      <w:bookmarkStart w:id="6" w:name="_Toc139991726"/>
      <w:bookmarkStart w:id="7" w:name="_Toc139992301"/>
      <w:bookmarkStart w:id="8" w:name="_Toc123112224"/>
      <w:bookmarkStart w:id="9" w:name="_Toc123701383"/>
      <w:bookmarkStart w:id="10" w:name="_Toc123112263"/>
      <w:r>
        <w:rPr>
          <w:rFonts w:hint="eastAsia"/>
          <w:b/>
          <w:color w:val="000000"/>
          <w:sz w:val="32"/>
          <w:szCs w:val="32"/>
        </w:rPr>
        <w:t>集合计划</w:t>
      </w:r>
      <w:r>
        <w:rPr>
          <w:b/>
          <w:color w:val="000000"/>
          <w:sz w:val="32"/>
          <w:szCs w:val="32"/>
        </w:rPr>
        <w:t>管理人：</w:t>
      </w:r>
      <w:bookmarkEnd w:id="6"/>
      <w:bookmarkEnd w:id="7"/>
      <w:bookmarkEnd w:id="8"/>
      <w:bookmarkEnd w:id="9"/>
      <w:bookmarkEnd w:id="10"/>
      <w:r>
        <w:rPr>
          <w:rFonts w:hint="eastAsia"/>
          <w:b/>
          <w:color w:val="000000"/>
          <w:sz w:val="32"/>
          <w:szCs w:val="32"/>
        </w:rPr>
        <w:t>中信证券股份有限公司</w:t>
      </w:r>
    </w:p>
    <w:p w14:paraId="6DCD8F09" w14:textId="77777777" w:rsidR="00F45A57" w:rsidRDefault="00815DA3">
      <w:pPr>
        <w:ind w:firstLineChars="450" w:firstLine="1446"/>
        <w:rPr>
          <w:b/>
          <w:color w:val="000000"/>
          <w:sz w:val="32"/>
          <w:szCs w:val="32"/>
        </w:rPr>
      </w:pPr>
      <w:bookmarkStart w:id="11" w:name="_Toc139991727"/>
      <w:bookmarkStart w:id="12" w:name="_Toc123112225"/>
      <w:bookmarkStart w:id="13" w:name="_Toc139992302"/>
      <w:bookmarkStart w:id="14" w:name="_Toc123701384"/>
      <w:bookmarkStart w:id="15" w:name="_Toc123112264"/>
      <w:r>
        <w:rPr>
          <w:rFonts w:hint="eastAsia"/>
          <w:b/>
          <w:color w:val="000000"/>
          <w:sz w:val="32"/>
          <w:szCs w:val="32"/>
        </w:rPr>
        <w:t>集合计划</w:t>
      </w:r>
      <w:r>
        <w:rPr>
          <w:b/>
          <w:color w:val="000000"/>
          <w:sz w:val="32"/>
          <w:szCs w:val="32"/>
        </w:rPr>
        <w:t>托管人：</w:t>
      </w:r>
      <w:bookmarkEnd w:id="11"/>
      <w:bookmarkEnd w:id="12"/>
      <w:bookmarkEnd w:id="13"/>
      <w:bookmarkEnd w:id="14"/>
      <w:bookmarkEnd w:id="15"/>
      <w:r>
        <w:rPr>
          <w:rFonts w:hint="eastAsia"/>
          <w:b/>
          <w:color w:val="000000"/>
          <w:sz w:val="32"/>
          <w:szCs w:val="32"/>
        </w:rPr>
        <w:t>中信银行股份有限公司</w:t>
      </w:r>
      <w:r>
        <w:rPr>
          <w:b/>
          <w:color w:val="000000"/>
          <w:sz w:val="32"/>
          <w:szCs w:val="32"/>
        </w:rPr>
        <w:t xml:space="preserve">           </w:t>
      </w:r>
    </w:p>
    <w:p w14:paraId="01F54B21" w14:textId="77777777" w:rsidR="00F45A57" w:rsidRDefault="00F45A57">
      <w:pPr>
        <w:jc w:val="center"/>
        <w:rPr>
          <w:bCs/>
          <w:color w:val="000000"/>
          <w:sz w:val="32"/>
        </w:rPr>
      </w:pPr>
    </w:p>
    <w:p w14:paraId="3A4FD208" w14:textId="77777777" w:rsidR="00F45A57" w:rsidRDefault="00F45A57">
      <w:pPr>
        <w:jc w:val="center"/>
        <w:rPr>
          <w:bCs/>
          <w:color w:val="000000"/>
          <w:sz w:val="28"/>
        </w:rPr>
      </w:pPr>
    </w:p>
    <w:p w14:paraId="23395AB9" w14:textId="77777777" w:rsidR="00F45A57" w:rsidRDefault="00F45A57">
      <w:pPr>
        <w:rPr>
          <w:rFonts w:ascii="仿宋" w:eastAsia="仿宋" w:hAnsi="仿宋"/>
          <w:b/>
          <w:bCs/>
          <w:color w:val="000000"/>
          <w:sz w:val="28"/>
          <w:szCs w:val="28"/>
        </w:rPr>
      </w:pPr>
    </w:p>
    <w:p w14:paraId="6A5A1F34" w14:textId="77777777" w:rsidR="00F45A57" w:rsidRDefault="00815DA3">
      <w:pPr>
        <w:rPr>
          <w:rFonts w:ascii="仿宋" w:eastAsia="仿宋" w:hAnsi="仿宋"/>
          <w:b/>
          <w:bCs/>
          <w:color w:val="000000"/>
          <w:sz w:val="28"/>
          <w:szCs w:val="28"/>
        </w:rPr>
      </w:pPr>
      <w:r>
        <w:rPr>
          <w:rFonts w:ascii="仿宋" w:eastAsia="仿宋" w:hAnsi="仿宋" w:hint="eastAsia"/>
          <w:b/>
          <w:bCs/>
          <w:noProof/>
          <w:color w:val="000000"/>
          <w:sz w:val="28"/>
          <w:szCs w:val="28"/>
        </w:rPr>
        <w:drawing>
          <wp:anchor distT="0" distB="0" distL="114300" distR="114300" simplePos="0" relativeHeight="251657216" behindDoc="0" locked="0" layoutInCell="1" allowOverlap="1" wp14:anchorId="2F60C54A" wp14:editId="2E7D743C">
            <wp:simplePos x="0" y="0"/>
            <wp:positionH relativeFrom="column">
              <wp:posOffset>2052955</wp:posOffset>
            </wp:positionH>
            <wp:positionV relativeFrom="paragraph">
              <wp:posOffset>188595</wp:posOffset>
            </wp:positionV>
            <wp:extent cx="1390650" cy="497205"/>
            <wp:effectExtent l="0" t="0" r="0" b="0"/>
            <wp:wrapNone/>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90650" cy="497205"/>
                    </a:xfrm>
                    <a:prstGeom prst="rect">
                      <a:avLst/>
                    </a:prstGeom>
                    <a:noFill/>
                    <a:ln>
                      <a:noFill/>
                    </a:ln>
                  </pic:spPr>
                </pic:pic>
              </a:graphicData>
            </a:graphic>
          </wp:anchor>
        </w:drawing>
      </w:r>
    </w:p>
    <w:p w14:paraId="1E6C1058" w14:textId="77777777" w:rsidR="00F45A57" w:rsidRDefault="00F45A57">
      <w:pPr>
        <w:rPr>
          <w:rFonts w:ascii="仿宋" w:eastAsia="仿宋" w:hAnsi="仿宋"/>
          <w:color w:val="000000"/>
          <w:sz w:val="28"/>
          <w:szCs w:val="28"/>
        </w:rPr>
        <w:sectPr w:rsidR="00F45A57">
          <w:headerReference w:type="default" r:id="rId8"/>
          <w:footerReference w:type="even" r:id="rId9"/>
          <w:footerReference w:type="default" r:id="rId10"/>
          <w:footerReference w:type="first" r:id="rId11"/>
          <w:pgSz w:w="11907" w:h="16840"/>
          <w:pgMar w:top="1361" w:right="1452" w:bottom="1134" w:left="1452" w:header="720" w:footer="720" w:gutter="0"/>
          <w:cols w:space="720"/>
          <w:titlePg/>
        </w:sectPr>
      </w:pPr>
    </w:p>
    <w:p w14:paraId="32BBBC83" w14:textId="77777777" w:rsidR="00F45A57" w:rsidRDefault="00815DA3">
      <w:pPr>
        <w:rPr>
          <w:rFonts w:ascii="仿宋" w:eastAsia="仿宋" w:hAnsi="仿宋"/>
          <w:color w:val="000000"/>
          <w:sz w:val="28"/>
          <w:szCs w:val="28"/>
        </w:rPr>
      </w:pPr>
      <w:r>
        <w:rPr>
          <w:rFonts w:ascii="仿宋" w:eastAsia="仿宋" w:hAnsi="仿宋" w:hint="eastAsia"/>
          <w:color w:val="000000"/>
          <w:sz w:val="28"/>
          <w:szCs w:val="28"/>
        </w:rPr>
        <w:lastRenderedPageBreak/>
        <w:t>目录</w:t>
      </w:r>
    </w:p>
    <w:p w14:paraId="673BBE6F" w14:textId="77777777" w:rsidR="00F45A57" w:rsidRDefault="00F45A57">
      <w:pPr>
        <w:rPr>
          <w:rFonts w:ascii="仿宋" w:eastAsia="仿宋" w:hAnsi="仿宋"/>
          <w:color w:val="000000"/>
          <w:sz w:val="28"/>
          <w:szCs w:val="28"/>
        </w:rPr>
      </w:pPr>
    </w:p>
    <w:p w14:paraId="186FA43A" w14:textId="3A5BF227" w:rsidR="00A80B32" w:rsidRDefault="00815DA3">
      <w:pPr>
        <w:pStyle w:val="11"/>
        <w:rPr>
          <w:rFonts w:asciiTheme="minorHAnsi" w:eastAsiaTheme="minorEastAsia" w:hAnsiTheme="minorHAnsi" w:cstheme="minorBidi"/>
          <w:noProof/>
          <w:sz w:val="21"/>
          <w:szCs w:val="22"/>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45279142" w:history="1">
        <w:r w:rsidR="00A80B32" w:rsidRPr="00274D8E">
          <w:rPr>
            <w:rStyle w:val="af3"/>
            <w:rFonts w:ascii="仿宋" w:eastAsia="仿宋" w:hAnsi="仿宋"/>
            <w:bCs/>
            <w:noProof/>
          </w:rPr>
          <w:t>第一条 集合计划托管协议当事人</w:t>
        </w:r>
        <w:r w:rsidR="00A80B32">
          <w:rPr>
            <w:noProof/>
            <w:webHidden/>
          </w:rPr>
          <w:tab/>
        </w:r>
        <w:r w:rsidR="00A80B32">
          <w:rPr>
            <w:noProof/>
            <w:webHidden/>
          </w:rPr>
          <w:fldChar w:fldCharType="begin"/>
        </w:r>
        <w:r w:rsidR="00A80B32">
          <w:rPr>
            <w:noProof/>
            <w:webHidden/>
          </w:rPr>
          <w:instrText xml:space="preserve"> PAGEREF _Toc45279142 \h </w:instrText>
        </w:r>
        <w:r w:rsidR="00A80B32">
          <w:rPr>
            <w:noProof/>
            <w:webHidden/>
          </w:rPr>
        </w:r>
        <w:r w:rsidR="00A80B32">
          <w:rPr>
            <w:noProof/>
            <w:webHidden/>
          </w:rPr>
          <w:fldChar w:fldCharType="separate"/>
        </w:r>
        <w:r w:rsidR="00DA6A57">
          <w:rPr>
            <w:noProof/>
            <w:webHidden/>
          </w:rPr>
          <w:t>3</w:t>
        </w:r>
        <w:r w:rsidR="00A80B32">
          <w:rPr>
            <w:noProof/>
            <w:webHidden/>
          </w:rPr>
          <w:fldChar w:fldCharType="end"/>
        </w:r>
      </w:hyperlink>
    </w:p>
    <w:p w14:paraId="0DFBF6E7" w14:textId="7B07CDE6" w:rsidR="00A80B32" w:rsidRDefault="003721CD">
      <w:pPr>
        <w:pStyle w:val="11"/>
        <w:rPr>
          <w:rFonts w:asciiTheme="minorHAnsi" w:eastAsiaTheme="minorEastAsia" w:hAnsiTheme="minorHAnsi" w:cstheme="minorBidi"/>
          <w:noProof/>
          <w:sz w:val="21"/>
          <w:szCs w:val="22"/>
        </w:rPr>
      </w:pPr>
      <w:hyperlink w:anchor="_Toc45279143" w:history="1">
        <w:r w:rsidR="00A80B32" w:rsidRPr="00274D8E">
          <w:rPr>
            <w:rStyle w:val="af3"/>
            <w:rFonts w:ascii="仿宋" w:eastAsia="仿宋" w:hAnsi="仿宋"/>
            <w:bCs/>
            <w:noProof/>
          </w:rPr>
          <w:t>第二条 集合计划托管协议的依据、目的和原则</w:t>
        </w:r>
        <w:r w:rsidR="00A80B32">
          <w:rPr>
            <w:noProof/>
            <w:webHidden/>
          </w:rPr>
          <w:tab/>
        </w:r>
        <w:r w:rsidR="00A80B32">
          <w:rPr>
            <w:noProof/>
            <w:webHidden/>
          </w:rPr>
          <w:fldChar w:fldCharType="begin"/>
        </w:r>
        <w:r w:rsidR="00A80B32">
          <w:rPr>
            <w:noProof/>
            <w:webHidden/>
          </w:rPr>
          <w:instrText xml:space="preserve"> PAGEREF _Toc45279143 \h </w:instrText>
        </w:r>
        <w:r w:rsidR="00A80B32">
          <w:rPr>
            <w:noProof/>
            <w:webHidden/>
          </w:rPr>
        </w:r>
        <w:r w:rsidR="00A80B32">
          <w:rPr>
            <w:noProof/>
            <w:webHidden/>
          </w:rPr>
          <w:fldChar w:fldCharType="separate"/>
        </w:r>
        <w:r w:rsidR="00DA6A57">
          <w:rPr>
            <w:noProof/>
            <w:webHidden/>
          </w:rPr>
          <w:t>4</w:t>
        </w:r>
        <w:r w:rsidR="00A80B32">
          <w:rPr>
            <w:noProof/>
            <w:webHidden/>
          </w:rPr>
          <w:fldChar w:fldCharType="end"/>
        </w:r>
      </w:hyperlink>
    </w:p>
    <w:p w14:paraId="163BA761" w14:textId="535A8D5E" w:rsidR="00A80B32" w:rsidRDefault="003721CD">
      <w:pPr>
        <w:pStyle w:val="11"/>
        <w:rPr>
          <w:rFonts w:asciiTheme="minorHAnsi" w:eastAsiaTheme="minorEastAsia" w:hAnsiTheme="minorHAnsi" w:cstheme="minorBidi"/>
          <w:noProof/>
          <w:sz w:val="21"/>
          <w:szCs w:val="22"/>
        </w:rPr>
      </w:pPr>
      <w:hyperlink w:anchor="_Toc45279144" w:history="1">
        <w:r w:rsidR="00A80B32" w:rsidRPr="00274D8E">
          <w:rPr>
            <w:rStyle w:val="af3"/>
            <w:rFonts w:ascii="仿宋" w:eastAsia="仿宋" w:hAnsi="仿宋"/>
            <w:bCs/>
            <w:noProof/>
          </w:rPr>
          <w:t>第三条 集合计划托管人对集合计划管理人的业务监督和核查</w:t>
        </w:r>
        <w:r w:rsidR="00A80B32">
          <w:rPr>
            <w:noProof/>
            <w:webHidden/>
          </w:rPr>
          <w:tab/>
        </w:r>
        <w:r w:rsidR="00A80B32">
          <w:rPr>
            <w:noProof/>
            <w:webHidden/>
          </w:rPr>
          <w:fldChar w:fldCharType="begin"/>
        </w:r>
        <w:r w:rsidR="00A80B32">
          <w:rPr>
            <w:noProof/>
            <w:webHidden/>
          </w:rPr>
          <w:instrText xml:space="preserve"> PAGEREF _Toc45279144 \h </w:instrText>
        </w:r>
        <w:r w:rsidR="00A80B32">
          <w:rPr>
            <w:noProof/>
            <w:webHidden/>
          </w:rPr>
        </w:r>
        <w:r w:rsidR="00A80B32">
          <w:rPr>
            <w:noProof/>
            <w:webHidden/>
          </w:rPr>
          <w:fldChar w:fldCharType="separate"/>
        </w:r>
        <w:r w:rsidR="00DA6A57">
          <w:rPr>
            <w:noProof/>
            <w:webHidden/>
          </w:rPr>
          <w:t>5</w:t>
        </w:r>
        <w:r w:rsidR="00A80B32">
          <w:rPr>
            <w:noProof/>
            <w:webHidden/>
          </w:rPr>
          <w:fldChar w:fldCharType="end"/>
        </w:r>
      </w:hyperlink>
    </w:p>
    <w:p w14:paraId="0990F534" w14:textId="724B47B8" w:rsidR="00A80B32" w:rsidRDefault="003721CD">
      <w:pPr>
        <w:pStyle w:val="11"/>
        <w:rPr>
          <w:rFonts w:asciiTheme="minorHAnsi" w:eastAsiaTheme="minorEastAsia" w:hAnsiTheme="minorHAnsi" w:cstheme="minorBidi"/>
          <w:noProof/>
          <w:sz w:val="21"/>
          <w:szCs w:val="22"/>
        </w:rPr>
      </w:pPr>
      <w:hyperlink w:anchor="_Toc45279145" w:history="1">
        <w:r w:rsidR="00A80B32" w:rsidRPr="00274D8E">
          <w:rPr>
            <w:rStyle w:val="af3"/>
            <w:rFonts w:ascii="仿宋" w:eastAsia="仿宋" w:hAnsi="仿宋"/>
            <w:bCs/>
            <w:noProof/>
          </w:rPr>
          <w:t>第四条 集合计划管理人对集合计划托管人的业务核查</w:t>
        </w:r>
        <w:r w:rsidR="00A80B32">
          <w:rPr>
            <w:noProof/>
            <w:webHidden/>
          </w:rPr>
          <w:tab/>
        </w:r>
        <w:r w:rsidR="00A80B32">
          <w:rPr>
            <w:noProof/>
            <w:webHidden/>
          </w:rPr>
          <w:fldChar w:fldCharType="begin"/>
        </w:r>
        <w:r w:rsidR="00A80B32">
          <w:rPr>
            <w:noProof/>
            <w:webHidden/>
          </w:rPr>
          <w:instrText xml:space="preserve"> PAGEREF _Toc45279145 \h </w:instrText>
        </w:r>
        <w:r w:rsidR="00A80B32">
          <w:rPr>
            <w:noProof/>
            <w:webHidden/>
          </w:rPr>
        </w:r>
        <w:r w:rsidR="00A80B32">
          <w:rPr>
            <w:noProof/>
            <w:webHidden/>
          </w:rPr>
          <w:fldChar w:fldCharType="separate"/>
        </w:r>
        <w:r w:rsidR="00DA6A57">
          <w:rPr>
            <w:noProof/>
            <w:webHidden/>
          </w:rPr>
          <w:t>11</w:t>
        </w:r>
        <w:r w:rsidR="00A80B32">
          <w:rPr>
            <w:noProof/>
            <w:webHidden/>
          </w:rPr>
          <w:fldChar w:fldCharType="end"/>
        </w:r>
      </w:hyperlink>
    </w:p>
    <w:p w14:paraId="191B91E0" w14:textId="44D6AA21" w:rsidR="00A80B32" w:rsidRDefault="003721CD">
      <w:pPr>
        <w:pStyle w:val="11"/>
        <w:rPr>
          <w:rFonts w:asciiTheme="minorHAnsi" w:eastAsiaTheme="minorEastAsia" w:hAnsiTheme="minorHAnsi" w:cstheme="minorBidi"/>
          <w:noProof/>
          <w:sz w:val="21"/>
          <w:szCs w:val="22"/>
        </w:rPr>
      </w:pPr>
      <w:hyperlink w:anchor="_Toc45279146" w:history="1">
        <w:r w:rsidR="00A80B32" w:rsidRPr="00274D8E">
          <w:rPr>
            <w:rStyle w:val="af3"/>
            <w:rFonts w:ascii="仿宋" w:eastAsia="仿宋" w:hAnsi="仿宋"/>
            <w:bCs/>
            <w:noProof/>
          </w:rPr>
          <w:t>第五条 集合计划财产保管</w:t>
        </w:r>
        <w:r w:rsidR="00A80B32">
          <w:rPr>
            <w:noProof/>
            <w:webHidden/>
          </w:rPr>
          <w:tab/>
        </w:r>
        <w:r w:rsidR="00A80B32">
          <w:rPr>
            <w:noProof/>
            <w:webHidden/>
          </w:rPr>
          <w:fldChar w:fldCharType="begin"/>
        </w:r>
        <w:r w:rsidR="00A80B32">
          <w:rPr>
            <w:noProof/>
            <w:webHidden/>
          </w:rPr>
          <w:instrText xml:space="preserve"> PAGEREF _Toc45279146 \h </w:instrText>
        </w:r>
        <w:r w:rsidR="00A80B32">
          <w:rPr>
            <w:noProof/>
            <w:webHidden/>
          </w:rPr>
        </w:r>
        <w:r w:rsidR="00A80B32">
          <w:rPr>
            <w:noProof/>
            <w:webHidden/>
          </w:rPr>
          <w:fldChar w:fldCharType="separate"/>
        </w:r>
        <w:r w:rsidR="00DA6A57">
          <w:rPr>
            <w:noProof/>
            <w:webHidden/>
          </w:rPr>
          <w:t>12</w:t>
        </w:r>
        <w:r w:rsidR="00A80B32">
          <w:rPr>
            <w:noProof/>
            <w:webHidden/>
          </w:rPr>
          <w:fldChar w:fldCharType="end"/>
        </w:r>
      </w:hyperlink>
    </w:p>
    <w:p w14:paraId="51B80AE0" w14:textId="7165C01C" w:rsidR="00A80B32" w:rsidRDefault="003721CD">
      <w:pPr>
        <w:pStyle w:val="11"/>
        <w:rPr>
          <w:rFonts w:asciiTheme="minorHAnsi" w:eastAsiaTheme="minorEastAsia" w:hAnsiTheme="minorHAnsi" w:cstheme="minorBidi"/>
          <w:noProof/>
          <w:sz w:val="21"/>
          <w:szCs w:val="22"/>
        </w:rPr>
      </w:pPr>
      <w:hyperlink w:anchor="_Toc45279147" w:history="1">
        <w:r w:rsidR="00A80B32" w:rsidRPr="00274D8E">
          <w:rPr>
            <w:rStyle w:val="af3"/>
            <w:rFonts w:ascii="仿宋" w:eastAsia="仿宋" w:hAnsi="仿宋"/>
            <w:bCs/>
            <w:noProof/>
          </w:rPr>
          <w:t>第六条 指令的发送、确认和执行</w:t>
        </w:r>
        <w:r w:rsidR="00A80B32">
          <w:rPr>
            <w:noProof/>
            <w:webHidden/>
          </w:rPr>
          <w:tab/>
        </w:r>
        <w:r w:rsidR="00A80B32">
          <w:rPr>
            <w:noProof/>
            <w:webHidden/>
          </w:rPr>
          <w:fldChar w:fldCharType="begin"/>
        </w:r>
        <w:r w:rsidR="00A80B32">
          <w:rPr>
            <w:noProof/>
            <w:webHidden/>
          </w:rPr>
          <w:instrText xml:space="preserve"> PAGEREF _Toc45279147 \h </w:instrText>
        </w:r>
        <w:r w:rsidR="00A80B32">
          <w:rPr>
            <w:noProof/>
            <w:webHidden/>
          </w:rPr>
        </w:r>
        <w:r w:rsidR="00A80B32">
          <w:rPr>
            <w:noProof/>
            <w:webHidden/>
          </w:rPr>
          <w:fldChar w:fldCharType="separate"/>
        </w:r>
        <w:r w:rsidR="00DA6A57">
          <w:rPr>
            <w:noProof/>
            <w:webHidden/>
          </w:rPr>
          <w:t>14</w:t>
        </w:r>
        <w:r w:rsidR="00A80B32">
          <w:rPr>
            <w:noProof/>
            <w:webHidden/>
          </w:rPr>
          <w:fldChar w:fldCharType="end"/>
        </w:r>
      </w:hyperlink>
    </w:p>
    <w:p w14:paraId="1C861EAD" w14:textId="634DB6EF" w:rsidR="00A80B32" w:rsidRDefault="003721CD">
      <w:pPr>
        <w:pStyle w:val="11"/>
        <w:rPr>
          <w:rFonts w:asciiTheme="minorHAnsi" w:eastAsiaTheme="minorEastAsia" w:hAnsiTheme="minorHAnsi" w:cstheme="minorBidi"/>
          <w:noProof/>
          <w:sz w:val="21"/>
          <w:szCs w:val="22"/>
        </w:rPr>
      </w:pPr>
      <w:hyperlink w:anchor="_Toc45279148" w:history="1">
        <w:r w:rsidR="00A80B32" w:rsidRPr="00274D8E">
          <w:rPr>
            <w:rStyle w:val="af3"/>
            <w:rFonts w:ascii="仿宋" w:eastAsia="仿宋" w:hAnsi="仿宋"/>
            <w:bCs/>
            <w:noProof/>
          </w:rPr>
          <w:t>第七条 交易及清算交收安排</w:t>
        </w:r>
        <w:r w:rsidR="00A80B32">
          <w:rPr>
            <w:noProof/>
            <w:webHidden/>
          </w:rPr>
          <w:tab/>
        </w:r>
        <w:r w:rsidR="00A80B32">
          <w:rPr>
            <w:noProof/>
            <w:webHidden/>
          </w:rPr>
          <w:fldChar w:fldCharType="begin"/>
        </w:r>
        <w:r w:rsidR="00A80B32">
          <w:rPr>
            <w:noProof/>
            <w:webHidden/>
          </w:rPr>
          <w:instrText xml:space="preserve"> PAGEREF _Toc45279148 \h </w:instrText>
        </w:r>
        <w:r w:rsidR="00A80B32">
          <w:rPr>
            <w:noProof/>
            <w:webHidden/>
          </w:rPr>
        </w:r>
        <w:r w:rsidR="00A80B32">
          <w:rPr>
            <w:noProof/>
            <w:webHidden/>
          </w:rPr>
          <w:fldChar w:fldCharType="separate"/>
        </w:r>
        <w:r w:rsidR="00DA6A57">
          <w:rPr>
            <w:noProof/>
            <w:webHidden/>
          </w:rPr>
          <w:t>17</w:t>
        </w:r>
        <w:r w:rsidR="00A80B32">
          <w:rPr>
            <w:noProof/>
            <w:webHidden/>
          </w:rPr>
          <w:fldChar w:fldCharType="end"/>
        </w:r>
      </w:hyperlink>
    </w:p>
    <w:p w14:paraId="60538A85" w14:textId="588B7B3F" w:rsidR="00A80B32" w:rsidRDefault="003721CD">
      <w:pPr>
        <w:pStyle w:val="11"/>
        <w:rPr>
          <w:rFonts w:asciiTheme="minorHAnsi" w:eastAsiaTheme="minorEastAsia" w:hAnsiTheme="minorHAnsi" w:cstheme="minorBidi"/>
          <w:noProof/>
          <w:sz w:val="21"/>
          <w:szCs w:val="22"/>
        </w:rPr>
      </w:pPr>
      <w:hyperlink w:anchor="_Toc45279149" w:history="1">
        <w:r w:rsidR="00A80B32" w:rsidRPr="00274D8E">
          <w:rPr>
            <w:rStyle w:val="af3"/>
            <w:rFonts w:ascii="仿宋" w:eastAsia="仿宋" w:hAnsi="仿宋"/>
            <w:bCs/>
            <w:noProof/>
          </w:rPr>
          <w:t>第八条 集合计划资产净值计算和会计核算</w:t>
        </w:r>
        <w:r w:rsidR="00A80B32">
          <w:rPr>
            <w:noProof/>
            <w:webHidden/>
          </w:rPr>
          <w:tab/>
        </w:r>
        <w:r w:rsidR="00A80B32">
          <w:rPr>
            <w:noProof/>
            <w:webHidden/>
          </w:rPr>
          <w:fldChar w:fldCharType="begin"/>
        </w:r>
        <w:r w:rsidR="00A80B32">
          <w:rPr>
            <w:noProof/>
            <w:webHidden/>
          </w:rPr>
          <w:instrText xml:space="preserve"> PAGEREF _Toc45279149 \h </w:instrText>
        </w:r>
        <w:r w:rsidR="00A80B32">
          <w:rPr>
            <w:noProof/>
            <w:webHidden/>
          </w:rPr>
        </w:r>
        <w:r w:rsidR="00A80B32">
          <w:rPr>
            <w:noProof/>
            <w:webHidden/>
          </w:rPr>
          <w:fldChar w:fldCharType="separate"/>
        </w:r>
        <w:r w:rsidR="00DA6A57">
          <w:rPr>
            <w:noProof/>
            <w:webHidden/>
          </w:rPr>
          <w:t>20</w:t>
        </w:r>
        <w:r w:rsidR="00A80B32">
          <w:rPr>
            <w:noProof/>
            <w:webHidden/>
          </w:rPr>
          <w:fldChar w:fldCharType="end"/>
        </w:r>
      </w:hyperlink>
    </w:p>
    <w:p w14:paraId="7FF5E894" w14:textId="04FD8CD7" w:rsidR="00A80B32" w:rsidRDefault="003721CD">
      <w:pPr>
        <w:pStyle w:val="11"/>
        <w:rPr>
          <w:rFonts w:asciiTheme="minorHAnsi" w:eastAsiaTheme="minorEastAsia" w:hAnsiTheme="minorHAnsi" w:cstheme="minorBidi"/>
          <w:noProof/>
          <w:sz w:val="21"/>
          <w:szCs w:val="22"/>
        </w:rPr>
      </w:pPr>
      <w:hyperlink w:anchor="_Toc45279150" w:history="1">
        <w:r w:rsidR="00A80B32" w:rsidRPr="00274D8E">
          <w:rPr>
            <w:rStyle w:val="af3"/>
            <w:rFonts w:ascii="仿宋" w:eastAsia="仿宋" w:hAnsi="仿宋"/>
            <w:bCs/>
            <w:noProof/>
          </w:rPr>
          <w:t>第九条 集合计划收益分配</w:t>
        </w:r>
        <w:r w:rsidR="00A80B32">
          <w:rPr>
            <w:noProof/>
            <w:webHidden/>
          </w:rPr>
          <w:tab/>
        </w:r>
        <w:r w:rsidR="00A80B32">
          <w:rPr>
            <w:noProof/>
            <w:webHidden/>
          </w:rPr>
          <w:fldChar w:fldCharType="begin"/>
        </w:r>
        <w:r w:rsidR="00A80B32">
          <w:rPr>
            <w:noProof/>
            <w:webHidden/>
          </w:rPr>
          <w:instrText xml:space="preserve"> PAGEREF _Toc45279150 \h </w:instrText>
        </w:r>
        <w:r w:rsidR="00A80B32">
          <w:rPr>
            <w:noProof/>
            <w:webHidden/>
          </w:rPr>
        </w:r>
        <w:r w:rsidR="00A80B32">
          <w:rPr>
            <w:noProof/>
            <w:webHidden/>
          </w:rPr>
          <w:fldChar w:fldCharType="separate"/>
        </w:r>
        <w:r w:rsidR="00DA6A57">
          <w:rPr>
            <w:noProof/>
            <w:webHidden/>
          </w:rPr>
          <w:t>25</w:t>
        </w:r>
        <w:r w:rsidR="00A80B32">
          <w:rPr>
            <w:noProof/>
            <w:webHidden/>
          </w:rPr>
          <w:fldChar w:fldCharType="end"/>
        </w:r>
      </w:hyperlink>
    </w:p>
    <w:p w14:paraId="17E874EC" w14:textId="377751C3" w:rsidR="00A80B32" w:rsidRDefault="003721CD">
      <w:pPr>
        <w:pStyle w:val="11"/>
        <w:rPr>
          <w:rFonts w:asciiTheme="minorHAnsi" w:eastAsiaTheme="minorEastAsia" w:hAnsiTheme="minorHAnsi" w:cstheme="minorBidi"/>
          <w:noProof/>
          <w:sz w:val="21"/>
          <w:szCs w:val="22"/>
        </w:rPr>
      </w:pPr>
      <w:hyperlink w:anchor="_Toc45279151" w:history="1">
        <w:r w:rsidR="00A80B32" w:rsidRPr="00274D8E">
          <w:rPr>
            <w:rStyle w:val="af3"/>
            <w:rFonts w:ascii="仿宋" w:eastAsia="仿宋" w:hAnsi="仿宋"/>
            <w:bCs/>
            <w:noProof/>
          </w:rPr>
          <w:t>第十条 信息披露</w:t>
        </w:r>
        <w:r w:rsidR="00A80B32">
          <w:rPr>
            <w:noProof/>
            <w:webHidden/>
          </w:rPr>
          <w:tab/>
        </w:r>
        <w:r w:rsidR="00A80B32">
          <w:rPr>
            <w:noProof/>
            <w:webHidden/>
          </w:rPr>
          <w:fldChar w:fldCharType="begin"/>
        </w:r>
        <w:r w:rsidR="00A80B32">
          <w:rPr>
            <w:noProof/>
            <w:webHidden/>
          </w:rPr>
          <w:instrText xml:space="preserve"> PAGEREF _Toc45279151 \h </w:instrText>
        </w:r>
        <w:r w:rsidR="00A80B32">
          <w:rPr>
            <w:noProof/>
            <w:webHidden/>
          </w:rPr>
        </w:r>
        <w:r w:rsidR="00A80B32">
          <w:rPr>
            <w:noProof/>
            <w:webHidden/>
          </w:rPr>
          <w:fldChar w:fldCharType="separate"/>
        </w:r>
        <w:r w:rsidR="00DA6A57">
          <w:rPr>
            <w:noProof/>
            <w:webHidden/>
          </w:rPr>
          <w:t>27</w:t>
        </w:r>
        <w:r w:rsidR="00A80B32">
          <w:rPr>
            <w:noProof/>
            <w:webHidden/>
          </w:rPr>
          <w:fldChar w:fldCharType="end"/>
        </w:r>
      </w:hyperlink>
    </w:p>
    <w:p w14:paraId="4BDA3EA7" w14:textId="4BC7BA2D" w:rsidR="00A80B32" w:rsidRDefault="003721CD">
      <w:pPr>
        <w:pStyle w:val="11"/>
        <w:rPr>
          <w:rFonts w:asciiTheme="minorHAnsi" w:eastAsiaTheme="minorEastAsia" w:hAnsiTheme="minorHAnsi" w:cstheme="minorBidi"/>
          <w:noProof/>
          <w:sz w:val="21"/>
          <w:szCs w:val="22"/>
        </w:rPr>
      </w:pPr>
      <w:hyperlink w:anchor="_Toc45279152" w:history="1">
        <w:r w:rsidR="00A80B32" w:rsidRPr="00274D8E">
          <w:rPr>
            <w:rStyle w:val="af3"/>
            <w:rFonts w:ascii="仿宋" w:eastAsia="仿宋" w:hAnsi="仿宋"/>
            <w:bCs/>
            <w:noProof/>
          </w:rPr>
          <w:t>第十一条 集合计划费用</w:t>
        </w:r>
        <w:r w:rsidR="00A80B32">
          <w:rPr>
            <w:noProof/>
            <w:webHidden/>
          </w:rPr>
          <w:tab/>
        </w:r>
        <w:r w:rsidR="00A80B32">
          <w:rPr>
            <w:noProof/>
            <w:webHidden/>
          </w:rPr>
          <w:fldChar w:fldCharType="begin"/>
        </w:r>
        <w:r w:rsidR="00A80B32">
          <w:rPr>
            <w:noProof/>
            <w:webHidden/>
          </w:rPr>
          <w:instrText xml:space="preserve"> PAGEREF _Toc45279152 \h </w:instrText>
        </w:r>
        <w:r w:rsidR="00A80B32">
          <w:rPr>
            <w:noProof/>
            <w:webHidden/>
          </w:rPr>
        </w:r>
        <w:r w:rsidR="00A80B32">
          <w:rPr>
            <w:noProof/>
            <w:webHidden/>
          </w:rPr>
          <w:fldChar w:fldCharType="separate"/>
        </w:r>
        <w:r w:rsidR="00DA6A57">
          <w:rPr>
            <w:noProof/>
            <w:webHidden/>
          </w:rPr>
          <w:t>29</w:t>
        </w:r>
        <w:r w:rsidR="00A80B32">
          <w:rPr>
            <w:noProof/>
            <w:webHidden/>
          </w:rPr>
          <w:fldChar w:fldCharType="end"/>
        </w:r>
      </w:hyperlink>
    </w:p>
    <w:p w14:paraId="0EA259FF" w14:textId="119ADF7F" w:rsidR="00A80B32" w:rsidRDefault="003721CD">
      <w:pPr>
        <w:pStyle w:val="11"/>
        <w:rPr>
          <w:rFonts w:asciiTheme="minorHAnsi" w:eastAsiaTheme="minorEastAsia" w:hAnsiTheme="minorHAnsi" w:cstheme="minorBidi"/>
          <w:noProof/>
          <w:sz w:val="21"/>
          <w:szCs w:val="22"/>
        </w:rPr>
      </w:pPr>
      <w:hyperlink w:anchor="_Toc45279153" w:history="1">
        <w:r w:rsidR="00A80B32" w:rsidRPr="00274D8E">
          <w:rPr>
            <w:rStyle w:val="af3"/>
            <w:rFonts w:ascii="仿宋" w:eastAsia="仿宋" w:hAnsi="仿宋"/>
            <w:bCs/>
            <w:noProof/>
          </w:rPr>
          <w:t>第十二条 集合计划份额持有人名册的保管</w:t>
        </w:r>
        <w:r w:rsidR="00A80B32">
          <w:rPr>
            <w:noProof/>
            <w:webHidden/>
          </w:rPr>
          <w:tab/>
        </w:r>
        <w:r w:rsidR="00A80B32">
          <w:rPr>
            <w:noProof/>
            <w:webHidden/>
          </w:rPr>
          <w:fldChar w:fldCharType="begin"/>
        </w:r>
        <w:r w:rsidR="00A80B32">
          <w:rPr>
            <w:noProof/>
            <w:webHidden/>
          </w:rPr>
          <w:instrText xml:space="preserve"> PAGEREF _Toc45279153 \h </w:instrText>
        </w:r>
        <w:r w:rsidR="00A80B32">
          <w:rPr>
            <w:noProof/>
            <w:webHidden/>
          </w:rPr>
        </w:r>
        <w:r w:rsidR="00A80B32">
          <w:rPr>
            <w:noProof/>
            <w:webHidden/>
          </w:rPr>
          <w:fldChar w:fldCharType="separate"/>
        </w:r>
        <w:r w:rsidR="00DA6A57">
          <w:rPr>
            <w:noProof/>
            <w:webHidden/>
          </w:rPr>
          <w:t>33</w:t>
        </w:r>
        <w:r w:rsidR="00A80B32">
          <w:rPr>
            <w:noProof/>
            <w:webHidden/>
          </w:rPr>
          <w:fldChar w:fldCharType="end"/>
        </w:r>
      </w:hyperlink>
    </w:p>
    <w:p w14:paraId="05635080" w14:textId="3519A52D" w:rsidR="00A80B32" w:rsidRDefault="003721CD">
      <w:pPr>
        <w:pStyle w:val="11"/>
        <w:rPr>
          <w:rFonts w:asciiTheme="minorHAnsi" w:eastAsiaTheme="minorEastAsia" w:hAnsiTheme="minorHAnsi" w:cstheme="minorBidi"/>
          <w:noProof/>
          <w:sz w:val="21"/>
          <w:szCs w:val="22"/>
        </w:rPr>
      </w:pPr>
      <w:hyperlink w:anchor="_Toc45279154" w:history="1">
        <w:r w:rsidR="00A80B32" w:rsidRPr="00274D8E">
          <w:rPr>
            <w:rStyle w:val="af3"/>
            <w:rFonts w:ascii="仿宋" w:eastAsia="仿宋" w:hAnsi="仿宋"/>
            <w:bCs/>
            <w:noProof/>
          </w:rPr>
          <w:t>第十三条 集合计划有关文件和档案的保存</w:t>
        </w:r>
        <w:r w:rsidR="00A80B32">
          <w:rPr>
            <w:noProof/>
            <w:webHidden/>
          </w:rPr>
          <w:tab/>
        </w:r>
        <w:r w:rsidR="00A80B32">
          <w:rPr>
            <w:noProof/>
            <w:webHidden/>
          </w:rPr>
          <w:fldChar w:fldCharType="begin"/>
        </w:r>
        <w:r w:rsidR="00A80B32">
          <w:rPr>
            <w:noProof/>
            <w:webHidden/>
          </w:rPr>
          <w:instrText xml:space="preserve"> PAGEREF _Toc45279154 \h </w:instrText>
        </w:r>
        <w:r w:rsidR="00A80B32">
          <w:rPr>
            <w:noProof/>
            <w:webHidden/>
          </w:rPr>
        </w:r>
        <w:r w:rsidR="00A80B32">
          <w:rPr>
            <w:noProof/>
            <w:webHidden/>
          </w:rPr>
          <w:fldChar w:fldCharType="separate"/>
        </w:r>
        <w:r w:rsidR="00DA6A57">
          <w:rPr>
            <w:noProof/>
            <w:webHidden/>
          </w:rPr>
          <w:t>34</w:t>
        </w:r>
        <w:r w:rsidR="00A80B32">
          <w:rPr>
            <w:noProof/>
            <w:webHidden/>
          </w:rPr>
          <w:fldChar w:fldCharType="end"/>
        </w:r>
      </w:hyperlink>
    </w:p>
    <w:p w14:paraId="4E13EF34" w14:textId="1106F288" w:rsidR="00A80B32" w:rsidRDefault="003721CD">
      <w:pPr>
        <w:pStyle w:val="11"/>
        <w:rPr>
          <w:rFonts w:asciiTheme="minorHAnsi" w:eastAsiaTheme="minorEastAsia" w:hAnsiTheme="minorHAnsi" w:cstheme="minorBidi"/>
          <w:noProof/>
          <w:sz w:val="21"/>
          <w:szCs w:val="22"/>
        </w:rPr>
      </w:pPr>
      <w:hyperlink w:anchor="_Toc45279155" w:history="1">
        <w:r w:rsidR="00A80B32" w:rsidRPr="00274D8E">
          <w:rPr>
            <w:rStyle w:val="af3"/>
            <w:rFonts w:ascii="仿宋" w:eastAsia="仿宋" w:hAnsi="仿宋"/>
            <w:bCs/>
            <w:noProof/>
          </w:rPr>
          <w:t>第十四条 集合计划管理人和集合计划托管人的更换</w:t>
        </w:r>
        <w:r w:rsidR="00A80B32">
          <w:rPr>
            <w:noProof/>
            <w:webHidden/>
          </w:rPr>
          <w:tab/>
        </w:r>
        <w:r w:rsidR="00A80B32">
          <w:rPr>
            <w:noProof/>
            <w:webHidden/>
          </w:rPr>
          <w:fldChar w:fldCharType="begin"/>
        </w:r>
        <w:r w:rsidR="00A80B32">
          <w:rPr>
            <w:noProof/>
            <w:webHidden/>
          </w:rPr>
          <w:instrText xml:space="preserve"> PAGEREF _Toc45279155 \h </w:instrText>
        </w:r>
        <w:r w:rsidR="00A80B32">
          <w:rPr>
            <w:noProof/>
            <w:webHidden/>
          </w:rPr>
        </w:r>
        <w:r w:rsidR="00A80B32">
          <w:rPr>
            <w:noProof/>
            <w:webHidden/>
          </w:rPr>
          <w:fldChar w:fldCharType="separate"/>
        </w:r>
        <w:r w:rsidR="00DA6A57">
          <w:rPr>
            <w:noProof/>
            <w:webHidden/>
          </w:rPr>
          <w:t>35</w:t>
        </w:r>
        <w:r w:rsidR="00A80B32">
          <w:rPr>
            <w:noProof/>
            <w:webHidden/>
          </w:rPr>
          <w:fldChar w:fldCharType="end"/>
        </w:r>
      </w:hyperlink>
    </w:p>
    <w:p w14:paraId="6DCC7A46" w14:textId="6D90A707" w:rsidR="00A80B32" w:rsidRDefault="003721CD">
      <w:pPr>
        <w:pStyle w:val="11"/>
        <w:rPr>
          <w:rFonts w:asciiTheme="minorHAnsi" w:eastAsiaTheme="minorEastAsia" w:hAnsiTheme="minorHAnsi" w:cstheme="minorBidi"/>
          <w:noProof/>
          <w:sz w:val="21"/>
          <w:szCs w:val="22"/>
        </w:rPr>
      </w:pPr>
      <w:hyperlink w:anchor="_Toc45279156" w:history="1">
        <w:r w:rsidR="00A80B32" w:rsidRPr="00274D8E">
          <w:rPr>
            <w:rStyle w:val="af3"/>
            <w:rFonts w:ascii="仿宋" w:eastAsia="仿宋" w:hAnsi="仿宋"/>
            <w:bCs/>
            <w:noProof/>
          </w:rPr>
          <w:t>第十五条 禁止行为</w:t>
        </w:r>
        <w:r w:rsidR="00A80B32">
          <w:rPr>
            <w:noProof/>
            <w:webHidden/>
          </w:rPr>
          <w:tab/>
        </w:r>
        <w:r w:rsidR="00A80B32">
          <w:rPr>
            <w:noProof/>
            <w:webHidden/>
          </w:rPr>
          <w:fldChar w:fldCharType="begin"/>
        </w:r>
        <w:r w:rsidR="00A80B32">
          <w:rPr>
            <w:noProof/>
            <w:webHidden/>
          </w:rPr>
          <w:instrText xml:space="preserve"> PAGEREF _Toc45279156 \h </w:instrText>
        </w:r>
        <w:r w:rsidR="00A80B32">
          <w:rPr>
            <w:noProof/>
            <w:webHidden/>
          </w:rPr>
        </w:r>
        <w:r w:rsidR="00A80B32">
          <w:rPr>
            <w:noProof/>
            <w:webHidden/>
          </w:rPr>
          <w:fldChar w:fldCharType="separate"/>
        </w:r>
        <w:r w:rsidR="00DA6A57">
          <w:rPr>
            <w:noProof/>
            <w:webHidden/>
          </w:rPr>
          <w:t>38</w:t>
        </w:r>
        <w:r w:rsidR="00A80B32">
          <w:rPr>
            <w:noProof/>
            <w:webHidden/>
          </w:rPr>
          <w:fldChar w:fldCharType="end"/>
        </w:r>
      </w:hyperlink>
    </w:p>
    <w:p w14:paraId="587BCE35" w14:textId="6E6E7D34" w:rsidR="00A80B32" w:rsidRDefault="003721CD">
      <w:pPr>
        <w:pStyle w:val="11"/>
        <w:rPr>
          <w:rFonts w:asciiTheme="minorHAnsi" w:eastAsiaTheme="minorEastAsia" w:hAnsiTheme="minorHAnsi" w:cstheme="minorBidi"/>
          <w:noProof/>
          <w:sz w:val="21"/>
          <w:szCs w:val="22"/>
        </w:rPr>
      </w:pPr>
      <w:hyperlink w:anchor="_Toc45279157" w:history="1">
        <w:r w:rsidR="00A80B32" w:rsidRPr="00274D8E">
          <w:rPr>
            <w:rStyle w:val="af3"/>
            <w:rFonts w:ascii="仿宋" w:eastAsia="仿宋" w:hAnsi="仿宋"/>
            <w:bCs/>
            <w:noProof/>
          </w:rPr>
          <w:t>第十六条 集合计划托管协议的变更、终止与集合计划财产的清算</w:t>
        </w:r>
        <w:r w:rsidR="00A80B32">
          <w:rPr>
            <w:noProof/>
            <w:webHidden/>
          </w:rPr>
          <w:tab/>
        </w:r>
        <w:r w:rsidR="00A80B32">
          <w:rPr>
            <w:noProof/>
            <w:webHidden/>
          </w:rPr>
          <w:fldChar w:fldCharType="begin"/>
        </w:r>
        <w:r w:rsidR="00A80B32">
          <w:rPr>
            <w:noProof/>
            <w:webHidden/>
          </w:rPr>
          <w:instrText xml:space="preserve"> PAGEREF _Toc45279157 \h </w:instrText>
        </w:r>
        <w:r w:rsidR="00A80B32">
          <w:rPr>
            <w:noProof/>
            <w:webHidden/>
          </w:rPr>
        </w:r>
        <w:r w:rsidR="00A80B32">
          <w:rPr>
            <w:noProof/>
            <w:webHidden/>
          </w:rPr>
          <w:fldChar w:fldCharType="separate"/>
        </w:r>
        <w:r w:rsidR="00DA6A57">
          <w:rPr>
            <w:noProof/>
            <w:webHidden/>
          </w:rPr>
          <w:t>39</w:t>
        </w:r>
        <w:r w:rsidR="00A80B32">
          <w:rPr>
            <w:noProof/>
            <w:webHidden/>
          </w:rPr>
          <w:fldChar w:fldCharType="end"/>
        </w:r>
      </w:hyperlink>
    </w:p>
    <w:p w14:paraId="20A2ADFC" w14:textId="0E0C199C" w:rsidR="00A80B32" w:rsidRDefault="003721CD">
      <w:pPr>
        <w:pStyle w:val="11"/>
        <w:rPr>
          <w:rFonts w:asciiTheme="minorHAnsi" w:eastAsiaTheme="minorEastAsia" w:hAnsiTheme="minorHAnsi" w:cstheme="minorBidi"/>
          <w:noProof/>
          <w:sz w:val="21"/>
          <w:szCs w:val="22"/>
        </w:rPr>
      </w:pPr>
      <w:hyperlink w:anchor="_Toc45279158" w:history="1">
        <w:r w:rsidR="00A80B32" w:rsidRPr="00274D8E">
          <w:rPr>
            <w:rStyle w:val="af3"/>
            <w:rFonts w:ascii="仿宋" w:eastAsia="仿宋" w:hAnsi="仿宋"/>
            <w:bCs/>
            <w:noProof/>
          </w:rPr>
          <w:t>第十七条 违约责任</w:t>
        </w:r>
        <w:r w:rsidR="00A80B32">
          <w:rPr>
            <w:noProof/>
            <w:webHidden/>
          </w:rPr>
          <w:tab/>
        </w:r>
        <w:r w:rsidR="00A80B32">
          <w:rPr>
            <w:noProof/>
            <w:webHidden/>
          </w:rPr>
          <w:fldChar w:fldCharType="begin"/>
        </w:r>
        <w:r w:rsidR="00A80B32">
          <w:rPr>
            <w:noProof/>
            <w:webHidden/>
          </w:rPr>
          <w:instrText xml:space="preserve"> PAGEREF _Toc45279158 \h </w:instrText>
        </w:r>
        <w:r w:rsidR="00A80B32">
          <w:rPr>
            <w:noProof/>
            <w:webHidden/>
          </w:rPr>
        </w:r>
        <w:r w:rsidR="00A80B32">
          <w:rPr>
            <w:noProof/>
            <w:webHidden/>
          </w:rPr>
          <w:fldChar w:fldCharType="separate"/>
        </w:r>
        <w:r w:rsidR="00DA6A57">
          <w:rPr>
            <w:noProof/>
            <w:webHidden/>
          </w:rPr>
          <w:t>41</w:t>
        </w:r>
        <w:r w:rsidR="00A80B32">
          <w:rPr>
            <w:noProof/>
            <w:webHidden/>
          </w:rPr>
          <w:fldChar w:fldCharType="end"/>
        </w:r>
      </w:hyperlink>
    </w:p>
    <w:p w14:paraId="1BF95126" w14:textId="6FCF8054" w:rsidR="00A80B32" w:rsidRDefault="003721CD">
      <w:pPr>
        <w:pStyle w:val="11"/>
        <w:rPr>
          <w:rFonts w:asciiTheme="minorHAnsi" w:eastAsiaTheme="minorEastAsia" w:hAnsiTheme="minorHAnsi" w:cstheme="minorBidi"/>
          <w:noProof/>
          <w:sz w:val="21"/>
          <w:szCs w:val="22"/>
        </w:rPr>
      </w:pPr>
      <w:hyperlink w:anchor="_Toc45279159" w:history="1">
        <w:r w:rsidR="00A80B32" w:rsidRPr="00274D8E">
          <w:rPr>
            <w:rStyle w:val="af3"/>
            <w:rFonts w:ascii="仿宋" w:eastAsia="仿宋" w:hAnsi="仿宋"/>
            <w:bCs/>
            <w:noProof/>
          </w:rPr>
          <w:t>第十八条 争议解决方式</w:t>
        </w:r>
        <w:r w:rsidR="00A80B32">
          <w:rPr>
            <w:noProof/>
            <w:webHidden/>
          </w:rPr>
          <w:tab/>
        </w:r>
        <w:r w:rsidR="00A80B32">
          <w:rPr>
            <w:noProof/>
            <w:webHidden/>
          </w:rPr>
          <w:fldChar w:fldCharType="begin"/>
        </w:r>
        <w:r w:rsidR="00A80B32">
          <w:rPr>
            <w:noProof/>
            <w:webHidden/>
          </w:rPr>
          <w:instrText xml:space="preserve"> PAGEREF _Toc45279159 \h </w:instrText>
        </w:r>
        <w:r w:rsidR="00A80B32">
          <w:rPr>
            <w:noProof/>
            <w:webHidden/>
          </w:rPr>
        </w:r>
        <w:r w:rsidR="00A80B32">
          <w:rPr>
            <w:noProof/>
            <w:webHidden/>
          </w:rPr>
          <w:fldChar w:fldCharType="separate"/>
        </w:r>
        <w:r w:rsidR="00DA6A57">
          <w:rPr>
            <w:noProof/>
            <w:webHidden/>
          </w:rPr>
          <w:t>42</w:t>
        </w:r>
        <w:r w:rsidR="00A80B32">
          <w:rPr>
            <w:noProof/>
            <w:webHidden/>
          </w:rPr>
          <w:fldChar w:fldCharType="end"/>
        </w:r>
      </w:hyperlink>
    </w:p>
    <w:p w14:paraId="46AAE5E9" w14:textId="36A881A8" w:rsidR="00A80B32" w:rsidRDefault="003721CD">
      <w:pPr>
        <w:pStyle w:val="11"/>
        <w:rPr>
          <w:rFonts w:asciiTheme="minorHAnsi" w:eastAsiaTheme="minorEastAsia" w:hAnsiTheme="minorHAnsi" w:cstheme="minorBidi"/>
          <w:noProof/>
          <w:sz w:val="21"/>
          <w:szCs w:val="22"/>
        </w:rPr>
      </w:pPr>
      <w:hyperlink w:anchor="_Toc45279160" w:history="1">
        <w:r w:rsidR="00A80B32" w:rsidRPr="00274D8E">
          <w:rPr>
            <w:rStyle w:val="af3"/>
            <w:rFonts w:ascii="仿宋" w:eastAsia="仿宋" w:hAnsi="仿宋"/>
            <w:bCs/>
            <w:noProof/>
          </w:rPr>
          <w:t>第十九条 集合计划托管协议的效力</w:t>
        </w:r>
        <w:r w:rsidR="00A80B32">
          <w:rPr>
            <w:noProof/>
            <w:webHidden/>
          </w:rPr>
          <w:tab/>
        </w:r>
        <w:r w:rsidR="00A80B32">
          <w:rPr>
            <w:noProof/>
            <w:webHidden/>
          </w:rPr>
          <w:fldChar w:fldCharType="begin"/>
        </w:r>
        <w:r w:rsidR="00A80B32">
          <w:rPr>
            <w:noProof/>
            <w:webHidden/>
          </w:rPr>
          <w:instrText xml:space="preserve"> PAGEREF _Toc45279160 \h </w:instrText>
        </w:r>
        <w:r w:rsidR="00A80B32">
          <w:rPr>
            <w:noProof/>
            <w:webHidden/>
          </w:rPr>
        </w:r>
        <w:r w:rsidR="00A80B32">
          <w:rPr>
            <w:noProof/>
            <w:webHidden/>
          </w:rPr>
          <w:fldChar w:fldCharType="separate"/>
        </w:r>
        <w:r w:rsidR="00DA6A57">
          <w:rPr>
            <w:noProof/>
            <w:webHidden/>
          </w:rPr>
          <w:t>43</w:t>
        </w:r>
        <w:r w:rsidR="00A80B32">
          <w:rPr>
            <w:noProof/>
            <w:webHidden/>
          </w:rPr>
          <w:fldChar w:fldCharType="end"/>
        </w:r>
      </w:hyperlink>
    </w:p>
    <w:p w14:paraId="254303F2" w14:textId="2C671F74" w:rsidR="00A80B32" w:rsidRDefault="003721CD">
      <w:pPr>
        <w:pStyle w:val="11"/>
        <w:rPr>
          <w:rFonts w:asciiTheme="minorHAnsi" w:eastAsiaTheme="minorEastAsia" w:hAnsiTheme="minorHAnsi" w:cstheme="minorBidi"/>
          <w:noProof/>
          <w:sz w:val="21"/>
          <w:szCs w:val="22"/>
        </w:rPr>
      </w:pPr>
      <w:hyperlink w:anchor="_Toc45279161" w:history="1">
        <w:r w:rsidR="00A80B32" w:rsidRPr="00274D8E">
          <w:rPr>
            <w:rStyle w:val="af3"/>
            <w:rFonts w:ascii="仿宋" w:eastAsia="仿宋" w:hAnsi="仿宋"/>
            <w:bCs/>
            <w:noProof/>
          </w:rPr>
          <w:t>第二十条 集合计划托管协议的签订</w:t>
        </w:r>
        <w:r w:rsidR="00A80B32">
          <w:rPr>
            <w:noProof/>
            <w:webHidden/>
          </w:rPr>
          <w:tab/>
        </w:r>
        <w:r w:rsidR="00A80B32">
          <w:rPr>
            <w:noProof/>
            <w:webHidden/>
          </w:rPr>
          <w:fldChar w:fldCharType="begin"/>
        </w:r>
        <w:r w:rsidR="00A80B32">
          <w:rPr>
            <w:noProof/>
            <w:webHidden/>
          </w:rPr>
          <w:instrText xml:space="preserve"> PAGEREF _Toc45279161 \h </w:instrText>
        </w:r>
        <w:r w:rsidR="00A80B32">
          <w:rPr>
            <w:noProof/>
            <w:webHidden/>
          </w:rPr>
        </w:r>
        <w:r w:rsidR="00A80B32">
          <w:rPr>
            <w:noProof/>
            <w:webHidden/>
          </w:rPr>
          <w:fldChar w:fldCharType="separate"/>
        </w:r>
        <w:r w:rsidR="00DA6A57">
          <w:rPr>
            <w:noProof/>
            <w:webHidden/>
          </w:rPr>
          <w:t>44</w:t>
        </w:r>
        <w:r w:rsidR="00A80B32">
          <w:rPr>
            <w:noProof/>
            <w:webHidden/>
          </w:rPr>
          <w:fldChar w:fldCharType="end"/>
        </w:r>
      </w:hyperlink>
    </w:p>
    <w:p w14:paraId="16FB2EC3" w14:textId="10714461" w:rsidR="00A80B32" w:rsidRDefault="003721CD">
      <w:pPr>
        <w:pStyle w:val="11"/>
        <w:rPr>
          <w:rFonts w:asciiTheme="minorHAnsi" w:eastAsiaTheme="minorEastAsia" w:hAnsiTheme="minorHAnsi" w:cstheme="minorBidi"/>
          <w:noProof/>
          <w:sz w:val="21"/>
          <w:szCs w:val="22"/>
        </w:rPr>
      </w:pPr>
      <w:hyperlink w:anchor="_Toc45279162" w:history="1">
        <w:r w:rsidR="00A80B32" w:rsidRPr="00274D8E">
          <w:rPr>
            <w:rStyle w:val="af3"/>
            <w:rFonts w:ascii="仿宋" w:eastAsia="仿宋" w:hAnsi="仿宋"/>
            <w:bCs/>
            <w:noProof/>
          </w:rPr>
          <w:t>第二十一条 不可抗力</w:t>
        </w:r>
        <w:r w:rsidR="00A80B32">
          <w:rPr>
            <w:noProof/>
            <w:webHidden/>
          </w:rPr>
          <w:tab/>
        </w:r>
        <w:r w:rsidR="00A80B32">
          <w:rPr>
            <w:noProof/>
            <w:webHidden/>
          </w:rPr>
          <w:fldChar w:fldCharType="begin"/>
        </w:r>
        <w:r w:rsidR="00A80B32">
          <w:rPr>
            <w:noProof/>
            <w:webHidden/>
          </w:rPr>
          <w:instrText xml:space="preserve"> PAGEREF _Toc45279162 \h </w:instrText>
        </w:r>
        <w:r w:rsidR="00A80B32">
          <w:rPr>
            <w:noProof/>
            <w:webHidden/>
          </w:rPr>
        </w:r>
        <w:r w:rsidR="00A80B32">
          <w:rPr>
            <w:noProof/>
            <w:webHidden/>
          </w:rPr>
          <w:fldChar w:fldCharType="separate"/>
        </w:r>
        <w:r w:rsidR="00DA6A57">
          <w:rPr>
            <w:noProof/>
            <w:webHidden/>
          </w:rPr>
          <w:t>45</w:t>
        </w:r>
        <w:r w:rsidR="00A80B32">
          <w:rPr>
            <w:noProof/>
            <w:webHidden/>
          </w:rPr>
          <w:fldChar w:fldCharType="end"/>
        </w:r>
      </w:hyperlink>
    </w:p>
    <w:p w14:paraId="14598BCB" w14:textId="61A52B01" w:rsidR="00F45A57" w:rsidRDefault="00815DA3">
      <w:pPr>
        <w:rPr>
          <w:rFonts w:ascii="仿宋" w:eastAsia="仿宋" w:hAnsi="仿宋"/>
          <w:color w:val="000000"/>
          <w:sz w:val="28"/>
          <w:szCs w:val="28"/>
        </w:rPr>
      </w:pPr>
      <w:r>
        <w:rPr>
          <w:rFonts w:ascii="仿宋" w:eastAsia="仿宋" w:hAnsi="仿宋"/>
          <w:color w:val="000000"/>
          <w:sz w:val="28"/>
          <w:szCs w:val="28"/>
        </w:rPr>
        <w:fldChar w:fldCharType="end"/>
      </w:r>
    </w:p>
    <w:p w14:paraId="4A54B945" w14:textId="77777777" w:rsidR="00F45A57" w:rsidRDefault="00F45A57">
      <w:pPr>
        <w:rPr>
          <w:rFonts w:ascii="仿宋" w:eastAsia="仿宋" w:hAnsi="仿宋"/>
          <w:color w:val="000000"/>
          <w:sz w:val="28"/>
          <w:szCs w:val="28"/>
        </w:rPr>
      </w:pPr>
    </w:p>
    <w:p w14:paraId="2F5473B2" w14:textId="77777777" w:rsidR="00F45A57" w:rsidRDefault="00F45A57">
      <w:pPr>
        <w:ind w:firstLineChars="200" w:firstLine="562"/>
        <w:rPr>
          <w:rFonts w:ascii="仿宋" w:eastAsia="仿宋" w:hAnsi="仿宋"/>
          <w:b/>
          <w:color w:val="000000"/>
          <w:sz w:val="28"/>
          <w:szCs w:val="28"/>
        </w:rPr>
        <w:sectPr w:rsidR="00F45A57">
          <w:footerReference w:type="default" r:id="rId12"/>
          <w:footerReference w:type="first" r:id="rId13"/>
          <w:pgSz w:w="11907" w:h="16840"/>
          <w:pgMar w:top="1361" w:right="1452" w:bottom="1134" w:left="1452" w:header="720" w:footer="720" w:gutter="0"/>
          <w:cols w:space="720"/>
          <w:titlePg/>
        </w:sectPr>
      </w:pPr>
    </w:p>
    <w:p w14:paraId="55E72F28" w14:textId="33F86CC7" w:rsidR="00F45A57" w:rsidRDefault="00A46D0E">
      <w:pPr>
        <w:ind w:firstLineChars="200" w:firstLine="562"/>
        <w:rPr>
          <w:rFonts w:ascii="仿宋" w:eastAsia="仿宋" w:hAnsi="仿宋"/>
          <w:b/>
          <w:color w:val="000000"/>
          <w:sz w:val="28"/>
          <w:szCs w:val="28"/>
        </w:rPr>
      </w:pPr>
      <w:r>
        <w:rPr>
          <w:rFonts w:ascii="仿宋" w:eastAsia="仿宋" w:hAnsi="仿宋" w:hint="eastAsia"/>
          <w:b/>
          <w:color w:val="000000"/>
          <w:sz w:val="28"/>
          <w:szCs w:val="28"/>
        </w:rPr>
        <w:lastRenderedPageBreak/>
        <w:t>中信证券信远一年持有期混合型集合资产管理计划</w:t>
      </w:r>
      <w:r w:rsidR="00815DA3">
        <w:rPr>
          <w:rFonts w:ascii="仿宋" w:eastAsia="仿宋" w:hAnsi="仿宋" w:hint="eastAsia"/>
          <w:b/>
          <w:color w:val="000000"/>
          <w:sz w:val="28"/>
          <w:szCs w:val="28"/>
        </w:rPr>
        <w:t>托管协议</w:t>
      </w:r>
    </w:p>
    <w:p w14:paraId="2108F3EA" w14:textId="77777777" w:rsidR="00F45A57" w:rsidRDefault="00F45A57">
      <w:pPr>
        <w:rPr>
          <w:rFonts w:ascii="仿宋" w:eastAsia="仿宋" w:hAnsi="仿宋"/>
          <w:b/>
          <w:color w:val="000000"/>
          <w:sz w:val="28"/>
          <w:szCs w:val="28"/>
        </w:rPr>
      </w:pPr>
    </w:p>
    <w:p w14:paraId="6F821E7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集合计划管理人：中信证券股份有限公司</w:t>
      </w:r>
    </w:p>
    <w:p w14:paraId="6DD6A4F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住所：广东省深圳市福田区中心三路8号卓越时代广场（二期）北座</w:t>
      </w:r>
    </w:p>
    <w:p w14:paraId="5E84C3A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法定代表人：张佑君</w:t>
      </w:r>
    </w:p>
    <w:p w14:paraId="2652784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设立日期：1995年10月25日</w:t>
      </w:r>
    </w:p>
    <w:p w14:paraId="44DCB50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批准设立机关及批准设立文号：中国人民银行银复【1995】313号</w:t>
      </w:r>
    </w:p>
    <w:p w14:paraId="621A803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2DB5F60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注册资本：1292677.60万人民币</w:t>
      </w:r>
    </w:p>
    <w:p w14:paraId="38AB626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存续期限：持续经营</w:t>
      </w:r>
    </w:p>
    <w:p w14:paraId="21EABB5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 xml:space="preserve">联系电话： </w:t>
      </w:r>
      <w:r>
        <w:rPr>
          <w:rFonts w:ascii="仿宋" w:eastAsia="仿宋" w:hAnsi="仿宋"/>
          <w:color w:val="000000"/>
          <w:sz w:val="28"/>
          <w:szCs w:val="28"/>
        </w:rPr>
        <w:t>95548</w:t>
      </w:r>
    </w:p>
    <w:p w14:paraId="45211194" w14:textId="77777777" w:rsidR="00F45A57" w:rsidRDefault="00F45A57">
      <w:pPr>
        <w:pStyle w:val="21"/>
        <w:rPr>
          <w:rFonts w:ascii="仿宋" w:eastAsia="仿宋" w:hAnsi="仿宋"/>
          <w:color w:val="000000"/>
          <w:sz w:val="28"/>
          <w:szCs w:val="28"/>
        </w:rPr>
      </w:pPr>
    </w:p>
    <w:p w14:paraId="20AC3DF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 xml:space="preserve">集合计划托管人：中信银行股份有限公司 </w:t>
      </w:r>
    </w:p>
    <w:p w14:paraId="0AD23FD1" w14:textId="1D5417E8"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住所：</w:t>
      </w:r>
      <w:r w:rsidR="00313D3F" w:rsidRPr="00313D3F">
        <w:rPr>
          <w:rFonts w:ascii="仿宋" w:eastAsia="仿宋" w:hAnsi="仿宋" w:hint="eastAsia"/>
          <w:color w:val="000000"/>
          <w:sz w:val="28"/>
          <w:szCs w:val="28"/>
        </w:rPr>
        <w:t>北京市朝阳区光华路10号院1号楼6-30层、32-42层</w:t>
      </w:r>
    </w:p>
    <w:p w14:paraId="3EE6FDE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法定代表人：李庆萍</w:t>
      </w:r>
    </w:p>
    <w:p w14:paraId="3EA783F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3B7EC75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09B327C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390AEEB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7373C28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3AF9D6A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1DABE3C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664E752D" w14:textId="77777777" w:rsidR="00F45A57" w:rsidRDefault="00F45A57">
      <w:pPr>
        <w:rPr>
          <w:rFonts w:ascii="仿宋" w:eastAsia="仿宋" w:hAnsi="仿宋"/>
          <w:b/>
          <w:bCs/>
          <w:color w:val="000000"/>
          <w:sz w:val="28"/>
          <w:szCs w:val="28"/>
        </w:rPr>
      </w:pPr>
    </w:p>
    <w:p w14:paraId="6AF23369" w14:textId="77777777" w:rsidR="00F45A57" w:rsidRDefault="00815DA3">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鉴于：</w:t>
      </w:r>
    </w:p>
    <w:p w14:paraId="68AB2AD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1．中信证券股份有限公司系一家依照中国法律合法成立并有效存续的股份有限公司，按照相关法律法规的规定具备担任集合计划管理人的资格和能力；</w:t>
      </w:r>
    </w:p>
    <w:p w14:paraId="0997894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2.中信银行股份有限公司系一家依照中国法律合法成立并有效存续的银行，按照相关法律法规的规定具备担任集合计划托管人的资格和能力；</w:t>
      </w:r>
    </w:p>
    <w:p w14:paraId="157AE082" w14:textId="19F445BD"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3.中信证券股份有限公司拟担任</w:t>
      </w:r>
      <w:r w:rsidR="00A46D0E">
        <w:rPr>
          <w:rFonts w:ascii="仿宋" w:eastAsia="仿宋" w:hAnsi="仿宋" w:hint="eastAsia"/>
          <w:color w:val="000000"/>
          <w:sz w:val="28"/>
          <w:szCs w:val="28"/>
        </w:rPr>
        <w:t>中信证券信远一年持有期混合型集合资产管理计划</w:t>
      </w:r>
      <w:r>
        <w:rPr>
          <w:rFonts w:ascii="仿宋" w:eastAsia="仿宋" w:hAnsi="仿宋" w:hint="eastAsia"/>
          <w:color w:val="000000"/>
          <w:sz w:val="28"/>
          <w:szCs w:val="28"/>
        </w:rPr>
        <w:t>的管理人，中信银行股份有限公司拟担任</w:t>
      </w:r>
      <w:r w:rsidR="00A46D0E">
        <w:rPr>
          <w:rFonts w:ascii="仿宋" w:eastAsia="仿宋" w:hAnsi="仿宋" w:hint="eastAsia"/>
          <w:color w:val="000000"/>
          <w:sz w:val="28"/>
          <w:szCs w:val="28"/>
        </w:rPr>
        <w:t>中信证券信远一年持有期混合型集合资产管理计划</w:t>
      </w:r>
      <w:r>
        <w:rPr>
          <w:rFonts w:ascii="仿宋" w:eastAsia="仿宋" w:hAnsi="仿宋" w:hint="eastAsia"/>
          <w:color w:val="000000"/>
          <w:sz w:val="28"/>
          <w:szCs w:val="28"/>
        </w:rPr>
        <w:t>的托管人；</w:t>
      </w:r>
    </w:p>
    <w:p w14:paraId="2603A209" w14:textId="4B24352F"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A46D0E">
        <w:rPr>
          <w:rFonts w:ascii="仿宋" w:eastAsia="仿宋" w:hAnsi="仿宋" w:hint="eastAsia"/>
          <w:color w:val="000000"/>
          <w:sz w:val="28"/>
          <w:szCs w:val="28"/>
        </w:rPr>
        <w:t>中信证券信远一年持有期混合型集合资产管理计划</w:t>
      </w:r>
      <w:r>
        <w:rPr>
          <w:rFonts w:ascii="仿宋" w:eastAsia="仿宋" w:hAnsi="仿宋" w:hint="eastAsia"/>
          <w:color w:val="000000"/>
          <w:sz w:val="28"/>
          <w:szCs w:val="28"/>
        </w:rPr>
        <w:t>（</w:t>
      </w:r>
      <w:r>
        <w:rPr>
          <w:rFonts w:ascii="仿宋" w:eastAsia="仿宋" w:hAnsi="仿宋"/>
          <w:color w:val="000000"/>
          <w:sz w:val="28"/>
          <w:szCs w:val="28"/>
        </w:rPr>
        <w:t>以</w:t>
      </w:r>
      <w:r>
        <w:rPr>
          <w:rFonts w:ascii="仿宋" w:eastAsia="仿宋" w:hAnsi="仿宋"/>
          <w:color w:val="000000"/>
          <w:sz w:val="28"/>
          <w:szCs w:val="28"/>
        </w:rPr>
        <w:lastRenderedPageBreak/>
        <w:t>下简称“</w:t>
      </w:r>
      <w:r>
        <w:rPr>
          <w:rFonts w:ascii="仿宋" w:eastAsia="仿宋" w:hAnsi="仿宋" w:hint="eastAsia"/>
          <w:color w:val="000000"/>
          <w:sz w:val="28"/>
          <w:szCs w:val="28"/>
        </w:rPr>
        <w:t>集合计划</w:t>
      </w:r>
      <w:r>
        <w:rPr>
          <w:rFonts w:ascii="仿宋" w:eastAsia="仿宋" w:hAnsi="仿宋"/>
          <w:color w:val="000000"/>
          <w:sz w:val="28"/>
          <w:szCs w:val="28"/>
        </w:rPr>
        <w:t>”</w:t>
      </w:r>
      <w:r>
        <w:rPr>
          <w:rFonts w:ascii="仿宋" w:eastAsia="仿宋" w:hAnsi="仿宋" w:hint="eastAsia"/>
          <w:color w:val="000000"/>
          <w:sz w:val="28"/>
          <w:szCs w:val="28"/>
        </w:rPr>
        <w:t>）托管中的权利、义务及责任，确保集合计划财产的安全，保护集合计划份额持有人的合法权益，依据《中华人民共和国合同法》等法律法规以及相关规定，双方本着平等自愿、诚实守信的原则特签订本协议。</w:t>
      </w:r>
    </w:p>
    <w:p w14:paraId="746BFFB2" w14:textId="77777777" w:rsidR="00F45A57" w:rsidRDefault="00F45A57">
      <w:pPr>
        <w:pStyle w:val="21"/>
        <w:rPr>
          <w:rFonts w:ascii="仿宋" w:eastAsia="仿宋" w:hAnsi="仿宋"/>
          <w:color w:val="000000"/>
          <w:sz w:val="28"/>
          <w:szCs w:val="28"/>
        </w:rPr>
      </w:pPr>
    </w:p>
    <w:p w14:paraId="6E3D33FE" w14:textId="77777777" w:rsidR="00F45A57" w:rsidRDefault="00815DA3">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3D007981" w14:textId="4719178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A46D0E">
        <w:rPr>
          <w:rFonts w:ascii="仿宋" w:eastAsia="仿宋" w:hAnsi="仿宋" w:hint="eastAsia"/>
          <w:color w:val="000000"/>
          <w:sz w:val="28"/>
          <w:szCs w:val="28"/>
        </w:rPr>
        <w:t>中信证券信远一年持有期混合型集合资产管理计划</w:t>
      </w:r>
      <w:r>
        <w:rPr>
          <w:rFonts w:ascii="仿宋" w:eastAsia="仿宋" w:hAnsi="仿宋" w:hint="eastAsia"/>
          <w:color w:val="000000"/>
          <w:sz w:val="28"/>
          <w:szCs w:val="28"/>
        </w:rPr>
        <w:t xml:space="preserve">资产管理合同》(以下简称“资产管理合同”)中定义的术语在用于本协议时应具有相同的含义；若有抵触应以资产管理合同为准，并依其条款解释。 </w:t>
      </w:r>
    </w:p>
    <w:p w14:paraId="564228CC" w14:textId="77777777" w:rsidR="00F45A57" w:rsidRDefault="00F45A57">
      <w:pPr>
        <w:pStyle w:val="21"/>
        <w:rPr>
          <w:rFonts w:ascii="仿宋" w:eastAsia="仿宋" w:hAnsi="仿宋"/>
          <w:color w:val="000000"/>
          <w:sz w:val="28"/>
          <w:szCs w:val="28"/>
        </w:rPr>
      </w:pPr>
    </w:p>
    <w:p w14:paraId="4323F945" w14:textId="77777777" w:rsidR="00F45A57" w:rsidRDefault="00F45A57">
      <w:pPr>
        <w:pStyle w:val="1"/>
        <w:rPr>
          <w:rFonts w:ascii="仿宋" w:eastAsia="仿宋" w:hAnsi="仿宋"/>
          <w:bCs/>
          <w:sz w:val="28"/>
          <w:szCs w:val="28"/>
        </w:rPr>
        <w:sectPr w:rsidR="00F45A57">
          <w:footerReference w:type="default" r:id="rId14"/>
          <w:footerReference w:type="first" r:id="rId15"/>
          <w:pgSz w:w="11907" w:h="16840"/>
          <w:pgMar w:top="1361" w:right="1452" w:bottom="1134" w:left="1452" w:header="720" w:footer="720" w:gutter="0"/>
          <w:pgNumType w:start="1"/>
          <w:cols w:space="720"/>
        </w:sectPr>
      </w:pPr>
      <w:bookmarkStart w:id="16" w:name="_Toc296551337"/>
    </w:p>
    <w:p w14:paraId="561E99C4" w14:textId="77777777" w:rsidR="00F45A57" w:rsidRDefault="00815DA3">
      <w:pPr>
        <w:pStyle w:val="1"/>
        <w:rPr>
          <w:rFonts w:ascii="仿宋" w:eastAsia="仿宋" w:hAnsi="仿宋"/>
          <w:bCs/>
          <w:sz w:val="28"/>
          <w:szCs w:val="28"/>
        </w:rPr>
      </w:pPr>
      <w:bookmarkStart w:id="17" w:name="_Toc45279142"/>
      <w:r>
        <w:rPr>
          <w:rFonts w:ascii="仿宋" w:eastAsia="仿宋" w:hAnsi="仿宋" w:hint="eastAsia"/>
          <w:bCs/>
          <w:sz w:val="28"/>
          <w:szCs w:val="28"/>
        </w:rPr>
        <w:lastRenderedPageBreak/>
        <w:t>第一条 集合计划托管协议当事人</w:t>
      </w:r>
      <w:bookmarkEnd w:id="16"/>
      <w:bookmarkEnd w:id="17"/>
    </w:p>
    <w:p w14:paraId="6EFDDBE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1.1集合计划管理人：</w:t>
      </w:r>
    </w:p>
    <w:p w14:paraId="1BEA15B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名称：中信证券股份有限公司</w:t>
      </w:r>
    </w:p>
    <w:p w14:paraId="7E50F85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住所：广东省深圳市福田区中心三路8号卓越时代广场（二期）北座</w:t>
      </w:r>
    </w:p>
    <w:p w14:paraId="0354AF3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法定代表人：张佑君</w:t>
      </w:r>
    </w:p>
    <w:p w14:paraId="62D1FFF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设立日期：1995年10月25日</w:t>
      </w:r>
    </w:p>
    <w:p w14:paraId="2D5632D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批准设立机关及批准设立文号：中国人民银行银复【1995】313号</w:t>
      </w:r>
    </w:p>
    <w:p w14:paraId="5EE8B60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209CCBB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注册资本：</w:t>
      </w:r>
      <w:r>
        <w:rPr>
          <w:rFonts w:ascii="仿宋" w:eastAsia="仿宋" w:hAnsi="仿宋"/>
          <w:color w:val="000000"/>
          <w:sz w:val="28"/>
          <w:szCs w:val="28"/>
        </w:rPr>
        <w:t>1292677.60</w:t>
      </w:r>
      <w:r>
        <w:rPr>
          <w:rFonts w:ascii="仿宋" w:eastAsia="仿宋" w:hAnsi="仿宋" w:hint="eastAsia"/>
          <w:color w:val="000000"/>
          <w:sz w:val="28"/>
          <w:szCs w:val="28"/>
        </w:rPr>
        <w:t>万人民币</w:t>
      </w:r>
    </w:p>
    <w:p w14:paraId="3A3F1D4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存续期限：持续经营</w:t>
      </w:r>
    </w:p>
    <w:p w14:paraId="22529CF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联系电话：</w:t>
      </w:r>
      <w:r>
        <w:rPr>
          <w:rFonts w:ascii="仿宋" w:eastAsia="仿宋" w:hAnsi="仿宋"/>
          <w:color w:val="000000"/>
          <w:sz w:val="28"/>
          <w:szCs w:val="28"/>
        </w:rPr>
        <w:t>95548</w:t>
      </w:r>
    </w:p>
    <w:p w14:paraId="565D3CD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1.2集合计划托管人：</w:t>
      </w:r>
    </w:p>
    <w:p w14:paraId="51F5223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442F2EDD" w14:textId="5DDCBF5C"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住所：</w:t>
      </w:r>
      <w:r w:rsidR="00313D3F" w:rsidRPr="00313D3F">
        <w:rPr>
          <w:rFonts w:ascii="仿宋" w:eastAsia="仿宋" w:hAnsi="仿宋" w:hint="eastAsia"/>
          <w:color w:val="000000"/>
          <w:sz w:val="28"/>
          <w:szCs w:val="28"/>
        </w:rPr>
        <w:t>北京市朝阳区光华路10号院1号楼6-30层、32-42层</w:t>
      </w:r>
    </w:p>
    <w:p w14:paraId="6125B0A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法定代表人：李庆萍</w:t>
      </w:r>
    </w:p>
    <w:p w14:paraId="7DF78EE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1D31F44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20754932" w14:textId="77777777" w:rsidR="00F45A57" w:rsidRDefault="00815DA3">
      <w:pPr>
        <w:pStyle w:val="21"/>
        <w:ind w:left="0" w:firstLineChars="200" w:firstLine="560"/>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4E85D13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7EB8F55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18A8DED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217924C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3F850E95" w14:textId="48487B48"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w:t>
      </w:r>
    </w:p>
    <w:p w14:paraId="6E8D429E" w14:textId="77777777" w:rsidR="00F45A57" w:rsidRDefault="00F45A57">
      <w:pPr>
        <w:pStyle w:val="1"/>
        <w:rPr>
          <w:rFonts w:ascii="仿宋" w:eastAsia="仿宋" w:hAnsi="仿宋"/>
          <w:bCs/>
          <w:sz w:val="28"/>
          <w:szCs w:val="28"/>
        </w:rPr>
        <w:sectPr w:rsidR="00F45A57">
          <w:footerReference w:type="default" r:id="rId16"/>
          <w:footerReference w:type="first" r:id="rId17"/>
          <w:pgSz w:w="11907" w:h="16840"/>
          <w:pgMar w:top="1361" w:right="1452" w:bottom="1134" w:left="1452" w:header="720" w:footer="720" w:gutter="0"/>
          <w:cols w:space="720"/>
          <w:docGrid w:linePitch="286"/>
        </w:sectPr>
      </w:pPr>
      <w:bookmarkStart w:id="18" w:name="_Toc296551338"/>
    </w:p>
    <w:p w14:paraId="3C419518" w14:textId="77777777" w:rsidR="00F45A57" w:rsidRDefault="00815DA3">
      <w:pPr>
        <w:pStyle w:val="1"/>
        <w:rPr>
          <w:rFonts w:ascii="仿宋" w:eastAsia="仿宋" w:hAnsi="仿宋"/>
          <w:bCs/>
          <w:sz w:val="28"/>
          <w:szCs w:val="28"/>
        </w:rPr>
      </w:pPr>
      <w:bookmarkStart w:id="19" w:name="_Toc45279143"/>
      <w:r>
        <w:rPr>
          <w:rFonts w:ascii="仿宋" w:eastAsia="仿宋" w:hAnsi="仿宋" w:hint="eastAsia"/>
          <w:bCs/>
          <w:sz w:val="28"/>
          <w:szCs w:val="28"/>
        </w:rPr>
        <w:lastRenderedPageBreak/>
        <w:t>第二条 集合计划托管协议的依据、目的和原则</w:t>
      </w:r>
      <w:bookmarkEnd w:id="18"/>
      <w:bookmarkEnd w:id="19"/>
    </w:p>
    <w:p w14:paraId="3B01909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2.1集合计划托管协议的依据</w:t>
      </w:r>
    </w:p>
    <w:p w14:paraId="4613ABCB" w14:textId="6A5958D0"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订立本协议的依据是《中华人民共和国合同法》、《中华人民共和国证券投资基金法》（以下简称“《基金法》”）、《公开募集证券投资基金运作管理办法》（以下简称“《运作办法》”）、《</w:t>
      </w:r>
      <w:r w:rsidR="00313D3F">
        <w:rPr>
          <w:rFonts w:ascii="仿宋" w:eastAsia="仿宋" w:hAnsi="仿宋" w:hint="eastAsia"/>
          <w:color w:val="000000"/>
          <w:sz w:val="28"/>
          <w:szCs w:val="28"/>
        </w:rPr>
        <w:t>公开募集</w:t>
      </w:r>
      <w:r>
        <w:rPr>
          <w:rFonts w:ascii="仿宋" w:eastAsia="仿宋" w:hAnsi="仿宋" w:hint="eastAsia"/>
          <w:color w:val="000000"/>
          <w:sz w:val="28"/>
          <w:szCs w:val="28"/>
        </w:rPr>
        <w:t>证券投资基金销售</w:t>
      </w:r>
      <w:r w:rsidR="00313D3F">
        <w:rPr>
          <w:rFonts w:ascii="仿宋" w:eastAsia="仿宋" w:hAnsi="仿宋" w:hint="eastAsia"/>
          <w:color w:val="000000"/>
          <w:sz w:val="28"/>
          <w:szCs w:val="28"/>
        </w:rPr>
        <w:t>机构监督</w:t>
      </w:r>
      <w:r>
        <w:rPr>
          <w:rFonts w:ascii="仿宋" w:eastAsia="仿宋" w:hAnsi="仿宋" w:hint="eastAsia"/>
          <w:color w:val="000000"/>
          <w:sz w:val="28"/>
          <w:szCs w:val="28"/>
        </w:rPr>
        <w:t>管理办法》（以下简称“《销售办法》”）、《公开募集证券投资基金信息披露管理办法》（以下简称“《信息披露办法》”）、《公开募集开放式证券投资基金流动性风险管理规定》、《证券公司大集合资产管理业务适用&lt;关于规范金融机构资产管理业务的指导意见&gt;操作指引》、《证券投资基金信息披露内容与格式准则第7号〈托管协议的内容与格式〉》、资产管理合同及其他有关规定。</w:t>
      </w:r>
    </w:p>
    <w:p w14:paraId="7BB26F8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2.2集合计划托管协议的目的</w:t>
      </w:r>
    </w:p>
    <w:p w14:paraId="076D4D4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集合计划托管人与集合计划管理人之间在集合计划财产的保管、投资运作、净值计算、收益分配、信息披露及相互监督等有关事宜中的权利、义务及职责，确保集合计划财产的安全，保护集合计划份额持有人的合法权益。</w:t>
      </w:r>
    </w:p>
    <w:p w14:paraId="073AA8B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2.3集合计划托管协议的原则</w:t>
      </w:r>
    </w:p>
    <w:p w14:paraId="7066202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集合计划管理人和集合计划托管人本着平等自愿、诚实信用、充分保护集合计划份额持有人合法权益的原则，经协商一致，签订本协议。</w:t>
      </w:r>
    </w:p>
    <w:p w14:paraId="18EB9B09" w14:textId="77777777" w:rsidR="00F45A57" w:rsidRDefault="00F45A57">
      <w:pPr>
        <w:pStyle w:val="21"/>
        <w:rPr>
          <w:rFonts w:ascii="仿宋" w:eastAsia="仿宋" w:hAnsi="仿宋"/>
          <w:color w:val="000000"/>
          <w:sz w:val="28"/>
          <w:szCs w:val="28"/>
        </w:rPr>
      </w:pPr>
    </w:p>
    <w:p w14:paraId="21A7644A" w14:textId="77777777" w:rsidR="00F45A57" w:rsidRDefault="00F45A57">
      <w:pPr>
        <w:pStyle w:val="1"/>
        <w:rPr>
          <w:rFonts w:ascii="仿宋" w:eastAsia="仿宋" w:hAnsi="仿宋"/>
          <w:bCs/>
          <w:sz w:val="28"/>
          <w:szCs w:val="28"/>
        </w:rPr>
        <w:sectPr w:rsidR="00F45A57">
          <w:footerReference w:type="default" r:id="rId18"/>
          <w:footerReference w:type="first" r:id="rId19"/>
          <w:pgSz w:w="11907" w:h="16840"/>
          <w:pgMar w:top="1361" w:right="1452" w:bottom="1134" w:left="1452" w:header="720" w:footer="720" w:gutter="0"/>
          <w:cols w:space="720"/>
          <w:docGrid w:linePitch="286"/>
        </w:sectPr>
      </w:pPr>
      <w:bookmarkStart w:id="20" w:name="_Toc296551339"/>
    </w:p>
    <w:p w14:paraId="2DBF3151" w14:textId="77777777" w:rsidR="00F45A57" w:rsidRDefault="00815DA3">
      <w:pPr>
        <w:pStyle w:val="1"/>
        <w:rPr>
          <w:rFonts w:ascii="仿宋" w:eastAsia="仿宋" w:hAnsi="仿宋"/>
          <w:bCs/>
          <w:sz w:val="28"/>
          <w:szCs w:val="28"/>
        </w:rPr>
      </w:pPr>
      <w:bookmarkStart w:id="21" w:name="_Toc45279144"/>
      <w:r>
        <w:rPr>
          <w:rFonts w:ascii="仿宋" w:eastAsia="仿宋" w:hAnsi="仿宋" w:hint="eastAsia"/>
          <w:bCs/>
          <w:sz w:val="28"/>
          <w:szCs w:val="28"/>
        </w:rPr>
        <w:lastRenderedPageBreak/>
        <w:t>第三条 集合计划托管人对集合计划管理人的业务监督和核查</w:t>
      </w:r>
      <w:bookmarkEnd w:id="20"/>
      <w:bookmarkEnd w:id="21"/>
    </w:p>
    <w:p w14:paraId="1AD3C06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3.1集合计划托管人对集合计划管理人的投资行为行使监督权</w:t>
      </w:r>
    </w:p>
    <w:p w14:paraId="4887F57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3.1.1集合计划托管人根据有关法律法规的规定和资产管理合同的约定，对集合计划投资范围、投资对象进行监督。本集合计划将投资于以下金融工具：</w:t>
      </w:r>
    </w:p>
    <w:p w14:paraId="22DFF6B3" w14:textId="40E4BC79"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本集合计划的投资范围为具有良好流动性的金融工具，包括国内依法发行的股票（包括主板、中小板、创业板以及其他中国证监会允许投资的股票）、</w:t>
      </w:r>
      <w:r w:rsidR="00313D3F">
        <w:rPr>
          <w:rFonts w:ascii="仿宋" w:eastAsia="仿宋" w:hAnsi="仿宋" w:hint="eastAsia"/>
          <w:color w:val="000000"/>
          <w:sz w:val="28"/>
          <w:szCs w:val="28"/>
        </w:rPr>
        <w:t>存托凭证、</w:t>
      </w:r>
      <w:r w:rsidRPr="00322FD5">
        <w:rPr>
          <w:rFonts w:ascii="仿宋" w:eastAsia="仿宋" w:hAnsi="仿宋" w:hint="eastAsia"/>
          <w:color w:val="000000"/>
          <w:sz w:val="28"/>
          <w:szCs w:val="28"/>
        </w:rPr>
        <w:t>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公开募集证券投资基金投资的其他金融工具</w:t>
      </w:r>
      <w:r w:rsidR="00313D3F">
        <w:rPr>
          <w:rFonts w:ascii="仿宋" w:eastAsia="仿宋" w:hAnsi="仿宋" w:hint="eastAsia"/>
          <w:color w:val="000000"/>
          <w:sz w:val="28"/>
          <w:szCs w:val="28"/>
        </w:rPr>
        <w:t>（</w:t>
      </w:r>
      <w:r w:rsidRPr="00322FD5">
        <w:rPr>
          <w:rFonts w:ascii="仿宋" w:eastAsia="仿宋" w:hAnsi="仿宋" w:hint="eastAsia"/>
          <w:color w:val="000000"/>
          <w:sz w:val="28"/>
          <w:szCs w:val="28"/>
        </w:rPr>
        <w:t>但须符合中国证监会的相关规定</w:t>
      </w:r>
      <w:r w:rsidR="00313D3F">
        <w:rPr>
          <w:rFonts w:ascii="仿宋" w:eastAsia="仿宋" w:hAnsi="仿宋" w:hint="eastAsia"/>
          <w:color w:val="000000"/>
          <w:sz w:val="28"/>
          <w:szCs w:val="28"/>
        </w:rPr>
        <w:t>）</w:t>
      </w:r>
      <w:r w:rsidRPr="00322FD5">
        <w:rPr>
          <w:rFonts w:ascii="仿宋" w:eastAsia="仿宋" w:hAnsi="仿宋" w:hint="eastAsia"/>
          <w:color w:val="000000"/>
          <w:sz w:val="28"/>
          <w:szCs w:val="28"/>
        </w:rPr>
        <w:t xml:space="preserve">。 </w:t>
      </w:r>
    </w:p>
    <w:p w14:paraId="0507F42B"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如法律法规或监管机构以后允许公开募集证券投资基金投资其他品种，集合计划管理人在履行适当程序后，可以将其纳入投资范围。</w:t>
      </w:r>
    </w:p>
    <w:p w14:paraId="2D79F480" w14:textId="28A86C83" w:rsidR="00F45A57" w:rsidRDefault="00322FD5">
      <w:pPr>
        <w:pStyle w:val="21"/>
        <w:rPr>
          <w:rFonts w:ascii="仿宋" w:eastAsia="仿宋" w:hAnsi="仿宋"/>
          <w:color w:val="000000"/>
          <w:sz w:val="28"/>
          <w:szCs w:val="28"/>
        </w:rPr>
      </w:pPr>
      <w:r w:rsidRPr="00322FD5">
        <w:rPr>
          <w:rFonts w:ascii="仿宋" w:eastAsia="仿宋" w:hAnsi="仿宋" w:hint="eastAsia"/>
          <w:color w:val="000000"/>
          <w:sz w:val="28"/>
          <w:szCs w:val="28"/>
        </w:rPr>
        <w:t>集合计划的投资组合比例为：本集合计划股票</w:t>
      </w:r>
      <w:r w:rsidR="00313D3F">
        <w:rPr>
          <w:rFonts w:ascii="仿宋" w:eastAsia="仿宋" w:hAnsi="仿宋" w:hint="eastAsia"/>
          <w:color w:val="000000"/>
          <w:sz w:val="28"/>
          <w:szCs w:val="28"/>
        </w:rPr>
        <w:t>及存托凭证</w:t>
      </w:r>
      <w:r w:rsidRPr="00322FD5">
        <w:rPr>
          <w:rFonts w:ascii="仿宋" w:eastAsia="仿宋" w:hAnsi="仿宋" w:hint="eastAsia"/>
          <w:color w:val="000000"/>
          <w:sz w:val="28"/>
          <w:szCs w:val="28"/>
        </w:rPr>
        <w:t>投资</w:t>
      </w:r>
      <w:r w:rsidR="00313D3F">
        <w:rPr>
          <w:rFonts w:ascii="仿宋" w:eastAsia="仿宋" w:hAnsi="仿宋" w:hint="eastAsia"/>
          <w:color w:val="000000"/>
          <w:sz w:val="28"/>
          <w:szCs w:val="28"/>
        </w:rPr>
        <w:t>合计</w:t>
      </w:r>
      <w:r w:rsidRPr="00322FD5">
        <w:rPr>
          <w:rFonts w:ascii="仿宋" w:eastAsia="仿宋" w:hAnsi="仿宋" w:hint="eastAsia"/>
          <w:color w:val="000000"/>
          <w:sz w:val="28"/>
          <w:szCs w:val="28"/>
        </w:rPr>
        <w:t>占集合计划资产的</w:t>
      </w:r>
      <w:r w:rsidR="00A46D0E">
        <w:rPr>
          <w:rFonts w:ascii="仿宋" w:eastAsia="仿宋" w:hAnsi="仿宋" w:hint="eastAsia"/>
          <w:color w:val="000000"/>
          <w:sz w:val="28"/>
          <w:szCs w:val="28"/>
        </w:rPr>
        <w:t>60%-</w:t>
      </w:r>
      <w:r w:rsidRPr="00322FD5">
        <w:rPr>
          <w:rFonts w:ascii="仿宋" w:eastAsia="仿宋" w:hAnsi="仿宋" w:hint="eastAsia"/>
          <w:color w:val="000000"/>
          <w:sz w:val="28"/>
          <w:szCs w:val="28"/>
        </w:rPr>
        <w:t>95%，其中投资于港股通标的股票比例占股票</w:t>
      </w:r>
      <w:r w:rsidR="00EB15D6">
        <w:rPr>
          <w:rFonts w:ascii="仿宋" w:eastAsia="仿宋" w:hAnsi="仿宋" w:hint="eastAsia"/>
          <w:color w:val="000000"/>
          <w:sz w:val="28"/>
          <w:szCs w:val="28"/>
        </w:rPr>
        <w:t>及存托凭证</w:t>
      </w:r>
      <w:r w:rsidRPr="00322FD5">
        <w:rPr>
          <w:rFonts w:ascii="仿宋" w:eastAsia="仿宋" w:hAnsi="仿宋" w:hint="eastAsia"/>
          <w:color w:val="000000"/>
          <w:sz w:val="28"/>
          <w:szCs w:val="28"/>
        </w:rPr>
        <w:t>资产</w:t>
      </w:r>
      <w:r w:rsidR="00EB15D6">
        <w:rPr>
          <w:rFonts w:ascii="仿宋" w:eastAsia="仿宋" w:hAnsi="仿宋" w:hint="eastAsia"/>
          <w:color w:val="000000"/>
          <w:sz w:val="28"/>
          <w:szCs w:val="28"/>
        </w:rPr>
        <w:t>合计</w:t>
      </w:r>
      <w:r w:rsidRPr="00322FD5">
        <w:rPr>
          <w:rFonts w:ascii="仿宋" w:eastAsia="仿宋" w:hAnsi="仿宋" w:hint="eastAsia"/>
          <w:color w:val="000000"/>
          <w:sz w:val="28"/>
          <w:szCs w:val="28"/>
        </w:rPr>
        <w:t>的0-50%。每个交易日日终扣除股指期货合约、国债期货合约需缴纳的交易保证金后，本集合计划持有的现金或到期日在一年以内的政府债券的投资比例合计不低于集合计划资产净值的5%，其中，现金不包括结算备付金、存出保证金、应收申购款等。</w:t>
      </w:r>
    </w:p>
    <w:p w14:paraId="3AA5972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3.1.2集合计划托管人根据有关法律法规的规定及资产管理合同的约定对下述集合计划投融资比例进行监督：</w:t>
      </w:r>
    </w:p>
    <w:p w14:paraId="7DA3DBE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本集合计划的投资组合将遵循以下比例限制：</w:t>
      </w:r>
    </w:p>
    <w:p w14:paraId="12370921" w14:textId="6057A89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（1）本集合计划的股票</w:t>
      </w:r>
      <w:r w:rsidR="00313D3F">
        <w:rPr>
          <w:rFonts w:ascii="仿宋" w:eastAsia="仿宋" w:hAnsi="仿宋" w:hint="eastAsia"/>
          <w:color w:val="000000"/>
          <w:sz w:val="28"/>
          <w:szCs w:val="28"/>
        </w:rPr>
        <w:t>及存托凭证</w:t>
      </w:r>
      <w:r w:rsidRPr="00322FD5">
        <w:rPr>
          <w:rFonts w:ascii="仿宋" w:eastAsia="仿宋" w:hAnsi="仿宋" w:hint="eastAsia"/>
          <w:color w:val="000000"/>
          <w:sz w:val="28"/>
          <w:szCs w:val="28"/>
        </w:rPr>
        <w:t>资产投资比例</w:t>
      </w:r>
      <w:r w:rsidR="00313D3F">
        <w:rPr>
          <w:rFonts w:ascii="仿宋" w:eastAsia="仿宋" w:hAnsi="仿宋" w:hint="eastAsia"/>
          <w:color w:val="000000"/>
          <w:sz w:val="28"/>
          <w:szCs w:val="28"/>
        </w:rPr>
        <w:t>合计</w:t>
      </w:r>
      <w:r w:rsidRPr="00322FD5">
        <w:rPr>
          <w:rFonts w:ascii="仿宋" w:eastAsia="仿宋" w:hAnsi="仿宋" w:hint="eastAsia"/>
          <w:color w:val="000000"/>
          <w:sz w:val="28"/>
          <w:szCs w:val="28"/>
        </w:rPr>
        <w:t>为集合计划资产的</w:t>
      </w:r>
      <w:r w:rsidR="00A46D0E">
        <w:rPr>
          <w:rFonts w:ascii="仿宋" w:eastAsia="仿宋" w:hAnsi="仿宋" w:hint="eastAsia"/>
          <w:color w:val="000000"/>
          <w:sz w:val="28"/>
          <w:szCs w:val="28"/>
        </w:rPr>
        <w:t>60%-</w:t>
      </w:r>
      <w:r w:rsidRPr="00322FD5">
        <w:rPr>
          <w:rFonts w:ascii="仿宋" w:eastAsia="仿宋" w:hAnsi="仿宋" w:hint="eastAsia"/>
          <w:color w:val="000000"/>
          <w:sz w:val="28"/>
          <w:szCs w:val="28"/>
        </w:rPr>
        <w:t>95%，其中投资于港股通标的股票的比例占股票</w:t>
      </w:r>
      <w:r w:rsidR="00EB15D6">
        <w:rPr>
          <w:rFonts w:ascii="仿宋" w:eastAsia="仿宋" w:hAnsi="仿宋" w:hint="eastAsia"/>
          <w:color w:val="000000"/>
          <w:sz w:val="28"/>
          <w:szCs w:val="28"/>
        </w:rPr>
        <w:t>及存托凭证</w:t>
      </w:r>
      <w:r w:rsidRPr="00322FD5">
        <w:rPr>
          <w:rFonts w:ascii="仿宋" w:eastAsia="仿宋" w:hAnsi="仿宋" w:hint="eastAsia"/>
          <w:color w:val="000000"/>
          <w:sz w:val="28"/>
          <w:szCs w:val="28"/>
        </w:rPr>
        <w:t>资产</w:t>
      </w:r>
      <w:r w:rsidR="00EB15D6">
        <w:rPr>
          <w:rFonts w:ascii="仿宋" w:eastAsia="仿宋" w:hAnsi="仿宋" w:hint="eastAsia"/>
          <w:color w:val="000000"/>
          <w:sz w:val="28"/>
          <w:szCs w:val="28"/>
        </w:rPr>
        <w:t>合计</w:t>
      </w:r>
      <w:r w:rsidRPr="00322FD5">
        <w:rPr>
          <w:rFonts w:ascii="仿宋" w:eastAsia="仿宋" w:hAnsi="仿宋" w:hint="eastAsia"/>
          <w:color w:val="000000"/>
          <w:sz w:val="28"/>
          <w:szCs w:val="28"/>
        </w:rPr>
        <w:t>的0-50%；</w:t>
      </w:r>
    </w:p>
    <w:p w14:paraId="6465E810"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2）每个交易日日终扣除股指期货合约、国债期货合约需缴纳的交易保证金后，本集合计划保持不低于集合计划资产净值5%的现金或者到期日在一年以内的政府债券，其中，现金不包括结算备付金、存出保证金、应收申购款等；</w:t>
      </w:r>
    </w:p>
    <w:p w14:paraId="3484AD0B" w14:textId="0FC8C1DA"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（3）本集合计划持有一家公司发行的证券</w:t>
      </w:r>
      <w:r w:rsidR="00313D3F" w:rsidRPr="00313D3F">
        <w:rPr>
          <w:rFonts w:ascii="仿宋" w:eastAsia="仿宋" w:hAnsi="仿宋" w:hint="eastAsia"/>
          <w:color w:val="000000"/>
          <w:sz w:val="28"/>
          <w:szCs w:val="28"/>
        </w:rPr>
        <w:t>（含存托凭证）</w:t>
      </w:r>
      <w:r w:rsidRPr="00322FD5">
        <w:rPr>
          <w:rFonts w:ascii="仿宋" w:eastAsia="仿宋" w:hAnsi="仿宋" w:hint="eastAsia"/>
          <w:color w:val="000000"/>
          <w:sz w:val="28"/>
          <w:szCs w:val="28"/>
        </w:rPr>
        <w:t>，其市值不超过集合计划资产净值的10%；</w:t>
      </w:r>
    </w:p>
    <w:p w14:paraId="60EF42CE" w14:textId="3FF531FB"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（4）本集合计划管理人管理的全部大集合计划持有一家公司发行的证券</w:t>
      </w:r>
      <w:r w:rsidR="00313D3F" w:rsidRPr="00313D3F">
        <w:rPr>
          <w:rFonts w:ascii="仿宋" w:eastAsia="仿宋" w:hAnsi="仿宋" w:hint="eastAsia"/>
          <w:color w:val="000000"/>
          <w:sz w:val="28"/>
          <w:szCs w:val="28"/>
        </w:rPr>
        <w:t>（含存托凭证）</w:t>
      </w:r>
      <w:r w:rsidRPr="00322FD5">
        <w:rPr>
          <w:rFonts w:ascii="仿宋" w:eastAsia="仿宋" w:hAnsi="仿宋" w:hint="eastAsia"/>
          <w:color w:val="000000"/>
          <w:sz w:val="28"/>
          <w:szCs w:val="28"/>
        </w:rPr>
        <w:t>，不超过该证券的10%；</w:t>
      </w:r>
    </w:p>
    <w:p w14:paraId="55E2C16F"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（5）本集合计划投资于同一原始权益人的各类资产支持证券的比例，</w:t>
      </w:r>
      <w:r w:rsidRPr="00322FD5">
        <w:rPr>
          <w:rFonts w:ascii="仿宋" w:eastAsia="仿宋" w:hAnsi="仿宋" w:hint="eastAsia"/>
          <w:color w:val="000000"/>
          <w:sz w:val="28"/>
          <w:szCs w:val="28"/>
        </w:rPr>
        <w:lastRenderedPageBreak/>
        <w:t>不得超过集合计划资产净值的10%；</w:t>
      </w:r>
    </w:p>
    <w:p w14:paraId="7723AF0A"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（6）本集合计划持有的全部资产支持证券，其市值不得超过集合计划资产净值的20%；</w:t>
      </w:r>
    </w:p>
    <w:p w14:paraId="2EFF0C2B"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（7）本集合计划持有的同一(指同一信用级别)资产支持证券的比例，不得超过该资产支持证券规模的10%；</w:t>
      </w:r>
    </w:p>
    <w:p w14:paraId="09829914"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（8）本集合计划管理人管理的全部大集合计划投资于同一原始权益人的各类资产支持证券，不得超过其各类资产支持证券合计规模的10%；</w:t>
      </w:r>
    </w:p>
    <w:p w14:paraId="7237445E"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（9）本集合计划应投资于信用级别评级为BBB以上(含BBB)的资产支持证券。集合计划持有资产支持证券期间，如果其信用等级下降、不再符合投资标准，应在评级报告发布之日起3个月内予以全部卖出；</w:t>
      </w:r>
    </w:p>
    <w:p w14:paraId="4D46BB84"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（10）集合计划财产参与股票发行申购，本集合计划所申报的金额不超过本集合计划的总资产，本集合计划所申报的股票数量不超过拟发行股票公司本次发行股票的总量；</w:t>
      </w:r>
    </w:p>
    <w:p w14:paraId="2D948A0D" w14:textId="6CEF45FC"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11）本集合计划管理人管理的全部开放式大集合计划（包含开放式大集合计划以及处于开放期的采取定期开放方式运作的大集合计划）持有一家上市公司发行的可流通股票，不得超过该上市公司可流通股票的15%；</w:t>
      </w:r>
    </w:p>
    <w:p w14:paraId="3680D90F"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（12）本集合计划管理人管理的全部投资组合持有一家上市公司发行的可流通股票，不得超过该上市公司可流通股票的30%；</w:t>
      </w:r>
    </w:p>
    <w:p w14:paraId="0813E11B"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（13）本集合计划进入全国银行间同业市场进行债券回购的资金余额不得超过集合计划资产净值的40%；本集合计划在全国银行间同业市场中的债券回购最长期限为1年，债券回购到期后不得展期；</w:t>
      </w:r>
    </w:p>
    <w:p w14:paraId="7DAF7550"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14）本集合计划主动投资于流动性受限资产的市值合计不得超过本集合计划资产净值的15%。因证券市场波动、上市公司股票停牌、集合计划规模变动等集合计划管理人之外的因素致使集合计划不符合该比例限制的，集合计划管理人不得主动新增流动性受限资产的投资；</w:t>
      </w:r>
    </w:p>
    <w:p w14:paraId="4F347A38"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（15）本集合计划与私募类证券资管产品及中国证监会认定的其他主体为交易对手开展逆回购交易的，可接受质押品的资质要求应当与资产管理合同约定的投资范围保持一致；</w:t>
      </w:r>
    </w:p>
    <w:p w14:paraId="2B418F6F"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16）本集合计划参与股指期货交易，应当遵守下列要求：本集合计划在任何交易日日终，持有的买入股指期货合约价值，不得超过集合计划资产净值的10%；在任何交易日日终，持有的卖出股指期货合约价值不得超过集合计划持有的股票总市值的20%；本集合计划所持有的股票市值和买入、卖出股指期货合约价值，合计（轧差计算）应当符合资产管理合同关于股票投资比例的有关约定；在任何交易日内交易（不包括平仓）的股指期货合约的成交金额不得超过上一交易日集合计划资产净值的20%；</w:t>
      </w:r>
    </w:p>
    <w:p w14:paraId="0D286E0B"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lastRenderedPageBreak/>
        <w:t>（17）本集合计划参与国债期货交易，应当遵守下列要求：本集合计划在任何交易日日终，持有的买入国债期货合约价值，不得超过集合计划资产净值的15%；在任何交易日日终，持有的卖出国债期货合约价值不得超过集合计划持有的债券总市值的30%；集合计划所持有的债券（不含到期日在一年以内的政府债券）市值和买入、卖出国债期货合约价值，合计（轧差计算）应当符合资产管理合同关于债券投资比例的有关约定；在任何交易日内交易（不包括平仓）的国债期货合约的成交金额不得超过上一交易日集合计划资产净值的30%；</w:t>
      </w:r>
    </w:p>
    <w:p w14:paraId="631251DE"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18）在任何交易日日终，持有的买入国债期货和股指期货合约价值与有价证券市值之和，不得超过集合计划资产净值的95%；其中，有价证券指股票、债券（不含到期日在一年以内的政府债券）、资产支持证券、买入返售金融资产（不含质押式回购）等；</w:t>
      </w:r>
    </w:p>
    <w:p w14:paraId="50DBA27D" w14:textId="77777777" w:rsidR="00322FD5" w:rsidRPr="00322FD5" w:rsidRDefault="00322FD5" w:rsidP="00322FD5">
      <w:pPr>
        <w:pStyle w:val="21"/>
        <w:rPr>
          <w:rFonts w:ascii="仿宋" w:eastAsia="仿宋" w:hAnsi="仿宋"/>
          <w:color w:val="000000"/>
          <w:sz w:val="28"/>
          <w:szCs w:val="28"/>
        </w:rPr>
      </w:pPr>
      <w:r w:rsidRPr="00322FD5">
        <w:rPr>
          <w:rFonts w:ascii="仿宋" w:eastAsia="仿宋" w:hAnsi="仿宋" w:hint="eastAsia"/>
          <w:color w:val="000000"/>
          <w:sz w:val="28"/>
          <w:szCs w:val="28"/>
        </w:rPr>
        <w:t>（19）本集合计划总资产不得超过集合计划净资产的140%；</w:t>
      </w:r>
    </w:p>
    <w:p w14:paraId="5B2765FA" w14:textId="1DF93271" w:rsidR="00313D3F" w:rsidRDefault="00313D3F">
      <w:pPr>
        <w:pStyle w:val="21"/>
        <w:rPr>
          <w:rFonts w:ascii="仿宋" w:eastAsia="仿宋" w:hAnsi="仿宋"/>
          <w:color w:val="000000"/>
          <w:sz w:val="28"/>
          <w:szCs w:val="28"/>
        </w:rPr>
      </w:pPr>
      <w:r w:rsidRPr="00313D3F">
        <w:rPr>
          <w:rFonts w:ascii="仿宋" w:eastAsia="仿宋" w:hAnsi="仿宋" w:hint="eastAsia"/>
          <w:color w:val="000000"/>
          <w:sz w:val="28"/>
          <w:szCs w:val="28"/>
        </w:rPr>
        <w:t>（20）本集合计划投资存托凭证的比例限制依照境内上市交易的股票执行；</w:t>
      </w:r>
    </w:p>
    <w:p w14:paraId="14F58462" w14:textId="221F3584" w:rsidR="00322FD5" w:rsidRDefault="00322FD5">
      <w:pPr>
        <w:pStyle w:val="21"/>
        <w:rPr>
          <w:rFonts w:ascii="仿宋" w:eastAsia="仿宋" w:hAnsi="仿宋"/>
          <w:color w:val="000000"/>
          <w:sz w:val="28"/>
          <w:szCs w:val="28"/>
        </w:rPr>
      </w:pPr>
      <w:r w:rsidRPr="00322FD5">
        <w:rPr>
          <w:rFonts w:ascii="仿宋" w:eastAsia="仿宋" w:hAnsi="仿宋" w:hint="eastAsia"/>
          <w:color w:val="000000"/>
          <w:sz w:val="28"/>
          <w:szCs w:val="28"/>
        </w:rPr>
        <w:t>（</w:t>
      </w:r>
      <w:r w:rsidR="00127B3E" w:rsidRPr="00322FD5">
        <w:rPr>
          <w:rFonts w:ascii="仿宋" w:eastAsia="仿宋" w:hAnsi="仿宋" w:hint="eastAsia"/>
          <w:color w:val="000000"/>
          <w:sz w:val="28"/>
          <w:szCs w:val="28"/>
        </w:rPr>
        <w:t>2</w:t>
      </w:r>
      <w:r w:rsidR="00127B3E">
        <w:rPr>
          <w:rFonts w:ascii="仿宋" w:eastAsia="仿宋" w:hAnsi="仿宋"/>
          <w:color w:val="000000"/>
          <w:sz w:val="28"/>
          <w:szCs w:val="28"/>
        </w:rPr>
        <w:t>1</w:t>
      </w:r>
      <w:r w:rsidRPr="00322FD5">
        <w:rPr>
          <w:rFonts w:ascii="仿宋" w:eastAsia="仿宋" w:hAnsi="仿宋" w:hint="eastAsia"/>
          <w:color w:val="000000"/>
          <w:sz w:val="28"/>
          <w:szCs w:val="28"/>
        </w:rPr>
        <w:t>）法律法规及中国证监会规定的和《资产管理合同》约定的其他投资比例限制。</w:t>
      </w:r>
    </w:p>
    <w:p w14:paraId="3D2F941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除上述第（2）、（</w:t>
      </w:r>
      <w:r>
        <w:rPr>
          <w:rFonts w:ascii="仿宋" w:eastAsia="仿宋" w:hAnsi="仿宋"/>
          <w:color w:val="000000"/>
          <w:sz w:val="28"/>
          <w:szCs w:val="28"/>
        </w:rPr>
        <w:t>9</w:t>
      </w:r>
      <w:r>
        <w:rPr>
          <w:rFonts w:ascii="仿宋" w:eastAsia="仿宋" w:hAnsi="仿宋" w:hint="eastAsia"/>
          <w:color w:val="000000"/>
          <w:sz w:val="28"/>
          <w:szCs w:val="28"/>
        </w:rPr>
        <w:t>）、（</w:t>
      </w:r>
      <w:r>
        <w:rPr>
          <w:rFonts w:ascii="仿宋" w:eastAsia="仿宋" w:hAnsi="仿宋"/>
          <w:color w:val="000000"/>
          <w:sz w:val="28"/>
          <w:szCs w:val="28"/>
        </w:rPr>
        <w:t>14</w:t>
      </w:r>
      <w:r>
        <w:rPr>
          <w:rFonts w:ascii="仿宋" w:eastAsia="仿宋" w:hAnsi="仿宋" w:hint="eastAsia"/>
          <w:color w:val="000000"/>
          <w:sz w:val="28"/>
          <w:szCs w:val="28"/>
        </w:rPr>
        <w:t>）、（</w:t>
      </w:r>
      <w:r>
        <w:rPr>
          <w:rFonts w:ascii="仿宋" w:eastAsia="仿宋" w:hAnsi="仿宋"/>
          <w:color w:val="000000"/>
          <w:sz w:val="28"/>
          <w:szCs w:val="28"/>
        </w:rPr>
        <w:t>15</w:t>
      </w:r>
      <w:r>
        <w:rPr>
          <w:rFonts w:ascii="仿宋" w:eastAsia="仿宋" w:hAnsi="仿宋" w:hint="eastAsia"/>
          <w:color w:val="000000"/>
          <w:sz w:val="28"/>
          <w:szCs w:val="28"/>
        </w:rPr>
        <w:t>）项情形之外，因证券、期货市场波动、证券发行人合并、集合计划规模变动等集合计划管理人之外的因素致使集合计划投资比例不符合上述规定投资比例的，集合计划管理人应当在流动性受限资产可出售、可转让或者恢复交易的10个交易日内进行调整，但中国证监会规定的特殊情形除外。法律法规或监管部门另有规定时，从其规定。</w:t>
      </w:r>
    </w:p>
    <w:p w14:paraId="654FEC3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应当自资产管理合同生效之日起6个月内使集合计划的投资组合比例符合资产管理合同的有关约定。在上述期间内，本集合计划的投资范围、投资策略应当符合资产管理合同的约定。集合计划托管人对集合计划的投资的监督与检查自资产管理合同生效之日起开始。</w:t>
      </w:r>
    </w:p>
    <w:p w14:paraId="462537D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如果法律法规或监管部门对上述投资比例限制进行变更的，以变更后的规定为准。法律法规或监管部门取消上述限制，如适用于本集合计划，集合计划管理人在履行适当程序后，则本集合计划投资不再受相关限制。</w:t>
      </w:r>
    </w:p>
    <w:p w14:paraId="2D03EA39" w14:textId="77777777" w:rsidR="00313D3F" w:rsidRPr="00313D3F" w:rsidRDefault="00313D3F" w:rsidP="00313D3F">
      <w:pPr>
        <w:pStyle w:val="21"/>
        <w:rPr>
          <w:rFonts w:ascii="仿宋" w:eastAsia="仿宋" w:hAnsi="仿宋"/>
          <w:color w:val="000000"/>
          <w:sz w:val="28"/>
          <w:szCs w:val="28"/>
        </w:rPr>
      </w:pPr>
      <w:r w:rsidRPr="00313D3F">
        <w:rPr>
          <w:rFonts w:ascii="仿宋" w:eastAsia="仿宋" w:hAnsi="仿宋" w:hint="eastAsia"/>
          <w:color w:val="000000"/>
          <w:sz w:val="28"/>
          <w:szCs w:val="28"/>
        </w:rPr>
        <w:t>当集合计划持有特定资产且存在或潜在大额赎回申请时，根据最大限度保护集合计划份额持有人利益的原则，在符合法律法规及资产管理合同的约定的前提下，集合计划管理人经与集合计划托管人协商一致，并咨询会计师事务所意见后，可以启用侧袋机制，无需召开集合计划份额持有人大会审议。</w:t>
      </w:r>
    </w:p>
    <w:p w14:paraId="0A3D626E" w14:textId="77777777" w:rsidR="00313D3F" w:rsidRPr="00313D3F" w:rsidRDefault="00313D3F" w:rsidP="00313D3F">
      <w:pPr>
        <w:pStyle w:val="21"/>
        <w:rPr>
          <w:rFonts w:ascii="仿宋" w:eastAsia="仿宋" w:hAnsi="仿宋"/>
          <w:color w:val="000000"/>
          <w:sz w:val="28"/>
          <w:szCs w:val="28"/>
        </w:rPr>
      </w:pPr>
      <w:r w:rsidRPr="00313D3F">
        <w:rPr>
          <w:rFonts w:ascii="仿宋" w:eastAsia="仿宋" w:hAnsi="仿宋" w:hint="eastAsia"/>
          <w:color w:val="000000"/>
          <w:sz w:val="28"/>
          <w:szCs w:val="28"/>
        </w:rPr>
        <w:t>侧袋机制实施期间，本部分约定的投资组合比例、组合限制等约定仅适用于主袋账户。</w:t>
      </w:r>
    </w:p>
    <w:p w14:paraId="07589C96" w14:textId="6FF5C1A4" w:rsidR="00313D3F" w:rsidRDefault="00313D3F" w:rsidP="00313D3F">
      <w:pPr>
        <w:pStyle w:val="21"/>
        <w:rPr>
          <w:rFonts w:ascii="仿宋" w:eastAsia="仿宋" w:hAnsi="仿宋"/>
          <w:color w:val="000000"/>
          <w:sz w:val="28"/>
          <w:szCs w:val="28"/>
        </w:rPr>
      </w:pPr>
      <w:r w:rsidRPr="00313D3F">
        <w:rPr>
          <w:rFonts w:ascii="仿宋" w:eastAsia="仿宋" w:hAnsi="仿宋" w:hint="eastAsia"/>
          <w:color w:val="000000"/>
          <w:sz w:val="28"/>
          <w:szCs w:val="28"/>
        </w:rPr>
        <w:lastRenderedPageBreak/>
        <w:t>侧袋机制的具体规则依照相关法律法规的规定和资产管理合同及招募说明书的约定执行。</w:t>
      </w:r>
    </w:p>
    <w:p w14:paraId="1CDB3E38" w14:textId="3C72489E"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3.1.3集合计划托管人根据有关法律法规的规定及资产管理合同的约定对下述集合计划投资禁止行为进行监督：</w:t>
      </w:r>
    </w:p>
    <w:p w14:paraId="21EEB66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根据法律法规的规定及资产管理合同的约定，本集合计划禁止从事下列行为：</w:t>
      </w:r>
    </w:p>
    <w:p w14:paraId="5DD8288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48982CE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10FF233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26F6962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5CEC01B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（5）向其集合计划管理人、集合计划托管人出资；</w:t>
      </w:r>
    </w:p>
    <w:p w14:paraId="650B446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7C4C7C6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1D4DA32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运用集合计划财产买卖集合计划管理人、集合计划托管人及其控股股东、实际控制人或者与其有重大利害关系的公司发行的证券或者承销期内承销的证券，或者从事其他重大关联交易的，应当符合集合计划的投资目标和投资策略，遵循集合计划份额持有人利益优先的原则，防范利益冲突，建立健全内部审批机制和评估机制，按照市场公平合理价格执行。相关交易必须事先得到集合计划托管人的同意，并按法律法规予以披露。重大关联交易应提交集合计划管理人董事会审议，并经过三分之二以上的独立董事通过。集合计划管理人董事会应至少每半年对关联交易事项进行审查。</w:t>
      </w:r>
    </w:p>
    <w:p w14:paraId="467A103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如法律、行政法规或监管部门取消或变更上述禁止性规定，集合计划管理人在履行适当程序后，本集合计划可不受上述规定的限制或以变更后的规定为准</w:t>
      </w:r>
      <w:r>
        <w:rPr>
          <w:rFonts w:ascii="仿宋" w:eastAsia="仿宋" w:hAnsi="仿宋"/>
          <w:color w:val="000000"/>
          <w:sz w:val="28"/>
          <w:szCs w:val="28"/>
        </w:rPr>
        <w:t>。</w:t>
      </w:r>
    </w:p>
    <w:p w14:paraId="53CD45D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3.1.4集合计划托管人依据有关法律法规的规定和资产管理合同的约定对于集合计划关联投资限制进行监督：</w:t>
      </w:r>
    </w:p>
    <w:p w14:paraId="04FDB2A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根据法律法规有关集合计划从事的关联交易的规定，集合计划管理人和集合计划托管人应事先相互提供与本机构有控股关系的股东或与本机构有其他重大利害关系的公司名单及其更新，加盖公章并书面提交，并确保所提供名单的真实性、完整性、全面性。名单变更后集合计划管理人、托管人应及时发送对方，相应方于</w:t>
      </w:r>
      <w:r>
        <w:rPr>
          <w:rFonts w:ascii="仿宋" w:eastAsia="仿宋" w:hAnsi="仿宋"/>
          <w:color w:val="000000"/>
          <w:sz w:val="28"/>
          <w:szCs w:val="28"/>
        </w:rPr>
        <w:t>2个工作日内进行回函确认已知名单的变更。名单变更时间以集合计划管理人</w:t>
      </w:r>
      <w:r>
        <w:rPr>
          <w:rFonts w:ascii="仿宋" w:eastAsia="仿宋" w:hAnsi="仿宋" w:hint="eastAsia"/>
          <w:color w:val="000000"/>
          <w:sz w:val="28"/>
          <w:szCs w:val="28"/>
        </w:rPr>
        <w:t>、托管人收到对方回函确认的时间为准。</w:t>
      </w:r>
    </w:p>
    <w:p w14:paraId="13BBB78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若集合计划托管人发现集合计划管理人与关联方进行法律法规禁止集合计划从事的交易时，集合计划托管人应及时提醒并协助集合计划管理人采取必要措施阻止该交易的发生，若集合计划托管人采取必要措</w:t>
      </w:r>
      <w:r>
        <w:rPr>
          <w:rFonts w:ascii="仿宋" w:eastAsia="仿宋" w:hAnsi="仿宋" w:hint="eastAsia"/>
          <w:color w:val="000000"/>
          <w:sz w:val="28"/>
          <w:szCs w:val="28"/>
        </w:rPr>
        <w:lastRenderedPageBreak/>
        <w:t>施后仍无法阻止该交易发生时，集合计划托管人有权向中国证监会报告，由此造成的损失和责任托管人不予承担。对于交易所场内已成交的违规交易，集合计划托管人应按相关法律法规和交易所规则的规定进行结算，同时向中国证监会报告，集合计划托管人没有过错的不承担由此造成的损失和责任。</w:t>
      </w:r>
    </w:p>
    <w:p w14:paraId="237D012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3.1.5集合计划托管人依据有关法律法规的规定和资产管理合同的约定对集合计划管理人参与银行间债券市场进行监督：</w:t>
      </w:r>
    </w:p>
    <w:p w14:paraId="0DA2DF3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参与银行间市场交易，应按照审慎的风险控制原则评估交易对手资信风险，并自主选择交易对手。集合计划托管人发现集合计划管理人与银行间市场的丙类会员进行债券交易的，可以通过邮件、电话等双方认可的方式提醒集合计划管理人，集合计划管理人应及时向集合计划托管人提供可行性说明。集合计划管理人应确保可行性说明内容真实、准确、完整。集合计划托管人不对集合计划管理人提供的可行性说明进行实质审查。集合计划管理人同意，经提醒后集合计划管理人仍执行交易并造成集合计划资产损失的，集合计划托管人不承担责任。</w:t>
      </w:r>
    </w:p>
    <w:p w14:paraId="3C5ACA0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集合计划管理人在银行间市场进行现券买卖和回购交易时，以DVP(券款兑付)的交易结算方式进行交易。</w:t>
      </w:r>
    </w:p>
    <w:p w14:paraId="02044D9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6</w:t>
      </w:r>
      <w:r>
        <w:rPr>
          <w:rFonts w:ascii="仿宋" w:eastAsia="仿宋" w:hAnsi="仿宋" w:hint="eastAsia"/>
          <w:color w:val="000000"/>
          <w:sz w:val="28"/>
          <w:szCs w:val="28"/>
        </w:rPr>
        <w:t>集合计划托管人根据有关法律法规的规定及资产管理合同的约定，对集合计划管理人选择存款银行进行监督：</w:t>
      </w:r>
    </w:p>
    <w:p w14:paraId="7A21BA2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投资银行存款的信用风险主要包括存款银行的信用等级、存款银行的支付能力等涉及到存款银行选择方面的风险。集合计划管理人应基于审慎原则评估存款银行信用风险并据此选择存款银行。因集合计划管理人违反上述原则给集合计划造成的损失，集合计划托管人没有过错的不承担责任。</w:t>
      </w:r>
    </w:p>
    <w:p w14:paraId="7AEE4BC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3.2集合计划托管人对集合计划管理人业务进行监督和核查的有关措施：</w:t>
      </w:r>
    </w:p>
    <w:p w14:paraId="22DDB5E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3.2.1集合计划托管人应根据有关法律法规的规定及资产管理合同的约定，对集合计划资产净值计算、集合计划份额净值计算、应收资金到账、集合计划费用开支及收入确定、集合计划收益分配、相关信息披露、集合计划宣传推介材料中登载集合计划业绩表现数据等进行监督和核查。</w:t>
      </w:r>
    </w:p>
    <w:p w14:paraId="2E9964E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3.2.2集合计划托管人发现集合计划管理人的投资运作及其他运作违反《基金法》、资产管理合同、本协议及其他有关规定时，应及时以书面形式通知集合计划管理人限期纠正，集合计划管理人收到通知后应在下一个工作日及时核对，并以书面形式向集合计划托管人发出回函，进行解释或举证。</w:t>
      </w:r>
    </w:p>
    <w:p w14:paraId="4DC1761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3.2.3在限期内，集合计划托管人有权随时对通知事项进行复查，督促</w:t>
      </w:r>
      <w:r>
        <w:rPr>
          <w:rFonts w:ascii="仿宋" w:eastAsia="仿宋" w:hAnsi="仿宋" w:hint="eastAsia"/>
          <w:color w:val="000000"/>
          <w:sz w:val="28"/>
          <w:szCs w:val="28"/>
        </w:rPr>
        <w:lastRenderedPageBreak/>
        <w:t>集合计划管理人改正。集合计划管理人对集合计划托管人通知的违规事项未能在限期内纠正的，集合计划托管人应报告中国证监会。</w:t>
      </w:r>
    </w:p>
    <w:p w14:paraId="11DB5D3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3.2.4集合计划托管人发现集合计划管理人的投资指令违反相关法律法规规定或者违反资产管理合同约定的，应当拒绝执行，立即通知集合计划管理人。</w:t>
      </w:r>
    </w:p>
    <w:p w14:paraId="2792F3A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3.2.5集合计划托管人发现集合计划管理人依据交易程序已经生效的投资指令违反法律、行政法规和其他有关规定，或者违反资产管理合同约定的，应当立即通知集合计划管理人，并及时向中国证监会报告，集合计划管理人应依法承担相应责任。</w:t>
      </w:r>
    </w:p>
    <w:p w14:paraId="4B9AE34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3.2.6集合计划管理人应积极配合和协助集合计划托管人的监督和核查，必须在规定时间内答复集合计划托管人并改正，就集合计划托管人的合理疑义进行解释或举证，对集合计划托管人按照法规要求需向中国证监会报送集合计划监督报告的，集合计划管理人应积极配合提供相关数据资料和制度等。</w:t>
      </w:r>
    </w:p>
    <w:p w14:paraId="100DF3D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3.2.7集合计划托管人发现集合计划管理人有重大违规行为，应立即报告中国证监会，同时通知集合计划管理人限期纠正。</w:t>
      </w:r>
    </w:p>
    <w:p w14:paraId="024F1DF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3.2.8集合计划管理人无正当理由，拒绝、阻挠集合计划托管人根据本协议规定行使监督权，或采取拖延、欺诈等手段妨碍集合计划托管人进行有效监督，情节严重或经集合计划托管人提出警告仍不改正的，集合计划托管人应报告中国证监会。</w:t>
      </w:r>
    </w:p>
    <w:p w14:paraId="303CAD46" w14:textId="77777777" w:rsidR="00F45A57" w:rsidRDefault="00815DA3">
      <w:pPr>
        <w:pStyle w:val="21"/>
        <w:rPr>
          <w:rFonts w:ascii="仿宋" w:eastAsia="仿宋" w:hAnsi="仿宋"/>
          <w:color w:val="000000"/>
          <w:sz w:val="28"/>
          <w:szCs w:val="28"/>
        </w:rPr>
      </w:pPr>
      <w:bookmarkStart w:id="22" w:name="_Toc296551340"/>
      <w:r>
        <w:rPr>
          <w:rFonts w:ascii="仿宋" w:eastAsia="仿宋" w:hAnsi="仿宋" w:hint="eastAsia"/>
          <w:color w:val="000000"/>
          <w:sz w:val="28"/>
          <w:szCs w:val="28"/>
        </w:rPr>
        <w:t>3.2.9管理人应遵守中华人民共和国反洗钱法律法规，不参与涉嫌洗钱、恐怖融资、扩散融资等违法犯罪活动。主动配合托管人客户身份识别与尽职调查，提供真实、准确、完整客户资料，遵守反洗钱与反恐怖融资相关管理规定。对具备合理理由怀疑涉嫌洗钱、恐怖融资的客户，托管人将按照中国人民银行反洗钱监管规定采取必要管控措施。</w:t>
      </w:r>
    </w:p>
    <w:p w14:paraId="22D0208A" w14:textId="77777777" w:rsidR="00F45A57" w:rsidRDefault="00F45A57">
      <w:pPr>
        <w:pStyle w:val="1"/>
        <w:rPr>
          <w:rFonts w:ascii="仿宋" w:eastAsia="仿宋" w:hAnsi="仿宋"/>
          <w:bCs/>
          <w:sz w:val="28"/>
          <w:szCs w:val="28"/>
        </w:rPr>
        <w:sectPr w:rsidR="00F45A57">
          <w:footerReference w:type="default" r:id="rId20"/>
          <w:footerReference w:type="first" r:id="rId21"/>
          <w:pgSz w:w="11907" w:h="16840"/>
          <w:pgMar w:top="1361" w:right="1452" w:bottom="1134" w:left="1452" w:header="720" w:footer="720" w:gutter="0"/>
          <w:cols w:space="720"/>
          <w:docGrid w:linePitch="286"/>
        </w:sectPr>
      </w:pPr>
    </w:p>
    <w:p w14:paraId="257D0AE7" w14:textId="77777777" w:rsidR="00F45A57" w:rsidRDefault="00815DA3">
      <w:pPr>
        <w:pStyle w:val="1"/>
        <w:rPr>
          <w:rFonts w:ascii="仿宋" w:eastAsia="仿宋" w:hAnsi="仿宋"/>
          <w:bCs/>
          <w:sz w:val="28"/>
          <w:szCs w:val="28"/>
        </w:rPr>
      </w:pPr>
      <w:bookmarkStart w:id="23" w:name="_Toc45279145"/>
      <w:r>
        <w:rPr>
          <w:rFonts w:ascii="仿宋" w:eastAsia="仿宋" w:hAnsi="仿宋" w:hint="eastAsia"/>
          <w:bCs/>
          <w:sz w:val="28"/>
          <w:szCs w:val="28"/>
        </w:rPr>
        <w:lastRenderedPageBreak/>
        <w:t>第四条 集合计划管理人对集合计划托管人的业务核查</w:t>
      </w:r>
      <w:bookmarkEnd w:id="22"/>
      <w:bookmarkEnd w:id="23"/>
    </w:p>
    <w:p w14:paraId="4917FF4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4.1集合计划管理人对集合计划托管人履行托管职责情况进行核查，核查事项包括但不限于集合计划托管人安全保管集合计划财产、开设集合计划财产的资金账户（也称“托管账户”、“银行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”）和证券账户等投资所需账户、复核集合计划管理人计算的集合计划资产净值和集合计划份额净值、根据集合计划管理人指令办理清算交收、相关信息披露和监督集合计划投资运作等行为。</w:t>
      </w:r>
    </w:p>
    <w:p w14:paraId="38AA46C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4.2集合计划管理人发现集合计划托管人擅自挪用集合计划财产、未对集合计划财产实行分账管理、未执行或无故延迟执行集合计划管理人资金划拨指令、泄露集合计划投资信息等违反《基金法》、资产管理合同、本协议及其他有关规定时，集合计划管理人应及时以书面形式通知集合计划托管人限期纠正，集合计划托管人收到通知后应及时核对确认并以书面形式向集合计划管理人发出回函。在限期内，集合计划管理人有权随时对通知事项进行复查，督促集合计划托管人改正，并予协助配合。集合计划托管人对集合计划管理人通知的违规事项未能在限期内纠正或未在合理期限内确认的，集合计划管理人应报告中国证监会。集合计划管理人有义务要求集合计划托管人赔偿集合计划、集合计划管理人因此所遭受的损失。</w:t>
      </w:r>
    </w:p>
    <w:p w14:paraId="776AFCC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4.3集合计划管理人发现集合计划托管人有重大违规行为，应立即报告中国证监会，同时通知集合计划托管人限期纠正。</w:t>
      </w:r>
    </w:p>
    <w:p w14:paraId="5E70B4D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4.4集合计划托管人应积极配合集合计划管理人的核查行为，包括但不限于：提交相关资料以供集合计划管理人核查托管财产的完整性和真实性，在规定时间内答复集合计划管理人并改正。</w:t>
      </w:r>
    </w:p>
    <w:p w14:paraId="24D56AE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4.5集合计划托管人无正当理由，拒绝、阻挠集合计划管理人根据本协议规定行使监督权，或采取拖延、欺诈等手段妨碍集合计划管理人进行有效监督，情节严重或经集合计划管理人提出警告仍不改正的，集合计划管理人应报告中国证监会。</w:t>
      </w:r>
    </w:p>
    <w:p w14:paraId="2A72E381" w14:textId="77777777" w:rsidR="00F45A57" w:rsidRDefault="00F45A57">
      <w:pPr>
        <w:pStyle w:val="21"/>
        <w:rPr>
          <w:rFonts w:ascii="仿宋" w:eastAsia="仿宋" w:hAnsi="仿宋"/>
          <w:color w:val="000000"/>
          <w:sz w:val="28"/>
          <w:szCs w:val="28"/>
        </w:rPr>
      </w:pPr>
    </w:p>
    <w:p w14:paraId="148E9F90" w14:textId="77777777" w:rsidR="00F45A57" w:rsidRDefault="00F45A57">
      <w:pPr>
        <w:pStyle w:val="1"/>
        <w:rPr>
          <w:rFonts w:ascii="仿宋" w:eastAsia="仿宋" w:hAnsi="仿宋"/>
          <w:bCs/>
          <w:sz w:val="28"/>
          <w:szCs w:val="28"/>
        </w:rPr>
        <w:sectPr w:rsidR="00F45A57">
          <w:footerReference w:type="default" r:id="rId22"/>
          <w:footerReference w:type="first" r:id="rId23"/>
          <w:pgSz w:w="11907" w:h="16840"/>
          <w:pgMar w:top="1361" w:right="1452" w:bottom="1134" w:left="1452" w:header="720" w:footer="720" w:gutter="0"/>
          <w:cols w:space="720"/>
          <w:docGrid w:linePitch="286"/>
        </w:sectPr>
      </w:pPr>
      <w:bookmarkStart w:id="24" w:name="_Toc296551341"/>
    </w:p>
    <w:p w14:paraId="3E8C06AB" w14:textId="77777777" w:rsidR="00F45A57" w:rsidRDefault="00815DA3">
      <w:pPr>
        <w:pStyle w:val="1"/>
        <w:rPr>
          <w:rFonts w:ascii="仿宋" w:eastAsia="仿宋" w:hAnsi="仿宋"/>
          <w:bCs/>
          <w:sz w:val="28"/>
          <w:szCs w:val="28"/>
        </w:rPr>
      </w:pPr>
      <w:bookmarkStart w:id="25" w:name="_Toc45279146"/>
      <w:r>
        <w:rPr>
          <w:rFonts w:ascii="仿宋" w:eastAsia="仿宋" w:hAnsi="仿宋" w:hint="eastAsia"/>
          <w:bCs/>
          <w:sz w:val="28"/>
          <w:szCs w:val="28"/>
        </w:rPr>
        <w:lastRenderedPageBreak/>
        <w:t>第五条 集合计划财产保管</w:t>
      </w:r>
      <w:bookmarkEnd w:id="24"/>
      <w:bookmarkEnd w:id="25"/>
    </w:p>
    <w:p w14:paraId="1CE8A02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5.1集合计划财产保管的原则</w:t>
      </w:r>
    </w:p>
    <w:p w14:paraId="2355677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5.1.1集合计划财产应独立于集合计划管理人、集合计划托管人的固有财产。</w:t>
      </w:r>
    </w:p>
    <w:p w14:paraId="1E70066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5.1.2集合计划托管人应安全保管集合计划财产。除依据法律法规规定、资产管理合同和本协议约定及集合计划管理人的正当指令外，不得自行运用、处分、分配集合计划的任何财产。</w:t>
      </w:r>
    </w:p>
    <w:p w14:paraId="4AB21E5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5.1.3集合计划托管人按照规定开设集合计划财产的资金账户、证券账户等投资所需账户。</w:t>
      </w:r>
    </w:p>
    <w:p w14:paraId="2E41EA2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5.1.4集合计划托管人对所托管的不同集合计划财产分别设置账户，与集合计划托管人的其他业务和其他集合计划的托管业务实行严格的分账管理，确保集合计划财产的完整与独立。</w:t>
      </w:r>
    </w:p>
    <w:p w14:paraId="31C0ED7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5.1.5集合计划托管人根据集合计划管理人的指令，按照资产管理合同和本协议的约定保管集合计划财产，如有特殊情况双方可另行协商解决。</w:t>
      </w:r>
    </w:p>
    <w:p w14:paraId="51633F3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5.1.6除依据法律法规和资产管理合同的规定外，集合计划托管人不得委托第三人托管集合计划资产。</w:t>
      </w:r>
    </w:p>
    <w:p w14:paraId="677C9E9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集合计划的银行账户的开立和管理</w:t>
      </w:r>
    </w:p>
    <w:p w14:paraId="32DC9B2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.1集合计划托管人以本集合计划的名义在其营业机构开立集合计划的银行账户，并根据集合计划管理人合法合规的指令办理资金收付。本集合计划的银行预留印鉴由集合计划托管人刻制、保管和使用。</w:t>
      </w:r>
    </w:p>
    <w:p w14:paraId="5439565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集合计划银行账户的开立和使用，限于满足开展本集合计划业务的需要。集合计划托管人和集合计划管理人不得假借本集合计划的名义开立任何其他银行账户；亦不得使用集合计划的任何账户进行本集合计划业务以外的活动。</w:t>
      </w:r>
    </w:p>
    <w:p w14:paraId="36B2881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.3集合计划银行账户的开立和管理应符合有关法律法规以及银行业监督管理机构的有关规定。</w:t>
      </w:r>
    </w:p>
    <w:p w14:paraId="7A1BF2E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集合计划证券账户与证券交易资金账户的开设和管理：</w:t>
      </w:r>
    </w:p>
    <w:p w14:paraId="1D42A79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.1集合计划托管人以集合计划托管人和本集合计划联名的方式在中国证券登记结算有限责任公司上海分公司/深圳分公司开设证券账户。</w:t>
      </w:r>
    </w:p>
    <w:p w14:paraId="212428B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2集合计划证券账户的开立和使用，限于满足开展本集合计划业务的需要。集合计划托管人和集合计划管理人不得出借和未经对方同意擅自转让集合计划的任何证券账户；亦不得使用集合计划的任何账户进行本集合计划业务以外的活动。</w:t>
      </w:r>
    </w:p>
    <w:p w14:paraId="0339EA2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5.3.3集合计划管理人根据相关法律法规及协议约定在选定的证券经</w:t>
      </w:r>
      <w:r>
        <w:rPr>
          <w:rFonts w:ascii="仿宋" w:eastAsia="仿宋" w:hAnsi="仿宋" w:hint="eastAsia"/>
          <w:color w:val="000000"/>
          <w:sz w:val="28"/>
          <w:szCs w:val="28"/>
        </w:rPr>
        <w:lastRenderedPageBreak/>
        <w:t>纪机构处为本集合计划开立证券交易资金账户，用于办理本集合计划在证券交易所进行证券投资所涉及的资金结算业务。结算备付金和交易保证金的收取按照代理证券买卖的证券经营机构的规定执行。</w:t>
      </w:r>
    </w:p>
    <w:p w14:paraId="5FD91B4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5.3.4集合计划管理人以本集合计划名义在集合计划管理人选择的证券经营机构营业网点开立证券交易资金账户，并按照该营业网点开户的流程和要求，签订相关的协议。证券交易资金账户与集合计划托管账户建立第三方存管关系。</w:t>
      </w:r>
    </w:p>
    <w:p w14:paraId="26F7903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026370C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资产管理合同生效后，集合计划管理人负责以集合计划的名义申请并取得进入全国银行间同业拆借市场的交易资格，并代表集合计划进行交易；集合计划托管人负责以集合计划的名义在中央国债登记结算有限责任公司开设银行间债券市场债券托管账户，并由集合计划托管人负责集合计划的债券的后台匹配及资金的清算。</w:t>
      </w:r>
    </w:p>
    <w:p w14:paraId="3BEA7F5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.2集合计划管理人负责为集合计划对外签订全国银行间国债市场回购主协议，正本由集合计划托管人保管，集合计划管理人保存副本。</w:t>
      </w:r>
    </w:p>
    <w:p w14:paraId="2E24593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43807D2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在本协议生效之后，本集合计划被允许从事符合法律法规规定和资产管理合同约定的其他投资品种的投资业务时，如果涉及相关账户的开设和使用，由集合计划管理人协助托管人根据有关法律法规的规定和资产管理合同的约定，开立有关账户。该账户按有关规则使用并管理。</w:t>
      </w:r>
    </w:p>
    <w:p w14:paraId="334F4FD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Pr>
          <w:rFonts w:ascii="仿宋" w:eastAsia="仿宋" w:hAnsi="仿宋" w:hint="eastAsia"/>
          <w:color w:val="000000"/>
          <w:sz w:val="28"/>
          <w:szCs w:val="28"/>
        </w:rPr>
        <w:t>集合计划财产投资的有关实物证券、银行定期存款存单等有价凭证的保管</w:t>
      </w:r>
    </w:p>
    <w:p w14:paraId="04B7985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集合计划财产投资的有关实物证券由集合计划托管人存放于集合计划托管人的保管库；其中实物证券也可存入中央国债登记结算有限责任公司、中国证券登记结算有限责任公司上海分公司/深圳分公司、</w:t>
      </w:r>
      <w:r>
        <w:rPr>
          <w:rFonts w:ascii="仿宋" w:eastAsia="仿宋" w:hAnsi="仿宋"/>
          <w:color w:val="000000"/>
          <w:sz w:val="28"/>
          <w:szCs w:val="28"/>
        </w:rPr>
        <w:t>银行间市场清算所股份有限公司</w:t>
      </w:r>
      <w:r>
        <w:rPr>
          <w:rFonts w:ascii="仿宋" w:eastAsia="仿宋" w:hAnsi="仿宋" w:hint="eastAsia"/>
          <w:color w:val="000000"/>
          <w:sz w:val="28"/>
          <w:szCs w:val="28"/>
        </w:rPr>
        <w:t>或票据营业中心的代保管库。实物证券的购买和转让，由集合计划托管人根据集合计划管理人的指令办理。属于集合计划托管人控制下的实物证券在集合计划托管人保管期间的损坏、灭失，由此产生的责任应由集合计划托管人承担。集合计划托管人对集合计划托管人以外机构实际保管的证券，非因托管人的原因发生的损坏、灭失的，不承担责任。</w:t>
      </w:r>
    </w:p>
    <w:p w14:paraId="125B3CC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与集合计划财产有关的重大合同的保管</w:t>
      </w:r>
    </w:p>
    <w:p w14:paraId="5136B671" w14:textId="51464BF9"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与集合计划财产有关的重大合同的签署，由集合计划管理人负责。由集合计划管理人代表集合计划签署的与集合计划有关的重大合同的原件分别应由集合计划托管人、集合计划管理人保管。合同应存放于集合计划管理人和集合计划托管人各自文件保管部门15年以上</w:t>
      </w:r>
      <w:r w:rsidR="00313D3F" w:rsidRPr="00313D3F">
        <w:rPr>
          <w:rFonts w:ascii="仿宋" w:eastAsia="仿宋" w:hAnsi="仿宋" w:hint="eastAsia"/>
          <w:color w:val="000000"/>
          <w:sz w:val="28"/>
          <w:szCs w:val="28"/>
        </w:rPr>
        <w:t>，法律法规另有规定的从其规定</w:t>
      </w:r>
      <w:r>
        <w:rPr>
          <w:rFonts w:ascii="仿宋" w:eastAsia="仿宋" w:hAnsi="仿宋" w:hint="eastAsia"/>
          <w:color w:val="000000"/>
          <w:sz w:val="28"/>
          <w:szCs w:val="28"/>
        </w:rPr>
        <w:t>。对于无法取得二份以上的正本的，集合计划管理人</w:t>
      </w:r>
      <w:r>
        <w:rPr>
          <w:rFonts w:ascii="仿宋" w:eastAsia="仿宋" w:hAnsi="仿宋" w:hint="eastAsia"/>
          <w:color w:val="000000"/>
          <w:sz w:val="28"/>
          <w:szCs w:val="28"/>
        </w:rPr>
        <w:lastRenderedPageBreak/>
        <w:t>应向集合计划托管人提供加盖授权业务章的合同传真件，未经双方协商或未在合同约定范围内，合同原件不得转移，由集合计划管理人保管。</w:t>
      </w:r>
    </w:p>
    <w:p w14:paraId="3B01F055" w14:textId="77777777" w:rsidR="00F45A57" w:rsidRDefault="00815DA3">
      <w:pPr>
        <w:pStyle w:val="1"/>
        <w:rPr>
          <w:rFonts w:ascii="仿宋" w:eastAsia="仿宋" w:hAnsi="仿宋"/>
          <w:bCs/>
          <w:sz w:val="28"/>
          <w:szCs w:val="28"/>
        </w:rPr>
      </w:pPr>
      <w:bookmarkStart w:id="26" w:name="_Toc296551342"/>
      <w:bookmarkStart w:id="27" w:name="_Toc45279147"/>
      <w:r>
        <w:rPr>
          <w:rFonts w:ascii="仿宋" w:eastAsia="仿宋" w:hAnsi="仿宋" w:hint="eastAsia"/>
          <w:bCs/>
          <w:sz w:val="28"/>
          <w:szCs w:val="28"/>
        </w:rPr>
        <w:t>第六条 指令的发送、确认和执行</w:t>
      </w:r>
      <w:bookmarkEnd w:id="26"/>
      <w:bookmarkEnd w:id="27"/>
    </w:p>
    <w:p w14:paraId="546DBA3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6.1集合计划管理人对发送指令人员的书面授权</w:t>
      </w:r>
    </w:p>
    <w:p w14:paraId="108D481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应向集合计划托管人提供预留印鉴和被授权人签字样本，事先书面通知（以下简称“授权通知”）集合计划托管人有权发送指令的人员名单，注明相应的交易权限，并规定集合计划管理人向集合计划托管人发送指令时集合计划托管人确认有权发送人员身份的方法。集合计划托管人在收到授权通知当日回函向集合计划管理人确认。集合计划管理人在收到集合计划托管人的确认回函之后，授权通知生效。集合计划管理人和集合计划托管人对授权文件负有保密义务，其内容不得向被授权人及相关操作人员以外的任何人泄露。</w:t>
      </w:r>
    </w:p>
    <w:p w14:paraId="1714579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02718B5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指令是集合计划管理人在运用集合计划资产时，向集合计划托管人发出的资金划拨及其他款项支付的指令。集合计划管理人发给集合计划托管人的指令应写明款项事由、支付时间、到账时间、金额、账户等，加盖预留印鉴并由被授权人签字或盖章。</w:t>
      </w:r>
    </w:p>
    <w:p w14:paraId="58FB144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334667FA" w14:textId="2DCD3518"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集合计划管理人用传真的方式或其他集合计划托管人和集合计划管理人书面确认过的方式向集合计划托管人发送。集合计划管理人有义务在发送指令后及时</w:t>
      </w:r>
      <w:r w:rsidR="00BB771F" w:rsidRPr="00BB771F">
        <w:rPr>
          <w:rFonts w:ascii="仿宋" w:eastAsia="仿宋" w:hAnsi="仿宋" w:hint="eastAsia"/>
          <w:color w:val="000000"/>
          <w:sz w:val="28"/>
          <w:szCs w:val="28"/>
        </w:rPr>
        <w:t>以电话、邮件或其他形式</w:t>
      </w:r>
      <w:r>
        <w:rPr>
          <w:rFonts w:ascii="仿宋" w:eastAsia="仿宋" w:hAnsi="仿宋" w:hint="eastAsia"/>
          <w:color w:val="000000"/>
          <w:sz w:val="28"/>
          <w:szCs w:val="28"/>
        </w:rPr>
        <w:t>与托管人进行确认，因集合计划管理人未能及时与集合计划托管人进行指令确认,致使资金未能及时到账所造成的损失不由集合计划托管人承担。集合计划托管人依照“授权通知”规定的方法确认指令有效后，方可执行指令。对于被授权人发出的指令，集合计划管理人不得否认其效力。集合计划管理人应按照《基金法》、有关法律法规和资产管理合同的规定，在其合法的经营权限和交易权限内发送划款指令，发送人应按照其授权权限发送划款指令。集合计划管理人在发送指令时，应为集合计划托管人留出执行指令所必需的时间。由集合计划管理人原因造成的指令传输不及时、未能留出足够划款所需时间，集合计划托管人没有过错的不承担资金未能及时到账所造成的损失。</w:t>
      </w:r>
    </w:p>
    <w:p w14:paraId="2F0FAD6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6.3.2集合计划托管人不负责审查集合计划管理人发送指令同时提交的其他文件资料的合法性、真实性、完整性和有效性，管理人应合理保证上述文件资料合法、真实、完整和有效。如因集合计划管理人提供的上述文件不合法、不真实、不完整或失去效力而给任何第三人带来损失，集合计划托管人没有过错的不承担责任。</w:t>
      </w:r>
    </w:p>
    <w:p w14:paraId="077CECA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lastRenderedPageBreak/>
        <w:t>6.3.3集合计划托管人应指定专人接收集合计划管理人的指令，预先通知集合计划管理人其名单，并与集合计划管理人商定指令发送和接收方式。集合计划托管人收到集合计划管理人发送的指令后，应立即审慎验证有关内容及印鉴和签名，复核无误后应在规定期限内执行，不得延误。</w:t>
      </w:r>
    </w:p>
    <w:p w14:paraId="5E8F125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6.3.4集合计划管理人向集合计划托管人下达指令时，应确保集合计划银行账户有足够的资金余额，对集合计划管理人在没有充足资金的情况下向集合计划托管人发出的指令，集合计划托管人可不予执行，并立即通知集合计划管理人，集合计划托管人没有过错的不承担因为不执行该指令而造成损失的责任。</w:t>
      </w:r>
    </w:p>
    <w:p w14:paraId="31BF676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6.3.5集合计划管理人应将同业市场国债交易通知单加盖印章后传真给集合计划托管人。</w:t>
      </w:r>
    </w:p>
    <w:p w14:paraId="16EDAA9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6.4集合计划管理人发送错误指令的情形和处理程序</w:t>
      </w:r>
    </w:p>
    <w:p w14:paraId="36B5243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6.4.1集合计划管理人发送错误指令的情形包括指令违反相关法律法规或资产管理合同、指令发送人员无权或超越权限发送指令及交割信息错误，指令中重要信息模糊不清或不全等。</w:t>
      </w:r>
    </w:p>
    <w:p w14:paraId="5E3C0E6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6.4.2集合计划托管人在履行监督职能时，发现集合计划管理人的指令错误时，应当拒绝执行，并及时通知集合计划管理人改正。</w:t>
      </w:r>
    </w:p>
    <w:p w14:paraId="410161E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6.5集合计划托管人依照法律法规暂缓、拒绝执行指令的情形和处理程序</w:t>
      </w:r>
    </w:p>
    <w:p w14:paraId="6D14D41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托管人发现集合计划管理人发送的指令违反《基金法》、资产管理合同、本协议或有关基金法规的有关规定，应当不予执行，并应及时以书面形式通知集合计划管理人纠正，集合计划托管人没有过错的不承担损失和责任。对集合计划管理人更正并重新发送后的指令经集合计划托管人核对确认后方能执行。</w:t>
      </w:r>
    </w:p>
    <w:p w14:paraId="531A8BD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6.6集合计划托管人未按照集合计划管理人指令执行的处理方法</w:t>
      </w:r>
    </w:p>
    <w:p w14:paraId="3C749EF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托管人由于自身原因造成未按照或者未及时按照集合计划管理人发送的符合法律法规规定以及资产管理合同约定的指令执行，应在发现后及时采取措施予以补救。给集合计划份额持有人、集合计划管理人造成损失的，应负赔偿责任。</w:t>
      </w:r>
    </w:p>
    <w:p w14:paraId="6104137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746CC2D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撤换被授权人员或改变被授权人员的权限，必须提前至少1个交易日，使用传真向集合计划托管人发出由集合计划管理人签字和盖章的被授权人变更通知，同时电话通知集合计划托管人，集合计划托管人收到变更通知当日将回函书面传真集合计划管理人并通过电话向集合计划管理人确认。被授权人变更通知，自集合计划管理人收到集合计划托管人以传真形式发出的回函确认时开始生效。集合计划</w:t>
      </w:r>
      <w:r>
        <w:rPr>
          <w:rFonts w:ascii="仿宋" w:eastAsia="仿宋" w:hAnsi="仿宋" w:hint="eastAsia"/>
          <w:color w:val="000000"/>
          <w:sz w:val="28"/>
          <w:szCs w:val="28"/>
        </w:rPr>
        <w:lastRenderedPageBreak/>
        <w:t>管理人在此后5日内将被授权人变更通知的正本送交集合计划托管人。被授权人变更通知的正本应与传真内容一致，若有不一致的，以集合计划托管人收到的传真件为准。集合计划管理人更换被授权人通知生效后，对于已被撤换的人员无权发送的指令，或被改变授权人员超权限发送的指令，集合计划管理人没有过错的不承担责任。</w:t>
      </w:r>
    </w:p>
    <w:p w14:paraId="0B7B3B1A" w14:textId="77777777" w:rsidR="00F45A57" w:rsidRDefault="00F45A57">
      <w:pPr>
        <w:pStyle w:val="21"/>
        <w:rPr>
          <w:rFonts w:ascii="仿宋" w:eastAsia="仿宋" w:hAnsi="仿宋"/>
          <w:color w:val="000000"/>
          <w:sz w:val="28"/>
          <w:szCs w:val="28"/>
        </w:rPr>
      </w:pPr>
    </w:p>
    <w:p w14:paraId="11970022" w14:textId="77777777" w:rsidR="00F45A57" w:rsidRDefault="00F45A57">
      <w:pPr>
        <w:pStyle w:val="1"/>
        <w:rPr>
          <w:rFonts w:ascii="仿宋" w:eastAsia="仿宋" w:hAnsi="仿宋"/>
          <w:bCs/>
          <w:sz w:val="28"/>
          <w:szCs w:val="28"/>
        </w:rPr>
        <w:sectPr w:rsidR="00F45A57">
          <w:footerReference w:type="default" r:id="rId24"/>
          <w:footerReference w:type="first" r:id="rId25"/>
          <w:pgSz w:w="11907" w:h="16840"/>
          <w:pgMar w:top="1361" w:right="1452" w:bottom="1134" w:left="1452" w:header="720" w:footer="720" w:gutter="0"/>
          <w:cols w:space="720"/>
          <w:docGrid w:linePitch="286"/>
        </w:sectPr>
      </w:pPr>
      <w:bookmarkStart w:id="28" w:name="_Toc296551343"/>
    </w:p>
    <w:p w14:paraId="68ECC7DB" w14:textId="77777777" w:rsidR="00F45A57" w:rsidRDefault="00815DA3">
      <w:pPr>
        <w:pStyle w:val="1"/>
        <w:rPr>
          <w:rFonts w:ascii="仿宋" w:eastAsia="仿宋" w:hAnsi="仿宋"/>
          <w:bCs/>
          <w:sz w:val="28"/>
          <w:szCs w:val="28"/>
        </w:rPr>
      </w:pPr>
      <w:bookmarkStart w:id="29" w:name="_Toc45279148"/>
      <w:r>
        <w:rPr>
          <w:rFonts w:ascii="仿宋" w:eastAsia="仿宋" w:hAnsi="仿宋" w:hint="eastAsia"/>
          <w:bCs/>
          <w:sz w:val="28"/>
          <w:szCs w:val="28"/>
        </w:rPr>
        <w:lastRenderedPageBreak/>
        <w:t>第七条 交易及清算交收安排</w:t>
      </w:r>
      <w:bookmarkEnd w:id="28"/>
      <w:bookmarkEnd w:id="29"/>
    </w:p>
    <w:p w14:paraId="5EBBFC8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Pr>
          <w:rFonts w:ascii="仿宋" w:eastAsia="仿宋" w:hAnsi="仿宋" w:hint="eastAsia"/>
          <w:color w:val="000000"/>
          <w:sz w:val="28"/>
          <w:szCs w:val="28"/>
        </w:rPr>
        <w:t>经营机构</w:t>
      </w:r>
    </w:p>
    <w:p w14:paraId="6CD42E1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7.1.1集合计划管理人负责选择代理本集合计划财产证券买卖的证券经纪机构，并与其签订证券经纪合同，集合计划管理人、集合计划托管人和证券经纪机构就集合计划参与证券交易的具体事项另行签订协议，明确三方在本集合计划参与场内证券买卖中各类证券交易、证券交收及相关资金交收过程中的职责和义务。</w:t>
      </w:r>
    </w:p>
    <w:p w14:paraId="22FA3BF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7.1.2集合计划管理人应及时将本集合计划财产的佣金费率等基本信息以及变更情况及时以书面形式通知集合计划托管人，以便集合计划托管人估值核算使用。</w:t>
      </w:r>
    </w:p>
    <w:p w14:paraId="74DC6C4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7.1.3集合计划管理人负责选择代理本集合计划期货交易的期货经纪机构，并与其签订期货经纪合同，相关事宜根据法律法规、资产管理合同的相关规定执行， 若无明确规定的，可参照有关证券买卖、证券经纪机构选择的规则执行。</w:t>
      </w:r>
    </w:p>
    <w:p w14:paraId="47335E1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7.2集合计划投资证券后的清算交收安排</w:t>
      </w:r>
    </w:p>
    <w:p w14:paraId="18ADD1C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7.2.1集合计划投资证券后的清算交收安排</w:t>
      </w:r>
    </w:p>
    <w:p w14:paraId="5F5694D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本集合计划通过证券经纪机构进行的交易由证券经纪机构作为结算参与人代理本集合计划进行结算；本集合计划其它证券交易由集合计划托管人或相关机构负责结算。</w:t>
      </w:r>
    </w:p>
    <w:p w14:paraId="1797EC9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7.2.2证券交易所证券资金结算</w:t>
      </w:r>
    </w:p>
    <w:p w14:paraId="3A5D494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集合计划托管人、集合计划管理人应共同遵守中登公司制定的相关业务规则和规定，该等规则和规定自动成为本条款约定内容。</w:t>
      </w:r>
    </w:p>
    <w:p w14:paraId="27D2225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集合计划管理人在投资前，应充分知晓与理解中登公司针对各类交易品种制定的结算业务规则和规定。</w:t>
      </w:r>
    </w:p>
    <w:p w14:paraId="437CE1E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证券经纪机构代理本集合计划财产与中登公司完成证券交易及非交易涉及的证券资金结算业务，并承担由证券经纪机构原因造成的正常结算、交收业务无法完成的责任；若由于集合计划管理人原因造成的正常结算业务无法完成，责任由集合计划管理人承担。</w:t>
      </w:r>
    </w:p>
    <w:p w14:paraId="28F3943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对于任何原因发生的证券资金交收违约事件，相关各方应当及时协商解决。</w:t>
      </w:r>
    </w:p>
    <w:p w14:paraId="2389E36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7.2.3期货的清算交收安排</w:t>
      </w:r>
    </w:p>
    <w:p w14:paraId="7BE52BE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本集合计划投资于期货发生的资金交割清算由集合计划管理人选定的期货经纪公司负责办理，集合计划托管人对由于期货交易所期货保证金制度和清算交割的需要而存放在期货经纪公司的资金，非因托管人的原因发生的损坏、灭失不承担责任，集合计划管理人应在期货经纪协议或其它协议中约定选定的期货经纪公司承担资金安全保管责任和交</w:t>
      </w:r>
      <w:r>
        <w:rPr>
          <w:rFonts w:ascii="仿宋" w:eastAsia="仿宋" w:hAnsi="仿宋" w:hint="eastAsia"/>
          <w:color w:val="000000"/>
          <w:sz w:val="28"/>
          <w:szCs w:val="28"/>
        </w:rPr>
        <w:lastRenderedPageBreak/>
        <w:t>收责任。</w:t>
      </w:r>
    </w:p>
    <w:p w14:paraId="21D1F5B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7.2.4其它场外交易资金结算</w:t>
      </w:r>
    </w:p>
    <w:p w14:paraId="0ECC3B5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场外资金对外投资划款由集合计划托管人凭集合计划管理人符合本托管协议约定的有效资金划拨指令和相关投资合同（如有）进行资金划拨；场外投资本金及收益的划回，由管理人负责协调相关资金划拨会产品托管户事宜。</w:t>
      </w:r>
    </w:p>
    <w:p w14:paraId="4C0CFB2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290BE7C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7.3.1集合计划管理人与集合计划托管人按日进行交易记录的核对。对外披露集合计划份额净值之前，必须保证当天所有实际交易记录与集合计划会计账簿上的交易记录完全一致。如果实际交易记录与会计账簿记录不一致，造成集合计划会计核算不完整或不真实，由此导致的损失由责任方承担。</w:t>
      </w:r>
    </w:p>
    <w:p w14:paraId="48C68FC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7.3.2对集合计划的资金账目，由相关各方每日对账一次，确保相关各方账账相符。对集合计划证券账目，由相关各方每日进行对账。对实物券账目，每月月末由相关各方进行账实核对。对交易记录，由相关各方每日对账一次。</w:t>
      </w:r>
    </w:p>
    <w:p w14:paraId="0485EB9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7.4申购、赎回、转换开放式集合计划的资金清算、数据传递及托管协议当事人的责任</w:t>
      </w:r>
    </w:p>
    <w:p w14:paraId="20AC62E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7.4.1托管协议当事人在集合计划的申购赎回、转换中的责任</w:t>
      </w:r>
    </w:p>
    <w:p w14:paraId="105A868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投资人可通过集合计划管理人的直销中心和销售机构的代销网点进行申购和赎回申请，集合计划份额申购、赎回的确认、清算由集合计划管理人或其委托的登记机构负责。集合计划托管人负责接收并确认资金的到账情况，以及依照集合计划管理人的投资指令来划付赎回款项。</w:t>
      </w:r>
    </w:p>
    <w:p w14:paraId="7BE8416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7.4.2集合计划的数据传递</w:t>
      </w:r>
    </w:p>
    <w:p w14:paraId="18232F5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应保证本集合计划（或本集合计划管理人委托）的登记机构于每个开放日15：00之前将本集合计划的申购、赎回、转换的数据传送给集合计划托管人。集合计划管理人应对传递的数据的真实性、准确性和完整性负责。</w:t>
      </w:r>
    </w:p>
    <w:p w14:paraId="18DC0BB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登记机构应通过与集合计划管理人建立的系统发送有关数据，由集合计划管理人向集合计划托管人发送有关数据，如因各种原因，该系统无法正常发送，双方可协商解决处理方式。集合计划管理人向集合计划托管人发送的数据，双方各自按有关规定保存。</w:t>
      </w:r>
    </w:p>
    <w:p w14:paraId="4CBAA05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7.4.3集合计划的资金清算</w:t>
      </w:r>
    </w:p>
    <w:p w14:paraId="2EA6AF5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集合计划托管账户与“集合计划清算账户”间的资金结算遵循“全额清算、净额交收”的原则，每日按照托管账户应收资金与应付资金的差额来确定托管账户净应收额或净应付额，以此确定资金交收额。</w:t>
      </w:r>
    </w:p>
    <w:p w14:paraId="4BA1156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lastRenderedPageBreak/>
        <w:t>如果当日集合计划为净应付款，集合计划托管人应根据集合计划管理人的指令在中午12:00前进行划付。对于未准时划付的资金，集合计划管理人应及时通知集合计划托管人划付。因集合计划托管专户没有足够的资金，导致集合计划托管人不能按时拨付，集合计划托管人应及时通知集合计划管理人，不能按时划拨导致的任何第三方的损失，集合计划托管人没有过错的不承担责任。</w:t>
      </w:r>
    </w:p>
    <w:p w14:paraId="7DBF4C8F" w14:textId="77777777" w:rsidR="00F45A57" w:rsidRDefault="00F45A57">
      <w:pPr>
        <w:pStyle w:val="21"/>
        <w:rPr>
          <w:rFonts w:ascii="仿宋" w:eastAsia="仿宋" w:hAnsi="仿宋"/>
          <w:color w:val="000000"/>
          <w:sz w:val="28"/>
          <w:szCs w:val="28"/>
        </w:rPr>
      </w:pPr>
    </w:p>
    <w:p w14:paraId="2EE90DF9" w14:textId="77777777" w:rsidR="00F45A57" w:rsidRDefault="00F45A57">
      <w:pPr>
        <w:pStyle w:val="1"/>
        <w:rPr>
          <w:rFonts w:ascii="仿宋" w:eastAsia="仿宋" w:hAnsi="仿宋"/>
          <w:bCs/>
          <w:sz w:val="28"/>
          <w:szCs w:val="28"/>
        </w:rPr>
        <w:sectPr w:rsidR="00F45A57">
          <w:footerReference w:type="default" r:id="rId26"/>
          <w:footerReference w:type="first" r:id="rId27"/>
          <w:pgSz w:w="11907" w:h="16840"/>
          <w:pgMar w:top="1361" w:right="1452" w:bottom="1134" w:left="1452" w:header="720" w:footer="720" w:gutter="0"/>
          <w:cols w:space="720"/>
          <w:docGrid w:linePitch="286"/>
        </w:sectPr>
      </w:pPr>
      <w:bookmarkStart w:id="30" w:name="_Toc296551344"/>
    </w:p>
    <w:p w14:paraId="3DC9E565" w14:textId="77777777" w:rsidR="00F45A57" w:rsidRDefault="00815DA3">
      <w:pPr>
        <w:pStyle w:val="1"/>
        <w:rPr>
          <w:rFonts w:ascii="仿宋" w:eastAsia="仿宋" w:hAnsi="仿宋"/>
          <w:bCs/>
          <w:sz w:val="28"/>
          <w:szCs w:val="28"/>
        </w:rPr>
      </w:pPr>
      <w:bookmarkStart w:id="31" w:name="_Toc45279149"/>
      <w:r>
        <w:rPr>
          <w:rFonts w:ascii="仿宋" w:eastAsia="仿宋" w:hAnsi="仿宋" w:hint="eastAsia"/>
          <w:bCs/>
          <w:sz w:val="28"/>
          <w:szCs w:val="28"/>
        </w:rPr>
        <w:lastRenderedPageBreak/>
        <w:t>第八条 集合计划资产净值计算和会计核算</w:t>
      </w:r>
      <w:bookmarkEnd w:id="30"/>
      <w:bookmarkEnd w:id="31"/>
    </w:p>
    <w:p w14:paraId="057228A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8.1集合计划资产净值的计算、复核的时间和程序</w:t>
      </w:r>
    </w:p>
    <w:p w14:paraId="078EB47D" w14:textId="54354FB6"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8.1.1集合计划资产净值是指集合计划资产总值减去负债后的净资产值。各类集合计划份额净值是指计算日该类集合计划资产净值除以该计算日该类集合计划份额总份额后的数值。各类集合计划份额净值的计算保留到小数点后4位，小数点后第5位四舍五入，由此产生的误差计入集合计划财产。集合计划管理人可以设立大额赎回情形下的净值精度应急调整机制。</w:t>
      </w:r>
    </w:p>
    <w:p w14:paraId="08AED1C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8.1.2集合计划管理人应每个工作日对集合计划资产估值，但集合计划管理人根据法律法规或资产管理合同的规定暂停估值时除外。估值原则应符合资产管理合同、《证券投资基金会计核算业务指引》及其他法律、法规的规定。用于集合计划信息披露的集合计划净值信息由集合计划管理人负责计算，集合计划托管人复核。集合计划管理人应于每个工作日交易结束后计算当日的集合计划份额净值并以双方认可的方式发送给集合计划托管人。集合计划托管人对净值计算结果复核后以双方认可的方式发送给集合计划管理人，由集合计划管理人按约定对集合计划净值予以公布。</w:t>
      </w:r>
    </w:p>
    <w:p w14:paraId="35B2021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8.1.3根据《基金法》，集合计划管理人计算并公告集合计划净值信息，集合计划托管人复核、审查集合计划管理人计算的集合计划净值信息。因此，本集合计划的会计责任方是集合计划管理人，就与本集合计划有关的会计问题，如经相关各方在平等基础上充分讨论后，仍无法达成一致的意见，按照集合计划管理人对集合计划净值信息的计算结果对外予以公布。</w:t>
      </w:r>
    </w:p>
    <w:p w14:paraId="090683B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8.2集合计划资产估值方法</w:t>
      </w:r>
    </w:p>
    <w:p w14:paraId="59F8FEF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405B307D" w14:textId="437E971B"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集合计划所拥有的股票、</w:t>
      </w:r>
      <w:r w:rsidR="00313D3F">
        <w:rPr>
          <w:rFonts w:ascii="仿宋" w:eastAsia="仿宋" w:hAnsi="仿宋" w:hint="eastAsia"/>
          <w:color w:val="000000"/>
          <w:sz w:val="28"/>
          <w:szCs w:val="28"/>
        </w:rPr>
        <w:t>存托凭证、</w:t>
      </w:r>
      <w:r>
        <w:rPr>
          <w:rFonts w:ascii="仿宋" w:eastAsia="仿宋" w:hAnsi="仿宋" w:hint="eastAsia"/>
          <w:color w:val="000000"/>
          <w:sz w:val="28"/>
          <w:szCs w:val="28"/>
        </w:rPr>
        <w:t>衍生工具、债券、</w:t>
      </w:r>
      <w:r w:rsidR="00313D3F">
        <w:rPr>
          <w:rFonts w:ascii="仿宋" w:eastAsia="仿宋" w:hAnsi="仿宋" w:hint="eastAsia"/>
          <w:color w:val="000000"/>
          <w:sz w:val="28"/>
          <w:szCs w:val="28"/>
        </w:rPr>
        <w:t>资产支持证券、</w:t>
      </w:r>
      <w:r>
        <w:rPr>
          <w:rFonts w:ascii="仿宋" w:eastAsia="仿宋" w:hAnsi="仿宋" w:hint="eastAsia"/>
          <w:color w:val="000000"/>
          <w:sz w:val="28"/>
          <w:szCs w:val="28"/>
        </w:rPr>
        <w:t>银行存款本息、应收款项、其它投资等资产及负债。</w:t>
      </w:r>
    </w:p>
    <w:p w14:paraId="055FF990" w14:textId="77777777" w:rsidR="00F45A57" w:rsidRDefault="00815DA3">
      <w:pPr>
        <w:pStyle w:val="21"/>
        <w:rPr>
          <w:rFonts w:ascii="仿宋" w:eastAsia="仿宋" w:hAnsi="仿宋"/>
          <w:color w:val="000000"/>
          <w:sz w:val="28"/>
          <w:szCs w:val="28"/>
        </w:rPr>
      </w:pPr>
      <w:r>
        <w:rPr>
          <w:rFonts w:ascii="仿宋" w:eastAsia="仿宋" w:hAnsi="仿宋"/>
          <w:color w:val="000000"/>
          <w:sz w:val="28"/>
          <w:szCs w:val="28"/>
        </w:rPr>
        <w:t>8.2.2估值方法</w:t>
      </w:r>
    </w:p>
    <w:p w14:paraId="4DF5CE1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（1）证券交易所上市的有价证券的估值</w:t>
      </w:r>
    </w:p>
    <w:p w14:paraId="69F0652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66763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2）交易所上市交易或挂牌转让的不含权固定收益品种，选取估值日第三方估值机构提供的相应品种当日的估值净价进行估值；</w:t>
      </w:r>
    </w:p>
    <w:p w14:paraId="63D21A6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lastRenderedPageBreak/>
        <w:t>3）交易所上市交易或挂牌转让的含权固定收益品种，选取估值日第三方估值机构提供的相应品种当日的唯一估值净价或推荐估值净价进行估值；</w:t>
      </w:r>
    </w:p>
    <w:p w14:paraId="0E4B0BD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4）交易所上市交易的可转换债券以每日收盘价作为估值全价；</w:t>
      </w:r>
    </w:p>
    <w:p w14:paraId="7012736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5）交易所上市不存在活跃市场的有价证券，采用估值技术确定公允价值。交易所市场挂牌转让的资产支持证券，采用估值技术确定公允价值；</w:t>
      </w:r>
    </w:p>
    <w:p w14:paraId="0EE1FBA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E80093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）处于未上市期间的有价证券应区分如下情况处理：</w:t>
      </w:r>
    </w:p>
    <w:p w14:paraId="60EE4AC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1）送股、转增股、配股和公开增发的新股，按估值日在证券交易所挂牌的同一股票的估值方法估值；该日无交易的，以最近一日的市价（收盘价）估值；</w:t>
      </w:r>
    </w:p>
    <w:p w14:paraId="30B6F52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2）首次公开发行未上市的股票、债券，采用估值技术确定公允价值，在估值技术难以可靠计量公允价值的情况下，按成本估值。</w:t>
      </w:r>
    </w:p>
    <w:p w14:paraId="75E6C81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1979AD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3</w:t>
      </w:r>
      <w:r>
        <w:rPr>
          <w:rFonts w:ascii="仿宋" w:eastAsia="仿宋" w:hAnsi="仿宋" w:hint="eastAsia"/>
          <w:color w:val="000000"/>
          <w:sz w:val="28"/>
          <w:szCs w:val="28"/>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1BD44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）估值计算中涉及港币对人民币汇率的，应当以集合计划估值日中国人民银行或其授权机构公布的人民币汇率中间价为准。</w:t>
      </w:r>
    </w:p>
    <w:p w14:paraId="66ABFED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（5）本集合计划投资股指期货、国债期货等衍生品种合约，一般以估值当日结算价进行估值，估值当日无结算价的，且最近交易日后经济环境未发生重大变化的，采用最近交易日结算价估值。</w:t>
      </w:r>
    </w:p>
    <w:p w14:paraId="3942A09D" w14:textId="77777777" w:rsidR="00313D3F" w:rsidRDefault="00313D3F">
      <w:pPr>
        <w:pStyle w:val="21"/>
        <w:rPr>
          <w:rFonts w:ascii="仿宋" w:eastAsia="仿宋" w:hAnsi="仿宋"/>
          <w:color w:val="000000"/>
          <w:sz w:val="28"/>
          <w:szCs w:val="28"/>
        </w:rPr>
      </w:pPr>
      <w:r w:rsidRPr="00313D3F">
        <w:rPr>
          <w:rFonts w:ascii="仿宋" w:eastAsia="仿宋" w:hAnsi="仿宋" w:hint="eastAsia"/>
          <w:color w:val="000000"/>
          <w:sz w:val="28"/>
          <w:szCs w:val="28"/>
        </w:rPr>
        <w:t>（6）本集合计划投资存托凭证的估值核算依照境内上市交易的股票执行。</w:t>
      </w:r>
    </w:p>
    <w:p w14:paraId="6F5C3D6B" w14:textId="2254CE5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w:t>
      </w:r>
      <w:r w:rsidR="00313D3F">
        <w:rPr>
          <w:rFonts w:ascii="仿宋" w:eastAsia="仿宋" w:hAnsi="仿宋"/>
          <w:color w:val="000000"/>
          <w:sz w:val="28"/>
          <w:szCs w:val="28"/>
        </w:rPr>
        <w:t>7</w:t>
      </w:r>
      <w:r>
        <w:rPr>
          <w:rFonts w:ascii="仿宋" w:eastAsia="仿宋" w:hAnsi="仿宋" w:hint="eastAsia"/>
          <w:color w:val="000000"/>
          <w:sz w:val="28"/>
          <w:szCs w:val="28"/>
        </w:rPr>
        <w:t>）如有确凿证据表明按上述方法进行估值不能客观反映其公允价值</w:t>
      </w:r>
      <w:r>
        <w:rPr>
          <w:rFonts w:ascii="仿宋" w:eastAsia="仿宋" w:hAnsi="仿宋" w:hint="eastAsia"/>
          <w:color w:val="000000"/>
          <w:sz w:val="28"/>
          <w:szCs w:val="28"/>
        </w:rPr>
        <w:lastRenderedPageBreak/>
        <w:t>的，集合计划管理人可根据具体情况与集合计划托管人商定后，按最能反映公允价值的价格估值。</w:t>
      </w:r>
    </w:p>
    <w:p w14:paraId="40AD1E5E" w14:textId="2A7C9ABA"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w:t>
      </w:r>
      <w:r w:rsidR="00313D3F">
        <w:rPr>
          <w:rFonts w:ascii="仿宋" w:eastAsia="仿宋" w:hAnsi="仿宋"/>
          <w:color w:val="000000"/>
          <w:sz w:val="28"/>
          <w:szCs w:val="28"/>
        </w:rPr>
        <w:t>8</w:t>
      </w:r>
      <w:r>
        <w:rPr>
          <w:rFonts w:ascii="仿宋" w:eastAsia="仿宋" w:hAnsi="仿宋" w:hint="eastAsia"/>
          <w:color w:val="000000"/>
          <w:sz w:val="28"/>
          <w:szCs w:val="28"/>
        </w:rPr>
        <w:t>）当发生大额申购或赎回情形时，集合计划管理人可以采用摆动定价机制，以确保集合计划估值的公平性。</w:t>
      </w:r>
    </w:p>
    <w:p w14:paraId="4C72D696" w14:textId="0948911D"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w:t>
      </w:r>
      <w:r w:rsidR="00313D3F">
        <w:rPr>
          <w:rFonts w:ascii="仿宋" w:eastAsia="仿宋" w:hAnsi="仿宋"/>
          <w:color w:val="000000"/>
          <w:sz w:val="28"/>
          <w:szCs w:val="28"/>
        </w:rPr>
        <w:t>9</w:t>
      </w:r>
      <w:r>
        <w:rPr>
          <w:rFonts w:ascii="仿宋" w:eastAsia="仿宋" w:hAnsi="仿宋" w:hint="eastAsia"/>
          <w:color w:val="000000"/>
          <w:sz w:val="28"/>
          <w:szCs w:val="28"/>
        </w:rPr>
        <w:t>）相关法律法规以及监管部门有强制规定的，从其规定。如有新增事项，按国家最新规定估值。</w:t>
      </w:r>
    </w:p>
    <w:p w14:paraId="6C9F1B8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如集合计划管理人或集合计划托管人发现集合计划估值违反资产管理合同订明的估值方法、程序及相关法律法规的规定或者未能充分维护集合计划份额持有人利益时，应立即通知对方，共同查明原因，双方协商解决。</w:t>
      </w:r>
    </w:p>
    <w:p w14:paraId="2EF0A8A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根据有关法律法规，集合计划资产净值计算和集合计划会计核算的义务由集合计划管理人和托管人承担。本集合计划的集合计划主会计责任方由集合计划管理人担任，因此，就与本集合计划有关的会计问题，如经相关各方在平等基础上充分讨论后，仍无法达成一致的意见，按照集合计划管理人对集合计划净值信息的计算结果对外予以公布。</w:t>
      </w:r>
    </w:p>
    <w:p w14:paraId="6182933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6957681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8.3.1因集合计划估值错误给投资人造成损失的应由过错方根据过错情况承担相应责任。</w:t>
      </w:r>
    </w:p>
    <w:p w14:paraId="59405D5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8.3.2当集合计划管理人计算的集合计划净值信息已由集合计划托管人复核确认后公告的，由此造成的投资人或集合计划的损失，应根据法律法规的规定和过错情况各自承担相应的责任。</w:t>
      </w:r>
    </w:p>
    <w:p w14:paraId="154ACF6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集合计划资产净值、集合计划份额净值计算错误造成投资人或集合计划的损失，以及由此造成以后交易日集合计划资产净值、集合计划份额净值计算顺延错误而引起的投资人或集合计划的损失，由相关过错方根据过错情况承担赔偿责任。</w:t>
      </w:r>
    </w:p>
    <w:p w14:paraId="72030CE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集合计划管理人与集合计划托管人原因，集合计划管理人和集合计划托管人虽然已经采取必要、适当、合理的措施进行检查，但是未能发现该错误的，由此造成的集合计划资产估值错误，集合计划管理人和集合计划托管人免除赔偿责任。但集合计划管理人和集合计划托管人应当积极采取必要的措施减轻或消除由此造成的影响。</w:t>
      </w:r>
    </w:p>
    <w:p w14:paraId="7A1341D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8.3.5当集合计划管理人计算的集合计划净值信息与集合计划托管人的计算结果不一致时，相关各方应本着勤勉尽责的态度重新计算核对，如果最后仍无法达成一致，应以集合计划管理人的计算结果为准对外公布，由此造成的损失，管理人和托管人没有过错的不承担责任。</w:t>
      </w:r>
    </w:p>
    <w:p w14:paraId="4FD12D2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lastRenderedPageBreak/>
        <w:t>8.4集合计划账册的建立</w:t>
      </w:r>
    </w:p>
    <w:p w14:paraId="26BEABA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8.4.1集合计划管理人和集合计划托管人在资产管理合同生效后，应按照相关各方约定的同一记账方法和会计处理原则，分别独立地设置、登录和保管本集合计划的全套账册，对相关各方各自的账册定期进行核对，互相监督，以保证集合计划资产的安全。若双方对会计处理方法存在分歧，应以集合计划管理人的处理方法为准。</w:t>
      </w:r>
    </w:p>
    <w:p w14:paraId="7BCC081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8.4.2经对账（含会计数据和财务指标等）发现相关各方的账目存在不符的，集合计划管理人和集合计划托管人必须及时查明原因并纠正，保证相关各方平行登录的账册记录完全相符。若当日核对不符，暂时无法查找到错账的原因而影响到集合计划净值信息的计算和公告的，以集合计划管理人的账册为准。</w:t>
      </w:r>
    </w:p>
    <w:p w14:paraId="5D60810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8.5集合计划定期报告的编制和复核</w:t>
      </w:r>
    </w:p>
    <w:p w14:paraId="5A42B57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8.5.1集合计划财务报表由集合计划管理人和集合计划托管人每月分别独立编制。月度报表的编制，应于每月终了后5个工作日内完成。</w:t>
      </w:r>
    </w:p>
    <w:p w14:paraId="4C37B05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8.5.2集合计划管理人在季度结束之日起15个工作日内完成季度报告编制并公告；在会计年度半年终了后两个月内完成中期报告编制并公告；在会计年度结束后三个月内完成年度报告编制并公告。</w:t>
      </w:r>
    </w:p>
    <w:p w14:paraId="0F745F2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8.5.3集合计划管理人应及时完成报表编制，将有关报表提供集合计划托管人复核；集合计划托管人应当在收到报告之日起2个工作日内完成月度报表的复核；在收到报告之日起7个工作日内完成集合计划季度报告的复核；在收到报告之日起20日内完成集合计划中期报告的复核；在收到报告之日起30日内完成集合计划年度报告的复核。集合计划托管人在复核过程中，发现双方的报表存在不符时，集合计划管理人和集合计划托管人应共同查明原因，进行调整，调整以国家有关规定为准。</w:t>
      </w:r>
    </w:p>
    <w:p w14:paraId="7E7356C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8.5.4核对无误后，集合计划托管人在集合计划管理人提供的报告上加盖业务印鉴或者出具加盖托管业务部门公章的复核意见书，相关各方各自留存一份。</w:t>
      </w:r>
    </w:p>
    <w:p w14:paraId="29D5C51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8.5.5集合计划托管人在对财务会计报告、季度报告、中期报告或年度报告复核完毕后，需向集合计划管理人进行书面或电子确认，以备有权机构对相关文件审核时提示。</w:t>
      </w:r>
    </w:p>
    <w:p w14:paraId="08F63236" w14:textId="77777777" w:rsidR="00F45A57" w:rsidRDefault="00815DA3">
      <w:pPr>
        <w:pStyle w:val="21"/>
        <w:rPr>
          <w:rFonts w:ascii="仿宋" w:eastAsia="仿宋" w:hAnsi="仿宋"/>
          <w:color w:val="000000"/>
          <w:sz w:val="28"/>
          <w:szCs w:val="28"/>
        </w:rPr>
      </w:pPr>
      <w:r>
        <w:rPr>
          <w:rFonts w:ascii="仿宋" w:eastAsia="仿宋" w:hAnsi="仿宋"/>
          <w:color w:val="000000"/>
          <w:sz w:val="28"/>
          <w:szCs w:val="28"/>
        </w:rPr>
        <w:t>8.6暂停估值的情形</w:t>
      </w:r>
    </w:p>
    <w:p w14:paraId="67F0FFF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（1）集合计划投资所涉及的证券、期货交易市场遇法定节假日或因其他原因暂停营业时；</w:t>
      </w:r>
    </w:p>
    <w:p w14:paraId="239838A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（2）因不可抗力或其他情形致使集合计划管理人、集合计划托管人无法准确评估集合计划资产价值时；</w:t>
      </w:r>
    </w:p>
    <w:p w14:paraId="21C1AEDE" w14:textId="043B77B2"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（3）当</w:t>
      </w:r>
      <w:r w:rsidR="00313D3F">
        <w:rPr>
          <w:rFonts w:ascii="仿宋" w:eastAsia="仿宋" w:hAnsi="仿宋" w:hint="eastAsia"/>
          <w:color w:val="000000"/>
          <w:sz w:val="28"/>
          <w:szCs w:val="28"/>
        </w:rPr>
        <w:t>特定资产占</w:t>
      </w:r>
      <w:r>
        <w:rPr>
          <w:rFonts w:ascii="仿宋" w:eastAsia="仿宋" w:hAnsi="仿宋" w:hint="eastAsia"/>
          <w:color w:val="000000"/>
          <w:sz w:val="28"/>
          <w:szCs w:val="28"/>
        </w:rPr>
        <w:t>前一估值日集合计划资产净值50%以上的，经与集</w:t>
      </w:r>
      <w:r>
        <w:rPr>
          <w:rFonts w:ascii="仿宋" w:eastAsia="仿宋" w:hAnsi="仿宋" w:hint="eastAsia"/>
          <w:color w:val="000000"/>
          <w:sz w:val="28"/>
          <w:szCs w:val="28"/>
        </w:rPr>
        <w:lastRenderedPageBreak/>
        <w:t>合计划托管人协商确认后，集合计划管理人应当暂停估值；</w:t>
      </w:r>
    </w:p>
    <w:p w14:paraId="1E5E327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（4）法律法规、中国证监会和资产管理合同认定的其他情形</w:t>
      </w:r>
      <w:r>
        <w:rPr>
          <w:rFonts w:ascii="仿宋" w:eastAsia="仿宋" w:hAnsi="仿宋"/>
          <w:color w:val="000000"/>
          <w:sz w:val="28"/>
          <w:szCs w:val="28"/>
        </w:rPr>
        <w:t>。</w:t>
      </w:r>
    </w:p>
    <w:p w14:paraId="1EC30BCC" w14:textId="77777777" w:rsidR="00F45A57" w:rsidRDefault="00F45A57">
      <w:pPr>
        <w:ind w:firstLineChars="200" w:firstLine="560"/>
        <w:rPr>
          <w:rFonts w:ascii="仿宋" w:eastAsia="仿宋" w:hAnsi="仿宋"/>
          <w:sz w:val="28"/>
          <w:szCs w:val="28"/>
        </w:rPr>
      </w:pPr>
    </w:p>
    <w:p w14:paraId="3BA861A8" w14:textId="77777777" w:rsidR="00F45A57" w:rsidRDefault="00F45A57">
      <w:pPr>
        <w:pStyle w:val="21"/>
        <w:rPr>
          <w:rFonts w:ascii="仿宋" w:eastAsia="仿宋" w:hAnsi="仿宋"/>
          <w:color w:val="000000"/>
          <w:sz w:val="28"/>
          <w:szCs w:val="28"/>
        </w:rPr>
      </w:pPr>
    </w:p>
    <w:p w14:paraId="45B74DFC" w14:textId="77777777" w:rsidR="00F45A57" w:rsidRDefault="00F45A57">
      <w:pPr>
        <w:pStyle w:val="1"/>
        <w:rPr>
          <w:rFonts w:ascii="仿宋" w:eastAsia="仿宋" w:hAnsi="仿宋"/>
          <w:bCs/>
          <w:sz w:val="28"/>
          <w:szCs w:val="28"/>
        </w:rPr>
        <w:sectPr w:rsidR="00F45A57">
          <w:footerReference w:type="default" r:id="rId28"/>
          <w:pgSz w:w="11907" w:h="16840"/>
          <w:pgMar w:top="1361" w:right="1452" w:bottom="1134" w:left="1452" w:header="720" w:footer="720" w:gutter="0"/>
          <w:cols w:space="720"/>
          <w:docGrid w:linePitch="286"/>
        </w:sectPr>
      </w:pPr>
      <w:bookmarkStart w:id="32" w:name="_Toc296551345"/>
    </w:p>
    <w:p w14:paraId="2437A23A" w14:textId="77777777" w:rsidR="00F45A57" w:rsidRDefault="00815DA3">
      <w:pPr>
        <w:pStyle w:val="1"/>
        <w:rPr>
          <w:rFonts w:ascii="仿宋" w:eastAsia="仿宋" w:hAnsi="仿宋"/>
          <w:bCs/>
          <w:sz w:val="28"/>
          <w:szCs w:val="28"/>
        </w:rPr>
      </w:pPr>
      <w:bookmarkStart w:id="33" w:name="_Toc45279150"/>
      <w:r>
        <w:rPr>
          <w:rFonts w:ascii="仿宋" w:eastAsia="仿宋" w:hAnsi="仿宋" w:hint="eastAsia"/>
          <w:bCs/>
          <w:sz w:val="28"/>
          <w:szCs w:val="28"/>
        </w:rPr>
        <w:lastRenderedPageBreak/>
        <w:t>第九条 集合计划收益分配</w:t>
      </w:r>
      <w:bookmarkEnd w:id="32"/>
      <w:bookmarkEnd w:id="33"/>
    </w:p>
    <w:p w14:paraId="0557513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9.1集合计划利润的构成</w:t>
      </w:r>
    </w:p>
    <w:p w14:paraId="01D3125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集合计划利润指集合计划利息收入、投资收益、公允价值变动收益和其他收入扣除相关费用后的余额；集合计划已实现收益指集合计划利润减去公允价值变动损益后的余额。</w:t>
      </w:r>
    </w:p>
    <w:p w14:paraId="19730393" w14:textId="77777777" w:rsidR="00F45A57" w:rsidRDefault="00815DA3">
      <w:pPr>
        <w:pStyle w:val="21"/>
        <w:rPr>
          <w:rFonts w:ascii="仿宋" w:eastAsia="仿宋" w:hAnsi="仿宋"/>
          <w:color w:val="000000"/>
          <w:sz w:val="28"/>
          <w:szCs w:val="28"/>
        </w:rPr>
      </w:pPr>
      <w:r>
        <w:rPr>
          <w:rFonts w:ascii="仿宋" w:eastAsia="仿宋" w:hAnsi="仿宋"/>
          <w:color w:val="000000"/>
          <w:sz w:val="28"/>
          <w:szCs w:val="28"/>
        </w:rPr>
        <w:t>9.2</w:t>
      </w:r>
      <w:r>
        <w:rPr>
          <w:rFonts w:ascii="仿宋" w:eastAsia="仿宋" w:hAnsi="仿宋" w:hint="eastAsia"/>
          <w:color w:val="000000"/>
          <w:sz w:val="28"/>
          <w:szCs w:val="28"/>
        </w:rPr>
        <w:t>集合计划可供分配利润</w:t>
      </w:r>
    </w:p>
    <w:p w14:paraId="6C5CD6D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集合计划可供分配利润指截至收益分配基准日集合计划未分配利润与未分配利润中已实现收益的孰低数。</w:t>
      </w:r>
    </w:p>
    <w:p w14:paraId="40AA44E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Pr>
          <w:rFonts w:ascii="仿宋" w:eastAsia="仿宋" w:hAnsi="仿宋" w:hint="eastAsia"/>
          <w:color w:val="000000"/>
          <w:sz w:val="28"/>
          <w:szCs w:val="28"/>
        </w:rPr>
        <w:t>收益分配原则</w:t>
      </w:r>
    </w:p>
    <w:p w14:paraId="5F2138B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在符合有关集合计划分红条件的前提下，本集合计划每年收益分配次数最多为12次，每份集合计划份额每次集合计划收益分配比例不得低于集合计划收益分配基准日每份集合计划份额可供分配利润的10%，若《资产管理合同》生效不满3个月可不进行收益分配。</w:t>
      </w:r>
    </w:p>
    <w:p w14:paraId="1888A6A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（2）本集合计划收益分配方式分两种：现金分红与红利再投资，投资者可选择现金红利或将现金红利自动转为相应类别集合计划份额进行再投资；若投资者不选择，本集合计划默认的收益分配方式是现金分红。</w:t>
      </w:r>
      <w:r w:rsidR="00322FD5" w:rsidRPr="00322FD5">
        <w:rPr>
          <w:rFonts w:ascii="仿宋" w:eastAsia="仿宋" w:hAnsi="仿宋" w:hint="eastAsia"/>
          <w:color w:val="000000"/>
          <w:sz w:val="28"/>
          <w:szCs w:val="28"/>
        </w:rPr>
        <w:t>本集合计划的分红权益登记日和收益分配基准日由管理人确定，分红确认日为分红权益登记日的下一工作日。</w:t>
      </w:r>
    </w:p>
    <w:p w14:paraId="4D6F4CE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（3）集合计划收益分配后各类集合计划份额净值不能低于面值；即集合计划收益分配基准日的各类集合计划份额净值减去每单位该类集合计划份额收益分配金额后不能低于面值。</w:t>
      </w:r>
    </w:p>
    <w:p w14:paraId="41E5549D" w14:textId="5382808A"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w:t>
      </w:r>
      <w:r w:rsidR="00322FD5" w:rsidRPr="00322FD5">
        <w:rPr>
          <w:rFonts w:ascii="仿宋" w:eastAsia="仿宋" w:hAnsi="仿宋" w:hint="eastAsia"/>
          <w:color w:val="000000"/>
          <w:sz w:val="28"/>
          <w:szCs w:val="28"/>
        </w:rPr>
        <w:t>由于本集合计划A类、B类和C类计划份额的销售费用、业绩报酬收取方式存在不同，各集合计划份额类别对应的可供分配收益将有所不同。本集合计划同一类别的每一集合计划份额享有同等分配权。</w:t>
      </w:r>
    </w:p>
    <w:p w14:paraId="15EBF51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（5）法律法规或监管机关另有规定的，从其规定。</w:t>
      </w:r>
    </w:p>
    <w:p w14:paraId="18251B1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在不影响投资者利益的情况下，集合计划管理人可在法律法规允许的前提下酌情调整以上集合计划收益分配原则，此项调整不需要召开集合计划份额持有人大会，但应于变更实施日前在规定媒介</w:t>
      </w:r>
      <w:r w:rsidR="00B25D5C" w:rsidRPr="0097765D">
        <w:rPr>
          <w:rFonts w:ascii="仿宋" w:eastAsia="仿宋" w:hAnsi="仿宋" w:hint="eastAsia"/>
          <w:color w:val="000000"/>
          <w:sz w:val="28"/>
          <w:szCs w:val="28"/>
        </w:rPr>
        <w:t>和集合计划管理人网站</w:t>
      </w:r>
      <w:r>
        <w:rPr>
          <w:rFonts w:ascii="仿宋" w:eastAsia="仿宋" w:hAnsi="仿宋" w:hint="eastAsia"/>
          <w:color w:val="000000"/>
          <w:sz w:val="28"/>
          <w:szCs w:val="28"/>
        </w:rPr>
        <w:t>公告。</w:t>
      </w:r>
    </w:p>
    <w:p w14:paraId="628DF92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7B9B5FC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集合计划收益分配方案中应载明截止收益分配基准日的可供分配利润、集合计划收益分配对象、分配时间、分配数额及比例、分配方式等内容。</w:t>
      </w:r>
    </w:p>
    <w:p w14:paraId="12B6014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6B5BCC3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9.5.1本集合计划收益分配方案由集合计划管理人拟定，并由集合计划托管人复核，依照《信息披露办法》的有关规定在规定媒介公告。</w:t>
      </w:r>
    </w:p>
    <w:p w14:paraId="3BB7635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9.5.2在收益分配方案公布后，集合计划管理人依据具体方案的规定就</w:t>
      </w:r>
      <w:r>
        <w:rPr>
          <w:rFonts w:ascii="仿宋" w:eastAsia="仿宋" w:hAnsi="仿宋" w:hint="eastAsia"/>
          <w:color w:val="000000"/>
          <w:sz w:val="28"/>
          <w:szCs w:val="28"/>
        </w:rPr>
        <w:lastRenderedPageBreak/>
        <w:t>支付的现金红利向集合计划托管人发送划款指令，集合计划托管人按照集合计划管理人的指令及时进行分红资金的划付。</w:t>
      </w:r>
    </w:p>
    <w:p w14:paraId="056B653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0416A994" w14:textId="77777777" w:rsidR="00F45A57" w:rsidRDefault="00F45A57">
      <w:pPr>
        <w:pStyle w:val="1"/>
        <w:rPr>
          <w:rFonts w:ascii="仿宋" w:eastAsia="仿宋" w:hAnsi="仿宋"/>
          <w:bCs/>
          <w:sz w:val="28"/>
          <w:szCs w:val="28"/>
        </w:rPr>
        <w:sectPr w:rsidR="00F45A57">
          <w:footerReference w:type="default" r:id="rId29"/>
          <w:footerReference w:type="first" r:id="rId30"/>
          <w:pgSz w:w="11907" w:h="16840"/>
          <w:pgMar w:top="1361" w:right="1452" w:bottom="1134" w:left="1452" w:header="720" w:footer="720" w:gutter="0"/>
          <w:cols w:space="720"/>
          <w:docGrid w:linePitch="286"/>
        </w:sectPr>
      </w:pPr>
      <w:bookmarkStart w:id="34" w:name="_Toc296551346"/>
    </w:p>
    <w:p w14:paraId="747447E3" w14:textId="77777777" w:rsidR="00F45A57" w:rsidRDefault="00815DA3">
      <w:pPr>
        <w:pStyle w:val="1"/>
        <w:rPr>
          <w:rFonts w:ascii="仿宋" w:eastAsia="仿宋" w:hAnsi="仿宋"/>
          <w:bCs/>
          <w:sz w:val="28"/>
          <w:szCs w:val="28"/>
        </w:rPr>
      </w:pPr>
      <w:bookmarkStart w:id="35" w:name="_Toc45279151"/>
      <w:r>
        <w:rPr>
          <w:rFonts w:ascii="仿宋" w:eastAsia="仿宋" w:hAnsi="仿宋" w:hint="eastAsia"/>
          <w:bCs/>
          <w:sz w:val="28"/>
          <w:szCs w:val="28"/>
        </w:rPr>
        <w:lastRenderedPageBreak/>
        <w:t>第十条 信息披露</w:t>
      </w:r>
      <w:bookmarkEnd w:id="34"/>
      <w:bookmarkEnd w:id="35"/>
    </w:p>
    <w:p w14:paraId="2BF6C75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354A932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资产管理合同及中国证监会关于集合计划信息披露的有关规定进行披露以外，集合计划管理人和集合计划托管人对集合计划运作中产生的信息以及从对方获得的业务信息应恪守保密的义务。集合计划管理人与集合计划托管人对集合计划的任何信息，除法律法规规定之外，不得在其公开披露之前，先行对任何第三方披露。但是，如下情况不应视为集合计划管理人或集合计划托管人违反保密义务：</w:t>
      </w:r>
    </w:p>
    <w:p w14:paraId="08FBEF4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（1）非因集合计划管理人和集合计划托管人的原因导致保密信息被披露、泄露或公开；</w:t>
      </w:r>
    </w:p>
    <w:p w14:paraId="44171B6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（2）集合计划管理人和集合计划托管人为遵守和服从法院判决或裁定、仲裁裁决或中国证监会等监管机构的命令、决定所做出的信息披露或公开。</w:t>
      </w:r>
    </w:p>
    <w:p w14:paraId="4584445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10.2集合计划管理人和集合计划托管人在信息披露中的职责和信息披露程序</w:t>
      </w:r>
    </w:p>
    <w:p w14:paraId="7E3EC7B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10.2.1集合计划管理人和集合计划托管人应根据相关法律法规、资产管理合同的规定各自承担相应的信息披露职责。集合计划管理人和集合计划托管人负有积极配合、互相督促、彼此监督、保证其履行按照法定方式和时限披露的义务。</w:t>
      </w:r>
    </w:p>
    <w:p w14:paraId="497FEECD" w14:textId="77777777" w:rsidR="00F45A57" w:rsidRDefault="00815DA3">
      <w:pPr>
        <w:pStyle w:val="21"/>
        <w:rPr>
          <w:rFonts w:ascii="仿宋" w:eastAsia="仿宋" w:hAnsi="仿宋"/>
          <w:color w:val="000000"/>
          <w:sz w:val="28"/>
          <w:szCs w:val="28"/>
        </w:rPr>
      </w:pPr>
      <w:r>
        <w:rPr>
          <w:rFonts w:ascii="仿宋" w:eastAsia="仿宋" w:hAnsi="仿宋"/>
          <w:color w:val="000000"/>
          <w:sz w:val="28"/>
          <w:szCs w:val="28"/>
        </w:rPr>
        <w:t>10.2.2本集合计划信息披露的文件主要包括招募说明书、</w:t>
      </w:r>
      <w:r>
        <w:rPr>
          <w:rFonts w:ascii="仿宋" w:eastAsia="仿宋" w:hAnsi="仿宋" w:hint="eastAsia"/>
          <w:color w:val="000000"/>
          <w:sz w:val="28"/>
          <w:szCs w:val="28"/>
        </w:rPr>
        <w:t>集合计划产品资料概要、</w:t>
      </w:r>
      <w:r>
        <w:rPr>
          <w:rFonts w:ascii="仿宋" w:eastAsia="仿宋" w:hAnsi="仿宋"/>
          <w:color w:val="000000"/>
          <w:sz w:val="28"/>
          <w:szCs w:val="28"/>
        </w:rPr>
        <w:t>资产管理合同、本协议、定期报告、临时报告、澄清公告、集合计划份额净值、</w:t>
      </w:r>
      <w:r>
        <w:rPr>
          <w:rFonts w:ascii="仿宋" w:eastAsia="仿宋" w:hAnsi="仿宋" w:hint="eastAsia"/>
          <w:color w:val="000000"/>
          <w:sz w:val="28"/>
          <w:szCs w:val="28"/>
        </w:rPr>
        <w:t>集合计划份额累计净值、</w:t>
      </w:r>
      <w:r>
        <w:rPr>
          <w:rFonts w:ascii="仿宋" w:eastAsia="仿宋" w:hAnsi="仿宋"/>
          <w:color w:val="000000"/>
          <w:sz w:val="28"/>
          <w:szCs w:val="28"/>
        </w:rPr>
        <w:t>集合计划份额申购、赎回价格、集合计划份额持有人大会决议、</w:t>
      </w:r>
      <w:r>
        <w:rPr>
          <w:rFonts w:ascii="仿宋" w:eastAsia="仿宋" w:hAnsi="仿宋" w:hint="eastAsia"/>
          <w:color w:val="000000"/>
          <w:sz w:val="28"/>
          <w:szCs w:val="28"/>
        </w:rPr>
        <w:t>清算报告、</w:t>
      </w:r>
      <w:r>
        <w:rPr>
          <w:rFonts w:ascii="仿宋" w:eastAsia="仿宋" w:hAnsi="仿宋"/>
          <w:color w:val="000000"/>
          <w:sz w:val="28"/>
          <w:szCs w:val="28"/>
        </w:rPr>
        <w:t>集合计划投资资产支持证券、港股通标的股票</w:t>
      </w:r>
      <w:r>
        <w:rPr>
          <w:rFonts w:ascii="仿宋" w:eastAsia="仿宋" w:hAnsi="仿宋" w:hint="eastAsia"/>
          <w:color w:val="000000"/>
          <w:sz w:val="28"/>
          <w:szCs w:val="28"/>
        </w:rPr>
        <w:t>、股指期货、国债期货</w:t>
      </w:r>
      <w:r>
        <w:rPr>
          <w:rFonts w:ascii="仿宋" w:eastAsia="仿宋" w:hAnsi="仿宋"/>
          <w:color w:val="000000"/>
          <w:sz w:val="28"/>
          <w:szCs w:val="28"/>
        </w:rPr>
        <w:t>的相关公告及其他必要的公告文件，由集合计划管理人和集合计划托管人按照有关法律法规的规定予以公布。</w:t>
      </w:r>
    </w:p>
    <w:p w14:paraId="4BF9011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10.2.3集合计划托管人应当按照相关法律、行政法规、中国证监会的规定和资产管理合同的约定，对集合计划管理人编制的集合计划资产净值、集合计划份额净值、集合计划份额申购赎回价格、集合计划定期报告、更新的招募说明书、集合计划产品资料概要、集合计划清算报告等公开披露的相关集合计划信息进行复核、审查，并向集合计划管理人进行书面或电子确认。</w:t>
      </w:r>
    </w:p>
    <w:p w14:paraId="2AACC32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10.2.4集合计划年报中的财务报告部分，经符合《中华人民共和国证券法》规定的会计师事务所审计后，方可披露。</w:t>
      </w:r>
    </w:p>
    <w:p w14:paraId="40C76E2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10.2.5集合计划管理人应当在中国证监会规定的时间内，将应予披露的集合计划信息通过中国证监会规定媒介披露。根据法律法规应由集</w:t>
      </w:r>
      <w:r>
        <w:rPr>
          <w:rFonts w:ascii="仿宋" w:eastAsia="仿宋" w:hAnsi="仿宋" w:hint="eastAsia"/>
          <w:color w:val="000000"/>
          <w:sz w:val="28"/>
          <w:szCs w:val="28"/>
        </w:rPr>
        <w:lastRenderedPageBreak/>
        <w:t>合计划托管人公开披露的信息，集合计划托管人将通过中国证监会规定媒介公开披露。</w:t>
      </w:r>
    </w:p>
    <w:p w14:paraId="3DDAD1B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集合计划管理人和集合计划托管人处，投资人可以免费查阅。在支付工本费后可在合理时间获得上述文件的复制件或复印件。集合计划管理人和集合计划托管人应保证文本的内容与所公告的内容完全一致。</w:t>
      </w:r>
    </w:p>
    <w:p w14:paraId="0EAB849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10.3暂停或延迟信息披露的情形</w:t>
      </w:r>
    </w:p>
    <w:p w14:paraId="650A500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（1）集合计划投资所涉及的证券、期货交易市场遇法定节假日或因其他原因暂停营业时；</w:t>
      </w:r>
    </w:p>
    <w:p w14:paraId="57ADC93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（2）因不可抗力或其他情形致使集合计划管理人、集合计划托管人无法准确评估集合计划资产价值时；</w:t>
      </w:r>
    </w:p>
    <w:p w14:paraId="410DB35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（3）法律法规、中国证监会或《资产管理合同》认定的其他情形。</w:t>
      </w:r>
    </w:p>
    <w:p w14:paraId="45A6522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10.4集合计划托管人报告</w:t>
      </w:r>
    </w:p>
    <w:p w14:paraId="18AA361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托管人应按《基金法》、《运作办法》、《信息披露办法》和其他有关法律法规的规定于每个上半年度结束后两个月内、每个会计年度结束后三个月内在集合计划中期报告及年度报告中分别出具集合计划托管人报告。</w:t>
      </w:r>
    </w:p>
    <w:p w14:paraId="54EA430F" w14:textId="77777777" w:rsidR="00F45A57" w:rsidRDefault="00F45A57">
      <w:pPr>
        <w:pStyle w:val="21"/>
        <w:rPr>
          <w:rFonts w:ascii="仿宋" w:eastAsia="仿宋" w:hAnsi="仿宋"/>
          <w:color w:val="000000"/>
          <w:sz w:val="28"/>
          <w:szCs w:val="28"/>
        </w:rPr>
      </w:pPr>
    </w:p>
    <w:p w14:paraId="3A1B7875" w14:textId="77777777" w:rsidR="00F45A57" w:rsidRDefault="00F45A57">
      <w:pPr>
        <w:pStyle w:val="1"/>
        <w:rPr>
          <w:rFonts w:ascii="仿宋" w:eastAsia="仿宋" w:hAnsi="仿宋"/>
          <w:bCs/>
          <w:sz w:val="28"/>
          <w:szCs w:val="28"/>
        </w:rPr>
        <w:sectPr w:rsidR="00F45A57">
          <w:footerReference w:type="default" r:id="rId31"/>
          <w:footerReference w:type="first" r:id="rId32"/>
          <w:pgSz w:w="11907" w:h="16840"/>
          <w:pgMar w:top="1361" w:right="1452" w:bottom="1134" w:left="1452" w:header="720" w:footer="720" w:gutter="0"/>
          <w:cols w:space="720"/>
          <w:docGrid w:linePitch="286"/>
        </w:sectPr>
      </w:pPr>
      <w:bookmarkStart w:id="36" w:name="_Toc296551347"/>
    </w:p>
    <w:p w14:paraId="4AE8EA75" w14:textId="77777777" w:rsidR="00F45A57" w:rsidRDefault="00815DA3">
      <w:pPr>
        <w:pStyle w:val="1"/>
        <w:rPr>
          <w:rFonts w:ascii="仿宋" w:eastAsia="仿宋" w:hAnsi="仿宋"/>
          <w:bCs/>
          <w:sz w:val="28"/>
          <w:szCs w:val="28"/>
        </w:rPr>
      </w:pPr>
      <w:bookmarkStart w:id="37" w:name="_Toc45279152"/>
      <w:r>
        <w:rPr>
          <w:rFonts w:ascii="仿宋" w:eastAsia="仿宋" w:hAnsi="仿宋" w:hint="eastAsia"/>
          <w:bCs/>
          <w:sz w:val="28"/>
          <w:szCs w:val="28"/>
        </w:rPr>
        <w:lastRenderedPageBreak/>
        <w:t>第十一条 集合计划费用</w:t>
      </w:r>
      <w:bookmarkEnd w:id="36"/>
      <w:bookmarkEnd w:id="37"/>
    </w:p>
    <w:p w14:paraId="64776F0E" w14:textId="77777777" w:rsidR="00F45A57" w:rsidRDefault="00815DA3">
      <w:pPr>
        <w:pStyle w:val="21"/>
        <w:rPr>
          <w:rFonts w:ascii="仿宋" w:eastAsia="仿宋" w:hAnsi="仿宋"/>
          <w:color w:val="000000"/>
          <w:sz w:val="28"/>
          <w:szCs w:val="28"/>
        </w:rPr>
      </w:pPr>
      <w:bookmarkStart w:id="38" w:name="_Hlt88827255"/>
      <w:bookmarkEnd w:id="38"/>
      <w:r>
        <w:rPr>
          <w:rFonts w:ascii="仿宋" w:eastAsia="仿宋" w:hAnsi="仿宋" w:hint="eastAsia"/>
          <w:color w:val="000000"/>
          <w:sz w:val="28"/>
          <w:szCs w:val="28"/>
        </w:rPr>
        <w:t>11.1集合计划管理费的计提比例和计提方法</w:t>
      </w:r>
    </w:p>
    <w:p w14:paraId="54EC6325" w14:textId="6B0D9536" w:rsidR="00F45A57" w:rsidRDefault="00322FD5">
      <w:pPr>
        <w:pStyle w:val="21"/>
        <w:rPr>
          <w:rFonts w:ascii="仿宋" w:eastAsia="仿宋" w:hAnsi="仿宋"/>
          <w:color w:val="000000"/>
          <w:sz w:val="28"/>
          <w:szCs w:val="28"/>
        </w:rPr>
      </w:pPr>
      <w:r w:rsidRPr="00322FD5">
        <w:rPr>
          <w:rFonts w:ascii="仿宋" w:eastAsia="仿宋" w:hAnsi="仿宋" w:hint="eastAsia"/>
          <w:color w:val="000000"/>
          <w:sz w:val="28"/>
          <w:szCs w:val="28"/>
        </w:rPr>
        <w:t>本集合计划A类、B类和C类计划份额的管理费年费率为0.8%。本集合计划各类计划份额的管理费按前一日该类计划份额对应资产净值以对应的管理费年费率分别计提。管理费的计算方法如下：</w:t>
      </w:r>
    </w:p>
    <w:p w14:paraId="0BA47456" w14:textId="4E7E14FD"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H＝E×</w:t>
      </w:r>
      <w:bookmarkStart w:id="39" w:name="_Hlk19709093"/>
      <w:r w:rsidR="004B2706" w:rsidRPr="004B2706">
        <w:rPr>
          <w:rFonts w:ascii="仿宋" w:eastAsia="仿宋" w:hAnsi="仿宋"/>
          <w:color w:val="000000"/>
          <w:sz w:val="28"/>
          <w:szCs w:val="28"/>
        </w:rPr>
        <w:t>0.8%</w:t>
      </w:r>
      <w:bookmarkEnd w:id="39"/>
      <w:r>
        <w:rPr>
          <w:rFonts w:ascii="仿宋" w:eastAsia="仿宋" w:hAnsi="仿宋" w:hint="eastAsia"/>
          <w:color w:val="000000"/>
          <w:sz w:val="28"/>
          <w:szCs w:val="28"/>
        </w:rPr>
        <w:t>÷当年天数</w:t>
      </w:r>
    </w:p>
    <w:p w14:paraId="5A04F04F" w14:textId="2B79F233" w:rsidR="00322FD5" w:rsidRPr="00A80B32" w:rsidRDefault="00322FD5" w:rsidP="00A80B32">
      <w:pPr>
        <w:pStyle w:val="21"/>
        <w:rPr>
          <w:rFonts w:ascii="仿宋" w:eastAsia="仿宋" w:hAnsi="仿宋"/>
          <w:color w:val="000000"/>
          <w:sz w:val="28"/>
          <w:szCs w:val="28"/>
        </w:rPr>
      </w:pPr>
      <w:r w:rsidRPr="00A80B32">
        <w:rPr>
          <w:rFonts w:ascii="仿宋" w:eastAsia="仿宋" w:hAnsi="仿宋"/>
          <w:color w:val="000000"/>
          <w:sz w:val="28"/>
          <w:szCs w:val="28"/>
        </w:rPr>
        <w:t>H</w:t>
      </w:r>
      <w:r w:rsidRPr="00A80B32">
        <w:rPr>
          <w:rFonts w:ascii="仿宋" w:eastAsia="仿宋" w:hAnsi="仿宋" w:hint="eastAsia"/>
          <w:color w:val="000000"/>
          <w:sz w:val="28"/>
          <w:szCs w:val="28"/>
        </w:rPr>
        <w:t>为</w:t>
      </w:r>
      <w:bookmarkStart w:id="40" w:name="_Hlk19709134"/>
      <w:r w:rsidRPr="00A80B32">
        <w:rPr>
          <w:rFonts w:ascii="仿宋" w:eastAsia="仿宋" w:hAnsi="仿宋" w:hint="eastAsia"/>
          <w:color w:val="000000"/>
          <w:sz w:val="28"/>
          <w:szCs w:val="28"/>
        </w:rPr>
        <w:t>各类计划份额</w:t>
      </w:r>
      <w:bookmarkEnd w:id="40"/>
      <w:r w:rsidRPr="00A80B32">
        <w:rPr>
          <w:rFonts w:ascii="仿宋" w:eastAsia="仿宋" w:hAnsi="仿宋" w:hint="eastAsia"/>
          <w:color w:val="000000"/>
          <w:sz w:val="28"/>
          <w:szCs w:val="28"/>
        </w:rPr>
        <w:t>每日应计提的集合计划管理费</w:t>
      </w:r>
    </w:p>
    <w:p w14:paraId="0A83DA19"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color w:val="000000"/>
          <w:sz w:val="28"/>
          <w:szCs w:val="28"/>
        </w:rPr>
        <w:t>E</w:t>
      </w:r>
      <w:r w:rsidRPr="00A80B32">
        <w:rPr>
          <w:rFonts w:ascii="仿宋" w:eastAsia="仿宋" w:hAnsi="仿宋" w:hint="eastAsia"/>
          <w:color w:val="000000"/>
          <w:sz w:val="28"/>
          <w:szCs w:val="28"/>
        </w:rPr>
        <w:t>为</w:t>
      </w:r>
      <w:bookmarkStart w:id="41" w:name="_Hlk19709141"/>
      <w:r w:rsidRPr="00A80B32">
        <w:rPr>
          <w:rFonts w:ascii="仿宋" w:eastAsia="仿宋" w:hAnsi="仿宋" w:hint="eastAsia"/>
          <w:color w:val="000000"/>
          <w:sz w:val="28"/>
          <w:szCs w:val="28"/>
        </w:rPr>
        <w:t>该类计划份额</w:t>
      </w:r>
      <w:bookmarkEnd w:id="41"/>
      <w:r w:rsidRPr="00A80B32">
        <w:rPr>
          <w:rFonts w:ascii="仿宋" w:eastAsia="仿宋" w:hAnsi="仿宋" w:hint="eastAsia"/>
          <w:color w:val="000000"/>
          <w:sz w:val="28"/>
          <w:szCs w:val="28"/>
        </w:rPr>
        <w:t>对应的前一日的集合计划资产净值</w:t>
      </w:r>
    </w:p>
    <w:p w14:paraId="217428A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集合计划管理费每日计算，逐日累计至每月月底，按月支付，由托管人根据管理人的指令并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，于次月前5个工作日内从集合计划资产中一次性支付。若遇法定节假日、休息日或不可抗力致使无法按时支付的，顺延至法定节假日、休息日结束之日起2个工作日内或不可抗力情形消除之日起2个工作日内支付。</w:t>
      </w:r>
    </w:p>
    <w:p w14:paraId="00477CF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11.2集合计划托管费的计提比例和计提方法</w:t>
      </w:r>
    </w:p>
    <w:p w14:paraId="5190AB80" w14:textId="4ABD7B91"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本集合计划的托管费按前一日集合计划资产净值的0.</w:t>
      </w:r>
      <w:r w:rsidR="00322FD5">
        <w:rPr>
          <w:rFonts w:ascii="仿宋" w:eastAsia="仿宋" w:hAnsi="仿宋"/>
          <w:color w:val="000000"/>
          <w:sz w:val="28"/>
          <w:szCs w:val="28"/>
        </w:rPr>
        <w:t>1</w:t>
      </w:r>
      <w:r>
        <w:rPr>
          <w:rFonts w:ascii="仿宋" w:eastAsia="仿宋" w:hAnsi="仿宋" w:hint="eastAsia"/>
          <w:color w:val="000000"/>
          <w:sz w:val="28"/>
          <w:szCs w:val="28"/>
        </w:rPr>
        <w:t>%的年费率计提。托管费的计算方法如下：</w:t>
      </w:r>
    </w:p>
    <w:p w14:paraId="36101CB4" w14:textId="623A5559"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H＝E×0.</w:t>
      </w:r>
      <w:r w:rsidR="00322FD5">
        <w:rPr>
          <w:rFonts w:ascii="仿宋" w:eastAsia="仿宋" w:hAnsi="仿宋"/>
          <w:color w:val="000000"/>
          <w:sz w:val="28"/>
          <w:szCs w:val="28"/>
        </w:rPr>
        <w:t>1</w:t>
      </w:r>
      <w:r>
        <w:rPr>
          <w:rFonts w:ascii="仿宋" w:eastAsia="仿宋" w:hAnsi="仿宋" w:hint="eastAsia"/>
          <w:color w:val="000000"/>
          <w:sz w:val="28"/>
          <w:szCs w:val="28"/>
        </w:rPr>
        <w:t>%÷当年天数</w:t>
      </w:r>
    </w:p>
    <w:p w14:paraId="2329E70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H为每日应计提的集合计划托管费</w:t>
      </w:r>
    </w:p>
    <w:p w14:paraId="1990D5E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E为前一日的集合计划资产净值</w:t>
      </w:r>
    </w:p>
    <w:p w14:paraId="6469E68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集合计划托管费每日计算，逐日累计至每月月底，按月支付，由托管人根据管理人的指令并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 5 个工作日内从集合计划资产中一次性支付。若遇法定节假日、休息日或不可抗力致使无法按时支付的，顺延至法定节假日、休息日结束之日起2个工作日内或不可抗力情形消除之日起2个工作日内支付。</w:t>
      </w:r>
    </w:p>
    <w:p w14:paraId="4DBD1E4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11.3集合计划销售服务费的计提比例和计提方法</w:t>
      </w:r>
    </w:p>
    <w:p w14:paraId="6B3EAEAE" w14:textId="231C4EBC" w:rsidR="00F45A57" w:rsidRDefault="00322FD5">
      <w:pPr>
        <w:pStyle w:val="21"/>
        <w:rPr>
          <w:rFonts w:ascii="仿宋" w:eastAsia="仿宋" w:hAnsi="仿宋"/>
          <w:color w:val="000000"/>
          <w:sz w:val="28"/>
          <w:szCs w:val="28"/>
        </w:rPr>
      </w:pPr>
      <w:r w:rsidRPr="00322FD5">
        <w:rPr>
          <w:rFonts w:ascii="仿宋" w:eastAsia="仿宋" w:hAnsi="仿宋" w:hint="eastAsia"/>
          <w:color w:val="000000"/>
          <w:sz w:val="28"/>
          <w:szCs w:val="28"/>
        </w:rPr>
        <w:t>销售服务费用于支付销售机构佣金、营销费用以及集合计划份额持有人服务费等。本集合计划A</w:t>
      </w:r>
      <w:r w:rsidR="005522E4">
        <w:rPr>
          <w:rFonts w:ascii="仿宋" w:eastAsia="仿宋" w:hAnsi="仿宋" w:hint="eastAsia"/>
          <w:color w:val="000000"/>
          <w:sz w:val="28"/>
          <w:szCs w:val="28"/>
        </w:rPr>
        <w:t>类</w:t>
      </w:r>
      <w:r w:rsidRPr="00322FD5">
        <w:rPr>
          <w:rFonts w:ascii="仿宋" w:eastAsia="仿宋" w:hAnsi="仿宋" w:hint="eastAsia"/>
          <w:color w:val="000000"/>
          <w:sz w:val="28"/>
          <w:szCs w:val="28"/>
        </w:rPr>
        <w:t xml:space="preserve"> 、B类计划份额不收取销售服务费，C类计划份额的销售服务费年费率为0.8%。C类计划份额的销售服务费按前一日C类计划份额</w:t>
      </w:r>
      <w:r w:rsidR="003E487E">
        <w:rPr>
          <w:rFonts w:ascii="仿宋" w:eastAsia="仿宋" w:hAnsi="仿宋" w:hint="eastAsia"/>
          <w:color w:val="000000"/>
          <w:sz w:val="28"/>
          <w:szCs w:val="28"/>
        </w:rPr>
        <w:t>对应</w:t>
      </w:r>
      <w:r w:rsidRPr="00322FD5">
        <w:rPr>
          <w:rFonts w:ascii="仿宋" w:eastAsia="仿宋" w:hAnsi="仿宋" w:hint="eastAsia"/>
          <w:color w:val="000000"/>
          <w:sz w:val="28"/>
          <w:szCs w:val="28"/>
        </w:rPr>
        <w:t>的集合计划资产净值的0.8%年费率计提。计算方法如下：</w:t>
      </w:r>
    </w:p>
    <w:p w14:paraId="5EC027D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H＝E×</w:t>
      </w:r>
      <w:r>
        <w:rPr>
          <w:rFonts w:ascii="仿宋" w:eastAsia="仿宋" w:hAnsi="仿宋"/>
          <w:color w:val="000000"/>
          <w:sz w:val="28"/>
          <w:szCs w:val="28"/>
        </w:rPr>
        <w:t>0.</w:t>
      </w:r>
      <w:r>
        <w:rPr>
          <w:rFonts w:ascii="仿宋" w:eastAsia="仿宋" w:hAnsi="仿宋" w:hint="eastAsia"/>
          <w:color w:val="000000"/>
          <w:sz w:val="28"/>
          <w:szCs w:val="28"/>
        </w:rPr>
        <w:t>8%÷当年天数</w:t>
      </w:r>
    </w:p>
    <w:p w14:paraId="0CC5733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H 为 C 类计划份额每日应计提的销售服务费</w:t>
      </w:r>
    </w:p>
    <w:p w14:paraId="0DE103F5" w14:textId="3A36C115"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E 为 C 类计划份额</w:t>
      </w:r>
      <w:r w:rsidR="003E487E">
        <w:rPr>
          <w:rFonts w:ascii="仿宋" w:eastAsia="仿宋" w:hAnsi="仿宋" w:hint="eastAsia"/>
          <w:color w:val="000000"/>
          <w:sz w:val="28"/>
          <w:szCs w:val="28"/>
        </w:rPr>
        <w:t>对应的</w:t>
      </w:r>
      <w:r>
        <w:rPr>
          <w:rFonts w:ascii="仿宋" w:eastAsia="仿宋" w:hAnsi="仿宋" w:hint="eastAsia"/>
          <w:color w:val="000000"/>
          <w:sz w:val="28"/>
          <w:szCs w:val="28"/>
        </w:rPr>
        <w:t>前一日集合计划资产净值</w:t>
      </w:r>
    </w:p>
    <w:p w14:paraId="0C6189B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销售服务费每日计算，逐日累计至每个月月底，按月支付，由托管人根据管理人的指令并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w:t>
      </w:r>
      <w:r>
        <w:rPr>
          <w:rFonts w:ascii="仿宋" w:eastAsia="仿宋" w:hAnsi="仿宋"/>
          <w:color w:val="000000"/>
          <w:sz w:val="28"/>
          <w:szCs w:val="28"/>
        </w:rPr>
        <w:t xml:space="preserve"> 5 </w:t>
      </w:r>
      <w:r>
        <w:rPr>
          <w:rFonts w:ascii="仿宋" w:eastAsia="仿宋" w:hAnsi="仿宋" w:hint="eastAsia"/>
          <w:color w:val="000000"/>
          <w:sz w:val="28"/>
          <w:szCs w:val="28"/>
        </w:rPr>
        <w:t>个工作日内从集合计划资产中一次性支付。若遇法定节假日、休息日或不可抗力致使无法按时支</w:t>
      </w:r>
      <w:r>
        <w:rPr>
          <w:rFonts w:ascii="仿宋" w:eastAsia="仿宋" w:hAnsi="仿宋" w:hint="eastAsia"/>
          <w:color w:val="000000"/>
          <w:sz w:val="28"/>
          <w:szCs w:val="28"/>
        </w:rPr>
        <w:lastRenderedPageBreak/>
        <w:t>付的，顺延至法定节假日、休息日结束之日起</w:t>
      </w:r>
      <w:r>
        <w:rPr>
          <w:rFonts w:ascii="仿宋" w:eastAsia="仿宋" w:hAnsi="仿宋"/>
          <w:color w:val="000000"/>
          <w:sz w:val="28"/>
          <w:szCs w:val="28"/>
        </w:rPr>
        <w:t>2个工作日内或不可抗力情形消除之日起2个工作日内支付。</w:t>
      </w:r>
    </w:p>
    <w:p w14:paraId="14ED4F22" w14:textId="0B4539EC" w:rsidR="00322FD5" w:rsidRPr="00A80B32" w:rsidRDefault="00322FD5" w:rsidP="00A80B32">
      <w:pPr>
        <w:pStyle w:val="21"/>
        <w:rPr>
          <w:rFonts w:ascii="仿宋" w:eastAsia="仿宋" w:hAnsi="仿宋"/>
          <w:color w:val="000000"/>
          <w:sz w:val="28"/>
          <w:szCs w:val="28"/>
        </w:rPr>
      </w:pPr>
      <w:r>
        <w:rPr>
          <w:rFonts w:ascii="仿宋" w:eastAsia="仿宋" w:hAnsi="仿宋" w:hint="eastAsia"/>
          <w:color w:val="000000"/>
          <w:sz w:val="28"/>
          <w:szCs w:val="28"/>
        </w:rPr>
        <w:t>11.4</w:t>
      </w:r>
      <w:r w:rsidRPr="00A80B32">
        <w:rPr>
          <w:rFonts w:ascii="仿宋" w:eastAsia="仿宋" w:hAnsi="仿宋" w:hint="eastAsia"/>
          <w:color w:val="000000"/>
          <w:sz w:val="28"/>
          <w:szCs w:val="28"/>
        </w:rPr>
        <w:t>在本集合计划委托人赎回确认日和计划终止日，管理人将根据委托人的期间年化收益率（</w:t>
      </w:r>
      <w:r w:rsidRPr="00A80B32">
        <w:rPr>
          <w:rFonts w:ascii="仿宋" w:eastAsia="仿宋" w:hAnsi="仿宋"/>
          <w:color w:val="000000"/>
          <w:sz w:val="28"/>
          <w:szCs w:val="28"/>
        </w:rPr>
        <w:t>R</w:t>
      </w:r>
      <w:r w:rsidRPr="00A80B32">
        <w:rPr>
          <w:rFonts w:ascii="仿宋" w:eastAsia="仿宋" w:hAnsi="仿宋" w:hint="eastAsia"/>
          <w:color w:val="000000"/>
          <w:sz w:val="28"/>
          <w:szCs w:val="28"/>
        </w:rPr>
        <w:t>），对</w:t>
      </w:r>
      <w:bookmarkStart w:id="42" w:name="_Hlk19709313"/>
      <w:r w:rsidRPr="00A80B32">
        <w:rPr>
          <w:rFonts w:ascii="仿宋" w:eastAsia="仿宋" w:hAnsi="仿宋"/>
          <w:color w:val="000000"/>
          <w:sz w:val="28"/>
          <w:szCs w:val="28"/>
        </w:rPr>
        <w:t>A</w:t>
      </w:r>
      <w:r w:rsidRPr="00A80B32">
        <w:rPr>
          <w:rFonts w:ascii="仿宋" w:eastAsia="仿宋" w:hAnsi="仿宋" w:hint="eastAsia"/>
          <w:color w:val="000000"/>
          <w:sz w:val="28"/>
          <w:szCs w:val="28"/>
        </w:rPr>
        <w:t>类、</w:t>
      </w:r>
      <w:r w:rsidRPr="00A80B32">
        <w:rPr>
          <w:rFonts w:ascii="仿宋" w:eastAsia="仿宋" w:hAnsi="仿宋"/>
          <w:color w:val="000000"/>
          <w:sz w:val="28"/>
          <w:szCs w:val="28"/>
        </w:rPr>
        <w:t>B</w:t>
      </w:r>
      <w:r w:rsidRPr="00A80B32">
        <w:rPr>
          <w:rFonts w:ascii="仿宋" w:eastAsia="仿宋" w:hAnsi="仿宋" w:hint="eastAsia"/>
          <w:color w:val="000000"/>
          <w:sz w:val="28"/>
          <w:szCs w:val="28"/>
        </w:rPr>
        <w:t>类或</w:t>
      </w:r>
      <w:r w:rsidRPr="00A80B32">
        <w:rPr>
          <w:rFonts w:ascii="仿宋" w:eastAsia="仿宋" w:hAnsi="仿宋"/>
          <w:color w:val="000000"/>
          <w:sz w:val="28"/>
          <w:szCs w:val="28"/>
        </w:rPr>
        <w:t>C</w:t>
      </w:r>
      <w:r w:rsidRPr="00A80B32">
        <w:rPr>
          <w:rFonts w:ascii="仿宋" w:eastAsia="仿宋" w:hAnsi="仿宋" w:hint="eastAsia"/>
          <w:color w:val="000000"/>
          <w:sz w:val="28"/>
          <w:szCs w:val="28"/>
        </w:rPr>
        <w:t>类计划份额</w:t>
      </w:r>
      <w:bookmarkEnd w:id="42"/>
      <w:r w:rsidRPr="00A80B32">
        <w:rPr>
          <w:rFonts w:ascii="仿宋" w:eastAsia="仿宋" w:hAnsi="仿宋" w:hint="eastAsia"/>
          <w:color w:val="000000"/>
          <w:sz w:val="28"/>
          <w:szCs w:val="28"/>
        </w:rPr>
        <w:t>期间年化收益率超过</w:t>
      </w:r>
      <w:r w:rsidRPr="00A80B32">
        <w:rPr>
          <w:rFonts w:ascii="仿宋" w:eastAsia="仿宋" w:hAnsi="仿宋"/>
          <w:color w:val="000000"/>
          <w:sz w:val="28"/>
          <w:szCs w:val="28"/>
        </w:rPr>
        <w:t>8%</w:t>
      </w:r>
      <w:r w:rsidRPr="00A80B32">
        <w:rPr>
          <w:rFonts w:ascii="仿宋" w:eastAsia="仿宋" w:hAnsi="仿宋" w:hint="eastAsia"/>
          <w:color w:val="000000"/>
          <w:sz w:val="28"/>
          <w:szCs w:val="28"/>
        </w:rPr>
        <w:t>以上部分按照</w:t>
      </w:r>
      <w:r w:rsidRPr="00A80B32">
        <w:rPr>
          <w:rFonts w:ascii="仿宋" w:eastAsia="仿宋" w:hAnsi="仿宋"/>
          <w:color w:val="000000"/>
          <w:sz w:val="28"/>
          <w:szCs w:val="28"/>
        </w:rPr>
        <w:t>20%</w:t>
      </w:r>
      <w:r w:rsidRPr="00A80B32">
        <w:rPr>
          <w:rFonts w:ascii="仿宋" w:eastAsia="仿宋" w:hAnsi="仿宋" w:hint="eastAsia"/>
          <w:color w:val="000000"/>
          <w:sz w:val="28"/>
          <w:szCs w:val="28"/>
        </w:rPr>
        <w:t>的比例收取管理人业绩报酬（以下简称“业绩报酬”）。在本集合计划分红确认日，管理人将根据委托人的期间年化收益率（</w:t>
      </w:r>
      <w:r w:rsidRPr="00A80B32">
        <w:rPr>
          <w:rFonts w:ascii="仿宋" w:eastAsia="仿宋" w:hAnsi="仿宋"/>
          <w:color w:val="000000"/>
          <w:sz w:val="28"/>
          <w:szCs w:val="28"/>
        </w:rPr>
        <w:t>R</w:t>
      </w:r>
      <w:r w:rsidRPr="00A80B32">
        <w:rPr>
          <w:rFonts w:ascii="仿宋" w:eastAsia="仿宋" w:hAnsi="仿宋" w:hint="eastAsia"/>
          <w:color w:val="000000"/>
          <w:sz w:val="28"/>
          <w:szCs w:val="28"/>
        </w:rPr>
        <w:t>），对</w:t>
      </w:r>
      <w:r w:rsidRPr="00A80B32">
        <w:rPr>
          <w:rFonts w:ascii="仿宋" w:eastAsia="仿宋" w:hAnsi="仿宋"/>
          <w:color w:val="000000"/>
          <w:sz w:val="28"/>
          <w:szCs w:val="28"/>
        </w:rPr>
        <w:t>A</w:t>
      </w:r>
      <w:r w:rsidRPr="00A80B32">
        <w:rPr>
          <w:rFonts w:ascii="仿宋" w:eastAsia="仿宋" w:hAnsi="仿宋" w:hint="eastAsia"/>
          <w:color w:val="000000"/>
          <w:sz w:val="28"/>
          <w:szCs w:val="28"/>
        </w:rPr>
        <w:t>类计划份额期间年化收益率超过</w:t>
      </w:r>
      <w:r w:rsidRPr="00A80B32">
        <w:rPr>
          <w:rFonts w:ascii="仿宋" w:eastAsia="仿宋" w:hAnsi="仿宋"/>
          <w:color w:val="000000"/>
          <w:sz w:val="28"/>
          <w:szCs w:val="28"/>
        </w:rPr>
        <w:t>8%</w:t>
      </w:r>
      <w:r w:rsidRPr="00A80B32">
        <w:rPr>
          <w:rFonts w:ascii="仿宋" w:eastAsia="仿宋" w:hAnsi="仿宋" w:hint="eastAsia"/>
          <w:color w:val="000000"/>
          <w:sz w:val="28"/>
          <w:szCs w:val="28"/>
        </w:rPr>
        <w:t>以上部分按照</w:t>
      </w:r>
      <w:r w:rsidRPr="00A80B32">
        <w:rPr>
          <w:rFonts w:ascii="仿宋" w:eastAsia="仿宋" w:hAnsi="仿宋"/>
          <w:color w:val="000000"/>
          <w:sz w:val="28"/>
          <w:szCs w:val="28"/>
        </w:rPr>
        <w:t>20%</w:t>
      </w:r>
      <w:r w:rsidRPr="00A80B32">
        <w:rPr>
          <w:rFonts w:ascii="仿宋" w:eastAsia="仿宋" w:hAnsi="仿宋" w:hint="eastAsia"/>
          <w:color w:val="000000"/>
          <w:sz w:val="28"/>
          <w:szCs w:val="28"/>
        </w:rPr>
        <w:t>的比例收取业绩报酬。</w:t>
      </w:r>
      <w:r w:rsidR="00684FAE" w:rsidRPr="00684FAE">
        <w:rPr>
          <w:rFonts w:ascii="仿宋" w:eastAsia="仿宋" w:hAnsi="仿宋" w:hint="eastAsia"/>
          <w:color w:val="000000"/>
          <w:sz w:val="28"/>
          <w:szCs w:val="28"/>
        </w:rPr>
        <w:t>如因法规政策调整而需要修订业绩报酬相关基准比例，不需召开集合计划份额持有人大会。</w:t>
      </w:r>
    </w:p>
    <w:p w14:paraId="6F01856B" w14:textId="77777777" w:rsidR="00322FD5" w:rsidRPr="00A80B32" w:rsidRDefault="00322FD5" w:rsidP="00A80B32">
      <w:pPr>
        <w:pStyle w:val="21"/>
        <w:rPr>
          <w:rFonts w:ascii="仿宋" w:eastAsia="仿宋" w:hAnsi="仿宋"/>
          <w:color w:val="000000"/>
          <w:sz w:val="28"/>
          <w:szCs w:val="28"/>
        </w:rPr>
      </w:pPr>
      <w:bookmarkStart w:id="43" w:name="_Hlk534892819"/>
      <w:bookmarkEnd w:id="43"/>
      <w:r w:rsidRPr="00A80B32">
        <w:rPr>
          <w:rFonts w:ascii="仿宋" w:eastAsia="仿宋" w:hAnsi="仿宋" w:hint="eastAsia"/>
          <w:color w:val="000000"/>
          <w:sz w:val="28"/>
          <w:szCs w:val="28"/>
        </w:rPr>
        <w:t>（</w:t>
      </w:r>
      <w:r w:rsidRPr="00A80B32">
        <w:rPr>
          <w:rFonts w:ascii="仿宋" w:eastAsia="仿宋" w:hAnsi="仿宋"/>
          <w:color w:val="000000"/>
          <w:sz w:val="28"/>
          <w:szCs w:val="28"/>
        </w:rPr>
        <w:t>1</w:t>
      </w:r>
      <w:r w:rsidRPr="00A80B32">
        <w:rPr>
          <w:rFonts w:ascii="仿宋" w:eastAsia="仿宋" w:hAnsi="仿宋" w:hint="eastAsia"/>
          <w:color w:val="000000"/>
          <w:sz w:val="28"/>
          <w:szCs w:val="28"/>
        </w:rPr>
        <w:t>）业绩报酬计提原则</w:t>
      </w:r>
    </w:p>
    <w:p w14:paraId="2868514F"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①按委托人每笔申购份额分别计算期间年化收益率并计提业绩报酬。</w:t>
      </w:r>
    </w:p>
    <w:p w14:paraId="45040BDB"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②在符合业绩报酬计提条件时，在本集合计划分红确认日（仅涉及</w:t>
      </w:r>
      <w:r w:rsidRPr="00A80B32">
        <w:rPr>
          <w:rFonts w:ascii="仿宋" w:eastAsia="仿宋" w:hAnsi="仿宋"/>
          <w:color w:val="000000"/>
          <w:sz w:val="28"/>
          <w:szCs w:val="28"/>
        </w:rPr>
        <w:t>A</w:t>
      </w:r>
      <w:r w:rsidRPr="00A80B32">
        <w:rPr>
          <w:rFonts w:ascii="仿宋" w:eastAsia="仿宋" w:hAnsi="仿宋" w:hint="eastAsia"/>
          <w:color w:val="000000"/>
          <w:sz w:val="28"/>
          <w:szCs w:val="28"/>
        </w:rPr>
        <w:t>类计划份额）、委托人赎回确认日或计划终止日计提业绩报酬。</w:t>
      </w:r>
    </w:p>
    <w:p w14:paraId="4747A753"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③在委托人赎回或本集合计划终止时提取业绩报酬的，业绩报酬从赎回资金或清算资金中扣除。集合计划分红确认日提取业绩报酬的（仅涉及</w:t>
      </w:r>
      <w:r w:rsidRPr="00A80B32">
        <w:rPr>
          <w:rFonts w:ascii="仿宋" w:eastAsia="仿宋" w:hAnsi="仿宋"/>
          <w:color w:val="000000"/>
          <w:sz w:val="28"/>
          <w:szCs w:val="28"/>
        </w:rPr>
        <w:t>A</w:t>
      </w:r>
      <w:r w:rsidRPr="00A80B32">
        <w:rPr>
          <w:rFonts w:ascii="仿宋" w:eastAsia="仿宋" w:hAnsi="仿宋" w:hint="eastAsia"/>
          <w:color w:val="000000"/>
          <w:sz w:val="28"/>
          <w:szCs w:val="28"/>
        </w:rPr>
        <w:t>类计划份额），业绩报酬从分红资金中扣除且不超过分红资金。</w:t>
      </w:r>
    </w:p>
    <w:p w14:paraId="22EB0208"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④在委托人赎回或计划终止时，业绩报酬按委托人赎回份额或计划终止时持有份额计算。如赎回份额为一笔申购份额的一部分，则将该赎回份额单独核算业绩报酬，而该笔申购的剩余部分不受影响。</w:t>
      </w:r>
    </w:p>
    <w:p w14:paraId="2CB9AF72"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⑤如本集合计划在计划终止时有未能流通变现的资产需要延期清算的，为了准确地体现本集合计划最终的投资业绩表现，则管理人在计划终止日应计提的管理人业绩报酬相应顺延至本集合计划全部资产变现后计算，期间业绩表现相应依据在本集合计划全部资产变现后最终清算日当日的份额累计净值与上一次业绩报酬计提基准日的份额累计净值之间的变化，而期间长度则依据上一次业绩报酬计提日至计划终止日之间的间隔天数。最终清算日为管理人将全部资产变现完毕且结清各项合理必要的清算费用后确定以货币形式向投资者分配全部资产的日期。</w:t>
      </w:r>
    </w:p>
    <w:p w14:paraId="6A8C6747"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w:t>
      </w:r>
      <w:r w:rsidRPr="00A80B32">
        <w:rPr>
          <w:rFonts w:ascii="仿宋" w:eastAsia="仿宋" w:hAnsi="仿宋"/>
          <w:color w:val="000000"/>
          <w:sz w:val="28"/>
          <w:szCs w:val="28"/>
        </w:rPr>
        <w:t>2</w:t>
      </w:r>
      <w:r w:rsidRPr="00A80B32">
        <w:rPr>
          <w:rFonts w:ascii="仿宋" w:eastAsia="仿宋" w:hAnsi="仿宋" w:hint="eastAsia"/>
          <w:color w:val="000000"/>
          <w:sz w:val="28"/>
          <w:szCs w:val="28"/>
        </w:rPr>
        <w:t>）业绩报酬计提方法</w:t>
      </w:r>
    </w:p>
    <w:p w14:paraId="2762F7D8"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业绩报酬计提基准日为本集合计划分红权益登记日（仅涉及</w:t>
      </w:r>
      <w:r w:rsidRPr="00A80B32">
        <w:rPr>
          <w:rFonts w:ascii="仿宋" w:eastAsia="仿宋" w:hAnsi="仿宋"/>
          <w:color w:val="000000"/>
          <w:sz w:val="28"/>
          <w:szCs w:val="28"/>
        </w:rPr>
        <w:t>A</w:t>
      </w:r>
      <w:r w:rsidRPr="00A80B32">
        <w:rPr>
          <w:rFonts w:ascii="仿宋" w:eastAsia="仿宋" w:hAnsi="仿宋" w:hint="eastAsia"/>
          <w:color w:val="000000"/>
          <w:sz w:val="28"/>
          <w:szCs w:val="28"/>
        </w:rPr>
        <w:t>类计划份额，若有）、赎回申请日和计划终止日。业绩报酬计提日为本集合计划分红确认日（仅涉及</w:t>
      </w:r>
      <w:r w:rsidRPr="00A80B32">
        <w:rPr>
          <w:rFonts w:ascii="仿宋" w:eastAsia="仿宋" w:hAnsi="仿宋"/>
          <w:color w:val="000000"/>
          <w:sz w:val="28"/>
          <w:szCs w:val="28"/>
        </w:rPr>
        <w:t>A</w:t>
      </w:r>
      <w:r w:rsidRPr="00A80B32">
        <w:rPr>
          <w:rFonts w:ascii="仿宋" w:eastAsia="仿宋" w:hAnsi="仿宋" w:hint="eastAsia"/>
          <w:color w:val="000000"/>
          <w:sz w:val="28"/>
          <w:szCs w:val="28"/>
        </w:rPr>
        <w:t>类计划份额）、委托人赎回确认日或计划终止日。业绩报酬的计提，以上一个发生业绩报酬计提的业绩报酬计提基准日（以下简称“上一个业绩报酬计提基准日”）至本次业绩报酬计提基准日的期间为基准。</w:t>
      </w:r>
    </w:p>
    <w:p w14:paraId="1ACAE646" w14:textId="77777777" w:rsidR="004044B4" w:rsidRPr="004044B4" w:rsidRDefault="004044B4" w:rsidP="004044B4">
      <w:pPr>
        <w:pStyle w:val="21"/>
        <w:rPr>
          <w:rFonts w:ascii="仿宋" w:eastAsia="仿宋" w:hAnsi="仿宋"/>
          <w:color w:val="000000"/>
          <w:sz w:val="28"/>
          <w:szCs w:val="28"/>
        </w:rPr>
      </w:pPr>
      <w:r w:rsidRPr="004044B4">
        <w:rPr>
          <w:rFonts w:ascii="仿宋" w:eastAsia="仿宋" w:hAnsi="仿宋" w:hint="eastAsia"/>
          <w:color w:val="000000"/>
          <w:sz w:val="28"/>
          <w:szCs w:val="28"/>
        </w:rPr>
        <w:t>对于A类计划份额而言，如委托人该笔份额持有期间曾发生过业绩报酬计提的，则以该笔份额最近一个发生业绩报酬计提的业绩报酬计提</w:t>
      </w:r>
      <w:r w:rsidRPr="004044B4">
        <w:rPr>
          <w:rFonts w:ascii="仿宋" w:eastAsia="仿宋" w:hAnsi="仿宋" w:hint="eastAsia"/>
          <w:color w:val="000000"/>
          <w:sz w:val="28"/>
          <w:szCs w:val="28"/>
        </w:rPr>
        <w:lastRenderedPageBreak/>
        <w:t>基准日、业绩报酬计提日为上一个业绩报酬计提基准日、上一个业绩报酬计提日。</w:t>
      </w:r>
    </w:p>
    <w:p w14:paraId="74F0C5DF" w14:textId="77777777" w:rsidR="004044B4" w:rsidRPr="004044B4" w:rsidRDefault="004044B4" w:rsidP="004044B4">
      <w:pPr>
        <w:pStyle w:val="21"/>
        <w:rPr>
          <w:rFonts w:ascii="仿宋" w:eastAsia="仿宋" w:hAnsi="仿宋"/>
          <w:color w:val="000000"/>
          <w:sz w:val="28"/>
          <w:szCs w:val="28"/>
        </w:rPr>
      </w:pPr>
      <w:r w:rsidRPr="004044B4">
        <w:rPr>
          <w:rFonts w:ascii="仿宋" w:eastAsia="仿宋" w:hAnsi="仿宋" w:hint="eastAsia"/>
          <w:color w:val="000000"/>
          <w:sz w:val="28"/>
          <w:szCs w:val="28"/>
        </w:rPr>
        <w:t>对于A类计划份额而言，如委托人该笔份额持有以来未发生过业绩报酬计提的，在原中信证券理财优选1号集合资产管理计划推广期认购的，以原中信证券理财优选1号集合资产管理计划成立日为上一个业绩报酬计提基准日和上一个业绩报酬计提日；在原中信证券理财优选1号集合资产管理计划的存续期间内申购的，以该申购申请日为上一个业绩报酬计提基准日，以申购确认日为上一个业绩报酬计提日；在存续期红利再投资形成的份额，以该红利再投资的分红权益登记日为上一个业绩报酬计提基准日，以分红确认日为上一个业绩报酬计提日。</w:t>
      </w:r>
    </w:p>
    <w:p w14:paraId="53E3EFED" w14:textId="77777777" w:rsidR="00322FD5" w:rsidRPr="00A80B32" w:rsidRDefault="004044B4" w:rsidP="00A80B32">
      <w:pPr>
        <w:pStyle w:val="21"/>
        <w:rPr>
          <w:rFonts w:ascii="仿宋" w:eastAsia="仿宋" w:hAnsi="仿宋"/>
          <w:color w:val="000000"/>
          <w:sz w:val="28"/>
          <w:szCs w:val="28"/>
        </w:rPr>
      </w:pPr>
      <w:r w:rsidRPr="004044B4">
        <w:rPr>
          <w:rFonts w:ascii="仿宋" w:eastAsia="仿宋" w:hAnsi="仿宋" w:hint="eastAsia"/>
          <w:color w:val="000000"/>
          <w:sz w:val="28"/>
          <w:szCs w:val="28"/>
        </w:rPr>
        <w:t>对于B类或C类计划份额而言，存续期申购的份额，以申购申请日为上一个业绩报酬计提基准日，以申购确认日为上一个业绩报酬计提日；在存续期红利再投资形成的份额，以分红权益登记日为上一个业绩报酬计提基准日，以分红确认日为上一个业绩报酬计提日。</w:t>
      </w:r>
    </w:p>
    <w:p w14:paraId="6A7830EF"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委托人赎回时，按照“先进先出”法，分别计算每一笔申购份额应收的管理人业绩报酬。</w:t>
      </w:r>
    </w:p>
    <w:p w14:paraId="1FFA38DD"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①期间年化收益率计算</w:t>
      </w:r>
    </w:p>
    <w:p w14:paraId="5D64294F"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期间年化收益率</w:t>
      </w:r>
      <w:r w:rsidRPr="00A80B32">
        <w:rPr>
          <w:rFonts w:ascii="仿宋" w:eastAsia="仿宋" w:hAnsi="仿宋"/>
          <w:color w:val="000000"/>
          <w:sz w:val="28"/>
          <w:szCs w:val="28"/>
        </w:rPr>
        <w:t>R = [</w:t>
      </w:r>
      <w:r w:rsidRPr="00A80B32">
        <w:rPr>
          <w:rFonts w:ascii="仿宋" w:eastAsia="仿宋" w:hAnsi="仿宋" w:hint="eastAsia"/>
          <w:color w:val="000000"/>
          <w:sz w:val="28"/>
          <w:szCs w:val="28"/>
        </w:rPr>
        <w:t>（</w:t>
      </w:r>
      <w:r w:rsidRPr="00A80B32">
        <w:rPr>
          <w:rFonts w:ascii="仿宋" w:eastAsia="仿宋" w:hAnsi="仿宋"/>
          <w:color w:val="000000"/>
          <w:sz w:val="28"/>
          <w:szCs w:val="28"/>
        </w:rPr>
        <w:t>P1-P0</w:t>
      </w:r>
      <w:r w:rsidRPr="00A80B32">
        <w:rPr>
          <w:rFonts w:ascii="仿宋" w:eastAsia="仿宋" w:hAnsi="仿宋" w:hint="eastAsia"/>
          <w:color w:val="000000"/>
          <w:sz w:val="28"/>
          <w:szCs w:val="28"/>
        </w:rPr>
        <w:t>）</w:t>
      </w:r>
      <w:r w:rsidRPr="00A80B32">
        <w:rPr>
          <w:rFonts w:ascii="仿宋" w:eastAsia="仿宋" w:hAnsi="仿宋"/>
          <w:color w:val="000000"/>
          <w:sz w:val="28"/>
          <w:szCs w:val="28"/>
        </w:rPr>
        <w:t xml:space="preserve">/P0x] </w:t>
      </w:r>
      <w:r w:rsidRPr="00A80B32">
        <w:rPr>
          <w:rFonts w:ascii="仿宋" w:eastAsia="仿宋" w:hAnsi="仿宋" w:hint="eastAsia"/>
          <w:color w:val="000000"/>
          <w:sz w:val="28"/>
          <w:szCs w:val="28"/>
        </w:rPr>
        <w:t>×（</w:t>
      </w:r>
      <w:r w:rsidRPr="00A80B32">
        <w:rPr>
          <w:rFonts w:ascii="仿宋" w:eastAsia="仿宋" w:hAnsi="仿宋"/>
          <w:color w:val="000000"/>
          <w:sz w:val="28"/>
          <w:szCs w:val="28"/>
        </w:rPr>
        <w:t>365</w:t>
      </w:r>
      <w:r w:rsidRPr="00A80B32">
        <w:rPr>
          <w:rFonts w:ascii="仿宋" w:eastAsia="仿宋" w:hAnsi="仿宋" w:hint="eastAsia"/>
          <w:color w:val="000000"/>
          <w:sz w:val="28"/>
          <w:szCs w:val="28"/>
        </w:rPr>
        <w:t>÷</w:t>
      </w:r>
      <w:r w:rsidRPr="00A80B32">
        <w:rPr>
          <w:rFonts w:ascii="仿宋" w:eastAsia="仿宋" w:hAnsi="仿宋"/>
          <w:color w:val="000000"/>
          <w:sz w:val="28"/>
          <w:szCs w:val="28"/>
        </w:rPr>
        <w:t>T</w:t>
      </w:r>
      <w:r w:rsidRPr="00A80B32">
        <w:rPr>
          <w:rFonts w:ascii="仿宋" w:eastAsia="仿宋" w:hAnsi="仿宋" w:hint="eastAsia"/>
          <w:color w:val="000000"/>
          <w:sz w:val="28"/>
          <w:szCs w:val="28"/>
        </w:rPr>
        <w:t>）</w:t>
      </w:r>
    </w:p>
    <w:p w14:paraId="6691B049"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color w:val="000000"/>
          <w:sz w:val="28"/>
          <w:szCs w:val="28"/>
        </w:rPr>
        <w:t>P1=</w:t>
      </w:r>
      <w:r w:rsidRPr="00A80B32">
        <w:rPr>
          <w:rFonts w:ascii="仿宋" w:eastAsia="仿宋" w:hAnsi="仿宋" w:hint="eastAsia"/>
          <w:color w:val="000000"/>
          <w:sz w:val="28"/>
          <w:szCs w:val="28"/>
        </w:rPr>
        <w:t>委托人本次业绩报酬计提基准日的份额累计净值</w:t>
      </w:r>
    </w:p>
    <w:p w14:paraId="7E24D2A2"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color w:val="000000"/>
          <w:sz w:val="28"/>
          <w:szCs w:val="28"/>
        </w:rPr>
        <w:t>P0 =</w:t>
      </w:r>
      <w:r w:rsidRPr="00A80B32">
        <w:rPr>
          <w:rFonts w:ascii="仿宋" w:eastAsia="仿宋" w:hAnsi="仿宋" w:hint="eastAsia"/>
          <w:color w:val="000000"/>
          <w:sz w:val="28"/>
          <w:szCs w:val="28"/>
        </w:rPr>
        <w:t>委托人上一个业绩报酬计提基准日的份额累计净值</w:t>
      </w:r>
    </w:p>
    <w:p w14:paraId="65B18331"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color w:val="000000"/>
          <w:sz w:val="28"/>
          <w:szCs w:val="28"/>
        </w:rPr>
        <w:t>P0x =</w:t>
      </w:r>
      <w:r w:rsidRPr="00A80B32">
        <w:rPr>
          <w:rFonts w:ascii="仿宋" w:eastAsia="仿宋" w:hAnsi="仿宋" w:hint="eastAsia"/>
          <w:color w:val="000000"/>
          <w:sz w:val="28"/>
          <w:szCs w:val="28"/>
        </w:rPr>
        <w:t>委托人上一个业绩报酬计提基准日的份额净值</w:t>
      </w:r>
    </w:p>
    <w:p w14:paraId="6602CFD5"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color w:val="000000"/>
          <w:sz w:val="28"/>
          <w:szCs w:val="28"/>
        </w:rPr>
        <w:t>T=</w:t>
      </w:r>
      <w:r w:rsidRPr="00A80B32">
        <w:rPr>
          <w:rFonts w:ascii="仿宋" w:eastAsia="仿宋" w:hAnsi="仿宋" w:hint="eastAsia"/>
          <w:color w:val="000000"/>
          <w:sz w:val="28"/>
          <w:szCs w:val="28"/>
        </w:rPr>
        <w:t>委托人上一个业绩报酬计提日（含）到本次业绩报酬计提日（不含）的间隔天数。</w:t>
      </w:r>
    </w:p>
    <w:p w14:paraId="14EC00D6"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如本集合计划在计划终止时有未能流通变现的资产需要延期清算的，为了准确地体现本集合计划最终的投资业绩表现，则管理人在计划终止日应计提的管理人业绩报酬相应顺延至本集合计划全部资产变现后计算，投资者本次业绩报酬计提基准日的份额累计净值相应采用在本集合计划全部资产变现后最终清算日当日的份额累计净值。</w:t>
      </w:r>
    </w:p>
    <w:p w14:paraId="3CE8DF25"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②管理人以超额比例的方式提取业绩报酬</w:t>
      </w:r>
    </w:p>
    <w:p w14:paraId="4CC55A45" w14:textId="77777777" w:rsidR="00322FD5" w:rsidRPr="00A80B32" w:rsidRDefault="00322FD5" w:rsidP="00A80B32">
      <w:pPr>
        <w:pStyle w:val="21"/>
        <w:rPr>
          <w:rFonts w:ascii="仿宋" w:eastAsia="仿宋" w:hAnsi="仿宋"/>
          <w:color w:val="000000"/>
          <w:sz w:val="28"/>
          <w:szCs w:val="28"/>
        </w:rPr>
      </w:pPr>
      <w:r w:rsidRPr="00A80B32">
        <w:rPr>
          <w:rFonts w:ascii="仿宋" w:eastAsia="仿宋" w:hAnsi="仿宋" w:hint="eastAsia"/>
          <w:color w:val="000000"/>
          <w:sz w:val="28"/>
          <w:szCs w:val="28"/>
        </w:rPr>
        <w:t>管理人根据期间年化收益率对</w:t>
      </w:r>
      <w:bookmarkStart w:id="44" w:name="_Hlk19709338"/>
      <w:r w:rsidRPr="00A80B32">
        <w:rPr>
          <w:rFonts w:ascii="仿宋" w:eastAsia="仿宋" w:hAnsi="仿宋"/>
          <w:color w:val="000000"/>
          <w:sz w:val="28"/>
          <w:szCs w:val="28"/>
        </w:rPr>
        <w:t>A</w:t>
      </w:r>
      <w:r w:rsidRPr="00A80B32">
        <w:rPr>
          <w:rFonts w:ascii="仿宋" w:eastAsia="仿宋" w:hAnsi="仿宋" w:hint="eastAsia"/>
          <w:color w:val="000000"/>
          <w:sz w:val="28"/>
          <w:szCs w:val="28"/>
        </w:rPr>
        <w:t>类、</w:t>
      </w:r>
      <w:r w:rsidRPr="00A80B32">
        <w:rPr>
          <w:rFonts w:ascii="仿宋" w:eastAsia="仿宋" w:hAnsi="仿宋"/>
          <w:color w:val="000000"/>
          <w:sz w:val="28"/>
          <w:szCs w:val="28"/>
        </w:rPr>
        <w:t>B</w:t>
      </w:r>
      <w:r w:rsidRPr="00A80B32">
        <w:rPr>
          <w:rFonts w:ascii="仿宋" w:eastAsia="仿宋" w:hAnsi="仿宋" w:hint="eastAsia"/>
          <w:color w:val="000000"/>
          <w:sz w:val="28"/>
          <w:szCs w:val="28"/>
        </w:rPr>
        <w:t>类或</w:t>
      </w:r>
      <w:r w:rsidRPr="00A80B32">
        <w:rPr>
          <w:rFonts w:ascii="仿宋" w:eastAsia="仿宋" w:hAnsi="仿宋"/>
          <w:color w:val="000000"/>
          <w:sz w:val="28"/>
          <w:szCs w:val="28"/>
        </w:rPr>
        <w:t>C</w:t>
      </w:r>
      <w:r w:rsidRPr="00A80B32">
        <w:rPr>
          <w:rFonts w:ascii="仿宋" w:eastAsia="仿宋" w:hAnsi="仿宋" w:hint="eastAsia"/>
          <w:color w:val="000000"/>
          <w:sz w:val="28"/>
          <w:szCs w:val="28"/>
        </w:rPr>
        <w:t>类计划份额</w:t>
      </w:r>
      <w:bookmarkEnd w:id="44"/>
      <w:r w:rsidRPr="00A80B32">
        <w:rPr>
          <w:rFonts w:ascii="仿宋" w:eastAsia="仿宋" w:hAnsi="仿宋" w:hint="eastAsia"/>
          <w:color w:val="000000"/>
          <w:sz w:val="28"/>
          <w:szCs w:val="28"/>
        </w:rPr>
        <w:t>期间年化收益率超过</w:t>
      </w:r>
      <w:r w:rsidRPr="00A80B32">
        <w:rPr>
          <w:rFonts w:ascii="仿宋" w:eastAsia="仿宋" w:hAnsi="仿宋"/>
          <w:color w:val="000000"/>
          <w:sz w:val="28"/>
          <w:szCs w:val="28"/>
        </w:rPr>
        <w:t>8%</w:t>
      </w:r>
      <w:r w:rsidRPr="00A80B32">
        <w:rPr>
          <w:rFonts w:ascii="仿宋" w:eastAsia="仿宋" w:hAnsi="仿宋" w:hint="eastAsia"/>
          <w:color w:val="000000"/>
          <w:sz w:val="28"/>
          <w:szCs w:val="28"/>
        </w:rPr>
        <w:t>以上部分按照</w:t>
      </w:r>
      <w:r w:rsidRPr="00A80B32">
        <w:rPr>
          <w:rFonts w:ascii="仿宋" w:eastAsia="仿宋" w:hAnsi="仿宋"/>
          <w:color w:val="000000"/>
          <w:sz w:val="28"/>
          <w:szCs w:val="28"/>
        </w:rPr>
        <w:t>20%</w:t>
      </w:r>
      <w:r w:rsidRPr="00A80B32">
        <w:rPr>
          <w:rFonts w:ascii="仿宋" w:eastAsia="仿宋" w:hAnsi="仿宋" w:hint="eastAsia"/>
          <w:color w:val="000000"/>
          <w:sz w:val="28"/>
          <w:szCs w:val="28"/>
        </w:rPr>
        <w:t>的比例收取管理人业绩报酬。具体计算方式如下：</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417"/>
        <w:gridCol w:w="4820"/>
      </w:tblGrid>
      <w:tr w:rsidR="00322FD5" w14:paraId="4FF6177B" w14:textId="77777777" w:rsidTr="00A80B32">
        <w:trPr>
          <w:jc w:val="center"/>
        </w:trPr>
        <w:tc>
          <w:tcPr>
            <w:tcW w:w="2122" w:type="dxa"/>
            <w:tcBorders>
              <w:top w:val="single" w:sz="4" w:space="0" w:color="000000"/>
              <w:left w:val="single" w:sz="4" w:space="0" w:color="000000"/>
              <w:bottom w:val="single" w:sz="4" w:space="0" w:color="000000"/>
              <w:right w:val="single" w:sz="4" w:space="0" w:color="000000"/>
            </w:tcBorders>
          </w:tcPr>
          <w:p w14:paraId="4A24DC03"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bCs/>
                <w:sz w:val="28"/>
                <w:szCs w:val="24"/>
              </w:rPr>
              <w:t>A</w:t>
            </w:r>
            <w:r w:rsidRPr="00A80B32">
              <w:rPr>
                <w:rFonts w:ascii="仿宋" w:eastAsia="仿宋" w:hAnsi="仿宋" w:hint="eastAsia"/>
                <w:bCs/>
                <w:sz w:val="28"/>
                <w:szCs w:val="24"/>
              </w:rPr>
              <w:t>类、</w:t>
            </w:r>
            <w:r w:rsidRPr="00A80B32">
              <w:rPr>
                <w:rFonts w:ascii="仿宋" w:eastAsia="仿宋" w:hAnsi="仿宋"/>
                <w:bCs/>
                <w:sz w:val="28"/>
                <w:szCs w:val="24"/>
              </w:rPr>
              <w:t>B</w:t>
            </w:r>
            <w:r w:rsidRPr="00A80B32">
              <w:rPr>
                <w:rFonts w:ascii="仿宋" w:eastAsia="仿宋" w:hAnsi="仿宋" w:hint="eastAsia"/>
                <w:bCs/>
                <w:sz w:val="28"/>
                <w:szCs w:val="24"/>
              </w:rPr>
              <w:t>类或</w:t>
            </w:r>
            <w:r w:rsidRPr="00A80B32">
              <w:rPr>
                <w:rFonts w:ascii="仿宋" w:eastAsia="仿宋" w:hAnsi="仿宋"/>
                <w:bCs/>
                <w:sz w:val="28"/>
                <w:szCs w:val="24"/>
              </w:rPr>
              <w:t>C</w:t>
            </w:r>
            <w:r w:rsidRPr="00A80B32">
              <w:rPr>
                <w:rFonts w:ascii="仿宋" w:eastAsia="仿宋" w:hAnsi="仿宋" w:hint="eastAsia"/>
                <w:bCs/>
                <w:sz w:val="28"/>
                <w:szCs w:val="24"/>
              </w:rPr>
              <w:t>类计划份额期间年化收益率</w:t>
            </w:r>
          </w:p>
        </w:tc>
        <w:tc>
          <w:tcPr>
            <w:tcW w:w="1417" w:type="dxa"/>
            <w:tcBorders>
              <w:top w:val="single" w:sz="4" w:space="0" w:color="000000"/>
              <w:left w:val="nil"/>
              <w:bottom w:val="single" w:sz="4" w:space="0" w:color="000000"/>
              <w:right w:val="single" w:sz="4" w:space="0" w:color="000000"/>
            </w:tcBorders>
          </w:tcPr>
          <w:p w14:paraId="03193BDB"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hint="eastAsia"/>
                <w:bCs/>
                <w:sz w:val="28"/>
                <w:szCs w:val="24"/>
              </w:rPr>
              <w:t>收取比例</w:t>
            </w:r>
          </w:p>
        </w:tc>
        <w:tc>
          <w:tcPr>
            <w:tcW w:w="4820" w:type="dxa"/>
            <w:tcBorders>
              <w:top w:val="single" w:sz="4" w:space="0" w:color="000000"/>
              <w:left w:val="nil"/>
              <w:bottom w:val="single" w:sz="4" w:space="0" w:color="000000"/>
              <w:right w:val="single" w:sz="4" w:space="0" w:color="000000"/>
            </w:tcBorders>
          </w:tcPr>
          <w:p w14:paraId="7A19EF16"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hint="eastAsia"/>
                <w:bCs/>
                <w:sz w:val="28"/>
                <w:szCs w:val="24"/>
              </w:rPr>
              <w:t>管理人业绩报酬计算公式</w:t>
            </w:r>
          </w:p>
        </w:tc>
      </w:tr>
      <w:tr w:rsidR="00322FD5" w14:paraId="6B2ABBF6" w14:textId="77777777" w:rsidTr="00A80B32">
        <w:trPr>
          <w:jc w:val="center"/>
        </w:trPr>
        <w:tc>
          <w:tcPr>
            <w:tcW w:w="2122" w:type="dxa"/>
            <w:tcBorders>
              <w:top w:val="single" w:sz="4" w:space="0" w:color="000000"/>
              <w:left w:val="single" w:sz="4" w:space="0" w:color="000000"/>
              <w:bottom w:val="single" w:sz="4" w:space="0" w:color="000000"/>
              <w:right w:val="single" w:sz="4" w:space="0" w:color="000000"/>
            </w:tcBorders>
          </w:tcPr>
          <w:p w14:paraId="2EEF973C"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bCs/>
                <w:sz w:val="28"/>
                <w:szCs w:val="24"/>
              </w:rPr>
              <w:lastRenderedPageBreak/>
              <w:t>R</w:t>
            </w:r>
            <w:r w:rsidRPr="00A80B32">
              <w:rPr>
                <w:rFonts w:ascii="仿宋" w:eastAsia="仿宋" w:hAnsi="仿宋" w:hint="eastAsia"/>
                <w:bCs/>
                <w:sz w:val="28"/>
                <w:szCs w:val="24"/>
              </w:rPr>
              <w:t>≤</w:t>
            </w:r>
            <w:r w:rsidRPr="00A80B32">
              <w:rPr>
                <w:rFonts w:ascii="仿宋" w:eastAsia="仿宋" w:hAnsi="仿宋"/>
                <w:bCs/>
                <w:sz w:val="28"/>
                <w:szCs w:val="24"/>
              </w:rPr>
              <w:t>8</w:t>
            </w:r>
            <w:r w:rsidRPr="00A80B32">
              <w:rPr>
                <w:rFonts w:ascii="仿宋" w:eastAsia="仿宋" w:hAnsi="仿宋" w:hint="eastAsia"/>
                <w:bCs/>
                <w:sz w:val="28"/>
                <w:szCs w:val="24"/>
              </w:rPr>
              <w:t>％</w:t>
            </w:r>
          </w:p>
        </w:tc>
        <w:tc>
          <w:tcPr>
            <w:tcW w:w="1417" w:type="dxa"/>
            <w:tcBorders>
              <w:top w:val="single" w:sz="4" w:space="0" w:color="000000"/>
              <w:left w:val="nil"/>
              <w:bottom w:val="single" w:sz="4" w:space="0" w:color="000000"/>
              <w:right w:val="single" w:sz="4" w:space="0" w:color="000000"/>
            </w:tcBorders>
          </w:tcPr>
          <w:p w14:paraId="3889B290"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bCs/>
                <w:sz w:val="28"/>
                <w:szCs w:val="24"/>
              </w:rPr>
              <w:t>0</w:t>
            </w:r>
          </w:p>
        </w:tc>
        <w:tc>
          <w:tcPr>
            <w:tcW w:w="4820" w:type="dxa"/>
            <w:tcBorders>
              <w:top w:val="single" w:sz="4" w:space="0" w:color="000000"/>
              <w:left w:val="nil"/>
              <w:bottom w:val="single" w:sz="4" w:space="0" w:color="000000"/>
              <w:right w:val="single" w:sz="4" w:space="0" w:color="000000"/>
            </w:tcBorders>
          </w:tcPr>
          <w:p w14:paraId="15940905"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bCs/>
                <w:sz w:val="28"/>
                <w:szCs w:val="24"/>
              </w:rPr>
              <w:t>E =0</w:t>
            </w:r>
          </w:p>
        </w:tc>
      </w:tr>
      <w:tr w:rsidR="00322FD5" w14:paraId="384A93E7" w14:textId="77777777" w:rsidTr="00A80B32">
        <w:trPr>
          <w:jc w:val="center"/>
        </w:trPr>
        <w:tc>
          <w:tcPr>
            <w:tcW w:w="2122" w:type="dxa"/>
            <w:tcBorders>
              <w:top w:val="single" w:sz="4" w:space="0" w:color="000000"/>
              <w:left w:val="single" w:sz="4" w:space="0" w:color="000000"/>
              <w:bottom w:val="single" w:sz="4" w:space="0" w:color="000000"/>
              <w:right w:val="single" w:sz="4" w:space="0" w:color="000000"/>
            </w:tcBorders>
          </w:tcPr>
          <w:p w14:paraId="6179C094"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bCs/>
                <w:sz w:val="28"/>
                <w:szCs w:val="24"/>
              </w:rPr>
              <w:t>8</w:t>
            </w:r>
            <w:r w:rsidRPr="00A80B32">
              <w:rPr>
                <w:rFonts w:ascii="仿宋" w:eastAsia="仿宋" w:hAnsi="仿宋" w:hint="eastAsia"/>
                <w:bCs/>
                <w:sz w:val="28"/>
                <w:szCs w:val="24"/>
              </w:rPr>
              <w:t>％＜</w:t>
            </w:r>
            <w:r w:rsidRPr="00A80B32">
              <w:rPr>
                <w:rFonts w:ascii="仿宋" w:eastAsia="仿宋" w:hAnsi="仿宋"/>
                <w:bCs/>
                <w:sz w:val="28"/>
                <w:szCs w:val="24"/>
              </w:rPr>
              <w:t>R</w:t>
            </w:r>
          </w:p>
        </w:tc>
        <w:tc>
          <w:tcPr>
            <w:tcW w:w="1417" w:type="dxa"/>
            <w:tcBorders>
              <w:top w:val="single" w:sz="4" w:space="0" w:color="000000"/>
              <w:left w:val="nil"/>
              <w:bottom w:val="single" w:sz="4" w:space="0" w:color="000000"/>
              <w:right w:val="single" w:sz="4" w:space="0" w:color="000000"/>
            </w:tcBorders>
          </w:tcPr>
          <w:p w14:paraId="16DDE37B"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bCs/>
                <w:sz w:val="28"/>
                <w:szCs w:val="24"/>
              </w:rPr>
              <w:t>20%</w:t>
            </w:r>
          </w:p>
        </w:tc>
        <w:tc>
          <w:tcPr>
            <w:tcW w:w="4820" w:type="dxa"/>
            <w:tcBorders>
              <w:top w:val="single" w:sz="4" w:space="0" w:color="000000"/>
              <w:left w:val="nil"/>
              <w:bottom w:val="single" w:sz="4" w:space="0" w:color="000000"/>
              <w:right w:val="single" w:sz="4" w:space="0" w:color="000000"/>
            </w:tcBorders>
          </w:tcPr>
          <w:p w14:paraId="596CA6DF" w14:textId="77777777" w:rsidR="00322FD5" w:rsidRPr="00A80B32" w:rsidRDefault="00322FD5" w:rsidP="004B001B">
            <w:pPr>
              <w:spacing w:line="360" w:lineRule="auto"/>
              <w:jc w:val="center"/>
              <w:rPr>
                <w:rFonts w:ascii="仿宋" w:eastAsia="仿宋" w:hAnsi="仿宋"/>
                <w:bCs/>
                <w:sz w:val="28"/>
                <w:szCs w:val="24"/>
              </w:rPr>
            </w:pPr>
            <w:r w:rsidRPr="00A80B32">
              <w:rPr>
                <w:rFonts w:ascii="仿宋" w:eastAsia="仿宋" w:hAnsi="仿宋"/>
                <w:bCs/>
                <w:sz w:val="28"/>
                <w:szCs w:val="24"/>
              </w:rPr>
              <w:t>E = N</w:t>
            </w:r>
            <w:r w:rsidRPr="00A80B32">
              <w:rPr>
                <w:rFonts w:ascii="仿宋" w:eastAsia="仿宋" w:hAnsi="仿宋" w:hint="eastAsia"/>
                <w:bCs/>
                <w:sz w:val="28"/>
                <w:szCs w:val="24"/>
              </w:rPr>
              <w:t>×</w:t>
            </w:r>
            <w:r w:rsidRPr="00A80B32">
              <w:rPr>
                <w:rFonts w:ascii="仿宋" w:eastAsia="仿宋" w:hAnsi="仿宋"/>
                <w:bCs/>
                <w:sz w:val="28"/>
                <w:szCs w:val="24"/>
              </w:rPr>
              <w:t>P0x</w:t>
            </w:r>
            <w:r w:rsidRPr="00A80B32">
              <w:rPr>
                <w:rFonts w:ascii="仿宋" w:eastAsia="仿宋" w:hAnsi="仿宋" w:hint="eastAsia"/>
                <w:bCs/>
                <w:sz w:val="28"/>
                <w:szCs w:val="24"/>
              </w:rPr>
              <w:t>×（</w:t>
            </w:r>
            <w:r w:rsidRPr="00A80B32">
              <w:rPr>
                <w:rFonts w:ascii="仿宋" w:eastAsia="仿宋" w:hAnsi="仿宋"/>
                <w:bCs/>
                <w:sz w:val="28"/>
                <w:szCs w:val="24"/>
              </w:rPr>
              <w:t>R-8%</w:t>
            </w:r>
            <w:r w:rsidRPr="00A80B32">
              <w:rPr>
                <w:rFonts w:ascii="仿宋" w:eastAsia="仿宋" w:hAnsi="仿宋" w:hint="eastAsia"/>
                <w:bCs/>
                <w:sz w:val="28"/>
                <w:szCs w:val="24"/>
              </w:rPr>
              <w:t>）×</w:t>
            </w:r>
            <w:r w:rsidRPr="00A80B32">
              <w:rPr>
                <w:rFonts w:ascii="仿宋" w:eastAsia="仿宋" w:hAnsi="仿宋"/>
                <w:bCs/>
                <w:sz w:val="28"/>
                <w:szCs w:val="24"/>
              </w:rPr>
              <w:t>20%</w:t>
            </w:r>
            <w:r w:rsidRPr="00A80B32">
              <w:rPr>
                <w:rFonts w:ascii="仿宋" w:eastAsia="仿宋" w:hAnsi="仿宋" w:hint="eastAsia"/>
                <w:bCs/>
                <w:sz w:val="28"/>
                <w:szCs w:val="24"/>
              </w:rPr>
              <w:t>×</w:t>
            </w:r>
            <w:r w:rsidRPr="00A80B32">
              <w:rPr>
                <w:rFonts w:ascii="仿宋" w:eastAsia="仿宋" w:hAnsi="仿宋"/>
                <w:bCs/>
                <w:sz w:val="28"/>
                <w:szCs w:val="24"/>
              </w:rPr>
              <w:t>( T</w:t>
            </w:r>
            <w:r w:rsidRPr="00A80B32">
              <w:rPr>
                <w:rFonts w:ascii="仿宋" w:eastAsia="仿宋" w:hAnsi="仿宋" w:hint="eastAsia"/>
                <w:bCs/>
                <w:sz w:val="28"/>
                <w:szCs w:val="24"/>
              </w:rPr>
              <w:t>÷</w:t>
            </w:r>
            <w:r w:rsidRPr="00A80B32">
              <w:rPr>
                <w:rFonts w:ascii="仿宋" w:eastAsia="仿宋" w:hAnsi="仿宋"/>
                <w:bCs/>
                <w:sz w:val="28"/>
                <w:szCs w:val="24"/>
              </w:rPr>
              <w:t>365 )</w:t>
            </w:r>
          </w:p>
        </w:tc>
      </w:tr>
    </w:tbl>
    <w:p w14:paraId="2018C50F" w14:textId="77777777" w:rsidR="00322FD5" w:rsidRPr="0048297B" w:rsidRDefault="00322FD5" w:rsidP="00322FD5">
      <w:pPr>
        <w:spacing w:line="360" w:lineRule="auto"/>
        <w:ind w:firstLineChars="200" w:firstLine="560"/>
        <w:rPr>
          <w:rFonts w:ascii="仿宋" w:eastAsia="仿宋" w:hAnsi="仿宋" w:cstheme="minorBidi"/>
          <w:color w:val="000000"/>
          <w:sz w:val="28"/>
          <w:szCs w:val="28"/>
        </w:rPr>
      </w:pPr>
      <w:r w:rsidRPr="0048297B">
        <w:rPr>
          <w:rFonts w:ascii="仿宋" w:eastAsia="仿宋" w:hAnsi="仿宋" w:cstheme="minorBidi"/>
          <w:color w:val="000000"/>
          <w:sz w:val="28"/>
          <w:szCs w:val="28"/>
        </w:rPr>
        <w:t xml:space="preserve">E= </w:t>
      </w:r>
      <w:r w:rsidRPr="0048297B">
        <w:rPr>
          <w:rFonts w:ascii="仿宋" w:eastAsia="仿宋" w:hAnsi="仿宋" w:cstheme="minorBidi" w:hint="eastAsia"/>
          <w:color w:val="000000"/>
          <w:sz w:val="28"/>
          <w:szCs w:val="28"/>
        </w:rPr>
        <w:t>该笔申购对应的管理人业绩报酬</w:t>
      </w:r>
    </w:p>
    <w:p w14:paraId="714C9681" w14:textId="77777777" w:rsidR="00322FD5" w:rsidRPr="0048297B" w:rsidRDefault="00322FD5" w:rsidP="00322FD5">
      <w:pPr>
        <w:spacing w:line="360" w:lineRule="auto"/>
        <w:ind w:firstLineChars="200" w:firstLine="560"/>
        <w:rPr>
          <w:rFonts w:ascii="仿宋" w:eastAsia="仿宋" w:hAnsi="仿宋" w:cstheme="minorBidi"/>
          <w:color w:val="000000"/>
          <w:sz w:val="28"/>
          <w:szCs w:val="28"/>
        </w:rPr>
      </w:pPr>
      <w:r w:rsidRPr="0048297B">
        <w:rPr>
          <w:rFonts w:ascii="仿宋" w:eastAsia="仿宋" w:hAnsi="仿宋" w:cstheme="minorBidi"/>
          <w:color w:val="000000"/>
          <w:sz w:val="28"/>
          <w:szCs w:val="28"/>
        </w:rPr>
        <w:t xml:space="preserve">N= </w:t>
      </w:r>
      <w:r w:rsidRPr="0048297B">
        <w:rPr>
          <w:rFonts w:ascii="仿宋" w:eastAsia="仿宋" w:hAnsi="仿宋" w:cstheme="minorBidi" w:hint="eastAsia"/>
          <w:color w:val="000000"/>
          <w:sz w:val="28"/>
          <w:szCs w:val="28"/>
        </w:rPr>
        <w:t>委托人该笔申购在上一个业绩报酬计提日的份额数</w:t>
      </w:r>
    </w:p>
    <w:p w14:paraId="2236CCB3" w14:textId="77777777" w:rsidR="00322FD5" w:rsidRPr="0048297B" w:rsidRDefault="00322FD5" w:rsidP="00322FD5">
      <w:pPr>
        <w:spacing w:line="360" w:lineRule="auto"/>
        <w:ind w:firstLineChars="200" w:firstLine="560"/>
        <w:rPr>
          <w:rFonts w:ascii="仿宋" w:eastAsia="仿宋" w:hAnsi="仿宋" w:cstheme="minorBidi"/>
          <w:color w:val="000000"/>
          <w:sz w:val="28"/>
          <w:szCs w:val="28"/>
        </w:rPr>
      </w:pPr>
      <w:r w:rsidRPr="0048297B">
        <w:rPr>
          <w:rFonts w:ascii="仿宋" w:eastAsia="仿宋" w:hAnsi="仿宋" w:cstheme="minorBidi" w:hint="eastAsia"/>
          <w:color w:val="000000"/>
          <w:sz w:val="28"/>
          <w:szCs w:val="28"/>
        </w:rPr>
        <w:t>③将所有申购笔数的管理人业绩报酬加总，得到总的管理人业绩报酬（∑</w:t>
      </w:r>
      <w:r w:rsidRPr="0048297B">
        <w:rPr>
          <w:rFonts w:ascii="仿宋" w:eastAsia="仿宋" w:hAnsi="仿宋" w:cstheme="minorBidi"/>
          <w:color w:val="000000"/>
          <w:sz w:val="28"/>
          <w:szCs w:val="28"/>
        </w:rPr>
        <w:t>E</w:t>
      </w:r>
      <w:r w:rsidRPr="0048297B">
        <w:rPr>
          <w:rFonts w:ascii="仿宋" w:eastAsia="仿宋" w:hAnsi="仿宋" w:cstheme="minorBidi" w:hint="eastAsia"/>
          <w:color w:val="000000"/>
          <w:sz w:val="28"/>
          <w:szCs w:val="28"/>
        </w:rPr>
        <w:t>）。</w:t>
      </w:r>
    </w:p>
    <w:p w14:paraId="2B57AFFE" w14:textId="77777777" w:rsidR="00322FD5" w:rsidRPr="0048297B" w:rsidRDefault="00322FD5" w:rsidP="00322FD5">
      <w:pPr>
        <w:spacing w:line="360" w:lineRule="auto"/>
        <w:ind w:firstLineChars="200" w:firstLine="560"/>
        <w:rPr>
          <w:rFonts w:ascii="仿宋" w:eastAsia="仿宋" w:hAnsi="仿宋" w:cstheme="minorBidi"/>
          <w:color w:val="000000"/>
          <w:sz w:val="28"/>
          <w:szCs w:val="28"/>
        </w:rPr>
      </w:pPr>
      <w:r w:rsidRPr="0048297B">
        <w:rPr>
          <w:rFonts w:ascii="仿宋" w:eastAsia="仿宋" w:hAnsi="仿宋" w:cstheme="minorBidi" w:hint="eastAsia"/>
          <w:color w:val="000000"/>
          <w:sz w:val="28"/>
          <w:szCs w:val="28"/>
        </w:rPr>
        <w:t>∑</w:t>
      </w:r>
      <w:r w:rsidRPr="0048297B">
        <w:rPr>
          <w:rFonts w:ascii="仿宋" w:eastAsia="仿宋" w:hAnsi="仿宋" w:cstheme="minorBidi"/>
          <w:color w:val="000000"/>
          <w:sz w:val="28"/>
          <w:szCs w:val="28"/>
        </w:rPr>
        <w:t>E=E1+E2+E3+......+En</w:t>
      </w:r>
    </w:p>
    <w:p w14:paraId="5E076941" w14:textId="77777777" w:rsidR="00322FD5" w:rsidRPr="00313D3F" w:rsidRDefault="00322FD5" w:rsidP="00322FD5">
      <w:pPr>
        <w:pStyle w:val="21"/>
        <w:rPr>
          <w:rFonts w:ascii="仿宋" w:eastAsia="仿宋" w:hAnsi="仿宋"/>
          <w:color w:val="000000"/>
          <w:sz w:val="28"/>
          <w:szCs w:val="28"/>
        </w:rPr>
      </w:pPr>
      <w:r w:rsidRPr="0048297B">
        <w:rPr>
          <w:rFonts w:ascii="仿宋" w:eastAsia="仿宋" w:hAnsi="仿宋" w:hint="eastAsia"/>
          <w:color w:val="000000"/>
          <w:sz w:val="28"/>
          <w:szCs w:val="28"/>
        </w:rPr>
        <w:t>其中的</w:t>
      </w:r>
      <w:r w:rsidRPr="0048297B">
        <w:rPr>
          <w:rFonts w:ascii="仿宋" w:eastAsia="仿宋" w:hAnsi="仿宋"/>
          <w:color w:val="000000"/>
          <w:sz w:val="28"/>
          <w:szCs w:val="28"/>
        </w:rPr>
        <w:t>n</w:t>
      </w:r>
      <w:r w:rsidRPr="0048297B">
        <w:rPr>
          <w:rFonts w:ascii="仿宋" w:eastAsia="仿宋" w:hAnsi="仿宋" w:hint="eastAsia"/>
          <w:color w:val="000000"/>
          <w:sz w:val="28"/>
          <w:szCs w:val="28"/>
        </w:rPr>
        <w:t>为所对应的申购笔数。</w:t>
      </w:r>
    </w:p>
    <w:p w14:paraId="5D5DD57A" w14:textId="7AADD38C"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11.</w:t>
      </w:r>
      <w:r w:rsidR="00322FD5">
        <w:rPr>
          <w:rFonts w:ascii="仿宋" w:eastAsia="仿宋" w:hAnsi="仿宋"/>
          <w:color w:val="000000"/>
          <w:sz w:val="28"/>
          <w:szCs w:val="28"/>
        </w:rPr>
        <w:t>5</w:t>
      </w:r>
      <w:r>
        <w:rPr>
          <w:rFonts w:ascii="仿宋" w:eastAsia="仿宋" w:hAnsi="仿宋" w:hint="eastAsia"/>
          <w:color w:val="000000"/>
          <w:sz w:val="28"/>
          <w:szCs w:val="28"/>
        </w:rPr>
        <w:t>为集合计划财产及集合计划运作所开立账户的开户费和维护费、银行汇划费用、证券、期货交易费用、除法律法规、中国证监会另有规定外，资产管理合同生效后与集合计划相关的集合计划信息披露费用、集合计划份额持有人大会费用、资产管理合同生效后与集合计划相关的会计师费、律师费、仲裁费和诉讼费、因投资港股通标的股票而产生的各项合理费用等根据有关法规、资产管理合同及相应协议的规定，由集合计划托管人按集合计划管理人的划款指令并根据费用实际支出金额支付，列入或摊入当期集合计划费用。</w:t>
      </w:r>
    </w:p>
    <w:p w14:paraId="73D3949D" w14:textId="7999AD13"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11.</w:t>
      </w:r>
      <w:r w:rsidR="00322FD5">
        <w:rPr>
          <w:rFonts w:ascii="仿宋" w:eastAsia="仿宋" w:hAnsi="仿宋"/>
          <w:color w:val="000000"/>
          <w:sz w:val="28"/>
          <w:szCs w:val="28"/>
        </w:rPr>
        <w:t>6</w:t>
      </w:r>
      <w:r>
        <w:rPr>
          <w:rFonts w:ascii="仿宋" w:eastAsia="仿宋" w:hAnsi="仿宋"/>
          <w:color w:val="000000"/>
          <w:sz w:val="28"/>
          <w:szCs w:val="28"/>
        </w:rPr>
        <w:t>不列入集合计划费用的项目</w:t>
      </w:r>
      <w:r>
        <w:rPr>
          <w:rFonts w:ascii="仿宋" w:eastAsia="仿宋" w:hAnsi="仿宋" w:hint="eastAsia"/>
          <w:color w:val="000000"/>
          <w:sz w:val="28"/>
          <w:szCs w:val="28"/>
        </w:rPr>
        <w:t>：</w:t>
      </w:r>
    </w:p>
    <w:p w14:paraId="16F94F7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管理人与集合计划托管人因未履行或未完全履行义务导致的费用支出或集合计划财产的损失，以及处理与集合计划运作无关的事项发生的费用等不列入集合计划费用。其他根据相关法律法规及中国证监会的有关规定不得列入集合计划费用的项目也不列入集合计划费用。</w:t>
      </w:r>
    </w:p>
    <w:p w14:paraId="75692DA9" w14:textId="17919EA0"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11.</w:t>
      </w:r>
      <w:r w:rsidR="00322FD5">
        <w:rPr>
          <w:rFonts w:ascii="仿宋" w:eastAsia="仿宋" w:hAnsi="仿宋"/>
          <w:color w:val="000000"/>
          <w:sz w:val="28"/>
          <w:szCs w:val="28"/>
        </w:rPr>
        <w:t>7</w:t>
      </w:r>
      <w:r>
        <w:rPr>
          <w:rFonts w:ascii="仿宋" w:eastAsia="仿宋" w:hAnsi="仿宋" w:hint="eastAsia"/>
          <w:color w:val="000000"/>
          <w:sz w:val="28"/>
          <w:szCs w:val="28"/>
        </w:rPr>
        <w:t>如果集合计划托管人发现集合计划管理人违反有关法律法规的有关规定和资产管理合同、本协议的约定，从集合计划财产中列支费用，有权要求集合计划管理人做出书面解释，如果集合计划托管人认为集合计划管理人无正当或合理的理由，可以拒绝支付。</w:t>
      </w:r>
    </w:p>
    <w:p w14:paraId="5F09B284" w14:textId="77777777" w:rsidR="00F45A57" w:rsidRDefault="00F45A57">
      <w:pPr>
        <w:pStyle w:val="21"/>
        <w:rPr>
          <w:rFonts w:ascii="仿宋" w:eastAsia="仿宋" w:hAnsi="仿宋"/>
          <w:color w:val="000000"/>
          <w:sz w:val="28"/>
          <w:szCs w:val="28"/>
        </w:rPr>
      </w:pPr>
    </w:p>
    <w:p w14:paraId="12125131" w14:textId="77777777" w:rsidR="00F45A57" w:rsidRDefault="00F45A57">
      <w:pPr>
        <w:pStyle w:val="1"/>
        <w:rPr>
          <w:rFonts w:ascii="仿宋" w:eastAsia="仿宋" w:hAnsi="仿宋"/>
          <w:bCs/>
          <w:sz w:val="28"/>
          <w:szCs w:val="28"/>
        </w:rPr>
        <w:sectPr w:rsidR="00F45A57">
          <w:footerReference w:type="default" r:id="rId33"/>
          <w:footerReference w:type="first" r:id="rId34"/>
          <w:pgSz w:w="11907" w:h="16840"/>
          <w:pgMar w:top="1361" w:right="1452" w:bottom="1134" w:left="1452" w:header="720" w:footer="720" w:gutter="0"/>
          <w:cols w:space="720"/>
          <w:docGrid w:linePitch="286"/>
        </w:sectPr>
      </w:pPr>
      <w:bookmarkStart w:id="45" w:name="_Toc296551348"/>
    </w:p>
    <w:p w14:paraId="63C1731B" w14:textId="77777777" w:rsidR="00F45A57" w:rsidRDefault="00815DA3">
      <w:pPr>
        <w:pStyle w:val="1"/>
        <w:rPr>
          <w:rFonts w:ascii="仿宋" w:eastAsia="仿宋" w:hAnsi="仿宋"/>
          <w:bCs/>
          <w:sz w:val="28"/>
          <w:szCs w:val="28"/>
        </w:rPr>
      </w:pPr>
      <w:bookmarkStart w:id="46" w:name="_Toc45279153"/>
      <w:r>
        <w:rPr>
          <w:rFonts w:ascii="仿宋" w:eastAsia="仿宋" w:hAnsi="仿宋" w:hint="eastAsia"/>
          <w:bCs/>
          <w:sz w:val="28"/>
          <w:szCs w:val="28"/>
        </w:rPr>
        <w:lastRenderedPageBreak/>
        <w:t>第十二条 集合计划份额持有人名册的保管</w:t>
      </w:r>
      <w:bookmarkEnd w:id="45"/>
      <w:bookmarkEnd w:id="46"/>
    </w:p>
    <w:p w14:paraId="0F69B66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12.1集合计划管理人和集合计划托管人须分别妥善保管的集合计划份额持有人名册，集合计划份额持有人名册的内容必须包括集合计划份额持有人的名称和持有的集合计划份额。</w:t>
      </w:r>
    </w:p>
    <w:p w14:paraId="6586DD2A" w14:textId="5EEFCF91"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12.2集合计划份额持有人名册由集合计划的集合计划登记机构根据集合计划管理人的指令编制和保管，集合计划管理人和集合计划托管人应按照目前相关规则分别保管集合计划份额持有人名册。保管方式可以采用电子或文档的形式。保管期限不少于15年</w:t>
      </w:r>
      <w:r w:rsidR="00313D3F" w:rsidRPr="00313D3F">
        <w:rPr>
          <w:rFonts w:ascii="仿宋" w:eastAsia="仿宋" w:hAnsi="仿宋" w:hint="eastAsia"/>
          <w:color w:val="000000"/>
          <w:sz w:val="28"/>
          <w:szCs w:val="28"/>
        </w:rPr>
        <w:t>，法律法规另有规定的从其规定</w:t>
      </w:r>
      <w:r>
        <w:rPr>
          <w:rFonts w:ascii="仿宋" w:eastAsia="仿宋" w:hAnsi="仿宋" w:hint="eastAsia"/>
          <w:color w:val="000000"/>
          <w:sz w:val="28"/>
          <w:szCs w:val="28"/>
        </w:rPr>
        <w:t>。</w:t>
      </w:r>
    </w:p>
    <w:p w14:paraId="01DF6F00" w14:textId="316AF2F8"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12.3集合计划管理人应当及时向集合计划托管人定期或不定期提交集合计划份额持有人名册。集合计划份额持有人名册的内容必须包括集合计划份额持有人的名称和持有的集合计划份额。集合计划托管人可以采用电子或文档的形式妥善保管集合计划份额持有人名册，保存期限不少于15年</w:t>
      </w:r>
      <w:r w:rsidR="00313D3F" w:rsidRPr="00313D3F">
        <w:rPr>
          <w:rFonts w:ascii="仿宋" w:eastAsia="仿宋" w:hAnsi="仿宋" w:hint="eastAsia"/>
          <w:color w:val="000000"/>
          <w:sz w:val="28"/>
          <w:szCs w:val="28"/>
        </w:rPr>
        <w:t>，法律法规另有规定的从其规定</w:t>
      </w:r>
      <w:r>
        <w:rPr>
          <w:rFonts w:ascii="仿宋" w:eastAsia="仿宋" w:hAnsi="仿宋" w:hint="eastAsia"/>
          <w:color w:val="000000"/>
          <w:sz w:val="28"/>
          <w:szCs w:val="28"/>
        </w:rPr>
        <w:t>。集合计划托管人不得将所保管的集合计划份额持有人名册用于集合计划托管业务以外的其他用途，并应遵守保密义务。</w:t>
      </w:r>
    </w:p>
    <w:p w14:paraId="73B2053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12.4若集合计划管理人或集合计划托管人由于自身原因无法妥善保管集合计划份额持有人名册，应按有关法规规定各自承担相应的责任。</w:t>
      </w:r>
    </w:p>
    <w:p w14:paraId="0F7E6A32" w14:textId="77777777" w:rsidR="00F45A57" w:rsidRDefault="00F45A57">
      <w:pPr>
        <w:pStyle w:val="21"/>
        <w:rPr>
          <w:rFonts w:ascii="仿宋" w:eastAsia="仿宋" w:hAnsi="仿宋"/>
          <w:color w:val="000000"/>
          <w:sz w:val="28"/>
          <w:szCs w:val="28"/>
        </w:rPr>
      </w:pPr>
    </w:p>
    <w:p w14:paraId="7FBCC385" w14:textId="77777777" w:rsidR="00F45A57" w:rsidRDefault="00F45A57">
      <w:pPr>
        <w:pStyle w:val="1"/>
        <w:rPr>
          <w:rFonts w:ascii="仿宋" w:eastAsia="仿宋" w:hAnsi="仿宋"/>
          <w:bCs/>
          <w:sz w:val="28"/>
          <w:szCs w:val="28"/>
        </w:rPr>
        <w:sectPr w:rsidR="00F45A57">
          <w:footerReference w:type="default" r:id="rId35"/>
          <w:pgSz w:w="11907" w:h="16840"/>
          <w:pgMar w:top="1361" w:right="1452" w:bottom="1134" w:left="1452" w:header="720" w:footer="720" w:gutter="0"/>
          <w:cols w:space="720"/>
          <w:docGrid w:linePitch="286"/>
        </w:sectPr>
      </w:pPr>
      <w:bookmarkStart w:id="47" w:name="_Toc296551349"/>
    </w:p>
    <w:p w14:paraId="07A5D0D6" w14:textId="77777777" w:rsidR="00F45A57" w:rsidRDefault="00815DA3">
      <w:pPr>
        <w:pStyle w:val="1"/>
        <w:rPr>
          <w:rFonts w:ascii="仿宋" w:eastAsia="仿宋" w:hAnsi="仿宋"/>
          <w:bCs/>
          <w:sz w:val="28"/>
          <w:szCs w:val="28"/>
        </w:rPr>
      </w:pPr>
      <w:bookmarkStart w:id="48" w:name="_Toc45279154"/>
      <w:r>
        <w:rPr>
          <w:rFonts w:ascii="仿宋" w:eastAsia="仿宋" w:hAnsi="仿宋" w:hint="eastAsia"/>
          <w:bCs/>
          <w:sz w:val="28"/>
          <w:szCs w:val="28"/>
        </w:rPr>
        <w:lastRenderedPageBreak/>
        <w:t>第十三条 集合计划有关文件和档案的保存</w:t>
      </w:r>
      <w:bookmarkEnd w:id="47"/>
      <w:bookmarkEnd w:id="48"/>
    </w:p>
    <w:p w14:paraId="7F495D9B" w14:textId="7E36183A"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13.1集合计划管理人、集合计划托管人按各自职责完整保存原始凭证、记账凭证、集合计划账册、交易记录和重要合同等，保存期限不少于15年</w:t>
      </w:r>
      <w:r w:rsidR="00313D3F" w:rsidRPr="00313D3F">
        <w:rPr>
          <w:rFonts w:ascii="仿宋" w:eastAsia="仿宋" w:hAnsi="仿宋" w:hint="eastAsia"/>
          <w:color w:val="000000"/>
          <w:sz w:val="28"/>
          <w:szCs w:val="28"/>
        </w:rPr>
        <w:t>，法律法规另有规定的从其规定</w:t>
      </w:r>
      <w:r>
        <w:rPr>
          <w:rFonts w:ascii="仿宋" w:eastAsia="仿宋" w:hAnsi="仿宋" w:hint="eastAsia"/>
          <w:color w:val="000000"/>
          <w:sz w:val="28"/>
          <w:szCs w:val="28"/>
        </w:rPr>
        <w:t>，对相关信息负有保密义务，但司法强制检查情形及法律法规规定的其它情形除外。其中，集合计划管理人应保存集合计划财产管理业务活动的记录、账册、报表和其他相关资料，集合计划托管人应保存集合计划托管业务活动的记录、账册、报表和其他相关资料。</w:t>
      </w:r>
    </w:p>
    <w:p w14:paraId="3C99088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13.2集合计划管理人应及时将与本集合计划账务处理、资金划拨等有关的合同、协议传真给集合计划托管人。</w:t>
      </w:r>
    </w:p>
    <w:p w14:paraId="55E921B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13.3集合计划管理人或集合计划托管人变更后，未变更的一方有义务协助接任人接受集合计划的有关文件。</w:t>
      </w:r>
    </w:p>
    <w:p w14:paraId="6BC07C25" w14:textId="77777777" w:rsidR="00F45A57" w:rsidRDefault="00F45A57">
      <w:pPr>
        <w:pStyle w:val="21"/>
        <w:rPr>
          <w:rFonts w:ascii="仿宋" w:eastAsia="仿宋" w:hAnsi="仿宋"/>
          <w:color w:val="000000"/>
          <w:sz w:val="28"/>
          <w:szCs w:val="28"/>
        </w:rPr>
      </w:pPr>
    </w:p>
    <w:p w14:paraId="52677686" w14:textId="77777777" w:rsidR="00F45A57" w:rsidRDefault="00F45A57">
      <w:pPr>
        <w:pStyle w:val="1"/>
        <w:rPr>
          <w:rFonts w:ascii="仿宋" w:eastAsia="仿宋" w:hAnsi="仿宋"/>
          <w:bCs/>
          <w:sz w:val="28"/>
          <w:szCs w:val="28"/>
        </w:rPr>
        <w:sectPr w:rsidR="00F45A57">
          <w:footerReference w:type="default" r:id="rId36"/>
          <w:footerReference w:type="first" r:id="rId37"/>
          <w:pgSz w:w="11907" w:h="16840"/>
          <w:pgMar w:top="1361" w:right="1452" w:bottom="1134" w:left="1452" w:header="720" w:footer="720" w:gutter="0"/>
          <w:cols w:space="720"/>
          <w:docGrid w:linePitch="286"/>
        </w:sectPr>
      </w:pPr>
      <w:bookmarkStart w:id="49" w:name="_Toc296551350"/>
    </w:p>
    <w:p w14:paraId="663ADFD9" w14:textId="77777777" w:rsidR="00F45A57" w:rsidRDefault="00815DA3">
      <w:pPr>
        <w:pStyle w:val="1"/>
        <w:rPr>
          <w:rFonts w:ascii="仿宋" w:eastAsia="仿宋" w:hAnsi="仿宋"/>
          <w:bCs/>
          <w:sz w:val="28"/>
          <w:szCs w:val="28"/>
        </w:rPr>
      </w:pPr>
      <w:bookmarkStart w:id="50" w:name="_Toc45279155"/>
      <w:r>
        <w:rPr>
          <w:rFonts w:ascii="仿宋" w:eastAsia="仿宋" w:hAnsi="仿宋" w:hint="eastAsia"/>
          <w:bCs/>
          <w:sz w:val="28"/>
          <w:szCs w:val="28"/>
        </w:rPr>
        <w:lastRenderedPageBreak/>
        <w:t>第十四条 集合计划管理人和集合计划托管人的更换</w:t>
      </w:r>
      <w:bookmarkEnd w:id="49"/>
      <w:bookmarkEnd w:id="50"/>
    </w:p>
    <w:p w14:paraId="7BAA7A9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14.1集合计划管理人的更换</w:t>
      </w:r>
    </w:p>
    <w:p w14:paraId="562F0A1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14.1.1集合计划管理人的更换条件</w:t>
      </w:r>
    </w:p>
    <w:p w14:paraId="65A2F69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有下列情形之一的，集合计划管理人职责终止：</w:t>
      </w:r>
    </w:p>
    <w:p w14:paraId="37DAB75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（1）集合计划管理人被依法取消集合计划管理资格；</w:t>
      </w:r>
    </w:p>
    <w:p w14:paraId="5CB8CFE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（2）集合计划管理人依法解散、被依法撤销或者被依法宣告破产；</w:t>
      </w:r>
    </w:p>
    <w:p w14:paraId="390C094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（3）集合计划管理人被集合计划份额持有人大会解任；</w:t>
      </w:r>
    </w:p>
    <w:p w14:paraId="1DCD1CD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（4）法律法规及中国证监会规定的和《资产管理合同》约定的其他情形。</w:t>
      </w:r>
    </w:p>
    <w:p w14:paraId="60D876D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14.1.2集合计划管理人的更换程序</w:t>
      </w:r>
    </w:p>
    <w:p w14:paraId="6B52FC6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更换集合计划管理人必须依照如下程序进行：</w:t>
      </w:r>
    </w:p>
    <w:p w14:paraId="69AACCE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（1）提名：新任集合计划管理人由集合计划托管人或由单独或合计持有10%以上（含10%）集合计划份额的集合计划份额持有人提名；</w:t>
      </w:r>
    </w:p>
    <w:p w14:paraId="58834B3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决议：集合计划份额持有人大会在集合计划管理人职责终止后6个月内对被提名的集合计划管理人形成决议，该决议需经参加大会的集合计划份额持有人所持表决权的三分之二以上（含三分之二）表决通过，决议自表决通过之日起生效；集合计划管理人更换为本集合计划管理人独资或控股设立的子公司，无需召开集合计划份额持有人大会审议；</w:t>
      </w:r>
    </w:p>
    <w:p w14:paraId="3FE9C85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（3）临时集合计划管理人：新任集合计划管理人产生之前，由中国证监会指定临时集合计划管理人；</w:t>
      </w:r>
    </w:p>
    <w:p w14:paraId="06B7640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（4）备案：集合计划份额持有人大会更换集合计划管理人的决议须报中国证监会备案；</w:t>
      </w:r>
    </w:p>
    <w:p w14:paraId="44856A1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（5）公告：集合计划管理人更换后，由集合计划托管人在更换集合计划管理人的集合计划份额持有人大会决议生效后依照《信息披露办法》的有关规定在规定媒介公告；</w:t>
      </w:r>
    </w:p>
    <w:p w14:paraId="4D44A0E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交接：集合计划管理人职责终止的，集合计划管理人应妥善保管集合计划管理业务资料，及时向临时集合计划管理人或新任集合计划管理人办理集合计划管理业务的移交手续，临时集合计划管理人或新任集合计划管理人应及时接收。临时集合计划管理人或新任集合计划管理人应与集合计划托管人核对集合计划资产总值和净值；</w:t>
      </w:r>
    </w:p>
    <w:p w14:paraId="5CDD3A2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（7）审计：集合计划管理人职责终止的，应当按照法律法规规定聘请会计师事务所对集合计划财产进行审计，并将审计结果予以公告，同时报中国证监会备案，审计费用在集合计划财产中列支；</w:t>
      </w:r>
    </w:p>
    <w:p w14:paraId="2E0D80A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（8）集合计划名称变更：集合计划管理人更换后，如果原任或新任集合计划管理人要求，应按其要求替换或删除集合计划名称中与原集合</w:t>
      </w:r>
      <w:r>
        <w:rPr>
          <w:rFonts w:ascii="仿宋" w:eastAsia="仿宋" w:hAnsi="仿宋" w:hint="eastAsia"/>
          <w:color w:val="000000"/>
          <w:sz w:val="28"/>
          <w:szCs w:val="28"/>
        </w:rPr>
        <w:lastRenderedPageBreak/>
        <w:t>计划管理人有关的名称字样</w:t>
      </w:r>
      <w:r>
        <w:rPr>
          <w:rFonts w:ascii="仿宋" w:eastAsia="仿宋" w:hAnsi="仿宋"/>
          <w:color w:val="000000"/>
          <w:sz w:val="28"/>
          <w:szCs w:val="28"/>
        </w:rPr>
        <w:t>。</w:t>
      </w:r>
    </w:p>
    <w:p w14:paraId="570E4CC1" w14:textId="77777777" w:rsidR="00F45A57" w:rsidRDefault="00815DA3">
      <w:pPr>
        <w:pStyle w:val="21"/>
        <w:rPr>
          <w:rFonts w:ascii="仿宋" w:eastAsia="仿宋" w:hAnsi="仿宋"/>
          <w:color w:val="000000"/>
          <w:sz w:val="28"/>
          <w:szCs w:val="28"/>
        </w:rPr>
      </w:pPr>
      <w:bookmarkStart w:id="51" w:name="_Toc22005975"/>
      <w:r>
        <w:rPr>
          <w:rFonts w:ascii="仿宋" w:eastAsia="仿宋" w:hAnsi="仿宋" w:hint="eastAsia"/>
          <w:color w:val="000000"/>
          <w:sz w:val="28"/>
          <w:szCs w:val="28"/>
        </w:rPr>
        <w:t>14.2集合计划托管人的更换</w:t>
      </w:r>
    </w:p>
    <w:p w14:paraId="5AA3752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14.2.1集合计划托管人的更换条件：</w:t>
      </w:r>
    </w:p>
    <w:p w14:paraId="4BD17E3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有下列情形之一的，集合计划托管人职责终止：</w:t>
      </w:r>
    </w:p>
    <w:p w14:paraId="3EE37D7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（1）集合计划托管人被依法取消基金托管资格；</w:t>
      </w:r>
    </w:p>
    <w:p w14:paraId="3850F94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（2）集合计划托管人依法解散、被依法撤销或者被依法宣布破产；</w:t>
      </w:r>
    </w:p>
    <w:p w14:paraId="1577D15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（3）集合计划托管人被集合计划份额持有人大会解任；</w:t>
      </w:r>
    </w:p>
    <w:p w14:paraId="30A7BBF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（4）法律法规及中国证监会规定的和《资产管理合同》约定的其他情形。</w:t>
      </w:r>
    </w:p>
    <w:p w14:paraId="2DE2009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14.2.2集合计划托管人的更换程序</w:t>
      </w:r>
      <w:bookmarkEnd w:id="51"/>
    </w:p>
    <w:p w14:paraId="523E6EB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（1）提名：新任集合计划托管人由集合计划管理人或由单独或合计持有10%以上（含10%）集合计划份额的集合计划份额持有人提名；</w:t>
      </w:r>
    </w:p>
    <w:p w14:paraId="402B0B1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决议：集合计划份额持有人大会在集合计划托管人职责终止后6个月内对被提名的集合计划托管人形成决议，该决议需经参加大会的集合计划份额持有人所持表决权的三分之二以上（含三分之二）表决通过，决议自表决通过之日起生效；</w:t>
      </w:r>
    </w:p>
    <w:p w14:paraId="4E56828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（3）临时集合计划托管人：新任集合计划托管人产生之前，由中国证监会指定临时集合计划托管人；</w:t>
      </w:r>
    </w:p>
    <w:p w14:paraId="67DA157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（4）备案：集合计划份额持有人大会更换集合计划托管人的决议须报中国证监会备案；</w:t>
      </w:r>
    </w:p>
    <w:p w14:paraId="347728D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（5）公告：集合计划托管人更换后，由集合计划管理人在更换集合计划托管人的集合计划份额持有人大会决议生效后依照《信息披露办法》的有关规定在规定媒介公告；</w:t>
      </w:r>
    </w:p>
    <w:p w14:paraId="5A667E1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交接：集合计划托管人职责终止的，应当妥善保管集合计划财产和集合计划托管业务资料，及时办理集合计划财产和集合计划托管业务的移交手续，新任集合计划托管人或者临时集合计划托管人应当及时接收。新任集合计划托管人或者临时集合计划托管人与集合计划管理人核对集合计划资产总值和净值；</w:t>
      </w:r>
    </w:p>
    <w:p w14:paraId="28FF5AB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（7）审计：集合计划托管人职责终止的，应当按照法律法规规定聘请会计师事务所对集合计划财产进行审计，并将审计结果予以公告，同时报中国证监会备案，审计费用在集合计划财产中列支。</w:t>
      </w:r>
    </w:p>
    <w:p w14:paraId="6747368E" w14:textId="77777777" w:rsidR="00F45A57" w:rsidRDefault="00815DA3">
      <w:pPr>
        <w:pStyle w:val="21"/>
        <w:rPr>
          <w:rFonts w:ascii="仿宋" w:eastAsia="仿宋" w:hAnsi="仿宋"/>
          <w:color w:val="000000"/>
          <w:sz w:val="28"/>
          <w:szCs w:val="28"/>
        </w:rPr>
      </w:pPr>
      <w:bookmarkStart w:id="52" w:name="_Toc1357"/>
      <w:r>
        <w:rPr>
          <w:rFonts w:ascii="仿宋" w:eastAsia="仿宋" w:hAnsi="仿宋"/>
          <w:color w:val="000000"/>
          <w:sz w:val="28"/>
          <w:szCs w:val="28"/>
        </w:rPr>
        <w:t>14.3集合计划管理人与集合计划托管人同时更换</w:t>
      </w:r>
      <w:bookmarkEnd w:id="52"/>
    </w:p>
    <w:p w14:paraId="3204C1E6" w14:textId="77777777" w:rsidR="00F45A57" w:rsidRDefault="00815DA3">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提名：如果集合计划管理人和集合计划托管人同时更换，由单独或合计持有集合计划总份额10%以上（含10%）的集合计划份额持有人提名新的集合计划管理人和集合计划托管人</w:t>
      </w:r>
      <w:r>
        <w:rPr>
          <w:rFonts w:ascii="仿宋" w:eastAsia="仿宋" w:hAnsi="仿宋"/>
          <w:color w:val="000000"/>
          <w:sz w:val="28"/>
          <w:szCs w:val="28"/>
        </w:rPr>
        <w:t>；</w:t>
      </w:r>
    </w:p>
    <w:p w14:paraId="7B8F6600" w14:textId="77777777" w:rsidR="00F45A57" w:rsidRDefault="00815DA3">
      <w:pPr>
        <w:pStyle w:val="21"/>
        <w:rPr>
          <w:rFonts w:ascii="仿宋" w:eastAsia="仿宋" w:hAnsi="仿宋"/>
          <w:color w:val="000000"/>
          <w:sz w:val="28"/>
          <w:szCs w:val="28"/>
        </w:rPr>
      </w:pPr>
      <w:r>
        <w:rPr>
          <w:rFonts w:ascii="仿宋" w:eastAsia="仿宋" w:hAnsi="仿宋"/>
          <w:color w:val="000000"/>
          <w:sz w:val="28"/>
          <w:szCs w:val="28"/>
        </w:rPr>
        <w:t>14.3.2</w:t>
      </w:r>
      <w:r>
        <w:rPr>
          <w:rFonts w:ascii="仿宋" w:eastAsia="仿宋" w:hAnsi="仿宋" w:hint="eastAsia"/>
          <w:color w:val="000000"/>
          <w:sz w:val="28"/>
          <w:szCs w:val="28"/>
        </w:rPr>
        <w:t>集合计划管理人和集合计划托管人的更换分别按上述程序进行</w:t>
      </w:r>
      <w:r>
        <w:rPr>
          <w:rFonts w:ascii="仿宋" w:eastAsia="仿宋" w:hAnsi="仿宋"/>
          <w:color w:val="000000"/>
          <w:sz w:val="28"/>
          <w:szCs w:val="28"/>
        </w:rPr>
        <w:t>；</w:t>
      </w:r>
    </w:p>
    <w:p w14:paraId="4748F8D9" w14:textId="77777777" w:rsidR="00F45A57" w:rsidRDefault="00815DA3">
      <w:pPr>
        <w:pStyle w:val="21"/>
        <w:rPr>
          <w:rFonts w:ascii="仿宋" w:eastAsia="仿宋" w:hAnsi="仿宋"/>
          <w:color w:val="000000"/>
          <w:sz w:val="28"/>
          <w:szCs w:val="28"/>
        </w:rPr>
      </w:pPr>
      <w:r>
        <w:rPr>
          <w:rFonts w:ascii="仿宋" w:eastAsia="仿宋" w:hAnsi="仿宋"/>
          <w:color w:val="000000"/>
          <w:sz w:val="28"/>
          <w:szCs w:val="28"/>
        </w:rPr>
        <w:lastRenderedPageBreak/>
        <w:t>14.3.3</w:t>
      </w:r>
      <w:r>
        <w:rPr>
          <w:rFonts w:ascii="仿宋" w:eastAsia="仿宋" w:hAnsi="仿宋" w:hint="eastAsia"/>
          <w:color w:val="000000"/>
          <w:sz w:val="28"/>
          <w:szCs w:val="28"/>
        </w:rPr>
        <w:t>公告：新任集合计划管理人和新任集合计划托管人应在更换集合计划管理人和集合计划托管人的集合计划份额持有人大会决议生效后依照《信息披露办法》的有关规定在规定媒介上联合公告</w:t>
      </w:r>
      <w:r>
        <w:rPr>
          <w:rFonts w:ascii="仿宋" w:eastAsia="仿宋" w:hAnsi="仿宋"/>
          <w:color w:val="000000"/>
          <w:sz w:val="28"/>
          <w:szCs w:val="28"/>
        </w:rPr>
        <w:t>。</w:t>
      </w:r>
    </w:p>
    <w:p w14:paraId="557F779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集合计划管理人接受集合计划管理或新任或临时集合计划托管人接受集合计划财产和集合计划托管业务前，原集合计划管理人或集合计划托管人应依据法律法规和《资产管理合同》的规定继续履行相关职责，并保证不对集合计划份额持有人的利益造成损害。原集合计划管理人或集合计划托管人在继续履行相关职责期间，仍有权按照资产管理合同的规定收取集合计划管理费或集合计划托管费</w:t>
      </w:r>
      <w:r>
        <w:rPr>
          <w:rFonts w:ascii="仿宋" w:eastAsia="仿宋" w:hAnsi="仿宋"/>
          <w:color w:val="000000"/>
          <w:sz w:val="28"/>
          <w:szCs w:val="28"/>
        </w:rPr>
        <w:t>。</w:t>
      </w:r>
    </w:p>
    <w:p w14:paraId="161AF49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集合计划管理人、集合计划托管人更换条件和程序的约定，凡是直接引用法律法规或监管规则的部分，如将来法律法规或监管规则修改导致相关内容被取消或变更的，集合计划管理人与集合计划托管人协商一致并提前公告后，可直接对相应内容进行修改和调整，无需召开集合计划份额持有人大会审议。</w:t>
      </w:r>
    </w:p>
    <w:p w14:paraId="2326AC9C" w14:textId="77777777" w:rsidR="00F45A57" w:rsidRDefault="00F45A57">
      <w:pPr>
        <w:pStyle w:val="21"/>
        <w:rPr>
          <w:rFonts w:ascii="仿宋" w:eastAsia="仿宋" w:hAnsi="仿宋"/>
          <w:color w:val="000000"/>
          <w:sz w:val="28"/>
          <w:szCs w:val="28"/>
        </w:rPr>
      </w:pPr>
    </w:p>
    <w:p w14:paraId="1DB8AF65" w14:textId="77777777" w:rsidR="00F45A57" w:rsidRDefault="00F45A57">
      <w:pPr>
        <w:pStyle w:val="21"/>
        <w:rPr>
          <w:rFonts w:ascii="仿宋" w:eastAsia="仿宋" w:hAnsi="仿宋"/>
          <w:color w:val="000000"/>
          <w:sz w:val="28"/>
          <w:szCs w:val="28"/>
        </w:rPr>
      </w:pPr>
    </w:p>
    <w:p w14:paraId="512D7D8C" w14:textId="77777777" w:rsidR="00F45A57" w:rsidRDefault="00F45A57">
      <w:pPr>
        <w:pStyle w:val="1"/>
        <w:rPr>
          <w:rFonts w:ascii="仿宋" w:eastAsia="仿宋" w:hAnsi="仿宋"/>
          <w:bCs/>
          <w:sz w:val="28"/>
          <w:szCs w:val="28"/>
        </w:rPr>
        <w:sectPr w:rsidR="00F45A57">
          <w:footerReference w:type="default" r:id="rId38"/>
          <w:pgSz w:w="11907" w:h="16840"/>
          <w:pgMar w:top="1361" w:right="1452" w:bottom="1134" w:left="1452" w:header="720" w:footer="720" w:gutter="0"/>
          <w:cols w:space="720"/>
          <w:docGrid w:linePitch="286"/>
        </w:sectPr>
      </w:pPr>
      <w:bookmarkStart w:id="53" w:name="_Toc296551351"/>
    </w:p>
    <w:p w14:paraId="5936451D" w14:textId="77777777" w:rsidR="00F45A57" w:rsidRDefault="00815DA3">
      <w:pPr>
        <w:pStyle w:val="1"/>
        <w:rPr>
          <w:rFonts w:ascii="仿宋" w:eastAsia="仿宋" w:hAnsi="仿宋"/>
          <w:bCs/>
          <w:sz w:val="28"/>
          <w:szCs w:val="28"/>
        </w:rPr>
      </w:pPr>
      <w:bookmarkStart w:id="54" w:name="_Toc45279156"/>
      <w:r>
        <w:rPr>
          <w:rFonts w:ascii="仿宋" w:eastAsia="仿宋" w:hAnsi="仿宋" w:hint="eastAsia"/>
          <w:bCs/>
          <w:sz w:val="28"/>
          <w:szCs w:val="28"/>
        </w:rPr>
        <w:lastRenderedPageBreak/>
        <w:t>第十五条 禁止行为</w:t>
      </w:r>
      <w:bookmarkEnd w:id="53"/>
      <w:bookmarkEnd w:id="54"/>
    </w:p>
    <w:p w14:paraId="120660E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19C0189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15.1.1集合计划管理人、集合计划托管人将其固有财产或者他人财产混同于集合计划财产从事证券投资。</w:t>
      </w:r>
    </w:p>
    <w:p w14:paraId="797C4C2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15.1.2集合计划管理人不公平地对待其管理的不同集合计划财产，集合计划托管人不公平地对待其托管的不同集合计划财产。</w:t>
      </w:r>
    </w:p>
    <w:p w14:paraId="3082FC5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15.1.3集合计划管理人、集合计划托管人利用集合计划财产为集合计划份额持有人以外的第三人牟取利益。</w:t>
      </w:r>
    </w:p>
    <w:p w14:paraId="2C18679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15.1.4集合计划管理人、集合计划托管人向集合计划份额持有人违规承诺收益或者承担损失。</w:t>
      </w:r>
    </w:p>
    <w:p w14:paraId="3F4B8DC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15.1.5集合计划管理人、集合计划托管人对他人泄露集合计划运作和管理过程中任何尚未按法律法规规定的方式公开披露的信息。</w:t>
      </w:r>
    </w:p>
    <w:p w14:paraId="508A2D4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15.1.6集合计划管理人在没有充足资金的情况下向集合计划托管人发出投资指令和赎回、分红资金的划拨指令，或违规向集合计划托管人发出指令。</w:t>
      </w:r>
    </w:p>
    <w:p w14:paraId="5FF7186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15.1.7集合计划管理人、集合计划托管人在行政上、财务上不独立，其高级管理人员和其他从业人员相互兼职。</w:t>
      </w:r>
    </w:p>
    <w:p w14:paraId="256F7EE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15.1.8集合计划托管人私自动用或处分集合计划财产，根据集合计划管理人的合法指令、资产管理合同或托管协议的规定进行处分的除外。</w:t>
      </w:r>
    </w:p>
    <w:p w14:paraId="416373AD"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15.1.9集合计划财产用于下列投资或者活动：</w:t>
      </w:r>
    </w:p>
    <w:p w14:paraId="1F5989F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490DB11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2D4F0D8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4CC6D5E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0308BAF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（5）向其集合计划管理人、集合计划托管人出资；</w:t>
      </w:r>
    </w:p>
    <w:p w14:paraId="00F84FA0"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511356B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6DF26DA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15.1.10法律法规和资产管理合同禁止的其他行为，以及依照法律、行政法规有关规定，由中国证监会规定禁止集合计划管理人、集合计划托管人从事的其他行为。</w:t>
      </w:r>
    </w:p>
    <w:p w14:paraId="0866BD0D" w14:textId="77777777" w:rsidR="00F45A57" w:rsidRDefault="00F45A57">
      <w:pPr>
        <w:pStyle w:val="21"/>
        <w:rPr>
          <w:rFonts w:ascii="仿宋" w:eastAsia="仿宋" w:hAnsi="仿宋"/>
          <w:color w:val="000000"/>
          <w:sz w:val="28"/>
          <w:szCs w:val="28"/>
        </w:rPr>
      </w:pPr>
    </w:p>
    <w:p w14:paraId="686F538B" w14:textId="77777777" w:rsidR="00F45A57" w:rsidRDefault="00F45A57">
      <w:pPr>
        <w:pStyle w:val="1"/>
        <w:rPr>
          <w:rFonts w:ascii="仿宋" w:eastAsia="仿宋" w:hAnsi="仿宋"/>
          <w:bCs/>
          <w:sz w:val="28"/>
          <w:szCs w:val="28"/>
        </w:rPr>
        <w:sectPr w:rsidR="00F45A57">
          <w:footerReference w:type="default" r:id="rId39"/>
          <w:footerReference w:type="first" r:id="rId40"/>
          <w:pgSz w:w="11907" w:h="16840"/>
          <w:pgMar w:top="1361" w:right="1452" w:bottom="1134" w:left="1452" w:header="720" w:footer="720" w:gutter="0"/>
          <w:cols w:space="720"/>
          <w:docGrid w:linePitch="286"/>
        </w:sectPr>
      </w:pPr>
      <w:bookmarkStart w:id="55" w:name="_Toc296551352"/>
    </w:p>
    <w:p w14:paraId="11E4E1B4" w14:textId="77777777" w:rsidR="00F45A57" w:rsidRDefault="00815DA3">
      <w:pPr>
        <w:pStyle w:val="1"/>
        <w:rPr>
          <w:rFonts w:ascii="仿宋" w:eastAsia="仿宋" w:hAnsi="仿宋"/>
          <w:bCs/>
          <w:sz w:val="28"/>
          <w:szCs w:val="28"/>
        </w:rPr>
      </w:pPr>
      <w:bookmarkStart w:id="56" w:name="_Toc45279157"/>
      <w:r>
        <w:rPr>
          <w:rFonts w:ascii="仿宋" w:eastAsia="仿宋" w:hAnsi="仿宋" w:hint="eastAsia"/>
          <w:bCs/>
          <w:sz w:val="28"/>
          <w:szCs w:val="28"/>
        </w:rPr>
        <w:lastRenderedPageBreak/>
        <w:t>第十六条 集合计划托管协议的变更、终止与集合计划财产的清算</w:t>
      </w:r>
      <w:bookmarkEnd w:id="55"/>
      <w:bookmarkEnd w:id="56"/>
    </w:p>
    <w:p w14:paraId="14B3609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408CCB5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746247B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本协议双方当事人经协商一致，可以对协议的内容进行变更。变更后的托管协议，其内容不得与资产管理合同的规定有任何冲突。本协议的变更应报中国证监会备案。</w:t>
      </w:r>
    </w:p>
    <w:p w14:paraId="7966E3C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16.1.2集合计划托管协议终止的情形</w:t>
      </w:r>
    </w:p>
    <w:p w14:paraId="7B3DBD2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0A8F973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（1）资产管理合同终止；</w:t>
      </w:r>
    </w:p>
    <w:p w14:paraId="41A88BB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（2）集合计划托管人解散、依法被撤销、破产或由其他集合计划托管人接管集合计划资产；</w:t>
      </w:r>
    </w:p>
    <w:p w14:paraId="7A04E5E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（3）集合计划管理人解散、依法被撤销、破产或由其他集合计划管理人接管集合计划管理权；</w:t>
      </w:r>
    </w:p>
    <w:p w14:paraId="28F5143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（4）发生法律法规或资产管理合同规定的终止事项。</w:t>
      </w:r>
    </w:p>
    <w:p w14:paraId="5D14F2C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16.2集合计划财产的清算</w:t>
      </w:r>
    </w:p>
    <w:p w14:paraId="07B24E4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16.2.1集合计划财产清算小组：</w:t>
      </w:r>
    </w:p>
    <w:p w14:paraId="5E71C40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（1）自出现《资产管理合同》终止事由之日起30个工作日内成立清算小组，集合计划管理人组织集合计划财产清算小组并在中国证监会的监督下进行集合计划清算。</w:t>
      </w:r>
    </w:p>
    <w:p w14:paraId="4D7ADA6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集合计划财产清算小组成员由集合计划管理人、集合计划托管人、符合《中华人民共和国证券法》规定的注册会计师、律师以及中国证监会指定的人员组成。集合计划财产清算小组可以聘用必要的工作人员。</w:t>
      </w:r>
    </w:p>
    <w:p w14:paraId="7D1A47C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（3）在集合计划财产清算过程中，集合计划管理人和集合计划托管人应各自履行职责，继续忠实、勤勉、尽责地履行资产管理合同和本协议规定的义务，维护集合计划份额持有人的合法权益。</w:t>
      </w:r>
    </w:p>
    <w:p w14:paraId="7441C39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）集合计划财产清算小组负责集合计划财产的保管、清理、估价、变现和分配。集合计划财产清算小组可以依法进行必要的民事活动。</w:t>
      </w:r>
    </w:p>
    <w:p w14:paraId="19F9473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16.2.2集合计划财产清算程序</w:t>
      </w:r>
    </w:p>
    <w:p w14:paraId="0B2D7D8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资产管理合同终止，应当按法律法规和资产管理合同的有关规定对集合计划财产进行清算。集合计划财产清算程序主要包括：</w:t>
      </w:r>
    </w:p>
    <w:p w14:paraId="6B3512C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（1）《资产管理合同》终止情形出现时，由集合计划财产清算小组统一接管集合计划；</w:t>
      </w:r>
    </w:p>
    <w:p w14:paraId="6E1F719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（2）对集合计划财产和债权债务进行清理和确认；</w:t>
      </w:r>
    </w:p>
    <w:p w14:paraId="475527A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（3）对集合计划财产进行估值和变现；</w:t>
      </w:r>
    </w:p>
    <w:p w14:paraId="28DE6F3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785D19A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lastRenderedPageBreak/>
        <w:t>（5）聘请会计师事务所对清算报告进行外部审计，聘请律师事务所对清算报告出具法律意见书；</w:t>
      </w:r>
    </w:p>
    <w:p w14:paraId="26AEB80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17D67E3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（7）对集合计划剩余财产进行分配。</w:t>
      </w:r>
    </w:p>
    <w:p w14:paraId="1AB5F5F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16.2.3集合计划财产清算的期限为6个月，但因本集合计划所持证券的流动性受到限制而不能及时变现的，清算期限相应顺延。</w:t>
      </w:r>
    </w:p>
    <w:p w14:paraId="51AA4F6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0DB555F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清算费用是指集合计划财产清算小组在进行集合计划清算过程中发生的所有合理费用，清算费用由集合计划财产清算小组优先从集合计划财产中支付。</w:t>
      </w:r>
    </w:p>
    <w:p w14:paraId="00AF06D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Pr>
          <w:rFonts w:ascii="仿宋" w:eastAsia="仿宋" w:hAnsi="仿宋" w:hint="eastAsia"/>
          <w:color w:val="000000"/>
          <w:sz w:val="28"/>
          <w:szCs w:val="28"/>
        </w:rPr>
        <w:t>集合计划财产按下列顺序清偿：</w:t>
      </w:r>
    </w:p>
    <w:p w14:paraId="55A675D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6E02BB9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79E3DEB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（3）清偿集合计划债务；</w:t>
      </w:r>
    </w:p>
    <w:p w14:paraId="35E4996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（4）按集合计划份额持有人持有的集合计划份额比例进行分配。</w:t>
      </w:r>
    </w:p>
    <w:p w14:paraId="1DDDECC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集合计划财产未按前款（1）－（3）项规定清偿前，不分配给集合计划份额持有人。</w:t>
      </w:r>
    </w:p>
    <w:p w14:paraId="65D2028F"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Pr>
          <w:rFonts w:ascii="仿宋" w:eastAsia="仿宋" w:hAnsi="仿宋" w:hint="eastAsia"/>
          <w:color w:val="000000"/>
          <w:sz w:val="28"/>
          <w:szCs w:val="28"/>
        </w:rPr>
        <w:t>集合计划财产清算的公告：</w:t>
      </w:r>
    </w:p>
    <w:p w14:paraId="44B9077C"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集合计划财产清算报告经符合《中华人民共和国证券法》规定的会计师事务所审计并由律师事务所出具法律意见书后报中国证监会备案并公告。集合计划财产清算公告于集合计划财产清算报告报中国证监会备案后5个工作日内由集合计划财产清算小组进行公告。</w:t>
      </w:r>
    </w:p>
    <w:p w14:paraId="0960EA3B"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Pr>
          <w:rFonts w:ascii="仿宋" w:eastAsia="仿宋" w:hAnsi="仿宋" w:hint="eastAsia"/>
          <w:color w:val="000000"/>
          <w:sz w:val="28"/>
          <w:szCs w:val="28"/>
        </w:rPr>
        <w:t>集合计划财产清算账册及文件的保存</w:t>
      </w:r>
    </w:p>
    <w:p w14:paraId="6606862A" w14:textId="2E28AFB8" w:rsidR="00F45A57" w:rsidRDefault="00815DA3">
      <w:pPr>
        <w:pStyle w:val="21"/>
        <w:rPr>
          <w:rFonts w:ascii="仿宋" w:eastAsia="仿宋" w:hAnsi="仿宋"/>
          <w:color w:val="000000"/>
          <w:sz w:val="28"/>
          <w:szCs w:val="28"/>
        </w:rPr>
      </w:pPr>
      <w:bookmarkStart w:id="57" w:name="_Toc296551353"/>
      <w:r>
        <w:rPr>
          <w:rFonts w:ascii="仿宋" w:eastAsia="仿宋" w:hAnsi="仿宋" w:hint="eastAsia"/>
          <w:color w:val="000000"/>
          <w:sz w:val="28"/>
          <w:szCs w:val="28"/>
        </w:rPr>
        <w:t>集合计划财产清算账册及有关文件由集合计划托管人保存15年以上</w:t>
      </w:r>
      <w:r w:rsidR="00313D3F" w:rsidRPr="00313D3F">
        <w:rPr>
          <w:rFonts w:ascii="仿宋" w:eastAsia="仿宋" w:hAnsi="仿宋" w:hint="eastAsia"/>
          <w:color w:val="000000"/>
          <w:sz w:val="28"/>
          <w:szCs w:val="28"/>
        </w:rPr>
        <w:t>，法律法规另有规定的从其规定</w:t>
      </w:r>
      <w:r>
        <w:rPr>
          <w:rFonts w:ascii="仿宋" w:eastAsia="仿宋" w:hAnsi="仿宋" w:hint="eastAsia"/>
          <w:color w:val="000000"/>
          <w:sz w:val="28"/>
          <w:szCs w:val="28"/>
        </w:rPr>
        <w:t>。</w:t>
      </w:r>
    </w:p>
    <w:p w14:paraId="2355E3F5" w14:textId="77777777" w:rsidR="00F45A57" w:rsidRDefault="00F45A57">
      <w:pPr>
        <w:pStyle w:val="1"/>
        <w:rPr>
          <w:rFonts w:ascii="仿宋" w:eastAsia="仿宋" w:hAnsi="仿宋"/>
          <w:bCs/>
          <w:sz w:val="28"/>
          <w:szCs w:val="28"/>
        </w:rPr>
        <w:sectPr w:rsidR="00F45A57">
          <w:footerReference w:type="default" r:id="rId41"/>
          <w:footerReference w:type="first" r:id="rId42"/>
          <w:pgSz w:w="11907" w:h="16840"/>
          <w:pgMar w:top="1361" w:right="1452" w:bottom="1134" w:left="1452" w:header="720" w:footer="720" w:gutter="0"/>
          <w:cols w:space="720"/>
          <w:docGrid w:linePitch="286"/>
        </w:sectPr>
      </w:pPr>
    </w:p>
    <w:p w14:paraId="3116FAA8" w14:textId="77777777" w:rsidR="00F45A57" w:rsidRDefault="00815DA3">
      <w:pPr>
        <w:pStyle w:val="1"/>
        <w:rPr>
          <w:rFonts w:ascii="仿宋" w:eastAsia="仿宋" w:hAnsi="仿宋"/>
          <w:bCs/>
          <w:sz w:val="28"/>
          <w:szCs w:val="28"/>
        </w:rPr>
      </w:pPr>
      <w:bookmarkStart w:id="58" w:name="_Toc45279158"/>
      <w:r>
        <w:rPr>
          <w:rFonts w:ascii="仿宋" w:eastAsia="仿宋" w:hAnsi="仿宋" w:hint="eastAsia"/>
          <w:bCs/>
          <w:sz w:val="28"/>
          <w:szCs w:val="28"/>
        </w:rPr>
        <w:lastRenderedPageBreak/>
        <w:t>第十七条 违约责任</w:t>
      </w:r>
      <w:bookmarkEnd w:id="57"/>
      <w:bookmarkEnd w:id="58"/>
    </w:p>
    <w:p w14:paraId="599AD1E7"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17.1如果集合计划管理人或集合计划托管人不履行本协议或者履行本协议不符合约定的，应当承担违约责任。</w:t>
      </w:r>
    </w:p>
    <w:p w14:paraId="237360B7" w14:textId="487F292E"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17.2因托管协议当事人违约给集合计划财产或者集合计划份额持有人造成损害的，应当分别对各自的行为依法承担赔偿责任。但是发生下列情况，当事人可以免责：</w:t>
      </w:r>
    </w:p>
    <w:p w14:paraId="1C51FF2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10B58D1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（2）集合计划管理人和/或集合计划托管人按照届时有效的法律法规或中国证监会的规定作为或不作为而造成的损失等；</w:t>
      </w:r>
    </w:p>
    <w:p w14:paraId="1FF2D87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（3）集合计划管理人由于按照资产管理合同规定的投资原则行使或不行使其投资权而造成的损失等。</w:t>
      </w:r>
    </w:p>
    <w:p w14:paraId="4266312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集合计划财产或集合计划投资人造成损失，另一方当事人（以下简称“守约方”）有权利并且有义务代表集合计划对违约方进行追偿；如果由于违约方的违约行为导致守约方赔偿了该集合计划财产或集合计划投资人所遭受的损失，则守约方有权向违约方追索，违约方应赔偿和补偿守约方由此发生的所有成本、费用和支出，以及由此遭受的损失。</w:t>
      </w:r>
    </w:p>
    <w:p w14:paraId="657897A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E5EF6D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17.5违约行为虽已发生，但本协议能够继续履行的，在最大限度地保护集合计划份额持有人利益的前提下，集合计划管理人和集合计划托管人应当继续履行本协议。</w:t>
      </w:r>
    </w:p>
    <w:p w14:paraId="7C30D578"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17.6由于集合计划管理人、集合计划托管人不可控制的因素导致业务出现差错，集合计划管理人和集合计划托管人虽然已经采取必要、适当、合理的措施进行检查，但是未能发现错误的，由此造成集合计划财产或投资人损失，集合计划管理人和集合计划托管人免除赔偿责任。但是集合计划管理人和集合计划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787A5959" w14:textId="77777777" w:rsidR="00F45A57" w:rsidRDefault="00F45A57">
      <w:pPr>
        <w:pStyle w:val="21"/>
        <w:rPr>
          <w:rFonts w:ascii="仿宋" w:eastAsia="仿宋" w:hAnsi="仿宋"/>
          <w:color w:val="000000"/>
          <w:sz w:val="28"/>
          <w:szCs w:val="28"/>
        </w:rPr>
      </w:pPr>
    </w:p>
    <w:p w14:paraId="08C295CF" w14:textId="77777777" w:rsidR="00F45A57" w:rsidRDefault="00F45A57">
      <w:pPr>
        <w:pStyle w:val="1"/>
        <w:rPr>
          <w:rFonts w:ascii="仿宋" w:eastAsia="仿宋" w:hAnsi="仿宋"/>
          <w:bCs/>
          <w:sz w:val="28"/>
          <w:szCs w:val="28"/>
        </w:rPr>
        <w:sectPr w:rsidR="00F45A57">
          <w:footerReference w:type="default" r:id="rId43"/>
          <w:footerReference w:type="first" r:id="rId44"/>
          <w:pgSz w:w="11907" w:h="16840"/>
          <w:pgMar w:top="1361" w:right="1452" w:bottom="1134" w:left="1452" w:header="720" w:footer="720" w:gutter="0"/>
          <w:cols w:space="720"/>
          <w:docGrid w:linePitch="286"/>
        </w:sectPr>
      </w:pPr>
      <w:bookmarkStart w:id="59" w:name="_Toc296551354"/>
    </w:p>
    <w:p w14:paraId="2BF9DE06" w14:textId="77777777" w:rsidR="00F45A57" w:rsidRDefault="00815DA3">
      <w:pPr>
        <w:pStyle w:val="1"/>
        <w:rPr>
          <w:rFonts w:ascii="仿宋" w:eastAsia="仿宋" w:hAnsi="仿宋"/>
          <w:bCs/>
          <w:sz w:val="28"/>
          <w:szCs w:val="28"/>
        </w:rPr>
      </w:pPr>
      <w:bookmarkStart w:id="60" w:name="_Toc45279159"/>
      <w:r>
        <w:rPr>
          <w:rFonts w:ascii="仿宋" w:eastAsia="仿宋" w:hAnsi="仿宋" w:hint="eastAsia"/>
          <w:bCs/>
          <w:sz w:val="28"/>
          <w:szCs w:val="28"/>
        </w:rPr>
        <w:lastRenderedPageBreak/>
        <w:t>第十八条 争议解决方式</w:t>
      </w:r>
      <w:bookmarkEnd w:id="59"/>
      <w:bookmarkEnd w:id="60"/>
    </w:p>
    <w:p w14:paraId="2BC74C05"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17BC2C5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18.2凡因本协议产生的及与本协议有关的争议，当事人双方均应协商解决；协商不成的，应提交中国国际经济贸易仲裁委员会根据该会届时有效的仲裁规则进行仲裁，仲裁地点为北京市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28FECFBE"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18.3争议处理期间，相关各方当事人应恪守各自职责，继续忠实、勤勉、尽责地履行资产管理合同和托管协议规定的义务，维护集合计划份额持有人的合法权益。</w:t>
      </w:r>
    </w:p>
    <w:p w14:paraId="52746B56" w14:textId="77777777" w:rsidR="00F45A57" w:rsidRDefault="00F45A57">
      <w:pPr>
        <w:pStyle w:val="21"/>
        <w:rPr>
          <w:rFonts w:ascii="仿宋" w:eastAsia="仿宋" w:hAnsi="仿宋"/>
          <w:color w:val="000000"/>
          <w:sz w:val="28"/>
          <w:szCs w:val="28"/>
        </w:rPr>
      </w:pPr>
    </w:p>
    <w:p w14:paraId="5746AEBD" w14:textId="77777777" w:rsidR="00F45A57" w:rsidRDefault="00F45A57">
      <w:pPr>
        <w:pStyle w:val="1"/>
        <w:rPr>
          <w:rFonts w:ascii="仿宋" w:eastAsia="仿宋" w:hAnsi="仿宋"/>
          <w:bCs/>
          <w:sz w:val="28"/>
          <w:szCs w:val="28"/>
        </w:rPr>
        <w:sectPr w:rsidR="00F45A57">
          <w:footerReference w:type="default" r:id="rId45"/>
          <w:footerReference w:type="first" r:id="rId46"/>
          <w:pgSz w:w="11907" w:h="16840"/>
          <w:pgMar w:top="1361" w:right="1452" w:bottom="1134" w:left="1452" w:header="720" w:footer="720" w:gutter="0"/>
          <w:cols w:space="720"/>
          <w:docGrid w:linePitch="286"/>
        </w:sectPr>
      </w:pPr>
      <w:bookmarkStart w:id="61" w:name="_Toc296551355"/>
    </w:p>
    <w:p w14:paraId="4DAA6319" w14:textId="77777777" w:rsidR="00F45A57" w:rsidRDefault="00815DA3">
      <w:pPr>
        <w:pStyle w:val="1"/>
        <w:rPr>
          <w:rFonts w:ascii="仿宋" w:eastAsia="仿宋" w:hAnsi="仿宋"/>
          <w:bCs/>
          <w:sz w:val="28"/>
          <w:szCs w:val="28"/>
        </w:rPr>
      </w:pPr>
      <w:bookmarkStart w:id="62" w:name="_Toc45279160"/>
      <w:r>
        <w:rPr>
          <w:rFonts w:ascii="仿宋" w:eastAsia="仿宋" w:hAnsi="仿宋" w:hint="eastAsia"/>
          <w:bCs/>
          <w:sz w:val="28"/>
          <w:szCs w:val="28"/>
        </w:rPr>
        <w:lastRenderedPageBreak/>
        <w:t>第十九条 集合计划托管协议的效力</w:t>
      </w:r>
      <w:bookmarkEnd w:id="61"/>
      <w:bookmarkEnd w:id="62"/>
    </w:p>
    <w:p w14:paraId="1CA8992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19.1集合计划管理人向中国证监会提交的托管协议草案，应经托管协议当事人加盖公章或合同专用章以及双方法定代表人或授权代理人签字（或盖章），协议当事人双方可能不时根据中国证监会的意见修改托管协议草案。托管协议以中国证监会备案的文本为正式文本。</w:t>
      </w:r>
    </w:p>
    <w:p w14:paraId="0B07B281"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19.2本协议自经集合计划管理人、集合计划托管人双方盖章以及双方法定代表人或授权代表签字后成立，自资产管理合同生效之日起生效。本协议的有效期自其生效之日起至该集合计划财产清算结果报中国证监会备案并公告之日止。</w:t>
      </w:r>
    </w:p>
    <w:p w14:paraId="4157A9B9"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5B16F426"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19.4本协议正本一式六份，除上报有关监管机构一式两份外，集合计划管理人和集合计划托管人分别持有两份，每份具有同等的法律效力。</w:t>
      </w:r>
    </w:p>
    <w:p w14:paraId="1AA13CC2"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9.5本协议的约定与资产管理合同不一致的，以资产管理合同的约定为准。</w:t>
      </w:r>
    </w:p>
    <w:p w14:paraId="36A4A7FB" w14:textId="77777777" w:rsidR="00F45A57" w:rsidRDefault="00F45A57">
      <w:pPr>
        <w:pStyle w:val="21"/>
        <w:rPr>
          <w:rFonts w:ascii="仿宋" w:eastAsia="仿宋" w:hAnsi="仿宋"/>
          <w:color w:val="000000"/>
          <w:sz w:val="28"/>
          <w:szCs w:val="28"/>
        </w:rPr>
      </w:pPr>
    </w:p>
    <w:p w14:paraId="65CD294A" w14:textId="77777777" w:rsidR="00F45A57" w:rsidRDefault="00F45A57">
      <w:pPr>
        <w:pStyle w:val="1"/>
        <w:rPr>
          <w:rFonts w:ascii="仿宋" w:eastAsia="仿宋" w:hAnsi="仿宋"/>
          <w:bCs/>
          <w:sz w:val="28"/>
          <w:szCs w:val="28"/>
        </w:rPr>
        <w:sectPr w:rsidR="00F45A57">
          <w:footerReference w:type="default" r:id="rId47"/>
          <w:footerReference w:type="first" r:id="rId48"/>
          <w:pgSz w:w="11907" w:h="16840"/>
          <w:pgMar w:top="1361" w:right="1452" w:bottom="1134" w:left="1452" w:header="720" w:footer="720" w:gutter="0"/>
          <w:cols w:space="720"/>
          <w:docGrid w:linePitch="286"/>
        </w:sectPr>
      </w:pPr>
      <w:bookmarkStart w:id="63" w:name="_Toc296551356"/>
    </w:p>
    <w:p w14:paraId="0AB5E54F" w14:textId="77777777" w:rsidR="00F45A57" w:rsidRDefault="00815DA3">
      <w:pPr>
        <w:pStyle w:val="1"/>
        <w:rPr>
          <w:rFonts w:ascii="仿宋" w:eastAsia="仿宋" w:hAnsi="仿宋"/>
          <w:bCs/>
          <w:sz w:val="28"/>
          <w:szCs w:val="28"/>
        </w:rPr>
      </w:pPr>
      <w:bookmarkStart w:id="64" w:name="_Toc45279161"/>
      <w:r>
        <w:rPr>
          <w:rFonts w:ascii="仿宋" w:eastAsia="仿宋" w:hAnsi="仿宋" w:hint="eastAsia"/>
          <w:bCs/>
          <w:sz w:val="28"/>
          <w:szCs w:val="28"/>
        </w:rPr>
        <w:lastRenderedPageBreak/>
        <w:t>第二十条 集合计划托管协议的签订</w:t>
      </w:r>
      <w:bookmarkEnd w:id="63"/>
      <w:bookmarkEnd w:id="64"/>
    </w:p>
    <w:p w14:paraId="7F2AD0FA"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20.1本协议经集合计划管理人和集合计划托管人认可后，由该双方当事人在本协议上加盖公章或合同专用章，并由各自的法定代表人或授权代表签字或签章，并注明本协议的签订地点和签订日期。</w:t>
      </w:r>
    </w:p>
    <w:p w14:paraId="289FF963" w14:textId="77777777" w:rsidR="00F45A57" w:rsidRDefault="00F45A57">
      <w:pPr>
        <w:pStyle w:val="21"/>
        <w:rPr>
          <w:rFonts w:ascii="仿宋" w:eastAsia="仿宋" w:hAnsi="仿宋"/>
          <w:color w:val="000000"/>
          <w:sz w:val="28"/>
          <w:szCs w:val="28"/>
        </w:rPr>
      </w:pPr>
    </w:p>
    <w:p w14:paraId="1C2F1A77" w14:textId="77777777" w:rsidR="00F45A57" w:rsidRDefault="00F45A57">
      <w:pPr>
        <w:pStyle w:val="1"/>
        <w:rPr>
          <w:rFonts w:ascii="仿宋" w:eastAsia="仿宋" w:hAnsi="仿宋"/>
          <w:bCs/>
          <w:sz w:val="28"/>
          <w:szCs w:val="28"/>
        </w:rPr>
        <w:sectPr w:rsidR="00F45A57">
          <w:footerReference w:type="default" r:id="rId49"/>
          <w:footerReference w:type="first" r:id="rId50"/>
          <w:pgSz w:w="11907" w:h="16840"/>
          <w:pgMar w:top="1361" w:right="1452" w:bottom="1134" w:left="1452" w:header="720" w:footer="720" w:gutter="0"/>
          <w:cols w:space="720"/>
          <w:docGrid w:linePitch="286"/>
        </w:sectPr>
      </w:pPr>
    </w:p>
    <w:p w14:paraId="5617165B" w14:textId="77777777" w:rsidR="00F45A57" w:rsidRDefault="00815DA3">
      <w:pPr>
        <w:pStyle w:val="1"/>
        <w:rPr>
          <w:rFonts w:ascii="仿宋" w:eastAsia="仿宋" w:hAnsi="仿宋"/>
          <w:bCs/>
          <w:sz w:val="28"/>
          <w:szCs w:val="28"/>
        </w:rPr>
      </w:pPr>
      <w:bookmarkStart w:id="65" w:name="_Toc45279162"/>
      <w:r>
        <w:rPr>
          <w:rFonts w:ascii="仿宋" w:eastAsia="仿宋" w:hAnsi="仿宋" w:hint="eastAsia"/>
          <w:bCs/>
          <w:sz w:val="28"/>
          <w:szCs w:val="28"/>
        </w:rPr>
        <w:lastRenderedPageBreak/>
        <w:t xml:space="preserve">第二十一条 </w:t>
      </w:r>
      <w:r>
        <w:rPr>
          <w:rFonts w:ascii="仿宋" w:eastAsia="仿宋" w:hAnsi="仿宋"/>
          <w:bCs/>
          <w:sz w:val="28"/>
          <w:szCs w:val="28"/>
        </w:rPr>
        <w:t>不可抗力</w:t>
      </w:r>
      <w:bookmarkEnd w:id="65"/>
    </w:p>
    <w:p w14:paraId="4EC173B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6E80A7A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58AC23F4"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5EEC3EB3" w14:textId="77777777" w:rsidR="00F45A57" w:rsidRDefault="00815DA3">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282E4AEC" w14:textId="77777777" w:rsidR="00F45A57" w:rsidRDefault="00F45A57">
      <w:pPr>
        <w:rPr>
          <w:rFonts w:ascii="仿宋" w:eastAsia="仿宋" w:hAnsi="仿宋"/>
          <w:color w:val="000000"/>
          <w:sz w:val="28"/>
          <w:szCs w:val="28"/>
        </w:rPr>
      </w:pPr>
      <w:bookmarkStart w:id="66" w:name="_Toc132794329"/>
      <w:bookmarkStart w:id="67" w:name="_Toc132794328"/>
      <w:bookmarkStart w:id="68" w:name="_Toc132794326"/>
      <w:bookmarkStart w:id="69" w:name="_Toc132794324"/>
      <w:bookmarkStart w:id="70" w:name="_Toc132794330"/>
      <w:bookmarkStart w:id="71" w:name="_Toc132794327"/>
      <w:bookmarkStart w:id="72" w:name="_Toc132794325"/>
      <w:bookmarkEnd w:id="66"/>
      <w:bookmarkEnd w:id="67"/>
      <w:bookmarkEnd w:id="68"/>
      <w:bookmarkEnd w:id="69"/>
      <w:bookmarkEnd w:id="70"/>
      <w:bookmarkEnd w:id="71"/>
      <w:bookmarkEnd w:id="72"/>
    </w:p>
    <w:p w14:paraId="12FCF6CF" w14:textId="77777777" w:rsidR="00F45A57" w:rsidRDefault="00815DA3">
      <w:pPr>
        <w:rPr>
          <w:rFonts w:ascii="仿宋" w:eastAsia="仿宋" w:hAnsi="仿宋"/>
          <w:color w:val="000000"/>
          <w:sz w:val="28"/>
          <w:szCs w:val="28"/>
        </w:rPr>
      </w:pPr>
      <w:r>
        <w:rPr>
          <w:rFonts w:ascii="仿宋" w:eastAsia="仿宋" w:hAnsi="仿宋" w:hint="eastAsia"/>
          <w:color w:val="000000"/>
          <w:sz w:val="28"/>
          <w:szCs w:val="28"/>
        </w:rPr>
        <w:t>（本页以下无正文）</w:t>
      </w:r>
    </w:p>
    <w:p w14:paraId="0D952A16" w14:textId="77777777" w:rsidR="00F45A57" w:rsidRDefault="00F45A57"/>
    <w:p w14:paraId="2E7C3B07" w14:textId="77777777" w:rsidR="00F45A57" w:rsidRDefault="00F45A57"/>
    <w:p w14:paraId="6EF13563" w14:textId="77777777" w:rsidR="00F45A57" w:rsidRDefault="00F45A57"/>
    <w:p w14:paraId="3699F97F" w14:textId="77777777" w:rsidR="00F45A57" w:rsidRDefault="00F45A57">
      <w:pPr>
        <w:spacing w:line="360" w:lineRule="auto"/>
        <w:ind w:firstLineChars="200" w:firstLine="480"/>
        <w:jc w:val="left"/>
        <w:rPr>
          <w:rFonts w:ascii="宋体" w:hAnsi="宋体"/>
          <w:sz w:val="24"/>
          <w:szCs w:val="24"/>
        </w:rPr>
        <w:sectPr w:rsidR="00F45A57">
          <w:footerReference w:type="default" r:id="rId51"/>
          <w:headerReference w:type="first" r:id="rId52"/>
          <w:footerReference w:type="first" r:id="rId53"/>
          <w:pgSz w:w="11907" w:h="16840"/>
          <w:pgMar w:top="1361" w:right="1452" w:bottom="1134" w:left="1452" w:header="720" w:footer="720" w:gutter="0"/>
          <w:cols w:space="720"/>
          <w:titlePg/>
        </w:sectPr>
      </w:pPr>
    </w:p>
    <w:p w14:paraId="4C055195" w14:textId="73BBE1E3" w:rsidR="00F45A57" w:rsidRDefault="00815DA3">
      <w:pPr>
        <w:spacing w:line="360" w:lineRule="auto"/>
        <w:ind w:firstLineChars="200" w:firstLine="480"/>
        <w:jc w:val="left"/>
        <w:rPr>
          <w:rFonts w:ascii="宋体" w:hAnsi="宋体"/>
          <w:sz w:val="24"/>
          <w:szCs w:val="24"/>
        </w:rPr>
      </w:pPr>
      <w:r>
        <w:rPr>
          <w:rFonts w:ascii="宋体" w:hAnsi="宋体" w:hint="eastAsia"/>
          <w:sz w:val="24"/>
          <w:szCs w:val="24"/>
        </w:rPr>
        <w:lastRenderedPageBreak/>
        <w:t>（本页为《</w:t>
      </w:r>
      <w:r w:rsidR="00A46D0E">
        <w:rPr>
          <w:rFonts w:ascii="宋体" w:hAnsi="宋体" w:hint="eastAsia"/>
          <w:sz w:val="24"/>
          <w:szCs w:val="24"/>
        </w:rPr>
        <w:t>中信证券信远一年持有期混合型集合资产管理计划</w:t>
      </w:r>
      <w:r>
        <w:rPr>
          <w:rFonts w:ascii="宋体" w:hAnsi="宋体" w:hint="eastAsia"/>
          <w:sz w:val="24"/>
          <w:szCs w:val="24"/>
        </w:rPr>
        <w:t>托管协议》签署页，无正文）</w:t>
      </w:r>
    </w:p>
    <w:p w14:paraId="03178FCF" w14:textId="77777777" w:rsidR="00F45A57" w:rsidRDefault="00815DA3">
      <w:pPr>
        <w:rPr>
          <w:sz w:val="24"/>
          <w:szCs w:val="24"/>
        </w:rPr>
      </w:pPr>
      <w:r>
        <w:rPr>
          <w:sz w:val="24"/>
          <w:szCs w:val="24"/>
        </w:rPr>
        <w:t xml:space="preserve"> </w:t>
      </w:r>
    </w:p>
    <w:p w14:paraId="39F4A109" w14:textId="77777777" w:rsidR="00F45A57" w:rsidRDefault="00815DA3">
      <w:pPr>
        <w:rPr>
          <w:sz w:val="24"/>
          <w:szCs w:val="24"/>
        </w:rPr>
      </w:pPr>
      <w:r>
        <w:rPr>
          <w:sz w:val="24"/>
          <w:szCs w:val="24"/>
        </w:rPr>
        <w:t xml:space="preserve"> </w:t>
      </w:r>
    </w:p>
    <w:p w14:paraId="78D2AFE2" w14:textId="77777777" w:rsidR="00F45A57" w:rsidRDefault="00815DA3">
      <w:pPr>
        <w:spacing w:before="100" w:beforeAutospacing="1" w:after="100" w:afterAutospacing="1" w:line="400" w:lineRule="exact"/>
        <w:ind w:firstLine="403"/>
        <w:rPr>
          <w:rFonts w:ascii="宋体" w:hAnsi="宋体"/>
          <w:b/>
          <w:bCs/>
          <w:sz w:val="24"/>
          <w:szCs w:val="24"/>
        </w:rPr>
      </w:pPr>
      <w:r>
        <w:rPr>
          <w:rFonts w:ascii="宋体" w:hAnsi="宋体" w:hint="eastAsia"/>
          <w:b/>
          <w:bCs/>
          <w:sz w:val="24"/>
          <w:szCs w:val="24"/>
        </w:rPr>
        <w:t>集合计划管理人：中信证券股份有限公司（盖章）</w:t>
      </w:r>
    </w:p>
    <w:p w14:paraId="45B26B3C" w14:textId="77777777" w:rsidR="00F45A57" w:rsidRDefault="00815DA3">
      <w:pPr>
        <w:widowControl/>
        <w:spacing w:before="100" w:beforeAutospacing="1" w:after="100" w:afterAutospacing="1" w:line="400" w:lineRule="exact"/>
        <w:ind w:firstLine="403"/>
        <w:jc w:val="left"/>
        <w:rPr>
          <w:rFonts w:ascii="宋体" w:hAnsi="宋体"/>
          <w:b/>
          <w:bCs/>
          <w:kern w:val="0"/>
          <w:sz w:val="24"/>
          <w:szCs w:val="24"/>
        </w:rPr>
      </w:pPr>
      <w:r>
        <w:rPr>
          <w:rFonts w:ascii="宋体" w:hAnsi="宋体" w:hint="eastAsia"/>
          <w:b/>
          <w:bCs/>
          <w:kern w:val="0"/>
          <w:sz w:val="24"/>
          <w:szCs w:val="24"/>
        </w:rPr>
        <w:t>法定代表人或授权签署人（签章）：</w:t>
      </w:r>
    </w:p>
    <w:p w14:paraId="68C8B9A2" w14:textId="77777777" w:rsidR="00F45A57" w:rsidRDefault="00815DA3">
      <w:pPr>
        <w:widowControl/>
        <w:spacing w:before="100" w:beforeAutospacing="1" w:after="100" w:afterAutospacing="1" w:line="400" w:lineRule="exact"/>
        <w:ind w:firstLine="420"/>
        <w:jc w:val="left"/>
        <w:rPr>
          <w:rFonts w:ascii="宋体" w:hAnsi="宋体"/>
          <w:b/>
          <w:bCs/>
          <w:kern w:val="0"/>
          <w:sz w:val="24"/>
          <w:szCs w:val="24"/>
        </w:rPr>
      </w:pPr>
      <w:r>
        <w:rPr>
          <w:rFonts w:ascii="宋体" w:hAnsi="宋体" w:hint="eastAsia"/>
          <w:b/>
          <w:bCs/>
          <w:kern w:val="0"/>
          <w:sz w:val="24"/>
          <w:szCs w:val="24"/>
        </w:rPr>
        <w:t xml:space="preserve"> </w:t>
      </w:r>
    </w:p>
    <w:p w14:paraId="778657B6" w14:textId="77777777" w:rsidR="00F45A57" w:rsidRDefault="00815DA3">
      <w:pPr>
        <w:widowControl/>
        <w:spacing w:before="100" w:beforeAutospacing="1" w:after="100" w:afterAutospacing="1" w:line="400" w:lineRule="exact"/>
        <w:ind w:firstLine="420"/>
        <w:jc w:val="left"/>
        <w:rPr>
          <w:rFonts w:ascii="宋体" w:hAnsi="宋体"/>
          <w:b/>
          <w:bCs/>
          <w:kern w:val="0"/>
          <w:sz w:val="24"/>
          <w:szCs w:val="24"/>
        </w:rPr>
      </w:pPr>
      <w:r>
        <w:rPr>
          <w:rFonts w:ascii="宋体" w:hAnsi="宋体" w:hint="eastAsia"/>
          <w:b/>
          <w:bCs/>
          <w:kern w:val="0"/>
          <w:sz w:val="24"/>
          <w:szCs w:val="24"/>
        </w:rPr>
        <w:t xml:space="preserve"> </w:t>
      </w:r>
    </w:p>
    <w:p w14:paraId="77DFD57A" w14:textId="77777777" w:rsidR="00F45A57" w:rsidRDefault="00815DA3">
      <w:pPr>
        <w:widowControl/>
        <w:spacing w:before="100" w:beforeAutospacing="1" w:after="100" w:afterAutospacing="1" w:line="400" w:lineRule="exact"/>
        <w:ind w:firstLine="403"/>
        <w:jc w:val="left"/>
        <w:rPr>
          <w:rFonts w:ascii="宋体" w:hAnsi="宋体"/>
          <w:b/>
          <w:bCs/>
          <w:kern w:val="0"/>
          <w:sz w:val="24"/>
          <w:szCs w:val="24"/>
        </w:rPr>
      </w:pPr>
      <w:r>
        <w:rPr>
          <w:rFonts w:ascii="宋体" w:hAnsi="宋体" w:hint="eastAsia"/>
          <w:b/>
          <w:bCs/>
          <w:kern w:val="0"/>
          <w:sz w:val="24"/>
          <w:szCs w:val="24"/>
        </w:rPr>
        <w:t>签订日：</w:t>
      </w:r>
    </w:p>
    <w:p w14:paraId="610DACF8" w14:textId="77777777" w:rsidR="00F45A57" w:rsidRDefault="00815DA3">
      <w:pPr>
        <w:widowControl/>
        <w:spacing w:before="100" w:beforeAutospacing="1" w:after="100" w:afterAutospacing="1" w:line="400" w:lineRule="exact"/>
        <w:ind w:firstLine="420"/>
        <w:jc w:val="left"/>
        <w:rPr>
          <w:rFonts w:ascii="宋体" w:hAnsi="宋体"/>
          <w:b/>
          <w:bCs/>
          <w:kern w:val="0"/>
          <w:sz w:val="24"/>
          <w:szCs w:val="24"/>
        </w:rPr>
      </w:pPr>
      <w:r>
        <w:rPr>
          <w:rFonts w:ascii="宋体" w:hAnsi="宋体" w:hint="eastAsia"/>
          <w:b/>
          <w:bCs/>
          <w:kern w:val="0"/>
          <w:sz w:val="24"/>
          <w:szCs w:val="24"/>
        </w:rPr>
        <w:t xml:space="preserve">签订地： </w:t>
      </w:r>
    </w:p>
    <w:p w14:paraId="64B1857A" w14:textId="77777777" w:rsidR="00F45A57" w:rsidRDefault="00815DA3">
      <w:pPr>
        <w:widowControl/>
        <w:spacing w:before="100" w:beforeAutospacing="1" w:after="100" w:afterAutospacing="1" w:line="400" w:lineRule="exact"/>
        <w:ind w:firstLine="540"/>
        <w:jc w:val="left"/>
        <w:rPr>
          <w:rFonts w:ascii="宋体" w:hAnsi="宋体"/>
          <w:b/>
          <w:bCs/>
          <w:kern w:val="0"/>
          <w:sz w:val="24"/>
          <w:szCs w:val="24"/>
        </w:rPr>
      </w:pPr>
      <w:r>
        <w:rPr>
          <w:rFonts w:ascii="宋体" w:hAnsi="宋体" w:hint="eastAsia"/>
          <w:b/>
          <w:bCs/>
          <w:kern w:val="0"/>
          <w:sz w:val="24"/>
          <w:szCs w:val="24"/>
        </w:rPr>
        <w:t xml:space="preserve"> </w:t>
      </w:r>
    </w:p>
    <w:p w14:paraId="095A7BEE" w14:textId="77777777" w:rsidR="00F45A57" w:rsidRDefault="00815DA3">
      <w:pPr>
        <w:widowControl/>
        <w:spacing w:before="100" w:beforeAutospacing="1" w:after="100" w:afterAutospacing="1" w:line="400" w:lineRule="exact"/>
        <w:ind w:firstLine="540"/>
        <w:jc w:val="left"/>
        <w:rPr>
          <w:rFonts w:ascii="宋体" w:hAnsi="宋体"/>
          <w:b/>
          <w:bCs/>
          <w:kern w:val="0"/>
          <w:sz w:val="24"/>
          <w:szCs w:val="24"/>
        </w:rPr>
      </w:pPr>
      <w:r>
        <w:rPr>
          <w:rFonts w:ascii="宋体" w:hAnsi="宋体" w:hint="eastAsia"/>
          <w:b/>
          <w:bCs/>
          <w:kern w:val="0"/>
          <w:sz w:val="24"/>
          <w:szCs w:val="24"/>
        </w:rPr>
        <w:t xml:space="preserve"> </w:t>
      </w:r>
    </w:p>
    <w:p w14:paraId="6F510E6F" w14:textId="77777777" w:rsidR="00F45A57" w:rsidRDefault="00815DA3">
      <w:pPr>
        <w:widowControl/>
        <w:spacing w:before="100" w:beforeAutospacing="1" w:after="100" w:afterAutospacing="1" w:line="400" w:lineRule="exact"/>
        <w:ind w:firstLine="403"/>
        <w:jc w:val="left"/>
        <w:rPr>
          <w:rFonts w:ascii="宋体" w:hAnsi="宋体"/>
          <w:b/>
          <w:bCs/>
          <w:kern w:val="0"/>
          <w:sz w:val="24"/>
          <w:szCs w:val="24"/>
        </w:rPr>
      </w:pPr>
      <w:r>
        <w:rPr>
          <w:rFonts w:ascii="宋体" w:hAnsi="宋体" w:hint="eastAsia"/>
          <w:b/>
          <w:bCs/>
          <w:kern w:val="0"/>
          <w:sz w:val="24"/>
          <w:szCs w:val="24"/>
        </w:rPr>
        <w:t xml:space="preserve"> </w:t>
      </w:r>
    </w:p>
    <w:p w14:paraId="13A3A247" w14:textId="77777777" w:rsidR="00F45A57" w:rsidRDefault="00815DA3">
      <w:pPr>
        <w:widowControl/>
        <w:spacing w:before="100" w:beforeAutospacing="1" w:after="100" w:afterAutospacing="1" w:line="400" w:lineRule="exact"/>
        <w:ind w:firstLine="403"/>
        <w:jc w:val="left"/>
        <w:rPr>
          <w:rFonts w:ascii="宋体" w:hAnsi="宋体"/>
          <w:b/>
          <w:bCs/>
          <w:kern w:val="0"/>
          <w:sz w:val="24"/>
          <w:szCs w:val="24"/>
        </w:rPr>
      </w:pPr>
      <w:r>
        <w:rPr>
          <w:rFonts w:ascii="宋体" w:hAnsi="宋体" w:hint="eastAsia"/>
          <w:b/>
          <w:bCs/>
          <w:kern w:val="0"/>
          <w:sz w:val="24"/>
          <w:szCs w:val="24"/>
        </w:rPr>
        <w:t>集合计划托管人：中信银行股份有限公司（盖章）</w:t>
      </w:r>
    </w:p>
    <w:p w14:paraId="07952B47" w14:textId="77777777" w:rsidR="00F45A57" w:rsidRDefault="00815DA3">
      <w:pPr>
        <w:widowControl/>
        <w:spacing w:before="100" w:beforeAutospacing="1" w:after="100" w:afterAutospacing="1" w:line="400" w:lineRule="exact"/>
        <w:ind w:firstLine="403"/>
        <w:jc w:val="left"/>
        <w:rPr>
          <w:rFonts w:ascii="宋体" w:hAnsi="宋体"/>
          <w:b/>
          <w:bCs/>
          <w:kern w:val="0"/>
          <w:sz w:val="24"/>
          <w:szCs w:val="24"/>
        </w:rPr>
      </w:pPr>
      <w:r>
        <w:rPr>
          <w:rFonts w:ascii="宋体" w:hAnsi="宋体" w:hint="eastAsia"/>
          <w:b/>
          <w:bCs/>
          <w:kern w:val="0"/>
          <w:sz w:val="24"/>
          <w:szCs w:val="24"/>
        </w:rPr>
        <w:t>法定代表人或授权签署人（签章）：</w:t>
      </w:r>
    </w:p>
    <w:p w14:paraId="00AA0017" w14:textId="77777777" w:rsidR="00F45A57" w:rsidRDefault="00815DA3">
      <w:pPr>
        <w:widowControl/>
        <w:spacing w:before="100" w:beforeAutospacing="1" w:after="100" w:afterAutospacing="1" w:line="400" w:lineRule="exact"/>
        <w:ind w:firstLine="420"/>
        <w:jc w:val="left"/>
        <w:rPr>
          <w:rFonts w:ascii="宋体" w:hAnsi="宋体"/>
          <w:b/>
          <w:bCs/>
          <w:kern w:val="0"/>
          <w:sz w:val="24"/>
          <w:szCs w:val="24"/>
        </w:rPr>
      </w:pPr>
      <w:r>
        <w:rPr>
          <w:rFonts w:ascii="宋体" w:hAnsi="宋体" w:hint="eastAsia"/>
          <w:b/>
          <w:bCs/>
          <w:kern w:val="0"/>
          <w:sz w:val="24"/>
          <w:szCs w:val="24"/>
        </w:rPr>
        <w:t xml:space="preserve"> </w:t>
      </w:r>
    </w:p>
    <w:p w14:paraId="14D215CD" w14:textId="77777777" w:rsidR="00F45A57" w:rsidRDefault="00815DA3">
      <w:pPr>
        <w:widowControl/>
        <w:spacing w:before="100" w:beforeAutospacing="1" w:after="100" w:afterAutospacing="1" w:line="400" w:lineRule="exact"/>
        <w:ind w:firstLine="420"/>
        <w:jc w:val="left"/>
        <w:rPr>
          <w:rFonts w:ascii="宋体" w:hAnsi="宋体"/>
          <w:b/>
          <w:bCs/>
          <w:kern w:val="0"/>
          <w:sz w:val="24"/>
          <w:szCs w:val="24"/>
        </w:rPr>
      </w:pPr>
      <w:r>
        <w:rPr>
          <w:rFonts w:ascii="宋体" w:hAnsi="宋体" w:hint="eastAsia"/>
          <w:b/>
          <w:bCs/>
          <w:kern w:val="0"/>
          <w:sz w:val="24"/>
          <w:szCs w:val="24"/>
        </w:rPr>
        <w:t xml:space="preserve"> </w:t>
      </w:r>
    </w:p>
    <w:p w14:paraId="5A9B09BA" w14:textId="77777777" w:rsidR="00F45A57" w:rsidRDefault="00815DA3">
      <w:pPr>
        <w:widowControl/>
        <w:spacing w:before="100" w:beforeAutospacing="1" w:after="100" w:afterAutospacing="1" w:line="400" w:lineRule="exact"/>
        <w:ind w:firstLine="420"/>
        <w:jc w:val="left"/>
        <w:rPr>
          <w:rFonts w:ascii="宋体" w:hAnsi="宋体"/>
          <w:b/>
          <w:bCs/>
          <w:kern w:val="0"/>
          <w:sz w:val="24"/>
          <w:szCs w:val="24"/>
        </w:rPr>
      </w:pPr>
      <w:r>
        <w:rPr>
          <w:rFonts w:ascii="宋体" w:hAnsi="宋体" w:hint="eastAsia"/>
          <w:b/>
          <w:bCs/>
          <w:kern w:val="0"/>
          <w:sz w:val="24"/>
          <w:szCs w:val="24"/>
        </w:rPr>
        <w:t>签订日：</w:t>
      </w:r>
    </w:p>
    <w:p w14:paraId="08D10904" w14:textId="77777777" w:rsidR="00F45A57" w:rsidRDefault="00815DA3">
      <w:pPr>
        <w:widowControl/>
        <w:spacing w:before="100" w:beforeAutospacing="1" w:after="100" w:afterAutospacing="1" w:line="400" w:lineRule="exact"/>
        <w:ind w:firstLine="403"/>
        <w:jc w:val="left"/>
        <w:rPr>
          <w:rFonts w:ascii="宋体" w:hAnsi="宋体"/>
          <w:b/>
          <w:bCs/>
          <w:kern w:val="0"/>
          <w:sz w:val="24"/>
          <w:szCs w:val="24"/>
        </w:rPr>
      </w:pPr>
      <w:r>
        <w:rPr>
          <w:rFonts w:ascii="宋体" w:hAnsi="宋体" w:hint="eastAsia"/>
          <w:b/>
          <w:bCs/>
          <w:kern w:val="0"/>
          <w:sz w:val="24"/>
          <w:szCs w:val="24"/>
        </w:rPr>
        <w:t xml:space="preserve">签订地： </w:t>
      </w:r>
    </w:p>
    <w:p w14:paraId="5653918E" w14:textId="77777777" w:rsidR="00F45A57" w:rsidRDefault="00F45A57"/>
    <w:p w14:paraId="5F03C9C7" w14:textId="77777777" w:rsidR="00F45A57" w:rsidRDefault="00F45A57"/>
    <w:sectPr w:rsidR="00F45A57">
      <w:footerReference w:type="default" r:id="rId54"/>
      <w:footerReference w:type="first" r:id="rId55"/>
      <w:pgSz w:w="11907" w:h="16840"/>
      <w:pgMar w:top="1361" w:right="1452" w:bottom="1134" w:left="145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DEA85" w14:textId="77777777" w:rsidR="003721CD" w:rsidRDefault="003721CD">
      <w:r>
        <w:separator/>
      </w:r>
    </w:p>
  </w:endnote>
  <w:endnote w:type="continuationSeparator" w:id="0">
    <w:p w14:paraId="093B015B" w14:textId="77777777" w:rsidR="003721CD" w:rsidRDefault="0037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9C9A" w14:textId="77777777" w:rsidR="00DD3278" w:rsidRDefault="00DD3278">
    <w:pPr>
      <w:pStyle w:val="ab"/>
      <w:framePr w:wrap="around" w:vAnchor="text" w:hAnchor="margin" w:xAlign="center" w:y="1"/>
      <w:rPr>
        <w:rStyle w:val="af2"/>
      </w:rPr>
    </w:pPr>
    <w:r>
      <w:fldChar w:fldCharType="begin"/>
    </w:r>
    <w:r>
      <w:rPr>
        <w:rStyle w:val="af2"/>
      </w:rPr>
      <w:instrText xml:space="preserve">PAGE  </w:instrText>
    </w:r>
    <w:r>
      <w:fldChar w:fldCharType="end"/>
    </w:r>
  </w:p>
  <w:p w14:paraId="1BBEA028" w14:textId="77777777" w:rsidR="00DD3278" w:rsidRDefault="00DD3278">
    <w:pPr>
      <w:pStyle w:val="ab"/>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FF012" w14:textId="4E7770D7"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4</w:t>
    </w:r>
    <w:r>
      <w:rPr>
        <w:lang w:val="zh-CN"/>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49A1" w14:textId="77777777" w:rsidR="00DD3278" w:rsidRDefault="00DD3278">
    <w:pPr>
      <w:pStyle w:val="ab"/>
      <w:jc w:val="center"/>
    </w:pPr>
    <w:r>
      <w:rPr>
        <w:rFonts w:hint="eastAsia"/>
      </w:rPr>
      <w:t>4-2-</w:t>
    </w:r>
    <w:r>
      <w:fldChar w:fldCharType="begin"/>
    </w:r>
    <w:r>
      <w:instrText xml:space="preserve"> PAGE   \* MERGEFORMAT </w:instrText>
    </w:r>
    <w:r>
      <w:fldChar w:fldCharType="separate"/>
    </w:r>
    <w:r>
      <w:rPr>
        <w:lang w:val="zh-CN"/>
      </w:rPr>
      <w:t>5</w:t>
    </w:r>
    <w:r>
      <w:rPr>
        <w:lang w:val="zh-CN"/>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1D3C" w14:textId="3B3F57CF"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10</w:t>
    </w:r>
    <w:r>
      <w:rPr>
        <w:lang w:val="zh-CN"/>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19C5" w14:textId="77777777" w:rsidR="00DD3278" w:rsidRDefault="00DD3278">
    <w:pPr>
      <w:pStyle w:val="ab"/>
      <w:jc w:val="center"/>
    </w:pPr>
    <w:r>
      <w:rPr>
        <w:rFonts w:hint="eastAsia"/>
      </w:rPr>
      <w:t>4-3-</w:t>
    </w:r>
    <w:r>
      <w:fldChar w:fldCharType="begin"/>
    </w:r>
    <w:r>
      <w:instrText xml:space="preserve"> PAGE   \* MERGEFORMAT </w:instrText>
    </w:r>
    <w:r>
      <w:fldChar w:fldCharType="separate"/>
    </w:r>
    <w:r>
      <w:rPr>
        <w:lang w:val="zh-CN"/>
      </w:rPr>
      <w:t>6</w:t>
    </w:r>
    <w:r>
      <w:rPr>
        <w:lang w:val="zh-CN"/>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40DA" w14:textId="754DCE07"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11</w:t>
    </w:r>
    <w:r>
      <w:rPr>
        <w:lang w:val="zh-CN"/>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7242" w14:textId="77777777" w:rsidR="00DD3278" w:rsidRDefault="00DD3278">
    <w:pPr>
      <w:pStyle w:val="ab"/>
      <w:jc w:val="center"/>
    </w:pPr>
    <w:r>
      <w:rPr>
        <w:rFonts w:hint="eastAsia"/>
      </w:rPr>
      <w:t>4-4-</w:t>
    </w:r>
    <w:r>
      <w:fldChar w:fldCharType="begin"/>
    </w:r>
    <w:r>
      <w:instrText xml:space="preserve"> PAGE   \* MERGEFORMAT </w:instrText>
    </w:r>
    <w:r>
      <w:fldChar w:fldCharType="separate"/>
    </w:r>
    <w:r>
      <w:rPr>
        <w:lang w:val="zh-CN"/>
      </w:rPr>
      <w:t>14</w:t>
    </w:r>
    <w:r>
      <w:rPr>
        <w:lang w:val="zh-CN"/>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B53D4" w14:textId="00974412"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16</w:t>
    </w:r>
    <w:r>
      <w:rPr>
        <w:lang w:val="zh-CN"/>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24A7" w14:textId="77777777" w:rsidR="00DD3278" w:rsidRDefault="00DD3278">
    <w:pPr>
      <w:pStyle w:val="ab"/>
      <w:jc w:val="center"/>
    </w:pPr>
    <w:r>
      <w:rPr>
        <w:rFonts w:hint="eastAsia"/>
      </w:rPr>
      <w:t>4-6-</w:t>
    </w:r>
    <w:r>
      <w:fldChar w:fldCharType="begin"/>
    </w:r>
    <w:r>
      <w:instrText xml:space="preserve"> PAGE   \* MERGEFORMAT </w:instrText>
    </w:r>
    <w:r>
      <w:fldChar w:fldCharType="separate"/>
    </w:r>
    <w:r>
      <w:rPr>
        <w:lang w:val="zh-CN"/>
      </w:rPr>
      <w:t>18</w:t>
    </w:r>
    <w:r>
      <w:rPr>
        <w:lang w:val="zh-CN"/>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6746" w14:textId="3675889A"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19</w:t>
    </w:r>
    <w:r>
      <w:rPr>
        <w:lang w:val="zh-CN"/>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976A" w14:textId="77777777" w:rsidR="00DD3278" w:rsidRDefault="00DD3278">
    <w:pPr>
      <w:pStyle w:val="ab"/>
      <w:jc w:val="center"/>
    </w:pPr>
    <w:r>
      <w:rPr>
        <w:rFonts w:hint="eastAsia"/>
      </w:rPr>
      <w:t>4-8-</w:t>
    </w: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242748"/>
    </w:sdtPr>
    <w:sdtEndPr/>
    <w:sdtContent>
      <w:p w14:paraId="1D5CD966" w14:textId="77777777" w:rsidR="00DD3278" w:rsidRDefault="00DD3278">
        <w:pPr>
          <w:pStyle w:val="ab"/>
          <w:jc w:val="center"/>
        </w:pPr>
        <w:r>
          <w:fldChar w:fldCharType="begin"/>
        </w:r>
        <w:r>
          <w:instrText>PAGE   \* MERGEFORMAT</w:instrText>
        </w:r>
        <w:r>
          <w:fldChar w:fldCharType="separate"/>
        </w:r>
        <w:r>
          <w:rPr>
            <w:lang w:val="zh-CN"/>
          </w:rPr>
          <w:t>2</w:t>
        </w:r>
        <w:r>
          <w:fldChar w:fldCharType="end"/>
        </w:r>
      </w:p>
    </w:sdtContent>
  </w:sdt>
  <w:p w14:paraId="0E0CE5EA" w14:textId="77777777" w:rsidR="00DD3278" w:rsidRDefault="00DD3278">
    <w:pPr>
      <w:pStyle w:val="ab"/>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E2E1" w14:textId="76BF76C7"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24</w:t>
    </w:r>
    <w:r>
      <w:rPr>
        <w:lang w:val="zh-CN"/>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088B" w14:textId="47DFFD5B"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26</w:t>
    </w:r>
    <w:r>
      <w:rPr>
        <w:lang w:val="zh-CN"/>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14F" w14:textId="77777777" w:rsidR="00DD3278" w:rsidRDefault="00DD3278">
    <w:pPr>
      <w:pStyle w:val="ab"/>
      <w:jc w:val="center"/>
    </w:pPr>
    <w:r>
      <w:rPr>
        <w:rFonts w:hint="eastAsia"/>
      </w:rPr>
      <w:t>4-9-</w:t>
    </w:r>
    <w:r>
      <w:fldChar w:fldCharType="begin"/>
    </w:r>
    <w:r>
      <w:instrText xml:space="preserve"> PAGE   \* MERGEFORMAT </w:instrText>
    </w:r>
    <w:r>
      <w:fldChar w:fldCharType="separate"/>
    </w:r>
    <w:r>
      <w:rPr>
        <w:lang w:val="zh-CN"/>
      </w:rPr>
      <w:t>28</w:t>
    </w:r>
    <w:r>
      <w:rPr>
        <w:lang w:val="zh-CN"/>
      </w:rPr>
      <w:fldChar w:fldCharType="end"/>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BBBA2" w14:textId="07EF4C33"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28</w:t>
    </w:r>
    <w:r>
      <w:rPr>
        <w:lang w:val="zh-CN"/>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DF9B" w14:textId="77777777" w:rsidR="00DD3278" w:rsidRDefault="00DD3278">
    <w:pPr>
      <w:pStyle w:val="ab"/>
      <w:jc w:val="center"/>
    </w:pPr>
    <w:r>
      <w:rPr>
        <w:rFonts w:hint="eastAsia"/>
      </w:rPr>
      <w:t>4-10-</w:t>
    </w:r>
    <w:r>
      <w:fldChar w:fldCharType="begin"/>
    </w:r>
    <w:r>
      <w:instrText xml:space="preserve"> PAGE   \* MERGEFORMAT </w:instrText>
    </w:r>
    <w:r>
      <w:fldChar w:fldCharType="separate"/>
    </w:r>
    <w:r>
      <w:rPr>
        <w:lang w:val="zh-CN"/>
      </w:rPr>
      <w:t>29</w:t>
    </w:r>
    <w:r>
      <w:rPr>
        <w:lang w:val="zh-CN"/>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4F88" w14:textId="474D21D4"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32</w:t>
    </w:r>
    <w:r>
      <w:rPr>
        <w:lang w:val="zh-CN"/>
      </w:rPr>
      <w:fldChar w:fldCharType="end"/>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18F2" w14:textId="77777777" w:rsidR="00DD3278" w:rsidRDefault="00DD3278">
    <w:pPr>
      <w:pStyle w:val="ab"/>
      <w:jc w:val="center"/>
    </w:pPr>
    <w:r>
      <w:rPr>
        <w:rFonts w:hint="eastAsia"/>
      </w:rPr>
      <w:t>4-12-</w:t>
    </w:r>
    <w:r>
      <w:fldChar w:fldCharType="begin"/>
    </w:r>
    <w:r>
      <w:instrText xml:space="preserve"> PAGE   \* MERGEFORMAT </w:instrText>
    </w:r>
    <w:r>
      <w:fldChar w:fldCharType="separate"/>
    </w:r>
    <w:r>
      <w:rPr>
        <w:lang w:val="zh-CN"/>
      </w:rPr>
      <w:t>33</w:t>
    </w:r>
    <w:r>
      <w:rPr>
        <w:lang w:val="zh-CN"/>
      </w:rPr>
      <w:fldChar w:fldCharType="end"/>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2A39" w14:textId="281037B8"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33</w:t>
    </w:r>
    <w:r>
      <w:rPr>
        <w:lang w:val="zh-CN"/>
      </w:rPr>
      <w:fldChar w:fldCharType="end"/>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009D" w14:textId="6F067850"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34</w:t>
    </w:r>
    <w:r>
      <w:rPr>
        <w:lang w:val="zh-CN"/>
      </w:rPr>
      <w:fldChar w:fldCharType="end"/>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22CE" w14:textId="77777777" w:rsidR="00DD3278" w:rsidRDefault="00DD3278">
    <w:pPr>
      <w:pStyle w:val="ab"/>
      <w:jc w:val="center"/>
    </w:pPr>
    <w:r>
      <w:rPr>
        <w:rFonts w:hint="eastAsia"/>
      </w:rPr>
      <w:t>4-14-</w:t>
    </w:r>
    <w:r>
      <w:fldChar w:fldCharType="begin"/>
    </w:r>
    <w:r>
      <w:instrText xml:space="preserve"> PAGE   \* MERGEFORMAT </w:instrText>
    </w:r>
    <w:r>
      <w:fldChar w:fldCharType="separate"/>
    </w:r>
    <w:r>
      <w:rPr>
        <w:lang w:val="zh-CN"/>
      </w:rPr>
      <w:t>35</w:t>
    </w:r>
    <w:r>
      <w:rPr>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FAEA" w14:textId="77777777" w:rsidR="00DD3278" w:rsidRDefault="00DD3278">
    <w:pPr>
      <w:pStyle w:val="ab"/>
      <w:jc w:val="cen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244F" w14:textId="180B66AA"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37</w:t>
    </w:r>
    <w:r>
      <w:rPr>
        <w:lang w:val="zh-CN"/>
      </w:rPr>
      <w:fldChar w:fldCharType="end"/>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79C1" w14:textId="097E4BFB"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38</w:t>
    </w:r>
    <w:r>
      <w:rPr>
        <w:lang w:val="zh-CN"/>
      </w:rPr>
      <w:fldChar w:fldCharType="end"/>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8FF8" w14:textId="77777777" w:rsidR="00DD3278" w:rsidRDefault="00DD3278">
    <w:pPr>
      <w:pStyle w:val="ab"/>
      <w:jc w:val="center"/>
    </w:pPr>
    <w:r>
      <w:rPr>
        <w:rFonts w:hint="eastAsia"/>
      </w:rPr>
      <w:t>4-15-</w:t>
    </w:r>
    <w:r>
      <w:fldChar w:fldCharType="begin"/>
    </w:r>
    <w:r>
      <w:instrText xml:space="preserve"> PAGE   \* MERGEFORMAT </w:instrText>
    </w:r>
    <w:r>
      <w:fldChar w:fldCharType="separate"/>
    </w:r>
    <w:r>
      <w:rPr>
        <w:lang w:val="zh-CN"/>
      </w:rPr>
      <w:t>38</w:t>
    </w:r>
    <w:r>
      <w:rPr>
        <w:lang w:val="zh-CN"/>
      </w:rPr>
      <w:fldChar w:fldCharType="end"/>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3781" w14:textId="391A2654"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40</w:t>
    </w:r>
    <w:r>
      <w:rPr>
        <w:lang w:val="zh-CN"/>
      </w:rPr>
      <w:fldChar w:fldCharType="end"/>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66A" w14:textId="77777777" w:rsidR="00DD3278" w:rsidRDefault="00DD3278">
    <w:pPr>
      <w:pStyle w:val="ab"/>
      <w:jc w:val="center"/>
    </w:pPr>
    <w:r>
      <w:rPr>
        <w:rFonts w:hint="eastAsia"/>
      </w:rPr>
      <w:t>4-16-</w:t>
    </w:r>
    <w:r>
      <w:fldChar w:fldCharType="begin"/>
    </w:r>
    <w:r>
      <w:instrText xml:space="preserve"> PAGE   \* MERGEFORMAT </w:instrText>
    </w:r>
    <w:r>
      <w:fldChar w:fldCharType="separate"/>
    </w:r>
    <w:r>
      <w:rPr>
        <w:lang w:val="zh-CN"/>
      </w:rPr>
      <w:t>39</w:t>
    </w:r>
    <w:r>
      <w:rPr>
        <w:lang w:val="zh-CN"/>
      </w:rPr>
      <w:fldChar w:fldCharType="end"/>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E9E4" w14:textId="37741BE5"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41</w:t>
    </w:r>
    <w:r>
      <w:rPr>
        <w:lang w:val="zh-CN"/>
      </w:rPr>
      <w:fldChar w:fldCharType="end"/>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D2D8" w14:textId="77777777" w:rsidR="00DD3278" w:rsidRDefault="00DD3278">
    <w:pPr>
      <w:pStyle w:val="ab"/>
      <w:jc w:val="center"/>
    </w:pPr>
    <w:r>
      <w:rPr>
        <w:rFonts w:hint="eastAsia"/>
      </w:rPr>
      <w:t>4-17-</w:t>
    </w:r>
    <w:r>
      <w:fldChar w:fldCharType="begin"/>
    </w:r>
    <w:r>
      <w:instrText xml:space="preserve"> PAGE   \* MERGEFORMAT </w:instrText>
    </w:r>
    <w:r>
      <w:fldChar w:fldCharType="separate"/>
    </w:r>
    <w:r>
      <w:rPr>
        <w:lang w:val="zh-CN"/>
      </w:rPr>
      <w:t>41</w:t>
    </w:r>
    <w:r>
      <w:rPr>
        <w:lang w:val="zh-CN"/>
      </w:rPr>
      <w:fldChar w:fldCharType="end"/>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587D" w14:textId="6268B98D"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42</w:t>
    </w:r>
    <w:r>
      <w:rPr>
        <w:lang w:val="zh-CN"/>
      </w:rPr>
      <w:fldChar w:fldCharType="end"/>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EC78" w14:textId="77777777" w:rsidR="00DD3278" w:rsidRDefault="00DD3278">
    <w:pPr>
      <w:pStyle w:val="ab"/>
      <w:jc w:val="center"/>
    </w:pPr>
    <w:r>
      <w:rPr>
        <w:rFonts w:hint="eastAsia"/>
      </w:rPr>
      <w:t>4-18-</w:t>
    </w:r>
    <w:r>
      <w:fldChar w:fldCharType="begin"/>
    </w:r>
    <w:r>
      <w:instrText xml:space="preserve"> PAGE   \* MERGEFORMAT </w:instrText>
    </w:r>
    <w:r>
      <w:fldChar w:fldCharType="separate"/>
    </w:r>
    <w:r>
      <w:rPr>
        <w:lang w:val="zh-CN"/>
      </w:rPr>
      <w:t>42</w:t>
    </w:r>
    <w:r>
      <w:rPr>
        <w:lang w:val="zh-CN"/>
      </w:rPr>
      <w:fldChar w:fldCharType="end"/>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CB02" w14:textId="32E0E1BD"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43</w:t>
    </w:r>
    <w:r>
      <w:rPr>
        <w:lang w:val="zh-CN"/>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EB1A" w14:textId="77777777" w:rsidR="00DD3278" w:rsidRDefault="00DD3278">
    <w:pPr>
      <w:pStyle w:val="ab"/>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0D3D" w14:textId="77777777" w:rsidR="00DD3278" w:rsidRDefault="00DD3278">
    <w:pPr>
      <w:pStyle w:val="ab"/>
      <w:jc w:val="center"/>
    </w:pPr>
    <w:r>
      <w:rPr>
        <w:rFonts w:hint="eastAsia"/>
      </w:rPr>
      <w:t>4-19-</w:t>
    </w:r>
    <w:r>
      <w:fldChar w:fldCharType="begin"/>
    </w:r>
    <w:r>
      <w:instrText xml:space="preserve"> PAGE   \* MERGEFORMAT </w:instrText>
    </w:r>
    <w:r>
      <w:fldChar w:fldCharType="separate"/>
    </w:r>
    <w:r>
      <w:rPr>
        <w:lang w:val="zh-CN"/>
      </w:rPr>
      <w:t>43</w:t>
    </w:r>
    <w:r>
      <w:rPr>
        <w:lang w:val="zh-CN"/>
      </w:rPr>
      <w:fldChar w:fldCharType="end"/>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8ADD" w14:textId="6B9B7892"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44</w:t>
    </w:r>
    <w:r>
      <w:rPr>
        <w:lang w:val="zh-CN"/>
      </w:rPr>
      <w:fldChar w:fldCharType="end"/>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A3170" w14:textId="77777777" w:rsidR="00DD3278" w:rsidRDefault="00DD3278">
    <w:pPr>
      <w:pStyle w:val="ab"/>
      <w:jc w:val="center"/>
    </w:pPr>
    <w:r>
      <w:rPr>
        <w:rFonts w:hint="eastAsia"/>
      </w:rPr>
      <w:t>4-20-</w:t>
    </w:r>
    <w:r>
      <w:fldChar w:fldCharType="begin"/>
    </w:r>
    <w:r>
      <w:instrText xml:space="preserve"> PAGE   \* MERGEFORMAT </w:instrText>
    </w:r>
    <w:r>
      <w:fldChar w:fldCharType="separate"/>
    </w:r>
    <w:r>
      <w:rPr>
        <w:lang w:val="zh-CN"/>
      </w:rPr>
      <w:t>0</w:t>
    </w:r>
    <w:r>
      <w:rPr>
        <w:lang w:val="zh-CN"/>
      </w:rPr>
      <w:fldChar w:fldCharType="end"/>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08C5" w14:textId="77777777" w:rsidR="00DD3278" w:rsidRDefault="00DD3278">
    <w:pPr>
      <w:pStyle w:val="ab"/>
    </w:pPr>
    <w:r>
      <w:rPr>
        <w:noProof/>
      </w:rPr>
      <mc:AlternateContent>
        <mc:Choice Requires="wps">
          <w:drawing>
            <wp:anchor distT="0" distB="0" distL="114300" distR="114300" simplePos="0" relativeHeight="251658240" behindDoc="0" locked="0" layoutInCell="1" allowOverlap="1" wp14:anchorId="77AB0E1B" wp14:editId="78491C5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7B802" w14:textId="77777777" w:rsidR="00DD3278" w:rsidRDefault="00DD3278">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AB0E1B"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7247B802" w14:textId="77777777" w:rsidR="00DD3278" w:rsidRDefault="00DD3278">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05E8" w14:textId="77777777" w:rsidR="00DD3278" w:rsidRDefault="00DD3278">
    <w:pPr>
      <w:pStyle w:val="ab"/>
      <w:jc w:val="center"/>
    </w:pPr>
    <w:r>
      <w:rPr>
        <w:noProof/>
      </w:rPr>
      <mc:AlternateContent>
        <mc:Choice Requires="wps">
          <w:drawing>
            <wp:anchor distT="0" distB="0" distL="114300" distR="114300" simplePos="0" relativeHeight="251659264" behindDoc="0" locked="0" layoutInCell="1" allowOverlap="1" wp14:anchorId="27D028AB" wp14:editId="77B4E87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BB047" w14:textId="6BA6CCC2" w:rsidR="00DD3278" w:rsidRDefault="00DD3278">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A6A57">
                            <w:rPr>
                              <w:noProof/>
                            </w:rP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D028AB"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5AABB047" w14:textId="6BA6CCC2" w:rsidR="00DD3278" w:rsidRDefault="00DD3278">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A6A57">
                      <w:rPr>
                        <w:noProof/>
                      </w:rPr>
                      <w:t>45</w:t>
                    </w:r>
                    <w:r>
                      <w:rPr>
                        <w:rFonts w:hint="eastAsia"/>
                      </w:rPr>
                      <w:fldChar w:fldCharType="end"/>
                    </w:r>
                  </w:p>
                </w:txbxContent>
              </v:textbox>
              <w10:wrap anchorx="margin"/>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3BDB" w14:textId="77777777" w:rsidR="00DD3278" w:rsidRDefault="00DD3278">
    <w:pPr>
      <w:pStyle w:val="ab"/>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7D26" w14:textId="77777777" w:rsidR="00DD3278" w:rsidRDefault="00DD3278">
    <w:pPr>
      <w:pStyle w:val="ab"/>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288A" w14:textId="77777777" w:rsidR="00DD3278" w:rsidRDefault="00DD3278">
    <w:pPr>
      <w:pStyle w:val="ab"/>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480852"/>
    </w:sdtPr>
    <w:sdtEndPr/>
    <w:sdtContent>
      <w:p w14:paraId="499AB027" w14:textId="272DAD49" w:rsidR="00DD3278" w:rsidRDefault="00DD3278">
        <w:pPr>
          <w:pStyle w:val="ab"/>
          <w:jc w:val="center"/>
        </w:pPr>
        <w:r>
          <w:fldChar w:fldCharType="begin"/>
        </w:r>
        <w:r>
          <w:instrText>PAGE   \* MERGEFORMAT</w:instrText>
        </w:r>
        <w:r>
          <w:fldChar w:fldCharType="separate"/>
        </w:r>
        <w:r w:rsidR="00DA6A57" w:rsidRPr="00DA6A57">
          <w:rPr>
            <w:noProof/>
            <w:lang w:val="zh-CN"/>
          </w:rPr>
          <w:t>2</w:t>
        </w:r>
        <w:r>
          <w:fldChar w:fldCharType="end"/>
        </w:r>
      </w:p>
    </w:sdtContent>
  </w:sdt>
  <w:p w14:paraId="4E64938C" w14:textId="77777777" w:rsidR="00DD3278" w:rsidRDefault="00DD3278">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658B" w14:textId="77777777" w:rsidR="00DD3278" w:rsidRDefault="00DD3278">
    <w:pPr>
      <w:pStyle w:val="ab"/>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0231" w14:textId="08ACF978" w:rsidR="00DD3278" w:rsidRDefault="00DD3278">
    <w:pPr>
      <w:pStyle w:val="ab"/>
      <w:jc w:val="center"/>
    </w:pPr>
    <w:r>
      <w:fldChar w:fldCharType="begin"/>
    </w:r>
    <w:r>
      <w:instrText xml:space="preserve"> PAGE   \* MERGEFORMAT </w:instrText>
    </w:r>
    <w:r>
      <w:fldChar w:fldCharType="separate"/>
    </w:r>
    <w:r w:rsidR="00DA6A57" w:rsidRPr="00DA6A57">
      <w:rPr>
        <w:noProof/>
        <w:lang w:val="zh-CN"/>
      </w:rPr>
      <w:t>3</w:t>
    </w:r>
    <w:r>
      <w:rPr>
        <w:lang w:val="zh-CN"/>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0685" w14:textId="77777777" w:rsidR="00DD3278" w:rsidRDefault="00DD3278">
    <w:pPr>
      <w:pStyle w:val="ab"/>
      <w:jc w:val="center"/>
    </w:pPr>
    <w:r>
      <w:rPr>
        <w:rFonts w:hint="eastAsia"/>
      </w:rPr>
      <w:t>4-1-</w:t>
    </w:r>
    <w:r>
      <w:fldChar w:fldCharType="begin"/>
    </w:r>
    <w:r>
      <w:instrText xml:space="preserve"> PAGE   \* MERGEFORMAT </w:instrText>
    </w:r>
    <w:r>
      <w:fldChar w:fldCharType="separate"/>
    </w:r>
    <w:r>
      <w:rPr>
        <w:lang w:val="zh-CN"/>
      </w:rPr>
      <w:t>4</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E7385" w14:textId="77777777" w:rsidR="003721CD" w:rsidRDefault="003721CD">
      <w:r>
        <w:separator/>
      </w:r>
    </w:p>
  </w:footnote>
  <w:footnote w:type="continuationSeparator" w:id="0">
    <w:p w14:paraId="3D3BD6EB" w14:textId="77777777" w:rsidR="003721CD" w:rsidRDefault="003721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BE6F" w14:textId="09D5B89B" w:rsidR="00DD3278" w:rsidRDefault="00DD3278">
    <w:pPr>
      <w:pStyle w:val="ad"/>
      <w:jc w:val="right"/>
    </w:pPr>
    <w:r>
      <w:rPr>
        <w:rFonts w:hint="eastAsia"/>
      </w:rPr>
      <w:t>中信证券信远一年持有期混合型集合资产管理计划托管协议</w:t>
    </w:r>
  </w:p>
  <w:p w14:paraId="44FD85C3" w14:textId="77777777" w:rsidR="00DD3278" w:rsidRDefault="00DD3278">
    <w:pPr>
      <w:rPr>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EF17" w14:textId="589577BE" w:rsidR="00DD3278" w:rsidRDefault="00DD3278">
    <w:pPr>
      <w:pBdr>
        <w:bottom w:val="single" w:sz="4" w:space="0" w:color="auto"/>
      </w:pBdr>
      <w:jc w:val="right"/>
      <w:rPr>
        <w:u w:val="single"/>
      </w:rPr>
    </w:pPr>
    <w:r>
      <w:rPr>
        <w:rFonts w:hint="eastAsia"/>
        <w:sz w:val="18"/>
        <w:szCs w:val="18"/>
      </w:rPr>
      <w:t>中信证券信远一年持有期混合型集合资产管理计划托管协议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E60"/>
    <w:rsid w:val="00010474"/>
    <w:rsid w:val="00013E07"/>
    <w:rsid w:val="00017171"/>
    <w:rsid w:val="00021B52"/>
    <w:rsid w:val="00027ECC"/>
    <w:rsid w:val="00033C90"/>
    <w:rsid w:val="000341B9"/>
    <w:rsid w:val="00037BD7"/>
    <w:rsid w:val="00044594"/>
    <w:rsid w:val="00045A68"/>
    <w:rsid w:val="00055F9D"/>
    <w:rsid w:val="000614E9"/>
    <w:rsid w:val="0006364E"/>
    <w:rsid w:val="00064B8B"/>
    <w:rsid w:val="000717BB"/>
    <w:rsid w:val="0007295D"/>
    <w:rsid w:val="00073B87"/>
    <w:rsid w:val="00075A0A"/>
    <w:rsid w:val="000776CF"/>
    <w:rsid w:val="0008298F"/>
    <w:rsid w:val="0008452D"/>
    <w:rsid w:val="00086079"/>
    <w:rsid w:val="00091065"/>
    <w:rsid w:val="00091755"/>
    <w:rsid w:val="00097291"/>
    <w:rsid w:val="00097489"/>
    <w:rsid w:val="000A1407"/>
    <w:rsid w:val="000B0CCE"/>
    <w:rsid w:val="000B2760"/>
    <w:rsid w:val="000B710F"/>
    <w:rsid w:val="000C5DE7"/>
    <w:rsid w:val="000C6828"/>
    <w:rsid w:val="000D280E"/>
    <w:rsid w:val="000D3324"/>
    <w:rsid w:val="000E4CEC"/>
    <w:rsid w:val="000E76F3"/>
    <w:rsid w:val="000F587D"/>
    <w:rsid w:val="00103C81"/>
    <w:rsid w:val="00103E4C"/>
    <w:rsid w:val="001116E0"/>
    <w:rsid w:val="00123D97"/>
    <w:rsid w:val="00124279"/>
    <w:rsid w:val="0012575C"/>
    <w:rsid w:val="00127A99"/>
    <w:rsid w:val="00127B3E"/>
    <w:rsid w:val="00133C0C"/>
    <w:rsid w:val="0013786B"/>
    <w:rsid w:val="0014780A"/>
    <w:rsid w:val="00161948"/>
    <w:rsid w:val="00163142"/>
    <w:rsid w:val="00172893"/>
    <w:rsid w:val="00174391"/>
    <w:rsid w:val="00183466"/>
    <w:rsid w:val="00192A8C"/>
    <w:rsid w:val="001A1E3E"/>
    <w:rsid w:val="001B47AB"/>
    <w:rsid w:val="001C5DD3"/>
    <w:rsid w:val="001D1D82"/>
    <w:rsid w:val="001D4552"/>
    <w:rsid w:val="001E23EE"/>
    <w:rsid w:val="001E5AC1"/>
    <w:rsid w:val="001E7652"/>
    <w:rsid w:val="001F1C73"/>
    <w:rsid w:val="001F2CCB"/>
    <w:rsid w:val="001F5698"/>
    <w:rsid w:val="00200CB6"/>
    <w:rsid w:val="002116C5"/>
    <w:rsid w:val="0022001D"/>
    <w:rsid w:val="002224AA"/>
    <w:rsid w:val="00246E66"/>
    <w:rsid w:val="002606D4"/>
    <w:rsid w:val="00261B1E"/>
    <w:rsid w:val="00264148"/>
    <w:rsid w:val="00266CF9"/>
    <w:rsid w:val="00275E61"/>
    <w:rsid w:val="00277C08"/>
    <w:rsid w:val="002804F6"/>
    <w:rsid w:val="002A2607"/>
    <w:rsid w:val="002A4AEA"/>
    <w:rsid w:val="002A6511"/>
    <w:rsid w:val="002B13C0"/>
    <w:rsid w:val="002B4BB9"/>
    <w:rsid w:val="002B7290"/>
    <w:rsid w:val="002B74D2"/>
    <w:rsid w:val="002C114E"/>
    <w:rsid w:val="002E27B2"/>
    <w:rsid w:val="002E3192"/>
    <w:rsid w:val="002F2056"/>
    <w:rsid w:val="00303717"/>
    <w:rsid w:val="003042C4"/>
    <w:rsid w:val="00305596"/>
    <w:rsid w:val="00313D3F"/>
    <w:rsid w:val="0032155A"/>
    <w:rsid w:val="00322FD5"/>
    <w:rsid w:val="00324FDD"/>
    <w:rsid w:val="00332B82"/>
    <w:rsid w:val="00332D90"/>
    <w:rsid w:val="00350DC8"/>
    <w:rsid w:val="003539E6"/>
    <w:rsid w:val="00355453"/>
    <w:rsid w:val="00356AA9"/>
    <w:rsid w:val="00361CB9"/>
    <w:rsid w:val="003701FF"/>
    <w:rsid w:val="003721CD"/>
    <w:rsid w:val="003862B3"/>
    <w:rsid w:val="00387EA6"/>
    <w:rsid w:val="003976E4"/>
    <w:rsid w:val="003A4061"/>
    <w:rsid w:val="003A6E48"/>
    <w:rsid w:val="003B02D8"/>
    <w:rsid w:val="003B2293"/>
    <w:rsid w:val="003B48F3"/>
    <w:rsid w:val="003B53EF"/>
    <w:rsid w:val="003C0A89"/>
    <w:rsid w:val="003C1BF8"/>
    <w:rsid w:val="003C2149"/>
    <w:rsid w:val="003C4EA2"/>
    <w:rsid w:val="003D63EE"/>
    <w:rsid w:val="003E1C69"/>
    <w:rsid w:val="003E33F2"/>
    <w:rsid w:val="003E3510"/>
    <w:rsid w:val="003E474F"/>
    <w:rsid w:val="003E487E"/>
    <w:rsid w:val="003E4E01"/>
    <w:rsid w:val="003F1879"/>
    <w:rsid w:val="003F3154"/>
    <w:rsid w:val="003F43B4"/>
    <w:rsid w:val="003F4B13"/>
    <w:rsid w:val="00401E35"/>
    <w:rsid w:val="004044B4"/>
    <w:rsid w:val="00413BF1"/>
    <w:rsid w:val="00424431"/>
    <w:rsid w:val="00431CB7"/>
    <w:rsid w:val="004362A3"/>
    <w:rsid w:val="00442A06"/>
    <w:rsid w:val="00446155"/>
    <w:rsid w:val="004464F4"/>
    <w:rsid w:val="00446AAE"/>
    <w:rsid w:val="00451359"/>
    <w:rsid w:val="00456709"/>
    <w:rsid w:val="0046338D"/>
    <w:rsid w:val="004774B0"/>
    <w:rsid w:val="0048297B"/>
    <w:rsid w:val="00487FD0"/>
    <w:rsid w:val="004A04CF"/>
    <w:rsid w:val="004A1B23"/>
    <w:rsid w:val="004A50BA"/>
    <w:rsid w:val="004A529C"/>
    <w:rsid w:val="004A58DD"/>
    <w:rsid w:val="004B001B"/>
    <w:rsid w:val="004B2706"/>
    <w:rsid w:val="004B412F"/>
    <w:rsid w:val="004B5A4F"/>
    <w:rsid w:val="004C19B7"/>
    <w:rsid w:val="004D5E66"/>
    <w:rsid w:val="004D7809"/>
    <w:rsid w:val="004E1FE4"/>
    <w:rsid w:val="004E58FE"/>
    <w:rsid w:val="004F01DF"/>
    <w:rsid w:val="004F0DE8"/>
    <w:rsid w:val="00510812"/>
    <w:rsid w:val="00513FA1"/>
    <w:rsid w:val="00514066"/>
    <w:rsid w:val="00517D62"/>
    <w:rsid w:val="00521172"/>
    <w:rsid w:val="005251F0"/>
    <w:rsid w:val="005310C4"/>
    <w:rsid w:val="005369BA"/>
    <w:rsid w:val="00540F64"/>
    <w:rsid w:val="00541DC6"/>
    <w:rsid w:val="00542026"/>
    <w:rsid w:val="0054232A"/>
    <w:rsid w:val="00547442"/>
    <w:rsid w:val="00550286"/>
    <w:rsid w:val="005522E4"/>
    <w:rsid w:val="00553D6A"/>
    <w:rsid w:val="0055450E"/>
    <w:rsid w:val="00555A76"/>
    <w:rsid w:val="00564248"/>
    <w:rsid w:val="005655C3"/>
    <w:rsid w:val="005702A1"/>
    <w:rsid w:val="00575A1A"/>
    <w:rsid w:val="005877E5"/>
    <w:rsid w:val="005A1B20"/>
    <w:rsid w:val="005A270F"/>
    <w:rsid w:val="005A2FD6"/>
    <w:rsid w:val="005B763C"/>
    <w:rsid w:val="005D2C0A"/>
    <w:rsid w:val="005D353C"/>
    <w:rsid w:val="005D3C5B"/>
    <w:rsid w:val="005D5B7B"/>
    <w:rsid w:val="005F5DC8"/>
    <w:rsid w:val="00602F5E"/>
    <w:rsid w:val="0060561F"/>
    <w:rsid w:val="00605DC1"/>
    <w:rsid w:val="00610B86"/>
    <w:rsid w:val="00613845"/>
    <w:rsid w:val="00626655"/>
    <w:rsid w:val="0062677D"/>
    <w:rsid w:val="00631D58"/>
    <w:rsid w:val="0063531F"/>
    <w:rsid w:val="00652136"/>
    <w:rsid w:val="00653870"/>
    <w:rsid w:val="00654BBC"/>
    <w:rsid w:val="006568B7"/>
    <w:rsid w:val="00671B15"/>
    <w:rsid w:val="00675955"/>
    <w:rsid w:val="006849A6"/>
    <w:rsid w:val="00684FAE"/>
    <w:rsid w:val="006860C7"/>
    <w:rsid w:val="0069639C"/>
    <w:rsid w:val="00697F6C"/>
    <w:rsid w:val="006A3A08"/>
    <w:rsid w:val="006B5B92"/>
    <w:rsid w:val="006D32D7"/>
    <w:rsid w:val="006D34A4"/>
    <w:rsid w:val="006E30A4"/>
    <w:rsid w:val="006F17A6"/>
    <w:rsid w:val="00706422"/>
    <w:rsid w:val="00717BDF"/>
    <w:rsid w:val="007212AC"/>
    <w:rsid w:val="00724893"/>
    <w:rsid w:val="007306A2"/>
    <w:rsid w:val="00743394"/>
    <w:rsid w:val="00752A45"/>
    <w:rsid w:val="00756EC9"/>
    <w:rsid w:val="00771D5C"/>
    <w:rsid w:val="00781ACE"/>
    <w:rsid w:val="0078327E"/>
    <w:rsid w:val="007A6CEC"/>
    <w:rsid w:val="007B73D7"/>
    <w:rsid w:val="007C3DDC"/>
    <w:rsid w:val="007C497C"/>
    <w:rsid w:val="007D178A"/>
    <w:rsid w:val="007D5BA8"/>
    <w:rsid w:val="007E0474"/>
    <w:rsid w:val="007E0B5D"/>
    <w:rsid w:val="007E2CF7"/>
    <w:rsid w:val="007F1371"/>
    <w:rsid w:val="00800C23"/>
    <w:rsid w:val="00804605"/>
    <w:rsid w:val="00814FFA"/>
    <w:rsid w:val="00815DA3"/>
    <w:rsid w:val="008177D3"/>
    <w:rsid w:val="00831619"/>
    <w:rsid w:val="00836DE0"/>
    <w:rsid w:val="00837D00"/>
    <w:rsid w:val="008660FA"/>
    <w:rsid w:val="00875B5F"/>
    <w:rsid w:val="008845B3"/>
    <w:rsid w:val="00887359"/>
    <w:rsid w:val="00890589"/>
    <w:rsid w:val="00893474"/>
    <w:rsid w:val="00894919"/>
    <w:rsid w:val="008A6462"/>
    <w:rsid w:val="008C752C"/>
    <w:rsid w:val="008D03E6"/>
    <w:rsid w:val="008D5D05"/>
    <w:rsid w:val="008D5F47"/>
    <w:rsid w:val="008D7139"/>
    <w:rsid w:val="008F437E"/>
    <w:rsid w:val="009010F1"/>
    <w:rsid w:val="00904231"/>
    <w:rsid w:val="009054BF"/>
    <w:rsid w:val="009058FF"/>
    <w:rsid w:val="00912E2F"/>
    <w:rsid w:val="00914523"/>
    <w:rsid w:val="00923C38"/>
    <w:rsid w:val="0093168F"/>
    <w:rsid w:val="00934B95"/>
    <w:rsid w:val="00945CD1"/>
    <w:rsid w:val="00956727"/>
    <w:rsid w:val="00956926"/>
    <w:rsid w:val="00973C37"/>
    <w:rsid w:val="00974E62"/>
    <w:rsid w:val="009760E0"/>
    <w:rsid w:val="0097710D"/>
    <w:rsid w:val="0097765D"/>
    <w:rsid w:val="00987307"/>
    <w:rsid w:val="009A4B6A"/>
    <w:rsid w:val="009B5F7F"/>
    <w:rsid w:val="009B63B2"/>
    <w:rsid w:val="009C310C"/>
    <w:rsid w:val="009C3189"/>
    <w:rsid w:val="009C3B52"/>
    <w:rsid w:val="009D2C7D"/>
    <w:rsid w:val="009D4FF2"/>
    <w:rsid w:val="009E0B08"/>
    <w:rsid w:val="009E3E2F"/>
    <w:rsid w:val="009E47FB"/>
    <w:rsid w:val="009E5C35"/>
    <w:rsid w:val="009E6AF6"/>
    <w:rsid w:val="009F3A6C"/>
    <w:rsid w:val="00A03CAB"/>
    <w:rsid w:val="00A06E6C"/>
    <w:rsid w:val="00A105F4"/>
    <w:rsid w:val="00A24A14"/>
    <w:rsid w:val="00A26605"/>
    <w:rsid w:val="00A37192"/>
    <w:rsid w:val="00A42F3E"/>
    <w:rsid w:val="00A445AD"/>
    <w:rsid w:val="00A4628F"/>
    <w:rsid w:val="00A46789"/>
    <w:rsid w:val="00A46D0E"/>
    <w:rsid w:val="00A6004A"/>
    <w:rsid w:val="00A6205B"/>
    <w:rsid w:val="00A80B32"/>
    <w:rsid w:val="00A93AB0"/>
    <w:rsid w:val="00A94D5A"/>
    <w:rsid w:val="00A95694"/>
    <w:rsid w:val="00A956CE"/>
    <w:rsid w:val="00A95D69"/>
    <w:rsid w:val="00AA442C"/>
    <w:rsid w:val="00AA5402"/>
    <w:rsid w:val="00AB592A"/>
    <w:rsid w:val="00AC1B33"/>
    <w:rsid w:val="00AC2C2D"/>
    <w:rsid w:val="00AC6828"/>
    <w:rsid w:val="00AD1D47"/>
    <w:rsid w:val="00AD2676"/>
    <w:rsid w:val="00AE1576"/>
    <w:rsid w:val="00AE570B"/>
    <w:rsid w:val="00AF2A26"/>
    <w:rsid w:val="00B00884"/>
    <w:rsid w:val="00B01049"/>
    <w:rsid w:val="00B11CE6"/>
    <w:rsid w:val="00B1322E"/>
    <w:rsid w:val="00B16BDE"/>
    <w:rsid w:val="00B21A0F"/>
    <w:rsid w:val="00B25D5C"/>
    <w:rsid w:val="00B33E4E"/>
    <w:rsid w:val="00B446D3"/>
    <w:rsid w:val="00B46791"/>
    <w:rsid w:val="00B60F95"/>
    <w:rsid w:val="00B6792C"/>
    <w:rsid w:val="00B75498"/>
    <w:rsid w:val="00B83F06"/>
    <w:rsid w:val="00B87B93"/>
    <w:rsid w:val="00B90AD4"/>
    <w:rsid w:val="00B90CDB"/>
    <w:rsid w:val="00B94D86"/>
    <w:rsid w:val="00BA214D"/>
    <w:rsid w:val="00BA3887"/>
    <w:rsid w:val="00BB4B66"/>
    <w:rsid w:val="00BB771F"/>
    <w:rsid w:val="00BC117C"/>
    <w:rsid w:val="00BC16BA"/>
    <w:rsid w:val="00BC1CD3"/>
    <w:rsid w:val="00BC4C7E"/>
    <w:rsid w:val="00BD6DE4"/>
    <w:rsid w:val="00BE2B1E"/>
    <w:rsid w:val="00BE4985"/>
    <w:rsid w:val="00BF1FF1"/>
    <w:rsid w:val="00C0301A"/>
    <w:rsid w:val="00C041D4"/>
    <w:rsid w:val="00C1318B"/>
    <w:rsid w:val="00C135AE"/>
    <w:rsid w:val="00C14E75"/>
    <w:rsid w:val="00C216DB"/>
    <w:rsid w:val="00C2496A"/>
    <w:rsid w:val="00C25BCF"/>
    <w:rsid w:val="00C2707C"/>
    <w:rsid w:val="00C320EE"/>
    <w:rsid w:val="00C32D5A"/>
    <w:rsid w:val="00C34109"/>
    <w:rsid w:val="00C37D67"/>
    <w:rsid w:val="00C403C1"/>
    <w:rsid w:val="00C42FA3"/>
    <w:rsid w:val="00C46140"/>
    <w:rsid w:val="00C53651"/>
    <w:rsid w:val="00C541B9"/>
    <w:rsid w:val="00C56A08"/>
    <w:rsid w:val="00C6727A"/>
    <w:rsid w:val="00C71D85"/>
    <w:rsid w:val="00C84F79"/>
    <w:rsid w:val="00C87AFD"/>
    <w:rsid w:val="00C91731"/>
    <w:rsid w:val="00C92F7E"/>
    <w:rsid w:val="00C956DB"/>
    <w:rsid w:val="00CA0686"/>
    <w:rsid w:val="00CA0A05"/>
    <w:rsid w:val="00CA0E02"/>
    <w:rsid w:val="00CA1E12"/>
    <w:rsid w:val="00CA3EDA"/>
    <w:rsid w:val="00CA7E99"/>
    <w:rsid w:val="00CB1302"/>
    <w:rsid w:val="00CB5DE6"/>
    <w:rsid w:val="00CB60B6"/>
    <w:rsid w:val="00CB695A"/>
    <w:rsid w:val="00CC5A82"/>
    <w:rsid w:val="00CC6B3A"/>
    <w:rsid w:val="00CD34A4"/>
    <w:rsid w:val="00CD45B0"/>
    <w:rsid w:val="00CD47E3"/>
    <w:rsid w:val="00CD4963"/>
    <w:rsid w:val="00CD6D75"/>
    <w:rsid w:val="00CD7955"/>
    <w:rsid w:val="00CD7AB8"/>
    <w:rsid w:val="00CF25D6"/>
    <w:rsid w:val="00CF3258"/>
    <w:rsid w:val="00CF608A"/>
    <w:rsid w:val="00CF711D"/>
    <w:rsid w:val="00D015B1"/>
    <w:rsid w:val="00D14003"/>
    <w:rsid w:val="00D16C6C"/>
    <w:rsid w:val="00D2129C"/>
    <w:rsid w:val="00D24055"/>
    <w:rsid w:val="00D45C6C"/>
    <w:rsid w:val="00D559D2"/>
    <w:rsid w:val="00D573C0"/>
    <w:rsid w:val="00D72D23"/>
    <w:rsid w:val="00D749EB"/>
    <w:rsid w:val="00D85263"/>
    <w:rsid w:val="00D87D20"/>
    <w:rsid w:val="00D91108"/>
    <w:rsid w:val="00D9190B"/>
    <w:rsid w:val="00D9317F"/>
    <w:rsid w:val="00DA20A0"/>
    <w:rsid w:val="00DA6A57"/>
    <w:rsid w:val="00DA6C57"/>
    <w:rsid w:val="00DC25D5"/>
    <w:rsid w:val="00DC2B36"/>
    <w:rsid w:val="00DC6292"/>
    <w:rsid w:val="00DD3278"/>
    <w:rsid w:val="00DE181F"/>
    <w:rsid w:val="00DE1A8F"/>
    <w:rsid w:val="00DE1B26"/>
    <w:rsid w:val="00DE5027"/>
    <w:rsid w:val="00DE5742"/>
    <w:rsid w:val="00E1522E"/>
    <w:rsid w:val="00E1560B"/>
    <w:rsid w:val="00E17543"/>
    <w:rsid w:val="00E250E0"/>
    <w:rsid w:val="00E264FC"/>
    <w:rsid w:val="00E41A5E"/>
    <w:rsid w:val="00E43069"/>
    <w:rsid w:val="00E444C0"/>
    <w:rsid w:val="00E52309"/>
    <w:rsid w:val="00E632A8"/>
    <w:rsid w:val="00E7009F"/>
    <w:rsid w:val="00E72A11"/>
    <w:rsid w:val="00E77D13"/>
    <w:rsid w:val="00E84F6E"/>
    <w:rsid w:val="00E93920"/>
    <w:rsid w:val="00EB15D6"/>
    <w:rsid w:val="00EB76F8"/>
    <w:rsid w:val="00EC5694"/>
    <w:rsid w:val="00EC640D"/>
    <w:rsid w:val="00ED0F84"/>
    <w:rsid w:val="00ED1186"/>
    <w:rsid w:val="00ED6A94"/>
    <w:rsid w:val="00EE0B89"/>
    <w:rsid w:val="00EE20BE"/>
    <w:rsid w:val="00F0202A"/>
    <w:rsid w:val="00F02E09"/>
    <w:rsid w:val="00F03EC4"/>
    <w:rsid w:val="00F11144"/>
    <w:rsid w:val="00F1133F"/>
    <w:rsid w:val="00F12070"/>
    <w:rsid w:val="00F142C6"/>
    <w:rsid w:val="00F142F5"/>
    <w:rsid w:val="00F16D49"/>
    <w:rsid w:val="00F171EF"/>
    <w:rsid w:val="00F3285A"/>
    <w:rsid w:val="00F35D26"/>
    <w:rsid w:val="00F37D91"/>
    <w:rsid w:val="00F45A57"/>
    <w:rsid w:val="00F466B5"/>
    <w:rsid w:val="00F47900"/>
    <w:rsid w:val="00F514D8"/>
    <w:rsid w:val="00F60310"/>
    <w:rsid w:val="00F626BC"/>
    <w:rsid w:val="00F80259"/>
    <w:rsid w:val="00F86A3A"/>
    <w:rsid w:val="00F94232"/>
    <w:rsid w:val="00FA06E8"/>
    <w:rsid w:val="00FA0C88"/>
    <w:rsid w:val="00FA5FC3"/>
    <w:rsid w:val="00FB0993"/>
    <w:rsid w:val="00FB21C8"/>
    <w:rsid w:val="00FB4C79"/>
    <w:rsid w:val="00FC29B7"/>
    <w:rsid w:val="00FC3B98"/>
    <w:rsid w:val="00FD1A3F"/>
    <w:rsid w:val="00FD32AC"/>
    <w:rsid w:val="00FF0196"/>
    <w:rsid w:val="00FF0B74"/>
    <w:rsid w:val="00FF2DA6"/>
    <w:rsid w:val="00FF7C5C"/>
    <w:rsid w:val="06B21C0A"/>
    <w:rsid w:val="0A617E69"/>
    <w:rsid w:val="144839CD"/>
    <w:rsid w:val="1CDF5EB8"/>
    <w:rsid w:val="1D2E7CA2"/>
    <w:rsid w:val="1EEC6721"/>
    <w:rsid w:val="268450FD"/>
    <w:rsid w:val="289B104C"/>
    <w:rsid w:val="31466191"/>
    <w:rsid w:val="33B64E87"/>
    <w:rsid w:val="37A965C8"/>
    <w:rsid w:val="38793EF9"/>
    <w:rsid w:val="390B061F"/>
    <w:rsid w:val="3ADC72BC"/>
    <w:rsid w:val="3B2B260C"/>
    <w:rsid w:val="3F6D7A10"/>
    <w:rsid w:val="402975C1"/>
    <w:rsid w:val="40B341E2"/>
    <w:rsid w:val="4A192E35"/>
    <w:rsid w:val="4C745010"/>
    <w:rsid w:val="4E851DDE"/>
    <w:rsid w:val="514D28DD"/>
    <w:rsid w:val="550F2E4A"/>
    <w:rsid w:val="573C52F9"/>
    <w:rsid w:val="5EA92116"/>
    <w:rsid w:val="60B70EA3"/>
    <w:rsid w:val="65673F75"/>
    <w:rsid w:val="68C9264B"/>
    <w:rsid w:val="6C75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FFF3E9"/>
  <w15:docId w15:val="{D655DDCB-4952-4806-9A5C-C48CB65D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qFormat/>
    <w:pPr>
      <w:jc w:val="left"/>
    </w:pPr>
    <w:rPr>
      <w:rFonts w:asciiTheme="minorHAnsi" w:eastAsiaTheme="minorEastAsia" w:hAnsiTheme="minorHAnsi" w:cstheme="minorBidi"/>
      <w:szCs w:val="22"/>
    </w:rPr>
  </w:style>
  <w:style w:type="paragraph" w:styleId="a7">
    <w:name w:val="Plain Text"/>
    <w:basedOn w:val="a"/>
    <w:link w:val="a8"/>
    <w:uiPriority w:val="99"/>
    <w:qFormat/>
    <w:pPr>
      <w:adjustRightInd w:val="0"/>
      <w:spacing w:line="312" w:lineRule="atLeast"/>
      <w:textAlignment w:val="baseline"/>
    </w:pPr>
    <w:rPr>
      <w:rFonts w:ascii="宋体" w:hAnsi="Courier New"/>
      <w:kern w:val="0"/>
    </w:rPr>
  </w:style>
  <w:style w:type="paragraph" w:styleId="21">
    <w:name w:val="Body Text Indent 2"/>
    <w:basedOn w:val="a"/>
    <w:link w:val="22"/>
    <w:qFormat/>
    <w:pPr>
      <w:spacing w:before="60" w:after="60"/>
      <w:ind w:left="479"/>
    </w:pPr>
    <w:rPr>
      <w:rFonts w:ascii="宋体" w:eastAsiaTheme="minorEastAsia" w:hAnsiTheme="minorHAnsi" w:cstheme="minorBidi"/>
      <w:sz w:val="24"/>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hyphen" w:pos="8296"/>
      </w:tabs>
      <w:spacing w:line="360" w:lineRule="auto"/>
    </w:pPr>
    <w:rPr>
      <w:sz w:val="24"/>
      <w:szCs w:val="24"/>
    </w:rPr>
  </w:style>
  <w:style w:type="paragraph" w:styleId="3">
    <w:name w:val="Body Text Indent 3"/>
    <w:basedOn w:val="a"/>
    <w:link w:val="30"/>
    <w:uiPriority w:val="99"/>
    <w:semiHidden/>
    <w:unhideWhenUsed/>
    <w:qFormat/>
    <w:pPr>
      <w:spacing w:after="120"/>
      <w:ind w:leftChars="200" w:left="420"/>
    </w:pPr>
    <w:rPr>
      <w:sz w:val="16"/>
      <w:szCs w:val="16"/>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0">
    <w:name w:val="annotation subject"/>
    <w:basedOn w:val="a5"/>
    <w:next w:val="a5"/>
    <w:link w:val="af1"/>
    <w:uiPriority w:val="99"/>
    <w:semiHidden/>
    <w:unhideWhenUsed/>
    <w:qFormat/>
    <w:rPr>
      <w:rFonts w:ascii="Times New Roman" w:eastAsia="宋体" w:hAnsi="Times New Roman" w:cs="Times New Roman"/>
      <w:b/>
      <w:bCs/>
      <w:szCs w:val="20"/>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10">
    <w:name w:val="标题 1 字符"/>
    <w:basedOn w:val="a0"/>
    <w:link w:val="1"/>
    <w:uiPriority w:val="9"/>
    <w:qFormat/>
    <w:rPr>
      <w:rFonts w:ascii="宋体" w:eastAsia="宋体" w:hAnsi="宋体" w:cs="Times New Roman"/>
      <w:b/>
      <w:color w:val="000000"/>
      <w:sz w:val="24"/>
      <w:szCs w:val="20"/>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6">
    <w:name w:val="批注文字 字符"/>
    <w:link w:val="a5"/>
    <w:uiPriority w:val="99"/>
    <w:qFormat/>
  </w:style>
  <w:style w:type="character" w:customStyle="1" w:styleId="ac">
    <w:name w:val="页脚 字符"/>
    <w:link w:val="ab"/>
    <w:uiPriority w:val="99"/>
    <w:qFormat/>
    <w:rPr>
      <w:sz w:val="18"/>
      <w:szCs w:val="18"/>
    </w:rPr>
  </w:style>
  <w:style w:type="character" w:customStyle="1" w:styleId="22">
    <w:name w:val="正文文本缩进 2 字符"/>
    <w:link w:val="21"/>
    <w:qFormat/>
    <w:rPr>
      <w:rFonts w:ascii="宋体"/>
      <w:sz w:val="24"/>
    </w:rPr>
  </w:style>
  <w:style w:type="character" w:customStyle="1" w:styleId="Char1">
    <w:name w:val="页脚 Char1"/>
    <w:basedOn w:val="a0"/>
    <w:uiPriority w:val="99"/>
    <w:semiHidden/>
    <w:qFormat/>
    <w:rPr>
      <w:rFonts w:ascii="Times New Roman" w:eastAsia="宋体" w:hAnsi="Times New Roman" w:cs="Times New Roman"/>
      <w:sz w:val="18"/>
      <w:szCs w:val="18"/>
    </w:rPr>
  </w:style>
  <w:style w:type="character" w:customStyle="1" w:styleId="Char10">
    <w:name w:val="批注文字 Char1"/>
    <w:basedOn w:val="a0"/>
    <w:uiPriority w:val="99"/>
    <w:semiHidden/>
    <w:qFormat/>
    <w:rPr>
      <w:rFonts w:ascii="Times New Roman" w:eastAsia="宋体" w:hAnsi="Times New Roman" w:cs="Times New Roman"/>
      <w:szCs w:val="20"/>
    </w:rPr>
  </w:style>
  <w:style w:type="character" w:customStyle="1" w:styleId="2Char1">
    <w:name w:val="正文文本缩进 2 Char1"/>
    <w:basedOn w:val="a0"/>
    <w:uiPriority w:val="99"/>
    <w:semiHidden/>
    <w:qFormat/>
    <w:rPr>
      <w:rFonts w:ascii="Times New Roman" w:eastAsia="宋体" w:hAnsi="Times New Roman" w:cs="Times New Roman"/>
      <w:szCs w:val="20"/>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f1">
    <w:name w:val="批注主题 字符"/>
    <w:basedOn w:val="a6"/>
    <w:link w:val="af0"/>
    <w:uiPriority w:val="99"/>
    <w:semiHidden/>
    <w:qFormat/>
    <w:rPr>
      <w:rFonts w:ascii="Times New Roman" w:eastAsia="宋体" w:hAnsi="Times New Roman" w:cs="Times New Roman"/>
      <w:b/>
      <w:bCs/>
      <w:szCs w:val="20"/>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纯文本 字符"/>
    <w:basedOn w:val="a0"/>
    <w:link w:val="a7"/>
    <w:uiPriority w:val="99"/>
    <w:qFormat/>
    <w:rPr>
      <w:rFonts w:ascii="宋体" w:eastAsia="宋体" w:hAnsi="Courier New" w:cs="Times New Roman"/>
      <w:kern w:val="0"/>
      <w:szCs w:val="20"/>
    </w:rPr>
  </w:style>
  <w:style w:type="character" w:customStyle="1" w:styleId="30">
    <w:name w:val="正文文本缩进 3 字符"/>
    <w:basedOn w:val="a0"/>
    <w:link w:val="3"/>
    <w:uiPriority w:val="99"/>
    <w:semiHidden/>
    <w:qFormat/>
    <w:rPr>
      <w:rFonts w:ascii="Times New Roman" w:eastAsia="宋体" w:hAnsi="Times New Roman" w:cs="Times New Roman"/>
      <w:sz w:val="16"/>
      <w:szCs w:val="16"/>
    </w:rPr>
  </w:style>
  <w:style w:type="paragraph" w:customStyle="1" w:styleId="12">
    <w:name w:val="修订1"/>
    <w:hidden/>
    <w:uiPriority w:val="99"/>
    <w:semiHidden/>
    <w:qFormat/>
    <w:rPr>
      <w:kern w:val="2"/>
      <w:sz w:val="21"/>
    </w:rPr>
  </w:style>
  <w:style w:type="paragraph" w:customStyle="1" w:styleId="23">
    <w:name w:val="修订2"/>
    <w:hidden/>
    <w:uiPriority w:val="99"/>
    <w:semiHidden/>
    <w:qFormat/>
    <w:rPr>
      <w:kern w:val="2"/>
      <w:sz w:val="21"/>
    </w:rPr>
  </w:style>
  <w:style w:type="paragraph" w:customStyle="1" w:styleId="31">
    <w:name w:val="修订3"/>
    <w:hidden/>
    <w:uiPriority w:val="99"/>
    <w:semiHidden/>
    <w:qFormat/>
    <w:rPr>
      <w:kern w:val="2"/>
      <w:sz w:val="21"/>
    </w:rPr>
  </w:style>
  <w:style w:type="paragraph" w:customStyle="1" w:styleId="4">
    <w:name w:val="修订4"/>
    <w:hidden/>
    <w:uiPriority w:val="99"/>
    <w:semiHidden/>
    <w:qFormat/>
    <w:rPr>
      <w:kern w:val="2"/>
      <w:sz w:val="21"/>
    </w:rPr>
  </w:style>
  <w:style w:type="character" w:customStyle="1" w:styleId="13">
    <w:name w:val="批注文字 字符1"/>
    <w:uiPriority w:val="99"/>
    <w:qFormat/>
    <w:rPr>
      <w:kern w:val="2"/>
      <w:sz w:val="21"/>
    </w:rPr>
  </w:style>
  <w:style w:type="paragraph" w:styleId="af5">
    <w:name w:val="Body Text"/>
    <w:basedOn w:val="a"/>
    <w:link w:val="af6"/>
    <w:uiPriority w:val="99"/>
    <w:semiHidden/>
    <w:unhideWhenUsed/>
    <w:rsid w:val="00322FD5"/>
    <w:pPr>
      <w:spacing w:after="120"/>
    </w:pPr>
  </w:style>
  <w:style w:type="character" w:customStyle="1" w:styleId="af6">
    <w:name w:val="正文文本 字符"/>
    <w:basedOn w:val="a0"/>
    <w:link w:val="af5"/>
    <w:uiPriority w:val="99"/>
    <w:semiHidden/>
    <w:rsid w:val="00322FD5"/>
    <w:rPr>
      <w:kern w:val="2"/>
      <w:sz w:val="21"/>
    </w:rPr>
  </w:style>
  <w:style w:type="paragraph" w:styleId="af7">
    <w:name w:val="Revision"/>
    <w:hidden/>
    <w:uiPriority w:val="99"/>
    <w:semiHidden/>
    <w:rsid w:val="00B446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4.xml"/><Relationship Id="rId5" Type="http://schemas.openxmlformats.org/officeDocument/2006/relationships/footnotes" Target="footnotes.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43.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4998</Words>
  <Characters>28492</Characters>
  <Application>Microsoft Office Word</Application>
  <DocSecurity>0</DocSecurity>
  <Lines>237</Lines>
  <Paragraphs>66</Paragraphs>
  <ScaleCrop>false</ScaleCrop>
  <Company>Lenovo</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孙岳童</dc:creator>
  <cp:lastModifiedBy>郑丽霞</cp:lastModifiedBy>
  <cp:revision>3</cp:revision>
  <cp:lastPrinted>2021-03-08T06:28:00Z</cp:lastPrinted>
  <dcterms:created xsi:type="dcterms:W3CDTF">2021-03-08T06:28:00Z</dcterms:created>
  <dcterms:modified xsi:type="dcterms:W3CDTF">2021-03-08T06:29:00Z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