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66276" w14:textId="6B817DAA" w:rsidR="00AE4DAB" w:rsidRDefault="00AE4DAB" w:rsidP="00C6705B">
      <w:pPr>
        <w:spacing w:line="520" w:lineRule="exact"/>
        <w:jc w:val="right"/>
        <w:rPr>
          <w:rFonts w:ascii="宋体" w:hAnsi="宋体"/>
          <w:sz w:val="28"/>
          <w:szCs w:val="28"/>
          <w14:shadow w14:blurRad="50800" w14:dist="38100" w14:dir="2700000" w14:sx="100000" w14:sy="100000" w14:kx="0" w14:ky="0" w14:algn="tl">
            <w14:srgbClr w14:val="000000">
              <w14:alpha w14:val="60000"/>
            </w14:srgbClr>
          </w14:shadow>
        </w:rPr>
      </w:pPr>
    </w:p>
    <w:p w14:paraId="406BFB12" w14:textId="77777777" w:rsidR="00AE4DAB" w:rsidRDefault="00AE4DA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098BAFD8" w14:textId="77777777" w:rsidR="00AE4DAB" w:rsidRDefault="00AE4DA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EE59DD3" w14:textId="77777777" w:rsidR="00AE4DAB" w:rsidRDefault="00AE4DA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59E495DF" w14:textId="77777777" w:rsidR="00AE4DAB" w:rsidRDefault="00AE4DA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31566D45" w14:textId="77777777" w:rsidR="00C6705B" w:rsidRDefault="00C6705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5BAAC110" w14:textId="77777777" w:rsidR="00C6705B" w:rsidRDefault="00C6705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0BD6A37" w14:textId="77777777" w:rsidR="00C6705B" w:rsidRDefault="00C6705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3DA08CEF" w14:textId="77777777" w:rsidR="003D3783" w:rsidRDefault="00B63E1E">
      <w:pPr>
        <w:spacing w:line="360" w:lineRule="auto"/>
        <w:jc w:val="center"/>
        <w:rPr>
          <w:rFonts w:ascii="宋体" w:hAnsi="宋体"/>
          <w:b/>
          <w:sz w:val="48"/>
        </w:rPr>
      </w:pPr>
      <w:r w:rsidRPr="00B63E1E">
        <w:rPr>
          <w:rFonts w:ascii="宋体" w:hAnsi="宋体" w:hint="eastAsia"/>
          <w:b/>
          <w:sz w:val="48"/>
        </w:rPr>
        <w:t>太平</w:t>
      </w:r>
      <w:proofErr w:type="gramStart"/>
      <w:r w:rsidRPr="00B63E1E">
        <w:rPr>
          <w:rFonts w:ascii="宋体" w:hAnsi="宋体" w:hint="eastAsia"/>
          <w:b/>
          <w:sz w:val="48"/>
        </w:rPr>
        <w:t>睿</w:t>
      </w:r>
      <w:proofErr w:type="gramEnd"/>
      <w:r w:rsidRPr="00B63E1E">
        <w:rPr>
          <w:rFonts w:ascii="宋体" w:hAnsi="宋体" w:hint="eastAsia"/>
          <w:b/>
          <w:sz w:val="48"/>
        </w:rPr>
        <w:t>享混合型证券投资基金</w:t>
      </w:r>
    </w:p>
    <w:p w14:paraId="534B7534" w14:textId="13438A65" w:rsidR="00AE4DAB" w:rsidRDefault="00F162B2">
      <w:pPr>
        <w:spacing w:line="360" w:lineRule="auto"/>
        <w:jc w:val="center"/>
        <w:rPr>
          <w:rFonts w:ascii="宋体" w:hAnsi="宋体"/>
          <w:b/>
          <w:sz w:val="48"/>
          <w:highlight w:val="magenta"/>
        </w:rPr>
      </w:pPr>
      <w:r>
        <w:rPr>
          <w:rFonts w:ascii="宋体" w:hAnsi="宋体" w:hint="eastAsia"/>
          <w:b/>
          <w:sz w:val="48"/>
        </w:rPr>
        <w:t>托管协议</w:t>
      </w:r>
    </w:p>
    <w:p w14:paraId="10DC3791" w14:textId="77777777" w:rsidR="00AE4DAB" w:rsidRDefault="00AE4DAB">
      <w:pPr>
        <w:pStyle w:val="20"/>
        <w:spacing w:line="520" w:lineRule="exact"/>
        <w:ind w:firstLine="560"/>
        <w:rPr>
          <w:rFonts w:hAnsi="宋体"/>
          <w:sz w:val="28"/>
          <w:szCs w:val="28"/>
        </w:rPr>
      </w:pPr>
    </w:p>
    <w:p w14:paraId="6B4C69D3" w14:textId="77777777" w:rsidR="00AE4DAB" w:rsidRDefault="00AE4DAB">
      <w:pPr>
        <w:pStyle w:val="20"/>
        <w:spacing w:line="520" w:lineRule="exact"/>
        <w:ind w:firstLine="560"/>
        <w:rPr>
          <w:rFonts w:hAnsi="宋体"/>
          <w:sz w:val="28"/>
          <w:szCs w:val="28"/>
        </w:rPr>
      </w:pPr>
    </w:p>
    <w:p w14:paraId="6D84ADAC" w14:textId="77777777" w:rsidR="00AE4DAB" w:rsidRDefault="00AE4DAB">
      <w:pPr>
        <w:pStyle w:val="20"/>
        <w:spacing w:line="520" w:lineRule="exact"/>
        <w:ind w:firstLine="560"/>
        <w:rPr>
          <w:rFonts w:hAnsi="宋体"/>
          <w:sz w:val="28"/>
          <w:szCs w:val="28"/>
        </w:rPr>
      </w:pPr>
    </w:p>
    <w:p w14:paraId="1607A097" w14:textId="77777777" w:rsidR="00AE4DAB" w:rsidRDefault="00AE4DAB">
      <w:pPr>
        <w:pStyle w:val="20"/>
        <w:spacing w:line="520" w:lineRule="exact"/>
        <w:ind w:firstLine="560"/>
        <w:rPr>
          <w:rFonts w:hAnsi="宋体"/>
          <w:sz w:val="28"/>
          <w:szCs w:val="28"/>
        </w:rPr>
      </w:pPr>
    </w:p>
    <w:p w14:paraId="3DA87322" w14:textId="77777777" w:rsidR="00AE4DAB" w:rsidRDefault="00F162B2">
      <w:pPr>
        <w:spacing w:line="360" w:lineRule="auto"/>
        <w:jc w:val="center"/>
        <w:rPr>
          <w:rFonts w:ascii="宋体" w:hAnsi="宋体"/>
          <w:b/>
          <w:sz w:val="36"/>
        </w:rPr>
      </w:pPr>
      <w:bookmarkStart w:id="0" w:name="_Toc139991726"/>
      <w:bookmarkStart w:id="1" w:name="_Toc123112224"/>
      <w:bookmarkStart w:id="2" w:name="_Toc139992301"/>
      <w:bookmarkStart w:id="3" w:name="_Toc123112263"/>
      <w:bookmarkStart w:id="4" w:name="_Toc123701383"/>
      <w:r>
        <w:rPr>
          <w:rFonts w:ascii="宋体" w:hAnsi="宋体"/>
          <w:b/>
          <w:sz w:val="36"/>
        </w:rPr>
        <w:t>基金管理人：</w:t>
      </w:r>
      <w:bookmarkEnd w:id="0"/>
      <w:bookmarkEnd w:id="1"/>
      <w:bookmarkEnd w:id="2"/>
      <w:bookmarkEnd w:id="3"/>
      <w:bookmarkEnd w:id="4"/>
      <w:r>
        <w:rPr>
          <w:rFonts w:hint="eastAsia"/>
          <w:b/>
          <w:sz w:val="36"/>
        </w:rPr>
        <w:t>太平基金管理有限公司</w:t>
      </w:r>
      <w:r>
        <w:rPr>
          <w:rFonts w:ascii="宋体" w:hAnsi="宋体" w:hint="eastAsia"/>
          <w:b/>
          <w:sz w:val="36"/>
        </w:rPr>
        <w:t xml:space="preserve"> </w:t>
      </w:r>
    </w:p>
    <w:p w14:paraId="0255B4A0" w14:textId="77777777" w:rsidR="00AE4DAB" w:rsidRDefault="00F162B2">
      <w:pPr>
        <w:spacing w:line="360" w:lineRule="auto"/>
        <w:jc w:val="center"/>
        <w:rPr>
          <w:rFonts w:ascii="宋体" w:hAnsi="宋体"/>
          <w:b/>
          <w:sz w:val="36"/>
        </w:rPr>
      </w:pPr>
      <w:bookmarkStart w:id="5" w:name="_Toc123112264"/>
      <w:bookmarkStart w:id="6" w:name="_Toc139992302"/>
      <w:bookmarkStart w:id="7" w:name="_Toc139991727"/>
      <w:bookmarkStart w:id="8" w:name="_Toc123701384"/>
      <w:bookmarkStart w:id="9" w:name="_Toc123112225"/>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14:paraId="2CFF065D" w14:textId="77777777" w:rsidR="00AE4DAB" w:rsidRDefault="00AE4DAB">
      <w:pPr>
        <w:spacing w:line="360" w:lineRule="auto"/>
        <w:jc w:val="center"/>
        <w:rPr>
          <w:rFonts w:ascii="宋体" w:hAnsi="宋体"/>
          <w:b/>
          <w:sz w:val="44"/>
          <w:szCs w:val="44"/>
        </w:rPr>
      </w:pPr>
    </w:p>
    <w:p w14:paraId="4EA3E605" w14:textId="77777777" w:rsidR="00AE4DAB" w:rsidRDefault="00AE4DAB">
      <w:pPr>
        <w:spacing w:line="360" w:lineRule="auto"/>
        <w:rPr>
          <w:rFonts w:ascii="宋体" w:hAnsi="宋体"/>
          <w:b/>
          <w:szCs w:val="28"/>
        </w:rPr>
      </w:pPr>
    </w:p>
    <w:p w14:paraId="00BC1C32" w14:textId="77777777" w:rsidR="00AE4DAB" w:rsidRDefault="00AE4DAB">
      <w:pPr>
        <w:spacing w:line="360" w:lineRule="auto"/>
        <w:rPr>
          <w:rFonts w:ascii="宋体" w:hAnsi="宋体"/>
          <w:b/>
          <w:bCs/>
          <w:sz w:val="28"/>
          <w:szCs w:val="28"/>
        </w:rPr>
      </w:pPr>
    </w:p>
    <w:p w14:paraId="4B925D7D" w14:textId="77777777" w:rsidR="00AE4DAB" w:rsidRDefault="00F162B2">
      <w:pPr>
        <w:spacing w:line="360" w:lineRule="auto"/>
        <w:ind w:firstLineChars="200" w:firstLine="562"/>
        <w:jc w:val="center"/>
        <w:rPr>
          <w:rFonts w:ascii="宋体" w:hAnsi="宋体"/>
          <w:b/>
          <w:bCs/>
          <w:sz w:val="28"/>
          <w:szCs w:val="28"/>
        </w:rPr>
      </w:pPr>
      <w:r>
        <w:rPr>
          <w:rFonts w:ascii="宋体" w:hAnsi="宋体"/>
          <w:b/>
          <w:bCs/>
          <w:noProof/>
          <w:sz w:val="28"/>
          <w:szCs w:val="28"/>
        </w:rPr>
        <w:drawing>
          <wp:anchor distT="0" distB="0" distL="114300" distR="114300" simplePos="0" relativeHeight="251658240" behindDoc="0" locked="0" layoutInCell="1" allowOverlap="1" wp14:anchorId="0A4B0D6D" wp14:editId="7C4EB5C8">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14:paraId="49196E82" w14:textId="77777777" w:rsidR="00AE4DAB" w:rsidRDefault="00AE4DAB">
      <w:pPr>
        <w:spacing w:line="360" w:lineRule="auto"/>
        <w:rPr>
          <w:rFonts w:ascii="宋体" w:hAnsi="宋体"/>
          <w:b/>
          <w:bCs/>
          <w:sz w:val="28"/>
          <w:szCs w:val="28"/>
        </w:rPr>
      </w:pPr>
    </w:p>
    <w:p w14:paraId="6FB15E52" w14:textId="77777777" w:rsidR="00AE4DAB" w:rsidRDefault="00F162B2">
      <w:pPr>
        <w:spacing w:line="360" w:lineRule="auto"/>
        <w:jc w:val="center"/>
        <w:rPr>
          <w:rFonts w:ascii="宋体" w:hAnsi="宋体"/>
          <w:b/>
          <w:bCs/>
          <w:sz w:val="28"/>
          <w:szCs w:val="28"/>
        </w:rPr>
      </w:pPr>
      <w:r>
        <w:rPr>
          <w:rFonts w:ascii="宋体" w:hAnsi="宋体" w:hint="eastAsia"/>
          <w:b/>
          <w:bCs/>
          <w:sz w:val="28"/>
          <w:szCs w:val="28"/>
        </w:rPr>
        <w:t>目录</w:t>
      </w:r>
    </w:p>
    <w:p w14:paraId="027C5B9D" w14:textId="77777777" w:rsidR="00AE4DAB" w:rsidRDefault="00AE4DAB">
      <w:pPr>
        <w:spacing w:line="360" w:lineRule="auto"/>
        <w:ind w:firstLineChars="200" w:firstLine="562"/>
        <w:jc w:val="center"/>
        <w:rPr>
          <w:rFonts w:ascii="宋体" w:hAnsi="宋体"/>
          <w:b/>
          <w:bCs/>
          <w:sz w:val="28"/>
          <w:szCs w:val="28"/>
        </w:rPr>
      </w:pPr>
    </w:p>
    <w:p w14:paraId="77D35832" w14:textId="61BED685" w:rsidR="00AE4DAB" w:rsidRDefault="00F162B2">
      <w:pPr>
        <w:pStyle w:val="10"/>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Pr>
            <w:rStyle w:val="ae"/>
            <w:rFonts w:hint="eastAsia"/>
            <w:bCs/>
            <w:noProof/>
          </w:rPr>
          <w:t>第一条</w:t>
        </w:r>
        <w:r>
          <w:rPr>
            <w:rStyle w:val="ae"/>
            <w:bCs/>
            <w:noProof/>
          </w:rPr>
          <w:t xml:space="preserve"> </w:t>
        </w:r>
        <w:r>
          <w:rPr>
            <w:rStyle w:val="ae"/>
            <w:rFonts w:hint="eastAsia"/>
            <w:bCs/>
            <w:noProof/>
          </w:rPr>
          <w:t>本协议当事人</w:t>
        </w:r>
        <w:r>
          <w:rPr>
            <w:noProof/>
          </w:rPr>
          <w:tab/>
        </w:r>
        <w:r>
          <w:rPr>
            <w:noProof/>
          </w:rPr>
          <w:fldChar w:fldCharType="begin"/>
        </w:r>
        <w:r>
          <w:rPr>
            <w:noProof/>
          </w:rPr>
          <w:instrText xml:space="preserve"> PAGEREF _Toc44321724 \h </w:instrText>
        </w:r>
        <w:r>
          <w:rPr>
            <w:noProof/>
          </w:rPr>
        </w:r>
        <w:r>
          <w:rPr>
            <w:noProof/>
          </w:rPr>
          <w:fldChar w:fldCharType="separate"/>
        </w:r>
        <w:r w:rsidR="005525F0">
          <w:rPr>
            <w:noProof/>
          </w:rPr>
          <w:t>1</w:t>
        </w:r>
        <w:r>
          <w:rPr>
            <w:noProof/>
          </w:rPr>
          <w:fldChar w:fldCharType="end"/>
        </w:r>
      </w:hyperlink>
    </w:p>
    <w:p w14:paraId="01EB5EEC" w14:textId="71389E94" w:rsidR="00AE4DAB" w:rsidRDefault="00BC4D28">
      <w:pPr>
        <w:pStyle w:val="10"/>
        <w:rPr>
          <w:rFonts w:asciiTheme="minorHAnsi" w:eastAsiaTheme="minorEastAsia" w:hAnsiTheme="minorHAnsi" w:cstheme="minorBidi"/>
          <w:noProof/>
          <w:sz w:val="21"/>
          <w:szCs w:val="22"/>
        </w:rPr>
      </w:pPr>
      <w:hyperlink w:anchor="_Toc44321725" w:history="1">
        <w:r w:rsidR="00F162B2">
          <w:rPr>
            <w:rStyle w:val="ae"/>
            <w:rFonts w:hint="eastAsia"/>
            <w:bCs/>
            <w:noProof/>
          </w:rPr>
          <w:t>第二条</w:t>
        </w:r>
        <w:r w:rsidR="00F162B2">
          <w:rPr>
            <w:rStyle w:val="ae"/>
            <w:bCs/>
            <w:noProof/>
          </w:rPr>
          <w:t xml:space="preserve"> </w:t>
        </w:r>
        <w:r w:rsidR="00F162B2">
          <w:rPr>
            <w:rStyle w:val="ae"/>
            <w:rFonts w:hint="eastAsia"/>
            <w:bCs/>
            <w:noProof/>
          </w:rPr>
          <w:t>本协议的依据、目的和原则</w:t>
        </w:r>
        <w:r w:rsidR="00F162B2">
          <w:rPr>
            <w:noProof/>
          </w:rPr>
          <w:tab/>
        </w:r>
        <w:r w:rsidR="00F162B2">
          <w:rPr>
            <w:noProof/>
          </w:rPr>
          <w:fldChar w:fldCharType="begin"/>
        </w:r>
        <w:r w:rsidR="00F162B2">
          <w:rPr>
            <w:noProof/>
          </w:rPr>
          <w:instrText xml:space="preserve"> PAGEREF _Toc44321725 \h </w:instrText>
        </w:r>
        <w:r w:rsidR="00F162B2">
          <w:rPr>
            <w:noProof/>
          </w:rPr>
        </w:r>
        <w:r w:rsidR="00F162B2">
          <w:rPr>
            <w:noProof/>
          </w:rPr>
          <w:fldChar w:fldCharType="separate"/>
        </w:r>
        <w:r w:rsidR="005525F0">
          <w:rPr>
            <w:noProof/>
          </w:rPr>
          <w:t>2</w:t>
        </w:r>
        <w:r w:rsidR="00F162B2">
          <w:rPr>
            <w:noProof/>
          </w:rPr>
          <w:fldChar w:fldCharType="end"/>
        </w:r>
      </w:hyperlink>
    </w:p>
    <w:p w14:paraId="3DA52561" w14:textId="2428940B" w:rsidR="00AE4DAB" w:rsidRDefault="00BC4D28">
      <w:pPr>
        <w:pStyle w:val="10"/>
        <w:rPr>
          <w:rFonts w:asciiTheme="minorHAnsi" w:eastAsiaTheme="minorEastAsia" w:hAnsiTheme="minorHAnsi" w:cstheme="minorBidi"/>
          <w:noProof/>
          <w:sz w:val="21"/>
          <w:szCs w:val="22"/>
        </w:rPr>
      </w:pPr>
      <w:hyperlink w:anchor="_Toc44321726" w:history="1">
        <w:r w:rsidR="00F162B2">
          <w:rPr>
            <w:rStyle w:val="ae"/>
            <w:rFonts w:hint="eastAsia"/>
            <w:bCs/>
            <w:noProof/>
          </w:rPr>
          <w:t>第三条</w:t>
        </w:r>
        <w:r w:rsidR="00F162B2">
          <w:rPr>
            <w:rStyle w:val="ae"/>
            <w:bCs/>
            <w:noProof/>
          </w:rPr>
          <w:t xml:space="preserve"> </w:t>
        </w:r>
        <w:r w:rsidR="00F162B2">
          <w:rPr>
            <w:rStyle w:val="ae"/>
            <w:rFonts w:hint="eastAsia"/>
            <w:bCs/>
            <w:noProof/>
          </w:rPr>
          <w:t>基金托管人对基金管理人的业务监督和核查</w:t>
        </w:r>
        <w:r w:rsidR="00F162B2">
          <w:rPr>
            <w:noProof/>
          </w:rPr>
          <w:tab/>
        </w:r>
        <w:r w:rsidR="00F162B2">
          <w:rPr>
            <w:noProof/>
          </w:rPr>
          <w:fldChar w:fldCharType="begin"/>
        </w:r>
        <w:r w:rsidR="00F162B2">
          <w:rPr>
            <w:noProof/>
          </w:rPr>
          <w:instrText xml:space="preserve"> PAGEREF _Toc44321726 \h </w:instrText>
        </w:r>
        <w:r w:rsidR="00F162B2">
          <w:rPr>
            <w:noProof/>
          </w:rPr>
        </w:r>
        <w:r w:rsidR="00F162B2">
          <w:rPr>
            <w:noProof/>
          </w:rPr>
          <w:fldChar w:fldCharType="separate"/>
        </w:r>
        <w:r w:rsidR="005525F0">
          <w:rPr>
            <w:noProof/>
          </w:rPr>
          <w:t>3</w:t>
        </w:r>
        <w:r w:rsidR="00F162B2">
          <w:rPr>
            <w:noProof/>
          </w:rPr>
          <w:fldChar w:fldCharType="end"/>
        </w:r>
      </w:hyperlink>
    </w:p>
    <w:p w14:paraId="0397C313" w14:textId="43C442A3" w:rsidR="00AE4DAB" w:rsidRDefault="00BC4D28">
      <w:pPr>
        <w:pStyle w:val="10"/>
        <w:rPr>
          <w:rFonts w:asciiTheme="minorHAnsi" w:eastAsiaTheme="minorEastAsia" w:hAnsiTheme="minorHAnsi" w:cstheme="minorBidi"/>
          <w:noProof/>
          <w:sz w:val="21"/>
          <w:szCs w:val="22"/>
        </w:rPr>
      </w:pPr>
      <w:hyperlink w:anchor="_Toc44321727" w:history="1">
        <w:r w:rsidR="00F162B2">
          <w:rPr>
            <w:rStyle w:val="ae"/>
            <w:rFonts w:hint="eastAsia"/>
            <w:bCs/>
            <w:noProof/>
          </w:rPr>
          <w:t>第四条</w:t>
        </w:r>
        <w:r w:rsidR="00F162B2">
          <w:rPr>
            <w:rStyle w:val="ae"/>
            <w:bCs/>
            <w:noProof/>
          </w:rPr>
          <w:t xml:space="preserve"> </w:t>
        </w:r>
        <w:r w:rsidR="00F162B2">
          <w:rPr>
            <w:rStyle w:val="ae"/>
            <w:rFonts w:hint="eastAsia"/>
            <w:bCs/>
            <w:noProof/>
          </w:rPr>
          <w:t>基金管理人对基金托管人的业务核查</w:t>
        </w:r>
        <w:r w:rsidR="00F162B2">
          <w:rPr>
            <w:noProof/>
          </w:rPr>
          <w:tab/>
        </w:r>
        <w:r w:rsidR="00F162B2">
          <w:rPr>
            <w:noProof/>
          </w:rPr>
          <w:fldChar w:fldCharType="begin"/>
        </w:r>
        <w:r w:rsidR="00F162B2">
          <w:rPr>
            <w:noProof/>
          </w:rPr>
          <w:instrText xml:space="preserve"> PAGEREF _Toc44321727 \h </w:instrText>
        </w:r>
        <w:r w:rsidR="00F162B2">
          <w:rPr>
            <w:noProof/>
          </w:rPr>
        </w:r>
        <w:r w:rsidR="00F162B2">
          <w:rPr>
            <w:noProof/>
          </w:rPr>
          <w:fldChar w:fldCharType="separate"/>
        </w:r>
        <w:r w:rsidR="005525F0">
          <w:rPr>
            <w:noProof/>
          </w:rPr>
          <w:t>12</w:t>
        </w:r>
        <w:r w:rsidR="00F162B2">
          <w:rPr>
            <w:noProof/>
          </w:rPr>
          <w:fldChar w:fldCharType="end"/>
        </w:r>
      </w:hyperlink>
    </w:p>
    <w:p w14:paraId="7023694B" w14:textId="5B3D3C7B" w:rsidR="00AE4DAB" w:rsidRDefault="00BC4D28">
      <w:pPr>
        <w:pStyle w:val="10"/>
        <w:rPr>
          <w:rFonts w:asciiTheme="minorHAnsi" w:eastAsiaTheme="minorEastAsia" w:hAnsiTheme="minorHAnsi" w:cstheme="minorBidi"/>
          <w:noProof/>
          <w:sz w:val="21"/>
          <w:szCs w:val="22"/>
        </w:rPr>
      </w:pPr>
      <w:hyperlink w:anchor="_Toc44321728" w:history="1">
        <w:r w:rsidR="00F162B2">
          <w:rPr>
            <w:rStyle w:val="ae"/>
            <w:rFonts w:hint="eastAsia"/>
            <w:bCs/>
            <w:noProof/>
          </w:rPr>
          <w:t>第五条</w:t>
        </w:r>
        <w:r w:rsidR="00F162B2">
          <w:rPr>
            <w:rStyle w:val="ae"/>
            <w:bCs/>
            <w:noProof/>
          </w:rPr>
          <w:t xml:space="preserve"> </w:t>
        </w:r>
        <w:r w:rsidR="00F162B2">
          <w:rPr>
            <w:rStyle w:val="ae"/>
            <w:rFonts w:hint="eastAsia"/>
            <w:bCs/>
            <w:noProof/>
          </w:rPr>
          <w:t>基金财产保管</w:t>
        </w:r>
        <w:r w:rsidR="00F162B2">
          <w:rPr>
            <w:noProof/>
          </w:rPr>
          <w:tab/>
        </w:r>
        <w:r w:rsidR="00F162B2">
          <w:rPr>
            <w:noProof/>
          </w:rPr>
          <w:fldChar w:fldCharType="begin"/>
        </w:r>
        <w:r w:rsidR="00F162B2">
          <w:rPr>
            <w:noProof/>
          </w:rPr>
          <w:instrText xml:space="preserve"> PAGEREF _Toc44321728 \h </w:instrText>
        </w:r>
        <w:r w:rsidR="00F162B2">
          <w:rPr>
            <w:noProof/>
          </w:rPr>
        </w:r>
        <w:r w:rsidR="00F162B2">
          <w:rPr>
            <w:noProof/>
          </w:rPr>
          <w:fldChar w:fldCharType="separate"/>
        </w:r>
        <w:r w:rsidR="005525F0">
          <w:rPr>
            <w:noProof/>
          </w:rPr>
          <w:t>13</w:t>
        </w:r>
        <w:r w:rsidR="00F162B2">
          <w:rPr>
            <w:noProof/>
          </w:rPr>
          <w:fldChar w:fldCharType="end"/>
        </w:r>
      </w:hyperlink>
    </w:p>
    <w:p w14:paraId="198B67B2" w14:textId="57462FA5" w:rsidR="00AE4DAB" w:rsidRDefault="00BC4D28">
      <w:pPr>
        <w:pStyle w:val="10"/>
        <w:rPr>
          <w:rFonts w:asciiTheme="minorHAnsi" w:eastAsiaTheme="minorEastAsia" w:hAnsiTheme="minorHAnsi" w:cstheme="minorBidi"/>
          <w:noProof/>
          <w:sz w:val="21"/>
          <w:szCs w:val="22"/>
        </w:rPr>
      </w:pPr>
      <w:hyperlink w:anchor="_Toc44321729" w:history="1">
        <w:r w:rsidR="00F162B2">
          <w:rPr>
            <w:rStyle w:val="ae"/>
            <w:rFonts w:hint="eastAsia"/>
            <w:bCs/>
            <w:noProof/>
          </w:rPr>
          <w:t>第六条</w:t>
        </w:r>
        <w:r w:rsidR="00F162B2">
          <w:rPr>
            <w:rStyle w:val="ae"/>
            <w:bCs/>
            <w:noProof/>
          </w:rPr>
          <w:t xml:space="preserve"> </w:t>
        </w:r>
        <w:r w:rsidR="00F162B2">
          <w:rPr>
            <w:rStyle w:val="ae"/>
            <w:rFonts w:hint="eastAsia"/>
            <w:bCs/>
            <w:noProof/>
          </w:rPr>
          <w:t>指令的发送、确认和执行</w:t>
        </w:r>
        <w:r w:rsidR="00F162B2">
          <w:rPr>
            <w:noProof/>
          </w:rPr>
          <w:tab/>
        </w:r>
        <w:r w:rsidR="00F162B2">
          <w:rPr>
            <w:noProof/>
          </w:rPr>
          <w:fldChar w:fldCharType="begin"/>
        </w:r>
        <w:r w:rsidR="00F162B2">
          <w:rPr>
            <w:noProof/>
          </w:rPr>
          <w:instrText xml:space="preserve"> PAGEREF _Toc44321729 \h </w:instrText>
        </w:r>
        <w:r w:rsidR="00F162B2">
          <w:rPr>
            <w:noProof/>
          </w:rPr>
        </w:r>
        <w:r w:rsidR="00F162B2">
          <w:rPr>
            <w:noProof/>
          </w:rPr>
          <w:fldChar w:fldCharType="separate"/>
        </w:r>
        <w:r w:rsidR="005525F0">
          <w:rPr>
            <w:noProof/>
          </w:rPr>
          <w:t>16</w:t>
        </w:r>
        <w:r w:rsidR="00F162B2">
          <w:rPr>
            <w:noProof/>
          </w:rPr>
          <w:fldChar w:fldCharType="end"/>
        </w:r>
      </w:hyperlink>
    </w:p>
    <w:p w14:paraId="1415DE79" w14:textId="3A9EBB89" w:rsidR="00AE4DAB" w:rsidRDefault="00BC4D28">
      <w:pPr>
        <w:pStyle w:val="10"/>
        <w:rPr>
          <w:rFonts w:asciiTheme="minorHAnsi" w:eastAsiaTheme="minorEastAsia" w:hAnsiTheme="minorHAnsi" w:cstheme="minorBidi"/>
          <w:noProof/>
          <w:sz w:val="21"/>
          <w:szCs w:val="22"/>
        </w:rPr>
      </w:pPr>
      <w:hyperlink w:anchor="_Toc44321730" w:history="1">
        <w:r w:rsidR="00F162B2">
          <w:rPr>
            <w:rStyle w:val="ae"/>
            <w:rFonts w:hint="eastAsia"/>
            <w:bCs/>
            <w:noProof/>
          </w:rPr>
          <w:t>第七条</w:t>
        </w:r>
        <w:r w:rsidR="00F162B2">
          <w:rPr>
            <w:rStyle w:val="ae"/>
            <w:bCs/>
            <w:noProof/>
          </w:rPr>
          <w:t xml:space="preserve"> </w:t>
        </w:r>
        <w:r w:rsidR="00F162B2">
          <w:rPr>
            <w:rStyle w:val="ae"/>
            <w:rFonts w:hint="eastAsia"/>
            <w:bCs/>
            <w:noProof/>
          </w:rPr>
          <w:t>交易及清算交收安排</w:t>
        </w:r>
        <w:r w:rsidR="00F162B2">
          <w:rPr>
            <w:noProof/>
          </w:rPr>
          <w:tab/>
        </w:r>
        <w:r w:rsidR="00F162B2">
          <w:rPr>
            <w:noProof/>
          </w:rPr>
          <w:fldChar w:fldCharType="begin"/>
        </w:r>
        <w:r w:rsidR="00F162B2">
          <w:rPr>
            <w:noProof/>
          </w:rPr>
          <w:instrText xml:space="preserve"> PAGEREF _Toc44321730 \h </w:instrText>
        </w:r>
        <w:r w:rsidR="00F162B2">
          <w:rPr>
            <w:noProof/>
          </w:rPr>
        </w:r>
        <w:r w:rsidR="00F162B2">
          <w:rPr>
            <w:noProof/>
          </w:rPr>
          <w:fldChar w:fldCharType="separate"/>
        </w:r>
        <w:r w:rsidR="005525F0">
          <w:rPr>
            <w:noProof/>
          </w:rPr>
          <w:t>19</w:t>
        </w:r>
        <w:r w:rsidR="00F162B2">
          <w:rPr>
            <w:noProof/>
          </w:rPr>
          <w:fldChar w:fldCharType="end"/>
        </w:r>
      </w:hyperlink>
    </w:p>
    <w:p w14:paraId="26049463" w14:textId="768D5480" w:rsidR="00AE4DAB" w:rsidRDefault="00BC4D28">
      <w:pPr>
        <w:pStyle w:val="10"/>
        <w:rPr>
          <w:rFonts w:asciiTheme="minorHAnsi" w:eastAsiaTheme="minorEastAsia" w:hAnsiTheme="minorHAnsi" w:cstheme="minorBidi"/>
          <w:noProof/>
          <w:sz w:val="21"/>
          <w:szCs w:val="22"/>
        </w:rPr>
      </w:pPr>
      <w:hyperlink w:anchor="_Toc44321731" w:history="1">
        <w:r w:rsidR="00F162B2">
          <w:rPr>
            <w:rStyle w:val="ae"/>
            <w:rFonts w:hint="eastAsia"/>
            <w:bCs/>
            <w:noProof/>
          </w:rPr>
          <w:t>第八条</w:t>
        </w:r>
        <w:r w:rsidR="00F162B2">
          <w:rPr>
            <w:rStyle w:val="ae"/>
            <w:bCs/>
            <w:noProof/>
          </w:rPr>
          <w:t xml:space="preserve"> </w:t>
        </w:r>
        <w:r w:rsidR="00F162B2">
          <w:rPr>
            <w:rStyle w:val="ae"/>
            <w:rFonts w:hint="eastAsia"/>
            <w:bCs/>
            <w:noProof/>
          </w:rPr>
          <w:t>基金净值计算和会计核算</w:t>
        </w:r>
        <w:r w:rsidR="00F162B2">
          <w:rPr>
            <w:noProof/>
          </w:rPr>
          <w:tab/>
        </w:r>
        <w:r w:rsidR="00F162B2">
          <w:rPr>
            <w:noProof/>
          </w:rPr>
          <w:fldChar w:fldCharType="begin"/>
        </w:r>
        <w:r w:rsidR="00F162B2">
          <w:rPr>
            <w:noProof/>
          </w:rPr>
          <w:instrText xml:space="preserve"> PAGEREF _Toc44321731 \h </w:instrText>
        </w:r>
        <w:r w:rsidR="00F162B2">
          <w:rPr>
            <w:noProof/>
          </w:rPr>
        </w:r>
        <w:r w:rsidR="00F162B2">
          <w:rPr>
            <w:noProof/>
          </w:rPr>
          <w:fldChar w:fldCharType="separate"/>
        </w:r>
        <w:r w:rsidR="005525F0">
          <w:rPr>
            <w:noProof/>
          </w:rPr>
          <w:t>22</w:t>
        </w:r>
        <w:r w:rsidR="00F162B2">
          <w:rPr>
            <w:noProof/>
          </w:rPr>
          <w:fldChar w:fldCharType="end"/>
        </w:r>
      </w:hyperlink>
    </w:p>
    <w:p w14:paraId="18BD57EF" w14:textId="26EFBB9F" w:rsidR="00AE4DAB" w:rsidRDefault="00BC4D28">
      <w:pPr>
        <w:pStyle w:val="10"/>
        <w:rPr>
          <w:rFonts w:asciiTheme="minorHAnsi" w:eastAsiaTheme="minorEastAsia" w:hAnsiTheme="minorHAnsi" w:cstheme="minorBidi"/>
          <w:noProof/>
          <w:sz w:val="21"/>
          <w:szCs w:val="22"/>
        </w:rPr>
      </w:pPr>
      <w:hyperlink w:anchor="_Toc44321732" w:history="1">
        <w:r w:rsidR="00F162B2">
          <w:rPr>
            <w:rStyle w:val="ae"/>
            <w:rFonts w:hint="eastAsia"/>
            <w:bCs/>
            <w:noProof/>
          </w:rPr>
          <w:t>第九条</w:t>
        </w:r>
        <w:r w:rsidR="00F162B2">
          <w:rPr>
            <w:rStyle w:val="ae"/>
            <w:bCs/>
            <w:noProof/>
          </w:rPr>
          <w:t xml:space="preserve"> </w:t>
        </w:r>
        <w:r w:rsidR="00F162B2">
          <w:rPr>
            <w:rStyle w:val="ae"/>
            <w:rFonts w:hint="eastAsia"/>
            <w:bCs/>
            <w:noProof/>
          </w:rPr>
          <w:t>基金收益分配</w:t>
        </w:r>
        <w:r w:rsidR="00F162B2">
          <w:rPr>
            <w:noProof/>
          </w:rPr>
          <w:tab/>
        </w:r>
        <w:r w:rsidR="00F162B2">
          <w:rPr>
            <w:noProof/>
          </w:rPr>
          <w:fldChar w:fldCharType="begin"/>
        </w:r>
        <w:r w:rsidR="00F162B2">
          <w:rPr>
            <w:noProof/>
          </w:rPr>
          <w:instrText xml:space="preserve"> PAGEREF _Toc44321732 \h </w:instrText>
        </w:r>
        <w:r w:rsidR="00F162B2">
          <w:rPr>
            <w:noProof/>
          </w:rPr>
        </w:r>
        <w:r w:rsidR="00F162B2">
          <w:rPr>
            <w:noProof/>
          </w:rPr>
          <w:fldChar w:fldCharType="separate"/>
        </w:r>
        <w:r w:rsidR="005525F0">
          <w:rPr>
            <w:noProof/>
          </w:rPr>
          <w:t>27</w:t>
        </w:r>
        <w:r w:rsidR="00F162B2">
          <w:rPr>
            <w:noProof/>
          </w:rPr>
          <w:fldChar w:fldCharType="end"/>
        </w:r>
      </w:hyperlink>
    </w:p>
    <w:p w14:paraId="32E3279E" w14:textId="55FD85AC" w:rsidR="00AE4DAB" w:rsidRDefault="00BC4D28">
      <w:pPr>
        <w:pStyle w:val="10"/>
        <w:rPr>
          <w:rFonts w:asciiTheme="minorHAnsi" w:eastAsiaTheme="minorEastAsia" w:hAnsiTheme="minorHAnsi" w:cstheme="minorBidi"/>
          <w:noProof/>
          <w:sz w:val="21"/>
          <w:szCs w:val="22"/>
        </w:rPr>
      </w:pPr>
      <w:hyperlink w:anchor="_Toc44321733" w:history="1">
        <w:r w:rsidR="00F162B2">
          <w:rPr>
            <w:rStyle w:val="ae"/>
            <w:rFonts w:hint="eastAsia"/>
            <w:bCs/>
            <w:noProof/>
          </w:rPr>
          <w:t>第十条</w:t>
        </w:r>
        <w:r w:rsidR="00F162B2">
          <w:rPr>
            <w:rStyle w:val="ae"/>
            <w:bCs/>
            <w:noProof/>
          </w:rPr>
          <w:t xml:space="preserve"> </w:t>
        </w:r>
        <w:r w:rsidR="00F162B2">
          <w:rPr>
            <w:rStyle w:val="ae"/>
            <w:rFonts w:hint="eastAsia"/>
            <w:bCs/>
            <w:noProof/>
          </w:rPr>
          <w:t>信息披露</w:t>
        </w:r>
        <w:r w:rsidR="00F162B2">
          <w:rPr>
            <w:noProof/>
          </w:rPr>
          <w:tab/>
        </w:r>
        <w:r w:rsidR="00F162B2">
          <w:rPr>
            <w:noProof/>
          </w:rPr>
          <w:fldChar w:fldCharType="begin"/>
        </w:r>
        <w:r w:rsidR="00F162B2">
          <w:rPr>
            <w:noProof/>
          </w:rPr>
          <w:instrText xml:space="preserve"> PAGEREF _Toc44321733 \h </w:instrText>
        </w:r>
        <w:r w:rsidR="00F162B2">
          <w:rPr>
            <w:noProof/>
          </w:rPr>
        </w:r>
        <w:r w:rsidR="00F162B2">
          <w:rPr>
            <w:noProof/>
          </w:rPr>
          <w:fldChar w:fldCharType="separate"/>
        </w:r>
        <w:r w:rsidR="005525F0">
          <w:rPr>
            <w:noProof/>
          </w:rPr>
          <w:t>29</w:t>
        </w:r>
        <w:r w:rsidR="00F162B2">
          <w:rPr>
            <w:noProof/>
          </w:rPr>
          <w:fldChar w:fldCharType="end"/>
        </w:r>
      </w:hyperlink>
    </w:p>
    <w:p w14:paraId="4F73B04A" w14:textId="79FDF930" w:rsidR="00AE4DAB" w:rsidRDefault="00BC4D28">
      <w:pPr>
        <w:pStyle w:val="10"/>
        <w:rPr>
          <w:rFonts w:asciiTheme="minorHAnsi" w:eastAsiaTheme="minorEastAsia" w:hAnsiTheme="minorHAnsi" w:cstheme="minorBidi"/>
          <w:noProof/>
          <w:sz w:val="21"/>
          <w:szCs w:val="22"/>
        </w:rPr>
      </w:pPr>
      <w:hyperlink w:anchor="_Toc44321734" w:history="1">
        <w:r w:rsidR="00F162B2">
          <w:rPr>
            <w:rStyle w:val="ae"/>
            <w:rFonts w:hint="eastAsia"/>
            <w:bCs/>
            <w:noProof/>
          </w:rPr>
          <w:t>第十一条</w:t>
        </w:r>
        <w:r w:rsidR="00F162B2">
          <w:rPr>
            <w:rStyle w:val="ae"/>
            <w:bCs/>
            <w:noProof/>
          </w:rPr>
          <w:t xml:space="preserve"> </w:t>
        </w:r>
        <w:r w:rsidR="00F162B2">
          <w:rPr>
            <w:rStyle w:val="ae"/>
            <w:rFonts w:hint="eastAsia"/>
            <w:bCs/>
            <w:noProof/>
          </w:rPr>
          <w:t>基金费用</w:t>
        </w:r>
        <w:r w:rsidR="00F162B2">
          <w:rPr>
            <w:noProof/>
          </w:rPr>
          <w:tab/>
        </w:r>
        <w:r w:rsidR="00F162B2">
          <w:rPr>
            <w:noProof/>
          </w:rPr>
          <w:fldChar w:fldCharType="begin"/>
        </w:r>
        <w:r w:rsidR="00F162B2">
          <w:rPr>
            <w:noProof/>
          </w:rPr>
          <w:instrText xml:space="preserve"> PAGEREF _Toc44321734 \h </w:instrText>
        </w:r>
        <w:r w:rsidR="00F162B2">
          <w:rPr>
            <w:noProof/>
          </w:rPr>
        </w:r>
        <w:r w:rsidR="00F162B2">
          <w:rPr>
            <w:noProof/>
          </w:rPr>
          <w:fldChar w:fldCharType="separate"/>
        </w:r>
        <w:r w:rsidR="005525F0">
          <w:rPr>
            <w:noProof/>
          </w:rPr>
          <w:t>30</w:t>
        </w:r>
        <w:r w:rsidR="00F162B2">
          <w:rPr>
            <w:noProof/>
          </w:rPr>
          <w:fldChar w:fldCharType="end"/>
        </w:r>
      </w:hyperlink>
    </w:p>
    <w:p w14:paraId="243EE332" w14:textId="1F4DA13F" w:rsidR="00AE4DAB" w:rsidRDefault="00BC4D28">
      <w:pPr>
        <w:pStyle w:val="10"/>
        <w:rPr>
          <w:rFonts w:asciiTheme="minorHAnsi" w:eastAsiaTheme="minorEastAsia" w:hAnsiTheme="minorHAnsi" w:cstheme="minorBidi"/>
          <w:noProof/>
          <w:sz w:val="21"/>
          <w:szCs w:val="22"/>
        </w:rPr>
      </w:pPr>
      <w:hyperlink w:anchor="_Toc44321735" w:history="1">
        <w:r w:rsidR="00F162B2">
          <w:rPr>
            <w:rStyle w:val="ae"/>
            <w:rFonts w:hint="eastAsia"/>
            <w:bCs/>
            <w:noProof/>
          </w:rPr>
          <w:t>第十二条</w:t>
        </w:r>
        <w:r w:rsidR="00F162B2">
          <w:rPr>
            <w:rStyle w:val="ae"/>
            <w:bCs/>
            <w:noProof/>
          </w:rPr>
          <w:t xml:space="preserve"> </w:t>
        </w:r>
        <w:r w:rsidR="00F162B2">
          <w:rPr>
            <w:rStyle w:val="ae"/>
            <w:rFonts w:hint="eastAsia"/>
            <w:bCs/>
            <w:noProof/>
          </w:rPr>
          <w:t>基金份额持有人名册的保管</w:t>
        </w:r>
        <w:r w:rsidR="00F162B2">
          <w:rPr>
            <w:noProof/>
          </w:rPr>
          <w:tab/>
        </w:r>
        <w:r w:rsidR="00F162B2">
          <w:rPr>
            <w:noProof/>
          </w:rPr>
          <w:fldChar w:fldCharType="begin"/>
        </w:r>
        <w:r w:rsidR="00F162B2">
          <w:rPr>
            <w:noProof/>
          </w:rPr>
          <w:instrText xml:space="preserve"> PAGEREF _Toc44321735 \h </w:instrText>
        </w:r>
        <w:r w:rsidR="00F162B2">
          <w:rPr>
            <w:noProof/>
          </w:rPr>
        </w:r>
        <w:r w:rsidR="00F162B2">
          <w:rPr>
            <w:noProof/>
          </w:rPr>
          <w:fldChar w:fldCharType="separate"/>
        </w:r>
        <w:r w:rsidR="005525F0">
          <w:rPr>
            <w:noProof/>
          </w:rPr>
          <w:t>32</w:t>
        </w:r>
        <w:r w:rsidR="00F162B2">
          <w:rPr>
            <w:noProof/>
          </w:rPr>
          <w:fldChar w:fldCharType="end"/>
        </w:r>
      </w:hyperlink>
    </w:p>
    <w:p w14:paraId="1B9EC69D" w14:textId="002FBCA4" w:rsidR="00AE4DAB" w:rsidRDefault="00BC4D28">
      <w:pPr>
        <w:pStyle w:val="10"/>
        <w:rPr>
          <w:rFonts w:asciiTheme="minorHAnsi" w:eastAsiaTheme="minorEastAsia" w:hAnsiTheme="minorHAnsi" w:cstheme="minorBidi"/>
          <w:noProof/>
          <w:sz w:val="21"/>
          <w:szCs w:val="22"/>
        </w:rPr>
      </w:pPr>
      <w:hyperlink w:anchor="_Toc44321736" w:history="1">
        <w:r w:rsidR="00F162B2">
          <w:rPr>
            <w:rStyle w:val="ae"/>
            <w:rFonts w:hint="eastAsia"/>
            <w:bCs/>
            <w:noProof/>
          </w:rPr>
          <w:t>第十三条</w:t>
        </w:r>
        <w:r w:rsidR="00F162B2">
          <w:rPr>
            <w:rStyle w:val="ae"/>
            <w:bCs/>
            <w:noProof/>
          </w:rPr>
          <w:t xml:space="preserve"> </w:t>
        </w:r>
        <w:r w:rsidR="00F162B2">
          <w:rPr>
            <w:rStyle w:val="ae"/>
            <w:rFonts w:hint="eastAsia"/>
            <w:bCs/>
            <w:noProof/>
          </w:rPr>
          <w:t>基金有关文件和档案的保存</w:t>
        </w:r>
        <w:r w:rsidR="00F162B2">
          <w:rPr>
            <w:noProof/>
          </w:rPr>
          <w:tab/>
        </w:r>
        <w:r w:rsidR="00F162B2">
          <w:rPr>
            <w:noProof/>
          </w:rPr>
          <w:fldChar w:fldCharType="begin"/>
        </w:r>
        <w:r w:rsidR="00F162B2">
          <w:rPr>
            <w:noProof/>
          </w:rPr>
          <w:instrText xml:space="preserve"> PAGEREF _Toc44321736 \h </w:instrText>
        </w:r>
        <w:r w:rsidR="00F162B2">
          <w:rPr>
            <w:noProof/>
          </w:rPr>
        </w:r>
        <w:r w:rsidR="00F162B2">
          <w:rPr>
            <w:noProof/>
          </w:rPr>
          <w:fldChar w:fldCharType="separate"/>
        </w:r>
        <w:r w:rsidR="005525F0">
          <w:rPr>
            <w:noProof/>
          </w:rPr>
          <w:t>33</w:t>
        </w:r>
        <w:r w:rsidR="00F162B2">
          <w:rPr>
            <w:noProof/>
          </w:rPr>
          <w:fldChar w:fldCharType="end"/>
        </w:r>
      </w:hyperlink>
    </w:p>
    <w:p w14:paraId="35363985" w14:textId="42648F62" w:rsidR="00AE4DAB" w:rsidRDefault="00BC4D28">
      <w:pPr>
        <w:pStyle w:val="10"/>
        <w:rPr>
          <w:rFonts w:asciiTheme="minorHAnsi" w:eastAsiaTheme="minorEastAsia" w:hAnsiTheme="minorHAnsi" w:cstheme="minorBidi"/>
          <w:noProof/>
          <w:sz w:val="21"/>
          <w:szCs w:val="22"/>
        </w:rPr>
      </w:pPr>
      <w:hyperlink w:anchor="_Toc44321737" w:history="1">
        <w:r w:rsidR="00F162B2">
          <w:rPr>
            <w:rStyle w:val="ae"/>
            <w:rFonts w:hint="eastAsia"/>
            <w:bCs/>
            <w:noProof/>
          </w:rPr>
          <w:t>第十四条</w:t>
        </w:r>
        <w:r w:rsidR="00F162B2">
          <w:rPr>
            <w:rStyle w:val="ae"/>
            <w:bCs/>
            <w:noProof/>
          </w:rPr>
          <w:t xml:space="preserve"> </w:t>
        </w:r>
        <w:r w:rsidR="00F162B2">
          <w:rPr>
            <w:rStyle w:val="ae"/>
            <w:rFonts w:hint="eastAsia"/>
            <w:bCs/>
            <w:noProof/>
          </w:rPr>
          <w:t>基金管理人和基金托管人的更换</w:t>
        </w:r>
        <w:r w:rsidR="00F162B2">
          <w:rPr>
            <w:noProof/>
          </w:rPr>
          <w:tab/>
        </w:r>
        <w:r w:rsidR="00F162B2">
          <w:rPr>
            <w:noProof/>
          </w:rPr>
          <w:fldChar w:fldCharType="begin"/>
        </w:r>
        <w:r w:rsidR="00F162B2">
          <w:rPr>
            <w:noProof/>
          </w:rPr>
          <w:instrText xml:space="preserve"> PAGEREF _Toc44321737 \h </w:instrText>
        </w:r>
        <w:r w:rsidR="00F162B2">
          <w:rPr>
            <w:noProof/>
          </w:rPr>
        </w:r>
        <w:r w:rsidR="00F162B2">
          <w:rPr>
            <w:noProof/>
          </w:rPr>
          <w:fldChar w:fldCharType="separate"/>
        </w:r>
        <w:r w:rsidR="005525F0">
          <w:rPr>
            <w:noProof/>
          </w:rPr>
          <w:t>33</w:t>
        </w:r>
        <w:r w:rsidR="00F162B2">
          <w:rPr>
            <w:noProof/>
          </w:rPr>
          <w:fldChar w:fldCharType="end"/>
        </w:r>
      </w:hyperlink>
    </w:p>
    <w:p w14:paraId="7C497DE7" w14:textId="26DD7819" w:rsidR="00AE4DAB" w:rsidRDefault="00BC4D28">
      <w:pPr>
        <w:pStyle w:val="10"/>
        <w:rPr>
          <w:rFonts w:asciiTheme="minorHAnsi" w:eastAsiaTheme="minorEastAsia" w:hAnsiTheme="minorHAnsi" w:cstheme="minorBidi"/>
          <w:noProof/>
          <w:sz w:val="21"/>
          <w:szCs w:val="22"/>
        </w:rPr>
      </w:pPr>
      <w:hyperlink w:anchor="_Toc44321738" w:history="1">
        <w:r w:rsidR="00F162B2">
          <w:rPr>
            <w:rStyle w:val="ae"/>
            <w:rFonts w:hint="eastAsia"/>
            <w:bCs/>
            <w:noProof/>
          </w:rPr>
          <w:t>第十五条</w:t>
        </w:r>
        <w:r w:rsidR="00F162B2">
          <w:rPr>
            <w:rStyle w:val="ae"/>
            <w:bCs/>
            <w:noProof/>
          </w:rPr>
          <w:t xml:space="preserve"> </w:t>
        </w:r>
        <w:r w:rsidR="00F162B2">
          <w:rPr>
            <w:rStyle w:val="ae"/>
            <w:rFonts w:hint="eastAsia"/>
            <w:bCs/>
            <w:noProof/>
          </w:rPr>
          <w:t>禁止行为</w:t>
        </w:r>
        <w:r w:rsidR="00F162B2">
          <w:rPr>
            <w:noProof/>
          </w:rPr>
          <w:tab/>
        </w:r>
        <w:r w:rsidR="00F162B2">
          <w:rPr>
            <w:noProof/>
          </w:rPr>
          <w:fldChar w:fldCharType="begin"/>
        </w:r>
        <w:r w:rsidR="00F162B2">
          <w:rPr>
            <w:noProof/>
          </w:rPr>
          <w:instrText xml:space="preserve"> PAGEREF _Toc44321738 \h </w:instrText>
        </w:r>
        <w:r w:rsidR="00F162B2">
          <w:rPr>
            <w:noProof/>
          </w:rPr>
        </w:r>
        <w:r w:rsidR="00F162B2">
          <w:rPr>
            <w:noProof/>
          </w:rPr>
          <w:fldChar w:fldCharType="separate"/>
        </w:r>
        <w:r w:rsidR="005525F0">
          <w:rPr>
            <w:noProof/>
          </w:rPr>
          <w:t>36</w:t>
        </w:r>
        <w:r w:rsidR="00F162B2">
          <w:rPr>
            <w:noProof/>
          </w:rPr>
          <w:fldChar w:fldCharType="end"/>
        </w:r>
      </w:hyperlink>
    </w:p>
    <w:p w14:paraId="2A6FF7E9" w14:textId="1955229D" w:rsidR="00AE4DAB" w:rsidRDefault="00BC4D28">
      <w:pPr>
        <w:pStyle w:val="10"/>
        <w:rPr>
          <w:rFonts w:asciiTheme="minorHAnsi" w:eastAsiaTheme="minorEastAsia" w:hAnsiTheme="minorHAnsi" w:cstheme="minorBidi"/>
          <w:noProof/>
          <w:sz w:val="21"/>
          <w:szCs w:val="22"/>
        </w:rPr>
      </w:pPr>
      <w:hyperlink w:anchor="_Toc44321739" w:history="1">
        <w:r w:rsidR="00F162B2">
          <w:rPr>
            <w:rStyle w:val="ae"/>
            <w:rFonts w:hint="eastAsia"/>
            <w:bCs/>
            <w:noProof/>
          </w:rPr>
          <w:t>第十六条</w:t>
        </w:r>
        <w:r w:rsidR="00F162B2">
          <w:rPr>
            <w:rStyle w:val="ae"/>
            <w:bCs/>
            <w:noProof/>
          </w:rPr>
          <w:t xml:space="preserve"> </w:t>
        </w:r>
        <w:r w:rsidR="00F162B2">
          <w:rPr>
            <w:rStyle w:val="ae"/>
            <w:rFonts w:hint="eastAsia"/>
            <w:bCs/>
            <w:noProof/>
          </w:rPr>
          <w:t>本协议的变更、终止与基金财产的清算</w:t>
        </w:r>
        <w:r w:rsidR="00F162B2">
          <w:rPr>
            <w:noProof/>
          </w:rPr>
          <w:tab/>
        </w:r>
        <w:r w:rsidR="00F162B2">
          <w:rPr>
            <w:noProof/>
          </w:rPr>
          <w:fldChar w:fldCharType="begin"/>
        </w:r>
        <w:r w:rsidR="00F162B2">
          <w:rPr>
            <w:noProof/>
          </w:rPr>
          <w:instrText xml:space="preserve"> PAGEREF _Toc44321739 \h </w:instrText>
        </w:r>
        <w:r w:rsidR="00F162B2">
          <w:rPr>
            <w:noProof/>
          </w:rPr>
        </w:r>
        <w:r w:rsidR="00F162B2">
          <w:rPr>
            <w:noProof/>
          </w:rPr>
          <w:fldChar w:fldCharType="separate"/>
        </w:r>
        <w:r w:rsidR="005525F0">
          <w:rPr>
            <w:noProof/>
          </w:rPr>
          <w:t>37</w:t>
        </w:r>
        <w:r w:rsidR="00F162B2">
          <w:rPr>
            <w:noProof/>
          </w:rPr>
          <w:fldChar w:fldCharType="end"/>
        </w:r>
      </w:hyperlink>
    </w:p>
    <w:p w14:paraId="24867C30" w14:textId="721D981B" w:rsidR="00AE4DAB" w:rsidRDefault="00BC4D28">
      <w:pPr>
        <w:pStyle w:val="10"/>
        <w:rPr>
          <w:rFonts w:asciiTheme="minorHAnsi" w:eastAsiaTheme="minorEastAsia" w:hAnsiTheme="minorHAnsi" w:cstheme="minorBidi"/>
          <w:noProof/>
          <w:sz w:val="21"/>
          <w:szCs w:val="22"/>
        </w:rPr>
      </w:pPr>
      <w:hyperlink w:anchor="_Toc44321740" w:history="1">
        <w:r w:rsidR="00F162B2">
          <w:rPr>
            <w:rStyle w:val="ae"/>
            <w:rFonts w:hint="eastAsia"/>
            <w:bCs/>
            <w:noProof/>
          </w:rPr>
          <w:t>第十七条</w:t>
        </w:r>
        <w:r w:rsidR="00F162B2">
          <w:rPr>
            <w:rStyle w:val="ae"/>
            <w:bCs/>
            <w:noProof/>
          </w:rPr>
          <w:t xml:space="preserve"> </w:t>
        </w:r>
        <w:r w:rsidR="00F162B2">
          <w:rPr>
            <w:rStyle w:val="ae"/>
            <w:rFonts w:hint="eastAsia"/>
            <w:bCs/>
            <w:noProof/>
          </w:rPr>
          <w:t>违约责任</w:t>
        </w:r>
        <w:r w:rsidR="00F162B2">
          <w:rPr>
            <w:noProof/>
          </w:rPr>
          <w:tab/>
        </w:r>
        <w:r w:rsidR="00F162B2">
          <w:rPr>
            <w:noProof/>
          </w:rPr>
          <w:fldChar w:fldCharType="begin"/>
        </w:r>
        <w:r w:rsidR="00F162B2">
          <w:rPr>
            <w:noProof/>
          </w:rPr>
          <w:instrText xml:space="preserve"> PAGEREF _Toc44321740 \h </w:instrText>
        </w:r>
        <w:r w:rsidR="00F162B2">
          <w:rPr>
            <w:noProof/>
          </w:rPr>
        </w:r>
        <w:r w:rsidR="00F162B2">
          <w:rPr>
            <w:noProof/>
          </w:rPr>
          <w:fldChar w:fldCharType="separate"/>
        </w:r>
        <w:r w:rsidR="005525F0">
          <w:rPr>
            <w:noProof/>
          </w:rPr>
          <w:t>38</w:t>
        </w:r>
        <w:r w:rsidR="00F162B2">
          <w:rPr>
            <w:noProof/>
          </w:rPr>
          <w:fldChar w:fldCharType="end"/>
        </w:r>
      </w:hyperlink>
    </w:p>
    <w:p w14:paraId="56570F68" w14:textId="7461310D" w:rsidR="00AE4DAB" w:rsidRDefault="00BC4D28">
      <w:pPr>
        <w:pStyle w:val="10"/>
        <w:rPr>
          <w:rFonts w:asciiTheme="minorHAnsi" w:eastAsiaTheme="minorEastAsia" w:hAnsiTheme="minorHAnsi" w:cstheme="minorBidi"/>
          <w:noProof/>
          <w:sz w:val="21"/>
          <w:szCs w:val="22"/>
        </w:rPr>
      </w:pPr>
      <w:hyperlink w:anchor="_Toc44321741" w:history="1">
        <w:r w:rsidR="00F162B2">
          <w:rPr>
            <w:rStyle w:val="ae"/>
            <w:rFonts w:hint="eastAsia"/>
            <w:bCs/>
            <w:noProof/>
          </w:rPr>
          <w:t>第十八条</w:t>
        </w:r>
        <w:r w:rsidR="00F162B2">
          <w:rPr>
            <w:rStyle w:val="ae"/>
            <w:bCs/>
            <w:noProof/>
          </w:rPr>
          <w:t xml:space="preserve"> </w:t>
        </w:r>
        <w:r w:rsidR="00F162B2">
          <w:rPr>
            <w:rStyle w:val="ae"/>
            <w:rFonts w:hint="eastAsia"/>
            <w:bCs/>
            <w:noProof/>
          </w:rPr>
          <w:t>法律适用和争议解决</w:t>
        </w:r>
        <w:r w:rsidR="00F162B2">
          <w:rPr>
            <w:noProof/>
          </w:rPr>
          <w:tab/>
        </w:r>
        <w:r w:rsidR="00F162B2">
          <w:rPr>
            <w:noProof/>
          </w:rPr>
          <w:fldChar w:fldCharType="begin"/>
        </w:r>
        <w:r w:rsidR="00F162B2">
          <w:rPr>
            <w:noProof/>
          </w:rPr>
          <w:instrText xml:space="preserve"> PAGEREF _Toc44321741 \h </w:instrText>
        </w:r>
        <w:r w:rsidR="00F162B2">
          <w:rPr>
            <w:noProof/>
          </w:rPr>
        </w:r>
        <w:r w:rsidR="00F162B2">
          <w:rPr>
            <w:noProof/>
          </w:rPr>
          <w:fldChar w:fldCharType="separate"/>
        </w:r>
        <w:r w:rsidR="005525F0">
          <w:rPr>
            <w:noProof/>
          </w:rPr>
          <w:t>39</w:t>
        </w:r>
        <w:r w:rsidR="00F162B2">
          <w:rPr>
            <w:noProof/>
          </w:rPr>
          <w:fldChar w:fldCharType="end"/>
        </w:r>
      </w:hyperlink>
    </w:p>
    <w:p w14:paraId="64F6FE0B" w14:textId="4FA3B97B" w:rsidR="00AE4DAB" w:rsidRDefault="00BC4D28">
      <w:pPr>
        <w:pStyle w:val="10"/>
        <w:rPr>
          <w:rFonts w:asciiTheme="minorHAnsi" w:eastAsiaTheme="minorEastAsia" w:hAnsiTheme="minorHAnsi" w:cstheme="minorBidi"/>
          <w:noProof/>
          <w:sz w:val="21"/>
          <w:szCs w:val="22"/>
        </w:rPr>
      </w:pPr>
      <w:hyperlink w:anchor="_Toc44321742" w:history="1">
        <w:r w:rsidR="00F162B2">
          <w:rPr>
            <w:rStyle w:val="ae"/>
            <w:rFonts w:hint="eastAsia"/>
            <w:bCs/>
            <w:noProof/>
          </w:rPr>
          <w:t>第十九条</w:t>
        </w:r>
        <w:r w:rsidR="00F162B2">
          <w:rPr>
            <w:rStyle w:val="ae"/>
            <w:bCs/>
            <w:noProof/>
          </w:rPr>
          <w:t xml:space="preserve"> </w:t>
        </w:r>
        <w:r w:rsidR="00F162B2">
          <w:rPr>
            <w:rStyle w:val="ae"/>
            <w:rFonts w:hint="eastAsia"/>
            <w:bCs/>
            <w:noProof/>
          </w:rPr>
          <w:t>本协议的效力</w:t>
        </w:r>
        <w:r w:rsidR="00F162B2">
          <w:rPr>
            <w:noProof/>
          </w:rPr>
          <w:tab/>
        </w:r>
        <w:r w:rsidR="00F162B2">
          <w:rPr>
            <w:noProof/>
          </w:rPr>
          <w:fldChar w:fldCharType="begin"/>
        </w:r>
        <w:r w:rsidR="00F162B2">
          <w:rPr>
            <w:noProof/>
          </w:rPr>
          <w:instrText xml:space="preserve"> PAGEREF _Toc44321742 \h </w:instrText>
        </w:r>
        <w:r w:rsidR="00F162B2">
          <w:rPr>
            <w:noProof/>
          </w:rPr>
        </w:r>
        <w:r w:rsidR="00F162B2">
          <w:rPr>
            <w:noProof/>
          </w:rPr>
          <w:fldChar w:fldCharType="separate"/>
        </w:r>
        <w:r w:rsidR="005525F0">
          <w:rPr>
            <w:noProof/>
          </w:rPr>
          <w:t>40</w:t>
        </w:r>
        <w:r w:rsidR="00F162B2">
          <w:rPr>
            <w:noProof/>
          </w:rPr>
          <w:fldChar w:fldCharType="end"/>
        </w:r>
      </w:hyperlink>
    </w:p>
    <w:p w14:paraId="727CD019" w14:textId="570F83F7" w:rsidR="00AE4DAB" w:rsidRDefault="00BC4D28">
      <w:pPr>
        <w:pStyle w:val="10"/>
        <w:rPr>
          <w:rFonts w:asciiTheme="minorHAnsi" w:eastAsiaTheme="minorEastAsia" w:hAnsiTheme="minorHAnsi" w:cstheme="minorBidi"/>
          <w:noProof/>
          <w:sz w:val="21"/>
          <w:szCs w:val="22"/>
        </w:rPr>
      </w:pPr>
      <w:hyperlink w:anchor="_Toc44321743" w:history="1">
        <w:r w:rsidR="00F162B2">
          <w:rPr>
            <w:rStyle w:val="ae"/>
            <w:rFonts w:hint="eastAsia"/>
            <w:bCs/>
            <w:noProof/>
          </w:rPr>
          <w:t>第二十条</w:t>
        </w:r>
        <w:r w:rsidR="00F162B2">
          <w:rPr>
            <w:rStyle w:val="ae"/>
            <w:bCs/>
            <w:noProof/>
          </w:rPr>
          <w:t xml:space="preserve"> </w:t>
        </w:r>
        <w:r w:rsidR="00F162B2">
          <w:rPr>
            <w:rStyle w:val="ae"/>
            <w:rFonts w:hint="eastAsia"/>
            <w:bCs/>
            <w:noProof/>
          </w:rPr>
          <w:t>本协议的签订</w:t>
        </w:r>
        <w:r w:rsidR="00F162B2">
          <w:rPr>
            <w:noProof/>
          </w:rPr>
          <w:tab/>
        </w:r>
        <w:r w:rsidR="00F162B2">
          <w:rPr>
            <w:noProof/>
          </w:rPr>
          <w:fldChar w:fldCharType="begin"/>
        </w:r>
        <w:r w:rsidR="00F162B2">
          <w:rPr>
            <w:noProof/>
          </w:rPr>
          <w:instrText xml:space="preserve"> PAGEREF _Toc44321743 \h </w:instrText>
        </w:r>
        <w:r w:rsidR="00F162B2">
          <w:rPr>
            <w:noProof/>
          </w:rPr>
        </w:r>
        <w:r w:rsidR="00F162B2">
          <w:rPr>
            <w:noProof/>
          </w:rPr>
          <w:fldChar w:fldCharType="separate"/>
        </w:r>
        <w:r w:rsidR="005525F0">
          <w:rPr>
            <w:noProof/>
          </w:rPr>
          <w:t>40</w:t>
        </w:r>
        <w:r w:rsidR="00F162B2">
          <w:rPr>
            <w:noProof/>
          </w:rPr>
          <w:fldChar w:fldCharType="end"/>
        </w:r>
      </w:hyperlink>
    </w:p>
    <w:p w14:paraId="394842B2" w14:textId="0946843C" w:rsidR="00AE4DAB" w:rsidRDefault="00BC4D28">
      <w:pPr>
        <w:pStyle w:val="10"/>
        <w:rPr>
          <w:rFonts w:asciiTheme="minorHAnsi" w:eastAsiaTheme="minorEastAsia" w:hAnsiTheme="minorHAnsi" w:cstheme="minorBidi"/>
          <w:noProof/>
          <w:sz w:val="21"/>
          <w:szCs w:val="22"/>
        </w:rPr>
      </w:pPr>
      <w:hyperlink w:anchor="_Toc44321744" w:history="1">
        <w:r w:rsidR="00F162B2">
          <w:rPr>
            <w:rStyle w:val="ae"/>
            <w:rFonts w:hint="eastAsia"/>
            <w:bCs/>
            <w:noProof/>
          </w:rPr>
          <w:t>第二十一条</w:t>
        </w:r>
        <w:r w:rsidR="00F162B2">
          <w:rPr>
            <w:rStyle w:val="ae"/>
            <w:bCs/>
            <w:noProof/>
          </w:rPr>
          <w:t xml:space="preserve"> </w:t>
        </w:r>
        <w:r w:rsidR="00F162B2">
          <w:rPr>
            <w:rStyle w:val="ae"/>
            <w:rFonts w:hint="eastAsia"/>
            <w:bCs/>
            <w:noProof/>
          </w:rPr>
          <w:t>不可抗力</w:t>
        </w:r>
        <w:r w:rsidR="00F162B2">
          <w:rPr>
            <w:noProof/>
          </w:rPr>
          <w:tab/>
        </w:r>
        <w:r w:rsidR="00F162B2">
          <w:rPr>
            <w:noProof/>
          </w:rPr>
          <w:fldChar w:fldCharType="begin"/>
        </w:r>
        <w:r w:rsidR="00F162B2">
          <w:rPr>
            <w:noProof/>
          </w:rPr>
          <w:instrText xml:space="preserve"> PAGEREF _Toc44321744 \h </w:instrText>
        </w:r>
        <w:r w:rsidR="00F162B2">
          <w:rPr>
            <w:noProof/>
          </w:rPr>
        </w:r>
        <w:r w:rsidR="00F162B2">
          <w:rPr>
            <w:noProof/>
          </w:rPr>
          <w:fldChar w:fldCharType="separate"/>
        </w:r>
        <w:r w:rsidR="005525F0">
          <w:rPr>
            <w:noProof/>
          </w:rPr>
          <w:t>40</w:t>
        </w:r>
        <w:r w:rsidR="00F162B2">
          <w:rPr>
            <w:noProof/>
          </w:rPr>
          <w:fldChar w:fldCharType="end"/>
        </w:r>
      </w:hyperlink>
    </w:p>
    <w:p w14:paraId="24338AFF" w14:textId="714B9BAE" w:rsidR="00AE4DAB" w:rsidRDefault="00BC4D28">
      <w:pPr>
        <w:pStyle w:val="10"/>
        <w:rPr>
          <w:rFonts w:asciiTheme="minorHAnsi" w:eastAsiaTheme="minorEastAsia" w:hAnsiTheme="minorHAnsi" w:cstheme="minorBidi"/>
          <w:noProof/>
          <w:sz w:val="21"/>
          <w:szCs w:val="22"/>
        </w:rPr>
      </w:pPr>
      <w:hyperlink w:anchor="_Toc44321745" w:history="1">
        <w:r w:rsidR="00F162B2">
          <w:rPr>
            <w:rStyle w:val="ae"/>
            <w:rFonts w:hint="eastAsia"/>
            <w:bCs/>
            <w:noProof/>
          </w:rPr>
          <w:t>第二十二条</w:t>
        </w:r>
        <w:r w:rsidR="00F162B2">
          <w:rPr>
            <w:rStyle w:val="ae"/>
            <w:bCs/>
            <w:noProof/>
          </w:rPr>
          <w:t xml:space="preserve"> </w:t>
        </w:r>
        <w:r w:rsidR="00F162B2">
          <w:rPr>
            <w:rStyle w:val="ae"/>
            <w:rFonts w:hint="eastAsia"/>
            <w:bCs/>
            <w:noProof/>
          </w:rPr>
          <w:t>可分割性</w:t>
        </w:r>
        <w:r w:rsidR="00F162B2">
          <w:rPr>
            <w:noProof/>
          </w:rPr>
          <w:tab/>
        </w:r>
        <w:r w:rsidR="00F162B2">
          <w:rPr>
            <w:noProof/>
          </w:rPr>
          <w:fldChar w:fldCharType="begin"/>
        </w:r>
        <w:r w:rsidR="00F162B2">
          <w:rPr>
            <w:noProof/>
          </w:rPr>
          <w:instrText xml:space="preserve"> PAGEREF _Toc44321745 \h </w:instrText>
        </w:r>
        <w:r w:rsidR="00F162B2">
          <w:rPr>
            <w:noProof/>
          </w:rPr>
        </w:r>
        <w:r w:rsidR="00F162B2">
          <w:rPr>
            <w:noProof/>
          </w:rPr>
          <w:fldChar w:fldCharType="separate"/>
        </w:r>
        <w:r w:rsidR="005525F0">
          <w:rPr>
            <w:noProof/>
          </w:rPr>
          <w:t>41</w:t>
        </w:r>
        <w:r w:rsidR="00F162B2">
          <w:rPr>
            <w:noProof/>
          </w:rPr>
          <w:fldChar w:fldCharType="end"/>
        </w:r>
      </w:hyperlink>
    </w:p>
    <w:p w14:paraId="6868146D" w14:textId="7CA050A7" w:rsidR="00AE4DAB" w:rsidRDefault="00BC4D28">
      <w:pPr>
        <w:pStyle w:val="10"/>
        <w:rPr>
          <w:rFonts w:asciiTheme="minorHAnsi" w:eastAsiaTheme="minorEastAsia" w:hAnsiTheme="minorHAnsi" w:cstheme="minorBidi"/>
          <w:noProof/>
          <w:sz w:val="21"/>
          <w:szCs w:val="22"/>
        </w:rPr>
      </w:pPr>
      <w:hyperlink w:anchor="_Toc44321746" w:history="1">
        <w:r w:rsidR="00F162B2">
          <w:rPr>
            <w:rStyle w:val="ae"/>
            <w:rFonts w:hint="eastAsia"/>
            <w:bCs/>
            <w:noProof/>
          </w:rPr>
          <w:t>第二十三条</w:t>
        </w:r>
        <w:r w:rsidR="00F162B2">
          <w:rPr>
            <w:rStyle w:val="ae"/>
            <w:bCs/>
            <w:noProof/>
          </w:rPr>
          <w:t xml:space="preserve"> </w:t>
        </w:r>
        <w:r w:rsidR="00F162B2">
          <w:rPr>
            <w:rStyle w:val="ae"/>
            <w:rFonts w:hint="eastAsia"/>
            <w:bCs/>
            <w:noProof/>
          </w:rPr>
          <w:t>通知与送达</w:t>
        </w:r>
        <w:r w:rsidR="00F162B2">
          <w:rPr>
            <w:noProof/>
          </w:rPr>
          <w:tab/>
        </w:r>
        <w:r w:rsidR="00F162B2">
          <w:rPr>
            <w:noProof/>
          </w:rPr>
          <w:fldChar w:fldCharType="begin"/>
        </w:r>
        <w:r w:rsidR="00F162B2">
          <w:rPr>
            <w:noProof/>
          </w:rPr>
          <w:instrText xml:space="preserve"> PAGEREF _Toc44321746 \h </w:instrText>
        </w:r>
        <w:r w:rsidR="00F162B2">
          <w:rPr>
            <w:noProof/>
          </w:rPr>
        </w:r>
        <w:r w:rsidR="00F162B2">
          <w:rPr>
            <w:noProof/>
          </w:rPr>
          <w:fldChar w:fldCharType="separate"/>
        </w:r>
        <w:r w:rsidR="005525F0">
          <w:rPr>
            <w:noProof/>
          </w:rPr>
          <w:t>41</w:t>
        </w:r>
        <w:r w:rsidR="00F162B2">
          <w:rPr>
            <w:noProof/>
          </w:rPr>
          <w:fldChar w:fldCharType="end"/>
        </w:r>
      </w:hyperlink>
    </w:p>
    <w:p w14:paraId="7BE497D9" w14:textId="2D430CD5" w:rsidR="00AE4DAB" w:rsidRDefault="00BC4D28">
      <w:pPr>
        <w:pStyle w:val="10"/>
        <w:rPr>
          <w:rFonts w:asciiTheme="minorHAnsi" w:eastAsiaTheme="minorEastAsia" w:hAnsiTheme="minorHAnsi" w:cstheme="minorBidi"/>
          <w:noProof/>
          <w:sz w:val="21"/>
          <w:szCs w:val="22"/>
        </w:rPr>
      </w:pPr>
      <w:hyperlink w:anchor="_Toc44321747" w:history="1">
        <w:r w:rsidR="00F162B2">
          <w:rPr>
            <w:rStyle w:val="ae"/>
            <w:rFonts w:hint="eastAsia"/>
            <w:bCs/>
            <w:noProof/>
          </w:rPr>
          <w:t>第二十四条</w:t>
        </w:r>
        <w:r w:rsidR="00F162B2">
          <w:rPr>
            <w:rStyle w:val="ae"/>
            <w:bCs/>
            <w:noProof/>
          </w:rPr>
          <w:t xml:space="preserve"> </w:t>
        </w:r>
        <w:r w:rsidR="00F162B2">
          <w:rPr>
            <w:rStyle w:val="ae"/>
            <w:rFonts w:hint="eastAsia"/>
            <w:bCs/>
            <w:noProof/>
          </w:rPr>
          <w:t>其他约定事项</w:t>
        </w:r>
        <w:r w:rsidR="00F162B2">
          <w:rPr>
            <w:noProof/>
          </w:rPr>
          <w:tab/>
        </w:r>
        <w:r w:rsidR="00F162B2">
          <w:rPr>
            <w:noProof/>
          </w:rPr>
          <w:fldChar w:fldCharType="begin"/>
        </w:r>
        <w:r w:rsidR="00F162B2">
          <w:rPr>
            <w:noProof/>
          </w:rPr>
          <w:instrText xml:space="preserve"> PAGEREF _Toc44321747 \h </w:instrText>
        </w:r>
        <w:r w:rsidR="00F162B2">
          <w:rPr>
            <w:noProof/>
          </w:rPr>
        </w:r>
        <w:r w:rsidR="00F162B2">
          <w:rPr>
            <w:noProof/>
          </w:rPr>
          <w:fldChar w:fldCharType="separate"/>
        </w:r>
        <w:r w:rsidR="005525F0">
          <w:rPr>
            <w:noProof/>
          </w:rPr>
          <w:t>43</w:t>
        </w:r>
        <w:r w:rsidR="00F162B2">
          <w:rPr>
            <w:noProof/>
          </w:rPr>
          <w:fldChar w:fldCharType="end"/>
        </w:r>
      </w:hyperlink>
    </w:p>
    <w:p w14:paraId="39AE7970" w14:textId="77777777" w:rsidR="005525F0" w:rsidRDefault="00F162B2">
      <w:pPr>
        <w:snapToGrid w:val="0"/>
        <w:spacing w:line="360" w:lineRule="auto"/>
        <w:jc w:val="center"/>
        <w:rPr>
          <w:rFonts w:ascii="宋体" w:hAnsi="宋体"/>
          <w:b/>
          <w:sz w:val="28"/>
          <w:szCs w:val="28"/>
        </w:rPr>
        <w:sectPr w:rsidR="005525F0" w:rsidSect="00260471">
          <w:footerReference w:type="even" r:id="rId11"/>
          <w:footerReference w:type="default" r:id="rId12"/>
          <w:pgSz w:w="11907" w:h="16840"/>
          <w:pgMar w:top="1090" w:right="1678" w:bottom="935" w:left="1678" w:header="720" w:footer="720" w:gutter="0"/>
          <w:pgNumType w:start="0"/>
          <w:cols w:space="720"/>
          <w:titlePg/>
          <w:docGrid w:linePitch="286"/>
        </w:sectPr>
      </w:pPr>
      <w:r>
        <w:rPr>
          <w:rFonts w:ascii="宋体" w:hAnsi="宋体"/>
          <w:b/>
          <w:sz w:val="28"/>
          <w:szCs w:val="28"/>
        </w:rPr>
        <w:fldChar w:fldCharType="end"/>
      </w:r>
    </w:p>
    <w:p w14:paraId="6FA9E6AC" w14:textId="19EC977D" w:rsidR="00AE4DAB" w:rsidRDefault="00D62DEA" w:rsidP="00D46F62">
      <w:pPr>
        <w:adjustRightInd w:val="0"/>
        <w:snapToGrid w:val="0"/>
        <w:spacing w:line="520" w:lineRule="atLeast"/>
        <w:jc w:val="center"/>
        <w:rPr>
          <w:rFonts w:ascii="宋体" w:hAnsi="宋体"/>
          <w:b/>
          <w:sz w:val="28"/>
          <w:szCs w:val="28"/>
        </w:rPr>
      </w:pPr>
      <w:r w:rsidRPr="00D62DEA">
        <w:rPr>
          <w:rFonts w:ascii="宋体" w:hAnsi="宋体" w:hint="eastAsia"/>
          <w:b/>
          <w:sz w:val="28"/>
          <w:szCs w:val="28"/>
        </w:rPr>
        <w:lastRenderedPageBreak/>
        <w:t>太平</w:t>
      </w:r>
      <w:proofErr w:type="gramStart"/>
      <w:r w:rsidRPr="00D62DEA">
        <w:rPr>
          <w:rFonts w:ascii="宋体" w:hAnsi="宋体" w:hint="eastAsia"/>
          <w:b/>
          <w:sz w:val="28"/>
          <w:szCs w:val="28"/>
        </w:rPr>
        <w:t>睿</w:t>
      </w:r>
      <w:proofErr w:type="gramEnd"/>
      <w:r w:rsidRPr="00D62DEA">
        <w:rPr>
          <w:rFonts w:ascii="宋体" w:hAnsi="宋体" w:hint="eastAsia"/>
          <w:b/>
          <w:sz w:val="28"/>
          <w:szCs w:val="28"/>
        </w:rPr>
        <w:t>享混合型证券投资基金</w:t>
      </w:r>
      <w:r w:rsidR="00F162B2">
        <w:rPr>
          <w:rFonts w:ascii="宋体" w:hAnsi="宋体" w:hint="eastAsia"/>
          <w:b/>
          <w:sz w:val="28"/>
          <w:szCs w:val="28"/>
        </w:rPr>
        <w:t>托管协议</w:t>
      </w:r>
    </w:p>
    <w:p w14:paraId="64033F55" w14:textId="77777777" w:rsidR="00AE4DAB" w:rsidRDefault="00AE4DAB">
      <w:pPr>
        <w:adjustRightInd w:val="0"/>
        <w:snapToGrid w:val="0"/>
        <w:spacing w:line="520" w:lineRule="atLeast"/>
        <w:jc w:val="center"/>
        <w:rPr>
          <w:rFonts w:ascii="宋体" w:hAnsi="宋体"/>
          <w:b/>
          <w:sz w:val="28"/>
          <w:szCs w:val="28"/>
        </w:rPr>
      </w:pPr>
    </w:p>
    <w:p w14:paraId="6BA17A9D" w14:textId="77777777" w:rsidR="00AE4DAB" w:rsidRDefault="00F162B2">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基金管理人：太平基金管理有限公司</w:t>
      </w:r>
    </w:p>
    <w:p w14:paraId="2CE9D7F7" w14:textId="77777777" w:rsidR="00AE4DAB" w:rsidRDefault="00F162B2">
      <w:pPr>
        <w:tabs>
          <w:tab w:val="left" w:pos="5940"/>
        </w:tabs>
        <w:adjustRightInd w:val="0"/>
        <w:snapToGrid w:val="0"/>
        <w:spacing w:line="520" w:lineRule="atLeast"/>
        <w:rPr>
          <w:rFonts w:ascii="宋体" w:hAnsi="宋体"/>
          <w:sz w:val="24"/>
          <w:szCs w:val="24"/>
        </w:rPr>
      </w:pPr>
      <w:r>
        <w:rPr>
          <w:rFonts w:ascii="宋体" w:hAnsi="宋体" w:hint="eastAsia"/>
          <w:sz w:val="24"/>
          <w:szCs w:val="24"/>
        </w:rPr>
        <w:t>法定代表人：</w:t>
      </w:r>
      <w:r>
        <w:rPr>
          <w:rFonts w:hint="eastAsia"/>
          <w:bCs/>
          <w:sz w:val="24"/>
        </w:rPr>
        <w:t>范宇</w:t>
      </w:r>
    </w:p>
    <w:p w14:paraId="220EED2F" w14:textId="77777777" w:rsidR="00AE4DAB" w:rsidRDefault="00F162B2">
      <w:pPr>
        <w:tabs>
          <w:tab w:val="left" w:pos="5940"/>
        </w:tabs>
        <w:adjustRightInd w:val="0"/>
        <w:snapToGrid w:val="0"/>
        <w:spacing w:line="520" w:lineRule="atLeast"/>
        <w:rPr>
          <w:rFonts w:ascii="宋体" w:hAnsi="宋体"/>
          <w:sz w:val="24"/>
          <w:szCs w:val="24"/>
        </w:rPr>
      </w:pPr>
      <w:r>
        <w:rPr>
          <w:rFonts w:ascii="宋体" w:hAnsi="宋体" w:hint="eastAsia"/>
          <w:sz w:val="24"/>
          <w:szCs w:val="24"/>
        </w:rPr>
        <w:t>住    所：</w:t>
      </w:r>
      <w:r>
        <w:rPr>
          <w:rFonts w:hint="eastAsia"/>
          <w:bCs/>
          <w:sz w:val="24"/>
        </w:rPr>
        <w:t>中国上海市虹口区邯郸路</w:t>
      </w:r>
      <w:r>
        <w:rPr>
          <w:rFonts w:hint="eastAsia"/>
          <w:bCs/>
          <w:sz w:val="24"/>
        </w:rPr>
        <w:t>135</w:t>
      </w:r>
      <w:r>
        <w:rPr>
          <w:rFonts w:hint="eastAsia"/>
          <w:bCs/>
          <w:sz w:val="24"/>
        </w:rPr>
        <w:t>号</w:t>
      </w:r>
      <w:r>
        <w:rPr>
          <w:rFonts w:hint="eastAsia"/>
          <w:bCs/>
          <w:sz w:val="24"/>
        </w:rPr>
        <w:t>5</w:t>
      </w:r>
      <w:r>
        <w:rPr>
          <w:rFonts w:hint="eastAsia"/>
          <w:bCs/>
          <w:sz w:val="24"/>
        </w:rPr>
        <w:t>幢</w:t>
      </w:r>
      <w:r>
        <w:rPr>
          <w:rFonts w:hint="eastAsia"/>
          <w:bCs/>
          <w:sz w:val="24"/>
        </w:rPr>
        <w:t>101</w:t>
      </w:r>
      <w:r>
        <w:rPr>
          <w:rFonts w:hint="eastAsia"/>
          <w:bCs/>
          <w:sz w:val="24"/>
        </w:rPr>
        <w:t>室</w:t>
      </w:r>
    </w:p>
    <w:p w14:paraId="31ADDE5F" w14:textId="77777777" w:rsidR="00AE4DAB" w:rsidRDefault="00AE4DAB">
      <w:pPr>
        <w:snapToGrid w:val="0"/>
        <w:spacing w:line="520" w:lineRule="atLeast"/>
        <w:rPr>
          <w:rFonts w:ascii="宋体" w:hAnsi="宋体"/>
          <w:sz w:val="24"/>
          <w:szCs w:val="24"/>
        </w:rPr>
      </w:pPr>
    </w:p>
    <w:p w14:paraId="7638A21F" w14:textId="77777777" w:rsidR="00AE4DAB" w:rsidRDefault="00F162B2">
      <w:pPr>
        <w:tabs>
          <w:tab w:val="left" w:pos="5940"/>
        </w:tabs>
        <w:snapToGrid w:val="0"/>
        <w:spacing w:line="520" w:lineRule="atLeast"/>
        <w:rPr>
          <w:rFonts w:ascii="宋体" w:hAnsi="宋体"/>
          <w:b/>
          <w:sz w:val="24"/>
          <w:szCs w:val="24"/>
        </w:rPr>
      </w:pPr>
      <w:r>
        <w:rPr>
          <w:rFonts w:ascii="宋体" w:hAnsi="宋体" w:hint="eastAsia"/>
          <w:b/>
          <w:sz w:val="24"/>
          <w:szCs w:val="24"/>
        </w:rPr>
        <w:t>基金托管人：中信银行股份有限公司</w:t>
      </w:r>
    </w:p>
    <w:p w14:paraId="75B087A1" w14:textId="77777777" w:rsidR="00AE4DAB" w:rsidRDefault="00F162B2">
      <w:pPr>
        <w:tabs>
          <w:tab w:val="left" w:pos="5940"/>
        </w:tabs>
        <w:snapToGrid w:val="0"/>
        <w:spacing w:line="520" w:lineRule="atLeast"/>
        <w:rPr>
          <w:rFonts w:ascii="宋体" w:hAnsi="宋体"/>
          <w:sz w:val="24"/>
          <w:szCs w:val="24"/>
        </w:rPr>
      </w:pPr>
      <w:r>
        <w:rPr>
          <w:rFonts w:ascii="宋体" w:hAnsi="宋体" w:hint="eastAsia"/>
          <w:sz w:val="24"/>
          <w:szCs w:val="24"/>
        </w:rPr>
        <w:t>法定代表人/负责人：李庆萍</w:t>
      </w:r>
    </w:p>
    <w:p w14:paraId="10501BCF" w14:textId="77777777" w:rsidR="00AE4DAB" w:rsidRDefault="00F162B2">
      <w:pPr>
        <w:tabs>
          <w:tab w:val="left" w:pos="5940"/>
        </w:tabs>
        <w:snapToGrid w:val="0"/>
        <w:spacing w:line="520" w:lineRule="atLeast"/>
        <w:rPr>
          <w:rFonts w:ascii="宋体" w:hAnsi="宋体"/>
          <w:sz w:val="24"/>
          <w:szCs w:val="24"/>
        </w:rPr>
      </w:pPr>
      <w:r>
        <w:rPr>
          <w:rFonts w:ascii="宋体" w:hAnsi="宋体" w:hint="eastAsia"/>
          <w:sz w:val="24"/>
          <w:szCs w:val="24"/>
        </w:rPr>
        <w:t>住    所：北京市朝阳区光华路10号院1号楼6-30层、32-42层</w:t>
      </w:r>
    </w:p>
    <w:p w14:paraId="6C479276" w14:textId="77777777" w:rsidR="00AE4DAB" w:rsidRDefault="00AE4DAB" w:rsidP="003D3783">
      <w:pPr>
        <w:autoSpaceDE w:val="0"/>
        <w:autoSpaceDN w:val="0"/>
        <w:adjustRightInd w:val="0"/>
        <w:spacing w:line="520" w:lineRule="atLeast"/>
        <w:rPr>
          <w:rFonts w:ascii="宋体" w:hAnsi="宋体"/>
          <w:sz w:val="24"/>
          <w:szCs w:val="24"/>
        </w:rPr>
      </w:pPr>
    </w:p>
    <w:p w14:paraId="10CAB6E6" w14:textId="77777777" w:rsidR="00AE4DAB" w:rsidRDefault="00F162B2">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4BD75D1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1．太平基金管理有限公司系一家依照中国法律合法成立并有效存续的有限责任公司，按照相关法律法规的规定具备担任基金管理人的资格和能力；</w:t>
      </w:r>
    </w:p>
    <w:p w14:paraId="201BE6E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6976A6D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 太平基金管理有限公司拟担任</w:t>
      </w:r>
      <w:r w:rsidR="00652D4D" w:rsidRPr="00652D4D">
        <w:rPr>
          <w:rFonts w:hAnsi="宋体" w:hint="eastAsia"/>
          <w:szCs w:val="24"/>
        </w:rPr>
        <w:t>太平</w:t>
      </w:r>
      <w:proofErr w:type="gramStart"/>
      <w:r w:rsidR="00652D4D" w:rsidRPr="00652D4D">
        <w:rPr>
          <w:rFonts w:hAnsi="宋体" w:hint="eastAsia"/>
          <w:szCs w:val="24"/>
        </w:rPr>
        <w:t>睿</w:t>
      </w:r>
      <w:proofErr w:type="gramEnd"/>
      <w:r w:rsidR="00652D4D" w:rsidRPr="00652D4D">
        <w:rPr>
          <w:rFonts w:hAnsi="宋体" w:hint="eastAsia"/>
          <w:szCs w:val="24"/>
        </w:rPr>
        <w:t>享混合型证券投资基金</w:t>
      </w:r>
      <w:r>
        <w:rPr>
          <w:rFonts w:hAnsi="宋体" w:hint="eastAsia"/>
          <w:szCs w:val="24"/>
        </w:rPr>
        <w:t>的基金管理人，中信银行股份有限公司拟担任</w:t>
      </w:r>
      <w:r w:rsidR="00652D4D" w:rsidRPr="00652D4D">
        <w:rPr>
          <w:rFonts w:hAnsi="宋体" w:hint="eastAsia"/>
          <w:szCs w:val="24"/>
        </w:rPr>
        <w:t>太平</w:t>
      </w:r>
      <w:proofErr w:type="gramStart"/>
      <w:r w:rsidR="00652D4D" w:rsidRPr="00652D4D">
        <w:rPr>
          <w:rFonts w:hAnsi="宋体" w:hint="eastAsia"/>
          <w:szCs w:val="24"/>
        </w:rPr>
        <w:t>睿</w:t>
      </w:r>
      <w:proofErr w:type="gramEnd"/>
      <w:r w:rsidR="00652D4D" w:rsidRPr="00652D4D">
        <w:rPr>
          <w:rFonts w:hAnsi="宋体" w:hint="eastAsia"/>
          <w:szCs w:val="24"/>
        </w:rPr>
        <w:t>享混合型证券投资基金</w:t>
      </w:r>
      <w:r>
        <w:rPr>
          <w:rFonts w:hAnsi="宋体" w:hint="eastAsia"/>
          <w:szCs w:val="24"/>
        </w:rPr>
        <w:t>的基金托管人；</w:t>
      </w:r>
    </w:p>
    <w:p w14:paraId="07EBDF1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7EDA9D1E" w14:textId="77777777" w:rsidR="00AE4DAB" w:rsidRDefault="00F162B2">
      <w:pPr>
        <w:pStyle w:val="20"/>
        <w:spacing w:before="0" w:after="0" w:line="520" w:lineRule="atLeast"/>
        <w:ind w:left="0" w:firstLine="541"/>
        <w:rPr>
          <w:rFonts w:hAnsi="宋体"/>
          <w:b/>
          <w:bCs/>
          <w:szCs w:val="24"/>
        </w:rPr>
      </w:pPr>
      <w:r>
        <w:rPr>
          <w:rFonts w:hAnsi="宋体" w:hint="eastAsia"/>
          <w:b/>
          <w:bCs/>
          <w:szCs w:val="24"/>
        </w:rPr>
        <w:t>释义：</w:t>
      </w:r>
    </w:p>
    <w:p w14:paraId="23CA7C5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除非另有约定，《</w:t>
      </w:r>
      <w:r w:rsidR="00652D4D" w:rsidRPr="00652D4D">
        <w:rPr>
          <w:rFonts w:hAnsi="宋体" w:hint="eastAsia"/>
          <w:szCs w:val="24"/>
        </w:rPr>
        <w:t>太平睿享混合型证券投资基金</w:t>
      </w:r>
      <w:r>
        <w:rPr>
          <w:rFonts w:hAnsi="宋体" w:hint="eastAsia"/>
          <w:szCs w:val="24"/>
        </w:rPr>
        <w:t xml:space="preserve">基金合同》(以下简称“基金合同”) 中定义的术语在用于本托管协议时应具有相同的含义；若有抵触，应以基金合同为准，并依其条款解释。 </w:t>
      </w:r>
    </w:p>
    <w:p w14:paraId="2A10D393" w14:textId="77777777" w:rsidR="00AE4DAB" w:rsidRDefault="00F162B2">
      <w:pPr>
        <w:pStyle w:val="1"/>
        <w:spacing w:line="520" w:lineRule="atLeast"/>
        <w:ind w:firstLineChars="200" w:firstLine="482"/>
        <w:rPr>
          <w:bCs/>
          <w:color w:val="auto"/>
          <w:szCs w:val="24"/>
        </w:rPr>
      </w:pPr>
      <w:bookmarkStart w:id="10" w:name="_Toc44321724"/>
      <w:bookmarkStart w:id="11" w:name="_Toc296551337"/>
      <w:r>
        <w:rPr>
          <w:rFonts w:hint="eastAsia"/>
          <w:bCs/>
          <w:color w:val="auto"/>
          <w:szCs w:val="24"/>
        </w:rPr>
        <w:t>第一条 本协议当事人</w:t>
      </w:r>
      <w:bookmarkEnd w:id="10"/>
      <w:bookmarkEnd w:id="11"/>
    </w:p>
    <w:p w14:paraId="62916A3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1.1基金管理人：</w:t>
      </w:r>
    </w:p>
    <w:p w14:paraId="7FA3D80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名称：</w:t>
      </w:r>
      <w:r>
        <w:rPr>
          <w:rFonts w:hint="eastAsia"/>
          <w:bCs/>
        </w:rPr>
        <w:t>太平基金管理有限公司</w:t>
      </w:r>
    </w:p>
    <w:p w14:paraId="4BA46D6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住所：</w:t>
      </w:r>
      <w:r>
        <w:rPr>
          <w:rFonts w:hint="eastAsia"/>
          <w:bCs/>
        </w:rPr>
        <w:t>中国上海市虹口区邯郸路135号5幢101室</w:t>
      </w:r>
    </w:p>
    <w:p w14:paraId="7E05B38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法定代表人：</w:t>
      </w:r>
      <w:r>
        <w:rPr>
          <w:rFonts w:hint="eastAsia"/>
          <w:bCs/>
        </w:rPr>
        <w:t>范宇</w:t>
      </w:r>
    </w:p>
    <w:p w14:paraId="3BC4205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成立时间：</w:t>
      </w:r>
      <w:r>
        <w:rPr>
          <w:rFonts w:hint="eastAsia"/>
          <w:bCs/>
        </w:rPr>
        <w:t>2013年1月23日</w:t>
      </w:r>
    </w:p>
    <w:p w14:paraId="6E19D11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批准设立机关：</w:t>
      </w:r>
      <w:r>
        <w:rPr>
          <w:rFonts w:hint="eastAsia"/>
          <w:bCs/>
        </w:rPr>
        <w:t>中国证监会</w:t>
      </w:r>
      <w:r>
        <w:rPr>
          <w:rFonts w:hAnsi="宋体" w:hint="eastAsia"/>
          <w:szCs w:val="24"/>
        </w:rPr>
        <w:t xml:space="preserve"> </w:t>
      </w:r>
    </w:p>
    <w:p w14:paraId="6F76781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批准设立文号：</w:t>
      </w:r>
      <w:r>
        <w:rPr>
          <w:rFonts w:hint="eastAsia"/>
          <w:bCs/>
        </w:rPr>
        <w:t>证监许可[2012]1719号</w:t>
      </w:r>
      <w:r>
        <w:rPr>
          <w:rFonts w:hAnsi="宋体" w:hint="eastAsia"/>
          <w:szCs w:val="24"/>
        </w:rPr>
        <w:t xml:space="preserve"> </w:t>
      </w:r>
    </w:p>
    <w:p w14:paraId="2EEA724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组织形式：</w:t>
      </w:r>
      <w:r>
        <w:rPr>
          <w:rFonts w:hint="eastAsia"/>
          <w:bCs/>
        </w:rPr>
        <w:t>有限责任公司</w:t>
      </w:r>
    </w:p>
    <w:p w14:paraId="732E2EB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注册资本：</w:t>
      </w:r>
      <w:r>
        <w:rPr>
          <w:rFonts w:hint="eastAsia"/>
          <w:bCs/>
        </w:rPr>
        <w:t>人民币40000万元</w:t>
      </w:r>
    </w:p>
    <w:p w14:paraId="4DC2C2B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存续期间：</w:t>
      </w:r>
      <w:r>
        <w:rPr>
          <w:rFonts w:hint="eastAsia"/>
          <w:bCs/>
        </w:rPr>
        <w:t>持续经营</w:t>
      </w:r>
    </w:p>
    <w:p w14:paraId="43B42B1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1.2基金托管人：</w:t>
      </w:r>
    </w:p>
    <w:p w14:paraId="71E4DD1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名称：中信银行股份有限公司</w:t>
      </w:r>
    </w:p>
    <w:p w14:paraId="7402210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住所：北京市朝阳区光华路10号院1号楼6-30层、32-42层</w:t>
      </w:r>
    </w:p>
    <w:p w14:paraId="10BAF95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法定代表人：李庆萍</w:t>
      </w:r>
    </w:p>
    <w:p w14:paraId="6FFD588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653AE50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批准设立文号：国办函[1987]14号</w:t>
      </w:r>
    </w:p>
    <w:p w14:paraId="1F71F6A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14:paraId="7210DAE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组织形式：股份有限公司</w:t>
      </w:r>
    </w:p>
    <w:p w14:paraId="0BA9E50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注册资本：4893479.6573万元</w:t>
      </w:r>
    </w:p>
    <w:p w14:paraId="0FC2DCD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存续期间：持续经营</w:t>
      </w:r>
    </w:p>
    <w:p w14:paraId="419EBB2F" w14:textId="77777777" w:rsidR="00AE4DAB" w:rsidRDefault="00F162B2">
      <w:pPr>
        <w:pStyle w:val="1"/>
        <w:spacing w:line="520" w:lineRule="atLeast"/>
        <w:ind w:firstLineChars="200" w:firstLine="482"/>
        <w:rPr>
          <w:bCs/>
          <w:color w:val="auto"/>
          <w:szCs w:val="24"/>
        </w:rPr>
      </w:pPr>
      <w:bookmarkStart w:id="12" w:name="_Toc44321725"/>
      <w:bookmarkStart w:id="13" w:name="_Toc296551338"/>
      <w:r>
        <w:rPr>
          <w:rFonts w:hint="eastAsia"/>
          <w:bCs/>
          <w:color w:val="auto"/>
          <w:szCs w:val="24"/>
        </w:rPr>
        <w:t>第二条 本协议的依据、目的和原则</w:t>
      </w:r>
      <w:bookmarkEnd w:id="12"/>
      <w:bookmarkEnd w:id="13"/>
    </w:p>
    <w:p w14:paraId="017FD1D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2.1本协议的依据</w:t>
      </w:r>
    </w:p>
    <w:p w14:paraId="1FA10D4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订立本协议的依据是《中华人民共和国民法典》（以下简称“《民法典》”）、《中华人民共和国证券投资基金法》（以下简称“《基金法》”）、《公开募集证券投资基金运作管理办法》（以下简称“《运作办法》”）、</w:t>
      </w:r>
      <w:r>
        <w:rPr>
          <w:rFonts w:hint="eastAsia"/>
          <w:bCs/>
        </w:rPr>
        <w:t>《公开募集证券投资基金销售机构监督管理办法》</w:t>
      </w:r>
      <w:r>
        <w:rPr>
          <w:rFonts w:hAnsi="宋体" w:hint="eastAsia"/>
          <w:szCs w:val="24"/>
        </w:rPr>
        <w:t>（以下简称“《销售办法》”）、《公开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92580C" w:rsidRPr="0092580C">
        <w:rPr>
          <w:rFonts w:hAnsi="宋体" w:hint="eastAsia"/>
          <w:szCs w:val="24"/>
        </w:rPr>
        <w:t>太平睿享混合型证券投资基金</w:t>
      </w:r>
      <w:r>
        <w:rPr>
          <w:rFonts w:hAnsi="宋体" w:hint="eastAsia"/>
          <w:szCs w:val="24"/>
        </w:rPr>
        <w:t>基金合同》（以下简称“基金合同”）及其他有关规定。</w:t>
      </w:r>
    </w:p>
    <w:p w14:paraId="00881CAB"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14:paraId="00C07500"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lastRenderedPageBreak/>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7255248D"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14:paraId="476834F9"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03C51232"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szCs w:val="24"/>
        </w:rPr>
        <w:t>2.4</w:t>
      </w:r>
      <w:r>
        <w:rPr>
          <w:rFonts w:hAnsi="宋体" w:hint="eastAsia"/>
          <w:szCs w:val="24"/>
        </w:rPr>
        <w:t>若本基金实施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侧袋机制</w:t>
      </w:r>
      <w:proofErr w:type="gramEnd"/>
      <w:r>
        <w:rPr>
          <w:rFonts w:hAnsi="宋体" w:hint="eastAsia"/>
          <w:szCs w:val="24"/>
        </w:rPr>
        <w:t>实施期间的相关安排</w:t>
      </w:r>
      <w:proofErr w:type="gramStart"/>
      <w:r>
        <w:rPr>
          <w:rFonts w:hAnsi="宋体" w:hint="eastAsia"/>
          <w:szCs w:val="24"/>
        </w:rPr>
        <w:t>见基金</w:t>
      </w:r>
      <w:proofErr w:type="gramEnd"/>
      <w:r>
        <w:rPr>
          <w:rFonts w:hAnsi="宋体" w:hint="eastAsia"/>
          <w:szCs w:val="24"/>
        </w:rPr>
        <w:t>合同和招募说明书的规定。</w:t>
      </w:r>
    </w:p>
    <w:p w14:paraId="3A57C48F" w14:textId="77777777" w:rsidR="00AE4DAB" w:rsidRDefault="00F162B2">
      <w:pPr>
        <w:pStyle w:val="1"/>
        <w:adjustRightInd w:val="0"/>
        <w:spacing w:line="520" w:lineRule="atLeast"/>
        <w:ind w:firstLineChars="200" w:firstLine="482"/>
        <w:rPr>
          <w:bCs/>
          <w:color w:val="auto"/>
          <w:szCs w:val="24"/>
        </w:rPr>
      </w:pPr>
      <w:bookmarkStart w:id="14" w:name="_Toc296551339"/>
      <w:bookmarkStart w:id="15" w:name="_Toc44321726"/>
      <w:r>
        <w:rPr>
          <w:rFonts w:hint="eastAsia"/>
          <w:bCs/>
          <w:color w:val="auto"/>
          <w:szCs w:val="24"/>
        </w:rPr>
        <w:t>第三条 基金托管人对基金管理人的业务监督和核查</w:t>
      </w:r>
      <w:bookmarkEnd w:id="14"/>
      <w:bookmarkEnd w:id="15"/>
    </w:p>
    <w:p w14:paraId="541C64DC"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60562DA0"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65214DEE" w14:textId="3C66F55A" w:rsidR="00DD4007" w:rsidRPr="004A59C3" w:rsidRDefault="00F162B2" w:rsidP="003D3783">
      <w:pPr>
        <w:pStyle w:val="20"/>
        <w:adjustRightInd w:val="0"/>
        <w:snapToGrid w:val="0"/>
        <w:spacing w:before="0" w:after="0" w:line="520" w:lineRule="atLeast"/>
        <w:ind w:left="0" w:firstLineChars="200" w:firstLine="480"/>
        <w:rPr>
          <w:bCs/>
          <w:highlight w:val="yellow"/>
        </w:rPr>
      </w:pPr>
      <w:r>
        <w:rPr>
          <w:rFonts w:hint="eastAsia"/>
          <w:bCs/>
        </w:rPr>
        <w:t>本基金的投资范围</w:t>
      </w:r>
      <w:r w:rsidR="00DD4007" w:rsidRPr="004A59C3">
        <w:rPr>
          <w:rFonts w:hint="eastAsia"/>
          <w:bCs/>
        </w:rPr>
        <w:t>包括国内依法发行上市的股票（包括创业板以及其他经中国证监会核准或注册上市的股票）、港股通标的股票、衍生工具（股指期货、国债期货、股票期权等）、债券（包括国债、央行票据、地方政府债、金融债、企业债、公司债、公开发行的次级债、中期票据、短期融资</w:t>
      </w:r>
      <w:proofErr w:type="gramStart"/>
      <w:r w:rsidR="00DD4007" w:rsidRPr="004A59C3">
        <w:rPr>
          <w:rFonts w:hint="eastAsia"/>
          <w:bCs/>
        </w:rPr>
        <w:t>券</w:t>
      </w:r>
      <w:proofErr w:type="gramEnd"/>
      <w:r w:rsidR="00DD4007" w:rsidRPr="004A59C3">
        <w:rPr>
          <w:rFonts w:hint="eastAsia"/>
          <w:bCs/>
        </w:rPr>
        <w:t>、超短期融资</w:t>
      </w:r>
      <w:proofErr w:type="gramStart"/>
      <w:r w:rsidR="00DD4007" w:rsidRPr="004A59C3">
        <w:rPr>
          <w:rFonts w:hint="eastAsia"/>
          <w:bCs/>
        </w:rPr>
        <w:t>券</w:t>
      </w:r>
      <w:proofErr w:type="gramEnd"/>
      <w:r w:rsidR="00DD4007" w:rsidRPr="004A59C3">
        <w:rPr>
          <w:rFonts w:hint="eastAsia"/>
          <w:bCs/>
        </w:rPr>
        <w:t>、可转换债券</w:t>
      </w:r>
      <w:r w:rsidR="00D5328E">
        <w:rPr>
          <w:rFonts w:hint="eastAsia"/>
          <w:bCs/>
        </w:rPr>
        <w:t>（</w:t>
      </w:r>
      <w:proofErr w:type="gramStart"/>
      <w:r w:rsidR="00D5328E" w:rsidRPr="002C3EEE">
        <w:rPr>
          <w:rFonts w:ascii="Arial" w:hAnsi="Arial" w:cs="Arial" w:hint="eastAsia"/>
          <w:bCs/>
        </w:rPr>
        <w:t>含可分离</w:t>
      </w:r>
      <w:proofErr w:type="gramEnd"/>
      <w:r w:rsidR="00D5328E" w:rsidRPr="002C3EEE">
        <w:rPr>
          <w:rFonts w:ascii="Arial" w:hAnsi="Arial" w:cs="Arial" w:hint="eastAsia"/>
          <w:bCs/>
        </w:rPr>
        <w:t>交易可转债</w:t>
      </w:r>
      <w:r w:rsidR="00D5328E">
        <w:rPr>
          <w:rFonts w:hint="eastAsia"/>
          <w:bCs/>
        </w:rPr>
        <w:t>）</w:t>
      </w:r>
      <w:r w:rsidR="00DD4007" w:rsidRPr="004A59C3">
        <w:rPr>
          <w:rFonts w:hint="eastAsia"/>
          <w:bCs/>
        </w:rPr>
        <w:t>、可交换债券等）、资产支持证券、债券回购、银行存款、同业存单等及法律法规或中国证监会允许基金投资的其他金融工具。</w:t>
      </w:r>
    </w:p>
    <w:p w14:paraId="49B79880" w14:textId="77777777" w:rsidR="00AE4DAB" w:rsidRDefault="00F162B2">
      <w:pPr>
        <w:spacing w:line="520" w:lineRule="atLeast"/>
        <w:ind w:firstLine="480"/>
        <w:rPr>
          <w:rFonts w:ascii="宋体" w:hAnsi="宋体"/>
          <w:sz w:val="24"/>
          <w:szCs w:val="24"/>
        </w:rPr>
      </w:pPr>
      <w:r>
        <w:rPr>
          <w:rFonts w:hint="eastAsia"/>
          <w:bCs/>
          <w:sz w:val="24"/>
        </w:rPr>
        <w:t>如法律法规或监管机构以后允许基金投资其他品种，基金管理人在履行适当程序后，可以将其纳入投资范围。</w:t>
      </w:r>
      <w:r>
        <w:rPr>
          <w:rFonts w:ascii="宋体" w:hAnsi="宋体"/>
          <w:sz w:val="24"/>
          <w:szCs w:val="24"/>
        </w:rPr>
        <w:t xml:space="preserve">                                                                                                                            </w:t>
      </w:r>
    </w:p>
    <w:p w14:paraId="236235B4" w14:textId="77777777" w:rsidR="00AE4DAB" w:rsidRDefault="00F162B2">
      <w:pPr>
        <w:spacing w:line="520" w:lineRule="atLeast"/>
        <w:ind w:firstLine="480"/>
        <w:rPr>
          <w:rFonts w:ascii="宋体" w:hAnsi="宋体"/>
          <w:sz w:val="24"/>
          <w:szCs w:val="24"/>
        </w:rPr>
      </w:pPr>
      <w:r>
        <w:rPr>
          <w:rFonts w:ascii="宋体" w:hAnsi="宋体" w:hint="eastAsia"/>
          <w:sz w:val="24"/>
          <w:szCs w:val="24"/>
        </w:rPr>
        <w:t>本基金各类资产的投资比例范围为：</w:t>
      </w:r>
    </w:p>
    <w:p w14:paraId="09B2EDA5" w14:textId="77777777" w:rsidR="003D3783" w:rsidRDefault="00041E2B">
      <w:pPr>
        <w:spacing w:line="520" w:lineRule="atLeast"/>
        <w:ind w:firstLine="480"/>
        <w:rPr>
          <w:bCs/>
          <w:sz w:val="24"/>
        </w:rPr>
      </w:pPr>
      <w:r w:rsidRPr="00041E2B">
        <w:rPr>
          <w:rFonts w:hint="eastAsia"/>
          <w:bCs/>
          <w:sz w:val="24"/>
        </w:rPr>
        <w:t>股票投资占基金资产的比例为</w:t>
      </w:r>
      <w:r w:rsidRPr="00041E2B">
        <w:rPr>
          <w:rFonts w:hint="eastAsia"/>
          <w:bCs/>
          <w:sz w:val="24"/>
        </w:rPr>
        <w:t>0%-40%</w:t>
      </w:r>
      <w:r w:rsidRPr="00041E2B">
        <w:rPr>
          <w:rFonts w:hint="eastAsia"/>
          <w:bCs/>
          <w:sz w:val="24"/>
        </w:rPr>
        <w:t>；港股通标的股票的投资比例不超过基金股票资产的</w:t>
      </w:r>
      <w:r w:rsidRPr="00041E2B">
        <w:rPr>
          <w:rFonts w:hint="eastAsia"/>
          <w:bCs/>
          <w:sz w:val="24"/>
        </w:rPr>
        <w:t>50%</w:t>
      </w:r>
      <w:r w:rsidRPr="00041E2B">
        <w:rPr>
          <w:rFonts w:hint="eastAsia"/>
          <w:bCs/>
          <w:sz w:val="24"/>
        </w:rPr>
        <w:t>；每个交易日日终在扣除国债期货、股指期货和股票期权合约需缴纳的交易保证金后，保持不低于基金资产净值</w:t>
      </w:r>
      <w:r w:rsidRPr="00041E2B">
        <w:rPr>
          <w:rFonts w:hint="eastAsia"/>
          <w:bCs/>
          <w:sz w:val="24"/>
        </w:rPr>
        <w:t>5</w:t>
      </w:r>
      <w:r w:rsidRPr="00041E2B">
        <w:rPr>
          <w:rFonts w:hint="eastAsia"/>
          <w:bCs/>
          <w:sz w:val="24"/>
        </w:rPr>
        <w:t>％的现金或者到期日在一年以内的政府债券，其中，现金不包括结算备付金、存出保证金、应收申购款等。</w:t>
      </w:r>
    </w:p>
    <w:p w14:paraId="30538FB6" w14:textId="77777777" w:rsidR="00AE4DAB" w:rsidRDefault="0066661C">
      <w:pPr>
        <w:spacing w:line="520" w:lineRule="atLeast"/>
        <w:ind w:firstLine="480"/>
        <w:rPr>
          <w:rFonts w:ascii="宋体" w:hAnsi="宋体"/>
          <w:sz w:val="24"/>
          <w:szCs w:val="24"/>
        </w:rPr>
      </w:pPr>
      <w:r w:rsidRPr="004A59C3">
        <w:rPr>
          <w:rFonts w:hint="eastAsia"/>
          <w:bCs/>
          <w:sz w:val="24"/>
        </w:rPr>
        <w:t>如果法律法规或监管机构对该比例要求有变更的</w:t>
      </w:r>
      <w:r w:rsidR="00F162B2">
        <w:rPr>
          <w:rFonts w:hint="eastAsia"/>
          <w:bCs/>
          <w:sz w:val="24"/>
        </w:rPr>
        <w:t>，基金管理人在履行适当程序后，</w:t>
      </w:r>
      <w:r w:rsidRPr="004A59C3">
        <w:rPr>
          <w:rFonts w:hint="eastAsia"/>
          <w:bCs/>
          <w:sz w:val="24"/>
        </w:rPr>
        <w:t>本基金的投资比例相应调整。</w:t>
      </w:r>
      <w:r w:rsidR="00F162B2">
        <w:rPr>
          <w:rFonts w:ascii="宋体" w:hAnsi="宋体"/>
          <w:sz w:val="24"/>
          <w:szCs w:val="24"/>
        </w:rPr>
        <w:t xml:space="preserve">                                                                                                                                 </w:t>
      </w:r>
    </w:p>
    <w:p w14:paraId="10BCF882" w14:textId="77777777" w:rsidR="00AE4DAB" w:rsidRDefault="00F162B2">
      <w:pPr>
        <w:spacing w:line="520" w:lineRule="atLeast"/>
        <w:jc w:val="left"/>
        <w:rPr>
          <w:rFonts w:ascii="宋体" w:hAnsi="宋体"/>
          <w:sz w:val="24"/>
        </w:rPr>
      </w:pPr>
      <w:r>
        <w:rPr>
          <w:rFonts w:ascii="宋体" w:hAnsi="宋体" w:hint="eastAsia"/>
          <w:sz w:val="24"/>
        </w:rPr>
        <w:t xml:space="preserve">    3.1.2基金托管人根据有关法律法规的规定及基金合同的约定对下述基金投融</w:t>
      </w:r>
      <w:r>
        <w:rPr>
          <w:rFonts w:ascii="宋体" w:hAnsi="宋体" w:hint="eastAsia"/>
          <w:sz w:val="24"/>
        </w:rPr>
        <w:lastRenderedPageBreak/>
        <w:t xml:space="preserve">资比例进行监督： </w:t>
      </w:r>
    </w:p>
    <w:p w14:paraId="3C966054"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（1）股票投资占基金资产的比例为0%-40%；港股通标的股票的投资比例不超过基金股票资产的50%；</w:t>
      </w:r>
    </w:p>
    <w:p w14:paraId="6FFA4CD5"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2）每个交易日日终在扣除国债期货、股指期货和股票期权合约需缴纳的交易保证金后，保持不低于基金资产净值5％的现金或者到期日在一年以内的政府债券，其中，现金不包括结算备付金、存出保证金、应收申购款等；</w:t>
      </w:r>
    </w:p>
    <w:p w14:paraId="70626ACE" w14:textId="16959B4C"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（3）本基金持有一家公司发行的证券（同一家公司在</w:t>
      </w:r>
      <w:r w:rsidR="00D5328E">
        <w:rPr>
          <w:rFonts w:ascii="宋体" w:hAnsi="宋体" w:hint="eastAsia"/>
          <w:sz w:val="24"/>
        </w:rPr>
        <w:t>内地</w:t>
      </w:r>
      <w:r w:rsidRPr="0065434B">
        <w:rPr>
          <w:rFonts w:ascii="宋体" w:hAnsi="宋体" w:hint="eastAsia"/>
          <w:sz w:val="24"/>
        </w:rPr>
        <w:t>和香港同时上市的 A+H 股</w:t>
      </w:r>
      <w:r w:rsidR="00D5328E">
        <w:rPr>
          <w:rFonts w:ascii="宋体" w:hAnsi="宋体" w:hint="eastAsia"/>
          <w:sz w:val="24"/>
        </w:rPr>
        <w:t>合并</w:t>
      </w:r>
      <w:r w:rsidRPr="0065434B">
        <w:rPr>
          <w:rFonts w:ascii="宋体" w:hAnsi="宋体" w:hint="eastAsia"/>
          <w:sz w:val="24"/>
        </w:rPr>
        <w:t>计算），其市值不超过基金资产净值的10％；</w:t>
      </w:r>
    </w:p>
    <w:p w14:paraId="0AA8628A"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（4）本基金管理人管理的全部基金持有一家公司发行的证券（同一家公司在内地和香港同时上市的A+H股合并计算），不超过该证券的10％；</w:t>
      </w:r>
    </w:p>
    <w:p w14:paraId="78D90BCA"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（5）本基金投资于同一原始权益人的各类资产支持证券的比例，不得超过基金资产净值的10％；</w:t>
      </w:r>
    </w:p>
    <w:p w14:paraId="39A64569"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（6）本基金持有的全部资产支持证券，其市值不得超过基金资产净值的20％；</w:t>
      </w:r>
    </w:p>
    <w:p w14:paraId="3AC19EE4"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（7）本基金持有的同一(指同一信用级别)资产支持证券的比例，不得超过该资产支持证券规模的10％；</w:t>
      </w:r>
    </w:p>
    <w:p w14:paraId="30F97130"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（8）本基金管理人管理的全部基金投资于同一原始权益人的各类资产支持证券，不得超过其各类资产支持证券合计规模的10％；</w:t>
      </w:r>
    </w:p>
    <w:p w14:paraId="6C78088A"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53EC889F"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（10）基金财产参与股票发行申购，本基金所申报的金额不超过本基金的总资产，本基金所申报的股票数量不超过拟发行股票公司本次发行股票的总量；</w:t>
      </w:r>
    </w:p>
    <w:p w14:paraId="34422A95"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（11）本基金进入全国银行间同业市场进行债券回购的资金余额不得超过基金资产净值的40%；进入全国银行间同业市场进行债券回购的最长期限为1年，债券回购到期后不得展期；</w:t>
      </w:r>
    </w:p>
    <w:p w14:paraId="69686267"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（12）本基金参与股指期货和国债期货交易，应当遵守下列要求：</w:t>
      </w:r>
    </w:p>
    <w:p w14:paraId="6494062C" w14:textId="2FEB2D78" w:rsidR="0065434B" w:rsidRPr="0065434B" w:rsidRDefault="00880641" w:rsidP="0065434B">
      <w:pPr>
        <w:spacing w:line="520" w:lineRule="atLeast"/>
        <w:ind w:firstLine="480"/>
        <w:jc w:val="left"/>
        <w:rPr>
          <w:rFonts w:ascii="宋体" w:hAnsi="宋体"/>
          <w:sz w:val="24"/>
        </w:rPr>
      </w:pPr>
      <w:r>
        <w:rPr>
          <w:rFonts w:ascii="宋体" w:hAnsi="宋体" w:hint="eastAsia"/>
          <w:sz w:val="24"/>
        </w:rPr>
        <w:t>①</w:t>
      </w:r>
      <w:r w:rsidR="0065434B" w:rsidRPr="0065434B">
        <w:rPr>
          <w:rFonts w:ascii="宋体" w:hAnsi="宋体" w:hint="eastAsia"/>
          <w:sz w:val="24"/>
        </w:rPr>
        <w:t>本基金在任何交易日日终，持有的买入国债期货合约价值，不得超过基金资产净值的</w:t>
      </w:r>
      <w:r w:rsidR="0065434B" w:rsidRPr="0065434B">
        <w:rPr>
          <w:rFonts w:ascii="宋体" w:hAnsi="宋体"/>
          <w:sz w:val="24"/>
        </w:rPr>
        <w:t>15%</w:t>
      </w:r>
      <w:r w:rsidR="0065434B" w:rsidRPr="0065434B">
        <w:rPr>
          <w:rFonts w:ascii="宋体" w:hAnsi="宋体" w:hint="eastAsia"/>
          <w:sz w:val="24"/>
        </w:rPr>
        <w:t>；</w:t>
      </w:r>
    </w:p>
    <w:p w14:paraId="1DBDB063" w14:textId="58D74C23" w:rsidR="0065434B" w:rsidRPr="0065434B" w:rsidRDefault="00880641" w:rsidP="0065434B">
      <w:pPr>
        <w:spacing w:line="520" w:lineRule="atLeast"/>
        <w:ind w:firstLine="480"/>
        <w:jc w:val="left"/>
        <w:rPr>
          <w:rFonts w:ascii="宋体" w:hAnsi="宋体"/>
          <w:sz w:val="24"/>
        </w:rPr>
      </w:pPr>
      <w:r>
        <w:rPr>
          <w:rFonts w:ascii="宋体" w:hAnsi="宋体" w:hint="eastAsia"/>
          <w:sz w:val="24"/>
        </w:rPr>
        <w:lastRenderedPageBreak/>
        <w:t>②</w:t>
      </w:r>
      <w:r w:rsidR="0065434B" w:rsidRPr="0065434B">
        <w:rPr>
          <w:rFonts w:ascii="宋体" w:hAnsi="宋体" w:hint="eastAsia"/>
          <w:sz w:val="24"/>
        </w:rPr>
        <w:t>本基金在任何交易日日终，持有的买入国债期货和股指期货合约价值与有价证券市值之和，不得超过基金资产净值的</w:t>
      </w:r>
      <w:r w:rsidR="0065434B" w:rsidRPr="0065434B">
        <w:rPr>
          <w:rFonts w:ascii="宋体" w:hAnsi="宋体"/>
          <w:sz w:val="24"/>
        </w:rPr>
        <w:t>95%</w:t>
      </w:r>
      <w:r w:rsidR="0065434B" w:rsidRPr="0065434B">
        <w:rPr>
          <w:rFonts w:ascii="宋体" w:hAnsi="宋体" w:hint="eastAsia"/>
          <w:sz w:val="24"/>
        </w:rPr>
        <w:t>；其中，有价证券指股票、债券（不含到期日在一年以内的政府债券）、资产支持证券、买入返售金融资产（不含质押式回购）等。</w:t>
      </w:r>
    </w:p>
    <w:p w14:paraId="112476BF" w14:textId="0A70E5FC" w:rsidR="0065434B" w:rsidRPr="0065434B" w:rsidRDefault="00880641" w:rsidP="0065434B">
      <w:pPr>
        <w:spacing w:line="520" w:lineRule="atLeast"/>
        <w:ind w:firstLine="480"/>
        <w:jc w:val="left"/>
        <w:rPr>
          <w:rFonts w:ascii="宋体" w:hAnsi="宋体"/>
          <w:sz w:val="24"/>
        </w:rPr>
      </w:pPr>
      <w:r>
        <w:rPr>
          <w:rFonts w:ascii="宋体" w:hAnsi="宋体" w:hint="eastAsia"/>
          <w:sz w:val="24"/>
        </w:rPr>
        <w:t>③</w:t>
      </w:r>
      <w:r w:rsidR="0065434B" w:rsidRPr="0065434B">
        <w:rPr>
          <w:rFonts w:ascii="宋体" w:hAnsi="宋体" w:hint="eastAsia"/>
          <w:sz w:val="24"/>
        </w:rPr>
        <w:t>本基金在任何交易日日终，持有的卖出国债期货合约价值不得超过基金持有的债券总市值的</w:t>
      </w:r>
      <w:r w:rsidR="0065434B" w:rsidRPr="0065434B">
        <w:rPr>
          <w:rFonts w:ascii="宋体" w:hAnsi="宋体"/>
          <w:sz w:val="24"/>
        </w:rPr>
        <w:t>30%</w:t>
      </w:r>
      <w:r w:rsidR="0065434B" w:rsidRPr="0065434B">
        <w:rPr>
          <w:rFonts w:ascii="宋体" w:hAnsi="宋体" w:hint="eastAsia"/>
          <w:sz w:val="24"/>
        </w:rPr>
        <w:t>；</w:t>
      </w:r>
    </w:p>
    <w:p w14:paraId="3EEC3A61" w14:textId="5EC216DF" w:rsidR="0065434B" w:rsidRPr="0065434B" w:rsidRDefault="00880641" w:rsidP="0065434B">
      <w:pPr>
        <w:spacing w:line="520" w:lineRule="atLeast"/>
        <w:ind w:firstLine="480"/>
        <w:jc w:val="left"/>
        <w:rPr>
          <w:rFonts w:ascii="宋体" w:hAnsi="宋体"/>
          <w:sz w:val="24"/>
        </w:rPr>
      </w:pPr>
      <w:r>
        <w:rPr>
          <w:rFonts w:ascii="宋体" w:hAnsi="宋体" w:hint="eastAsia"/>
          <w:sz w:val="24"/>
        </w:rPr>
        <w:t>④</w:t>
      </w:r>
      <w:r w:rsidR="0065434B" w:rsidRPr="0065434B">
        <w:rPr>
          <w:rFonts w:ascii="宋体" w:hAnsi="宋体" w:hint="eastAsia"/>
          <w:sz w:val="24"/>
        </w:rPr>
        <w:t>本基金在任何交易日内交易（不包括平仓）的国债期货合约的成交金额不得超过上一交易日基金资产净值的</w:t>
      </w:r>
      <w:r w:rsidR="0065434B" w:rsidRPr="0065434B">
        <w:rPr>
          <w:rFonts w:ascii="宋体" w:hAnsi="宋体"/>
          <w:sz w:val="24"/>
        </w:rPr>
        <w:t>30%</w:t>
      </w:r>
      <w:r w:rsidR="0065434B" w:rsidRPr="0065434B">
        <w:rPr>
          <w:rFonts w:ascii="宋体" w:hAnsi="宋体" w:hint="eastAsia"/>
          <w:sz w:val="24"/>
        </w:rPr>
        <w:t>。</w:t>
      </w:r>
    </w:p>
    <w:p w14:paraId="07886F89" w14:textId="74566F9F" w:rsidR="0065434B" w:rsidRPr="0065434B" w:rsidRDefault="00880641" w:rsidP="0065434B">
      <w:pPr>
        <w:spacing w:line="520" w:lineRule="atLeast"/>
        <w:ind w:firstLine="480"/>
        <w:jc w:val="left"/>
        <w:rPr>
          <w:rFonts w:ascii="宋体" w:hAnsi="宋体"/>
          <w:sz w:val="24"/>
        </w:rPr>
      </w:pPr>
      <w:r>
        <w:rPr>
          <w:rFonts w:ascii="宋体" w:hAnsi="宋体" w:hint="eastAsia"/>
          <w:sz w:val="24"/>
        </w:rPr>
        <w:t>⑤</w:t>
      </w:r>
      <w:r w:rsidR="0065434B" w:rsidRPr="0065434B">
        <w:rPr>
          <w:rFonts w:ascii="宋体" w:hAnsi="宋体" w:hint="eastAsia"/>
          <w:sz w:val="24"/>
        </w:rPr>
        <w:t>本基金在任何交易日日终，持有的买入股指期货合约价值，不得超过基金资产净值的</w:t>
      </w:r>
      <w:r w:rsidR="0065434B" w:rsidRPr="0065434B">
        <w:rPr>
          <w:rFonts w:ascii="宋体" w:hAnsi="宋体"/>
          <w:sz w:val="24"/>
        </w:rPr>
        <w:t>10%</w:t>
      </w:r>
      <w:r w:rsidR="0065434B" w:rsidRPr="0065434B">
        <w:rPr>
          <w:rFonts w:ascii="宋体" w:hAnsi="宋体" w:hint="eastAsia"/>
          <w:sz w:val="24"/>
        </w:rPr>
        <w:t>；</w:t>
      </w:r>
    </w:p>
    <w:p w14:paraId="182B9B83"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⑥本基金在任何交易日日终，持有的卖出股指期货合约价值不得超过基金持有的股票总市值的20%；</w:t>
      </w:r>
    </w:p>
    <w:p w14:paraId="5BF9A1AB"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⑦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12BBF5FD"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⑧本基金在任何交易日内交易（不包括平仓）的股指期货合约的成交金额不得超过上一交易日基金资产净值的20%。</w:t>
      </w:r>
    </w:p>
    <w:p w14:paraId="4FD8AEB8" w14:textId="77777777"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（13）本基金参与股票期权交易，应当遵守下列投资限制：</w:t>
      </w:r>
    </w:p>
    <w:p w14:paraId="46B3B172" w14:textId="678C6549" w:rsidR="0065434B" w:rsidRPr="0065434B" w:rsidRDefault="00880641" w:rsidP="0065434B">
      <w:pPr>
        <w:spacing w:line="520" w:lineRule="atLeast"/>
        <w:ind w:firstLine="480"/>
        <w:jc w:val="left"/>
        <w:rPr>
          <w:rFonts w:ascii="宋体" w:hAnsi="宋体"/>
          <w:sz w:val="24"/>
        </w:rPr>
      </w:pPr>
      <w:r>
        <w:rPr>
          <w:rFonts w:ascii="宋体" w:hAnsi="宋体" w:cs="宋体" w:hint="eastAsia"/>
          <w:bCs/>
          <w:sz w:val="24"/>
          <w:szCs w:val="24"/>
        </w:rPr>
        <w:t>①</w:t>
      </w:r>
      <w:r w:rsidR="0065434B" w:rsidRPr="0065434B">
        <w:rPr>
          <w:rFonts w:ascii="宋体" w:hAnsi="宋体" w:hint="eastAsia"/>
          <w:sz w:val="24"/>
        </w:rPr>
        <w:t>本基金因未平仓的股票期权合约支付和收取的权利金总额不得超过基金资产净值的</w:t>
      </w:r>
      <w:r w:rsidR="0065434B" w:rsidRPr="0065434B">
        <w:rPr>
          <w:rFonts w:ascii="宋体" w:hAnsi="宋体"/>
          <w:sz w:val="24"/>
        </w:rPr>
        <w:t>10%</w:t>
      </w:r>
      <w:r w:rsidR="0065434B" w:rsidRPr="0065434B">
        <w:rPr>
          <w:rFonts w:ascii="宋体" w:hAnsi="宋体" w:hint="eastAsia"/>
          <w:sz w:val="24"/>
        </w:rPr>
        <w:t>；</w:t>
      </w:r>
    </w:p>
    <w:p w14:paraId="76AB2BC4" w14:textId="4D66FD7A" w:rsidR="0065434B" w:rsidRPr="0065434B" w:rsidRDefault="00880641" w:rsidP="0065434B">
      <w:pPr>
        <w:spacing w:line="520" w:lineRule="atLeast"/>
        <w:ind w:firstLine="480"/>
        <w:jc w:val="left"/>
        <w:rPr>
          <w:rFonts w:ascii="宋体" w:hAnsi="宋体"/>
          <w:sz w:val="24"/>
        </w:rPr>
      </w:pPr>
      <w:r>
        <w:rPr>
          <w:rFonts w:ascii="宋体" w:hAnsi="宋体" w:hint="eastAsia"/>
          <w:sz w:val="24"/>
        </w:rPr>
        <w:t>②</w:t>
      </w:r>
      <w:r w:rsidR="0065434B" w:rsidRPr="0065434B">
        <w:rPr>
          <w:rFonts w:ascii="宋体" w:hAnsi="宋体" w:hint="eastAsia"/>
          <w:sz w:val="24"/>
        </w:rPr>
        <w:t>本基金开仓卖出认购股票期权的，应持有足额标的证券；开仓卖出认</w:t>
      </w:r>
      <w:proofErr w:type="gramStart"/>
      <w:r w:rsidR="0065434B" w:rsidRPr="0065434B">
        <w:rPr>
          <w:rFonts w:ascii="宋体" w:hAnsi="宋体" w:hint="eastAsia"/>
          <w:sz w:val="24"/>
        </w:rPr>
        <w:t>沽股票</w:t>
      </w:r>
      <w:proofErr w:type="gramEnd"/>
      <w:r w:rsidR="0065434B" w:rsidRPr="0065434B">
        <w:rPr>
          <w:rFonts w:ascii="宋体" w:hAnsi="宋体" w:hint="eastAsia"/>
          <w:sz w:val="24"/>
        </w:rPr>
        <w:t>期权的，应持有合约行权所需的全额现金或交易所规则认可的可冲抵股票期权保证金的现金等价物；</w:t>
      </w:r>
    </w:p>
    <w:p w14:paraId="1FBAF7BD" w14:textId="25A99A5A" w:rsidR="0065434B" w:rsidRPr="0065434B" w:rsidRDefault="00880641" w:rsidP="0065434B">
      <w:pPr>
        <w:spacing w:line="520" w:lineRule="atLeast"/>
        <w:ind w:firstLine="480"/>
        <w:jc w:val="left"/>
        <w:rPr>
          <w:rFonts w:ascii="宋体" w:hAnsi="宋体"/>
          <w:sz w:val="24"/>
        </w:rPr>
      </w:pPr>
      <w:r>
        <w:rPr>
          <w:rFonts w:ascii="宋体" w:hAnsi="宋体" w:hint="eastAsia"/>
          <w:sz w:val="24"/>
        </w:rPr>
        <w:t>③</w:t>
      </w:r>
      <w:r w:rsidR="0065434B" w:rsidRPr="0065434B">
        <w:rPr>
          <w:rFonts w:ascii="宋体" w:hAnsi="宋体" w:hint="eastAsia"/>
          <w:sz w:val="24"/>
        </w:rPr>
        <w:t>本基金未平仓的股票期权合约面值不得超过基金资产净值的</w:t>
      </w:r>
      <w:r w:rsidR="0065434B" w:rsidRPr="0065434B">
        <w:rPr>
          <w:rFonts w:ascii="宋体" w:hAnsi="宋体"/>
          <w:sz w:val="24"/>
        </w:rPr>
        <w:t>20%</w:t>
      </w:r>
      <w:r w:rsidR="0065434B" w:rsidRPr="0065434B">
        <w:rPr>
          <w:rFonts w:ascii="宋体" w:hAnsi="宋体" w:hint="eastAsia"/>
          <w:sz w:val="24"/>
        </w:rPr>
        <w:t>。其中，合约面值按照行权价乘以合约乘数计算；</w:t>
      </w:r>
    </w:p>
    <w:p w14:paraId="4E9C0400" w14:textId="29084031"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w:t>
      </w:r>
      <w:r w:rsidR="00D5328E">
        <w:rPr>
          <w:rFonts w:ascii="宋体" w:hAnsi="宋体"/>
          <w:sz w:val="24"/>
        </w:rPr>
        <w:t>14</w:t>
      </w:r>
      <w:r w:rsidRPr="0065434B">
        <w:rPr>
          <w:rFonts w:ascii="宋体" w:hAnsi="宋体" w:hint="eastAsia"/>
          <w:sz w:val="24"/>
        </w:rPr>
        <w:t>）本基金资产总值不超过基金资产净值的140%；</w:t>
      </w:r>
    </w:p>
    <w:p w14:paraId="5252655E" w14:textId="3C936594"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w:t>
      </w:r>
      <w:r w:rsidR="00D5328E">
        <w:rPr>
          <w:rFonts w:ascii="宋体" w:hAnsi="宋体"/>
          <w:sz w:val="24"/>
        </w:rPr>
        <w:t>15</w:t>
      </w:r>
      <w:r w:rsidRPr="0065434B">
        <w:rPr>
          <w:rFonts w:ascii="宋体" w:hAnsi="宋体" w:hint="eastAsia"/>
          <w:sz w:val="24"/>
        </w:rPr>
        <w:t>）本基金管理人管理的全部开放式基金持有一家上市公司发行的可流通股</w:t>
      </w:r>
      <w:r w:rsidRPr="0065434B">
        <w:rPr>
          <w:rFonts w:ascii="宋体" w:hAnsi="宋体" w:hint="eastAsia"/>
          <w:sz w:val="24"/>
        </w:rPr>
        <w:lastRenderedPageBreak/>
        <w:t>票，不得超过该上市公司可流通股票的15%；本基金管理人管理的全部投资组合持有一家上市公司发行的可流通股票，不得超过该上市公司可流通股票的30%；</w:t>
      </w:r>
    </w:p>
    <w:p w14:paraId="3E079A2B" w14:textId="22C59F2F"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w:t>
      </w:r>
      <w:r w:rsidR="00D5328E">
        <w:rPr>
          <w:rFonts w:ascii="宋体" w:hAnsi="宋体"/>
          <w:sz w:val="24"/>
        </w:rPr>
        <w:t>16</w:t>
      </w:r>
      <w:r w:rsidRPr="0065434B">
        <w:rPr>
          <w:rFonts w:ascii="宋体" w:hAnsi="宋体" w:hint="eastAsia"/>
          <w:sz w:val="24"/>
        </w:rPr>
        <w:t>）本基金主动投资于流动性受限资产的市值合计不得超过基金资产净值的15%；因证券市场波动、上市公司股票停牌、基金规模变动等基金管理人之外的因素致使本基金不符合前款所规定比例限制的，基金管理人不得主动新增流动性受限资产的投资；</w:t>
      </w:r>
    </w:p>
    <w:p w14:paraId="44B2475A" w14:textId="127885E6"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w:t>
      </w:r>
      <w:r w:rsidR="00D5328E">
        <w:rPr>
          <w:rFonts w:ascii="宋体" w:hAnsi="宋体"/>
          <w:sz w:val="24"/>
        </w:rPr>
        <w:t>17</w:t>
      </w:r>
      <w:r w:rsidRPr="0065434B">
        <w:rPr>
          <w:rFonts w:ascii="宋体" w:hAnsi="宋体" w:hint="eastAsia"/>
          <w:sz w:val="24"/>
        </w:rPr>
        <w:t>）本基金与私募类</w:t>
      </w:r>
      <w:proofErr w:type="gramStart"/>
      <w:r w:rsidRPr="0065434B">
        <w:rPr>
          <w:rFonts w:ascii="宋体" w:hAnsi="宋体" w:hint="eastAsia"/>
          <w:sz w:val="24"/>
        </w:rPr>
        <w:t>证券资管产品</w:t>
      </w:r>
      <w:proofErr w:type="gramEnd"/>
      <w:r w:rsidRPr="0065434B">
        <w:rPr>
          <w:rFonts w:ascii="宋体" w:hAnsi="宋体" w:hint="eastAsia"/>
          <w:sz w:val="24"/>
        </w:rPr>
        <w:t>及中国证监会认定的其他主体为交易对手开展逆回购交易的，可接受质押品的资质要求应当与基金合同约定的投资范围保持一致；</w:t>
      </w:r>
    </w:p>
    <w:p w14:paraId="06681879" w14:textId="34B58865" w:rsidR="0065434B" w:rsidRPr="0065434B" w:rsidRDefault="0065434B" w:rsidP="0065434B">
      <w:pPr>
        <w:spacing w:line="520" w:lineRule="atLeast"/>
        <w:ind w:firstLine="480"/>
        <w:jc w:val="left"/>
        <w:rPr>
          <w:rFonts w:ascii="宋体" w:hAnsi="宋体"/>
          <w:sz w:val="24"/>
        </w:rPr>
      </w:pPr>
      <w:r w:rsidRPr="0065434B">
        <w:rPr>
          <w:rFonts w:ascii="宋体" w:hAnsi="宋体" w:hint="eastAsia"/>
          <w:sz w:val="24"/>
        </w:rPr>
        <w:t>（</w:t>
      </w:r>
      <w:r w:rsidR="00D5328E">
        <w:rPr>
          <w:rFonts w:ascii="宋体" w:hAnsi="宋体"/>
          <w:sz w:val="24"/>
        </w:rPr>
        <w:t>18</w:t>
      </w:r>
      <w:r w:rsidRPr="0065434B">
        <w:rPr>
          <w:rFonts w:ascii="宋体" w:hAnsi="宋体" w:hint="eastAsia"/>
          <w:sz w:val="24"/>
        </w:rPr>
        <w:t>）本基金投资于同业存单的比例不得超过基金资产的20%；</w:t>
      </w:r>
    </w:p>
    <w:p w14:paraId="62A87787" w14:textId="77777777" w:rsidR="00D5328E" w:rsidRPr="00D5328E" w:rsidRDefault="00D5328E" w:rsidP="00D5328E">
      <w:pPr>
        <w:spacing w:line="520" w:lineRule="atLeast"/>
        <w:ind w:firstLine="480"/>
        <w:jc w:val="left"/>
        <w:rPr>
          <w:rFonts w:ascii="宋体" w:hAnsi="宋体"/>
          <w:sz w:val="24"/>
        </w:rPr>
      </w:pPr>
      <w:r w:rsidRPr="00D5328E">
        <w:rPr>
          <w:rFonts w:ascii="宋体" w:hAnsi="宋体" w:hint="eastAsia"/>
          <w:sz w:val="24"/>
        </w:rPr>
        <w:t>（1</w:t>
      </w:r>
      <w:r w:rsidRPr="00D5328E">
        <w:rPr>
          <w:rFonts w:ascii="宋体" w:hAnsi="宋体"/>
          <w:sz w:val="24"/>
        </w:rPr>
        <w:t>9</w:t>
      </w:r>
      <w:r w:rsidRPr="00D5328E">
        <w:rPr>
          <w:rFonts w:ascii="宋体" w:hAnsi="宋体" w:hint="eastAsia"/>
          <w:sz w:val="24"/>
        </w:rPr>
        <w:t>）本基金不得投资于信用评级低于AA+的信用债，其中投资于AA+评级信用债的比例不超过信用</w:t>
      </w:r>
      <w:proofErr w:type="gramStart"/>
      <w:r w:rsidRPr="00D5328E">
        <w:rPr>
          <w:rFonts w:ascii="宋体" w:hAnsi="宋体" w:hint="eastAsia"/>
          <w:sz w:val="24"/>
        </w:rPr>
        <w:t>债资产</w:t>
      </w:r>
      <w:proofErr w:type="gramEnd"/>
      <w:r w:rsidRPr="00D5328E">
        <w:rPr>
          <w:rFonts w:ascii="宋体" w:hAnsi="宋体" w:hint="eastAsia"/>
          <w:sz w:val="24"/>
        </w:rPr>
        <w:t>总值的50%，投资于AAA评级信用债的比例占信用</w:t>
      </w:r>
      <w:proofErr w:type="gramStart"/>
      <w:r w:rsidRPr="00D5328E">
        <w:rPr>
          <w:rFonts w:ascii="宋体" w:hAnsi="宋体" w:hint="eastAsia"/>
          <w:sz w:val="24"/>
        </w:rPr>
        <w:t>债资产</w:t>
      </w:r>
      <w:proofErr w:type="gramEnd"/>
      <w:r w:rsidRPr="00D5328E">
        <w:rPr>
          <w:rFonts w:ascii="宋体" w:hAnsi="宋体" w:hint="eastAsia"/>
          <w:sz w:val="24"/>
        </w:rPr>
        <w:t>总值的50%-100%。</w:t>
      </w:r>
    </w:p>
    <w:p w14:paraId="514202BE" w14:textId="22101BD3" w:rsidR="003D3783" w:rsidRDefault="0065434B" w:rsidP="00D46F62">
      <w:pPr>
        <w:spacing w:line="520" w:lineRule="atLeast"/>
        <w:ind w:firstLineChars="200" w:firstLine="480"/>
        <w:rPr>
          <w:rFonts w:ascii="宋体" w:hAnsi="宋体"/>
          <w:sz w:val="24"/>
        </w:rPr>
      </w:pPr>
      <w:r w:rsidRPr="0065434B">
        <w:rPr>
          <w:rFonts w:ascii="宋体" w:hAnsi="宋体" w:hint="eastAsia"/>
          <w:sz w:val="24"/>
        </w:rPr>
        <w:t>（</w:t>
      </w:r>
      <w:r w:rsidR="00D5328E">
        <w:rPr>
          <w:rFonts w:ascii="宋体" w:hAnsi="宋体"/>
          <w:sz w:val="24"/>
        </w:rPr>
        <w:t>20</w:t>
      </w:r>
      <w:r w:rsidRPr="0065434B">
        <w:rPr>
          <w:rFonts w:ascii="宋体" w:hAnsi="宋体" w:hint="eastAsia"/>
          <w:sz w:val="24"/>
        </w:rPr>
        <w:t>）法律法规及中国证监会规定的和《基金合同》约定的其他投资限制。</w:t>
      </w:r>
    </w:p>
    <w:p w14:paraId="6C7002E5" w14:textId="16B81849" w:rsidR="00AE4DAB" w:rsidRDefault="00F162B2">
      <w:pPr>
        <w:spacing w:line="520" w:lineRule="atLeast"/>
        <w:ind w:firstLineChars="200" w:firstLine="480"/>
        <w:rPr>
          <w:rFonts w:ascii="宋体" w:hAnsi="宋体"/>
          <w:sz w:val="24"/>
          <w:szCs w:val="24"/>
        </w:rPr>
      </w:pPr>
      <w:r>
        <w:rPr>
          <w:rFonts w:ascii="宋体" w:hAnsi="宋体" w:hint="eastAsia"/>
          <w:sz w:val="24"/>
          <w:szCs w:val="24"/>
        </w:rPr>
        <w:t>除上述第（2）、</w:t>
      </w:r>
      <w:r w:rsidR="00AD49EC" w:rsidRPr="00AD49EC">
        <w:rPr>
          <w:rFonts w:ascii="宋体" w:hAnsi="宋体" w:hint="eastAsia"/>
          <w:sz w:val="24"/>
          <w:szCs w:val="24"/>
        </w:rPr>
        <w:t>（9）、</w:t>
      </w:r>
      <w:r w:rsidR="00D5328E">
        <w:rPr>
          <w:rFonts w:ascii="宋体" w:hAnsi="宋体" w:hint="eastAsia"/>
          <w:sz w:val="24"/>
          <w:szCs w:val="24"/>
        </w:rPr>
        <w:t>（1</w:t>
      </w:r>
      <w:r w:rsidR="00D5328E">
        <w:rPr>
          <w:rFonts w:ascii="宋体" w:hAnsi="宋体"/>
          <w:sz w:val="24"/>
          <w:szCs w:val="24"/>
        </w:rPr>
        <w:t>6</w:t>
      </w:r>
      <w:r w:rsidR="00D5328E">
        <w:rPr>
          <w:rFonts w:ascii="宋体" w:hAnsi="宋体" w:hint="eastAsia"/>
          <w:sz w:val="24"/>
          <w:szCs w:val="24"/>
        </w:rPr>
        <w:t>）、</w:t>
      </w:r>
      <w:r w:rsidR="00AD49EC" w:rsidRPr="00AD49EC">
        <w:rPr>
          <w:rFonts w:ascii="宋体" w:hAnsi="宋体" w:hint="eastAsia"/>
          <w:sz w:val="24"/>
          <w:szCs w:val="24"/>
        </w:rPr>
        <w:t>（17）</w:t>
      </w:r>
      <w:r>
        <w:rPr>
          <w:rFonts w:ascii="宋体" w:hAnsi="宋体" w:hint="eastAsia"/>
          <w:sz w:val="24"/>
          <w:szCs w:val="24"/>
        </w:rPr>
        <w:t>项外，因证券</w:t>
      </w:r>
      <w:r w:rsidR="00D5328E">
        <w:rPr>
          <w:rFonts w:ascii="宋体" w:hAnsi="宋体" w:hint="eastAsia"/>
          <w:sz w:val="24"/>
          <w:szCs w:val="24"/>
        </w:rPr>
        <w:t>、</w:t>
      </w:r>
      <w:r>
        <w:rPr>
          <w:rFonts w:ascii="宋体" w:hAnsi="宋体" w:hint="eastAsia"/>
          <w:sz w:val="24"/>
          <w:szCs w:val="24"/>
        </w:rPr>
        <w:t>期货市场波动、证券发行人合并、基金规模变动等基金管理人之外的因素致使基金投资比例不符合上述规定投资比例的，基金管理人应当在10个交易日内进行调整</w:t>
      </w:r>
      <w:r w:rsidR="00D5328E">
        <w:rPr>
          <w:rFonts w:hint="eastAsia"/>
          <w:bCs/>
          <w:sz w:val="24"/>
        </w:rPr>
        <w:t>，</w:t>
      </w:r>
      <w:r w:rsidR="00D5328E">
        <w:rPr>
          <w:bCs/>
          <w:sz w:val="24"/>
        </w:rPr>
        <w:t>但中国证监会</w:t>
      </w:r>
      <w:r w:rsidR="00D5328E" w:rsidRPr="004A59C3">
        <w:rPr>
          <w:rFonts w:hint="eastAsia"/>
          <w:bCs/>
          <w:sz w:val="24"/>
        </w:rPr>
        <w:t>规定的</w:t>
      </w:r>
      <w:r w:rsidR="00D5328E">
        <w:rPr>
          <w:bCs/>
          <w:sz w:val="24"/>
        </w:rPr>
        <w:t>特殊情形除外</w:t>
      </w:r>
      <w:r>
        <w:rPr>
          <w:rFonts w:ascii="宋体" w:hAnsi="宋体" w:hint="eastAsia"/>
          <w:sz w:val="24"/>
          <w:szCs w:val="24"/>
        </w:rPr>
        <w:t>。法律法规另有规定的，从其规定。</w:t>
      </w:r>
    </w:p>
    <w:p w14:paraId="202BFD29" w14:textId="03EDAA69" w:rsidR="00C308C5" w:rsidRDefault="00F162B2">
      <w:pPr>
        <w:spacing w:line="520" w:lineRule="atLeast"/>
        <w:ind w:firstLineChars="200" w:firstLine="480"/>
        <w:rPr>
          <w:rFonts w:ascii="宋体" w:hAnsi="宋体"/>
          <w:sz w:val="24"/>
          <w:szCs w:val="24"/>
        </w:rPr>
      </w:pPr>
      <w:r>
        <w:rPr>
          <w:rFonts w:ascii="宋体" w:hAnsi="宋体" w:hint="eastAsia"/>
          <w:sz w:val="24"/>
          <w:szCs w:val="24"/>
        </w:rPr>
        <w:t>基金管理人应当自基金合同生效之日起6个月内使基金的投资组合比例符合基金合同的有关约定。在上述期间内，</w:t>
      </w:r>
      <w:r w:rsidR="00D5328E">
        <w:rPr>
          <w:rFonts w:ascii="宋体" w:hAnsi="宋体" w:hint="eastAsia"/>
          <w:sz w:val="24"/>
          <w:szCs w:val="24"/>
        </w:rPr>
        <w:t>本</w:t>
      </w:r>
      <w:r>
        <w:rPr>
          <w:rFonts w:ascii="宋体" w:hAnsi="宋体" w:hint="eastAsia"/>
          <w:sz w:val="24"/>
          <w:szCs w:val="24"/>
        </w:rPr>
        <w:t>基金的投资范围、投资策略应当符合基金合同的约定。</w:t>
      </w:r>
    </w:p>
    <w:p w14:paraId="529BCC02" w14:textId="77777777" w:rsidR="00AE4DAB" w:rsidRDefault="00F162B2">
      <w:pPr>
        <w:spacing w:line="520" w:lineRule="atLeast"/>
        <w:ind w:firstLineChars="200" w:firstLine="480"/>
        <w:rPr>
          <w:rFonts w:ascii="宋体" w:hAnsi="宋体"/>
          <w:sz w:val="24"/>
          <w:szCs w:val="24"/>
        </w:rPr>
      </w:pPr>
      <w:r>
        <w:rPr>
          <w:rFonts w:ascii="宋体" w:hAnsi="宋体" w:hint="eastAsia"/>
          <w:sz w:val="24"/>
          <w:szCs w:val="24"/>
        </w:rPr>
        <w:t>基金托管人对基金的投资的监督与检查自基金合同生效之日起开始。</w:t>
      </w:r>
    </w:p>
    <w:p w14:paraId="3DEE58D2" w14:textId="3A53974B" w:rsidR="00AE4DAB" w:rsidRDefault="00F162B2">
      <w:pPr>
        <w:spacing w:line="520" w:lineRule="atLeast"/>
        <w:ind w:firstLineChars="200" w:firstLine="480"/>
        <w:rPr>
          <w:rFonts w:hAnsi="宋体"/>
          <w:szCs w:val="24"/>
        </w:rPr>
      </w:pPr>
      <w:r>
        <w:rPr>
          <w:rFonts w:ascii="宋体" w:hAnsi="宋体" w:hint="eastAsia"/>
          <w:sz w:val="24"/>
          <w:szCs w:val="24"/>
        </w:rPr>
        <w:t>法律法规或监管部门取消</w:t>
      </w:r>
      <w:r w:rsidR="0008520A">
        <w:rPr>
          <w:rFonts w:ascii="宋体" w:hAnsi="宋体" w:hint="eastAsia"/>
          <w:sz w:val="24"/>
          <w:szCs w:val="24"/>
        </w:rPr>
        <w:t>或变更</w:t>
      </w:r>
      <w:r>
        <w:rPr>
          <w:rFonts w:ascii="宋体" w:hAnsi="宋体" w:hint="eastAsia"/>
          <w:sz w:val="24"/>
          <w:szCs w:val="24"/>
        </w:rPr>
        <w:t>上述限制，如适用于本基金，基金管理人在履行适当程序后，则本基金投资不再受相关限制</w:t>
      </w:r>
      <w:r w:rsidR="00C308C5" w:rsidRPr="00C308C5">
        <w:rPr>
          <w:rFonts w:ascii="宋体" w:hAnsi="宋体" w:hint="eastAsia"/>
          <w:sz w:val="24"/>
          <w:szCs w:val="24"/>
        </w:rPr>
        <w:t>或以变更后的规定为准，不需要经基金份额持有人大会审议</w:t>
      </w:r>
      <w:r>
        <w:rPr>
          <w:rFonts w:ascii="宋体" w:hAnsi="宋体" w:hint="eastAsia"/>
          <w:sz w:val="24"/>
          <w:szCs w:val="24"/>
        </w:rPr>
        <w:t>。</w:t>
      </w:r>
    </w:p>
    <w:p w14:paraId="7BD23FE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4BEBB74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14:paraId="2CE1DCCE"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lastRenderedPageBreak/>
        <w:t>（1）承销证券；</w:t>
      </w:r>
    </w:p>
    <w:p w14:paraId="6FE09A68"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14:paraId="1690843D"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14:paraId="412DE6C3"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（4）买卖其他基金份额，但是中国证监会另有规定的除外；</w:t>
      </w:r>
    </w:p>
    <w:p w14:paraId="18FA8F13"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（5）向其基金管理人、基金托管人出资；</w:t>
      </w:r>
    </w:p>
    <w:p w14:paraId="5F4F8346"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（6）从事内幕交易、操纵证券交易价格及其他不正当的证券交易活动；</w:t>
      </w:r>
    </w:p>
    <w:p w14:paraId="086BF730" w14:textId="77777777" w:rsidR="00AE4DAB" w:rsidRDefault="00F162B2">
      <w:pPr>
        <w:pStyle w:val="20"/>
        <w:adjustRightInd w:val="0"/>
        <w:snapToGrid w:val="0"/>
        <w:spacing w:before="0" w:after="0" w:line="520" w:lineRule="atLeast"/>
        <w:ind w:left="0" w:firstLineChars="200" w:firstLine="480"/>
        <w:rPr>
          <w:rFonts w:hAnsi="宋体"/>
        </w:rPr>
      </w:pPr>
      <w:r>
        <w:rPr>
          <w:rFonts w:hAnsi="宋体" w:hint="eastAsia"/>
          <w:szCs w:val="24"/>
        </w:rPr>
        <w:t>（7）法律、行政法规和中国证监会规定禁止的其他活动。</w:t>
      </w:r>
    </w:p>
    <w:p w14:paraId="30F6AF5A" w14:textId="77777777" w:rsidR="00A137CC" w:rsidRDefault="00A137CC">
      <w:pPr>
        <w:pStyle w:val="20"/>
        <w:adjustRightInd w:val="0"/>
        <w:snapToGrid w:val="0"/>
        <w:spacing w:before="0" w:after="0" w:line="520" w:lineRule="atLeast"/>
        <w:ind w:left="0" w:firstLineChars="200" w:firstLine="480"/>
        <w:rPr>
          <w:bCs/>
        </w:rPr>
      </w:pPr>
      <w:r w:rsidRPr="004A59C3">
        <w:rPr>
          <w:rFonts w:ascii="Arial" w:hAnsi="Arial" w:cs="Arial"/>
          <w:bCs/>
        </w:rPr>
        <w:t>法律、行政法规或监管部门取消或变更上述限制，如适用于本基金，</w:t>
      </w:r>
      <w:r w:rsidRPr="004A59C3">
        <w:rPr>
          <w:rFonts w:ascii="Arial" w:hAnsi="Arial" w:cs="Arial" w:hint="eastAsia"/>
          <w:bCs/>
        </w:rPr>
        <w:t>基金管理人在履行适当程序后，</w:t>
      </w:r>
      <w:r w:rsidRPr="004A59C3">
        <w:rPr>
          <w:rFonts w:ascii="Arial" w:hAnsi="Arial" w:cs="Arial"/>
          <w:bCs/>
        </w:rPr>
        <w:t>则本基金投资不再受相关限制</w:t>
      </w:r>
      <w:r w:rsidRPr="004A59C3">
        <w:rPr>
          <w:rFonts w:ascii="Arial" w:hAnsi="Arial" w:cs="Arial" w:hint="eastAsia"/>
          <w:bCs/>
        </w:rPr>
        <w:t>或以变更后的规定为准</w:t>
      </w:r>
      <w:r w:rsidRPr="004A59C3">
        <w:rPr>
          <w:rFonts w:ascii="Arial" w:hAnsi="Arial" w:cs="Arial"/>
          <w:bCs/>
        </w:rPr>
        <w:t>。</w:t>
      </w:r>
    </w:p>
    <w:p w14:paraId="79C7131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6533B4F1" w14:textId="1CE18D5A"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E90788" w14:textId="1FC6F0CF" w:rsidR="00AE4DAB" w:rsidRDefault="00F162B2" w:rsidP="00D46F62">
      <w:pPr>
        <w:pStyle w:val="20"/>
        <w:spacing w:before="0" w:after="0" w:line="520" w:lineRule="atLeast"/>
        <w:ind w:left="0" w:firstLineChars="200" w:firstLine="480"/>
        <w:rPr>
          <w:rFonts w:hAnsi="宋体"/>
          <w:szCs w:val="24"/>
        </w:rPr>
      </w:pPr>
      <w:r>
        <w:rPr>
          <w:rFonts w:hAnsi="宋体" w:hint="eastAsia"/>
          <w:szCs w:val="24"/>
        </w:rPr>
        <w:t>根据法律法规有关基金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19D2CC3E" w14:textId="77777777" w:rsidR="00AE4DAB" w:rsidRDefault="00F162B2">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lastRenderedPageBreak/>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6F2263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52B0CE9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（1）基金托管人对于基金管理人参与银行间债券市场交易时是否按交易对手名单进行交易进行监督。</w:t>
      </w:r>
    </w:p>
    <w:p w14:paraId="63F2630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4CECEA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Pr>
          <w:rFonts w:hAnsi="宋体" w:hint="eastAsia"/>
          <w:b/>
          <w:bCs/>
          <w:szCs w:val="24"/>
        </w:rPr>
        <w:t>经提醒后基金管理人仍执行交易并造成基金资产损失的，基金托管人不承担责任。</w:t>
      </w:r>
    </w:p>
    <w:p w14:paraId="6CDAA9D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1BB2A0C2" w14:textId="77777777" w:rsidR="00AE4DAB" w:rsidRDefault="00F162B2">
      <w:pPr>
        <w:pStyle w:val="20"/>
        <w:spacing w:before="0" w:after="0" w:line="520" w:lineRule="atLeast"/>
        <w:ind w:left="0" w:firstLineChars="200" w:firstLine="480"/>
        <w:rPr>
          <w:rFonts w:hAnsi="宋体"/>
          <w:b/>
          <w:bCs/>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Pr>
          <w:rFonts w:hAnsi="宋体" w:hint="eastAsia"/>
          <w:b/>
          <w:bCs/>
          <w:szCs w:val="24"/>
        </w:rPr>
        <w:t>经提醒后仍未改正并造成基金资产损失的，基金托管人不承担责任。</w:t>
      </w:r>
    </w:p>
    <w:p w14:paraId="2ECDEB8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14:paraId="2CD049B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按银行间债券市场的交易规则进行交易，并负责解决因交易对手不履行合同而造成的纠纷。若未履约的交易对手在基金管理人确定的时间内仍未承担</w:t>
      </w:r>
      <w:r>
        <w:rPr>
          <w:rFonts w:hAnsi="宋体" w:hint="eastAsia"/>
          <w:szCs w:val="24"/>
        </w:rPr>
        <w:lastRenderedPageBreak/>
        <w:t>违约责任及其他相关法律责任的，基金管理人可以对相应损失先行予以承担，然后再向相关交易对手追偿。</w:t>
      </w:r>
    </w:p>
    <w:p w14:paraId="4DA9D95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14:paraId="0804886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14:paraId="30F0783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4405EF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0488488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14:paraId="7B5252B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因拒绝执行该指令造成基金财产损失的，基金托管人不承担任何责任，并有权报告中国证监会。</w:t>
      </w:r>
    </w:p>
    <w:p w14:paraId="203CAFE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53359812" w14:textId="77777777" w:rsidR="00AE4DAB" w:rsidRDefault="00F162B2">
      <w:pPr>
        <w:pStyle w:val="20"/>
        <w:spacing w:before="0" w:after="0" w:line="520" w:lineRule="atLeas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14:paraId="4A17D23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0EE956F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（2）如未来有关监管部门发布的法律法规对证券投资基金投资中期票据另有规定的，从其规定。</w:t>
      </w:r>
    </w:p>
    <w:p w14:paraId="28BADFC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以书面形式通知基金管理人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2428CF0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3.1.</w:t>
      </w:r>
      <w:r>
        <w:rPr>
          <w:rFonts w:hAnsi="宋体"/>
          <w:szCs w:val="24"/>
        </w:rPr>
        <w:t>8</w:t>
      </w:r>
      <w:r>
        <w:rPr>
          <w:rFonts w:hAnsi="宋体" w:hint="eastAsia"/>
          <w:szCs w:val="24"/>
        </w:rPr>
        <w:t>基金托管人根据有关法律法规的规定及基金合同的约定，对基金管理人选择存款银行进行监督：</w:t>
      </w:r>
    </w:p>
    <w:p w14:paraId="4C9A4C2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5668587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7C17E24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3B512F2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348A2E1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w:t>
      </w:r>
      <w:r>
        <w:rPr>
          <w:rFonts w:hAnsi="宋体" w:hint="eastAsia"/>
          <w:szCs w:val="24"/>
        </w:rPr>
        <w:lastRenderedPageBreak/>
        <w:t>议、账户资料、投资指令、存款证实书等有关文件，履行托管职责。</w:t>
      </w:r>
    </w:p>
    <w:p w14:paraId="341773D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02C4A5A7" w14:textId="77777777" w:rsidR="00AE4DAB" w:rsidRDefault="00F162B2">
      <w:pPr>
        <w:pStyle w:val="20"/>
        <w:spacing w:before="0" w:after="0" w:line="520" w:lineRule="atLeast"/>
        <w:ind w:left="0" w:firstLineChars="200" w:firstLine="480"/>
        <w:rPr>
          <w:rFonts w:hAnsi="宋体"/>
          <w:color w:val="0D0D0D"/>
          <w:szCs w:val="24"/>
        </w:rPr>
      </w:pPr>
      <w:r>
        <w:rPr>
          <w:rFonts w:hAnsi="宋体" w:hint="eastAsia"/>
          <w:color w:val="0D0D0D"/>
          <w:szCs w:val="24"/>
        </w:rPr>
        <w:t>3.1.</w:t>
      </w:r>
      <w:r>
        <w:rPr>
          <w:rFonts w:hAnsi="宋体"/>
          <w:color w:val="0D0D0D"/>
          <w:szCs w:val="24"/>
        </w:rPr>
        <w:t>9</w:t>
      </w:r>
      <w:r>
        <w:rPr>
          <w:rFonts w:hAnsi="宋体" w:hint="eastAsia"/>
          <w:szCs w:val="24"/>
        </w:rPr>
        <w:t>基金</w:t>
      </w:r>
      <w:r>
        <w:rPr>
          <w:rFonts w:hAnsi="宋体" w:hint="eastAsia"/>
          <w:color w:val="0D0D0D"/>
          <w:szCs w:val="24"/>
        </w:rPr>
        <w:t>托管人应当依照法律法规和基金合同约定，对侧</w:t>
      </w:r>
      <w:proofErr w:type="gramStart"/>
      <w:r>
        <w:rPr>
          <w:rFonts w:hAnsi="宋体" w:hint="eastAsia"/>
          <w:color w:val="0D0D0D"/>
          <w:szCs w:val="24"/>
        </w:rPr>
        <w:t>袋机制</w:t>
      </w:r>
      <w:proofErr w:type="gramEnd"/>
      <w:r>
        <w:rPr>
          <w:rFonts w:hAnsi="宋体" w:hint="eastAsia"/>
          <w:color w:val="0D0D0D"/>
          <w:szCs w:val="24"/>
        </w:rPr>
        <w:t>启用及特定资产处置等方面进行复核和监督。</w:t>
      </w:r>
    </w:p>
    <w:p w14:paraId="4D13AC44" w14:textId="77777777" w:rsidR="00AE4DAB" w:rsidRDefault="00F162B2" w:rsidP="00937D58">
      <w:pPr>
        <w:pStyle w:val="20"/>
        <w:spacing w:before="0" w:after="0" w:line="520" w:lineRule="atLeast"/>
        <w:ind w:left="0" w:firstLineChars="200" w:firstLine="480"/>
        <w:rPr>
          <w:rFonts w:hAnsi="宋体"/>
          <w:color w:val="0D0D0D"/>
          <w:szCs w:val="24"/>
        </w:rPr>
      </w:pPr>
      <w:r>
        <w:rPr>
          <w:rFonts w:hAnsi="宋体" w:hint="eastAsia"/>
          <w:color w:val="0D0D0D"/>
          <w:szCs w:val="24"/>
        </w:rPr>
        <w:t>当基金持有特定</w:t>
      </w:r>
      <w:r>
        <w:rPr>
          <w:rFonts w:hAnsi="宋体" w:hint="eastAsia"/>
          <w:szCs w:val="24"/>
        </w:rPr>
        <w:t>资产</w:t>
      </w:r>
      <w:r>
        <w:rPr>
          <w:rFonts w:hAnsi="宋体" w:hint="eastAsia"/>
          <w:color w:val="0D0D0D"/>
          <w:szCs w:val="24"/>
        </w:rPr>
        <w:t>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color w:val="0D0D0D"/>
          <w:szCs w:val="24"/>
        </w:rPr>
        <w:t>启用侧袋机制</w:t>
      </w:r>
      <w:proofErr w:type="gramEnd"/>
      <w:r w:rsidR="00771DFC">
        <w:rPr>
          <w:rFonts w:hAnsi="宋体" w:hint="eastAsia"/>
          <w:color w:val="0D0D0D"/>
          <w:szCs w:val="24"/>
        </w:rPr>
        <w:t>，</w:t>
      </w:r>
      <w:r w:rsidR="00937D58" w:rsidRPr="00937D58">
        <w:rPr>
          <w:rFonts w:hAnsi="宋体" w:hint="eastAsia"/>
          <w:color w:val="0D0D0D"/>
          <w:szCs w:val="24"/>
        </w:rPr>
        <w:t>无须召开基金份额持有人大会审议</w:t>
      </w:r>
      <w:r>
        <w:rPr>
          <w:rFonts w:hAnsi="宋体" w:hint="eastAsia"/>
          <w:color w:val="0D0D0D"/>
          <w:szCs w:val="24"/>
        </w:rPr>
        <w:t>。</w:t>
      </w:r>
    </w:p>
    <w:p w14:paraId="06C49A2E" w14:textId="77777777" w:rsidR="00AE4DAB" w:rsidRDefault="00F162B2">
      <w:pPr>
        <w:pStyle w:val="20"/>
        <w:spacing w:before="0" w:after="0" w:line="520" w:lineRule="atLeast"/>
        <w:ind w:left="0" w:firstLineChars="200" w:firstLine="480"/>
        <w:rPr>
          <w:rFonts w:hAnsi="宋体"/>
          <w:color w:val="0D0D0D"/>
          <w:szCs w:val="24"/>
        </w:rPr>
      </w:pPr>
      <w:proofErr w:type="gramStart"/>
      <w:r>
        <w:rPr>
          <w:rFonts w:hAnsi="宋体" w:hint="eastAsia"/>
          <w:color w:val="0D0D0D"/>
          <w:szCs w:val="24"/>
        </w:rPr>
        <w:t>侧袋机制</w:t>
      </w:r>
      <w:proofErr w:type="gramEnd"/>
      <w:r>
        <w:rPr>
          <w:rFonts w:hAnsi="宋体" w:hint="eastAsia"/>
          <w:szCs w:val="24"/>
        </w:rPr>
        <w:t>实施</w:t>
      </w:r>
      <w:r>
        <w:rPr>
          <w:rFonts w:hAnsi="宋体" w:hint="eastAsia"/>
          <w:color w:val="0D0D0D"/>
          <w:szCs w:val="24"/>
        </w:rPr>
        <w:t>期间，本部分约定的投资组合比例、组合限制等约定仅</w:t>
      </w:r>
      <w:proofErr w:type="gramStart"/>
      <w:r>
        <w:rPr>
          <w:rFonts w:hAnsi="宋体" w:hint="eastAsia"/>
          <w:color w:val="0D0D0D"/>
          <w:szCs w:val="24"/>
        </w:rPr>
        <w:t>适用于主袋账户</w:t>
      </w:r>
      <w:proofErr w:type="gramEnd"/>
      <w:r>
        <w:rPr>
          <w:rFonts w:hAnsi="宋体" w:hint="eastAsia"/>
          <w:color w:val="0D0D0D"/>
          <w:szCs w:val="24"/>
        </w:rPr>
        <w:t>。</w:t>
      </w:r>
    </w:p>
    <w:p w14:paraId="3F5B894A" w14:textId="77777777" w:rsidR="00AE4DAB" w:rsidRDefault="00F162B2">
      <w:pPr>
        <w:pStyle w:val="20"/>
        <w:spacing w:before="0" w:after="0" w:line="520" w:lineRule="atLeast"/>
        <w:ind w:left="0" w:firstLineChars="200" w:firstLine="480"/>
        <w:rPr>
          <w:rFonts w:hAnsi="宋体"/>
          <w:szCs w:val="24"/>
        </w:rPr>
      </w:pPr>
      <w:proofErr w:type="gramStart"/>
      <w:r>
        <w:rPr>
          <w:rFonts w:hAnsi="宋体" w:hint="eastAsia"/>
          <w:color w:val="0D0D0D"/>
          <w:szCs w:val="24"/>
        </w:rPr>
        <w:t>侧袋机制</w:t>
      </w:r>
      <w:proofErr w:type="gramEnd"/>
      <w:r>
        <w:rPr>
          <w:rFonts w:hAnsi="宋体" w:hint="eastAsia"/>
          <w:color w:val="0D0D0D"/>
          <w:szCs w:val="24"/>
        </w:rPr>
        <w:t>的具体规则依照相关法律法规的规定和基金合同及招募说明书的约定执行。</w:t>
      </w:r>
    </w:p>
    <w:p w14:paraId="35AEA6A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083C85E1" w14:textId="2CC4C287" w:rsidR="00AE4DAB" w:rsidRDefault="00F162B2">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w:t>
      </w:r>
      <w:r w:rsidR="0008520A">
        <w:rPr>
          <w:rFonts w:hAnsi="宋体" w:hint="eastAsia"/>
          <w:szCs w:val="24"/>
        </w:rPr>
        <w:t>各类</w:t>
      </w:r>
      <w:r>
        <w:rPr>
          <w:rFonts w:hAnsi="宋体" w:hint="eastAsia"/>
          <w:szCs w:val="24"/>
        </w:rPr>
        <w:t>基金份额净值计算、应收资金到账、基金费用开支及收入确定、基金收益分配、相关信息披露、基金宣传推介材料中登载基金业绩表现数据等进行监督和核查。</w:t>
      </w:r>
    </w:p>
    <w:p w14:paraId="14E8AC1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3D1F577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766B009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3.2.4基金托管人发现基金管理人的投资指令违反相关法律法规规定或者违反基金合同约定的，应当拒绝执行，立即通知基金管理人。</w:t>
      </w:r>
    </w:p>
    <w:p w14:paraId="0201851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F5B385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398D46E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7BE6394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A3124F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3.2.9基金托管人对资金来源、投资收益及投资安全不承担审核责任，特别是对于本基金所投标的</w:t>
      </w:r>
      <w:proofErr w:type="gramStart"/>
      <w:r>
        <w:rPr>
          <w:rFonts w:hAnsi="宋体" w:hint="eastAsia"/>
          <w:szCs w:val="24"/>
        </w:rPr>
        <w:t>的</w:t>
      </w:r>
      <w:proofErr w:type="gramEnd"/>
      <w:r>
        <w:rPr>
          <w:rFonts w:hAnsi="宋体" w:hint="eastAsia"/>
          <w:szCs w:val="24"/>
        </w:rPr>
        <w:t>后续资金使用情况无审核责任，不保证托管财产投资不受损失，不保证最低收益。</w:t>
      </w:r>
    </w:p>
    <w:p w14:paraId="5A63605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.2.10</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31747A58" w14:textId="77777777" w:rsidR="00AE4DAB" w:rsidRDefault="00F162B2">
      <w:pPr>
        <w:pStyle w:val="1"/>
        <w:spacing w:line="520" w:lineRule="atLeast"/>
        <w:ind w:firstLineChars="200" w:firstLine="482"/>
        <w:rPr>
          <w:bCs/>
          <w:color w:val="auto"/>
          <w:szCs w:val="24"/>
        </w:rPr>
      </w:pPr>
      <w:bookmarkStart w:id="16" w:name="_Toc296551340"/>
      <w:bookmarkStart w:id="17" w:name="_Toc44321727"/>
      <w:r>
        <w:rPr>
          <w:rFonts w:hint="eastAsia"/>
          <w:bCs/>
          <w:color w:val="auto"/>
          <w:szCs w:val="24"/>
        </w:rPr>
        <w:t>第四条 基金管理人对基金托管人的业务核查</w:t>
      </w:r>
      <w:bookmarkEnd w:id="16"/>
      <w:bookmarkEnd w:id="17"/>
    </w:p>
    <w:p w14:paraId="5C866266" w14:textId="13676D3E" w:rsidR="00AE4DAB" w:rsidRDefault="00F162B2">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w:t>
      </w:r>
      <w:r w:rsidR="0008520A">
        <w:rPr>
          <w:rFonts w:hAnsi="宋体" w:hint="eastAsia"/>
          <w:szCs w:val="24"/>
        </w:rPr>
        <w:t>各类</w:t>
      </w:r>
      <w:r>
        <w:rPr>
          <w:rFonts w:hAnsi="宋体" w:hint="eastAsia"/>
          <w:szCs w:val="24"/>
        </w:rPr>
        <w:t>基金份额净值、根据基金管理人指令办理清算交收、相关信息披露和监督基金投资运作等行为。</w:t>
      </w:r>
    </w:p>
    <w:p w14:paraId="2A79DA7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w:t>
      </w:r>
      <w:r>
        <w:rPr>
          <w:rFonts w:hAnsi="宋体" w:hint="eastAsia"/>
          <w:szCs w:val="24"/>
        </w:rPr>
        <w:lastRenderedPageBreak/>
        <w:t>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1FBFDBC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1E5F507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499F942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A03F769" w14:textId="77777777" w:rsidR="00AE4DAB" w:rsidRDefault="00F162B2">
      <w:pPr>
        <w:pStyle w:val="1"/>
        <w:spacing w:line="520" w:lineRule="atLeast"/>
        <w:ind w:firstLineChars="200" w:firstLine="482"/>
        <w:rPr>
          <w:bCs/>
          <w:color w:val="auto"/>
          <w:szCs w:val="24"/>
        </w:rPr>
      </w:pPr>
      <w:bookmarkStart w:id="18" w:name="_Toc296551341"/>
      <w:bookmarkStart w:id="19" w:name="_Toc44321728"/>
      <w:r>
        <w:rPr>
          <w:rFonts w:hint="eastAsia"/>
          <w:bCs/>
          <w:color w:val="auto"/>
          <w:szCs w:val="24"/>
        </w:rPr>
        <w:t>第五条 基金财产保管</w:t>
      </w:r>
      <w:bookmarkEnd w:id="18"/>
      <w:bookmarkEnd w:id="19"/>
    </w:p>
    <w:p w14:paraId="55373D0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432E079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57E727D1" w14:textId="77777777" w:rsidR="00AE4DAB" w:rsidRDefault="00F162B2" w:rsidP="00036378">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59EF5A9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4E73084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2E11793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6F6307C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452DE88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5.2募集资金的验资</w:t>
      </w:r>
    </w:p>
    <w:p w14:paraId="0D3E8CD7" w14:textId="77777777" w:rsidR="00AE4DAB" w:rsidRDefault="00F162B2">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5.2.1基金募集期间募集的资金应存于基金管理人在基金托管人的营业机构或</w:t>
      </w:r>
      <w:r>
        <w:rPr>
          <w:rFonts w:ascii="宋体" w:hAnsi="宋体" w:hint="eastAsia"/>
          <w:szCs w:val="24"/>
        </w:rPr>
        <w:lastRenderedPageBreak/>
        <w:t>在其他银行开立的【基金募集专户】，该账户由【基金管理人或基金管理人委托的注册登记机构】开立并管理。</w:t>
      </w:r>
    </w:p>
    <w:p w14:paraId="33ADC90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hAnsi="宋体" w:hint="eastAsia"/>
          <w:szCs w:val="24"/>
        </w:rPr>
        <w:t>请符合</w:t>
      </w:r>
      <w:proofErr w:type="gramEnd"/>
      <w:r>
        <w:rPr>
          <w:rFonts w:hAnsi="宋体" w:hint="eastAsia"/>
          <w:szCs w:val="24"/>
        </w:rPr>
        <w:t>《中华人民共和国证券法》规定的会计师事务所进行验资，出具验资报告，出具的验资报告应由参加验资的2名以上（含2名）中国注册会计师签字有效。</w:t>
      </w:r>
    </w:p>
    <w:p w14:paraId="2D050E5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14:paraId="36041DC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56F77D5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6F912E5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2FAC1D2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78E7D8C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71753D0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5.4.1基金托管人以基金托管人和本基金联名的方式在中国证券登记结算有限责任公司（以下简称“中登公司”）上海分公司/深圳分公司开设证券账户。</w:t>
      </w:r>
    </w:p>
    <w:p w14:paraId="39B3792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5.4.2基金托管人以基金托管人的名义在中登公司上海分公司/深圳分公司开立基金证券交易资金账户，用于证券清算。</w:t>
      </w:r>
    </w:p>
    <w:p w14:paraId="353CBDB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7647E84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5.4.4基金证券账户与证券交易资金账户相关证明文件的保管由基金托管人负责，账户资产的管理和运用由基金管理人负责。</w:t>
      </w:r>
    </w:p>
    <w:p w14:paraId="3FA7E0B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2664810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78B5E9D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5.5.2基金管理人和基金托管人应一起负责为基金对外签订全国银行间国债市场回购主协议，正本由基金管理人保存。</w:t>
      </w:r>
    </w:p>
    <w:p w14:paraId="75D9AFB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3B36864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5CAFFD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47C5494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7698D36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14:paraId="5FF3E3FF" w14:textId="7D69F75C" w:rsidR="00AE4DAB" w:rsidRDefault="00F162B2">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w:t>
      </w:r>
      <w:r>
        <w:rPr>
          <w:rFonts w:hAnsi="宋体" w:hint="eastAsia"/>
          <w:szCs w:val="24"/>
        </w:rPr>
        <w:lastRenderedPageBreak/>
        <w:t>金托管人处。合同应存放于基金管理人和基金托管人各自文件保管部门</w:t>
      </w:r>
      <w:r w:rsidR="00454C50">
        <w:rPr>
          <w:rFonts w:hAnsi="宋体" w:hint="eastAsia"/>
          <w:szCs w:val="24"/>
        </w:rPr>
        <w:t>，保存期限</w:t>
      </w:r>
      <w:r w:rsidR="00454C50" w:rsidRPr="004A59C3">
        <w:rPr>
          <w:rFonts w:ascii="Arial" w:hAnsi="Arial" w:cs="Arial" w:hint="eastAsia"/>
          <w:bCs/>
        </w:rPr>
        <w:t>不低于法律法规规定的最低期限</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2A7EA0F4" w14:textId="77777777" w:rsidR="00AE4DAB" w:rsidRDefault="00F162B2">
      <w:pPr>
        <w:pStyle w:val="1"/>
        <w:spacing w:line="520" w:lineRule="atLeast"/>
        <w:ind w:firstLineChars="200" w:firstLine="482"/>
        <w:rPr>
          <w:bCs/>
          <w:color w:val="auto"/>
          <w:szCs w:val="24"/>
        </w:rPr>
      </w:pPr>
      <w:bookmarkStart w:id="20" w:name="_Toc44321729"/>
      <w:bookmarkStart w:id="21" w:name="_Toc296551342"/>
      <w:r>
        <w:rPr>
          <w:rFonts w:hint="eastAsia"/>
          <w:bCs/>
          <w:color w:val="auto"/>
          <w:szCs w:val="24"/>
        </w:rPr>
        <w:t>第六条 指令的发送、确认和执行</w:t>
      </w:r>
      <w:bookmarkEnd w:id="20"/>
      <w:bookmarkEnd w:id="21"/>
    </w:p>
    <w:p w14:paraId="56F1790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08BCA07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14:paraId="4765B5E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asciiTheme="minorEastAsia" w:eastAsiaTheme="minorEastAsia" w:hAnsiTheme="minorEastAsia" w:hint="eastAsia"/>
          <w:szCs w:val="24"/>
        </w:rPr>
        <w:t>本协议另有约定</w:t>
      </w:r>
      <w:r>
        <w:rPr>
          <w:rFonts w:asciiTheme="minorEastAsia" w:eastAsiaTheme="minorEastAsia" w:hAnsiTheme="minorEastAsia"/>
          <w:szCs w:val="24"/>
        </w:rPr>
        <w:t>、</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240108C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6.2指令的内容</w:t>
      </w:r>
    </w:p>
    <w:p w14:paraId="56B9D52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323297A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59F19A4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形式的责任。基金托管人依照“授权通知”规定的方法确认指令有效后，方可执行指令。</w:t>
      </w:r>
      <w:r>
        <w:rPr>
          <w:rFonts w:hAnsi="宋体" w:hint="eastAsia"/>
          <w:szCs w:val="24"/>
        </w:rPr>
        <w:lastRenderedPageBreak/>
        <w:t>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w:t>
      </w:r>
      <w:r>
        <w:rPr>
          <w:rFonts w:hAnsi="宋体"/>
          <w:szCs w:val="24"/>
        </w:rPr>
        <w:t>，作为</w:t>
      </w:r>
      <w:r>
        <w:rPr>
          <w:rFonts w:hAnsi="宋体" w:hint="eastAsia"/>
          <w:szCs w:val="24"/>
        </w:rPr>
        <w:t>执行指令所必需的时间。由基金管理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24B81B6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6.3.2</w:t>
      </w:r>
      <w:r>
        <w:rPr>
          <w:rFonts w:hAnsi="宋体" w:hint="eastAsia"/>
          <w:b/>
          <w:bCs/>
          <w:szCs w:val="24"/>
        </w:rPr>
        <w:t>基金托管人根据本协议相关约定仅履行表面一致形式审核职责，对指令的真实性不承担责任。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的损失，全部责任由基金管理人承担，基金托管人由此遭受的损失，由基金管理人负责赔偿，但基金托管人未按协议约定</w:t>
      </w:r>
      <w:proofErr w:type="gramStart"/>
      <w:r>
        <w:rPr>
          <w:rFonts w:hAnsi="宋体" w:hint="eastAsia"/>
          <w:szCs w:val="24"/>
        </w:rPr>
        <w:t>尽形式</w:t>
      </w:r>
      <w:proofErr w:type="gramEnd"/>
      <w:r>
        <w:rPr>
          <w:rFonts w:hAnsi="宋体" w:hint="eastAsia"/>
          <w:szCs w:val="24"/>
        </w:rPr>
        <w:t>审核义务执行指令而造成损失的情形除外。</w:t>
      </w:r>
    </w:p>
    <w:p w14:paraId="46007CE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1BC3DFF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w:t>
      </w:r>
      <w:r>
        <w:rPr>
          <w:rFonts w:hAnsi="宋体" w:hint="eastAsia"/>
          <w:szCs w:val="24"/>
        </w:rPr>
        <w:lastRenderedPageBreak/>
        <w:t>管，基金托管人保管指令传真件。当两者不一致时，以基金托管人收到的指令传真件为准。</w:t>
      </w:r>
    </w:p>
    <w:p w14:paraId="4473D5D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2AE0053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6</w:t>
      </w:r>
      <w:r>
        <w:rPr>
          <w:rFonts w:hAnsi="宋体" w:hint="eastAsia"/>
          <w:szCs w:val="24"/>
        </w:rPr>
        <w:t>基金管理人应将交易通知单加盖预留印鉴后传真给基金托管人。</w:t>
      </w:r>
    </w:p>
    <w:p w14:paraId="6F34832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4C97E17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79B1163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19AD946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3323AA4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14:paraId="7A495F9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6BE4AA8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p>
    <w:p w14:paraId="3E6EB6F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386DE4F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w:t>
      </w:r>
      <w:r>
        <w:rPr>
          <w:rFonts w:hAnsi="宋体" w:hint="eastAsia"/>
          <w:szCs w:val="24"/>
        </w:rPr>
        <w:lastRenderedPageBreak/>
        <w:t>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6AF4C8C4" w14:textId="77777777" w:rsidR="00AE4DAB" w:rsidRDefault="00F162B2">
      <w:pPr>
        <w:pStyle w:val="1"/>
        <w:spacing w:line="520" w:lineRule="atLeast"/>
        <w:ind w:firstLineChars="200" w:firstLine="482"/>
        <w:rPr>
          <w:bCs/>
          <w:color w:val="auto"/>
          <w:szCs w:val="24"/>
        </w:rPr>
      </w:pPr>
      <w:bookmarkStart w:id="22" w:name="_Toc44321730"/>
      <w:r>
        <w:rPr>
          <w:rFonts w:hint="eastAsia"/>
          <w:bCs/>
          <w:color w:val="auto"/>
          <w:szCs w:val="24"/>
        </w:rPr>
        <w:t>第七条 交易及清算交收安排</w:t>
      </w:r>
      <w:bookmarkEnd w:id="22"/>
      <w:r>
        <w:rPr>
          <w:rFonts w:hint="eastAsia"/>
          <w:bCs/>
          <w:color w:val="auto"/>
          <w:szCs w:val="24"/>
        </w:rPr>
        <w:t xml:space="preserve"> </w:t>
      </w:r>
    </w:p>
    <w:p w14:paraId="4BC6F187" w14:textId="77777777" w:rsidR="00AE4DAB" w:rsidRDefault="00F162B2">
      <w:pPr>
        <w:pStyle w:val="20"/>
        <w:spacing w:before="0" w:after="0" w:line="520" w:lineRule="atLeast"/>
        <w:rPr>
          <w:rFonts w:hAnsi="宋体"/>
          <w:szCs w:val="24"/>
        </w:rPr>
      </w:pPr>
      <w:r>
        <w:rPr>
          <w:rFonts w:hAnsi="宋体" w:hint="eastAsia"/>
          <w:szCs w:val="24"/>
        </w:rPr>
        <w:t>7.1选择代理证券、期货买卖的证券、期货经营机构</w:t>
      </w:r>
    </w:p>
    <w:p w14:paraId="2A2C984B" w14:textId="77777777" w:rsidR="00AE4DAB" w:rsidRDefault="00F162B2">
      <w:pPr>
        <w:pStyle w:val="20"/>
        <w:spacing w:before="0" w:after="0" w:line="520" w:lineRule="atLeas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0BDB3D55" w14:textId="77777777" w:rsidR="00AE4DAB" w:rsidRDefault="00F162B2">
      <w:pPr>
        <w:pStyle w:val="20"/>
        <w:spacing w:before="0" w:after="0" w:line="520" w:lineRule="atLeast"/>
        <w:ind w:left="0" w:firstLine="480"/>
        <w:rPr>
          <w:rFonts w:hAnsi="宋体"/>
          <w:szCs w:val="24"/>
        </w:rPr>
      </w:pPr>
      <w:r>
        <w:rPr>
          <w:rFonts w:hAnsi="宋体" w:hint="eastAsia"/>
          <w:szCs w:val="24"/>
        </w:rPr>
        <w:t>7.1.2基金管理人应及时将基金专用交易单元号、佣金费率等基本信息以及变更情况以书面形式通知基金托管人。</w:t>
      </w:r>
    </w:p>
    <w:p w14:paraId="74CC8F50" w14:textId="65438C1D" w:rsidR="00AE4DAB" w:rsidRDefault="00F162B2">
      <w:pPr>
        <w:pStyle w:val="20"/>
        <w:spacing w:before="0" w:after="0" w:line="520" w:lineRule="atLeast"/>
        <w:ind w:left="0" w:firstLine="480"/>
        <w:rPr>
          <w:rFonts w:hAnsi="宋体"/>
          <w:szCs w:val="24"/>
        </w:rPr>
      </w:pPr>
      <w:r>
        <w:rPr>
          <w:rFonts w:hAnsi="宋体" w:hint="eastAsia"/>
          <w:szCs w:val="24"/>
        </w:rPr>
        <w:t>7.1.3基金管理人负责选择本基金期货交易的期货经纪机构，并与其签订期货经纪合同，其他事宜根据法律法规、《基金合同》的相关规定执行，若无明确规定的，可参照有关证券买卖、证券经纪机构选择的规则执行。</w:t>
      </w:r>
    </w:p>
    <w:p w14:paraId="66A2DB0F" w14:textId="77777777" w:rsidR="00AE4DAB" w:rsidRDefault="00F162B2">
      <w:pPr>
        <w:pStyle w:val="20"/>
        <w:spacing w:before="0" w:after="0" w:line="520" w:lineRule="atLeast"/>
        <w:rPr>
          <w:rFonts w:hAnsi="宋体"/>
          <w:szCs w:val="24"/>
        </w:rPr>
      </w:pPr>
      <w:r>
        <w:rPr>
          <w:rFonts w:hAnsi="宋体" w:hint="eastAsia"/>
          <w:szCs w:val="24"/>
        </w:rPr>
        <w:t>7.2清算与交割</w:t>
      </w:r>
    </w:p>
    <w:p w14:paraId="10BAB6FA" w14:textId="77777777" w:rsidR="00AE4DAB" w:rsidRDefault="00F162B2">
      <w:pPr>
        <w:pStyle w:val="20"/>
        <w:spacing w:before="0" w:after="0" w:line="520" w:lineRule="atLeast"/>
        <w:rPr>
          <w:rFonts w:hAnsi="宋体"/>
          <w:szCs w:val="24"/>
        </w:rPr>
      </w:pPr>
      <w:r>
        <w:rPr>
          <w:rFonts w:hAnsi="宋体" w:hint="eastAsia"/>
          <w:szCs w:val="24"/>
        </w:rPr>
        <w:t>7.2.1基金投资证券后的清算交收安排</w:t>
      </w:r>
    </w:p>
    <w:p w14:paraId="660A5734" w14:textId="77777777" w:rsidR="00AE4DAB" w:rsidRDefault="00F162B2">
      <w:pPr>
        <w:pStyle w:val="20"/>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35C0638C" w14:textId="77777777" w:rsidR="00AE4DAB" w:rsidRDefault="00F162B2">
      <w:pPr>
        <w:pStyle w:val="20"/>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对基金管理人的资金划拨指令，基金托管人在复核无误后应在规定期限内执行并在执行完毕后回函确认，不得无故延误。</w:t>
      </w:r>
    </w:p>
    <w:p w14:paraId="30B7BCCA" w14:textId="77777777" w:rsidR="00AE4DAB" w:rsidRDefault="00F162B2">
      <w:pPr>
        <w:pStyle w:val="20"/>
        <w:spacing w:before="0" w:after="0" w:line="520" w:lineRule="atLeast"/>
        <w:ind w:left="0" w:firstLine="480"/>
        <w:rPr>
          <w:rFonts w:hAnsi="宋体"/>
          <w:szCs w:val="24"/>
        </w:rPr>
      </w:pPr>
      <w:r>
        <w:rPr>
          <w:rFonts w:hAnsi="宋体" w:hint="eastAsia"/>
          <w:szCs w:val="24"/>
        </w:rPr>
        <w:t>本基金投资于证券发生的所有场内、场外交易的资金清算交割，全部由基金托管人负责办理。</w:t>
      </w:r>
    </w:p>
    <w:p w14:paraId="13D25D70" w14:textId="77777777" w:rsidR="00AE4DAB" w:rsidRDefault="00F162B2">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14:paraId="0857532E" w14:textId="77777777" w:rsidR="00AE4DAB" w:rsidRDefault="00F162B2">
      <w:pPr>
        <w:pStyle w:val="20"/>
        <w:spacing w:before="0" w:after="0" w:line="520" w:lineRule="atLeast"/>
        <w:ind w:left="0" w:firstLine="480"/>
        <w:rPr>
          <w:rFonts w:hAnsi="宋体"/>
          <w:szCs w:val="24"/>
        </w:rPr>
      </w:pPr>
      <w:r>
        <w:rPr>
          <w:rFonts w:hAnsi="宋体" w:hint="eastAsia"/>
          <w:szCs w:val="24"/>
        </w:rPr>
        <w:lastRenderedPageBreak/>
        <w:t>交易及清算交收安排中基金管理人应为基金托管人预留2个小时的指令处理时间，当日15:00之后收到的指令，基金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191EB5C0" w14:textId="77777777" w:rsidR="00AE4DAB" w:rsidRDefault="00F162B2">
      <w:pPr>
        <w:pStyle w:val="20"/>
        <w:spacing w:before="0" w:after="0" w:line="520" w:lineRule="atLeast"/>
        <w:rPr>
          <w:rFonts w:hAnsi="宋体"/>
          <w:szCs w:val="24"/>
        </w:rPr>
      </w:pPr>
      <w:r>
        <w:rPr>
          <w:rFonts w:hAnsi="宋体" w:hint="eastAsia"/>
          <w:szCs w:val="24"/>
        </w:rPr>
        <w:t>7.2.2基金出现超买或超卖的责任认定及处理程序</w:t>
      </w:r>
    </w:p>
    <w:p w14:paraId="4A2F3667" w14:textId="77777777" w:rsidR="00AE4DAB" w:rsidRDefault="00F162B2">
      <w:pPr>
        <w:pStyle w:val="20"/>
        <w:spacing w:before="0" w:after="0" w:line="520" w:lineRule="atLeas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1046FB57" w14:textId="77777777" w:rsidR="00AE4DAB" w:rsidRDefault="00F162B2">
      <w:pPr>
        <w:pStyle w:val="20"/>
        <w:spacing w:before="0" w:after="0" w:line="520" w:lineRule="atLeast"/>
        <w:rPr>
          <w:rFonts w:hAnsi="宋体"/>
          <w:szCs w:val="24"/>
        </w:rPr>
      </w:pPr>
      <w:r>
        <w:rPr>
          <w:rFonts w:hAnsi="宋体" w:hint="eastAsia"/>
          <w:szCs w:val="24"/>
        </w:rPr>
        <w:t>7.2.3基金无法按时支付证券清算款的责任认定及处理程序</w:t>
      </w:r>
    </w:p>
    <w:p w14:paraId="0E24FDFE" w14:textId="77777777" w:rsidR="00AE4DAB" w:rsidRDefault="00F162B2">
      <w:pPr>
        <w:pStyle w:val="20"/>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3C30B464" w14:textId="77777777" w:rsidR="00AE4DAB" w:rsidRDefault="00F162B2">
      <w:pPr>
        <w:pStyle w:val="20"/>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14:paraId="3385463B" w14:textId="77777777" w:rsidR="00AE4DAB" w:rsidRDefault="00F162B2">
      <w:pPr>
        <w:pStyle w:val="20"/>
        <w:spacing w:line="520" w:lineRule="atLeast"/>
        <w:ind w:left="0" w:firstLineChars="200" w:firstLine="480"/>
        <w:rPr>
          <w:rFonts w:hAnsi="宋体"/>
          <w:szCs w:val="24"/>
        </w:rPr>
      </w:pPr>
      <w:r>
        <w:rPr>
          <w:rFonts w:hAnsi="宋体" w:hint="eastAsia"/>
          <w:szCs w:val="24"/>
        </w:rPr>
        <w:t>7.2.4场外交易资金结算</w:t>
      </w:r>
    </w:p>
    <w:p w14:paraId="1AE42079" w14:textId="77777777" w:rsidR="00AE4DAB" w:rsidRDefault="00F162B2">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本金及收益的划回，由基金管理人负责协调相关资金</w:t>
      </w:r>
      <w:proofErr w:type="gramStart"/>
      <w:r>
        <w:rPr>
          <w:rFonts w:hAnsi="宋体" w:hint="eastAsia"/>
          <w:szCs w:val="24"/>
        </w:rPr>
        <w:t>划拨回产品托管户</w:t>
      </w:r>
      <w:proofErr w:type="gramEnd"/>
      <w:r>
        <w:rPr>
          <w:rFonts w:hAnsi="宋体" w:hint="eastAsia"/>
          <w:szCs w:val="24"/>
        </w:rPr>
        <w:t>事宜。</w:t>
      </w:r>
    </w:p>
    <w:p w14:paraId="3CBE9008" w14:textId="77777777" w:rsidR="00AE4DAB" w:rsidRDefault="00F162B2">
      <w:pPr>
        <w:pStyle w:val="20"/>
        <w:spacing w:before="0" w:after="0" w:line="520" w:lineRule="atLeast"/>
        <w:rPr>
          <w:rFonts w:hAnsi="宋体"/>
          <w:szCs w:val="24"/>
        </w:rPr>
      </w:pPr>
      <w:r>
        <w:rPr>
          <w:rFonts w:hAnsi="宋体" w:hint="eastAsia"/>
          <w:szCs w:val="24"/>
        </w:rPr>
        <w:t>7.3资金、证券账目及交易记录的核对</w:t>
      </w:r>
    </w:p>
    <w:p w14:paraId="75A86715" w14:textId="1BCA954C" w:rsidR="00AE4DAB" w:rsidRDefault="00F162B2">
      <w:pPr>
        <w:pStyle w:val="20"/>
        <w:spacing w:before="0" w:after="0" w:line="520" w:lineRule="atLeast"/>
        <w:ind w:left="0"/>
        <w:rPr>
          <w:rFonts w:hAnsi="宋体"/>
          <w:szCs w:val="24"/>
        </w:rPr>
      </w:pPr>
      <w:r>
        <w:rPr>
          <w:rFonts w:hAnsi="宋体" w:hint="eastAsia"/>
          <w:szCs w:val="24"/>
        </w:rPr>
        <w:t xml:space="preserve">    7.3.1基金管理人与基金托管人按日进行交易记录的核对。每日对外披露</w:t>
      </w:r>
      <w:r w:rsidR="0084233A">
        <w:rPr>
          <w:rFonts w:hAnsi="宋体" w:hint="eastAsia"/>
          <w:szCs w:val="24"/>
        </w:rPr>
        <w:t>各类</w:t>
      </w:r>
      <w:r>
        <w:rPr>
          <w:rFonts w:hAnsi="宋体" w:hint="eastAsia"/>
          <w:szCs w:val="24"/>
        </w:rPr>
        <w:t>基金份额净值之前，必须保证当天所有实际交易记录与基金会计账簿上的交易记录完全一致。如果实际交易记录与会计账簿记录不一致，造成基金会计核算不完整或</w:t>
      </w:r>
      <w:r>
        <w:rPr>
          <w:rFonts w:hAnsi="宋体" w:hint="eastAsia"/>
          <w:szCs w:val="24"/>
        </w:rPr>
        <w:lastRenderedPageBreak/>
        <w:t>不真实，由此导致的损失由责任方承担。</w:t>
      </w:r>
    </w:p>
    <w:p w14:paraId="58878B36" w14:textId="77777777" w:rsidR="00AE4DAB" w:rsidRDefault="00F162B2">
      <w:pPr>
        <w:pStyle w:val="20"/>
        <w:spacing w:before="0" w:after="0" w:line="520" w:lineRule="atLeas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62F476C0" w14:textId="77777777" w:rsidR="00AE4DAB" w:rsidRDefault="00F162B2">
      <w:pPr>
        <w:pStyle w:val="20"/>
        <w:spacing w:before="0" w:after="0" w:line="520" w:lineRule="atLeast"/>
        <w:ind w:left="0"/>
        <w:rPr>
          <w:rFonts w:hAnsi="宋体"/>
          <w:szCs w:val="24"/>
        </w:rPr>
      </w:pPr>
      <w:r>
        <w:rPr>
          <w:rFonts w:hAnsi="宋体" w:hint="eastAsia"/>
          <w:szCs w:val="24"/>
        </w:rPr>
        <w:t xml:space="preserve">    7.4申购、赎回、转换开放式基金的资金清算、数据传递及基金管理人、基金托管人的责任</w:t>
      </w:r>
    </w:p>
    <w:p w14:paraId="577C7F50" w14:textId="77777777" w:rsidR="00AE4DAB" w:rsidRDefault="00F162B2">
      <w:pPr>
        <w:pStyle w:val="20"/>
        <w:spacing w:before="0" w:after="0" w:line="520" w:lineRule="atLeast"/>
        <w:ind w:left="0"/>
        <w:rPr>
          <w:rFonts w:hAnsi="宋体"/>
          <w:szCs w:val="24"/>
        </w:rPr>
      </w:pPr>
      <w:r>
        <w:rPr>
          <w:rFonts w:hAnsi="宋体" w:hint="eastAsia"/>
          <w:szCs w:val="24"/>
        </w:rPr>
        <w:t xml:space="preserve">    7.4.1基金管理人和基金托管人在基金的申购赎回、转换中的责任</w:t>
      </w:r>
    </w:p>
    <w:p w14:paraId="5E2CF88D" w14:textId="6B6332F0" w:rsidR="00AE4DAB" w:rsidRDefault="00F162B2">
      <w:pPr>
        <w:pStyle w:val="20"/>
        <w:spacing w:before="0" w:after="0" w:line="520" w:lineRule="atLeast"/>
        <w:ind w:left="0"/>
        <w:rPr>
          <w:rFonts w:hAnsi="宋体"/>
          <w:szCs w:val="24"/>
        </w:rPr>
      </w:pPr>
      <w:r>
        <w:rPr>
          <w:rFonts w:hAnsi="宋体" w:hint="eastAsia"/>
          <w:szCs w:val="24"/>
        </w:rPr>
        <w:t xml:space="preserve">    基金投资人可通过基金管理人的直销中心和销售机构的代销网点进行申购</w:t>
      </w:r>
      <w:r w:rsidR="0084233A">
        <w:rPr>
          <w:rFonts w:hAnsi="宋体" w:hint="eastAsia"/>
          <w:szCs w:val="24"/>
        </w:rPr>
        <w:t>、</w:t>
      </w:r>
      <w:r>
        <w:rPr>
          <w:rFonts w:hAnsi="宋体" w:hint="eastAsia"/>
          <w:szCs w:val="24"/>
        </w:rPr>
        <w:t>赎回</w:t>
      </w:r>
      <w:r w:rsidR="0084233A">
        <w:rPr>
          <w:rFonts w:hAnsi="宋体" w:hint="eastAsia"/>
          <w:szCs w:val="24"/>
        </w:rPr>
        <w:t>和转换</w:t>
      </w:r>
      <w:r>
        <w:rPr>
          <w:rFonts w:hAnsi="宋体" w:hint="eastAsia"/>
          <w:szCs w:val="24"/>
        </w:rPr>
        <w:t>申请，基金份额申购、赎回</w:t>
      </w:r>
      <w:r w:rsidR="0084233A">
        <w:rPr>
          <w:rFonts w:hAnsi="宋体" w:hint="eastAsia"/>
          <w:szCs w:val="24"/>
        </w:rPr>
        <w:t>和转换</w:t>
      </w:r>
      <w:r>
        <w:rPr>
          <w:rFonts w:hAnsi="宋体" w:hint="eastAsia"/>
          <w:szCs w:val="24"/>
        </w:rPr>
        <w:t>的确认、清算由基金管理人或其委托的登记机构负责。基金托管人负责接收并确认资金的到账情况，以及依照基金管理人的投资指令划付赎回款项。</w:t>
      </w:r>
    </w:p>
    <w:p w14:paraId="7E4826EA" w14:textId="77777777" w:rsidR="00AE4DAB" w:rsidRDefault="00F162B2">
      <w:pPr>
        <w:pStyle w:val="20"/>
        <w:spacing w:before="0" w:after="0" w:line="520" w:lineRule="atLeast"/>
        <w:rPr>
          <w:rFonts w:hAnsi="宋体"/>
          <w:szCs w:val="24"/>
        </w:rPr>
      </w:pPr>
      <w:r>
        <w:rPr>
          <w:rFonts w:hAnsi="宋体" w:hint="eastAsia"/>
          <w:szCs w:val="24"/>
        </w:rPr>
        <w:t>7.4.2基金的数据传递</w:t>
      </w:r>
    </w:p>
    <w:p w14:paraId="3109DC37" w14:textId="77777777" w:rsidR="00AE4DAB" w:rsidRDefault="00F162B2">
      <w:pPr>
        <w:pStyle w:val="20"/>
        <w:spacing w:before="0" w:after="0" w:line="520" w:lineRule="atLeas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6251F189" w14:textId="77777777" w:rsidR="00AE4DAB" w:rsidRDefault="00F162B2">
      <w:pPr>
        <w:pStyle w:val="20"/>
        <w:spacing w:before="0" w:after="0" w:line="520" w:lineRule="atLeast"/>
        <w:ind w:left="0"/>
        <w:rPr>
          <w:rFonts w:hAnsi="宋体"/>
          <w:szCs w:val="24"/>
        </w:rPr>
      </w:pPr>
      <w:r>
        <w:rPr>
          <w:rFonts w:hAnsi="宋体" w:hint="eastAsia"/>
          <w:szCs w:val="24"/>
        </w:rPr>
        <w:t xml:space="preserve">    登记机构应通过与基金管理人建立的系统发送有关数据，如因各种原因，该系统无法正常发送，双方可协商解决处理方式。</w:t>
      </w:r>
    </w:p>
    <w:p w14:paraId="7CAC0083" w14:textId="77777777" w:rsidR="00AE4DAB" w:rsidRDefault="00F162B2">
      <w:pPr>
        <w:pStyle w:val="20"/>
        <w:spacing w:before="0" w:after="0" w:line="520" w:lineRule="atLeast"/>
        <w:rPr>
          <w:rFonts w:hAnsi="宋体"/>
          <w:szCs w:val="24"/>
        </w:rPr>
      </w:pPr>
      <w:r>
        <w:rPr>
          <w:rFonts w:hAnsi="宋体" w:hint="eastAsia"/>
          <w:szCs w:val="24"/>
        </w:rPr>
        <w:t>7.4.3基金的资金清算</w:t>
      </w:r>
    </w:p>
    <w:p w14:paraId="6D9CA96F" w14:textId="77777777" w:rsidR="00AE4DAB" w:rsidRDefault="00F162B2">
      <w:pPr>
        <w:pStyle w:val="20"/>
        <w:spacing w:before="0" w:after="0" w:line="520" w:lineRule="atLeast"/>
        <w:ind w:left="0"/>
        <w:rPr>
          <w:rFonts w:hAnsi="宋体"/>
          <w:szCs w:val="24"/>
        </w:rPr>
      </w:pPr>
      <w:r>
        <w:rPr>
          <w:rFonts w:hAnsi="宋体" w:hint="eastAsia"/>
          <w:szCs w:val="24"/>
        </w:rPr>
        <w:t xml:space="preserve">    基金托管专户与“基金清算账户”间的资金结算遵循“全额清算、净额交收”的原则，每日按照托管专户应收资金与应付资金的差额来确定托管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14:paraId="2E1CED4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如果当日基金为净应收款，基金托管人应在T＋2日15:00之前查收资金是否到账，对于未准时到账的资金，基金托管人应及时通知基金管理人划付。如果当日基金为净应付款，基金托管人应根据基金管理人的指令在T+2日中午12:00前进行划付，对于未准时划付的资金，基金管理人应及时通知基金托管人划付。因基金托管专户没有足够的资金，导致基金托管人不能按时拨付，基金托管人应及时通知基金管理人。</w:t>
      </w:r>
    </w:p>
    <w:p w14:paraId="26C8850E" w14:textId="77777777" w:rsidR="00AE4DAB" w:rsidRDefault="00F162B2">
      <w:pPr>
        <w:pStyle w:val="1"/>
        <w:spacing w:line="520" w:lineRule="atLeast"/>
        <w:ind w:firstLineChars="200" w:firstLine="482"/>
        <w:rPr>
          <w:bCs/>
          <w:color w:val="auto"/>
          <w:szCs w:val="24"/>
        </w:rPr>
      </w:pPr>
      <w:bookmarkStart w:id="23" w:name="_Toc296551344"/>
      <w:bookmarkStart w:id="24" w:name="_Toc44321731"/>
      <w:r>
        <w:rPr>
          <w:rFonts w:hint="eastAsia"/>
          <w:bCs/>
          <w:color w:val="auto"/>
          <w:szCs w:val="24"/>
        </w:rPr>
        <w:lastRenderedPageBreak/>
        <w:t>第八条 基金净值计算和会计核算</w:t>
      </w:r>
      <w:bookmarkEnd w:id="23"/>
      <w:bookmarkEnd w:id="24"/>
    </w:p>
    <w:p w14:paraId="75A53B0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5ED59C28" w14:textId="52C84E26" w:rsidR="00AE4DAB" w:rsidRDefault="00F162B2" w:rsidP="0011236B">
      <w:pPr>
        <w:pStyle w:val="20"/>
        <w:spacing w:before="0" w:after="0" w:line="520" w:lineRule="atLeast"/>
        <w:ind w:left="0" w:firstLineChars="200" w:firstLine="480"/>
        <w:rPr>
          <w:rFonts w:hAnsi="宋体"/>
          <w:szCs w:val="24"/>
        </w:rPr>
      </w:pPr>
      <w:r>
        <w:rPr>
          <w:rFonts w:hAnsi="宋体" w:hint="eastAsia"/>
          <w:szCs w:val="24"/>
        </w:rPr>
        <w:t>8.1.1基金</w:t>
      </w:r>
      <w:r>
        <w:rPr>
          <w:rFonts w:hAnsi="宋体"/>
          <w:szCs w:val="24"/>
        </w:rPr>
        <w:t>净值包括基金资产净值</w:t>
      </w:r>
      <w:r>
        <w:rPr>
          <w:rFonts w:hAnsi="宋体" w:hint="eastAsia"/>
          <w:szCs w:val="24"/>
        </w:rPr>
        <w:t>、</w:t>
      </w:r>
      <w:r w:rsidR="0084233A">
        <w:rPr>
          <w:rFonts w:hAnsi="宋体" w:hint="eastAsia"/>
          <w:szCs w:val="24"/>
        </w:rPr>
        <w:t>各类</w:t>
      </w:r>
      <w:r>
        <w:rPr>
          <w:rFonts w:hAnsi="宋体" w:hint="eastAsia"/>
          <w:szCs w:val="24"/>
        </w:rPr>
        <w:t>基金</w:t>
      </w:r>
      <w:r>
        <w:rPr>
          <w:rFonts w:hAnsi="宋体"/>
          <w:szCs w:val="24"/>
        </w:rPr>
        <w:t>份额净值、</w:t>
      </w:r>
      <w:r w:rsidR="0084233A">
        <w:rPr>
          <w:rFonts w:hAnsi="宋体"/>
          <w:szCs w:val="24"/>
        </w:rPr>
        <w:t>各类</w:t>
      </w:r>
      <w:r>
        <w:rPr>
          <w:rFonts w:hAnsi="宋体"/>
          <w:szCs w:val="24"/>
        </w:rPr>
        <w:t>基金</w:t>
      </w:r>
      <w:r>
        <w:rPr>
          <w:rFonts w:hAnsi="宋体" w:hint="eastAsia"/>
          <w:szCs w:val="24"/>
        </w:rPr>
        <w:t>份额</w:t>
      </w:r>
      <w:r>
        <w:rPr>
          <w:rFonts w:hAnsi="宋体"/>
          <w:szCs w:val="24"/>
        </w:rPr>
        <w:t>累计净值。</w:t>
      </w:r>
      <w:r>
        <w:rPr>
          <w:rFonts w:hAnsi="宋体" w:hint="eastAsia"/>
          <w:szCs w:val="24"/>
        </w:rPr>
        <w:t>基金资产净值是指基金资产总值减去负债后的净资产值。</w:t>
      </w:r>
      <w:r w:rsidR="0084233A">
        <w:rPr>
          <w:rFonts w:hAnsi="宋体" w:hint="eastAsia"/>
          <w:szCs w:val="24"/>
        </w:rPr>
        <w:t>各类</w:t>
      </w:r>
      <w:r w:rsidR="00F40832">
        <w:rPr>
          <w:rFonts w:hAnsi="宋体" w:hint="eastAsia"/>
          <w:szCs w:val="24"/>
        </w:rPr>
        <w:t>基金份额的</w:t>
      </w:r>
      <w:r>
        <w:rPr>
          <w:rFonts w:hAnsi="宋体" w:hint="eastAsia"/>
          <w:szCs w:val="24"/>
        </w:rPr>
        <w:t>基金份额净值是指计算日</w:t>
      </w:r>
      <w:r w:rsidR="0084233A">
        <w:rPr>
          <w:rFonts w:hAnsi="宋体" w:hint="eastAsia"/>
          <w:szCs w:val="24"/>
        </w:rPr>
        <w:t>该类</w:t>
      </w:r>
      <w:r w:rsidR="00F40832">
        <w:rPr>
          <w:rFonts w:hAnsi="宋体" w:hint="eastAsia"/>
          <w:szCs w:val="24"/>
        </w:rPr>
        <w:t>基金份额的</w:t>
      </w:r>
      <w:r>
        <w:rPr>
          <w:rFonts w:hAnsi="宋体" w:hint="eastAsia"/>
          <w:szCs w:val="24"/>
        </w:rPr>
        <w:t>基金资产净值除以该计算日</w:t>
      </w:r>
      <w:r w:rsidR="0084233A">
        <w:rPr>
          <w:rFonts w:hAnsi="宋体" w:hint="eastAsia"/>
          <w:szCs w:val="24"/>
        </w:rPr>
        <w:t>该类</w:t>
      </w:r>
      <w:r>
        <w:rPr>
          <w:rFonts w:hAnsi="宋体" w:hint="eastAsia"/>
          <w:szCs w:val="24"/>
        </w:rPr>
        <w:t>基金份额总份额后的数值。</w:t>
      </w:r>
      <w:r w:rsidR="0084233A">
        <w:rPr>
          <w:rFonts w:hAnsi="宋体" w:hint="eastAsia"/>
          <w:szCs w:val="24"/>
        </w:rPr>
        <w:t>各类</w:t>
      </w:r>
      <w:r>
        <w:rPr>
          <w:rFonts w:hAnsi="宋体" w:hint="eastAsia"/>
          <w:szCs w:val="24"/>
        </w:rPr>
        <w:t>基金</w:t>
      </w:r>
      <w:r>
        <w:rPr>
          <w:rFonts w:hAnsi="宋体"/>
          <w:szCs w:val="24"/>
        </w:rPr>
        <w:t>份额</w:t>
      </w:r>
      <w:r>
        <w:rPr>
          <w:rFonts w:hAnsi="宋体" w:hint="eastAsia"/>
          <w:szCs w:val="24"/>
        </w:rPr>
        <w:t>累计净值是指</w:t>
      </w:r>
      <w:r>
        <w:rPr>
          <w:rFonts w:hAnsi="宋体"/>
          <w:szCs w:val="24"/>
        </w:rPr>
        <w:t>【</w:t>
      </w:r>
      <w:r w:rsidR="0084233A">
        <w:rPr>
          <w:rFonts w:hAnsi="宋体"/>
          <w:szCs w:val="24"/>
        </w:rPr>
        <w:t>该类</w:t>
      </w:r>
      <w:r>
        <w:rPr>
          <w:rFonts w:hAnsi="宋体" w:hint="eastAsia"/>
          <w:szCs w:val="24"/>
        </w:rPr>
        <w:t>基金份额净值与</w:t>
      </w:r>
      <w:r w:rsidR="0084233A">
        <w:rPr>
          <w:rFonts w:hAnsi="宋体" w:hint="eastAsia"/>
          <w:szCs w:val="24"/>
        </w:rPr>
        <w:t>该类</w:t>
      </w:r>
      <w:r>
        <w:rPr>
          <w:rFonts w:hAnsi="宋体" w:hint="eastAsia"/>
          <w:szCs w:val="24"/>
        </w:rPr>
        <w:t>基金历来分红累计金额之和</w:t>
      </w:r>
      <w:r>
        <w:rPr>
          <w:rFonts w:hAnsi="宋体"/>
          <w:szCs w:val="24"/>
        </w:rPr>
        <w:t>】</w:t>
      </w:r>
      <w:r>
        <w:rPr>
          <w:rFonts w:hAnsi="宋体" w:hint="eastAsia"/>
          <w:szCs w:val="24"/>
        </w:rPr>
        <w:t>。基金净值的计算保留到小数点后4位，小数点后第5位四舍五入，由此产生的误差计入基金财产。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14:paraId="43D4A20B" w14:textId="181190E5" w:rsidR="00AE4DAB" w:rsidRDefault="00F162B2" w:rsidP="00FB7B88">
      <w:pPr>
        <w:pStyle w:val="20"/>
        <w:spacing w:before="0" w:after="0" w:line="520" w:lineRule="atLeast"/>
        <w:ind w:left="0" w:firstLineChars="200" w:firstLine="480"/>
        <w:rPr>
          <w:rFonts w:hAnsi="宋体"/>
          <w:szCs w:val="24"/>
        </w:rPr>
      </w:pPr>
      <w:r>
        <w:rPr>
          <w:rFonts w:hAnsi="宋体" w:hint="eastAsia"/>
          <w:szCs w:val="24"/>
        </w:rPr>
        <w:t>8.1.2基金管理人</w:t>
      </w:r>
      <w:proofErr w:type="gramStart"/>
      <w:r>
        <w:rPr>
          <w:rFonts w:hAnsi="宋体" w:hint="eastAsia"/>
          <w:szCs w:val="24"/>
        </w:rPr>
        <w:t>应每个</w:t>
      </w:r>
      <w:proofErr w:type="gramEnd"/>
      <w:r w:rsidR="0084233A">
        <w:rPr>
          <w:rFonts w:hAnsi="宋体" w:hint="eastAsia"/>
          <w:szCs w:val="24"/>
        </w:rPr>
        <w:t>估值日</w:t>
      </w:r>
      <w:r>
        <w:rPr>
          <w:rFonts w:hAnsi="宋体" w:hint="eastAsia"/>
          <w:szCs w:val="24"/>
        </w:rPr>
        <w:t>对基金资产估值，但基金管理人根据法律法规或基金合同的规定暂停估值时除外。估值原则应符合基金合同、《证券投资基金会计核算业务指引》及其他法律、法规的规定。基金资产净值、</w:t>
      </w:r>
      <w:r w:rsidR="0084233A">
        <w:rPr>
          <w:rFonts w:hAnsi="宋体" w:hint="eastAsia"/>
          <w:szCs w:val="24"/>
        </w:rPr>
        <w:t>各类</w:t>
      </w:r>
      <w:r>
        <w:rPr>
          <w:rFonts w:hAnsi="宋体" w:hint="eastAsia"/>
          <w:szCs w:val="24"/>
        </w:rPr>
        <w:t>基金份额净值和</w:t>
      </w:r>
      <w:r w:rsidR="0084233A">
        <w:rPr>
          <w:rFonts w:hAnsi="宋体" w:hint="eastAsia"/>
          <w:szCs w:val="24"/>
        </w:rPr>
        <w:t>各类</w:t>
      </w:r>
      <w:r>
        <w:rPr>
          <w:rFonts w:hAnsi="宋体" w:hint="eastAsia"/>
          <w:szCs w:val="24"/>
        </w:rPr>
        <w:t>基金份额累计净值由基金管理人负责计算，基金托管人复核。基金管理人应于每个</w:t>
      </w:r>
      <w:r w:rsidR="0084233A">
        <w:rPr>
          <w:rFonts w:hAnsi="宋体" w:hint="eastAsia"/>
          <w:szCs w:val="24"/>
        </w:rPr>
        <w:t>估值日</w:t>
      </w:r>
      <w:r>
        <w:rPr>
          <w:rFonts w:hAnsi="宋体" w:hint="eastAsia"/>
          <w:szCs w:val="24"/>
        </w:rPr>
        <w:t>交易结束后计算当日的基金净值并以双方认可的方式发送给基金托管人。基金托管人对净值计算结果复核后以双方认可的方式发送给基金管理人，基金管理人</w:t>
      </w:r>
      <w:r w:rsidRPr="000B4BCD">
        <w:rPr>
          <w:rFonts w:hAnsi="宋体"/>
          <w:szCs w:val="24"/>
        </w:rPr>
        <w:t>按规</w:t>
      </w:r>
      <w:r>
        <w:rPr>
          <w:bCs/>
        </w:rPr>
        <w:t>定予以公布</w:t>
      </w:r>
      <w:r>
        <w:rPr>
          <w:rFonts w:hAnsi="宋体" w:hint="eastAsia"/>
          <w:szCs w:val="24"/>
        </w:rPr>
        <w:t>。</w:t>
      </w:r>
    </w:p>
    <w:p w14:paraId="4F594EF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14:paraId="30376B2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8.2基金资产估值方法</w:t>
      </w:r>
    </w:p>
    <w:p w14:paraId="591719C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8.2.1估值对象</w:t>
      </w:r>
    </w:p>
    <w:p w14:paraId="6643BF60" w14:textId="78AC40CB" w:rsidR="00AE4DAB" w:rsidRDefault="006A222C">
      <w:pPr>
        <w:pStyle w:val="20"/>
        <w:spacing w:before="0" w:after="0" w:line="520" w:lineRule="atLeast"/>
        <w:ind w:left="0" w:firstLineChars="200" w:firstLine="480"/>
        <w:rPr>
          <w:rFonts w:hAnsi="宋体"/>
          <w:szCs w:val="24"/>
        </w:rPr>
      </w:pPr>
      <w:r w:rsidRPr="004A59C3">
        <w:rPr>
          <w:rFonts w:hint="eastAsia"/>
          <w:bCs/>
        </w:rPr>
        <w:t>基金所拥有的股票、债券</w:t>
      </w:r>
      <w:r w:rsidRPr="004A59C3">
        <w:rPr>
          <w:bCs/>
        </w:rPr>
        <w:t>、</w:t>
      </w:r>
      <w:r w:rsidRPr="004A59C3">
        <w:rPr>
          <w:rFonts w:hint="eastAsia"/>
          <w:bCs/>
        </w:rPr>
        <w:t>国债</w:t>
      </w:r>
      <w:r w:rsidRPr="004A59C3">
        <w:rPr>
          <w:bCs/>
        </w:rPr>
        <w:t>期货、</w:t>
      </w:r>
      <w:r w:rsidRPr="004A59C3">
        <w:rPr>
          <w:rFonts w:hint="eastAsia"/>
          <w:bCs/>
        </w:rPr>
        <w:t>股指期货、股票期权、</w:t>
      </w:r>
      <w:r w:rsidR="00F53939">
        <w:rPr>
          <w:rFonts w:hint="eastAsia"/>
          <w:bCs/>
        </w:rPr>
        <w:t>资产支持证券、</w:t>
      </w:r>
      <w:r w:rsidRPr="004A59C3">
        <w:rPr>
          <w:rFonts w:hint="eastAsia"/>
          <w:bCs/>
        </w:rPr>
        <w:t>银行存款本息、应收款项和其他投资等资产及负债。</w:t>
      </w:r>
    </w:p>
    <w:p w14:paraId="5011C3E7" w14:textId="77777777" w:rsidR="000B4BCD" w:rsidRDefault="00F162B2" w:rsidP="000B4BCD">
      <w:pPr>
        <w:pStyle w:val="20"/>
        <w:spacing w:before="0" w:after="0" w:line="520" w:lineRule="atLeast"/>
        <w:ind w:left="0" w:firstLineChars="200" w:firstLine="480"/>
        <w:rPr>
          <w:rFonts w:hAnsi="宋体"/>
          <w:szCs w:val="24"/>
        </w:rPr>
      </w:pPr>
      <w:r>
        <w:rPr>
          <w:rFonts w:hAnsi="宋体" w:hint="eastAsia"/>
          <w:szCs w:val="24"/>
        </w:rPr>
        <w:t>8.2.2估值方法</w:t>
      </w:r>
    </w:p>
    <w:p w14:paraId="549562B0" w14:textId="77777777" w:rsidR="000B4BCD" w:rsidRPr="000B4BCD" w:rsidRDefault="000B4BCD" w:rsidP="000B4BCD">
      <w:pPr>
        <w:pStyle w:val="20"/>
        <w:spacing w:before="0" w:after="0" w:line="520" w:lineRule="atLeast"/>
        <w:ind w:left="0" w:firstLineChars="200" w:firstLine="480"/>
        <w:rPr>
          <w:rFonts w:hAnsi="宋体"/>
          <w:szCs w:val="24"/>
        </w:rPr>
      </w:pPr>
      <w:r w:rsidRPr="000B4BCD">
        <w:rPr>
          <w:rFonts w:hAnsi="宋体"/>
          <w:szCs w:val="24"/>
        </w:rPr>
        <w:t>1</w:t>
      </w:r>
      <w:r w:rsidRPr="000B4BCD">
        <w:rPr>
          <w:rFonts w:hAnsi="宋体" w:hint="eastAsia"/>
          <w:szCs w:val="24"/>
        </w:rPr>
        <w:t>、证券交易所上市的有价证券的估值</w:t>
      </w:r>
    </w:p>
    <w:p w14:paraId="01F7D7C0" w14:textId="77777777" w:rsidR="000B4BCD" w:rsidRPr="000B4BCD" w:rsidRDefault="000B4BCD" w:rsidP="000B4BCD">
      <w:pPr>
        <w:pStyle w:val="20"/>
        <w:spacing w:before="0" w:after="0" w:line="520" w:lineRule="atLeast"/>
        <w:ind w:left="0" w:firstLineChars="200" w:firstLine="480"/>
        <w:rPr>
          <w:rFonts w:hAnsi="宋体"/>
          <w:szCs w:val="24"/>
        </w:rPr>
      </w:pPr>
      <w:r w:rsidRPr="000B4BCD">
        <w:rPr>
          <w:rFonts w:hAnsi="宋体" w:hint="eastAsia"/>
          <w:szCs w:val="24"/>
        </w:rPr>
        <w:t>（</w:t>
      </w:r>
      <w:r w:rsidRPr="000B4BCD">
        <w:rPr>
          <w:rFonts w:hAnsi="宋体"/>
          <w:szCs w:val="24"/>
        </w:rPr>
        <w:t>1</w:t>
      </w:r>
      <w:r w:rsidRPr="000B4BCD">
        <w:rPr>
          <w:rFonts w:hAnsi="宋体" w:hint="eastAsia"/>
          <w:szCs w:val="24"/>
        </w:rPr>
        <w:t>）交易所上市的有价证券（包括股票等），以其估值日在证券交易所挂牌的</w:t>
      </w:r>
      <w:r w:rsidRPr="000B4BCD">
        <w:rPr>
          <w:rFonts w:hAnsi="宋体" w:hint="eastAsia"/>
          <w:szCs w:val="24"/>
        </w:rPr>
        <w:lastRenderedPageBreak/>
        <w:t>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持有的有价证券有明确锁定期的，按照第三方估值机构提供的该有价证券当日的估值净价估值。</w:t>
      </w:r>
    </w:p>
    <w:p w14:paraId="1C1CA41D" w14:textId="77777777" w:rsidR="000B4BCD" w:rsidRPr="000B4BCD" w:rsidRDefault="000B4BCD" w:rsidP="000B4BCD">
      <w:pPr>
        <w:pStyle w:val="20"/>
        <w:spacing w:before="0" w:after="0" w:line="520" w:lineRule="atLeast"/>
        <w:ind w:left="0" w:firstLineChars="200" w:firstLine="480"/>
        <w:rPr>
          <w:rFonts w:hAnsi="宋体"/>
          <w:szCs w:val="24"/>
        </w:rPr>
      </w:pPr>
      <w:r w:rsidRPr="000B4BCD">
        <w:rPr>
          <w:rFonts w:hAnsi="宋体" w:hint="eastAsia"/>
          <w:szCs w:val="24"/>
        </w:rPr>
        <w:t>（</w:t>
      </w:r>
      <w:r w:rsidRPr="000B4BCD">
        <w:rPr>
          <w:rFonts w:hAnsi="宋体"/>
          <w:szCs w:val="24"/>
        </w:rPr>
        <w:t>2</w:t>
      </w:r>
      <w:r w:rsidRPr="000B4BCD">
        <w:rPr>
          <w:rFonts w:hAnsi="宋体" w:hint="eastAsia"/>
          <w:szCs w:val="24"/>
        </w:rPr>
        <w:t>）交易所上市交易或挂牌转让的不含</w:t>
      </w:r>
      <w:proofErr w:type="gramStart"/>
      <w:r w:rsidRPr="000B4BCD">
        <w:rPr>
          <w:rFonts w:hAnsi="宋体" w:hint="eastAsia"/>
          <w:szCs w:val="24"/>
        </w:rPr>
        <w:t>权固定</w:t>
      </w:r>
      <w:proofErr w:type="gramEnd"/>
      <w:r w:rsidRPr="000B4BCD">
        <w:rPr>
          <w:rFonts w:hAnsi="宋体" w:hint="eastAsia"/>
          <w:szCs w:val="24"/>
        </w:rPr>
        <w:t>收益品种，选取估值日第三方估值机构提供的相应品种当日的估值净价进行估值；交易所上市交易或挂牌转让的含</w:t>
      </w:r>
      <w:proofErr w:type="gramStart"/>
      <w:r w:rsidRPr="000B4BCD">
        <w:rPr>
          <w:rFonts w:hAnsi="宋体" w:hint="eastAsia"/>
          <w:szCs w:val="24"/>
        </w:rPr>
        <w:t>权固定</w:t>
      </w:r>
      <w:proofErr w:type="gramEnd"/>
      <w:r w:rsidRPr="000B4BCD">
        <w:rPr>
          <w:rFonts w:hAnsi="宋体" w:hint="eastAsia"/>
          <w:szCs w:val="24"/>
        </w:rPr>
        <w:t>收益品种，选取估值日第三方估值机构提供的相应品种当日的唯一估值净价或推荐估值净价进行估值。</w:t>
      </w:r>
    </w:p>
    <w:p w14:paraId="11D0AB55" w14:textId="77777777" w:rsidR="000B4BCD" w:rsidRDefault="000B4BCD" w:rsidP="006A222C">
      <w:pPr>
        <w:pStyle w:val="20"/>
        <w:spacing w:before="0" w:after="0" w:line="520" w:lineRule="atLeast"/>
        <w:ind w:left="0" w:firstLineChars="200" w:firstLine="480"/>
        <w:rPr>
          <w:bCs/>
          <w:szCs w:val="24"/>
        </w:rPr>
      </w:pPr>
      <w:r>
        <w:rPr>
          <w:rFonts w:hAnsi="宋体" w:hint="eastAsia"/>
          <w:bCs/>
          <w:szCs w:val="24"/>
        </w:rPr>
        <w:t>（</w:t>
      </w:r>
      <w:r>
        <w:rPr>
          <w:bCs/>
          <w:szCs w:val="24"/>
        </w:rPr>
        <w:t>3</w:t>
      </w:r>
      <w:r>
        <w:rPr>
          <w:rFonts w:hAnsi="宋体" w:hint="eastAsia"/>
          <w:bCs/>
          <w:szCs w:val="24"/>
        </w:rPr>
        <w:t>）</w:t>
      </w:r>
      <w:r w:rsidRPr="006A222C">
        <w:rPr>
          <w:rFonts w:hAnsi="宋体" w:hint="eastAsia"/>
          <w:szCs w:val="24"/>
        </w:rPr>
        <w:t>交易所</w:t>
      </w:r>
      <w:r>
        <w:rPr>
          <w:rFonts w:hAnsi="宋体" w:hint="eastAsia"/>
          <w:bCs/>
          <w:szCs w:val="24"/>
        </w:rPr>
        <w:t>上市交易的可转换债券的估值，选取每日收盘价作为全价估值。</w:t>
      </w:r>
    </w:p>
    <w:p w14:paraId="0D49883D" w14:textId="77777777" w:rsidR="000B4BCD" w:rsidRDefault="000B4BCD" w:rsidP="006A222C">
      <w:pPr>
        <w:pStyle w:val="20"/>
        <w:spacing w:before="0" w:after="0" w:line="520" w:lineRule="atLeast"/>
        <w:ind w:left="0" w:firstLineChars="200" w:firstLine="480"/>
        <w:rPr>
          <w:bCs/>
          <w:szCs w:val="24"/>
        </w:rPr>
      </w:pPr>
      <w:r>
        <w:rPr>
          <w:rFonts w:hAnsi="宋体" w:hint="eastAsia"/>
          <w:bCs/>
          <w:szCs w:val="24"/>
        </w:rPr>
        <w:t>（</w:t>
      </w:r>
      <w:r>
        <w:rPr>
          <w:bCs/>
          <w:szCs w:val="24"/>
        </w:rPr>
        <w:t>4</w:t>
      </w:r>
      <w:r>
        <w:rPr>
          <w:rFonts w:hAnsi="宋体" w:hint="eastAsia"/>
          <w:bCs/>
          <w:szCs w:val="24"/>
        </w:rPr>
        <w:t>）交易所</w:t>
      </w:r>
      <w:r w:rsidRPr="006A222C">
        <w:rPr>
          <w:rFonts w:hAnsi="宋体" w:hint="eastAsia"/>
          <w:szCs w:val="24"/>
        </w:rPr>
        <w:t>上市</w:t>
      </w:r>
      <w:r>
        <w:rPr>
          <w:rFonts w:hAnsi="宋体" w:hint="eastAsia"/>
          <w:bCs/>
          <w:szCs w:val="24"/>
        </w:rPr>
        <w:t>不存在活跃市场的有价证券，采用估值技术确定公允价值。交易所上市的资产支持证券、私募可交换债等非公开发行债券，采用估值技术确定公允价值，在估值技术难以可靠计量公允价值的情况下，按成本估值。</w:t>
      </w:r>
    </w:p>
    <w:p w14:paraId="58FC5404" w14:textId="77777777" w:rsidR="000B4BCD" w:rsidRDefault="000B4BCD" w:rsidP="006A222C">
      <w:pPr>
        <w:pStyle w:val="20"/>
        <w:spacing w:before="0" w:after="0" w:line="520" w:lineRule="atLeast"/>
        <w:ind w:left="0" w:firstLineChars="200" w:firstLine="480"/>
        <w:rPr>
          <w:bCs/>
          <w:szCs w:val="24"/>
        </w:rPr>
      </w:pPr>
      <w:r>
        <w:rPr>
          <w:rFonts w:hAnsi="宋体" w:hint="eastAsia"/>
          <w:bCs/>
          <w:szCs w:val="24"/>
        </w:rPr>
        <w:t>（</w:t>
      </w:r>
      <w:r>
        <w:rPr>
          <w:bCs/>
          <w:szCs w:val="24"/>
        </w:rPr>
        <w:t>5</w:t>
      </w:r>
      <w:r>
        <w:rPr>
          <w:rFonts w:hAnsi="宋体" w:hint="eastAsia"/>
          <w:bCs/>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32FFEB5" w14:textId="77777777" w:rsidR="000B4BCD" w:rsidRPr="004A59C3" w:rsidRDefault="000B4BCD" w:rsidP="006A222C">
      <w:pPr>
        <w:pStyle w:val="20"/>
        <w:spacing w:before="0" w:after="0" w:line="520" w:lineRule="atLeast"/>
        <w:ind w:left="0" w:firstLineChars="200" w:firstLine="480"/>
        <w:rPr>
          <w:bCs/>
        </w:rPr>
      </w:pPr>
      <w:r w:rsidRPr="004A59C3">
        <w:rPr>
          <w:bCs/>
        </w:rPr>
        <w:t>2</w:t>
      </w:r>
      <w:r w:rsidRPr="004A59C3">
        <w:rPr>
          <w:rFonts w:hint="eastAsia"/>
          <w:bCs/>
        </w:rPr>
        <w:t>、处于未上市期间的有价证券应区分如下情况处理：</w:t>
      </w:r>
    </w:p>
    <w:p w14:paraId="434B5D1D" w14:textId="77777777" w:rsidR="000B4BCD" w:rsidRDefault="000B4BCD" w:rsidP="006A222C">
      <w:pPr>
        <w:pStyle w:val="20"/>
        <w:spacing w:before="0" w:after="0" w:line="520" w:lineRule="atLeast"/>
        <w:ind w:left="0" w:firstLineChars="200" w:firstLine="480"/>
        <w:rPr>
          <w:bCs/>
          <w:szCs w:val="24"/>
        </w:rPr>
      </w:pPr>
      <w:r>
        <w:rPr>
          <w:rFonts w:hAnsi="宋体" w:hint="eastAsia"/>
          <w:bCs/>
          <w:szCs w:val="24"/>
        </w:rPr>
        <w:t>（</w:t>
      </w:r>
      <w:r>
        <w:rPr>
          <w:bCs/>
          <w:szCs w:val="24"/>
        </w:rPr>
        <w:t>1</w:t>
      </w:r>
      <w:r>
        <w:rPr>
          <w:rFonts w:hAnsi="宋体" w:hint="eastAsia"/>
          <w:bCs/>
          <w:szCs w:val="24"/>
        </w:rPr>
        <w:t>）送股、转增股、配股和公开增发的新股，按估值日在证券交易所挂牌的同一股票的估值方法估值；该日无交易的，以最近一日的市价（收盘价）估值。</w:t>
      </w:r>
    </w:p>
    <w:p w14:paraId="3D4008F0" w14:textId="77777777" w:rsidR="000B4BCD" w:rsidRDefault="000B4BCD" w:rsidP="006A222C">
      <w:pPr>
        <w:pStyle w:val="20"/>
        <w:spacing w:before="0" w:after="0" w:line="520" w:lineRule="atLeast"/>
        <w:ind w:left="0" w:firstLineChars="200" w:firstLine="480"/>
        <w:rPr>
          <w:bCs/>
          <w:szCs w:val="24"/>
        </w:rPr>
      </w:pPr>
      <w:r>
        <w:rPr>
          <w:rFonts w:hAnsi="宋体" w:hint="eastAsia"/>
          <w:bCs/>
          <w:szCs w:val="24"/>
        </w:rPr>
        <w:t>（</w:t>
      </w:r>
      <w:r>
        <w:rPr>
          <w:bCs/>
          <w:szCs w:val="24"/>
        </w:rPr>
        <w:t>2</w:t>
      </w:r>
      <w:r>
        <w:rPr>
          <w:rFonts w:hAnsi="宋体" w:hint="eastAsia"/>
          <w:bCs/>
          <w:szCs w:val="24"/>
        </w:rPr>
        <w:t>）首次</w:t>
      </w:r>
      <w:r w:rsidRPr="006A222C">
        <w:rPr>
          <w:rFonts w:hint="eastAsia"/>
          <w:bCs/>
        </w:rPr>
        <w:t>公开</w:t>
      </w:r>
      <w:r>
        <w:rPr>
          <w:rFonts w:hAnsi="宋体" w:hint="eastAsia"/>
          <w:bCs/>
          <w:szCs w:val="24"/>
        </w:rPr>
        <w:t>发行未上市的股票和债券，采用估值技术确定公允价值，在估值技术难以可靠计量公允价值的情况下，按成本估值。</w:t>
      </w:r>
    </w:p>
    <w:p w14:paraId="5CA3AC23" w14:textId="77777777" w:rsidR="000B4BCD" w:rsidRDefault="000B4BCD" w:rsidP="006A222C">
      <w:pPr>
        <w:pStyle w:val="20"/>
        <w:spacing w:before="0" w:after="0" w:line="520" w:lineRule="atLeast"/>
        <w:ind w:left="0" w:firstLineChars="200" w:firstLine="480"/>
        <w:rPr>
          <w:bCs/>
          <w:szCs w:val="24"/>
        </w:rPr>
      </w:pPr>
      <w:r>
        <w:rPr>
          <w:rFonts w:hAnsi="宋体" w:hint="eastAsia"/>
          <w:bCs/>
          <w:szCs w:val="24"/>
        </w:rPr>
        <w:t>（</w:t>
      </w:r>
      <w:r>
        <w:rPr>
          <w:bCs/>
          <w:szCs w:val="24"/>
        </w:rPr>
        <w:t>3</w:t>
      </w:r>
      <w:r>
        <w:rPr>
          <w:rFonts w:hAnsi="宋体" w:hint="eastAsia"/>
          <w:bCs/>
          <w:szCs w:val="24"/>
        </w:rPr>
        <w:t>）首次公开发行有明确锁定期的股票，同一股票在交易所上市后，按交易所上市的同一股票的估值方法估值；非公开发行有明确锁定期的股票，按监管机构或行业协会有关规定确定公允价值。</w:t>
      </w:r>
    </w:p>
    <w:p w14:paraId="0E0FA976" w14:textId="77777777" w:rsidR="000B4BCD" w:rsidRDefault="000B4BCD" w:rsidP="006A222C">
      <w:pPr>
        <w:pStyle w:val="20"/>
        <w:spacing w:before="0" w:after="0" w:line="520" w:lineRule="atLeast"/>
        <w:ind w:left="0" w:firstLineChars="200" w:firstLine="480"/>
        <w:rPr>
          <w:rFonts w:ascii="Arial" w:hAnsi="Arial" w:cs="Arial"/>
          <w:bCs/>
          <w:szCs w:val="24"/>
        </w:rPr>
      </w:pPr>
      <w:r>
        <w:rPr>
          <w:rFonts w:ascii="Arial" w:hAnsi="Arial" w:cs="Arial" w:hint="eastAsia"/>
          <w:bCs/>
          <w:szCs w:val="24"/>
        </w:rPr>
        <w:t>3</w:t>
      </w:r>
      <w:r>
        <w:rPr>
          <w:rFonts w:hAnsi="宋体" w:cs="Arial"/>
          <w:bCs/>
          <w:szCs w:val="24"/>
        </w:rPr>
        <w:t>、</w:t>
      </w:r>
      <w:r>
        <w:rPr>
          <w:rFonts w:hAnsi="宋体" w:hint="eastAsia"/>
          <w:bCs/>
          <w:szCs w:val="24"/>
        </w:rPr>
        <w:t>对</w:t>
      </w:r>
      <w:r w:rsidRPr="006A222C">
        <w:rPr>
          <w:rFonts w:hint="eastAsia"/>
          <w:bCs/>
        </w:rPr>
        <w:t>全国</w:t>
      </w:r>
      <w:r>
        <w:rPr>
          <w:rFonts w:hAnsi="宋体" w:hint="eastAsia"/>
          <w:bCs/>
          <w:szCs w:val="24"/>
        </w:rPr>
        <w:t>银行间市场上不含权的固定收益品种，按照第三方估值机构提供的</w:t>
      </w:r>
      <w:r>
        <w:rPr>
          <w:rFonts w:hAnsi="宋体" w:hint="eastAsia"/>
          <w:bCs/>
          <w:szCs w:val="24"/>
        </w:rPr>
        <w:lastRenderedPageBreak/>
        <w:t>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w:t>
      </w:r>
      <w:r>
        <w:rPr>
          <w:rFonts w:hAnsi="宋体"/>
          <w:bCs/>
          <w:szCs w:val="24"/>
        </w:rPr>
        <w:t>在发行利率与二级市场利率不存在明显差异，未上市期间市场利率没有发生大的变动的情况下</w:t>
      </w:r>
      <w:r>
        <w:rPr>
          <w:rFonts w:hAnsi="宋体" w:hint="eastAsia"/>
          <w:bCs/>
          <w:szCs w:val="24"/>
        </w:rPr>
        <w:t>，按成本估值</w:t>
      </w:r>
      <w:r>
        <w:rPr>
          <w:rFonts w:hAnsi="宋体" w:cs="Arial"/>
          <w:bCs/>
          <w:szCs w:val="24"/>
        </w:rPr>
        <w:t>。</w:t>
      </w:r>
    </w:p>
    <w:p w14:paraId="2B6C6DDD" w14:textId="4EA807A5" w:rsidR="000B4BCD" w:rsidRPr="004A59C3" w:rsidRDefault="005C6636" w:rsidP="006A222C">
      <w:pPr>
        <w:pStyle w:val="20"/>
        <w:spacing w:before="0" w:after="0" w:line="520" w:lineRule="atLeast"/>
        <w:ind w:left="0" w:firstLineChars="200" w:firstLine="480"/>
        <w:rPr>
          <w:bCs/>
          <w:szCs w:val="24"/>
        </w:rPr>
      </w:pPr>
      <w:r>
        <w:rPr>
          <w:bCs/>
          <w:szCs w:val="24"/>
        </w:rPr>
        <w:t>4</w:t>
      </w:r>
      <w:r w:rsidR="000B4BCD" w:rsidRPr="004A59C3">
        <w:rPr>
          <w:rFonts w:hint="eastAsia"/>
          <w:bCs/>
          <w:szCs w:val="24"/>
        </w:rPr>
        <w:t>、同一</w:t>
      </w:r>
      <w:r w:rsidR="000B4BCD" w:rsidRPr="004A59C3">
        <w:rPr>
          <w:bCs/>
          <w:szCs w:val="24"/>
        </w:rPr>
        <w:t>证</w:t>
      </w:r>
      <w:r w:rsidR="000B4BCD" w:rsidRPr="004A59C3">
        <w:rPr>
          <w:rFonts w:hint="eastAsia"/>
          <w:bCs/>
          <w:szCs w:val="24"/>
        </w:rPr>
        <w:t>券同时在两个或两个以上市场交易的，按</w:t>
      </w:r>
      <w:r w:rsidR="000B4BCD" w:rsidRPr="004A59C3">
        <w:rPr>
          <w:bCs/>
          <w:szCs w:val="24"/>
        </w:rPr>
        <w:t>证</w:t>
      </w:r>
      <w:r w:rsidR="000B4BCD" w:rsidRPr="004A59C3">
        <w:rPr>
          <w:rFonts w:hint="eastAsia"/>
          <w:bCs/>
          <w:szCs w:val="24"/>
        </w:rPr>
        <w:t>券所处的市场分别估值。</w:t>
      </w:r>
    </w:p>
    <w:p w14:paraId="79BF7AF1" w14:textId="1F3A2C58" w:rsidR="000B4BCD" w:rsidRDefault="005C6636" w:rsidP="006A222C">
      <w:pPr>
        <w:pStyle w:val="20"/>
        <w:spacing w:before="0" w:after="0" w:line="520" w:lineRule="atLeast"/>
        <w:ind w:left="0" w:firstLineChars="200" w:firstLine="480"/>
        <w:rPr>
          <w:rFonts w:hAnsi="宋体"/>
          <w:bCs/>
          <w:szCs w:val="24"/>
        </w:rPr>
      </w:pPr>
      <w:r>
        <w:rPr>
          <w:bCs/>
          <w:szCs w:val="24"/>
        </w:rPr>
        <w:t>5</w:t>
      </w:r>
      <w:r w:rsidR="000B4BCD" w:rsidRPr="00A56FE0">
        <w:rPr>
          <w:rFonts w:hint="eastAsia"/>
          <w:bCs/>
          <w:szCs w:val="24"/>
        </w:rPr>
        <w:t>、</w:t>
      </w:r>
      <w:r w:rsidR="000B4BCD">
        <w:rPr>
          <w:rFonts w:hAnsi="宋体" w:hint="eastAsia"/>
          <w:bCs/>
          <w:szCs w:val="24"/>
        </w:rPr>
        <w:t>本基金</w:t>
      </w:r>
      <w:r w:rsidR="000B4BCD" w:rsidRPr="006A222C">
        <w:rPr>
          <w:rFonts w:hint="eastAsia"/>
          <w:bCs/>
        </w:rPr>
        <w:t>投资股指期货合约和国债期货合约，一般以估值当日结算价进行估值，估值当日</w:t>
      </w:r>
      <w:r w:rsidR="000B4BCD">
        <w:rPr>
          <w:rFonts w:hAnsi="宋体" w:hint="eastAsia"/>
          <w:bCs/>
          <w:szCs w:val="24"/>
        </w:rPr>
        <w:t>无结算价的，且最近交易日后经济环境未发生重大变化的，采用最近交易日结算价估值。</w:t>
      </w:r>
    </w:p>
    <w:p w14:paraId="41DC7094" w14:textId="15C3F8EC" w:rsidR="000B4BCD" w:rsidRPr="00A56FE0" w:rsidRDefault="005C6636" w:rsidP="006A222C">
      <w:pPr>
        <w:pStyle w:val="20"/>
        <w:spacing w:before="0" w:after="0" w:line="520" w:lineRule="atLeast"/>
        <w:ind w:left="0" w:firstLineChars="200" w:firstLine="480"/>
        <w:rPr>
          <w:rFonts w:hAnsi="宋体"/>
          <w:bCs/>
          <w:szCs w:val="24"/>
        </w:rPr>
      </w:pPr>
      <w:r>
        <w:rPr>
          <w:rFonts w:hAnsi="宋体"/>
          <w:bCs/>
          <w:szCs w:val="24"/>
        </w:rPr>
        <w:t>6</w:t>
      </w:r>
      <w:r w:rsidR="000B4BCD">
        <w:rPr>
          <w:rFonts w:hAnsi="宋体" w:hint="eastAsia"/>
          <w:bCs/>
          <w:szCs w:val="24"/>
        </w:rPr>
        <w:t>、</w:t>
      </w:r>
      <w:r w:rsidR="00F40832">
        <w:rPr>
          <w:rFonts w:hAnsi="宋体" w:hint="eastAsia"/>
          <w:bCs/>
          <w:szCs w:val="24"/>
        </w:rPr>
        <w:t>本基金投资</w:t>
      </w:r>
      <w:r>
        <w:rPr>
          <w:rFonts w:hAnsi="宋体" w:hint="eastAsia"/>
          <w:bCs/>
          <w:szCs w:val="24"/>
        </w:rPr>
        <w:t>股票</w:t>
      </w:r>
      <w:r w:rsidR="000B4BCD" w:rsidRPr="00A56FE0">
        <w:rPr>
          <w:rFonts w:hAnsi="宋体" w:hint="eastAsia"/>
          <w:bCs/>
          <w:szCs w:val="24"/>
        </w:rPr>
        <w:t>期权</w:t>
      </w:r>
      <w:r w:rsidR="000B4BCD" w:rsidRPr="006A222C">
        <w:rPr>
          <w:rFonts w:hint="eastAsia"/>
          <w:bCs/>
        </w:rPr>
        <w:t>合约</w:t>
      </w:r>
      <w:r w:rsidR="000B4BCD" w:rsidRPr="00A56FE0">
        <w:rPr>
          <w:rFonts w:hAnsi="宋体" w:hint="eastAsia"/>
          <w:bCs/>
          <w:szCs w:val="24"/>
        </w:rPr>
        <w:t>，上市交易的按估值日的收盘价估值，估值日没有报价的，按当日的结算价估值。未上市交易的，采用估值技术确定公允价值，在估值技术难以可靠计量的情况下，按成本估值。法律法规另有约定的，从其规定。</w:t>
      </w:r>
    </w:p>
    <w:p w14:paraId="40D7AF83" w14:textId="1A313E1E" w:rsidR="000B4BCD" w:rsidRDefault="005C6636" w:rsidP="006A222C">
      <w:pPr>
        <w:pStyle w:val="20"/>
        <w:spacing w:before="0" w:after="0" w:line="520" w:lineRule="atLeast"/>
        <w:ind w:left="0" w:firstLineChars="200" w:firstLine="480"/>
        <w:rPr>
          <w:bCs/>
          <w:szCs w:val="24"/>
        </w:rPr>
      </w:pPr>
      <w:r>
        <w:rPr>
          <w:bCs/>
          <w:szCs w:val="24"/>
        </w:rPr>
        <w:t>7</w:t>
      </w:r>
      <w:r w:rsidR="000B4BCD">
        <w:rPr>
          <w:rFonts w:hAnsi="宋体" w:hint="eastAsia"/>
          <w:bCs/>
          <w:szCs w:val="24"/>
        </w:rPr>
        <w:t>、</w:t>
      </w:r>
      <w:r w:rsidR="000B4BCD" w:rsidRPr="006A222C">
        <w:rPr>
          <w:rFonts w:hint="eastAsia"/>
          <w:bCs/>
        </w:rPr>
        <w:t>同业</w:t>
      </w:r>
      <w:r w:rsidR="000B4BCD">
        <w:rPr>
          <w:rFonts w:hAnsi="宋体" w:hint="eastAsia"/>
          <w:bCs/>
          <w:szCs w:val="24"/>
        </w:rPr>
        <w:t>存单按估值日第三方估值机构提供的估值净价估值；选定的第三方估值机构未提供估值价格的，按成本估值。</w:t>
      </w:r>
    </w:p>
    <w:p w14:paraId="2D7514F3" w14:textId="6E28CA34" w:rsidR="000B4BCD" w:rsidRDefault="005C6636" w:rsidP="006A222C">
      <w:pPr>
        <w:pStyle w:val="20"/>
        <w:spacing w:before="0" w:after="0" w:line="520" w:lineRule="atLeast"/>
        <w:ind w:left="0" w:firstLineChars="200" w:firstLine="480"/>
        <w:rPr>
          <w:rFonts w:hAnsi="宋体"/>
          <w:bCs/>
          <w:szCs w:val="24"/>
        </w:rPr>
      </w:pPr>
      <w:r>
        <w:rPr>
          <w:bCs/>
          <w:szCs w:val="24"/>
        </w:rPr>
        <w:t>8</w:t>
      </w:r>
      <w:r w:rsidR="000B4BCD">
        <w:rPr>
          <w:rFonts w:hAnsi="宋体" w:hint="eastAsia"/>
          <w:bCs/>
          <w:szCs w:val="24"/>
        </w:rPr>
        <w:t>、银行存款、回购等固定收益工具按照约定利率在持有期内逐日计提应收利息，在利息到账日以实收利息入账。</w:t>
      </w:r>
    </w:p>
    <w:p w14:paraId="7FB17861" w14:textId="2DE22DC5" w:rsidR="000B4BCD" w:rsidRDefault="005C6636" w:rsidP="006A222C">
      <w:pPr>
        <w:pStyle w:val="20"/>
        <w:spacing w:before="0" w:after="0" w:line="520" w:lineRule="atLeast"/>
        <w:ind w:left="0" w:firstLineChars="200" w:firstLine="480"/>
        <w:rPr>
          <w:bCs/>
          <w:szCs w:val="24"/>
        </w:rPr>
      </w:pPr>
      <w:r>
        <w:rPr>
          <w:bCs/>
          <w:szCs w:val="24"/>
        </w:rPr>
        <w:t>9</w:t>
      </w:r>
      <w:r w:rsidR="000B4BCD">
        <w:rPr>
          <w:rFonts w:hAnsi="宋体" w:hint="eastAsia"/>
          <w:bCs/>
          <w:szCs w:val="24"/>
        </w:rPr>
        <w:t>、在基金估值日，港股通投资的股票按其在港交所的收盘价估值；估值日无交易日的，以最近交易日的收盘价估值。</w:t>
      </w:r>
      <w:r w:rsidR="000B4BCD">
        <w:rPr>
          <w:bCs/>
          <w:szCs w:val="24"/>
        </w:rPr>
        <w:t xml:space="preserve"> </w:t>
      </w:r>
    </w:p>
    <w:p w14:paraId="566413BA" w14:textId="77777777" w:rsidR="000B4BCD" w:rsidRDefault="000B4BCD" w:rsidP="006A222C">
      <w:pPr>
        <w:pStyle w:val="20"/>
        <w:spacing w:before="0" w:after="0" w:line="520" w:lineRule="atLeast"/>
        <w:ind w:left="0" w:firstLineChars="200" w:firstLine="480"/>
        <w:rPr>
          <w:bCs/>
          <w:szCs w:val="24"/>
        </w:rPr>
      </w:pPr>
      <w:r>
        <w:rPr>
          <w:rFonts w:hAnsi="宋体" w:hint="eastAsia"/>
          <w:bCs/>
          <w:szCs w:val="24"/>
        </w:rPr>
        <w:t>港股通投资持有外币证券资产估值涉及到的主要货币对人民币汇率，以估值日中国人民银行或其授权机构公布的人民币汇率中间价为准。</w:t>
      </w:r>
    </w:p>
    <w:p w14:paraId="5855B563" w14:textId="5902A23A" w:rsidR="000B4BCD" w:rsidRDefault="000B4BCD" w:rsidP="006A222C">
      <w:pPr>
        <w:pStyle w:val="20"/>
        <w:spacing w:before="0" w:after="0" w:line="520" w:lineRule="atLeast"/>
        <w:ind w:left="0" w:firstLineChars="200" w:firstLine="480"/>
        <w:rPr>
          <w:bCs/>
          <w:szCs w:val="24"/>
        </w:rPr>
      </w:pPr>
      <w:r>
        <w:rPr>
          <w:rFonts w:hint="eastAsia"/>
          <w:bCs/>
          <w:szCs w:val="24"/>
        </w:rPr>
        <w:t>1</w:t>
      </w:r>
      <w:r w:rsidR="005C6636">
        <w:rPr>
          <w:bCs/>
          <w:szCs w:val="24"/>
        </w:rPr>
        <w:t>0</w:t>
      </w:r>
      <w:r>
        <w:rPr>
          <w:rFonts w:hAnsi="宋体" w:hint="eastAsia"/>
          <w:bCs/>
          <w:szCs w:val="24"/>
        </w:rPr>
        <w:t>、其他</w:t>
      </w:r>
      <w:r w:rsidRPr="006A222C">
        <w:rPr>
          <w:rFonts w:hint="eastAsia"/>
          <w:bCs/>
        </w:rPr>
        <w:t>资产</w:t>
      </w:r>
      <w:r>
        <w:rPr>
          <w:rFonts w:hAnsi="宋体" w:hint="eastAsia"/>
          <w:bCs/>
          <w:szCs w:val="24"/>
        </w:rPr>
        <w:t>按法律法规或监管机构有关规定进行估值。</w:t>
      </w:r>
    </w:p>
    <w:p w14:paraId="6B1C899A" w14:textId="551665BC" w:rsidR="000B4BCD" w:rsidRDefault="000B4BCD" w:rsidP="006A222C">
      <w:pPr>
        <w:pStyle w:val="20"/>
        <w:spacing w:before="0" w:after="0" w:line="520" w:lineRule="atLeast"/>
        <w:ind w:left="0" w:firstLineChars="200" w:firstLine="480"/>
        <w:rPr>
          <w:bCs/>
          <w:szCs w:val="24"/>
        </w:rPr>
      </w:pPr>
      <w:r>
        <w:rPr>
          <w:rFonts w:hint="eastAsia"/>
          <w:bCs/>
          <w:szCs w:val="24"/>
        </w:rPr>
        <w:t>1</w:t>
      </w:r>
      <w:r w:rsidR="005C6636">
        <w:rPr>
          <w:bCs/>
          <w:szCs w:val="24"/>
        </w:rPr>
        <w:t>1</w:t>
      </w:r>
      <w:r>
        <w:rPr>
          <w:rFonts w:hAnsi="宋体" w:hint="eastAsia"/>
          <w:bCs/>
          <w:szCs w:val="24"/>
        </w:rPr>
        <w:t>、如有</w:t>
      </w:r>
      <w:r w:rsidRPr="006A222C">
        <w:rPr>
          <w:rFonts w:hint="eastAsia"/>
          <w:bCs/>
        </w:rPr>
        <w:t>确凿</w:t>
      </w:r>
      <w:r>
        <w:rPr>
          <w:rFonts w:hAnsi="宋体" w:hint="eastAsia"/>
          <w:bCs/>
          <w:szCs w:val="24"/>
        </w:rPr>
        <w:t>证据表明按上述方法进行估值不能客观反映其公允价值的，基金管理人可根据具体情况与基金托管人商定后，按最能反映公允价值的方法估值。</w:t>
      </w:r>
    </w:p>
    <w:p w14:paraId="40D7D5B4" w14:textId="5749AEE5" w:rsidR="000B4BCD" w:rsidRPr="004A59C3" w:rsidRDefault="000B4BCD" w:rsidP="006A222C">
      <w:pPr>
        <w:pStyle w:val="20"/>
        <w:spacing w:before="0" w:after="0" w:line="520" w:lineRule="atLeast"/>
        <w:ind w:left="0" w:firstLineChars="200" w:firstLine="480"/>
        <w:rPr>
          <w:bCs/>
        </w:rPr>
      </w:pPr>
      <w:r>
        <w:rPr>
          <w:rFonts w:hint="eastAsia"/>
          <w:bCs/>
        </w:rPr>
        <w:t>1</w:t>
      </w:r>
      <w:r w:rsidR="005C6636">
        <w:rPr>
          <w:bCs/>
        </w:rPr>
        <w:t>2</w:t>
      </w:r>
      <w:r w:rsidRPr="004A59C3">
        <w:rPr>
          <w:rFonts w:hint="eastAsia"/>
          <w:bCs/>
        </w:rPr>
        <w:t>、当发生大额申购或赎回情形时，基金管理人可以采用摆动定价机制，以确保基金估值的公平性，具体处理原则与操作规范遵循相关法律法规以及监管部门、自律规则的规定。</w:t>
      </w:r>
    </w:p>
    <w:p w14:paraId="332E1E80" w14:textId="40C7599D" w:rsidR="000B4BCD" w:rsidRPr="004A59C3" w:rsidRDefault="000B4BCD" w:rsidP="006A222C">
      <w:pPr>
        <w:pStyle w:val="20"/>
        <w:spacing w:before="0" w:after="0" w:line="520" w:lineRule="atLeast"/>
        <w:ind w:left="0" w:firstLineChars="200" w:firstLine="480"/>
        <w:rPr>
          <w:bCs/>
        </w:rPr>
      </w:pPr>
      <w:r w:rsidRPr="004A59C3">
        <w:rPr>
          <w:bCs/>
        </w:rPr>
        <w:t>1</w:t>
      </w:r>
      <w:r w:rsidR="005C6636">
        <w:rPr>
          <w:bCs/>
        </w:rPr>
        <w:t>3</w:t>
      </w:r>
      <w:r w:rsidRPr="004A59C3">
        <w:rPr>
          <w:rFonts w:hint="eastAsia"/>
          <w:bCs/>
        </w:rPr>
        <w:t>、相关法律法规以及监管部门有强制规定的，从其规定。如有新增事项，按</w:t>
      </w:r>
      <w:r w:rsidRPr="004A59C3">
        <w:rPr>
          <w:rFonts w:hint="eastAsia"/>
          <w:bCs/>
        </w:rPr>
        <w:lastRenderedPageBreak/>
        <w:t>国家最新规定估值。</w:t>
      </w:r>
    </w:p>
    <w:p w14:paraId="0B54F29D" w14:textId="77777777" w:rsidR="00AE4DAB" w:rsidRDefault="00F162B2">
      <w:pPr>
        <w:pStyle w:val="20"/>
        <w:spacing w:before="0" w:after="0" w:line="520" w:lineRule="atLeast"/>
        <w:ind w:left="0" w:firstLineChars="200" w:firstLine="480"/>
        <w:rPr>
          <w:bCs/>
        </w:rPr>
      </w:pPr>
      <w:r>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54EC29E8" w14:textId="3AC5AE62" w:rsidR="00AE4DAB" w:rsidRDefault="00F162B2">
      <w:pPr>
        <w:pStyle w:val="20"/>
        <w:spacing w:before="0" w:after="0" w:line="520" w:lineRule="atLeast"/>
        <w:ind w:left="0" w:firstLineChars="200" w:firstLine="480"/>
        <w:rPr>
          <w:bCs/>
        </w:rPr>
      </w:pPr>
      <w:r>
        <w:rPr>
          <w:rFonts w:hint="eastAsia"/>
          <w:bCs/>
        </w:rPr>
        <w:t>根据有关法律法规，基金净值</w:t>
      </w:r>
      <w:r w:rsidR="005C6636">
        <w:rPr>
          <w:rFonts w:hint="eastAsia"/>
          <w:bCs/>
        </w:rPr>
        <w:t>信息</w:t>
      </w:r>
      <w:r>
        <w:rPr>
          <w:rFonts w:hint="eastAsia"/>
          <w:bCs/>
        </w:rPr>
        <w:t>计算和基金会计核算的义务由基金管理人承担，基金托管人承担复核责任。本基金的基金会计</w:t>
      </w:r>
      <w:proofErr w:type="gramStart"/>
      <w:r>
        <w:rPr>
          <w:rFonts w:hint="eastAsia"/>
          <w:bCs/>
        </w:rPr>
        <w:t>主责任</w:t>
      </w:r>
      <w:proofErr w:type="gramEnd"/>
      <w:r>
        <w:rPr>
          <w:rFonts w:hint="eastAsia"/>
          <w:bCs/>
        </w:rPr>
        <w:t>方由基金管理人担任，因此，就与本基金有关的会计问题，如经相关各方在平等基础上充分讨论后，仍无法达成一致的意见，按照基金管理人对基金净值信息的计算结果对外予以公布。</w:t>
      </w:r>
    </w:p>
    <w:p w14:paraId="03107DF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8.3估值差错处理</w:t>
      </w:r>
    </w:p>
    <w:p w14:paraId="2ABCB6D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8.3.1</w:t>
      </w:r>
      <w:r>
        <w:rPr>
          <w:rFonts w:hAnsi="宋体" w:hint="eastAsia"/>
          <w:b/>
          <w:bCs/>
          <w:szCs w:val="24"/>
        </w:rPr>
        <w:t>因基金估值错误给投资人造成损失的应先由基金管理人承担，基金管理人对不应由其承担的责任，有权向过错人追偿。</w:t>
      </w:r>
    </w:p>
    <w:p w14:paraId="24BFD8C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8.3.2当基金管理人计算的基金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6EEB7C3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5B093FD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Pr>
          <w:rFonts w:hAnsi="宋体" w:hint="eastAsia"/>
          <w:szCs w:val="24"/>
        </w:rPr>
        <w:t>当基金管理人计算的基金净值与基金托管人的计算结果不一致时，相关各方应本着勤勉尽责的态度重新计算核对，</w:t>
      </w:r>
      <w:r>
        <w:rPr>
          <w:rFonts w:hAnsi="宋体" w:hint="eastAsia"/>
          <w:b/>
          <w:bCs/>
          <w:szCs w:val="24"/>
        </w:rPr>
        <w:t>如果最后仍无法达成一致，应以基金管理人的计算结果为准对外公布。</w:t>
      </w:r>
    </w:p>
    <w:p w14:paraId="0CE310AC" w14:textId="4CBFB0FB" w:rsidR="00AE4DAB" w:rsidRDefault="00F162B2">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5</w:t>
      </w:r>
      <w:r>
        <w:rPr>
          <w:rFonts w:hAnsi="宋体" w:hint="eastAsia"/>
          <w:szCs w:val="24"/>
        </w:rPr>
        <w:t>基金管理人及基金托管人基金份额净值计算错误偏差达到</w:t>
      </w:r>
      <w:r w:rsidR="003A2006">
        <w:rPr>
          <w:rFonts w:hAnsi="宋体" w:hint="eastAsia"/>
          <w:szCs w:val="24"/>
        </w:rPr>
        <w:t>该类</w:t>
      </w:r>
      <w:r>
        <w:rPr>
          <w:rFonts w:hAnsi="宋体" w:hint="eastAsia"/>
          <w:szCs w:val="24"/>
        </w:rPr>
        <w:t>基金份额净值的0.</w:t>
      </w:r>
      <w:r>
        <w:rPr>
          <w:rFonts w:hAnsi="宋体"/>
          <w:szCs w:val="24"/>
        </w:rPr>
        <w:t>2</w:t>
      </w:r>
      <w:r>
        <w:rPr>
          <w:rFonts w:hAnsi="宋体" w:hint="eastAsia"/>
          <w:szCs w:val="24"/>
        </w:rPr>
        <w:t>5%时，</w:t>
      </w:r>
      <w:r>
        <w:rPr>
          <w:bCs/>
        </w:rPr>
        <w:t>基金管理人应当通报基金托管人并报中国证监会备案；错误偏差达到</w:t>
      </w:r>
      <w:r w:rsidR="003A2006">
        <w:rPr>
          <w:bCs/>
        </w:rPr>
        <w:t>该类</w:t>
      </w:r>
      <w:r>
        <w:rPr>
          <w:bCs/>
        </w:rPr>
        <w:t>基金份额净值的0.5%时，基金管理人应当公告</w:t>
      </w:r>
      <w:r>
        <w:rPr>
          <w:rFonts w:hint="eastAsia"/>
          <w:bCs/>
        </w:rPr>
        <w:t>，并报中国证监会备案</w:t>
      </w:r>
      <w:r>
        <w:rPr>
          <w:rFonts w:hAnsi="宋体" w:hint="eastAsia"/>
          <w:szCs w:val="24"/>
        </w:rPr>
        <w:t>。</w:t>
      </w:r>
    </w:p>
    <w:p w14:paraId="7E0349B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8.4基金账册的建立</w:t>
      </w:r>
    </w:p>
    <w:p w14:paraId="5F30946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w:t>
      </w:r>
      <w:r>
        <w:rPr>
          <w:rFonts w:hAnsi="宋体" w:hint="eastAsia"/>
          <w:szCs w:val="24"/>
        </w:rPr>
        <w:lastRenderedPageBreak/>
        <w:t>相关各方各自的账册定期进行核对，互相监督，以保证基金资产的安全。若双方对会计处理方法存在分歧，应以基金管理人的处理方法为准。</w:t>
      </w:r>
    </w:p>
    <w:p w14:paraId="65BAFF6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51E5CCA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14:paraId="77E98E5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14:paraId="56059D3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8.5.2</w:t>
      </w:r>
      <w:r>
        <w:rPr>
          <w:rFonts w:hAnsi="宋体"/>
          <w:szCs w:val="24"/>
        </w:rPr>
        <w:t>基金</w:t>
      </w:r>
      <w:r>
        <w:rPr>
          <w:bCs/>
        </w:rPr>
        <w:t>管理人应当在每年结束之日起三个月内，编制完成基金年度报告，</w:t>
      </w:r>
      <w:r>
        <w:rPr>
          <w:rFonts w:hint="eastAsia"/>
          <w:bCs/>
        </w:rPr>
        <w:t>将年度报告登载在规定网站上，并将年度报告提示性公告登载在规定报刊上</w:t>
      </w:r>
      <w:r>
        <w:rPr>
          <w:bCs/>
        </w:rPr>
        <w:t>。基金年度报告</w:t>
      </w:r>
      <w:r>
        <w:rPr>
          <w:rFonts w:hint="eastAsia"/>
          <w:bCs/>
        </w:rPr>
        <w:t>中</w:t>
      </w:r>
      <w:r>
        <w:rPr>
          <w:bCs/>
        </w:rPr>
        <w:t>的财务会计报告应当经过</w:t>
      </w:r>
      <w:r>
        <w:rPr>
          <w:rFonts w:hint="eastAsia"/>
          <w:bCs/>
        </w:rPr>
        <w:t>符合《中华人民共和国证券法》规定的会计师事务所</w:t>
      </w:r>
      <w:r>
        <w:rPr>
          <w:bCs/>
        </w:rPr>
        <w:t>审计。基金管理人应当在上半年结束之日起两个月内，编制完成基金</w:t>
      </w:r>
      <w:r>
        <w:rPr>
          <w:rFonts w:hint="eastAsia"/>
          <w:bCs/>
        </w:rPr>
        <w:t>中期报告</w:t>
      </w:r>
      <w:r>
        <w:rPr>
          <w:bCs/>
        </w:rPr>
        <w:t>，</w:t>
      </w:r>
      <w:r>
        <w:rPr>
          <w:rFonts w:hint="eastAsia"/>
          <w:bCs/>
        </w:rPr>
        <w:t>将中期报告登载在规定网站上，并将中期报告提示性公告登载在规定报刊上</w:t>
      </w:r>
      <w:r>
        <w:rPr>
          <w:bCs/>
        </w:rPr>
        <w:t>。基金管理人应当在季度结束之日起15个工作日内，编制完成基金季度报告</w:t>
      </w:r>
      <w:r>
        <w:rPr>
          <w:rFonts w:hint="eastAsia"/>
          <w:bCs/>
        </w:rPr>
        <w:t>，将季度报告登载在规定网站上，</w:t>
      </w:r>
      <w:r>
        <w:rPr>
          <w:bCs/>
        </w:rPr>
        <w:t>并将季度报告</w:t>
      </w:r>
      <w:r>
        <w:rPr>
          <w:rFonts w:hint="eastAsia"/>
          <w:bCs/>
        </w:rPr>
        <w:t>提示性公告</w:t>
      </w:r>
      <w:r>
        <w:rPr>
          <w:bCs/>
        </w:rPr>
        <w:t>登载在</w:t>
      </w:r>
      <w:r>
        <w:rPr>
          <w:rFonts w:hint="eastAsia"/>
          <w:bCs/>
        </w:rPr>
        <w:t>规定报刊</w:t>
      </w:r>
      <w:r>
        <w:rPr>
          <w:bCs/>
        </w:rPr>
        <w:t>上。</w:t>
      </w:r>
      <w:r>
        <w:rPr>
          <w:rFonts w:hAnsi="宋体" w:hint="eastAsia"/>
          <w:szCs w:val="24"/>
        </w:rPr>
        <w:t>《基金合同》生效不足2个月的，基金管理人可以不编制当期季度报告、中期报告或者年度报告。</w:t>
      </w:r>
    </w:p>
    <w:p w14:paraId="306DB82D" w14:textId="058F42BB" w:rsidR="00AE4DAB" w:rsidRDefault="00F162B2">
      <w:pPr>
        <w:pStyle w:val="20"/>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规定网站上，并将基金产品资料概要登载在基金销售机构网站或营业网点。基金招募说明书、基金产品资料概要其他信息发生变更的，基金管理人至少每年更新一次。</w:t>
      </w:r>
      <w:r w:rsidR="003A2006">
        <w:rPr>
          <w:rFonts w:hint="eastAsia"/>
          <w:bCs/>
        </w:rPr>
        <w:t>基金终止运作</w:t>
      </w:r>
      <w:r w:rsidR="003A2006" w:rsidRPr="004A59C3">
        <w:rPr>
          <w:rFonts w:hint="eastAsia"/>
          <w:bCs/>
        </w:rPr>
        <w:t>的，基金管理人不再更新</w:t>
      </w:r>
      <w:r w:rsidR="003A2006">
        <w:rPr>
          <w:rFonts w:hint="eastAsia"/>
          <w:bCs/>
        </w:rPr>
        <w:t>招募说明书和</w:t>
      </w:r>
      <w:r w:rsidR="003A2006" w:rsidRPr="004A59C3">
        <w:rPr>
          <w:rFonts w:hint="eastAsia"/>
          <w:bCs/>
        </w:rPr>
        <w:t>基金产品资料概要</w:t>
      </w:r>
    </w:p>
    <w:p w14:paraId="7C3F64B8" w14:textId="77777777" w:rsidR="00AE4DAB" w:rsidRDefault="00F162B2">
      <w:pPr>
        <w:pStyle w:val="20"/>
        <w:spacing w:before="0" w:after="0" w:line="520" w:lineRule="atLeast"/>
        <w:ind w:left="0" w:firstLineChars="200" w:firstLine="480"/>
        <w:rPr>
          <w:rFonts w:hAnsi="宋体"/>
          <w:szCs w:val="24"/>
        </w:rPr>
      </w:pPr>
      <w:bookmarkStart w:id="25"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25"/>
      <w:r>
        <w:rPr>
          <w:rFonts w:hAnsi="宋体" w:hint="eastAsia"/>
          <w:szCs w:val="24"/>
        </w:rPr>
        <w:t>复</w:t>
      </w:r>
      <w:r>
        <w:rPr>
          <w:rFonts w:hAnsi="宋体" w:hint="eastAsia"/>
          <w:szCs w:val="24"/>
        </w:rPr>
        <w:lastRenderedPageBreak/>
        <w:t>核。基金托管人在复核过程中，发现双方的数据、</w:t>
      </w:r>
      <w:r>
        <w:rPr>
          <w:rFonts w:hAnsi="宋体"/>
          <w:szCs w:val="24"/>
        </w:rPr>
        <w:t>信息</w:t>
      </w:r>
      <w:r>
        <w:rPr>
          <w:rFonts w:hAnsi="宋体" w:hint="eastAsia"/>
          <w:szCs w:val="24"/>
        </w:rPr>
        <w:t>存在不符时，基金管理人和基金托管人应共同查明原因，进行调整，调整以国家有关规定为准。</w:t>
      </w:r>
    </w:p>
    <w:p w14:paraId="2707E6E6" w14:textId="70F55CAE" w:rsidR="00AE4DAB" w:rsidRDefault="00F162B2">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基金托管人在对财务会计报告、季度报告、中期报告或年度报告复核完毕后，需</w:t>
      </w:r>
      <w:r w:rsidR="003A2006" w:rsidRPr="004A59C3">
        <w:rPr>
          <w:rFonts w:hint="eastAsia"/>
          <w:bCs/>
        </w:rPr>
        <w:t>向基金管理人进行书面或电子确认</w:t>
      </w:r>
      <w:r>
        <w:rPr>
          <w:rFonts w:hAnsi="宋体" w:hint="eastAsia"/>
          <w:szCs w:val="24"/>
        </w:rPr>
        <w:t>，以</w:t>
      </w:r>
      <w:proofErr w:type="gramStart"/>
      <w:r>
        <w:rPr>
          <w:rFonts w:hAnsi="宋体" w:hint="eastAsia"/>
          <w:szCs w:val="24"/>
        </w:rPr>
        <w:t>备有权</w:t>
      </w:r>
      <w:proofErr w:type="gramEnd"/>
      <w:r>
        <w:rPr>
          <w:rFonts w:hAnsi="宋体" w:hint="eastAsia"/>
          <w:szCs w:val="24"/>
        </w:rPr>
        <w:t>机构对相关文件审核时提示。</w:t>
      </w:r>
    </w:p>
    <w:p w14:paraId="7531C95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8.6暂停估值的情形</w:t>
      </w:r>
    </w:p>
    <w:p w14:paraId="1206DD63" w14:textId="5091ED36" w:rsidR="00AE4DAB" w:rsidRDefault="00F162B2">
      <w:pPr>
        <w:pStyle w:val="20"/>
        <w:spacing w:before="0" w:after="0" w:line="520" w:lineRule="atLeast"/>
        <w:ind w:left="0" w:firstLineChars="200" w:firstLine="480"/>
        <w:rPr>
          <w:rFonts w:hAnsi="宋体"/>
          <w:szCs w:val="24"/>
        </w:rPr>
      </w:pPr>
      <w:r>
        <w:rPr>
          <w:rFonts w:hAnsi="宋体" w:hint="eastAsia"/>
          <w:szCs w:val="24"/>
        </w:rPr>
        <w:t>（1）基金投资所涉及的证券、期货交易市场</w:t>
      </w:r>
      <w:r w:rsidR="00D54EB4" w:rsidRPr="004A59C3">
        <w:rPr>
          <w:rFonts w:ascii="Arial" w:hAnsi="Arial" w:cs="Arial" w:hint="eastAsia"/>
          <w:bCs/>
        </w:rPr>
        <w:t>或外汇市场</w:t>
      </w:r>
      <w:r>
        <w:rPr>
          <w:rFonts w:hAnsi="宋体" w:hint="eastAsia"/>
          <w:szCs w:val="24"/>
        </w:rPr>
        <w:t>遇法定节假日或因其他原因暂停营业时；</w:t>
      </w:r>
    </w:p>
    <w:p w14:paraId="2C67E852" w14:textId="77777777" w:rsidR="00106A47" w:rsidRDefault="00F162B2">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14:paraId="5955FCAB" w14:textId="0C6D6285" w:rsidR="00D54EB4" w:rsidRDefault="00D54EB4">
      <w:pPr>
        <w:pStyle w:val="20"/>
        <w:spacing w:before="0" w:after="0" w:line="520" w:lineRule="atLeast"/>
        <w:ind w:left="0" w:firstLineChars="200" w:firstLine="480"/>
        <w:rPr>
          <w:bCs/>
        </w:rPr>
      </w:pPr>
      <w:r>
        <w:rPr>
          <w:rFonts w:hint="eastAsia"/>
        </w:rPr>
        <w:t>（</w:t>
      </w:r>
      <w:r w:rsidR="003A2006">
        <w:t>3</w:t>
      </w:r>
      <w:r>
        <w:rPr>
          <w:rFonts w:hint="eastAsia"/>
        </w:rPr>
        <w:t>）</w:t>
      </w:r>
      <w:r w:rsidRPr="004A59C3">
        <w:rPr>
          <w:rFonts w:hint="eastAsia"/>
        </w:rPr>
        <w:t>当特定资产占前一估值日基金资产净值</w:t>
      </w:r>
      <w:r w:rsidRPr="004A59C3">
        <w:t>50%</w:t>
      </w:r>
      <w:r w:rsidRPr="004A59C3">
        <w:rPr>
          <w:rFonts w:hint="eastAsia"/>
        </w:rPr>
        <w:t>以上的</w:t>
      </w:r>
      <w:r w:rsidRPr="004A59C3">
        <w:rPr>
          <w:rFonts w:hint="eastAsia"/>
          <w:bCs/>
        </w:rPr>
        <w:t>，经与基金托管人协商确认后，基金管理人应当暂停估值；</w:t>
      </w:r>
    </w:p>
    <w:p w14:paraId="52CB1B04" w14:textId="704FBF18" w:rsidR="00AE4DAB" w:rsidRDefault="00F162B2">
      <w:pPr>
        <w:pStyle w:val="20"/>
        <w:spacing w:before="0" w:after="0" w:line="520" w:lineRule="atLeast"/>
        <w:ind w:left="0" w:firstLineChars="200" w:firstLine="480"/>
        <w:rPr>
          <w:rFonts w:hAnsi="宋体"/>
          <w:szCs w:val="24"/>
        </w:rPr>
      </w:pPr>
      <w:r>
        <w:rPr>
          <w:rFonts w:hAnsi="宋体" w:hint="eastAsia"/>
          <w:szCs w:val="24"/>
        </w:rPr>
        <w:t>（</w:t>
      </w:r>
      <w:r w:rsidR="003A2006">
        <w:rPr>
          <w:rFonts w:hAnsi="宋体"/>
          <w:szCs w:val="24"/>
        </w:rPr>
        <w:t>4</w:t>
      </w:r>
      <w:r>
        <w:rPr>
          <w:rFonts w:hAnsi="宋体" w:hint="eastAsia"/>
          <w:szCs w:val="24"/>
        </w:rPr>
        <w:t>）</w:t>
      </w:r>
      <w:r w:rsidR="00D54EB4" w:rsidRPr="004A59C3">
        <w:rPr>
          <w:rFonts w:ascii="Arial" w:hAnsi="Arial" w:cs="Arial" w:hint="eastAsia"/>
          <w:bCs/>
        </w:rPr>
        <w:t>法律法规、</w:t>
      </w:r>
      <w:r>
        <w:rPr>
          <w:rFonts w:hAnsi="宋体" w:hint="eastAsia"/>
          <w:szCs w:val="24"/>
        </w:rPr>
        <w:t>中国证监会和基金合同认定的其它情形。</w:t>
      </w:r>
    </w:p>
    <w:p w14:paraId="54D83BB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8.7特殊情况的处理</w:t>
      </w:r>
    </w:p>
    <w:p w14:paraId="0677144D" w14:textId="15D04F4E" w:rsidR="00AE4DAB" w:rsidRDefault="00F162B2">
      <w:pPr>
        <w:pStyle w:val="20"/>
        <w:spacing w:before="0" w:after="0" w:line="520" w:lineRule="atLeast"/>
        <w:ind w:left="0" w:firstLineChars="200" w:firstLine="480"/>
        <w:rPr>
          <w:rFonts w:hAnsi="宋体"/>
          <w:szCs w:val="24"/>
        </w:rPr>
      </w:pPr>
      <w:r>
        <w:rPr>
          <w:rFonts w:hAnsi="宋体" w:hint="eastAsia"/>
          <w:szCs w:val="24"/>
        </w:rPr>
        <w:t>（1）基金管理人按估值方法第</w:t>
      </w:r>
      <w:r w:rsidR="003A2006">
        <w:rPr>
          <w:rFonts w:hAnsi="宋体" w:hint="eastAsia"/>
          <w:szCs w:val="24"/>
        </w:rPr>
        <w:t>1</w:t>
      </w:r>
      <w:r w:rsidR="003A2006">
        <w:rPr>
          <w:rFonts w:hAnsi="宋体"/>
          <w:szCs w:val="24"/>
        </w:rPr>
        <w:t>1</w:t>
      </w:r>
      <w:r>
        <w:rPr>
          <w:rFonts w:hAnsi="宋体" w:hint="eastAsia"/>
          <w:szCs w:val="24"/>
        </w:rPr>
        <w:t>项进行估值时，所造成的误差不作为基金资产估值错误处理。 </w:t>
      </w:r>
    </w:p>
    <w:p w14:paraId="21529262" w14:textId="0EF76BE0" w:rsidR="00AE4DAB" w:rsidRDefault="00F162B2">
      <w:pPr>
        <w:pStyle w:val="20"/>
        <w:spacing w:before="0" w:after="0" w:line="520" w:lineRule="atLeast"/>
        <w:ind w:left="0" w:firstLineChars="200" w:firstLine="480"/>
        <w:rPr>
          <w:rFonts w:hAnsi="宋体"/>
          <w:szCs w:val="24"/>
        </w:rPr>
      </w:pPr>
      <w:r>
        <w:rPr>
          <w:rFonts w:hAnsi="宋体" w:hint="eastAsia"/>
          <w:szCs w:val="24"/>
        </w:rPr>
        <w:t>（2）由于不可抗力，或证券</w:t>
      </w:r>
      <w:r w:rsidR="00E04FF4">
        <w:rPr>
          <w:rFonts w:hAnsi="宋体" w:hint="eastAsia"/>
          <w:szCs w:val="24"/>
        </w:rPr>
        <w:t>交易所</w:t>
      </w:r>
      <w:r>
        <w:rPr>
          <w:rFonts w:hAnsi="宋体" w:hint="eastAsia"/>
          <w:szCs w:val="24"/>
        </w:rPr>
        <w:t>、期货交易所、登记机构及存款银行等第三方机构发送的数据错误</w:t>
      </w:r>
      <w:r>
        <w:rPr>
          <w:rFonts w:hAnsi="宋体" w:hint="eastAsia"/>
          <w:bCs/>
          <w:szCs w:val="24"/>
        </w:rPr>
        <w:t>或由于国家会计政策变更、市场规则变更</w:t>
      </w:r>
      <w:r>
        <w:rPr>
          <w:rFonts w:hAnsi="宋体" w:hint="eastAsia"/>
          <w:szCs w:val="24"/>
        </w:rPr>
        <w:t>等</w:t>
      </w:r>
      <w:proofErr w:type="gramStart"/>
      <w:r>
        <w:rPr>
          <w:rFonts w:hAnsi="宋体" w:hint="eastAsia"/>
          <w:szCs w:val="24"/>
        </w:rPr>
        <w:t>非基金</w:t>
      </w:r>
      <w:proofErr w:type="gramEnd"/>
      <w:r>
        <w:rPr>
          <w:rFonts w:hAnsi="宋体" w:hint="eastAsia"/>
          <w:szCs w:val="24"/>
        </w:rPr>
        <w:t>管理人与基金托管人原因，基金管理人和基金托管人虽然已经采取必要、适当、合理的措施进行检查，但未能发现错误</w:t>
      </w:r>
      <w:r w:rsidR="00A21108" w:rsidRPr="00DF1914">
        <w:rPr>
          <w:rFonts w:hAnsi="宋体" w:hint="eastAsia"/>
          <w:bCs/>
        </w:rPr>
        <w:t>或</w:t>
      </w:r>
      <w:proofErr w:type="gramStart"/>
      <w:r w:rsidR="00A21108" w:rsidRPr="00DF1914">
        <w:rPr>
          <w:rFonts w:hAnsi="宋体" w:hint="eastAsia"/>
          <w:bCs/>
        </w:rPr>
        <w:t>虽发现</w:t>
      </w:r>
      <w:proofErr w:type="gramEnd"/>
      <w:r w:rsidR="00A21108" w:rsidRPr="00DF1914">
        <w:rPr>
          <w:rFonts w:hAnsi="宋体" w:hint="eastAsia"/>
          <w:bCs/>
        </w:rPr>
        <w:t>错误但因前述原因无法及时更正</w:t>
      </w:r>
      <w:r>
        <w:rPr>
          <w:rFonts w:hAnsi="宋体" w:hint="eastAsia"/>
          <w:szCs w:val="24"/>
        </w:rPr>
        <w:t>的，由此造成的基金资产估值错误，基金管理人和基金托管人免除赔偿责任。但基金管理人、基金托管人应当积极采取必要的措施减轻或消除由此造成的影响。</w:t>
      </w:r>
    </w:p>
    <w:p w14:paraId="298E857D" w14:textId="61A01C58" w:rsidR="003A2006" w:rsidRPr="003A2006" w:rsidRDefault="003A2006">
      <w:pPr>
        <w:pStyle w:val="20"/>
        <w:spacing w:before="0" w:after="0" w:line="520" w:lineRule="atLeast"/>
        <w:ind w:left="0" w:firstLineChars="200" w:firstLine="480"/>
        <w:rPr>
          <w:rFonts w:hAnsi="宋体"/>
          <w:szCs w:val="24"/>
        </w:rPr>
      </w:pPr>
      <w:r>
        <w:rPr>
          <w:rFonts w:hAnsi="宋体" w:hint="eastAsia"/>
          <w:szCs w:val="24"/>
        </w:rPr>
        <w:t>8</w:t>
      </w:r>
      <w:r>
        <w:rPr>
          <w:rFonts w:hAnsi="宋体"/>
          <w:szCs w:val="24"/>
        </w:rPr>
        <w:t>.8</w:t>
      </w:r>
      <w:r w:rsidRPr="003A2006">
        <w:rPr>
          <w:rFonts w:hAnsi="宋体" w:hint="eastAsia"/>
          <w:szCs w:val="24"/>
        </w:rPr>
        <w:t>实施</w:t>
      </w:r>
      <w:proofErr w:type="gramStart"/>
      <w:r w:rsidRPr="003A2006">
        <w:rPr>
          <w:rFonts w:hAnsi="宋体" w:hint="eastAsia"/>
          <w:szCs w:val="24"/>
        </w:rPr>
        <w:t>侧袋机制</w:t>
      </w:r>
      <w:proofErr w:type="gramEnd"/>
      <w:r w:rsidRPr="003A2006">
        <w:rPr>
          <w:rFonts w:hAnsi="宋体" w:hint="eastAsia"/>
          <w:szCs w:val="24"/>
        </w:rPr>
        <w:t>期间的基金资产估值</w:t>
      </w:r>
    </w:p>
    <w:p w14:paraId="4EE3887C" w14:textId="5BA3E4C0" w:rsidR="003F4AB9" w:rsidRDefault="003F4AB9">
      <w:pPr>
        <w:pStyle w:val="20"/>
        <w:spacing w:before="0" w:after="0" w:line="520" w:lineRule="atLeast"/>
        <w:ind w:left="0" w:firstLineChars="200" w:firstLine="480"/>
        <w:rPr>
          <w:rFonts w:hAnsi="宋体"/>
          <w:szCs w:val="24"/>
        </w:rPr>
      </w:pPr>
      <w:r w:rsidRPr="003F4AB9">
        <w:rPr>
          <w:rFonts w:hAnsi="宋体" w:hint="eastAsia"/>
          <w:szCs w:val="24"/>
        </w:rPr>
        <w:t>本基金实施</w:t>
      </w:r>
      <w:proofErr w:type="gramStart"/>
      <w:r w:rsidRPr="003F4AB9">
        <w:rPr>
          <w:rFonts w:hAnsi="宋体" w:hint="eastAsia"/>
          <w:szCs w:val="24"/>
        </w:rPr>
        <w:t>侧袋机制</w:t>
      </w:r>
      <w:proofErr w:type="gramEnd"/>
      <w:r w:rsidRPr="003F4AB9">
        <w:rPr>
          <w:rFonts w:hAnsi="宋体" w:hint="eastAsia"/>
          <w:szCs w:val="24"/>
        </w:rPr>
        <w:t>的，应根据</w:t>
      </w:r>
      <w:r>
        <w:rPr>
          <w:rFonts w:hAnsi="宋体" w:hint="eastAsia"/>
          <w:szCs w:val="24"/>
        </w:rPr>
        <w:t>前述估值相关</w:t>
      </w:r>
      <w:r w:rsidRPr="003F4AB9">
        <w:rPr>
          <w:rFonts w:hAnsi="宋体" w:hint="eastAsia"/>
          <w:szCs w:val="24"/>
        </w:rPr>
        <w:t>约定</w:t>
      </w:r>
      <w:proofErr w:type="gramStart"/>
      <w:r w:rsidRPr="003F4AB9">
        <w:rPr>
          <w:rFonts w:hAnsi="宋体" w:hint="eastAsia"/>
          <w:szCs w:val="24"/>
        </w:rPr>
        <w:t>对主袋账户</w:t>
      </w:r>
      <w:proofErr w:type="gramEnd"/>
      <w:r w:rsidRPr="003F4AB9">
        <w:rPr>
          <w:rFonts w:hAnsi="宋体" w:hint="eastAsia"/>
          <w:szCs w:val="24"/>
        </w:rPr>
        <w:t>资产进行估值并</w:t>
      </w:r>
      <w:proofErr w:type="gramStart"/>
      <w:r w:rsidRPr="003F4AB9">
        <w:rPr>
          <w:rFonts w:hAnsi="宋体" w:hint="eastAsia"/>
          <w:szCs w:val="24"/>
        </w:rPr>
        <w:t>披露主袋账户</w:t>
      </w:r>
      <w:proofErr w:type="gramEnd"/>
      <w:r w:rsidRPr="003F4AB9">
        <w:rPr>
          <w:rFonts w:hAnsi="宋体" w:hint="eastAsia"/>
          <w:szCs w:val="24"/>
        </w:rPr>
        <w:t>的基金净值信息，暂停</w:t>
      </w:r>
      <w:proofErr w:type="gramStart"/>
      <w:r w:rsidRPr="003F4AB9">
        <w:rPr>
          <w:rFonts w:hAnsi="宋体" w:hint="eastAsia"/>
          <w:szCs w:val="24"/>
        </w:rPr>
        <w:t>披露侧袋账户</w:t>
      </w:r>
      <w:proofErr w:type="gramEnd"/>
      <w:r w:rsidRPr="003F4AB9">
        <w:rPr>
          <w:rFonts w:hAnsi="宋体" w:hint="eastAsia"/>
          <w:szCs w:val="24"/>
        </w:rPr>
        <w:t>的基金净值信息。</w:t>
      </w:r>
    </w:p>
    <w:p w14:paraId="77C68D38" w14:textId="77777777" w:rsidR="00AE4DAB" w:rsidRDefault="00F162B2">
      <w:pPr>
        <w:pStyle w:val="1"/>
        <w:spacing w:line="520" w:lineRule="atLeast"/>
        <w:ind w:firstLineChars="200" w:firstLine="482"/>
        <w:rPr>
          <w:bCs/>
          <w:color w:val="auto"/>
          <w:szCs w:val="24"/>
        </w:rPr>
      </w:pPr>
      <w:bookmarkStart w:id="26" w:name="_Toc296551345"/>
      <w:bookmarkStart w:id="27" w:name="_Toc44321732"/>
      <w:r>
        <w:rPr>
          <w:rFonts w:hint="eastAsia"/>
          <w:bCs/>
          <w:color w:val="auto"/>
          <w:szCs w:val="24"/>
        </w:rPr>
        <w:t>第九条 基金收益分配</w:t>
      </w:r>
      <w:bookmarkEnd w:id="26"/>
      <w:bookmarkEnd w:id="27"/>
    </w:p>
    <w:p w14:paraId="1724927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9.1基金利润的构成</w:t>
      </w:r>
    </w:p>
    <w:p w14:paraId="711368B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10A643D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9.2基金可供分配利润</w:t>
      </w:r>
    </w:p>
    <w:p w14:paraId="5585BB5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基金可供分配利润指截至收益分配基准日基金未分配利润与未分配利润中已实现收益的孰低数。</w:t>
      </w:r>
    </w:p>
    <w:p w14:paraId="0671CF5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9.3收益分配原则</w:t>
      </w:r>
    </w:p>
    <w:p w14:paraId="572B9C9C" w14:textId="566C33B5" w:rsidR="00AE4DAB" w:rsidRDefault="00F162B2">
      <w:pPr>
        <w:spacing w:line="520" w:lineRule="atLeast"/>
        <w:ind w:firstLineChars="225" w:firstLine="540"/>
        <w:rPr>
          <w:sz w:val="24"/>
          <w:szCs w:val="24"/>
        </w:rPr>
      </w:pPr>
      <w:r>
        <w:rPr>
          <w:rFonts w:hint="eastAsia"/>
          <w:bCs/>
          <w:sz w:val="24"/>
          <w:szCs w:val="24"/>
        </w:rPr>
        <w:t>（</w:t>
      </w:r>
      <w:r>
        <w:rPr>
          <w:rFonts w:hint="eastAsia"/>
          <w:bCs/>
          <w:sz w:val="24"/>
          <w:szCs w:val="24"/>
        </w:rPr>
        <w:t>1</w:t>
      </w:r>
      <w:r>
        <w:rPr>
          <w:rFonts w:hint="eastAsia"/>
          <w:bCs/>
          <w:sz w:val="24"/>
          <w:szCs w:val="24"/>
        </w:rPr>
        <w:t>）</w:t>
      </w:r>
      <w:r>
        <w:rPr>
          <w:rFonts w:hint="eastAsia"/>
          <w:bCs/>
          <w:sz w:val="24"/>
        </w:rPr>
        <w:t>在符合有关基金分红条件的前提下，本基金每年收益分配次数最多为</w:t>
      </w:r>
      <w:r w:rsidR="007B20E8">
        <w:rPr>
          <w:rFonts w:hint="eastAsia"/>
          <w:bCs/>
          <w:sz w:val="24"/>
        </w:rPr>
        <w:t>4</w:t>
      </w:r>
      <w:r>
        <w:rPr>
          <w:rFonts w:hint="eastAsia"/>
          <w:bCs/>
          <w:sz w:val="24"/>
        </w:rPr>
        <w:t>次，每次收益分配比例不得低于</w:t>
      </w:r>
      <w:r w:rsidR="000D4FAA">
        <w:rPr>
          <w:rFonts w:hint="eastAsia"/>
          <w:bCs/>
          <w:sz w:val="24"/>
        </w:rPr>
        <w:t>该次</w:t>
      </w:r>
      <w:r>
        <w:rPr>
          <w:rFonts w:hint="eastAsia"/>
          <w:bCs/>
          <w:sz w:val="24"/>
        </w:rPr>
        <w:t>可供分配利润的</w:t>
      </w:r>
      <w:r w:rsidR="007B20E8">
        <w:rPr>
          <w:rFonts w:hint="eastAsia"/>
          <w:bCs/>
          <w:sz w:val="24"/>
        </w:rPr>
        <w:t>3</w:t>
      </w:r>
      <w:r>
        <w:rPr>
          <w:rFonts w:hint="eastAsia"/>
          <w:bCs/>
          <w:sz w:val="24"/>
        </w:rPr>
        <w:t>0%</w:t>
      </w:r>
      <w:r>
        <w:rPr>
          <w:bCs/>
          <w:sz w:val="24"/>
        </w:rPr>
        <w:t>，具体分配方案以公告为准</w:t>
      </w:r>
      <w:r>
        <w:rPr>
          <w:rFonts w:hint="eastAsia"/>
          <w:bCs/>
          <w:sz w:val="24"/>
        </w:rPr>
        <w:t>，若《基金合同》生效不满</w:t>
      </w:r>
      <w:r>
        <w:rPr>
          <w:rFonts w:hint="eastAsia"/>
          <w:bCs/>
          <w:sz w:val="24"/>
        </w:rPr>
        <w:t>3</w:t>
      </w:r>
      <w:r>
        <w:rPr>
          <w:rFonts w:hint="eastAsia"/>
          <w:bCs/>
          <w:sz w:val="24"/>
        </w:rPr>
        <w:t>个月可不进行收益分配</w:t>
      </w:r>
      <w:r>
        <w:rPr>
          <w:rFonts w:hint="eastAsia"/>
          <w:sz w:val="24"/>
          <w:szCs w:val="24"/>
        </w:rPr>
        <w:t>；</w:t>
      </w:r>
    </w:p>
    <w:p w14:paraId="3F23F75F" w14:textId="77777777" w:rsidR="00AE4DAB" w:rsidRDefault="00F162B2">
      <w:pPr>
        <w:spacing w:line="520" w:lineRule="atLeast"/>
        <w:ind w:firstLineChars="225" w:firstLine="540"/>
        <w:rPr>
          <w:bCs/>
          <w:sz w:val="24"/>
        </w:rPr>
      </w:pPr>
      <w:r>
        <w:rPr>
          <w:rFonts w:hint="eastAsia"/>
          <w:bCs/>
          <w:sz w:val="24"/>
        </w:rPr>
        <w:t>（</w:t>
      </w:r>
      <w:r>
        <w:rPr>
          <w:rFonts w:hint="eastAsia"/>
          <w:bCs/>
          <w:sz w:val="24"/>
        </w:rPr>
        <w:t>2</w:t>
      </w:r>
      <w:r>
        <w:rPr>
          <w:rFonts w:hint="eastAsia"/>
          <w:bCs/>
          <w:sz w:val="24"/>
        </w:rPr>
        <w:t>）</w:t>
      </w:r>
      <w:r w:rsidR="00CF5ACE" w:rsidRPr="004A59C3">
        <w:rPr>
          <w:rFonts w:hint="eastAsia"/>
          <w:bCs/>
          <w:sz w:val="24"/>
        </w:rPr>
        <w:t>本基金收益分配方式分两种：现金分红与红利再投资，投资者可选择现金红利或将现金红利自动转为相应类别的基金份额进行再投资；</w:t>
      </w:r>
      <w:proofErr w:type="gramStart"/>
      <w:r w:rsidR="00CF5ACE" w:rsidRPr="004A59C3">
        <w:rPr>
          <w:rFonts w:hint="eastAsia"/>
          <w:bCs/>
          <w:sz w:val="24"/>
        </w:rPr>
        <w:t>且基金</w:t>
      </w:r>
      <w:proofErr w:type="gramEnd"/>
      <w:r w:rsidR="00CF5ACE" w:rsidRPr="004A59C3">
        <w:rPr>
          <w:rFonts w:hint="eastAsia"/>
          <w:bCs/>
          <w:sz w:val="24"/>
        </w:rPr>
        <w:t>份额持有人可对</w:t>
      </w:r>
      <w:r w:rsidR="00CF5ACE" w:rsidRPr="004A59C3">
        <w:rPr>
          <w:rFonts w:hint="eastAsia"/>
          <w:bCs/>
          <w:sz w:val="24"/>
        </w:rPr>
        <w:t>A</w:t>
      </w:r>
      <w:r w:rsidR="00CF5ACE" w:rsidRPr="004A59C3">
        <w:rPr>
          <w:rFonts w:hint="eastAsia"/>
          <w:bCs/>
          <w:sz w:val="24"/>
        </w:rPr>
        <w:t>类、</w:t>
      </w:r>
      <w:r w:rsidR="00CF5ACE" w:rsidRPr="004A59C3">
        <w:rPr>
          <w:rFonts w:hint="eastAsia"/>
          <w:bCs/>
          <w:sz w:val="24"/>
        </w:rPr>
        <w:t>C</w:t>
      </w:r>
      <w:r w:rsidR="00CF5ACE" w:rsidRPr="004A59C3">
        <w:rPr>
          <w:rFonts w:hint="eastAsia"/>
          <w:bCs/>
          <w:sz w:val="24"/>
        </w:rPr>
        <w:t>类基金份额分别选择不同的分红方式；若投资者不选择，本基金默认的收益分配方式是现金分红</w:t>
      </w:r>
      <w:r>
        <w:rPr>
          <w:rFonts w:hint="eastAsia"/>
          <w:bCs/>
          <w:sz w:val="24"/>
        </w:rPr>
        <w:t>；</w:t>
      </w:r>
    </w:p>
    <w:p w14:paraId="61D5C429" w14:textId="5832139D" w:rsidR="00AE4DAB" w:rsidRDefault="00F162B2">
      <w:pPr>
        <w:spacing w:line="520" w:lineRule="atLeast"/>
        <w:ind w:firstLineChars="225" w:firstLine="540"/>
        <w:rPr>
          <w:bCs/>
          <w:sz w:val="24"/>
        </w:rPr>
      </w:pPr>
      <w:r>
        <w:rPr>
          <w:rFonts w:hint="eastAsia"/>
          <w:bCs/>
          <w:sz w:val="24"/>
        </w:rPr>
        <w:t>（</w:t>
      </w:r>
      <w:r>
        <w:rPr>
          <w:rFonts w:hint="eastAsia"/>
          <w:bCs/>
          <w:sz w:val="24"/>
        </w:rPr>
        <w:t>3</w:t>
      </w:r>
      <w:r>
        <w:rPr>
          <w:rFonts w:hint="eastAsia"/>
          <w:bCs/>
          <w:sz w:val="24"/>
        </w:rPr>
        <w:t>）基金收益分配后</w:t>
      </w:r>
      <w:r w:rsidR="003A2006">
        <w:rPr>
          <w:rFonts w:hint="eastAsia"/>
          <w:bCs/>
          <w:sz w:val="24"/>
        </w:rPr>
        <w:t>各类</w:t>
      </w:r>
      <w:r>
        <w:rPr>
          <w:rFonts w:hint="eastAsia"/>
          <w:bCs/>
          <w:sz w:val="24"/>
        </w:rPr>
        <w:t>基金份额净值不能低于面值；即基金收益分配基准日的</w:t>
      </w:r>
      <w:r w:rsidR="003A2006">
        <w:rPr>
          <w:rFonts w:hint="eastAsia"/>
          <w:bCs/>
          <w:sz w:val="24"/>
        </w:rPr>
        <w:t>各类</w:t>
      </w:r>
      <w:r>
        <w:rPr>
          <w:rFonts w:hint="eastAsia"/>
          <w:bCs/>
          <w:sz w:val="24"/>
        </w:rPr>
        <w:t>基金份额净值减去每单位</w:t>
      </w:r>
      <w:r w:rsidR="003A2006">
        <w:rPr>
          <w:rFonts w:hint="eastAsia"/>
          <w:bCs/>
          <w:sz w:val="24"/>
        </w:rPr>
        <w:t>该类</w:t>
      </w:r>
      <w:r>
        <w:rPr>
          <w:rFonts w:hint="eastAsia"/>
          <w:bCs/>
          <w:sz w:val="24"/>
        </w:rPr>
        <w:t>基金份额收益分配金额后不能低于面值；</w:t>
      </w:r>
    </w:p>
    <w:p w14:paraId="60D35220" w14:textId="77777777" w:rsidR="00AE4DAB" w:rsidRDefault="00F162B2">
      <w:pPr>
        <w:spacing w:line="520" w:lineRule="atLeast"/>
        <w:ind w:firstLineChars="225" w:firstLine="540"/>
        <w:rPr>
          <w:bCs/>
          <w:sz w:val="24"/>
        </w:rPr>
      </w:pPr>
      <w:r>
        <w:rPr>
          <w:rFonts w:hint="eastAsia"/>
          <w:bCs/>
          <w:sz w:val="24"/>
        </w:rPr>
        <w:t>（</w:t>
      </w:r>
      <w:r>
        <w:rPr>
          <w:rFonts w:hint="eastAsia"/>
          <w:bCs/>
          <w:sz w:val="24"/>
        </w:rPr>
        <w:t>4</w:t>
      </w:r>
      <w:r>
        <w:rPr>
          <w:rFonts w:hint="eastAsia"/>
          <w:bCs/>
          <w:sz w:val="24"/>
        </w:rPr>
        <w:t>）</w:t>
      </w:r>
      <w:r w:rsidR="00AF6912" w:rsidRPr="004A59C3">
        <w:rPr>
          <w:rFonts w:hint="eastAsia"/>
          <w:bCs/>
          <w:sz w:val="24"/>
        </w:rPr>
        <w:t>由于基金费用的不同，本基金各类基金份额在可供分配利润上有所不同；本基金同一类别的</w:t>
      </w:r>
      <w:r>
        <w:rPr>
          <w:rFonts w:hint="eastAsia"/>
          <w:bCs/>
          <w:sz w:val="24"/>
        </w:rPr>
        <w:t>每一基金份额享有同等分配权；</w:t>
      </w:r>
    </w:p>
    <w:p w14:paraId="4B9F7EAC" w14:textId="0D907844" w:rsidR="00AE4DAB" w:rsidRDefault="00F162B2">
      <w:pPr>
        <w:spacing w:line="520" w:lineRule="atLeast"/>
        <w:ind w:firstLineChars="225" w:firstLine="540"/>
        <w:rPr>
          <w:bCs/>
          <w:sz w:val="24"/>
        </w:rPr>
      </w:pPr>
      <w:r>
        <w:rPr>
          <w:rFonts w:hint="eastAsia"/>
          <w:bCs/>
          <w:sz w:val="24"/>
        </w:rPr>
        <w:t>（</w:t>
      </w:r>
      <w:r w:rsidR="003A2006">
        <w:rPr>
          <w:bCs/>
          <w:sz w:val="24"/>
        </w:rPr>
        <w:t>5</w:t>
      </w:r>
      <w:r>
        <w:rPr>
          <w:rFonts w:hint="eastAsia"/>
          <w:bCs/>
          <w:sz w:val="24"/>
        </w:rPr>
        <w:t>）法律法规或监管机关另有规定的，从其规定</w:t>
      </w:r>
      <w:r>
        <w:rPr>
          <w:bCs/>
          <w:sz w:val="24"/>
        </w:rPr>
        <w:t>。</w:t>
      </w:r>
    </w:p>
    <w:p w14:paraId="60DFF60F" w14:textId="23945775" w:rsidR="000D4FAA" w:rsidRDefault="000D4FAA">
      <w:pPr>
        <w:spacing w:line="520" w:lineRule="atLeast"/>
        <w:ind w:firstLineChars="225" w:firstLine="540"/>
        <w:rPr>
          <w:bCs/>
          <w:sz w:val="24"/>
        </w:rPr>
      </w:pPr>
      <w:r w:rsidRPr="000D4FAA">
        <w:rPr>
          <w:rFonts w:hint="eastAsia"/>
          <w:bCs/>
          <w:sz w:val="24"/>
        </w:rPr>
        <w:t>在不违反法律法规且对基金份额持有人利益无实质性不利影响的前提下，基金管理人可对基金收益分配的有关业务规则进行调整，此项调整不需要召开基金份额持有人大会，但应于调整实施日前在规定媒介上公告。</w:t>
      </w:r>
    </w:p>
    <w:p w14:paraId="40CB5E3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9.4收益分配方案</w:t>
      </w:r>
    </w:p>
    <w:p w14:paraId="54EADDC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14:paraId="514B7ED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584E3D52" w14:textId="77777777" w:rsidR="00AE4DAB" w:rsidRDefault="00F162B2">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9.5.1本基金收益分配方案由基金管理人拟定，并由基金托管人复核，按照《信息披露办法》有关规定在规定媒介公告。</w:t>
      </w:r>
    </w:p>
    <w:p w14:paraId="4C93619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14:paraId="4D1469F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9.5.3法律法规或监管机关另有规定的，从其规定。</w:t>
      </w:r>
    </w:p>
    <w:p w14:paraId="0B3BE5CF" w14:textId="372B1AE9" w:rsidR="00B20BBA" w:rsidRDefault="00B20BBA">
      <w:pPr>
        <w:pStyle w:val="20"/>
        <w:spacing w:before="0" w:after="0" w:line="520" w:lineRule="atLeast"/>
        <w:ind w:left="0" w:firstLineChars="200" w:firstLine="480"/>
        <w:rPr>
          <w:rFonts w:hAnsi="宋体"/>
          <w:szCs w:val="24"/>
        </w:rPr>
      </w:pPr>
      <w:r>
        <w:rPr>
          <w:rFonts w:hint="eastAsia"/>
          <w:bCs/>
        </w:rPr>
        <w:t>9.6</w:t>
      </w:r>
      <w:r w:rsidRPr="004A59C3">
        <w:rPr>
          <w:rFonts w:hint="eastAsia"/>
          <w:bCs/>
        </w:rPr>
        <w:t>本基金实施</w:t>
      </w:r>
      <w:proofErr w:type="gramStart"/>
      <w:r w:rsidRPr="004A59C3">
        <w:rPr>
          <w:rFonts w:hint="eastAsia"/>
          <w:bCs/>
        </w:rPr>
        <w:t>侧袋机制</w:t>
      </w:r>
      <w:proofErr w:type="gramEnd"/>
      <w:r w:rsidRPr="004A59C3">
        <w:rPr>
          <w:rFonts w:hint="eastAsia"/>
          <w:bCs/>
        </w:rPr>
        <w:t>的，</w:t>
      </w:r>
      <w:proofErr w:type="gramStart"/>
      <w:r w:rsidRPr="004A59C3">
        <w:rPr>
          <w:rFonts w:hint="eastAsia"/>
          <w:bCs/>
        </w:rPr>
        <w:t>侧袋账户</w:t>
      </w:r>
      <w:proofErr w:type="gramEnd"/>
      <w:r w:rsidRPr="004A59C3">
        <w:rPr>
          <w:rFonts w:hint="eastAsia"/>
          <w:bCs/>
        </w:rPr>
        <w:t>不进行收益分配，详见招募说明书的规定。</w:t>
      </w:r>
    </w:p>
    <w:p w14:paraId="233165AC" w14:textId="77777777" w:rsidR="00AE4DAB" w:rsidRDefault="00F162B2">
      <w:pPr>
        <w:pStyle w:val="1"/>
        <w:spacing w:line="520" w:lineRule="atLeast"/>
        <w:ind w:firstLineChars="200" w:firstLine="482"/>
        <w:rPr>
          <w:bCs/>
          <w:color w:val="auto"/>
          <w:szCs w:val="24"/>
        </w:rPr>
      </w:pPr>
      <w:bookmarkStart w:id="28" w:name="_Toc296551346"/>
      <w:bookmarkStart w:id="29" w:name="_Toc44321733"/>
      <w:r>
        <w:rPr>
          <w:rFonts w:hint="eastAsia"/>
          <w:bCs/>
          <w:color w:val="auto"/>
          <w:szCs w:val="24"/>
        </w:rPr>
        <w:t>第十条 信息披露</w:t>
      </w:r>
      <w:bookmarkEnd w:id="28"/>
      <w:bookmarkEnd w:id="29"/>
    </w:p>
    <w:p w14:paraId="39163B8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10.1保密义务</w:t>
      </w:r>
    </w:p>
    <w:p w14:paraId="24F6347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14474FD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0ECF7F38" w14:textId="7A627522" w:rsidR="00AE4DAB" w:rsidRDefault="00F162B2">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r w:rsidR="000D4FAA">
        <w:rPr>
          <w:rFonts w:hAnsi="宋体" w:hint="eastAsia"/>
          <w:szCs w:val="24"/>
        </w:rPr>
        <w:t>；</w:t>
      </w:r>
    </w:p>
    <w:p w14:paraId="381FA95D" w14:textId="471B4DEE" w:rsidR="000D4FAA" w:rsidRPr="000D4FAA" w:rsidRDefault="000D4FAA">
      <w:pPr>
        <w:pStyle w:val="20"/>
        <w:spacing w:before="0" w:after="0" w:line="520" w:lineRule="atLeast"/>
        <w:ind w:left="0" w:firstLineChars="200" w:firstLine="480"/>
        <w:rPr>
          <w:rFonts w:hAnsi="宋体"/>
          <w:szCs w:val="24"/>
        </w:rPr>
      </w:pPr>
      <w:r>
        <w:rPr>
          <w:rFonts w:hAnsi="宋体" w:hint="eastAsia"/>
          <w:szCs w:val="24"/>
        </w:rPr>
        <w:t>（3）</w:t>
      </w:r>
      <w:r w:rsidRPr="000D4FAA">
        <w:rPr>
          <w:rFonts w:hAnsi="宋体" w:hint="eastAsia"/>
          <w:szCs w:val="24"/>
        </w:rPr>
        <w:t>因审计、法律等外部专业顾问提供服务而向其提供的</w:t>
      </w:r>
      <w:r>
        <w:rPr>
          <w:rFonts w:hAnsi="宋体" w:hint="eastAsia"/>
          <w:szCs w:val="24"/>
        </w:rPr>
        <w:t>。</w:t>
      </w:r>
    </w:p>
    <w:p w14:paraId="4950481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27EA251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5C9CFC67" w14:textId="314D2145" w:rsidR="00AE4DAB" w:rsidRDefault="00F162B2" w:rsidP="00A768BB">
      <w:pPr>
        <w:pStyle w:val="20"/>
        <w:spacing w:before="0" w:after="0" w:line="520" w:lineRule="atLeas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w:t>
      </w:r>
      <w:r w:rsidR="000D4FAA" w:rsidRPr="000D4FAA">
        <w:rPr>
          <w:rFonts w:hAnsi="宋体" w:hint="eastAsia"/>
          <w:szCs w:val="24"/>
        </w:rPr>
        <w:t>（含资产组合季度报告）</w:t>
      </w:r>
      <w:r>
        <w:rPr>
          <w:rFonts w:hAnsi="宋体" w:hint="eastAsia"/>
          <w:szCs w:val="24"/>
        </w:rPr>
        <w:t>）、临时报告、澄清公告、清算报告、基金份额持有人大会决议</w:t>
      </w:r>
      <w:r>
        <w:rPr>
          <w:rFonts w:hint="eastAsia"/>
          <w:bCs/>
        </w:rPr>
        <w:t>、</w:t>
      </w:r>
      <w:r w:rsidR="00A768BB" w:rsidRPr="004A59C3">
        <w:rPr>
          <w:rFonts w:hint="eastAsia"/>
          <w:bCs/>
        </w:rPr>
        <w:t>投资股指期货</w:t>
      </w:r>
      <w:r w:rsidR="00D96A58">
        <w:rPr>
          <w:rFonts w:hint="eastAsia"/>
          <w:bCs/>
        </w:rPr>
        <w:t>、</w:t>
      </w:r>
      <w:r w:rsidR="00A768BB" w:rsidRPr="00A768BB">
        <w:rPr>
          <w:rFonts w:hint="eastAsia"/>
          <w:bCs/>
        </w:rPr>
        <w:t>国债期货</w:t>
      </w:r>
      <w:r w:rsidR="00A768BB">
        <w:rPr>
          <w:rFonts w:hint="eastAsia"/>
          <w:bCs/>
        </w:rPr>
        <w:t>、</w:t>
      </w:r>
      <w:r w:rsidR="00A768BB" w:rsidRPr="004A59C3">
        <w:rPr>
          <w:bCs/>
        </w:rPr>
        <w:t>股票期权</w:t>
      </w:r>
      <w:r w:rsidR="00A768BB">
        <w:rPr>
          <w:rFonts w:hint="eastAsia"/>
          <w:bCs/>
        </w:rPr>
        <w:t>、</w:t>
      </w:r>
      <w:r>
        <w:rPr>
          <w:rFonts w:hAnsi="宋体" w:hint="eastAsia"/>
          <w:szCs w:val="24"/>
        </w:rPr>
        <w:t>资产支持证券、</w:t>
      </w:r>
      <w:r w:rsidR="00A768BB" w:rsidRPr="004A59C3">
        <w:rPr>
          <w:rFonts w:ascii="Arial" w:hAnsi="Arial" w:cs="Arial" w:hint="eastAsia"/>
          <w:bCs/>
        </w:rPr>
        <w:t>港股通标的股票的信息披露</w:t>
      </w:r>
      <w:r>
        <w:rPr>
          <w:rFonts w:hint="eastAsia"/>
          <w:bCs/>
        </w:rPr>
        <w:t>、实施</w:t>
      </w:r>
      <w:proofErr w:type="gramStart"/>
      <w:r>
        <w:rPr>
          <w:rFonts w:hint="eastAsia"/>
          <w:bCs/>
        </w:rPr>
        <w:t>侧袋机制</w:t>
      </w:r>
      <w:proofErr w:type="gramEnd"/>
      <w:r>
        <w:rPr>
          <w:rFonts w:hint="eastAsia"/>
          <w:bCs/>
        </w:rPr>
        <w:t>期间</w:t>
      </w:r>
      <w:r>
        <w:rPr>
          <w:rFonts w:hAnsi="宋体" w:hint="eastAsia"/>
          <w:szCs w:val="24"/>
        </w:rPr>
        <w:t>的信息披露以及中国证监会规定的其他信息。</w:t>
      </w:r>
    </w:p>
    <w:p w14:paraId="0D8BE59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10.2.3</w:t>
      </w:r>
      <w:r>
        <w:rPr>
          <w:bCs/>
        </w:rPr>
        <w:t>基金募集申请经中国证监会</w:t>
      </w:r>
      <w:r>
        <w:rPr>
          <w:rFonts w:hint="eastAsia"/>
          <w:bCs/>
        </w:rPr>
        <w:t>注册</w:t>
      </w:r>
      <w:r>
        <w:rPr>
          <w:bCs/>
        </w:rPr>
        <w:t>后，基金管理人在基金份额发售的</w:t>
      </w:r>
      <w:r>
        <w:rPr>
          <w:rFonts w:hint="eastAsia"/>
          <w:bCs/>
        </w:rPr>
        <w:t>三</w:t>
      </w:r>
      <w:r>
        <w:rPr>
          <w:bCs/>
        </w:rPr>
        <w:t>日前，将</w:t>
      </w:r>
      <w:r>
        <w:rPr>
          <w:rFonts w:hint="eastAsia"/>
          <w:bCs/>
        </w:rPr>
        <w:t>基金份额发售公告、</w:t>
      </w:r>
      <w:r>
        <w:rPr>
          <w:bCs/>
        </w:rPr>
        <w:t>基金招募说明书</w:t>
      </w:r>
      <w:r>
        <w:rPr>
          <w:rFonts w:hint="eastAsia"/>
          <w:bCs/>
        </w:rPr>
        <w:t>提示性公告和</w:t>
      </w:r>
      <w:r>
        <w:rPr>
          <w:bCs/>
        </w:rPr>
        <w:t>《基金合同》</w:t>
      </w:r>
      <w:r>
        <w:rPr>
          <w:rFonts w:hint="eastAsia"/>
          <w:bCs/>
        </w:rPr>
        <w:t>提示性公告</w:t>
      </w:r>
      <w:r>
        <w:rPr>
          <w:bCs/>
        </w:rPr>
        <w:t>登载在规定报刊</w:t>
      </w:r>
      <w:r>
        <w:rPr>
          <w:rFonts w:hint="eastAsia"/>
          <w:bCs/>
        </w:rPr>
        <w:t>上，将基金份额发售公告、基金招募说明书、基金产品资料概要、</w:t>
      </w:r>
      <w:r>
        <w:rPr>
          <w:bCs/>
        </w:rPr>
        <w:lastRenderedPageBreak/>
        <w:t>《基金合同》</w:t>
      </w:r>
      <w:r>
        <w:rPr>
          <w:rFonts w:hint="eastAsia"/>
          <w:bCs/>
        </w:rPr>
        <w:t>和基金托管协议登载在规定网站上，并将基金产品资料概要登载在基金销售机构网站或营业网点</w:t>
      </w:r>
      <w:r>
        <w:rPr>
          <w:bCs/>
        </w:rPr>
        <w:t>；基金托管人应当</w:t>
      </w:r>
      <w:r>
        <w:rPr>
          <w:rFonts w:hint="eastAsia"/>
          <w:bCs/>
        </w:rPr>
        <w:t>同时</w:t>
      </w:r>
      <w:r>
        <w:rPr>
          <w:bCs/>
        </w:rPr>
        <w:t>将《基金合同》、基金托管协议登载在</w:t>
      </w:r>
      <w:r w:rsidR="00D96A58" w:rsidRPr="004A59C3">
        <w:rPr>
          <w:rFonts w:hint="eastAsia"/>
          <w:bCs/>
        </w:rPr>
        <w:t>规定</w:t>
      </w:r>
      <w:r>
        <w:rPr>
          <w:bCs/>
        </w:rPr>
        <w:t>网站上。</w:t>
      </w:r>
    </w:p>
    <w:p w14:paraId="4AF3BA74" w14:textId="28631D92" w:rsidR="00AE4DAB" w:rsidRDefault="00F162B2">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基金托管人应当按照相关法律法规、中国证监会的规定和《基金合同》的约定，对基金管理人编制的基金净值</w:t>
      </w:r>
      <w:r w:rsidR="00D96A58">
        <w:rPr>
          <w:rFonts w:hAnsi="宋体" w:hint="eastAsia"/>
          <w:szCs w:val="24"/>
        </w:rPr>
        <w:t>信息</w:t>
      </w:r>
      <w:r>
        <w:rPr>
          <w:rFonts w:hAnsi="宋体" w:hint="eastAsia"/>
          <w:szCs w:val="24"/>
        </w:rPr>
        <w:t>、基金份额申购赎回价格、基金定期报告、更新的招募说明书、基金产品资料概要、基金清算报告等相关基金信息进行复核、审查，</w:t>
      </w:r>
      <w:r w:rsidR="00D96A58" w:rsidRPr="004A59C3">
        <w:rPr>
          <w:rFonts w:hint="eastAsia"/>
          <w:bCs/>
        </w:rPr>
        <w:t>并向基金管理人进行书面或电子确认</w:t>
      </w:r>
      <w:r>
        <w:rPr>
          <w:rFonts w:hAnsi="宋体" w:hint="eastAsia"/>
          <w:szCs w:val="24"/>
        </w:rPr>
        <w:t>。</w:t>
      </w:r>
    </w:p>
    <w:p w14:paraId="0344E3D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bCs/>
        </w:rPr>
        <w:t>基金年度报告</w:t>
      </w:r>
      <w:r>
        <w:rPr>
          <w:rFonts w:hint="eastAsia"/>
          <w:bCs/>
        </w:rPr>
        <w:t>中</w:t>
      </w:r>
      <w:r>
        <w:rPr>
          <w:bCs/>
        </w:rPr>
        <w:t>的财务会计报告应当经过</w:t>
      </w:r>
      <w:r>
        <w:rPr>
          <w:rFonts w:hint="eastAsia"/>
          <w:bCs/>
        </w:rPr>
        <w:t>符合《中华人民共和国证券法》规定的会计师事务所</w:t>
      </w:r>
      <w:r>
        <w:rPr>
          <w:bCs/>
        </w:rPr>
        <w:t>审计</w:t>
      </w:r>
      <w:r>
        <w:rPr>
          <w:rFonts w:hAnsi="宋体" w:hint="eastAsia"/>
          <w:szCs w:val="24"/>
        </w:rPr>
        <w:t>。</w:t>
      </w:r>
    </w:p>
    <w:p w14:paraId="04E6421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6</w:t>
      </w:r>
      <w:r>
        <w:rPr>
          <w:rFonts w:hAnsi="宋体" w:hint="eastAsia"/>
          <w:szCs w:val="24"/>
        </w:rPr>
        <w:t>基金管理人应当在中国证监会规定的时间内，将应予披露的基金信息通过符合中国证监会规定条件的全国性报刊及《信息披露办法》规定的互联网网站等媒介披露。根据法律法规应由基金托管人公开披露的信息，基金托管人将通过中国证监会规定媒介公开披露。</w:t>
      </w:r>
    </w:p>
    <w:p w14:paraId="10825E0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Pr>
          <w:rFonts w:hAnsi="宋体" w:hint="eastAsia"/>
          <w:szCs w:val="24"/>
        </w:rPr>
        <w:t>予以披露的信息文本，存放在基金管理人和基金托管人处，投资人可以免费查阅。投资人在支付工本费后可在合理时间获得上述文件的复制件或复印件。基金管理人和基金托管人应保证文本的内容与所公告的内容完全一致。</w:t>
      </w:r>
    </w:p>
    <w:p w14:paraId="745DEBB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10.3暂停或延迟相关信息披露的情形</w:t>
      </w:r>
    </w:p>
    <w:p w14:paraId="522839A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w:t>
      </w:r>
      <w:r w:rsidR="00250B5F">
        <w:rPr>
          <w:rFonts w:hAnsi="宋体" w:hint="eastAsia"/>
          <w:szCs w:val="24"/>
        </w:rPr>
        <w:t>不可抗力；</w:t>
      </w:r>
    </w:p>
    <w:p w14:paraId="6C39D65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w:t>
      </w:r>
      <w:r w:rsidR="00250B5F">
        <w:rPr>
          <w:rFonts w:hint="eastAsia"/>
          <w:bCs/>
        </w:rPr>
        <w:t>发生暂停估值的情形；</w:t>
      </w:r>
    </w:p>
    <w:p w14:paraId="01E1042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w:t>
      </w:r>
      <w:r w:rsidR="00250B5F">
        <w:rPr>
          <w:rFonts w:hAnsi="宋体" w:hint="eastAsia"/>
          <w:szCs w:val="24"/>
        </w:rPr>
        <w:t>基金投资所涉及的证券、期货交易市场</w:t>
      </w:r>
      <w:r w:rsidR="00250B5F" w:rsidRPr="004A59C3">
        <w:rPr>
          <w:rFonts w:ascii="Arial" w:hAnsi="Arial" w:cs="Arial" w:hint="eastAsia"/>
          <w:bCs/>
        </w:rPr>
        <w:t>或外汇市场</w:t>
      </w:r>
      <w:r w:rsidR="00250B5F">
        <w:rPr>
          <w:rFonts w:hAnsi="宋体" w:hint="eastAsia"/>
          <w:szCs w:val="24"/>
        </w:rPr>
        <w:t>遇法定节假日或因其他原因暂停营业时；</w:t>
      </w:r>
    </w:p>
    <w:p w14:paraId="306819C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（4）法律法规、</w:t>
      </w:r>
      <w:r w:rsidR="00250B5F" w:rsidRPr="004A59C3">
        <w:rPr>
          <w:rFonts w:hint="eastAsia"/>
          <w:bCs/>
        </w:rPr>
        <w:t>基金合同或中国证监会规定的情况</w:t>
      </w:r>
      <w:r>
        <w:rPr>
          <w:rFonts w:hAnsi="宋体" w:hint="eastAsia"/>
          <w:szCs w:val="24"/>
        </w:rPr>
        <w:t>。</w:t>
      </w:r>
    </w:p>
    <w:p w14:paraId="24B13B6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10.4基金托管人报告</w:t>
      </w:r>
    </w:p>
    <w:p w14:paraId="3E4024E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14:paraId="3DD36C08" w14:textId="77777777" w:rsidR="00AE4DAB" w:rsidRDefault="00F162B2">
      <w:pPr>
        <w:pStyle w:val="1"/>
        <w:spacing w:line="520" w:lineRule="atLeast"/>
        <w:ind w:firstLineChars="200" w:firstLine="482"/>
        <w:rPr>
          <w:bCs/>
          <w:color w:val="auto"/>
          <w:szCs w:val="24"/>
        </w:rPr>
      </w:pPr>
      <w:bookmarkStart w:id="30" w:name="_Toc296551347"/>
      <w:bookmarkStart w:id="31" w:name="_Toc44321734"/>
      <w:bookmarkStart w:id="32" w:name="_GoBack"/>
      <w:bookmarkEnd w:id="32"/>
      <w:r>
        <w:rPr>
          <w:rFonts w:hint="eastAsia"/>
          <w:bCs/>
          <w:color w:val="auto"/>
          <w:szCs w:val="24"/>
        </w:rPr>
        <w:t>第十一条 基金费用</w:t>
      </w:r>
      <w:bookmarkEnd w:id="30"/>
      <w:bookmarkEnd w:id="31"/>
    </w:p>
    <w:p w14:paraId="72E453C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11.1基金管理费的计提比例和计提方法</w:t>
      </w:r>
    </w:p>
    <w:p w14:paraId="3C6E260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本基金的管理费按前一日基金资产净值的【0.</w:t>
      </w:r>
      <w:r w:rsidR="00D87160">
        <w:rPr>
          <w:rFonts w:hAnsi="宋体" w:hint="eastAsia"/>
          <w:szCs w:val="24"/>
        </w:rPr>
        <w:t>6</w:t>
      </w:r>
      <w:r>
        <w:rPr>
          <w:rFonts w:hAnsi="宋体" w:hint="eastAsia"/>
          <w:szCs w:val="24"/>
        </w:rPr>
        <w:t>%】年费率计提。管理费的计算方法如下：</w:t>
      </w:r>
    </w:p>
    <w:p w14:paraId="68B67BD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H＝E×</w:t>
      </w:r>
      <w:r>
        <w:rPr>
          <w:rFonts w:hAnsi="宋体" w:hint="eastAsia"/>
        </w:rPr>
        <w:t>【0.</w:t>
      </w:r>
      <w:r w:rsidR="00D87160">
        <w:rPr>
          <w:rFonts w:hAnsi="宋体" w:hint="eastAsia"/>
        </w:rPr>
        <w:t>6</w:t>
      </w:r>
      <w:r>
        <w:rPr>
          <w:rFonts w:hAnsi="宋体" w:hint="eastAsia"/>
        </w:rPr>
        <w:t>%】</w:t>
      </w:r>
      <w:r>
        <w:rPr>
          <w:rFonts w:hAnsi="宋体" w:hint="eastAsia"/>
          <w:szCs w:val="24"/>
        </w:rPr>
        <w:t>÷当年天数</w:t>
      </w:r>
    </w:p>
    <w:p w14:paraId="3BB9CD0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14:paraId="61FAA0C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66F64D47" w14:textId="7C5609D0" w:rsidR="00AE4DAB" w:rsidRDefault="00F162B2">
      <w:pPr>
        <w:pStyle w:val="20"/>
        <w:spacing w:before="0" w:after="0" w:line="520" w:lineRule="atLeast"/>
        <w:ind w:left="0" w:firstLineChars="200" w:firstLine="480"/>
        <w:rPr>
          <w:rFonts w:hAnsi="宋体"/>
          <w:szCs w:val="24"/>
        </w:rPr>
      </w:pPr>
      <w:r>
        <w:rPr>
          <w:rFonts w:hint="eastAsia"/>
          <w:bCs/>
        </w:rPr>
        <w:t>基金管理费每日计</w:t>
      </w:r>
      <w:r w:rsidR="00D87160" w:rsidRPr="004A59C3">
        <w:rPr>
          <w:rFonts w:hint="eastAsia"/>
          <w:bCs/>
        </w:rPr>
        <w:t>算，逐日累计至每月月末，</w:t>
      </w:r>
      <w:r>
        <w:rPr>
          <w:rFonts w:hint="eastAsia"/>
          <w:bCs/>
        </w:rPr>
        <w:t>按月支付</w:t>
      </w:r>
      <w:r w:rsidR="00A50A97">
        <w:rPr>
          <w:rFonts w:hint="eastAsia"/>
          <w:bCs/>
        </w:rPr>
        <w:t>，</w:t>
      </w:r>
      <w:r>
        <w:rPr>
          <w:rFonts w:hint="eastAsia"/>
          <w:bCs/>
        </w:rPr>
        <w:t>由基金托管人根据与基金管理人核对一致的财务数据，自动</w:t>
      </w:r>
      <w:r w:rsidR="00A50A97">
        <w:rPr>
          <w:rFonts w:hint="eastAsia"/>
          <w:bCs/>
        </w:rPr>
        <w:t>于</w:t>
      </w:r>
      <w:r>
        <w:rPr>
          <w:rFonts w:hint="eastAsia"/>
          <w:bCs/>
        </w:rPr>
        <w:t>次月</w:t>
      </w:r>
      <w:r w:rsidR="00D87160" w:rsidRPr="004A59C3">
        <w:rPr>
          <w:rFonts w:hint="eastAsia"/>
          <w:bCs/>
        </w:rPr>
        <w:t>首日起</w:t>
      </w:r>
      <w:r w:rsidR="00A50A97">
        <w:rPr>
          <w:rFonts w:hint="eastAsia"/>
          <w:bCs/>
        </w:rPr>
        <w:t>第2</w:t>
      </w:r>
      <w:r>
        <w:rPr>
          <w:rFonts w:hint="eastAsia"/>
          <w:bCs/>
        </w:rPr>
        <w:t>个工作日按照指定的账户路径进行</w:t>
      </w:r>
      <w:r w:rsidR="00A50A97">
        <w:rPr>
          <w:rFonts w:hint="eastAsia"/>
          <w:bCs/>
        </w:rPr>
        <w:t>资金</w:t>
      </w:r>
      <w:r>
        <w:rPr>
          <w:rFonts w:hint="eastAsia"/>
          <w:bCs/>
        </w:rPr>
        <w:t>支付</w:t>
      </w:r>
      <w:r w:rsidR="00D87160" w:rsidRPr="004A59C3">
        <w:rPr>
          <w:rFonts w:hint="eastAsia"/>
          <w:bCs/>
        </w:rPr>
        <w:t>，基金管理人无需再出具资金划拨指令</w:t>
      </w:r>
      <w:r>
        <w:rPr>
          <w:rFonts w:hint="eastAsia"/>
          <w:bCs/>
        </w:rPr>
        <w:t>。若遇法定节假日、</w:t>
      </w:r>
      <w:r w:rsidR="001A08CA">
        <w:rPr>
          <w:rFonts w:hint="eastAsia"/>
          <w:bCs/>
        </w:rPr>
        <w:t>公休日</w:t>
      </w:r>
      <w:r>
        <w:rPr>
          <w:rFonts w:hint="eastAsia"/>
          <w:bCs/>
        </w:rPr>
        <w:t>等，支付日期顺延。费用自动扣划后，基金管理人应进行核对，如发现数据不符，及时联系基金托管人协商解决。</w:t>
      </w:r>
    </w:p>
    <w:p w14:paraId="11FF80F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1203A4A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本基金的托管费按前一日基金资产净值的【0.</w:t>
      </w:r>
      <w:r w:rsidR="00A13D1B">
        <w:rPr>
          <w:rFonts w:hAnsi="宋体" w:hint="eastAsia"/>
          <w:szCs w:val="24"/>
        </w:rPr>
        <w:t>1</w:t>
      </w:r>
      <w:r>
        <w:rPr>
          <w:rFonts w:hAnsi="宋体" w:hint="eastAsia"/>
          <w:szCs w:val="24"/>
        </w:rPr>
        <w:t>%】的年费率计提。托管费的计算方法如下：</w:t>
      </w:r>
    </w:p>
    <w:p w14:paraId="30D160F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H＝E×【0.</w:t>
      </w:r>
      <w:r w:rsidR="00A13D1B">
        <w:rPr>
          <w:rFonts w:hAnsi="宋体" w:hint="eastAsia"/>
          <w:szCs w:val="24"/>
        </w:rPr>
        <w:t>1</w:t>
      </w:r>
      <w:r>
        <w:rPr>
          <w:rFonts w:hAnsi="宋体" w:hint="eastAsia"/>
          <w:szCs w:val="24"/>
        </w:rPr>
        <w:t>%】÷当年天数</w:t>
      </w:r>
    </w:p>
    <w:p w14:paraId="6B8258B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02936FE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6D37D224" w14:textId="3AB3D582" w:rsidR="00AE4DAB" w:rsidRDefault="00F162B2">
      <w:pPr>
        <w:pStyle w:val="20"/>
        <w:spacing w:before="0" w:after="0" w:line="520" w:lineRule="atLeast"/>
        <w:ind w:left="0" w:firstLineChars="200" w:firstLine="480"/>
        <w:rPr>
          <w:bCs/>
        </w:rPr>
      </w:pPr>
      <w:r>
        <w:rPr>
          <w:bCs/>
        </w:rPr>
        <w:t>基金</w:t>
      </w:r>
      <w:r>
        <w:rPr>
          <w:rFonts w:hint="eastAsia"/>
          <w:bCs/>
        </w:rPr>
        <w:t>托管</w:t>
      </w:r>
      <w:r>
        <w:rPr>
          <w:bCs/>
        </w:rPr>
        <w:t>费每日计</w:t>
      </w:r>
      <w:r w:rsidR="00A13D1B" w:rsidRPr="004A59C3">
        <w:rPr>
          <w:rFonts w:hint="eastAsia"/>
          <w:bCs/>
        </w:rPr>
        <w:t>算，逐日累计至每月月末</w:t>
      </w:r>
      <w:r>
        <w:rPr>
          <w:bCs/>
        </w:rPr>
        <w:t>，按月支付</w:t>
      </w:r>
      <w:r w:rsidR="00A50A97">
        <w:rPr>
          <w:rFonts w:hint="eastAsia"/>
          <w:bCs/>
        </w:rPr>
        <w:t>，</w:t>
      </w:r>
      <w:r>
        <w:rPr>
          <w:bCs/>
        </w:rPr>
        <w:t>由</w:t>
      </w:r>
      <w:r>
        <w:rPr>
          <w:rFonts w:hint="eastAsia"/>
          <w:bCs/>
        </w:rPr>
        <w:t>基金托管人根据与基金管理人核对一致的财务数据，自动</w:t>
      </w:r>
      <w:r w:rsidR="00A50A97">
        <w:rPr>
          <w:rFonts w:hint="eastAsia"/>
          <w:bCs/>
        </w:rPr>
        <w:t>于</w:t>
      </w:r>
      <w:r>
        <w:rPr>
          <w:rFonts w:hint="eastAsia"/>
          <w:bCs/>
        </w:rPr>
        <w:t>次月</w:t>
      </w:r>
      <w:r w:rsidR="00A13D1B" w:rsidRPr="004A59C3">
        <w:rPr>
          <w:rFonts w:hint="eastAsia"/>
          <w:bCs/>
        </w:rPr>
        <w:t>首日起</w:t>
      </w:r>
      <w:r w:rsidR="00A50A97">
        <w:rPr>
          <w:rFonts w:hint="eastAsia"/>
          <w:bCs/>
        </w:rPr>
        <w:t>第2</w:t>
      </w:r>
      <w:r>
        <w:rPr>
          <w:rFonts w:hint="eastAsia"/>
          <w:bCs/>
        </w:rPr>
        <w:t>个工作日按照指定的账户路径</w:t>
      </w:r>
      <w:r>
        <w:rPr>
          <w:bCs/>
        </w:rPr>
        <w:t>进行</w:t>
      </w:r>
      <w:r w:rsidR="00A50A97">
        <w:rPr>
          <w:bCs/>
        </w:rPr>
        <w:t>资金</w:t>
      </w:r>
      <w:r>
        <w:rPr>
          <w:bCs/>
        </w:rPr>
        <w:t>支付</w:t>
      </w:r>
      <w:r w:rsidR="00A13D1B">
        <w:rPr>
          <w:rFonts w:hint="eastAsia"/>
          <w:bCs/>
        </w:rPr>
        <w:t>，</w:t>
      </w:r>
      <w:r w:rsidR="00A13D1B" w:rsidRPr="004A59C3">
        <w:rPr>
          <w:rFonts w:hint="eastAsia"/>
          <w:bCs/>
        </w:rPr>
        <w:t>基金管理人无需再出具资金划拨指令</w:t>
      </w:r>
      <w:r>
        <w:rPr>
          <w:bCs/>
        </w:rPr>
        <w:t>。若遇法定节假日、</w:t>
      </w:r>
      <w:r w:rsidR="001A08CA">
        <w:rPr>
          <w:rFonts w:hint="eastAsia"/>
          <w:bCs/>
        </w:rPr>
        <w:t>公休日</w:t>
      </w:r>
      <w:r>
        <w:rPr>
          <w:bCs/>
        </w:rPr>
        <w:t>等，支付日期顺延。</w:t>
      </w:r>
      <w:r>
        <w:rPr>
          <w:rFonts w:hint="eastAsia"/>
          <w:bCs/>
        </w:rPr>
        <w:t>费用自动扣划后，基金管理人应进行核对，如发现数据不符，及时联系基金托管人协商解决。</w:t>
      </w:r>
    </w:p>
    <w:p w14:paraId="1185B342" w14:textId="77777777" w:rsidR="00250B5F" w:rsidRPr="00250B5F" w:rsidRDefault="00250B5F" w:rsidP="00250B5F">
      <w:pPr>
        <w:pStyle w:val="20"/>
        <w:spacing w:before="0" w:after="0" w:line="520" w:lineRule="atLeast"/>
        <w:ind w:left="0" w:firstLineChars="200" w:firstLine="480"/>
        <w:rPr>
          <w:rFonts w:hAnsi="宋体"/>
          <w:szCs w:val="24"/>
        </w:rPr>
      </w:pPr>
      <w:r>
        <w:rPr>
          <w:rFonts w:hAnsi="宋体" w:hint="eastAsia"/>
          <w:szCs w:val="24"/>
        </w:rPr>
        <w:t>11.</w:t>
      </w:r>
      <w:r w:rsidRPr="00250B5F">
        <w:rPr>
          <w:rFonts w:hAnsi="宋体" w:hint="eastAsia"/>
          <w:szCs w:val="24"/>
        </w:rPr>
        <w:t>3</w:t>
      </w:r>
      <w:r>
        <w:rPr>
          <w:rFonts w:hAnsi="宋体" w:hint="eastAsia"/>
          <w:szCs w:val="24"/>
        </w:rPr>
        <w:t xml:space="preserve"> </w:t>
      </w:r>
      <w:r w:rsidRPr="00250B5F">
        <w:rPr>
          <w:rFonts w:hAnsi="宋体" w:hint="eastAsia"/>
          <w:szCs w:val="24"/>
        </w:rPr>
        <w:t>C类基金份额的销售服务费用</w:t>
      </w:r>
    </w:p>
    <w:p w14:paraId="513A9F0D" w14:textId="77777777" w:rsidR="00250B5F" w:rsidRPr="00250B5F" w:rsidRDefault="00250B5F" w:rsidP="00250B5F">
      <w:pPr>
        <w:pStyle w:val="20"/>
        <w:spacing w:before="0" w:after="0" w:line="520" w:lineRule="atLeast"/>
        <w:ind w:left="0" w:firstLineChars="200" w:firstLine="480"/>
        <w:rPr>
          <w:rFonts w:hAnsi="宋体"/>
          <w:szCs w:val="24"/>
        </w:rPr>
      </w:pPr>
      <w:r w:rsidRPr="00250B5F">
        <w:rPr>
          <w:rFonts w:hAnsi="宋体" w:hint="eastAsia"/>
          <w:szCs w:val="24"/>
        </w:rPr>
        <w:t>本基金A类基金份额不收取销售服务费，C类基金份额的销售服务费按前一日C类基金份额的基金资产净值的0.50%年费率计提。计算方法如下：</w:t>
      </w:r>
    </w:p>
    <w:p w14:paraId="50F498C7" w14:textId="77777777" w:rsidR="00250B5F" w:rsidRPr="00250B5F" w:rsidRDefault="00250B5F" w:rsidP="00250B5F">
      <w:pPr>
        <w:pStyle w:val="20"/>
        <w:spacing w:before="0" w:after="0" w:line="520" w:lineRule="atLeast"/>
        <w:ind w:left="0" w:firstLineChars="200" w:firstLine="480"/>
        <w:rPr>
          <w:rFonts w:hAnsi="宋体"/>
          <w:szCs w:val="24"/>
        </w:rPr>
      </w:pPr>
      <w:r w:rsidRPr="00250B5F">
        <w:rPr>
          <w:rFonts w:hAnsi="宋体" w:hint="eastAsia"/>
          <w:szCs w:val="24"/>
        </w:rPr>
        <w:t>H＝E×0.50%÷当年天数</w:t>
      </w:r>
    </w:p>
    <w:p w14:paraId="5295E914" w14:textId="77777777" w:rsidR="00250B5F" w:rsidRPr="00250B5F" w:rsidRDefault="00250B5F" w:rsidP="00250B5F">
      <w:pPr>
        <w:pStyle w:val="20"/>
        <w:spacing w:before="0" w:after="0" w:line="520" w:lineRule="atLeast"/>
        <w:ind w:left="0" w:firstLineChars="200" w:firstLine="480"/>
        <w:rPr>
          <w:rFonts w:hAnsi="宋体"/>
          <w:szCs w:val="24"/>
        </w:rPr>
      </w:pPr>
      <w:r w:rsidRPr="00250B5F">
        <w:rPr>
          <w:rFonts w:hAnsi="宋体" w:hint="eastAsia"/>
          <w:szCs w:val="24"/>
        </w:rPr>
        <w:t>H为每日应计提的C类基金份额销售服务费</w:t>
      </w:r>
    </w:p>
    <w:p w14:paraId="5C1B757D" w14:textId="77777777" w:rsidR="00250B5F" w:rsidRPr="00250B5F" w:rsidRDefault="00250B5F" w:rsidP="00250B5F">
      <w:pPr>
        <w:pStyle w:val="20"/>
        <w:spacing w:before="0" w:after="0" w:line="520" w:lineRule="atLeast"/>
        <w:ind w:left="0" w:firstLineChars="200" w:firstLine="480"/>
        <w:rPr>
          <w:rFonts w:hAnsi="宋体"/>
          <w:szCs w:val="24"/>
        </w:rPr>
      </w:pPr>
      <w:r w:rsidRPr="00250B5F">
        <w:rPr>
          <w:rFonts w:hAnsi="宋体" w:hint="eastAsia"/>
          <w:szCs w:val="24"/>
        </w:rPr>
        <w:t>E为前一日C类基金份额的基金资产净值</w:t>
      </w:r>
    </w:p>
    <w:p w14:paraId="2477125B" w14:textId="77777777" w:rsidR="00250B5F" w:rsidRDefault="00250B5F" w:rsidP="00250B5F">
      <w:pPr>
        <w:pStyle w:val="20"/>
        <w:spacing w:before="0" w:after="0" w:line="520" w:lineRule="atLeast"/>
        <w:ind w:left="0" w:firstLineChars="200" w:firstLine="480"/>
        <w:rPr>
          <w:rFonts w:hAnsi="宋体"/>
          <w:szCs w:val="24"/>
        </w:rPr>
      </w:pPr>
      <w:r w:rsidRPr="00250B5F">
        <w:rPr>
          <w:rFonts w:hAnsi="宋体" w:hint="eastAsia"/>
          <w:szCs w:val="24"/>
        </w:rPr>
        <w:t>基金销售服务费每日计算，逐日累计至每月月末，按月支付，由基金托管人根</w:t>
      </w:r>
      <w:r w:rsidRPr="00250B5F">
        <w:rPr>
          <w:rFonts w:hAnsi="宋体" w:hint="eastAsia"/>
          <w:szCs w:val="24"/>
        </w:rPr>
        <w:lastRenderedPageBreak/>
        <w:t>据与基金管理人核对一致的财务数据，自动于次月首日起第2个工作日按照指定的账户路径进行资金支付，基金管理人无需再出具资金划拨指令。若遇法定节假日、公休日等，支付日期顺延。费用自动扣划后，基金管理人应进行核对，如发现数据不符，及时联系基金托管人协商解决。</w:t>
      </w:r>
    </w:p>
    <w:p w14:paraId="0707EDA7" w14:textId="191A8BBF" w:rsidR="00AE4DAB" w:rsidRDefault="00F162B2">
      <w:pPr>
        <w:pStyle w:val="20"/>
        <w:spacing w:before="0" w:after="0" w:line="520" w:lineRule="atLeast"/>
        <w:ind w:left="0" w:firstLineChars="200" w:firstLine="480"/>
        <w:rPr>
          <w:rFonts w:hAnsi="宋体"/>
          <w:szCs w:val="24"/>
        </w:rPr>
      </w:pPr>
      <w:r>
        <w:rPr>
          <w:rFonts w:hAnsi="宋体" w:hint="eastAsia"/>
          <w:szCs w:val="24"/>
        </w:rPr>
        <w:t>11.</w:t>
      </w:r>
      <w:r w:rsidR="00250B5F">
        <w:rPr>
          <w:rFonts w:hAnsi="宋体" w:hint="eastAsia"/>
          <w:szCs w:val="24"/>
        </w:rPr>
        <w:t>4</w:t>
      </w:r>
      <w:r>
        <w:rPr>
          <w:rFonts w:hAnsi="宋体" w:hint="eastAsia"/>
          <w:szCs w:val="24"/>
        </w:rPr>
        <w:t>为基金财产及基金运作所开立</w:t>
      </w:r>
      <w:r w:rsidR="00250B5F" w:rsidRPr="004A59C3">
        <w:rPr>
          <w:rFonts w:hint="eastAsia"/>
          <w:bCs/>
        </w:rPr>
        <w:t>证券</w:t>
      </w:r>
      <w:r w:rsidR="00A50A97">
        <w:rPr>
          <w:rFonts w:hint="eastAsia"/>
          <w:bCs/>
        </w:rPr>
        <w:t>、</w:t>
      </w:r>
      <w:r w:rsidR="00250B5F" w:rsidRPr="004A59C3">
        <w:rPr>
          <w:rFonts w:hint="eastAsia"/>
          <w:bCs/>
        </w:rPr>
        <w:t>期货账户的开户费、银行账户维护费用</w:t>
      </w:r>
      <w:r>
        <w:rPr>
          <w:rFonts w:hAnsi="宋体" w:hint="eastAsia"/>
          <w:szCs w:val="24"/>
        </w:rPr>
        <w:t>、证券</w:t>
      </w:r>
      <w:r w:rsidR="00A50A97">
        <w:rPr>
          <w:rFonts w:hAnsi="宋体" w:hint="eastAsia"/>
          <w:szCs w:val="24"/>
        </w:rPr>
        <w:t>、</w:t>
      </w:r>
      <w:r>
        <w:rPr>
          <w:rFonts w:hAnsi="宋体" w:hint="eastAsia"/>
          <w:szCs w:val="24"/>
        </w:rPr>
        <w:t>期货交易费用、基金合同生效后与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Pr>
          <w:bCs/>
        </w:rPr>
        <w:t>和诉讼费</w:t>
      </w:r>
      <w:r>
        <w:rPr>
          <w:rFonts w:hint="eastAsia"/>
          <w:bCs/>
        </w:rPr>
        <w:t>、</w:t>
      </w:r>
      <w:r>
        <w:rPr>
          <w:bCs/>
        </w:rPr>
        <w:t>基金的银行</w:t>
      </w:r>
      <w:r w:rsidR="00250B5F" w:rsidRPr="004A59C3">
        <w:rPr>
          <w:rFonts w:hint="eastAsia"/>
          <w:bCs/>
        </w:rPr>
        <w:t>汇划</w:t>
      </w:r>
      <w:r>
        <w:rPr>
          <w:bCs/>
        </w:rPr>
        <w:t>费用、</w:t>
      </w:r>
      <w:r w:rsidR="00C35A61">
        <w:rPr>
          <w:rFonts w:hint="eastAsia"/>
          <w:bCs/>
        </w:rPr>
        <w:t>因投资港股通标的股票而产生各项</w:t>
      </w:r>
      <w:r>
        <w:rPr>
          <w:rFonts w:hint="eastAsia"/>
          <w:bCs/>
        </w:rPr>
        <w:t>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1A929981" w14:textId="77777777" w:rsidR="00A50A97" w:rsidRPr="00A50A97" w:rsidRDefault="00A50A97" w:rsidP="00A50A97">
      <w:pPr>
        <w:pStyle w:val="20"/>
        <w:spacing w:before="0" w:after="0" w:line="520" w:lineRule="atLeast"/>
        <w:ind w:left="0" w:firstLineChars="200" w:firstLine="480"/>
        <w:rPr>
          <w:rFonts w:hAnsi="宋体"/>
          <w:szCs w:val="24"/>
        </w:rPr>
      </w:pPr>
      <w:r w:rsidRPr="00A50A97">
        <w:rPr>
          <w:rFonts w:hAnsi="宋体" w:hint="eastAsia"/>
          <w:szCs w:val="24"/>
        </w:rPr>
        <w:t>证券账户开户费用：证券账户开户费经基金管理人与基金托管人核对无误后，自本</w:t>
      </w:r>
      <w:proofErr w:type="gramStart"/>
      <w:r w:rsidRPr="00A50A97">
        <w:rPr>
          <w:rFonts w:hAnsi="宋体" w:hint="eastAsia"/>
          <w:szCs w:val="24"/>
        </w:rPr>
        <w:t>基金基金</w:t>
      </w:r>
      <w:proofErr w:type="gramEnd"/>
      <w:r w:rsidRPr="00A50A97">
        <w:rPr>
          <w:rFonts w:hAnsi="宋体" w:hint="eastAsia"/>
          <w:szCs w:val="24"/>
        </w:rPr>
        <w:t>合同生效后一个月内由基金托管人从基金财产中划付，如基金财产余额不足支付该开户费用，由基金管理人于本</w:t>
      </w:r>
      <w:proofErr w:type="gramStart"/>
      <w:r w:rsidRPr="00A50A97">
        <w:rPr>
          <w:rFonts w:hAnsi="宋体" w:hint="eastAsia"/>
          <w:szCs w:val="24"/>
        </w:rPr>
        <w:t>基金基金</w:t>
      </w:r>
      <w:proofErr w:type="gramEnd"/>
      <w:r w:rsidRPr="00A50A97">
        <w:rPr>
          <w:rFonts w:hAnsi="宋体" w:hint="eastAsia"/>
          <w:szCs w:val="24"/>
        </w:rPr>
        <w:t>合同生效一个月后的</w:t>
      </w:r>
      <w:r w:rsidRPr="00A50A97">
        <w:rPr>
          <w:rFonts w:hAnsi="宋体"/>
          <w:szCs w:val="24"/>
        </w:rPr>
        <w:t>5</w:t>
      </w:r>
      <w:r w:rsidRPr="00A50A97">
        <w:rPr>
          <w:rFonts w:hAnsi="宋体" w:hint="eastAsia"/>
          <w:szCs w:val="24"/>
        </w:rPr>
        <w:t>个工作日内进行垫付，基金托管人不承担垫付开户费用义务。</w:t>
      </w:r>
    </w:p>
    <w:p w14:paraId="5634C2C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11.</w:t>
      </w:r>
      <w:r w:rsidR="00250B5F">
        <w:rPr>
          <w:rFonts w:hAnsi="宋体" w:hint="eastAsia"/>
          <w:szCs w:val="24"/>
        </w:rPr>
        <w:t>5</w:t>
      </w:r>
      <w:r>
        <w:rPr>
          <w:rFonts w:hAnsi="宋体" w:hint="eastAsia"/>
          <w:szCs w:val="24"/>
        </w:rPr>
        <w:t>不列入基金费用的项目</w:t>
      </w:r>
    </w:p>
    <w:p w14:paraId="4122604E" w14:textId="25E13FC1"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w:t>
      </w:r>
      <w:r w:rsidR="00A50A97">
        <w:rPr>
          <w:rFonts w:hAnsi="宋体" w:hint="eastAsia"/>
          <w:szCs w:val="24"/>
        </w:rPr>
        <w:t>相关费用（包括但不限于</w:t>
      </w:r>
      <w:r>
        <w:rPr>
          <w:rFonts w:hAnsi="宋体" w:hint="eastAsia"/>
          <w:szCs w:val="24"/>
        </w:rPr>
        <w:t>信息披露费、律师费、验资费和会计师费</w:t>
      </w:r>
      <w:r w:rsidR="00A50A97">
        <w:rPr>
          <w:rFonts w:hAnsi="宋体" w:hint="eastAsia"/>
          <w:szCs w:val="24"/>
        </w:rPr>
        <w:t>）</w:t>
      </w:r>
      <w:r>
        <w:rPr>
          <w:rFonts w:hAnsi="宋体" w:hint="eastAsia"/>
          <w:szCs w:val="24"/>
        </w:rPr>
        <w:t>以及其他费用不从基金财产中支付。其他根据相关法律法规及中国证监会的有关规定不得列入基金费用的项目也不列入基金费用。</w:t>
      </w:r>
    </w:p>
    <w:p w14:paraId="5ED579C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11.</w:t>
      </w:r>
      <w:r w:rsidR="00250B5F">
        <w:rPr>
          <w:rFonts w:hAnsi="宋体" w:hint="eastAsia"/>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3F828B28" w14:textId="6647AC8C" w:rsidR="00093D8B" w:rsidRPr="00093D8B" w:rsidRDefault="00093D8B">
      <w:pPr>
        <w:pStyle w:val="20"/>
        <w:spacing w:before="0" w:after="0" w:line="520" w:lineRule="atLeast"/>
        <w:ind w:left="0" w:firstLineChars="200" w:firstLine="480"/>
        <w:rPr>
          <w:rFonts w:hAnsi="宋体"/>
          <w:szCs w:val="24"/>
        </w:rPr>
      </w:pPr>
      <w:r>
        <w:rPr>
          <w:rFonts w:hAnsi="宋体" w:hint="eastAsia"/>
          <w:szCs w:val="24"/>
        </w:rPr>
        <w:t>11.7</w:t>
      </w:r>
      <w:r w:rsidRPr="00093D8B">
        <w:rPr>
          <w:rFonts w:hAnsi="宋体" w:hint="eastAsia"/>
          <w:szCs w:val="24"/>
        </w:rPr>
        <w:t>本基金实施</w:t>
      </w:r>
      <w:proofErr w:type="gramStart"/>
      <w:r w:rsidRPr="00093D8B">
        <w:rPr>
          <w:rFonts w:hAnsi="宋体" w:hint="eastAsia"/>
          <w:szCs w:val="24"/>
        </w:rPr>
        <w:t>侧袋机制</w:t>
      </w:r>
      <w:proofErr w:type="gramEnd"/>
      <w:r w:rsidRPr="00093D8B">
        <w:rPr>
          <w:rFonts w:hAnsi="宋体" w:hint="eastAsia"/>
          <w:szCs w:val="24"/>
        </w:rPr>
        <w:t>的，</w:t>
      </w:r>
      <w:proofErr w:type="gramStart"/>
      <w:r w:rsidRPr="00093D8B">
        <w:rPr>
          <w:rFonts w:hAnsi="宋体" w:hint="eastAsia"/>
          <w:szCs w:val="24"/>
        </w:rPr>
        <w:t>与侧袋账户</w:t>
      </w:r>
      <w:proofErr w:type="gramEnd"/>
      <w:r w:rsidRPr="00093D8B">
        <w:rPr>
          <w:rFonts w:hAnsi="宋体" w:hint="eastAsia"/>
          <w:szCs w:val="24"/>
        </w:rPr>
        <w:t>有关的费用可以</w:t>
      </w:r>
      <w:proofErr w:type="gramStart"/>
      <w:r w:rsidRPr="00093D8B">
        <w:rPr>
          <w:rFonts w:hAnsi="宋体" w:hint="eastAsia"/>
          <w:szCs w:val="24"/>
        </w:rPr>
        <w:t>从侧袋账户</w:t>
      </w:r>
      <w:proofErr w:type="gramEnd"/>
      <w:r w:rsidRPr="00093D8B">
        <w:rPr>
          <w:rFonts w:hAnsi="宋体" w:hint="eastAsia"/>
          <w:szCs w:val="24"/>
        </w:rPr>
        <w:t>中列支，但应</w:t>
      </w:r>
      <w:proofErr w:type="gramStart"/>
      <w:r w:rsidRPr="00093D8B">
        <w:rPr>
          <w:rFonts w:hAnsi="宋体" w:hint="eastAsia"/>
          <w:szCs w:val="24"/>
        </w:rPr>
        <w:t>待侧袋</w:t>
      </w:r>
      <w:proofErr w:type="gramEnd"/>
      <w:r w:rsidRPr="00093D8B">
        <w:rPr>
          <w:rFonts w:hAnsi="宋体" w:hint="eastAsia"/>
          <w:szCs w:val="24"/>
        </w:rPr>
        <w:t>账户资产变现后方可列支，有关费用可酌情收取或减免，但不得收取管理费，详见招募说明书的规定。</w:t>
      </w:r>
    </w:p>
    <w:p w14:paraId="3EACF71F" w14:textId="77777777" w:rsidR="00AE4DAB" w:rsidRDefault="00F162B2">
      <w:pPr>
        <w:pStyle w:val="1"/>
        <w:spacing w:line="520" w:lineRule="atLeast"/>
        <w:ind w:firstLineChars="200" w:firstLine="482"/>
        <w:rPr>
          <w:bCs/>
          <w:color w:val="auto"/>
          <w:szCs w:val="24"/>
        </w:rPr>
      </w:pPr>
      <w:bookmarkStart w:id="33" w:name="_Toc296551348"/>
      <w:bookmarkStart w:id="34" w:name="_Toc44321735"/>
      <w:r>
        <w:rPr>
          <w:rFonts w:hint="eastAsia"/>
          <w:bCs/>
          <w:color w:val="auto"/>
          <w:szCs w:val="24"/>
        </w:rPr>
        <w:t>第十二条 基金份额持有人名册的保管</w:t>
      </w:r>
      <w:bookmarkEnd w:id="33"/>
      <w:bookmarkEnd w:id="34"/>
    </w:p>
    <w:p w14:paraId="0C912C7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w:t>
      </w:r>
      <w:r>
        <w:rPr>
          <w:rFonts w:hAnsi="宋体" w:hint="eastAsia"/>
          <w:szCs w:val="24"/>
        </w:rPr>
        <w:lastRenderedPageBreak/>
        <w:t>额持有人名册的内容必须包括基金份额持有人的名称和持有的基金份额。</w:t>
      </w:r>
    </w:p>
    <w:p w14:paraId="3863A0A8" w14:textId="1EAB50D3" w:rsidR="00AE4DAB" w:rsidRDefault="00F162B2">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1F6538" w:rsidRPr="001F6538">
        <w:rPr>
          <w:rFonts w:hAnsi="宋体" w:hint="eastAsia"/>
          <w:szCs w:val="24"/>
        </w:rPr>
        <w:t>不</w:t>
      </w:r>
      <w:r w:rsidR="001F6538">
        <w:rPr>
          <w:rFonts w:hAnsi="宋体" w:hint="eastAsia"/>
          <w:szCs w:val="24"/>
        </w:rPr>
        <w:t>得</w:t>
      </w:r>
      <w:r w:rsidR="001F6538" w:rsidRPr="001F6538">
        <w:rPr>
          <w:rFonts w:hAnsi="宋体" w:hint="eastAsia"/>
          <w:szCs w:val="24"/>
        </w:rPr>
        <w:t>低于法律法规规定的最低期限</w:t>
      </w:r>
      <w:r>
        <w:rPr>
          <w:rFonts w:hAnsi="宋体" w:hint="eastAsia"/>
          <w:szCs w:val="24"/>
        </w:rPr>
        <w:t>。</w:t>
      </w:r>
    </w:p>
    <w:p w14:paraId="6117152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4D94A934" w14:textId="77777777" w:rsidR="00AE4DAB" w:rsidRDefault="00F162B2">
      <w:pPr>
        <w:pStyle w:val="1"/>
        <w:spacing w:line="520" w:lineRule="atLeast"/>
        <w:ind w:firstLineChars="200" w:firstLine="482"/>
        <w:rPr>
          <w:bCs/>
          <w:color w:val="auto"/>
          <w:szCs w:val="24"/>
        </w:rPr>
      </w:pPr>
      <w:bookmarkStart w:id="35" w:name="_Toc44321736"/>
      <w:bookmarkStart w:id="36" w:name="_Toc296551349"/>
      <w:r>
        <w:rPr>
          <w:rFonts w:hint="eastAsia"/>
          <w:bCs/>
          <w:color w:val="auto"/>
          <w:szCs w:val="24"/>
        </w:rPr>
        <w:t>第十三条 基金有关文件和档案的保存</w:t>
      </w:r>
      <w:bookmarkEnd w:id="35"/>
      <w:bookmarkEnd w:id="36"/>
    </w:p>
    <w:p w14:paraId="5B2C16C4" w14:textId="48B2C4D4" w:rsidR="00AE4DAB" w:rsidRDefault="00F162B2">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w:t>
      </w:r>
      <w:r w:rsidR="001F6538" w:rsidRPr="001F6538">
        <w:rPr>
          <w:rFonts w:hAnsi="宋体" w:hint="eastAsia"/>
          <w:szCs w:val="24"/>
        </w:rPr>
        <w:t>不</w:t>
      </w:r>
      <w:r w:rsidR="001F6538">
        <w:rPr>
          <w:rFonts w:hAnsi="宋体" w:hint="eastAsia"/>
          <w:szCs w:val="24"/>
        </w:rPr>
        <w:t>得</w:t>
      </w:r>
      <w:r w:rsidR="001F6538" w:rsidRPr="001F6538">
        <w:rPr>
          <w:rFonts w:hAnsi="宋体" w:hint="eastAsia"/>
          <w:szCs w:val="24"/>
        </w:rPr>
        <w:t>低于法律法规规定的最低期限</w:t>
      </w:r>
      <w:r>
        <w:rPr>
          <w:rFonts w:hAnsi="宋体" w:hint="eastAsia"/>
          <w:szCs w:val="24"/>
        </w:rPr>
        <w:t>，</w:t>
      </w:r>
      <w:r w:rsidR="001F6538">
        <w:rPr>
          <w:rFonts w:hAnsi="宋体" w:hint="eastAsia"/>
          <w:szCs w:val="24"/>
        </w:rPr>
        <w:t>并</w:t>
      </w:r>
      <w:r>
        <w:rPr>
          <w:rFonts w:hAnsi="宋体" w:hint="eastAsia"/>
          <w:szCs w:val="24"/>
        </w:rPr>
        <w:t>对相关信息负有保密义务，但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14:paraId="4572461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4BF838A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0CA3078A" w14:textId="77777777" w:rsidR="00AE4DAB" w:rsidRDefault="00F162B2">
      <w:pPr>
        <w:pStyle w:val="1"/>
        <w:spacing w:line="520" w:lineRule="atLeast"/>
        <w:ind w:firstLineChars="200" w:firstLine="482"/>
        <w:rPr>
          <w:bCs/>
          <w:color w:val="auto"/>
          <w:szCs w:val="24"/>
        </w:rPr>
      </w:pPr>
      <w:bookmarkStart w:id="37" w:name="_Toc296551350"/>
      <w:bookmarkStart w:id="38" w:name="_Toc44321737"/>
      <w:r>
        <w:rPr>
          <w:rFonts w:hint="eastAsia"/>
          <w:bCs/>
          <w:color w:val="auto"/>
          <w:szCs w:val="24"/>
        </w:rPr>
        <w:t>第十四条 基金管理人和基金托管人的更换</w:t>
      </w:r>
      <w:bookmarkEnd w:id="37"/>
      <w:bookmarkEnd w:id="38"/>
    </w:p>
    <w:p w14:paraId="6564DF9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14.1基金管理人的更换</w:t>
      </w:r>
    </w:p>
    <w:p w14:paraId="69E1C4D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1549866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40B5375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（1）被依法取消基金管理资格；</w:t>
      </w:r>
    </w:p>
    <w:p w14:paraId="0319DBD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（2）依法解散、被依法撤销或者被依法宣告破产；</w:t>
      </w:r>
    </w:p>
    <w:p w14:paraId="121417B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（3）被基金份额持有人大会解任；</w:t>
      </w:r>
    </w:p>
    <w:p w14:paraId="27DE489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1594489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74B17A0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更换基金管理人必须依照如下程序进行：</w:t>
      </w:r>
    </w:p>
    <w:p w14:paraId="57A27E8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14:paraId="0FDE1A1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t>以上（含</w:t>
      </w:r>
      <w:r>
        <w:rPr>
          <w:rFonts w:hint="eastAsia"/>
          <w:bCs/>
        </w:rPr>
        <w:t>2/3</w:t>
      </w:r>
      <w:r>
        <w:rPr>
          <w:bCs/>
        </w:rPr>
        <w:t>）表决通过</w:t>
      </w:r>
      <w:r>
        <w:rPr>
          <w:rFonts w:hint="eastAsia"/>
          <w:bCs/>
        </w:rPr>
        <w:t>，决议自表决通过之日起生效</w:t>
      </w:r>
      <w:r>
        <w:rPr>
          <w:rFonts w:hAnsi="宋体" w:hint="eastAsia"/>
          <w:szCs w:val="24"/>
        </w:rPr>
        <w:t>；</w:t>
      </w:r>
    </w:p>
    <w:p w14:paraId="569B3AD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14:paraId="1C2D588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 xml:space="preserve">（4）备案：基金份额持有人大会更换基金管理人的决议须报中国证监会备案；  </w:t>
      </w:r>
    </w:p>
    <w:p w14:paraId="12AAB1CD" w14:textId="64E40D5C" w:rsidR="00AE4DAB" w:rsidRDefault="00F162B2">
      <w:pPr>
        <w:pStyle w:val="20"/>
        <w:spacing w:before="0" w:after="0" w:line="520" w:lineRule="atLeast"/>
        <w:ind w:left="0"/>
        <w:rPr>
          <w:rFonts w:hAnsi="宋体"/>
          <w:szCs w:val="24"/>
        </w:rPr>
      </w:pPr>
      <w:r>
        <w:rPr>
          <w:rFonts w:hint="eastAsia"/>
          <w:bCs/>
        </w:rPr>
        <w:t xml:space="preserve">  </w:t>
      </w:r>
      <w:r>
        <w:rPr>
          <w:bCs/>
        </w:rPr>
        <w:t xml:space="preserve">  </w:t>
      </w: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w:t>
      </w:r>
      <w:r w:rsidR="00DA5C98" w:rsidRPr="004A59C3">
        <w:rPr>
          <w:rFonts w:ascii="Arial" w:hAnsi="Arial" w:cs="Arial" w:hint="eastAsia"/>
          <w:bCs/>
        </w:rPr>
        <w:t>依照《信息披露办法》的有关规定</w:t>
      </w:r>
      <w:r>
        <w:rPr>
          <w:bCs/>
        </w:rPr>
        <w:t>在</w:t>
      </w:r>
      <w:r>
        <w:rPr>
          <w:rFonts w:hint="eastAsia"/>
          <w:bCs/>
        </w:rPr>
        <w:t>规定媒介</w:t>
      </w:r>
      <w:r>
        <w:rPr>
          <w:bCs/>
        </w:rPr>
        <w:t>公告</w:t>
      </w:r>
      <w:r>
        <w:rPr>
          <w:rFonts w:hAnsi="宋体" w:hint="eastAsia"/>
          <w:szCs w:val="24"/>
        </w:rPr>
        <w:t>；</w:t>
      </w:r>
    </w:p>
    <w:p w14:paraId="3973CF2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w:t>
      </w:r>
      <w:proofErr w:type="gramStart"/>
      <w:r>
        <w:rPr>
          <w:bCs/>
        </w:rPr>
        <w:t>新任基金</w:t>
      </w:r>
      <w:proofErr w:type="gramEnd"/>
      <w:r>
        <w:rPr>
          <w:bCs/>
        </w:rPr>
        <w:t>管理人</w:t>
      </w:r>
      <w:r>
        <w:rPr>
          <w:rFonts w:hAnsi="宋体" w:hint="eastAsia"/>
          <w:szCs w:val="24"/>
        </w:rPr>
        <w:t>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w:t>
      </w:r>
      <w:r>
        <w:rPr>
          <w:rFonts w:hAnsi="宋体"/>
          <w:szCs w:val="24"/>
        </w:rPr>
        <w:t>。</w:t>
      </w:r>
      <w:r>
        <w:rPr>
          <w:rFonts w:hAnsi="宋体" w:hint="eastAsia"/>
          <w:szCs w:val="24"/>
        </w:rPr>
        <w:t>临时基金管理人或</w:t>
      </w:r>
      <w:proofErr w:type="gramStart"/>
      <w:r>
        <w:rPr>
          <w:rFonts w:hAnsi="宋体" w:hint="eastAsia"/>
          <w:szCs w:val="24"/>
        </w:rPr>
        <w:t>新任基金</w:t>
      </w:r>
      <w:proofErr w:type="gramEnd"/>
      <w:r>
        <w:rPr>
          <w:rFonts w:hAnsi="宋体" w:hint="eastAsia"/>
          <w:szCs w:val="24"/>
        </w:rPr>
        <w:t>管理人应与基金托管人核对基金资产总值</w:t>
      </w:r>
      <w:r>
        <w:rPr>
          <w:rFonts w:hint="eastAsia"/>
          <w:bCs/>
        </w:rPr>
        <w:t>和</w:t>
      </w:r>
      <w:r>
        <w:rPr>
          <w:bCs/>
        </w:rPr>
        <w:t>净值</w:t>
      </w:r>
      <w:r>
        <w:rPr>
          <w:rFonts w:hAnsi="宋体" w:hint="eastAsia"/>
          <w:szCs w:val="24"/>
        </w:rPr>
        <w:t>；</w:t>
      </w:r>
    </w:p>
    <w:p w14:paraId="2ADDEDA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）审计：基金管理人职责终止的，应当按照法律法规规定聘请会计师事务所对基金财产进行审计，并将审计结果予以公告，同时报中国证监会备案，审计费用</w:t>
      </w:r>
      <w:r w:rsidR="0085538D">
        <w:rPr>
          <w:rFonts w:hAnsi="宋体" w:hint="eastAsia"/>
          <w:szCs w:val="24"/>
        </w:rPr>
        <w:t>在</w:t>
      </w:r>
      <w:r>
        <w:rPr>
          <w:rFonts w:hAnsi="宋体" w:hint="eastAsia"/>
          <w:bCs/>
          <w:szCs w:val="24"/>
        </w:rPr>
        <w:t>基金财产中列支</w:t>
      </w:r>
      <w:r>
        <w:rPr>
          <w:rFonts w:hAnsi="宋体" w:hint="eastAsia"/>
          <w:szCs w:val="24"/>
        </w:rPr>
        <w:t>；</w:t>
      </w:r>
    </w:p>
    <w:p w14:paraId="1EF39A4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14:paraId="02736C5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14.2基金托管人的更换</w:t>
      </w:r>
    </w:p>
    <w:p w14:paraId="2111174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27B7FE4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58A2CCB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（1）被依法取消基金托管资格；</w:t>
      </w:r>
    </w:p>
    <w:p w14:paraId="7893BFD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（2）依法解散、被依法撤销或者被依法宣布破产；</w:t>
      </w:r>
    </w:p>
    <w:p w14:paraId="5734CDD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（3）被基金份额持有人大会解任；</w:t>
      </w:r>
    </w:p>
    <w:p w14:paraId="1FC9867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1137BF5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22B47D7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14:paraId="013D362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14:paraId="2453A22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临时基金托管人：</w:t>
      </w:r>
      <w:proofErr w:type="gramStart"/>
      <w:r>
        <w:rPr>
          <w:rFonts w:hAnsi="宋体"/>
          <w:szCs w:val="24"/>
        </w:rPr>
        <w:t>新任基金</w:t>
      </w:r>
      <w:proofErr w:type="gramEnd"/>
      <w:r>
        <w:rPr>
          <w:rFonts w:hAnsi="宋体"/>
          <w:szCs w:val="24"/>
        </w:rPr>
        <w:t>托管人产生之前，由中国证监会指定临时基金托管人；</w:t>
      </w:r>
    </w:p>
    <w:p w14:paraId="377FA0A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14:paraId="36433C1D" w14:textId="40DC6173" w:rsidR="00AE4DAB" w:rsidRDefault="00F162B2">
      <w:pPr>
        <w:pStyle w:val="20"/>
        <w:spacing w:before="0" w:after="0" w:line="520" w:lineRule="atLeas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sidR="00D16FB1" w:rsidRPr="00D16FB1">
        <w:rPr>
          <w:rFonts w:hint="eastAsia"/>
          <w:bCs/>
        </w:rPr>
        <w:t>依照《信息披露办法》的有关规定在规定媒介公告</w:t>
      </w:r>
      <w:r>
        <w:rPr>
          <w:rFonts w:hAnsi="宋体" w:hint="eastAsia"/>
          <w:szCs w:val="24"/>
        </w:rPr>
        <w:t>；</w:t>
      </w:r>
    </w:p>
    <w:p w14:paraId="4C65F60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（6）交接：基金托管人职责终止的，应当妥善保管基金财产和基金托管业务资料，及时办理基金财产和基金托管业务的移交手续，临时基金托管人或</w:t>
      </w:r>
      <w:proofErr w:type="gramStart"/>
      <w:r>
        <w:rPr>
          <w:rFonts w:hAnsi="宋体" w:hint="eastAsia"/>
          <w:szCs w:val="24"/>
        </w:rPr>
        <w:t>新任基金</w:t>
      </w:r>
      <w:proofErr w:type="gramEnd"/>
      <w:r>
        <w:rPr>
          <w:rFonts w:hAnsi="宋体" w:hint="eastAsia"/>
          <w:szCs w:val="24"/>
        </w:rPr>
        <w:t>托管人应当及时接收，临时基金托管人或</w:t>
      </w:r>
      <w:proofErr w:type="gramStart"/>
      <w:r>
        <w:rPr>
          <w:rFonts w:hAnsi="宋体" w:hint="eastAsia"/>
          <w:szCs w:val="24"/>
        </w:rPr>
        <w:t>新任基金</w:t>
      </w:r>
      <w:proofErr w:type="gramEnd"/>
      <w:r>
        <w:rPr>
          <w:rFonts w:hAnsi="宋体" w:hint="eastAsia"/>
          <w:szCs w:val="24"/>
        </w:rPr>
        <w:t>托管人应与基金管理人核对基金资产总值</w:t>
      </w:r>
      <w:r>
        <w:rPr>
          <w:rFonts w:hint="eastAsia"/>
          <w:bCs/>
        </w:rPr>
        <w:t>和</w:t>
      </w:r>
      <w:r>
        <w:rPr>
          <w:bCs/>
        </w:rPr>
        <w:t>净值</w:t>
      </w:r>
      <w:r>
        <w:rPr>
          <w:rFonts w:hAnsi="宋体" w:hint="eastAsia"/>
          <w:szCs w:val="24"/>
        </w:rPr>
        <w:t>；</w:t>
      </w:r>
    </w:p>
    <w:p w14:paraId="7E9D68E6" w14:textId="6193425B" w:rsidR="00AE4DAB" w:rsidRDefault="00F162B2">
      <w:pPr>
        <w:pStyle w:val="20"/>
        <w:spacing w:before="0" w:after="0" w:line="520" w:lineRule="atLeas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（7）审计：基金托管人职责终止的，应当按照法律法规规定聘请会计师事务所对基金财产进行审计，并将审计结果予以公告，同时报中国证监会备案。审计费用</w:t>
      </w:r>
      <w:r w:rsidR="00A50A97">
        <w:rPr>
          <w:rFonts w:hAnsi="宋体" w:hint="eastAsia"/>
          <w:szCs w:val="24"/>
        </w:rPr>
        <w:t>在</w:t>
      </w:r>
      <w:r>
        <w:rPr>
          <w:rFonts w:hAnsi="宋体" w:hint="eastAsia"/>
          <w:szCs w:val="24"/>
        </w:rPr>
        <w:t>基金财产中列支。</w:t>
      </w:r>
    </w:p>
    <w:p w14:paraId="77CE3C6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3DEF6D1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2539F8E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14.3.2基金管理人和基金托管人的更换分别按上述程序进行。</w:t>
      </w:r>
    </w:p>
    <w:p w14:paraId="3C0FA4EB" w14:textId="76B14EA7" w:rsidR="00AE4DAB" w:rsidRDefault="00F162B2" w:rsidP="00AA7F70">
      <w:pPr>
        <w:pStyle w:val="20"/>
        <w:spacing w:before="0" w:after="0" w:line="520" w:lineRule="atLeast"/>
        <w:ind w:left="0" w:firstLineChars="200" w:firstLine="480"/>
        <w:rPr>
          <w:rFonts w:hAnsi="宋体"/>
          <w:szCs w:val="24"/>
        </w:rPr>
      </w:pPr>
      <w:r>
        <w:rPr>
          <w:rFonts w:hAnsi="宋体"/>
          <w:szCs w:val="24"/>
        </w:rPr>
        <w:t>14.3.3</w:t>
      </w:r>
      <w:r>
        <w:rPr>
          <w:rFonts w:hAnsi="宋体" w:hint="eastAsia"/>
          <w:szCs w:val="24"/>
        </w:rPr>
        <w:t>公告：</w:t>
      </w:r>
      <w:proofErr w:type="gramStart"/>
      <w:r>
        <w:rPr>
          <w:rFonts w:hAnsi="宋体" w:hint="eastAsia"/>
          <w:szCs w:val="24"/>
        </w:rPr>
        <w:t>新任基金</w:t>
      </w:r>
      <w:proofErr w:type="gramEnd"/>
      <w:r>
        <w:rPr>
          <w:rFonts w:hAnsi="宋体" w:hint="eastAsia"/>
          <w:szCs w:val="24"/>
        </w:rPr>
        <w:t>管理人和</w:t>
      </w:r>
      <w:proofErr w:type="gramStart"/>
      <w:r>
        <w:rPr>
          <w:rFonts w:hAnsi="宋体" w:hint="eastAsia"/>
          <w:szCs w:val="24"/>
        </w:rPr>
        <w:t>新任基金</w:t>
      </w:r>
      <w:proofErr w:type="gramEnd"/>
      <w:r>
        <w:rPr>
          <w:rFonts w:hAnsi="宋体" w:hint="eastAsia"/>
          <w:szCs w:val="24"/>
        </w:rPr>
        <w:t>托管人应在更换基金管理人和基金托管人的基金份额持有人大会决议生效后</w:t>
      </w:r>
      <w:r w:rsidR="00AA7F70" w:rsidRPr="00AA7F70">
        <w:rPr>
          <w:rFonts w:hAnsi="宋体" w:hint="eastAsia"/>
          <w:szCs w:val="24"/>
        </w:rPr>
        <w:t>依照《信息披露办法》的有关规定在规定媒介上联合公告。</w:t>
      </w:r>
    </w:p>
    <w:p w14:paraId="3F3698C6" w14:textId="6441C4B1" w:rsidR="00AE4DAB" w:rsidRDefault="00F162B2">
      <w:pPr>
        <w:pStyle w:val="20"/>
        <w:spacing w:before="0" w:after="0" w:line="520" w:lineRule="atLeast"/>
        <w:ind w:left="0" w:firstLineChars="200" w:firstLine="480"/>
        <w:rPr>
          <w:bCs/>
        </w:rPr>
      </w:pPr>
      <w:r>
        <w:rPr>
          <w:rFonts w:hAnsi="宋体" w:hint="eastAsia"/>
          <w:szCs w:val="24"/>
        </w:rPr>
        <w:t>14.4新任或临时基金管理人</w:t>
      </w:r>
      <w:r>
        <w:rPr>
          <w:rFonts w:hint="eastAsia"/>
          <w:bCs/>
        </w:rPr>
        <w:t>接</w:t>
      </w:r>
      <w:r w:rsidR="000D4FAA">
        <w:rPr>
          <w:bCs/>
        </w:rPr>
        <w:t>收</w:t>
      </w:r>
      <w:r>
        <w:rPr>
          <w:rFonts w:hAnsi="宋体" w:hint="eastAsia"/>
          <w:szCs w:val="24"/>
        </w:rPr>
        <w:t>基金管理业务</w:t>
      </w:r>
      <w:r w:rsidR="00FD54C4">
        <w:rPr>
          <w:rFonts w:hAnsi="宋体" w:hint="eastAsia"/>
          <w:szCs w:val="24"/>
        </w:rPr>
        <w:t>，</w:t>
      </w:r>
      <w:r>
        <w:rPr>
          <w:rFonts w:hAnsi="宋体" w:hint="eastAsia"/>
          <w:szCs w:val="24"/>
        </w:rPr>
        <w:t>或新</w:t>
      </w:r>
      <w:r w:rsidR="00FD54C4" w:rsidRPr="004A59C3">
        <w:rPr>
          <w:rFonts w:hint="eastAsia"/>
          <w:bCs/>
        </w:rPr>
        <w:t>基金托管人</w:t>
      </w:r>
      <w:r>
        <w:rPr>
          <w:rFonts w:hAnsi="宋体" w:hint="eastAsia"/>
          <w:szCs w:val="24"/>
        </w:rPr>
        <w:t>或临时基金托管人</w:t>
      </w:r>
      <w:r>
        <w:rPr>
          <w:rFonts w:hint="eastAsia"/>
          <w:bCs/>
        </w:rPr>
        <w:t>接</w:t>
      </w:r>
      <w:r w:rsidR="000D4FAA">
        <w:rPr>
          <w:bCs/>
        </w:rPr>
        <w:t>收</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sidR="000D4FAA">
        <w:rPr>
          <w:rFonts w:hAnsi="宋体" w:hint="eastAsia"/>
          <w:szCs w:val="24"/>
        </w:rPr>
        <w:t>依据法律法规和基金合同的规定</w:t>
      </w:r>
      <w:r>
        <w:rPr>
          <w:rFonts w:hAnsi="宋体" w:hint="eastAsia"/>
          <w:szCs w:val="24"/>
        </w:rPr>
        <w:t>继续履行相关职责，并保证不</w:t>
      </w:r>
      <w:r w:rsidR="00FD54C4" w:rsidRPr="004A59C3">
        <w:rPr>
          <w:rFonts w:hint="eastAsia"/>
          <w:bCs/>
        </w:rPr>
        <w:t>做出对基金份额持有人的利益造成损害的行为。</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w:t>
      </w:r>
      <w:r>
        <w:rPr>
          <w:rFonts w:hint="eastAsia"/>
          <w:bCs/>
        </w:rPr>
        <w:lastRenderedPageBreak/>
        <w:t>按照</w:t>
      </w:r>
      <w:r>
        <w:rPr>
          <w:bCs/>
        </w:rPr>
        <w:t>基金</w:t>
      </w:r>
      <w:r>
        <w:rPr>
          <w:rFonts w:hint="eastAsia"/>
          <w:bCs/>
        </w:rPr>
        <w:t>合同的规定收取基金管理费或基金托管费。</w:t>
      </w:r>
    </w:p>
    <w:p w14:paraId="2C8FAFC2" w14:textId="541C020C" w:rsidR="00AE4DAB" w:rsidRDefault="00F162B2">
      <w:pPr>
        <w:pStyle w:val="20"/>
        <w:spacing w:before="0" w:after="0" w:line="520" w:lineRule="atLeas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基金管理人、基金托管人更换条件和程序的约定，凡是直接引用法律法规或监管规则的部分，如将来法律法规或监管规则修改导致相关内容被取消或变更的，基金管理人</w:t>
      </w:r>
      <w:r w:rsidR="00437F05" w:rsidRPr="004A59C3">
        <w:rPr>
          <w:rFonts w:ascii="Arial" w:hAnsi="Arial" w:cs="Arial" w:hint="eastAsia"/>
          <w:bCs/>
        </w:rPr>
        <w:t>在履行适当程序</w:t>
      </w:r>
      <w:r>
        <w:rPr>
          <w:rFonts w:hint="eastAsia"/>
          <w:bCs/>
        </w:rPr>
        <w:t>并提前公告后，可直接对相应内容进行修改和调整，无需召开基金份额持有人大会审议。</w:t>
      </w:r>
    </w:p>
    <w:p w14:paraId="1F56786D" w14:textId="77777777" w:rsidR="00AE4DAB" w:rsidRDefault="00F162B2">
      <w:pPr>
        <w:pStyle w:val="1"/>
        <w:spacing w:line="520" w:lineRule="atLeast"/>
        <w:ind w:firstLineChars="200" w:firstLine="482"/>
        <w:rPr>
          <w:bCs/>
          <w:color w:val="auto"/>
          <w:szCs w:val="24"/>
        </w:rPr>
      </w:pPr>
      <w:bookmarkStart w:id="39" w:name="_Toc44321738"/>
      <w:bookmarkStart w:id="40" w:name="_Toc296551351"/>
      <w:r>
        <w:rPr>
          <w:rFonts w:hint="eastAsia"/>
          <w:bCs/>
          <w:color w:val="auto"/>
          <w:szCs w:val="24"/>
        </w:rPr>
        <w:t>第十五条 禁止行为</w:t>
      </w:r>
      <w:bookmarkEnd w:id="39"/>
      <w:bookmarkEnd w:id="40"/>
    </w:p>
    <w:p w14:paraId="5356A3F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14:paraId="3DDE428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12AB2D8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4BFE70E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7B3D439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785738F1" w14:textId="51877241" w:rsidR="00AE4DAB" w:rsidRDefault="00F162B2">
      <w:pPr>
        <w:pStyle w:val="20"/>
        <w:spacing w:before="0" w:after="0" w:line="520" w:lineRule="atLeast"/>
        <w:ind w:left="0" w:firstLineChars="200" w:firstLine="480"/>
        <w:rPr>
          <w:rFonts w:hAnsi="宋体"/>
          <w:szCs w:val="24"/>
        </w:rPr>
      </w:pPr>
      <w:r>
        <w:rPr>
          <w:rFonts w:hAnsi="宋体" w:hint="eastAsia"/>
          <w:szCs w:val="24"/>
        </w:rPr>
        <w:t>15.1.5基金管理人、基金托管人对他人泄</w:t>
      </w:r>
      <w:r w:rsidR="00A50A97">
        <w:rPr>
          <w:rFonts w:hAnsi="宋体"/>
          <w:szCs w:val="24"/>
        </w:rPr>
        <w:t>露</w:t>
      </w:r>
      <w:r>
        <w:rPr>
          <w:rFonts w:hAnsi="宋体" w:hint="eastAsia"/>
          <w:szCs w:val="24"/>
        </w:rPr>
        <w:t>基金运作和管理过程中任何尚未按法律法规规定的方式公开披露的信息。</w:t>
      </w:r>
    </w:p>
    <w:p w14:paraId="4530793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6FA678E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6079654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15.1.8基金托管人私自动用或处分基金财产，根据基金管理人的合法指令、基金合同或本协议的规定进行处分的除外。</w:t>
      </w:r>
    </w:p>
    <w:p w14:paraId="2C2E239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14:paraId="01181B7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（1）承销证券；</w:t>
      </w:r>
    </w:p>
    <w:p w14:paraId="14E191C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2CA1221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3CA6435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（4）买卖其他基金份额，但是中国证监会另有规定的除外；</w:t>
      </w:r>
    </w:p>
    <w:p w14:paraId="5172DE9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（5）向其基金管理人、基金托管人出资；</w:t>
      </w:r>
    </w:p>
    <w:p w14:paraId="3ED18DC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08383BF3" w14:textId="77777777" w:rsidR="00AE4DAB" w:rsidRDefault="00F162B2">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70607F0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40F69174" w14:textId="77777777" w:rsidR="00AE4DAB" w:rsidRDefault="00F162B2">
      <w:pPr>
        <w:pStyle w:val="1"/>
        <w:spacing w:line="520" w:lineRule="atLeast"/>
        <w:ind w:firstLineChars="200" w:firstLine="482"/>
        <w:rPr>
          <w:bCs/>
          <w:color w:val="auto"/>
          <w:szCs w:val="24"/>
        </w:rPr>
      </w:pPr>
      <w:bookmarkStart w:id="41" w:name="_Toc44321739"/>
      <w:bookmarkStart w:id="42" w:name="_Toc296551352"/>
      <w:r>
        <w:rPr>
          <w:rFonts w:hint="eastAsia"/>
          <w:bCs/>
          <w:color w:val="auto"/>
          <w:szCs w:val="24"/>
        </w:rPr>
        <w:t>第十六条 本协议的变更、终止与基金财产的清算</w:t>
      </w:r>
      <w:bookmarkEnd w:id="41"/>
      <w:bookmarkEnd w:id="42"/>
    </w:p>
    <w:p w14:paraId="4E36DB7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16.1本协议的变更与终止</w:t>
      </w:r>
    </w:p>
    <w:p w14:paraId="298F4E2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16.1.1本协议的变更程序</w:t>
      </w:r>
    </w:p>
    <w:p w14:paraId="79B554A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w:t>
      </w:r>
      <w:r>
        <w:rPr>
          <w:rFonts w:asciiTheme="minorEastAsia" w:eastAsiaTheme="minorEastAsia" w:hAnsiTheme="minorEastAsia" w:hint="eastAsia"/>
          <w:szCs w:val="24"/>
        </w:rPr>
        <w:t>，并另行签署书面协议予以明确</w:t>
      </w:r>
      <w:r>
        <w:rPr>
          <w:rFonts w:hAnsi="宋体" w:hint="eastAsia"/>
          <w:szCs w:val="24"/>
        </w:rPr>
        <w:t>。变更后的托管协议，其内容不得与基金合同的规定有任何冲突。本协议的变更报中国证监会注册或备案。</w:t>
      </w:r>
    </w:p>
    <w:p w14:paraId="3C7C7C0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16.1.2本协议终止的情形</w:t>
      </w:r>
    </w:p>
    <w:p w14:paraId="0EAE123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46FCEE3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（1）基金合同终止；</w:t>
      </w:r>
    </w:p>
    <w:p w14:paraId="704B9CF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14:paraId="1FD128D7"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14:paraId="428778A8" w14:textId="7439B7A0" w:rsidR="00AE4DAB" w:rsidRDefault="00F162B2" w:rsidP="00D46F62">
      <w:pPr>
        <w:pStyle w:val="20"/>
        <w:spacing w:before="0" w:after="0" w:line="520" w:lineRule="atLeast"/>
        <w:ind w:left="0" w:firstLineChars="200" w:firstLine="480"/>
        <w:rPr>
          <w:rFonts w:hAnsi="宋体"/>
          <w:szCs w:val="24"/>
        </w:rPr>
      </w:pPr>
      <w:r>
        <w:rPr>
          <w:rFonts w:hAnsi="宋体" w:hint="eastAsia"/>
          <w:szCs w:val="24"/>
        </w:rPr>
        <w:t>（</w:t>
      </w:r>
      <w:r w:rsidR="00124F1E">
        <w:rPr>
          <w:rFonts w:hAnsi="宋体"/>
          <w:szCs w:val="24"/>
        </w:rPr>
        <w:t>4</w:t>
      </w:r>
      <w:r>
        <w:rPr>
          <w:rFonts w:hAnsi="宋体" w:hint="eastAsia"/>
          <w:szCs w:val="24"/>
        </w:rPr>
        <w:t>）发生法律法规或基金合同规定的终止事项。</w:t>
      </w:r>
    </w:p>
    <w:p w14:paraId="622C9C3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16.2基金财产的清算</w:t>
      </w:r>
    </w:p>
    <w:p w14:paraId="6473073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16.2.1基金财产清算小组</w:t>
      </w:r>
    </w:p>
    <w:p w14:paraId="2BE872C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（1）自出现基金合同终止事由之日起30个工作日内成立清算小组，基金管理人组织基金财产清算小组并在中国证监会的监督下进行基金清算。</w:t>
      </w:r>
    </w:p>
    <w:p w14:paraId="0F8896DD"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r>
        <w:rPr>
          <w:rFonts w:hAnsi="宋体" w:hint="eastAsia"/>
          <w:bCs/>
          <w:szCs w:val="24"/>
        </w:rPr>
        <w:t>符合《中华人民共和国证券法》规定</w:t>
      </w:r>
      <w:r>
        <w:rPr>
          <w:rFonts w:hAnsi="宋体" w:hint="eastAsia"/>
          <w:szCs w:val="24"/>
        </w:rPr>
        <w:t>的注册会计师、律师以及中国证监会指定的人员组成。基金财产清算小组可以聘用必要的工作人员。</w:t>
      </w:r>
    </w:p>
    <w:p w14:paraId="061049D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w:t>
      </w:r>
      <w:r w:rsidR="009151EA">
        <w:rPr>
          <w:rFonts w:hAnsi="宋体" w:hint="eastAsia"/>
          <w:szCs w:val="24"/>
        </w:rPr>
        <w:t>3</w:t>
      </w:r>
      <w:r>
        <w:rPr>
          <w:rFonts w:hAnsi="宋体" w:hint="eastAsia"/>
          <w:szCs w:val="24"/>
        </w:rPr>
        <w:t>）基金财产清算小组负责基金财产的保管、清理、估价、变现和分配。基金财产清算小组可以依法进行必要的民事活动。</w:t>
      </w:r>
    </w:p>
    <w:p w14:paraId="39EDA7B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16.2.2基金财产清算程序</w:t>
      </w:r>
    </w:p>
    <w:p w14:paraId="6D48769D" w14:textId="591CA1DA"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（1）基金合同终止情形出现时，由基金财产清算小组统一接管基金</w:t>
      </w:r>
      <w:r w:rsidR="000D4FAA">
        <w:rPr>
          <w:rFonts w:hAnsi="宋体" w:hint="eastAsia"/>
          <w:szCs w:val="24"/>
        </w:rPr>
        <w:t>财产</w:t>
      </w:r>
      <w:r>
        <w:rPr>
          <w:rFonts w:hAnsi="宋体" w:hint="eastAsia"/>
          <w:szCs w:val="24"/>
        </w:rPr>
        <w:t>；</w:t>
      </w:r>
    </w:p>
    <w:p w14:paraId="0FFB6265"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39FA6BD2"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57073ACB"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（4）制作清算报告；</w:t>
      </w:r>
    </w:p>
    <w:p w14:paraId="4B675FFA"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57D9D8A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5B5A6366"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（7）对基金剩余财产进行分配。</w:t>
      </w:r>
    </w:p>
    <w:p w14:paraId="35A4383E" w14:textId="654658B4" w:rsidR="00AE4DAB" w:rsidRDefault="00F162B2">
      <w:pPr>
        <w:pStyle w:val="20"/>
        <w:spacing w:before="0" w:after="0" w:line="520" w:lineRule="atLeast"/>
        <w:ind w:left="0" w:firstLineChars="200" w:firstLine="480"/>
        <w:rPr>
          <w:bCs/>
          <w:szCs w:val="24"/>
        </w:rPr>
      </w:pPr>
      <w:r>
        <w:rPr>
          <w:bCs/>
        </w:rPr>
        <w:t>基金财产清算的期限</w:t>
      </w:r>
      <w:r>
        <w:rPr>
          <w:rFonts w:hint="eastAsia"/>
          <w:bCs/>
        </w:rPr>
        <w:t>不超过6</w:t>
      </w:r>
      <w:r>
        <w:rPr>
          <w:bCs/>
        </w:rPr>
        <w:t>个月</w:t>
      </w:r>
      <w:r>
        <w:rPr>
          <w:rFonts w:hint="eastAsia"/>
          <w:bCs/>
          <w:szCs w:val="24"/>
        </w:rPr>
        <w:t>，但因本基金所持证券的流动性受到限制而不能及时变现的，清算期限相应顺延。</w:t>
      </w:r>
    </w:p>
    <w:p w14:paraId="780E637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16.2.3清算费用</w:t>
      </w:r>
    </w:p>
    <w:p w14:paraId="5B0B7864" w14:textId="3A7A0602" w:rsidR="00AE4DAB" w:rsidRDefault="00F162B2">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w:t>
      </w:r>
      <w:r w:rsidR="000D4FAA">
        <w:rPr>
          <w:rFonts w:hAnsi="宋体" w:hint="eastAsia"/>
          <w:szCs w:val="24"/>
        </w:rPr>
        <w:t>财产</w:t>
      </w:r>
      <w:r>
        <w:rPr>
          <w:rFonts w:hAnsi="宋体" w:hint="eastAsia"/>
          <w:szCs w:val="24"/>
        </w:rPr>
        <w:t>清算过程中发生的所有合理费用，清算费用由基金财产清算小组优先从基金财产中支付。</w:t>
      </w:r>
    </w:p>
    <w:p w14:paraId="62168757" w14:textId="77777777" w:rsidR="00056D4F" w:rsidRPr="00056D4F" w:rsidRDefault="00F162B2" w:rsidP="00056D4F">
      <w:pPr>
        <w:pStyle w:val="20"/>
        <w:spacing w:before="0" w:after="0" w:line="520" w:lineRule="atLeast"/>
        <w:ind w:left="0" w:firstLineChars="200" w:firstLine="480"/>
        <w:rPr>
          <w:rFonts w:hAnsi="宋体"/>
          <w:szCs w:val="24"/>
        </w:rPr>
      </w:pPr>
      <w:r>
        <w:rPr>
          <w:rFonts w:hAnsi="宋体" w:hint="eastAsia"/>
          <w:szCs w:val="24"/>
        </w:rPr>
        <w:t>16.2.4</w:t>
      </w:r>
      <w:r w:rsidR="007906EA" w:rsidRPr="004A59C3">
        <w:rPr>
          <w:rFonts w:hint="eastAsia"/>
          <w:bCs/>
        </w:rPr>
        <w:t>基金财产清算剩余资产的分配</w:t>
      </w:r>
      <w:r w:rsidR="007906EA">
        <w:rPr>
          <w:rFonts w:hint="eastAsia"/>
          <w:bCs/>
        </w:rPr>
        <w:t>：</w:t>
      </w:r>
      <w:r w:rsidR="00056D4F" w:rsidRPr="00056D4F">
        <w:rPr>
          <w:rFonts w:hAnsi="宋体" w:hint="eastAsia"/>
          <w:szCs w:val="24"/>
        </w:rPr>
        <w:t>依据基金财产清算的分配方案，将基金财产清算后的全部剩余资产扣除基金财产清算费用、交纳所欠税款并清偿基金债务后，按基金份额持有人持有的基金份额比例进行分配。</w:t>
      </w:r>
    </w:p>
    <w:p w14:paraId="15530DD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2E46C6E6" w14:textId="77777777" w:rsidR="00AE4DAB" w:rsidRDefault="007906EA">
      <w:pPr>
        <w:spacing w:line="520" w:lineRule="atLeast"/>
        <w:ind w:firstLineChars="200" w:firstLine="480"/>
        <w:rPr>
          <w:bCs/>
          <w:sz w:val="24"/>
        </w:rPr>
      </w:pPr>
      <w:r w:rsidRPr="004A59C3">
        <w:rPr>
          <w:rFonts w:hint="eastAsia"/>
          <w:bCs/>
          <w:sz w:val="24"/>
        </w:rPr>
        <w:t>清算过程中的有关重大事项须及时公告；基金财产清算报告</w:t>
      </w:r>
      <w:proofErr w:type="gramStart"/>
      <w:r w:rsidRPr="004A59C3">
        <w:rPr>
          <w:rFonts w:hint="eastAsia"/>
          <w:bCs/>
          <w:sz w:val="24"/>
        </w:rPr>
        <w:t>经符合</w:t>
      </w:r>
      <w:proofErr w:type="gramEnd"/>
      <w:r w:rsidRPr="004A59C3">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4A59C3">
        <w:rPr>
          <w:bCs/>
          <w:sz w:val="24"/>
        </w:rPr>
        <w:t>5</w:t>
      </w:r>
      <w:r w:rsidRPr="004A59C3">
        <w:rPr>
          <w:rFonts w:hint="eastAsia"/>
          <w:bCs/>
          <w:sz w:val="24"/>
        </w:rPr>
        <w:t>个工作日内由基金财产清算小组进行公告。</w:t>
      </w:r>
    </w:p>
    <w:p w14:paraId="6C493E9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50F238C9" w14:textId="6E7D5C0C" w:rsidR="00AE4DAB" w:rsidRDefault="00F162B2" w:rsidP="009647D5">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w:t>
      </w:r>
      <w:r w:rsidR="009647D5" w:rsidRPr="009647D5">
        <w:rPr>
          <w:rFonts w:hAnsi="宋体" w:hint="eastAsia"/>
          <w:szCs w:val="24"/>
        </w:rPr>
        <w:t>，保存期限不低于法律法规规定的最低期限。</w:t>
      </w:r>
      <w:bookmarkStart w:id="43" w:name="_Toc296551353"/>
    </w:p>
    <w:p w14:paraId="77795773" w14:textId="77777777" w:rsidR="00AE4DAB" w:rsidRDefault="00F162B2">
      <w:pPr>
        <w:pStyle w:val="1"/>
        <w:spacing w:line="520" w:lineRule="atLeast"/>
        <w:ind w:firstLineChars="200" w:firstLine="482"/>
        <w:rPr>
          <w:bCs/>
          <w:color w:val="auto"/>
          <w:szCs w:val="24"/>
        </w:rPr>
      </w:pPr>
      <w:bookmarkStart w:id="44" w:name="_Toc44321740"/>
      <w:r>
        <w:rPr>
          <w:rFonts w:hint="eastAsia"/>
          <w:bCs/>
          <w:color w:val="auto"/>
          <w:szCs w:val="24"/>
        </w:rPr>
        <w:t>第十七条 违约责任</w:t>
      </w:r>
      <w:bookmarkEnd w:id="43"/>
      <w:bookmarkEnd w:id="44"/>
    </w:p>
    <w:p w14:paraId="051CCE3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3D1FDC23"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17.2</w:t>
      </w:r>
      <w:r>
        <w:rPr>
          <w:rFonts w:hAnsi="宋体" w:hint="eastAsia"/>
          <w:b/>
          <w:bCs/>
          <w:szCs w:val="24"/>
        </w:rPr>
        <w:t>因托管协议当事人违约给基金财产或者基金份额持有人造成损害的，应</w:t>
      </w:r>
      <w:r>
        <w:rPr>
          <w:rFonts w:hAnsi="宋体" w:hint="eastAsia"/>
          <w:b/>
          <w:bCs/>
          <w:szCs w:val="24"/>
        </w:rPr>
        <w:lastRenderedPageBreak/>
        <w:t>当分别对各自的行为依法承担赔偿责任，因共同行为给基金财产或者基金份额持有人造成损害的，应当承担连带赔偿责任。</w:t>
      </w:r>
      <w:r>
        <w:rPr>
          <w:rFonts w:hAnsi="宋体" w:hint="eastAsia"/>
          <w:szCs w:val="24"/>
        </w:rPr>
        <w:t>但是发生下列情况，当事人免责：</w:t>
      </w:r>
    </w:p>
    <w:p w14:paraId="0A4D017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（1）不可抗力；</w:t>
      </w:r>
    </w:p>
    <w:p w14:paraId="473EB28F"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4B5500D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（3）基金管理人由于按照基金合同规定的投资原则而行使或不行使其投资权而造成的损失等。</w:t>
      </w:r>
    </w:p>
    <w:p w14:paraId="170E6A1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1F07AA8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424BD4E"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107F13C9"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14:paraId="7626AD34" w14:textId="77777777" w:rsidR="00AE4DAB" w:rsidRDefault="00F162B2">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44CFA405" w14:textId="77777777" w:rsidR="00AE4DAB" w:rsidRDefault="00F162B2">
      <w:pPr>
        <w:pStyle w:val="1"/>
        <w:spacing w:line="520" w:lineRule="atLeast"/>
        <w:ind w:firstLineChars="200" w:firstLine="482"/>
        <w:rPr>
          <w:bCs/>
          <w:color w:val="auto"/>
          <w:szCs w:val="24"/>
        </w:rPr>
      </w:pPr>
      <w:bookmarkStart w:id="45" w:name="_Toc44321741"/>
      <w:bookmarkStart w:id="46" w:name="_Toc296551354"/>
      <w:r>
        <w:rPr>
          <w:rFonts w:hint="eastAsia"/>
          <w:bCs/>
          <w:color w:val="auto"/>
          <w:szCs w:val="24"/>
        </w:rPr>
        <w:t>第十八条 法律</w:t>
      </w:r>
      <w:r>
        <w:rPr>
          <w:bCs/>
          <w:color w:val="auto"/>
          <w:szCs w:val="24"/>
        </w:rPr>
        <w:t>适用和</w:t>
      </w:r>
      <w:r>
        <w:rPr>
          <w:rFonts w:hint="eastAsia"/>
          <w:bCs/>
          <w:color w:val="auto"/>
          <w:szCs w:val="24"/>
        </w:rPr>
        <w:t>争议解决</w:t>
      </w:r>
      <w:bookmarkEnd w:id="45"/>
      <w:bookmarkEnd w:id="46"/>
    </w:p>
    <w:p w14:paraId="6CD41EAB" w14:textId="77777777" w:rsidR="00AE4DAB" w:rsidRDefault="00F162B2">
      <w:pPr>
        <w:adjustRightInd w:val="0"/>
        <w:snapToGrid w:val="0"/>
        <w:spacing w:line="520" w:lineRule="atLeast"/>
        <w:ind w:firstLineChars="200" w:firstLine="480"/>
        <w:rPr>
          <w:bCs/>
          <w:sz w:val="24"/>
        </w:rPr>
      </w:pPr>
      <w:r>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27DC7712" w14:textId="63746D94" w:rsidR="00AE4DAB" w:rsidRDefault="00F162B2">
      <w:pPr>
        <w:adjustRightInd w:val="0"/>
        <w:snapToGrid w:val="0"/>
        <w:spacing w:line="520" w:lineRule="atLeast"/>
        <w:ind w:firstLineChars="200" w:firstLine="482"/>
        <w:rPr>
          <w:b/>
          <w:sz w:val="24"/>
        </w:rPr>
      </w:pPr>
      <w:r>
        <w:rPr>
          <w:rFonts w:hint="eastAsia"/>
          <w:b/>
          <w:sz w:val="24"/>
        </w:rPr>
        <w:t>凡因本协议产生的及与本协议有关的争议，双方均应协商解决；协商不成的，</w:t>
      </w:r>
      <w:r w:rsidR="001F6538">
        <w:rPr>
          <w:rFonts w:hint="eastAsia"/>
          <w:b/>
          <w:sz w:val="24"/>
        </w:rPr>
        <w:lastRenderedPageBreak/>
        <w:t>任何一方均有权</w:t>
      </w:r>
      <w:r>
        <w:rPr>
          <w:rFonts w:hint="eastAsia"/>
          <w:b/>
          <w:sz w:val="24"/>
        </w:rPr>
        <w:t>向</w:t>
      </w:r>
      <w:r>
        <w:rPr>
          <w:rFonts w:hint="eastAsia"/>
          <w:b/>
          <w:bCs/>
          <w:sz w:val="24"/>
        </w:rPr>
        <w:t>上海国际经济贸易仲裁委员会</w:t>
      </w:r>
      <w:r>
        <w:rPr>
          <w:rFonts w:hint="eastAsia"/>
          <w:b/>
          <w:sz w:val="24"/>
        </w:rPr>
        <w:t>申请仲裁，仲裁地为上海并适用申请仲裁时该仲裁机构届时有效的仲裁规则。</w:t>
      </w:r>
      <w:r w:rsidR="005277E5" w:rsidRPr="005277E5">
        <w:rPr>
          <w:rFonts w:hint="eastAsia"/>
          <w:b/>
          <w:sz w:val="24"/>
        </w:rPr>
        <w:t>仲裁裁决是终局的，对当事人均有约束力。除非仲裁裁决另有决定，仲裁费用由败诉方承担。</w:t>
      </w:r>
    </w:p>
    <w:p w14:paraId="4FD0BED6" w14:textId="77777777" w:rsidR="00AE4DAB" w:rsidRDefault="00F162B2">
      <w:pPr>
        <w:adjustRightInd w:val="0"/>
        <w:snapToGrid w:val="0"/>
        <w:spacing w:line="520" w:lineRule="atLeast"/>
        <w:ind w:firstLineChars="200" w:firstLine="480"/>
        <w:rPr>
          <w:bCs/>
          <w:sz w:val="24"/>
        </w:rPr>
      </w:pPr>
      <w:r>
        <w:rPr>
          <w:rFonts w:hint="eastAsia"/>
          <w:bCs/>
          <w:sz w:val="24"/>
        </w:rPr>
        <w:t>争议处理期间，双方当事人应恪守基金管理人和基金托管人职责，继续忠实、勤勉、尽责地履行基金合同和本协议规定的义务，维护基金份额持有人的合法权益。</w:t>
      </w:r>
    </w:p>
    <w:p w14:paraId="1635F4A8" w14:textId="77777777" w:rsidR="00AE4DAB" w:rsidRDefault="00F162B2">
      <w:pPr>
        <w:pStyle w:val="1"/>
        <w:adjustRightInd w:val="0"/>
        <w:spacing w:line="520" w:lineRule="atLeast"/>
        <w:ind w:firstLineChars="200" w:firstLine="482"/>
        <w:rPr>
          <w:bCs/>
          <w:color w:val="auto"/>
          <w:szCs w:val="24"/>
        </w:rPr>
      </w:pPr>
      <w:bookmarkStart w:id="47" w:name="_Toc44321742"/>
      <w:bookmarkStart w:id="48" w:name="_Toc296551355"/>
      <w:r>
        <w:rPr>
          <w:rFonts w:hint="eastAsia"/>
          <w:bCs/>
          <w:color w:val="auto"/>
          <w:szCs w:val="24"/>
        </w:rPr>
        <w:t>第十九条 本协议的效力</w:t>
      </w:r>
      <w:bookmarkEnd w:id="47"/>
      <w:bookmarkEnd w:id="48"/>
    </w:p>
    <w:p w14:paraId="2EF78D80" w14:textId="77777777"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19.1基金管理人在向中国证监会申请基金募集注册时提交的托管协议草案，应经托管协议当事人加盖公章或合同专用章以及双方法定代表人</w:t>
      </w:r>
      <w:r>
        <w:rPr>
          <w:rFonts w:hAnsi="宋体"/>
          <w:szCs w:val="24"/>
        </w:rPr>
        <w:t>/负责人</w:t>
      </w:r>
      <w:r>
        <w:rPr>
          <w:rFonts w:hAnsi="宋体" w:hint="eastAsia"/>
          <w:szCs w:val="24"/>
        </w:rPr>
        <w:t>或授权代理人签章（签字或加盖名章），本协议当事人双方可能不时根据中国证监会的意见修改托管协议草案。本协议以中国证监会注册的最终文本为正式文本。</w:t>
      </w:r>
    </w:p>
    <w:p w14:paraId="69FC316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19.2本协议自双方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之日起成立，自基金合同生效之日起生效。本协议的有效期自其生效之日起至该基金财产清算结果报中国证监会备案并公告之日止。如基金合同与托管协议对相同事项</w:t>
      </w:r>
      <w:proofErr w:type="gramStart"/>
      <w:r>
        <w:rPr>
          <w:rFonts w:hAnsi="宋体" w:hint="eastAsia"/>
          <w:szCs w:val="24"/>
        </w:rPr>
        <w:t>作出</w:t>
      </w:r>
      <w:proofErr w:type="gramEnd"/>
      <w:r>
        <w:rPr>
          <w:rFonts w:hAnsi="宋体" w:hint="eastAsia"/>
          <w:szCs w:val="24"/>
        </w:rPr>
        <w:t>不同约定的，以基金合同约定为准。</w:t>
      </w:r>
    </w:p>
    <w:p w14:paraId="0AFF33D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14:paraId="7B73FA78"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19.4本协议正本一式三份，除上报有关监管机构一份外，基金管理人和基金托管人分别持有一份，每份具有同等的法律效力。</w:t>
      </w:r>
    </w:p>
    <w:p w14:paraId="2B5CBF1D" w14:textId="77777777" w:rsidR="00AE4DAB" w:rsidRDefault="00F162B2">
      <w:pPr>
        <w:pStyle w:val="1"/>
        <w:spacing w:line="520" w:lineRule="atLeast"/>
        <w:ind w:firstLineChars="200" w:firstLine="482"/>
        <w:rPr>
          <w:bCs/>
          <w:color w:val="auto"/>
          <w:szCs w:val="24"/>
        </w:rPr>
      </w:pPr>
      <w:bookmarkStart w:id="49" w:name="_Toc296551356"/>
      <w:bookmarkStart w:id="50" w:name="_Toc44321743"/>
      <w:r>
        <w:rPr>
          <w:rFonts w:hint="eastAsia"/>
          <w:bCs/>
          <w:color w:val="auto"/>
          <w:szCs w:val="24"/>
        </w:rPr>
        <w:t>第二十条 本协议的签订</w:t>
      </w:r>
      <w:bookmarkEnd w:id="49"/>
      <w:bookmarkEnd w:id="50"/>
    </w:p>
    <w:p w14:paraId="201C7635" w14:textId="77777777" w:rsidR="00AE4DAB" w:rsidRDefault="00F162B2">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Pr>
          <w:rFonts w:ascii="宋体" w:hAnsi="宋体"/>
          <w:sz w:val="24"/>
          <w:szCs w:val="24"/>
        </w:rPr>
        <w:t>/负责人</w:t>
      </w:r>
      <w:r>
        <w:rPr>
          <w:rFonts w:ascii="宋体" w:hAnsi="宋体" w:hint="eastAsia"/>
          <w:sz w:val="24"/>
          <w:szCs w:val="24"/>
        </w:rPr>
        <w:t>或授权代理人签章（签字或加盖名章），并注明本托管协议的签订地点和签订日期。</w:t>
      </w:r>
    </w:p>
    <w:p w14:paraId="7EEF8B58" w14:textId="77777777" w:rsidR="00AE4DAB" w:rsidRDefault="00F162B2">
      <w:pPr>
        <w:pStyle w:val="1"/>
        <w:spacing w:line="520" w:lineRule="atLeast"/>
        <w:ind w:firstLineChars="200" w:firstLine="482"/>
        <w:rPr>
          <w:bCs/>
          <w:color w:val="auto"/>
          <w:szCs w:val="24"/>
        </w:rPr>
      </w:pPr>
      <w:bookmarkStart w:id="51" w:name="_Toc44321744"/>
      <w:r>
        <w:rPr>
          <w:rFonts w:hint="eastAsia"/>
          <w:bCs/>
          <w:color w:val="auto"/>
          <w:szCs w:val="24"/>
        </w:rPr>
        <w:t>第二十一条 不可抗力</w:t>
      </w:r>
      <w:bookmarkEnd w:id="51"/>
    </w:p>
    <w:p w14:paraId="46C1A2BC"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0D8CD234"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6E68C870"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w:t>
      </w:r>
      <w:r>
        <w:rPr>
          <w:rFonts w:hAnsi="宋体" w:hint="eastAsia"/>
          <w:szCs w:val="24"/>
        </w:rPr>
        <w:lastRenderedPageBreak/>
        <w:t>不可抗力事件或其影响终止或消除后，双方须立即恢复履行各自在本协议项下的各项义务。</w:t>
      </w:r>
    </w:p>
    <w:p w14:paraId="44DE6FB1" w14:textId="77777777" w:rsidR="00AE4DAB" w:rsidRDefault="00F162B2">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246FAEA5" w14:textId="77777777" w:rsidR="00AE4DAB" w:rsidRDefault="00F162B2">
      <w:pPr>
        <w:pStyle w:val="1"/>
        <w:spacing w:line="520" w:lineRule="atLeast"/>
        <w:ind w:firstLineChars="200" w:firstLine="482"/>
        <w:rPr>
          <w:bCs/>
          <w:szCs w:val="24"/>
        </w:rPr>
      </w:pPr>
      <w:bookmarkStart w:id="52" w:name="_Toc132794325"/>
      <w:bookmarkStart w:id="53" w:name="_Toc132794328"/>
      <w:bookmarkStart w:id="54" w:name="_Toc132794330"/>
      <w:bookmarkStart w:id="55" w:name="_Toc132794324"/>
      <w:bookmarkStart w:id="56" w:name="_Toc132794326"/>
      <w:bookmarkStart w:id="57" w:name="_Toc132794329"/>
      <w:bookmarkStart w:id="58" w:name="_Toc132794327"/>
      <w:bookmarkStart w:id="59" w:name="_Toc44321745"/>
      <w:bookmarkEnd w:id="52"/>
      <w:bookmarkEnd w:id="53"/>
      <w:bookmarkEnd w:id="54"/>
      <w:bookmarkEnd w:id="55"/>
      <w:bookmarkEnd w:id="56"/>
      <w:bookmarkEnd w:id="57"/>
      <w:bookmarkEnd w:id="58"/>
      <w:r>
        <w:rPr>
          <w:rFonts w:hint="eastAsia"/>
          <w:bCs/>
          <w:color w:val="auto"/>
          <w:szCs w:val="24"/>
        </w:rPr>
        <w:t>第二十二条</w:t>
      </w:r>
      <w:r>
        <w:rPr>
          <w:bCs/>
          <w:color w:val="auto"/>
          <w:szCs w:val="24"/>
        </w:rPr>
        <w:t xml:space="preserve"> </w:t>
      </w:r>
      <w:r>
        <w:rPr>
          <w:rFonts w:hint="eastAsia"/>
          <w:bCs/>
          <w:color w:val="auto"/>
          <w:szCs w:val="24"/>
        </w:rPr>
        <w:t>可分割性</w:t>
      </w:r>
      <w:bookmarkEnd w:id="59"/>
    </w:p>
    <w:p w14:paraId="6B8BC582" w14:textId="77777777" w:rsidR="00AE4DAB" w:rsidRDefault="00F162B2">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14:paraId="6C24F6B3" w14:textId="77777777" w:rsidR="00AE4DAB" w:rsidRDefault="00F162B2">
      <w:pPr>
        <w:pStyle w:val="1"/>
        <w:spacing w:line="520" w:lineRule="atLeast"/>
        <w:ind w:firstLineChars="200" w:firstLine="482"/>
        <w:rPr>
          <w:bCs/>
          <w:szCs w:val="24"/>
        </w:rPr>
      </w:pPr>
      <w:bookmarkStart w:id="60" w:name="_Toc44321746"/>
      <w:r>
        <w:rPr>
          <w:rFonts w:hint="eastAsia"/>
          <w:bCs/>
          <w:color w:val="auto"/>
          <w:szCs w:val="24"/>
        </w:rPr>
        <w:t>第二十三条</w:t>
      </w:r>
      <w:r>
        <w:rPr>
          <w:bCs/>
          <w:color w:val="auto"/>
          <w:szCs w:val="24"/>
        </w:rPr>
        <w:t xml:space="preserve"> </w:t>
      </w:r>
      <w:r>
        <w:rPr>
          <w:rFonts w:hint="eastAsia"/>
          <w:bCs/>
          <w:color w:val="auto"/>
          <w:szCs w:val="24"/>
        </w:rPr>
        <w:t>通知与送达</w:t>
      </w:r>
      <w:bookmarkEnd w:id="60"/>
    </w:p>
    <w:p w14:paraId="61190F36" w14:textId="77777777" w:rsidR="00AE4DAB" w:rsidRDefault="00F162B2">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23.1</w:t>
      </w:r>
      <w:bookmarkStart w:id="61" w:name="OLE_LINK89"/>
      <w:bookmarkStart w:id="62" w:name="OLE_LINK88"/>
      <w:r>
        <w:rPr>
          <w:rFonts w:asciiTheme="minorEastAsia" w:eastAsiaTheme="minorEastAsia" w:hAnsiTheme="minorEastAsia" w:hint="eastAsia"/>
          <w:szCs w:val="24"/>
        </w:rPr>
        <w:t>除本协议另有约定外，双方就本协议中涉及各类通知、函件、附件、协议等文件以及就本协议发生纠纷</w:t>
      </w:r>
      <w:proofErr w:type="gramStart"/>
      <w:r>
        <w:rPr>
          <w:rFonts w:asciiTheme="minorEastAsia" w:eastAsiaTheme="minorEastAsia" w:hAnsiTheme="minorEastAsia" w:hint="eastAsia"/>
          <w:szCs w:val="24"/>
        </w:rPr>
        <w:t>时相关</w:t>
      </w:r>
      <w:proofErr w:type="gramEnd"/>
      <w:r>
        <w:rPr>
          <w:rFonts w:asciiTheme="minorEastAsia" w:eastAsiaTheme="minorEastAsia" w:hAnsiTheme="minorEastAsia" w:hint="eastAsia"/>
          <w:szCs w:val="24"/>
        </w:rPr>
        <w:t>文件和法律文书送达时的送达地址（</w:t>
      </w:r>
      <w:proofErr w:type="gramStart"/>
      <w:r>
        <w:rPr>
          <w:rFonts w:asciiTheme="minorEastAsia" w:eastAsiaTheme="minorEastAsia" w:hAnsiTheme="minorEastAsia" w:hint="eastAsia"/>
          <w:szCs w:val="24"/>
        </w:rPr>
        <w:t>含联系</w:t>
      </w:r>
      <w:proofErr w:type="gramEnd"/>
      <w:r>
        <w:rPr>
          <w:rFonts w:asciiTheme="minorEastAsia" w:eastAsiaTheme="minorEastAsia" w:hAnsiTheme="minorEastAsia" w:hint="eastAsia"/>
          <w:szCs w:val="24"/>
        </w:rPr>
        <w:t>方式，下同）及法律后果作如下约定：</w:t>
      </w:r>
      <w:bookmarkEnd w:id="61"/>
      <w:bookmarkEnd w:id="62"/>
    </w:p>
    <w:p w14:paraId="196970E6" w14:textId="77777777" w:rsidR="00AE4DAB" w:rsidRDefault="00F162B2">
      <w:pPr>
        <w:pStyle w:val="20"/>
        <w:adjustRightInd w:val="0"/>
        <w:snapToGrid w:val="0"/>
        <w:spacing w:before="0" w:after="0" w:line="520" w:lineRule="atLeast"/>
        <w:ind w:left="0" w:firstLineChars="200" w:firstLine="480"/>
        <w:rPr>
          <w:rFonts w:asciiTheme="minorEastAsia" w:eastAsiaTheme="minorEastAsia" w:hAnsiTheme="minorEastAsia"/>
          <w:szCs w:val="24"/>
        </w:rPr>
      </w:pPr>
      <w:bookmarkStart w:id="63" w:name="_Hlk51256270"/>
      <w:r>
        <w:rPr>
          <w:rFonts w:asciiTheme="minorEastAsia" w:eastAsiaTheme="minorEastAsia" w:hAnsiTheme="minorEastAsia" w:hint="eastAsia"/>
          <w:szCs w:val="24"/>
        </w:rPr>
        <w:t>2</w:t>
      </w:r>
      <w:r>
        <w:rPr>
          <w:rFonts w:asciiTheme="minorEastAsia" w:eastAsiaTheme="minorEastAsia" w:hAnsiTheme="minorEastAsia"/>
          <w:szCs w:val="24"/>
        </w:rPr>
        <w:t>3.1.1</w:t>
      </w:r>
      <w:bookmarkStart w:id="64" w:name="OLE_LINK92"/>
      <w:bookmarkStart w:id="65" w:name="OLE_LINK93"/>
      <w:r>
        <w:rPr>
          <w:rFonts w:asciiTheme="minorEastAsia" w:eastAsiaTheme="minorEastAsia" w:hAnsiTheme="minorEastAsia" w:hint="eastAsia"/>
          <w:szCs w:val="24"/>
        </w:rPr>
        <w:t>基金管理人与基金托管人</w:t>
      </w:r>
      <w:bookmarkEnd w:id="64"/>
      <w:bookmarkEnd w:id="65"/>
      <w:r>
        <w:rPr>
          <w:rFonts w:asciiTheme="minorEastAsia" w:eastAsiaTheme="minorEastAsia" w:hAnsiTheme="minorEastAsia" w:hint="eastAsia"/>
          <w:szCs w:val="24"/>
        </w:rPr>
        <w:t>确认的有效送达地址</w:t>
      </w:r>
      <w:bookmarkEnd w:id="63"/>
      <w:r>
        <w:rPr>
          <w:rFonts w:asciiTheme="minorEastAsia" w:eastAsiaTheme="minorEastAsia" w:hAnsiTheme="minorEastAsia" w:hint="eastAsia"/>
          <w:szCs w:val="24"/>
        </w:rPr>
        <w:t>：</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94"/>
      </w:tblGrid>
      <w:tr w:rsidR="00AE4DAB" w14:paraId="56B27796" w14:textId="77777777">
        <w:trPr>
          <w:jc w:val="center"/>
        </w:trPr>
        <w:tc>
          <w:tcPr>
            <w:tcW w:w="8541" w:type="dxa"/>
            <w:gridSpan w:val="2"/>
            <w:shd w:val="clear" w:color="auto" w:fill="auto"/>
            <w:vAlign w:val="center"/>
          </w:tcPr>
          <w:p w14:paraId="7D1CD8B4" w14:textId="77777777" w:rsidR="00AE4DAB" w:rsidRDefault="00F162B2">
            <w:pPr>
              <w:adjustRightInd w:val="0"/>
              <w:snapToGrid w:val="0"/>
              <w:spacing w:line="560" w:lineRule="atLeast"/>
              <w:jc w:val="left"/>
              <w:rPr>
                <w:rFonts w:asciiTheme="minorEastAsia" w:eastAsiaTheme="minorEastAsia" w:hAnsiTheme="minorEastAsia"/>
                <w:b/>
                <w:bCs/>
                <w:sz w:val="24"/>
                <w:szCs w:val="24"/>
              </w:rPr>
            </w:pPr>
            <w:bookmarkStart w:id="66" w:name="_Hlk51256282"/>
            <w:r>
              <w:rPr>
                <w:rFonts w:asciiTheme="minorEastAsia" w:eastAsiaTheme="minorEastAsia" w:hAnsiTheme="minorEastAsia" w:hint="eastAsia"/>
                <w:b/>
                <w:bCs/>
                <w:sz w:val="24"/>
                <w:szCs w:val="24"/>
              </w:rPr>
              <w:t>基金管理人确认其有效送达地址如下</w:t>
            </w:r>
          </w:p>
        </w:tc>
      </w:tr>
      <w:tr w:rsidR="00AE4DAB" w14:paraId="26CFADAF" w14:textId="77777777">
        <w:trPr>
          <w:jc w:val="center"/>
        </w:trPr>
        <w:tc>
          <w:tcPr>
            <w:tcW w:w="2547" w:type="dxa"/>
            <w:shd w:val="clear" w:color="auto" w:fill="auto"/>
            <w:vAlign w:val="center"/>
          </w:tcPr>
          <w:p w14:paraId="17A29B9F" w14:textId="77777777"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联系地址</w:t>
            </w:r>
          </w:p>
        </w:tc>
        <w:tc>
          <w:tcPr>
            <w:tcW w:w="5994" w:type="dxa"/>
            <w:shd w:val="clear" w:color="auto" w:fill="auto"/>
            <w:vAlign w:val="center"/>
          </w:tcPr>
          <w:p w14:paraId="5438EC57" w14:textId="77777777"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【上海市浦东新区银城中路488号太平金融大厦7楼】</w:t>
            </w:r>
          </w:p>
        </w:tc>
      </w:tr>
      <w:tr w:rsidR="00AE4DAB" w14:paraId="0265EF5B" w14:textId="77777777">
        <w:trPr>
          <w:jc w:val="center"/>
        </w:trPr>
        <w:tc>
          <w:tcPr>
            <w:tcW w:w="2547" w:type="dxa"/>
            <w:shd w:val="clear" w:color="auto" w:fill="auto"/>
            <w:vAlign w:val="center"/>
          </w:tcPr>
          <w:p w14:paraId="0846D185" w14:textId="77777777"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邮政编码</w:t>
            </w:r>
          </w:p>
        </w:tc>
        <w:tc>
          <w:tcPr>
            <w:tcW w:w="5994" w:type="dxa"/>
            <w:shd w:val="clear" w:color="auto" w:fill="auto"/>
            <w:vAlign w:val="center"/>
          </w:tcPr>
          <w:p w14:paraId="1FE07E9C" w14:textId="77777777"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【200120】</w:t>
            </w:r>
          </w:p>
        </w:tc>
      </w:tr>
      <w:tr w:rsidR="00AE4DAB" w14:paraId="2F46EEBB" w14:textId="77777777">
        <w:trPr>
          <w:jc w:val="center"/>
        </w:trPr>
        <w:tc>
          <w:tcPr>
            <w:tcW w:w="2547" w:type="dxa"/>
            <w:shd w:val="clear" w:color="auto" w:fill="auto"/>
            <w:vAlign w:val="center"/>
          </w:tcPr>
          <w:p w14:paraId="1B9C30E1" w14:textId="77777777"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联系电话</w:t>
            </w:r>
          </w:p>
        </w:tc>
        <w:tc>
          <w:tcPr>
            <w:tcW w:w="5994" w:type="dxa"/>
            <w:shd w:val="clear" w:color="auto" w:fill="auto"/>
            <w:vAlign w:val="center"/>
          </w:tcPr>
          <w:p w14:paraId="520BF1C5" w14:textId="77777777"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r>
              <w:rPr>
                <w:rFonts w:asciiTheme="minorEastAsia" w:eastAsiaTheme="minorEastAsia" w:hAnsiTheme="minorEastAsia"/>
                <w:b/>
                <w:bCs/>
                <w:sz w:val="24"/>
                <w:szCs w:val="24"/>
              </w:rPr>
              <w:t>400-028-8699/021-61560999</w:t>
            </w:r>
            <w:r>
              <w:rPr>
                <w:rFonts w:asciiTheme="minorEastAsia" w:eastAsiaTheme="minorEastAsia" w:hAnsiTheme="minorEastAsia" w:hint="eastAsia"/>
                <w:b/>
                <w:bCs/>
                <w:sz w:val="24"/>
                <w:szCs w:val="24"/>
              </w:rPr>
              <w:t>】</w:t>
            </w:r>
          </w:p>
        </w:tc>
      </w:tr>
      <w:tr w:rsidR="00AE4DAB" w14:paraId="152BC525" w14:textId="77777777">
        <w:trPr>
          <w:jc w:val="center"/>
        </w:trPr>
        <w:tc>
          <w:tcPr>
            <w:tcW w:w="8541" w:type="dxa"/>
            <w:gridSpan w:val="2"/>
            <w:shd w:val="clear" w:color="auto" w:fill="auto"/>
            <w:vAlign w:val="center"/>
          </w:tcPr>
          <w:p w14:paraId="4F413F72" w14:textId="77777777"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基金托管人确认其有效送达地址如下</w:t>
            </w:r>
          </w:p>
        </w:tc>
      </w:tr>
      <w:tr w:rsidR="00AE4DAB" w14:paraId="12B34B63" w14:textId="77777777">
        <w:trPr>
          <w:jc w:val="center"/>
        </w:trPr>
        <w:tc>
          <w:tcPr>
            <w:tcW w:w="2547" w:type="dxa"/>
            <w:shd w:val="clear" w:color="auto" w:fill="auto"/>
            <w:vAlign w:val="center"/>
          </w:tcPr>
          <w:p w14:paraId="4B36CFEB" w14:textId="77777777"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联系地址</w:t>
            </w:r>
          </w:p>
        </w:tc>
        <w:tc>
          <w:tcPr>
            <w:tcW w:w="5994" w:type="dxa"/>
            <w:shd w:val="clear" w:color="auto" w:fill="auto"/>
            <w:vAlign w:val="center"/>
          </w:tcPr>
          <w:p w14:paraId="10D33C0C" w14:textId="77777777"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【北京市朝阳区光华路10号院1号楼6-30层、32-42层】</w:t>
            </w:r>
          </w:p>
        </w:tc>
      </w:tr>
      <w:tr w:rsidR="00AE4DAB" w14:paraId="3C850590" w14:textId="77777777">
        <w:trPr>
          <w:jc w:val="center"/>
        </w:trPr>
        <w:tc>
          <w:tcPr>
            <w:tcW w:w="2547" w:type="dxa"/>
            <w:shd w:val="clear" w:color="auto" w:fill="auto"/>
            <w:vAlign w:val="center"/>
          </w:tcPr>
          <w:p w14:paraId="035FE332" w14:textId="77777777"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邮政编码</w:t>
            </w:r>
          </w:p>
        </w:tc>
        <w:tc>
          <w:tcPr>
            <w:tcW w:w="5994" w:type="dxa"/>
            <w:shd w:val="clear" w:color="auto" w:fill="auto"/>
            <w:vAlign w:val="center"/>
          </w:tcPr>
          <w:p w14:paraId="109B9A8E" w14:textId="77777777"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【100020】</w:t>
            </w:r>
          </w:p>
        </w:tc>
      </w:tr>
      <w:tr w:rsidR="00AE4DAB" w14:paraId="38A4CF38" w14:textId="77777777">
        <w:trPr>
          <w:jc w:val="center"/>
        </w:trPr>
        <w:tc>
          <w:tcPr>
            <w:tcW w:w="2547" w:type="dxa"/>
            <w:shd w:val="clear" w:color="auto" w:fill="auto"/>
            <w:vAlign w:val="center"/>
          </w:tcPr>
          <w:p w14:paraId="56334632" w14:textId="77777777"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联系电话</w:t>
            </w:r>
          </w:p>
        </w:tc>
        <w:tc>
          <w:tcPr>
            <w:tcW w:w="5994" w:type="dxa"/>
            <w:shd w:val="clear" w:color="auto" w:fill="auto"/>
            <w:vAlign w:val="center"/>
          </w:tcPr>
          <w:p w14:paraId="0818C0B0" w14:textId="77777777"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r>
              <w:rPr>
                <w:rFonts w:asciiTheme="minorEastAsia" w:eastAsiaTheme="minorEastAsia" w:hAnsiTheme="minorEastAsia"/>
                <w:b/>
                <w:bCs/>
                <w:sz w:val="24"/>
                <w:szCs w:val="24"/>
              </w:rPr>
              <w:t>95558</w:t>
            </w:r>
            <w:r>
              <w:rPr>
                <w:rFonts w:asciiTheme="minorEastAsia" w:eastAsiaTheme="minorEastAsia" w:hAnsiTheme="minorEastAsia" w:hint="eastAsia"/>
                <w:b/>
                <w:bCs/>
                <w:sz w:val="24"/>
                <w:szCs w:val="24"/>
              </w:rPr>
              <w:t>】</w:t>
            </w:r>
          </w:p>
        </w:tc>
      </w:tr>
    </w:tbl>
    <w:bookmarkEnd w:id="66"/>
    <w:p w14:paraId="25AE626D" w14:textId="2F17B993" w:rsidR="00AE4DAB" w:rsidRDefault="00F162B2">
      <w:pPr>
        <w:snapToGrid w:val="0"/>
        <w:spacing w:line="5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3.1.2</w:t>
      </w:r>
      <w:r>
        <w:rPr>
          <w:rFonts w:asciiTheme="minorEastAsia" w:eastAsiaTheme="minorEastAsia" w:hAnsiTheme="minorEastAsia" w:hint="eastAsia"/>
          <w:sz w:val="24"/>
          <w:szCs w:val="24"/>
        </w:rPr>
        <w:t>本条款中双方确认的送达地址如发生变更的，应当在发生变更之日起三日内通过书面方式通知对方，</w:t>
      </w:r>
      <w:r>
        <w:rPr>
          <w:rFonts w:asciiTheme="minorEastAsia" w:eastAsiaTheme="minorEastAsia" w:hAnsiTheme="minorEastAsia" w:hint="eastAsia"/>
          <w:b/>
          <w:bCs/>
          <w:sz w:val="24"/>
          <w:szCs w:val="24"/>
        </w:rPr>
        <w:t>但双方同意并认可，太平基金及其分支机构、中信银行及其分支机构通过</w:t>
      </w:r>
      <w:r w:rsidR="001F6538">
        <w:rPr>
          <w:rFonts w:asciiTheme="minorEastAsia" w:eastAsiaTheme="minorEastAsia" w:hAnsiTheme="minorEastAsia" w:hint="eastAsia"/>
          <w:b/>
          <w:bCs/>
          <w:sz w:val="24"/>
          <w:szCs w:val="24"/>
        </w:rPr>
        <w:t>太平基金公司网站、中国证监会规定网站、</w:t>
      </w:r>
      <w:r>
        <w:rPr>
          <w:rFonts w:asciiTheme="minorEastAsia" w:eastAsiaTheme="minorEastAsia" w:hAnsiTheme="minorEastAsia" w:hint="eastAsia"/>
          <w:b/>
          <w:bCs/>
          <w:sz w:val="24"/>
          <w:szCs w:val="24"/>
        </w:rPr>
        <w:t>中信银行网上银行、手机银行、官方网站等渠道展示与本协议相关的提示、公告、通知、联系地址及邮政编码变更等信息的，该等信息一经展示（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w:t>
      </w:r>
      <w:r>
        <w:rPr>
          <w:rFonts w:asciiTheme="minorEastAsia" w:eastAsiaTheme="minorEastAsia" w:hAnsiTheme="minorEastAsia" w:hint="eastAsia"/>
          <w:b/>
          <w:bCs/>
          <w:sz w:val="24"/>
          <w:szCs w:val="24"/>
        </w:rPr>
        <w:lastRenderedPageBreak/>
        <w:t>以该载明日期为准）即视为已通知/送达基金管理人。</w:t>
      </w:r>
      <w:r w:rsidR="00F8076E">
        <w:rPr>
          <w:rFonts w:asciiTheme="minorEastAsia" w:eastAsiaTheme="minorEastAsia" w:hAnsiTheme="minorEastAsia" w:hint="eastAsia"/>
          <w:b/>
          <w:bCs/>
          <w:sz w:val="24"/>
          <w:szCs w:val="24"/>
        </w:rPr>
        <w:t>除书面通知另有载明生效日期外</w:t>
      </w:r>
      <w:r w:rsidR="00BF2CCF">
        <w:rPr>
          <w:rFonts w:asciiTheme="minorEastAsia" w:eastAsiaTheme="minorEastAsia" w:hAnsiTheme="minorEastAsia" w:hint="eastAsia"/>
          <w:b/>
          <w:bCs/>
          <w:sz w:val="24"/>
          <w:szCs w:val="24"/>
        </w:rPr>
        <w:t>，</w:t>
      </w:r>
      <w:r w:rsidR="000B6021">
        <w:rPr>
          <w:rFonts w:asciiTheme="minorEastAsia" w:eastAsiaTheme="minorEastAsia" w:hAnsiTheme="minorEastAsia" w:hint="eastAsia"/>
          <w:b/>
          <w:bCs/>
          <w:sz w:val="24"/>
          <w:szCs w:val="24"/>
        </w:rPr>
        <w:t>变更通知一经送达，变更</w:t>
      </w:r>
      <w:r w:rsidR="00BF2CCF">
        <w:rPr>
          <w:rFonts w:asciiTheme="minorEastAsia" w:eastAsiaTheme="minorEastAsia" w:hAnsiTheme="minorEastAsia" w:hint="eastAsia"/>
          <w:b/>
          <w:bCs/>
          <w:sz w:val="24"/>
          <w:szCs w:val="24"/>
        </w:rPr>
        <w:t>即</w:t>
      </w:r>
      <w:r w:rsidR="000B6021">
        <w:rPr>
          <w:rFonts w:asciiTheme="minorEastAsia" w:eastAsiaTheme="minorEastAsia" w:hAnsiTheme="minorEastAsia" w:hint="eastAsia"/>
          <w:b/>
          <w:bCs/>
          <w:sz w:val="24"/>
          <w:szCs w:val="24"/>
        </w:rPr>
        <w:t>生效。</w:t>
      </w:r>
      <w:r>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Pr>
          <w:rFonts w:asciiTheme="minorEastAsia" w:eastAsiaTheme="minorEastAsia" w:hAnsiTheme="minorEastAsia" w:hint="eastAsia"/>
          <w:b/>
          <w:bCs/>
          <w:sz w:val="24"/>
          <w:szCs w:val="24"/>
        </w:rPr>
        <w:t>任何一方未按前述方式履行通知、告知义务的，该方所确认的送达地址仍视为有效送达地址。</w:t>
      </w:r>
    </w:p>
    <w:p w14:paraId="2E02A33A" w14:textId="049CA4F4" w:rsidR="00AE4DAB" w:rsidRDefault="00F162B2">
      <w:pPr>
        <w:snapToGrid w:val="0"/>
        <w:spacing w:line="52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3.1.3</w:t>
      </w:r>
      <w:r>
        <w:rPr>
          <w:rFonts w:asciiTheme="minorEastAsia" w:eastAsiaTheme="minorEastAsia" w:hAnsiTheme="minorEastAsia" w:hint="eastAsia"/>
          <w:sz w:val="24"/>
          <w:szCs w:val="24"/>
        </w:rPr>
        <w:t xml:space="preserve"> 双方在本条款确认的送达地址适用范围包括双方在履行本协议过程中的各类通知、函件、附件、协议等文件以及就本协议发生纠纷</w:t>
      </w:r>
      <w:proofErr w:type="gramStart"/>
      <w:r>
        <w:rPr>
          <w:rFonts w:asciiTheme="minorEastAsia" w:eastAsiaTheme="minorEastAsia" w:hAnsiTheme="minorEastAsia" w:hint="eastAsia"/>
          <w:sz w:val="24"/>
          <w:szCs w:val="24"/>
        </w:rPr>
        <w:t>时相关</w:t>
      </w:r>
      <w:proofErr w:type="gramEnd"/>
      <w:r>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Theme="minorEastAsia" w:eastAsiaTheme="minorEastAsia" w:hAnsiTheme="minorEastAsia" w:hint="eastAsia"/>
          <w:b/>
          <w:bCs/>
          <w:sz w:val="24"/>
          <w:szCs w:val="24"/>
        </w:rPr>
        <w:t>除第23.1.2条</w:t>
      </w:r>
      <w:r w:rsidR="007762D5">
        <w:rPr>
          <w:rFonts w:asciiTheme="minorEastAsia" w:eastAsiaTheme="minorEastAsia" w:hAnsiTheme="minorEastAsia" w:hint="eastAsia"/>
          <w:b/>
          <w:bCs/>
          <w:sz w:val="24"/>
          <w:szCs w:val="24"/>
        </w:rPr>
        <w:t>的</w:t>
      </w:r>
      <w:r>
        <w:rPr>
          <w:rFonts w:asciiTheme="minorEastAsia" w:eastAsiaTheme="minorEastAsia" w:hAnsiTheme="minorEastAsia" w:hint="eastAsia"/>
          <w:b/>
          <w:bCs/>
          <w:sz w:val="24"/>
          <w:szCs w:val="24"/>
        </w:rPr>
        <w:t>约定外，一方按照送达地址发送上述文件，即应视作在下列日期被送达：</w:t>
      </w:r>
    </w:p>
    <w:p w14:paraId="363CA151" w14:textId="77777777"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（1）邮递（包括特快专递、平信邮寄、挂号邮寄），以投递之日后的第三日视为送达日；</w:t>
      </w:r>
    </w:p>
    <w:p w14:paraId="4F057193" w14:textId="0870E47C"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（2）电话、传真、电子邮箱或其他电子通讯方式，以发送之日视为送达日；</w:t>
      </w:r>
    </w:p>
    <w:p w14:paraId="1EE2E361" w14:textId="77777777"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14:paraId="0139C4F4" w14:textId="77777777"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（4）同时采用上述几种方式的，以其中最快达到对方者为准。</w:t>
      </w:r>
    </w:p>
    <w:p w14:paraId="20456769" w14:textId="77777777"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67" w:name="OLE_LINK98"/>
      <w:bookmarkStart w:id="68" w:name="OLE_LINK99"/>
    </w:p>
    <w:bookmarkEnd w:id="67"/>
    <w:bookmarkEnd w:id="68"/>
    <w:p w14:paraId="219CE56A" w14:textId="77777777" w:rsidR="00AE4DAB" w:rsidRDefault="00F162B2">
      <w:pPr>
        <w:snapToGrid w:val="0"/>
        <w:spacing w:line="520" w:lineRule="atLeast"/>
        <w:ind w:firstLineChars="200" w:firstLine="482"/>
        <w:rPr>
          <w:rFonts w:asciiTheme="minorEastAsia" w:eastAsiaTheme="minorEastAsia" w:hAnsiTheme="minorEastAsia"/>
          <w:b/>
          <w:bCs/>
          <w:sz w:val="28"/>
          <w:szCs w:val="28"/>
        </w:rPr>
      </w:pPr>
      <w:r>
        <w:rPr>
          <w:rFonts w:asciiTheme="minorEastAsia" w:eastAsiaTheme="minorEastAsia" w:hAnsiTheme="minorEastAsia" w:hint="eastAsia"/>
          <w:b/>
          <w:bCs/>
          <w:sz w:val="24"/>
          <w:szCs w:val="24"/>
        </w:rPr>
        <w:t>2</w:t>
      </w:r>
      <w:r>
        <w:rPr>
          <w:rFonts w:asciiTheme="minorEastAsia" w:eastAsiaTheme="minorEastAsia" w:hAnsiTheme="minorEastAsia"/>
          <w:b/>
          <w:bCs/>
          <w:sz w:val="24"/>
          <w:szCs w:val="24"/>
        </w:rPr>
        <w:t>3.1.4</w:t>
      </w:r>
      <w:r>
        <w:rPr>
          <w:rFonts w:asciiTheme="minorEastAsia" w:eastAsiaTheme="minorEastAsia" w:hAnsiTheme="minorEastAsia" w:hint="eastAsia"/>
          <w:b/>
          <w:bCs/>
          <w:sz w:val="24"/>
          <w:szCs w:val="24"/>
        </w:rPr>
        <w:t>本条约定内容为本协议双方均明确同意的特别条款，效力独立于本协</w:t>
      </w:r>
      <w:r>
        <w:rPr>
          <w:rFonts w:asciiTheme="minorEastAsia" w:eastAsiaTheme="minorEastAsia" w:hAnsiTheme="minorEastAsia" w:hint="eastAsia"/>
          <w:b/>
          <w:bCs/>
          <w:sz w:val="24"/>
          <w:szCs w:val="24"/>
        </w:rPr>
        <w:lastRenderedPageBreak/>
        <w:t>议其他条款。不论本协议其他条款因为任何原因被法院、仲裁机关或其他有权机关认定为无效或者被撤销，本条约定内容均为有效。</w:t>
      </w:r>
    </w:p>
    <w:p w14:paraId="1B19D051" w14:textId="77777777" w:rsidR="00AE4DAB" w:rsidRDefault="00F162B2">
      <w:pPr>
        <w:pStyle w:val="1"/>
        <w:snapToGrid/>
        <w:spacing w:line="520" w:lineRule="atLeast"/>
        <w:ind w:firstLineChars="200" w:firstLine="482"/>
        <w:rPr>
          <w:bCs/>
          <w:color w:val="auto"/>
          <w:szCs w:val="24"/>
        </w:rPr>
      </w:pPr>
      <w:bookmarkStart w:id="69" w:name="_Toc44321747"/>
      <w:r>
        <w:rPr>
          <w:rFonts w:hint="eastAsia"/>
          <w:bCs/>
          <w:color w:val="auto"/>
          <w:szCs w:val="24"/>
        </w:rPr>
        <w:t>第二十四条 其他约定</w:t>
      </w:r>
      <w:r>
        <w:rPr>
          <w:bCs/>
          <w:color w:val="auto"/>
          <w:szCs w:val="24"/>
        </w:rPr>
        <w:t>事项</w:t>
      </w:r>
      <w:bookmarkEnd w:id="69"/>
    </w:p>
    <w:p w14:paraId="283C541F" w14:textId="77777777" w:rsidR="00AE4DAB" w:rsidRDefault="00F162B2">
      <w:pPr>
        <w:pStyle w:val="20"/>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14:paraId="2D73FFBB" w14:textId="77777777" w:rsidR="00AE4DAB" w:rsidRDefault="00F162B2">
      <w:pPr>
        <w:widowControl/>
        <w:spacing w:line="520" w:lineRule="atLeast"/>
        <w:ind w:firstLineChars="100" w:firstLine="240"/>
        <w:jc w:val="left"/>
      </w:pPr>
      <w:r>
        <w:rPr>
          <w:rFonts w:ascii="宋体" w:hAnsi="宋体" w:hint="eastAsia"/>
          <w:sz w:val="24"/>
          <w:szCs w:val="24"/>
        </w:rPr>
        <w:t>（以下无正文）</w:t>
      </w:r>
    </w:p>
    <w:p w14:paraId="562673F0" w14:textId="77777777" w:rsidR="00AE4DAB" w:rsidRDefault="00F162B2">
      <w:pPr>
        <w:widowControl/>
        <w:spacing w:line="520" w:lineRule="atLeast"/>
        <w:jc w:val="left"/>
        <w:rPr>
          <w:rFonts w:hAnsi="宋体"/>
          <w:sz w:val="28"/>
          <w:szCs w:val="28"/>
        </w:rPr>
      </w:pPr>
      <w:r>
        <w:rPr>
          <w:rFonts w:hAnsi="宋体"/>
          <w:sz w:val="28"/>
          <w:szCs w:val="28"/>
        </w:rPr>
        <w:br w:type="page"/>
      </w:r>
    </w:p>
    <w:p w14:paraId="1C3A9136" w14:textId="074AED67" w:rsidR="00AE4DAB" w:rsidRDefault="00F162B2">
      <w:pPr>
        <w:pStyle w:val="20"/>
        <w:spacing w:before="0" w:after="0" w:line="520" w:lineRule="atLeast"/>
        <w:ind w:left="0"/>
        <w:rPr>
          <w:rFonts w:hAnsi="宋体"/>
          <w:szCs w:val="24"/>
        </w:rPr>
      </w:pPr>
      <w:r>
        <w:rPr>
          <w:rFonts w:hAnsi="宋体" w:hint="eastAsia"/>
          <w:szCs w:val="24"/>
        </w:rPr>
        <w:lastRenderedPageBreak/>
        <w:t>（本页无正文，为《</w:t>
      </w:r>
      <w:r>
        <w:rPr>
          <w:rFonts w:hint="eastAsia"/>
          <w:bCs/>
        </w:rPr>
        <w:t>太平</w:t>
      </w:r>
      <w:r w:rsidR="000E1A57" w:rsidRPr="000E1A57">
        <w:rPr>
          <w:rFonts w:hint="eastAsia"/>
          <w:bCs/>
        </w:rPr>
        <w:t>睿享混合型证券投资基金</w:t>
      </w:r>
      <w:r>
        <w:rPr>
          <w:rFonts w:hAnsi="宋体" w:hint="eastAsia"/>
          <w:szCs w:val="24"/>
        </w:rPr>
        <w:t>托管协议》的签字页）</w:t>
      </w:r>
    </w:p>
    <w:p w14:paraId="0DE181FD" w14:textId="77777777" w:rsidR="00AE4DAB" w:rsidRDefault="00AE4DAB">
      <w:pPr>
        <w:pStyle w:val="20"/>
        <w:spacing w:before="0" w:after="0" w:line="520" w:lineRule="atLeast"/>
        <w:ind w:left="0" w:firstLineChars="200" w:firstLine="480"/>
        <w:rPr>
          <w:rFonts w:hAnsi="宋体"/>
          <w:szCs w:val="24"/>
        </w:rPr>
      </w:pPr>
    </w:p>
    <w:p w14:paraId="1F447152" w14:textId="77777777" w:rsidR="00AE4DAB" w:rsidRPr="007906EA" w:rsidRDefault="00AE4DAB">
      <w:pPr>
        <w:pStyle w:val="20"/>
        <w:spacing w:before="0" w:after="0" w:line="520" w:lineRule="atLeast"/>
        <w:ind w:left="0" w:firstLineChars="200" w:firstLine="480"/>
        <w:rPr>
          <w:rFonts w:hAnsi="宋体"/>
          <w:szCs w:val="24"/>
        </w:rPr>
      </w:pPr>
    </w:p>
    <w:p w14:paraId="1FBC294A" w14:textId="77777777" w:rsidR="00AE4DAB" w:rsidRDefault="00F162B2">
      <w:pPr>
        <w:pStyle w:val="20"/>
        <w:spacing w:before="0" w:after="0" w:line="520" w:lineRule="atLeast"/>
        <w:ind w:left="0"/>
        <w:rPr>
          <w:rFonts w:hAnsi="宋体"/>
          <w:szCs w:val="24"/>
        </w:rPr>
      </w:pPr>
      <w:r>
        <w:rPr>
          <w:rFonts w:hAnsi="宋体" w:hint="eastAsia"/>
          <w:szCs w:val="24"/>
        </w:rPr>
        <w:t>基金管理人：太平基金管理有限公司（</w:t>
      </w:r>
      <w:r>
        <w:rPr>
          <w:rFonts w:asciiTheme="minorEastAsia" w:eastAsiaTheme="minorEastAsia" w:hAnsiTheme="minorEastAsia" w:hint="eastAsia"/>
          <w:szCs w:val="24"/>
        </w:rPr>
        <w:t>公章或合同专用章</w:t>
      </w:r>
      <w:r>
        <w:rPr>
          <w:rFonts w:hAnsi="宋体" w:hint="eastAsia"/>
          <w:szCs w:val="24"/>
        </w:rPr>
        <w:t>）</w:t>
      </w:r>
    </w:p>
    <w:p w14:paraId="1088AED6" w14:textId="77777777" w:rsidR="00AE4DAB" w:rsidRDefault="00AE4DAB">
      <w:pPr>
        <w:pStyle w:val="20"/>
        <w:spacing w:before="0" w:after="0" w:line="520" w:lineRule="atLeast"/>
        <w:ind w:left="0"/>
        <w:rPr>
          <w:rFonts w:hAnsi="宋体"/>
          <w:szCs w:val="24"/>
        </w:rPr>
      </w:pPr>
    </w:p>
    <w:p w14:paraId="66A80EFF" w14:textId="77777777" w:rsidR="00AE4DAB" w:rsidRDefault="00F162B2">
      <w:pPr>
        <w:pStyle w:val="20"/>
        <w:spacing w:before="0" w:after="0" w:line="520" w:lineRule="atLeast"/>
        <w:ind w:left="0"/>
        <w:rPr>
          <w:rFonts w:hAnsi="宋体"/>
          <w:szCs w:val="24"/>
        </w:rPr>
      </w:pPr>
      <w:r>
        <w:rPr>
          <w:rFonts w:hAnsi="宋体" w:hint="eastAsia"/>
          <w:szCs w:val="24"/>
        </w:rPr>
        <w:t>法定代表人</w:t>
      </w:r>
    </w:p>
    <w:p w14:paraId="585442DF" w14:textId="77777777" w:rsidR="00AE4DAB" w:rsidRDefault="00F162B2">
      <w:pPr>
        <w:pStyle w:val="20"/>
        <w:spacing w:before="0" w:after="0" w:line="520" w:lineRule="atLeast"/>
        <w:ind w:left="0"/>
        <w:rPr>
          <w:rFonts w:hAnsi="宋体"/>
          <w:szCs w:val="24"/>
        </w:rPr>
      </w:pPr>
      <w:r>
        <w:rPr>
          <w:rFonts w:hAnsi="宋体" w:hint="eastAsia"/>
          <w:szCs w:val="24"/>
        </w:rPr>
        <w:t xml:space="preserve">（或授权代理人）：           </w:t>
      </w:r>
    </w:p>
    <w:p w14:paraId="339656FB" w14:textId="77777777" w:rsidR="00AE4DAB" w:rsidRDefault="00AE4DAB">
      <w:pPr>
        <w:pStyle w:val="20"/>
        <w:spacing w:before="0" w:after="0" w:line="520" w:lineRule="atLeast"/>
        <w:ind w:left="0" w:firstLineChars="200" w:firstLine="480"/>
        <w:rPr>
          <w:rFonts w:hAnsi="宋体"/>
          <w:szCs w:val="24"/>
        </w:rPr>
      </w:pPr>
    </w:p>
    <w:p w14:paraId="2993993A" w14:textId="77777777" w:rsidR="00AE4DAB" w:rsidRDefault="00F162B2">
      <w:pPr>
        <w:pStyle w:val="20"/>
        <w:spacing w:before="0" w:after="0" w:line="520" w:lineRule="atLeast"/>
        <w:ind w:left="0"/>
        <w:rPr>
          <w:rFonts w:hAnsi="宋体"/>
          <w:szCs w:val="24"/>
        </w:rPr>
      </w:pPr>
      <w:r>
        <w:rPr>
          <w:rFonts w:hAnsi="宋体" w:hint="eastAsia"/>
          <w:szCs w:val="24"/>
        </w:rPr>
        <w:t>签署日期：</w:t>
      </w:r>
    </w:p>
    <w:p w14:paraId="1E6A08D5" w14:textId="77777777" w:rsidR="00AE4DAB" w:rsidRDefault="00AE4DAB">
      <w:pPr>
        <w:pStyle w:val="20"/>
        <w:spacing w:before="0" w:after="0" w:line="520" w:lineRule="atLeast"/>
        <w:ind w:left="0" w:firstLineChars="200" w:firstLine="480"/>
        <w:rPr>
          <w:rFonts w:hAnsi="宋体"/>
          <w:szCs w:val="24"/>
        </w:rPr>
      </w:pPr>
    </w:p>
    <w:p w14:paraId="64E1A726" w14:textId="77777777" w:rsidR="00AE4DAB" w:rsidRDefault="00AE4DAB">
      <w:pPr>
        <w:pStyle w:val="20"/>
        <w:spacing w:before="0" w:after="0" w:line="520" w:lineRule="atLeast"/>
        <w:ind w:left="0" w:firstLineChars="200" w:firstLine="480"/>
        <w:rPr>
          <w:rFonts w:hAnsi="宋体"/>
          <w:szCs w:val="24"/>
        </w:rPr>
      </w:pPr>
    </w:p>
    <w:p w14:paraId="3FD6397E" w14:textId="77777777" w:rsidR="00AE4DAB" w:rsidRDefault="00AE4DAB">
      <w:pPr>
        <w:pStyle w:val="20"/>
        <w:spacing w:before="0" w:after="0" w:line="520" w:lineRule="atLeast"/>
        <w:ind w:left="0" w:firstLineChars="200" w:firstLine="480"/>
        <w:rPr>
          <w:rFonts w:hAnsi="宋体"/>
          <w:szCs w:val="24"/>
        </w:rPr>
      </w:pPr>
    </w:p>
    <w:p w14:paraId="186864B4" w14:textId="77777777" w:rsidR="00AE4DAB" w:rsidRDefault="00F162B2">
      <w:pPr>
        <w:pStyle w:val="20"/>
        <w:spacing w:before="0" w:after="0" w:line="520" w:lineRule="atLeast"/>
        <w:ind w:left="0"/>
        <w:rPr>
          <w:rFonts w:hAnsi="宋体"/>
          <w:szCs w:val="24"/>
        </w:rPr>
      </w:pPr>
      <w:r>
        <w:rPr>
          <w:rFonts w:hAnsi="宋体" w:hint="eastAsia"/>
          <w:szCs w:val="24"/>
        </w:rPr>
        <w:t>基金托管人：中信银行股份有限公司（</w:t>
      </w:r>
      <w:r>
        <w:rPr>
          <w:rFonts w:asciiTheme="minorEastAsia" w:eastAsiaTheme="minorEastAsia" w:hAnsiTheme="minorEastAsia" w:hint="eastAsia"/>
          <w:szCs w:val="24"/>
        </w:rPr>
        <w:t>公章或合同专用章</w:t>
      </w:r>
      <w:r>
        <w:rPr>
          <w:rFonts w:hAnsi="宋体" w:hint="eastAsia"/>
          <w:szCs w:val="24"/>
        </w:rPr>
        <w:t>）</w:t>
      </w:r>
    </w:p>
    <w:p w14:paraId="77EBFD44" w14:textId="77777777" w:rsidR="00AE4DAB" w:rsidRDefault="00AE4DAB">
      <w:pPr>
        <w:pStyle w:val="20"/>
        <w:spacing w:before="0" w:after="0" w:line="520" w:lineRule="atLeast"/>
        <w:ind w:left="0"/>
        <w:rPr>
          <w:rFonts w:hAnsi="宋体"/>
          <w:szCs w:val="24"/>
        </w:rPr>
      </w:pPr>
    </w:p>
    <w:p w14:paraId="33601C87" w14:textId="77777777" w:rsidR="00AE4DAB" w:rsidRDefault="00F162B2">
      <w:pPr>
        <w:pStyle w:val="20"/>
        <w:spacing w:before="0" w:after="0" w:line="520" w:lineRule="atLeast"/>
        <w:ind w:left="0"/>
        <w:rPr>
          <w:rFonts w:hAnsi="宋体"/>
          <w:szCs w:val="24"/>
        </w:rPr>
      </w:pPr>
      <w:r>
        <w:rPr>
          <w:rFonts w:hAnsi="宋体" w:hint="eastAsia"/>
          <w:szCs w:val="24"/>
        </w:rPr>
        <w:t>法定代表人/负责人</w:t>
      </w:r>
    </w:p>
    <w:p w14:paraId="09334695" w14:textId="77777777" w:rsidR="00AE4DAB" w:rsidRDefault="00F162B2">
      <w:pPr>
        <w:pStyle w:val="20"/>
        <w:spacing w:before="0" w:after="0" w:line="520" w:lineRule="atLeast"/>
        <w:ind w:left="0"/>
        <w:rPr>
          <w:rFonts w:hAnsi="宋体"/>
          <w:szCs w:val="24"/>
        </w:rPr>
      </w:pPr>
      <w:r>
        <w:rPr>
          <w:rFonts w:hAnsi="宋体" w:hint="eastAsia"/>
          <w:szCs w:val="24"/>
        </w:rPr>
        <w:t xml:space="preserve">（或授权代理人）：  </w:t>
      </w:r>
    </w:p>
    <w:p w14:paraId="0F2765F3" w14:textId="77777777" w:rsidR="00AE4DAB" w:rsidRDefault="00AE4DAB">
      <w:pPr>
        <w:pStyle w:val="20"/>
        <w:spacing w:before="0" w:after="0" w:line="520" w:lineRule="atLeast"/>
        <w:ind w:left="0"/>
        <w:rPr>
          <w:rFonts w:hAnsi="宋体"/>
          <w:szCs w:val="24"/>
        </w:rPr>
      </w:pPr>
    </w:p>
    <w:p w14:paraId="757EC802" w14:textId="77777777" w:rsidR="00AE4DAB" w:rsidRDefault="00F162B2">
      <w:pPr>
        <w:pStyle w:val="20"/>
        <w:spacing w:before="0" w:after="0" w:line="520" w:lineRule="atLeast"/>
        <w:ind w:left="0"/>
        <w:rPr>
          <w:rFonts w:hAnsi="宋体"/>
          <w:szCs w:val="24"/>
        </w:rPr>
      </w:pPr>
      <w:r>
        <w:rPr>
          <w:rFonts w:hAnsi="宋体" w:hint="eastAsia"/>
          <w:szCs w:val="24"/>
        </w:rPr>
        <w:t>签署日期：</w:t>
      </w:r>
    </w:p>
    <w:p w14:paraId="1BCBDF6D" w14:textId="77777777" w:rsidR="00AE4DAB" w:rsidRDefault="00F162B2">
      <w:pPr>
        <w:pStyle w:val="20"/>
        <w:spacing w:before="0" w:after="0" w:line="520" w:lineRule="atLeast"/>
        <w:ind w:left="0"/>
        <w:rPr>
          <w:rFonts w:hAnsi="宋体"/>
          <w:sz w:val="28"/>
          <w:szCs w:val="28"/>
        </w:rPr>
      </w:pPr>
      <w:r>
        <w:rPr>
          <w:rFonts w:hAnsi="宋体" w:hint="eastAsia"/>
          <w:sz w:val="28"/>
          <w:szCs w:val="28"/>
        </w:rPr>
        <w:t xml:space="preserve">           </w:t>
      </w:r>
    </w:p>
    <w:p w14:paraId="7747253F" w14:textId="77777777" w:rsidR="00AE4DAB" w:rsidRDefault="00AE4DAB">
      <w:pPr>
        <w:pStyle w:val="20"/>
        <w:spacing w:before="0" w:after="0" w:line="520" w:lineRule="atLeast"/>
        <w:ind w:left="0" w:firstLineChars="200" w:firstLine="560"/>
        <w:rPr>
          <w:rFonts w:hAnsi="宋体"/>
          <w:sz w:val="28"/>
          <w:szCs w:val="28"/>
        </w:rPr>
      </w:pPr>
    </w:p>
    <w:p w14:paraId="7F6CDB1E" w14:textId="77777777" w:rsidR="00AE4DAB" w:rsidRDefault="00AE4DAB">
      <w:pPr>
        <w:pStyle w:val="20"/>
        <w:spacing w:before="0" w:after="0" w:line="520" w:lineRule="atLeast"/>
        <w:ind w:left="0" w:firstLineChars="200" w:firstLine="560"/>
        <w:rPr>
          <w:rFonts w:hAnsi="宋体"/>
          <w:sz w:val="28"/>
          <w:szCs w:val="28"/>
        </w:rPr>
      </w:pPr>
    </w:p>
    <w:p w14:paraId="0E1F0A35" w14:textId="77777777" w:rsidR="00AE4DAB" w:rsidRDefault="00AE4DAB">
      <w:pPr>
        <w:pStyle w:val="20"/>
        <w:spacing w:before="0" w:after="0" w:line="520" w:lineRule="atLeast"/>
        <w:ind w:left="0" w:firstLineChars="200" w:firstLine="560"/>
        <w:rPr>
          <w:rFonts w:hAnsi="宋体"/>
          <w:sz w:val="28"/>
          <w:szCs w:val="28"/>
        </w:rPr>
      </w:pPr>
    </w:p>
    <w:p w14:paraId="57D753EA" w14:textId="77777777" w:rsidR="00AE4DAB" w:rsidRDefault="00AE4DAB">
      <w:pPr>
        <w:pStyle w:val="20"/>
        <w:spacing w:before="0" w:after="0" w:line="520" w:lineRule="atLeast"/>
        <w:ind w:left="0"/>
        <w:rPr>
          <w:rFonts w:hAnsi="宋体"/>
          <w:szCs w:val="24"/>
        </w:rPr>
      </w:pPr>
    </w:p>
    <w:p w14:paraId="7ABB2ED7" w14:textId="77777777" w:rsidR="00AE4DAB" w:rsidRDefault="00F162B2">
      <w:pPr>
        <w:pStyle w:val="20"/>
        <w:spacing w:before="0" w:after="0" w:line="520" w:lineRule="atLeast"/>
        <w:ind w:left="0"/>
        <w:rPr>
          <w:rFonts w:hAnsi="宋体"/>
          <w:szCs w:val="24"/>
        </w:rPr>
      </w:pPr>
      <w:r>
        <w:rPr>
          <w:rFonts w:hAnsi="宋体" w:hint="eastAsia"/>
          <w:szCs w:val="24"/>
        </w:rPr>
        <w:t xml:space="preserve">签订地： </w:t>
      </w:r>
    </w:p>
    <w:p w14:paraId="7A00F174" w14:textId="77777777" w:rsidR="00AE4DAB" w:rsidRDefault="00AE4DAB">
      <w:pPr>
        <w:pStyle w:val="20"/>
        <w:spacing w:before="0" w:after="0" w:line="520" w:lineRule="atLeast"/>
        <w:ind w:left="0" w:firstLineChars="200" w:firstLine="480"/>
        <w:rPr>
          <w:rFonts w:hAnsi="宋体"/>
          <w:szCs w:val="24"/>
        </w:rPr>
      </w:pPr>
    </w:p>
    <w:p w14:paraId="113BD904" w14:textId="77777777" w:rsidR="00AE4DAB" w:rsidRDefault="00F162B2">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14:paraId="40013B41" w14:textId="77777777" w:rsidR="00AE4DAB" w:rsidRDefault="00AE4DAB">
      <w:pPr>
        <w:autoSpaceDE w:val="0"/>
        <w:autoSpaceDN w:val="0"/>
        <w:adjustRightInd w:val="0"/>
        <w:spacing w:line="520" w:lineRule="atLeast"/>
        <w:ind w:rightChars="11" w:right="23"/>
        <w:rPr>
          <w:rFonts w:ascii="宋体" w:hAnsi="宋体"/>
          <w:sz w:val="28"/>
          <w:szCs w:val="28"/>
        </w:rPr>
      </w:pPr>
    </w:p>
    <w:sectPr w:rsidR="00AE4DAB" w:rsidSect="009530B1">
      <w:headerReference w:type="first" r:id="rId13"/>
      <w:footerReference w:type="first" r:id="rId14"/>
      <w:pgSz w:w="11907" w:h="16840"/>
      <w:pgMar w:top="1090" w:right="1678" w:bottom="935" w:left="167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B7F80" w14:textId="77777777" w:rsidR="008A3047" w:rsidRDefault="008A3047">
      <w:r>
        <w:separator/>
      </w:r>
    </w:p>
  </w:endnote>
  <w:endnote w:type="continuationSeparator" w:id="0">
    <w:p w14:paraId="7E762341" w14:textId="77777777" w:rsidR="008A3047" w:rsidRDefault="008A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FB270" w14:textId="77777777" w:rsidR="00D46F62" w:rsidRDefault="00D46F62">
    <w:pPr>
      <w:pStyle w:val="a9"/>
      <w:framePr w:wrap="around" w:vAnchor="text" w:hAnchor="margin" w:xAlign="center" w:y="1"/>
      <w:rPr>
        <w:rStyle w:val="ac"/>
      </w:rPr>
    </w:pPr>
    <w:r>
      <w:fldChar w:fldCharType="begin"/>
    </w:r>
    <w:r>
      <w:rPr>
        <w:rStyle w:val="ac"/>
      </w:rPr>
      <w:instrText xml:space="preserve">PAGE  </w:instrText>
    </w:r>
    <w:r>
      <w:fldChar w:fldCharType="end"/>
    </w:r>
  </w:p>
  <w:p w14:paraId="564D525F" w14:textId="77777777" w:rsidR="00D46F62" w:rsidRDefault="00D46F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29157" w14:textId="77777777" w:rsidR="00D46F62" w:rsidRDefault="00D46F62">
    <w:pPr>
      <w:pStyle w:val="a9"/>
      <w:framePr w:wrap="around" w:vAnchor="text" w:hAnchor="margin" w:xAlign="center" w:y="1"/>
      <w:rPr>
        <w:rStyle w:val="ac"/>
      </w:rPr>
    </w:pPr>
    <w:r>
      <w:fldChar w:fldCharType="begin"/>
    </w:r>
    <w:r>
      <w:rPr>
        <w:rStyle w:val="ac"/>
      </w:rPr>
      <w:instrText xml:space="preserve">PAGE  </w:instrText>
    </w:r>
    <w:r>
      <w:fldChar w:fldCharType="separate"/>
    </w:r>
    <w:r w:rsidR="00260471">
      <w:rPr>
        <w:rStyle w:val="ac"/>
        <w:noProof/>
      </w:rPr>
      <w:t>1</w:t>
    </w:r>
    <w:r>
      <w:fldChar w:fldCharType="end"/>
    </w:r>
  </w:p>
  <w:p w14:paraId="51FEA220" w14:textId="77777777" w:rsidR="00D46F62" w:rsidRDefault="00D46F6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F6B90" w14:textId="084E5732" w:rsidR="00260471" w:rsidRDefault="00260471" w:rsidP="00260471">
    <w:pPr>
      <w:pStyle w:val="a9"/>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00E4D" w14:textId="77777777" w:rsidR="008A3047" w:rsidRDefault="008A3047">
      <w:r>
        <w:separator/>
      </w:r>
    </w:p>
  </w:footnote>
  <w:footnote w:type="continuationSeparator" w:id="0">
    <w:p w14:paraId="5C23306C" w14:textId="77777777" w:rsidR="008A3047" w:rsidRDefault="008A3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F67CB" w14:textId="77777777" w:rsidR="005525F0" w:rsidRDefault="005525F0">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宇翔">
    <w15:presenceInfo w15:providerId="AD" w15:userId="S-1-5-21-648475732-2829517624-2523546034-1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CB"/>
    <w:rsid w:val="00004474"/>
    <w:rsid w:val="00005F02"/>
    <w:rsid w:val="00006A92"/>
    <w:rsid w:val="00006EF5"/>
    <w:rsid w:val="00007EEE"/>
    <w:rsid w:val="000107EC"/>
    <w:rsid w:val="0001266C"/>
    <w:rsid w:val="00014405"/>
    <w:rsid w:val="00014C75"/>
    <w:rsid w:val="00014D0C"/>
    <w:rsid w:val="000156D9"/>
    <w:rsid w:val="0001713B"/>
    <w:rsid w:val="00017F23"/>
    <w:rsid w:val="000217E4"/>
    <w:rsid w:val="00023821"/>
    <w:rsid w:val="00023A92"/>
    <w:rsid w:val="00027285"/>
    <w:rsid w:val="00033A7B"/>
    <w:rsid w:val="00035920"/>
    <w:rsid w:val="00036378"/>
    <w:rsid w:val="00037404"/>
    <w:rsid w:val="00037818"/>
    <w:rsid w:val="00037980"/>
    <w:rsid w:val="00041E2B"/>
    <w:rsid w:val="00042A25"/>
    <w:rsid w:val="00042D28"/>
    <w:rsid w:val="00042EEE"/>
    <w:rsid w:val="00043FB7"/>
    <w:rsid w:val="00046967"/>
    <w:rsid w:val="000469A0"/>
    <w:rsid w:val="00046B2A"/>
    <w:rsid w:val="00047148"/>
    <w:rsid w:val="0005571C"/>
    <w:rsid w:val="000559C3"/>
    <w:rsid w:val="00056D4F"/>
    <w:rsid w:val="000603A2"/>
    <w:rsid w:val="00062021"/>
    <w:rsid w:val="00062E2D"/>
    <w:rsid w:val="00066BF4"/>
    <w:rsid w:val="0006754D"/>
    <w:rsid w:val="00071F28"/>
    <w:rsid w:val="0007356D"/>
    <w:rsid w:val="00074856"/>
    <w:rsid w:val="0007750D"/>
    <w:rsid w:val="00080442"/>
    <w:rsid w:val="000812B6"/>
    <w:rsid w:val="0008163D"/>
    <w:rsid w:val="0008520A"/>
    <w:rsid w:val="000877E6"/>
    <w:rsid w:val="00091FBA"/>
    <w:rsid w:val="00093120"/>
    <w:rsid w:val="00093D8B"/>
    <w:rsid w:val="000A228B"/>
    <w:rsid w:val="000A444D"/>
    <w:rsid w:val="000A5462"/>
    <w:rsid w:val="000A6FC1"/>
    <w:rsid w:val="000B1E50"/>
    <w:rsid w:val="000B1F19"/>
    <w:rsid w:val="000B4BCD"/>
    <w:rsid w:val="000B6021"/>
    <w:rsid w:val="000C0905"/>
    <w:rsid w:val="000C152B"/>
    <w:rsid w:val="000C2F51"/>
    <w:rsid w:val="000C4913"/>
    <w:rsid w:val="000C787F"/>
    <w:rsid w:val="000C7AB7"/>
    <w:rsid w:val="000D0BD5"/>
    <w:rsid w:val="000D17C9"/>
    <w:rsid w:val="000D4FAA"/>
    <w:rsid w:val="000D59DE"/>
    <w:rsid w:val="000E1A57"/>
    <w:rsid w:val="000E216E"/>
    <w:rsid w:val="000E3608"/>
    <w:rsid w:val="000E69F8"/>
    <w:rsid w:val="000F2E08"/>
    <w:rsid w:val="000F493B"/>
    <w:rsid w:val="000F6613"/>
    <w:rsid w:val="001022CC"/>
    <w:rsid w:val="0010239C"/>
    <w:rsid w:val="00102F71"/>
    <w:rsid w:val="00106A47"/>
    <w:rsid w:val="00107051"/>
    <w:rsid w:val="0011236B"/>
    <w:rsid w:val="00115AA2"/>
    <w:rsid w:val="00117613"/>
    <w:rsid w:val="001177F0"/>
    <w:rsid w:val="00124F1E"/>
    <w:rsid w:val="00127540"/>
    <w:rsid w:val="00130C38"/>
    <w:rsid w:val="00132302"/>
    <w:rsid w:val="00132BE4"/>
    <w:rsid w:val="00135362"/>
    <w:rsid w:val="00136F6B"/>
    <w:rsid w:val="00137C67"/>
    <w:rsid w:val="0014134F"/>
    <w:rsid w:val="0014169A"/>
    <w:rsid w:val="0014323B"/>
    <w:rsid w:val="00143504"/>
    <w:rsid w:val="00145C16"/>
    <w:rsid w:val="00146F90"/>
    <w:rsid w:val="001618D7"/>
    <w:rsid w:val="00161E02"/>
    <w:rsid w:val="00163E73"/>
    <w:rsid w:val="001657D8"/>
    <w:rsid w:val="00167BF4"/>
    <w:rsid w:val="00175B0A"/>
    <w:rsid w:val="00180B60"/>
    <w:rsid w:val="00183760"/>
    <w:rsid w:val="001848CC"/>
    <w:rsid w:val="00190D40"/>
    <w:rsid w:val="001A08CA"/>
    <w:rsid w:val="001B0A60"/>
    <w:rsid w:val="001B0F1A"/>
    <w:rsid w:val="001B2959"/>
    <w:rsid w:val="001B2AF0"/>
    <w:rsid w:val="001B2E1D"/>
    <w:rsid w:val="001B687D"/>
    <w:rsid w:val="001B7022"/>
    <w:rsid w:val="001C2ACF"/>
    <w:rsid w:val="001C545B"/>
    <w:rsid w:val="001C66BC"/>
    <w:rsid w:val="001C779A"/>
    <w:rsid w:val="001D03D4"/>
    <w:rsid w:val="001D09A0"/>
    <w:rsid w:val="001D3E64"/>
    <w:rsid w:val="001D444B"/>
    <w:rsid w:val="001E33B7"/>
    <w:rsid w:val="001E6B63"/>
    <w:rsid w:val="001F1480"/>
    <w:rsid w:val="001F1C99"/>
    <w:rsid w:val="001F4B07"/>
    <w:rsid w:val="001F5108"/>
    <w:rsid w:val="001F605D"/>
    <w:rsid w:val="001F6538"/>
    <w:rsid w:val="00203D12"/>
    <w:rsid w:val="002045A2"/>
    <w:rsid w:val="00205409"/>
    <w:rsid w:val="00206967"/>
    <w:rsid w:val="00206D81"/>
    <w:rsid w:val="00207A81"/>
    <w:rsid w:val="00214195"/>
    <w:rsid w:val="002158ED"/>
    <w:rsid w:val="00216E66"/>
    <w:rsid w:val="00217901"/>
    <w:rsid w:val="00220184"/>
    <w:rsid w:val="00220306"/>
    <w:rsid w:val="002216DF"/>
    <w:rsid w:val="00221C8C"/>
    <w:rsid w:val="00222AE4"/>
    <w:rsid w:val="00223D49"/>
    <w:rsid w:val="002254CA"/>
    <w:rsid w:val="00225A43"/>
    <w:rsid w:val="002309FE"/>
    <w:rsid w:val="00234CB5"/>
    <w:rsid w:val="00242F78"/>
    <w:rsid w:val="00244076"/>
    <w:rsid w:val="00244CEE"/>
    <w:rsid w:val="00244F0B"/>
    <w:rsid w:val="002464DB"/>
    <w:rsid w:val="00250B5F"/>
    <w:rsid w:val="002511B3"/>
    <w:rsid w:val="00251308"/>
    <w:rsid w:val="002521F1"/>
    <w:rsid w:val="00256509"/>
    <w:rsid w:val="002567AE"/>
    <w:rsid w:val="00260471"/>
    <w:rsid w:val="002620B5"/>
    <w:rsid w:val="0026403B"/>
    <w:rsid w:val="00270B1B"/>
    <w:rsid w:val="00271BEE"/>
    <w:rsid w:val="00273F36"/>
    <w:rsid w:val="0027452D"/>
    <w:rsid w:val="00274E9B"/>
    <w:rsid w:val="0027511C"/>
    <w:rsid w:val="00275823"/>
    <w:rsid w:val="002771AB"/>
    <w:rsid w:val="00280105"/>
    <w:rsid w:val="00282CB6"/>
    <w:rsid w:val="00283722"/>
    <w:rsid w:val="002920B2"/>
    <w:rsid w:val="00293B3D"/>
    <w:rsid w:val="002A153D"/>
    <w:rsid w:val="002A34FB"/>
    <w:rsid w:val="002A4594"/>
    <w:rsid w:val="002A5134"/>
    <w:rsid w:val="002B0CA2"/>
    <w:rsid w:val="002B2B25"/>
    <w:rsid w:val="002B2B46"/>
    <w:rsid w:val="002B3E99"/>
    <w:rsid w:val="002C37E1"/>
    <w:rsid w:val="002C4590"/>
    <w:rsid w:val="002C7260"/>
    <w:rsid w:val="002D16E9"/>
    <w:rsid w:val="002D1E03"/>
    <w:rsid w:val="002D278E"/>
    <w:rsid w:val="002D5AC8"/>
    <w:rsid w:val="002E423B"/>
    <w:rsid w:val="002F01C2"/>
    <w:rsid w:val="002F1D9A"/>
    <w:rsid w:val="002F1FB2"/>
    <w:rsid w:val="002F7C1F"/>
    <w:rsid w:val="0030473A"/>
    <w:rsid w:val="0030785F"/>
    <w:rsid w:val="00314EE7"/>
    <w:rsid w:val="00316934"/>
    <w:rsid w:val="00317BE9"/>
    <w:rsid w:val="003229E8"/>
    <w:rsid w:val="00326931"/>
    <w:rsid w:val="00330DBF"/>
    <w:rsid w:val="00341A90"/>
    <w:rsid w:val="00342101"/>
    <w:rsid w:val="00343183"/>
    <w:rsid w:val="00345E38"/>
    <w:rsid w:val="00350294"/>
    <w:rsid w:val="0035177F"/>
    <w:rsid w:val="00354822"/>
    <w:rsid w:val="00363BF9"/>
    <w:rsid w:val="003642CE"/>
    <w:rsid w:val="003660FE"/>
    <w:rsid w:val="00370E6A"/>
    <w:rsid w:val="00376470"/>
    <w:rsid w:val="00376534"/>
    <w:rsid w:val="00380257"/>
    <w:rsid w:val="003820CE"/>
    <w:rsid w:val="00383888"/>
    <w:rsid w:val="0038599A"/>
    <w:rsid w:val="00385CF5"/>
    <w:rsid w:val="00393A4B"/>
    <w:rsid w:val="0039570A"/>
    <w:rsid w:val="0039704D"/>
    <w:rsid w:val="003A2006"/>
    <w:rsid w:val="003A21D3"/>
    <w:rsid w:val="003A4C9D"/>
    <w:rsid w:val="003A64E9"/>
    <w:rsid w:val="003A7609"/>
    <w:rsid w:val="003B0F07"/>
    <w:rsid w:val="003B240A"/>
    <w:rsid w:val="003B7C32"/>
    <w:rsid w:val="003C20E6"/>
    <w:rsid w:val="003C235D"/>
    <w:rsid w:val="003C2DEB"/>
    <w:rsid w:val="003C306C"/>
    <w:rsid w:val="003C3597"/>
    <w:rsid w:val="003C3C90"/>
    <w:rsid w:val="003C5A81"/>
    <w:rsid w:val="003C67A3"/>
    <w:rsid w:val="003C6E19"/>
    <w:rsid w:val="003D0785"/>
    <w:rsid w:val="003D24E0"/>
    <w:rsid w:val="003D3783"/>
    <w:rsid w:val="003D48C9"/>
    <w:rsid w:val="003D6E5F"/>
    <w:rsid w:val="003D7085"/>
    <w:rsid w:val="003D7086"/>
    <w:rsid w:val="003D778D"/>
    <w:rsid w:val="003E2072"/>
    <w:rsid w:val="003E25E9"/>
    <w:rsid w:val="003E57C9"/>
    <w:rsid w:val="003E5B9D"/>
    <w:rsid w:val="003E619A"/>
    <w:rsid w:val="003E728E"/>
    <w:rsid w:val="003F26BF"/>
    <w:rsid w:val="003F32DF"/>
    <w:rsid w:val="003F38FA"/>
    <w:rsid w:val="003F4121"/>
    <w:rsid w:val="003F4AB9"/>
    <w:rsid w:val="003F5612"/>
    <w:rsid w:val="003F76F1"/>
    <w:rsid w:val="00403FA4"/>
    <w:rsid w:val="00411E11"/>
    <w:rsid w:val="00411EC2"/>
    <w:rsid w:val="0041673C"/>
    <w:rsid w:val="00417D16"/>
    <w:rsid w:val="00420E7C"/>
    <w:rsid w:val="004258A4"/>
    <w:rsid w:val="0042648F"/>
    <w:rsid w:val="00430FD3"/>
    <w:rsid w:val="004311E8"/>
    <w:rsid w:val="004339DF"/>
    <w:rsid w:val="00434415"/>
    <w:rsid w:val="00434E73"/>
    <w:rsid w:val="00436366"/>
    <w:rsid w:val="00436FA7"/>
    <w:rsid w:val="0043710B"/>
    <w:rsid w:val="00437F05"/>
    <w:rsid w:val="004412E4"/>
    <w:rsid w:val="00443EEB"/>
    <w:rsid w:val="00444416"/>
    <w:rsid w:val="004464B7"/>
    <w:rsid w:val="0044652B"/>
    <w:rsid w:val="00450248"/>
    <w:rsid w:val="00451371"/>
    <w:rsid w:val="00454C50"/>
    <w:rsid w:val="00455161"/>
    <w:rsid w:val="004558DF"/>
    <w:rsid w:val="00456A15"/>
    <w:rsid w:val="0046023B"/>
    <w:rsid w:val="00462A74"/>
    <w:rsid w:val="004670BB"/>
    <w:rsid w:val="004702E5"/>
    <w:rsid w:val="00470F6A"/>
    <w:rsid w:val="00472976"/>
    <w:rsid w:val="004734B3"/>
    <w:rsid w:val="00474712"/>
    <w:rsid w:val="004754AE"/>
    <w:rsid w:val="0048045F"/>
    <w:rsid w:val="004843CB"/>
    <w:rsid w:val="00490A21"/>
    <w:rsid w:val="00490CC4"/>
    <w:rsid w:val="004A0749"/>
    <w:rsid w:val="004A2093"/>
    <w:rsid w:val="004A21FA"/>
    <w:rsid w:val="004A26BE"/>
    <w:rsid w:val="004A3600"/>
    <w:rsid w:val="004A4507"/>
    <w:rsid w:val="004B0A2F"/>
    <w:rsid w:val="004B1DE4"/>
    <w:rsid w:val="004B3F78"/>
    <w:rsid w:val="004B5C4E"/>
    <w:rsid w:val="004B76D3"/>
    <w:rsid w:val="004C14BD"/>
    <w:rsid w:val="004C5378"/>
    <w:rsid w:val="004C7064"/>
    <w:rsid w:val="004C7BEF"/>
    <w:rsid w:val="004D1C31"/>
    <w:rsid w:val="004D7082"/>
    <w:rsid w:val="004E306E"/>
    <w:rsid w:val="004E5206"/>
    <w:rsid w:val="004E5621"/>
    <w:rsid w:val="004E63D9"/>
    <w:rsid w:val="004E7254"/>
    <w:rsid w:val="004F2CD0"/>
    <w:rsid w:val="004F4570"/>
    <w:rsid w:val="004F4B94"/>
    <w:rsid w:val="004F5507"/>
    <w:rsid w:val="004F5ED3"/>
    <w:rsid w:val="004F7098"/>
    <w:rsid w:val="00500435"/>
    <w:rsid w:val="005005FE"/>
    <w:rsid w:val="00506671"/>
    <w:rsid w:val="00507836"/>
    <w:rsid w:val="005121E1"/>
    <w:rsid w:val="005147D9"/>
    <w:rsid w:val="00514ECE"/>
    <w:rsid w:val="005223A4"/>
    <w:rsid w:val="00526BD9"/>
    <w:rsid w:val="005277E5"/>
    <w:rsid w:val="005302BD"/>
    <w:rsid w:val="00530616"/>
    <w:rsid w:val="005307DB"/>
    <w:rsid w:val="00532411"/>
    <w:rsid w:val="00533B7B"/>
    <w:rsid w:val="005366E9"/>
    <w:rsid w:val="0054036A"/>
    <w:rsid w:val="00540B63"/>
    <w:rsid w:val="005417F4"/>
    <w:rsid w:val="00541A7B"/>
    <w:rsid w:val="00543408"/>
    <w:rsid w:val="00546D0C"/>
    <w:rsid w:val="005525F0"/>
    <w:rsid w:val="00552CCB"/>
    <w:rsid w:val="005541ED"/>
    <w:rsid w:val="005576FE"/>
    <w:rsid w:val="005621EB"/>
    <w:rsid w:val="0056351F"/>
    <w:rsid w:val="00564709"/>
    <w:rsid w:val="005662BD"/>
    <w:rsid w:val="00587AA1"/>
    <w:rsid w:val="00591580"/>
    <w:rsid w:val="00591B16"/>
    <w:rsid w:val="005A11E0"/>
    <w:rsid w:val="005A1862"/>
    <w:rsid w:val="005A1FC8"/>
    <w:rsid w:val="005A52A1"/>
    <w:rsid w:val="005A745C"/>
    <w:rsid w:val="005A7BA9"/>
    <w:rsid w:val="005B05A6"/>
    <w:rsid w:val="005B0CCB"/>
    <w:rsid w:val="005B0F25"/>
    <w:rsid w:val="005B4646"/>
    <w:rsid w:val="005B4A54"/>
    <w:rsid w:val="005B6D06"/>
    <w:rsid w:val="005B7532"/>
    <w:rsid w:val="005C1C72"/>
    <w:rsid w:val="005C2B21"/>
    <w:rsid w:val="005C4F31"/>
    <w:rsid w:val="005C5DFC"/>
    <w:rsid w:val="005C6636"/>
    <w:rsid w:val="005D0467"/>
    <w:rsid w:val="005D0776"/>
    <w:rsid w:val="005D11F0"/>
    <w:rsid w:val="005D18F6"/>
    <w:rsid w:val="005D2ECA"/>
    <w:rsid w:val="005D442A"/>
    <w:rsid w:val="005D4DA3"/>
    <w:rsid w:val="005E0DF0"/>
    <w:rsid w:val="005E2FF6"/>
    <w:rsid w:val="005E3419"/>
    <w:rsid w:val="005E3FB2"/>
    <w:rsid w:val="005E5FD2"/>
    <w:rsid w:val="005E751A"/>
    <w:rsid w:val="005F012D"/>
    <w:rsid w:val="005F0CA6"/>
    <w:rsid w:val="005F221B"/>
    <w:rsid w:val="005F42C5"/>
    <w:rsid w:val="005F48DE"/>
    <w:rsid w:val="005F7024"/>
    <w:rsid w:val="00601D3D"/>
    <w:rsid w:val="0060330F"/>
    <w:rsid w:val="006039BB"/>
    <w:rsid w:val="00604C7B"/>
    <w:rsid w:val="006117E4"/>
    <w:rsid w:val="00616872"/>
    <w:rsid w:val="006238E1"/>
    <w:rsid w:val="00627E17"/>
    <w:rsid w:val="00630C12"/>
    <w:rsid w:val="00631068"/>
    <w:rsid w:val="006333AF"/>
    <w:rsid w:val="0063582D"/>
    <w:rsid w:val="006374EE"/>
    <w:rsid w:val="006433ED"/>
    <w:rsid w:val="006438D8"/>
    <w:rsid w:val="00645BD9"/>
    <w:rsid w:val="00646351"/>
    <w:rsid w:val="0065050A"/>
    <w:rsid w:val="006513FE"/>
    <w:rsid w:val="00652D4D"/>
    <w:rsid w:val="0065434B"/>
    <w:rsid w:val="0065472A"/>
    <w:rsid w:val="00654DF6"/>
    <w:rsid w:val="0065631C"/>
    <w:rsid w:val="0065675D"/>
    <w:rsid w:val="0066277C"/>
    <w:rsid w:val="006631BB"/>
    <w:rsid w:val="006643B1"/>
    <w:rsid w:val="0066661C"/>
    <w:rsid w:val="006704D3"/>
    <w:rsid w:val="00671709"/>
    <w:rsid w:val="00672EA6"/>
    <w:rsid w:val="00674520"/>
    <w:rsid w:val="006745D6"/>
    <w:rsid w:val="00674E25"/>
    <w:rsid w:val="0067636E"/>
    <w:rsid w:val="00676F66"/>
    <w:rsid w:val="00681B36"/>
    <w:rsid w:val="00682860"/>
    <w:rsid w:val="00682F3F"/>
    <w:rsid w:val="0068465B"/>
    <w:rsid w:val="0069476A"/>
    <w:rsid w:val="006A187B"/>
    <w:rsid w:val="006A222C"/>
    <w:rsid w:val="006A39EF"/>
    <w:rsid w:val="006A5BD2"/>
    <w:rsid w:val="006A7C46"/>
    <w:rsid w:val="006B3419"/>
    <w:rsid w:val="006B5645"/>
    <w:rsid w:val="006B567E"/>
    <w:rsid w:val="006C0111"/>
    <w:rsid w:val="006C1DCF"/>
    <w:rsid w:val="006C6E0F"/>
    <w:rsid w:val="006D5507"/>
    <w:rsid w:val="006E1C21"/>
    <w:rsid w:val="006E5F66"/>
    <w:rsid w:val="006E616F"/>
    <w:rsid w:val="006E6265"/>
    <w:rsid w:val="006E747F"/>
    <w:rsid w:val="006F26FD"/>
    <w:rsid w:val="006F4830"/>
    <w:rsid w:val="006F60E3"/>
    <w:rsid w:val="006F7F18"/>
    <w:rsid w:val="007022B3"/>
    <w:rsid w:val="007030C9"/>
    <w:rsid w:val="007041FF"/>
    <w:rsid w:val="0070432C"/>
    <w:rsid w:val="00705281"/>
    <w:rsid w:val="0070544A"/>
    <w:rsid w:val="007105D4"/>
    <w:rsid w:val="00712E45"/>
    <w:rsid w:val="00714EDA"/>
    <w:rsid w:val="00715888"/>
    <w:rsid w:val="00715971"/>
    <w:rsid w:val="00716E7D"/>
    <w:rsid w:val="0072239D"/>
    <w:rsid w:val="00722E92"/>
    <w:rsid w:val="00723A7F"/>
    <w:rsid w:val="00724EAB"/>
    <w:rsid w:val="00731302"/>
    <w:rsid w:val="00731307"/>
    <w:rsid w:val="00732175"/>
    <w:rsid w:val="00736B9A"/>
    <w:rsid w:val="00740529"/>
    <w:rsid w:val="00742138"/>
    <w:rsid w:val="0074389D"/>
    <w:rsid w:val="007451E3"/>
    <w:rsid w:val="00750A9C"/>
    <w:rsid w:val="0075595F"/>
    <w:rsid w:val="007564E2"/>
    <w:rsid w:val="00757C03"/>
    <w:rsid w:val="00757ED4"/>
    <w:rsid w:val="00764D24"/>
    <w:rsid w:val="00770384"/>
    <w:rsid w:val="00771DFC"/>
    <w:rsid w:val="00772F6C"/>
    <w:rsid w:val="00773CE9"/>
    <w:rsid w:val="00775161"/>
    <w:rsid w:val="007762D5"/>
    <w:rsid w:val="00777C8C"/>
    <w:rsid w:val="0078303E"/>
    <w:rsid w:val="007865D8"/>
    <w:rsid w:val="00786DDE"/>
    <w:rsid w:val="007906EA"/>
    <w:rsid w:val="0079219F"/>
    <w:rsid w:val="00792ABE"/>
    <w:rsid w:val="00795FC7"/>
    <w:rsid w:val="00797A2A"/>
    <w:rsid w:val="007A05A0"/>
    <w:rsid w:val="007A4FFD"/>
    <w:rsid w:val="007B0920"/>
    <w:rsid w:val="007B0DCD"/>
    <w:rsid w:val="007B20E8"/>
    <w:rsid w:val="007B295B"/>
    <w:rsid w:val="007B40CD"/>
    <w:rsid w:val="007C3B71"/>
    <w:rsid w:val="007C56B2"/>
    <w:rsid w:val="007C70CB"/>
    <w:rsid w:val="007D21F7"/>
    <w:rsid w:val="007D532B"/>
    <w:rsid w:val="007E2AA0"/>
    <w:rsid w:val="007E3074"/>
    <w:rsid w:val="007E3976"/>
    <w:rsid w:val="007E5A69"/>
    <w:rsid w:val="007E66C2"/>
    <w:rsid w:val="007F28F2"/>
    <w:rsid w:val="007F37EC"/>
    <w:rsid w:val="007F5264"/>
    <w:rsid w:val="007F780A"/>
    <w:rsid w:val="00806439"/>
    <w:rsid w:val="00810562"/>
    <w:rsid w:val="0081385A"/>
    <w:rsid w:val="008138B1"/>
    <w:rsid w:val="00815E67"/>
    <w:rsid w:val="00816328"/>
    <w:rsid w:val="00816E98"/>
    <w:rsid w:val="0082011A"/>
    <w:rsid w:val="00820261"/>
    <w:rsid w:val="00824A1E"/>
    <w:rsid w:val="008265FB"/>
    <w:rsid w:val="0083307F"/>
    <w:rsid w:val="00837B38"/>
    <w:rsid w:val="008402D5"/>
    <w:rsid w:val="0084233A"/>
    <w:rsid w:val="00844028"/>
    <w:rsid w:val="0084464F"/>
    <w:rsid w:val="00844681"/>
    <w:rsid w:val="0084596D"/>
    <w:rsid w:val="00850170"/>
    <w:rsid w:val="00850A81"/>
    <w:rsid w:val="00853606"/>
    <w:rsid w:val="00853FDC"/>
    <w:rsid w:val="0085401B"/>
    <w:rsid w:val="0085538D"/>
    <w:rsid w:val="00855B9C"/>
    <w:rsid w:val="00857A81"/>
    <w:rsid w:val="0086120E"/>
    <w:rsid w:val="00864718"/>
    <w:rsid w:val="008723BB"/>
    <w:rsid w:val="00874124"/>
    <w:rsid w:val="0087434D"/>
    <w:rsid w:val="008758F6"/>
    <w:rsid w:val="0088044B"/>
    <w:rsid w:val="00880641"/>
    <w:rsid w:val="008814E9"/>
    <w:rsid w:val="008815F1"/>
    <w:rsid w:val="00886001"/>
    <w:rsid w:val="0088782C"/>
    <w:rsid w:val="00887CEE"/>
    <w:rsid w:val="00895349"/>
    <w:rsid w:val="0089547D"/>
    <w:rsid w:val="008963F5"/>
    <w:rsid w:val="008A160E"/>
    <w:rsid w:val="008A1BC0"/>
    <w:rsid w:val="008A1C89"/>
    <w:rsid w:val="008A3047"/>
    <w:rsid w:val="008A452D"/>
    <w:rsid w:val="008A50D6"/>
    <w:rsid w:val="008A772E"/>
    <w:rsid w:val="008A77A6"/>
    <w:rsid w:val="008A7F32"/>
    <w:rsid w:val="008B5925"/>
    <w:rsid w:val="008B7214"/>
    <w:rsid w:val="008D2524"/>
    <w:rsid w:val="008D6673"/>
    <w:rsid w:val="008E11C0"/>
    <w:rsid w:val="008E3AE4"/>
    <w:rsid w:val="008E3FA4"/>
    <w:rsid w:val="008E631B"/>
    <w:rsid w:val="008E7B24"/>
    <w:rsid w:val="008F0CF4"/>
    <w:rsid w:val="008F1524"/>
    <w:rsid w:val="008F3907"/>
    <w:rsid w:val="008F3F36"/>
    <w:rsid w:val="008F4C30"/>
    <w:rsid w:val="008F7242"/>
    <w:rsid w:val="0090034A"/>
    <w:rsid w:val="00901F55"/>
    <w:rsid w:val="00905456"/>
    <w:rsid w:val="009071F4"/>
    <w:rsid w:val="00910563"/>
    <w:rsid w:val="00910BB9"/>
    <w:rsid w:val="00910D9E"/>
    <w:rsid w:val="00912BDE"/>
    <w:rsid w:val="00912E35"/>
    <w:rsid w:val="0091346D"/>
    <w:rsid w:val="00914D3C"/>
    <w:rsid w:val="009151EA"/>
    <w:rsid w:val="009168DA"/>
    <w:rsid w:val="0091746B"/>
    <w:rsid w:val="00922C37"/>
    <w:rsid w:val="00922E0D"/>
    <w:rsid w:val="00922EF4"/>
    <w:rsid w:val="00923621"/>
    <w:rsid w:val="0092580C"/>
    <w:rsid w:val="00925BAE"/>
    <w:rsid w:val="00927C1A"/>
    <w:rsid w:val="00932065"/>
    <w:rsid w:val="00934CFF"/>
    <w:rsid w:val="00937D58"/>
    <w:rsid w:val="009401AF"/>
    <w:rsid w:val="0094040B"/>
    <w:rsid w:val="00942E0B"/>
    <w:rsid w:val="00946807"/>
    <w:rsid w:val="00950499"/>
    <w:rsid w:val="00951D67"/>
    <w:rsid w:val="009530B1"/>
    <w:rsid w:val="009534CD"/>
    <w:rsid w:val="00956305"/>
    <w:rsid w:val="009568E1"/>
    <w:rsid w:val="00956C59"/>
    <w:rsid w:val="00961105"/>
    <w:rsid w:val="00961CF2"/>
    <w:rsid w:val="009637CC"/>
    <w:rsid w:val="009647D5"/>
    <w:rsid w:val="00967914"/>
    <w:rsid w:val="00972E11"/>
    <w:rsid w:val="00976194"/>
    <w:rsid w:val="00980790"/>
    <w:rsid w:val="00980965"/>
    <w:rsid w:val="00983D29"/>
    <w:rsid w:val="00983EC2"/>
    <w:rsid w:val="009929CB"/>
    <w:rsid w:val="00992C48"/>
    <w:rsid w:val="00994EDA"/>
    <w:rsid w:val="00996D63"/>
    <w:rsid w:val="00997B73"/>
    <w:rsid w:val="00997B9E"/>
    <w:rsid w:val="00997CAB"/>
    <w:rsid w:val="009A0EBD"/>
    <w:rsid w:val="009A3719"/>
    <w:rsid w:val="009A39CE"/>
    <w:rsid w:val="009A555C"/>
    <w:rsid w:val="009B7AFF"/>
    <w:rsid w:val="009C05E6"/>
    <w:rsid w:val="009C1D91"/>
    <w:rsid w:val="009D3DFA"/>
    <w:rsid w:val="009D5128"/>
    <w:rsid w:val="009D5D04"/>
    <w:rsid w:val="009E0844"/>
    <w:rsid w:val="009E263C"/>
    <w:rsid w:val="009E4F5A"/>
    <w:rsid w:val="009F038B"/>
    <w:rsid w:val="009F232A"/>
    <w:rsid w:val="009F37F6"/>
    <w:rsid w:val="00A00DBA"/>
    <w:rsid w:val="00A11937"/>
    <w:rsid w:val="00A11C5F"/>
    <w:rsid w:val="00A137CC"/>
    <w:rsid w:val="00A13D1B"/>
    <w:rsid w:val="00A21108"/>
    <w:rsid w:val="00A30688"/>
    <w:rsid w:val="00A3173D"/>
    <w:rsid w:val="00A317FB"/>
    <w:rsid w:val="00A32ED7"/>
    <w:rsid w:val="00A33B45"/>
    <w:rsid w:val="00A34C6D"/>
    <w:rsid w:val="00A37D81"/>
    <w:rsid w:val="00A430CF"/>
    <w:rsid w:val="00A464EF"/>
    <w:rsid w:val="00A478F7"/>
    <w:rsid w:val="00A50A97"/>
    <w:rsid w:val="00A51A1C"/>
    <w:rsid w:val="00A5325C"/>
    <w:rsid w:val="00A5593A"/>
    <w:rsid w:val="00A600C1"/>
    <w:rsid w:val="00A60CD6"/>
    <w:rsid w:val="00A61E5C"/>
    <w:rsid w:val="00A72A31"/>
    <w:rsid w:val="00A768BB"/>
    <w:rsid w:val="00A76D15"/>
    <w:rsid w:val="00A80572"/>
    <w:rsid w:val="00A82A72"/>
    <w:rsid w:val="00A82BB8"/>
    <w:rsid w:val="00A872C3"/>
    <w:rsid w:val="00A87A00"/>
    <w:rsid w:val="00A90358"/>
    <w:rsid w:val="00A90A88"/>
    <w:rsid w:val="00A91212"/>
    <w:rsid w:val="00A9183D"/>
    <w:rsid w:val="00AA086B"/>
    <w:rsid w:val="00AA26EB"/>
    <w:rsid w:val="00AA2E4C"/>
    <w:rsid w:val="00AA3B97"/>
    <w:rsid w:val="00AA5D4A"/>
    <w:rsid w:val="00AA6668"/>
    <w:rsid w:val="00AA74F1"/>
    <w:rsid w:val="00AA7F70"/>
    <w:rsid w:val="00AB08D8"/>
    <w:rsid w:val="00AB76A9"/>
    <w:rsid w:val="00AC7A32"/>
    <w:rsid w:val="00AD13BC"/>
    <w:rsid w:val="00AD1B3E"/>
    <w:rsid w:val="00AD38E5"/>
    <w:rsid w:val="00AD46EC"/>
    <w:rsid w:val="00AD49EC"/>
    <w:rsid w:val="00AE1870"/>
    <w:rsid w:val="00AE4DAB"/>
    <w:rsid w:val="00AF2E07"/>
    <w:rsid w:val="00AF6912"/>
    <w:rsid w:val="00AF7678"/>
    <w:rsid w:val="00B0046B"/>
    <w:rsid w:val="00B03495"/>
    <w:rsid w:val="00B03FD8"/>
    <w:rsid w:val="00B049FA"/>
    <w:rsid w:val="00B04E35"/>
    <w:rsid w:val="00B05A39"/>
    <w:rsid w:val="00B066FC"/>
    <w:rsid w:val="00B13317"/>
    <w:rsid w:val="00B14B93"/>
    <w:rsid w:val="00B16B5C"/>
    <w:rsid w:val="00B20BBA"/>
    <w:rsid w:val="00B23C1B"/>
    <w:rsid w:val="00B240D8"/>
    <w:rsid w:val="00B310E5"/>
    <w:rsid w:val="00B31DB9"/>
    <w:rsid w:val="00B34B8F"/>
    <w:rsid w:val="00B37F3D"/>
    <w:rsid w:val="00B41AB2"/>
    <w:rsid w:val="00B425AC"/>
    <w:rsid w:val="00B42A85"/>
    <w:rsid w:val="00B44392"/>
    <w:rsid w:val="00B44A7C"/>
    <w:rsid w:val="00B4586E"/>
    <w:rsid w:val="00B47EC6"/>
    <w:rsid w:val="00B50738"/>
    <w:rsid w:val="00B56ABC"/>
    <w:rsid w:val="00B60E44"/>
    <w:rsid w:val="00B61FF9"/>
    <w:rsid w:val="00B63751"/>
    <w:rsid w:val="00B63E1E"/>
    <w:rsid w:val="00B65D3D"/>
    <w:rsid w:val="00B66879"/>
    <w:rsid w:val="00B719B1"/>
    <w:rsid w:val="00B73796"/>
    <w:rsid w:val="00B74A93"/>
    <w:rsid w:val="00B76F64"/>
    <w:rsid w:val="00B77FC9"/>
    <w:rsid w:val="00B82CB7"/>
    <w:rsid w:val="00B90203"/>
    <w:rsid w:val="00B92165"/>
    <w:rsid w:val="00B9229E"/>
    <w:rsid w:val="00B9451F"/>
    <w:rsid w:val="00BA1072"/>
    <w:rsid w:val="00BA1995"/>
    <w:rsid w:val="00BA1FFA"/>
    <w:rsid w:val="00BA68A3"/>
    <w:rsid w:val="00BA71B2"/>
    <w:rsid w:val="00BA7CDA"/>
    <w:rsid w:val="00BB055E"/>
    <w:rsid w:val="00BB1D20"/>
    <w:rsid w:val="00BB45C2"/>
    <w:rsid w:val="00BB6B31"/>
    <w:rsid w:val="00BC0D5D"/>
    <w:rsid w:val="00BC11DF"/>
    <w:rsid w:val="00BC1324"/>
    <w:rsid w:val="00BC30CC"/>
    <w:rsid w:val="00BC397C"/>
    <w:rsid w:val="00BC4D28"/>
    <w:rsid w:val="00BC63FE"/>
    <w:rsid w:val="00BD1B35"/>
    <w:rsid w:val="00BD582F"/>
    <w:rsid w:val="00BD6014"/>
    <w:rsid w:val="00BE3072"/>
    <w:rsid w:val="00BE46D4"/>
    <w:rsid w:val="00BE78A0"/>
    <w:rsid w:val="00BF0D74"/>
    <w:rsid w:val="00BF2CCF"/>
    <w:rsid w:val="00BF784B"/>
    <w:rsid w:val="00C00B3A"/>
    <w:rsid w:val="00C01EEA"/>
    <w:rsid w:val="00C04FDD"/>
    <w:rsid w:val="00C06901"/>
    <w:rsid w:val="00C118AC"/>
    <w:rsid w:val="00C13CBE"/>
    <w:rsid w:val="00C14204"/>
    <w:rsid w:val="00C15064"/>
    <w:rsid w:val="00C17895"/>
    <w:rsid w:val="00C21B5A"/>
    <w:rsid w:val="00C236C3"/>
    <w:rsid w:val="00C25D19"/>
    <w:rsid w:val="00C308C5"/>
    <w:rsid w:val="00C324F8"/>
    <w:rsid w:val="00C34241"/>
    <w:rsid w:val="00C34C38"/>
    <w:rsid w:val="00C35A61"/>
    <w:rsid w:val="00C37C51"/>
    <w:rsid w:val="00C44C0D"/>
    <w:rsid w:val="00C44C75"/>
    <w:rsid w:val="00C4652E"/>
    <w:rsid w:val="00C51A27"/>
    <w:rsid w:val="00C520BD"/>
    <w:rsid w:val="00C63EF2"/>
    <w:rsid w:val="00C6705B"/>
    <w:rsid w:val="00C747D9"/>
    <w:rsid w:val="00C7729D"/>
    <w:rsid w:val="00C822D7"/>
    <w:rsid w:val="00C850FD"/>
    <w:rsid w:val="00C85D88"/>
    <w:rsid w:val="00C934E2"/>
    <w:rsid w:val="00C94574"/>
    <w:rsid w:val="00C9703A"/>
    <w:rsid w:val="00CA48B0"/>
    <w:rsid w:val="00CA7829"/>
    <w:rsid w:val="00CB0BF6"/>
    <w:rsid w:val="00CB1555"/>
    <w:rsid w:val="00CB1963"/>
    <w:rsid w:val="00CB1E25"/>
    <w:rsid w:val="00CB354B"/>
    <w:rsid w:val="00CB595B"/>
    <w:rsid w:val="00CB6238"/>
    <w:rsid w:val="00CC0307"/>
    <w:rsid w:val="00CC4126"/>
    <w:rsid w:val="00CC5B2C"/>
    <w:rsid w:val="00CD2AB3"/>
    <w:rsid w:val="00CD5447"/>
    <w:rsid w:val="00CE187B"/>
    <w:rsid w:val="00CE1A63"/>
    <w:rsid w:val="00CE37A9"/>
    <w:rsid w:val="00CF0833"/>
    <w:rsid w:val="00CF1814"/>
    <w:rsid w:val="00CF1ABA"/>
    <w:rsid w:val="00CF2667"/>
    <w:rsid w:val="00CF2E69"/>
    <w:rsid w:val="00CF33B4"/>
    <w:rsid w:val="00CF5ACE"/>
    <w:rsid w:val="00D039C5"/>
    <w:rsid w:val="00D03C31"/>
    <w:rsid w:val="00D12262"/>
    <w:rsid w:val="00D1255D"/>
    <w:rsid w:val="00D127E7"/>
    <w:rsid w:val="00D15D80"/>
    <w:rsid w:val="00D167CB"/>
    <w:rsid w:val="00D16FB1"/>
    <w:rsid w:val="00D21844"/>
    <w:rsid w:val="00D2248B"/>
    <w:rsid w:val="00D23019"/>
    <w:rsid w:val="00D23C7C"/>
    <w:rsid w:val="00D25D94"/>
    <w:rsid w:val="00D267C4"/>
    <w:rsid w:val="00D27344"/>
    <w:rsid w:val="00D319F1"/>
    <w:rsid w:val="00D322B0"/>
    <w:rsid w:val="00D348CE"/>
    <w:rsid w:val="00D37239"/>
    <w:rsid w:val="00D40F8E"/>
    <w:rsid w:val="00D4246A"/>
    <w:rsid w:val="00D46F62"/>
    <w:rsid w:val="00D470C6"/>
    <w:rsid w:val="00D52B93"/>
    <w:rsid w:val="00D53004"/>
    <w:rsid w:val="00D5328E"/>
    <w:rsid w:val="00D54EB4"/>
    <w:rsid w:val="00D57FBB"/>
    <w:rsid w:val="00D62DEA"/>
    <w:rsid w:val="00D70AB1"/>
    <w:rsid w:val="00D71350"/>
    <w:rsid w:val="00D736CF"/>
    <w:rsid w:val="00D74A66"/>
    <w:rsid w:val="00D836E6"/>
    <w:rsid w:val="00D87160"/>
    <w:rsid w:val="00D872FC"/>
    <w:rsid w:val="00D91349"/>
    <w:rsid w:val="00D96A58"/>
    <w:rsid w:val="00D9729F"/>
    <w:rsid w:val="00D9774E"/>
    <w:rsid w:val="00D97E2A"/>
    <w:rsid w:val="00DA1D58"/>
    <w:rsid w:val="00DA3524"/>
    <w:rsid w:val="00DA5C98"/>
    <w:rsid w:val="00DA7F7F"/>
    <w:rsid w:val="00DB35A9"/>
    <w:rsid w:val="00DB3C21"/>
    <w:rsid w:val="00DB6AC9"/>
    <w:rsid w:val="00DB6D01"/>
    <w:rsid w:val="00DB7C67"/>
    <w:rsid w:val="00DC33C9"/>
    <w:rsid w:val="00DC3413"/>
    <w:rsid w:val="00DD3B63"/>
    <w:rsid w:val="00DD4007"/>
    <w:rsid w:val="00DD655F"/>
    <w:rsid w:val="00DD76DE"/>
    <w:rsid w:val="00DE275A"/>
    <w:rsid w:val="00DE7037"/>
    <w:rsid w:val="00DE723D"/>
    <w:rsid w:val="00DE7D0B"/>
    <w:rsid w:val="00DE7DCF"/>
    <w:rsid w:val="00DF0206"/>
    <w:rsid w:val="00DF1530"/>
    <w:rsid w:val="00DF29C3"/>
    <w:rsid w:val="00DF3B0E"/>
    <w:rsid w:val="00DF3C1F"/>
    <w:rsid w:val="00DF447B"/>
    <w:rsid w:val="00DF5FB3"/>
    <w:rsid w:val="00E000EB"/>
    <w:rsid w:val="00E02E28"/>
    <w:rsid w:val="00E03C35"/>
    <w:rsid w:val="00E04FF4"/>
    <w:rsid w:val="00E069ED"/>
    <w:rsid w:val="00E142BD"/>
    <w:rsid w:val="00E20017"/>
    <w:rsid w:val="00E23F4C"/>
    <w:rsid w:val="00E24C6C"/>
    <w:rsid w:val="00E2562C"/>
    <w:rsid w:val="00E25905"/>
    <w:rsid w:val="00E33996"/>
    <w:rsid w:val="00E379DC"/>
    <w:rsid w:val="00E45E88"/>
    <w:rsid w:val="00E46345"/>
    <w:rsid w:val="00E47EEE"/>
    <w:rsid w:val="00E53F89"/>
    <w:rsid w:val="00E57648"/>
    <w:rsid w:val="00E57AB3"/>
    <w:rsid w:val="00E601D6"/>
    <w:rsid w:val="00E60EE5"/>
    <w:rsid w:val="00E64859"/>
    <w:rsid w:val="00E65237"/>
    <w:rsid w:val="00E658FF"/>
    <w:rsid w:val="00E70632"/>
    <w:rsid w:val="00E709C8"/>
    <w:rsid w:val="00E71B58"/>
    <w:rsid w:val="00E73FF2"/>
    <w:rsid w:val="00E7429F"/>
    <w:rsid w:val="00E758C6"/>
    <w:rsid w:val="00E76468"/>
    <w:rsid w:val="00E77164"/>
    <w:rsid w:val="00E804DF"/>
    <w:rsid w:val="00E83608"/>
    <w:rsid w:val="00E855F4"/>
    <w:rsid w:val="00E8622A"/>
    <w:rsid w:val="00E86688"/>
    <w:rsid w:val="00E90B04"/>
    <w:rsid w:val="00E925E0"/>
    <w:rsid w:val="00E97CC8"/>
    <w:rsid w:val="00EA0A3D"/>
    <w:rsid w:val="00EA2F66"/>
    <w:rsid w:val="00EA3DF0"/>
    <w:rsid w:val="00EA456A"/>
    <w:rsid w:val="00EA45C6"/>
    <w:rsid w:val="00EA511D"/>
    <w:rsid w:val="00EA5145"/>
    <w:rsid w:val="00EA5223"/>
    <w:rsid w:val="00EA716E"/>
    <w:rsid w:val="00EB5BF5"/>
    <w:rsid w:val="00EC6164"/>
    <w:rsid w:val="00ED07E9"/>
    <w:rsid w:val="00ED0E47"/>
    <w:rsid w:val="00ED45B1"/>
    <w:rsid w:val="00ED799A"/>
    <w:rsid w:val="00EE0870"/>
    <w:rsid w:val="00EE13AA"/>
    <w:rsid w:val="00EE2B34"/>
    <w:rsid w:val="00EF05EA"/>
    <w:rsid w:val="00EF53BE"/>
    <w:rsid w:val="00EF5A21"/>
    <w:rsid w:val="00F02AC7"/>
    <w:rsid w:val="00F04B03"/>
    <w:rsid w:val="00F13CD1"/>
    <w:rsid w:val="00F14DEF"/>
    <w:rsid w:val="00F162B2"/>
    <w:rsid w:val="00F21554"/>
    <w:rsid w:val="00F21570"/>
    <w:rsid w:val="00F24427"/>
    <w:rsid w:val="00F24AAE"/>
    <w:rsid w:val="00F26E88"/>
    <w:rsid w:val="00F27457"/>
    <w:rsid w:val="00F3012F"/>
    <w:rsid w:val="00F312CB"/>
    <w:rsid w:val="00F3208D"/>
    <w:rsid w:val="00F32FC8"/>
    <w:rsid w:val="00F40832"/>
    <w:rsid w:val="00F421D7"/>
    <w:rsid w:val="00F4392A"/>
    <w:rsid w:val="00F44AE0"/>
    <w:rsid w:val="00F51253"/>
    <w:rsid w:val="00F51862"/>
    <w:rsid w:val="00F53939"/>
    <w:rsid w:val="00F53C8C"/>
    <w:rsid w:val="00F55670"/>
    <w:rsid w:val="00F55DCE"/>
    <w:rsid w:val="00F55F8F"/>
    <w:rsid w:val="00F565AB"/>
    <w:rsid w:val="00F578FD"/>
    <w:rsid w:val="00F57CFF"/>
    <w:rsid w:val="00F609CE"/>
    <w:rsid w:val="00F63198"/>
    <w:rsid w:val="00F711DA"/>
    <w:rsid w:val="00F744ED"/>
    <w:rsid w:val="00F778EE"/>
    <w:rsid w:val="00F8076E"/>
    <w:rsid w:val="00F821F1"/>
    <w:rsid w:val="00F91330"/>
    <w:rsid w:val="00F96366"/>
    <w:rsid w:val="00FA228E"/>
    <w:rsid w:val="00FA32AB"/>
    <w:rsid w:val="00FA4707"/>
    <w:rsid w:val="00FA600E"/>
    <w:rsid w:val="00FB2B25"/>
    <w:rsid w:val="00FB3DDB"/>
    <w:rsid w:val="00FB47A2"/>
    <w:rsid w:val="00FB7505"/>
    <w:rsid w:val="00FB7B88"/>
    <w:rsid w:val="00FC0D21"/>
    <w:rsid w:val="00FC450E"/>
    <w:rsid w:val="00FD0230"/>
    <w:rsid w:val="00FD1371"/>
    <w:rsid w:val="00FD320B"/>
    <w:rsid w:val="00FD54C4"/>
    <w:rsid w:val="00FE10B3"/>
    <w:rsid w:val="00FE5ECE"/>
    <w:rsid w:val="00FE60FC"/>
    <w:rsid w:val="00FE6712"/>
    <w:rsid w:val="00FF3396"/>
    <w:rsid w:val="00FF559D"/>
    <w:rsid w:val="00FF6FFB"/>
    <w:rsid w:val="01223B82"/>
    <w:rsid w:val="016F1D40"/>
    <w:rsid w:val="03E33DD9"/>
    <w:rsid w:val="0EFB39DF"/>
    <w:rsid w:val="0FAD441B"/>
    <w:rsid w:val="15500EE4"/>
    <w:rsid w:val="16814D35"/>
    <w:rsid w:val="176C72F7"/>
    <w:rsid w:val="17D50F45"/>
    <w:rsid w:val="18973A8F"/>
    <w:rsid w:val="237603B9"/>
    <w:rsid w:val="267E7B05"/>
    <w:rsid w:val="272B250C"/>
    <w:rsid w:val="2DCF21E3"/>
    <w:rsid w:val="31E242B8"/>
    <w:rsid w:val="346D7BCB"/>
    <w:rsid w:val="348D609E"/>
    <w:rsid w:val="3658101D"/>
    <w:rsid w:val="36795EDE"/>
    <w:rsid w:val="3E98676B"/>
    <w:rsid w:val="47983BE8"/>
    <w:rsid w:val="4B931DE9"/>
    <w:rsid w:val="4E54426F"/>
    <w:rsid w:val="50BE55B0"/>
    <w:rsid w:val="59A61CD2"/>
    <w:rsid w:val="5B1332C5"/>
    <w:rsid w:val="5F374C23"/>
    <w:rsid w:val="5FB2527F"/>
    <w:rsid w:val="63011BB9"/>
    <w:rsid w:val="67667244"/>
    <w:rsid w:val="6A205AF7"/>
    <w:rsid w:val="6B0C2D7F"/>
    <w:rsid w:val="6BC40E47"/>
    <w:rsid w:val="6EC90D29"/>
    <w:rsid w:val="724A1C37"/>
    <w:rsid w:val="77CC40D6"/>
    <w:rsid w:val="78A432B2"/>
    <w:rsid w:val="7AAE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18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uiPriority="99"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uiPriority="99"/>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hAnsi="Calibri"/>
      <w:kern w:val="0"/>
      <w:sz w:val="18"/>
      <w:szCs w:val="18"/>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pacing w:line="360" w:lineRule="auto"/>
      <w:ind w:firstLineChars="199" w:firstLine="478"/>
    </w:pPr>
    <w:rPr>
      <w:rFonts w:ascii="宋体" w:hAnsi="宋体"/>
      <w:kern w:val="0"/>
      <w:sz w:val="24"/>
      <w:szCs w:val="21"/>
    </w:rPr>
  </w:style>
  <w:style w:type="paragraph" w:styleId="a6">
    <w:name w:val="Plain Text"/>
    <w:basedOn w:val="a"/>
    <w:link w:val="Char2"/>
    <w:qFormat/>
    <w:rPr>
      <w:rFonts w:ascii="宋体" w:hAnsi="Courier New"/>
      <w:szCs w:val="21"/>
    </w:rPr>
  </w:style>
  <w:style w:type="paragraph" w:styleId="a7">
    <w:name w:val="Date"/>
    <w:basedOn w:val="a"/>
    <w:next w:val="a"/>
    <w:qFormat/>
    <w:pPr>
      <w:ind w:leftChars="2500" w:left="100"/>
    </w:pPr>
    <w:rPr>
      <w:rFonts w:ascii="宋体" w:hAnsi="宋体"/>
      <w:sz w:val="24"/>
    </w:rPr>
  </w:style>
  <w:style w:type="paragraph" w:styleId="20">
    <w:name w:val="Body Text Indent 2"/>
    <w:basedOn w:val="a"/>
    <w:link w:val="2Char"/>
    <w:qFormat/>
    <w:pPr>
      <w:spacing w:before="60" w:after="60"/>
      <w:ind w:left="479"/>
    </w:pPr>
    <w:rPr>
      <w:rFonts w:ascii="宋体"/>
      <w:sz w:val="24"/>
    </w:rPr>
  </w:style>
  <w:style w:type="paragraph" w:styleId="a8">
    <w:name w:val="Balloon Text"/>
    <w:basedOn w:val="a"/>
    <w:link w:val="Char3"/>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b">
    <w:name w:val="annotation subject"/>
    <w:basedOn w:val="a4"/>
    <w:next w:val="a4"/>
    <w:link w:val="Char6"/>
    <w:uiPriority w:val="99"/>
    <w:semiHidden/>
    <w:qFormat/>
    <w:rPr>
      <w:b/>
      <w:bCs/>
    </w:rPr>
  </w:style>
  <w:style w:type="character" w:styleId="ac">
    <w:name w:val="page number"/>
    <w:basedOn w:val="a0"/>
  </w:style>
  <w:style w:type="character" w:styleId="ad">
    <w:name w:val="FollowedHyperlink"/>
    <w:qFormat/>
    <w:rPr>
      <w:color w:val="800080"/>
      <w:u w:val="single"/>
    </w:rPr>
  </w:style>
  <w:style w:type="character" w:styleId="ae">
    <w:name w:val="Hyperlink"/>
    <w:uiPriority w:val="99"/>
    <w:rPr>
      <w:color w:val="0000FF"/>
      <w:u w:val="single"/>
    </w:rPr>
  </w:style>
  <w:style w:type="character" w:styleId="af">
    <w:name w:val="annotation reference"/>
    <w:qFormat/>
    <w:rPr>
      <w:sz w:val="21"/>
      <w:szCs w:val="21"/>
    </w:rPr>
  </w:style>
  <w:style w:type="character" w:customStyle="1" w:styleId="Char5">
    <w:name w:val="页眉 Char"/>
    <w:link w:val="aa"/>
    <w:uiPriority w:val="99"/>
    <w:rPr>
      <w:kern w:val="2"/>
      <w:sz w:val="18"/>
      <w:szCs w:val="18"/>
    </w:rPr>
  </w:style>
  <w:style w:type="character" w:customStyle="1" w:styleId="DeltaViewInsertion">
    <w:name w:val="DeltaView Insertion"/>
    <w:rPr>
      <w:color w:val="0000FF"/>
      <w:spacing w:val="0"/>
      <w:u w:val="double"/>
    </w:rPr>
  </w:style>
  <w:style w:type="character" w:customStyle="1" w:styleId="2Char">
    <w:name w:val="正文文本缩进 2 Char"/>
    <w:link w:val="20"/>
    <w:rPr>
      <w:rFonts w:ascii="宋体"/>
      <w:kern w:val="2"/>
      <w:sz w:val="24"/>
    </w:rPr>
  </w:style>
  <w:style w:type="character" w:customStyle="1" w:styleId="Char2">
    <w:name w:val="纯文本 Char"/>
    <w:link w:val="a6"/>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Char">
    <w:name w:val="标题 1 Char"/>
    <w:link w:val="1"/>
    <w:uiPriority w:val="9"/>
    <w:qFormat/>
    <w:rPr>
      <w:rFonts w:ascii="宋体" w:hAnsi="宋体"/>
      <w:b/>
      <w:color w:val="000000"/>
      <w:kern w:val="2"/>
      <w:sz w:val="24"/>
    </w:rPr>
  </w:style>
  <w:style w:type="character" w:customStyle="1" w:styleId="Char6">
    <w:name w:val="批注主题 Char"/>
    <w:link w:val="ab"/>
    <w:uiPriority w:val="99"/>
    <w:semiHidden/>
    <w:rPr>
      <w:b/>
      <w:bCs/>
      <w:kern w:val="2"/>
      <w:sz w:val="21"/>
    </w:rPr>
  </w:style>
  <w:style w:type="character" w:customStyle="1" w:styleId="Char">
    <w:name w:val="文档结构图 Char"/>
    <w:link w:val="a3"/>
    <w:uiPriority w:val="99"/>
    <w:rPr>
      <w:rFonts w:ascii="宋体" w:hAnsi="Calibri"/>
      <w:sz w:val="18"/>
      <w:szCs w:val="18"/>
    </w:rPr>
  </w:style>
  <w:style w:type="character" w:customStyle="1" w:styleId="Char3">
    <w:name w:val="批注框文本 Char"/>
    <w:link w:val="a8"/>
    <w:uiPriority w:val="99"/>
    <w:semiHidden/>
    <w:qFormat/>
    <w:rPr>
      <w:kern w:val="2"/>
      <w:sz w:val="18"/>
      <w:szCs w:val="18"/>
    </w:rPr>
  </w:style>
  <w:style w:type="character" w:customStyle="1" w:styleId="Char0">
    <w:name w:val="批注文字 Char"/>
    <w:link w:val="a4"/>
    <w:uiPriority w:val="99"/>
    <w:qFormat/>
    <w:rPr>
      <w:kern w:val="2"/>
      <w:sz w:val="21"/>
    </w:rPr>
  </w:style>
  <w:style w:type="character" w:customStyle="1" w:styleId="Char1">
    <w:name w:val="正文文本缩进 Char"/>
    <w:link w:val="a5"/>
    <w:qFormat/>
    <w:rPr>
      <w:rFonts w:ascii="宋体" w:hAnsi="宋体" w:cs="Arial"/>
      <w:sz w:val="24"/>
      <w:szCs w:val="21"/>
    </w:rPr>
  </w:style>
  <w:style w:type="character" w:customStyle="1" w:styleId="apple-style-span">
    <w:name w:val="apple-style-span"/>
  </w:style>
  <w:style w:type="character" w:customStyle="1" w:styleId="Char4">
    <w:name w:val="页脚 Char"/>
    <w:link w:val="a9"/>
    <w:uiPriority w:val="99"/>
    <w:qFormat/>
    <w:rPr>
      <w:kern w:val="2"/>
      <w:sz w:val="18"/>
      <w:szCs w:val="18"/>
    </w:rPr>
  </w:style>
  <w:style w:type="paragraph" w:customStyle="1" w:styleId="11">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customStyle="1" w:styleId="21">
    <w:name w:val="修订2"/>
    <w:hidden/>
    <w:uiPriority w:val="99"/>
    <w:semiHidden/>
    <w:rPr>
      <w:kern w:val="2"/>
      <w:sz w:val="21"/>
    </w:rPr>
  </w:style>
  <w:style w:type="paragraph" w:customStyle="1" w:styleId="30">
    <w:name w:val="修订3"/>
    <w:hidden/>
    <w:uiPriority w:val="99"/>
    <w:semiHidden/>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qFormat="1"/>
    <w:lsdException w:name="header" w:uiPriority="99"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uiPriority="99"/>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hAnsi="Calibri"/>
      <w:kern w:val="0"/>
      <w:sz w:val="18"/>
      <w:szCs w:val="18"/>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pacing w:line="360" w:lineRule="auto"/>
      <w:ind w:firstLineChars="199" w:firstLine="478"/>
    </w:pPr>
    <w:rPr>
      <w:rFonts w:ascii="宋体" w:hAnsi="宋体"/>
      <w:kern w:val="0"/>
      <w:sz w:val="24"/>
      <w:szCs w:val="21"/>
    </w:rPr>
  </w:style>
  <w:style w:type="paragraph" w:styleId="a6">
    <w:name w:val="Plain Text"/>
    <w:basedOn w:val="a"/>
    <w:link w:val="Char2"/>
    <w:qFormat/>
    <w:rPr>
      <w:rFonts w:ascii="宋体" w:hAnsi="Courier New"/>
      <w:szCs w:val="21"/>
    </w:rPr>
  </w:style>
  <w:style w:type="paragraph" w:styleId="a7">
    <w:name w:val="Date"/>
    <w:basedOn w:val="a"/>
    <w:next w:val="a"/>
    <w:qFormat/>
    <w:pPr>
      <w:ind w:leftChars="2500" w:left="100"/>
    </w:pPr>
    <w:rPr>
      <w:rFonts w:ascii="宋体" w:hAnsi="宋体"/>
      <w:sz w:val="24"/>
    </w:rPr>
  </w:style>
  <w:style w:type="paragraph" w:styleId="20">
    <w:name w:val="Body Text Indent 2"/>
    <w:basedOn w:val="a"/>
    <w:link w:val="2Char"/>
    <w:qFormat/>
    <w:pPr>
      <w:spacing w:before="60" w:after="60"/>
      <w:ind w:left="479"/>
    </w:pPr>
    <w:rPr>
      <w:rFonts w:ascii="宋体"/>
      <w:sz w:val="24"/>
    </w:rPr>
  </w:style>
  <w:style w:type="paragraph" w:styleId="a8">
    <w:name w:val="Balloon Text"/>
    <w:basedOn w:val="a"/>
    <w:link w:val="Char3"/>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b">
    <w:name w:val="annotation subject"/>
    <w:basedOn w:val="a4"/>
    <w:next w:val="a4"/>
    <w:link w:val="Char6"/>
    <w:uiPriority w:val="99"/>
    <w:semiHidden/>
    <w:qFormat/>
    <w:rPr>
      <w:b/>
      <w:bCs/>
    </w:rPr>
  </w:style>
  <w:style w:type="character" w:styleId="ac">
    <w:name w:val="page number"/>
    <w:basedOn w:val="a0"/>
  </w:style>
  <w:style w:type="character" w:styleId="ad">
    <w:name w:val="FollowedHyperlink"/>
    <w:qFormat/>
    <w:rPr>
      <w:color w:val="800080"/>
      <w:u w:val="single"/>
    </w:rPr>
  </w:style>
  <w:style w:type="character" w:styleId="ae">
    <w:name w:val="Hyperlink"/>
    <w:uiPriority w:val="99"/>
    <w:rPr>
      <w:color w:val="0000FF"/>
      <w:u w:val="single"/>
    </w:rPr>
  </w:style>
  <w:style w:type="character" w:styleId="af">
    <w:name w:val="annotation reference"/>
    <w:qFormat/>
    <w:rPr>
      <w:sz w:val="21"/>
      <w:szCs w:val="21"/>
    </w:rPr>
  </w:style>
  <w:style w:type="character" w:customStyle="1" w:styleId="Char5">
    <w:name w:val="页眉 Char"/>
    <w:link w:val="aa"/>
    <w:uiPriority w:val="99"/>
    <w:rPr>
      <w:kern w:val="2"/>
      <w:sz w:val="18"/>
      <w:szCs w:val="18"/>
    </w:rPr>
  </w:style>
  <w:style w:type="character" w:customStyle="1" w:styleId="DeltaViewInsertion">
    <w:name w:val="DeltaView Insertion"/>
    <w:rPr>
      <w:color w:val="0000FF"/>
      <w:spacing w:val="0"/>
      <w:u w:val="double"/>
    </w:rPr>
  </w:style>
  <w:style w:type="character" w:customStyle="1" w:styleId="2Char">
    <w:name w:val="正文文本缩进 2 Char"/>
    <w:link w:val="20"/>
    <w:rPr>
      <w:rFonts w:ascii="宋体"/>
      <w:kern w:val="2"/>
      <w:sz w:val="24"/>
    </w:rPr>
  </w:style>
  <w:style w:type="character" w:customStyle="1" w:styleId="Char2">
    <w:name w:val="纯文本 Char"/>
    <w:link w:val="a6"/>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Char">
    <w:name w:val="标题 1 Char"/>
    <w:link w:val="1"/>
    <w:uiPriority w:val="9"/>
    <w:qFormat/>
    <w:rPr>
      <w:rFonts w:ascii="宋体" w:hAnsi="宋体"/>
      <w:b/>
      <w:color w:val="000000"/>
      <w:kern w:val="2"/>
      <w:sz w:val="24"/>
    </w:rPr>
  </w:style>
  <w:style w:type="character" w:customStyle="1" w:styleId="Char6">
    <w:name w:val="批注主题 Char"/>
    <w:link w:val="ab"/>
    <w:uiPriority w:val="99"/>
    <w:semiHidden/>
    <w:rPr>
      <w:b/>
      <w:bCs/>
      <w:kern w:val="2"/>
      <w:sz w:val="21"/>
    </w:rPr>
  </w:style>
  <w:style w:type="character" w:customStyle="1" w:styleId="Char">
    <w:name w:val="文档结构图 Char"/>
    <w:link w:val="a3"/>
    <w:uiPriority w:val="99"/>
    <w:rPr>
      <w:rFonts w:ascii="宋体" w:hAnsi="Calibri"/>
      <w:sz w:val="18"/>
      <w:szCs w:val="18"/>
    </w:rPr>
  </w:style>
  <w:style w:type="character" w:customStyle="1" w:styleId="Char3">
    <w:name w:val="批注框文本 Char"/>
    <w:link w:val="a8"/>
    <w:uiPriority w:val="99"/>
    <w:semiHidden/>
    <w:qFormat/>
    <w:rPr>
      <w:kern w:val="2"/>
      <w:sz w:val="18"/>
      <w:szCs w:val="18"/>
    </w:rPr>
  </w:style>
  <w:style w:type="character" w:customStyle="1" w:styleId="Char0">
    <w:name w:val="批注文字 Char"/>
    <w:link w:val="a4"/>
    <w:uiPriority w:val="99"/>
    <w:qFormat/>
    <w:rPr>
      <w:kern w:val="2"/>
      <w:sz w:val="21"/>
    </w:rPr>
  </w:style>
  <w:style w:type="character" w:customStyle="1" w:styleId="Char1">
    <w:name w:val="正文文本缩进 Char"/>
    <w:link w:val="a5"/>
    <w:qFormat/>
    <w:rPr>
      <w:rFonts w:ascii="宋体" w:hAnsi="宋体" w:cs="Arial"/>
      <w:sz w:val="24"/>
      <w:szCs w:val="21"/>
    </w:rPr>
  </w:style>
  <w:style w:type="character" w:customStyle="1" w:styleId="apple-style-span">
    <w:name w:val="apple-style-span"/>
  </w:style>
  <w:style w:type="character" w:customStyle="1" w:styleId="Char4">
    <w:name w:val="页脚 Char"/>
    <w:link w:val="a9"/>
    <w:uiPriority w:val="99"/>
    <w:qFormat/>
    <w:rPr>
      <w:kern w:val="2"/>
      <w:sz w:val="18"/>
      <w:szCs w:val="18"/>
    </w:rPr>
  </w:style>
  <w:style w:type="paragraph" w:customStyle="1" w:styleId="11">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customStyle="1" w:styleId="21">
    <w:name w:val="修订2"/>
    <w:hidden/>
    <w:uiPriority w:val="99"/>
    <w:semiHidden/>
    <w:rPr>
      <w:kern w:val="2"/>
      <w:sz w:val="21"/>
    </w:rPr>
  </w:style>
  <w:style w:type="paragraph" w:customStyle="1" w:styleId="30">
    <w:name w:val="修订3"/>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099D8-8D21-4238-91B2-DFFD24F983E4}">
  <ds:schemaRefs>
    <ds:schemaRef ds:uri="http://schemas.openxmlformats.org/officeDocument/2006/bibliography"/>
  </ds:schemaRefs>
</ds:datastoreItem>
</file>

<file path=customXml/itemProps3.xml><?xml version="1.0" encoding="utf-8"?>
<ds:datastoreItem xmlns:ds="http://schemas.openxmlformats.org/officeDocument/2006/customXml" ds:itemID="{AA5BD628-CCAC-4090-AD2A-53F9C8F2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5410</Words>
  <Characters>30843</Characters>
  <Application>Microsoft Office Word</Application>
  <DocSecurity>0</DocSecurity>
  <Lines>257</Lines>
  <Paragraphs>72</Paragraphs>
  <ScaleCrop>false</ScaleCrop>
  <Company>Microsoft</Company>
  <LinksUpToDate>false</LinksUpToDate>
  <CharactersWithSpaces>36181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蔡亚萍</cp:lastModifiedBy>
  <cp:revision>3</cp:revision>
  <cp:lastPrinted>2020-06-29T02:44:00Z</cp:lastPrinted>
  <dcterms:created xsi:type="dcterms:W3CDTF">2021-08-12T08:31:00Z</dcterms:created>
  <dcterms:modified xsi:type="dcterms:W3CDTF">2021-08-12T08:34:00Z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