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120" w:after="120" w:line="360" w:lineRule="auto"/>
        <w:outlineLvl w:val="0"/>
        <w:rPr>
          <w:rFonts w:ascii="仿宋_GB2312" w:hAnsi="宋体" w:eastAsia="仿宋_GB2312"/>
          <w:bCs/>
          <w:color w:val="000000"/>
          <w:kern w:val="0"/>
          <w:sz w:val="28"/>
        </w:rPr>
      </w:pPr>
    </w:p>
    <w:p>
      <w:pPr>
        <w:autoSpaceDE w:val="0"/>
        <w:autoSpaceDN w:val="0"/>
        <w:adjustRightInd w:val="0"/>
        <w:snapToGrid w:val="0"/>
        <w:spacing w:before="120" w:after="120" w:line="360" w:lineRule="auto"/>
        <w:jc w:val="center"/>
        <w:outlineLvl w:val="0"/>
        <w:rPr>
          <w:rFonts w:ascii="黑体" w:hAnsi="宋体" w:eastAsia="黑体"/>
          <w:b/>
          <w:color w:val="000000"/>
          <w:kern w:val="0"/>
          <w:sz w:val="24"/>
        </w:rPr>
      </w:pPr>
    </w:p>
    <w:p>
      <w:pPr>
        <w:autoSpaceDE w:val="0"/>
        <w:autoSpaceDN w:val="0"/>
        <w:adjustRightInd w:val="0"/>
        <w:snapToGrid w:val="0"/>
        <w:spacing w:before="120" w:after="120" w:line="360" w:lineRule="auto"/>
        <w:jc w:val="center"/>
        <w:outlineLvl w:val="0"/>
        <w:rPr>
          <w:rFonts w:ascii="黑体" w:hAnsi="宋体" w:eastAsia="黑体"/>
          <w:b/>
          <w:color w:val="000000"/>
          <w:kern w:val="0"/>
          <w:sz w:val="24"/>
        </w:rPr>
      </w:pPr>
    </w:p>
    <w:p>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hint="eastAsia" w:ascii="仿宋" w:hAnsi="仿宋" w:eastAsia="仿宋"/>
          <w:b/>
          <w:bCs/>
          <w:sz w:val="44"/>
          <w:szCs w:val="32"/>
          <w:lang w:val="en-US" w:eastAsia="zh-CN"/>
        </w:rPr>
        <w:t>阜新</w:t>
      </w:r>
      <w:r>
        <w:rPr>
          <w:rFonts w:hint="eastAsia" w:ascii="仿宋" w:hAnsi="仿宋" w:eastAsia="仿宋"/>
          <w:b/>
          <w:bCs/>
          <w:sz w:val="44"/>
          <w:szCs w:val="32"/>
        </w:rPr>
        <w:t>银行</w:t>
      </w:r>
      <w:r>
        <w:rPr>
          <w:rFonts w:hint="eastAsia" w:ascii="仿宋" w:hAnsi="仿宋" w:eastAsia="仿宋"/>
          <w:b/>
          <w:bCs/>
          <w:sz w:val="44"/>
          <w:szCs w:val="32"/>
          <w:lang w:eastAsia="zh-CN"/>
        </w:rPr>
        <w:t>封闭式</w:t>
      </w:r>
      <w:r>
        <w:rPr>
          <w:rFonts w:hint="eastAsia" w:ascii="仿宋_GB2312" w:eastAsia="仿宋_GB2312"/>
          <w:b/>
          <w:bCs/>
          <w:sz w:val="44"/>
          <w:szCs w:val="32"/>
        </w:rPr>
        <w:t>净值型系列理财产品</w:t>
      </w: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44"/>
          <w:szCs w:val="32"/>
        </w:rPr>
      </w:pPr>
      <w:r>
        <w:rPr>
          <w:rFonts w:hint="eastAsia" w:ascii="仿宋_GB2312" w:eastAsia="仿宋_GB2312"/>
          <w:b/>
          <w:bCs/>
          <w:sz w:val="44"/>
          <w:szCs w:val="32"/>
        </w:rPr>
        <w:t>托管合同</w:t>
      </w:r>
    </w:p>
    <w:p>
      <w:pPr>
        <w:autoSpaceDE w:val="0"/>
        <w:autoSpaceDN w:val="0"/>
        <w:adjustRightInd w:val="0"/>
        <w:snapToGrid w:val="0"/>
        <w:spacing w:before="120" w:after="120" w:line="360" w:lineRule="auto"/>
        <w:jc w:val="center"/>
        <w:outlineLvl w:val="0"/>
        <w:rPr>
          <w:rFonts w:ascii="仿宋_GB2312" w:hAnsi="宋体" w:eastAsia="仿宋_GB2312"/>
          <w:color w:val="000000"/>
          <w:kern w:val="0"/>
          <w:sz w:val="24"/>
        </w:rPr>
      </w:pPr>
    </w:p>
    <w:p>
      <w:pPr>
        <w:autoSpaceDE w:val="0"/>
        <w:autoSpaceDN w:val="0"/>
        <w:adjustRightInd w:val="0"/>
        <w:snapToGrid w:val="0"/>
        <w:spacing w:before="120" w:after="120" w:line="360" w:lineRule="auto"/>
        <w:ind w:firstLine="2240" w:firstLineChars="800"/>
        <w:outlineLvl w:val="0"/>
        <w:rPr>
          <w:rFonts w:ascii="仿宋_GB2312" w:hAnsi="宋体" w:eastAsia="仿宋_GB2312"/>
          <w:bCs/>
          <w:color w:val="000000"/>
          <w:kern w:val="0"/>
          <w:sz w:val="28"/>
        </w:rPr>
      </w:pPr>
      <w:r>
        <w:rPr>
          <w:rFonts w:hint="eastAsia" w:ascii="仿宋_GB2312" w:hAnsi="宋体" w:eastAsia="仿宋_GB2312"/>
          <w:bCs/>
          <w:color w:val="000000"/>
          <w:kern w:val="0"/>
          <w:sz w:val="28"/>
        </w:rPr>
        <w:t>合同编号：</w:t>
      </w: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line="336" w:lineRule="auto"/>
        <w:ind w:firstLine="480" w:firstLineChars="200"/>
        <w:rPr>
          <w:rFonts w:ascii="仿宋_GB2312" w:hAnsi="宋体" w:eastAsia="仿宋_GB2312"/>
          <w:bCs/>
          <w:color w:val="000000"/>
          <w:kern w:val="0"/>
          <w:sz w:val="24"/>
        </w:rPr>
      </w:pPr>
    </w:p>
    <w:p>
      <w:pPr>
        <w:autoSpaceDE w:val="0"/>
        <w:autoSpaceDN w:val="0"/>
        <w:adjustRightInd w:val="0"/>
        <w:snapToGrid w:val="0"/>
        <w:spacing w:line="336" w:lineRule="auto"/>
        <w:rPr>
          <w:rFonts w:ascii="仿宋_GB2312" w:hAnsi="宋体" w:eastAsia="仿宋_GB2312"/>
          <w:bCs/>
          <w:color w:val="000000"/>
          <w:kern w:val="0"/>
          <w:sz w:val="24"/>
        </w:rPr>
      </w:pPr>
    </w:p>
    <w:p>
      <w:pPr>
        <w:autoSpaceDE w:val="0"/>
        <w:autoSpaceDN w:val="0"/>
        <w:adjustRightInd w:val="0"/>
        <w:snapToGrid w:val="0"/>
        <w:spacing w:line="336" w:lineRule="auto"/>
        <w:jc w:val="center"/>
        <w:rPr>
          <w:rFonts w:ascii="仿宋_GB2312" w:hAnsi="宋体" w:eastAsia="仿宋_GB2312"/>
          <w:b/>
          <w:bCs/>
          <w:color w:val="000000"/>
          <w:kern w:val="0"/>
          <w:sz w:val="28"/>
          <w:highlight w:val="none"/>
        </w:rPr>
      </w:pPr>
      <w:r>
        <w:rPr>
          <w:rFonts w:hint="eastAsia" w:ascii="仿宋_GB2312" w:hAnsi="宋体" w:eastAsia="仿宋_GB2312"/>
          <w:b/>
          <w:bCs/>
          <w:color w:val="000000"/>
          <w:kern w:val="0"/>
          <w:sz w:val="28"/>
        </w:rPr>
        <w:t>二〇</w:t>
      </w:r>
      <w:r>
        <w:rPr>
          <w:rFonts w:ascii="仿宋_GB2312" w:hAnsi="宋体" w:eastAsia="仿宋_GB2312"/>
          <w:b/>
          <w:bCs/>
          <w:color w:val="000000"/>
          <w:kern w:val="0"/>
          <w:sz w:val="28"/>
          <w:highlight w:val="none"/>
        </w:rPr>
        <w:t>一九年</w:t>
      </w:r>
      <w:r>
        <w:rPr>
          <w:rFonts w:hint="eastAsia" w:ascii="仿宋_GB2312" w:hAnsi="宋体" w:eastAsia="仿宋_GB2312"/>
          <w:b/>
          <w:bCs/>
          <w:color w:val="000000"/>
          <w:kern w:val="0"/>
          <w:sz w:val="28"/>
          <w:highlight w:val="none"/>
          <w:lang w:eastAsia="zh-CN"/>
        </w:rPr>
        <w:t>十二</w:t>
      </w:r>
      <w:r>
        <w:rPr>
          <w:rFonts w:ascii="仿宋_GB2312" w:hAnsi="宋体" w:eastAsia="仿宋_GB2312"/>
          <w:b/>
          <w:bCs/>
          <w:color w:val="000000"/>
          <w:kern w:val="0"/>
          <w:sz w:val="28"/>
          <w:highlight w:val="none"/>
        </w:rPr>
        <w:t>月</w:t>
      </w:r>
    </w:p>
    <w:p>
      <w:pPr>
        <w:autoSpaceDE w:val="0"/>
        <w:autoSpaceDN w:val="0"/>
        <w:adjustRightInd w:val="0"/>
        <w:snapToGrid w:val="0"/>
        <w:spacing w:line="336" w:lineRule="auto"/>
        <w:ind w:firstLine="480" w:firstLineChars="200"/>
        <w:rPr>
          <w:rFonts w:ascii="仿宋_GB2312" w:hAnsi="宋体" w:eastAsia="仿宋_GB2312"/>
          <w:bCs/>
          <w:color w:val="000000"/>
          <w:kern w:val="0"/>
          <w:sz w:val="24"/>
        </w:rPr>
      </w:pPr>
    </w:p>
    <w:p>
      <w:pPr>
        <w:autoSpaceDE w:val="0"/>
        <w:autoSpaceDN w:val="0"/>
        <w:adjustRightInd w:val="0"/>
        <w:snapToGrid w:val="0"/>
        <w:spacing w:line="336" w:lineRule="auto"/>
        <w:ind w:firstLine="480" w:firstLineChars="200"/>
        <w:rPr>
          <w:rFonts w:ascii="仿宋_GB2312" w:hAnsi="宋体" w:eastAsia="仿宋_GB2312"/>
          <w:bCs/>
          <w:color w:val="000000"/>
          <w:kern w:val="0"/>
          <w:sz w:val="24"/>
        </w:rPr>
      </w:pPr>
    </w:p>
    <w:p>
      <w:pPr>
        <w:autoSpaceDE w:val="0"/>
        <w:autoSpaceDN w:val="0"/>
        <w:adjustRightInd w:val="0"/>
        <w:snapToGrid w:val="0"/>
        <w:spacing w:line="336" w:lineRule="auto"/>
        <w:ind w:firstLine="480" w:firstLineChars="200"/>
        <w:rPr>
          <w:rFonts w:ascii="仿宋_GB2312" w:hAnsi="宋体" w:eastAsia="仿宋_GB2312"/>
          <w:bCs/>
          <w:color w:val="000000"/>
          <w:kern w:val="0"/>
          <w:sz w:val="24"/>
        </w:rPr>
      </w:pP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管理人（以下简称甲方）</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 xml:space="preserve">名称： </w:t>
      </w:r>
      <w:r>
        <w:rPr>
          <w:rFonts w:hint="eastAsia" w:ascii="仿宋_GB2312" w:hAnsi="宋体" w:eastAsia="仿宋_GB2312"/>
          <w:b/>
          <w:sz w:val="24"/>
          <w:lang w:eastAsia="zh-CN"/>
        </w:rPr>
        <w:t>阜新银行股份有限公司</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地址：</w:t>
      </w:r>
      <w:r>
        <w:rPr>
          <w:rFonts w:hint="eastAsia" w:ascii="仿宋_GB2312" w:hAnsi="宋体" w:eastAsia="仿宋_GB2312"/>
          <w:b/>
          <w:sz w:val="24"/>
          <w:lang w:eastAsia="zh-CN"/>
        </w:rPr>
        <w:t>阜新市细河区中华路</w:t>
      </w:r>
      <w:r>
        <w:rPr>
          <w:rFonts w:hint="eastAsia" w:ascii="仿宋_GB2312" w:hAnsi="宋体" w:eastAsia="仿宋_GB2312"/>
          <w:b/>
          <w:sz w:val="24"/>
          <w:lang w:val="en-US" w:eastAsia="zh-CN"/>
        </w:rPr>
        <w:t>51号</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法定代表人：</w:t>
      </w:r>
      <w:r>
        <w:rPr>
          <w:rFonts w:hint="eastAsia" w:ascii="仿宋_GB2312" w:hAnsi="宋体" w:eastAsia="仿宋_GB2312"/>
          <w:b/>
          <w:sz w:val="24"/>
          <w:lang w:eastAsia="zh-CN"/>
        </w:rPr>
        <w:t>赵祥</w:t>
      </w:r>
      <w:r>
        <w:rPr>
          <w:rFonts w:hint="eastAsia" w:ascii="仿宋_GB2312" w:hAnsi="宋体" w:eastAsia="仿宋_GB2312"/>
          <w:b/>
          <w:sz w:val="24"/>
          <w:lang w:val="en-US" w:eastAsia="zh-CN"/>
        </w:rPr>
        <w:tab/>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联系人及</w:t>
      </w:r>
      <w:r>
        <w:rPr>
          <w:rFonts w:ascii="仿宋_GB2312" w:hAnsi="宋体" w:eastAsia="仿宋_GB2312"/>
          <w:b/>
          <w:sz w:val="24"/>
        </w:rPr>
        <w:t>电话：</w:t>
      </w:r>
      <w:r>
        <w:rPr>
          <w:rFonts w:hint="eastAsia" w:ascii="仿宋_GB2312" w:hAnsi="宋体" w:eastAsia="仿宋_GB2312"/>
          <w:b/>
          <w:sz w:val="24"/>
          <w:lang w:eastAsia="zh-CN"/>
        </w:rPr>
        <w:t>付艳坤</w:t>
      </w:r>
      <w:r>
        <w:rPr>
          <w:rFonts w:hint="eastAsia" w:ascii="仿宋_GB2312" w:hAnsi="宋体" w:eastAsia="仿宋_GB2312"/>
          <w:b/>
          <w:sz w:val="24"/>
          <w:lang w:val="en-US" w:eastAsia="zh-CN"/>
        </w:rPr>
        <w:t xml:space="preserve"> 0418-3363678</w:t>
      </w:r>
    </w:p>
    <w:p>
      <w:pPr>
        <w:autoSpaceDE w:val="0"/>
        <w:autoSpaceDN w:val="0"/>
        <w:adjustRightInd w:val="0"/>
        <w:snapToGrid w:val="0"/>
        <w:spacing w:line="336" w:lineRule="auto"/>
        <w:ind w:firstLine="482" w:firstLineChars="200"/>
        <w:rPr>
          <w:rFonts w:ascii="仿宋_GB2312" w:hAnsi="宋体" w:eastAsia="仿宋_GB2312"/>
          <w:b/>
          <w:sz w:val="24"/>
        </w:rPr>
      </w:pP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托管人（以下简称乙方）</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名称：中信银行股份有限公司沈阳分行</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地址： 辽宁省沈阳市沈河区大西路336号</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 xml:space="preserve">负责人： </w:t>
      </w:r>
      <w:r>
        <w:rPr>
          <w:rFonts w:hint="eastAsia" w:ascii="仿宋_GB2312" w:hAnsi="宋体" w:eastAsia="仿宋_GB2312"/>
          <w:b/>
          <w:sz w:val="24"/>
          <w:lang w:eastAsia="zh-CN"/>
        </w:rPr>
        <w:t>张北阳</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联系人及</w:t>
      </w:r>
      <w:r>
        <w:rPr>
          <w:rFonts w:ascii="仿宋_GB2312" w:hAnsi="宋体" w:eastAsia="仿宋_GB2312"/>
          <w:b/>
          <w:sz w:val="24"/>
        </w:rPr>
        <w:t>电话：</w:t>
      </w:r>
      <w:r>
        <w:rPr>
          <w:rFonts w:hint="eastAsia" w:ascii="仿宋_GB2312" w:hAnsi="宋体" w:eastAsia="仿宋_GB2312"/>
          <w:b/>
          <w:sz w:val="24"/>
        </w:rPr>
        <w:t>王子龙 024-31510101</w:t>
      </w:r>
    </w:p>
    <w:p>
      <w:pPr>
        <w:autoSpaceDE w:val="0"/>
        <w:autoSpaceDN w:val="0"/>
        <w:adjustRightInd w:val="0"/>
        <w:snapToGrid w:val="0"/>
        <w:spacing w:line="336" w:lineRule="auto"/>
        <w:ind w:firstLine="482" w:firstLineChars="200"/>
        <w:rPr>
          <w:rFonts w:ascii="仿宋_GB2312" w:hAnsi="宋体" w:eastAsia="仿宋_GB2312"/>
          <w:b/>
          <w:sz w:val="24"/>
        </w:rPr>
      </w:pPr>
    </w:p>
    <w:p>
      <w:pPr>
        <w:autoSpaceDE w:val="0"/>
        <w:autoSpaceDN w:val="0"/>
        <w:adjustRightInd w:val="0"/>
        <w:snapToGrid w:val="0"/>
        <w:spacing w:line="336" w:lineRule="auto"/>
        <w:rPr>
          <w:rFonts w:ascii="仿宋_GB2312" w:hAnsi="宋体" w:eastAsia="仿宋_GB2312"/>
          <w:kern w:val="0"/>
          <w:sz w:val="24"/>
        </w:rPr>
      </w:pPr>
      <w:r>
        <w:rPr>
          <w:rFonts w:hint="eastAsia" w:ascii="仿宋_GB2312" w:hAnsi="宋体" w:eastAsia="仿宋_GB2312"/>
          <w:kern w:val="0"/>
          <w:sz w:val="24"/>
        </w:rPr>
        <w:t>鉴于：</w:t>
      </w:r>
    </w:p>
    <w:p>
      <w:pPr>
        <w:autoSpaceDE w:val="0"/>
        <w:autoSpaceDN w:val="0"/>
        <w:adjustRightInd w:val="0"/>
        <w:snapToGrid w:val="0"/>
        <w:spacing w:line="336" w:lineRule="auto"/>
        <w:ind w:firstLine="480" w:firstLineChars="200"/>
        <w:rPr>
          <w:rFonts w:ascii="仿宋_GB2312" w:hAnsi="宋体" w:eastAsia="仿宋_GB2312"/>
          <w:sz w:val="24"/>
          <w:highlight w:val="none"/>
        </w:rPr>
      </w:pPr>
      <w:r>
        <w:rPr>
          <w:rFonts w:hint="eastAsia" w:ascii="仿宋_GB2312" w:hAnsi="宋体" w:eastAsia="仿宋_GB2312"/>
          <w:sz w:val="24"/>
        </w:rPr>
        <w:t>甲方是获中国银行保险监督管理委员会（以下简称中国银保监会）批准，在中国境内</w:t>
      </w:r>
      <w:r>
        <w:rPr>
          <w:rFonts w:ascii="仿宋_GB2312" w:hAnsi="宋体" w:eastAsia="仿宋_GB2312"/>
          <w:sz w:val="24"/>
        </w:rPr>
        <w:t>开展个人理财业务</w:t>
      </w:r>
      <w:r>
        <w:rPr>
          <w:rFonts w:hint="eastAsia" w:ascii="仿宋_GB2312" w:hAnsi="宋体" w:eastAsia="仿宋_GB2312"/>
          <w:sz w:val="24"/>
        </w:rPr>
        <w:t>的法定金融机构，享有充分的授权和法定权利开展</w:t>
      </w:r>
      <w:r>
        <w:rPr>
          <w:rFonts w:ascii="仿宋_GB2312" w:hAnsi="宋体" w:eastAsia="仿宋_GB2312"/>
          <w:sz w:val="24"/>
        </w:rPr>
        <w:t>个人理财业务</w:t>
      </w:r>
      <w:r>
        <w:rPr>
          <w:rFonts w:hint="eastAsia" w:ascii="仿宋_GB2312" w:hAnsi="宋体" w:eastAsia="仿宋_GB2312"/>
          <w:sz w:val="24"/>
        </w:rPr>
        <w:t>；乙方为合法成立并有效存续的商业银行</w:t>
      </w:r>
      <w:r>
        <w:rPr>
          <w:rFonts w:ascii="仿宋_GB2312" w:hAnsi="宋体" w:eastAsia="仿宋_GB2312"/>
          <w:sz w:val="24"/>
        </w:rPr>
        <w:t>,经</w:t>
      </w:r>
      <w:r>
        <w:rPr>
          <w:rFonts w:hint="eastAsia" w:ascii="仿宋_GB2312" w:hAnsi="宋体" w:eastAsia="仿宋_GB2312"/>
          <w:sz w:val="24"/>
        </w:rPr>
        <w:t>中国银保监会批准，享有充分的授权和法定权利开展托管业务。</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highlight w:val="none"/>
        </w:rPr>
        <w:t>甲方拟设立【</w:t>
      </w:r>
      <w:r>
        <w:rPr>
          <w:rFonts w:hint="eastAsia" w:ascii="仿宋_GB2312" w:hAnsi="宋体" w:eastAsia="仿宋_GB2312"/>
          <w:sz w:val="24"/>
          <w:highlight w:val="none"/>
          <w:lang w:eastAsia="zh-CN"/>
        </w:rPr>
        <w:t>阜新银行聚金</w:t>
      </w:r>
      <w:r>
        <w:rPr>
          <w:rFonts w:hint="eastAsia" w:ascii="仿宋_GB2312" w:hAnsi="宋体" w:eastAsia="仿宋_GB2312"/>
          <w:sz w:val="24"/>
          <w:highlight w:val="none"/>
        </w:rPr>
        <w:t>】系列理财</w:t>
      </w:r>
      <w:r>
        <w:rPr>
          <w:rFonts w:hint="eastAsia" w:ascii="仿宋_GB2312" w:hAnsi="宋体" w:eastAsia="仿宋_GB2312"/>
          <w:sz w:val="24"/>
        </w:rPr>
        <w:t>产品</w:t>
      </w:r>
      <w:r>
        <w:rPr>
          <w:rFonts w:ascii="仿宋_GB2312" w:hAnsi="宋体" w:eastAsia="仿宋_GB2312"/>
          <w:sz w:val="24"/>
        </w:rPr>
        <w:t>（以下简称理财产品），委托乙方为</w:t>
      </w:r>
      <w:r>
        <w:rPr>
          <w:rFonts w:hint="eastAsia" w:ascii="仿宋_GB2312" w:hAnsi="宋体" w:eastAsia="仿宋_GB2312"/>
          <w:sz w:val="24"/>
        </w:rPr>
        <w:t>本系列项下相关各期净值型</w:t>
      </w:r>
      <w:r>
        <w:rPr>
          <w:rFonts w:ascii="仿宋_GB2312" w:hAnsi="宋体" w:eastAsia="仿宋_GB2312"/>
          <w:sz w:val="24"/>
        </w:rPr>
        <w:t>理财产品</w:t>
      </w:r>
      <w:r>
        <w:rPr>
          <w:rFonts w:hint="eastAsia" w:ascii="仿宋_GB2312" w:hAnsi="宋体" w:eastAsia="仿宋_GB2312"/>
          <w:sz w:val="24"/>
        </w:rPr>
        <w:t>的托管人。为明确双方在理财资金及其所投资资产托管中的权利、义务及职责，确保理财资金及其所投资资产的安全，保护委托人的合法权益，依据《中华人民共和国合同法》、《商业银行法》、《关于规范金融机构资产管理业务的指导意见》、《商业银行理财业务监督管理办法》等法律法规以及相关规定，特签订本合同。</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本托管合同的签订，并不表明乙方对本系列项下各期理财产品的价值和收益作出实质性判断或保证，也不表明投资于本系列项下各期理财产品没有风险。乙方对本系列项下各期理财产品的合法合规性不承担任何责任。</w:t>
      </w:r>
    </w:p>
    <w:p>
      <w:pPr>
        <w:tabs>
          <w:tab w:val="left" w:pos="3014"/>
        </w:tabs>
        <w:autoSpaceDE w:val="0"/>
        <w:autoSpaceDN w:val="0"/>
        <w:adjustRightInd w:val="0"/>
        <w:snapToGrid w:val="0"/>
        <w:spacing w:line="336" w:lineRule="auto"/>
        <w:rPr>
          <w:rFonts w:ascii="仿宋_GB2312" w:hAnsi="宋体" w:eastAsia="仿宋_GB2312"/>
          <w:kern w:val="0"/>
          <w:sz w:val="24"/>
        </w:rPr>
      </w:pPr>
      <w:r>
        <w:rPr>
          <w:rFonts w:ascii="仿宋_GB2312" w:hAnsi="宋体" w:eastAsia="仿宋_GB2312"/>
          <w:kern w:val="0"/>
          <w:sz w:val="24"/>
        </w:rPr>
        <w:tab/>
      </w:r>
    </w:p>
    <w:p>
      <w:pPr>
        <w:autoSpaceDE w:val="0"/>
        <w:autoSpaceDN w:val="0"/>
        <w:adjustRightInd w:val="0"/>
        <w:snapToGrid w:val="0"/>
        <w:spacing w:line="336" w:lineRule="auto"/>
        <w:ind w:firstLine="482" w:firstLineChars="200"/>
        <w:rPr>
          <w:rFonts w:ascii="仿宋_GB2312" w:hAnsi="宋体" w:eastAsia="仿宋_GB2312"/>
          <w:b/>
          <w:bCs/>
          <w:kern w:val="0"/>
          <w:sz w:val="24"/>
        </w:rPr>
      </w:pPr>
      <w:r>
        <w:rPr>
          <w:rFonts w:hint="eastAsia" w:ascii="仿宋_GB2312" w:hAnsi="宋体" w:eastAsia="仿宋_GB2312"/>
          <w:b/>
          <w:bCs/>
          <w:kern w:val="0"/>
          <w:sz w:val="24"/>
        </w:rPr>
        <w:t>第一条</w:t>
      </w:r>
      <w:r>
        <w:rPr>
          <w:rFonts w:ascii="仿宋_GB2312" w:hAnsi="宋体" w:eastAsia="仿宋_GB2312"/>
          <w:b/>
          <w:bCs/>
          <w:kern w:val="0"/>
          <w:sz w:val="24"/>
        </w:rPr>
        <w:t xml:space="preserve">  </w:t>
      </w:r>
      <w:r>
        <w:rPr>
          <w:rFonts w:hint="eastAsia" w:ascii="仿宋_GB2312" w:hAnsi="宋体" w:eastAsia="仿宋_GB2312"/>
          <w:b/>
          <w:bCs/>
          <w:kern w:val="0"/>
          <w:sz w:val="24"/>
        </w:rPr>
        <w:t>理财资金交付</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（一）本合同所称理财资金是指本系列理财产品项下各期所募集并且按照本合同交由乙方托管的各期理财产品的现金类资产。</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（二）</w:t>
      </w:r>
      <w:r>
        <w:rPr>
          <w:rFonts w:ascii="仿宋_GB2312" w:hAnsi="宋体" w:eastAsia="仿宋_GB2312"/>
          <w:sz w:val="24"/>
        </w:rPr>
        <w:t>甲方在</w:t>
      </w:r>
      <w:r>
        <w:rPr>
          <w:rFonts w:hint="eastAsia" w:ascii="仿宋_GB2312" w:hAnsi="宋体" w:eastAsia="仿宋_GB2312"/>
          <w:sz w:val="24"/>
        </w:rPr>
        <w:t>理财产品成立当日</w:t>
      </w:r>
      <w:r>
        <w:rPr>
          <w:rFonts w:ascii="仿宋_GB2312" w:hAnsi="宋体" w:eastAsia="仿宋_GB2312"/>
          <w:sz w:val="24"/>
        </w:rPr>
        <w:t>向乙方发出</w:t>
      </w:r>
      <w:r>
        <w:rPr>
          <w:rFonts w:hint="eastAsia" w:ascii="仿宋_GB2312" w:hAnsi="宋体" w:eastAsia="仿宋_GB2312"/>
          <w:sz w:val="24"/>
        </w:rPr>
        <w:t>本系列当期理财产品</w:t>
      </w:r>
      <w:r>
        <w:rPr>
          <w:rFonts w:ascii="仿宋_GB2312" w:hAnsi="宋体" w:eastAsia="仿宋_GB2312"/>
          <w:sz w:val="24"/>
        </w:rPr>
        <w:t>成立</w:t>
      </w:r>
      <w:r>
        <w:rPr>
          <w:rFonts w:hint="eastAsia" w:ascii="仿宋_GB2312" w:hAnsi="宋体" w:eastAsia="仿宋_GB2312"/>
          <w:sz w:val="24"/>
        </w:rPr>
        <w:t>的</w:t>
      </w:r>
      <w:r>
        <w:rPr>
          <w:rFonts w:ascii="仿宋_GB2312" w:hAnsi="宋体" w:eastAsia="仿宋_GB2312"/>
          <w:sz w:val="24"/>
        </w:rPr>
        <w:t>书面通知</w:t>
      </w:r>
      <w:r>
        <w:rPr>
          <w:rFonts w:hint="eastAsia" w:ascii="仿宋_GB2312" w:hAnsi="宋体" w:eastAsia="仿宋_GB2312"/>
          <w:sz w:val="24"/>
        </w:rPr>
        <w:t>，</w:t>
      </w:r>
      <w:r>
        <w:rPr>
          <w:rFonts w:hint="eastAsia" w:ascii="仿宋_GB2312" w:hAnsi="宋体" w:eastAsia="仿宋_GB2312"/>
          <w:kern w:val="0"/>
          <w:sz w:val="24"/>
        </w:rPr>
        <w:t>通知应注明当期</w:t>
      </w:r>
      <w:r>
        <w:rPr>
          <w:rFonts w:hint="eastAsia" w:ascii="仿宋_GB2312" w:hAnsi="宋体" w:eastAsia="仿宋_GB2312"/>
          <w:sz w:val="24"/>
        </w:rPr>
        <w:t>理财</w:t>
      </w:r>
      <w:r>
        <w:rPr>
          <w:rFonts w:hint="eastAsia" w:ascii="仿宋_GB2312" w:hAnsi="宋体" w:eastAsia="仿宋_GB2312"/>
          <w:kern w:val="0"/>
          <w:sz w:val="24"/>
        </w:rPr>
        <w:t>资金规模，</w:t>
      </w:r>
      <w:r>
        <w:rPr>
          <w:rFonts w:hint="eastAsia" w:ascii="仿宋_GB2312" w:hAnsi="宋体" w:eastAsia="仿宋_GB2312"/>
          <w:sz w:val="24"/>
        </w:rPr>
        <w:t>并于该日</w:t>
      </w:r>
      <w:r>
        <w:rPr>
          <w:rFonts w:ascii="仿宋_GB2312" w:hAnsi="宋体" w:eastAsia="仿宋_GB2312"/>
          <w:sz w:val="24"/>
        </w:rPr>
        <w:t>将</w:t>
      </w:r>
      <w:r>
        <w:rPr>
          <w:rFonts w:hint="eastAsia" w:ascii="仿宋_GB2312" w:hAnsi="宋体" w:eastAsia="仿宋_GB2312"/>
          <w:sz w:val="24"/>
        </w:rPr>
        <w:t>本理财产品项下全部理财资金转入本合同项下乙方为该期理财所专门开立的托管账户。</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（三）甲方在本系列项下各期理财产品成立当日向乙方提交当期理财产品文件的样本（需加盖甲方公章或本合同预留印鉴），包括但不限于当期理财产品的《</w:t>
      </w:r>
      <w:r>
        <w:rPr>
          <w:rFonts w:ascii="仿宋_GB2312" w:hAnsi="宋体" w:eastAsia="仿宋_GB2312"/>
          <w:sz w:val="24"/>
        </w:rPr>
        <w:t>理财产品说明书》等。甲方对向乙方提供的本</w:t>
      </w:r>
      <w:r>
        <w:rPr>
          <w:rFonts w:hint="eastAsia" w:ascii="仿宋_GB2312" w:hAnsi="宋体" w:eastAsia="仿宋_GB2312"/>
          <w:sz w:val="24"/>
        </w:rPr>
        <w:t>系列项下各期</w:t>
      </w:r>
      <w:r>
        <w:rPr>
          <w:rFonts w:ascii="仿宋_GB2312" w:hAnsi="宋体" w:eastAsia="仿宋_GB2312"/>
          <w:sz w:val="24"/>
        </w:rPr>
        <w:t>理财产品文件的完整性、真实性和准确性负责，因甲方提供的理财产品文件不实导致的所有后果均由甲方承担。</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w:t>
      </w:r>
      <w:r>
        <w:rPr>
          <w:rFonts w:ascii="仿宋_GB2312" w:hAnsi="宋体" w:eastAsia="仿宋_GB2312"/>
          <w:sz w:val="24"/>
        </w:rPr>
        <w:t>乙方</w:t>
      </w:r>
      <w:r>
        <w:rPr>
          <w:rFonts w:hint="eastAsia" w:ascii="仿宋_GB2312" w:hAnsi="宋体" w:eastAsia="仿宋_GB2312"/>
          <w:sz w:val="24"/>
        </w:rPr>
        <w:t>在</w:t>
      </w:r>
      <w:r>
        <w:rPr>
          <w:rFonts w:ascii="仿宋_GB2312" w:hAnsi="宋体" w:eastAsia="仿宋_GB2312"/>
          <w:sz w:val="24"/>
        </w:rPr>
        <w:t>收</w:t>
      </w:r>
      <w:r>
        <w:rPr>
          <w:rFonts w:hint="eastAsia" w:ascii="仿宋_GB2312" w:hAnsi="宋体" w:eastAsia="仿宋_GB2312"/>
          <w:sz w:val="24"/>
        </w:rPr>
        <w:t>到本系列项下各期理财产品成立的书面通知及相关期理财产品文件资料，</w:t>
      </w:r>
      <w:r>
        <w:rPr>
          <w:rFonts w:ascii="仿宋_GB2312" w:hAnsi="宋体" w:eastAsia="仿宋_GB2312"/>
          <w:sz w:val="24"/>
        </w:rPr>
        <w:t>并</w:t>
      </w:r>
      <w:r>
        <w:rPr>
          <w:rFonts w:hint="eastAsia" w:ascii="仿宋_GB2312" w:hAnsi="宋体" w:eastAsia="仿宋_GB2312"/>
          <w:sz w:val="24"/>
        </w:rPr>
        <w:t>经</w:t>
      </w:r>
      <w:r>
        <w:rPr>
          <w:rFonts w:ascii="仿宋_GB2312" w:hAnsi="宋体" w:eastAsia="仿宋_GB2312"/>
          <w:sz w:val="24"/>
        </w:rPr>
        <w:t>核对</w:t>
      </w:r>
      <w:r>
        <w:rPr>
          <w:rFonts w:hint="eastAsia" w:ascii="仿宋_GB2312" w:hAnsi="宋体" w:eastAsia="仿宋_GB2312"/>
          <w:sz w:val="24"/>
        </w:rPr>
        <w:t>各期所对应开立的托管账户内全部理财资金确认</w:t>
      </w:r>
      <w:r>
        <w:rPr>
          <w:rFonts w:ascii="仿宋_GB2312" w:hAnsi="宋体" w:eastAsia="仿宋_GB2312"/>
          <w:sz w:val="24"/>
        </w:rPr>
        <w:t>无误后</w:t>
      </w:r>
      <w:r>
        <w:rPr>
          <w:rFonts w:hint="eastAsia" w:ascii="仿宋_GB2312" w:hAnsi="宋体" w:eastAsia="仿宋_GB2312"/>
          <w:sz w:val="24"/>
        </w:rPr>
        <w:t>，于理财</w:t>
      </w:r>
      <w:r>
        <w:rPr>
          <w:rFonts w:ascii="仿宋_GB2312" w:hAnsi="宋体" w:eastAsia="仿宋_GB2312"/>
          <w:sz w:val="24"/>
        </w:rPr>
        <w:t>资金到</w:t>
      </w:r>
      <w:r>
        <w:rPr>
          <w:rFonts w:hint="eastAsia" w:ascii="仿宋_GB2312" w:hAnsi="宋体" w:eastAsia="仿宋_GB2312"/>
          <w:sz w:val="24"/>
        </w:rPr>
        <w:t>账之日起根据本合同的约定履行托管职责。</w:t>
      </w:r>
    </w:p>
    <w:p>
      <w:pPr>
        <w:autoSpaceDE w:val="0"/>
        <w:autoSpaceDN w:val="0"/>
        <w:adjustRightInd w:val="0"/>
        <w:snapToGrid w:val="0"/>
        <w:spacing w:line="336" w:lineRule="auto"/>
        <w:ind w:firstLine="482" w:firstLineChars="200"/>
        <w:rPr>
          <w:rFonts w:ascii="仿宋_GB2312" w:hAnsi="宋体" w:eastAsia="仿宋_GB2312"/>
          <w:b/>
          <w:bCs/>
          <w:kern w:val="0"/>
          <w:sz w:val="24"/>
        </w:rPr>
      </w:pPr>
      <w:r>
        <w:rPr>
          <w:rFonts w:hint="eastAsia" w:ascii="仿宋_GB2312" w:hAnsi="宋体" w:eastAsia="仿宋_GB2312"/>
          <w:b/>
          <w:bCs/>
          <w:kern w:val="0"/>
          <w:sz w:val="24"/>
        </w:rPr>
        <w:t>第二条</w:t>
      </w:r>
      <w:r>
        <w:rPr>
          <w:rFonts w:ascii="仿宋_GB2312" w:hAnsi="宋体" w:eastAsia="仿宋_GB2312"/>
          <w:b/>
          <w:bCs/>
          <w:kern w:val="0"/>
          <w:sz w:val="24"/>
        </w:rPr>
        <w:t xml:space="preserve">  </w:t>
      </w:r>
      <w:r>
        <w:rPr>
          <w:rFonts w:hint="eastAsia" w:ascii="仿宋_GB2312" w:hAnsi="宋体" w:eastAsia="仿宋_GB2312"/>
          <w:b/>
          <w:bCs/>
          <w:kern w:val="0"/>
          <w:sz w:val="24"/>
        </w:rPr>
        <w:t>理财产品托管</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（一）理财产品托管</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1、理财</w:t>
      </w:r>
      <w:r>
        <w:rPr>
          <w:rFonts w:hint="eastAsia" w:ascii="仿宋_GB2312" w:hAnsi="宋体" w:eastAsia="仿宋_GB2312"/>
          <w:sz w:val="24"/>
        </w:rPr>
        <w:t>产品托管的原则</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1 \* GB3 </w:instrText>
      </w:r>
      <w:r>
        <w:rPr>
          <w:rFonts w:ascii="仿宋_GB2312" w:hAnsi="宋体" w:eastAsia="仿宋_GB2312"/>
          <w:sz w:val="24"/>
        </w:rPr>
        <w:fldChar w:fldCharType="separate"/>
      </w:r>
      <w:r>
        <w:rPr>
          <w:rFonts w:hint="eastAsia" w:ascii="仿宋_GB2312" w:hAnsi="宋体" w:eastAsia="仿宋_GB2312"/>
          <w:sz w:val="24"/>
        </w:rPr>
        <w:t>①</w:t>
      </w:r>
      <w:r>
        <w:rPr>
          <w:rFonts w:ascii="仿宋_GB2312" w:hAnsi="宋体" w:eastAsia="仿宋_GB2312"/>
          <w:sz w:val="24"/>
        </w:rPr>
        <w:fldChar w:fldCharType="end"/>
      </w:r>
      <w:r>
        <w:rPr>
          <w:rFonts w:hint="eastAsia" w:ascii="仿宋_GB2312" w:hAnsi="宋体" w:eastAsia="仿宋_GB2312"/>
          <w:sz w:val="24"/>
        </w:rPr>
        <w:t>本系列项下相关各期理财产品应独立于甲方和乙方的固有财产。</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2 \* GB3 </w:instrText>
      </w:r>
      <w:r>
        <w:rPr>
          <w:rFonts w:ascii="仿宋_GB2312" w:hAnsi="宋体" w:eastAsia="仿宋_GB2312"/>
          <w:sz w:val="24"/>
        </w:rPr>
        <w:fldChar w:fldCharType="separate"/>
      </w:r>
      <w:r>
        <w:rPr>
          <w:rFonts w:hint="eastAsia" w:ascii="仿宋_GB2312" w:hAnsi="宋体" w:eastAsia="仿宋_GB2312"/>
          <w:sz w:val="24"/>
        </w:rPr>
        <w:t>②</w:t>
      </w:r>
      <w:r>
        <w:rPr>
          <w:rFonts w:ascii="仿宋_GB2312" w:hAnsi="宋体" w:eastAsia="仿宋_GB2312"/>
          <w:sz w:val="24"/>
        </w:rPr>
        <w:fldChar w:fldCharType="end"/>
      </w:r>
      <w:r>
        <w:rPr>
          <w:rFonts w:hint="eastAsia" w:ascii="仿宋_GB2312" w:hAnsi="宋体" w:eastAsia="仿宋_GB2312"/>
          <w:sz w:val="24"/>
        </w:rPr>
        <w:t>乙方应安全、完整地保管本系列项下相关各期理财托管账户内的理财资金，确保依本合同托管的各期理财托管账户内的理财资金与乙方自有资金及其他托管资产之间相互独立。</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cs="Arial"/>
          <w:sz w:val="24"/>
          <w:szCs w:val="21"/>
        </w:rPr>
        <w:fldChar w:fldCharType="begin"/>
      </w:r>
      <w:r>
        <w:rPr>
          <w:rFonts w:ascii="仿宋_GB2312" w:hAnsi="宋体" w:eastAsia="仿宋_GB2312" w:cs="Arial"/>
          <w:sz w:val="24"/>
          <w:szCs w:val="21"/>
        </w:rPr>
        <w:instrText xml:space="preserve"> = 3 \* GB3 </w:instrText>
      </w:r>
      <w:r>
        <w:rPr>
          <w:rFonts w:ascii="仿宋_GB2312" w:hAnsi="宋体" w:eastAsia="仿宋_GB2312" w:cs="Arial"/>
          <w:sz w:val="24"/>
          <w:szCs w:val="21"/>
        </w:rPr>
        <w:fldChar w:fldCharType="separate"/>
      </w:r>
      <w:r>
        <w:rPr>
          <w:rFonts w:hint="eastAsia" w:ascii="仿宋_GB2312" w:hAnsi="宋体" w:eastAsia="仿宋_GB2312" w:cs="Arial"/>
          <w:sz w:val="24"/>
          <w:szCs w:val="21"/>
        </w:rPr>
        <w:t>③</w:t>
      </w:r>
      <w:r>
        <w:rPr>
          <w:rFonts w:ascii="仿宋_GB2312" w:hAnsi="宋体" w:eastAsia="仿宋_GB2312" w:cs="Arial"/>
          <w:sz w:val="24"/>
          <w:szCs w:val="21"/>
        </w:rPr>
        <w:fldChar w:fldCharType="end"/>
      </w:r>
      <w:r>
        <w:rPr>
          <w:rFonts w:hint="eastAsia" w:ascii="仿宋_GB2312" w:hAnsi="宋体" w:eastAsia="仿宋_GB2312"/>
          <w:sz w:val="24"/>
        </w:rPr>
        <w:t>除依审核无误的甲方所送达的划款指令外，乙方不得擅自动用或处分托管各期理财产品的理财资金。</w:t>
      </w:r>
    </w:p>
    <w:p>
      <w:pPr>
        <w:adjustRightInd w:val="0"/>
        <w:snapToGrid w:val="0"/>
        <w:spacing w:line="336" w:lineRule="auto"/>
        <w:ind w:firstLine="480" w:firstLineChars="200"/>
        <w:rPr>
          <w:rFonts w:ascii="仿宋_GB2312" w:hAnsi="宋体" w:eastAsia="仿宋_GB2312" w:cs="Arial"/>
          <w:sz w:val="24"/>
          <w:szCs w:val="21"/>
        </w:rPr>
      </w:pPr>
      <w:r>
        <w:rPr>
          <w:rFonts w:ascii="仿宋_GB2312" w:hAnsi="宋体" w:eastAsia="仿宋_GB2312"/>
          <w:sz w:val="24"/>
        </w:rPr>
        <w:fldChar w:fldCharType="begin"/>
      </w:r>
      <w:r>
        <w:rPr>
          <w:rFonts w:ascii="仿宋_GB2312" w:hAnsi="宋体" w:eastAsia="仿宋_GB2312"/>
          <w:sz w:val="24"/>
        </w:rPr>
        <w:instrText xml:space="preserve"> = 4 \* GB3 </w:instrText>
      </w:r>
      <w:r>
        <w:rPr>
          <w:rFonts w:ascii="仿宋_GB2312" w:hAnsi="宋体" w:eastAsia="仿宋_GB2312"/>
          <w:sz w:val="24"/>
        </w:rPr>
        <w:fldChar w:fldCharType="separate"/>
      </w:r>
      <w:r>
        <w:rPr>
          <w:rFonts w:hint="eastAsia" w:ascii="仿宋_GB2312" w:hAnsi="宋体" w:eastAsia="仿宋_GB2312"/>
          <w:sz w:val="24"/>
        </w:rPr>
        <w:t>④</w:t>
      </w:r>
      <w:r>
        <w:rPr>
          <w:rFonts w:ascii="仿宋_GB2312" w:hAnsi="宋体" w:eastAsia="仿宋_GB2312"/>
          <w:sz w:val="24"/>
        </w:rPr>
        <w:fldChar w:fldCharType="end"/>
      </w:r>
      <w:r>
        <w:rPr>
          <w:rFonts w:hint="eastAsia" w:ascii="仿宋_GB2312" w:hAnsi="宋体" w:eastAsia="仿宋_GB2312"/>
          <w:sz w:val="24"/>
        </w:rPr>
        <w:t>乙方对本系列项下相关各期理财产品单独设置托管账户、实行严格的分账管理，确保理财资金的完整与独立</w:t>
      </w:r>
      <w:r>
        <w:rPr>
          <w:rFonts w:hint="eastAsia" w:ascii="仿宋_GB2312" w:hAnsi="宋体" w:eastAsia="仿宋_GB2312" w:cs="Arial"/>
          <w:sz w:val="24"/>
          <w:szCs w:val="21"/>
        </w:rPr>
        <w:t>。</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5 \* GB3 </w:instrText>
      </w:r>
      <w:r>
        <w:rPr>
          <w:rFonts w:ascii="仿宋_GB2312" w:hAnsi="宋体" w:eastAsia="仿宋_GB2312"/>
          <w:sz w:val="24"/>
        </w:rPr>
        <w:fldChar w:fldCharType="separate"/>
      </w:r>
      <w:r>
        <w:rPr>
          <w:rFonts w:hint="eastAsia" w:ascii="仿宋_GB2312" w:hAnsi="宋体" w:eastAsia="仿宋_GB2312"/>
          <w:sz w:val="24"/>
        </w:rPr>
        <w:t>⑤</w:t>
      </w:r>
      <w:r>
        <w:rPr>
          <w:rFonts w:ascii="仿宋_GB2312" w:hAnsi="宋体" w:eastAsia="仿宋_GB2312"/>
          <w:sz w:val="24"/>
        </w:rPr>
        <w:fldChar w:fldCharType="end"/>
      </w:r>
      <w:r>
        <w:rPr>
          <w:rFonts w:hint="eastAsia" w:ascii="仿宋_GB2312" w:hAnsi="宋体" w:eastAsia="仿宋_GB2312"/>
          <w:sz w:val="24"/>
        </w:rPr>
        <w:t>因各期理财资金管理、运用过程中产生的应收款项，应由甲方负责与有关当事人确定到账日期并通知乙方。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⑥乙方的托管职责始于各期理财资金到账之日，终于当期理财产品终止之日。</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2、托管账户的开立与管理</w:t>
      </w:r>
    </w:p>
    <w:p>
      <w:pPr>
        <w:spacing w:line="336" w:lineRule="auto"/>
        <w:ind w:firstLine="480" w:firstLineChars="200"/>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1 \* GB3 </w:instrText>
      </w:r>
      <w:r>
        <w:rPr>
          <w:rFonts w:ascii="仿宋_GB2312" w:hAnsi="宋体" w:eastAsia="仿宋_GB2312"/>
          <w:sz w:val="24"/>
        </w:rPr>
        <w:fldChar w:fldCharType="separate"/>
      </w:r>
      <w:r>
        <w:rPr>
          <w:rFonts w:hint="eastAsia" w:ascii="仿宋_GB2312" w:hAnsi="宋体" w:eastAsia="仿宋_GB2312"/>
          <w:sz w:val="24"/>
        </w:rPr>
        <w:t>①</w:t>
      </w:r>
      <w:r>
        <w:rPr>
          <w:rFonts w:ascii="仿宋_GB2312" w:hAnsi="宋体" w:eastAsia="仿宋_GB2312"/>
          <w:sz w:val="24"/>
        </w:rPr>
        <w:fldChar w:fldCharType="end"/>
      </w:r>
      <w:r>
        <w:rPr>
          <w:rFonts w:hint="eastAsia" w:ascii="仿宋_GB2312" w:hAnsi="宋体" w:eastAsia="仿宋_GB2312"/>
          <w:sz w:val="24"/>
        </w:rPr>
        <w:t>甲方应在乙方营业机构为本系列项下相关各期理财产品单独开立托管账户。各期理财产品的一切货币收支活动均通过其各自专用托管账户进行。托管账户可出款日期以开户行执行中国人民银行《人民币银行结算账户管理办法》的具体要求为准。</w:t>
      </w:r>
    </w:p>
    <w:p>
      <w:pPr>
        <w:spacing w:line="336" w:lineRule="auto"/>
        <w:ind w:firstLine="480" w:firstLineChars="200"/>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2 \* GB3 </w:instrText>
      </w:r>
      <w:r>
        <w:rPr>
          <w:rFonts w:ascii="仿宋_GB2312" w:hAnsi="宋体" w:eastAsia="仿宋_GB2312"/>
          <w:sz w:val="24"/>
        </w:rPr>
        <w:fldChar w:fldCharType="separate"/>
      </w:r>
      <w:r>
        <w:rPr>
          <w:rFonts w:hint="eastAsia" w:ascii="仿宋_GB2312" w:hAnsi="宋体" w:eastAsia="仿宋_GB2312"/>
          <w:sz w:val="24"/>
        </w:rPr>
        <w:t>②</w:t>
      </w:r>
      <w:r>
        <w:rPr>
          <w:rFonts w:ascii="仿宋_GB2312" w:hAnsi="宋体" w:eastAsia="仿宋_GB2312"/>
          <w:sz w:val="24"/>
        </w:rPr>
        <w:fldChar w:fldCharType="end"/>
      </w:r>
      <w:bookmarkStart w:id="0" w:name="OLE_LINK1"/>
      <w:r>
        <w:rPr>
          <w:rFonts w:hint="eastAsia" w:ascii="仿宋_GB2312" w:hAnsi="宋体" w:eastAsia="仿宋_GB2312"/>
          <w:sz w:val="24"/>
        </w:rPr>
        <w:t>本系列项下相关各期理财产品的托管账户名称以“甲方全称</w:t>
      </w:r>
      <w:r>
        <w:rPr>
          <w:rFonts w:ascii="仿宋_GB2312" w:hAnsi="宋体" w:eastAsia="仿宋_GB2312"/>
          <w:sz w:val="24"/>
        </w:rPr>
        <w:t>-</w:t>
      </w:r>
      <w:r>
        <w:rPr>
          <w:rFonts w:hint="eastAsia" w:ascii="仿宋_GB2312" w:hAnsi="宋体" w:eastAsia="仿宋_GB2312"/>
          <w:sz w:val="24"/>
        </w:rPr>
        <w:t>当期系列</w:t>
      </w:r>
      <w:r>
        <w:rPr>
          <w:rFonts w:ascii="仿宋_GB2312" w:hAnsi="宋体" w:eastAsia="仿宋_GB2312"/>
          <w:sz w:val="24"/>
        </w:rPr>
        <w:t>理财产品名称”</w:t>
      </w:r>
      <w:r>
        <w:rPr>
          <w:rFonts w:hint="eastAsia" w:ascii="仿宋_GB2312" w:hAnsi="宋体" w:eastAsia="仿宋_GB2312"/>
          <w:sz w:val="24"/>
        </w:rPr>
        <w:t>（具体开户名称以托管人实际为准）的方式命名开立</w:t>
      </w:r>
      <w:r>
        <w:rPr>
          <w:rFonts w:ascii="仿宋_GB2312" w:hAnsi="宋体" w:eastAsia="仿宋_GB2312"/>
          <w:sz w:val="24"/>
        </w:rPr>
        <w:t>。</w:t>
      </w:r>
      <w:r>
        <w:rPr>
          <w:rFonts w:hint="eastAsia" w:ascii="仿宋_GB2312" w:hAnsi="宋体" w:eastAsia="仿宋_GB2312"/>
          <w:sz w:val="24"/>
          <w:highlight w:val="none"/>
        </w:rPr>
        <w:t>托管账户</w:t>
      </w:r>
      <w:r>
        <w:rPr>
          <w:rFonts w:ascii="仿宋_GB2312" w:hAnsi="宋体" w:eastAsia="仿宋_GB2312"/>
          <w:sz w:val="24"/>
          <w:highlight w:val="none"/>
        </w:rPr>
        <w:t>采取无印鉴管理。</w:t>
      </w:r>
      <w:r>
        <w:rPr>
          <w:rFonts w:hint="eastAsia" w:ascii="仿宋_GB2312" w:hAnsi="宋体" w:eastAsia="仿宋_GB2312"/>
          <w:sz w:val="24"/>
        </w:rPr>
        <w:t>甲方</w:t>
      </w:r>
      <w:r>
        <w:rPr>
          <w:rFonts w:ascii="仿宋_GB2312" w:hAnsi="宋体" w:eastAsia="仿宋_GB2312"/>
          <w:sz w:val="24"/>
        </w:rPr>
        <w:t>应当在开户过程中给予必要的配合，并提供所需资料。</w:t>
      </w:r>
      <w:r>
        <w:rPr>
          <w:rFonts w:hint="eastAsia" w:ascii="仿宋_GB2312" w:hAnsi="宋体" w:eastAsia="仿宋_GB2312"/>
          <w:sz w:val="24"/>
        </w:rPr>
        <w:t>甲方</w:t>
      </w:r>
      <w:r>
        <w:rPr>
          <w:rFonts w:ascii="仿宋_GB2312" w:hAnsi="宋体" w:eastAsia="仿宋_GB2312"/>
          <w:sz w:val="24"/>
        </w:rPr>
        <w:t>保证所提供的账户开户材料的真实性和有效性，且在相关资料变更后及时将变更的资料提供给</w:t>
      </w:r>
      <w:r>
        <w:rPr>
          <w:rFonts w:hint="eastAsia" w:ascii="仿宋_GB2312" w:hAnsi="宋体" w:eastAsia="仿宋_GB2312"/>
          <w:sz w:val="24"/>
        </w:rPr>
        <w:t>乙方</w:t>
      </w:r>
      <w:r>
        <w:rPr>
          <w:rFonts w:ascii="仿宋_GB2312" w:hAnsi="宋体" w:eastAsia="仿宋_GB2312"/>
          <w:sz w:val="24"/>
        </w:rPr>
        <w:t>。</w:t>
      </w:r>
    </w:p>
    <w:bookmarkEnd w:id="0"/>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3 \* GB3 </w:instrText>
      </w:r>
      <w:r>
        <w:rPr>
          <w:rFonts w:ascii="仿宋_GB2312" w:hAnsi="宋体" w:eastAsia="仿宋_GB2312"/>
          <w:sz w:val="24"/>
        </w:rPr>
        <w:fldChar w:fldCharType="separate"/>
      </w:r>
      <w:r>
        <w:rPr>
          <w:rFonts w:hint="eastAsia" w:ascii="仿宋_GB2312" w:hAnsi="宋体" w:eastAsia="仿宋_GB2312"/>
          <w:sz w:val="24"/>
        </w:rPr>
        <w:t>③</w:t>
      </w:r>
      <w:r>
        <w:rPr>
          <w:rFonts w:ascii="仿宋_GB2312" w:hAnsi="宋体" w:eastAsia="仿宋_GB2312"/>
          <w:sz w:val="24"/>
        </w:rPr>
        <w:fldChar w:fldCharType="end"/>
      </w:r>
      <w:r>
        <w:rPr>
          <w:rFonts w:hint="eastAsia" w:ascii="仿宋_GB2312" w:hAnsi="宋体" w:eastAsia="仿宋_GB2312"/>
          <w:sz w:val="24"/>
        </w:rPr>
        <w:t>托管账户的开立和管理应符合法律法规的有关规定。</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4 \* GB3 </w:instrText>
      </w:r>
      <w:r>
        <w:rPr>
          <w:rFonts w:ascii="仿宋_GB2312" w:hAnsi="宋体" w:eastAsia="仿宋_GB2312"/>
          <w:sz w:val="24"/>
        </w:rPr>
        <w:fldChar w:fldCharType="separate"/>
      </w:r>
      <w:r>
        <w:rPr>
          <w:rFonts w:hint="eastAsia" w:ascii="仿宋_GB2312" w:hAnsi="宋体" w:eastAsia="仿宋_GB2312"/>
          <w:sz w:val="24"/>
        </w:rPr>
        <w:t>④</w:t>
      </w:r>
      <w:r>
        <w:rPr>
          <w:rFonts w:ascii="仿宋_GB2312" w:hAnsi="宋体" w:eastAsia="仿宋_GB2312"/>
          <w:sz w:val="24"/>
        </w:rPr>
        <w:fldChar w:fldCharType="end"/>
      </w:r>
      <w:r>
        <w:rPr>
          <w:rFonts w:hint="eastAsia" w:ascii="仿宋_GB2312" w:hAnsi="宋体" w:eastAsia="仿宋_GB2312"/>
          <w:sz w:val="24"/>
        </w:rPr>
        <w:t>托管账户在本系列项下相关各期理财产品存续期内不可撤销，作为理财资金保管、管理和运用的专用账户。</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3、证券账户的开立和管理</w:t>
      </w:r>
    </w:p>
    <w:p>
      <w:pPr>
        <w:adjustRightInd w:val="0"/>
        <w:snapToGrid w:val="0"/>
        <w:spacing w:line="336" w:lineRule="auto"/>
        <w:ind w:firstLine="480" w:firstLineChars="200"/>
        <w:rPr>
          <w:rFonts w:ascii="Calibri" w:hAnsi="Calibri" w:eastAsia="仿宋_GB2312"/>
          <w:sz w:val="24"/>
        </w:rPr>
      </w:pPr>
      <w:r>
        <w:rPr>
          <w:rFonts w:hint="eastAsia" w:ascii="仿宋_GB2312" w:hAnsi="宋体" w:eastAsia="仿宋_GB2312"/>
          <w:sz w:val="24"/>
        </w:rPr>
        <w:t>甲方委托</w:t>
      </w:r>
      <w:r>
        <w:rPr>
          <w:rFonts w:ascii="仿宋_GB2312" w:hAnsi="宋体" w:eastAsia="仿宋_GB2312"/>
          <w:sz w:val="24"/>
        </w:rPr>
        <w:t>乙方按照法律</w:t>
      </w:r>
      <w:r>
        <w:rPr>
          <w:rFonts w:hint="eastAsia" w:ascii="仿宋_GB2312" w:hAnsi="宋体" w:eastAsia="仿宋_GB2312"/>
          <w:sz w:val="24"/>
        </w:rPr>
        <w:t>法规</w:t>
      </w:r>
      <w:r>
        <w:rPr>
          <w:rFonts w:ascii="仿宋_GB2312" w:hAnsi="宋体" w:eastAsia="仿宋_GB2312"/>
          <w:sz w:val="24"/>
        </w:rPr>
        <w:t>和开户机构相关业务规则，</w:t>
      </w:r>
      <w:r>
        <w:rPr>
          <w:rFonts w:hint="eastAsia" w:ascii="仿宋_GB2312" w:hAnsi="宋体" w:eastAsia="仿宋_GB2312"/>
          <w:sz w:val="24"/>
        </w:rPr>
        <w:t>办理</w:t>
      </w:r>
      <w:r>
        <w:rPr>
          <w:rFonts w:ascii="仿宋_GB2312" w:hAnsi="宋体" w:eastAsia="仿宋_GB2312"/>
          <w:sz w:val="24"/>
        </w:rPr>
        <w:t>本</w:t>
      </w:r>
      <w:r>
        <w:rPr>
          <w:rFonts w:hint="eastAsia" w:ascii="仿宋_GB2312" w:hAnsi="宋体" w:eastAsia="仿宋_GB2312"/>
          <w:sz w:val="24"/>
        </w:rPr>
        <w:t>系列项下相关各期</w:t>
      </w:r>
      <w:r>
        <w:rPr>
          <w:rFonts w:ascii="仿宋_GB2312" w:hAnsi="宋体" w:eastAsia="仿宋_GB2312"/>
          <w:sz w:val="24"/>
        </w:rPr>
        <w:t>理财产品</w:t>
      </w:r>
      <w:r>
        <w:rPr>
          <w:rFonts w:hint="eastAsia" w:ascii="仿宋_GB2312" w:hAnsi="宋体" w:eastAsia="仿宋_GB2312"/>
          <w:sz w:val="24"/>
        </w:rPr>
        <w:t>证券</w:t>
      </w:r>
      <w:r>
        <w:rPr>
          <w:rFonts w:ascii="仿宋_GB2312" w:hAnsi="宋体" w:eastAsia="仿宋_GB2312"/>
          <w:sz w:val="24"/>
        </w:rPr>
        <w:t>账户开立</w:t>
      </w:r>
      <w:r>
        <w:rPr>
          <w:rFonts w:hint="eastAsia" w:ascii="Calibri" w:hAnsi="Calibri" w:eastAsia="仿宋_GB2312"/>
          <w:sz w:val="24"/>
        </w:rPr>
        <w:t>、使用、注销和转换等事宜。各期理财产品证券账户之间相互独立，非同期理财产品不可共用同一证券账户及股东账户卡。甲方和乙方在办理上述事宜过程中相互配合，并提供所需资料。</w:t>
      </w:r>
    </w:p>
    <w:p>
      <w:pPr>
        <w:adjustRightInd w:val="0"/>
        <w:snapToGrid w:val="0"/>
        <w:spacing w:line="336" w:lineRule="auto"/>
        <w:ind w:firstLine="480" w:firstLineChars="200"/>
        <w:rPr>
          <w:rFonts w:ascii="Calibri" w:hAnsi="Calibri" w:eastAsia="仿宋_GB2312"/>
          <w:sz w:val="24"/>
        </w:rPr>
      </w:pPr>
      <w:r>
        <w:rPr>
          <w:rFonts w:hint="eastAsia" w:ascii="Calibri" w:hAnsi="Calibri" w:eastAsia="仿宋_GB2312"/>
          <w:sz w:val="24"/>
        </w:rPr>
        <w:t>乙方应及时为甲方办妥开户手续，并将证券账户开通信息通知甲方。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专用证券账户仅供本系列项下相关各期理财产品使用，并且只能由甲方使用，不得转托管或转指定，中国证监会另有规定的除外。</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在本系列项下相关各期理财产品到期结束前，甲方不得将专用证券账户以出租、出借、转让或者其他方式提供给他人使用，不得注销、挂失该账户。</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专用证券账户的开立和使用仅限于满足开展本系列项下相关各期理财产品投资的需要。甲方和乙方不得擅自出借和转让本理财产品的任何证券账户，亦不得使用本系列项下相关各期理财产品的任何账户进行对应各期理财产品投资以外的活动。</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4、证券资金账户</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各期理财产品的证券资金账户在证券经纪机构开立，并与乙方下属营业机构开立的对应各期银行托管账户建立第三方存管关系。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本系列项下各期理财产品运作期间，甲方进行的所有场内投资，均需通过证券资金账户进行资金的交收。</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5、银行间债券账户</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根据本系列项下相关各期理财</w:t>
      </w:r>
      <w:r>
        <w:rPr>
          <w:rFonts w:ascii="仿宋_GB2312" w:hAnsi="宋体" w:eastAsia="仿宋_GB2312"/>
          <w:sz w:val="24"/>
        </w:rPr>
        <w:t>产品投资</w:t>
      </w:r>
      <w:r>
        <w:rPr>
          <w:rFonts w:hint="eastAsia" w:ascii="仿宋_GB2312" w:hAnsi="宋体" w:eastAsia="仿宋_GB2312"/>
          <w:sz w:val="24"/>
        </w:rPr>
        <w:t>运作安排</w:t>
      </w:r>
      <w:r>
        <w:rPr>
          <w:rFonts w:ascii="仿宋_GB2312" w:hAnsi="宋体" w:eastAsia="仿宋_GB2312"/>
          <w:sz w:val="24"/>
        </w:rPr>
        <w:t>，以</w:t>
      </w:r>
      <w:r>
        <w:rPr>
          <w:rFonts w:hint="eastAsia" w:ascii="仿宋_GB2312" w:hAnsi="宋体" w:eastAsia="仿宋_GB2312"/>
          <w:sz w:val="24"/>
        </w:rPr>
        <w:t>对应各期</w:t>
      </w:r>
      <w:r>
        <w:rPr>
          <w:rFonts w:ascii="仿宋_GB2312" w:hAnsi="宋体" w:eastAsia="仿宋_GB2312"/>
          <w:sz w:val="24"/>
        </w:rPr>
        <w:t>理财产品</w:t>
      </w:r>
      <w:r>
        <w:rPr>
          <w:rFonts w:hint="eastAsia" w:ascii="仿宋_GB2312" w:hAnsi="宋体" w:eastAsia="仿宋_GB2312"/>
          <w:sz w:val="24"/>
        </w:rPr>
        <w:t>名义</w:t>
      </w:r>
      <w:r>
        <w:rPr>
          <w:rFonts w:ascii="仿宋_GB2312" w:hAnsi="宋体" w:eastAsia="仿宋_GB2312"/>
          <w:sz w:val="24"/>
        </w:rPr>
        <w:t>直接投资</w:t>
      </w:r>
      <w:r>
        <w:rPr>
          <w:rFonts w:hint="eastAsia" w:ascii="仿宋_GB2312" w:hAnsi="宋体" w:eastAsia="仿宋_GB2312"/>
          <w:sz w:val="24"/>
        </w:rPr>
        <w:t>于全国</w:t>
      </w:r>
      <w:r>
        <w:rPr>
          <w:rFonts w:ascii="仿宋_GB2312" w:hAnsi="宋体" w:eastAsia="仿宋_GB2312"/>
          <w:sz w:val="24"/>
        </w:rPr>
        <w:t>银行间债券市场情况下</w:t>
      </w:r>
      <w:r>
        <w:rPr>
          <w:rFonts w:hint="eastAsia" w:ascii="仿宋_GB2312" w:hAnsi="宋体" w:eastAsia="仿宋_GB2312"/>
          <w:sz w:val="24"/>
        </w:rPr>
        <w:t>，甲方负责在</w:t>
      </w:r>
      <w:r>
        <w:rPr>
          <w:rFonts w:ascii="仿宋_GB2312" w:hAnsi="宋体" w:eastAsia="仿宋_GB2312"/>
          <w:sz w:val="24"/>
        </w:rPr>
        <w:t>人民银行</w:t>
      </w:r>
      <w:r>
        <w:rPr>
          <w:rFonts w:hint="eastAsia" w:ascii="仿宋_GB2312" w:hAnsi="宋体" w:eastAsia="仿宋_GB2312"/>
          <w:sz w:val="24"/>
        </w:rPr>
        <w:t>为</w:t>
      </w:r>
      <w:r>
        <w:rPr>
          <w:rFonts w:ascii="仿宋_GB2312" w:hAnsi="宋体" w:eastAsia="仿宋_GB2312"/>
          <w:sz w:val="24"/>
        </w:rPr>
        <w:t>本</w:t>
      </w:r>
      <w:r>
        <w:rPr>
          <w:rFonts w:hint="eastAsia" w:ascii="仿宋_GB2312" w:hAnsi="宋体" w:eastAsia="仿宋_GB2312"/>
          <w:sz w:val="24"/>
        </w:rPr>
        <w:t>系列项下相关各期</w:t>
      </w:r>
      <w:r>
        <w:rPr>
          <w:rFonts w:ascii="仿宋_GB2312" w:hAnsi="宋体" w:eastAsia="仿宋_GB2312"/>
          <w:sz w:val="24"/>
        </w:rPr>
        <w:t>理财产品</w:t>
      </w:r>
      <w:r>
        <w:rPr>
          <w:rFonts w:hint="eastAsia" w:ascii="仿宋_GB2312" w:hAnsi="宋体" w:eastAsia="仿宋_GB2312"/>
          <w:sz w:val="24"/>
        </w:rPr>
        <w:t>办理</w:t>
      </w:r>
      <w:r>
        <w:rPr>
          <w:rFonts w:ascii="仿宋_GB2312" w:hAnsi="宋体" w:eastAsia="仿宋_GB2312"/>
          <w:sz w:val="24"/>
        </w:rPr>
        <w:t>全国银行间债券市场准入备案，</w:t>
      </w:r>
      <w:r>
        <w:rPr>
          <w:rFonts w:hint="eastAsia" w:ascii="仿宋_GB2312" w:hAnsi="宋体" w:eastAsia="仿宋_GB2312"/>
          <w:sz w:val="24"/>
        </w:rPr>
        <w:t>乙方</w:t>
      </w:r>
      <w:r>
        <w:rPr>
          <w:rFonts w:ascii="仿宋_GB2312" w:hAnsi="宋体" w:eastAsia="仿宋_GB2312"/>
          <w:sz w:val="24"/>
        </w:rPr>
        <w:t>负责协助提供所需托管人资料。</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甲方取得</w:t>
      </w:r>
      <w:r>
        <w:rPr>
          <w:rFonts w:ascii="仿宋_GB2312" w:hAnsi="宋体" w:eastAsia="仿宋_GB2312"/>
          <w:sz w:val="24"/>
        </w:rPr>
        <w:t>人行备案通知书</w:t>
      </w:r>
      <w:r>
        <w:rPr>
          <w:rFonts w:hint="eastAsia" w:ascii="仿宋_GB2312" w:hAnsi="宋体" w:eastAsia="仿宋_GB2312"/>
          <w:sz w:val="24"/>
        </w:rPr>
        <w:t>并</w:t>
      </w:r>
      <w:r>
        <w:rPr>
          <w:rFonts w:ascii="仿宋_GB2312" w:hAnsi="宋体" w:eastAsia="仿宋_GB2312"/>
          <w:sz w:val="24"/>
        </w:rPr>
        <w:t>向外汇交易中心</w:t>
      </w:r>
      <w:r>
        <w:rPr>
          <w:rFonts w:hint="eastAsia" w:ascii="仿宋_GB2312" w:hAnsi="宋体" w:eastAsia="仿宋_GB2312"/>
          <w:sz w:val="24"/>
        </w:rPr>
        <w:t>申请</w:t>
      </w:r>
      <w:r>
        <w:rPr>
          <w:rFonts w:ascii="仿宋_GB2312" w:hAnsi="宋体" w:eastAsia="仿宋_GB2312"/>
          <w:sz w:val="24"/>
        </w:rPr>
        <w:t>联网后</w:t>
      </w:r>
      <w:r>
        <w:rPr>
          <w:rFonts w:hint="eastAsia" w:ascii="仿宋_GB2312" w:hAnsi="宋体" w:eastAsia="仿宋_GB2312"/>
          <w:sz w:val="24"/>
        </w:rPr>
        <w:t>，委托</w:t>
      </w:r>
      <w:r>
        <w:rPr>
          <w:rFonts w:ascii="仿宋_GB2312" w:hAnsi="宋体" w:eastAsia="仿宋_GB2312"/>
          <w:sz w:val="24"/>
        </w:rPr>
        <w:t>乙方</w:t>
      </w:r>
      <w:r>
        <w:rPr>
          <w:rFonts w:hint="eastAsia" w:ascii="仿宋_GB2312" w:hAnsi="宋体" w:eastAsia="仿宋_GB2312"/>
          <w:sz w:val="24"/>
        </w:rPr>
        <w:t>在中央国债登记结算有限责任公司和银行间</w:t>
      </w:r>
      <w:r>
        <w:rPr>
          <w:rFonts w:ascii="仿宋_GB2312" w:hAnsi="宋体" w:eastAsia="仿宋_GB2312"/>
          <w:sz w:val="24"/>
        </w:rPr>
        <w:t>市场清算所股份有限公司</w:t>
      </w:r>
      <w:r>
        <w:rPr>
          <w:rFonts w:hint="eastAsia" w:ascii="仿宋_GB2312" w:hAnsi="宋体" w:eastAsia="仿宋_GB2312"/>
          <w:sz w:val="24"/>
        </w:rPr>
        <w:t>为对应各期</w:t>
      </w:r>
      <w:r>
        <w:rPr>
          <w:rFonts w:ascii="仿宋_GB2312" w:hAnsi="宋体" w:eastAsia="仿宋_GB2312"/>
          <w:sz w:val="24"/>
        </w:rPr>
        <w:t>理财产品</w:t>
      </w:r>
      <w:r>
        <w:rPr>
          <w:rFonts w:hint="eastAsia" w:ascii="仿宋_GB2312" w:hAnsi="宋体" w:eastAsia="仿宋_GB2312"/>
          <w:sz w:val="24"/>
        </w:rPr>
        <w:t>开立</w:t>
      </w:r>
      <w:r>
        <w:rPr>
          <w:rFonts w:ascii="仿宋_GB2312" w:hAnsi="宋体" w:eastAsia="仿宋_GB2312"/>
          <w:sz w:val="24"/>
        </w:rPr>
        <w:t>债券账户</w:t>
      </w:r>
      <w:r>
        <w:rPr>
          <w:rFonts w:hint="eastAsia" w:ascii="仿宋_GB2312" w:hAnsi="宋体" w:eastAsia="仿宋_GB2312"/>
          <w:sz w:val="24"/>
        </w:rPr>
        <w:t>，用于</w:t>
      </w:r>
      <w:r>
        <w:rPr>
          <w:rFonts w:ascii="仿宋_GB2312" w:hAnsi="宋体" w:eastAsia="仿宋_GB2312"/>
          <w:sz w:val="24"/>
        </w:rPr>
        <w:t>登记、存管本</w:t>
      </w:r>
      <w:r>
        <w:rPr>
          <w:rFonts w:hint="eastAsia" w:ascii="仿宋_GB2312" w:hAnsi="宋体" w:eastAsia="仿宋_GB2312"/>
          <w:sz w:val="24"/>
        </w:rPr>
        <w:t>理财</w:t>
      </w:r>
      <w:r>
        <w:rPr>
          <w:rFonts w:ascii="仿宋_GB2312" w:hAnsi="宋体" w:eastAsia="仿宋_GB2312"/>
          <w:sz w:val="24"/>
        </w:rPr>
        <w:t>产品所持有的</w:t>
      </w:r>
      <w:r>
        <w:rPr>
          <w:rFonts w:hint="eastAsia" w:ascii="仿宋_GB2312" w:hAnsi="宋体" w:eastAsia="仿宋_GB2312"/>
          <w:sz w:val="24"/>
        </w:rPr>
        <w:t>、</w:t>
      </w:r>
      <w:r>
        <w:rPr>
          <w:rFonts w:ascii="仿宋_GB2312" w:hAnsi="宋体" w:eastAsia="仿宋_GB2312"/>
          <w:sz w:val="24"/>
        </w:rPr>
        <w:t>在全国银行间债券市场</w:t>
      </w:r>
      <w:r>
        <w:rPr>
          <w:rFonts w:hint="eastAsia" w:ascii="仿宋_GB2312" w:hAnsi="宋体" w:eastAsia="仿宋_GB2312"/>
          <w:sz w:val="24"/>
        </w:rPr>
        <w:t>交易</w:t>
      </w:r>
      <w:r>
        <w:rPr>
          <w:rFonts w:ascii="仿宋_GB2312" w:hAnsi="宋体" w:eastAsia="仿宋_GB2312"/>
          <w:sz w:val="24"/>
        </w:rPr>
        <w:t>的债券资产。</w:t>
      </w:r>
      <w:r>
        <w:rPr>
          <w:rFonts w:hint="eastAsia" w:ascii="仿宋_GB2312" w:hAnsi="宋体" w:eastAsia="仿宋_GB2312"/>
          <w:sz w:val="24"/>
        </w:rPr>
        <w:t>甲方应为乙方开立上述账户提供相关便利。</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乙方应及时为甲方办妥开户手续，并将对应各期账户开通信息通知甲方。银行间债券账户的开立和使用，仅限于本系列项下相关各期理财产品对应各期的投资需要，甲方或乙方不得出借或转让，亦不得使用银行间债券账户进行其对应各期产品业务以外的活动。</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6</w:t>
      </w:r>
      <w:r>
        <w:rPr>
          <w:rFonts w:ascii="仿宋_GB2312" w:hAnsi="宋体" w:eastAsia="仿宋_GB2312"/>
          <w:sz w:val="24"/>
        </w:rPr>
        <w:t>、中证机构间报价系统受托资金账户</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各期理财产品的中证机构间报价系统受托资金账户由乙方开立，并与理财产品对应各期的银行托管账户建立关联关系。具体事宜以甲方与乙方协商为准。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与本理财产品投资有关的其他账户，由甲方与乙方协商一致后办理。</w:t>
      </w:r>
    </w:p>
    <w:p>
      <w:pPr>
        <w:spacing w:line="336" w:lineRule="auto"/>
        <w:ind w:firstLine="482" w:firstLineChars="200"/>
        <w:rPr>
          <w:rFonts w:ascii="仿宋_GB2312" w:hAnsi="宋体" w:eastAsia="仿宋_GB2312"/>
          <w:b/>
          <w:bCs/>
          <w:sz w:val="24"/>
        </w:rPr>
      </w:pPr>
      <w:bookmarkStart w:id="1" w:name="_Toc141850059"/>
      <w:r>
        <w:rPr>
          <w:rFonts w:hint="eastAsia" w:ascii="仿宋_GB2312" w:hAnsi="宋体" w:eastAsia="仿宋_GB2312"/>
          <w:b/>
          <w:bCs/>
          <w:sz w:val="24"/>
        </w:rPr>
        <w:t>第三条</w:t>
      </w:r>
      <w:r>
        <w:rPr>
          <w:rFonts w:ascii="仿宋_GB2312" w:hAnsi="宋体" w:eastAsia="仿宋_GB2312"/>
          <w:b/>
          <w:bCs/>
          <w:sz w:val="24"/>
        </w:rPr>
        <w:t xml:space="preserve">  </w:t>
      </w:r>
      <w:r>
        <w:rPr>
          <w:rFonts w:hint="eastAsia" w:ascii="仿宋_GB2312" w:hAnsi="宋体" w:eastAsia="仿宋_GB2312"/>
          <w:b/>
          <w:bCs/>
          <w:sz w:val="24"/>
        </w:rPr>
        <w:t>指令的发送、确认和执行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甲方在运用理财资金时向乙方发送资金划拨及其他款项付款指令，乙方执行甲方的指令、办理理财产品名下的资金往来等有关事项。</w:t>
      </w:r>
    </w:p>
    <w:p>
      <w:pPr>
        <w:adjustRightInd w:val="0"/>
        <w:snapToGrid w:val="0"/>
        <w:spacing w:line="336" w:lineRule="auto"/>
        <w:ind w:firstLine="480" w:firstLineChars="200"/>
        <w:jc w:val="left"/>
        <w:rPr>
          <w:rFonts w:ascii="仿宋_GB2312" w:hAnsi="宋体" w:eastAsia="仿宋_GB2312"/>
          <w:sz w:val="24"/>
        </w:rPr>
      </w:pPr>
      <w:r>
        <w:rPr>
          <w:rFonts w:hint="eastAsia" w:ascii="仿宋_GB2312" w:hAnsi="宋体" w:eastAsia="仿宋_GB2312"/>
          <w:sz w:val="24"/>
        </w:rPr>
        <w:t>甲方发送的指令包括电子指令和纸质指令。</w:t>
      </w:r>
    </w:p>
    <w:p>
      <w:pPr>
        <w:adjustRightInd w:val="0"/>
        <w:snapToGrid w:val="0"/>
        <w:spacing w:line="336" w:lineRule="auto"/>
        <w:ind w:firstLine="480" w:firstLineChars="200"/>
        <w:jc w:val="left"/>
        <w:rPr>
          <w:rFonts w:ascii="仿宋_GB2312" w:hAnsi="宋体" w:eastAsia="仿宋_GB2312"/>
          <w:sz w:val="24"/>
        </w:rPr>
      </w:pPr>
      <w:r>
        <w:rPr>
          <w:rFonts w:hint="eastAsia" w:ascii="仿宋_GB2312" w:hAnsi="宋体" w:eastAsia="仿宋_GB2312"/>
          <w:sz w:val="24"/>
        </w:rPr>
        <w:t>电子指令包括甲方发送的电子指令</w:t>
      </w:r>
      <w:r>
        <w:rPr>
          <w:rFonts w:hint="eastAsia" w:ascii="仿宋_GB2312" w:hAnsi="宋体" w:eastAsia="仿宋_GB2312"/>
          <w:sz w:val="24"/>
          <w:highlight w:val="none"/>
        </w:rPr>
        <w:t>（采用电子报文传送的电子指令）、自动产生的电子指令。</w:t>
      </w:r>
      <w:r>
        <w:rPr>
          <w:rFonts w:hint="eastAsia" w:ascii="仿宋_GB2312" w:hAnsi="宋体" w:eastAsia="仿宋_GB2312"/>
          <w:sz w:val="24"/>
        </w:rPr>
        <w:t>纸质指令包括传真指令</w:t>
      </w:r>
      <w:r>
        <w:rPr>
          <w:rFonts w:hint="eastAsia" w:ascii="仿宋_GB2312" w:hAnsi="宋体" w:eastAsia="仿宋_GB2312"/>
          <w:sz w:val="24"/>
          <w:lang w:eastAsia="zh-CN"/>
        </w:rPr>
        <w:t>或邮件发送的电子指令</w:t>
      </w:r>
      <w:r>
        <w:rPr>
          <w:rFonts w:hint="eastAsia" w:ascii="仿宋_GB2312" w:hAnsi="宋体" w:eastAsia="仿宋_GB2312"/>
          <w:sz w:val="24"/>
        </w:rPr>
        <w:t>。</w:t>
      </w:r>
    </w:p>
    <w:p>
      <w:pPr>
        <w:adjustRightInd w:val="0"/>
        <w:snapToGrid w:val="0"/>
        <w:spacing w:line="336" w:lineRule="auto"/>
        <w:ind w:firstLine="480" w:firstLineChars="200"/>
        <w:jc w:val="left"/>
        <w:rPr>
          <w:rFonts w:ascii="仿宋_GB2312" w:hAnsi="宋体" w:eastAsia="仿宋_GB2312"/>
          <w:sz w:val="24"/>
        </w:rPr>
      </w:pPr>
      <w:r>
        <w:rPr>
          <w:rFonts w:hint="eastAsia" w:ascii="仿宋_GB2312" w:hAnsi="宋体" w:eastAsia="仿宋_GB2312"/>
          <w:sz w:val="24"/>
        </w:rPr>
        <w:t>在理财产品开始运作前，甲方应事先书面向乙方提供指令</w:t>
      </w:r>
      <w:r>
        <w:rPr>
          <w:rFonts w:hint="eastAsia" w:ascii="仿宋_GB2312" w:hAnsi="宋体" w:eastAsia="仿宋_GB2312"/>
          <w:sz w:val="24"/>
          <w:highlight w:val="none"/>
        </w:rPr>
        <w:t>启用函</w:t>
      </w:r>
      <w:r>
        <w:rPr>
          <w:rFonts w:ascii="仿宋_GB2312" w:hAnsi="宋体" w:eastAsia="仿宋_GB2312"/>
          <w:sz w:val="24"/>
          <w:highlight w:val="none"/>
        </w:rPr>
        <w:t>(附件</w:t>
      </w:r>
      <w:r>
        <w:rPr>
          <w:rFonts w:hint="eastAsia" w:ascii="仿宋_GB2312" w:hAnsi="宋体" w:eastAsia="仿宋_GB2312"/>
          <w:sz w:val="24"/>
          <w:highlight w:val="none"/>
        </w:rPr>
        <w:t>三</w:t>
      </w:r>
      <w:r>
        <w:rPr>
          <w:rFonts w:ascii="仿宋_GB2312" w:hAnsi="宋体" w:eastAsia="仿宋_GB2312"/>
          <w:sz w:val="24"/>
          <w:highlight w:val="none"/>
        </w:rPr>
        <w:t>)</w:t>
      </w:r>
      <w:r>
        <w:rPr>
          <w:rFonts w:ascii="仿宋_GB2312" w:hAnsi="宋体" w:eastAsia="仿宋_GB2312"/>
          <w:sz w:val="24"/>
        </w:rPr>
        <w:t>。指令启用函应明确</w:t>
      </w:r>
      <w:r>
        <w:rPr>
          <w:rFonts w:hint="eastAsia" w:ascii="仿宋_GB2312" w:hAnsi="宋体" w:eastAsia="仿宋_GB2312"/>
          <w:sz w:val="24"/>
        </w:rPr>
        <w:t>甲方采取电子指令的业务类型、启用日期、紧急情况下发送和接收传真指令的号码、指令确认的电话号码等。启用函应加盖甲方在书面授权通知中的预留印鉴。</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（一）甲方对发送指令人员的书面授权</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授权通知的内容：甲方应事先向乙方提供书面授权通知（以下称“授权通知”），指定指令的被授权人员及被授权印鉴，授权通知的内容包括被授权人的名单、签章样本、权限和预留印鉴。授权通知应加盖甲方公司公章并写明生效时间。甲方应使用传真或其他与乙方协商一致的方式向乙方发出授权通知，同时电话通知乙方。授权通知经甲方与乙方以电话方式或其他甲方和乙方认可的方式确认后，于授权通知载明的生效时间生效。甲方在此后三个工作日内将授权通知的正本送交乙方。授权通知书正本内容与乙方收到的传真不一致的，以乙方收到的传真为准。</w:t>
      </w:r>
    </w:p>
    <w:p>
      <w:pPr>
        <w:tabs>
          <w:tab w:val="left" w:pos="1260"/>
        </w:tabs>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甲方和乙方对授权通知负有保密义务，其内容不得向授权人、被授权人及相关操作人员以外的任何人泄露，但法律法规规定或有权机关另有要求的除外。</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（二）指令的内容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投资指令是在管理本理财产品时，</w:t>
      </w:r>
      <w:r>
        <w:rPr>
          <w:rFonts w:hint="eastAsia" w:ascii="仿宋_GB2312" w:hAnsi="宋体" w:eastAsia="仿宋_GB2312"/>
          <w:sz w:val="24"/>
          <w:highlight w:val="none"/>
        </w:rPr>
        <w:t>甲方向乙方发出的交易成交单、交易指令及资金划拨类指令（以下简称“指令”）。</w:t>
      </w:r>
      <w:r>
        <w:rPr>
          <w:rFonts w:hint="eastAsia" w:ascii="仿宋_GB2312" w:hAnsi="宋体" w:eastAsia="仿宋_GB2312"/>
          <w:sz w:val="24"/>
        </w:rPr>
        <w:t>指令应加盖预留印鉴并由被授权人签章。甲方发给乙方的资金划拨类指令应写明款项事由、时间、金额、出款和收款账户信息等。</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（三）指令的发送、确认及执行的时间和程序</w:t>
      </w:r>
    </w:p>
    <w:p>
      <w:pPr>
        <w:spacing w:line="336" w:lineRule="auto"/>
        <w:ind w:firstLine="480" w:firstLineChars="200"/>
        <w:rPr>
          <w:rFonts w:ascii="仿宋_GB2312" w:hAnsi="宋体" w:eastAsia="仿宋_GB2312"/>
          <w:sz w:val="24"/>
        </w:rPr>
      </w:pPr>
      <w:r>
        <w:rPr>
          <w:rFonts w:ascii="仿宋_GB2312" w:hAnsi="宋体" w:eastAsia="仿宋_GB2312"/>
          <w:sz w:val="24"/>
        </w:rPr>
        <w:t>1.指令的发送：</w:t>
      </w:r>
      <w:r>
        <w:rPr>
          <w:rFonts w:hint="eastAsia" w:ascii="仿宋_GB2312" w:hAnsi="宋体" w:eastAsia="仿宋_GB2312"/>
          <w:sz w:val="24"/>
        </w:rPr>
        <w:t>甲方通过乙方电子直连对接等方式，向乙方发送电子划款指令或投资指令。</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w:t>
      </w:r>
      <w:r>
        <w:rPr>
          <w:rFonts w:hint="eastAsia" w:ascii="仿宋_GB2312" w:hAnsi="宋体" w:eastAsia="仿宋_GB2312"/>
          <w:sz w:val="24"/>
        </w:rPr>
        <w:t>1</w:t>
      </w:r>
      <w:r>
        <w:rPr>
          <w:rFonts w:ascii="仿宋_GB2312" w:hAnsi="宋体" w:eastAsia="仿宋_GB2312"/>
          <w:sz w:val="24"/>
        </w:rPr>
        <w:t>)在应急情况下，</w:t>
      </w:r>
      <w:r>
        <w:rPr>
          <w:rFonts w:hint="eastAsia" w:ascii="仿宋_GB2312" w:hAnsi="宋体" w:eastAsia="仿宋_GB2312"/>
          <w:sz w:val="24"/>
        </w:rPr>
        <w:t>甲方应事先书面告知乙方并说明原因后，以传真</w:t>
      </w:r>
      <w:r>
        <w:rPr>
          <w:rFonts w:hint="eastAsia" w:ascii="仿宋_GB2312" w:hAnsi="宋体" w:eastAsia="仿宋_GB2312"/>
          <w:sz w:val="24"/>
          <w:lang w:eastAsia="zh-CN"/>
        </w:rPr>
        <w:t>或邮件形式</w:t>
      </w:r>
      <w:r>
        <w:rPr>
          <w:rFonts w:hint="eastAsia" w:ascii="仿宋_GB2312" w:hAnsi="宋体" w:eastAsia="仿宋_GB2312"/>
          <w:sz w:val="24"/>
        </w:rPr>
        <w:t>发送划款指令作为应急措施。</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w:t>
      </w:r>
      <w:r>
        <w:rPr>
          <w:rFonts w:ascii="仿宋_GB2312" w:hAnsi="宋体" w:eastAsia="仿宋_GB2312"/>
          <w:sz w:val="24"/>
        </w:rPr>
        <w:t>甲方</w:t>
      </w:r>
      <w:r>
        <w:rPr>
          <w:rFonts w:hint="eastAsia" w:ascii="仿宋_GB2312" w:hAnsi="宋体" w:eastAsia="仿宋_GB2312"/>
          <w:sz w:val="24"/>
        </w:rPr>
        <w:t>通过预留传真号码</w:t>
      </w:r>
      <w:r>
        <w:rPr>
          <w:rFonts w:hint="eastAsia" w:ascii="仿宋_GB2312" w:hAnsi="宋体" w:eastAsia="仿宋_GB2312"/>
          <w:sz w:val="24"/>
          <w:lang w:eastAsia="zh-CN"/>
        </w:rPr>
        <w:t>或预留邮箱</w:t>
      </w:r>
      <w:r>
        <w:rPr>
          <w:rFonts w:hint="eastAsia" w:ascii="仿宋_GB2312" w:hAnsi="宋体" w:eastAsia="仿宋_GB2312"/>
          <w:sz w:val="24"/>
        </w:rPr>
        <w:t>发出的指令，</w:t>
      </w:r>
      <w:r>
        <w:rPr>
          <w:rFonts w:ascii="仿宋_GB2312" w:hAnsi="宋体" w:eastAsia="仿宋_GB2312"/>
          <w:sz w:val="24"/>
        </w:rPr>
        <w:t>甲方</w:t>
      </w:r>
      <w:r>
        <w:rPr>
          <w:rFonts w:hint="eastAsia" w:ascii="仿宋_GB2312" w:hAnsi="宋体" w:eastAsia="仿宋_GB2312"/>
          <w:sz w:val="24"/>
        </w:rPr>
        <w:t>不得否认其效力。</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如遇紧急情况，对于通过非预留传真号码发送的传真指令，乙方需通过录音电话与</w:t>
      </w:r>
      <w:r>
        <w:rPr>
          <w:rFonts w:ascii="仿宋_GB2312" w:hAnsi="宋体" w:eastAsia="仿宋_GB2312"/>
          <w:sz w:val="24"/>
        </w:rPr>
        <w:t>甲方</w:t>
      </w:r>
      <w:r>
        <w:rPr>
          <w:rFonts w:hint="eastAsia" w:ascii="仿宋_GB2312" w:hAnsi="宋体" w:eastAsia="仿宋_GB2312"/>
          <w:sz w:val="24"/>
        </w:rPr>
        <w:t>在《指令启用函》指定的指令确认电话号码核对指令日期、指令张数、指令类型、付款产品名称、收款方名称、金额、用途等。</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非遇紧急情况或紧急情况解决后，如涉及变更或新增接收传真指令的号码，甲方应事先向</w:t>
      </w:r>
      <w:r>
        <w:rPr>
          <w:rFonts w:ascii="仿宋_GB2312" w:hAnsi="宋体" w:eastAsia="仿宋_GB2312"/>
          <w:sz w:val="24"/>
        </w:rPr>
        <w:t>乙方</w:t>
      </w:r>
      <w:r>
        <w:rPr>
          <w:rFonts w:hint="eastAsia" w:ascii="仿宋_GB2312" w:hAnsi="宋体" w:eastAsia="仿宋_GB2312"/>
          <w:sz w:val="24"/>
        </w:rPr>
        <w:t>更新《指令启用函》。</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w:t>
      </w:r>
      <w:r>
        <w:rPr>
          <w:rFonts w:hint="eastAsia" w:ascii="仿宋_GB2312" w:hAnsi="宋体" w:eastAsia="仿宋_GB2312"/>
          <w:sz w:val="24"/>
        </w:rPr>
        <w:t>2</w:t>
      </w:r>
      <w:r>
        <w:rPr>
          <w:rFonts w:ascii="仿宋_GB2312" w:hAnsi="宋体" w:eastAsia="仿宋_GB2312"/>
          <w:sz w:val="24"/>
        </w:rPr>
        <w:t>)划款指令附件的发送</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向乙方发送指令的同时，通过《指令启用函》中的预留传真号码或预留指令附件发送电子邮箱提供相关合同、交易凭证或其他证明材料。甲方对该等资料的真实性、准确性、有效性、完整性和合法合规性负责。</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对于通过</w:t>
      </w:r>
      <w:r>
        <w:rPr>
          <w:rFonts w:ascii="仿宋_GB2312" w:hAnsi="宋体" w:eastAsia="仿宋_GB2312"/>
          <w:sz w:val="24"/>
        </w:rPr>
        <w:t>预留</w:t>
      </w:r>
      <w:r>
        <w:rPr>
          <w:rFonts w:hint="eastAsia" w:ascii="仿宋_GB2312" w:hAnsi="宋体" w:eastAsia="仿宋_GB2312"/>
          <w:sz w:val="24"/>
        </w:rPr>
        <w:t>传真号码或预留电子邮箱发出的指令附件，甲方不得否认其效力。</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在发送指令时，应确保相关出款账户有足够的资金余额，并为乙方留出执行指令所必需的时间，因甲方未留足足额资金以供乙方执行指令，或未给予乙方合理必需的时间执行指令，导致乙方操作不成功的，乙方不承担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对于场内业务，首次进行场内交易前乙方应与甲方确认已完成交易单元和股东代码设置后方可进行。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对于银行间业务，甲方应于交易日</w:t>
      </w:r>
      <w:r>
        <w:rPr>
          <w:rFonts w:ascii="仿宋_GB2312" w:hAnsi="宋体" w:eastAsia="仿宋_GB2312"/>
          <w:sz w:val="24"/>
        </w:rPr>
        <w:t>15:00前将银行间成交单及相关划款指令发送至</w:t>
      </w:r>
      <w:r>
        <w:rPr>
          <w:rFonts w:hint="eastAsia" w:ascii="仿宋_GB2312" w:hAnsi="宋体" w:eastAsia="仿宋_GB2312"/>
          <w:sz w:val="24"/>
        </w:rPr>
        <w:t>乙方。甲方应与乙方确认乙方已完成证书和权限设置后方可进行本理财产品的银行间交易。</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对于指定时间出款的交易指令，甲方应提前</w:t>
      </w:r>
      <w:r>
        <w:rPr>
          <w:rFonts w:ascii="仿宋_GB2312" w:hAnsi="宋体" w:eastAsia="仿宋_GB2312"/>
          <w:sz w:val="24"/>
        </w:rPr>
        <w:t>2小时将指令发送至</w:t>
      </w:r>
      <w:r>
        <w:rPr>
          <w:rFonts w:hint="eastAsia" w:ascii="仿宋_GB2312" w:hAnsi="宋体" w:eastAsia="仿宋_GB2312"/>
          <w:sz w:val="24"/>
        </w:rPr>
        <w:t>乙方；对于甲方于</w:t>
      </w:r>
      <w:r>
        <w:rPr>
          <w:rFonts w:ascii="仿宋_GB2312" w:hAnsi="宋体" w:eastAsia="仿宋_GB2312"/>
          <w:sz w:val="24"/>
        </w:rPr>
        <w:t>15:00以后发送至</w:t>
      </w:r>
      <w:r>
        <w:rPr>
          <w:rFonts w:hint="eastAsia" w:ascii="仿宋_GB2312" w:hAnsi="宋体" w:eastAsia="仿宋_GB2312"/>
          <w:sz w:val="24"/>
        </w:rPr>
        <w:t>乙方的指令，乙方不保证当日出款，由此产生的任何损失，乙方不承担责任。</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2.指令的确认：</w:t>
      </w:r>
      <w:r>
        <w:rPr>
          <w:rFonts w:hint="eastAsia" w:ascii="仿宋_GB2312" w:hAnsi="宋体" w:eastAsia="仿宋_GB2312"/>
          <w:sz w:val="24"/>
        </w:rPr>
        <w:t>甲方有义务在发送指令后与乙方进行电话确认。指令以获得乙方确认该指令已成功接收之时视为送达乙方。对于依照“授权通知”发出的指令，甲方不得否认其效力。</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3.指令的执行：</w:t>
      </w:r>
      <w:r>
        <w:rPr>
          <w:rFonts w:hint="eastAsia" w:ascii="仿宋_GB2312" w:hAnsi="宋体" w:eastAsia="仿宋_GB2312"/>
          <w:sz w:val="24"/>
        </w:rPr>
        <w:t>乙方确认收到甲方发送的指令后，应对指令进行表面形式审查，验证指令的要素是否齐全，传真指令还应审核印鉴和签章是否和预留印鉴和签章样本相符，指令复核无误后应在规定期限内及时执行。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在指令未执行的前提下，若甲方撤销指令，甲方应在原指令上注明“作废”并加盖预留印鉴及被授权人签章后传真给乙方，并电话通知乙方。</w:t>
      </w:r>
    </w:p>
    <w:p>
      <w:pPr>
        <w:pStyle w:val="5"/>
        <w:spacing w:line="336" w:lineRule="auto"/>
      </w:pPr>
      <w:r>
        <w:rPr>
          <w:rFonts w:hint="eastAsia"/>
        </w:rPr>
        <w:t>（四）甲方发送错误指令的情形和处理程序</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甲方发送错误指令的情形包括指令发送人员无权或超越权限发送指令，指令不能辨识或要素不全导致无法执行等情形。</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2、当</w:t>
      </w:r>
      <w:r>
        <w:rPr>
          <w:rFonts w:hint="eastAsia" w:ascii="仿宋_GB2312" w:hAnsi="宋体" w:eastAsia="仿宋_GB2312"/>
          <w:sz w:val="24"/>
        </w:rPr>
        <w:t>乙方认为所接受指令为错误指令时，应及时与甲方进行电话确认，并有权暂停指令的执行并要求甲方重新发送指令。乙方有权要求甲方提供相关交易凭证、合同或其他有效会计资料，以确保乙方有足够的资料来判断指令的有效性及准确。乙方待收齐相关资料并在指令形式审查通过后重新开始执行指令。甲方应在合理时间内补充相关资料，并给乙方预留必要的执行时间，否则乙方对因此造成的延误不承担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（五）乙方依照法律法规暂缓、拒绝执行指令的情形和处理程序</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乙方发现甲方发送的指令有可能违反本合同约定或其他有关法律法规的规定时，应暂缓执行指令，并及时通知甲方，甲方收到通知后应及时核对并纠正；如相关交易已生效，则应通知甲方在</w:t>
      </w:r>
      <w:r>
        <w:rPr>
          <w:rFonts w:ascii="仿宋_GB2312" w:hAnsi="宋体" w:eastAsia="仿宋_GB2312"/>
          <w:sz w:val="24"/>
        </w:rPr>
        <w:t>10个工作日内纠正</w:t>
      </w:r>
      <w:r>
        <w:rPr>
          <w:rFonts w:hint="eastAsia" w:ascii="仿宋_GB2312" w:hAnsi="宋体" w:eastAsia="仿宋_GB2312"/>
          <w:sz w:val="24"/>
        </w:rPr>
        <w:t>，并有权报告中国银保监会等相关监管部门。对于甲方违反本合同或其他有关法律法规的规定造成产品财产损失的，由甲方承担全部责任，乙方免于承担责任</w:t>
      </w:r>
      <w:r>
        <w:rPr>
          <w:rFonts w:ascii="仿宋_GB2312" w:hAnsi="宋体" w:eastAsia="仿宋_GB2312"/>
          <w:sz w:val="24"/>
        </w:rPr>
        <w:t>。</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（六）更换被授权人员的程序</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撤换被授权人员或改变被授权人员的权限，必须提前至少一个交易日，使用传真方式或其他甲方和乙方认可的方式向乙方发出加盖甲方公司公章的书面变更通知，同时电话通知乙方。被授权人变更通知，经甲方与乙方以电话方式或其他甲方和乙方认可的方式确认后，于授权通知载明的生效时间生效，同时原授权通知失效。在原授权通知失效前，乙方仍以原授权所发送的指令为准进行执行。甲方在此后三个工作日内将被授权人变更通知的正本送交乙方。变更通知书书面正本内容与乙方收到的传真不一致的，以乙方收到的传真为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乙方更换接收甲方指令的人员，应提前通知甲方。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（七）指令的保管</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指令若以传真</w:t>
      </w:r>
      <w:r>
        <w:rPr>
          <w:rFonts w:hint="eastAsia" w:ascii="仿宋_GB2312" w:hAnsi="宋体" w:eastAsia="仿宋_GB2312"/>
          <w:sz w:val="24"/>
          <w:lang w:eastAsia="zh-CN"/>
        </w:rPr>
        <w:t>或邮件</w:t>
      </w:r>
      <w:r>
        <w:rPr>
          <w:rFonts w:hint="eastAsia" w:ascii="仿宋_GB2312" w:hAnsi="宋体" w:eastAsia="仿宋_GB2312"/>
          <w:sz w:val="24"/>
        </w:rPr>
        <w:t>形式发出，则正本由甲方保管，乙方保管指令传真件</w:t>
      </w:r>
      <w:r>
        <w:rPr>
          <w:rFonts w:hint="eastAsia" w:ascii="仿宋_GB2312" w:hAnsi="宋体" w:eastAsia="仿宋_GB2312"/>
          <w:sz w:val="24"/>
          <w:lang w:eastAsia="zh-CN"/>
        </w:rPr>
        <w:t>或邮件</w:t>
      </w:r>
      <w:r>
        <w:rPr>
          <w:rFonts w:hint="eastAsia" w:ascii="仿宋_GB2312" w:hAnsi="宋体" w:eastAsia="仿宋_GB2312"/>
          <w:sz w:val="24"/>
        </w:rPr>
        <w:t>。当两者不一致时，以乙方收到的指令传真件</w:t>
      </w:r>
      <w:r>
        <w:rPr>
          <w:rFonts w:hint="eastAsia" w:ascii="仿宋_GB2312" w:hAnsi="宋体" w:eastAsia="仿宋_GB2312"/>
          <w:sz w:val="24"/>
          <w:lang w:eastAsia="zh-CN"/>
        </w:rPr>
        <w:t>或邮件</w:t>
      </w:r>
      <w:r>
        <w:rPr>
          <w:rFonts w:hint="eastAsia" w:ascii="仿宋_GB2312" w:hAnsi="宋体" w:eastAsia="仿宋_GB2312"/>
          <w:sz w:val="24"/>
        </w:rPr>
        <w:t>为准。</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（八）相关责任</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甲方在没有充足资金的情况下向乙方发出的指令致使资金未能及时清算所造成的损失由甲方承担，乙方不承担责任。因甲方原因造成的传输不及时、未能留出足够执行时间、未能及时与乙方进行指令确认致使资金未能及时清算或交易失败所造成的损失由甲方承担，乙方不承担责任。乙方正确执行甲方发送的有效指令，理财产品财产发生损失的，乙方不承担任何形式的责任。在正常业务受理渠道和指令规定的时间内，因乙方自身过错原因造成未能及时或正确执行合法合规的指令而导致理财产品财产受损的，乙方应承担相应的责任，但如遇到不可抗力的情况除外。</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乙方根据本协议相关规定仅履行表面一致形式审核职责，对指令的真实性不承担责任。如果甲方的指令存在事实上未经授权、欺诈、伪造、变造或未能及时提供授权通知等情形，乙方不承担因执行有关指令或拒绝执行有关指令而给甲方或理财产品资产或任何第三方带来的损失，全部责任由甲方承担，但乙方未按合同约定尽形式审核义务执行指令而造成损失的情形除外。</w:t>
      </w:r>
    </w:p>
    <w:p>
      <w:pPr>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第四条</w:t>
      </w:r>
      <w:r>
        <w:rPr>
          <w:rFonts w:ascii="仿宋_GB2312" w:hAnsi="宋体" w:eastAsia="仿宋_GB2312"/>
          <w:b/>
          <w:bCs/>
          <w:sz w:val="24"/>
        </w:rPr>
        <w:t xml:space="preserve"> </w:t>
      </w:r>
      <w:r>
        <w:rPr>
          <w:rFonts w:hint="eastAsia" w:ascii="仿宋_GB2312" w:hAnsi="宋体" w:eastAsia="仿宋_GB2312"/>
          <w:b/>
          <w:bCs/>
          <w:sz w:val="24"/>
        </w:rPr>
        <w:t xml:space="preserve"> 证券经营机构的选择及交易相关基本信息的传输</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（一）甲方负责选择代理本理财产品证券买卖的证券经营机构，并与其签订相关协议。</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最晚于第一笔理财产品委托资金起始运作日前一个工作日以书面形式告知乙方上交所和深交所的交易单元号、交易品种的费率、佣金收取标准和证券账户信息等，并确认已建立第三方存管关系、开通银证转账功能。</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在合同有效期间若交易单元号、交易会员号、交易编码、或涉及的相关费率等变动，则甲方应在变动生效前一个工作日书面告知乙方。</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（二）沪、深交易所数据传输和接收</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应责成其选择的证券经营机构通过深证通向乙方传送中登的登记及结算数据、交易所的交易清算数据。甲方应责成其选择的证券经营机构保证提供给乙方的交易数据的准确性、完整性、真实性，如数据不准确、不完整或不真实，由甲方承担全部责任。</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所提供的数据均需按中登和交易所发布的最新数据接口规范进行填写，以便乙方能够完成会计核算、清算、监督职能。</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若数据传送不成功，甲方应责成证券经营机构重复或以其它应急方式传送，直到乙方成功接收，乙方对因证券经营机构提供的数据错误或不及时等过失造成的理财产品损失不承担责任。</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甲方应责成本系列项下相关各期理财产品所涉证券经营机构于</w:t>
      </w:r>
      <w:r>
        <w:rPr>
          <w:rFonts w:ascii="仿宋_GB2312" w:hAnsi="宋体" w:eastAsia="仿宋_GB2312"/>
          <w:sz w:val="24"/>
        </w:rPr>
        <w:t>T日20:00前将</w:t>
      </w:r>
      <w:r>
        <w:rPr>
          <w:rFonts w:hint="eastAsia" w:ascii="仿宋_GB2312" w:hAnsi="宋体" w:eastAsia="仿宋_GB2312"/>
          <w:sz w:val="24"/>
        </w:rPr>
        <w:t>其对应期</w:t>
      </w:r>
      <w:r>
        <w:rPr>
          <w:rFonts w:ascii="仿宋_GB2312" w:hAnsi="宋体" w:eastAsia="仿宋_GB2312"/>
          <w:sz w:val="24"/>
        </w:rPr>
        <w:t>理财产品的当日场内交易数据发送至乙方（但因证券交易所或中登及甲方无法控制的其他原因而造成数据延迟发送的情况除外），如遇到特殊情况出现数据发送延迟等情况应及时通知乙方。</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甲方应责成本系列项下相关各期理财产品所涉证券经营机构于</w:t>
      </w:r>
      <w:r>
        <w:rPr>
          <w:rFonts w:ascii="仿宋_GB2312" w:hAnsi="宋体" w:eastAsia="仿宋_GB2312"/>
          <w:sz w:val="24"/>
        </w:rPr>
        <w:t>T+1日上午9：00前打印</w:t>
      </w:r>
      <w:r>
        <w:rPr>
          <w:rFonts w:hint="eastAsia" w:ascii="仿宋_GB2312" w:hAnsi="宋体" w:eastAsia="仿宋_GB2312"/>
          <w:sz w:val="24"/>
        </w:rPr>
        <w:t>其对应期理财产品的</w:t>
      </w:r>
      <w:r>
        <w:rPr>
          <w:rFonts w:ascii="仿宋_GB2312" w:hAnsi="宋体" w:eastAsia="仿宋_GB2312"/>
          <w:sz w:val="24"/>
        </w:rPr>
        <w:t>T日清算后的证券账户对账单盖章后传真给乙方，以便乙方进行对账。对账单内容包括委托资产T日的交易明细、证券余额、资金余额等内容。</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对于T+0</w:t>
      </w:r>
      <w:r>
        <w:rPr>
          <w:rFonts w:ascii="仿宋_GB2312" w:hAnsi="宋体" w:eastAsia="仿宋_GB2312"/>
          <w:sz w:val="24"/>
        </w:rPr>
        <w:t>估值产品，甲方应责成</w:t>
      </w:r>
      <w:r>
        <w:rPr>
          <w:rFonts w:hint="eastAsia" w:ascii="仿宋_GB2312" w:hAnsi="宋体" w:eastAsia="仿宋_GB2312"/>
          <w:sz w:val="24"/>
        </w:rPr>
        <w:t>产品所涉证券经营机构于</w:t>
      </w:r>
      <w:r>
        <w:rPr>
          <w:rFonts w:ascii="仿宋_GB2312" w:hAnsi="宋体" w:eastAsia="仿宋_GB2312"/>
          <w:sz w:val="24"/>
        </w:rPr>
        <w:t>T日</w:t>
      </w:r>
      <w:r>
        <w:rPr>
          <w:rFonts w:hint="eastAsia" w:ascii="仿宋_GB2312" w:hAnsi="宋体" w:eastAsia="仿宋_GB2312"/>
          <w:sz w:val="24"/>
        </w:rPr>
        <w:t>完成对账单</w:t>
      </w:r>
      <w:r>
        <w:rPr>
          <w:rFonts w:ascii="仿宋_GB2312" w:hAnsi="宋体" w:eastAsia="仿宋_GB2312"/>
          <w:sz w:val="24"/>
        </w:rPr>
        <w:t>发送。</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甲方应责成本系列项下相关各期理财产品所涉证券经营机构指定专人负责数据的传输和接收，确保数据的安全性和保密性。在数据传输人员发生变更时，须至少提前</w:t>
      </w:r>
      <w:r>
        <w:rPr>
          <w:rFonts w:ascii="仿宋_GB2312" w:hAnsi="宋体" w:eastAsia="仿宋_GB2312"/>
          <w:sz w:val="24"/>
        </w:rPr>
        <w:t>1个工作日以书面方式通知乙方，且在乙方确认之后变更正式生效。变更通知书中必须说明变更时间、人员、事项等。</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（三）甲方所选择的证券经营机构负责办理理财产品的所有场内交易（或代销的场外开放式基金）的清算交割</w:t>
      </w:r>
      <w:r>
        <w:rPr>
          <w:rFonts w:ascii="仿宋_GB2312" w:hAnsi="宋体" w:eastAsia="仿宋_GB2312"/>
          <w:sz w:val="24"/>
        </w:rPr>
        <w:t>,乙方负责办理理财产品的所有场外交易的清算交割。</w:t>
      </w:r>
    </w:p>
    <w:bookmarkEnd w:id="1"/>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第五条</w:t>
      </w:r>
      <w:r>
        <w:rPr>
          <w:rFonts w:ascii="仿宋_GB2312" w:hAnsi="宋体" w:eastAsia="仿宋_GB2312"/>
          <w:b/>
          <w:bCs/>
          <w:sz w:val="24"/>
        </w:rPr>
        <w:t xml:space="preserve"> </w:t>
      </w:r>
      <w:r>
        <w:rPr>
          <w:rFonts w:hint="eastAsia" w:ascii="仿宋_GB2312" w:hAnsi="宋体" w:eastAsia="仿宋_GB2312"/>
          <w:b/>
          <w:bCs/>
          <w:sz w:val="24"/>
        </w:rPr>
        <w:t xml:space="preserve"> 会计核算与资产估值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（一）乙方与甲方协商一致，以理财产品名义对本</w:t>
      </w:r>
      <w:r>
        <w:rPr>
          <w:rFonts w:hint="eastAsia" w:ascii="仿宋_GB2312" w:hAnsi="宋体" w:eastAsia="仿宋_GB2312"/>
          <w:sz w:val="24"/>
        </w:rPr>
        <w:t>系列项下相关各期</w:t>
      </w:r>
      <w:r>
        <w:rPr>
          <w:rFonts w:hint="eastAsia" w:ascii="仿宋_GB2312" w:hAnsi="宋体" w:eastAsia="仿宋_GB2312"/>
          <w:kern w:val="0"/>
          <w:sz w:val="24"/>
        </w:rPr>
        <w:t>理财产品财产独立建账、独立核算，并指定专门人员负责本理财产品财产会计核算与账册保管，甲方须向乙方提供估值所需的申购赎回数据。</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二）估值对象：本理财产品协议项下银行存款、存放同业、央行票据、国债、金融债、高等级信用债等标准债券资产，拆借、回购、货币型基金、债券型基金、符合监管要求的结构化分级投资、新股申购、分级基金、可分离债、可交换债、可转债及银登中心、北金所等交易场所挂牌债权资产等类固定收益类金融债权资产（包括两融资产、股票质押式回购）和权益类资产，以及以上述资产为底层资产的信托计划、资产管理计划、信托受益权、资产收益权等资产。</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（三）甲乙双方根据本合同的有关规定，在每个工作日分别对</w:t>
      </w:r>
      <w:r>
        <w:rPr>
          <w:rFonts w:hint="eastAsia" w:ascii="仿宋_GB2312" w:hAnsi="宋体" w:eastAsia="仿宋_GB2312"/>
          <w:sz w:val="24"/>
        </w:rPr>
        <w:t>本系列项下相关各期</w:t>
      </w:r>
      <w:r>
        <w:rPr>
          <w:rFonts w:hint="eastAsia" w:ascii="仿宋_GB2312" w:hAnsi="宋体" w:eastAsia="仿宋_GB2312"/>
          <w:kern w:val="0"/>
          <w:sz w:val="24"/>
        </w:rPr>
        <w:t>理财产品单独进行估值，各期</w:t>
      </w:r>
      <w:r>
        <w:rPr>
          <w:rFonts w:hint="eastAsia" w:ascii="仿宋_GB2312" w:hAnsi="宋体" w:eastAsia="仿宋_GB2312"/>
          <w:sz w:val="24"/>
        </w:rPr>
        <w:t>产品估值核对具体频次以本协议“附件四产品要素表”中所列示时间为准。</w:t>
      </w:r>
      <w:r>
        <w:rPr>
          <w:rFonts w:hint="eastAsia" w:ascii="仿宋_GB2312" w:hAnsi="宋体" w:eastAsia="仿宋_GB2312"/>
          <w:kern w:val="0"/>
          <w:sz w:val="24"/>
        </w:rPr>
        <w:t>在扣除理财计划承担的各项费用、税费（如有）后计算理财计划收益率，理财计划单位净值保留位数</w:t>
      </w:r>
      <w:r>
        <w:rPr>
          <w:rFonts w:hint="eastAsia" w:ascii="仿宋_GB2312" w:hAnsi="宋体" w:eastAsia="仿宋_GB2312"/>
          <w:sz w:val="24"/>
        </w:rPr>
        <w:t>以本协议“附件四产品要素表”中所列示时间为准。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具体估值方法如下：</w:t>
      </w:r>
    </w:p>
    <w:p>
      <w:pPr>
        <w:pStyle w:val="24"/>
        <w:numPr>
          <w:ilvl w:val="0"/>
          <w:numId w:val="1"/>
        </w:numPr>
        <w:autoSpaceDE w:val="0"/>
        <w:autoSpaceDN w:val="0"/>
        <w:adjustRightInd w:val="0"/>
        <w:snapToGrid w:val="0"/>
        <w:spacing w:line="336" w:lineRule="auto"/>
        <w:ind w:firstLineChars="0"/>
        <w:rPr>
          <w:rFonts w:ascii="仿宋_GB2312" w:hAnsi="宋体" w:eastAsia="仿宋_GB2312"/>
          <w:kern w:val="0"/>
          <w:sz w:val="24"/>
        </w:rPr>
      </w:pPr>
      <w:r>
        <w:rPr>
          <w:rFonts w:hint="eastAsia" w:ascii="仿宋_GB2312" w:hAnsi="宋体" w:eastAsia="仿宋_GB2312"/>
          <w:kern w:val="0"/>
          <w:sz w:val="24"/>
        </w:rPr>
        <w:t>估值方法</w:t>
      </w:r>
    </w:p>
    <w:p>
      <w:pPr>
        <w:autoSpaceDE w:val="0"/>
        <w:autoSpaceDN w:val="0"/>
        <w:adjustRightInd w:val="0"/>
        <w:snapToGrid w:val="0"/>
        <w:spacing w:line="336" w:lineRule="auto"/>
        <w:ind w:left="480"/>
        <w:rPr>
          <w:rFonts w:ascii="仿宋_GB2312" w:hAnsi="宋体" w:eastAsia="仿宋_GB2312"/>
          <w:kern w:val="0"/>
          <w:sz w:val="24"/>
        </w:rPr>
      </w:pPr>
      <w:r>
        <w:rPr>
          <w:rFonts w:hint="eastAsia" w:ascii="仿宋_GB2312" w:hAnsi="宋体" w:eastAsia="仿宋_GB2312"/>
          <w:kern w:val="0"/>
          <w:sz w:val="24"/>
        </w:rPr>
        <w:t>（1）证券交易所上市的有价证券的估值</w:t>
      </w:r>
    </w:p>
    <w:p>
      <w:pPr>
        <w:autoSpaceDE w:val="0"/>
        <w:autoSpaceDN w:val="0"/>
        <w:adjustRightInd w:val="0"/>
        <w:snapToGrid w:val="0"/>
        <w:spacing w:line="336" w:lineRule="auto"/>
        <w:ind w:left="480"/>
        <w:rPr>
          <w:rFonts w:ascii="仿宋_GB2312" w:hAnsi="宋体" w:eastAsia="仿宋_GB2312"/>
          <w:kern w:val="0"/>
          <w:sz w:val="24"/>
        </w:rPr>
      </w:pPr>
      <w:r>
        <w:rPr>
          <w:rFonts w:hint="eastAsia" w:ascii="仿宋_GB2312" w:hAnsi="宋体" w:eastAsia="仿宋_GB2312"/>
          <w:kern w:val="0"/>
          <w:sz w:val="24"/>
        </w:rPr>
        <w:t>交易所上市实行净价交易的债券按估值日第三方估值机构提供的相应品种</w:t>
      </w:r>
    </w:p>
    <w:p>
      <w:pPr>
        <w:autoSpaceDE w:val="0"/>
        <w:autoSpaceDN w:val="0"/>
        <w:adjustRightInd w:val="0"/>
        <w:snapToGrid w:val="0"/>
        <w:spacing w:line="336" w:lineRule="auto"/>
        <w:rPr>
          <w:rFonts w:ascii="仿宋_GB2312" w:hAnsi="宋体" w:eastAsia="仿宋_GB2312"/>
          <w:kern w:val="0"/>
          <w:sz w:val="24"/>
        </w:rPr>
      </w:pPr>
      <w:r>
        <w:rPr>
          <w:rFonts w:hint="eastAsia" w:ascii="仿宋_GB2312" w:hAnsi="宋体" w:eastAsia="仿宋_GB2312"/>
          <w:kern w:val="0"/>
          <w:sz w:val="24"/>
        </w:rPr>
        <w:t>当日的估值净价进行估值，估值日没有交易的，且最近交易日后经济环境未发生重大变化，按最近交易日的收盘价估值。如最近交易日后经济环境发生了重大变化的或证券发行机构发生影响证券价格的重大事件，可参考类似投资品种的现行市价及重大变化因素，调整最近交易市价，确定公允价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交易所上市不存在活跃市场的有价证券，采用估值技术确定公允价值。交易所上市的资产支持证券，采用估值技术确定公允价值，在估值技术难以可靠计量公允价值的情况下，按成本估值。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（2）全国银行间债券市场交易的债券、资产支持证券等固定收益品种，采用第三方估值机构提供的价格数据进行估值。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同一债券同时在两个或两个以上市场交易的，按债券所处的市场分别估值。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（3）债券回购：持有的回购协议以成本列示，按商定利率在实际持有期间内逐日计提利息。</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（4）定期存款：以本金列示，按商定的存款利率在实际持有期间内逐日计提应收利息，在利息到账日以实收利息入账。</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（5）持有的货币市场基金，按估值日前一交易日基金管理公司披露的每万份收益计算。</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（6）银行存款以成本列示，每日按照约定利率计提利息</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（7）类固定收益债权类资产，按照成本列示，每日按照预期收益率计提收益。</w:t>
      </w:r>
    </w:p>
    <w:p>
      <w:pPr>
        <w:autoSpaceDE w:val="0"/>
        <w:autoSpaceDN w:val="0"/>
        <w:adjustRightInd w:val="0"/>
        <w:snapToGrid w:val="0"/>
        <w:spacing w:line="336" w:lineRule="auto"/>
        <w:ind w:left="480"/>
        <w:rPr>
          <w:rFonts w:ascii="仿宋_GB2312" w:hAnsi="宋体" w:eastAsia="仿宋_GB2312"/>
          <w:kern w:val="0"/>
          <w:sz w:val="24"/>
        </w:rPr>
      </w:pPr>
      <w:r>
        <w:rPr>
          <w:rFonts w:hint="eastAsia" w:ascii="仿宋_GB2312" w:hAnsi="宋体" w:eastAsia="仿宋_GB2312"/>
          <w:kern w:val="0"/>
          <w:sz w:val="24"/>
        </w:rPr>
        <w:t>（8）资管计划按照管理人公布的最新净值估值。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（9）相关法律法规以及监管部门有强制规定的，从其规定。如有新增事项或变更事项，依法按最新规定进行估值。没有相关规定的，由产品管理人与托管人协商确定估值方法。</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（10）如有确凿证据表明，按上述规定不能客观反映产品财产公允价值的，产品管理人可根据具体情况，在与保管人商议后，按最能反映产品公允价值的方法进行估值。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（11）如产品管理人或托管人发现估值方法违反相关法律法规的规定或者未能充分维护产品受益人利益时，应立即通知对方，共同查明原因，双方协商解决。</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2、暂停估值的情形</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（1）理财计划投资所涉及的交易市场遇法定节假日或因其他原因暂停营业时暂停估值，该种情况理财计划估值日期顺延到下一交易日；</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（2）因不可抗力或其他情形致使理财计划甲方、乙方无法准确评估资产价值时；</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（3）甲方、乙方有合理理由认为将影响本理财计划估值的其他情形发生。</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3、估值错误的处理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甲方和乙方将采取必要、适当、合理的措施确保理财计划估值的准确性、及时性。当理财计划份额收益率百分比小数点后4位以内(含4位)发生估值错误时，视为理财计划份额收益率错误。</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估值错误处理原则</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A、由于甲方或乙方自身的过错造成估值错误，导致投资者遭受损失的，由估值错误责任方按照过错程度各自对该估值错误导致投资者遭受的直接损失给予赔偿，承担赔偿责任。</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B、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C、按法律法规规定的其他原则处理估值错误。</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4、特殊情况的处理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由于不可抗力原因，或由于证券交易所、期货交易所、第三方估值机构、信托公司、基金公司等发送数据错误等非甲方和乙方原因，甲方和乙方虽然已经采取必要、适当、合理的措施进行检查，但未能发现错误的，由此造成的估值错误，甲方和乙方免除赔偿责任。但甲方、乙方应当积极采取必要的措施减轻或消除由此造成的影响。</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(2)前述内容如法律法规、监管机关另有规定的，或有关会计准则发生变化等，按照国家最新规定或甲方最新约定估值。如果行业另有通行做法，甲方和乙方本着平等和保护份额持有人利益的原则进行协商。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（三）估值程序：</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理财产品的日常估值由甲乙双方分别进行，在估值日当日核对完毕。对于核对不一致的结果，如经双方在平等基础上充分讨论后，仍无法达成一致，以甲方（或甲方指定的外包服务机构）对银行理财计划份额收益率（以下简称份额收益率）的计算结果为准，由于估值错误给投资者或理财资产造成的损失，乙方不承担责任。</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资产净值是指本理财产品资产总值减去负债后的价值，理财产品份额净值等于计算日资产净值除以计算日理财产品份额总额。各期理财产品份额净值的计算结果保留位数以</w:t>
      </w:r>
      <w:r>
        <w:rPr>
          <w:rFonts w:hint="eastAsia" w:ascii="仿宋_GB2312" w:hAnsi="宋体" w:eastAsia="仿宋_GB2312"/>
          <w:kern w:val="0"/>
          <w:sz w:val="24"/>
        </w:rPr>
        <w:t>各期本协议中</w:t>
      </w:r>
      <w:r>
        <w:rPr>
          <w:rFonts w:hint="eastAsia" w:ascii="仿宋_GB2312" w:hAnsi="宋体" w:eastAsia="仿宋_GB2312"/>
          <w:sz w:val="24"/>
        </w:rPr>
        <w:t>附件（四）</w:t>
      </w:r>
      <w:r>
        <w:rPr>
          <w:rFonts w:hint="eastAsia" w:ascii="仿宋_GB2312" w:hAnsi="宋体" w:eastAsia="仿宋_GB2312"/>
          <w:kern w:val="0"/>
          <w:sz w:val="24"/>
        </w:rPr>
        <w:t>“</w:t>
      </w:r>
      <w:r>
        <w:rPr>
          <w:rFonts w:hint="eastAsia" w:ascii="仿宋_GB2312" w:hAnsi="宋体" w:eastAsia="仿宋_GB2312"/>
          <w:sz w:val="24"/>
        </w:rPr>
        <w:t>产品要素表”中所列示为准。</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kern w:val="0"/>
          <w:sz w:val="24"/>
        </w:rPr>
        <w:t>（四）甲方为本理财产品的会计责任人。</w:t>
      </w:r>
    </w:p>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第六条</w:t>
      </w:r>
      <w:r>
        <w:rPr>
          <w:rFonts w:ascii="仿宋_GB2312" w:hAnsi="宋体" w:eastAsia="仿宋_GB2312"/>
          <w:b/>
          <w:bCs/>
          <w:sz w:val="24"/>
        </w:rPr>
        <w:t xml:space="preserve">  </w:t>
      </w:r>
      <w:r>
        <w:rPr>
          <w:rFonts w:hint="eastAsia" w:ascii="仿宋_GB2312" w:hAnsi="宋体" w:eastAsia="仿宋_GB2312"/>
          <w:b/>
          <w:bCs/>
          <w:sz w:val="24"/>
        </w:rPr>
        <w:t>甲方的权利与义务</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（一）甲方的权利</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1.有权按照本合同约定管理、运用和处分理财产品。</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ascii="仿宋_GB2312" w:hAnsi="宋体" w:eastAsia="仿宋_GB2312"/>
          <w:sz w:val="24"/>
        </w:rPr>
        <w:t>.</w:t>
      </w:r>
      <w:r>
        <w:rPr>
          <w:rFonts w:hint="eastAsia" w:ascii="仿宋_GB2312" w:hAnsi="宋体" w:eastAsia="仿宋_GB2312"/>
          <w:kern w:val="0"/>
          <w:sz w:val="24"/>
        </w:rPr>
        <w:t>根据本合同约定向乙方发出管理运用理财资金的指令。</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3</w:t>
      </w:r>
      <w:r>
        <w:rPr>
          <w:rFonts w:ascii="仿宋_GB2312" w:hAnsi="宋体" w:eastAsia="仿宋_GB2312"/>
          <w:sz w:val="24"/>
        </w:rPr>
        <w:t>.</w:t>
      </w:r>
      <w:r>
        <w:rPr>
          <w:rFonts w:hint="eastAsia" w:ascii="仿宋_GB2312" w:hAnsi="宋体" w:eastAsia="仿宋_GB2312"/>
          <w:kern w:val="0"/>
          <w:sz w:val="24"/>
        </w:rPr>
        <w:t>有权监督乙方本合同项下的托管行为</w:t>
      </w:r>
      <w:r>
        <w:rPr>
          <w:rFonts w:hint="eastAsia" w:ascii="仿宋_GB2312" w:hAnsi="宋体" w:eastAsia="仿宋_GB2312"/>
          <w:sz w:val="24"/>
        </w:rPr>
        <w:t>。</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4</w:t>
      </w:r>
      <w:r>
        <w:rPr>
          <w:rFonts w:ascii="仿宋_GB2312" w:hAnsi="宋体" w:eastAsia="仿宋_GB2312"/>
          <w:sz w:val="24"/>
        </w:rPr>
        <w:t>.</w:t>
      </w:r>
      <w:r>
        <w:rPr>
          <w:rFonts w:hint="eastAsia" w:ascii="仿宋_GB2312" w:hAnsi="宋体" w:eastAsia="仿宋_GB2312"/>
          <w:kern w:val="0"/>
          <w:sz w:val="24"/>
        </w:rPr>
        <w:t>本合同及法律法规规定的其他权利。</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（二）甲方的义务</w:t>
      </w:r>
    </w:p>
    <w:p>
      <w:pPr>
        <w:autoSpaceDE w:val="0"/>
        <w:autoSpaceDN w:val="0"/>
        <w:adjustRightInd w:val="0"/>
        <w:snapToGrid w:val="0"/>
        <w:spacing w:line="336" w:lineRule="auto"/>
        <w:ind w:firstLine="480" w:firstLineChars="200"/>
        <w:rPr>
          <w:rFonts w:ascii="仿宋_GB2312" w:hAnsi="宋体" w:eastAsia="仿宋_GB2312"/>
          <w:sz w:val="24"/>
        </w:rPr>
      </w:pPr>
      <w:r>
        <w:rPr>
          <w:rFonts w:ascii="仿宋_GB2312" w:hAnsi="宋体" w:eastAsia="仿宋_GB2312"/>
          <w:kern w:val="0"/>
          <w:sz w:val="24"/>
        </w:rPr>
        <w:t>1</w:t>
      </w:r>
      <w:r>
        <w:rPr>
          <w:rFonts w:ascii="仿宋_GB2312" w:hAnsi="宋体" w:eastAsia="仿宋_GB2312"/>
          <w:sz w:val="24"/>
        </w:rPr>
        <w:t>.办理本理财产品登记备案手续。</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sz w:val="24"/>
        </w:rPr>
        <w:t>2.</w:t>
      </w:r>
      <w:r>
        <w:rPr>
          <w:rFonts w:hint="eastAsia" w:ascii="仿宋_GB2312" w:hAnsi="宋体" w:eastAsia="仿宋_GB2312"/>
          <w:kern w:val="0"/>
          <w:sz w:val="24"/>
        </w:rPr>
        <w:t>按照本合同约定向乙方交付理财资金。</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3.真实、完整、准确地向乙方提供与理财</w:t>
      </w:r>
      <w:r>
        <w:rPr>
          <w:rFonts w:hint="eastAsia" w:ascii="仿宋_GB2312" w:hAnsi="宋体" w:eastAsia="仿宋_GB2312"/>
          <w:kern w:val="0"/>
          <w:sz w:val="24"/>
        </w:rPr>
        <w:t>产品投资有关的信息。</w:t>
      </w:r>
    </w:p>
    <w:p>
      <w:pPr>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4</w:t>
      </w:r>
      <w:r>
        <w:rPr>
          <w:rFonts w:ascii="仿宋_GB2312" w:hAnsi="宋体" w:eastAsia="仿宋_GB2312"/>
          <w:sz w:val="24"/>
        </w:rPr>
        <w:t>.</w:t>
      </w:r>
      <w:r>
        <w:rPr>
          <w:rFonts w:hint="eastAsia" w:ascii="仿宋_GB2312" w:hAnsi="宋体" w:eastAsia="仿宋_GB2312"/>
          <w:kern w:val="0"/>
          <w:sz w:val="24"/>
        </w:rPr>
        <w:t>按照本合同约定向乙方提供理财产品管理运用的相关指令、文件。</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kern w:val="0"/>
          <w:sz w:val="24"/>
        </w:rPr>
        <w:t>5</w:t>
      </w:r>
      <w:r>
        <w:rPr>
          <w:rFonts w:ascii="仿宋_GB2312" w:hAnsi="宋体" w:eastAsia="仿宋_GB2312"/>
          <w:sz w:val="24"/>
        </w:rPr>
        <w:t>.</w:t>
      </w:r>
      <w:r>
        <w:rPr>
          <w:rFonts w:hint="eastAsia" w:ascii="仿宋_GB2312" w:hAnsi="宋体" w:eastAsia="仿宋_GB2312"/>
          <w:kern w:val="0"/>
          <w:sz w:val="24"/>
        </w:rPr>
        <w:t>发生任何可能导致</w:t>
      </w:r>
      <w:r>
        <w:rPr>
          <w:rFonts w:hint="eastAsia" w:ascii="仿宋_GB2312" w:hAnsi="宋体" w:eastAsia="仿宋_GB2312"/>
          <w:sz w:val="24"/>
        </w:rPr>
        <w:t>理财产品</w:t>
      </w:r>
      <w:r>
        <w:rPr>
          <w:rFonts w:hint="eastAsia" w:ascii="仿宋_GB2312" w:hAnsi="宋体" w:eastAsia="仿宋_GB2312"/>
          <w:kern w:val="0"/>
          <w:sz w:val="24"/>
        </w:rPr>
        <w:t>业务性质或范围发生重大变化或直接影响托管业务的重大事项时，及时通知乙方。</w:t>
      </w:r>
    </w:p>
    <w:p>
      <w:pPr>
        <w:tabs>
          <w:tab w:val="left" w:pos="720"/>
        </w:tabs>
        <w:autoSpaceDE w:val="0"/>
        <w:autoSpaceDN w:val="0"/>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kern w:val="0"/>
          <w:sz w:val="24"/>
        </w:rPr>
        <w:t>在合法合规的前提下，对乙方开展托管业务提供必需的协助。</w:t>
      </w:r>
    </w:p>
    <w:p>
      <w:pPr>
        <w:tabs>
          <w:tab w:val="left" w:pos="720"/>
        </w:tabs>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7.根据有关法律法规和托管合同的约定，接受乙方的监督。</w:t>
      </w:r>
    </w:p>
    <w:p>
      <w:pPr>
        <w:tabs>
          <w:tab w:val="left" w:pos="720"/>
        </w:tabs>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8</w:t>
      </w:r>
      <w:r>
        <w:rPr>
          <w:rFonts w:ascii="仿宋_GB2312" w:hAnsi="宋体" w:eastAsia="仿宋_GB2312"/>
          <w:sz w:val="24"/>
        </w:rPr>
        <w:t>.</w:t>
      </w:r>
      <w:r>
        <w:rPr>
          <w:rFonts w:hint="eastAsia" w:ascii="仿宋_GB2312" w:hAnsi="宋体" w:eastAsia="仿宋_GB2312"/>
          <w:kern w:val="0"/>
          <w:sz w:val="24"/>
        </w:rPr>
        <w:t>按照本合同约定支付乙方托管费。</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9</w:t>
      </w:r>
      <w:r>
        <w:rPr>
          <w:rFonts w:ascii="仿宋_GB2312" w:hAnsi="宋体" w:eastAsia="仿宋_GB2312"/>
          <w:sz w:val="24"/>
        </w:rPr>
        <w:t>.</w:t>
      </w:r>
      <w:r>
        <w:rPr>
          <w:rFonts w:hint="eastAsia" w:ascii="仿宋_GB2312" w:hAnsi="宋体" w:eastAsia="仿宋_GB2312"/>
          <w:kern w:val="0"/>
          <w:sz w:val="24"/>
        </w:rPr>
        <w:t>因单方无正当理由解除本合同给</w:t>
      </w:r>
      <w:r>
        <w:rPr>
          <w:rFonts w:hint="eastAsia" w:ascii="仿宋_GB2312" w:hAnsi="宋体" w:eastAsia="仿宋_GB2312"/>
          <w:sz w:val="24"/>
        </w:rPr>
        <w:t>理财产品</w:t>
      </w:r>
      <w:r>
        <w:rPr>
          <w:rFonts w:hint="eastAsia" w:ascii="仿宋_GB2312" w:hAnsi="宋体" w:eastAsia="仿宋_GB2312"/>
          <w:kern w:val="0"/>
          <w:sz w:val="24"/>
        </w:rPr>
        <w:t>财产和乙方造成经济损失时，对</w:t>
      </w:r>
      <w:r>
        <w:rPr>
          <w:rFonts w:hint="eastAsia" w:ascii="仿宋_GB2312" w:hAnsi="宋体" w:eastAsia="仿宋_GB2312"/>
          <w:sz w:val="24"/>
        </w:rPr>
        <w:t>理财产品</w:t>
      </w:r>
      <w:r>
        <w:rPr>
          <w:rFonts w:hint="eastAsia" w:ascii="仿宋_GB2312" w:hAnsi="宋体" w:eastAsia="仿宋_GB2312"/>
          <w:kern w:val="0"/>
          <w:sz w:val="24"/>
        </w:rPr>
        <w:t>财产和乙方予以赔偿。</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10.按照有关规定，要求投资者提供与其身份、财产与收入状况、投资经验、风险认知与承受能力和投资偏好等相关的信息和资料，要求投资者积极配合完成（包括本合同签订前和履行过程中的）反洗钱调查等必要程序，并在上述文件和资料发生变更时，及时提交变更后的相关文件与资料；</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1</w:t>
      </w:r>
      <w:r>
        <w:rPr>
          <w:rFonts w:ascii="仿宋_GB2312" w:hAnsi="宋体" w:eastAsia="仿宋_GB2312"/>
          <w:sz w:val="24"/>
        </w:rPr>
        <w:t>.</w:t>
      </w:r>
      <w:r>
        <w:rPr>
          <w:rFonts w:hint="eastAsia" w:ascii="仿宋_GB2312" w:hAnsi="宋体" w:eastAsia="仿宋_GB2312"/>
          <w:kern w:val="0"/>
          <w:sz w:val="24"/>
        </w:rPr>
        <w:t>本合同及法律、法规、监管机构规定的其他义务。</w:t>
      </w:r>
    </w:p>
    <w:p>
      <w:pPr>
        <w:spacing w:line="336" w:lineRule="auto"/>
        <w:ind w:firstLine="482" w:firstLineChars="200"/>
        <w:rPr>
          <w:rFonts w:ascii="仿宋_GB2312" w:hAnsi="宋体" w:eastAsia="仿宋_GB2312"/>
          <w:b/>
          <w:bCs/>
          <w:kern w:val="0"/>
          <w:sz w:val="24"/>
        </w:rPr>
      </w:pPr>
      <w:r>
        <w:rPr>
          <w:rFonts w:hint="eastAsia" w:ascii="仿宋_GB2312" w:hAnsi="宋体" w:eastAsia="仿宋_GB2312"/>
          <w:b/>
          <w:bCs/>
          <w:kern w:val="0"/>
          <w:sz w:val="24"/>
        </w:rPr>
        <w:t>第七条</w:t>
      </w:r>
      <w:r>
        <w:rPr>
          <w:rFonts w:ascii="仿宋_GB2312" w:hAnsi="宋体" w:eastAsia="仿宋_GB2312"/>
          <w:b/>
          <w:bCs/>
          <w:kern w:val="0"/>
          <w:sz w:val="24"/>
        </w:rPr>
        <w:t xml:space="preserve">  </w:t>
      </w:r>
      <w:r>
        <w:rPr>
          <w:rFonts w:hint="eastAsia" w:ascii="仿宋_GB2312" w:hAnsi="宋体" w:eastAsia="仿宋_GB2312"/>
          <w:b/>
          <w:bCs/>
          <w:kern w:val="0"/>
          <w:sz w:val="24"/>
        </w:rPr>
        <w:t>乙方的权利与义务</w:t>
      </w:r>
    </w:p>
    <w:p>
      <w:pPr>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（一）乙方的权利</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1.根据本合同及法律法规规定</w:t>
      </w:r>
      <w:r>
        <w:rPr>
          <w:rFonts w:hint="eastAsia" w:ascii="仿宋_GB2312" w:hAnsi="宋体" w:eastAsia="仿宋_GB2312"/>
          <w:sz w:val="24"/>
        </w:rPr>
        <w:t>对甲方的</w:t>
      </w:r>
      <w:r>
        <w:rPr>
          <w:rFonts w:ascii="仿宋_GB2312" w:hAnsi="宋体" w:eastAsia="仿宋_GB2312"/>
          <w:sz w:val="24"/>
        </w:rPr>
        <w:t>投资运作</w:t>
      </w:r>
      <w:r>
        <w:rPr>
          <w:rFonts w:hint="eastAsia" w:ascii="仿宋_GB2312" w:hAnsi="宋体" w:eastAsia="仿宋_GB2312"/>
          <w:sz w:val="24"/>
        </w:rPr>
        <w:t>进行监督。</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2.向甲方查询理财产品的经营运作情况，从甲方及时获得本理财产品相关的数据和文件。</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3.按照本合同的约定收取托管费。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.法律、法规、</w:t>
      </w:r>
      <w:r>
        <w:rPr>
          <w:rFonts w:hint="eastAsia" w:ascii="仿宋_GB2312" w:hAnsi="宋体" w:eastAsia="仿宋_GB2312"/>
          <w:sz w:val="24"/>
        </w:rPr>
        <w:t>监管机构有关规定及本合同约定的其他权利。</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（二）乙方的义务</w:t>
      </w:r>
    </w:p>
    <w:p>
      <w:pPr>
        <w:pStyle w:val="6"/>
        <w:spacing w:line="336" w:lineRule="auto"/>
        <w:ind w:left="0" w:leftChars="0" w:firstLine="480" w:firstLineChars="200"/>
        <w:rPr>
          <w:rFonts w:ascii="仿宋_GB2312" w:hAnsi="宋体" w:eastAsia="仿宋_GB2312"/>
          <w:sz w:val="24"/>
        </w:rPr>
      </w:pPr>
      <w:r>
        <w:rPr>
          <w:rFonts w:ascii="仿宋_GB2312" w:hAnsi="宋体" w:eastAsia="仿宋_GB2312"/>
          <w:sz w:val="24"/>
        </w:rPr>
        <w:t>1.根据本合同</w:t>
      </w:r>
      <w:r>
        <w:rPr>
          <w:rFonts w:hint="eastAsia" w:ascii="仿宋_GB2312" w:hAnsi="宋体" w:eastAsia="仿宋_GB2312"/>
          <w:sz w:val="24"/>
        </w:rPr>
        <w:t>托管甲方管理的理财产品。</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2.执行甲方符合国家法律法规和本合同约定的理财资金管理运用指令，履行安全保管</w:t>
      </w:r>
      <w:r>
        <w:rPr>
          <w:rFonts w:hint="eastAsia" w:ascii="仿宋_GB2312" w:hAnsi="宋体" w:eastAsia="仿宋_GB2312"/>
          <w:sz w:val="24"/>
        </w:rPr>
        <w:t>理财产品，办理清算、交割事宜，</w:t>
      </w:r>
      <w:r>
        <w:rPr>
          <w:rFonts w:ascii="仿宋_GB2312" w:hAnsi="宋体" w:eastAsia="仿宋_GB2312"/>
          <w:sz w:val="24"/>
        </w:rPr>
        <w:t>监督</w:t>
      </w:r>
      <w:r>
        <w:rPr>
          <w:rFonts w:hint="eastAsia" w:ascii="仿宋_GB2312" w:hAnsi="宋体" w:eastAsia="仿宋_GB2312"/>
          <w:sz w:val="24"/>
        </w:rPr>
        <w:t>甲方</w:t>
      </w:r>
      <w:r>
        <w:rPr>
          <w:rFonts w:ascii="仿宋_GB2312" w:hAnsi="宋体" w:eastAsia="仿宋_GB2312"/>
          <w:sz w:val="24"/>
        </w:rPr>
        <w:t>投资行为</w:t>
      </w:r>
      <w:r>
        <w:rPr>
          <w:rFonts w:hint="eastAsia" w:ascii="仿宋_GB2312" w:hAnsi="宋体" w:eastAsia="仿宋_GB2312"/>
          <w:sz w:val="24"/>
        </w:rPr>
        <w:t>，核对理财资金交易记录、资金和财产账目，复核理财产品资产净值。</w:t>
      </w:r>
    </w:p>
    <w:p>
      <w:pPr>
        <w:adjustRightInd w:val="0"/>
        <w:snapToGrid w:val="0"/>
        <w:spacing w:line="336" w:lineRule="auto"/>
        <w:ind w:firstLine="480" w:firstLineChars="200"/>
        <w:rPr>
          <w:rFonts w:ascii="仿宋_GB2312" w:eastAsia="仿宋_GB2312"/>
          <w:sz w:val="24"/>
        </w:rPr>
      </w:pPr>
      <w:r>
        <w:rPr>
          <w:rFonts w:ascii="仿宋_GB2312" w:hAnsi="宋体" w:eastAsia="仿宋_GB2312"/>
          <w:sz w:val="24"/>
        </w:rPr>
        <w:t>3.</w:t>
      </w:r>
      <w:r>
        <w:rPr>
          <w:rFonts w:hint="eastAsia" w:ascii="仿宋_GB2312" w:eastAsia="仿宋_GB2312"/>
          <w:sz w:val="24"/>
        </w:rPr>
        <w:t>记录理财资金划拨情况。</w:t>
      </w:r>
    </w:p>
    <w:p>
      <w:pPr>
        <w:adjustRightInd w:val="0"/>
        <w:snapToGrid w:val="0"/>
        <w:spacing w:line="336" w:lineRule="auto"/>
        <w:ind w:firstLine="480" w:firstLineChars="200"/>
        <w:rPr>
          <w:rFonts w:ascii="仿宋_GB2312" w:hAnsi="宋体" w:eastAsia="仿宋_GB2312"/>
          <w:sz w:val="24"/>
        </w:rPr>
      </w:pPr>
      <w:r>
        <w:rPr>
          <w:rFonts w:ascii="仿宋_GB2312" w:eastAsia="仿宋_GB2312"/>
          <w:sz w:val="24"/>
        </w:rPr>
        <w:t>4</w:t>
      </w:r>
      <w:r>
        <w:rPr>
          <w:rFonts w:ascii="仿宋_GB2312" w:hAnsi="宋体" w:eastAsia="仿宋_GB2312"/>
          <w:sz w:val="24"/>
        </w:rPr>
        <w:t>.</w:t>
      </w:r>
      <w:r>
        <w:rPr>
          <w:rFonts w:hint="eastAsia" w:ascii="仿宋_GB2312" w:eastAsia="仿宋_GB2312"/>
          <w:sz w:val="24"/>
        </w:rPr>
        <w:t>合同终止时向甲方出具托管报告，说明托管合同履行的情况。</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5.</w:t>
      </w:r>
      <w:r>
        <w:rPr>
          <w:rFonts w:hint="eastAsia" w:ascii="仿宋_GB2312" w:eastAsia="仿宋_GB2312"/>
          <w:sz w:val="24"/>
        </w:rPr>
        <w:t>按本合同第八条约定对甲方相关业务进行监督和核查。</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6.</w:t>
      </w:r>
      <w:r>
        <w:rPr>
          <w:rFonts w:hint="eastAsia" w:ascii="仿宋_GB2312" w:eastAsia="仿宋_GB2312"/>
          <w:sz w:val="24"/>
        </w:rPr>
        <w:t>发现甲方违反法律法规和托管合同操作时，立即以书面形式通知甲方限期纠正，当出现重大违法违规或者发生严重影响</w:t>
      </w:r>
      <w:r>
        <w:rPr>
          <w:rFonts w:hint="eastAsia" w:ascii="仿宋_GB2312" w:hAnsi="宋体" w:eastAsia="仿宋_GB2312"/>
          <w:sz w:val="24"/>
        </w:rPr>
        <w:t>理财产品</w:t>
      </w:r>
      <w:r>
        <w:rPr>
          <w:rFonts w:hint="eastAsia" w:ascii="仿宋_GB2312" w:eastAsia="仿宋_GB2312"/>
          <w:sz w:val="24"/>
        </w:rPr>
        <w:t>财产安全的事件时，及时报告甲方住所地银保监局。</w:t>
      </w:r>
    </w:p>
    <w:p>
      <w:pPr>
        <w:adjustRightInd w:val="0"/>
        <w:snapToGrid w:val="0"/>
        <w:spacing w:line="336" w:lineRule="auto"/>
        <w:ind w:firstLine="480" w:firstLineChars="200"/>
        <w:rPr>
          <w:rFonts w:ascii="仿宋_GB2312" w:eastAsia="仿宋_GB2312"/>
          <w:sz w:val="24"/>
        </w:rPr>
      </w:pPr>
      <w:r>
        <w:rPr>
          <w:rFonts w:ascii="仿宋_GB2312" w:hAnsi="宋体" w:eastAsia="仿宋_GB2312"/>
          <w:sz w:val="24"/>
        </w:rPr>
        <w:t>7.因为单方无</w:t>
      </w:r>
      <w:r>
        <w:rPr>
          <w:rFonts w:hint="eastAsia" w:ascii="仿宋_GB2312" w:eastAsia="仿宋_GB2312"/>
          <w:sz w:val="24"/>
        </w:rPr>
        <w:t>正当</w:t>
      </w:r>
      <w:r>
        <w:rPr>
          <w:rFonts w:hint="eastAsia" w:ascii="仿宋_GB2312" w:hAnsi="宋体" w:eastAsia="仿宋_GB2312"/>
          <w:sz w:val="24"/>
        </w:rPr>
        <w:t>理由解除本合同给理财产品财产和甲方造成经济损失的，对委托人和甲方予以赔偿。</w:t>
      </w:r>
    </w:p>
    <w:p>
      <w:pPr>
        <w:adjustRightInd w:val="0"/>
        <w:snapToGrid w:val="0"/>
        <w:spacing w:line="336" w:lineRule="auto"/>
        <w:ind w:firstLine="480" w:firstLineChars="200"/>
        <w:rPr>
          <w:rFonts w:ascii="仿宋_GB2312" w:hAnsi="宋体" w:eastAsia="仿宋_GB2312"/>
          <w:b/>
          <w:bCs/>
          <w:kern w:val="0"/>
          <w:sz w:val="24"/>
        </w:rPr>
      </w:pPr>
      <w:r>
        <w:rPr>
          <w:rFonts w:ascii="仿宋_GB2312" w:hAnsi="宋体" w:eastAsia="仿宋_GB2312"/>
          <w:sz w:val="24"/>
        </w:rPr>
        <w:t>8.国家有关法律法规、监管机构规定的其他义务。</w:t>
      </w:r>
    </w:p>
    <w:p>
      <w:pPr>
        <w:autoSpaceDE w:val="0"/>
        <w:autoSpaceDN w:val="0"/>
        <w:adjustRightInd w:val="0"/>
        <w:snapToGrid w:val="0"/>
        <w:spacing w:line="336" w:lineRule="auto"/>
        <w:ind w:firstLine="482" w:firstLineChars="200"/>
        <w:rPr>
          <w:rFonts w:ascii="仿宋_GB2312" w:hAnsi="宋体" w:eastAsia="仿宋_GB2312"/>
          <w:b/>
          <w:bCs/>
          <w:kern w:val="0"/>
          <w:sz w:val="24"/>
        </w:rPr>
      </w:pPr>
      <w:r>
        <w:rPr>
          <w:rFonts w:hint="eastAsia" w:ascii="仿宋_GB2312" w:hAnsi="宋体" w:eastAsia="仿宋_GB2312"/>
          <w:b/>
          <w:bCs/>
          <w:kern w:val="0"/>
          <w:sz w:val="24"/>
        </w:rPr>
        <w:t>第八条</w:t>
      </w:r>
      <w:r>
        <w:rPr>
          <w:rFonts w:ascii="仿宋_GB2312" w:hAnsi="宋体" w:eastAsia="仿宋_GB2312"/>
          <w:b/>
          <w:bCs/>
          <w:kern w:val="0"/>
          <w:sz w:val="24"/>
        </w:rPr>
        <w:t xml:space="preserve">  </w:t>
      </w:r>
      <w:r>
        <w:rPr>
          <w:rFonts w:hint="eastAsia" w:ascii="仿宋_GB2312" w:hAnsi="宋体" w:eastAsia="仿宋_GB2312"/>
          <w:b/>
          <w:bCs/>
          <w:kern w:val="0"/>
          <w:sz w:val="24"/>
        </w:rPr>
        <w:t>乙方对甲方相关业务的监督与核查</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甲方应确保甲方理财产品在客户选择、报备手续等方面符合《关于规范金融机构资产管理业务的指导意见》、《</w:t>
      </w:r>
      <w:r>
        <w:rPr>
          <w:rFonts w:hint="eastAsia" w:ascii="仿宋_GB2312" w:hAnsi="宋体" w:eastAsia="仿宋_GB2312"/>
          <w:sz w:val="24"/>
          <w:lang w:eastAsia="zh-CN"/>
        </w:rPr>
        <w:t>商业银行理财业务监督管理办法</w:t>
      </w:r>
      <w:r>
        <w:rPr>
          <w:rFonts w:hint="eastAsia" w:ascii="仿宋_GB2312" w:hAnsi="宋体" w:eastAsia="仿宋_GB2312"/>
          <w:sz w:val="24"/>
        </w:rPr>
        <w:t>》等法律法规的规定，履行了相关的手续，保证产品的合法合规性。</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甲方应确保在管理理财产品的过程中，在投资方和信息披露方面符合《关于规范金融机构资产管理业务的指导意见》、《</w:t>
      </w:r>
      <w:r>
        <w:rPr>
          <w:rFonts w:hint="eastAsia" w:ascii="仿宋_GB2312" w:hAnsi="宋体" w:eastAsia="仿宋_GB2312"/>
          <w:sz w:val="24"/>
          <w:lang w:eastAsia="zh-CN"/>
        </w:rPr>
        <w:t>商业银行理财业务监督管理办法</w:t>
      </w:r>
      <w:r>
        <w:rPr>
          <w:rFonts w:hint="eastAsia" w:ascii="仿宋_GB2312" w:hAnsi="宋体" w:eastAsia="仿宋_GB2312"/>
          <w:sz w:val="24"/>
        </w:rPr>
        <w:t>》等法律法规，不得投资相关法律法规禁止投资的产品。</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（三）乙方根据法律法规及本合同的规定，对甲方在理财资金管理运用进行监督与核查。</w:t>
      </w:r>
    </w:p>
    <w:p>
      <w:pPr>
        <w:autoSpaceDE w:val="0"/>
        <w:autoSpaceDN w:val="0"/>
        <w:adjustRightInd w:val="0"/>
        <w:snapToGrid w:val="0"/>
        <w:spacing w:line="336" w:lineRule="auto"/>
        <w:ind w:firstLine="480" w:firstLineChars="200"/>
        <w:rPr>
          <w:rFonts w:ascii="Calibri" w:hAnsi="Calibri" w:eastAsia="仿宋_GB2312"/>
          <w:sz w:val="24"/>
        </w:rPr>
      </w:pPr>
      <w:r>
        <w:rPr>
          <w:rFonts w:hint="eastAsia" w:ascii="仿宋_GB2312" w:hAnsi="宋体" w:eastAsia="仿宋_GB2312"/>
          <w:sz w:val="24"/>
        </w:rPr>
        <w:t>乙方对甲方管理的理财产品投资不做穿透监督，即乙方只对于乙方所托管的理财产品层级的投资范围进行监督，不穿透对理财产品投资的资产管理计划的投资资产的监督。如因甲方穿透后投资比例超过本合同和法律法规的比例而造成理财产品损失的</w:t>
      </w:r>
      <w:r>
        <w:rPr>
          <w:rFonts w:ascii="仿宋_GB2312" w:hAnsi="宋体" w:eastAsia="仿宋_GB2312"/>
          <w:sz w:val="24"/>
        </w:rPr>
        <w:t>,乙方不承担责任</w:t>
      </w:r>
      <w:r>
        <w:rPr>
          <w:rFonts w:hint="eastAsia" w:ascii="Calibri" w:hAnsi="Calibri" w:eastAsia="仿宋_GB2312"/>
          <w:sz w:val="24"/>
        </w:rPr>
        <w:t>。</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1.本协议项下相关各期理财产品财产的管理方式、运用范围及投资监督事项以本协议中各期“产品要素表”（附件四）中所约定为准。</w:t>
      </w:r>
    </w:p>
    <w:p>
      <w:pPr>
        <w:autoSpaceDE w:val="0"/>
        <w:autoSpaceDN w:val="0"/>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kern w:val="0"/>
          <w:sz w:val="24"/>
        </w:rPr>
        <w:t>乙方审核甲方划款指令的资金用途是否符合</w:t>
      </w:r>
      <w:r>
        <w:rPr>
          <w:rFonts w:hint="eastAsia" w:ascii="仿宋_GB2312" w:hAnsi="宋体" w:eastAsia="仿宋_GB2312"/>
          <w:sz w:val="24"/>
        </w:rPr>
        <w:t>“产品要素表”（附件四）中</w:t>
      </w:r>
      <w:r>
        <w:rPr>
          <w:rFonts w:hint="eastAsia" w:ascii="仿宋_GB2312" w:hAnsi="宋体" w:eastAsia="仿宋_GB2312"/>
          <w:kern w:val="0"/>
          <w:sz w:val="24"/>
        </w:rPr>
        <w:t>规定。对于不符合</w:t>
      </w:r>
      <w:r>
        <w:rPr>
          <w:rFonts w:hint="eastAsia" w:ascii="仿宋_GB2312" w:hAnsi="宋体" w:eastAsia="仿宋_GB2312"/>
          <w:sz w:val="24"/>
        </w:rPr>
        <w:t>理财产品文件和本合同约定的指令，乙方有权拒绝执行，并及时书面通知甲方改正。</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3.乙方不对理财产品资金划付后的使用过程承担监督与核查的职责。</w:t>
      </w:r>
    </w:p>
    <w:p>
      <w:pPr>
        <w:autoSpaceDE w:val="0"/>
        <w:autoSpaceDN w:val="0"/>
        <w:adjustRightInd w:val="0"/>
        <w:snapToGrid w:val="0"/>
        <w:spacing w:line="336" w:lineRule="auto"/>
        <w:ind w:firstLine="482" w:firstLineChars="200"/>
        <w:rPr>
          <w:rFonts w:ascii="仿宋_GB2312" w:hAnsi="宋体" w:eastAsia="仿宋_GB2312"/>
          <w:b/>
          <w:bCs/>
          <w:kern w:val="0"/>
          <w:sz w:val="24"/>
        </w:rPr>
      </w:pPr>
      <w:r>
        <w:rPr>
          <w:rFonts w:hint="eastAsia" w:ascii="仿宋_GB2312" w:hAnsi="宋体" w:eastAsia="仿宋_GB2312"/>
          <w:b/>
          <w:bCs/>
          <w:kern w:val="0"/>
          <w:sz w:val="24"/>
        </w:rPr>
        <w:t>第九条</w:t>
      </w:r>
      <w:r>
        <w:rPr>
          <w:rFonts w:ascii="仿宋_GB2312" w:hAnsi="宋体" w:eastAsia="仿宋_GB2312"/>
          <w:b/>
          <w:bCs/>
          <w:kern w:val="0"/>
          <w:sz w:val="24"/>
        </w:rPr>
        <w:t xml:space="preserve">  </w:t>
      </w:r>
      <w:r>
        <w:rPr>
          <w:rFonts w:hint="eastAsia" w:ascii="仿宋_GB2312" w:hAnsi="宋体" w:eastAsia="仿宋_GB2312"/>
          <w:b/>
          <w:bCs/>
          <w:kern w:val="0"/>
          <w:sz w:val="24"/>
        </w:rPr>
        <w:t>托管报告</w:t>
      </w:r>
    </w:p>
    <w:p>
      <w:pPr>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乙方应于产品终止后</w:t>
      </w:r>
      <w:r>
        <w:rPr>
          <w:rFonts w:ascii="仿宋_GB2312" w:hAnsi="宋体" w:eastAsia="仿宋_GB2312"/>
          <w:sz w:val="24"/>
        </w:rPr>
        <w:t>2个工作日内向甲方</w:t>
      </w:r>
      <w:r>
        <w:rPr>
          <w:rFonts w:hint="eastAsia" w:ascii="仿宋_GB2312" w:hAnsi="宋体" w:eastAsia="仿宋_GB2312"/>
          <w:kern w:val="0"/>
          <w:sz w:val="24"/>
        </w:rPr>
        <w:t>提供</w:t>
      </w:r>
      <w:r>
        <w:rPr>
          <w:rFonts w:hint="eastAsia" w:ascii="仿宋_GB2312" w:hAnsi="宋体" w:eastAsia="仿宋_GB2312"/>
          <w:kern w:val="0"/>
          <w:sz w:val="24"/>
          <w:highlight w:val="none"/>
        </w:rPr>
        <w:t>托管报告</w:t>
      </w:r>
      <w:r>
        <w:rPr>
          <w:rFonts w:hint="eastAsia" w:ascii="仿宋_GB2312" w:hAnsi="宋体" w:eastAsia="仿宋_GB2312"/>
          <w:kern w:val="0"/>
          <w:sz w:val="24"/>
        </w:rPr>
        <w:t>。</w:t>
      </w:r>
    </w:p>
    <w:p>
      <w:pPr>
        <w:spacing w:line="336" w:lineRule="auto"/>
        <w:ind w:firstLine="482" w:firstLineChars="200"/>
        <w:rPr>
          <w:rFonts w:ascii="楷体_GB2312" w:hAnsi="宋体" w:eastAsia="楷体_GB2312"/>
          <w:sz w:val="24"/>
        </w:rPr>
      </w:pPr>
      <w:r>
        <w:rPr>
          <w:rFonts w:hint="eastAsia" w:ascii="仿宋_GB2312" w:hAnsi="宋体" w:eastAsia="仿宋_GB2312"/>
          <w:b/>
          <w:bCs/>
          <w:kern w:val="0"/>
          <w:sz w:val="24"/>
        </w:rPr>
        <w:t>第十条</w:t>
      </w:r>
      <w:r>
        <w:rPr>
          <w:rFonts w:ascii="仿宋_GB2312" w:hAnsi="宋体" w:eastAsia="仿宋_GB2312"/>
          <w:b/>
          <w:bCs/>
          <w:kern w:val="0"/>
          <w:sz w:val="24"/>
        </w:rPr>
        <w:t xml:space="preserve"> </w:t>
      </w:r>
      <w:r>
        <w:rPr>
          <w:rFonts w:hint="eastAsia" w:ascii="仿宋_GB2312" w:hAnsi="宋体" w:eastAsia="仿宋_GB2312"/>
          <w:b/>
          <w:bCs/>
          <w:kern w:val="0"/>
          <w:sz w:val="24"/>
        </w:rPr>
        <w:t xml:space="preserve"> 费用与税收</w:t>
      </w:r>
      <w:r>
        <w:rPr>
          <w:rFonts w:ascii="仿宋_GB2312" w:hAnsi="宋体" w:eastAsia="仿宋_GB2312"/>
          <w:b/>
          <w:bCs/>
          <w:kern w:val="0"/>
          <w:sz w:val="24"/>
        </w:rPr>
        <w:t>:</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（一）资产管理业务费用的种类</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1、理财产品管理人的管理费。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2、理财产品托管人的托管费。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3、理财产品代理销售机构的客户服务费。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4、理财产品依据本合同收取的业绩报酬。</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5、理财产品外包服务商的外包服务费。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6、理财产品相关账户开立及维护费用。</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7、理财产品的证券交易费用。</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8、理财产品备案确认合同生效后与之相关的会计师费和律师费。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9、理财产品财产的银行汇划费用。</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10、按照国家有关规定和本合同约定，可以在计划资产中列支的其他费用。</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具体费用计收方式</w:t>
      </w:r>
      <w:r>
        <w:rPr>
          <w:rFonts w:hint="eastAsia" w:ascii="仿宋_GB2312" w:hAnsi="宋体" w:eastAsia="仿宋_GB2312"/>
          <w:b/>
          <w:kern w:val="0"/>
          <w:sz w:val="24"/>
        </w:rPr>
        <w:t>以各期“</w:t>
      </w:r>
      <w:r>
        <w:rPr>
          <w:rFonts w:hint="eastAsia" w:ascii="仿宋_GB2312" w:hAnsi="宋体" w:eastAsia="仿宋_GB2312"/>
          <w:b/>
          <w:sz w:val="24"/>
        </w:rPr>
        <w:t>附件（四）产品要素表”中所约定为准。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（二）费用调整</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理财产品各方协商一致，可根据市场发展情况以书面形式调整管理费、托管费、代销服务费、外包服务费等相关理财产品费用、费率标准。具体费用调整书面表达形式以合同变更条款为准。</w:t>
      </w:r>
    </w:p>
    <w:p>
      <w:pPr>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甲方</w:t>
      </w:r>
      <w:r>
        <w:rPr>
          <w:rFonts w:ascii="仿宋_GB2312" w:hAnsi="宋体" w:eastAsia="仿宋_GB2312"/>
          <w:b/>
          <w:sz w:val="24"/>
        </w:rPr>
        <w:t>根据国家法律法规的规定，履行纳税义务。</w:t>
      </w:r>
    </w:p>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第十一条</w:t>
      </w:r>
      <w:r>
        <w:rPr>
          <w:rFonts w:ascii="仿宋_GB2312" w:hAnsi="宋体" w:eastAsia="仿宋_GB2312"/>
          <w:b/>
          <w:bCs/>
          <w:sz w:val="24"/>
        </w:rPr>
        <w:t xml:space="preserve">  </w:t>
      </w:r>
      <w:r>
        <w:rPr>
          <w:rFonts w:hint="eastAsia" w:ascii="仿宋_GB2312" w:hAnsi="宋体" w:eastAsia="仿宋_GB2312"/>
          <w:b/>
          <w:bCs/>
          <w:sz w:val="24"/>
        </w:rPr>
        <w:t>理财产品清算</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本系列项下相关各期理财产品终止时，乙方根据甲方指令将理财资金划至乙方收到理财资金的付款账户或甲方指定的同名账户，由甲方发送加盖公章或本协议预留印鉴的账户确认书确认账户信息。如提前终止，甲方应在</w:t>
      </w:r>
      <w:r>
        <w:rPr>
          <w:rFonts w:ascii="仿宋_GB2312" w:hAnsi="宋体" w:eastAsia="仿宋_GB2312"/>
          <w:sz w:val="24"/>
        </w:rPr>
        <w:t>3个工作日内书面通知乙方，并提供相关证明文件。</w:t>
      </w:r>
    </w:p>
    <w:p>
      <w:pPr>
        <w:adjustRightInd w:val="0"/>
        <w:snapToGrid w:val="0"/>
        <w:spacing w:line="336" w:lineRule="auto"/>
        <w:ind w:firstLine="480" w:firstLineChars="200"/>
        <w:rPr>
          <w:rFonts w:ascii="仿宋_GB2312" w:hAnsi="宋体" w:eastAsia="仿宋_GB2312"/>
          <w:b/>
          <w:bCs/>
          <w:sz w:val="24"/>
        </w:rPr>
      </w:pPr>
      <w:r>
        <w:rPr>
          <w:rFonts w:ascii="仿宋_GB2312" w:hAnsi="宋体" w:eastAsia="仿宋_GB2312"/>
          <w:sz w:val="24"/>
        </w:rPr>
        <w:t>2.</w:t>
      </w:r>
      <w:r>
        <w:rPr>
          <w:rFonts w:hint="eastAsia" w:ascii="仿宋_GB2312" w:hAnsi="宋体" w:eastAsia="仿宋_GB2312"/>
          <w:sz w:val="24"/>
        </w:rPr>
        <w:t>本系列项下相关某期</w:t>
      </w:r>
      <w:r>
        <w:rPr>
          <w:rFonts w:ascii="仿宋_GB2312" w:hAnsi="宋体" w:eastAsia="仿宋_GB2312"/>
          <w:sz w:val="24"/>
        </w:rPr>
        <w:t>理财产品终止后，乙方</w:t>
      </w:r>
      <w:r>
        <w:rPr>
          <w:rFonts w:hint="eastAsia" w:ascii="仿宋_GB2312" w:hAnsi="宋体" w:eastAsia="仿宋_GB2312"/>
          <w:sz w:val="24"/>
        </w:rPr>
        <w:t>对该期</w:t>
      </w:r>
      <w:r>
        <w:rPr>
          <w:rFonts w:ascii="仿宋_GB2312" w:hAnsi="宋体" w:eastAsia="仿宋_GB2312"/>
          <w:sz w:val="24"/>
        </w:rPr>
        <w:t>的托管职责随之终止。</w:t>
      </w:r>
    </w:p>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第十二条</w:t>
      </w:r>
      <w:r>
        <w:rPr>
          <w:rFonts w:ascii="仿宋_GB2312" w:hAnsi="宋体" w:eastAsia="仿宋_GB2312"/>
          <w:b/>
          <w:bCs/>
          <w:sz w:val="24"/>
        </w:rPr>
        <w:t xml:space="preserve">  </w:t>
      </w:r>
      <w:r>
        <w:rPr>
          <w:rFonts w:hint="eastAsia" w:ascii="仿宋_GB2312" w:hAnsi="宋体" w:eastAsia="仿宋_GB2312"/>
          <w:b/>
          <w:bCs/>
          <w:sz w:val="24"/>
        </w:rPr>
        <w:t>保密条款</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乙双方在此承诺：对于因本合同约定的托管事宜而获得的对方的有关经营信息、与托管事务有关的资产处置等信息、以及与本合同托管事宜有关的所有其他信息严格保密，并责成因履行本合同而知悉上述信息的人员以及其他任何有可能接触到上述信息的人员保守秘密。未经一方书面事先同意，另一方不得向任何第三方披露上述信息，但国家有关法律法规规定或国家权力机关要求披露的除外。</w:t>
      </w:r>
    </w:p>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第十三条</w:t>
      </w:r>
      <w:r>
        <w:rPr>
          <w:rFonts w:ascii="仿宋_GB2312" w:hAnsi="宋体" w:eastAsia="仿宋_GB2312"/>
          <w:b/>
          <w:bCs/>
          <w:sz w:val="24"/>
        </w:rPr>
        <w:t xml:space="preserve">  </w:t>
      </w:r>
      <w:r>
        <w:rPr>
          <w:rFonts w:hint="eastAsia" w:ascii="仿宋_GB2312" w:hAnsi="宋体" w:eastAsia="仿宋_GB2312"/>
          <w:b/>
          <w:bCs/>
          <w:sz w:val="24"/>
        </w:rPr>
        <w:t>合同的生效与终止</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（一）本合同经甲乙双方法定代表人、负责人或其授权代理人签字\签章、加盖公章或合同专用章且本系列理财产品项下对应期理财全部理财资金转入本合同项下托管账户后生效。</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（二）本合同随本系列项下全部各理财产品终止而终止。</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（三）管理人变更的，乙方有权单方解除本合同，或选择与新任管理人签署新的托管合同。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（四）本合同终止后，有关保密责任、违约责任、争议解决的约定继续有效。</w:t>
      </w:r>
    </w:p>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第十四条  合同的变更</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本合同中如不涉及损害理财投资者利益的相关内容，可由理财产品管理人与托管人协商一致后，以补充协议、备忘录、变更说明、公告等形式确定变更内容。同时，理财产品的相关变更说明，可由甲、乙双方加盖预留印鉴为准。</w:t>
      </w:r>
    </w:p>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第十五条</w:t>
      </w:r>
      <w:r>
        <w:rPr>
          <w:rFonts w:ascii="仿宋_GB2312" w:hAnsi="宋体" w:eastAsia="仿宋_GB2312"/>
          <w:b/>
          <w:bCs/>
          <w:sz w:val="24"/>
        </w:rPr>
        <w:t xml:space="preserve">  </w:t>
      </w:r>
      <w:r>
        <w:rPr>
          <w:rFonts w:hint="eastAsia" w:ascii="仿宋_GB2312" w:hAnsi="宋体" w:eastAsia="仿宋_GB2312"/>
          <w:b/>
          <w:bCs/>
          <w:sz w:val="24"/>
        </w:rPr>
        <w:t>违约责任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（一）一方当事人未履行或者未完全履行本托管合同的，由违约的一方承担违约责任；如双方当事人均有违约情形，根据实际情况，由双方当事人分别承担各自应负的违约责任。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（二）当事人违约，给另一方当事人造成损失的，应就直接损失进行赔偿；给理财产品财产造成损失的，应就直接损失进行赔偿。但是发生下列情况，当事人可以免责。</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1.不可抗力；</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2.甲方及乙方按照当时有效的法律、法规或</w:t>
      </w:r>
      <w:r>
        <w:rPr>
          <w:rFonts w:hint="eastAsia" w:ascii="仿宋_GB2312" w:hAnsi="宋体" w:eastAsia="仿宋_GB2312"/>
          <w:sz w:val="24"/>
        </w:rPr>
        <w:t>监管机构的规定作为或不作为而造成的损失等；</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3.在没有过错或重大过失的情况下，乙方执行甲方的生效理财产品财产运用指令对理财产品项下财产造成的损失。</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4.甲方应保证其向乙方提供的有关凭证、合同等文件（含复印件）和数据的真实性。乙方不负责对其真实性进行审核。所有收到的由甲方提供的上述复印件，乙方即认为其有效，如因甲方提供的有关凭证、合同的复印件和数据有误，由此给本合同其他方或理财产品财产造成损失的，由甲方承担责任。</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5、非因</w:t>
      </w:r>
      <w:r>
        <w:rPr>
          <w:rFonts w:hint="eastAsia" w:ascii="仿宋_GB2312" w:hAnsi="宋体" w:eastAsia="仿宋_GB2312"/>
          <w:sz w:val="24"/>
        </w:rPr>
        <w:t>甲、乙双方故意或重大过失造成的计算机系统故障、网络故障、通讯故障、电力故障、计算机病毒攻击及其它意外事故，所导致的损失等。</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6.本合同规定的其他可免责的事项。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（三）违约行为虽已发生，但本托管合同能够继续履行的，在最大限度地保护理财产品持有人利益的前提下，甲方和乙方应当继续履行本合同。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（四）一方仅依据本合同约定的职责范围承担相应责任，而不因自身职责以外的事由与另一方对外承担连带赔偿责任。</w:t>
      </w:r>
      <w:bookmarkStart w:id="2" w:name="_Toc65293454"/>
      <w:bookmarkStart w:id="3" w:name="_Toc33600714"/>
    </w:p>
    <w:bookmarkEnd w:id="2"/>
    <w:bookmarkEnd w:id="3"/>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第十六条</w:t>
      </w:r>
      <w:r>
        <w:rPr>
          <w:rFonts w:ascii="仿宋_GB2312" w:hAnsi="宋体" w:eastAsia="仿宋_GB2312"/>
          <w:b/>
          <w:bCs/>
          <w:sz w:val="24"/>
        </w:rPr>
        <w:t xml:space="preserve">  </w:t>
      </w:r>
      <w:r>
        <w:rPr>
          <w:rFonts w:hint="eastAsia" w:ascii="仿宋_GB2312" w:hAnsi="宋体" w:eastAsia="仿宋_GB2312"/>
          <w:b/>
          <w:bCs/>
          <w:sz w:val="24"/>
        </w:rPr>
        <w:t>争议解决</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对由于本合同引起或与本合同有关的任何争议，甲、乙双方应通过友好协商解决。如果该争议在发生后</w:t>
      </w:r>
      <w:r>
        <w:rPr>
          <w:rFonts w:ascii="仿宋_GB2312" w:hAnsi="宋体" w:eastAsia="仿宋_GB2312"/>
          <w:sz w:val="24"/>
        </w:rPr>
        <w:t>60天内未能得到协商解决，则任何一方均有权将争议提交</w:t>
      </w:r>
      <w:r>
        <w:rPr>
          <w:rFonts w:hint="eastAsia" w:ascii="仿宋_GB2312" w:hAnsi="宋体" w:eastAsia="仿宋_GB2312"/>
          <w:sz w:val="24"/>
        </w:rPr>
        <w:t>甲方所在地有管辖权的人民法院诉讼。仲裁裁决是终局性的，对各方均有约束力。除非法院判决另有规定，各方为诉讼而实际支付的费用（包括但不限于诉讼费和律师费）由败诉方承担。</w:t>
      </w:r>
    </w:p>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第十七条</w:t>
      </w:r>
      <w:r>
        <w:rPr>
          <w:rFonts w:ascii="仿宋_GB2312" w:hAnsi="宋体" w:eastAsia="仿宋_GB2312"/>
          <w:b/>
          <w:bCs/>
          <w:sz w:val="24"/>
        </w:rPr>
        <w:t xml:space="preserve">  </w:t>
      </w:r>
      <w:r>
        <w:rPr>
          <w:rFonts w:hint="eastAsia" w:ascii="仿宋_GB2312" w:hAnsi="宋体" w:eastAsia="仿宋_GB2312"/>
          <w:b/>
          <w:bCs/>
          <w:sz w:val="24"/>
        </w:rPr>
        <w:t>其他条款</w:t>
      </w:r>
    </w:p>
    <w:p>
      <w:pPr>
        <w:spacing w:line="336" w:lineRule="auto"/>
        <w:ind w:firstLine="420" w:firstLineChars="200"/>
        <w:rPr>
          <w:rFonts w:ascii="仿宋_GB2312" w:hAnsi="宋体" w:eastAsia="仿宋_GB2312"/>
          <w:sz w:val="24"/>
        </w:rPr>
      </w:pPr>
      <w:r>
        <w:rPr>
          <w:rFonts w:hint="eastAsia"/>
        </w:rPr>
        <w:t>（一）</w:t>
      </w:r>
      <w:r>
        <w:rPr>
          <w:rFonts w:hint="eastAsia" w:ascii="仿宋_GB2312" w:hAnsi="宋体" w:eastAsia="仿宋_GB2312"/>
          <w:sz w:val="24"/>
        </w:rPr>
        <w:t>本合同构成理财合同不可分割的一部分。任何有关理财产品托管事宜的规定以本合同的约定为准。</w:t>
      </w:r>
    </w:p>
    <w:p>
      <w:pPr>
        <w:pStyle w:val="5"/>
        <w:spacing w:line="336" w:lineRule="auto"/>
      </w:pPr>
      <w:r>
        <w:rPr>
          <w:rFonts w:hint="eastAsia"/>
        </w:rPr>
        <w:t>（二）甲、乙双方保证在本合同下提供给对方的一切资料均为真实、完整、准确、合法，没有任何重大遗漏或误导。</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（三）非经甲、乙双方书面同意，本合同不得修改。如果在本合同有效期内出现影响或限制本合同履行的法律、法规及政策，甲、乙双方应立即对本合同进行协商和修改，并由甲方按规定向理财产品投资人披露。</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（四）本合同一式四份，每方各执两份，每份具有同等的法律效力。</w:t>
      </w:r>
    </w:p>
    <w:p>
      <w:pPr>
        <w:adjustRightInd w:val="0"/>
        <w:snapToGrid w:val="0"/>
        <w:spacing w:line="336" w:lineRule="auto"/>
        <w:ind w:firstLine="482" w:firstLineChars="200"/>
        <w:rPr>
          <w:rFonts w:ascii="仿宋_GB2312" w:hAnsi="宋体" w:eastAsia="仿宋_GB2312"/>
          <w:b/>
          <w:sz w:val="24"/>
        </w:rPr>
      </w:pPr>
    </w:p>
    <w:p>
      <w:pPr>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（以下无正文）</w:t>
      </w:r>
    </w:p>
    <w:p>
      <w:pPr>
        <w:widowControl/>
        <w:jc w:val="left"/>
        <w:rPr>
          <w:rFonts w:ascii="仿宋_GB2312" w:hAnsi="宋体" w:eastAsia="仿宋_GB2312"/>
          <w:b/>
          <w:sz w:val="24"/>
        </w:rPr>
      </w:pPr>
      <w:r>
        <w:rPr>
          <w:rFonts w:ascii="仿宋_GB2312" w:hAnsi="宋体" w:eastAsia="仿宋_GB2312"/>
          <w:b/>
          <w:sz w:val="24"/>
        </w:rPr>
        <w:br w:type="page"/>
      </w:r>
      <w:r>
        <w:rPr>
          <w:rFonts w:hint="eastAsia" w:ascii="仿宋_GB2312" w:hAnsi="宋体" w:eastAsia="仿宋_GB2312"/>
          <w:b/>
          <w:sz w:val="24"/>
        </w:rPr>
        <w:t>（本页为《</w:t>
      </w:r>
      <w:r>
        <w:rPr>
          <w:rFonts w:hint="eastAsia" w:ascii="仿宋_GB2312" w:hAnsi="宋体" w:eastAsia="仿宋_GB2312"/>
          <w:b/>
          <w:sz w:val="24"/>
          <w:lang w:eastAsia="zh-CN"/>
        </w:rPr>
        <w:t>阜新</w:t>
      </w:r>
      <w:r>
        <w:rPr>
          <w:rFonts w:hint="eastAsia" w:ascii="仿宋_GB2312" w:hAnsi="宋体" w:eastAsia="仿宋_GB2312"/>
          <w:b/>
          <w:sz w:val="24"/>
        </w:rPr>
        <w:t>银行</w:t>
      </w:r>
      <w:r>
        <w:rPr>
          <w:rFonts w:hint="eastAsia" w:ascii="仿宋_GB2312" w:hAnsi="宋体" w:eastAsia="仿宋_GB2312"/>
          <w:b/>
          <w:sz w:val="24"/>
          <w:lang w:val="en-US" w:eastAsia="zh-CN"/>
        </w:rPr>
        <w:t>封闭式</w:t>
      </w:r>
      <w:r>
        <w:rPr>
          <w:rFonts w:hint="eastAsia" w:ascii="仿宋_GB2312" w:hAnsi="宋体" w:eastAsia="仿宋_GB2312"/>
          <w:b/>
          <w:sz w:val="24"/>
        </w:rPr>
        <w:t>净值型</w:t>
      </w:r>
      <w:r>
        <w:rPr>
          <w:rFonts w:hint="eastAsia" w:ascii="仿宋_GB2312" w:hAnsi="宋体" w:eastAsia="仿宋_GB2312"/>
          <w:b/>
          <w:sz w:val="24"/>
          <w:lang w:eastAsia="zh-CN"/>
        </w:rPr>
        <w:t>系列</w:t>
      </w:r>
      <w:r>
        <w:rPr>
          <w:rFonts w:hint="eastAsia" w:ascii="仿宋_GB2312" w:hAnsi="宋体" w:eastAsia="仿宋_GB2312"/>
          <w:b/>
          <w:sz w:val="24"/>
        </w:rPr>
        <w:t>理财产品托管合同》签署页）</w:t>
      </w:r>
    </w:p>
    <w:p>
      <w:pPr>
        <w:adjustRightInd w:val="0"/>
        <w:snapToGrid w:val="0"/>
        <w:spacing w:line="336" w:lineRule="auto"/>
        <w:ind w:firstLine="480" w:firstLineChars="200"/>
        <w:rPr>
          <w:rFonts w:ascii="仿宋_GB2312" w:hAnsi="宋体" w:eastAsia="仿宋_GB2312"/>
          <w:sz w:val="24"/>
        </w:rPr>
      </w:pPr>
    </w:p>
    <w:p>
      <w:pPr>
        <w:adjustRightInd w:val="0"/>
        <w:snapToGrid w:val="0"/>
        <w:spacing w:line="336" w:lineRule="auto"/>
        <w:ind w:firstLine="480" w:firstLineChars="200"/>
        <w:rPr>
          <w:rFonts w:ascii="仿宋_GB2312" w:hAnsi="宋体" w:eastAsia="仿宋_GB2312"/>
          <w:sz w:val="24"/>
        </w:rPr>
      </w:pPr>
    </w:p>
    <w:p>
      <w:pPr>
        <w:adjustRightInd w:val="0"/>
        <w:snapToGrid w:val="0"/>
        <w:spacing w:line="336" w:lineRule="auto"/>
        <w:ind w:firstLine="480" w:firstLineChars="200"/>
        <w:rPr>
          <w:rFonts w:ascii="仿宋_GB2312" w:hAnsi="宋体" w:eastAsia="仿宋_GB2312"/>
          <w:sz w:val="24"/>
        </w:rPr>
      </w:pPr>
    </w:p>
    <w:p>
      <w:pPr>
        <w:adjustRightInd w:val="0"/>
        <w:snapToGrid w:val="0"/>
        <w:spacing w:line="336"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甲方：</w:t>
      </w:r>
      <w:r>
        <w:rPr>
          <w:rFonts w:ascii="仿宋_GB2312" w:hAnsi="宋体" w:eastAsia="仿宋_GB2312"/>
          <w:sz w:val="24"/>
        </w:rPr>
        <w:t xml:space="preserve"> </w:t>
      </w:r>
      <w:r>
        <w:rPr>
          <w:rFonts w:hint="eastAsia" w:ascii="仿宋_GB2312" w:hAnsi="宋体" w:eastAsia="仿宋_GB2312"/>
          <w:sz w:val="24"/>
          <w:lang w:eastAsia="zh-CN"/>
        </w:rPr>
        <w:t>阜新银行股份有限公司</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法定代表人</w:t>
      </w:r>
      <w:r>
        <w:rPr>
          <w:rFonts w:ascii="仿宋_GB2312" w:hAnsi="宋体" w:eastAsia="仿宋_GB2312"/>
          <w:sz w:val="24"/>
        </w:rPr>
        <w:t>或授权</w:t>
      </w:r>
      <w:r>
        <w:rPr>
          <w:rFonts w:hint="eastAsia" w:ascii="仿宋_GB2312" w:hAnsi="宋体" w:eastAsia="仿宋_GB2312"/>
          <w:sz w:val="24"/>
        </w:rPr>
        <w:t>代理人：</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签署日期：</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乙方：中信银行股份有限公司沈阳分行</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法定代表人</w:t>
      </w:r>
      <w:r>
        <w:rPr>
          <w:rFonts w:ascii="仿宋_GB2312" w:hAnsi="宋体" w:eastAsia="仿宋_GB2312"/>
          <w:sz w:val="24"/>
        </w:rPr>
        <w:t>或授权</w:t>
      </w:r>
      <w:r>
        <w:rPr>
          <w:rFonts w:hint="eastAsia" w:ascii="仿宋_GB2312" w:hAnsi="宋体" w:eastAsia="仿宋_GB2312"/>
          <w:sz w:val="24"/>
        </w:rPr>
        <w:t>代理人：</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签署日期：</w:t>
      </w:r>
      <w:r>
        <w:rPr>
          <w:rFonts w:ascii="仿宋_GB2312" w:hAnsi="宋体" w:eastAsia="仿宋_GB2312"/>
          <w:sz w:val="24"/>
        </w:rPr>
        <w:t xml:space="preserve">                     </w:t>
      </w:r>
      <w:r>
        <w:rPr>
          <w:rFonts w:hint="eastAsia" w:ascii="仿宋_GB2312" w:hAnsi="宋体" w:eastAsia="仿宋_GB2312"/>
          <w:sz w:val="24"/>
        </w:rPr>
        <w:t xml:space="preserve"> </w:t>
      </w:r>
    </w:p>
    <w:p>
      <w:pPr>
        <w:widowControl/>
        <w:jc w:val="left"/>
        <w:rPr>
          <w:rFonts w:ascii="仿宋_GB2312" w:hAnsi="宋体" w:eastAsia="仿宋_GB2312"/>
          <w:sz w:val="24"/>
        </w:rPr>
      </w:pPr>
      <w:r>
        <w:rPr>
          <w:rFonts w:ascii="仿宋_GB2312" w:hAnsi="宋体" w:eastAsia="仿宋_GB2312"/>
          <w:sz w:val="24"/>
        </w:rPr>
        <w:br w:type="page"/>
      </w:r>
    </w:p>
    <w:p>
      <w:pPr>
        <w:adjustRightInd w:val="0"/>
        <w:snapToGrid w:val="0"/>
        <w:spacing w:line="336" w:lineRule="auto"/>
        <w:rPr>
          <w:rFonts w:eastAsia="黑体"/>
          <w:sz w:val="28"/>
        </w:rPr>
      </w:pPr>
      <w:r>
        <w:rPr>
          <w:rFonts w:hint="eastAsia"/>
          <w:sz w:val="24"/>
        </w:rPr>
        <w:t>附件一</w:t>
      </w:r>
    </w:p>
    <w:p>
      <w:pPr>
        <w:ind w:firstLine="3640" w:firstLineChars="1300"/>
      </w:pPr>
      <w:r>
        <w:rPr>
          <w:rFonts w:hint="eastAsia" w:eastAsia="黑体"/>
          <w:sz w:val="28"/>
        </w:rPr>
        <w:t>授权通知书</w:t>
      </w:r>
    </w:p>
    <w:p>
      <w:pPr>
        <w:spacing w:line="360" w:lineRule="auto"/>
        <w:rPr>
          <w:rFonts w:ascii="仿宋_GB2312" w:hAnsi="宋体" w:eastAsia="仿宋_GB2312"/>
          <w:sz w:val="24"/>
        </w:rPr>
      </w:pPr>
      <w:r>
        <w:rPr>
          <w:rFonts w:hint="eastAsia" w:ascii="仿宋_GB2312" w:hAnsi="宋体" w:eastAsia="仿宋_GB2312"/>
          <w:sz w:val="24"/>
        </w:rPr>
        <w:t>中信银行资产托管部：</w:t>
      </w:r>
    </w:p>
    <w:p>
      <w:pPr>
        <w:spacing w:line="360" w:lineRule="auto"/>
        <w:ind w:firstLine="480"/>
        <w:rPr>
          <w:rFonts w:ascii="仿宋_GB2312" w:hAnsi="宋体" w:eastAsia="仿宋_GB2312"/>
          <w:sz w:val="24"/>
        </w:rPr>
      </w:pPr>
      <w:r>
        <w:rPr>
          <w:rFonts w:hint="eastAsia" w:ascii="仿宋_GB2312" w:hAnsi="宋体" w:eastAsia="仿宋_GB2312"/>
          <w:sz w:val="24"/>
        </w:rPr>
        <w:t>根据《</w:t>
      </w:r>
      <w:r>
        <w:rPr>
          <w:rFonts w:hint="eastAsia" w:ascii="仿宋_GB2312" w:hAnsi="宋体" w:eastAsia="仿宋_GB2312"/>
          <w:sz w:val="24"/>
          <w:lang w:val="en-US" w:eastAsia="zh-CN"/>
        </w:rPr>
        <w:t>阜新银行</w:t>
      </w:r>
      <w:r>
        <w:rPr>
          <w:rFonts w:hint="eastAsia" w:ascii="仿宋_GB2312" w:hAnsi="宋体" w:eastAsia="仿宋_GB2312"/>
          <w:sz w:val="24"/>
        </w:rPr>
        <w:t>银行</w:t>
      </w:r>
      <w:r>
        <w:rPr>
          <w:rFonts w:hint="eastAsia" w:ascii="仿宋_GB2312" w:hAnsi="宋体" w:eastAsia="仿宋_GB2312"/>
          <w:sz w:val="24"/>
          <w:lang w:eastAsia="zh-CN"/>
        </w:rPr>
        <w:t>封闭式</w:t>
      </w:r>
      <w:r>
        <w:rPr>
          <w:rFonts w:hint="eastAsia" w:ascii="仿宋_GB2312" w:hAnsi="宋体" w:eastAsia="仿宋_GB2312"/>
          <w:sz w:val="24"/>
        </w:rPr>
        <w:t>净值型系列理财产品</w:t>
      </w:r>
      <w:r>
        <w:rPr>
          <w:rFonts w:ascii="仿宋_GB2312" w:hAnsi="宋体" w:eastAsia="仿宋_GB2312"/>
          <w:sz w:val="24"/>
        </w:rPr>
        <w:t>托管合同》，我单位授权以下人员向你行发送托管合同项下相关业务通知和指令</w:t>
      </w:r>
      <w:r>
        <w:rPr>
          <w:rFonts w:hint="eastAsia" w:ascii="仿宋_GB2312" w:hAnsi="宋体" w:eastAsia="仿宋_GB2312"/>
          <w:sz w:val="24"/>
        </w:rPr>
        <w:t>，指令范围包括不限于投资、费用支付、其他划款等类型。现将指令发送用章样本及有关人员签字样本及相应权限留给你行，请在使用时核验。上述被授权人在授权范围内向你行发送指令的真实性、准确性及合法性由我单位负全部责任。</w:t>
      </w:r>
    </w:p>
    <w:tbl>
      <w:tblPr>
        <w:tblStyle w:val="13"/>
        <w:tblW w:w="8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8"/>
        <w:gridCol w:w="2038"/>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spacing w:line="360" w:lineRule="auto"/>
              <w:jc w:val="center"/>
              <w:rPr>
                <w:rFonts w:ascii="仿宋_GB2312" w:eastAsia="仿宋_GB2312"/>
                <w:sz w:val="24"/>
              </w:rPr>
            </w:pPr>
            <w:r>
              <w:rPr>
                <w:rFonts w:hint="eastAsia" w:ascii="仿宋_GB2312" w:eastAsia="仿宋_GB2312"/>
                <w:sz w:val="24"/>
              </w:rPr>
              <w:t>姓名</w:t>
            </w:r>
          </w:p>
        </w:tc>
        <w:tc>
          <w:tcPr>
            <w:tcW w:w="2038" w:type="dxa"/>
          </w:tcPr>
          <w:p>
            <w:pPr>
              <w:spacing w:line="360" w:lineRule="auto"/>
              <w:jc w:val="center"/>
              <w:rPr>
                <w:rFonts w:ascii="仿宋_GB2312" w:eastAsia="仿宋_GB2312"/>
                <w:sz w:val="24"/>
              </w:rPr>
            </w:pPr>
            <w:r>
              <w:rPr>
                <w:rFonts w:hint="eastAsia" w:ascii="仿宋_GB2312" w:eastAsia="仿宋_GB2312"/>
                <w:sz w:val="24"/>
              </w:rPr>
              <w:t>权限</w:t>
            </w:r>
          </w:p>
        </w:tc>
        <w:tc>
          <w:tcPr>
            <w:tcW w:w="2038" w:type="dxa"/>
          </w:tcPr>
          <w:p>
            <w:pPr>
              <w:spacing w:line="360" w:lineRule="auto"/>
              <w:jc w:val="center"/>
              <w:rPr>
                <w:rFonts w:ascii="仿宋_GB2312" w:eastAsia="仿宋_GB2312"/>
                <w:sz w:val="24"/>
              </w:rPr>
            </w:pPr>
            <w:r>
              <w:rPr>
                <w:rFonts w:hint="eastAsia" w:ascii="仿宋_GB2312" w:eastAsia="仿宋_GB2312"/>
                <w:sz w:val="24"/>
              </w:rPr>
              <w:t>签字样本</w:t>
            </w:r>
          </w:p>
        </w:tc>
        <w:tc>
          <w:tcPr>
            <w:tcW w:w="2039" w:type="dxa"/>
          </w:tcPr>
          <w:p>
            <w:pPr>
              <w:spacing w:line="360" w:lineRule="auto"/>
              <w:jc w:val="center"/>
              <w:rPr>
                <w:rFonts w:ascii="仿宋_GB2312" w:eastAsia="仿宋_GB2312"/>
                <w:sz w:val="24"/>
              </w:rPr>
            </w:pPr>
            <w:r>
              <w:rPr>
                <w:rFonts w:hint="eastAsia" w:ascii="仿宋_GB2312" w:eastAsia="仿宋_GB2312"/>
                <w:sz w:val="24"/>
              </w:rPr>
              <w:t>印章样本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spacing w:line="360" w:lineRule="auto"/>
              <w:jc w:val="center"/>
              <w:rPr>
                <w:rFonts w:ascii="仿宋_GB2312" w:eastAsia="仿宋_GB2312"/>
                <w:sz w:val="24"/>
              </w:rPr>
            </w:pPr>
          </w:p>
        </w:tc>
        <w:tc>
          <w:tcPr>
            <w:tcW w:w="2038" w:type="dxa"/>
          </w:tcPr>
          <w:p>
            <w:pPr>
              <w:spacing w:line="360" w:lineRule="auto"/>
              <w:jc w:val="center"/>
              <w:rPr>
                <w:rFonts w:ascii="仿宋_GB2312" w:eastAsia="仿宋_GB2312"/>
                <w:sz w:val="24"/>
              </w:rPr>
            </w:pPr>
          </w:p>
        </w:tc>
        <w:tc>
          <w:tcPr>
            <w:tcW w:w="2038" w:type="dxa"/>
          </w:tcPr>
          <w:p>
            <w:pPr>
              <w:spacing w:line="360" w:lineRule="auto"/>
              <w:jc w:val="center"/>
              <w:rPr>
                <w:rFonts w:ascii="仿宋_GB2312" w:eastAsia="仿宋_GB2312"/>
                <w:sz w:val="24"/>
              </w:rPr>
            </w:pPr>
          </w:p>
        </w:tc>
        <w:tc>
          <w:tcPr>
            <w:tcW w:w="2039" w:type="dxa"/>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spacing w:line="360" w:lineRule="auto"/>
              <w:rPr>
                <w:rFonts w:ascii="仿宋_GB2312" w:eastAsia="仿宋_GB2312"/>
                <w:sz w:val="24"/>
              </w:rPr>
            </w:pPr>
          </w:p>
        </w:tc>
        <w:tc>
          <w:tcPr>
            <w:tcW w:w="2038" w:type="dxa"/>
          </w:tcPr>
          <w:p>
            <w:pPr>
              <w:spacing w:line="360" w:lineRule="auto"/>
              <w:rPr>
                <w:rFonts w:ascii="仿宋_GB2312" w:eastAsia="仿宋_GB2312"/>
                <w:sz w:val="24"/>
              </w:rPr>
            </w:pPr>
          </w:p>
        </w:tc>
        <w:tc>
          <w:tcPr>
            <w:tcW w:w="2038" w:type="dxa"/>
          </w:tcPr>
          <w:p>
            <w:pPr>
              <w:spacing w:line="360" w:lineRule="auto"/>
              <w:rPr>
                <w:rFonts w:ascii="仿宋_GB2312" w:eastAsia="仿宋_GB2312"/>
                <w:sz w:val="24"/>
              </w:rPr>
            </w:pPr>
          </w:p>
        </w:tc>
        <w:tc>
          <w:tcPr>
            <w:tcW w:w="2039"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spacing w:line="360" w:lineRule="auto"/>
              <w:rPr>
                <w:rFonts w:ascii="仿宋_GB2312" w:eastAsia="仿宋_GB2312"/>
                <w:sz w:val="24"/>
              </w:rPr>
            </w:pPr>
          </w:p>
        </w:tc>
        <w:tc>
          <w:tcPr>
            <w:tcW w:w="2038" w:type="dxa"/>
          </w:tcPr>
          <w:p>
            <w:pPr>
              <w:spacing w:line="360" w:lineRule="auto"/>
              <w:rPr>
                <w:rFonts w:ascii="仿宋_GB2312" w:eastAsia="仿宋_GB2312"/>
                <w:sz w:val="24"/>
              </w:rPr>
            </w:pPr>
          </w:p>
        </w:tc>
        <w:tc>
          <w:tcPr>
            <w:tcW w:w="2038" w:type="dxa"/>
          </w:tcPr>
          <w:p>
            <w:pPr>
              <w:spacing w:line="360" w:lineRule="auto"/>
              <w:rPr>
                <w:rFonts w:ascii="仿宋_GB2312" w:eastAsia="仿宋_GB2312"/>
                <w:sz w:val="24"/>
              </w:rPr>
            </w:pPr>
          </w:p>
        </w:tc>
        <w:tc>
          <w:tcPr>
            <w:tcW w:w="2039"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spacing w:line="360" w:lineRule="auto"/>
              <w:rPr>
                <w:rFonts w:ascii="仿宋_GB2312" w:eastAsia="仿宋_GB2312"/>
                <w:sz w:val="24"/>
              </w:rPr>
            </w:pPr>
          </w:p>
        </w:tc>
        <w:tc>
          <w:tcPr>
            <w:tcW w:w="2038" w:type="dxa"/>
          </w:tcPr>
          <w:p>
            <w:pPr>
              <w:spacing w:line="360" w:lineRule="auto"/>
              <w:rPr>
                <w:rFonts w:ascii="仿宋_GB2312" w:eastAsia="仿宋_GB2312"/>
                <w:sz w:val="24"/>
              </w:rPr>
            </w:pPr>
          </w:p>
        </w:tc>
        <w:tc>
          <w:tcPr>
            <w:tcW w:w="2038" w:type="dxa"/>
          </w:tcPr>
          <w:p>
            <w:pPr>
              <w:spacing w:line="360" w:lineRule="auto"/>
              <w:rPr>
                <w:rFonts w:ascii="仿宋_GB2312" w:eastAsia="仿宋_GB2312"/>
                <w:sz w:val="24"/>
              </w:rPr>
            </w:pPr>
          </w:p>
        </w:tc>
        <w:tc>
          <w:tcPr>
            <w:tcW w:w="2039"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spacing w:line="360" w:lineRule="auto"/>
              <w:rPr>
                <w:rFonts w:ascii="仿宋_GB2312" w:eastAsia="仿宋_GB2312"/>
                <w:sz w:val="24"/>
              </w:rPr>
            </w:pPr>
          </w:p>
        </w:tc>
        <w:tc>
          <w:tcPr>
            <w:tcW w:w="2038" w:type="dxa"/>
          </w:tcPr>
          <w:p>
            <w:pPr>
              <w:spacing w:line="360" w:lineRule="auto"/>
              <w:rPr>
                <w:rFonts w:ascii="仿宋_GB2312" w:eastAsia="仿宋_GB2312"/>
                <w:sz w:val="24"/>
              </w:rPr>
            </w:pPr>
          </w:p>
        </w:tc>
        <w:tc>
          <w:tcPr>
            <w:tcW w:w="2038" w:type="dxa"/>
          </w:tcPr>
          <w:p>
            <w:pPr>
              <w:spacing w:line="360" w:lineRule="auto"/>
              <w:rPr>
                <w:rFonts w:ascii="仿宋_GB2312" w:eastAsia="仿宋_GB2312"/>
                <w:sz w:val="24"/>
              </w:rPr>
            </w:pPr>
          </w:p>
        </w:tc>
        <w:tc>
          <w:tcPr>
            <w:tcW w:w="2039"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spacing w:line="360" w:lineRule="auto"/>
              <w:rPr>
                <w:rFonts w:ascii="仿宋_GB2312" w:eastAsia="仿宋_GB2312"/>
                <w:sz w:val="24"/>
              </w:rPr>
            </w:pPr>
          </w:p>
        </w:tc>
        <w:tc>
          <w:tcPr>
            <w:tcW w:w="2038" w:type="dxa"/>
          </w:tcPr>
          <w:p>
            <w:pPr>
              <w:spacing w:line="360" w:lineRule="auto"/>
              <w:rPr>
                <w:rFonts w:ascii="仿宋_GB2312" w:eastAsia="仿宋_GB2312"/>
                <w:sz w:val="24"/>
              </w:rPr>
            </w:pPr>
          </w:p>
        </w:tc>
        <w:tc>
          <w:tcPr>
            <w:tcW w:w="2038" w:type="dxa"/>
          </w:tcPr>
          <w:p>
            <w:pPr>
              <w:spacing w:line="360" w:lineRule="auto"/>
              <w:rPr>
                <w:rFonts w:ascii="仿宋_GB2312" w:eastAsia="仿宋_GB2312"/>
                <w:sz w:val="24"/>
              </w:rPr>
            </w:pPr>
          </w:p>
        </w:tc>
        <w:tc>
          <w:tcPr>
            <w:tcW w:w="2039"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spacing w:line="360" w:lineRule="auto"/>
              <w:rPr>
                <w:rFonts w:ascii="仿宋_GB2312" w:eastAsia="仿宋_GB2312"/>
                <w:sz w:val="24"/>
              </w:rPr>
            </w:pPr>
          </w:p>
        </w:tc>
        <w:tc>
          <w:tcPr>
            <w:tcW w:w="2038" w:type="dxa"/>
          </w:tcPr>
          <w:p>
            <w:pPr>
              <w:spacing w:line="360" w:lineRule="auto"/>
              <w:rPr>
                <w:rFonts w:ascii="仿宋_GB2312" w:eastAsia="仿宋_GB2312"/>
                <w:sz w:val="24"/>
              </w:rPr>
            </w:pPr>
          </w:p>
        </w:tc>
        <w:tc>
          <w:tcPr>
            <w:tcW w:w="2038" w:type="dxa"/>
          </w:tcPr>
          <w:p>
            <w:pPr>
              <w:spacing w:line="360" w:lineRule="auto"/>
              <w:rPr>
                <w:rFonts w:ascii="仿宋_GB2312" w:eastAsia="仿宋_GB2312"/>
                <w:sz w:val="24"/>
              </w:rPr>
            </w:pPr>
          </w:p>
        </w:tc>
        <w:tc>
          <w:tcPr>
            <w:tcW w:w="2039"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38" w:type="dxa"/>
          </w:tcPr>
          <w:p>
            <w:pPr>
              <w:spacing w:line="360" w:lineRule="auto"/>
              <w:jc w:val="center"/>
              <w:rPr>
                <w:rFonts w:ascii="仿宋_GB2312" w:eastAsia="仿宋_GB2312"/>
                <w:sz w:val="24"/>
              </w:rPr>
            </w:pPr>
            <w:r>
              <w:rPr>
                <w:rFonts w:hint="eastAsia" w:ascii="仿宋_GB2312" w:eastAsia="仿宋_GB2312"/>
                <w:sz w:val="24"/>
              </w:rPr>
              <w:t>预留印鉴</w:t>
            </w:r>
          </w:p>
        </w:tc>
        <w:tc>
          <w:tcPr>
            <w:tcW w:w="6115" w:type="dxa"/>
            <w:gridSpan w:val="3"/>
          </w:tcPr>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 xml:space="preserve">                             （指令发送用章样本）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53" w:type="dxa"/>
            <w:gridSpan w:val="4"/>
          </w:tcPr>
          <w:p>
            <w:pPr>
              <w:spacing w:line="360" w:lineRule="auto"/>
              <w:rPr>
                <w:rFonts w:ascii="仿宋_GB2312" w:eastAsia="仿宋_GB2312"/>
                <w:sz w:val="24"/>
              </w:rPr>
            </w:pPr>
            <w:r>
              <w:rPr>
                <w:rFonts w:hint="eastAsia" w:ascii="仿宋_GB2312" w:eastAsia="仿宋_GB2312"/>
                <w:sz w:val="24"/>
              </w:rPr>
              <w:t>备注： 1、指令发送用章须与个人签字或个人印章同时出具，方为有效。</w:t>
            </w:r>
          </w:p>
          <w:p>
            <w:pPr>
              <w:spacing w:line="360" w:lineRule="auto"/>
              <w:rPr>
                <w:rFonts w:ascii="仿宋_GB2312" w:eastAsia="仿宋_GB2312"/>
                <w:sz w:val="24"/>
              </w:rPr>
            </w:pPr>
            <w:r>
              <w:rPr>
                <w:rFonts w:hint="eastAsia" w:ascii="仿宋_GB2312" w:eastAsia="仿宋_GB2312"/>
                <w:sz w:val="24"/>
              </w:rPr>
              <w:t xml:space="preserve">       2、权限类型：经办、复核、审批。</w:t>
            </w:r>
          </w:p>
          <w:p>
            <w:pPr>
              <w:spacing w:line="360" w:lineRule="auto"/>
              <w:rPr>
                <w:rFonts w:ascii="仿宋_GB2312" w:eastAsia="仿宋_GB2312"/>
                <w:sz w:val="24"/>
              </w:rPr>
            </w:pPr>
            <w:r>
              <w:rPr>
                <w:rFonts w:hint="eastAsia" w:ascii="仿宋_GB2312" w:eastAsia="仿宋_GB2312"/>
                <w:sz w:val="24"/>
              </w:rPr>
              <w:t xml:space="preserve">       3、甲方须指定至少一位指令确认人。</w:t>
            </w:r>
          </w:p>
        </w:tc>
      </w:tr>
    </w:tbl>
    <w:p>
      <w:pPr>
        <w:spacing w:line="360" w:lineRule="auto"/>
        <w:ind w:firstLine="480"/>
        <w:rPr>
          <w:rFonts w:ascii="仿宋_GB2312" w:hAnsi="宋体" w:eastAsia="仿宋_GB2312"/>
          <w:sz w:val="24"/>
        </w:rPr>
      </w:pPr>
    </w:p>
    <w:p>
      <w:pPr>
        <w:spacing w:line="360" w:lineRule="auto"/>
        <w:ind w:right="560"/>
        <w:jc w:val="right"/>
        <w:rPr>
          <w:rFonts w:ascii="仿宋_GB2312" w:eastAsia="仿宋_GB2312"/>
          <w:sz w:val="24"/>
          <w:szCs w:val="28"/>
        </w:rPr>
      </w:pPr>
      <w:r>
        <w:rPr>
          <w:rFonts w:hint="eastAsia" w:ascii="仿宋_GB2312" w:eastAsia="仿宋_GB2312"/>
          <w:sz w:val="28"/>
          <w:szCs w:val="28"/>
          <w:lang w:val="en-US" w:eastAsia="zh-CN"/>
        </w:rPr>
        <w:t>阜新</w:t>
      </w:r>
      <w:r>
        <w:rPr>
          <w:rFonts w:hint="eastAsia" w:ascii="仿宋_GB2312" w:eastAsia="仿宋_GB2312"/>
          <w:sz w:val="28"/>
          <w:szCs w:val="28"/>
        </w:rPr>
        <w:t>银行股份有</w:t>
      </w:r>
      <w:r>
        <w:rPr>
          <w:rFonts w:ascii="仿宋_GB2312" w:eastAsia="仿宋_GB2312"/>
          <w:sz w:val="28"/>
          <w:szCs w:val="28"/>
        </w:rPr>
        <w:t>限公司</w:t>
      </w:r>
      <w:r>
        <w:rPr>
          <w:rFonts w:hint="eastAsia" w:ascii="仿宋_GB2312" w:eastAsia="仿宋_GB2312"/>
          <w:sz w:val="28"/>
          <w:szCs w:val="28"/>
        </w:rPr>
        <w:t>（公章）</w:t>
      </w:r>
      <w:r>
        <w:rPr>
          <w:rFonts w:hint="eastAsia" w:ascii="仿宋_GB2312" w:eastAsia="仿宋_GB2312"/>
          <w:sz w:val="24"/>
          <w:szCs w:val="28"/>
        </w:rPr>
        <w:t>：</w:t>
      </w:r>
    </w:p>
    <w:p>
      <w:pPr>
        <w:spacing w:line="360" w:lineRule="auto"/>
        <w:ind w:right="280"/>
        <w:jc w:val="right"/>
        <w:rPr>
          <w:rFonts w:ascii="仿宋_GB2312" w:eastAsia="仿宋_GB2312"/>
          <w:sz w:val="24"/>
          <w:szCs w:val="28"/>
        </w:rPr>
      </w:pPr>
      <w:r>
        <w:rPr>
          <w:rFonts w:hint="eastAsia" w:ascii="仿宋_GB2312" w:eastAsia="仿宋_GB2312"/>
          <w:sz w:val="24"/>
          <w:szCs w:val="28"/>
        </w:rPr>
        <w:t>法定代表人或授权代理人：</w:t>
      </w:r>
    </w:p>
    <w:p>
      <w:pPr>
        <w:ind w:firstLine="5280" w:firstLineChars="2200"/>
        <w:rPr>
          <w:sz w:val="20"/>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p>
      <w:pPr>
        <w:widowControl/>
        <w:jc w:val="left"/>
        <w:rPr>
          <w:sz w:val="24"/>
        </w:rPr>
      </w:pPr>
      <w:r>
        <w:rPr>
          <w:sz w:val="24"/>
        </w:rPr>
        <w:br w:type="page"/>
      </w:r>
    </w:p>
    <w:p>
      <w:pPr>
        <w:rPr>
          <w:sz w:val="24"/>
        </w:rPr>
      </w:pPr>
      <w:r>
        <w:rPr>
          <w:rFonts w:hint="eastAsia"/>
          <w:sz w:val="24"/>
        </w:rPr>
        <w:t>附件二</w:t>
      </w:r>
    </w:p>
    <w:p>
      <w:pPr>
        <w:tabs>
          <w:tab w:val="left" w:pos="6090"/>
        </w:tabs>
        <w:spacing w:line="360" w:lineRule="auto"/>
        <w:jc w:val="center"/>
        <w:rPr>
          <w:b/>
          <w:bCs/>
          <w:sz w:val="30"/>
        </w:rPr>
      </w:pPr>
      <w:r>
        <w:rPr>
          <w:rFonts w:hint="eastAsia" w:ascii="仿宋_GB2312" w:hAnsi="宋体" w:eastAsia="仿宋_GB2312"/>
          <w:b/>
          <w:sz w:val="24"/>
          <w:lang w:val="en-US" w:eastAsia="zh-CN"/>
        </w:rPr>
        <w:t>阜新</w:t>
      </w:r>
      <w:r>
        <w:rPr>
          <w:rFonts w:hint="eastAsia" w:ascii="仿宋_GB2312" w:hAnsi="宋体" w:eastAsia="仿宋_GB2312"/>
          <w:b/>
          <w:sz w:val="24"/>
        </w:rPr>
        <w:t>银行</w:t>
      </w:r>
      <w:r>
        <w:rPr>
          <w:rFonts w:hint="eastAsia" w:ascii="仿宋_GB2312" w:hAnsi="宋体" w:eastAsia="仿宋_GB2312"/>
          <w:b/>
          <w:sz w:val="24"/>
          <w:lang w:eastAsia="zh-CN"/>
        </w:rPr>
        <w:t>封闭式</w:t>
      </w:r>
      <w:r>
        <w:rPr>
          <w:rFonts w:hint="eastAsia" w:ascii="仿宋_GB2312" w:hAnsi="宋体" w:eastAsia="仿宋_GB2312"/>
          <w:b/>
          <w:sz w:val="24"/>
        </w:rPr>
        <w:t>净值型</w:t>
      </w:r>
      <w:r>
        <w:rPr>
          <w:rFonts w:hint="eastAsia" w:ascii="仿宋_GB2312" w:hAnsi="宋体" w:eastAsia="仿宋_GB2312"/>
          <w:b/>
          <w:sz w:val="24"/>
          <w:lang w:eastAsia="zh-CN"/>
        </w:rPr>
        <w:t>系列</w:t>
      </w:r>
      <w:r>
        <w:rPr>
          <w:rFonts w:hint="eastAsia" w:ascii="仿宋_GB2312" w:hAnsi="宋体" w:eastAsia="仿宋_GB2312"/>
          <w:b/>
          <w:sz w:val="24"/>
        </w:rPr>
        <w:t>理财产品【××期】</w:t>
      </w:r>
    </w:p>
    <w:p>
      <w:pPr>
        <w:tabs>
          <w:tab w:val="left" w:pos="6090"/>
        </w:tabs>
        <w:spacing w:line="360" w:lineRule="auto"/>
        <w:jc w:val="center"/>
        <w:rPr>
          <w:rFonts w:ascii="仿宋_GB2312" w:hAnsi="宋体" w:eastAsia="仿宋_GB2312"/>
          <w:b/>
          <w:sz w:val="24"/>
        </w:rPr>
      </w:pPr>
      <w:r>
        <w:rPr>
          <w:rFonts w:hint="eastAsia" w:ascii="仿宋_GB2312" w:hAnsi="宋体" w:eastAsia="仿宋_GB2312"/>
          <w:b/>
          <w:sz w:val="24"/>
        </w:rPr>
        <w:t>划款指令（样本）</w:t>
      </w:r>
    </w:p>
    <w:p>
      <w:pPr>
        <w:spacing w:line="360" w:lineRule="auto"/>
        <w:jc w:val="center"/>
      </w:pPr>
      <w:r>
        <w:rPr>
          <w:rFonts w:hint="eastAsia"/>
        </w:rPr>
        <w:t>年</w:t>
      </w:r>
      <w:r>
        <w:t xml:space="preserve">   </w:t>
      </w:r>
      <w:r>
        <w:rPr>
          <w:rFonts w:hint="eastAsia"/>
        </w:rPr>
        <w:t>月</w:t>
      </w:r>
      <w:r>
        <w:t xml:space="preserve">   </w:t>
      </w:r>
      <w:r>
        <w:rPr>
          <w:rFonts w:hint="eastAsia"/>
        </w:rPr>
        <w:t>日</w:t>
      </w:r>
    </w:p>
    <w:p>
      <w:pPr>
        <w:spacing w:line="360" w:lineRule="auto"/>
        <w:rPr>
          <w:b/>
          <w:bCs/>
        </w:rPr>
      </w:pPr>
      <w:r>
        <w:t xml:space="preserve">                                                                 </w:t>
      </w:r>
      <w:r>
        <w:rPr>
          <w:rFonts w:hint="eastAsia"/>
        </w:rPr>
        <w:t>编</w:t>
      </w:r>
      <w:r>
        <w:t xml:space="preserve"> </w:t>
      </w:r>
      <w:r>
        <w:rPr>
          <w:rFonts w:hint="eastAsia"/>
        </w:rPr>
        <w:t>号：</w:t>
      </w:r>
      <w:r>
        <w:t xml:space="preserve"> </w:t>
      </w:r>
    </w:p>
    <w:p>
      <w:pPr>
        <w:spacing w:line="360" w:lineRule="auto"/>
        <w:rPr>
          <w:bCs/>
          <w:szCs w:val="21"/>
        </w:rPr>
      </w:pPr>
      <w:r>
        <w:rPr>
          <w:rFonts w:hint="eastAsia"/>
        </w:rPr>
        <w:t>付款方名称：</w:t>
      </w:r>
      <w:r>
        <w:rPr>
          <w:bCs/>
          <w:szCs w:val="21"/>
        </w:rPr>
        <w:t xml:space="preserve">  </w:t>
      </w:r>
    </w:p>
    <w:p>
      <w:pPr>
        <w:spacing w:line="360" w:lineRule="auto"/>
      </w:pPr>
      <w:r>
        <w:rPr>
          <w:rFonts w:hint="eastAsia"/>
        </w:rPr>
        <w:t>付款方账号：</w:t>
      </w:r>
      <w:r>
        <w:rPr>
          <w:bCs/>
          <w:szCs w:val="21"/>
        </w:rPr>
        <w:t xml:space="preserve">                        </w:t>
      </w:r>
      <w:r>
        <w:rPr>
          <w:b/>
          <w:bCs/>
        </w:rPr>
        <w:t xml:space="preserve">  </w:t>
      </w:r>
      <w:r>
        <w:t xml:space="preserve">        </w:t>
      </w:r>
      <w:r>
        <w:rPr>
          <w:rFonts w:hint="eastAsia"/>
        </w:rPr>
        <w:t>页</w:t>
      </w:r>
      <w:r>
        <w:t xml:space="preserve"> </w:t>
      </w:r>
      <w:r>
        <w:rPr>
          <w:rFonts w:hint="eastAsia"/>
        </w:rPr>
        <w:t>数：</w:t>
      </w:r>
      <w:r>
        <w:t xml:space="preserve">  </w:t>
      </w:r>
      <w:r>
        <w:rPr>
          <w:rFonts w:hint="eastAsia"/>
          <w:b/>
          <w:bCs/>
        </w:rPr>
        <w:t>第</w:t>
      </w:r>
      <w:r>
        <w:rPr>
          <w:b/>
          <w:bCs/>
        </w:rPr>
        <w:t xml:space="preserve">  </w:t>
      </w:r>
      <w:r>
        <w:rPr>
          <w:rFonts w:hint="eastAsia"/>
          <w:b/>
          <w:bCs/>
        </w:rPr>
        <w:t>页</w:t>
      </w:r>
      <w:r>
        <w:rPr>
          <w:b/>
          <w:bCs/>
        </w:rPr>
        <w:t xml:space="preserve"> </w:t>
      </w:r>
      <w:r>
        <w:rPr>
          <w:rFonts w:hint="eastAsia"/>
          <w:b/>
          <w:bCs/>
        </w:rPr>
        <w:t>，共</w:t>
      </w:r>
      <w:r>
        <w:rPr>
          <w:b/>
          <w:bCs/>
        </w:rPr>
        <w:t xml:space="preserve">  </w:t>
      </w:r>
      <w:r>
        <w:rPr>
          <w:rFonts w:hint="eastAsia"/>
          <w:b/>
          <w:bCs/>
        </w:rPr>
        <w:t>页</w:t>
      </w:r>
      <w:r>
        <w:t xml:space="preserve"> </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1"/>
        <w:gridCol w:w="2282"/>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96" w:type="dxa"/>
            <w:gridSpan w:val="3"/>
          </w:tcPr>
          <w:p>
            <w:pPr>
              <w:spacing w:line="360" w:lineRule="auto"/>
            </w:pPr>
            <w:r>
              <w:rPr>
                <w:rFonts w:hint="eastAsia"/>
              </w:rPr>
              <w:t>请于</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时前支付下列款项（共</w:t>
            </w:r>
            <w:r>
              <w:t xml:space="preserve">  </w:t>
            </w:r>
            <w:r>
              <w:rPr>
                <w:rFonts w:hint="eastAsia"/>
              </w:rPr>
              <w:t>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96" w:type="dxa"/>
            <w:gridSpan w:val="3"/>
          </w:tcPr>
          <w:p>
            <w:pPr>
              <w:spacing w:line="360" w:lineRule="auto"/>
              <w:rPr>
                <w:b/>
                <w:bCs/>
              </w:rPr>
            </w:pPr>
            <w:r>
              <w:rPr>
                <w:rFonts w:hint="eastAsia"/>
              </w:rPr>
              <w:t>金额大写：</w:t>
            </w:r>
            <w:r>
              <w:rPr>
                <w:b/>
                <w:bCs/>
              </w:rPr>
              <w:t xml:space="preserve"> </w:t>
            </w:r>
          </w:p>
          <w:p>
            <w:pPr>
              <w:spacing w:line="360" w:lineRule="auto"/>
              <w:rPr>
                <w:b/>
                <w:bCs/>
                <w:sz w:val="24"/>
                <w:u w:val="single"/>
              </w:rPr>
            </w:pPr>
            <w:r>
              <w:rPr>
                <w:rFonts w:hint="eastAsia"/>
              </w:rPr>
              <w:t>金额小写：</w:t>
            </w:r>
          </w:p>
          <w:p>
            <w:pPr>
              <w:spacing w:line="360" w:lineRule="auto"/>
              <w:rPr>
                <w:b/>
                <w:bCs/>
              </w:rPr>
            </w:pPr>
            <w:r>
              <w:rPr>
                <w:rFonts w:hint="eastAsia"/>
              </w:rPr>
              <w:t>收款方名称：</w:t>
            </w:r>
            <w:r>
              <w:t xml:space="preserve"> </w:t>
            </w:r>
            <w:r>
              <w:rPr>
                <w:rFonts w:ascii="宋体" w:hAnsi="宋体"/>
              </w:rPr>
              <w:t xml:space="preserve"> </w:t>
            </w:r>
          </w:p>
          <w:p>
            <w:pPr>
              <w:spacing w:line="360" w:lineRule="auto"/>
              <w:rPr>
                <w:b/>
                <w:bCs/>
              </w:rPr>
            </w:pPr>
            <w:r>
              <w:rPr>
                <w:rFonts w:hint="eastAsia"/>
              </w:rPr>
              <w:t>收款账号：</w:t>
            </w:r>
            <w:r>
              <w:t xml:space="preserve"> </w:t>
            </w:r>
          </w:p>
          <w:p>
            <w:pPr>
              <w:spacing w:line="360" w:lineRule="auto"/>
            </w:pPr>
            <w:r>
              <w:rPr>
                <w:rFonts w:hint="eastAsia"/>
              </w:rPr>
              <w:t>开户银行：</w:t>
            </w:r>
            <w:r>
              <w:t xml:space="preserve"> </w:t>
            </w:r>
          </w:p>
          <w:p>
            <w:pPr>
              <w:spacing w:line="360" w:lineRule="auto"/>
            </w:pPr>
            <w:r>
              <w:rPr>
                <w:rFonts w:hint="eastAsia"/>
              </w:rPr>
              <w:t>对方银行电子联行号（非必填项）：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96" w:type="dxa"/>
            <w:gridSpan w:val="3"/>
          </w:tcPr>
          <w:p>
            <w:pPr>
              <w:spacing w:line="360" w:lineRule="auto"/>
              <w:rPr>
                <w:b/>
                <w:bCs/>
                <w:u w:val="single"/>
              </w:rPr>
            </w:pPr>
            <w:r>
              <w:rPr>
                <w:rFonts w:hint="eastAsia"/>
                <w:b/>
                <w:bCs/>
                <w:u w:val="single"/>
              </w:rPr>
              <w:t>资金用途（限</w:t>
            </w:r>
            <w:r>
              <w:rPr>
                <w:b/>
                <w:bCs/>
                <w:u w:val="single"/>
              </w:rPr>
              <w:t>15</w:t>
            </w:r>
            <w:r>
              <w:rPr>
                <w:rFonts w:hint="eastAsia"/>
                <w:b/>
                <w:bCs/>
                <w:u w:val="single"/>
              </w:rPr>
              <w:t>个字以内）</w:t>
            </w:r>
            <w:r>
              <w:rPr>
                <w:rFonts w:hint="eastAsia"/>
              </w:rPr>
              <w:t>：</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96" w:type="dxa"/>
            <w:gridSpan w:val="3"/>
          </w:tcPr>
          <w:p>
            <w:pPr>
              <w:spacing w:line="360" w:lineRule="auto"/>
            </w:pPr>
            <w:r>
              <w:rPr>
                <w:rFonts w:hint="eastAsia"/>
                <w:b/>
                <w:bCs/>
                <w:u w:val="single"/>
              </w:rPr>
              <w:t>甲方备注</w:t>
            </w:r>
            <w:r>
              <w:rPr>
                <w:rFonts w:hint="eastAsia"/>
              </w:rPr>
              <w:t>：</w:t>
            </w:r>
            <w:r>
              <w:t xml:space="preserve">  </w:t>
            </w:r>
            <w:r>
              <w:rPr>
                <w:rFonts w:hint="eastAsia"/>
              </w:rPr>
              <w:t>附件</w:t>
            </w:r>
            <w:r>
              <w:t>____</w:t>
            </w:r>
            <w:r>
              <w:rPr>
                <w:rFonts w:hint="eastAsia"/>
              </w:rPr>
              <w:t>张</w:t>
            </w:r>
            <w:r>
              <w:t xml:space="preserve">     </w:t>
            </w:r>
            <w:r>
              <w:rPr>
                <w:rFonts w:hint="eastAsia" w:ascii="宋体" w:hAnsi="宋体"/>
              </w:rPr>
              <w:t>□</w:t>
            </w:r>
            <w:r>
              <w:t xml:space="preserve"> </w:t>
            </w:r>
            <w:r>
              <w:rPr>
                <w:rFonts w:hint="eastAsia"/>
              </w:rPr>
              <w:t>加急</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1" w:type="dxa"/>
          </w:tcPr>
          <w:p>
            <w:pPr>
              <w:spacing w:line="360" w:lineRule="auto"/>
            </w:pPr>
            <w:r>
              <w:rPr>
                <w:rFonts w:hint="eastAsia"/>
              </w:rPr>
              <w:t>预留印鉴：</w:t>
            </w:r>
          </w:p>
          <w:p>
            <w:pPr>
              <w:spacing w:line="360" w:lineRule="auto"/>
            </w:pPr>
          </w:p>
          <w:p>
            <w:pPr>
              <w:spacing w:line="360" w:lineRule="auto"/>
            </w:pPr>
          </w:p>
          <w:p>
            <w:pPr>
              <w:spacing w:line="360" w:lineRule="auto"/>
            </w:pPr>
          </w:p>
          <w:p>
            <w:pPr>
              <w:spacing w:line="360" w:lineRule="auto"/>
            </w:pPr>
          </w:p>
          <w:p>
            <w:pPr>
              <w:spacing w:line="360" w:lineRule="auto"/>
            </w:pPr>
          </w:p>
        </w:tc>
        <w:tc>
          <w:tcPr>
            <w:tcW w:w="2282" w:type="dxa"/>
          </w:tcPr>
          <w:p>
            <w:pPr>
              <w:spacing w:line="360" w:lineRule="auto"/>
            </w:pPr>
            <w:r>
              <w:rPr>
                <w:rFonts w:hint="eastAsia"/>
              </w:rPr>
              <w:t>经办：</w:t>
            </w:r>
          </w:p>
          <w:p>
            <w:pPr>
              <w:spacing w:line="360" w:lineRule="auto"/>
            </w:pPr>
          </w:p>
          <w:p>
            <w:pPr>
              <w:spacing w:line="360" w:lineRule="auto"/>
            </w:pPr>
            <w:r>
              <w:rPr>
                <w:rFonts w:hint="eastAsia"/>
              </w:rPr>
              <w:t>复核：</w:t>
            </w:r>
          </w:p>
        </w:tc>
        <w:tc>
          <w:tcPr>
            <w:tcW w:w="2063" w:type="dxa"/>
          </w:tcPr>
          <w:p>
            <w:pPr>
              <w:spacing w:line="360" w:lineRule="auto"/>
            </w:pPr>
            <w:r>
              <w:rPr>
                <w:rFonts w:hint="eastAsia"/>
              </w:rPr>
              <w:t>审批：</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3"/>
          </w:tcPr>
          <w:p>
            <w:pPr>
              <w:spacing w:line="360" w:lineRule="auto"/>
            </w:pPr>
            <w:r>
              <w:rPr>
                <w:rFonts w:hint="eastAsia"/>
              </w:rPr>
              <w:t>托管银行审核：</w:t>
            </w:r>
          </w:p>
          <w:p>
            <w:pPr>
              <w:spacing w:line="360" w:lineRule="auto"/>
            </w:pPr>
          </w:p>
          <w:p>
            <w:pPr>
              <w:spacing w:line="360" w:lineRule="auto"/>
            </w:pPr>
          </w:p>
          <w:p>
            <w:pPr>
              <w:spacing w:line="360" w:lineRule="auto"/>
            </w:pPr>
          </w:p>
          <w:p>
            <w:pPr>
              <w:spacing w:line="360" w:lineRule="auto"/>
            </w:pPr>
          </w:p>
        </w:tc>
      </w:tr>
    </w:tbl>
    <w:p>
      <w:pPr>
        <w:rPr>
          <w:rFonts w:ascii="宋体" w:hAnsi="宋体"/>
          <w:bCs/>
          <w:kern w:val="0"/>
          <w:sz w:val="24"/>
        </w:rPr>
      </w:pPr>
    </w:p>
    <w:p>
      <w:pPr>
        <w:widowControl/>
        <w:jc w:val="left"/>
        <w:rPr>
          <w:rFonts w:ascii="宋体" w:hAnsi="宋体"/>
          <w:bCs/>
          <w:kern w:val="0"/>
          <w:sz w:val="24"/>
        </w:rPr>
      </w:pPr>
      <w:r>
        <w:rPr>
          <w:rFonts w:ascii="宋体" w:hAnsi="宋体"/>
          <w:bCs/>
          <w:kern w:val="0"/>
          <w:sz w:val="24"/>
        </w:rPr>
        <w:br w:type="page"/>
      </w:r>
    </w:p>
    <w:p>
      <w:pPr>
        <w:rPr>
          <w:rFonts w:ascii="宋体" w:hAnsi="宋体"/>
          <w:sz w:val="24"/>
          <w:szCs w:val="21"/>
        </w:rPr>
      </w:pPr>
      <w:r>
        <w:rPr>
          <w:rFonts w:hint="eastAsia" w:ascii="宋体" w:hAnsi="宋体"/>
          <w:sz w:val="24"/>
          <w:szCs w:val="21"/>
        </w:rPr>
        <w:t>附件三：</w:t>
      </w:r>
    </w:p>
    <w:p>
      <w:pPr>
        <w:adjustRightInd w:val="0"/>
        <w:snapToGrid w:val="0"/>
        <w:spacing w:line="360" w:lineRule="auto"/>
        <w:ind w:firstLine="560" w:firstLineChars="200"/>
        <w:jc w:val="center"/>
        <w:rPr>
          <w:rFonts w:ascii="宋体" w:hAnsi="宋体"/>
          <w:sz w:val="28"/>
          <w:szCs w:val="28"/>
        </w:rPr>
      </w:pPr>
    </w:p>
    <w:p>
      <w:pPr>
        <w:adjustRightInd w:val="0"/>
        <w:snapToGrid w:val="0"/>
        <w:spacing w:line="360" w:lineRule="auto"/>
        <w:ind w:firstLine="560" w:firstLineChars="200"/>
        <w:jc w:val="center"/>
        <w:rPr>
          <w:rFonts w:ascii="宋体" w:hAnsi="宋体"/>
          <w:sz w:val="28"/>
          <w:szCs w:val="28"/>
        </w:rPr>
      </w:pPr>
      <w:r>
        <w:rPr>
          <w:rFonts w:hint="eastAsia" w:ascii="宋体" w:hAnsi="宋体"/>
          <w:sz w:val="28"/>
          <w:szCs w:val="28"/>
        </w:rPr>
        <w:t>电子指令启用函（样本）</w:t>
      </w:r>
    </w:p>
    <w:p>
      <w:pPr>
        <w:adjustRightInd w:val="0"/>
        <w:snapToGrid w:val="0"/>
        <w:spacing w:line="360" w:lineRule="auto"/>
        <w:ind w:firstLine="315"/>
        <w:rPr>
          <w:rFonts w:ascii="宋体" w:hAnsi="宋体"/>
          <w:szCs w:val="21"/>
        </w:rPr>
      </w:pPr>
      <w:r>
        <w:rPr>
          <w:rFonts w:hint="eastAsia" w:ascii="宋体" w:hAnsi="宋体"/>
          <w:szCs w:val="21"/>
        </w:rPr>
        <w:t>中信银行股份有限</w:t>
      </w:r>
      <w:r>
        <w:rPr>
          <w:rFonts w:ascii="宋体" w:hAnsi="宋体"/>
          <w:szCs w:val="21"/>
        </w:rPr>
        <w:t>公司</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对于我司管理，你行托管的</w:t>
      </w:r>
      <w:r>
        <w:rPr>
          <w:rFonts w:ascii="宋体" w:hAnsi="宋体"/>
          <w:szCs w:val="21"/>
        </w:rPr>
        <w:t xml:space="preserve">    </w:t>
      </w:r>
      <w:r>
        <w:rPr>
          <w:rFonts w:hint="eastAsia" w:ascii="宋体" w:hAnsi="宋体"/>
          <w:szCs w:val="21"/>
        </w:rPr>
        <w:t>产品，采用你行</w:t>
      </w:r>
      <w:r>
        <w:rPr>
          <w:rFonts w:ascii="宋体" w:hAnsi="宋体"/>
          <w:szCs w:val="21"/>
        </w:rPr>
        <w:t>电子直连，指令范围包括不限于投资、费用支付、其他划款等类型。</w:t>
      </w:r>
    </w:p>
    <w:p>
      <w:pPr>
        <w:adjustRightInd w:val="0"/>
        <w:snapToGrid w:val="0"/>
        <w:spacing w:line="360" w:lineRule="auto"/>
        <w:ind w:firstLine="420" w:firstLineChars="200"/>
        <w:rPr>
          <w:rFonts w:ascii="宋体" w:hAnsi="宋体"/>
          <w:szCs w:val="21"/>
        </w:rPr>
      </w:pPr>
      <w:r>
        <w:rPr>
          <w:rFonts w:hint="eastAsia" w:ascii="宋体" w:hAnsi="宋体"/>
          <w:szCs w:val="21"/>
        </w:rPr>
        <w:t>启用电子直连指令的产品名称、产品代码信息如下：</w:t>
      </w:r>
    </w:p>
    <w:tbl>
      <w:tblPr>
        <w:tblStyle w:val="13"/>
        <w:tblW w:w="7256" w:type="dxa"/>
        <w:tblInd w:w="1075" w:type="dxa"/>
        <w:tblLayout w:type="fixed"/>
        <w:tblCellMar>
          <w:top w:w="0" w:type="dxa"/>
          <w:left w:w="108" w:type="dxa"/>
          <w:bottom w:w="0" w:type="dxa"/>
          <w:right w:w="108" w:type="dxa"/>
        </w:tblCellMar>
      </w:tblPr>
      <w:tblGrid>
        <w:gridCol w:w="1139"/>
        <w:gridCol w:w="3143"/>
        <w:gridCol w:w="2974"/>
      </w:tblGrid>
      <w:tr>
        <w:tblPrEx>
          <w:tblLayout w:type="fixed"/>
          <w:tblCellMar>
            <w:top w:w="0" w:type="dxa"/>
            <w:left w:w="108" w:type="dxa"/>
            <w:bottom w:w="0" w:type="dxa"/>
            <w:right w:w="108" w:type="dxa"/>
          </w:tblCellMar>
        </w:tblPrEx>
        <w:trPr>
          <w:trHeight w:val="365" w:hRule="atLeast"/>
        </w:trPr>
        <w:tc>
          <w:tcPr>
            <w:tcW w:w="11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序号</w:t>
            </w:r>
          </w:p>
        </w:tc>
        <w:tc>
          <w:tcPr>
            <w:tcW w:w="31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启用电子指令产品名称</w:t>
            </w:r>
          </w:p>
        </w:tc>
        <w:tc>
          <w:tcPr>
            <w:tcW w:w="297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启用电子指令的产品代码</w:t>
            </w:r>
          </w:p>
        </w:tc>
      </w:tr>
      <w:tr>
        <w:tblPrEx>
          <w:tblLayout w:type="fixed"/>
          <w:tblCellMar>
            <w:top w:w="0" w:type="dxa"/>
            <w:left w:w="108" w:type="dxa"/>
            <w:bottom w:w="0" w:type="dxa"/>
            <w:right w:w="108" w:type="dxa"/>
          </w:tblCellMar>
        </w:tblPrEx>
        <w:trPr>
          <w:trHeight w:val="365" w:hRule="atLeast"/>
        </w:trPr>
        <w:tc>
          <w:tcPr>
            <w:tcW w:w="1139" w:type="dxa"/>
            <w:tcBorders>
              <w:top w:val="nil"/>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szCs w:val="21"/>
              </w:rPr>
            </w:pPr>
            <w:r>
              <w:rPr>
                <w:rFonts w:ascii="宋体" w:hAnsi="宋体"/>
                <w:szCs w:val="21"/>
              </w:rPr>
              <w:t>1</w:t>
            </w:r>
          </w:p>
        </w:tc>
        <w:tc>
          <w:tcPr>
            <w:tcW w:w="3143" w:type="dxa"/>
            <w:tcBorders>
              <w:top w:val="nil"/>
              <w:left w:val="nil"/>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　</w:t>
            </w:r>
          </w:p>
        </w:tc>
        <w:tc>
          <w:tcPr>
            <w:tcW w:w="2974" w:type="dxa"/>
            <w:tcBorders>
              <w:top w:val="nil"/>
              <w:left w:val="nil"/>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　</w:t>
            </w:r>
          </w:p>
        </w:tc>
      </w:tr>
      <w:tr>
        <w:tblPrEx>
          <w:tblLayout w:type="fixed"/>
          <w:tblCellMar>
            <w:top w:w="0" w:type="dxa"/>
            <w:left w:w="108" w:type="dxa"/>
            <w:bottom w:w="0" w:type="dxa"/>
            <w:right w:w="108" w:type="dxa"/>
          </w:tblCellMar>
        </w:tblPrEx>
        <w:trPr>
          <w:trHeight w:val="365" w:hRule="atLeast"/>
        </w:trPr>
        <w:tc>
          <w:tcPr>
            <w:tcW w:w="1139" w:type="dxa"/>
            <w:tcBorders>
              <w:top w:val="nil"/>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szCs w:val="21"/>
              </w:rPr>
            </w:pPr>
            <w:r>
              <w:rPr>
                <w:rFonts w:ascii="宋体" w:hAnsi="宋体"/>
                <w:szCs w:val="21"/>
              </w:rPr>
              <w:t>2</w:t>
            </w:r>
          </w:p>
        </w:tc>
        <w:tc>
          <w:tcPr>
            <w:tcW w:w="3143" w:type="dxa"/>
            <w:tcBorders>
              <w:top w:val="nil"/>
              <w:left w:val="nil"/>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　</w:t>
            </w:r>
          </w:p>
        </w:tc>
        <w:tc>
          <w:tcPr>
            <w:tcW w:w="2974" w:type="dxa"/>
            <w:tcBorders>
              <w:top w:val="nil"/>
              <w:left w:val="nil"/>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　</w:t>
            </w:r>
          </w:p>
        </w:tc>
      </w:tr>
      <w:tr>
        <w:tblPrEx>
          <w:tblLayout w:type="fixed"/>
          <w:tblCellMar>
            <w:top w:w="0" w:type="dxa"/>
            <w:left w:w="108" w:type="dxa"/>
            <w:bottom w:w="0" w:type="dxa"/>
            <w:right w:w="108" w:type="dxa"/>
          </w:tblCellMar>
        </w:tblPrEx>
        <w:trPr>
          <w:trHeight w:val="365" w:hRule="atLeast"/>
        </w:trPr>
        <w:tc>
          <w:tcPr>
            <w:tcW w:w="1139" w:type="dxa"/>
            <w:tcBorders>
              <w:top w:val="nil"/>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szCs w:val="21"/>
              </w:rPr>
            </w:pPr>
            <w:r>
              <w:rPr>
                <w:rFonts w:ascii="宋体" w:hAnsi="宋体"/>
                <w:szCs w:val="21"/>
              </w:rPr>
              <w:t>3</w:t>
            </w:r>
          </w:p>
        </w:tc>
        <w:tc>
          <w:tcPr>
            <w:tcW w:w="3143" w:type="dxa"/>
            <w:tcBorders>
              <w:top w:val="nil"/>
              <w:left w:val="nil"/>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　</w:t>
            </w:r>
          </w:p>
        </w:tc>
        <w:tc>
          <w:tcPr>
            <w:tcW w:w="2974" w:type="dxa"/>
            <w:tcBorders>
              <w:top w:val="nil"/>
              <w:left w:val="nil"/>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　</w:t>
            </w:r>
          </w:p>
        </w:tc>
      </w:tr>
    </w:tbl>
    <w:p>
      <w:pPr>
        <w:adjustRightInd w:val="0"/>
        <w:snapToGrid w:val="0"/>
        <w:spacing w:line="360" w:lineRule="auto"/>
        <w:ind w:left="210" w:firstLine="210" w:firstLineChars="100"/>
        <w:rPr>
          <w:rFonts w:ascii="宋体" w:hAnsi="宋体"/>
          <w:szCs w:val="21"/>
        </w:rPr>
      </w:pPr>
    </w:p>
    <w:p>
      <w:pPr>
        <w:adjustRightInd w:val="0"/>
        <w:snapToGrid w:val="0"/>
        <w:spacing w:line="360" w:lineRule="auto"/>
        <w:ind w:left="210" w:firstLine="210" w:firstLineChars="100"/>
        <w:rPr>
          <w:rFonts w:ascii="宋体" w:hAnsi="宋体"/>
          <w:szCs w:val="21"/>
        </w:rPr>
      </w:pPr>
      <w:r>
        <w:rPr>
          <w:rFonts w:hint="eastAsia" w:ascii="宋体" w:hAnsi="宋体"/>
          <w:szCs w:val="21"/>
        </w:rPr>
        <w:t>启用</w:t>
      </w:r>
      <w:r>
        <w:rPr>
          <w:rFonts w:ascii="宋体" w:hAnsi="宋体"/>
          <w:szCs w:val="21"/>
        </w:rPr>
        <w:t>日期：     年   月   日</w:t>
      </w:r>
    </w:p>
    <w:p>
      <w:pPr>
        <w:adjustRightInd w:val="0"/>
        <w:snapToGrid w:val="0"/>
        <w:spacing w:line="360" w:lineRule="auto"/>
        <w:ind w:left="210" w:firstLine="210" w:firstLineChars="1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对于因</w:t>
      </w:r>
      <w:r>
        <w:rPr>
          <w:rFonts w:ascii="宋体" w:hAnsi="宋体"/>
          <w:szCs w:val="21"/>
        </w:rPr>
        <w:t>电子直连指令异常导致电子指令无法发送的，我司采取传真方式发送指令，传真指令</w:t>
      </w:r>
      <w:r>
        <w:rPr>
          <w:rFonts w:hint="eastAsia" w:ascii="宋体" w:hAnsi="宋体"/>
          <w:szCs w:val="21"/>
        </w:rPr>
        <w:t>加盖书面授权通知中的预留印鉴生效。</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我司发送及接收传真的传真号码：</w:t>
      </w:r>
    </w:p>
    <w:p>
      <w:pPr>
        <w:adjustRightInd w:val="0"/>
        <w:snapToGrid w:val="0"/>
        <w:spacing w:line="360" w:lineRule="auto"/>
        <w:ind w:firstLine="420" w:firstLineChars="200"/>
        <w:rPr>
          <w:rFonts w:ascii="宋体" w:hAnsi="宋体"/>
          <w:szCs w:val="21"/>
        </w:rPr>
      </w:pPr>
      <w:r>
        <w:rPr>
          <w:rFonts w:hint="eastAsia" w:ascii="宋体" w:hAnsi="宋体"/>
          <w:szCs w:val="21"/>
        </w:rPr>
        <w:t>我司发送指令附件的电子邮箱：</w:t>
      </w:r>
    </w:p>
    <w:p>
      <w:pPr>
        <w:adjustRightInd w:val="0"/>
        <w:snapToGrid w:val="0"/>
        <w:spacing w:line="360" w:lineRule="auto"/>
        <w:ind w:firstLine="420" w:firstLineChars="200"/>
        <w:rPr>
          <w:rFonts w:ascii="宋体" w:hAnsi="宋体"/>
          <w:szCs w:val="21"/>
        </w:rPr>
      </w:pPr>
      <w:r>
        <w:rPr>
          <w:rFonts w:hint="eastAsia" w:ascii="宋体" w:hAnsi="宋体"/>
          <w:szCs w:val="21"/>
        </w:rPr>
        <w:t>我司指令确认人员及指令确认电话号码：</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jc w:val="right"/>
        <w:rPr>
          <w:rFonts w:ascii="仿宋_GB2312" w:eastAsia="仿宋_GB2312"/>
          <w:sz w:val="28"/>
          <w:szCs w:val="28"/>
        </w:rPr>
      </w:pPr>
      <w:r>
        <w:rPr>
          <w:rFonts w:ascii="宋体" w:hAnsi="宋体"/>
          <w:szCs w:val="21"/>
        </w:rPr>
        <w:t xml:space="preserve">               </w:t>
      </w:r>
      <w:r>
        <w:rPr>
          <w:rFonts w:hint="eastAsia" w:ascii="仿宋_GB2312" w:eastAsia="仿宋_GB2312"/>
          <w:sz w:val="28"/>
          <w:szCs w:val="28"/>
          <w:lang w:eastAsia="zh-CN"/>
        </w:rPr>
        <w:t>阜新</w:t>
      </w:r>
      <w:r>
        <w:rPr>
          <w:rFonts w:hint="eastAsia" w:ascii="仿宋_GB2312" w:eastAsia="仿宋_GB2312"/>
          <w:sz w:val="28"/>
          <w:szCs w:val="28"/>
        </w:rPr>
        <w:t>银行股份有限公司</w:t>
      </w:r>
    </w:p>
    <w:p>
      <w:pPr>
        <w:adjustRightInd w:val="0"/>
        <w:snapToGrid w:val="0"/>
        <w:spacing w:line="360" w:lineRule="auto"/>
        <w:ind w:firstLine="420" w:firstLineChars="200"/>
        <w:jc w:val="right"/>
        <w:rPr>
          <w:rFonts w:ascii="宋体" w:hAnsi="宋体"/>
          <w:szCs w:val="21"/>
        </w:rPr>
      </w:pPr>
      <w:r>
        <w:rPr>
          <w:rFonts w:ascii="宋体" w:hAnsi="宋体"/>
          <w:szCs w:val="21"/>
        </w:rPr>
        <w:t>（</w:t>
      </w:r>
      <w:r>
        <w:rPr>
          <w:rFonts w:hint="eastAsia" w:ascii="宋体" w:hAnsi="宋体"/>
          <w:szCs w:val="21"/>
        </w:rPr>
        <w:t>公章或预留印鉴</w:t>
      </w:r>
      <w:r>
        <w:rPr>
          <w:rFonts w:ascii="宋体" w:hAnsi="宋体"/>
          <w:szCs w:val="21"/>
        </w:rPr>
        <w:t>）</w:t>
      </w:r>
    </w:p>
    <w:p>
      <w:pPr>
        <w:adjustRightInd w:val="0"/>
        <w:snapToGrid w:val="0"/>
        <w:spacing w:line="360" w:lineRule="auto"/>
        <w:ind w:firstLine="420" w:firstLineChars="200"/>
        <w:jc w:val="right"/>
        <w:rPr>
          <w:rFonts w:ascii="宋体" w:hAnsi="宋体"/>
          <w:szCs w:val="21"/>
        </w:rPr>
      </w:pPr>
      <w:r>
        <w:rPr>
          <w:rFonts w:ascii="宋体" w:hAnsi="宋体"/>
          <w:szCs w:val="21"/>
        </w:rPr>
        <w:t xml:space="preserve">                                      年  月  日 </w:t>
      </w:r>
    </w:p>
    <w:p>
      <w:pPr>
        <w:widowControl/>
        <w:jc w:val="left"/>
        <w:rPr>
          <w:rFonts w:ascii="宋体" w:hAnsi="宋体"/>
          <w:szCs w:val="21"/>
        </w:rPr>
      </w:pPr>
      <w:r>
        <w:rPr>
          <w:rFonts w:ascii="宋体" w:hAnsi="宋体"/>
          <w:szCs w:val="21"/>
        </w:rPr>
        <w:br w:type="page"/>
      </w:r>
    </w:p>
    <w:p>
      <w:pPr>
        <w:adjustRightInd w:val="0"/>
        <w:snapToGrid w:val="0"/>
        <w:spacing w:line="360" w:lineRule="auto"/>
        <w:ind w:firstLine="560" w:firstLineChars="200"/>
        <w:jc w:val="center"/>
        <w:rPr>
          <w:rFonts w:ascii="宋体" w:hAnsi="宋体"/>
          <w:sz w:val="28"/>
          <w:szCs w:val="28"/>
        </w:rPr>
      </w:pPr>
      <w:r>
        <w:rPr>
          <w:rFonts w:hint="eastAsia" w:ascii="宋体" w:hAnsi="宋体"/>
          <w:sz w:val="28"/>
          <w:szCs w:val="28"/>
        </w:rPr>
        <w:t>回</w:t>
      </w:r>
      <w:r>
        <w:rPr>
          <w:rFonts w:ascii="宋体" w:hAnsi="宋体"/>
          <w:sz w:val="28"/>
          <w:szCs w:val="28"/>
        </w:rPr>
        <w:t xml:space="preserve">   </w:t>
      </w:r>
      <w:r>
        <w:rPr>
          <w:rFonts w:hint="eastAsia" w:ascii="宋体" w:hAnsi="宋体"/>
          <w:sz w:val="28"/>
          <w:szCs w:val="28"/>
        </w:rPr>
        <w:t>执（样本）</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阜新</w:t>
      </w:r>
      <w:r>
        <w:rPr>
          <w:rFonts w:hint="eastAsia" w:ascii="宋体" w:hAnsi="宋体"/>
          <w:szCs w:val="21"/>
        </w:rPr>
        <w:t>银行股份有限公司</w:t>
      </w:r>
      <w:r>
        <w:rPr>
          <w:rFonts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 xml:space="preserve">    你司发送的</w:t>
      </w:r>
      <w:r>
        <w:rPr>
          <w:rFonts w:hint="eastAsia" w:ascii="宋体" w:hAnsi="宋体"/>
          <w:szCs w:val="21"/>
        </w:rPr>
        <w:t>《电子指令启用函》已收悉，现反馈我行接收指令方式如下：</w:t>
      </w:r>
      <w:r>
        <w:rPr>
          <w:rFonts w:ascii="宋体" w:hAnsi="宋体"/>
          <w:szCs w:val="21"/>
        </w:rPr>
        <w:br w:type="textWrapping"/>
      </w:r>
      <w:r>
        <w:rPr>
          <w:rFonts w:ascii="宋体" w:hAnsi="宋体"/>
          <w:szCs w:val="21"/>
        </w:rPr>
        <w:t xml:space="preserve">        </w:t>
      </w:r>
      <w:r>
        <w:rPr>
          <w:rFonts w:hint="eastAsia" w:ascii="宋体" w:hAnsi="宋体"/>
          <w:szCs w:val="21"/>
        </w:rPr>
        <w:t>我行接收传真指令的传真号码：；</w:t>
      </w:r>
    </w:p>
    <w:p>
      <w:pPr>
        <w:adjustRightInd w:val="0"/>
        <w:snapToGrid w:val="0"/>
        <w:spacing w:line="360" w:lineRule="auto"/>
        <w:ind w:firstLine="840" w:firstLineChars="400"/>
        <w:rPr>
          <w:rFonts w:ascii="宋体" w:hAnsi="宋体"/>
          <w:szCs w:val="21"/>
        </w:rPr>
      </w:pPr>
      <w:r>
        <w:rPr>
          <w:rFonts w:hint="eastAsia" w:ascii="宋体" w:hAnsi="宋体"/>
          <w:szCs w:val="21"/>
        </w:rPr>
        <w:t>我行接收指令附件的电子邮箱：              及相关项目经办人员邮箱；</w:t>
      </w:r>
    </w:p>
    <w:p>
      <w:pPr>
        <w:adjustRightInd w:val="0"/>
        <w:snapToGrid w:val="0"/>
        <w:spacing w:line="360" w:lineRule="auto"/>
        <w:ind w:firstLine="840" w:firstLineChars="400"/>
        <w:rPr>
          <w:rFonts w:ascii="宋体" w:hAnsi="宋体"/>
          <w:szCs w:val="21"/>
        </w:rPr>
      </w:pPr>
      <w:r>
        <w:rPr>
          <w:rFonts w:hint="eastAsia" w:ascii="宋体" w:hAnsi="宋体"/>
          <w:szCs w:val="21"/>
        </w:rPr>
        <w:t>我行指令确认人员及指令确认电话号码：</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jc w:val="right"/>
        <w:rPr>
          <w:rFonts w:ascii="宋体" w:hAnsi="宋体"/>
          <w:szCs w:val="21"/>
        </w:rPr>
      </w:pPr>
      <w:r>
        <w:rPr>
          <w:rFonts w:ascii="宋体" w:hAnsi="宋体"/>
          <w:szCs w:val="21"/>
        </w:rPr>
        <w:t xml:space="preserve">                       </w:t>
      </w:r>
      <w:r>
        <w:rPr>
          <w:rFonts w:hint="eastAsia" w:ascii="宋体" w:hAnsi="宋体"/>
          <w:szCs w:val="21"/>
        </w:rPr>
        <w:t>中信</w:t>
      </w:r>
      <w:r>
        <w:rPr>
          <w:rFonts w:ascii="宋体" w:hAnsi="宋体"/>
          <w:szCs w:val="21"/>
        </w:rPr>
        <w:t>银行股份有限公司</w:t>
      </w:r>
    </w:p>
    <w:p>
      <w:pPr>
        <w:adjustRightInd w:val="0"/>
        <w:snapToGrid w:val="0"/>
        <w:spacing w:line="360" w:lineRule="auto"/>
        <w:ind w:firstLine="420" w:firstLineChars="200"/>
        <w:jc w:val="right"/>
        <w:rPr>
          <w:rFonts w:ascii="宋体" w:hAnsi="宋体"/>
          <w:szCs w:val="21"/>
        </w:rPr>
      </w:pPr>
      <w:r>
        <w:rPr>
          <w:rFonts w:hint="eastAsia" w:ascii="宋体" w:hAnsi="宋体"/>
          <w:szCs w:val="21"/>
        </w:rPr>
        <w:t>（公章或预留印鉴）</w:t>
      </w:r>
    </w:p>
    <w:p>
      <w:pPr>
        <w:adjustRightInd w:val="0"/>
        <w:snapToGrid w:val="0"/>
        <w:spacing w:line="360" w:lineRule="auto"/>
        <w:ind w:firstLine="420" w:firstLineChars="200"/>
        <w:jc w:val="right"/>
        <w:rPr>
          <w:rFonts w:ascii="宋体" w:hAnsi="宋体"/>
          <w:szCs w:val="21"/>
        </w:rPr>
      </w:pPr>
      <w:r>
        <w:rPr>
          <w:rFonts w:ascii="宋体" w:hAnsi="宋体"/>
          <w:szCs w:val="21"/>
        </w:rPr>
        <w:t xml:space="preserve">                                    年   月   日</w:t>
      </w:r>
    </w:p>
    <w:p>
      <w:pPr>
        <w:rPr>
          <w:sz w:val="24"/>
        </w:rPr>
      </w:pPr>
      <w:r>
        <w:rPr>
          <w:rFonts w:ascii="宋体" w:hAnsi="宋体"/>
          <w:szCs w:val="21"/>
        </w:rPr>
        <w:br w:type="page"/>
      </w:r>
      <w:r>
        <w:rPr>
          <w:rFonts w:hint="eastAsia"/>
          <w:sz w:val="24"/>
        </w:rPr>
        <w:t>附件四</w:t>
      </w:r>
    </w:p>
    <w:p>
      <w:pPr>
        <w:rPr>
          <w:sz w:val="24"/>
        </w:rPr>
      </w:pPr>
    </w:p>
    <w:p>
      <w:pPr>
        <w:tabs>
          <w:tab w:val="left" w:pos="6090"/>
        </w:tabs>
        <w:spacing w:line="360" w:lineRule="auto"/>
        <w:jc w:val="center"/>
        <w:rPr>
          <w:rFonts w:ascii="仿宋_GB2312" w:hAnsi="宋体" w:eastAsia="仿宋_GB2312"/>
          <w:b/>
          <w:sz w:val="24"/>
        </w:rPr>
      </w:pPr>
      <w:r>
        <w:rPr>
          <w:rFonts w:hint="eastAsia" w:ascii="仿宋_GB2312" w:hAnsi="宋体" w:eastAsia="仿宋_GB2312"/>
          <w:b/>
          <w:sz w:val="24"/>
          <w:lang w:val="en-US" w:eastAsia="zh-CN"/>
        </w:rPr>
        <w:t>阜新</w:t>
      </w:r>
      <w:r>
        <w:rPr>
          <w:rFonts w:hint="eastAsia" w:ascii="仿宋_GB2312" w:hAnsi="宋体" w:eastAsia="仿宋_GB2312"/>
          <w:b/>
          <w:sz w:val="24"/>
        </w:rPr>
        <w:t>银行</w:t>
      </w:r>
      <w:r>
        <w:rPr>
          <w:rFonts w:hint="eastAsia" w:ascii="仿宋_GB2312" w:hAnsi="宋体" w:eastAsia="仿宋_GB2312"/>
          <w:b/>
          <w:sz w:val="24"/>
          <w:lang w:eastAsia="zh-CN"/>
        </w:rPr>
        <w:t>封闭式</w:t>
      </w:r>
      <w:r>
        <w:rPr>
          <w:rFonts w:hint="eastAsia" w:ascii="仿宋_GB2312" w:hAnsi="宋体" w:eastAsia="仿宋_GB2312"/>
          <w:b/>
          <w:sz w:val="24"/>
        </w:rPr>
        <w:t>净值型</w:t>
      </w:r>
      <w:r>
        <w:rPr>
          <w:rFonts w:hint="eastAsia" w:ascii="仿宋_GB2312" w:hAnsi="宋体" w:eastAsia="仿宋_GB2312"/>
          <w:b/>
          <w:sz w:val="24"/>
          <w:lang w:eastAsia="zh-CN"/>
        </w:rPr>
        <w:t>系列</w:t>
      </w:r>
      <w:r>
        <w:rPr>
          <w:rFonts w:hint="eastAsia" w:ascii="仿宋_GB2312" w:hAnsi="宋体" w:eastAsia="仿宋_GB2312"/>
          <w:b/>
          <w:sz w:val="24"/>
        </w:rPr>
        <w:t>理财产品【××期】</w:t>
      </w:r>
    </w:p>
    <w:p>
      <w:pPr>
        <w:tabs>
          <w:tab w:val="left" w:pos="6090"/>
        </w:tabs>
        <w:spacing w:line="360" w:lineRule="auto"/>
        <w:jc w:val="center"/>
        <w:rPr>
          <w:rFonts w:ascii="仿宋_GB2312" w:hAnsi="宋体" w:eastAsia="仿宋_GB2312"/>
          <w:b/>
          <w:sz w:val="24"/>
        </w:rPr>
      </w:pPr>
      <w:r>
        <w:rPr>
          <w:rFonts w:hint="eastAsia" w:ascii="仿宋_GB2312" w:hAnsi="宋体" w:eastAsia="仿宋_GB2312"/>
          <w:b/>
          <w:sz w:val="24"/>
        </w:rPr>
        <w:t>产品要素表</w:t>
      </w:r>
    </w:p>
    <w:tbl>
      <w:tblPr>
        <w:tblStyle w:val="13"/>
        <w:tblW w:w="7975" w:type="dxa"/>
        <w:tblInd w:w="93" w:type="dxa"/>
        <w:tblLayout w:type="fixed"/>
        <w:tblCellMar>
          <w:top w:w="0" w:type="dxa"/>
          <w:left w:w="108" w:type="dxa"/>
          <w:bottom w:w="0" w:type="dxa"/>
          <w:right w:w="108" w:type="dxa"/>
        </w:tblCellMar>
      </w:tblPr>
      <w:tblGrid>
        <w:gridCol w:w="1820"/>
        <w:gridCol w:w="1456"/>
        <w:gridCol w:w="659"/>
        <w:gridCol w:w="475"/>
        <w:gridCol w:w="1275"/>
        <w:gridCol w:w="2290"/>
      </w:tblGrid>
      <w:tr>
        <w:tblPrEx>
          <w:tblLayout w:type="fixed"/>
          <w:tblCellMar>
            <w:top w:w="0" w:type="dxa"/>
            <w:left w:w="108" w:type="dxa"/>
            <w:bottom w:w="0" w:type="dxa"/>
            <w:right w:w="108" w:type="dxa"/>
          </w:tblCellMar>
        </w:tblPrEx>
        <w:trPr>
          <w:trHeight w:val="435" w:hRule="atLeast"/>
        </w:trPr>
        <w:tc>
          <w:tcPr>
            <w:tcW w:w="1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理财产品名称</w:t>
            </w:r>
          </w:p>
        </w:tc>
        <w:tc>
          <w:tcPr>
            <w:tcW w:w="615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lang w:val="en-US" w:eastAsia="zh-CN"/>
              </w:rPr>
              <w:t>XX</w:t>
            </w:r>
            <w:r>
              <w:rPr>
                <w:rFonts w:hint="eastAsia" w:ascii="宋体" w:hAnsi="宋体" w:cs="宋体"/>
                <w:b/>
                <w:color w:val="000000"/>
                <w:kern w:val="0"/>
                <w:sz w:val="18"/>
                <w:szCs w:val="18"/>
              </w:rPr>
              <w:t>银行净值型理财产品【××期】</w:t>
            </w:r>
          </w:p>
        </w:tc>
      </w:tr>
      <w:tr>
        <w:tblPrEx>
          <w:tblLayout w:type="fixed"/>
          <w:tblCellMar>
            <w:top w:w="0" w:type="dxa"/>
            <w:left w:w="108" w:type="dxa"/>
            <w:bottom w:w="0" w:type="dxa"/>
            <w:right w:w="108" w:type="dxa"/>
          </w:tblCellMar>
        </w:tblPrEx>
        <w:trPr>
          <w:trHeight w:val="405"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理财产品期限</w:t>
            </w:r>
          </w:p>
        </w:tc>
        <w:tc>
          <w:tcPr>
            <w:tcW w:w="615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20××年××月××日至20××年××月××日</w:t>
            </w:r>
          </w:p>
        </w:tc>
      </w:tr>
      <w:tr>
        <w:tblPrEx>
          <w:tblLayout w:type="fixed"/>
          <w:tblCellMar>
            <w:top w:w="0" w:type="dxa"/>
            <w:left w:w="108" w:type="dxa"/>
            <w:bottom w:w="0" w:type="dxa"/>
            <w:right w:w="108" w:type="dxa"/>
          </w:tblCellMar>
        </w:tblPrEx>
        <w:trPr>
          <w:trHeight w:val="405"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托管户账户信息</w:t>
            </w:r>
          </w:p>
        </w:tc>
        <w:tc>
          <w:tcPr>
            <w:tcW w:w="6155" w:type="dxa"/>
            <w:gridSpan w:val="5"/>
            <w:tcBorders>
              <w:top w:val="single" w:color="auto" w:sz="4" w:space="0"/>
              <w:left w:val="nil"/>
              <w:bottom w:val="single" w:color="auto" w:sz="4" w:space="0"/>
              <w:right w:val="single" w:color="auto" w:sz="4" w:space="0"/>
            </w:tcBorders>
            <w:vAlign w:val="center"/>
          </w:tcPr>
          <w:p>
            <w:pPr>
              <w:widowControl/>
              <w:rPr>
                <w:rFonts w:ascii="宋体" w:hAnsi="宋体" w:cs="宋体"/>
                <w:b/>
                <w:color w:val="000000"/>
                <w:kern w:val="0"/>
                <w:sz w:val="18"/>
                <w:szCs w:val="18"/>
              </w:rPr>
            </w:pPr>
            <w:r>
              <w:rPr>
                <w:rFonts w:hint="eastAsia" w:ascii="宋体" w:hAnsi="宋体" w:cs="宋体"/>
                <w:b/>
                <w:color w:val="000000"/>
                <w:kern w:val="0"/>
                <w:sz w:val="18"/>
                <w:szCs w:val="18"/>
              </w:rPr>
              <w:t>户</w:t>
            </w:r>
            <w:r>
              <w:rPr>
                <w:rFonts w:ascii="宋体" w:hAnsi="宋体" w:cs="宋体"/>
                <w:b/>
                <w:color w:val="000000"/>
                <w:kern w:val="0"/>
                <w:sz w:val="18"/>
                <w:szCs w:val="18"/>
              </w:rPr>
              <w:t xml:space="preserve">  </w:t>
            </w:r>
            <w:r>
              <w:rPr>
                <w:rFonts w:hint="eastAsia" w:ascii="宋体" w:hAnsi="宋体" w:cs="宋体"/>
                <w:b/>
                <w:color w:val="000000"/>
                <w:kern w:val="0"/>
                <w:sz w:val="18"/>
                <w:szCs w:val="18"/>
              </w:rPr>
              <w:t>名：</w:t>
            </w:r>
          </w:p>
          <w:p>
            <w:pPr>
              <w:widowControl/>
              <w:rPr>
                <w:rFonts w:ascii="宋体" w:hAnsi="宋体" w:cs="宋体"/>
                <w:b/>
                <w:color w:val="000000"/>
                <w:kern w:val="0"/>
                <w:sz w:val="18"/>
                <w:szCs w:val="18"/>
              </w:rPr>
            </w:pPr>
            <w:r>
              <w:rPr>
                <w:rFonts w:hint="eastAsia" w:ascii="宋体" w:hAnsi="宋体" w:cs="宋体"/>
                <w:b/>
                <w:color w:val="000000"/>
                <w:kern w:val="0"/>
                <w:sz w:val="18"/>
                <w:szCs w:val="18"/>
              </w:rPr>
              <w:t>账</w:t>
            </w:r>
            <w:r>
              <w:rPr>
                <w:rFonts w:ascii="宋体" w:hAnsi="宋体" w:cs="宋体"/>
                <w:b/>
                <w:color w:val="000000"/>
                <w:kern w:val="0"/>
                <w:sz w:val="18"/>
                <w:szCs w:val="18"/>
              </w:rPr>
              <w:t xml:space="preserve">  </w:t>
            </w:r>
            <w:r>
              <w:rPr>
                <w:rFonts w:hint="eastAsia" w:ascii="宋体" w:hAnsi="宋体" w:cs="宋体"/>
                <w:b/>
                <w:color w:val="000000"/>
                <w:kern w:val="0"/>
                <w:sz w:val="18"/>
                <w:szCs w:val="18"/>
              </w:rPr>
              <w:t>号：</w:t>
            </w:r>
          </w:p>
          <w:p>
            <w:pPr>
              <w:widowControl/>
              <w:rPr>
                <w:rFonts w:ascii="宋体" w:hAnsi="宋体" w:cs="宋体"/>
                <w:b/>
                <w:color w:val="000000"/>
                <w:kern w:val="0"/>
                <w:sz w:val="18"/>
                <w:szCs w:val="18"/>
              </w:rPr>
            </w:pPr>
            <w:r>
              <w:rPr>
                <w:rFonts w:hint="eastAsia" w:ascii="宋体" w:hAnsi="宋体" w:cs="宋体"/>
                <w:b/>
                <w:color w:val="000000"/>
                <w:kern w:val="0"/>
                <w:sz w:val="18"/>
                <w:szCs w:val="18"/>
              </w:rPr>
              <w:t>开户行：</w:t>
            </w:r>
          </w:p>
          <w:p>
            <w:pPr>
              <w:widowControl/>
              <w:rPr>
                <w:rFonts w:ascii="宋体" w:hAnsi="宋体" w:cs="宋体"/>
                <w:b/>
                <w:color w:val="000000"/>
                <w:kern w:val="0"/>
                <w:sz w:val="18"/>
                <w:szCs w:val="18"/>
              </w:rPr>
            </w:pPr>
            <w:r>
              <w:rPr>
                <w:rFonts w:hint="eastAsia" w:ascii="宋体" w:hAnsi="宋体" w:cs="宋体"/>
                <w:b/>
                <w:color w:val="000000"/>
                <w:kern w:val="0"/>
                <w:sz w:val="18"/>
                <w:szCs w:val="18"/>
              </w:rPr>
              <w:t>账户利率：</w:t>
            </w:r>
          </w:p>
        </w:tc>
      </w:tr>
      <w:tr>
        <w:tblPrEx>
          <w:tblLayout w:type="fixed"/>
          <w:tblCellMar>
            <w:top w:w="0" w:type="dxa"/>
            <w:left w:w="108" w:type="dxa"/>
            <w:bottom w:w="0" w:type="dxa"/>
            <w:right w:w="108" w:type="dxa"/>
          </w:tblCellMar>
        </w:tblPrEx>
        <w:trPr>
          <w:trHeight w:val="405"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证券资金账户信息</w:t>
            </w:r>
          </w:p>
        </w:tc>
        <w:tc>
          <w:tcPr>
            <w:tcW w:w="6155" w:type="dxa"/>
            <w:gridSpan w:val="5"/>
            <w:tcBorders>
              <w:top w:val="single" w:color="auto" w:sz="4" w:space="0"/>
              <w:left w:val="nil"/>
              <w:bottom w:val="single" w:color="auto" w:sz="4" w:space="0"/>
              <w:right w:val="single" w:color="auto" w:sz="4" w:space="0"/>
            </w:tcBorders>
            <w:vAlign w:val="center"/>
          </w:tcPr>
          <w:p>
            <w:pPr>
              <w:widowControl/>
              <w:rPr>
                <w:rFonts w:ascii="宋体" w:hAnsi="宋体" w:cs="宋体"/>
                <w:b/>
                <w:color w:val="000000"/>
                <w:kern w:val="0"/>
                <w:sz w:val="18"/>
                <w:szCs w:val="18"/>
              </w:rPr>
            </w:pPr>
            <w:r>
              <w:rPr>
                <w:rFonts w:hint="eastAsia" w:ascii="宋体" w:hAnsi="宋体" w:cs="宋体"/>
                <w:b/>
                <w:color w:val="000000"/>
                <w:kern w:val="0"/>
                <w:sz w:val="18"/>
                <w:szCs w:val="18"/>
              </w:rPr>
              <w:t>户</w:t>
            </w:r>
            <w:r>
              <w:rPr>
                <w:rFonts w:ascii="宋体" w:hAnsi="宋体" w:cs="宋体"/>
                <w:b/>
                <w:color w:val="000000"/>
                <w:kern w:val="0"/>
                <w:sz w:val="18"/>
                <w:szCs w:val="18"/>
              </w:rPr>
              <w:t xml:space="preserve">  </w:t>
            </w:r>
            <w:r>
              <w:rPr>
                <w:rFonts w:hint="eastAsia" w:ascii="宋体" w:hAnsi="宋体" w:cs="宋体"/>
                <w:b/>
                <w:color w:val="000000"/>
                <w:kern w:val="0"/>
                <w:sz w:val="18"/>
                <w:szCs w:val="18"/>
              </w:rPr>
              <w:t>名：</w:t>
            </w:r>
          </w:p>
          <w:p>
            <w:pPr>
              <w:widowControl/>
              <w:rPr>
                <w:rFonts w:ascii="宋体" w:hAnsi="宋体" w:cs="宋体"/>
                <w:b/>
                <w:color w:val="000000"/>
                <w:kern w:val="0"/>
                <w:sz w:val="18"/>
                <w:szCs w:val="18"/>
              </w:rPr>
            </w:pPr>
            <w:r>
              <w:rPr>
                <w:rFonts w:hint="eastAsia" w:ascii="宋体" w:hAnsi="宋体" w:cs="宋体"/>
                <w:b/>
                <w:color w:val="000000"/>
                <w:kern w:val="0"/>
                <w:sz w:val="18"/>
                <w:szCs w:val="18"/>
              </w:rPr>
              <w:t>账</w:t>
            </w:r>
            <w:r>
              <w:rPr>
                <w:rFonts w:ascii="宋体" w:hAnsi="宋体" w:cs="宋体"/>
                <w:b/>
                <w:color w:val="000000"/>
                <w:kern w:val="0"/>
                <w:sz w:val="18"/>
                <w:szCs w:val="18"/>
              </w:rPr>
              <w:t xml:space="preserve">  </w:t>
            </w:r>
            <w:r>
              <w:rPr>
                <w:rFonts w:hint="eastAsia" w:ascii="宋体" w:hAnsi="宋体" w:cs="宋体"/>
                <w:b/>
                <w:color w:val="000000"/>
                <w:kern w:val="0"/>
                <w:sz w:val="18"/>
                <w:szCs w:val="18"/>
              </w:rPr>
              <w:t>号：</w:t>
            </w:r>
          </w:p>
          <w:p>
            <w:pPr>
              <w:widowControl/>
              <w:rPr>
                <w:rFonts w:ascii="宋体" w:hAnsi="宋体" w:cs="宋体"/>
                <w:b/>
                <w:color w:val="000000"/>
                <w:kern w:val="0"/>
                <w:sz w:val="18"/>
                <w:szCs w:val="18"/>
              </w:rPr>
            </w:pPr>
            <w:r>
              <w:rPr>
                <w:rFonts w:hint="eastAsia" w:ascii="宋体" w:hAnsi="宋体" w:cs="宋体"/>
                <w:b/>
                <w:color w:val="000000"/>
                <w:kern w:val="0"/>
                <w:sz w:val="18"/>
                <w:szCs w:val="18"/>
              </w:rPr>
              <w:t>开户行：</w:t>
            </w:r>
          </w:p>
          <w:p>
            <w:pPr>
              <w:widowControl/>
              <w:rPr>
                <w:rFonts w:ascii="宋体" w:hAnsi="宋体" w:cs="宋体"/>
                <w:b/>
                <w:color w:val="000000"/>
                <w:kern w:val="0"/>
                <w:sz w:val="18"/>
                <w:szCs w:val="18"/>
              </w:rPr>
            </w:pPr>
            <w:r>
              <w:rPr>
                <w:rFonts w:hint="eastAsia" w:ascii="宋体" w:hAnsi="宋体" w:cs="宋体"/>
                <w:b/>
                <w:color w:val="000000"/>
                <w:kern w:val="0"/>
                <w:sz w:val="18"/>
                <w:szCs w:val="18"/>
              </w:rPr>
              <w:t>账户利率：</w:t>
            </w:r>
          </w:p>
        </w:tc>
      </w:tr>
      <w:tr>
        <w:tblPrEx>
          <w:tblLayout w:type="fixed"/>
          <w:tblCellMar>
            <w:top w:w="0" w:type="dxa"/>
            <w:left w:w="108" w:type="dxa"/>
            <w:bottom w:w="0" w:type="dxa"/>
            <w:right w:w="108" w:type="dxa"/>
          </w:tblCellMar>
        </w:tblPrEx>
        <w:trPr>
          <w:trHeight w:val="270"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估值频次</w:t>
            </w:r>
          </w:p>
        </w:tc>
        <w:tc>
          <w:tcPr>
            <w:tcW w:w="2590" w:type="dxa"/>
            <w:gridSpan w:val="3"/>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每日对（当日、前一日）估值</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核对频次</w:t>
            </w:r>
          </w:p>
        </w:tc>
        <w:tc>
          <w:tcPr>
            <w:tcW w:w="229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每日核对（上一日、当日）</w:t>
            </w: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申赎约定</w:t>
            </w:r>
          </w:p>
        </w:tc>
        <w:tc>
          <w:tcPr>
            <w:tcW w:w="14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申购确认日</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T日</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申购结算日</w:t>
            </w:r>
          </w:p>
        </w:tc>
        <w:tc>
          <w:tcPr>
            <w:tcW w:w="229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T+1日</w:t>
            </w: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赎回确认日</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T日</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赎回结算日</w:t>
            </w:r>
          </w:p>
        </w:tc>
        <w:tc>
          <w:tcPr>
            <w:tcW w:w="229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T+1日</w:t>
            </w:r>
          </w:p>
        </w:tc>
      </w:tr>
      <w:tr>
        <w:tblPrEx>
          <w:tblLayout w:type="fixed"/>
          <w:tblCellMar>
            <w:top w:w="0" w:type="dxa"/>
            <w:left w:w="108" w:type="dxa"/>
            <w:bottom w:w="0" w:type="dxa"/>
            <w:right w:w="108" w:type="dxa"/>
          </w:tblCellMar>
        </w:tblPrEx>
        <w:trPr>
          <w:trHeight w:val="270"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理财产品开放日</w:t>
            </w:r>
          </w:p>
        </w:tc>
        <w:tc>
          <w:tcPr>
            <w:tcW w:w="2590" w:type="dxa"/>
            <w:gridSpan w:val="3"/>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每（日、周、月……年）第×工作日</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单位净值保留位数</w:t>
            </w:r>
          </w:p>
        </w:tc>
        <w:tc>
          <w:tcPr>
            <w:tcW w:w="229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highlight w:val="none"/>
              </w:rPr>
              <w:t>小数点后第</w:t>
            </w:r>
            <w:r>
              <w:rPr>
                <w:rFonts w:hint="eastAsia" w:ascii="宋体" w:hAnsi="宋体" w:cs="宋体"/>
                <w:b/>
                <w:color w:val="000000"/>
                <w:kern w:val="0"/>
                <w:sz w:val="18"/>
                <w:szCs w:val="18"/>
                <w:highlight w:val="none"/>
                <w:lang w:val="en-US" w:eastAsia="zh-CN"/>
              </w:rPr>
              <w:t>6</w:t>
            </w:r>
            <w:r>
              <w:rPr>
                <w:rFonts w:hint="eastAsia" w:ascii="宋体" w:hAnsi="宋体" w:cs="宋体"/>
                <w:b/>
                <w:color w:val="000000"/>
                <w:kern w:val="0"/>
                <w:sz w:val="18"/>
                <w:szCs w:val="18"/>
                <w:highlight w:val="none"/>
              </w:rPr>
              <w:t>位，小数点后第</w:t>
            </w:r>
            <w:r>
              <w:rPr>
                <w:rFonts w:hint="eastAsia" w:ascii="宋体" w:hAnsi="宋体" w:cs="宋体"/>
                <w:b/>
                <w:color w:val="000000"/>
                <w:kern w:val="0"/>
                <w:sz w:val="18"/>
                <w:szCs w:val="18"/>
                <w:highlight w:val="none"/>
                <w:lang w:val="en-US" w:eastAsia="zh-CN"/>
              </w:rPr>
              <w:t>7</w:t>
            </w:r>
            <w:r>
              <w:rPr>
                <w:rFonts w:hint="eastAsia" w:ascii="宋体" w:hAnsi="宋体" w:cs="宋体"/>
                <w:b/>
                <w:color w:val="000000"/>
                <w:kern w:val="0"/>
                <w:sz w:val="18"/>
                <w:szCs w:val="18"/>
                <w:highlight w:val="none"/>
              </w:rPr>
              <w:t>位四舍五入</w:t>
            </w:r>
          </w:p>
        </w:tc>
      </w:tr>
      <w:tr>
        <w:tblPrEx>
          <w:tblLayout w:type="fixed"/>
          <w:tblCellMar>
            <w:top w:w="0" w:type="dxa"/>
            <w:left w:w="108" w:type="dxa"/>
            <w:bottom w:w="0" w:type="dxa"/>
            <w:right w:w="108" w:type="dxa"/>
          </w:tblCellMar>
        </w:tblPrEx>
        <w:trPr>
          <w:trHeight w:val="375"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申赎所使用净值</w:t>
            </w:r>
          </w:p>
        </w:tc>
        <w:tc>
          <w:tcPr>
            <w:tcW w:w="6155"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确认日净值</w:t>
            </w:r>
          </w:p>
        </w:tc>
      </w:tr>
      <w:tr>
        <w:tblPrEx>
          <w:tblLayout w:type="fixed"/>
          <w:tblCellMar>
            <w:top w:w="0" w:type="dxa"/>
            <w:left w:w="108" w:type="dxa"/>
            <w:bottom w:w="0" w:type="dxa"/>
            <w:right w:w="108" w:type="dxa"/>
          </w:tblCellMar>
        </w:tblPrEx>
        <w:trPr>
          <w:trHeight w:val="312"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投资范围</w:t>
            </w:r>
          </w:p>
        </w:tc>
        <w:tc>
          <w:tcPr>
            <w:tcW w:w="615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bookmarkStart w:id="4" w:name="_GoBack"/>
            <w:bookmarkEnd w:id="4"/>
          </w:p>
        </w:tc>
      </w:tr>
      <w:tr>
        <w:tblPrEx>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6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6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6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投资比例</w:t>
            </w:r>
          </w:p>
        </w:tc>
        <w:tc>
          <w:tcPr>
            <w:tcW w:w="61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rPr>
                <w:rFonts w:ascii="宋体" w:hAnsi="宋体" w:cs="宋体"/>
                <w:color w:val="000000"/>
                <w:kern w:val="0"/>
                <w:sz w:val="18"/>
                <w:szCs w:val="18"/>
              </w:rPr>
            </w:pPr>
          </w:p>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投资限制</w:t>
            </w:r>
          </w:p>
        </w:tc>
        <w:tc>
          <w:tcPr>
            <w:tcW w:w="61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 xml:space="preserve"> </w:t>
            </w:r>
          </w:p>
          <w:p>
            <w:pPr>
              <w:widowControl/>
              <w:jc w:val="center"/>
              <w:rPr>
                <w:rFonts w:ascii="宋体" w:hAnsi="宋体" w:cs="宋体"/>
                <w:b/>
                <w:color w:val="000000"/>
                <w:kern w:val="0"/>
                <w:sz w:val="18"/>
                <w:szCs w:val="18"/>
              </w:rPr>
            </w:pPr>
          </w:p>
          <w:p>
            <w:pPr>
              <w:widowControl/>
              <w:jc w:val="center"/>
              <w:rPr>
                <w:rFonts w:ascii="宋体" w:hAnsi="宋体" w:cs="宋体"/>
                <w:b/>
                <w:color w:val="000000"/>
                <w:kern w:val="0"/>
                <w:sz w:val="18"/>
                <w:szCs w:val="18"/>
              </w:rPr>
            </w:pPr>
          </w:p>
          <w:p>
            <w:pPr>
              <w:widowControl/>
              <w:jc w:val="center"/>
              <w:rPr>
                <w:rFonts w:ascii="宋体" w:hAnsi="宋体" w:cs="宋体"/>
                <w:b/>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投资监督事项</w:t>
            </w:r>
          </w:p>
        </w:tc>
        <w:tc>
          <w:tcPr>
            <w:tcW w:w="61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rPr>
            </w:pPr>
          </w:p>
          <w:p>
            <w:pPr>
              <w:widowControl/>
              <w:rPr>
                <w:rFonts w:ascii="宋体" w:hAnsi="宋体" w:cs="宋体"/>
                <w:b/>
                <w:color w:val="000000"/>
                <w:kern w:val="0"/>
                <w:sz w:val="18"/>
                <w:szCs w:val="18"/>
              </w:rPr>
            </w:pPr>
          </w:p>
          <w:p>
            <w:pPr>
              <w:widowControl/>
              <w:jc w:val="center"/>
              <w:rPr>
                <w:rFonts w:ascii="宋体" w:hAnsi="宋体" w:cs="宋体"/>
                <w:b/>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估值方法调整</w:t>
            </w:r>
          </w:p>
        </w:tc>
        <w:tc>
          <w:tcPr>
            <w:tcW w:w="6155"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无调整，与《净值型理财产品托管合同》中表述一致。（如无调整，则如此表述即可。）</w:t>
            </w:r>
          </w:p>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6155"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w:t>
            </w: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p>
          <w:p>
            <w:pPr>
              <w:widowControl/>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户  名：</w:t>
            </w:r>
          </w:p>
          <w:p>
            <w:pPr>
              <w:widowControl/>
              <w:rPr>
                <w:rFonts w:ascii="宋体" w:hAnsi="宋体" w:cs="宋体"/>
                <w:color w:val="000000"/>
                <w:kern w:val="0"/>
                <w:sz w:val="18"/>
                <w:szCs w:val="18"/>
              </w:rPr>
            </w:pPr>
            <w:r>
              <w:rPr>
                <w:rFonts w:hint="eastAsia" w:ascii="宋体" w:hAnsi="宋体" w:cs="宋体"/>
                <w:color w:val="000000"/>
                <w:kern w:val="0"/>
                <w:sz w:val="18"/>
                <w:szCs w:val="18"/>
              </w:rPr>
              <w:t>账  号：</w:t>
            </w:r>
          </w:p>
          <w:p>
            <w:pPr>
              <w:widowControl/>
              <w:rPr>
                <w:rFonts w:ascii="宋体" w:hAnsi="宋体" w:cs="宋体"/>
                <w:color w:val="000000"/>
                <w:kern w:val="0"/>
                <w:sz w:val="18"/>
                <w:szCs w:val="18"/>
              </w:rPr>
            </w:pPr>
            <w:r>
              <w:rPr>
                <w:rFonts w:hint="eastAsia" w:ascii="宋体" w:hAnsi="宋体" w:cs="宋体"/>
                <w:color w:val="000000"/>
                <w:kern w:val="0"/>
                <w:sz w:val="18"/>
                <w:szCs w:val="18"/>
              </w:rPr>
              <w:t>开户行：</w:t>
            </w: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托管费</w:t>
            </w: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每日应计提的托管费=前一日委托资产净值×【   %】费率÷365</w:t>
            </w: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托管费每日计提，按季收取</w:t>
            </w: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户  名：</w:t>
            </w:r>
          </w:p>
          <w:p>
            <w:pPr>
              <w:widowControl/>
              <w:rPr>
                <w:rFonts w:ascii="宋体" w:hAnsi="宋体" w:cs="宋体"/>
                <w:color w:val="000000"/>
                <w:kern w:val="0"/>
                <w:sz w:val="18"/>
                <w:szCs w:val="18"/>
              </w:rPr>
            </w:pPr>
            <w:r>
              <w:rPr>
                <w:rFonts w:hint="eastAsia" w:ascii="宋体" w:hAnsi="宋体" w:cs="宋体"/>
                <w:color w:val="000000"/>
                <w:kern w:val="0"/>
                <w:sz w:val="18"/>
                <w:szCs w:val="18"/>
              </w:rPr>
              <w:t>账  号：</w:t>
            </w:r>
          </w:p>
          <w:p>
            <w:pPr>
              <w:widowControl/>
              <w:rPr>
                <w:rFonts w:ascii="宋体" w:hAnsi="宋体" w:cs="宋体"/>
                <w:color w:val="000000"/>
                <w:kern w:val="0"/>
                <w:sz w:val="18"/>
                <w:szCs w:val="18"/>
              </w:rPr>
            </w:pPr>
            <w:r>
              <w:rPr>
                <w:rFonts w:hint="eastAsia" w:ascii="宋体" w:hAnsi="宋体" w:cs="宋体"/>
                <w:color w:val="000000"/>
                <w:kern w:val="0"/>
                <w:sz w:val="18"/>
                <w:szCs w:val="18"/>
              </w:rPr>
              <w:t>开户行：</w:t>
            </w: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代销服务费</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（如有请填写，无此费用可删除该行）</w:t>
            </w: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p>
          <w:p>
            <w:pPr>
              <w:widowControl/>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户  名：</w:t>
            </w:r>
          </w:p>
          <w:p>
            <w:pPr>
              <w:widowControl/>
              <w:rPr>
                <w:rFonts w:ascii="宋体" w:hAnsi="宋体" w:cs="宋体"/>
                <w:color w:val="000000"/>
                <w:kern w:val="0"/>
                <w:sz w:val="18"/>
                <w:szCs w:val="18"/>
              </w:rPr>
            </w:pPr>
            <w:r>
              <w:rPr>
                <w:rFonts w:hint="eastAsia" w:ascii="宋体" w:hAnsi="宋体" w:cs="宋体"/>
                <w:color w:val="000000"/>
                <w:kern w:val="0"/>
                <w:sz w:val="18"/>
                <w:szCs w:val="18"/>
              </w:rPr>
              <w:t>账  号：</w:t>
            </w:r>
          </w:p>
          <w:p>
            <w:pPr>
              <w:widowControl/>
              <w:rPr>
                <w:rFonts w:ascii="宋体" w:hAnsi="宋体" w:cs="宋体"/>
                <w:color w:val="000000"/>
                <w:kern w:val="0"/>
                <w:sz w:val="18"/>
                <w:szCs w:val="18"/>
              </w:rPr>
            </w:pPr>
            <w:r>
              <w:rPr>
                <w:rFonts w:hint="eastAsia" w:ascii="宋体" w:hAnsi="宋体" w:cs="宋体"/>
                <w:color w:val="000000"/>
                <w:kern w:val="0"/>
                <w:sz w:val="18"/>
                <w:szCs w:val="18"/>
              </w:rPr>
              <w:t>开户行：</w:t>
            </w: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投资顾问费</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（如有请填写，无此费用可删除该行）</w:t>
            </w: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p>
          <w:p>
            <w:pPr>
              <w:widowControl/>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户  名：</w:t>
            </w:r>
          </w:p>
          <w:p>
            <w:pPr>
              <w:widowControl/>
              <w:rPr>
                <w:rFonts w:ascii="宋体" w:hAnsi="宋体" w:cs="宋体"/>
                <w:color w:val="000000"/>
                <w:kern w:val="0"/>
                <w:sz w:val="18"/>
                <w:szCs w:val="18"/>
              </w:rPr>
            </w:pPr>
            <w:r>
              <w:rPr>
                <w:rFonts w:hint="eastAsia" w:ascii="宋体" w:hAnsi="宋体" w:cs="宋体"/>
                <w:color w:val="000000"/>
                <w:kern w:val="0"/>
                <w:sz w:val="18"/>
                <w:szCs w:val="18"/>
              </w:rPr>
              <w:t>账  号：</w:t>
            </w:r>
          </w:p>
          <w:p>
            <w:pPr>
              <w:widowControl/>
              <w:rPr>
                <w:rFonts w:ascii="宋体" w:hAnsi="宋体" w:cs="宋体"/>
                <w:color w:val="000000"/>
                <w:kern w:val="0"/>
                <w:sz w:val="18"/>
                <w:szCs w:val="18"/>
              </w:rPr>
            </w:pPr>
            <w:r>
              <w:rPr>
                <w:rFonts w:hint="eastAsia" w:ascii="宋体" w:hAnsi="宋体" w:cs="宋体"/>
                <w:color w:val="000000"/>
                <w:kern w:val="0"/>
                <w:sz w:val="18"/>
                <w:szCs w:val="18"/>
              </w:rPr>
              <w:t>开户行：</w:t>
            </w: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外包服务费</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（如有请填写，无此费用可删除该行）</w:t>
            </w: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p>
          <w:p>
            <w:pPr>
              <w:widowControl/>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户  名：</w:t>
            </w:r>
          </w:p>
          <w:p>
            <w:pPr>
              <w:widowControl/>
              <w:rPr>
                <w:rFonts w:ascii="宋体" w:hAnsi="宋体" w:cs="宋体"/>
                <w:color w:val="000000"/>
                <w:kern w:val="0"/>
                <w:sz w:val="18"/>
                <w:szCs w:val="18"/>
              </w:rPr>
            </w:pPr>
            <w:r>
              <w:rPr>
                <w:rFonts w:hint="eastAsia" w:ascii="宋体" w:hAnsi="宋体" w:cs="宋体"/>
                <w:color w:val="000000"/>
                <w:kern w:val="0"/>
                <w:sz w:val="18"/>
                <w:szCs w:val="18"/>
              </w:rPr>
              <w:t>账  号：</w:t>
            </w:r>
          </w:p>
          <w:p>
            <w:pPr>
              <w:widowControl/>
              <w:rPr>
                <w:rFonts w:ascii="宋体" w:hAnsi="宋体" w:cs="宋体"/>
                <w:color w:val="000000"/>
                <w:kern w:val="0"/>
                <w:sz w:val="18"/>
                <w:szCs w:val="18"/>
              </w:rPr>
            </w:pPr>
            <w:r>
              <w:rPr>
                <w:rFonts w:hint="eastAsia" w:ascii="宋体" w:hAnsi="宋体" w:cs="宋体"/>
                <w:color w:val="000000"/>
                <w:kern w:val="0"/>
                <w:sz w:val="18"/>
                <w:szCs w:val="18"/>
              </w:rPr>
              <w:t>开户行：</w:t>
            </w: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其他费用</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（如有请填写，无此费用可删除该行）</w:t>
            </w: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p>
          <w:p>
            <w:pPr>
              <w:widowControl/>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户  名：</w:t>
            </w:r>
          </w:p>
          <w:p>
            <w:pPr>
              <w:widowControl/>
              <w:rPr>
                <w:rFonts w:ascii="宋体" w:hAnsi="宋体" w:cs="宋体"/>
                <w:color w:val="000000"/>
                <w:kern w:val="0"/>
                <w:sz w:val="18"/>
                <w:szCs w:val="18"/>
              </w:rPr>
            </w:pPr>
            <w:r>
              <w:rPr>
                <w:rFonts w:hint="eastAsia" w:ascii="宋体" w:hAnsi="宋体" w:cs="宋体"/>
                <w:color w:val="000000"/>
                <w:kern w:val="0"/>
                <w:sz w:val="18"/>
                <w:szCs w:val="18"/>
              </w:rPr>
              <w:t>账  号：</w:t>
            </w:r>
          </w:p>
          <w:p>
            <w:pPr>
              <w:widowControl/>
              <w:rPr>
                <w:rFonts w:ascii="宋体" w:hAnsi="宋体" w:cs="宋体"/>
                <w:color w:val="000000"/>
                <w:kern w:val="0"/>
                <w:sz w:val="18"/>
                <w:szCs w:val="18"/>
              </w:rPr>
            </w:pPr>
            <w:r>
              <w:rPr>
                <w:rFonts w:hint="eastAsia" w:ascii="宋体" w:hAnsi="宋体" w:cs="宋体"/>
                <w:color w:val="000000"/>
                <w:kern w:val="0"/>
                <w:sz w:val="18"/>
                <w:szCs w:val="18"/>
              </w:rPr>
              <w:t>开户行：</w:t>
            </w:r>
          </w:p>
        </w:tc>
      </w:tr>
      <w:tr>
        <w:tblPrEx>
          <w:tblLayout w:type="fixed"/>
          <w:tblCellMar>
            <w:top w:w="0" w:type="dxa"/>
            <w:left w:w="108" w:type="dxa"/>
            <w:bottom w:w="0" w:type="dxa"/>
            <w:right w:w="108" w:type="dxa"/>
          </w:tblCellMar>
        </w:tblPrEx>
        <w:trPr>
          <w:trHeight w:val="312"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其他事项</w:t>
            </w:r>
          </w:p>
        </w:tc>
        <w:tc>
          <w:tcPr>
            <w:tcW w:w="615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bl>
    <w:p>
      <w:pPr>
        <w:rPr>
          <w:sz w:val="18"/>
          <w:szCs w:val="18"/>
        </w:rPr>
      </w:pPr>
    </w:p>
    <w:p>
      <w:pPr>
        <w:jc w:val="right"/>
        <w:rPr>
          <w:rFonts w:ascii="仿宋_GB2312" w:hAnsi="宋体" w:eastAsia="仿宋_GB2312"/>
          <w:b/>
          <w:sz w:val="24"/>
        </w:rPr>
      </w:pPr>
      <w:r>
        <w:rPr>
          <w:rFonts w:hint="eastAsia" w:ascii="仿宋_GB2312" w:hAnsi="宋体" w:eastAsia="仿宋_GB2312"/>
          <w:b/>
          <w:sz w:val="24"/>
          <w:lang w:val="en-US" w:eastAsia="zh-CN"/>
        </w:rPr>
        <w:t>阜新</w:t>
      </w:r>
      <w:r>
        <w:rPr>
          <w:rFonts w:hint="eastAsia" w:ascii="仿宋_GB2312" w:hAnsi="宋体" w:eastAsia="仿宋_GB2312"/>
          <w:b/>
          <w:sz w:val="24"/>
        </w:rPr>
        <w:t>银行股份有限公司</w:t>
      </w:r>
    </w:p>
    <w:p>
      <w:pPr>
        <w:jc w:val="right"/>
        <w:rPr>
          <w:rFonts w:ascii="仿宋_GB2312" w:hAnsi="宋体" w:eastAsia="仿宋_GB2312"/>
          <w:b/>
          <w:sz w:val="24"/>
        </w:rPr>
      </w:pPr>
      <w:r>
        <w:rPr>
          <w:rFonts w:hint="eastAsia" w:ascii="仿宋_GB2312" w:hAnsi="宋体" w:eastAsia="仿宋_GB2312"/>
          <w:b/>
          <w:sz w:val="24"/>
        </w:rPr>
        <w:t>(公章或预留印鉴)</w:t>
      </w:r>
    </w:p>
    <w:p>
      <w:pPr>
        <w:jc w:val="right"/>
        <w:rPr>
          <w:rFonts w:ascii="仿宋_GB2312" w:hAnsi="宋体" w:eastAsia="仿宋_GB2312"/>
          <w:b/>
          <w:sz w:val="24"/>
        </w:rPr>
      </w:pPr>
    </w:p>
    <w:p>
      <w:pPr>
        <w:spacing w:line="360" w:lineRule="auto"/>
        <w:jc w:val="right"/>
        <w:rPr>
          <w:rFonts w:ascii="仿宋_GB2312" w:hAnsi="宋体" w:eastAsia="仿宋_GB2312"/>
          <w:b/>
          <w:sz w:val="24"/>
        </w:rPr>
      </w:pPr>
      <w:r>
        <w:rPr>
          <w:rFonts w:hint="eastAsia" w:ascii="仿宋_GB2312" w:hAnsi="宋体" w:eastAsia="仿宋_GB2312"/>
          <w:b/>
          <w:sz w:val="24"/>
        </w:rPr>
        <w:t>年  月  日</w:t>
      </w:r>
    </w:p>
    <w:p>
      <w:pPr>
        <w:widowControl/>
        <w:jc w:val="left"/>
        <w:rPr>
          <w:rFonts w:ascii="仿宋_GB2312" w:hAnsi="宋体" w:eastAsia="仿宋_GB2312"/>
          <w:b/>
          <w:sz w:val="24"/>
        </w:rPr>
      </w:pPr>
      <w:r>
        <w:rPr>
          <w:rFonts w:ascii="仿宋_GB2312" w:hAnsi="宋体" w:eastAsia="仿宋_GB2312"/>
          <w:b/>
          <w:sz w:val="24"/>
        </w:rPr>
        <w:br w:type="page"/>
      </w:r>
      <w:r>
        <w:rPr>
          <w:rFonts w:hint="eastAsia"/>
          <w:sz w:val="24"/>
        </w:rPr>
        <w:t>附件五</w:t>
      </w:r>
    </w:p>
    <w:p>
      <w:pPr>
        <w:jc w:val="center"/>
        <w:rPr>
          <w:rFonts w:eastAsia="黑体"/>
          <w:b/>
          <w:sz w:val="28"/>
        </w:rPr>
      </w:pPr>
      <w:r>
        <w:rPr>
          <w:rFonts w:hint="eastAsia" w:eastAsia="黑体"/>
          <w:b/>
          <w:sz w:val="28"/>
          <w:lang w:val="en-US" w:eastAsia="zh-CN"/>
        </w:rPr>
        <w:t>阜新</w:t>
      </w:r>
      <w:r>
        <w:rPr>
          <w:rFonts w:hint="eastAsia" w:eastAsia="黑体"/>
          <w:b/>
          <w:sz w:val="28"/>
        </w:rPr>
        <w:t>银行</w:t>
      </w:r>
      <w:r>
        <w:rPr>
          <w:rFonts w:hint="eastAsia" w:eastAsia="黑体"/>
          <w:b/>
          <w:sz w:val="28"/>
          <w:lang w:eastAsia="zh-CN"/>
        </w:rPr>
        <w:t>封闭式</w:t>
      </w:r>
      <w:r>
        <w:rPr>
          <w:rFonts w:hint="eastAsia" w:eastAsia="黑体"/>
          <w:b/>
          <w:sz w:val="28"/>
        </w:rPr>
        <w:t>净值型系列理财产品</w:t>
      </w:r>
    </w:p>
    <w:p>
      <w:pPr>
        <w:ind w:firstLine="3654" w:firstLineChars="1300"/>
        <w:rPr>
          <w:rFonts w:eastAsia="黑体"/>
          <w:b/>
          <w:sz w:val="28"/>
        </w:rPr>
      </w:pPr>
      <w:r>
        <w:rPr>
          <w:rFonts w:hint="eastAsia" w:eastAsia="黑体"/>
          <w:b/>
          <w:sz w:val="28"/>
        </w:rPr>
        <w:t>预留印鉴</w:t>
      </w:r>
    </w:p>
    <w:p>
      <w:pPr>
        <w:adjustRightInd w:val="0"/>
        <w:snapToGrid w:val="0"/>
        <w:spacing w:line="460" w:lineRule="exact"/>
        <w:rPr>
          <w:rFonts w:ascii="宋体"/>
          <w:b/>
          <w:bCs/>
        </w:rPr>
      </w:pPr>
    </w:p>
    <w:tbl>
      <w:tblPr>
        <w:tblStyle w:val="13"/>
        <w:tblW w:w="852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6"/>
        <w:gridCol w:w="6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9" w:hRule="atLeast"/>
        </w:trPr>
        <w:tc>
          <w:tcPr>
            <w:tcW w:w="2096" w:type="dxa"/>
          </w:tcPr>
          <w:p>
            <w:pPr>
              <w:adjustRightInd w:val="0"/>
              <w:snapToGrid w:val="0"/>
              <w:spacing w:line="460" w:lineRule="exact"/>
              <w:rPr>
                <w:rFonts w:ascii="宋体"/>
                <w:b/>
                <w:bCs/>
              </w:rPr>
            </w:pPr>
          </w:p>
          <w:p>
            <w:pPr>
              <w:adjustRightInd w:val="0"/>
              <w:snapToGrid w:val="0"/>
              <w:spacing w:line="460" w:lineRule="exact"/>
              <w:rPr>
                <w:rFonts w:ascii="宋体"/>
                <w:b/>
                <w:bCs/>
              </w:rPr>
            </w:pPr>
          </w:p>
          <w:p>
            <w:pPr>
              <w:adjustRightInd w:val="0"/>
              <w:snapToGrid w:val="0"/>
              <w:spacing w:line="460" w:lineRule="exact"/>
              <w:rPr>
                <w:rFonts w:ascii="宋体"/>
                <w:b/>
                <w:bCs/>
              </w:rPr>
            </w:pPr>
          </w:p>
          <w:p>
            <w:pPr>
              <w:adjustRightInd w:val="0"/>
              <w:snapToGrid w:val="0"/>
              <w:spacing w:line="460" w:lineRule="exact"/>
              <w:rPr>
                <w:rFonts w:ascii="宋体"/>
                <w:b/>
                <w:bCs/>
              </w:rPr>
            </w:pPr>
            <w:r>
              <w:rPr>
                <w:rFonts w:ascii="宋体" w:hAnsi="宋体" w:cs="宋体"/>
                <w:b/>
                <w:bCs/>
              </w:rPr>
              <w:t xml:space="preserve"> </w:t>
            </w:r>
            <w:r>
              <w:rPr>
                <w:rFonts w:hint="eastAsia" w:ascii="宋体" w:hAnsi="宋体" w:cs="宋体"/>
                <w:b/>
                <w:bCs/>
              </w:rPr>
              <w:t>管理人预留印鉴</w:t>
            </w:r>
          </w:p>
        </w:tc>
        <w:tc>
          <w:tcPr>
            <w:tcW w:w="6424" w:type="dxa"/>
          </w:tcPr>
          <w:p>
            <w:pPr>
              <w:keepNext/>
              <w:keepLines/>
              <w:adjustRightInd w:val="0"/>
              <w:snapToGrid w:val="0"/>
              <w:spacing w:before="260" w:after="260" w:line="460" w:lineRule="exact"/>
              <w:rPr>
                <w:rFonts w:ascii="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9" w:hRule="atLeast"/>
        </w:trPr>
        <w:tc>
          <w:tcPr>
            <w:tcW w:w="2096" w:type="dxa"/>
            <w:vAlign w:val="center"/>
          </w:tcPr>
          <w:p>
            <w:pPr>
              <w:adjustRightInd w:val="0"/>
              <w:snapToGrid w:val="0"/>
              <w:spacing w:line="460" w:lineRule="exact"/>
              <w:jc w:val="center"/>
              <w:rPr>
                <w:rFonts w:ascii="宋体"/>
                <w:b/>
                <w:bCs/>
              </w:rPr>
            </w:pPr>
            <w:r>
              <w:rPr>
                <w:rFonts w:hint="eastAsia" w:ascii="宋体" w:hAnsi="宋体" w:cs="宋体"/>
                <w:b/>
                <w:bCs/>
              </w:rPr>
              <w:t>托管人预留印鉴</w:t>
            </w:r>
          </w:p>
        </w:tc>
        <w:tc>
          <w:tcPr>
            <w:tcW w:w="6424" w:type="dxa"/>
          </w:tcPr>
          <w:p>
            <w:pPr>
              <w:keepNext/>
              <w:keepLines/>
              <w:adjustRightInd w:val="0"/>
              <w:snapToGrid w:val="0"/>
              <w:spacing w:before="340" w:after="330" w:line="460" w:lineRule="exact"/>
              <w:outlineLvl w:val="0"/>
              <w:rPr>
                <w:rFonts w:hint="eastAsia" w:ascii="宋体" w:eastAsia="宋体"/>
                <w:b/>
                <w:bCs/>
                <w:lang w:val="en-US" w:eastAsia="zh-CN"/>
              </w:rPr>
            </w:pPr>
          </w:p>
        </w:tc>
      </w:tr>
    </w:tbl>
    <w:p>
      <w:pPr>
        <w:spacing w:line="240" w:lineRule="atLeast"/>
        <w:rPr>
          <w:rFonts w:ascii="宋体" w:hAnsi="宋体" w:cs="宋体"/>
          <w:b/>
          <w:sz w:val="18"/>
          <w:szCs w:val="18"/>
        </w:rPr>
      </w:pPr>
    </w:p>
    <w:p>
      <w:pPr>
        <w:spacing w:line="240" w:lineRule="atLeast"/>
        <w:rPr>
          <w:sz w:val="18"/>
          <w:szCs w:val="18"/>
        </w:rPr>
      </w:pPr>
      <w:r>
        <w:rPr>
          <w:rFonts w:hint="eastAsia" w:ascii="宋体" w:hAnsi="宋体" w:cs="宋体"/>
          <w:b/>
          <w:sz w:val="18"/>
          <w:szCs w:val="18"/>
        </w:rPr>
        <w:t>注：</w:t>
      </w:r>
      <w:r>
        <w:rPr>
          <w:rFonts w:hint="eastAsia" w:ascii="宋体" w:hAnsi="宋体" w:cs="宋体"/>
          <w:sz w:val="18"/>
          <w:szCs w:val="18"/>
        </w:rPr>
        <w:t>本表中印鉴用于本合同项下各类书面文件的签署，包括但不限于委托资产认购和追加通知书、各类说明等。除公章及本表预留印鉴以外印鉴所签署的书面文件，各当事人有权视为无效。</w:t>
      </w:r>
      <w:r>
        <w:rPr>
          <w:rFonts w:hint="eastAsia" w:ascii="宋体" w:hAnsi="宋体" w:cs="宋体"/>
          <w:b/>
          <w:sz w:val="18"/>
          <w:szCs w:val="18"/>
        </w:rPr>
        <w:t>附件一《授权通知书》、附件二《划款指令》（样本）除外。</w:t>
      </w:r>
    </w:p>
    <w:p>
      <w:pPr>
        <w:spacing w:line="360" w:lineRule="auto"/>
        <w:jc w:val="right"/>
      </w:pPr>
    </w:p>
    <w:p>
      <w:pPr>
        <w:spacing w:line="360" w:lineRule="auto"/>
        <w:jc w:val="right"/>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192144"/>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27357"/>
    <w:multiLevelType w:val="multilevel"/>
    <w:tmpl w:val="70D2735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6590"/>
    <w:rsid w:val="000941E5"/>
    <w:rsid w:val="00172A27"/>
    <w:rsid w:val="001F22D9"/>
    <w:rsid w:val="002B50D3"/>
    <w:rsid w:val="00321DA4"/>
    <w:rsid w:val="003A696A"/>
    <w:rsid w:val="003B7AE8"/>
    <w:rsid w:val="0049410F"/>
    <w:rsid w:val="004F1957"/>
    <w:rsid w:val="006D60C6"/>
    <w:rsid w:val="00A60EA2"/>
    <w:rsid w:val="00AA0490"/>
    <w:rsid w:val="00AA04EA"/>
    <w:rsid w:val="00B97D41"/>
    <w:rsid w:val="00BA0854"/>
    <w:rsid w:val="00C07957"/>
    <w:rsid w:val="00C327C8"/>
    <w:rsid w:val="00D57397"/>
    <w:rsid w:val="00D626CF"/>
    <w:rsid w:val="00E76017"/>
    <w:rsid w:val="00F83B16"/>
    <w:rsid w:val="043D1681"/>
    <w:rsid w:val="04D4041D"/>
    <w:rsid w:val="17045F30"/>
    <w:rsid w:val="1C1A7AA9"/>
    <w:rsid w:val="28385D8A"/>
    <w:rsid w:val="33453533"/>
    <w:rsid w:val="46B145EF"/>
    <w:rsid w:val="4DC50B3D"/>
    <w:rsid w:val="4F2F6A06"/>
    <w:rsid w:val="4F500D2C"/>
    <w:rsid w:val="515D6FCD"/>
    <w:rsid w:val="614717AA"/>
    <w:rsid w:val="6D32586A"/>
    <w:rsid w:val="6D8950AF"/>
    <w:rsid w:val="77CA1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adjustRightInd w:val="0"/>
      <w:spacing w:before="340" w:after="330" w:line="578" w:lineRule="auto"/>
      <w:textAlignment w:val="baseline"/>
      <w:outlineLvl w:val="0"/>
    </w:pPr>
    <w:rPr>
      <w:b/>
      <w:bCs/>
      <w:kern w:val="44"/>
      <w:sz w:val="44"/>
      <w:szCs w:val="44"/>
    </w:rPr>
  </w:style>
  <w:style w:type="character" w:default="1" w:styleId="10">
    <w:name w:val="Default Paragraph Font"/>
    <w:unhideWhenUsed/>
    <w:qFormat/>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1"/>
    <w:unhideWhenUsed/>
    <w:qFormat/>
    <w:uiPriority w:val="99"/>
    <w:rPr>
      <w:b/>
      <w:bCs/>
    </w:rPr>
  </w:style>
  <w:style w:type="paragraph" w:styleId="4">
    <w:name w:val="annotation text"/>
    <w:basedOn w:val="1"/>
    <w:link w:val="17"/>
    <w:qFormat/>
    <w:uiPriority w:val="0"/>
    <w:pPr>
      <w:jc w:val="left"/>
    </w:pPr>
  </w:style>
  <w:style w:type="paragraph" w:styleId="5">
    <w:name w:val="Body Text Indent"/>
    <w:basedOn w:val="1"/>
    <w:link w:val="16"/>
    <w:qFormat/>
    <w:uiPriority w:val="0"/>
    <w:pPr>
      <w:autoSpaceDE w:val="0"/>
      <w:autoSpaceDN w:val="0"/>
      <w:adjustRightInd w:val="0"/>
      <w:snapToGrid w:val="0"/>
      <w:spacing w:line="360" w:lineRule="auto"/>
      <w:ind w:firstLine="480" w:firstLineChars="200"/>
    </w:pPr>
    <w:rPr>
      <w:rFonts w:ascii="仿宋_GB2312" w:hAnsi="宋体" w:eastAsia="仿宋_GB2312"/>
      <w:sz w:val="24"/>
    </w:rPr>
  </w:style>
  <w:style w:type="paragraph" w:styleId="6">
    <w:name w:val="Body Text Indent 2"/>
    <w:basedOn w:val="1"/>
    <w:link w:val="19"/>
    <w:unhideWhenUsed/>
    <w:qFormat/>
    <w:uiPriority w:val="99"/>
    <w:pPr>
      <w:spacing w:after="120" w:line="480" w:lineRule="auto"/>
      <w:ind w:left="420" w:leftChars="200"/>
    </w:pPr>
  </w:style>
  <w:style w:type="paragraph" w:styleId="7">
    <w:name w:val="Balloon Text"/>
    <w:basedOn w:val="1"/>
    <w:link w:val="18"/>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unhideWhenUsed/>
    <w:qFormat/>
    <w:uiPriority w:val="99"/>
    <w:rPr>
      <w:color w:val="0000FF"/>
      <w:u w:val="single"/>
    </w:rPr>
  </w:style>
  <w:style w:type="character" w:styleId="12">
    <w:name w:val="annotation reference"/>
    <w:qFormat/>
    <w:uiPriority w:val="99"/>
    <w:rPr>
      <w:sz w:val="21"/>
      <w:szCs w:val="21"/>
    </w:rPr>
  </w:style>
  <w:style w:type="paragraph" w:customStyle="1" w:styleId="14">
    <w:name w:val="列出段落1"/>
    <w:basedOn w:val="1"/>
    <w:qFormat/>
    <w:uiPriority w:val="99"/>
    <w:pPr>
      <w:ind w:firstLine="420" w:firstLineChars="200"/>
    </w:pPr>
    <w:rPr>
      <w:rFonts w:ascii="Calibri" w:hAnsi="Calibri"/>
      <w:szCs w:val="22"/>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6">
    <w:name w:val="正文文本缩进 Char"/>
    <w:link w:val="5"/>
    <w:qFormat/>
    <w:uiPriority w:val="0"/>
    <w:rPr>
      <w:rFonts w:ascii="仿宋_GB2312" w:hAnsi="宋体" w:eastAsia="仿宋_GB2312" w:cs="Times New Roman"/>
      <w:sz w:val="24"/>
      <w:szCs w:val="24"/>
    </w:rPr>
  </w:style>
  <w:style w:type="character" w:customStyle="1" w:styleId="17">
    <w:name w:val="批注文字 Char"/>
    <w:link w:val="4"/>
    <w:qFormat/>
    <w:uiPriority w:val="0"/>
    <w:rPr>
      <w:rFonts w:ascii="Times New Roman" w:hAnsi="Times New Roman" w:eastAsia="宋体" w:cs="Times New Roman"/>
      <w:szCs w:val="24"/>
    </w:rPr>
  </w:style>
  <w:style w:type="character" w:customStyle="1" w:styleId="18">
    <w:name w:val="批注框文本 Char"/>
    <w:link w:val="7"/>
    <w:semiHidden/>
    <w:qFormat/>
    <w:uiPriority w:val="99"/>
    <w:rPr>
      <w:rFonts w:ascii="Times New Roman" w:hAnsi="Times New Roman" w:eastAsia="宋体" w:cs="Times New Roman"/>
      <w:sz w:val="18"/>
      <w:szCs w:val="18"/>
    </w:rPr>
  </w:style>
  <w:style w:type="character" w:customStyle="1" w:styleId="19">
    <w:name w:val="正文文本缩进 2 Char"/>
    <w:link w:val="6"/>
    <w:semiHidden/>
    <w:qFormat/>
    <w:uiPriority w:val="99"/>
    <w:rPr>
      <w:rFonts w:ascii="Times New Roman" w:hAnsi="Times New Roman" w:eastAsia="宋体" w:cs="Times New Roman"/>
      <w:szCs w:val="24"/>
    </w:rPr>
  </w:style>
  <w:style w:type="character" w:customStyle="1" w:styleId="20">
    <w:name w:val="标题 1 Char"/>
    <w:link w:val="2"/>
    <w:qFormat/>
    <w:uiPriority w:val="0"/>
    <w:rPr>
      <w:rFonts w:ascii="Times New Roman" w:hAnsi="Times New Roman" w:eastAsia="宋体" w:cs="Times New Roman"/>
      <w:b/>
      <w:bCs/>
      <w:kern w:val="44"/>
      <w:sz w:val="44"/>
      <w:szCs w:val="44"/>
    </w:rPr>
  </w:style>
  <w:style w:type="character" w:customStyle="1" w:styleId="21">
    <w:name w:val="批注主题 Char"/>
    <w:link w:val="3"/>
    <w:semiHidden/>
    <w:qFormat/>
    <w:uiPriority w:val="99"/>
    <w:rPr>
      <w:rFonts w:ascii="Times New Roman" w:hAnsi="Times New Roman" w:eastAsia="宋体" w:cs="Times New Roman"/>
      <w:b/>
      <w:bCs/>
      <w:szCs w:val="24"/>
    </w:rPr>
  </w:style>
  <w:style w:type="character" w:customStyle="1" w:styleId="22">
    <w:name w:val="页眉 Char"/>
    <w:link w:val="9"/>
    <w:semiHidden/>
    <w:qFormat/>
    <w:uiPriority w:val="99"/>
    <w:rPr>
      <w:rFonts w:ascii="Times New Roman" w:hAnsi="Times New Roman" w:eastAsia="宋体" w:cs="Times New Roman"/>
      <w:sz w:val="18"/>
      <w:szCs w:val="18"/>
    </w:rPr>
  </w:style>
  <w:style w:type="character" w:customStyle="1" w:styleId="23">
    <w:name w:val="页脚 Char"/>
    <w:link w:val="8"/>
    <w:qFormat/>
    <w:uiPriority w:val="99"/>
    <w:rPr>
      <w:rFonts w:ascii="Times New Roman" w:hAnsi="Times New Roman" w:eastAsia="宋体" w:cs="Times New Roman"/>
      <w:sz w:val="18"/>
      <w:szCs w:val="18"/>
    </w:rPr>
  </w:style>
  <w:style w:type="paragraph" w:customStyle="1"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24</Pages>
  <Words>2305</Words>
  <Characters>13141</Characters>
  <Lines>109</Lines>
  <Paragraphs>30</Paragraphs>
  <TotalTime>61</TotalTime>
  <ScaleCrop>false</ScaleCrop>
  <LinksUpToDate>false</LinksUpToDate>
  <CharactersWithSpaces>15416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2019-03-27T01:10:00Z</dcterms:created>
  <dc:creator>01035874</dc:creator>
  <cp:lastModifiedBy>王子龙</cp:lastModifiedBy>
  <dcterms:modified xsi:type="dcterms:W3CDTF">2019-12-09T08:37:21Z</dcterms:modified>
  <dc:title>【      系列理财名称】净值型系列理财产品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