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val="0"/>
        <w:overflowPunct w:val="0"/>
        <w:autoSpaceDE w:val="0"/>
        <w:autoSpaceDN w:val="0"/>
        <w:adjustRightInd w:val="0"/>
        <w:rPr>
          <w:rFonts w:hint="eastAsia" w:ascii="宋体"/>
          <w:b/>
          <w:color w:val="000000"/>
          <w:kern w:val="0"/>
          <w:sz w:val="32"/>
        </w:rPr>
      </w:pPr>
    </w:p>
    <w:p>
      <w:pPr>
        <w:wordWrap w:val="0"/>
        <w:overflowPunct w:val="0"/>
        <w:autoSpaceDE w:val="0"/>
        <w:autoSpaceDN w:val="0"/>
        <w:adjustRightInd w:val="0"/>
        <w:jc w:val="center"/>
        <w:rPr>
          <w:rFonts w:ascii="黑体" w:eastAsia="黑体"/>
          <w:b/>
          <w:color w:val="000000"/>
          <w:kern w:val="0"/>
          <w:sz w:val="36"/>
        </w:rPr>
      </w:pPr>
    </w:p>
    <w:p>
      <w:pPr>
        <w:wordWrap w:val="0"/>
        <w:overflowPunct w:val="0"/>
        <w:autoSpaceDE w:val="0"/>
        <w:autoSpaceDN w:val="0"/>
        <w:adjustRightInd w:val="0"/>
        <w:jc w:val="center"/>
        <w:outlineLvl w:val="0"/>
        <w:rPr>
          <w:rFonts w:ascii="黑体" w:eastAsia="黑体"/>
          <w:b/>
          <w:color w:val="000000"/>
          <w:kern w:val="0"/>
          <w:sz w:val="48"/>
        </w:rPr>
      </w:pPr>
    </w:p>
    <w:p>
      <w:pPr>
        <w:wordWrap w:val="0"/>
        <w:overflowPunct w:val="0"/>
        <w:autoSpaceDE w:val="0"/>
        <w:autoSpaceDN w:val="0"/>
        <w:adjustRightInd w:val="0"/>
        <w:jc w:val="center"/>
        <w:outlineLvl w:val="0"/>
        <w:rPr>
          <w:rFonts w:ascii="黑体" w:eastAsia="黑体"/>
          <w:b/>
          <w:color w:val="000000"/>
          <w:kern w:val="0"/>
          <w:sz w:val="48"/>
        </w:rPr>
      </w:pPr>
    </w:p>
    <w:p>
      <w:pPr>
        <w:wordWrap w:val="0"/>
        <w:overflowPunct w:val="0"/>
        <w:autoSpaceDE w:val="0"/>
        <w:autoSpaceDN w:val="0"/>
        <w:adjustRightInd w:val="0"/>
        <w:jc w:val="center"/>
        <w:outlineLvl w:val="0"/>
        <w:rPr>
          <w:rFonts w:ascii="黑体" w:eastAsia="黑体"/>
          <w:b/>
          <w:color w:val="000000"/>
          <w:kern w:val="0"/>
          <w:sz w:val="48"/>
        </w:rPr>
      </w:pPr>
    </w:p>
    <w:p>
      <w:pPr>
        <w:wordWrap w:val="0"/>
        <w:overflowPunct w:val="0"/>
        <w:autoSpaceDE w:val="0"/>
        <w:autoSpaceDN w:val="0"/>
        <w:adjustRightInd w:val="0"/>
        <w:jc w:val="center"/>
        <w:outlineLvl w:val="0"/>
        <w:rPr>
          <w:rFonts w:ascii="黑体" w:eastAsia="黑体"/>
          <w:b/>
          <w:color w:val="000000"/>
          <w:kern w:val="0"/>
          <w:sz w:val="36"/>
          <w:szCs w:val="36"/>
        </w:rPr>
      </w:pPr>
    </w:p>
    <w:p>
      <w:pPr>
        <w:wordWrap w:val="0"/>
        <w:overflowPunct w:val="0"/>
        <w:autoSpaceDE w:val="0"/>
        <w:autoSpaceDN w:val="0"/>
        <w:adjustRightInd w:val="0"/>
        <w:jc w:val="center"/>
        <w:outlineLvl w:val="0"/>
        <w:rPr>
          <w:rFonts w:ascii="宋体" w:hAnsi="宋体"/>
          <w:b/>
          <w:color w:val="000000"/>
          <w:kern w:val="0"/>
          <w:sz w:val="44"/>
          <w:szCs w:val="44"/>
        </w:rPr>
      </w:pPr>
      <w:r>
        <w:rPr>
          <w:rFonts w:hint="eastAsia" w:ascii="宋体" w:hAnsi="宋体"/>
          <w:b/>
          <w:color w:val="000000"/>
          <w:kern w:val="0"/>
          <w:sz w:val="44"/>
          <w:szCs w:val="44"/>
        </w:rPr>
        <w:t>中原银行鼎盛财富季季盈定期开放净值型理财产品（A款）托管协议</w:t>
      </w:r>
    </w:p>
    <w:p>
      <w:pPr>
        <w:overflowPunct w:val="0"/>
        <w:autoSpaceDE w:val="0"/>
        <w:autoSpaceDN w:val="0"/>
        <w:adjustRightInd w:val="0"/>
        <w:jc w:val="center"/>
        <w:rPr>
          <w:rFonts w:ascii="华文中宋" w:hAnsi="华文中宋" w:eastAsia="华文中宋"/>
          <w:b/>
          <w:color w:val="000000"/>
          <w:kern w:val="0"/>
          <w:sz w:val="32"/>
          <w:szCs w:val="32"/>
        </w:rPr>
      </w:pPr>
    </w:p>
    <w:p>
      <w:pPr>
        <w:overflowPunct w:val="0"/>
        <w:autoSpaceDE w:val="0"/>
        <w:autoSpaceDN w:val="0"/>
        <w:adjustRightInd w:val="0"/>
        <w:jc w:val="center"/>
        <w:rPr>
          <w:rFonts w:ascii="华文中宋" w:hAnsi="华文中宋" w:eastAsia="华文中宋"/>
          <w:b/>
          <w:color w:val="000000"/>
          <w:kern w:val="0"/>
          <w:sz w:val="32"/>
          <w:szCs w:val="32"/>
        </w:rPr>
      </w:pPr>
    </w:p>
    <w:p>
      <w:pPr>
        <w:overflowPunct w:val="0"/>
        <w:autoSpaceDE w:val="0"/>
        <w:autoSpaceDN w:val="0"/>
        <w:adjustRightInd w:val="0"/>
        <w:jc w:val="center"/>
        <w:rPr>
          <w:rFonts w:ascii="宋体" w:hAnsi="宋体"/>
          <w:b/>
          <w:color w:val="000000"/>
          <w:kern w:val="0"/>
          <w:sz w:val="32"/>
          <w:szCs w:val="32"/>
        </w:rPr>
      </w:pPr>
      <w:r>
        <w:rPr>
          <w:rFonts w:hint="eastAsia" w:ascii="宋体" w:hAnsi="宋体"/>
          <w:b/>
          <w:color w:val="000000"/>
          <w:kern w:val="0"/>
          <w:sz w:val="32"/>
          <w:szCs w:val="32"/>
        </w:rPr>
        <w:t xml:space="preserve">协议编号：ZYZCGL20    </w:t>
      </w:r>
    </w:p>
    <w:p>
      <w:pPr>
        <w:wordWrap w:val="0"/>
        <w:overflowPunct w:val="0"/>
        <w:autoSpaceDE w:val="0"/>
        <w:autoSpaceDN w:val="0"/>
        <w:adjustRightInd w:val="0"/>
        <w:jc w:val="left"/>
        <w:rPr>
          <w:rFonts w:ascii="华文中宋" w:hAnsi="华文中宋" w:eastAsia="华文中宋"/>
          <w:b/>
          <w:color w:val="000000"/>
          <w:kern w:val="0"/>
          <w:sz w:val="32"/>
          <w:szCs w:val="32"/>
        </w:rPr>
      </w:pPr>
    </w:p>
    <w:p>
      <w:pPr>
        <w:wordWrap w:val="0"/>
        <w:overflowPunct w:val="0"/>
        <w:autoSpaceDE w:val="0"/>
        <w:autoSpaceDN w:val="0"/>
        <w:adjustRightInd w:val="0"/>
        <w:jc w:val="left"/>
        <w:rPr>
          <w:rFonts w:ascii="华文中宋" w:hAnsi="华文中宋" w:eastAsia="华文中宋"/>
          <w:b/>
          <w:color w:val="000000"/>
          <w:kern w:val="0"/>
          <w:sz w:val="32"/>
          <w:szCs w:val="32"/>
        </w:rPr>
      </w:pPr>
    </w:p>
    <w:p>
      <w:pPr>
        <w:wordWrap w:val="0"/>
        <w:overflowPunct w:val="0"/>
        <w:autoSpaceDE w:val="0"/>
        <w:autoSpaceDN w:val="0"/>
        <w:adjustRightInd w:val="0"/>
        <w:jc w:val="left"/>
        <w:rPr>
          <w:rFonts w:ascii="华文中宋" w:hAnsi="华文中宋" w:eastAsia="华文中宋"/>
          <w:b/>
          <w:color w:val="000000"/>
          <w:kern w:val="0"/>
          <w:sz w:val="32"/>
          <w:szCs w:val="32"/>
        </w:rPr>
      </w:pPr>
    </w:p>
    <w:p>
      <w:pPr>
        <w:wordWrap w:val="0"/>
        <w:overflowPunct w:val="0"/>
        <w:autoSpaceDE w:val="0"/>
        <w:autoSpaceDN w:val="0"/>
        <w:adjustRightInd w:val="0"/>
        <w:jc w:val="left"/>
        <w:rPr>
          <w:rFonts w:ascii="华文中宋" w:hAnsi="华文中宋" w:eastAsia="华文中宋"/>
          <w:b/>
          <w:color w:val="000000"/>
          <w:kern w:val="0"/>
          <w:sz w:val="32"/>
          <w:szCs w:val="32"/>
        </w:rPr>
      </w:pPr>
    </w:p>
    <w:p>
      <w:pPr>
        <w:wordWrap w:val="0"/>
        <w:overflowPunct w:val="0"/>
        <w:autoSpaceDE w:val="0"/>
        <w:autoSpaceDN w:val="0"/>
        <w:adjustRightInd w:val="0"/>
        <w:jc w:val="left"/>
        <w:rPr>
          <w:rFonts w:ascii="华文中宋" w:hAnsi="华文中宋" w:eastAsia="华文中宋"/>
          <w:b/>
          <w:color w:val="000000"/>
          <w:kern w:val="0"/>
          <w:sz w:val="32"/>
          <w:szCs w:val="32"/>
        </w:rPr>
      </w:pPr>
    </w:p>
    <w:p>
      <w:pPr>
        <w:wordWrap w:val="0"/>
        <w:overflowPunct w:val="0"/>
        <w:autoSpaceDE w:val="0"/>
        <w:autoSpaceDN w:val="0"/>
        <w:adjustRightInd w:val="0"/>
        <w:jc w:val="left"/>
        <w:rPr>
          <w:rFonts w:ascii="华文中宋" w:hAnsi="华文中宋" w:eastAsia="华文中宋"/>
          <w:b/>
          <w:color w:val="000000"/>
          <w:kern w:val="0"/>
          <w:sz w:val="32"/>
          <w:szCs w:val="32"/>
        </w:rPr>
      </w:pPr>
    </w:p>
    <w:p>
      <w:pPr>
        <w:overflowPunct w:val="0"/>
        <w:autoSpaceDE w:val="0"/>
        <w:autoSpaceDN w:val="0"/>
        <w:adjustRightInd w:val="0"/>
        <w:jc w:val="center"/>
        <w:outlineLvl w:val="0"/>
        <w:rPr>
          <w:rFonts w:ascii="宋体" w:hAnsi="宋体"/>
          <w:b/>
          <w:color w:val="000000"/>
          <w:spacing w:val="6"/>
          <w:sz w:val="32"/>
          <w:szCs w:val="32"/>
        </w:rPr>
      </w:pPr>
      <w:r>
        <w:rPr>
          <w:rFonts w:hint="eastAsia" w:ascii="宋体" w:hAnsi="宋体"/>
          <w:b/>
          <w:color w:val="000000"/>
          <w:spacing w:val="6"/>
          <w:sz w:val="32"/>
          <w:szCs w:val="32"/>
        </w:rPr>
        <w:t>中原银行股份有限公司</w:t>
      </w:r>
    </w:p>
    <w:p>
      <w:pPr>
        <w:wordWrap w:val="0"/>
        <w:overflowPunct w:val="0"/>
        <w:autoSpaceDE w:val="0"/>
        <w:autoSpaceDN w:val="0"/>
        <w:adjustRightInd w:val="0"/>
        <w:jc w:val="center"/>
        <w:rPr>
          <w:rFonts w:ascii="华文中宋" w:hAnsi="华文中宋" w:eastAsia="华文中宋"/>
          <w:b/>
          <w:color w:val="000000"/>
          <w:kern w:val="0"/>
          <w:sz w:val="32"/>
          <w:szCs w:val="32"/>
        </w:rPr>
      </w:pPr>
      <w:r>
        <w:rPr>
          <w:rFonts w:hint="eastAsia" w:ascii="宋体" w:hAnsi="宋体"/>
          <w:b/>
          <w:color w:val="000000"/>
          <w:spacing w:val="6"/>
          <w:sz w:val="32"/>
          <w:szCs w:val="32"/>
        </w:rPr>
        <w:t>中信银行股份有限公司郑州分行</w:t>
      </w:r>
    </w:p>
    <w:p>
      <w:pPr>
        <w:wordWrap w:val="0"/>
        <w:overflowPunct w:val="0"/>
        <w:autoSpaceDE w:val="0"/>
        <w:autoSpaceDN w:val="0"/>
        <w:adjustRightInd w:val="0"/>
        <w:jc w:val="left"/>
        <w:outlineLvl w:val="0"/>
        <w:rPr>
          <w:rFonts w:ascii="华文中宋" w:hAnsi="华文中宋" w:eastAsia="华文中宋"/>
          <w:b/>
          <w:color w:val="000000"/>
          <w:kern w:val="0"/>
          <w:sz w:val="32"/>
          <w:szCs w:val="32"/>
        </w:rPr>
      </w:pPr>
    </w:p>
    <w:p>
      <w:pPr>
        <w:wordWrap w:val="0"/>
        <w:overflowPunct w:val="0"/>
        <w:autoSpaceDE w:val="0"/>
        <w:autoSpaceDN w:val="0"/>
        <w:adjustRightInd w:val="0"/>
        <w:jc w:val="left"/>
        <w:outlineLvl w:val="0"/>
        <w:rPr>
          <w:rFonts w:ascii="华文中宋" w:hAnsi="华文中宋" w:eastAsia="华文中宋"/>
          <w:b/>
          <w:color w:val="000000"/>
          <w:kern w:val="0"/>
          <w:sz w:val="32"/>
          <w:szCs w:val="32"/>
        </w:rPr>
      </w:pPr>
    </w:p>
    <w:p>
      <w:pPr>
        <w:autoSpaceDE w:val="0"/>
        <w:autoSpaceDN w:val="0"/>
        <w:adjustRightInd w:val="0"/>
        <w:spacing w:before="240" w:after="240"/>
        <w:jc w:val="center"/>
        <w:outlineLvl w:val="0"/>
        <w:rPr>
          <w:rFonts w:ascii="宋体" w:hAnsi="宋体"/>
          <w:b/>
          <w:bCs/>
          <w:color w:val="000000"/>
          <w:kern w:val="0"/>
          <w:sz w:val="30"/>
          <w:szCs w:val="30"/>
        </w:rPr>
      </w:pPr>
      <w:r>
        <w:rPr>
          <w:rFonts w:hint="eastAsia" w:ascii="华文中宋" w:hAnsi="华文中宋" w:eastAsia="华文中宋"/>
          <w:color w:val="000000"/>
          <w:kern w:val="0"/>
          <w:sz w:val="32"/>
          <w:szCs w:val="32"/>
        </w:rPr>
        <w:t>　</w:t>
      </w:r>
    </w:p>
    <w:p>
      <w:pPr>
        <w:autoSpaceDE w:val="0"/>
        <w:autoSpaceDN w:val="0"/>
        <w:adjustRightInd w:val="0"/>
        <w:spacing w:before="240" w:after="240"/>
        <w:jc w:val="center"/>
        <w:outlineLvl w:val="0"/>
        <w:rPr>
          <w:rFonts w:ascii="宋体" w:hAnsi="宋体"/>
          <w:b/>
          <w:color w:val="000000"/>
          <w:kern w:val="0"/>
          <w:sz w:val="44"/>
          <w:szCs w:val="44"/>
        </w:rPr>
      </w:pPr>
      <w:r>
        <w:rPr>
          <w:rFonts w:hint="eastAsia" w:ascii="宋体" w:hAnsi="宋体"/>
          <w:b/>
          <w:color w:val="000000"/>
          <w:kern w:val="0"/>
          <w:sz w:val="44"/>
          <w:szCs w:val="44"/>
        </w:rPr>
        <w:t>目 录</w:t>
      </w:r>
    </w:p>
    <w:p>
      <w:pPr>
        <w:autoSpaceDE w:val="0"/>
        <w:autoSpaceDN w:val="0"/>
        <w:adjustRightInd w:val="0"/>
        <w:spacing w:before="240" w:after="240"/>
        <w:jc w:val="center"/>
        <w:outlineLvl w:val="0"/>
        <w:rPr>
          <w:rFonts w:ascii="宋体" w:hAnsi="宋体"/>
          <w:b/>
          <w:color w:val="000000"/>
          <w:kern w:val="0"/>
          <w:sz w:val="44"/>
          <w:szCs w:val="44"/>
        </w:rPr>
      </w:pPr>
    </w:p>
    <w:p>
      <w:pPr>
        <w:pStyle w:val="11"/>
        <w:tabs>
          <w:tab w:val="right" w:leader="dot" w:pos="8302"/>
        </w:tabs>
        <w:rPr>
          <w:rFonts w:ascii="仿宋_GB2312" w:hAnsi="Calibri" w:eastAsia="仿宋_GB2312"/>
          <w:sz w:val="32"/>
          <w:szCs w:val="32"/>
        </w:rPr>
      </w:pPr>
      <w:r>
        <w:rPr>
          <w:rFonts w:hint="eastAsia" w:ascii="仿宋_GB2312" w:eastAsia="仿宋_GB2312"/>
          <w:b/>
          <w:color w:val="000000"/>
          <w:kern w:val="0"/>
          <w:sz w:val="32"/>
          <w:szCs w:val="32"/>
        </w:rPr>
        <w:fldChar w:fldCharType="begin"/>
      </w:r>
      <w:r>
        <w:rPr>
          <w:rFonts w:hint="eastAsia" w:ascii="仿宋_GB2312" w:eastAsia="仿宋_GB2312"/>
          <w:b/>
          <w:color w:val="000000"/>
          <w:kern w:val="0"/>
          <w:sz w:val="32"/>
          <w:szCs w:val="32"/>
        </w:rPr>
        <w:instrText xml:space="preserve"> TOC \o "1-3" \h \z </w:instrText>
      </w:r>
      <w:r>
        <w:rPr>
          <w:rFonts w:hint="eastAsia" w:ascii="仿宋_GB2312" w:eastAsia="仿宋_GB2312"/>
          <w:b/>
          <w:color w:val="000000"/>
          <w:kern w:val="0"/>
          <w:sz w:val="32"/>
          <w:szCs w:val="32"/>
        </w:rPr>
        <w:fldChar w:fldCharType="separate"/>
      </w:r>
      <w:r>
        <w:fldChar w:fldCharType="begin"/>
      </w:r>
      <w:r>
        <w:instrText xml:space="preserve">HYPERLINK  \l "_Toc856264" </w:instrText>
      </w:r>
      <w:r>
        <w:fldChar w:fldCharType="separate"/>
      </w:r>
      <w:r>
        <w:rPr>
          <w:rStyle w:val="15"/>
          <w:rFonts w:hint="eastAsia" w:ascii="仿宋_GB2312" w:hAnsi="宋体" w:eastAsia="仿宋_GB2312"/>
          <w:sz w:val="32"/>
          <w:szCs w:val="32"/>
        </w:rPr>
        <w:t>1、当事人</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_Toc856264 \h </w:instrText>
      </w:r>
      <w:r>
        <w:rPr>
          <w:rFonts w:hint="eastAsia" w:ascii="仿宋_GB2312" w:eastAsia="仿宋_GB2312"/>
          <w:sz w:val="32"/>
          <w:szCs w:val="32"/>
        </w:rPr>
        <w:fldChar w:fldCharType="separate"/>
      </w:r>
      <w:r>
        <w:rPr>
          <w:rFonts w:hint="eastAsia" w:ascii="仿宋_GB2312" w:eastAsia="仿宋_GB2312"/>
          <w:sz w:val="32"/>
          <w:szCs w:val="32"/>
        </w:rPr>
        <w:t>1</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"_Toc856265" </w:instrText>
      </w:r>
      <w:r>
        <w:fldChar w:fldCharType="separate"/>
      </w:r>
      <w:r>
        <w:rPr>
          <w:rStyle w:val="15"/>
          <w:rFonts w:hint="eastAsia" w:ascii="仿宋_GB2312" w:hAnsi="宋体" w:eastAsia="仿宋_GB2312"/>
          <w:sz w:val="32"/>
          <w:szCs w:val="32"/>
        </w:rPr>
        <w:t>2、释义</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_Toc856265 \h </w:instrText>
      </w:r>
      <w:r>
        <w:rPr>
          <w:rFonts w:hint="eastAsia" w:ascii="仿宋_GB2312" w:eastAsia="仿宋_GB2312"/>
          <w:sz w:val="32"/>
          <w:szCs w:val="32"/>
        </w:rPr>
        <w:fldChar w:fldCharType="separate"/>
      </w:r>
      <w:r>
        <w:rPr>
          <w:rFonts w:hint="eastAsia" w:ascii="仿宋_GB2312" w:eastAsia="仿宋_GB2312"/>
          <w:sz w:val="32"/>
          <w:szCs w:val="32"/>
        </w:rPr>
        <w:t>2</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"_Toc856266" </w:instrText>
      </w:r>
      <w:r>
        <w:fldChar w:fldCharType="separate"/>
      </w:r>
      <w:r>
        <w:rPr>
          <w:rStyle w:val="15"/>
          <w:rFonts w:hint="eastAsia" w:ascii="仿宋_GB2312" w:hAnsi="宋体" w:eastAsia="仿宋_GB2312"/>
          <w:sz w:val="32"/>
          <w:szCs w:val="32"/>
        </w:rPr>
        <w:t>3、订立托管协议的依据、目的</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_Toc856266 \h </w:instrText>
      </w:r>
      <w:r>
        <w:rPr>
          <w:rFonts w:hint="eastAsia" w:ascii="仿宋_GB2312" w:eastAsia="仿宋_GB2312"/>
          <w:sz w:val="32"/>
          <w:szCs w:val="32"/>
        </w:rPr>
        <w:fldChar w:fldCharType="separate"/>
      </w:r>
      <w:r>
        <w:rPr>
          <w:rFonts w:hint="eastAsia" w:ascii="仿宋_GB2312" w:eastAsia="仿宋_GB2312"/>
          <w:sz w:val="32"/>
          <w:szCs w:val="32"/>
        </w:rPr>
        <w:t>3</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"_Toc856267" </w:instrText>
      </w:r>
      <w:r>
        <w:fldChar w:fldCharType="separate"/>
      </w:r>
      <w:r>
        <w:rPr>
          <w:rStyle w:val="15"/>
          <w:rFonts w:hint="eastAsia" w:ascii="仿宋_GB2312" w:hAnsi="宋体" w:eastAsia="仿宋_GB2312"/>
          <w:sz w:val="32"/>
          <w:szCs w:val="32"/>
        </w:rPr>
        <w:t>4、甲方权利及义务</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_Toc856267 \h </w:instrText>
      </w:r>
      <w:r>
        <w:rPr>
          <w:rFonts w:hint="eastAsia" w:ascii="仿宋_GB2312" w:eastAsia="仿宋_GB2312"/>
          <w:sz w:val="32"/>
          <w:szCs w:val="32"/>
        </w:rPr>
        <w:fldChar w:fldCharType="separate"/>
      </w:r>
      <w:r>
        <w:rPr>
          <w:rFonts w:hint="eastAsia" w:ascii="仿宋_GB2312" w:eastAsia="仿宋_GB2312"/>
          <w:sz w:val="32"/>
          <w:szCs w:val="32"/>
        </w:rPr>
        <w:t>3</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"_Toc856268" </w:instrText>
      </w:r>
      <w:r>
        <w:fldChar w:fldCharType="separate"/>
      </w:r>
      <w:r>
        <w:rPr>
          <w:rStyle w:val="15"/>
          <w:rFonts w:hint="eastAsia" w:ascii="仿宋_GB2312" w:hAnsi="宋体" w:eastAsia="仿宋_GB2312"/>
          <w:sz w:val="32"/>
          <w:szCs w:val="32"/>
        </w:rPr>
        <w:t>5、乙方权利及义务</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_Toc856268 \h </w:instrText>
      </w:r>
      <w:r>
        <w:rPr>
          <w:rFonts w:hint="eastAsia" w:ascii="仿宋_GB2312" w:eastAsia="仿宋_GB2312"/>
          <w:sz w:val="32"/>
          <w:szCs w:val="32"/>
        </w:rPr>
        <w:fldChar w:fldCharType="separate"/>
      </w:r>
      <w:r>
        <w:rPr>
          <w:rFonts w:hint="eastAsia" w:ascii="仿宋_GB2312" w:eastAsia="仿宋_GB2312"/>
          <w:sz w:val="32"/>
          <w:szCs w:val="32"/>
        </w:rPr>
        <w:t>5</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"_Toc856269" </w:instrText>
      </w:r>
      <w:r>
        <w:fldChar w:fldCharType="separate"/>
      </w:r>
      <w:r>
        <w:rPr>
          <w:rStyle w:val="15"/>
          <w:rFonts w:hint="eastAsia" w:ascii="仿宋_GB2312" w:hAnsi="宋体" w:eastAsia="仿宋_GB2312"/>
          <w:sz w:val="32"/>
          <w:szCs w:val="32"/>
        </w:rPr>
        <w:t>6、理财产品投资范围</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_Toc856269 \h </w:instrText>
      </w:r>
      <w:r>
        <w:rPr>
          <w:rFonts w:hint="eastAsia" w:ascii="仿宋_GB2312" w:eastAsia="仿宋_GB2312"/>
          <w:sz w:val="32"/>
          <w:szCs w:val="32"/>
        </w:rPr>
        <w:fldChar w:fldCharType="separate"/>
      </w:r>
      <w:r>
        <w:rPr>
          <w:rFonts w:hint="eastAsia" w:ascii="仿宋_GB2312" w:eastAsia="仿宋_GB2312"/>
          <w:sz w:val="32"/>
          <w:szCs w:val="32"/>
        </w:rPr>
        <w:t>6</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"_Toc856270" </w:instrText>
      </w:r>
      <w:r>
        <w:fldChar w:fldCharType="separate"/>
      </w:r>
      <w:r>
        <w:rPr>
          <w:rStyle w:val="15"/>
          <w:rFonts w:hint="eastAsia" w:ascii="仿宋_GB2312" w:hAnsi="宋体" w:eastAsia="仿宋_GB2312"/>
          <w:sz w:val="32"/>
          <w:szCs w:val="32"/>
        </w:rPr>
        <w:t>7、理财产品现金资产的保管</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_Toc856270 \h </w:instrText>
      </w:r>
      <w:r>
        <w:rPr>
          <w:rFonts w:hint="eastAsia" w:ascii="仿宋_GB2312" w:eastAsia="仿宋_GB2312"/>
          <w:sz w:val="32"/>
          <w:szCs w:val="32"/>
        </w:rPr>
        <w:fldChar w:fldCharType="separate"/>
      </w:r>
      <w:r>
        <w:rPr>
          <w:rFonts w:hint="eastAsia" w:ascii="仿宋_GB2312" w:eastAsia="仿宋_GB2312"/>
          <w:sz w:val="32"/>
          <w:szCs w:val="32"/>
        </w:rPr>
        <w:t>6</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"_Toc856271" </w:instrText>
      </w:r>
      <w:r>
        <w:fldChar w:fldCharType="separate"/>
      </w:r>
      <w:r>
        <w:rPr>
          <w:rStyle w:val="15"/>
          <w:rFonts w:hint="eastAsia" w:ascii="仿宋_GB2312" w:hAnsi="宋体" w:eastAsia="仿宋_GB2312"/>
          <w:sz w:val="32"/>
          <w:szCs w:val="32"/>
        </w:rPr>
        <w:t>8、划款指令和资金清算</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_Toc856271 \h </w:instrText>
      </w:r>
      <w:r>
        <w:rPr>
          <w:rFonts w:hint="eastAsia" w:ascii="仿宋_GB2312" w:eastAsia="仿宋_GB2312"/>
          <w:sz w:val="32"/>
          <w:szCs w:val="32"/>
        </w:rPr>
        <w:fldChar w:fldCharType="separate"/>
      </w:r>
      <w:r>
        <w:rPr>
          <w:rFonts w:hint="eastAsia" w:ascii="仿宋_GB2312" w:eastAsia="仿宋_GB2312"/>
          <w:sz w:val="32"/>
          <w:szCs w:val="32"/>
        </w:rPr>
        <w:t>11</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"_Toc856272" </w:instrText>
      </w:r>
      <w:r>
        <w:fldChar w:fldCharType="separate"/>
      </w:r>
      <w:r>
        <w:rPr>
          <w:rStyle w:val="15"/>
          <w:rFonts w:hint="eastAsia" w:ascii="仿宋_GB2312" w:hAnsi="宋体" w:eastAsia="仿宋_GB2312"/>
          <w:sz w:val="32"/>
          <w:szCs w:val="32"/>
        </w:rPr>
        <w:t>9、会计核算与估值</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_Toc856272 \h </w:instrText>
      </w:r>
      <w:r>
        <w:rPr>
          <w:rFonts w:hint="eastAsia" w:ascii="仿宋_GB2312" w:eastAsia="仿宋_GB2312"/>
          <w:sz w:val="32"/>
          <w:szCs w:val="32"/>
        </w:rPr>
        <w:fldChar w:fldCharType="separate"/>
      </w:r>
      <w:r>
        <w:rPr>
          <w:rFonts w:hint="eastAsia" w:ascii="仿宋_GB2312" w:eastAsia="仿宋_GB2312"/>
          <w:sz w:val="32"/>
          <w:szCs w:val="32"/>
        </w:rPr>
        <w:t>16</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"_Toc856273" </w:instrText>
      </w:r>
      <w:r>
        <w:fldChar w:fldCharType="separate"/>
      </w:r>
      <w:r>
        <w:rPr>
          <w:rStyle w:val="15"/>
          <w:rFonts w:hint="eastAsia" w:ascii="仿宋_GB2312" w:hAnsi="宋体" w:eastAsia="仿宋_GB2312"/>
          <w:sz w:val="32"/>
          <w:szCs w:val="32"/>
        </w:rPr>
        <w:t>10、交易监督</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_Toc856273 \h </w:instrText>
      </w:r>
      <w:r>
        <w:rPr>
          <w:rFonts w:hint="eastAsia" w:ascii="仿宋_GB2312" w:eastAsia="仿宋_GB2312"/>
          <w:sz w:val="32"/>
          <w:szCs w:val="32"/>
        </w:rPr>
        <w:fldChar w:fldCharType="separate"/>
      </w:r>
      <w:r>
        <w:rPr>
          <w:rFonts w:hint="eastAsia" w:ascii="仿宋_GB2312" w:eastAsia="仿宋_GB2312"/>
          <w:sz w:val="32"/>
          <w:szCs w:val="32"/>
        </w:rPr>
        <w:t>19</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"_Toc856274" </w:instrText>
      </w:r>
      <w:r>
        <w:fldChar w:fldCharType="separate"/>
      </w:r>
      <w:r>
        <w:rPr>
          <w:rStyle w:val="15"/>
          <w:rFonts w:hint="eastAsia" w:ascii="仿宋_GB2312" w:hAnsi="宋体" w:eastAsia="仿宋_GB2312"/>
          <w:sz w:val="32"/>
          <w:szCs w:val="32"/>
        </w:rPr>
        <w:t>11、理财产品费用支出</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_Toc856274 \h </w:instrText>
      </w:r>
      <w:r>
        <w:rPr>
          <w:rFonts w:hint="eastAsia" w:ascii="仿宋_GB2312" w:eastAsia="仿宋_GB2312"/>
          <w:sz w:val="32"/>
          <w:szCs w:val="32"/>
        </w:rPr>
        <w:fldChar w:fldCharType="separate"/>
      </w:r>
      <w:r>
        <w:rPr>
          <w:rFonts w:hint="eastAsia" w:ascii="仿宋_GB2312" w:eastAsia="仿宋_GB2312"/>
          <w:sz w:val="32"/>
          <w:szCs w:val="32"/>
        </w:rPr>
        <w:t>20</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"_Toc856275" </w:instrText>
      </w:r>
      <w:r>
        <w:fldChar w:fldCharType="separate"/>
      </w:r>
      <w:r>
        <w:rPr>
          <w:rStyle w:val="15"/>
          <w:rFonts w:hint="eastAsia" w:ascii="仿宋_GB2312" w:hAnsi="宋体" w:eastAsia="仿宋_GB2312"/>
          <w:sz w:val="32"/>
          <w:szCs w:val="32"/>
        </w:rPr>
        <w:t>12、资产清算</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_Toc856275 \h </w:instrText>
      </w:r>
      <w:r>
        <w:rPr>
          <w:rFonts w:hint="eastAsia" w:ascii="仿宋_GB2312" w:eastAsia="仿宋_GB2312"/>
          <w:sz w:val="32"/>
          <w:szCs w:val="32"/>
        </w:rPr>
        <w:fldChar w:fldCharType="separate"/>
      </w:r>
      <w:r>
        <w:rPr>
          <w:rFonts w:hint="eastAsia" w:ascii="仿宋_GB2312" w:eastAsia="仿宋_GB2312"/>
          <w:sz w:val="32"/>
          <w:szCs w:val="32"/>
        </w:rPr>
        <w:t>22</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"_Toc856276" </w:instrText>
      </w:r>
      <w:r>
        <w:fldChar w:fldCharType="separate"/>
      </w:r>
      <w:r>
        <w:rPr>
          <w:rStyle w:val="15"/>
          <w:rFonts w:hint="eastAsia" w:ascii="仿宋_GB2312" w:hAnsi="宋体" w:eastAsia="仿宋_GB2312"/>
          <w:sz w:val="32"/>
          <w:szCs w:val="32"/>
        </w:rPr>
        <w:t>13、文件档案保存和保密</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_Toc856276 \h </w:instrText>
      </w:r>
      <w:r>
        <w:rPr>
          <w:rFonts w:hint="eastAsia" w:ascii="仿宋_GB2312" w:eastAsia="仿宋_GB2312"/>
          <w:sz w:val="32"/>
          <w:szCs w:val="32"/>
        </w:rPr>
        <w:fldChar w:fldCharType="separate"/>
      </w:r>
      <w:r>
        <w:rPr>
          <w:rFonts w:hint="eastAsia" w:ascii="仿宋_GB2312" w:eastAsia="仿宋_GB2312"/>
          <w:sz w:val="32"/>
          <w:szCs w:val="32"/>
        </w:rPr>
        <w:t>23</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"_Toc856277" </w:instrText>
      </w:r>
      <w:r>
        <w:fldChar w:fldCharType="separate"/>
      </w:r>
      <w:r>
        <w:rPr>
          <w:rStyle w:val="15"/>
          <w:rFonts w:hint="eastAsia" w:ascii="仿宋_GB2312" w:hAnsi="仿宋_GB2312" w:eastAsia="仿宋_GB2312"/>
          <w:bCs/>
          <w:sz w:val="32"/>
          <w:szCs w:val="32"/>
        </w:rPr>
        <w:t>14、反洗钱相关条款</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_Toc856277 \h </w:instrText>
      </w:r>
      <w:r>
        <w:rPr>
          <w:rFonts w:hint="eastAsia" w:ascii="仿宋_GB2312" w:eastAsia="仿宋_GB2312"/>
          <w:sz w:val="32"/>
          <w:szCs w:val="32"/>
        </w:rPr>
        <w:fldChar w:fldCharType="separate"/>
      </w:r>
      <w:r>
        <w:rPr>
          <w:rFonts w:hint="eastAsia" w:ascii="仿宋_GB2312" w:eastAsia="仿宋_GB2312"/>
          <w:sz w:val="32"/>
          <w:szCs w:val="32"/>
        </w:rPr>
        <w:t>23</w:t>
      </w:r>
      <w:r>
        <w:rPr>
          <w:rFonts w:hint="eastAsia" w:ascii="仿宋_GB2312" w:eastAsia="仿宋_GB2312"/>
          <w:sz w:val="32"/>
          <w:szCs w:val="32"/>
        </w:rPr>
        <w:fldChar w:fldCharType="end"/>
      </w:r>
      <w:r>
        <w:fldChar w:fldCharType="end"/>
      </w:r>
    </w:p>
    <w:p>
      <w:pPr>
        <w:pStyle w:val="11"/>
        <w:tabs>
          <w:tab w:val="right" w:leader="dot" w:pos="8302"/>
        </w:tabs>
        <w:rPr>
          <w:rFonts w:ascii="仿宋_GB2312" w:hAnsi="Calibri" w:eastAsia="仿宋_GB2312"/>
          <w:sz w:val="32"/>
          <w:szCs w:val="32"/>
        </w:rPr>
      </w:pPr>
      <w:r>
        <w:fldChar w:fldCharType="begin"/>
      </w:r>
      <w:r>
        <w:instrText xml:space="preserve">HYPERLINK  \l "_Toc856278" </w:instrText>
      </w:r>
      <w:r>
        <w:fldChar w:fldCharType="separate"/>
      </w:r>
      <w:r>
        <w:rPr>
          <w:rStyle w:val="15"/>
          <w:rFonts w:hint="eastAsia" w:ascii="仿宋_GB2312" w:hAnsi="仿宋_GB2312" w:eastAsia="仿宋_GB2312"/>
          <w:bCs/>
          <w:sz w:val="32"/>
          <w:szCs w:val="32"/>
        </w:rPr>
        <w:t>15、违约责任</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_Toc856278 \h </w:instrText>
      </w:r>
      <w:r>
        <w:rPr>
          <w:rFonts w:hint="eastAsia" w:ascii="仿宋_GB2312" w:eastAsia="仿宋_GB2312"/>
          <w:sz w:val="32"/>
          <w:szCs w:val="32"/>
        </w:rPr>
        <w:fldChar w:fldCharType="separate"/>
      </w:r>
      <w:r>
        <w:rPr>
          <w:rFonts w:hint="eastAsia" w:ascii="仿宋_GB2312" w:eastAsia="仿宋_GB2312"/>
          <w:sz w:val="32"/>
          <w:szCs w:val="32"/>
        </w:rPr>
        <w:t>23</w:t>
      </w:r>
      <w:r>
        <w:rPr>
          <w:rFonts w:hint="eastAsia" w:ascii="仿宋_GB2312" w:eastAsia="仿宋_GB2312"/>
          <w:sz w:val="32"/>
          <w:szCs w:val="32"/>
        </w:rPr>
        <w:fldChar w:fldCharType="end"/>
      </w:r>
      <w:r>
        <w:fldChar w:fldCharType="end"/>
      </w:r>
    </w:p>
    <w:p>
      <w:pPr>
        <w:pStyle w:val="11"/>
        <w:tabs>
          <w:tab w:val="right" w:leader="dot" w:pos="8302"/>
        </w:tabs>
        <w:rPr>
          <w:rFonts w:ascii="Calibri" w:hAnsi="Calibri"/>
          <w:szCs w:val="22"/>
        </w:rPr>
      </w:pPr>
      <w:r>
        <w:fldChar w:fldCharType="begin"/>
      </w:r>
      <w:r>
        <w:instrText xml:space="preserve">HYPERLINK  \l "_Toc856279" </w:instrText>
      </w:r>
      <w:r>
        <w:fldChar w:fldCharType="separate"/>
      </w:r>
      <w:r>
        <w:rPr>
          <w:rStyle w:val="15"/>
          <w:rFonts w:hint="eastAsia" w:ascii="仿宋_GB2312" w:hAnsi="宋体" w:eastAsia="仿宋_GB2312"/>
          <w:sz w:val="32"/>
          <w:szCs w:val="32"/>
        </w:rPr>
        <w:t>16、协议的适用范围、修改、争议的解决及有效期</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_Toc856279 \h </w:instrText>
      </w:r>
      <w:r>
        <w:rPr>
          <w:rFonts w:hint="eastAsia" w:ascii="仿宋_GB2312" w:eastAsia="仿宋_GB2312"/>
          <w:sz w:val="32"/>
          <w:szCs w:val="32"/>
        </w:rPr>
        <w:fldChar w:fldCharType="separate"/>
      </w:r>
      <w:r>
        <w:rPr>
          <w:rFonts w:hint="eastAsia" w:ascii="仿宋_GB2312" w:eastAsia="仿宋_GB2312"/>
          <w:sz w:val="32"/>
          <w:szCs w:val="32"/>
        </w:rPr>
        <w:t>24</w:t>
      </w:r>
      <w:r>
        <w:rPr>
          <w:rFonts w:hint="eastAsia" w:ascii="仿宋_GB2312" w:eastAsia="仿宋_GB2312"/>
          <w:sz w:val="32"/>
          <w:szCs w:val="32"/>
        </w:rPr>
        <w:fldChar w:fldCharType="end"/>
      </w:r>
      <w:r>
        <w:fldChar w:fldCharType="end"/>
      </w:r>
    </w:p>
    <w:p>
      <w:pPr>
        <w:autoSpaceDE w:val="0"/>
        <w:autoSpaceDN w:val="0"/>
        <w:adjustRightInd w:val="0"/>
        <w:spacing w:before="240" w:after="240"/>
        <w:jc w:val="center"/>
        <w:outlineLvl w:val="0"/>
        <w:rPr>
          <w:b/>
          <w:color w:val="000000"/>
          <w:kern w:val="0"/>
          <w:sz w:val="44"/>
        </w:rPr>
      </w:pPr>
      <w:r>
        <w:rPr>
          <w:rFonts w:hint="eastAsia" w:ascii="仿宋_GB2312" w:eastAsia="仿宋_GB2312"/>
          <w:b/>
          <w:color w:val="000000"/>
          <w:kern w:val="0"/>
          <w:sz w:val="32"/>
          <w:szCs w:val="32"/>
        </w:rPr>
        <w:fldChar w:fldCharType="end"/>
      </w:r>
    </w:p>
    <w:p>
      <w:pPr>
        <w:autoSpaceDE w:val="0"/>
        <w:autoSpaceDN w:val="0"/>
        <w:adjustRightInd w:val="0"/>
        <w:spacing w:before="240" w:after="240"/>
        <w:jc w:val="center"/>
        <w:outlineLvl w:val="0"/>
        <w:rPr>
          <w:b/>
          <w:color w:val="000000"/>
          <w:kern w:val="0"/>
          <w:sz w:val="44"/>
        </w:rPr>
      </w:pPr>
    </w:p>
    <w:p>
      <w:pPr>
        <w:autoSpaceDE w:val="0"/>
        <w:autoSpaceDN w:val="0"/>
        <w:adjustRightInd w:val="0"/>
        <w:spacing w:before="240" w:after="240"/>
        <w:jc w:val="center"/>
        <w:outlineLvl w:val="0"/>
        <w:rPr>
          <w:b/>
          <w:color w:val="000000"/>
          <w:kern w:val="0"/>
          <w:sz w:val="44"/>
        </w:rPr>
      </w:pPr>
    </w:p>
    <w:p>
      <w:pPr>
        <w:pStyle w:val="2"/>
        <w:spacing w:before="0" w:after="0" w:line="580" w:lineRule="exact"/>
        <w:rPr>
          <w:rFonts w:ascii="仿宋_GB2312" w:hAnsi="宋体" w:eastAsia="仿宋_GB2312"/>
          <w:sz w:val="28"/>
          <w:szCs w:val="28"/>
        </w:rPr>
      </w:pPr>
      <w:bookmarkStart w:id="0" w:name="_Toc85084282"/>
      <w:bookmarkStart w:id="1" w:name="_Toc85085138"/>
      <w:bookmarkStart w:id="2" w:name="_Toc115229083"/>
      <w:bookmarkStart w:id="3" w:name="_Toc164655145"/>
      <w:bookmarkStart w:id="4" w:name="_Toc856264"/>
      <w:r>
        <w:rPr>
          <w:rFonts w:hint="eastAsia" w:ascii="仿宋_GB2312" w:hAnsi="宋体" w:eastAsia="仿宋_GB2312"/>
          <w:sz w:val="28"/>
          <w:szCs w:val="28"/>
        </w:rPr>
        <w:t>1、当事人</w:t>
      </w:r>
      <w:bookmarkEnd w:id="0"/>
      <w:bookmarkEnd w:id="1"/>
      <w:bookmarkEnd w:id="2"/>
      <w:bookmarkEnd w:id="3"/>
      <w:bookmarkEnd w:id="4"/>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甲方：中原银行股份有限公司</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地址：郑州市郑东新区商务外环路23号中科金座大厦</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邮政编码：450000</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法定代表人：窦荣兴</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联系电话：0371-85517607</w:t>
      </w:r>
    </w:p>
    <w:p>
      <w:pPr>
        <w:spacing w:line="580" w:lineRule="exact"/>
        <w:ind w:firstLine="584" w:firstLineChars="200"/>
        <w:rPr>
          <w:rFonts w:ascii="仿宋_GB2312" w:hAnsi="宋体" w:eastAsia="仿宋_GB2312"/>
          <w:color w:val="000000"/>
          <w:spacing w:val="6"/>
          <w:sz w:val="28"/>
          <w:szCs w:val="28"/>
        </w:rPr>
      </w:pP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乙方： 中信银行股份有限公司郑州分行</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地址：郑州市郑东新区商务内环路1号</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邮政编码：450000</w:t>
      </w:r>
    </w:p>
    <w:p>
      <w:pPr>
        <w:autoSpaceDE w:val="0"/>
        <w:autoSpaceDN w:val="0"/>
        <w:snapToGrid w:val="0"/>
        <w:spacing w:before="156" w:beforeLines="50" w:after="156" w:afterLines="50"/>
        <w:ind w:firstLine="584" w:firstLineChars="200"/>
        <w:jc w:val="left"/>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负责人：</w:t>
      </w:r>
      <w:r>
        <w:rPr>
          <w:rFonts w:ascii="仿宋_GB2312" w:hAnsi="宋体" w:eastAsia="仿宋_GB2312"/>
          <w:color w:val="000000"/>
          <w:spacing w:val="6"/>
          <w:sz w:val="28"/>
          <w:szCs w:val="28"/>
        </w:rPr>
        <w:t xml:space="preserve"> </w:t>
      </w:r>
      <w:r>
        <w:rPr>
          <w:rFonts w:hint="eastAsia" w:ascii="仿宋_GB2312" w:hAnsi="宋体" w:eastAsia="仿宋_GB2312"/>
          <w:color w:val="000000"/>
          <w:spacing w:val="6"/>
          <w:sz w:val="28"/>
          <w:szCs w:val="28"/>
        </w:rPr>
        <w:t>方萍</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联系电话：0371-55588929</w:t>
      </w:r>
    </w:p>
    <w:p>
      <w:pPr>
        <w:spacing w:before="40" w:line="580" w:lineRule="exact"/>
        <w:ind w:firstLine="584" w:firstLineChars="200"/>
        <w:rPr>
          <w:rFonts w:ascii="仿宋_GB2312" w:hAnsi="宋体" w:eastAsia="仿宋_GB2312"/>
          <w:color w:val="000000"/>
          <w:spacing w:val="6"/>
          <w:sz w:val="28"/>
          <w:szCs w:val="28"/>
        </w:rPr>
      </w:pPr>
    </w:p>
    <w:p>
      <w:pPr>
        <w:pStyle w:val="2"/>
        <w:spacing w:before="40" w:after="120" w:line="580" w:lineRule="exact"/>
        <w:ind w:left="420"/>
        <w:rPr>
          <w:rFonts w:ascii="仿宋_GB2312" w:hAnsi="宋体" w:eastAsia="仿宋_GB2312"/>
          <w:sz w:val="28"/>
          <w:szCs w:val="28"/>
        </w:rPr>
      </w:pPr>
      <w:bookmarkStart w:id="5" w:name="_Toc856265"/>
      <w:bookmarkStart w:id="6" w:name="_Toc76806353"/>
      <w:bookmarkStart w:id="7" w:name="_Toc85084283"/>
      <w:bookmarkStart w:id="8" w:name="_Toc85085139"/>
      <w:bookmarkStart w:id="9" w:name="_Toc115229085"/>
      <w:bookmarkStart w:id="10" w:name="_Toc164655147"/>
      <w:r>
        <w:rPr>
          <w:rFonts w:hint="eastAsia" w:ascii="仿宋_GB2312" w:hAnsi="宋体" w:eastAsia="仿宋_GB2312"/>
          <w:sz w:val="28"/>
          <w:szCs w:val="28"/>
        </w:rPr>
        <w:t>2、释义</w:t>
      </w:r>
      <w:bookmarkEnd w:id="5"/>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在本协议中，除上下文另有规定外，下列用语应当具有如下含义：</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2.1 本协议：指甲方与乙方签署的《中原银行鼎盛财富季季盈定期开放净值型理财产品（A款）托管协议》及其附件，以及甲、乙双方对前述协议及附件作出的任何有效变更。</w:t>
      </w:r>
    </w:p>
    <w:p>
      <w:pPr>
        <w:wordWrap w:val="0"/>
        <w:spacing w:line="580" w:lineRule="exact"/>
        <w:ind w:left="438" w:leftChars="0" w:hanging="438" w:hangingChars="15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2.2 理财产品：由甲方发行并管理且委托乙方托管的中原银行鼎盛财富季季盈定期开放净值型理财产品（A款）。</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2.3 理财产品资产：指理财产品设立后甲方管理的理财产品资金以及因该资金的运用管理、处分或其他情形取得的财产的总和，本协议由托管人保管的资产，为理财产品资产中的现金资产。</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2.4 理财产品投资范围：根据相关法律法规规定及理财产品发行文件的约定，理财产品可以投资的产品类型。</w:t>
      </w:r>
    </w:p>
    <w:p>
      <w:pPr>
        <w:spacing w:line="580" w:lineRule="exact"/>
        <w:ind w:firstLine="584" w:firstLineChars="200"/>
        <w:rPr>
          <w:rFonts w:ascii="仿宋_GB2312" w:hAnsi="宋体" w:eastAsia="仿宋_GB2312"/>
          <w:color w:val="000000"/>
          <w:spacing w:val="6"/>
          <w:sz w:val="28"/>
          <w:szCs w:val="28"/>
        </w:rPr>
      </w:pPr>
      <w:bookmarkStart w:id="11" w:name="OLE_LINK5"/>
      <w:r>
        <w:rPr>
          <w:rFonts w:hint="eastAsia" w:ascii="仿宋_GB2312" w:hAnsi="宋体" w:eastAsia="仿宋_GB2312"/>
          <w:color w:val="000000"/>
          <w:spacing w:val="6"/>
          <w:sz w:val="28"/>
          <w:szCs w:val="28"/>
        </w:rPr>
        <w:t>2.5 管理人</w:t>
      </w:r>
      <w:bookmarkEnd w:id="11"/>
      <w:r>
        <w:rPr>
          <w:rFonts w:hint="eastAsia" w:ascii="仿宋_GB2312" w:hAnsi="宋体" w:eastAsia="仿宋_GB2312"/>
          <w:color w:val="000000"/>
          <w:spacing w:val="6"/>
          <w:sz w:val="28"/>
          <w:szCs w:val="28"/>
        </w:rPr>
        <w:t>：发行理财产品，并委托乙方托管理财产品资金的商业银行，即本协议甲方。</w:t>
      </w:r>
    </w:p>
    <w:p>
      <w:pPr>
        <w:overflowPunct w:val="0"/>
        <w:autoSpaceDE w:val="0"/>
        <w:autoSpaceDN w:val="0"/>
        <w:adjustRightInd w:val="0"/>
        <w:spacing w:before="40" w:line="580" w:lineRule="exact"/>
        <w:ind w:firstLine="560" w:firstLineChars="200"/>
        <w:outlineLvl w:val="0"/>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2.6 托管人：根据本协议约定，负责理财产品现金资产保管、资金清算、会计核算、资产估值和投资监督等工作的托管银行，即本协议乙方。</w:t>
      </w:r>
    </w:p>
    <w:p>
      <w:pPr>
        <w:overflowPunct w:val="0"/>
        <w:autoSpaceDE w:val="0"/>
        <w:autoSpaceDN w:val="0"/>
        <w:adjustRightInd w:val="0"/>
        <w:spacing w:before="40" w:line="580" w:lineRule="exact"/>
        <w:ind w:firstLine="560" w:firstLineChars="200"/>
        <w:outlineLvl w:val="0"/>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2.7 资金归集户：甲方为理财产品开立的用于接收投资人认购理财资金的银行账户。</w:t>
      </w:r>
    </w:p>
    <w:p>
      <w:pPr>
        <w:overflowPunct w:val="0"/>
        <w:autoSpaceDE w:val="0"/>
        <w:autoSpaceDN w:val="0"/>
        <w:adjustRightInd w:val="0"/>
        <w:spacing w:before="40" w:line="580" w:lineRule="exact"/>
        <w:ind w:firstLine="560" w:firstLineChars="200"/>
        <w:outlineLvl w:val="0"/>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2.8 托管账户：指按相关法规规定，甲方在乙方开立的专门用于保管、管理和运用理财产品现金资产的银行账户。</w:t>
      </w:r>
    </w:p>
    <w:p>
      <w:pPr>
        <w:overflowPunct w:val="0"/>
        <w:autoSpaceDE w:val="0"/>
        <w:autoSpaceDN w:val="0"/>
        <w:adjustRightInd w:val="0"/>
        <w:spacing w:before="40" w:line="580" w:lineRule="exact"/>
        <w:ind w:firstLine="560" w:firstLineChars="200"/>
        <w:outlineLvl w:val="0"/>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2.9 理财产品发行文件：指理财产品发行相关文件，包括但不限于理财产品说明书、相关协议书等。</w:t>
      </w:r>
    </w:p>
    <w:p>
      <w:pPr>
        <w:overflowPunct w:val="0"/>
        <w:autoSpaceDE w:val="0"/>
        <w:autoSpaceDN w:val="0"/>
        <w:adjustRightInd w:val="0"/>
        <w:spacing w:before="40" w:line="580" w:lineRule="exact"/>
        <w:ind w:firstLine="560" w:firstLineChars="200"/>
        <w:outlineLvl w:val="0"/>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2.10 日：除非双方另有约定，本协议所指日，均指法定工作日。</w:t>
      </w:r>
    </w:p>
    <w:p>
      <w:pPr>
        <w:overflowPunct w:val="0"/>
        <w:autoSpaceDE w:val="0"/>
        <w:autoSpaceDN w:val="0"/>
        <w:adjustRightInd w:val="0"/>
        <w:spacing w:before="40" w:line="580" w:lineRule="exact"/>
        <w:ind w:firstLine="560" w:firstLineChars="200"/>
        <w:outlineLvl w:val="0"/>
        <w:rPr>
          <w:rFonts w:ascii="仿宋_GB2312" w:hAnsi="宋体" w:eastAsia="仿宋_GB2312"/>
          <w:color w:val="000000"/>
          <w:kern w:val="0"/>
          <w:sz w:val="28"/>
          <w:szCs w:val="28"/>
        </w:rPr>
      </w:pPr>
    </w:p>
    <w:p>
      <w:pPr>
        <w:pStyle w:val="2"/>
        <w:spacing w:before="40" w:after="0" w:line="580" w:lineRule="exact"/>
        <w:ind w:left="425"/>
        <w:rPr>
          <w:rFonts w:ascii="仿宋_GB2312" w:hAnsi="宋体" w:eastAsia="仿宋_GB2312"/>
          <w:sz w:val="28"/>
          <w:szCs w:val="28"/>
        </w:rPr>
      </w:pPr>
      <w:bookmarkStart w:id="12" w:name="_Toc856266"/>
      <w:r>
        <w:rPr>
          <w:rFonts w:hint="eastAsia" w:ascii="仿宋_GB2312" w:hAnsi="宋体" w:eastAsia="仿宋_GB2312"/>
          <w:sz w:val="28"/>
          <w:szCs w:val="28"/>
        </w:rPr>
        <w:t>3、订立托管协议的依据、目的</w:t>
      </w:r>
      <w:bookmarkEnd w:id="6"/>
      <w:bookmarkEnd w:id="7"/>
      <w:bookmarkEnd w:id="8"/>
      <w:bookmarkEnd w:id="9"/>
      <w:bookmarkEnd w:id="10"/>
      <w:bookmarkEnd w:id="12"/>
    </w:p>
    <w:p>
      <w:pPr>
        <w:spacing w:before="40"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甲方委托乙方作为理财产品资产</w:t>
      </w:r>
      <w:r>
        <w:rPr>
          <w:rFonts w:hint="eastAsia" w:ascii="仿宋_GB2312" w:hAnsi="宋体" w:eastAsia="仿宋_GB2312"/>
          <w:bCs/>
          <w:sz w:val="28"/>
          <w:szCs w:val="28"/>
        </w:rPr>
        <w:t>的托管人</w:t>
      </w:r>
      <w:r>
        <w:rPr>
          <w:rFonts w:hint="eastAsia" w:ascii="仿宋_GB2312" w:hAnsi="宋体" w:eastAsia="仿宋_GB2312"/>
          <w:sz w:val="28"/>
          <w:szCs w:val="28"/>
        </w:rPr>
        <w:t>，为明确甲、乙双方</w:t>
      </w:r>
      <w:r>
        <w:rPr>
          <w:rFonts w:hint="eastAsia" w:ascii="仿宋_GB2312" w:eastAsia="仿宋_GB2312"/>
          <w:sz w:val="28"/>
          <w:szCs w:val="28"/>
        </w:rPr>
        <w:t>在理财产品资产托管、管理运作以及相互监督等相关事宜中的权利、义务，确保理财产品资产安全，保护理财产品投资者及协议各方的合法权益，依据《中华人民共和国合同法》及商业银行理财业务有关法律、法规及部门规章订立本协议。</w:t>
      </w:r>
    </w:p>
    <w:p>
      <w:pPr>
        <w:spacing w:before="40" w:line="580" w:lineRule="exact"/>
        <w:ind w:firstLine="560" w:firstLineChars="200"/>
        <w:rPr>
          <w:rFonts w:ascii="仿宋_GB2312" w:eastAsia="仿宋_GB2312"/>
          <w:color w:val="000000"/>
          <w:sz w:val="28"/>
          <w:szCs w:val="28"/>
        </w:rPr>
      </w:pPr>
    </w:p>
    <w:p>
      <w:pPr>
        <w:pStyle w:val="2"/>
        <w:spacing w:before="40" w:after="0" w:line="580" w:lineRule="exact"/>
        <w:ind w:left="425"/>
        <w:rPr>
          <w:rFonts w:ascii="仿宋_GB2312" w:hAnsi="宋体" w:eastAsia="仿宋_GB2312"/>
          <w:sz w:val="28"/>
          <w:szCs w:val="28"/>
        </w:rPr>
      </w:pPr>
      <w:bookmarkStart w:id="13" w:name="_Toc856267"/>
      <w:r>
        <w:rPr>
          <w:rFonts w:hint="eastAsia" w:ascii="仿宋_GB2312" w:hAnsi="宋体" w:eastAsia="仿宋_GB2312"/>
          <w:sz w:val="28"/>
          <w:szCs w:val="28"/>
        </w:rPr>
        <w:t>4、甲方权利及义务</w:t>
      </w:r>
      <w:bookmarkEnd w:id="13"/>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4.1甲方的权利：</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4.1.1按照国家有关法律法规及相关协议的规定，对理财产品资产行使管理权。</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4.1.2按照国家有关法律法规及相关协议的规定及时获得管理费。</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4.1.3国家有关法律法规、监管机构规定的</w:t>
      </w:r>
      <w:bookmarkStart w:id="14" w:name="OLE_LINK7"/>
      <w:r>
        <w:rPr>
          <w:rFonts w:hint="eastAsia" w:ascii="仿宋_GB2312" w:hAnsi="宋体" w:eastAsia="仿宋_GB2312"/>
          <w:color w:val="000000"/>
          <w:spacing w:val="6"/>
          <w:sz w:val="28"/>
          <w:szCs w:val="28"/>
        </w:rPr>
        <w:t>其他</w:t>
      </w:r>
      <w:bookmarkEnd w:id="14"/>
      <w:r>
        <w:rPr>
          <w:rFonts w:hint="eastAsia" w:ascii="仿宋_GB2312" w:hAnsi="宋体" w:eastAsia="仿宋_GB2312"/>
          <w:color w:val="000000"/>
          <w:spacing w:val="6"/>
          <w:sz w:val="28"/>
          <w:szCs w:val="28"/>
        </w:rPr>
        <w:t>权利。</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4.2甲方的义务：</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4.2.1以诚实信用、勤勉尽责的原则经营和管理理财产品资产，除非国家有关法律法规另有规定或理财产品相关协议另有约定，甲方不得以理财资产为自己或任何第三方谋取利益。</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4.2.2按照本协议的约定，及时、足额将理财产品资产移交至乙方，及时、全面</w:t>
      </w:r>
      <w:bookmarkStart w:id="15" w:name="OLE_LINK6"/>
      <w:r>
        <w:rPr>
          <w:rFonts w:hint="eastAsia" w:ascii="仿宋_GB2312" w:hAnsi="宋体" w:eastAsia="仿宋_GB2312"/>
          <w:color w:val="000000"/>
          <w:spacing w:val="6"/>
          <w:sz w:val="28"/>
          <w:szCs w:val="28"/>
        </w:rPr>
        <w:t>地</w:t>
      </w:r>
      <w:bookmarkEnd w:id="15"/>
      <w:r>
        <w:rPr>
          <w:rFonts w:hint="eastAsia" w:ascii="仿宋_GB2312" w:hAnsi="宋体" w:eastAsia="仿宋_GB2312"/>
          <w:color w:val="000000"/>
          <w:spacing w:val="6"/>
          <w:sz w:val="28"/>
          <w:szCs w:val="28"/>
        </w:rPr>
        <w:t>向乙方提供有关授权文件。</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4.2.3根据本协议约定，及时、合规地向乙方发送理财产品划款指令。</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4.2.4按本协议约定向乙方支付托管费。</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4.2.5按照本协议的约定，为理财产品单独设立会计账册，进行会计核算，与乙方核对理财资产交易、资金、账务等相关信息，并保存理财资产有关会计账册、凭证、协议等文件。</w:t>
      </w:r>
    </w:p>
    <w:p>
      <w:pPr>
        <w:tabs>
          <w:tab w:val="left" w:pos="360"/>
          <w:tab w:val="left" w:pos="420"/>
        </w:tabs>
        <w:spacing w:before="40" w:line="520" w:lineRule="exact"/>
        <w:ind w:firstLine="584" w:firstLineChars="200"/>
        <w:rPr>
          <w:rFonts w:ascii="仿宋_GB2312" w:hAnsi="宋体" w:eastAsia="仿宋_GB2312"/>
          <w:spacing w:val="6"/>
          <w:sz w:val="28"/>
          <w:szCs w:val="18"/>
        </w:rPr>
      </w:pPr>
      <w:r>
        <w:rPr>
          <w:rFonts w:hint="eastAsia" w:ascii="仿宋_GB2312" w:hAnsi="宋体" w:eastAsia="仿宋_GB2312"/>
          <w:color w:val="000000"/>
          <w:spacing w:val="6"/>
          <w:sz w:val="28"/>
          <w:szCs w:val="28"/>
        </w:rPr>
        <w:t>4.2.6</w:t>
      </w:r>
      <w:r>
        <w:rPr>
          <w:rFonts w:hint="eastAsia" w:ascii="仿宋_GB2312" w:hAnsi="宋体" w:eastAsia="仿宋_GB2312"/>
          <w:spacing w:val="6"/>
          <w:sz w:val="28"/>
          <w:szCs w:val="18"/>
        </w:rPr>
        <w:t>甲方确保提供给乙方的所有指令和文件资料均为真实、完整、准确、合法有效的，如因甲方提供的信息存在遗漏、误导性陈述或因故意隐瞒、欺诈而导致乙方无法正常履行托管职责，由此造成理财产品资产或乙方损失的，所有责任由甲方承担。</w:t>
      </w:r>
    </w:p>
    <w:p>
      <w:pPr>
        <w:tabs>
          <w:tab w:val="left" w:pos="360"/>
          <w:tab w:val="left" w:pos="420"/>
        </w:tabs>
        <w:spacing w:before="40" w:line="520" w:lineRule="exact"/>
        <w:ind w:firstLine="584" w:firstLineChars="200"/>
        <w:rPr>
          <w:rFonts w:ascii="仿宋_GB2312" w:hAnsi="宋体" w:eastAsia="仿宋_GB2312"/>
          <w:spacing w:val="6"/>
          <w:sz w:val="28"/>
          <w:szCs w:val="18"/>
        </w:rPr>
      </w:pPr>
      <w:r>
        <w:rPr>
          <w:rFonts w:hint="eastAsia" w:ascii="仿宋_GB2312" w:hAnsi="宋体" w:eastAsia="仿宋_GB2312"/>
          <w:spacing w:val="6"/>
          <w:sz w:val="28"/>
          <w:szCs w:val="18"/>
        </w:rPr>
        <w:t>4.2.7理财产品业务变动、甲方经营范围发生变化或发生任何可能影响托管业务的事项时，甲方应提前2日通知乙方，不能预见的，应在上述事项发生之日起3日内通知乙方。</w:t>
      </w:r>
    </w:p>
    <w:p>
      <w:pPr>
        <w:tabs>
          <w:tab w:val="left" w:pos="360"/>
          <w:tab w:val="left" w:pos="420"/>
        </w:tabs>
        <w:spacing w:before="40" w:line="520" w:lineRule="exact"/>
        <w:ind w:firstLine="584" w:firstLineChars="200"/>
        <w:rPr>
          <w:rFonts w:ascii="仿宋_GB2312" w:hAnsi="宋体" w:eastAsia="仿宋_GB2312"/>
          <w:color w:val="000000"/>
          <w:spacing w:val="6"/>
          <w:sz w:val="28"/>
          <w:szCs w:val="28"/>
        </w:rPr>
      </w:pPr>
      <w:r>
        <w:rPr>
          <w:rFonts w:hint="eastAsia" w:ascii="仿宋_GB2312" w:hAnsi="宋体" w:eastAsia="仿宋_GB2312"/>
          <w:spacing w:val="6"/>
          <w:sz w:val="28"/>
          <w:szCs w:val="18"/>
        </w:rPr>
        <w:t>4.2.8甲方确保理财产品相关文件中关于乙方托管义务及责任的规定与本协议一致，不存在任何误导性陈述。</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spacing w:val="6"/>
          <w:sz w:val="28"/>
          <w:szCs w:val="18"/>
        </w:rPr>
        <w:t>4.2.9甲方应确保理财产品的各类投资交易的合法有效性，因交易合同以及与之相关的交易本身的合法性及有效性导致的任何侵权、损害赔偿及其他法律责任，均由甲方自行承担。</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4.2.10国家有关法律法规、监管机构规定的</w:t>
      </w:r>
      <w:bookmarkStart w:id="16" w:name="OLE_LINK9"/>
      <w:r>
        <w:rPr>
          <w:rFonts w:hint="eastAsia" w:ascii="仿宋_GB2312" w:hAnsi="宋体" w:eastAsia="仿宋_GB2312"/>
          <w:color w:val="000000"/>
          <w:spacing w:val="6"/>
          <w:sz w:val="28"/>
          <w:szCs w:val="28"/>
        </w:rPr>
        <w:t>其他</w:t>
      </w:r>
      <w:bookmarkEnd w:id="16"/>
      <w:r>
        <w:rPr>
          <w:rFonts w:hint="eastAsia" w:ascii="仿宋_GB2312" w:hAnsi="宋体" w:eastAsia="仿宋_GB2312"/>
          <w:color w:val="000000"/>
          <w:spacing w:val="6"/>
          <w:sz w:val="28"/>
          <w:szCs w:val="28"/>
        </w:rPr>
        <w:t>义务。</w:t>
      </w:r>
    </w:p>
    <w:p>
      <w:pPr>
        <w:spacing w:before="40" w:line="580" w:lineRule="exact"/>
        <w:ind w:firstLine="560" w:firstLineChars="200"/>
        <w:rPr>
          <w:rFonts w:ascii="仿宋_GB2312" w:eastAsia="仿宋_GB2312"/>
          <w:color w:val="000000"/>
          <w:sz w:val="28"/>
          <w:szCs w:val="28"/>
        </w:rPr>
      </w:pPr>
    </w:p>
    <w:p>
      <w:pPr>
        <w:pStyle w:val="2"/>
        <w:spacing w:before="40" w:after="0" w:line="580" w:lineRule="exact"/>
        <w:ind w:left="425"/>
        <w:rPr>
          <w:rFonts w:ascii="仿宋_GB2312" w:hAnsi="宋体" w:eastAsia="仿宋_GB2312"/>
          <w:sz w:val="28"/>
          <w:szCs w:val="28"/>
        </w:rPr>
      </w:pPr>
      <w:bookmarkStart w:id="17" w:name="_Toc856268"/>
      <w:r>
        <w:rPr>
          <w:rFonts w:hint="eastAsia" w:ascii="仿宋_GB2312" w:hAnsi="宋体" w:eastAsia="仿宋_GB2312"/>
          <w:sz w:val="28"/>
          <w:szCs w:val="28"/>
        </w:rPr>
        <w:t>5、乙方权利及义务</w:t>
      </w:r>
      <w:bookmarkEnd w:id="17"/>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5.1乙方的权利：</w:t>
      </w:r>
    </w:p>
    <w:p>
      <w:pPr>
        <w:spacing w:before="40" w:line="580" w:lineRule="exact"/>
        <w:ind w:right="-105"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5.1.1按照本协议约定，对托管的理财产品资产进行托管，行使保管、清算、核算、估值和监督等职能。</w:t>
      </w:r>
    </w:p>
    <w:p>
      <w:pPr>
        <w:spacing w:before="40" w:line="580" w:lineRule="exact"/>
        <w:ind w:right="-105"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5.1.2</w:t>
      </w:r>
      <w:r>
        <w:rPr>
          <w:rFonts w:hint="eastAsia" w:ascii="仿宋_GB2312" w:hAnsi="宋体" w:eastAsia="仿宋_GB2312"/>
          <w:color w:val="000000"/>
          <w:kern w:val="0"/>
          <w:sz w:val="28"/>
          <w:szCs w:val="28"/>
        </w:rPr>
        <w:t>依据本协议的规定监督甲方投资运作，发现甲方存在违反协议约定的，按照协议约定向甲方提示</w:t>
      </w:r>
      <w:r>
        <w:rPr>
          <w:rFonts w:hint="eastAsia" w:ascii="仿宋_GB2312" w:hAnsi="宋体" w:eastAsia="仿宋_GB2312"/>
          <w:color w:val="000000"/>
          <w:spacing w:val="6"/>
          <w:sz w:val="28"/>
          <w:szCs w:val="28"/>
        </w:rPr>
        <w:t>。</w:t>
      </w:r>
    </w:p>
    <w:p>
      <w:pPr>
        <w:spacing w:before="40" w:line="580" w:lineRule="exact"/>
        <w:ind w:right="-105"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5.1.3对甲方发送的划款指令进行审核，对于存在违反本协议约定的划款指令，有权拒绝执行，并通知甲方予以更正。</w:t>
      </w:r>
    </w:p>
    <w:p>
      <w:pPr>
        <w:spacing w:before="40" w:line="580" w:lineRule="exact"/>
        <w:ind w:right="-105"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5.1.4按照本协议的约定，及时、足额收取托管费。</w:t>
      </w:r>
    </w:p>
    <w:p>
      <w:pPr>
        <w:spacing w:before="40" w:line="580" w:lineRule="exact"/>
        <w:ind w:right="-105"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5.1.5国家有关法律法规、监管机构规定的其他权利。</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5.2乙方的义务：</w:t>
      </w:r>
    </w:p>
    <w:p>
      <w:pPr>
        <w:spacing w:before="40" w:line="580" w:lineRule="exact"/>
        <w:ind w:right="-105" w:firstLine="584" w:firstLineChars="200"/>
        <w:rPr>
          <w:rFonts w:ascii="仿宋_GB2312" w:hAnsi="宋体" w:eastAsia="仿宋_GB2312"/>
          <w:color w:val="000000"/>
          <w:sz w:val="28"/>
          <w:szCs w:val="28"/>
        </w:rPr>
      </w:pPr>
      <w:r>
        <w:rPr>
          <w:rFonts w:hint="eastAsia" w:ascii="仿宋_GB2312" w:hAnsi="宋体" w:eastAsia="仿宋_GB2312"/>
          <w:color w:val="000000"/>
          <w:spacing w:val="6"/>
          <w:sz w:val="28"/>
          <w:szCs w:val="28"/>
        </w:rPr>
        <w:t>5.2.1</w:t>
      </w:r>
      <w:r>
        <w:rPr>
          <w:rFonts w:hint="eastAsia" w:ascii="仿宋_GB2312" w:hAnsi="宋体" w:eastAsia="仿宋_GB2312"/>
          <w:color w:val="000000"/>
          <w:sz w:val="28"/>
          <w:szCs w:val="28"/>
        </w:rPr>
        <w:t>安全保管理财产品资产，除甲方的划款指令或协议另有规定外，乙方不得自行运用、处分和分配理财产品资产。</w:t>
      </w:r>
    </w:p>
    <w:p>
      <w:pPr>
        <w:spacing w:before="40" w:line="580" w:lineRule="exact"/>
        <w:ind w:right="-105" w:firstLine="584" w:firstLineChars="200"/>
        <w:rPr>
          <w:rFonts w:ascii="仿宋_GB2312" w:hAnsi="宋体" w:eastAsia="仿宋_GB2312"/>
          <w:color w:val="000000"/>
          <w:sz w:val="28"/>
          <w:szCs w:val="28"/>
        </w:rPr>
      </w:pPr>
      <w:r>
        <w:rPr>
          <w:rFonts w:hint="eastAsia" w:ascii="仿宋_GB2312" w:hAnsi="宋体" w:eastAsia="仿宋_GB2312"/>
          <w:color w:val="000000"/>
          <w:spacing w:val="6"/>
          <w:sz w:val="28"/>
          <w:szCs w:val="28"/>
        </w:rPr>
        <w:t>5.2.2根</w:t>
      </w:r>
      <w:r>
        <w:rPr>
          <w:rFonts w:hint="eastAsia" w:ascii="仿宋_GB2312" w:hAnsi="宋体" w:eastAsia="仿宋_GB2312"/>
          <w:color w:val="000000"/>
          <w:sz w:val="28"/>
          <w:szCs w:val="28"/>
        </w:rPr>
        <w:t>据相关规定为理财产品开设独立的资产托管账户、投资资产账户等，</w:t>
      </w:r>
      <w:r>
        <w:rPr>
          <w:rFonts w:hint="eastAsia" w:ascii="仿宋_GB2312" w:hAnsi="宋体" w:eastAsia="仿宋_GB2312"/>
          <w:color w:val="000000"/>
          <w:spacing w:val="6"/>
          <w:sz w:val="28"/>
          <w:szCs w:val="28"/>
        </w:rPr>
        <w:t>根据甲方的划款指令，办理本协议项下的资金清算。</w:t>
      </w:r>
    </w:p>
    <w:p>
      <w:pPr>
        <w:spacing w:before="40" w:line="580" w:lineRule="exact"/>
        <w:ind w:firstLine="584" w:firstLineChars="200"/>
        <w:rPr>
          <w:rFonts w:ascii="仿宋_GB2312" w:hAnsi="宋体" w:eastAsia="仿宋_GB2312"/>
          <w:color w:val="000000"/>
          <w:sz w:val="28"/>
          <w:szCs w:val="28"/>
        </w:rPr>
      </w:pPr>
      <w:r>
        <w:rPr>
          <w:rFonts w:hint="eastAsia" w:ascii="仿宋_GB2312" w:hAnsi="宋体" w:eastAsia="仿宋_GB2312"/>
          <w:color w:val="000000"/>
          <w:spacing w:val="6"/>
          <w:sz w:val="28"/>
          <w:szCs w:val="28"/>
        </w:rPr>
        <w:t>5.2.3将理财产品资产独立于乙方托管的其他资产，根据甲方的要求为理财产品设立单独的组合，进行</w:t>
      </w:r>
      <w:r>
        <w:rPr>
          <w:rFonts w:hint="eastAsia" w:ascii="仿宋_GB2312" w:hAnsi="宋体" w:eastAsia="仿宋_GB2312"/>
          <w:color w:val="000000"/>
          <w:sz w:val="28"/>
          <w:szCs w:val="28"/>
        </w:rPr>
        <w:t>独立核算，分账管理。</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5.2.4根据本协议的有关规定，执行甲方的划款指令，</w:t>
      </w:r>
      <w:r>
        <w:rPr>
          <w:rFonts w:hint="eastAsia" w:ascii="仿宋_GB2312" w:hAnsi="宋体" w:eastAsia="仿宋_GB2312"/>
          <w:color w:val="000000"/>
          <w:spacing w:val="6"/>
          <w:sz w:val="28"/>
          <w:szCs w:val="18"/>
        </w:rPr>
        <w:t>办理本协议项下的资金清算</w:t>
      </w:r>
      <w:r>
        <w:rPr>
          <w:rFonts w:hint="eastAsia" w:ascii="仿宋_GB2312" w:hAnsi="宋体" w:eastAsia="仿宋_GB2312"/>
          <w:color w:val="000000"/>
          <w:spacing w:val="6"/>
          <w:sz w:val="28"/>
          <w:szCs w:val="28"/>
        </w:rPr>
        <w:t>。</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5.2.5根据甲方要求</w:t>
      </w:r>
      <w:r>
        <w:rPr>
          <w:rFonts w:hint="eastAsia" w:ascii="仿宋_GB2312" w:hAnsi="宋体" w:eastAsia="仿宋_GB2312"/>
          <w:color w:val="000000"/>
          <w:sz w:val="28"/>
          <w:szCs w:val="28"/>
        </w:rPr>
        <w:t>定期向甲方提交理财产品相关的信息、数据和财务报表。</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5.2.6 国家有关法律法规、监管机构规定的</w:t>
      </w:r>
      <w:bookmarkStart w:id="18" w:name="OLE_LINK8"/>
      <w:r>
        <w:rPr>
          <w:rFonts w:hint="eastAsia" w:ascii="仿宋_GB2312" w:hAnsi="宋体" w:eastAsia="仿宋_GB2312"/>
          <w:color w:val="000000"/>
          <w:spacing w:val="6"/>
          <w:sz w:val="28"/>
          <w:szCs w:val="28"/>
        </w:rPr>
        <w:t>其他</w:t>
      </w:r>
      <w:bookmarkEnd w:id="18"/>
      <w:r>
        <w:rPr>
          <w:rFonts w:hint="eastAsia" w:ascii="仿宋_GB2312" w:hAnsi="宋体" w:eastAsia="仿宋_GB2312"/>
          <w:color w:val="000000"/>
          <w:spacing w:val="6"/>
          <w:sz w:val="28"/>
          <w:szCs w:val="28"/>
        </w:rPr>
        <w:t>义务。</w:t>
      </w:r>
    </w:p>
    <w:p>
      <w:pPr>
        <w:spacing w:before="40" w:line="580" w:lineRule="exact"/>
        <w:ind w:firstLine="584" w:firstLineChars="200"/>
        <w:rPr>
          <w:rFonts w:ascii="仿宋_GB2312" w:hAnsi="宋体" w:eastAsia="仿宋_GB2312"/>
          <w:color w:val="000000"/>
          <w:spacing w:val="6"/>
          <w:sz w:val="28"/>
          <w:szCs w:val="28"/>
        </w:rPr>
      </w:pPr>
    </w:p>
    <w:p>
      <w:pPr>
        <w:pStyle w:val="2"/>
        <w:spacing w:before="40" w:after="0" w:line="580" w:lineRule="exact"/>
        <w:ind w:left="425"/>
        <w:rPr>
          <w:rFonts w:ascii="仿宋_GB2312" w:hAnsi="宋体" w:eastAsia="仿宋_GB2312"/>
          <w:sz w:val="28"/>
          <w:szCs w:val="28"/>
        </w:rPr>
      </w:pPr>
      <w:bookmarkStart w:id="19" w:name="_Toc856269"/>
      <w:r>
        <w:rPr>
          <w:rFonts w:hint="eastAsia" w:ascii="仿宋_GB2312" w:hAnsi="宋体" w:eastAsia="仿宋_GB2312"/>
          <w:sz w:val="28"/>
          <w:szCs w:val="28"/>
        </w:rPr>
        <w:t>6、理财产品投资范围</w:t>
      </w:r>
      <w:bookmarkEnd w:id="19"/>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6.1根据国家法律法规和有关规定，理财产品资产的投资范围限于银行存款、国债、金融债、央行票据、其他债券、股票、项目收受益权、同业借款、各类资管计划、各类信托计划、债券回购、同业存单、资产支持证券、债权融资计划、证券投资基金等投资产品</w:t>
      </w:r>
      <w:r>
        <w:rPr>
          <w:rFonts w:hint="eastAsia" w:ascii="仿宋_GB2312" w:hAnsi="宋体" w:eastAsia="仿宋_GB2312"/>
          <w:color w:val="000000"/>
          <w:spacing w:val="6"/>
          <w:sz w:val="28"/>
          <w:szCs w:val="18"/>
        </w:rPr>
        <w:t>或</w:t>
      </w:r>
      <w:r>
        <w:rPr>
          <w:rFonts w:hint="eastAsia" w:ascii="仿宋_GB2312" w:hAnsi="宋体" w:eastAsia="仿宋_GB2312"/>
          <w:color w:val="000000"/>
          <w:spacing w:val="6"/>
          <w:sz w:val="28"/>
          <w:szCs w:val="28"/>
        </w:rPr>
        <w:t>理财产品发行文件规定的投资品种。</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6.2</w:t>
      </w:r>
      <w:r>
        <w:rPr>
          <w:rFonts w:hint="eastAsia" w:ascii="仿宋_GB2312" w:hAnsi="宋体" w:eastAsia="仿宋_GB2312"/>
          <w:color w:val="000000"/>
          <w:spacing w:val="6"/>
          <w:sz w:val="28"/>
          <w:szCs w:val="18"/>
        </w:rPr>
        <w:t>理财产品的具体投资范围依据理财产品说明书的具体约定。</w:t>
      </w:r>
    </w:p>
    <w:p>
      <w:pPr>
        <w:spacing w:before="40" w:line="580" w:lineRule="exact"/>
        <w:ind w:firstLine="584" w:firstLineChars="200"/>
        <w:rPr>
          <w:rFonts w:ascii="仿宋_GB2312" w:hAnsi="宋体" w:eastAsia="仿宋_GB2312"/>
          <w:color w:val="000000"/>
          <w:spacing w:val="6"/>
          <w:sz w:val="28"/>
          <w:szCs w:val="28"/>
        </w:rPr>
      </w:pPr>
    </w:p>
    <w:p>
      <w:pPr>
        <w:pStyle w:val="2"/>
        <w:spacing w:before="40" w:after="0" w:line="580" w:lineRule="exact"/>
        <w:ind w:left="425"/>
        <w:rPr>
          <w:rFonts w:ascii="仿宋_GB2312" w:hAnsi="宋体" w:eastAsia="仿宋_GB2312"/>
          <w:sz w:val="28"/>
          <w:szCs w:val="28"/>
        </w:rPr>
      </w:pPr>
      <w:bookmarkStart w:id="20" w:name="_Toc856270"/>
      <w:r>
        <w:rPr>
          <w:rFonts w:hint="eastAsia" w:ascii="仿宋_GB2312" w:hAnsi="宋体" w:eastAsia="仿宋_GB2312"/>
          <w:sz w:val="28"/>
          <w:szCs w:val="28"/>
        </w:rPr>
        <w:t>7、理财产品现金资产的保管</w:t>
      </w:r>
      <w:bookmarkEnd w:id="20"/>
    </w:p>
    <w:p>
      <w:pPr>
        <w:pStyle w:val="6"/>
        <w:spacing w:before="40" w:line="580" w:lineRule="exact"/>
        <w:ind w:firstLine="562" w:firstLineChars="200"/>
        <w:rPr>
          <w:rFonts w:ascii="仿宋_GB2312" w:hAnsi="宋体" w:eastAsia="仿宋_GB2312"/>
          <w:color w:val="000000"/>
          <w:spacing w:val="6"/>
          <w:sz w:val="28"/>
          <w:szCs w:val="28"/>
        </w:rPr>
      </w:pPr>
      <w:r>
        <w:rPr>
          <w:rFonts w:hint="eastAsia" w:ascii="仿宋_GB2312" w:eastAsia="仿宋_GB2312"/>
          <w:b/>
          <w:sz w:val="28"/>
          <w:szCs w:val="28"/>
        </w:rPr>
        <w:t>7.1理财产品托管账户的开立</w:t>
      </w:r>
    </w:p>
    <w:p>
      <w:pPr>
        <w:pStyle w:val="6"/>
        <w:spacing w:before="40" w:line="580" w:lineRule="exact"/>
        <w:ind w:firstLine="584" w:firstLineChars="200"/>
        <w:rPr>
          <w:rFonts w:ascii="仿宋_GB2312" w:hAnsi="宋体" w:eastAsia="仿宋_GB2312"/>
          <w:color w:val="000000"/>
          <w:spacing w:val="6"/>
          <w:sz w:val="28"/>
          <w:szCs w:val="28"/>
          <w:u w:val="single"/>
        </w:rPr>
      </w:pPr>
      <w:r>
        <w:rPr>
          <w:rFonts w:hint="eastAsia" w:ascii="仿宋_GB2312" w:hAnsi="宋体" w:eastAsia="仿宋_GB2312"/>
          <w:color w:val="000000"/>
          <w:spacing w:val="6"/>
          <w:sz w:val="28"/>
          <w:szCs w:val="28"/>
        </w:rPr>
        <w:t>7.1.1甲方根据相关规定为理财产品在乙方开立理财产品托管账户，</w:t>
      </w:r>
      <w:r>
        <w:rPr>
          <w:rFonts w:hint="eastAsia" w:ascii="仿宋_GB2312" w:eastAsia="仿宋_GB2312"/>
          <w:sz w:val="28"/>
        </w:rPr>
        <w:t>用于保管理财产品现金资产，</w:t>
      </w:r>
      <w:r>
        <w:rPr>
          <w:rFonts w:hint="eastAsia" w:ascii="仿宋_GB2312" w:hAnsi="宋体" w:eastAsia="仿宋_GB2312"/>
          <w:color w:val="000000"/>
          <w:spacing w:val="6"/>
          <w:sz w:val="28"/>
          <w:szCs w:val="28"/>
        </w:rPr>
        <w:t>乙方为理财产品建立单独的</w:t>
      </w:r>
      <w:r>
        <w:rPr>
          <w:rFonts w:hint="eastAsia" w:ascii="仿宋_GB2312" w:hAnsi="宋体" w:eastAsia="仿宋_GB2312"/>
          <w:color w:val="000000"/>
          <w:spacing w:val="6"/>
          <w:sz w:val="28"/>
          <w:szCs w:val="28"/>
          <w:u w:val="single"/>
        </w:rPr>
        <w:t>组合进行管理</w:t>
      </w:r>
      <w:r>
        <w:rPr>
          <w:rFonts w:hint="eastAsia" w:ascii="仿宋_GB2312" w:hAnsi="宋体" w:eastAsia="仿宋_GB2312"/>
          <w:sz w:val="28"/>
          <w:szCs w:val="18"/>
          <w:u w:val="single"/>
        </w:rPr>
        <w:t>。</w:t>
      </w:r>
    </w:p>
    <w:p>
      <w:pPr>
        <w:pStyle w:val="6"/>
        <w:spacing w:before="40" w:line="580" w:lineRule="exact"/>
        <w:ind w:firstLine="584" w:firstLineChars="200"/>
        <w:rPr>
          <w:rFonts w:hint="eastAsia" w:ascii="仿宋_GB2312" w:hAnsi="宋体" w:eastAsia="仿宋_GB2312"/>
          <w:color w:val="000000"/>
          <w:spacing w:val="6"/>
          <w:sz w:val="28"/>
          <w:szCs w:val="28"/>
          <w:lang w:eastAsia="zh-CN"/>
        </w:rPr>
      </w:pPr>
      <w:r>
        <w:rPr>
          <w:rFonts w:hint="eastAsia" w:ascii="仿宋_GB2312" w:hAnsi="宋体" w:eastAsia="仿宋_GB2312"/>
          <w:color w:val="000000"/>
          <w:spacing w:val="6"/>
          <w:sz w:val="28"/>
          <w:szCs w:val="28"/>
        </w:rPr>
        <w:t>7.1.2 甲方应协助乙方，在乙方指定的乙方营业机构，以甲方的名义为甲方理财产品开立专用银行存款账户，作为本理财产品的托管专户，账户名称为“</w:t>
      </w:r>
      <w:r>
        <w:rPr>
          <w:rFonts w:hint="eastAsia" w:ascii="仿宋_GB2312" w:hAnsi="宋体" w:eastAsia="仿宋_GB2312"/>
          <w:color w:val="000000"/>
          <w:spacing w:val="6"/>
          <w:sz w:val="28"/>
          <w:szCs w:val="28"/>
        </w:rPr>
        <w:t>中原银行鼎盛财富季季盈定期开放净值型理财产品</w:t>
      </w:r>
      <w:r>
        <w:rPr>
          <w:rFonts w:hint="eastAsia" w:ascii="仿宋_GB2312" w:hAnsi="宋体" w:eastAsia="仿宋_GB2312"/>
          <w:color w:val="000000"/>
          <w:spacing w:val="6"/>
          <w:sz w:val="28"/>
          <w:szCs w:val="28"/>
          <w:lang w:eastAsia="zh-CN"/>
        </w:rPr>
        <w:t>（</w:t>
      </w:r>
      <w:r>
        <w:rPr>
          <w:rFonts w:ascii="仿宋_GB2312" w:hAnsi="宋体" w:eastAsia="仿宋_GB2312"/>
          <w:color w:val="000000"/>
          <w:spacing w:val="6"/>
          <w:sz w:val="28"/>
          <w:szCs w:val="28"/>
        </w:rPr>
        <w:t>A</w:t>
      </w:r>
      <w:r>
        <w:rPr>
          <w:rFonts w:hint="eastAsia" w:ascii="仿宋_GB2312" w:hAnsi="宋体" w:eastAsia="仿宋_GB2312"/>
          <w:color w:val="000000"/>
          <w:spacing w:val="6"/>
          <w:sz w:val="28"/>
          <w:szCs w:val="28"/>
        </w:rPr>
        <w:t>款</w:t>
      </w:r>
      <w:r>
        <w:rPr>
          <w:rFonts w:hint="eastAsia" w:ascii="仿宋_GB2312" w:hAnsi="宋体" w:eastAsia="仿宋_GB2312"/>
          <w:color w:val="000000"/>
          <w:spacing w:val="6"/>
          <w:sz w:val="28"/>
          <w:szCs w:val="28"/>
          <w:lang w:eastAsia="zh-CN"/>
        </w:rPr>
        <w:t>）中信银行郑州分行托管专户</w:t>
      </w:r>
      <w:r>
        <w:rPr>
          <w:rFonts w:hint="eastAsia" w:ascii="仿宋_GB2312" w:hAnsi="宋体" w:eastAsia="仿宋_GB2312"/>
          <w:color w:val="000000"/>
          <w:spacing w:val="6"/>
          <w:sz w:val="28"/>
          <w:szCs w:val="28"/>
        </w:rPr>
        <w:t>”（以实际开立名称为准）。理财产品的托管专户</w:t>
      </w:r>
      <w:r>
        <w:rPr>
          <w:rFonts w:hint="eastAsia" w:ascii="仿宋_GB2312" w:hAnsi="宋体" w:eastAsia="仿宋_GB2312"/>
          <w:color w:val="000000"/>
          <w:spacing w:val="6"/>
          <w:sz w:val="28"/>
          <w:szCs w:val="28"/>
          <w:lang w:eastAsia="zh-CN"/>
        </w:rPr>
        <w:t>采用无印鉴管理。</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甲方理财产品托管期间的一切货币收支活动，包括</w:t>
      </w:r>
      <w:bookmarkStart w:id="36" w:name="_GoBack"/>
      <w:bookmarkEnd w:id="36"/>
      <w:r>
        <w:rPr>
          <w:rFonts w:hint="eastAsia" w:ascii="仿宋_GB2312" w:hAnsi="宋体" w:eastAsia="仿宋_GB2312"/>
          <w:color w:val="000000"/>
          <w:spacing w:val="6"/>
          <w:sz w:val="28"/>
          <w:szCs w:val="28"/>
        </w:rPr>
        <w:t>但不限于投资交易、支付理财费用、分配理财利益，均需通过本理财产品托管专户进行，甲方为募集理财资金、返还理财利益而使用另外开立的理财资金收付账户进行的款项收付除外。</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7.1.3甲方理财产品的托管专户仅限于乙方托管的甲方理财产品使用，乙方对理财产品必须分账管理。甲方和乙方不得假借甲方名义为乙方托管的甲方理财产品开立任何其他银行账户。</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理财产品托管专户的开立和管理应符合《人民币银行结算账户管理办法》、《现金管理暂行条例》、《人民币利率管理规定》、《支付结算办法》以及其他相关规定。托管账户可出款日期以开户行执行中国人民银行《人民币银行结算账户管理办法》的具体要求为准。托管专户内的银行存款</w:t>
      </w:r>
      <w:r>
        <w:rPr>
          <w:rFonts w:hint="eastAsia" w:ascii="仿宋_GB2312" w:hAnsi="仿宋_GB2312" w:eastAsia="仿宋_GB2312" w:cs="仿宋_GB2312"/>
          <w:sz w:val="28"/>
          <w:szCs w:val="28"/>
        </w:rPr>
        <w:t>利息按照同期金融同业存款利率支付。</w:t>
      </w:r>
      <w:r>
        <w:rPr>
          <w:rFonts w:hint="eastAsia" w:ascii="仿宋_GB2312" w:hAnsi="仿宋_GB2312" w:eastAsia="仿宋_GB2312" w:cs="仿宋_GB2312"/>
          <w:color w:val="000000"/>
          <w:spacing w:val="6"/>
          <w:sz w:val="28"/>
          <w:szCs w:val="28"/>
        </w:rPr>
        <w:t xml:space="preserve">    </w:t>
      </w:r>
      <w:r>
        <w:rPr>
          <w:rFonts w:hint="eastAsia" w:ascii="仿宋_GB2312" w:hAnsi="宋体" w:eastAsia="仿宋_GB2312"/>
          <w:color w:val="000000"/>
          <w:spacing w:val="6"/>
          <w:sz w:val="28"/>
          <w:szCs w:val="28"/>
        </w:rPr>
        <w:t xml:space="preserve">        </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7.1.4托管账户仅限于理财产品使用和满足开展理财产品业务的需要，该账户内资金划拨的主要收款账户如本协议附件一所示。该账户不得透支、不得提现、不得通兑。除法律法规另有规定外，甲乙双方均不得采取使得该账户无效的任何行为。</w:t>
      </w:r>
    </w:p>
    <w:p>
      <w:pPr>
        <w:pStyle w:val="6"/>
        <w:spacing w:before="40" w:line="580" w:lineRule="exact"/>
        <w:ind w:firstLine="562" w:firstLineChars="200"/>
        <w:rPr>
          <w:rFonts w:ascii="仿宋_GB2312" w:hAnsi="宋体" w:eastAsia="仿宋_GB2312"/>
          <w:color w:val="000000"/>
          <w:spacing w:val="6"/>
          <w:sz w:val="28"/>
          <w:szCs w:val="28"/>
        </w:rPr>
      </w:pPr>
      <w:r>
        <w:rPr>
          <w:rFonts w:hint="eastAsia" w:ascii="仿宋_GB2312" w:eastAsia="仿宋_GB2312"/>
          <w:b/>
          <w:sz w:val="28"/>
          <w:szCs w:val="28"/>
        </w:rPr>
        <w:t>7</w:t>
      </w:r>
      <w:r>
        <w:rPr>
          <w:rFonts w:hint="eastAsia" w:ascii="仿宋_GB2312" w:hAnsi="宋体" w:eastAsia="仿宋_GB2312"/>
          <w:b/>
          <w:spacing w:val="6"/>
          <w:sz w:val="28"/>
          <w:szCs w:val="28"/>
        </w:rPr>
        <w:t xml:space="preserve">.2 </w:t>
      </w:r>
      <w:r>
        <w:rPr>
          <w:rFonts w:hint="eastAsia" w:ascii="仿宋_GB2312" w:hAnsi="宋体" w:eastAsia="仿宋_GB2312"/>
          <w:b/>
          <w:color w:val="000000"/>
          <w:spacing w:val="6"/>
          <w:sz w:val="28"/>
          <w:szCs w:val="28"/>
        </w:rPr>
        <w:t>银行间债券账户的开立和管理</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本协议生效后，甲方负责以理财产品财产的名义申请并取得进入全国银行间同业拆借市场的交易资格，并代表理财产品进行交易；乙方负责以理财产品财产的名义在中央国债登记结算有限责任公司、银行间市场清算所股份有限公司开设银行间债券市场债券托管账户，并代表理财产品进行债券和资金的清算。甲方应当予以配合并提供相关资料。</w:t>
      </w:r>
    </w:p>
    <w:p>
      <w:pPr>
        <w:pStyle w:val="6"/>
        <w:spacing w:before="40" w:line="580" w:lineRule="exact"/>
        <w:ind w:firstLine="586" w:firstLineChars="200"/>
        <w:rPr>
          <w:rFonts w:ascii="仿宋_GB2312" w:hAnsi="宋体" w:eastAsia="仿宋_GB2312"/>
          <w:b/>
          <w:color w:val="000000"/>
          <w:spacing w:val="6"/>
          <w:sz w:val="28"/>
          <w:szCs w:val="28"/>
        </w:rPr>
      </w:pPr>
      <w:r>
        <w:rPr>
          <w:rFonts w:ascii="仿宋_GB2312" w:hAnsi="宋体" w:eastAsia="仿宋_GB2312"/>
          <w:b/>
          <w:color w:val="000000"/>
          <w:spacing w:val="6"/>
          <w:sz w:val="28"/>
          <w:szCs w:val="28"/>
        </w:rPr>
        <w:t>7.3 理财产品证券账户的开立和管理</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1）乙方按照规定开立理财产品财产的证券账户。甲方应当在开户过程中给予必要的配合，并提供所需资料。证券账户的持有人名称应当符合证券登记结算机构的有关规定。开户费用由甲方承担。</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2）证券账户的开立和使用，限于满足开展理财业务的需要。乙方和甲方不得出借和未经对方同意擅自转让产品的任何证券账户，亦不得使用理财产品的任何证券账户进行本理财产品业务以外的活动。</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3）证券账户的开立和证券账户卡的保管由乙方负责，管理和运用由甲方负责。</w:t>
      </w:r>
    </w:p>
    <w:p>
      <w:pPr>
        <w:pStyle w:val="6"/>
        <w:spacing w:before="40" w:line="580" w:lineRule="exact"/>
        <w:ind w:firstLine="586" w:firstLineChars="200"/>
        <w:rPr>
          <w:rFonts w:ascii="仿宋_GB2312" w:hAnsi="宋体" w:eastAsia="仿宋_GB2312"/>
          <w:b/>
          <w:color w:val="000000"/>
          <w:spacing w:val="6"/>
          <w:sz w:val="28"/>
          <w:szCs w:val="28"/>
        </w:rPr>
      </w:pPr>
      <w:r>
        <w:rPr>
          <w:rFonts w:ascii="仿宋_GB2312" w:hAnsi="宋体" w:eastAsia="仿宋_GB2312"/>
          <w:b/>
          <w:color w:val="000000"/>
          <w:spacing w:val="6"/>
          <w:sz w:val="28"/>
          <w:szCs w:val="28"/>
        </w:rPr>
        <w:t>7.4</w:t>
      </w:r>
      <w:r>
        <w:rPr>
          <w:rFonts w:hint="eastAsia" w:ascii="仿宋_GB2312" w:hAnsi="宋体" w:eastAsia="仿宋_GB2312"/>
          <w:b/>
          <w:color w:val="000000"/>
          <w:spacing w:val="6"/>
          <w:sz w:val="28"/>
          <w:szCs w:val="28"/>
        </w:rPr>
        <w:t>专用资金账户（专用资金台账账户）的开立和管理</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专用资金账户是以理财产品名义在甲方所选择的证券公司的下属营业机构开立的，并与托管账户建立第三方存管关系。甲方应在乙方下属营业机构签署《客户交易结算资金银行存管协议书》。专用资金账户开立后，甲方将专用资金账户的开户资料（复印件）加盖业务专用章后交乙方留存。</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2）在本协议有效期内，未经乙方同意，甲方不得注销该专用资金账户，也不得自行通过“第三方存管”平台从专用资金账户向银行结算账户（即托管账户）划款。</w:t>
      </w:r>
    </w:p>
    <w:p>
      <w:pPr>
        <w:pStyle w:val="6"/>
        <w:spacing w:before="40" w:line="580" w:lineRule="exact"/>
        <w:ind w:firstLine="586" w:firstLineChars="200"/>
        <w:rPr>
          <w:rFonts w:ascii="仿宋_GB2312" w:hAnsi="宋体" w:eastAsia="仿宋_GB2312"/>
          <w:b/>
          <w:color w:val="000000"/>
          <w:spacing w:val="6"/>
          <w:sz w:val="28"/>
          <w:szCs w:val="28"/>
        </w:rPr>
      </w:pPr>
      <w:r>
        <w:rPr>
          <w:rFonts w:ascii="仿宋_GB2312" w:hAnsi="宋体" w:eastAsia="仿宋_GB2312"/>
          <w:b/>
          <w:color w:val="000000"/>
          <w:spacing w:val="6"/>
          <w:sz w:val="28"/>
          <w:szCs w:val="28"/>
        </w:rPr>
        <w:t xml:space="preserve">7.5 </w:t>
      </w:r>
      <w:r>
        <w:rPr>
          <w:rFonts w:hint="eastAsia" w:ascii="仿宋_GB2312" w:hAnsi="宋体" w:eastAsia="仿宋_GB2312"/>
          <w:b/>
          <w:color w:val="000000"/>
          <w:spacing w:val="6"/>
          <w:sz w:val="28"/>
          <w:szCs w:val="28"/>
        </w:rPr>
        <w:t>开放式证券投资基金账户的开立和管理</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1）甲方负责以各理财产品的名义在基金管理公司开设开放式证券投资基金账户（以下简称“基金账户”）,用于理财产品在场外进行开放式证券投资基金投资的认购、申购和赎回。</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2）除非通过证券经纪商申购、赎回开放式证券投资基金，甲方在开立基金账户时应将理财产品托管专户作为理财产品的赎回款的指定收款账户。</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3）理财产品基金账户的开立和使用，限于满足开展该理财产品业务的需要。甲方和乙方不得出借或未经对方同意擅自转让理财产品的任何基金账户，亦不得使用理财产品的任何账户进行该理财业务以外的活动。</w:t>
      </w:r>
    </w:p>
    <w:p>
      <w:pPr>
        <w:pStyle w:val="6"/>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4）甲方需及时将基金账户的开户资料（复印件）加盖经授权的甲方业务专用章后交付乙方，信息（账号、查询密码等）以函件形式提交给乙方。在乙方收到开户资料前，甲方不得利用该账户进行投资活动。乙方有权随时向甲方及基金注册登记管理人查询该账户资料。基金账户的开户资料（复印件）由甲方加盖业务专用章后交付乙方留存。甲方应于每季度结束后及时将开放式基金对账单发送给乙方。</w:t>
      </w:r>
    </w:p>
    <w:p>
      <w:pPr>
        <w:pStyle w:val="6"/>
        <w:spacing w:before="40" w:line="580" w:lineRule="exact"/>
        <w:ind w:firstLine="562" w:firstLineChars="200"/>
        <w:rPr>
          <w:rFonts w:ascii="仿宋_GB2312" w:eastAsia="仿宋_GB2312"/>
          <w:b/>
          <w:sz w:val="28"/>
          <w:szCs w:val="28"/>
        </w:rPr>
      </w:pPr>
      <w:r>
        <w:rPr>
          <w:rFonts w:hint="eastAsia" w:ascii="仿宋_GB2312" w:eastAsia="仿宋_GB2312"/>
          <w:b/>
          <w:sz w:val="28"/>
          <w:szCs w:val="28"/>
        </w:rPr>
        <w:t>7</w:t>
      </w:r>
      <w:r>
        <w:rPr>
          <w:rFonts w:hint="eastAsia" w:ascii="仿宋_GB2312" w:hAnsi="宋体" w:eastAsia="仿宋_GB2312"/>
          <w:b/>
          <w:spacing w:val="6"/>
          <w:sz w:val="28"/>
          <w:szCs w:val="28"/>
        </w:rPr>
        <w:t>.6</w:t>
      </w:r>
      <w:r>
        <w:rPr>
          <w:rFonts w:hint="eastAsia" w:ascii="仿宋_GB2312" w:eastAsia="仿宋_GB2312"/>
          <w:b/>
          <w:sz w:val="28"/>
          <w:szCs w:val="28"/>
        </w:rPr>
        <w:t>理财产品现金资产的交付与支取</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7.6.1理财产品现金资产的首次移交</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甲方应在理财产品成立至少前一个工作日向乙方发出理财产品成立通知，列明交付乙方托管的理财产品资金金额并提供</w:t>
      </w:r>
      <w:r>
        <w:rPr>
          <w:rFonts w:hint="eastAsia" w:ascii="仿宋_GB2312" w:hAnsi="宋体" w:eastAsia="仿宋_GB2312"/>
          <w:color w:val="000000"/>
          <w:kern w:val="0"/>
          <w:sz w:val="28"/>
          <w:szCs w:val="28"/>
        </w:rPr>
        <w:t>理财产品发行的</w:t>
      </w:r>
      <w:r>
        <w:rPr>
          <w:rFonts w:ascii="仿宋_GB2312" w:hAnsi="宋体" w:eastAsia="仿宋_GB2312"/>
          <w:color w:val="000000"/>
          <w:kern w:val="0"/>
          <w:sz w:val="28"/>
          <w:szCs w:val="28"/>
        </w:rPr>
        <w:t>相关</w:t>
      </w:r>
      <w:r>
        <w:rPr>
          <w:rFonts w:hint="eastAsia" w:ascii="仿宋_GB2312" w:hAnsi="宋体" w:eastAsia="仿宋_GB2312"/>
          <w:color w:val="000000"/>
          <w:kern w:val="0"/>
          <w:sz w:val="28"/>
          <w:szCs w:val="28"/>
        </w:rPr>
        <w:t>文件，乙方据此为理财产品建立单独的组合进行建账；</w:t>
      </w:r>
      <w:r>
        <w:rPr>
          <w:rFonts w:hint="eastAsia" w:ascii="仿宋_GB2312" w:hAnsi="宋体" w:eastAsia="仿宋_GB2312"/>
          <w:color w:val="000000"/>
          <w:spacing w:val="6"/>
          <w:sz w:val="28"/>
          <w:szCs w:val="28"/>
        </w:rPr>
        <w:t>在理财产品发行结束后，托管运作前将期初现金资产从资金归集户一次性划入托管账户。</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乙方在理财产品资金到账当日确认托管账户到账金额与通知所载金额无误后反馈甲方，视为托管的理财产品资产首次移交完成。理财产品资金到账确认日即为理财产品托管起始日。</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7.6.2理财产品</w:t>
      </w:r>
      <w:bookmarkStart w:id="21" w:name="OLE_LINK3"/>
      <w:r>
        <w:rPr>
          <w:rFonts w:hint="eastAsia" w:ascii="仿宋_GB2312" w:hAnsi="宋体" w:eastAsia="仿宋_GB2312"/>
          <w:color w:val="000000"/>
          <w:spacing w:val="6"/>
          <w:sz w:val="28"/>
          <w:szCs w:val="28"/>
        </w:rPr>
        <w:t>现金</w:t>
      </w:r>
      <w:bookmarkEnd w:id="21"/>
      <w:r>
        <w:rPr>
          <w:rFonts w:hint="eastAsia" w:ascii="仿宋_GB2312" w:hAnsi="宋体" w:eastAsia="仿宋_GB2312"/>
          <w:color w:val="000000"/>
          <w:spacing w:val="6"/>
          <w:sz w:val="28"/>
          <w:szCs w:val="28"/>
        </w:rPr>
        <w:t>资产的增加</w:t>
      </w:r>
    </w:p>
    <w:p>
      <w:pPr>
        <w:pStyle w:val="6"/>
        <w:spacing w:before="40" w:line="580" w:lineRule="exact"/>
        <w:ind w:firstLine="584" w:firstLineChars="200"/>
        <w:rPr>
          <w:rFonts w:ascii="仿宋_GB2312" w:eastAsia="仿宋_GB2312"/>
          <w:sz w:val="28"/>
          <w:szCs w:val="28"/>
        </w:rPr>
      </w:pPr>
      <w:r>
        <w:rPr>
          <w:rFonts w:hint="eastAsia" w:ascii="仿宋_GB2312" w:hAnsi="宋体" w:eastAsia="仿宋_GB2312"/>
          <w:color w:val="000000"/>
          <w:spacing w:val="6"/>
          <w:sz w:val="28"/>
          <w:szCs w:val="28"/>
        </w:rPr>
        <w:t>在理财产品存续期内，理财产品后续新增申购资金，甲方提前向乙方发送到账通知 ，并将确认金额和份额后的理财资金从资金归集账户划至托管账户，乙方根据到账通知于收到理财产品资金的次日核对资金到账情况，并以书面文件、邮件或其他双方约定的方式将资金到账情况向甲方反馈。</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7.6.3理财产品现金资产的支取</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理财产品到期或理财客户赎回理财产品时，甲方向乙方发送资金划款指令，指令划款金额不得超过理财产品组合可用头寸，乙方审核划款指令无误后，将相应理财资金从托管账户划至资金归集户或相关收益分配账户，乙方执行指令后向甲方确认。如因划款指令金额超过理财产品组合可用头寸，乙方有权拒绝执行指令，由此产生的责任和损失由甲方承担。</w:t>
      </w:r>
    </w:p>
    <w:p>
      <w:pPr>
        <w:spacing w:before="40" w:line="580" w:lineRule="exact"/>
        <w:ind w:firstLine="586" w:firstLineChars="200"/>
        <w:rPr>
          <w:rFonts w:ascii="仿宋_GB2312" w:hAnsi="宋体" w:eastAsia="仿宋_GB2312"/>
          <w:b/>
          <w:color w:val="000000"/>
          <w:spacing w:val="6"/>
          <w:sz w:val="28"/>
          <w:szCs w:val="28"/>
        </w:rPr>
      </w:pPr>
      <w:r>
        <w:rPr>
          <w:rFonts w:hint="eastAsia" w:ascii="仿宋_GB2312" w:hAnsi="宋体" w:eastAsia="仿宋_GB2312"/>
          <w:b/>
          <w:color w:val="000000"/>
          <w:spacing w:val="6"/>
          <w:sz w:val="28"/>
          <w:szCs w:val="28"/>
        </w:rPr>
        <w:t>7.7理财产品现金资产的保管</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7.7.1乙方依据本协议负责保管理财产品资产及相关资料。</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7.7.2理财产品的资金收支活动，包括但不限于理财资金的投资、支付管理费、托管费等各项费用等均需通过托管账户进行。</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7.7.3托管账户专项用于甲方理财产品现金资产保管，未取得甲方授权，乙方不得自行支配理财资金。</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7.7.4理财产品资产如投资其他投资产品，甲方</w:t>
      </w:r>
      <w:r>
        <w:rPr>
          <w:rFonts w:ascii="仿宋_GB2312" w:hAnsi="宋体" w:eastAsia="仿宋_GB2312"/>
          <w:color w:val="000000"/>
          <w:spacing w:val="6"/>
          <w:sz w:val="28"/>
          <w:szCs w:val="28"/>
        </w:rPr>
        <w:t>对</w:t>
      </w:r>
      <w:r>
        <w:rPr>
          <w:rFonts w:hint="eastAsia" w:ascii="仿宋_GB2312" w:hAnsi="宋体" w:eastAsia="仿宋_GB2312"/>
          <w:color w:val="000000"/>
          <w:spacing w:val="6"/>
          <w:sz w:val="28"/>
          <w:szCs w:val="28"/>
        </w:rPr>
        <w:t>上述</w:t>
      </w:r>
      <w:r>
        <w:rPr>
          <w:rFonts w:ascii="仿宋_GB2312" w:hAnsi="宋体" w:eastAsia="仿宋_GB2312"/>
          <w:color w:val="000000"/>
          <w:spacing w:val="6"/>
          <w:sz w:val="28"/>
          <w:szCs w:val="28"/>
        </w:rPr>
        <w:t>投资业务的合法合规性负责。</w:t>
      </w:r>
      <w:r>
        <w:rPr>
          <w:rFonts w:hint="eastAsia" w:ascii="仿宋_GB2312" w:hAnsi="宋体" w:eastAsia="仿宋_GB2312"/>
          <w:color w:val="000000"/>
          <w:spacing w:val="6"/>
          <w:sz w:val="28"/>
          <w:szCs w:val="28"/>
        </w:rPr>
        <w:t>乙方不对在乙方实际保管范围外的资产承担保管职责，甲方应要求资产存放机构提供确保资金安全和流动性的承诺，同时为乙方开通有效查询途径。如因甲方</w:t>
      </w:r>
      <w:r>
        <w:rPr>
          <w:rFonts w:ascii="仿宋_GB2312" w:hAnsi="宋体" w:eastAsia="仿宋_GB2312"/>
          <w:color w:val="000000"/>
          <w:spacing w:val="6"/>
          <w:sz w:val="28"/>
          <w:szCs w:val="28"/>
        </w:rPr>
        <w:t>投资业务不合规</w:t>
      </w:r>
      <w:r>
        <w:rPr>
          <w:rFonts w:hint="eastAsia" w:ascii="仿宋_GB2312" w:hAnsi="宋体" w:eastAsia="仿宋_GB2312"/>
          <w:color w:val="000000"/>
          <w:spacing w:val="6"/>
          <w:sz w:val="28"/>
          <w:szCs w:val="28"/>
        </w:rPr>
        <w:t>而</w:t>
      </w:r>
      <w:r>
        <w:rPr>
          <w:rFonts w:ascii="仿宋_GB2312" w:hAnsi="宋体" w:eastAsia="仿宋_GB2312"/>
          <w:color w:val="000000"/>
          <w:spacing w:val="6"/>
          <w:sz w:val="28"/>
          <w:szCs w:val="28"/>
        </w:rPr>
        <w:t>给乙方造成损失的，甲方应当承担赔偿责任</w:t>
      </w:r>
      <w:r>
        <w:rPr>
          <w:rFonts w:hint="eastAsia" w:ascii="仿宋_GB2312" w:hAnsi="宋体" w:eastAsia="仿宋_GB2312"/>
          <w:color w:val="000000"/>
          <w:spacing w:val="6"/>
          <w:sz w:val="28"/>
          <w:szCs w:val="28"/>
        </w:rPr>
        <w:t>。</w:t>
      </w:r>
    </w:p>
    <w:p>
      <w:pPr>
        <w:spacing w:before="40" w:line="580" w:lineRule="exact"/>
        <w:ind w:firstLine="584" w:firstLineChars="200"/>
        <w:rPr>
          <w:rFonts w:ascii="仿宋_GB2312" w:hAnsi="宋体" w:eastAsia="仿宋_GB2312"/>
          <w:color w:val="000000"/>
          <w:spacing w:val="6"/>
          <w:sz w:val="28"/>
          <w:szCs w:val="28"/>
        </w:rPr>
      </w:pPr>
    </w:p>
    <w:p>
      <w:pPr>
        <w:pStyle w:val="2"/>
        <w:spacing w:before="40" w:after="0" w:line="580" w:lineRule="exact"/>
        <w:ind w:left="425"/>
        <w:rPr>
          <w:rFonts w:ascii="仿宋_GB2312" w:hAnsi="宋体" w:eastAsia="仿宋_GB2312"/>
          <w:sz w:val="28"/>
          <w:szCs w:val="28"/>
        </w:rPr>
      </w:pPr>
      <w:bookmarkStart w:id="22" w:name="_Toc856271"/>
      <w:r>
        <w:rPr>
          <w:rFonts w:hint="eastAsia" w:ascii="仿宋_GB2312" w:hAnsi="宋体" w:eastAsia="仿宋_GB2312"/>
          <w:sz w:val="28"/>
          <w:szCs w:val="28"/>
        </w:rPr>
        <w:t>8、划款指令和资金清算</w:t>
      </w:r>
      <w:bookmarkEnd w:id="22"/>
    </w:p>
    <w:p>
      <w:pPr>
        <w:spacing w:before="40" w:line="580" w:lineRule="exact"/>
        <w:ind w:firstLine="586" w:firstLineChars="200"/>
        <w:rPr>
          <w:rFonts w:ascii="仿宋_GB2312" w:hAnsi="宋体" w:eastAsia="仿宋_GB2312"/>
          <w:b/>
          <w:color w:val="000000"/>
          <w:spacing w:val="6"/>
          <w:sz w:val="28"/>
          <w:szCs w:val="28"/>
        </w:rPr>
      </w:pPr>
      <w:r>
        <w:rPr>
          <w:rFonts w:hint="eastAsia" w:ascii="仿宋_GB2312" w:hAnsi="宋体" w:eastAsia="仿宋_GB2312"/>
          <w:b/>
          <w:color w:val="000000"/>
          <w:spacing w:val="6"/>
          <w:sz w:val="28"/>
          <w:szCs w:val="28"/>
        </w:rPr>
        <w:t>8.1划款指令的内容</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8.1.1划款指令是指甲方发送至乙方的有关理财产品托管账户名下的款项支付以及其它资金划拨的指令。甲乙双方</w:t>
      </w:r>
      <w:r>
        <w:rPr>
          <w:rFonts w:ascii="仿宋_GB2312" w:hAnsi="宋体" w:eastAsia="仿宋_GB2312"/>
          <w:color w:val="000000"/>
          <w:spacing w:val="6"/>
          <w:sz w:val="28"/>
          <w:szCs w:val="28"/>
        </w:rPr>
        <w:t>发送及</w:t>
      </w:r>
      <w:r>
        <w:rPr>
          <w:rFonts w:hint="eastAsia" w:ascii="仿宋_GB2312" w:hAnsi="宋体" w:eastAsia="仿宋_GB2312"/>
          <w:color w:val="000000"/>
          <w:spacing w:val="6"/>
          <w:sz w:val="28"/>
          <w:szCs w:val="28"/>
        </w:rPr>
        <w:t>接收指令等</w:t>
      </w:r>
      <w:r>
        <w:rPr>
          <w:rFonts w:ascii="仿宋_GB2312" w:hAnsi="宋体" w:eastAsia="仿宋_GB2312"/>
          <w:color w:val="000000"/>
          <w:spacing w:val="6"/>
          <w:sz w:val="28"/>
          <w:szCs w:val="28"/>
        </w:rPr>
        <w:t>均应通过</w:t>
      </w:r>
      <w:r>
        <w:rPr>
          <w:rFonts w:hint="eastAsia" w:ascii="仿宋_GB2312" w:hAnsi="宋体" w:eastAsia="仿宋_GB2312"/>
          <w:color w:val="000000"/>
          <w:spacing w:val="6"/>
          <w:sz w:val="28"/>
          <w:szCs w:val="28"/>
        </w:rPr>
        <w:t>本协议</w:t>
      </w:r>
      <w:r>
        <w:rPr>
          <w:rFonts w:ascii="仿宋_GB2312" w:hAnsi="宋体" w:eastAsia="仿宋_GB2312"/>
          <w:color w:val="000000"/>
          <w:spacing w:val="6"/>
          <w:sz w:val="28"/>
          <w:szCs w:val="28"/>
        </w:rPr>
        <w:t>附件</w:t>
      </w:r>
      <w:r>
        <w:rPr>
          <w:rFonts w:hint="eastAsia" w:ascii="仿宋_GB2312" w:hAnsi="宋体" w:eastAsia="仿宋_GB2312"/>
          <w:color w:val="000000"/>
          <w:spacing w:val="6"/>
          <w:sz w:val="28"/>
          <w:szCs w:val="28"/>
          <w:lang w:eastAsia="zh-CN"/>
        </w:rPr>
        <w:t>六</w:t>
      </w:r>
      <w:r>
        <w:rPr>
          <w:rFonts w:hint="eastAsia" w:ascii="仿宋_GB2312" w:hAnsi="宋体" w:eastAsia="仿宋_GB2312"/>
          <w:color w:val="000000"/>
          <w:spacing w:val="6"/>
          <w:sz w:val="28"/>
          <w:szCs w:val="28"/>
        </w:rPr>
        <w:t>《业务联系表》约定的</w:t>
      </w:r>
      <w:r>
        <w:rPr>
          <w:rFonts w:ascii="仿宋_GB2312" w:hAnsi="宋体" w:eastAsia="仿宋_GB2312"/>
          <w:color w:val="000000"/>
          <w:spacing w:val="6"/>
          <w:sz w:val="28"/>
          <w:szCs w:val="28"/>
        </w:rPr>
        <w:t>联系方式进行。</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8.1.2划款指令应包括以下内容：产品名称、划款时间、划款用途、付款账户信息、收款人全称、收款人开户行、收款人银行账号、大额支付行号、划款金额大、小写、划款摘要、授权签字人签章、授权指令发送用章，划款指令格式见附件二。</w:t>
      </w:r>
    </w:p>
    <w:p>
      <w:pPr>
        <w:spacing w:before="40" w:line="580" w:lineRule="exact"/>
        <w:ind w:firstLine="586" w:firstLineChars="200"/>
        <w:rPr>
          <w:rFonts w:ascii="仿宋_GB2312" w:hAnsi="宋体" w:eastAsia="仿宋_GB2312"/>
          <w:b/>
          <w:color w:val="000000"/>
          <w:spacing w:val="6"/>
          <w:sz w:val="28"/>
          <w:szCs w:val="28"/>
        </w:rPr>
      </w:pPr>
      <w:r>
        <w:rPr>
          <w:rFonts w:hint="eastAsia" w:ascii="仿宋_GB2312" w:hAnsi="宋体" w:eastAsia="仿宋_GB2312"/>
          <w:b/>
          <w:color w:val="000000"/>
          <w:spacing w:val="6"/>
          <w:sz w:val="28"/>
          <w:szCs w:val="28"/>
        </w:rPr>
        <w:t>8.2被授权人的指定和变更</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8.2.1理财产品托管运作前，甲方应向乙方提供划款指令授权书（附件三）原件，划款指令授权书应包括被授权人名单、签名样本及相应权限，并加盖甲方公章。</w:t>
      </w:r>
    </w:p>
    <w:p>
      <w:pPr>
        <w:spacing w:before="40" w:line="580" w:lineRule="exact"/>
        <w:ind w:firstLine="584" w:firstLineChars="200"/>
        <w:rPr>
          <w:rFonts w:ascii="仿宋_GB2312" w:hAnsi="宋体" w:eastAsia="仿宋_GB2312"/>
          <w:spacing w:val="6"/>
          <w:sz w:val="28"/>
          <w:szCs w:val="28"/>
        </w:rPr>
      </w:pPr>
      <w:r>
        <w:rPr>
          <w:rFonts w:hint="eastAsia" w:ascii="仿宋_GB2312" w:hAnsi="宋体" w:eastAsia="仿宋_GB2312"/>
          <w:color w:val="000000"/>
          <w:spacing w:val="6"/>
          <w:sz w:val="28"/>
          <w:szCs w:val="28"/>
        </w:rPr>
        <w:t>8.2.2被授权人变更时，甲方应在变更前5个工作日向</w:t>
      </w:r>
      <w:r>
        <w:rPr>
          <w:rFonts w:ascii="仿宋_GB2312" w:hAnsi="宋体" w:eastAsia="仿宋_GB2312"/>
          <w:color w:val="000000"/>
          <w:spacing w:val="6"/>
          <w:sz w:val="28"/>
          <w:szCs w:val="28"/>
        </w:rPr>
        <w:t>乙方发送</w:t>
      </w:r>
      <w:r>
        <w:rPr>
          <w:rFonts w:hint="eastAsia" w:ascii="仿宋_GB2312" w:hAnsi="宋体" w:eastAsia="仿宋_GB2312"/>
          <w:color w:val="000000"/>
          <w:spacing w:val="6"/>
          <w:sz w:val="28"/>
          <w:szCs w:val="28"/>
        </w:rPr>
        <w:t>加盖</w:t>
      </w:r>
      <w:r>
        <w:rPr>
          <w:rFonts w:ascii="仿宋_GB2312" w:hAnsi="宋体" w:eastAsia="仿宋_GB2312"/>
          <w:color w:val="000000"/>
          <w:spacing w:val="6"/>
          <w:sz w:val="28"/>
          <w:szCs w:val="28"/>
        </w:rPr>
        <w:t>甲方公章的划款指令授权变更通知书</w:t>
      </w:r>
      <w:r>
        <w:rPr>
          <w:rFonts w:hint="eastAsia" w:ascii="仿宋_GB2312" w:hAnsi="宋体" w:eastAsia="仿宋_GB2312"/>
          <w:color w:val="000000"/>
          <w:spacing w:val="6"/>
          <w:sz w:val="28"/>
          <w:szCs w:val="28"/>
        </w:rPr>
        <w:t>扫描件</w:t>
      </w:r>
      <w:r>
        <w:rPr>
          <w:rFonts w:ascii="仿宋_GB2312" w:hAnsi="宋体" w:eastAsia="仿宋_GB2312"/>
          <w:color w:val="000000"/>
          <w:spacing w:val="6"/>
          <w:sz w:val="28"/>
          <w:szCs w:val="28"/>
        </w:rPr>
        <w:t>、传真件或原件</w:t>
      </w:r>
      <w:r>
        <w:rPr>
          <w:rFonts w:hint="eastAsia" w:ascii="仿宋_GB2312" w:hAnsi="宋体" w:eastAsia="仿宋_GB2312"/>
          <w:color w:val="000000"/>
          <w:spacing w:val="6"/>
          <w:sz w:val="28"/>
          <w:szCs w:val="28"/>
        </w:rPr>
        <w:t>。该变更应于甲乙</w:t>
      </w:r>
      <w:r>
        <w:rPr>
          <w:rFonts w:ascii="仿宋_GB2312" w:hAnsi="宋体" w:eastAsia="仿宋_GB2312"/>
          <w:color w:val="000000"/>
          <w:spacing w:val="6"/>
          <w:sz w:val="28"/>
          <w:szCs w:val="28"/>
        </w:rPr>
        <w:t>双方电话确认</w:t>
      </w:r>
      <w:r>
        <w:rPr>
          <w:rFonts w:hint="eastAsia" w:ascii="仿宋_GB2312" w:hAnsi="宋体" w:eastAsia="仿宋_GB2312"/>
          <w:color w:val="000000"/>
          <w:spacing w:val="6"/>
          <w:sz w:val="28"/>
          <w:szCs w:val="28"/>
        </w:rPr>
        <w:t>乙方</w:t>
      </w:r>
      <w:r>
        <w:rPr>
          <w:rFonts w:ascii="仿宋_GB2312" w:hAnsi="宋体" w:eastAsia="仿宋_GB2312"/>
          <w:color w:val="000000"/>
          <w:spacing w:val="6"/>
          <w:sz w:val="28"/>
          <w:szCs w:val="28"/>
        </w:rPr>
        <w:t>已收妥</w:t>
      </w:r>
      <w:r>
        <w:rPr>
          <w:rFonts w:hint="eastAsia" w:ascii="仿宋_GB2312" w:hAnsi="宋体" w:eastAsia="仿宋_GB2312"/>
          <w:color w:val="000000"/>
          <w:spacing w:val="6"/>
          <w:sz w:val="28"/>
          <w:szCs w:val="28"/>
        </w:rPr>
        <w:t>之日起生效。</w:t>
      </w:r>
      <w:bookmarkStart w:id="23" w:name="OLE_LINK17"/>
      <w:r>
        <w:rPr>
          <w:rFonts w:hint="eastAsia" w:ascii="仿宋_GB2312" w:hAnsi="宋体" w:eastAsia="仿宋_GB2312"/>
          <w:color w:val="000000"/>
          <w:spacing w:val="6"/>
          <w:sz w:val="28"/>
          <w:szCs w:val="28"/>
        </w:rPr>
        <w:t>在新的划款指令授权书生效前，双方仍按</w:t>
      </w:r>
      <w:r>
        <w:rPr>
          <w:rFonts w:hint="eastAsia" w:ascii="仿宋_GB2312" w:hAnsi="宋体" w:eastAsia="仿宋_GB2312"/>
          <w:spacing w:val="6"/>
          <w:sz w:val="28"/>
          <w:szCs w:val="28"/>
        </w:rPr>
        <w:t>原划款指令授权书执行。</w:t>
      </w:r>
      <w:bookmarkEnd w:id="23"/>
    </w:p>
    <w:p>
      <w:pPr>
        <w:spacing w:before="40" w:line="580" w:lineRule="exact"/>
        <w:ind w:firstLine="584" w:firstLineChars="200"/>
        <w:rPr>
          <w:rFonts w:ascii="仿宋_GB2312" w:hAnsi="仿宋_GB2312" w:eastAsia="仿宋_GB2312" w:cs="仿宋_GB2312"/>
          <w:sz w:val="28"/>
          <w:szCs w:val="28"/>
        </w:rPr>
      </w:pPr>
      <w:r>
        <w:rPr>
          <w:rFonts w:hint="eastAsia" w:ascii="仿宋_GB2312" w:hAnsi="宋体" w:eastAsia="仿宋_GB2312"/>
          <w:spacing w:val="6"/>
          <w:sz w:val="28"/>
          <w:szCs w:val="28"/>
        </w:rPr>
        <w:t xml:space="preserve">8.2.3 </w:t>
      </w:r>
      <w:r>
        <w:rPr>
          <w:rFonts w:hint="eastAsia" w:ascii="仿宋_GB2312" w:hAnsi="仿宋_GB2312" w:eastAsia="仿宋_GB2312" w:cs="仿宋_GB2312"/>
          <w:sz w:val="28"/>
          <w:szCs w:val="28"/>
        </w:rPr>
        <w:t>授权变更</w:t>
      </w:r>
      <w:r>
        <w:rPr>
          <w:rFonts w:ascii="仿宋_GB2312" w:hAnsi="仿宋_GB2312" w:eastAsia="仿宋_GB2312" w:cs="仿宋_GB2312"/>
          <w:sz w:val="28"/>
          <w:szCs w:val="28"/>
        </w:rPr>
        <w:t>通知</w:t>
      </w:r>
      <w:r>
        <w:rPr>
          <w:rFonts w:hint="eastAsia" w:ascii="仿宋_GB2312" w:hAnsi="仿宋_GB2312" w:eastAsia="仿宋_GB2312" w:cs="仿宋_GB2312"/>
          <w:sz w:val="28"/>
          <w:szCs w:val="28"/>
        </w:rPr>
        <w:t>书若以扫描件/</w:t>
      </w:r>
      <w:r>
        <w:rPr>
          <w:rFonts w:ascii="仿宋_GB2312" w:hAnsi="仿宋_GB2312" w:eastAsia="仿宋_GB2312" w:cs="仿宋_GB2312"/>
          <w:sz w:val="28"/>
          <w:szCs w:val="28"/>
        </w:rPr>
        <w:t>传真件的</w:t>
      </w:r>
      <w:r>
        <w:rPr>
          <w:rFonts w:hint="eastAsia" w:ascii="仿宋_GB2312" w:hAnsi="仿宋_GB2312" w:eastAsia="仿宋_GB2312" w:cs="仿宋_GB2312"/>
          <w:sz w:val="28"/>
          <w:szCs w:val="28"/>
        </w:rPr>
        <w:t>形式发出，则甲方</w:t>
      </w:r>
      <w:r>
        <w:rPr>
          <w:rFonts w:ascii="仿宋_GB2312" w:hAnsi="仿宋_GB2312" w:eastAsia="仿宋_GB2312" w:cs="仿宋_GB2312"/>
          <w:sz w:val="28"/>
          <w:szCs w:val="28"/>
        </w:rPr>
        <w:t>应于发送后一个工作日内向乙方提供授权变更通知书原件，</w:t>
      </w:r>
      <w:r>
        <w:rPr>
          <w:rFonts w:hint="eastAsia" w:ascii="仿宋_GB2312" w:hAnsi="仿宋_GB2312" w:eastAsia="仿宋_GB2312" w:cs="仿宋_GB2312"/>
          <w:sz w:val="28"/>
          <w:szCs w:val="28"/>
        </w:rPr>
        <w:t>如乙方</w:t>
      </w:r>
      <w:r>
        <w:rPr>
          <w:rFonts w:ascii="仿宋_GB2312" w:hAnsi="仿宋_GB2312" w:eastAsia="仿宋_GB2312" w:cs="仿宋_GB2312"/>
          <w:sz w:val="28"/>
          <w:szCs w:val="28"/>
        </w:rPr>
        <w:t>收到的原件与扫描件</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传真件不一致，则</w:t>
      </w:r>
      <w:r>
        <w:rPr>
          <w:rFonts w:hint="eastAsia" w:ascii="仿宋_GB2312" w:hAnsi="仿宋_GB2312" w:eastAsia="仿宋_GB2312" w:cs="仿宋_GB2312"/>
          <w:sz w:val="28"/>
          <w:szCs w:val="28"/>
        </w:rPr>
        <w:t>以</w:t>
      </w:r>
      <w:r>
        <w:rPr>
          <w:rFonts w:ascii="仿宋_GB2312" w:hAnsi="仿宋_GB2312" w:eastAsia="仿宋_GB2312" w:cs="仿宋_GB2312"/>
          <w:sz w:val="28"/>
          <w:szCs w:val="28"/>
        </w:rPr>
        <w:t>乙方收到的扫描件</w:t>
      </w:r>
      <w:r>
        <w:rPr>
          <w:rFonts w:hint="eastAsia" w:ascii="仿宋_GB2312" w:hAnsi="仿宋_GB2312" w:eastAsia="仿宋_GB2312" w:cs="仿宋_GB2312"/>
          <w:sz w:val="28"/>
          <w:szCs w:val="28"/>
        </w:rPr>
        <w:t>/传真件</w:t>
      </w:r>
      <w:r>
        <w:rPr>
          <w:rFonts w:ascii="仿宋_GB2312" w:hAnsi="仿宋_GB2312" w:eastAsia="仿宋_GB2312" w:cs="仿宋_GB2312"/>
          <w:sz w:val="28"/>
          <w:szCs w:val="28"/>
        </w:rPr>
        <w:t>为准</w:t>
      </w:r>
      <w:r>
        <w:rPr>
          <w:rFonts w:hint="eastAsia" w:ascii="仿宋_GB2312" w:hAnsi="仿宋_GB2312" w:eastAsia="仿宋_GB2312" w:cs="仿宋_GB2312"/>
          <w:sz w:val="28"/>
          <w:szCs w:val="28"/>
        </w:rPr>
        <w:t>。</w:t>
      </w:r>
    </w:p>
    <w:p>
      <w:pPr>
        <w:spacing w:before="40" w:line="580" w:lineRule="exact"/>
        <w:ind w:firstLine="584" w:firstLineChars="200"/>
        <w:rPr>
          <w:rFonts w:ascii="仿宋_GB2312" w:hAnsi="宋体" w:eastAsia="仿宋_GB2312"/>
          <w:spacing w:val="6"/>
          <w:sz w:val="28"/>
          <w:szCs w:val="28"/>
        </w:rPr>
      </w:pPr>
      <w:r>
        <w:rPr>
          <w:rFonts w:hint="eastAsia" w:ascii="仿宋_GB2312" w:hAnsi="宋体" w:eastAsia="仿宋_GB2312"/>
          <w:spacing w:val="6"/>
          <w:sz w:val="28"/>
          <w:szCs w:val="28"/>
        </w:rPr>
        <w:t>8.2.4对于经本合同约定授权程序授权后的被授权人在授权权限内发出的指令，甲方不得否认其效力。</w:t>
      </w:r>
    </w:p>
    <w:p>
      <w:pPr>
        <w:spacing w:before="40" w:line="580" w:lineRule="exact"/>
        <w:ind w:firstLine="586" w:firstLineChars="200"/>
        <w:rPr>
          <w:rFonts w:ascii="仿宋_GB2312" w:hAnsi="宋体" w:eastAsia="仿宋_GB2312"/>
          <w:b/>
          <w:spacing w:val="6"/>
          <w:sz w:val="28"/>
          <w:szCs w:val="28"/>
        </w:rPr>
      </w:pPr>
      <w:r>
        <w:rPr>
          <w:rFonts w:hint="eastAsia" w:ascii="仿宋_GB2312" w:hAnsi="宋体" w:eastAsia="仿宋_GB2312"/>
          <w:b/>
          <w:spacing w:val="6"/>
          <w:sz w:val="28"/>
          <w:szCs w:val="28"/>
        </w:rPr>
        <w:t>8.3指令的发送</w:t>
      </w:r>
    </w:p>
    <w:p>
      <w:pPr>
        <w:spacing w:before="40" w:line="580" w:lineRule="exact"/>
        <w:ind w:firstLine="586" w:firstLineChars="200"/>
        <w:rPr>
          <w:rFonts w:ascii="仿宋_GB2312" w:hAnsi="宋体" w:eastAsia="仿宋_GB2312"/>
          <w:b/>
          <w:spacing w:val="6"/>
          <w:sz w:val="28"/>
          <w:szCs w:val="28"/>
        </w:rPr>
      </w:pPr>
      <w:r>
        <w:rPr>
          <w:rFonts w:hint="eastAsia" w:ascii="仿宋_GB2312" w:hAnsi="宋体" w:eastAsia="仿宋_GB2312"/>
          <w:b/>
          <w:spacing w:val="6"/>
          <w:sz w:val="28"/>
          <w:szCs w:val="28"/>
        </w:rPr>
        <w:t>8.3.1划款</w:t>
      </w:r>
      <w:r>
        <w:rPr>
          <w:rFonts w:ascii="仿宋_GB2312" w:hAnsi="宋体" w:eastAsia="仿宋_GB2312"/>
          <w:b/>
          <w:spacing w:val="6"/>
          <w:sz w:val="28"/>
          <w:szCs w:val="28"/>
        </w:rPr>
        <w:t>指令的发送方式</w:t>
      </w:r>
    </w:p>
    <w:p>
      <w:pPr>
        <w:adjustRightInd w:val="0"/>
        <w:snapToGrid w:val="0"/>
        <w:spacing w:line="360" w:lineRule="auto"/>
        <w:ind w:firstLine="584" w:firstLineChars="200"/>
        <w:rPr>
          <w:rFonts w:ascii="仿宋_GB2312" w:hAnsi="宋体" w:eastAsia="仿宋_GB2312"/>
          <w:spacing w:val="6"/>
          <w:sz w:val="28"/>
          <w:szCs w:val="28"/>
        </w:rPr>
      </w:pPr>
      <w:r>
        <w:rPr>
          <w:rFonts w:hint="eastAsia" w:ascii="仿宋_GB2312" w:hAnsi="宋体" w:eastAsia="仿宋_GB2312"/>
          <w:spacing w:val="6"/>
          <w:sz w:val="28"/>
          <w:szCs w:val="28"/>
        </w:rPr>
        <w:t>甲方选择以下方式向乙方发送指令：</w:t>
      </w:r>
    </w:p>
    <w:p>
      <w:pPr>
        <w:adjustRightInd w:val="0"/>
        <w:snapToGrid w:val="0"/>
        <w:spacing w:line="360" w:lineRule="auto"/>
        <w:ind w:firstLine="584" w:firstLineChars="200"/>
        <w:rPr>
          <w:rFonts w:ascii="仿宋_GB2312" w:hAnsi="宋体" w:eastAsia="仿宋_GB2312"/>
          <w:spacing w:val="6"/>
          <w:sz w:val="28"/>
          <w:szCs w:val="28"/>
        </w:rPr>
      </w:pPr>
      <w:r>
        <w:rPr>
          <w:rFonts w:hint="eastAsia" w:ascii="仿宋_GB2312" w:hAnsi="宋体" w:eastAsia="仿宋_GB2312"/>
          <w:spacing w:val="6"/>
          <w:sz w:val="28"/>
          <w:szCs w:val="28"/>
        </w:rPr>
        <w:t>甲方以预留传真或</w:t>
      </w:r>
      <w:r>
        <w:rPr>
          <w:rFonts w:ascii="仿宋_GB2312" w:hAnsi="宋体" w:eastAsia="仿宋_GB2312"/>
          <w:spacing w:val="6"/>
          <w:sz w:val="28"/>
          <w:szCs w:val="28"/>
        </w:rPr>
        <w:t>电子邮箱</w:t>
      </w:r>
      <w:r>
        <w:rPr>
          <w:rFonts w:hint="eastAsia" w:ascii="仿宋_GB2312" w:hAnsi="宋体" w:eastAsia="仿宋_GB2312"/>
          <w:spacing w:val="6"/>
          <w:sz w:val="28"/>
          <w:szCs w:val="28"/>
        </w:rPr>
        <w:t>方式发送指令。</w:t>
      </w:r>
    </w:p>
    <w:p>
      <w:pPr>
        <w:adjustRightInd w:val="0"/>
        <w:snapToGrid w:val="0"/>
        <w:spacing w:line="360" w:lineRule="auto"/>
        <w:ind w:firstLine="584" w:firstLineChars="200"/>
        <w:rPr>
          <w:rFonts w:ascii="仿宋_GB2312" w:hAnsi="宋体" w:eastAsia="仿宋_GB2312"/>
          <w:spacing w:val="6"/>
          <w:sz w:val="28"/>
          <w:szCs w:val="28"/>
        </w:rPr>
      </w:pPr>
      <w:r>
        <w:rPr>
          <w:rFonts w:hint="eastAsia" w:ascii="仿宋_GB2312" w:hAnsi="宋体" w:eastAsia="仿宋_GB2312"/>
          <w:spacing w:val="6"/>
          <w:sz w:val="28"/>
          <w:szCs w:val="28"/>
        </w:rPr>
        <w:t>甲方向乙方</w:t>
      </w:r>
      <w:r>
        <w:rPr>
          <w:rFonts w:ascii="仿宋_GB2312" w:hAnsi="宋体" w:eastAsia="仿宋_GB2312"/>
          <w:spacing w:val="6"/>
          <w:sz w:val="28"/>
          <w:szCs w:val="28"/>
        </w:rPr>
        <w:t>发送划款指令，可</w:t>
      </w:r>
      <w:r>
        <w:rPr>
          <w:rFonts w:hint="eastAsia" w:ascii="仿宋_GB2312" w:hAnsi="宋体" w:eastAsia="仿宋_GB2312"/>
          <w:spacing w:val="6"/>
          <w:sz w:val="28"/>
          <w:szCs w:val="28"/>
        </w:rPr>
        <w:t>通过</w:t>
      </w:r>
      <w:r>
        <w:rPr>
          <w:rFonts w:ascii="仿宋_GB2312" w:hAnsi="宋体" w:eastAsia="仿宋_GB2312"/>
          <w:spacing w:val="6"/>
          <w:sz w:val="28"/>
          <w:szCs w:val="28"/>
        </w:rPr>
        <w:t>指定传真</w:t>
      </w:r>
      <w:r>
        <w:rPr>
          <w:rFonts w:hint="eastAsia" w:ascii="仿宋_GB2312" w:hAnsi="宋体" w:eastAsia="仿宋_GB2312"/>
          <w:spacing w:val="6"/>
          <w:sz w:val="28"/>
          <w:szCs w:val="28"/>
        </w:rPr>
        <w:t>发送</w:t>
      </w:r>
      <w:r>
        <w:rPr>
          <w:rFonts w:ascii="仿宋_GB2312" w:hAnsi="宋体" w:eastAsia="仿宋_GB2312"/>
          <w:spacing w:val="6"/>
          <w:sz w:val="28"/>
          <w:szCs w:val="28"/>
        </w:rPr>
        <w:t>传真件或指定的邮箱发送</w:t>
      </w:r>
      <w:r>
        <w:rPr>
          <w:rFonts w:hint="eastAsia" w:ascii="仿宋_GB2312" w:hAnsi="宋体" w:eastAsia="仿宋_GB2312"/>
          <w:spacing w:val="6"/>
          <w:sz w:val="28"/>
          <w:szCs w:val="28"/>
        </w:rPr>
        <w:t>扫描件。甲方</w:t>
      </w:r>
      <w:r>
        <w:rPr>
          <w:rFonts w:ascii="仿宋_GB2312" w:hAnsi="宋体" w:eastAsia="仿宋_GB2312"/>
          <w:spacing w:val="6"/>
          <w:sz w:val="28"/>
          <w:szCs w:val="28"/>
        </w:rPr>
        <w:t>向乙方发送</w:t>
      </w:r>
      <w:r>
        <w:rPr>
          <w:rFonts w:hint="eastAsia" w:ascii="仿宋_GB2312" w:hAnsi="宋体" w:eastAsia="仿宋_GB2312"/>
          <w:spacing w:val="6"/>
          <w:sz w:val="28"/>
          <w:szCs w:val="28"/>
        </w:rPr>
        <w:t>指令的同时应通过已预留的传真号码或电子邮箱提供相关合同、交易凭证或其他证明材料。甲方对该等资料的真实性、有效性、完整性和合法合规性负责。</w:t>
      </w:r>
    </w:p>
    <w:p>
      <w:pPr>
        <w:adjustRightInd w:val="0"/>
        <w:snapToGrid w:val="0"/>
        <w:spacing w:line="360" w:lineRule="auto"/>
        <w:ind w:firstLine="584" w:firstLineChars="200"/>
        <w:rPr>
          <w:rFonts w:ascii="仿宋_GB2312" w:hAnsi="宋体" w:eastAsia="仿宋_GB2312"/>
          <w:spacing w:val="6"/>
          <w:sz w:val="28"/>
          <w:szCs w:val="28"/>
        </w:rPr>
      </w:pPr>
      <w:r>
        <w:rPr>
          <w:rFonts w:hint="eastAsia" w:ascii="仿宋_GB2312" w:hAnsi="宋体" w:eastAsia="仿宋_GB2312"/>
          <w:spacing w:val="6"/>
          <w:sz w:val="28"/>
          <w:szCs w:val="28"/>
        </w:rPr>
        <w:t>对于甲方通过预留传真号码或指定邮箱向乙方指定</w:t>
      </w:r>
      <w:r>
        <w:rPr>
          <w:rFonts w:ascii="仿宋_GB2312" w:hAnsi="宋体" w:eastAsia="仿宋_GB2312"/>
          <w:spacing w:val="6"/>
          <w:sz w:val="28"/>
          <w:szCs w:val="28"/>
        </w:rPr>
        <w:t>传真号码或邮箱</w:t>
      </w:r>
      <w:r>
        <w:rPr>
          <w:rFonts w:hint="eastAsia" w:ascii="仿宋_GB2312" w:hAnsi="宋体" w:eastAsia="仿宋_GB2312"/>
          <w:spacing w:val="6"/>
          <w:sz w:val="28"/>
          <w:szCs w:val="28"/>
        </w:rPr>
        <w:t>发出的指令及指令附件，甲方不得否认其效力。</w:t>
      </w:r>
    </w:p>
    <w:p>
      <w:pPr>
        <w:adjustRightInd w:val="0"/>
        <w:snapToGrid w:val="0"/>
        <w:spacing w:line="360" w:lineRule="auto"/>
        <w:ind w:firstLine="584" w:firstLineChars="200"/>
        <w:rPr>
          <w:rFonts w:ascii="仿宋_GB2312" w:hAnsi="宋体" w:eastAsia="仿宋_GB2312"/>
          <w:spacing w:val="6"/>
          <w:sz w:val="28"/>
          <w:szCs w:val="28"/>
        </w:rPr>
      </w:pPr>
      <w:r>
        <w:rPr>
          <w:rFonts w:hint="eastAsia" w:ascii="仿宋_GB2312" w:hAnsi="宋体" w:eastAsia="仿宋_GB2312"/>
          <w:spacing w:val="6"/>
          <w:sz w:val="28"/>
          <w:szCs w:val="28"/>
        </w:rPr>
        <w:t>指令发出后，甲方应及时通知乙方。甲方在发送指令时，应确保本委托资产银行账户有足够的资金余额，并为乙方留出执行指令所必需的审核、操作时间（不少于2小时），甲方未为乙方留出所必需的审核、操作时间（不少于2小时）的划款指令，乙方尽力配合执行，但不保证划款成功。如甲方为乙方执行划款指令留出了必要时间（不少于2小时），但因乙方故意</w:t>
      </w:r>
      <w:r>
        <w:rPr>
          <w:rFonts w:ascii="仿宋_GB2312" w:hAnsi="宋体" w:eastAsia="仿宋_GB2312"/>
          <w:spacing w:val="6"/>
          <w:sz w:val="28"/>
          <w:szCs w:val="28"/>
        </w:rPr>
        <w:t>或重大过失</w:t>
      </w:r>
      <w:r>
        <w:rPr>
          <w:rFonts w:hint="eastAsia" w:ascii="仿宋_GB2312" w:hAnsi="宋体" w:eastAsia="仿宋_GB2312"/>
          <w:spacing w:val="6"/>
          <w:sz w:val="28"/>
          <w:szCs w:val="28"/>
        </w:rPr>
        <w:t>未按照指令要求将指令执行完毕的，乙方应当赔偿甲方因此遭受的损失。乙方按照指令要求在当日应当执行完毕但未执行完毕的指令自动作废，甲方应根据需要重新发出指令。有效划款指令是指指令要素（包括付款人、付款账号、收款人、收款账号、金额（大、小写）、款项事由、支付时间）准确无误、预留印鉴相符、相关的指令附件齐全且头寸充足的划款指令。</w:t>
      </w:r>
    </w:p>
    <w:p>
      <w:pPr>
        <w:spacing w:before="40" w:line="580" w:lineRule="exact"/>
        <w:ind w:firstLine="586" w:firstLineChars="200"/>
        <w:rPr>
          <w:rFonts w:ascii="仿宋_GB2312" w:hAnsi="宋体" w:eastAsia="仿宋_GB2312"/>
          <w:b/>
          <w:spacing w:val="6"/>
          <w:sz w:val="28"/>
          <w:szCs w:val="28"/>
        </w:rPr>
      </w:pPr>
      <w:r>
        <w:rPr>
          <w:rFonts w:hint="eastAsia" w:ascii="仿宋_GB2312" w:hAnsi="宋体" w:eastAsia="仿宋_GB2312"/>
          <w:b/>
          <w:spacing w:val="6"/>
          <w:sz w:val="28"/>
          <w:szCs w:val="28"/>
        </w:rPr>
        <w:t>8.4指令的接收和执行</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spacing w:val="6"/>
          <w:sz w:val="28"/>
          <w:szCs w:val="28"/>
        </w:rPr>
        <w:t>8.4.1乙方收到甲方的划款指令和</w:t>
      </w:r>
      <w:bookmarkStart w:id="24" w:name="OLE_LINK20"/>
      <w:r>
        <w:rPr>
          <w:rFonts w:hint="eastAsia" w:ascii="仿宋_GB2312" w:hAnsi="宋体" w:eastAsia="仿宋_GB2312"/>
          <w:spacing w:val="6"/>
          <w:sz w:val="28"/>
          <w:szCs w:val="28"/>
        </w:rPr>
        <w:t>成交合</w:t>
      </w:r>
      <w:r>
        <w:rPr>
          <w:rFonts w:hint="eastAsia" w:ascii="仿宋_GB2312" w:hAnsi="宋体" w:eastAsia="仿宋_GB2312"/>
          <w:color w:val="000000"/>
          <w:spacing w:val="6"/>
          <w:sz w:val="28"/>
          <w:szCs w:val="28"/>
        </w:rPr>
        <w:t>同</w:t>
      </w:r>
      <w:bookmarkEnd w:id="24"/>
      <w:r>
        <w:rPr>
          <w:rFonts w:hint="eastAsia" w:ascii="仿宋_GB2312" w:hAnsi="宋体" w:eastAsia="仿宋_GB2312"/>
          <w:spacing w:val="6"/>
          <w:sz w:val="28"/>
          <w:szCs w:val="28"/>
        </w:rPr>
        <w:t>或</w:t>
      </w:r>
      <w:bookmarkStart w:id="25" w:name="OLE_LINK21"/>
      <w:r>
        <w:rPr>
          <w:rFonts w:hint="eastAsia" w:ascii="仿宋_GB2312" w:hAnsi="宋体" w:eastAsia="仿宋_GB2312"/>
          <w:spacing w:val="6"/>
          <w:sz w:val="28"/>
          <w:szCs w:val="28"/>
        </w:rPr>
        <w:t>其他</w:t>
      </w:r>
      <w:bookmarkEnd w:id="25"/>
      <w:r>
        <w:rPr>
          <w:rFonts w:hint="eastAsia" w:ascii="仿宋_GB2312" w:hAnsi="宋体" w:eastAsia="仿宋_GB2312"/>
          <w:spacing w:val="6"/>
          <w:sz w:val="28"/>
          <w:szCs w:val="28"/>
        </w:rPr>
        <w:t>交易证明文件（如有）</w:t>
      </w:r>
      <w:r>
        <w:rPr>
          <w:rFonts w:hint="eastAsia" w:ascii="仿宋_GB2312" w:hAnsi="宋体" w:eastAsia="仿宋_GB2312"/>
          <w:color w:val="000000"/>
          <w:spacing w:val="6"/>
          <w:sz w:val="28"/>
          <w:szCs w:val="28"/>
        </w:rPr>
        <w:t>后，应对指令进行表面审核，若该指令不违反本协议约定，则予执行。</w:t>
      </w:r>
    </w:p>
    <w:p>
      <w:pPr>
        <w:pStyle w:val="12"/>
        <w:spacing w:after="0" w:line="580" w:lineRule="exact"/>
        <w:ind w:left="0" w:leftChars="0" w:firstLine="564" w:firstLineChars="193"/>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8.4.</w:t>
      </w:r>
      <w:r>
        <w:rPr>
          <w:rFonts w:ascii="仿宋_GB2312" w:hAnsi="宋体" w:eastAsia="仿宋_GB2312"/>
          <w:color w:val="000000"/>
          <w:spacing w:val="6"/>
          <w:sz w:val="28"/>
          <w:szCs w:val="28"/>
        </w:rPr>
        <w:t>2</w:t>
      </w:r>
      <w:r>
        <w:rPr>
          <w:rFonts w:hint="eastAsia" w:ascii="仿宋_GB2312" w:hAnsi="宋体" w:eastAsia="仿宋_GB2312"/>
          <w:color w:val="000000"/>
          <w:spacing w:val="6"/>
          <w:sz w:val="28"/>
          <w:szCs w:val="28"/>
        </w:rPr>
        <w:t>划款指令原件应由甲方保管，乙方保管传真件或</w:t>
      </w:r>
      <w:r>
        <w:rPr>
          <w:rFonts w:ascii="仿宋_GB2312" w:hAnsi="宋体" w:eastAsia="仿宋_GB2312"/>
          <w:color w:val="000000"/>
          <w:spacing w:val="6"/>
          <w:sz w:val="28"/>
          <w:szCs w:val="28"/>
        </w:rPr>
        <w:t>扫描件</w:t>
      </w:r>
      <w:r>
        <w:rPr>
          <w:rFonts w:hint="eastAsia" w:ascii="仿宋_GB2312" w:hAnsi="宋体" w:eastAsia="仿宋_GB2312"/>
          <w:color w:val="000000"/>
          <w:spacing w:val="6"/>
          <w:sz w:val="28"/>
          <w:szCs w:val="28"/>
        </w:rPr>
        <w:t>，当两者不一致时，以乙方收到的传真件或扫描件为准。</w:t>
      </w:r>
    </w:p>
    <w:p>
      <w:pPr>
        <w:spacing w:before="40" w:line="580" w:lineRule="exact"/>
        <w:ind w:firstLine="586" w:firstLineChars="200"/>
        <w:rPr>
          <w:rFonts w:ascii="仿宋_GB2312" w:hAnsi="宋体" w:eastAsia="仿宋_GB2312"/>
          <w:b/>
          <w:spacing w:val="6"/>
          <w:sz w:val="28"/>
          <w:szCs w:val="28"/>
        </w:rPr>
      </w:pPr>
      <w:r>
        <w:rPr>
          <w:rFonts w:hint="eastAsia" w:ascii="仿宋_GB2312" w:hAnsi="宋体" w:eastAsia="仿宋_GB2312"/>
          <w:b/>
          <w:spacing w:val="6"/>
          <w:sz w:val="28"/>
          <w:szCs w:val="28"/>
        </w:rPr>
        <w:t>8.5银行间债券的资金清算交收</w:t>
      </w:r>
    </w:p>
    <w:p>
      <w:pPr>
        <w:spacing w:before="40" w:line="580" w:lineRule="exact"/>
        <w:ind w:firstLine="584" w:firstLineChars="200"/>
        <w:rPr>
          <w:rFonts w:ascii="仿宋_GB2312" w:hAnsi="宋体" w:eastAsia="仿宋_GB2312"/>
          <w:spacing w:val="6"/>
          <w:sz w:val="28"/>
          <w:szCs w:val="28"/>
        </w:rPr>
      </w:pPr>
      <w:r>
        <w:rPr>
          <w:rFonts w:hint="eastAsia" w:ascii="仿宋_GB2312" w:hAnsi="宋体" w:eastAsia="仿宋_GB2312"/>
          <w:spacing w:val="6"/>
          <w:sz w:val="28"/>
          <w:szCs w:val="28"/>
        </w:rPr>
        <w:t>8.5.1甲方负责对交易对手的资信控制，按银行间债券市场的交易规则进行交易，并负责解决因交易对手不履行合同或不及时履行合同而造成的纠纷及损失，乙方不承担由此造成的任何法律责任及损失。</w:t>
      </w:r>
    </w:p>
    <w:p>
      <w:pPr>
        <w:spacing w:before="40" w:line="580" w:lineRule="exact"/>
        <w:ind w:firstLine="584" w:firstLineChars="200"/>
        <w:rPr>
          <w:rFonts w:ascii="仿宋_GB2312" w:hAnsi="宋体" w:eastAsia="仿宋_GB2312"/>
          <w:spacing w:val="6"/>
          <w:sz w:val="28"/>
          <w:szCs w:val="28"/>
        </w:rPr>
      </w:pPr>
      <w:r>
        <w:rPr>
          <w:rFonts w:hint="eastAsia" w:ascii="仿宋_GB2312" w:hAnsi="宋体" w:eastAsia="仿宋_GB2312"/>
          <w:spacing w:val="6"/>
          <w:sz w:val="28"/>
          <w:szCs w:val="28"/>
        </w:rPr>
        <w:t>8.5.2甲方应在交易结束后将银行间同业市场债券交易成交单加盖印章后及时传真给乙方，并电话确认。如果银行间中债综合业务平台或上海清算所客户终端系统已经生成的交易需要取消或终止，甲方要书面通知乙方。若相关交易已被确认无法取消或终止的，乙方不承担由此造成的任何法律责任及损失。</w:t>
      </w:r>
    </w:p>
    <w:p>
      <w:pPr>
        <w:spacing w:before="40" w:line="580" w:lineRule="exact"/>
        <w:ind w:firstLine="584" w:firstLineChars="200"/>
        <w:rPr>
          <w:rFonts w:ascii="仿宋_GB2312" w:hAnsi="宋体" w:eastAsia="仿宋_GB2312"/>
          <w:spacing w:val="6"/>
          <w:sz w:val="28"/>
          <w:szCs w:val="28"/>
        </w:rPr>
      </w:pPr>
      <w:r>
        <w:rPr>
          <w:rFonts w:hint="eastAsia" w:ascii="仿宋_GB2312" w:hAnsi="宋体" w:eastAsia="仿宋_GB2312"/>
          <w:spacing w:val="6"/>
          <w:sz w:val="28"/>
          <w:szCs w:val="28"/>
        </w:rPr>
        <w:t>8.5.3甲方发送有效指令（包括原指令被撤销、变更后再次发送的新指令）的截止时间为当天的15:00。如甲方要求当天某一时点到账，则交易结算指令需提前2个小时发送，并进行电话确认。指令、成交单传输不及时、未能留出足够的操作时间，致使资金未能及时到账、债券未能及时交割所造成的损失由甲方承担。甲方向乙方下达指令时，应确保相应理财产品在托管专户有足够的资金余额。</w:t>
      </w:r>
    </w:p>
    <w:p>
      <w:pPr>
        <w:spacing w:before="40" w:line="580" w:lineRule="exact"/>
        <w:ind w:firstLine="584" w:firstLineChars="200"/>
        <w:rPr>
          <w:rFonts w:ascii="仿宋_GB2312" w:hAnsi="宋体" w:eastAsia="仿宋_GB2312"/>
          <w:spacing w:val="6"/>
          <w:sz w:val="28"/>
          <w:szCs w:val="28"/>
        </w:rPr>
      </w:pPr>
      <w:r>
        <w:rPr>
          <w:rFonts w:hint="eastAsia" w:ascii="仿宋_GB2312" w:hAnsi="宋体" w:eastAsia="仿宋_GB2312"/>
          <w:spacing w:val="6"/>
          <w:sz w:val="28"/>
          <w:szCs w:val="28"/>
        </w:rPr>
        <w:t>8.5.4银行间交易以及银行间债券账户的使用由甲方负责，甲方应确保按照人民银行、中央国债登记结算有限责任公司、银行间市场清算所股份有限公司等监管机构的制度规范要求进行债券账户的使用和管理。</w:t>
      </w:r>
    </w:p>
    <w:p>
      <w:pPr>
        <w:spacing w:before="40" w:line="580" w:lineRule="exact"/>
        <w:ind w:firstLine="584" w:firstLineChars="200"/>
        <w:rPr>
          <w:rFonts w:ascii="仿宋_GB2312" w:hAnsi="宋体" w:eastAsia="仿宋_GB2312"/>
          <w:spacing w:val="6"/>
          <w:sz w:val="28"/>
          <w:szCs w:val="28"/>
        </w:rPr>
      </w:pPr>
      <w:r>
        <w:rPr>
          <w:rFonts w:hint="eastAsia" w:ascii="仿宋_GB2312" w:hAnsi="宋体" w:eastAsia="仿宋_GB2312"/>
          <w:spacing w:val="6"/>
          <w:sz w:val="28"/>
          <w:szCs w:val="28"/>
        </w:rPr>
        <w:t>8.5.5银行间交易结算方式采用券款对付的，托管专户与该产品在登记结算机构开立的DVP资金账户之间的资金调拨，除了登记结算机构系统自动将DVP资金账户资金退回至托管专户的之外，应当由甲方出具资金划款指令，乙方审核无误后执行。由于甲方未及时出具指令导致该产品在托管专户的头寸不足或者DVP资金账户头寸不足导致的损失，乙方不承担责任。</w:t>
      </w:r>
    </w:p>
    <w:p>
      <w:pPr>
        <w:spacing w:before="40" w:line="580" w:lineRule="exact"/>
        <w:ind w:firstLine="562" w:firstLineChars="200"/>
        <w:rPr>
          <w:rFonts w:ascii="仿宋_GB2312" w:hAnsi="宋体" w:eastAsia="仿宋_GB2312"/>
          <w:sz w:val="28"/>
          <w:szCs w:val="28"/>
        </w:rPr>
      </w:pPr>
      <w:r>
        <w:rPr>
          <w:rFonts w:ascii="仿宋_GB2312" w:hAnsi="宋体" w:eastAsia="仿宋_GB2312"/>
          <w:b/>
          <w:sz w:val="28"/>
          <w:szCs w:val="28"/>
        </w:rPr>
        <w:t>8.6北京金融资产交易所</w:t>
      </w:r>
      <w:r>
        <w:rPr>
          <w:rFonts w:hint="eastAsia" w:ascii="仿宋_GB2312" w:hAnsi="宋体" w:eastAsia="仿宋_GB2312"/>
          <w:b/>
          <w:sz w:val="28"/>
          <w:szCs w:val="28"/>
        </w:rPr>
        <w:t>挂牌项目的投资</w:t>
      </w:r>
      <w:r>
        <w:rPr>
          <w:rFonts w:ascii="仿宋_GB2312" w:hAnsi="宋体" w:eastAsia="仿宋_GB2312"/>
          <w:b/>
          <w:sz w:val="28"/>
          <w:szCs w:val="28"/>
        </w:rPr>
        <w:t>、交易</w:t>
      </w:r>
      <w:r>
        <w:rPr>
          <w:rFonts w:hint="eastAsia" w:ascii="仿宋_GB2312" w:hAnsi="宋体" w:eastAsia="仿宋_GB2312"/>
          <w:b/>
          <w:sz w:val="28"/>
          <w:szCs w:val="28"/>
        </w:rPr>
        <w:t>和</w:t>
      </w:r>
      <w:r>
        <w:rPr>
          <w:rFonts w:ascii="仿宋_GB2312" w:hAnsi="宋体" w:eastAsia="仿宋_GB2312"/>
          <w:b/>
          <w:sz w:val="28"/>
          <w:szCs w:val="28"/>
        </w:rPr>
        <w:t>清算</w:t>
      </w:r>
    </w:p>
    <w:p>
      <w:pPr>
        <w:spacing w:before="40" w:line="580" w:lineRule="exact"/>
        <w:ind w:firstLine="560" w:firstLineChars="200"/>
        <w:rPr>
          <w:rFonts w:ascii="仿宋_GB2312" w:hAnsi="宋体" w:eastAsia="仿宋_GB2312"/>
          <w:spacing w:val="6"/>
          <w:sz w:val="28"/>
          <w:szCs w:val="28"/>
        </w:rPr>
      </w:pPr>
      <w:r>
        <w:rPr>
          <w:rFonts w:ascii="仿宋_GB2312" w:hAnsi="宋体" w:eastAsia="仿宋_GB2312"/>
          <w:sz w:val="28"/>
          <w:szCs w:val="28"/>
        </w:rPr>
        <w:t>8.6.1</w:t>
      </w:r>
      <w:r>
        <w:rPr>
          <w:rFonts w:hint="eastAsia" w:ascii="仿宋_GB2312" w:hAnsi="宋体" w:eastAsia="仿宋_GB2312"/>
          <w:sz w:val="28"/>
          <w:szCs w:val="28"/>
        </w:rPr>
        <w:t>本</w:t>
      </w:r>
      <w:r>
        <w:rPr>
          <w:rFonts w:ascii="仿宋_GB2312" w:hAnsi="宋体" w:eastAsia="仿宋_GB2312"/>
          <w:sz w:val="28"/>
          <w:szCs w:val="28"/>
        </w:rPr>
        <w:t>理财产品如投资</w:t>
      </w:r>
      <w:r>
        <w:rPr>
          <w:rFonts w:hint="eastAsia" w:ascii="仿宋_GB2312" w:hAnsi="宋体" w:eastAsia="仿宋_GB2312"/>
          <w:sz w:val="28"/>
          <w:szCs w:val="28"/>
        </w:rPr>
        <w:t>北京金融资产</w:t>
      </w:r>
      <w:r>
        <w:rPr>
          <w:rFonts w:ascii="仿宋_GB2312" w:hAnsi="宋体" w:eastAsia="仿宋_GB2312"/>
          <w:sz w:val="28"/>
          <w:szCs w:val="28"/>
        </w:rPr>
        <w:t>交易所</w:t>
      </w:r>
      <w:r>
        <w:rPr>
          <w:rFonts w:hint="eastAsia" w:ascii="仿宋_GB2312" w:hAnsi="宋体" w:eastAsia="仿宋_GB2312"/>
          <w:sz w:val="28"/>
          <w:szCs w:val="28"/>
        </w:rPr>
        <w:t>挂牌</w:t>
      </w:r>
      <w:r>
        <w:rPr>
          <w:rFonts w:ascii="仿宋_GB2312" w:hAnsi="宋体" w:eastAsia="仿宋_GB2312"/>
          <w:sz w:val="28"/>
          <w:szCs w:val="28"/>
        </w:rPr>
        <w:t>的项目，</w:t>
      </w:r>
      <w:r>
        <w:rPr>
          <w:rFonts w:hint="eastAsia" w:ascii="仿宋_GB2312" w:hAnsi="宋体" w:eastAsia="仿宋_GB2312"/>
          <w:sz w:val="28"/>
          <w:szCs w:val="28"/>
        </w:rPr>
        <w:t>乙方</w:t>
      </w:r>
      <w:r>
        <w:rPr>
          <w:rFonts w:ascii="仿宋_GB2312" w:hAnsi="宋体" w:eastAsia="仿宋_GB2312"/>
          <w:sz w:val="28"/>
          <w:szCs w:val="28"/>
        </w:rPr>
        <w:t>负责根据甲方指令</w:t>
      </w:r>
      <w:r>
        <w:rPr>
          <w:rFonts w:hint="eastAsia" w:ascii="仿宋_GB2312" w:hAnsi="宋体" w:eastAsia="仿宋_GB2312"/>
          <w:sz w:val="28"/>
          <w:szCs w:val="28"/>
        </w:rPr>
        <w:t>、</w:t>
      </w:r>
      <w:r>
        <w:rPr>
          <w:rFonts w:ascii="仿宋_GB2312" w:hAnsi="宋体" w:eastAsia="仿宋_GB2312"/>
          <w:sz w:val="28"/>
          <w:szCs w:val="28"/>
        </w:rPr>
        <w:t>将交易资金转入甲方指定的</w:t>
      </w:r>
      <w:r>
        <w:rPr>
          <w:rFonts w:hint="eastAsia" w:ascii="仿宋_GB2312" w:hAnsi="宋体" w:eastAsia="仿宋_GB2312"/>
          <w:sz w:val="28"/>
          <w:szCs w:val="28"/>
        </w:rPr>
        <w:t>投资</w:t>
      </w:r>
      <w:r>
        <w:rPr>
          <w:rFonts w:ascii="仿宋_GB2312" w:hAnsi="宋体" w:eastAsia="仿宋_GB2312"/>
          <w:sz w:val="28"/>
          <w:szCs w:val="28"/>
        </w:rPr>
        <w:t>账户，由</w:t>
      </w:r>
      <w:r>
        <w:rPr>
          <w:rFonts w:hint="eastAsia" w:ascii="仿宋_GB2312" w:hAnsi="宋体" w:eastAsia="仿宋_GB2312"/>
          <w:spacing w:val="6"/>
          <w:sz w:val="28"/>
          <w:szCs w:val="28"/>
        </w:rPr>
        <w:t>甲方负责在</w:t>
      </w:r>
      <w:r>
        <w:rPr>
          <w:rFonts w:hint="eastAsia" w:ascii="仿宋_GB2312" w:hAnsi="宋体" w:eastAsia="仿宋_GB2312"/>
          <w:sz w:val="28"/>
          <w:szCs w:val="28"/>
        </w:rPr>
        <w:t>北京金融资产</w:t>
      </w:r>
      <w:r>
        <w:rPr>
          <w:rFonts w:ascii="仿宋_GB2312" w:hAnsi="宋体" w:eastAsia="仿宋_GB2312"/>
          <w:sz w:val="28"/>
          <w:szCs w:val="28"/>
        </w:rPr>
        <w:t>交易所</w:t>
      </w:r>
      <w:r>
        <w:rPr>
          <w:rFonts w:hint="eastAsia" w:ascii="仿宋_GB2312" w:hAnsi="宋体" w:eastAsia="仿宋_GB2312"/>
          <w:sz w:val="28"/>
          <w:szCs w:val="28"/>
        </w:rPr>
        <w:t>进行</w:t>
      </w:r>
      <w:r>
        <w:rPr>
          <w:rFonts w:hint="eastAsia" w:ascii="仿宋_GB2312" w:hAnsi="宋体" w:eastAsia="仿宋_GB2312"/>
          <w:spacing w:val="6"/>
          <w:sz w:val="28"/>
          <w:szCs w:val="28"/>
        </w:rPr>
        <w:t>投资交易及清算。投资到期</w:t>
      </w:r>
      <w:r>
        <w:rPr>
          <w:rFonts w:ascii="仿宋_GB2312" w:hAnsi="宋体" w:eastAsia="仿宋_GB2312"/>
          <w:spacing w:val="6"/>
          <w:sz w:val="28"/>
          <w:szCs w:val="28"/>
        </w:rPr>
        <w:t>或资产转让后，</w:t>
      </w:r>
      <w:r>
        <w:rPr>
          <w:rFonts w:hint="eastAsia" w:ascii="仿宋_GB2312" w:hAnsi="宋体" w:eastAsia="仿宋_GB2312"/>
          <w:spacing w:val="6"/>
          <w:sz w:val="28"/>
          <w:szCs w:val="28"/>
        </w:rPr>
        <w:t>甲方负责将投资收益</w:t>
      </w:r>
      <w:r>
        <w:rPr>
          <w:rFonts w:ascii="仿宋_GB2312" w:hAnsi="宋体" w:eastAsia="仿宋_GB2312"/>
          <w:spacing w:val="6"/>
          <w:sz w:val="28"/>
          <w:szCs w:val="28"/>
        </w:rPr>
        <w:t>及本金</w:t>
      </w:r>
      <w:r>
        <w:rPr>
          <w:rFonts w:hint="eastAsia" w:ascii="仿宋_GB2312" w:hAnsi="宋体" w:eastAsia="仿宋_GB2312"/>
          <w:spacing w:val="6"/>
          <w:sz w:val="28"/>
          <w:szCs w:val="28"/>
        </w:rPr>
        <w:t>及时划入托管账户。</w:t>
      </w:r>
    </w:p>
    <w:p>
      <w:pPr>
        <w:spacing w:before="40" w:line="580" w:lineRule="exact"/>
        <w:ind w:firstLine="560" w:firstLineChars="200"/>
        <w:rPr>
          <w:rFonts w:ascii="仿宋_GB2312" w:hAnsi="宋体" w:eastAsia="仿宋_GB2312"/>
          <w:spacing w:val="6"/>
          <w:sz w:val="28"/>
          <w:szCs w:val="28"/>
        </w:rPr>
      </w:pPr>
      <w:r>
        <w:rPr>
          <w:rFonts w:hint="eastAsia" w:ascii="仿宋_GB2312" w:hAnsi="宋体" w:eastAsia="仿宋_GB2312"/>
          <w:bCs/>
          <w:sz w:val="28"/>
          <w:szCs w:val="28"/>
        </w:rPr>
        <w:t>8.</w:t>
      </w:r>
      <w:r>
        <w:rPr>
          <w:rFonts w:ascii="仿宋_GB2312" w:hAnsi="宋体" w:eastAsia="仿宋_GB2312"/>
          <w:bCs/>
          <w:sz w:val="28"/>
          <w:szCs w:val="28"/>
        </w:rPr>
        <w:t>6</w:t>
      </w:r>
      <w:r>
        <w:rPr>
          <w:rFonts w:hint="eastAsia" w:ascii="仿宋_GB2312" w:hAnsi="宋体" w:eastAsia="仿宋_GB2312"/>
          <w:bCs/>
          <w:sz w:val="28"/>
          <w:szCs w:val="28"/>
        </w:rPr>
        <w:t xml:space="preserve">.2 </w:t>
      </w:r>
      <w:r>
        <w:rPr>
          <w:rFonts w:hint="eastAsia" w:ascii="仿宋_GB2312" w:hAnsi="宋体" w:eastAsia="仿宋_GB2312"/>
          <w:spacing w:val="6"/>
          <w:sz w:val="28"/>
          <w:szCs w:val="28"/>
        </w:rPr>
        <w:t>甲方应根据本理财产品说明书等相关资料规定的投资对象、投资范围及相关要求进行投资交易，</w:t>
      </w:r>
      <w:r>
        <w:rPr>
          <w:rFonts w:hint="eastAsia" w:ascii="仿宋_GB2312" w:hAnsi="宋体" w:eastAsia="仿宋_GB2312"/>
          <w:bCs/>
          <w:sz w:val="28"/>
          <w:szCs w:val="28"/>
        </w:rPr>
        <w:t>乙方根据甲方提供的投资交易数据作为资产估值及投资监督等的依据。</w:t>
      </w:r>
    </w:p>
    <w:p>
      <w:pPr>
        <w:spacing w:before="40" w:line="580" w:lineRule="exact"/>
        <w:ind w:firstLine="560" w:firstLineChars="200"/>
        <w:rPr>
          <w:rFonts w:ascii="仿宋_GB2312" w:hAnsi="宋体" w:eastAsia="仿宋_GB2312"/>
          <w:sz w:val="28"/>
          <w:szCs w:val="28"/>
        </w:rPr>
      </w:pPr>
      <w:r>
        <w:rPr>
          <w:rFonts w:hint="eastAsia" w:ascii="仿宋_GB2312" w:hAnsi="宋体" w:eastAsia="仿宋_GB2312"/>
          <w:color w:val="000000"/>
          <w:sz w:val="28"/>
          <w:szCs w:val="28"/>
        </w:rPr>
        <w:t>8.</w:t>
      </w:r>
      <w:r>
        <w:rPr>
          <w:rFonts w:ascii="仿宋_GB2312" w:hAnsi="宋体" w:eastAsia="仿宋_GB2312"/>
          <w:color w:val="000000"/>
          <w:sz w:val="28"/>
          <w:szCs w:val="28"/>
        </w:rPr>
        <w:t>6</w:t>
      </w:r>
      <w:r>
        <w:rPr>
          <w:rFonts w:hint="eastAsia" w:ascii="仿宋_GB2312" w:hAnsi="宋体" w:eastAsia="仿宋_GB2312"/>
          <w:color w:val="000000"/>
          <w:sz w:val="28"/>
          <w:szCs w:val="28"/>
        </w:rPr>
        <w:t>.3 甲</w:t>
      </w:r>
      <w:r>
        <w:rPr>
          <w:rFonts w:hint="eastAsia" w:ascii="仿宋_GB2312" w:hAnsi="宋体" w:eastAsia="仿宋_GB2312"/>
          <w:sz w:val="28"/>
          <w:szCs w:val="28"/>
        </w:rPr>
        <w:t>方应确保本理财产品存续期间存放在甲方投资账户上理财产品资产安全，并指定托管账户作为投资账户的资金汇出出路，不得对本理财产品资产进行挪用、设立质押担保和可能造成损失的其他处置。因甲方原因造成的甲方投资账户上本理财产品资产的损失，应由甲方承担责任，乙方对此免责。</w:t>
      </w:r>
    </w:p>
    <w:p>
      <w:pPr>
        <w:spacing w:before="40" w:line="580" w:lineRule="exact"/>
        <w:rPr>
          <w:rFonts w:ascii="仿宋_GB2312" w:hAnsi="宋体" w:eastAsia="仿宋_GB2312"/>
          <w:b/>
          <w:sz w:val="28"/>
          <w:szCs w:val="28"/>
        </w:rPr>
      </w:pPr>
      <w:r>
        <w:rPr>
          <w:rFonts w:hint="eastAsia" w:ascii="仿宋_GB2312" w:hAnsi="宋体" w:eastAsia="仿宋_GB2312"/>
          <w:sz w:val="28"/>
          <w:szCs w:val="28"/>
        </w:rPr>
        <w:t xml:space="preserve">    </w:t>
      </w:r>
      <w:r>
        <w:rPr>
          <w:rFonts w:hint="eastAsia" w:ascii="仿宋_GB2312" w:hAnsi="宋体" w:eastAsia="仿宋_GB2312"/>
          <w:b/>
          <w:sz w:val="28"/>
          <w:szCs w:val="28"/>
        </w:rPr>
        <w:t>8.7投资于信托计划、基金公司、证券公司、保险资产管理公司等金融机构发行的资产管理计划，以及委托投资管理人进行理财投资管理的资金清算交收安排</w:t>
      </w:r>
    </w:p>
    <w:p>
      <w:pPr>
        <w:spacing w:before="40"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理财产品投资于信托计划、基金公司、证券公司、保险资产管理公司等金融机构发行的资产管理计划，以及委托投资管理人进行理财投资管理时，甲方需向乙方提供相应的《信托合同》、《资产管理合同》（复印件加盖甲方有效印章），《投资管理合同》及投资确认文件（如投资委托书、投资管理确认书）等交易文件，乙方将根据甲方签发的理财资金运用划款指令及本协议</w:t>
      </w:r>
      <w:r>
        <w:rPr>
          <w:rFonts w:ascii="仿宋_GB2312" w:hAnsi="宋体" w:eastAsia="仿宋_GB2312"/>
          <w:sz w:val="28"/>
          <w:szCs w:val="28"/>
        </w:rPr>
        <w:t>约定的相关资料进行审核，审核无误后及时将资金划付至《信托合同》、《资产管理合同》指定的收款账户。</w:t>
      </w:r>
    </w:p>
    <w:p>
      <w:pPr>
        <w:spacing w:before="40"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理财产品的投资管理事项由甲方与资产管理人或投资管理人签署《资产管理合同》、《投资管理合同》具体约定。由于客观条件限制，乙方无法保管该投资项下相关资产的，相关资产由甲方自行保管。</w:t>
      </w:r>
    </w:p>
    <w:p>
      <w:pPr>
        <w:spacing w:before="40" w:line="58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8.8甲方理财产品投资于证券交易所市场的资金清算</w:t>
      </w:r>
    </w:p>
    <w:p>
      <w:pPr>
        <w:spacing w:before="40"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甲方应在理财产品正式投资运作之前为理财产品指定证券经纪商和交易席位，理财产品进行场内证券投资所涉及的证券经纪商专用银行清算账号、交易席位号、交易品种的费率表、证券经纪商佣金收取标准等事项在理财产品操作协议中进行约定。</w:t>
      </w:r>
    </w:p>
    <w:p>
      <w:pPr>
        <w:spacing w:before="40"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甲方理财产品通过指定证券经纪商进行交易时有关交易数据传输与接收、场内证券交易的资金清算与交割等事项在理财产品操作协议中进行约定。</w:t>
      </w:r>
    </w:p>
    <w:p>
      <w:pPr>
        <w:spacing w:before="40" w:line="58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8.9投资于开放式基金的资金清算交收</w:t>
      </w:r>
    </w:p>
    <w:p>
      <w:pPr>
        <w:spacing w:before="40"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在本协议有效期内，当理财产品财产通过直销或代销的方式向基金管理公司认购、申购和赎回开放式基金时，甲方应提供基金管理公司名称，并于划款前以书面形式通知乙方该基金管理公司的指定收款账号、认购、申购、赎回费率表等。</w:t>
      </w:r>
    </w:p>
    <w:p>
      <w:pPr>
        <w:spacing w:before="40"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8.</w:t>
      </w:r>
      <w:r>
        <w:rPr>
          <w:rFonts w:ascii="仿宋_GB2312" w:hAnsi="宋体" w:eastAsia="仿宋_GB2312"/>
          <w:sz w:val="28"/>
          <w:szCs w:val="28"/>
        </w:rPr>
        <w:t>10</w:t>
      </w:r>
      <w:r>
        <w:rPr>
          <w:rFonts w:hint="eastAsia" w:ascii="仿宋_GB2312" w:hAnsi="宋体" w:eastAsia="仿宋_GB2312"/>
          <w:sz w:val="28"/>
          <w:szCs w:val="28"/>
        </w:rPr>
        <w:t>理财产品投资于其他投资产品的，具体清算程序，由双方另行商定。</w:t>
      </w:r>
    </w:p>
    <w:p>
      <w:pPr>
        <w:spacing w:before="40" w:line="580" w:lineRule="exact"/>
        <w:ind w:firstLine="560" w:firstLineChars="200"/>
        <w:rPr>
          <w:rFonts w:ascii="仿宋_GB2312" w:hAnsi="宋体" w:eastAsia="仿宋_GB2312"/>
          <w:sz w:val="28"/>
          <w:szCs w:val="28"/>
        </w:rPr>
      </w:pPr>
    </w:p>
    <w:p>
      <w:pPr>
        <w:pStyle w:val="2"/>
        <w:spacing w:before="40" w:after="0" w:line="580" w:lineRule="exact"/>
        <w:ind w:left="425"/>
        <w:rPr>
          <w:rFonts w:ascii="仿宋_GB2312" w:hAnsi="宋体" w:eastAsia="仿宋_GB2312"/>
          <w:sz w:val="28"/>
          <w:szCs w:val="28"/>
        </w:rPr>
      </w:pPr>
      <w:bookmarkStart w:id="26" w:name="_Toc856272"/>
      <w:r>
        <w:rPr>
          <w:rFonts w:hint="eastAsia" w:ascii="仿宋_GB2312" w:hAnsi="宋体" w:eastAsia="仿宋_GB2312"/>
          <w:sz w:val="28"/>
          <w:szCs w:val="28"/>
        </w:rPr>
        <w:t>9、会计核算与估值</w:t>
      </w:r>
      <w:bookmarkEnd w:id="26"/>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9.1甲方和乙方依照法律法规、相关会计法则商定的理财产品记账方法和会计核算标准对理财产品进行会计账务处理，</w:t>
      </w:r>
      <w:r>
        <w:rPr>
          <w:rFonts w:hint="eastAsia" w:ascii="仿宋_GB2312" w:hAnsi="宋体" w:eastAsia="仿宋_GB2312"/>
          <w:color w:val="000000"/>
          <w:sz w:val="28"/>
          <w:szCs w:val="28"/>
        </w:rPr>
        <w:t>甲乙双方</w:t>
      </w:r>
      <w:r>
        <w:rPr>
          <w:rFonts w:hint="eastAsia" w:ascii="仿宋_GB2312" w:hAnsi="宋体" w:eastAsia="仿宋_GB2312"/>
          <w:color w:val="000000"/>
          <w:spacing w:val="6"/>
          <w:sz w:val="28"/>
          <w:szCs w:val="28"/>
        </w:rPr>
        <w:t>分别为理财产品单独建账、单独核算，通过单独的组合完整记录理财产品投资及收益，并保管理财产品资产会计核算与账册。</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9.2账务核对</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甲方每周向乙方提供理财产品财务核算报表，</w:t>
      </w:r>
      <w:r>
        <w:rPr>
          <w:rFonts w:hint="eastAsia" w:ascii="仿宋_GB2312" w:hAnsi="宋体" w:eastAsia="仿宋_GB2312"/>
          <w:color w:val="000000"/>
          <w:sz w:val="28"/>
          <w:szCs w:val="28"/>
        </w:rPr>
        <w:t>乙方对甲方计算的理财产品净值数据</w:t>
      </w:r>
      <w:r>
        <w:rPr>
          <w:rFonts w:hint="eastAsia" w:ascii="仿宋_GB2312" w:hAnsi="宋体" w:eastAsia="仿宋_GB2312"/>
          <w:color w:val="000000"/>
          <w:spacing w:val="6"/>
          <w:sz w:val="28"/>
          <w:szCs w:val="28"/>
        </w:rPr>
        <w:t>进行复核确认，如果存在差异，乙方应及时告知甲方，双方共同查明原因，及时调整账务。如涉及理财产品投资人利益的，由甲方负责对理财产品投资人进行信息披露，并确定调整方案。双方不能达成一致的，以甲方确定的计算方法为准。</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9.3甲方应及时将理财产品投资信息数据传送给乙方，并对数据的准确性、真实性、完整性负责。</w:t>
      </w:r>
    </w:p>
    <w:p>
      <w:pPr>
        <w:pStyle w:val="5"/>
        <w:spacing w:line="360" w:lineRule="auto"/>
        <w:ind w:firstLine="584"/>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9.4 估值方法</w:t>
      </w:r>
    </w:p>
    <w:p>
      <w:pPr>
        <w:widowControl/>
        <w:spacing w:line="360" w:lineRule="auto"/>
        <w:ind w:firstLine="584" w:firstLineChars="200"/>
        <w:jc w:val="left"/>
        <w:rPr>
          <w:rFonts w:ascii="宋体" w:hAnsi="宋体" w:cs="宋体"/>
          <w:color w:val="000000"/>
          <w:spacing w:val="6"/>
          <w:sz w:val="28"/>
          <w:szCs w:val="28"/>
        </w:rPr>
      </w:pPr>
      <w:r>
        <w:rPr>
          <w:rFonts w:ascii="仿宋_GB2312" w:hAnsi="宋体" w:eastAsia="仿宋_GB2312"/>
          <w:color w:val="000000"/>
          <w:spacing w:val="6"/>
          <w:sz w:val="28"/>
          <w:szCs w:val="28"/>
        </w:rPr>
        <w:t>a)</w:t>
      </w:r>
      <w:r>
        <w:rPr>
          <w:rFonts w:hint="eastAsia" w:ascii="仿宋_GB2312" w:hAnsi="宋体" w:eastAsia="仿宋_GB2312"/>
          <w:color w:val="000000"/>
          <w:spacing w:val="6"/>
          <w:sz w:val="28"/>
          <w:szCs w:val="28"/>
        </w:rPr>
        <w:t>债券类</w:t>
      </w:r>
      <w:r>
        <w:rPr>
          <w:rFonts w:hint="eastAsia" w:ascii="宋体" w:hAnsi="宋体" w:cs="宋体"/>
          <w:color w:val="000000"/>
          <w:spacing w:val="6"/>
          <w:sz w:val="28"/>
          <w:szCs w:val="28"/>
        </w:rPr>
        <w:t xml:space="preserve"> </w:t>
      </w:r>
    </w:p>
    <w:p>
      <w:pPr>
        <w:widowControl/>
        <w:spacing w:line="360" w:lineRule="auto"/>
        <w:ind w:firstLine="584" w:firstLineChars="200"/>
        <w:jc w:val="left"/>
        <w:rPr>
          <w:rFonts w:ascii="仿宋_GB2312" w:hAnsi="宋体" w:eastAsia="仿宋_GB2312"/>
          <w:color w:val="000000"/>
          <w:spacing w:val="6"/>
          <w:sz w:val="28"/>
          <w:szCs w:val="28"/>
        </w:rPr>
      </w:pPr>
      <w:r>
        <w:rPr>
          <w:rFonts w:hint="eastAsia" w:ascii="宋体" w:hAnsi="宋体" w:cs="宋体"/>
          <w:color w:val="000000"/>
          <w:spacing w:val="6"/>
          <w:sz w:val="28"/>
          <w:szCs w:val="28"/>
        </w:rPr>
        <w:t>（1）</w:t>
      </w:r>
      <w:r>
        <w:rPr>
          <w:rFonts w:hint="eastAsia" w:ascii="仿宋_GB2312" w:hAnsi="宋体" w:eastAsia="仿宋_GB2312"/>
          <w:color w:val="000000"/>
          <w:spacing w:val="6"/>
          <w:sz w:val="28"/>
          <w:szCs w:val="28"/>
        </w:rPr>
        <w:t>以持有到期为目的持有的债券按摊余成本法估值；</w:t>
      </w:r>
    </w:p>
    <w:p>
      <w:pPr>
        <w:widowControl/>
        <w:spacing w:line="360" w:lineRule="auto"/>
        <w:ind w:firstLine="584" w:firstLineChars="200"/>
        <w:jc w:val="left"/>
        <w:rPr>
          <w:rFonts w:ascii="仿宋_GB2312" w:hAnsi="宋体" w:eastAsia="仿宋_GB2312"/>
          <w:color w:val="000000"/>
          <w:spacing w:val="6"/>
          <w:sz w:val="28"/>
          <w:szCs w:val="28"/>
        </w:rPr>
      </w:pPr>
      <w:r>
        <w:rPr>
          <w:rFonts w:hint="eastAsia" w:ascii="宋体" w:hAnsi="宋体" w:cs="宋体"/>
          <w:color w:val="000000"/>
          <w:spacing w:val="6"/>
          <w:sz w:val="28"/>
          <w:szCs w:val="28"/>
        </w:rPr>
        <w:t>（2）</w:t>
      </w:r>
      <w:r>
        <w:rPr>
          <w:rFonts w:hint="eastAsia" w:ascii="仿宋_GB2312" w:hAnsi="宋体" w:eastAsia="仿宋_GB2312"/>
          <w:color w:val="000000"/>
          <w:spacing w:val="6"/>
          <w:sz w:val="28"/>
          <w:szCs w:val="28"/>
        </w:rPr>
        <w:t>以交易为目的持有的债券按市价法估值。</w:t>
      </w:r>
    </w:p>
    <w:p>
      <w:pPr>
        <w:widowControl/>
        <w:spacing w:line="360" w:lineRule="auto"/>
        <w:ind w:firstLine="876" w:firstLineChars="300"/>
        <w:jc w:val="left"/>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（3）一年内同业存单或债券以摊余成本法估值。</w:t>
      </w:r>
    </w:p>
    <w:p>
      <w:pPr>
        <w:widowControl/>
        <w:spacing w:line="360" w:lineRule="auto"/>
        <w:ind w:firstLine="876" w:firstLineChars="300"/>
        <w:jc w:val="left"/>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该类投资品交易目的由管理人告知托管人，托管人不对此分类进行判断。</w:t>
      </w:r>
    </w:p>
    <w:p>
      <w:pPr>
        <w:spacing w:line="580" w:lineRule="exact"/>
        <w:ind w:firstLine="584" w:firstLineChars="200"/>
        <w:rPr>
          <w:rFonts w:ascii="仿宋_GB2312" w:hAnsi="宋体" w:eastAsia="仿宋_GB2312"/>
          <w:color w:val="000000"/>
          <w:spacing w:val="6"/>
          <w:sz w:val="28"/>
          <w:szCs w:val="28"/>
        </w:rPr>
      </w:pPr>
      <w:r>
        <w:rPr>
          <w:rFonts w:ascii="仿宋_GB2312" w:hAnsi="宋体" w:eastAsia="仿宋_GB2312"/>
          <w:color w:val="000000"/>
          <w:spacing w:val="6"/>
          <w:sz w:val="28"/>
          <w:szCs w:val="28"/>
        </w:rPr>
        <w:t>b)存款和回购</w:t>
      </w:r>
    </w:p>
    <w:p>
      <w:pPr>
        <w:spacing w:line="580" w:lineRule="exact"/>
        <w:ind w:firstLine="584" w:firstLineChars="200"/>
        <w:rPr>
          <w:rFonts w:ascii="仿宋_GB2312" w:hAnsi="宋体" w:eastAsia="仿宋_GB2312"/>
          <w:color w:val="000000"/>
          <w:spacing w:val="6"/>
          <w:sz w:val="28"/>
          <w:szCs w:val="28"/>
        </w:rPr>
      </w:pPr>
      <w:r>
        <w:rPr>
          <w:rFonts w:ascii="仿宋_GB2312" w:hAnsi="宋体" w:eastAsia="仿宋_GB2312"/>
          <w:color w:val="000000"/>
          <w:spacing w:val="6"/>
          <w:sz w:val="28"/>
          <w:szCs w:val="28"/>
        </w:rPr>
        <w:t>持有的银行存款以本金列示，</w:t>
      </w:r>
      <w:r>
        <w:rPr>
          <w:rFonts w:hint="eastAsia" w:ascii="仿宋_GB2312" w:hAnsi="宋体" w:eastAsia="仿宋_GB2312"/>
          <w:color w:val="000000"/>
          <w:spacing w:val="6"/>
          <w:sz w:val="28"/>
          <w:szCs w:val="28"/>
        </w:rPr>
        <w:t>按商定利率在实际持有期间内逐日计提利息</w:t>
      </w:r>
      <w:r>
        <w:rPr>
          <w:rFonts w:ascii="仿宋_GB2312" w:hAnsi="宋体" w:eastAsia="仿宋_GB2312"/>
          <w:color w:val="000000"/>
          <w:spacing w:val="6"/>
          <w:sz w:val="28"/>
          <w:szCs w:val="28"/>
        </w:rPr>
        <w:t>。</w:t>
      </w:r>
    </w:p>
    <w:p>
      <w:pPr>
        <w:spacing w:line="580" w:lineRule="exact"/>
        <w:ind w:firstLine="584" w:firstLineChars="200"/>
        <w:rPr>
          <w:rFonts w:ascii="仿宋_GB2312" w:hAnsi="宋体" w:eastAsia="仿宋_GB2312"/>
          <w:color w:val="000000"/>
          <w:spacing w:val="6"/>
          <w:sz w:val="28"/>
          <w:szCs w:val="28"/>
        </w:rPr>
      </w:pPr>
      <w:r>
        <w:rPr>
          <w:rFonts w:ascii="仿宋_GB2312" w:hAnsi="宋体" w:eastAsia="仿宋_GB2312"/>
          <w:color w:val="000000"/>
          <w:spacing w:val="6"/>
          <w:sz w:val="28"/>
          <w:szCs w:val="28"/>
        </w:rPr>
        <w:t>持有的回购协议以成本列示，按商定利率在实际持有期间内逐日计提利息</w:t>
      </w:r>
      <w:r>
        <w:rPr>
          <w:rFonts w:hint="eastAsia" w:ascii="仿宋_GB2312" w:hAnsi="宋体" w:eastAsia="仿宋_GB2312"/>
          <w:color w:val="000000"/>
          <w:spacing w:val="6"/>
          <w:sz w:val="28"/>
          <w:szCs w:val="28"/>
        </w:rPr>
        <w:t>。</w:t>
      </w:r>
    </w:p>
    <w:p>
      <w:pPr>
        <w:spacing w:line="580" w:lineRule="exact"/>
        <w:ind w:firstLine="584" w:firstLineChars="200"/>
        <w:rPr>
          <w:rFonts w:ascii="仿宋_GB2312" w:hAnsi="宋体" w:eastAsia="仿宋_GB2312"/>
          <w:color w:val="000000"/>
          <w:spacing w:val="6"/>
          <w:sz w:val="28"/>
          <w:szCs w:val="28"/>
        </w:rPr>
      </w:pPr>
      <w:r>
        <w:rPr>
          <w:rFonts w:ascii="仿宋_GB2312" w:hAnsi="宋体" w:eastAsia="仿宋_GB2312"/>
          <w:color w:val="000000"/>
          <w:spacing w:val="6"/>
          <w:sz w:val="28"/>
          <w:szCs w:val="28"/>
        </w:rPr>
        <w:t>c)基金</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在证券交易所交易、登记的上市流通封闭式基金、ETF基金、场内登记的LOF基金等，以其估值日在证券交易所挂牌的收盘价估值；估值日无交易的，以最近交易日的收盘价估值。在场外交易、登记的开放式基金（含场外登记的LOF基金）按估值日公布的前一日基金份额净值估值；估值日未公布前一日基金份额净值的，以最近公布的基金份额净值估值；在基金首次公布份额净值之前按照购入成本估值。</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（2）未上市的封闭式基金按估值日的份额净值估值，若估值日未公布份额净值，按最近公布的份额净值估值。</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（3）</w:t>
      </w:r>
      <w:r>
        <w:rPr>
          <w:rFonts w:ascii="仿宋_GB2312" w:hAnsi="宋体" w:eastAsia="仿宋_GB2312"/>
          <w:color w:val="000000"/>
          <w:spacing w:val="6"/>
          <w:sz w:val="28"/>
          <w:szCs w:val="28"/>
        </w:rPr>
        <w:t>货币市场基金或货币类集合理财计划，单位价值按1.0000计算，</w:t>
      </w:r>
      <w:r>
        <w:rPr>
          <w:rFonts w:hint="eastAsia" w:ascii="仿宋_GB2312" w:hAnsi="宋体" w:eastAsia="仿宋_GB2312"/>
          <w:color w:val="000000"/>
          <w:spacing w:val="6"/>
          <w:sz w:val="28"/>
          <w:szCs w:val="28"/>
        </w:rPr>
        <w:t>按基金管理公司公布的估值日前一交易日的每万份收益计提红利</w:t>
      </w:r>
      <w:r>
        <w:rPr>
          <w:rFonts w:ascii="仿宋_GB2312" w:hAnsi="宋体" w:eastAsia="仿宋_GB2312"/>
          <w:color w:val="000000"/>
          <w:spacing w:val="6"/>
          <w:sz w:val="28"/>
          <w:szCs w:val="28"/>
        </w:rPr>
        <w:t>。</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d)股票</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e)信托计划</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信托计划按照最新公布的净值进行估值，用于估值的净值信息由管理人负责向托管人提供，托管人不复核净值信息是否准确，仅根据管理人提供的净值信息估值，如果由于管理人提供的净值信息不及时或不准确，影响本计划估值，托管人不承担由此造成的损失。</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若相关信托计划没有净值，则对持有信托计划份额</w:t>
      </w:r>
      <w:r>
        <w:rPr>
          <w:rFonts w:ascii="仿宋_GB2312" w:hAnsi="宋体" w:eastAsia="仿宋_GB2312"/>
          <w:color w:val="000000"/>
          <w:spacing w:val="6"/>
          <w:sz w:val="28"/>
          <w:szCs w:val="28"/>
        </w:rPr>
        <w:t>采用成本法进行估值，</w:t>
      </w:r>
      <w:r>
        <w:rPr>
          <w:rFonts w:hint="eastAsia" w:ascii="仿宋_GB2312" w:hAnsi="宋体" w:eastAsia="仿宋_GB2312"/>
          <w:color w:val="000000"/>
          <w:spacing w:val="6"/>
          <w:sz w:val="28"/>
          <w:szCs w:val="28"/>
        </w:rPr>
        <w:t>根据管理人提供的持有份额对应收益率</w:t>
      </w:r>
      <w:r>
        <w:rPr>
          <w:rFonts w:ascii="仿宋_GB2312" w:hAnsi="宋体" w:eastAsia="仿宋_GB2312"/>
          <w:color w:val="000000"/>
          <w:spacing w:val="6"/>
          <w:sz w:val="28"/>
          <w:szCs w:val="28"/>
        </w:rPr>
        <w:t>每日计提</w:t>
      </w:r>
      <w:r>
        <w:rPr>
          <w:rFonts w:hint="eastAsia" w:ascii="仿宋_GB2312" w:hAnsi="宋体" w:eastAsia="仿宋_GB2312"/>
          <w:color w:val="000000"/>
          <w:spacing w:val="6"/>
          <w:sz w:val="28"/>
          <w:szCs w:val="28"/>
        </w:rPr>
        <w:t>收益。</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f)</w:t>
      </w:r>
      <w:r>
        <w:rPr>
          <w:rFonts w:hint="eastAsia"/>
        </w:rPr>
        <w:t xml:space="preserve"> </w:t>
      </w:r>
      <w:r>
        <w:rPr>
          <w:rFonts w:hint="eastAsia" w:ascii="仿宋_GB2312" w:hAnsi="宋体" w:eastAsia="仿宋_GB2312"/>
          <w:color w:val="000000"/>
          <w:spacing w:val="6"/>
          <w:sz w:val="28"/>
          <w:szCs w:val="28"/>
        </w:rPr>
        <w:t>债权类项目的估值</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标准化债权项目中，以持有到期为目的持有的债权按摊余成本法估值，以交易为目的持有的债权按市价法估值。该类投资品交易目的由管理人告知托管人，托管人不对此分类进行判断。</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g</w:t>
      </w:r>
      <w:r>
        <w:rPr>
          <w:rFonts w:ascii="仿宋_GB2312" w:hAnsi="宋体" w:eastAsia="仿宋_GB2312"/>
          <w:color w:val="000000"/>
          <w:spacing w:val="6"/>
          <w:sz w:val="28"/>
          <w:szCs w:val="28"/>
        </w:rPr>
        <w:t>) 其他证券品种</w:t>
      </w:r>
      <w:r>
        <w:rPr>
          <w:rFonts w:hint="eastAsia" w:ascii="仿宋_GB2312" w:hAnsi="宋体" w:eastAsia="仿宋_GB2312"/>
          <w:color w:val="000000"/>
          <w:spacing w:val="6"/>
          <w:sz w:val="28"/>
          <w:szCs w:val="28"/>
        </w:rPr>
        <w:t>存在并可以确定公允价值的，以公允价值计算，公允价值不能确定</w:t>
      </w:r>
      <w:r>
        <w:rPr>
          <w:rFonts w:ascii="仿宋_GB2312" w:hAnsi="宋体" w:eastAsia="仿宋_GB2312"/>
          <w:color w:val="000000"/>
          <w:spacing w:val="6"/>
          <w:sz w:val="28"/>
          <w:szCs w:val="28"/>
        </w:rPr>
        <w:t>的估值由管理人以及托管行共同商议确定。</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h)</w:t>
      </w:r>
      <w:r>
        <w:rPr>
          <w:rFonts w:ascii="仿宋_GB2312" w:hAnsi="宋体" w:eastAsia="仿宋_GB2312"/>
          <w:color w:val="000000"/>
          <w:spacing w:val="6"/>
          <w:sz w:val="28"/>
          <w:szCs w:val="28"/>
        </w:rPr>
        <w:t>如有新增事项或变更事项，按国家最新规定估值。</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i</w:t>
      </w:r>
      <w:r>
        <w:rPr>
          <w:rFonts w:ascii="仿宋_GB2312" w:hAnsi="宋体" w:eastAsia="仿宋_GB2312"/>
          <w:color w:val="000000"/>
          <w:spacing w:val="6"/>
          <w:sz w:val="28"/>
          <w:szCs w:val="28"/>
        </w:rPr>
        <w:t>)上述估值方法如有变动，或有更适合的估值方法，管理人应根据具体情况与托管人商定后，在新的估值方法实施前3个工作日通告</w:t>
      </w:r>
      <w:r>
        <w:rPr>
          <w:rFonts w:hint="eastAsia" w:ascii="仿宋_GB2312" w:hAnsi="宋体" w:eastAsia="仿宋_GB2312"/>
          <w:color w:val="000000"/>
          <w:spacing w:val="6"/>
          <w:sz w:val="28"/>
          <w:szCs w:val="28"/>
        </w:rPr>
        <w:t>投资者</w:t>
      </w:r>
      <w:r>
        <w:rPr>
          <w:rFonts w:ascii="仿宋_GB2312" w:hAnsi="宋体" w:eastAsia="仿宋_GB2312"/>
          <w:color w:val="000000"/>
          <w:spacing w:val="6"/>
          <w:sz w:val="28"/>
          <w:szCs w:val="28"/>
        </w:rPr>
        <w:t>。</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9.5在本协议存续期间，双方均应允许对方聘请的会计师在工作时间对本协议项下银行理财资产进行监督、检查与审计。双方应为上述人员开展工作提供便利。</w:t>
      </w:r>
    </w:p>
    <w:p>
      <w:pPr>
        <w:spacing w:before="40" w:line="580" w:lineRule="exact"/>
        <w:ind w:firstLine="584" w:firstLineChars="200"/>
        <w:rPr>
          <w:rFonts w:ascii="仿宋_GB2312" w:hAnsi="宋体" w:eastAsia="仿宋_GB2312"/>
          <w:color w:val="000000"/>
          <w:spacing w:val="6"/>
          <w:sz w:val="28"/>
          <w:szCs w:val="28"/>
        </w:rPr>
      </w:pPr>
    </w:p>
    <w:p>
      <w:pPr>
        <w:pStyle w:val="2"/>
        <w:spacing w:before="40" w:after="0" w:line="580" w:lineRule="exact"/>
        <w:ind w:left="425"/>
        <w:rPr>
          <w:rFonts w:ascii="仿宋_GB2312" w:hAnsi="宋体" w:eastAsia="仿宋_GB2312"/>
          <w:sz w:val="28"/>
          <w:szCs w:val="28"/>
        </w:rPr>
      </w:pPr>
      <w:bookmarkStart w:id="27" w:name="_Toc856273"/>
      <w:r>
        <w:rPr>
          <w:rFonts w:hint="eastAsia" w:ascii="仿宋_GB2312" w:hAnsi="宋体" w:eastAsia="仿宋_GB2312"/>
          <w:sz w:val="28"/>
          <w:szCs w:val="28"/>
        </w:rPr>
        <w:t>10、交易监督</w:t>
      </w:r>
      <w:bookmarkEnd w:id="27"/>
    </w:p>
    <w:p>
      <w:pPr>
        <w:spacing w:line="580" w:lineRule="exact"/>
        <w:ind w:firstLine="560" w:firstLineChars="200"/>
        <w:rPr>
          <w:rFonts w:ascii="仿宋_GB2312" w:eastAsia="仿宋_GB2312"/>
          <w:color w:val="000000"/>
          <w:sz w:val="28"/>
          <w:szCs w:val="28"/>
        </w:rPr>
      </w:pPr>
      <w:r>
        <w:rPr>
          <w:rFonts w:hint="eastAsia" w:ascii="仿宋_GB2312" w:hAnsi="宋体" w:eastAsia="仿宋_GB2312"/>
          <w:sz w:val="28"/>
          <w:szCs w:val="28"/>
        </w:rPr>
        <w:t>10.1</w:t>
      </w:r>
      <w:r>
        <w:rPr>
          <w:rFonts w:hint="eastAsia" w:ascii="仿宋_GB2312" w:eastAsia="仿宋_GB2312"/>
          <w:color w:val="000000"/>
          <w:sz w:val="28"/>
          <w:szCs w:val="28"/>
        </w:rPr>
        <w:t>监督依据</w:t>
      </w:r>
    </w:p>
    <w:p>
      <w:pPr>
        <w:spacing w:line="580" w:lineRule="exact"/>
        <w:ind w:firstLine="560" w:firstLineChars="200"/>
        <w:rPr>
          <w:rFonts w:ascii="仿宋_GB2312" w:eastAsia="仿宋_GB2312"/>
          <w:color w:val="000000"/>
          <w:sz w:val="28"/>
          <w:szCs w:val="28"/>
        </w:rPr>
      </w:pPr>
      <w:r>
        <w:rPr>
          <w:rFonts w:hint="eastAsia" w:ascii="仿宋_GB2312" w:hAnsi="宋体" w:eastAsia="仿宋_GB2312"/>
          <w:bCs/>
          <w:sz w:val="28"/>
          <w:szCs w:val="28"/>
        </w:rPr>
        <w:t>乙方依据本协议及甲方事先以书面形式通知的投资事项进行监督，</w:t>
      </w:r>
      <w:r>
        <w:rPr>
          <w:rFonts w:hint="eastAsia" w:ascii="仿宋_GB2312" w:eastAsia="仿宋_GB2312"/>
          <w:color w:val="000000"/>
          <w:sz w:val="28"/>
          <w:szCs w:val="28"/>
        </w:rPr>
        <w:t>甲乙双方在托管运作前协商确定《监督事项表》（附件四），明确监督事项。《监督事项表》的内容不得违反相关法律法规、托管协议及产品说明书规定，对《监督事项表》的修改，须经甲乙双方同意方可执行。</w:t>
      </w:r>
    </w:p>
    <w:p>
      <w:pPr>
        <w:spacing w:line="5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10.2监督流程</w:t>
      </w:r>
    </w:p>
    <w:p>
      <w:pPr>
        <w:spacing w:line="5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对于依据交易程序尚未成交的且乙方在交易前能够监控的投资指令，乙方发现该投资指令违反本协议，应当拒绝执行；对于依据交易程序已经成交且乙方只能交易后监控的投资指令，乙方进行事后监督。</w:t>
      </w:r>
    </w:p>
    <w:p>
      <w:pPr>
        <w:spacing w:line="5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乙方发现甲方的投资行为违反本协议，应当及时以电话、邮件等形式提示甲方，甲方应在乙方规定的期限内进行调整。甲方如对乙方的提示有异议，应当及时反馈乙方，双方沟通一致。</w:t>
      </w:r>
    </w:p>
    <w:p>
      <w:pPr>
        <w:spacing w:line="5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10.3甲乙双方应事先约定发送信息和沟通的联系人（附件</w:t>
      </w:r>
      <w:r>
        <w:rPr>
          <w:rFonts w:hint="eastAsia" w:ascii="仿宋_GB2312" w:eastAsia="仿宋_GB2312"/>
          <w:color w:val="000000"/>
          <w:sz w:val="28"/>
          <w:szCs w:val="28"/>
          <w:lang w:eastAsia="zh-CN"/>
        </w:rPr>
        <w:t>六</w:t>
      </w:r>
      <w:r>
        <w:rPr>
          <w:rFonts w:hint="eastAsia" w:ascii="仿宋_GB2312" w:eastAsia="仿宋_GB2312"/>
          <w:color w:val="000000"/>
          <w:sz w:val="28"/>
          <w:szCs w:val="28"/>
        </w:rPr>
        <w:t>），如果联系人发生变更，应当及时通知对方。</w:t>
      </w:r>
    </w:p>
    <w:p>
      <w:pPr>
        <w:spacing w:line="58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10.4乙方依据《监督事项表》进行监督，即视为尽到审慎监督义务。对甲方交易投资行为给理财产品造成的损失，乙方在尽到审慎监督义务的</w:t>
      </w:r>
      <w:r>
        <w:rPr>
          <w:rFonts w:ascii="仿宋_GB2312" w:eastAsia="仿宋_GB2312"/>
          <w:color w:val="000000"/>
          <w:sz w:val="28"/>
          <w:szCs w:val="28"/>
        </w:rPr>
        <w:t>情况下</w:t>
      </w:r>
      <w:r>
        <w:rPr>
          <w:rFonts w:hint="eastAsia" w:ascii="仿宋_GB2312" w:eastAsia="仿宋_GB2312"/>
          <w:color w:val="000000"/>
          <w:sz w:val="28"/>
          <w:szCs w:val="28"/>
        </w:rPr>
        <w:t>不承担责任。</w:t>
      </w:r>
    </w:p>
    <w:p>
      <w:pPr>
        <w:spacing w:line="580" w:lineRule="exact"/>
        <w:ind w:firstLine="560" w:firstLineChars="200"/>
        <w:rPr>
          <w:rFonts w:ascii="仿宋_GB2312" w:eastAsia="仿宋_GB2312"/>
          <w:color w:val="000000"/>
          <w:sz w:val="28"/>
          <w:szCs w:val="28"/>
        </w:rPr>
      </w:pPr>
    </w:p>
    <w:p>
      <w:pPr>
        <w:pStyle w:val="2"/>
        <w:spacing w:before="40" w:after="0" w:line="580" w:lineRule="exact"/>
        <w:ind w:left="425"/>
        <w:rPr>
          <w:rFonts w:ascii="仿宋_GB2312" w:hAnsi="宋体" w:eastAsia="仿宋_GB2312"/>
          <w:sz w:val="28"/>
          <w:szCs w:val="28"/>
        </w:rPr>
      </w:pPr>
      <w:bookmarkStart w:id="28" w:name="_Toc856274"/>
      <w:r>
        <w:rPr>
          <w:rFonts w:hint="eastAsia" w:ascii="仿宋_GB2312" w:hAnsi="宋体" w:eastAsia="仿宋_GB2312"/>
          <w:sz w:val="28"/>
          <w:szCs w:val="28"/>
        </w:rPr>
        <w:t>11、理财产品费用支出</w:t>
      </w:r>
      <w:bookmarkEnd w:id="28"/>
    </w:p>
    <w:p>
      <w:pPr>
        <w:spacing w:before="40" w:line="580" w:lineRule="exact"/>
        <w:ind w:firstLine="584" w:firstLineChars="200"/>
        <w:rPr>
          <w:rFonts w:ascii="仿宋_GB2312" w:hAnsi="宋体" w:eastAsia="仿宋_GB2312"/>
          <w:bCs/>
          <w:color w:val="000000"/>
          <w:spacing w:val="6"/>
          <w:sz w:val="28"/>
          <w:szCs w:val="28"/>
        </w:rPr>
      </w:pPr>
      <w:r>
        <w:rPr>
          <w:rFonts w:hint="eastAsia" w:ascii="仿宋_GB2312" w:hAnsi="宋体" w:eastAsia="仿宋_GB2312"/>
          <w:bCs/>
          <w:color w:val="000000"/>
          <w:spacing w:val="6"/>
          <w:sz w:val="28"/>
          <w:szCs w:val="28"/>
        </w:rPr>
        <w:t>11.1 理财产品费用</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理财产品各项费用包括管理费、销售手续费、托管费、资金汇划费用及交易过程中的其他费用等。</w:t>
      </w:r>
    </w:p>
    <w:p>
      <w:pPr>
        <w:autoSpaceDE w:val="0"/>
        <w:autoSpaceDN w:val="0"/>
        <w:adjustRightInd w:val="0"/>
        <w:spacing w:before="40" w:line="580" w:lineRule="exact"/>
        <w:ind w:firstLine="584" w:firstLineChars="200"/>
        <w:jc w:val="left"/>
        <w:rPr>
          <w:rFonts w:ascii="仿宋_GB2312" w:hAnsi="宋体" w:eastAsia="仿宋_GB2312"/>
          <w:bCs/>
          <w:color w:val="000000"/>
          <w:spacing w:val="6"/>
          <w:sz w:val="28"/>
          <w:szCs w:val="28"/>
        </w:rPr>
      </w:pPr>
      <w:r>
        <w:rPr>
          <w:rFonts w:hint="eastAsia" w:ascii="仿宋_GB2312" w:hAnsi="宋体" w:eastAsia="仿宋_GB2312"/>
          <w:bCs/>
          <w:color w:val="000000"/>
          <w:spacing w:val="6"/>
          <w:sz w:val="28"/>
          <w:szCs w:val="28"/>
        </w:rPr>
        <w:t>11.2费用计算</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本协议项下甲方应收管理费及乙方应收托管费皆从理财产品资产中予以支付，收费标准、计算方法和收取方式为：</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11.2.1甲方应收管理费计算方法如下：</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依照理财产品说明书的约定进行计提、计算。</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11.2.2乙方在理财产品</w:t>
      </w:r>
      <w:r>
        <w:rPr>
          <w:rFonts w:ascii="仿宋_GB2312" w:hAnsi="宋体" w:eastAsia="仿宋_GB2312"/>
          <w:color w:val="000000"/>
          <w:spacing w:val="6"/>
          <w:sz w:val="28"/>
          <w:szCs w:val="28"/>
        </w:rPr>
        <w:t>存续期</w:t>
      </w:r>
      <w:r>
        <w:rPr>
          <w:rFonts w:hint="eastAsia" w:ascii="仿宋_GB2312" w:hAnsi="宋体" w:eastAsia="仿宋_GB2312"/>
          <w:color w:val="000000"/>
          <w:spacing w:val="6"/>
          <w:sz w:val="28"/>
          <w:szCs w:val="28"/>
        </w:rPr>
        <w:t>内</w:t>
      </w:r>
      <w:r>
        <w:rPr>
          <w:rFonts w:ascii="仿宋_GB2312" w:hAnsi="宋体" w:eastAsia="仿宋_GB2312"/>
          <w:color w:val="000000"/>
          <w:spacing w:val="6"/>
          <w:sz w:val="28"/>
          <w:szCs w:val="28"/>
        </w:rPr>
        <w:t>每日</w:t>
      </w:r>
      <w:r>
        <w:rPr>
          <w:rFonts w:hint="eastAsia" w:ascii="仿宋_GB2312" w:hAnsi="宋体" w:eastAsia="仿宋_GB2312"/>
          <w:color w:val="000000"/>
          <w:spacing w:val="6"/>
          <w:sz w:val="28"/>
          <w:szCs w:val="28"/>
        </w:rPr>
        <w:t>应收托管费计算方法如下：</w:t>
      </w:r>
    </w:p>
    <w:p>
      <w:pPr>
        <w:spacing w:before="40" w:line="580" w:lineRule="exact"/>
        <w:ind w:firstLine="1168" w:firstLineChars="4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F = A×Y%÷365</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其中：F为当日应收托管费</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 xml:space="preserve">      A为当日委托资产实收本金</w:t>
      </w:r>
    </w:p>
    <w:p>
      <w:pPr>
        <w:spacing w:before="40" w:line="580" w:lineRule="exact"/>
        <w:ind w:left="584" w:leftChars="278"/>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 xml:space="preserve">      Y%为托管费年费率，年费率为0.01%。</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11.2.3除管理费、托管费以外的其他费用（如销售服务费等），应当根据法律法规、产品说明书等相关法律文件从理财产品托管账户中列支。</w:t>
      </w:r>
    </w:p>
    <w:p>
      <w:pPr>
        <w:spacing w:before="40" w:line="580" w:lineRule="exact"/>
        <w:ind w:firstLine="584" w:firstLineChars="200"/>
        <w:rPr>
          <w:rFonts w:ascii="仿宋_GB2312" w:hAnsi="宋体" w:eastAsia="仿宋_GB2312"/>
          <w:bCs/>
          <w:color w:val="000000"/>
          <w:spacing w:val="6"/>
          <w:sz w:val="28"/>
          <w:szCs w:val="28"/>
        </w:rPr>
      </w:pPr>
      <w:r>
        <w:rPr>
          <w:rFonts w:hint="eastAsia" w:ascii="仿宋_GB2312" w:hAnsi="宋体" w:eastAsia="仿宋_GB2312"/>
          <w:bCs/>
          <w:color w:val="000000"/>
          <w:spacing w:val="6"/>
          <w:sz w:val="28"/>
          <w:szCs w:val="28"/>
        </w:rPr>
        <w:t>11.3费用支付方式</w:t>
      </w:r>
    </w:p>
    <w:p>
      <w:pPr>
        <w:spacing w:line="580" w:lineRule="exact"/>
        <w:ind w:left="294" w:leftChars="140" w:firstLine="292" w:firstLineChars="100"/>
        <w:rPr>
          <w:rFonts w:ascii="仿宋_GB2312" w:hAnsi="宋体" w:eastAsia="仿宋_GB2312"/>
          <w:bCs/>
          <w:color w:val="000000"/>
          <w:spacing w:val="6"/>
          <w:sz w:val="28"/>
          <w:szCs w:val="28"/>
        </w:rPr>
      </w:pPr>
      <w:r>
        <w:rPr>
          <w:rFonts w:hint="eastAsia" w:ascii="仿宋_GB2312" w:hAnsi="宋体" w:eastAsia="仿宋_GB2312"/>
          <w:bCs/>
          <w:color w:val="000000"/>
          <w:spacing w:val="6"/>
          <w:sz w:val="28"/>
          <w:szCs w:val="28"/>
        </w:rPr>
        <w:t>理财产品管理费与托管费按日计提，逐日累计，并按以下第</w:t>
      </w:r>
      <w:r>
        <w:rPr>
          <w:rFonts w:hint="eastAsia" w:ascii="仿宋_GB2312" w:hAnsi="宋体" w:eastAsia="仿宋_GB2312"/>
          <w:bCs/>
          <w:color w:val="000000"/>
          <w:spacing w:val="6"/>
          <w:sz w:val="28"/>
          <w:szCs w:val="28"/>
          <w:u w:val="single"/>
        </w:rPr>
        <w:t>（</w:t>
      </w:r>
      <w:r>
        <w:rPr>
          <w:rFonts w:hint="eastAsia" w:ascii="仿宋_GB2312" w:hAnsi="宋体" w:eastAsia="仿宋_GB2312"/>
          <w:bCs/>
          <w:color w:val="000000"/>
          <w:spacing w:val="6"/>
          <w:sz w:val="28"/>
          <w:szCs w:val="28"/>
          <w:u w:val="single"/>
          <w:lang w:val="en-US" w:eastAsia="zh-CN"/>
        </w:rPr>
        <w:t>1</w:t>
      </w:r>
      <w:r>
        <w:rPr>
          <w:rFonts w:hint="eastAsia" w:ascii="仿宋_GB2312" w:hAnsi="宋体" w:eastAsia="仿宋_GB2312"/>
          <w:bCs/>
          <w:color w:val="000000"/>
          <w:spacing w:val="6"/>
          <w:sz w:val="28"/>
          <w:szCs w:val="28"/>
          <w:u w:val="single"/>
        </w:rPr>
        <w:t>）</w:t>
      </w:r>
      <w:r>
        <w:rPr>
          <w:rFonts w:hint="eastAsia" w:ascii="仿宋_GB2312" w:hAnsi="宋体" w:eastAsia="仿宋_GB2312"/>
          <w:bCs/>
          <w:color w:val="000000"/>
          <w:spacing w:val="6"/>
          <w:sz w:val="28"/>
          <w:szCs w:val="28"/>
        </w:rPr>
        <w:t>种方式支付：</w:t>
      </w:r>
    </w:p>
    <w:p>
      <w:pPr>
        <w:spacing w:line="580" w:lineRule="exact"/>
        <w:ind w:firstLine="584" w:firstLineChars="200"/>
        <w:rPr>
          <w:rFonts w:ascii="仿宋_GB2312" w:hAnsi="宋体" w:eastAsia="仿宋_GB2312"/>
          <w:bCs/>
          <w:color w:val="000000"/>
          <w:spacing w:val="6"/>
          <w:sz w:val="28"/>
          <w:szCs w:val="28"/>
        </w:rPr>
      </w:pPr>
      <w:r>
        <w:rPr>
          <w:rFonts w:hint="eastAsia" w:ascii="仿宋_GB2312" w:hAnsi="宋体" w:eastAsia="仿宋_GB2312"/>
          <w:bCs/>
          <w:color w:val="000000"/>
          <w:spacing w:val="6"/>
          <w:sz w:val="28"/>
          <w:szCs w:val="28"/>
        </w:rPr>
        <w:t>（</w:t>
      </w:r>
      <w:r>
        <w:rPr>
          <w:rFonts w:ascii="仿宋_GB2312" w:hAnsi="宋体" w:eastAsia="仿宋_GB2312"/>
          <w:bCs/>
          <w:color w:val="000000"/>
          <w:spacing w:val="6"/>
          <w:sz w:val="28"/>
          <w:szCs w:val="28"/>
        </w:rPr>
        <w:t>1</w:t>
      </w:r>
      <w:r>
        <w:rPr>
          <w:rFonts w:hint="eastAsia" w:ascii="仿宋_GB2312" w:hAnsi="宋体" w:eastAsia="仿宋_GB2312"/>
          <w:bCs/>
          <w:color w:val="000000"/>
          <w:spacing w:val="6"/>
          <w:sz w:val="28"/>
          <w:szCs w:val="28"/>
        </w:rPr>
        <w:t>）按季度支付</w:t>
      </w:r>
    </w:p>
    <w:p>
      <w:pPr>
        <w:spacing w:line="580" w:lineRule="exact"/>
        <w:ind w:firstLine="584" w:firstLineChars="200"/>
        <w:rPr>
          <w:rFonts w:ascii="仿宋_GB2312" w:hAnsi="宋体" w:eastAsia="仿宋_GB2312"/>
          <w:bCs/>
          <w:color w:val="000000"/>
          <w:spacing w:val="6"/>
          <w:sz w:val="28"/>
          <w:szCs w:val="28"/>
        </w:rPr>
      </w:pPr>
      <w:r>
        <w:rPr>
          <w:rFonts w:hint="eastAsia" w:ascii="仿宋_GB2312" w:hAnsi="宋体" w:eastAsia="仿宋_GB2312"/>
          <w:bCs/>
          <w:color w:val="000000"/>
          <w:spacing w:val="6"/>
          <w:sz w:val="28"/>
          <w:szCs w:val="28"/>
        </w:rPr>
        <w:t>甲方应于每季度结束后3日内计算应付的管理费与托管费并发送乙方复核，乙方复核无误后2日内，甲方向乙方发送划款指令，乙方根据划款指令一次性完成支付。如因投资资产收益支付日晚于上述日期，甲乙双方协商后可选择延期支付上述费用。理财产品终止时，剩余费用按照有关清算程序支付。</w:t>
      </w:r>
    </w:p>
    <w:p>
      <w:pPr>
        <w:spacing w:line="580" w:lineRule="exact"/>
        <w:ind w:firstLine="584" w:firstLineChars="200"/>
        <w:rPr>
          <w:rFonts w:ascii="仿宋_GB2312" w:hAnsi="宋体" w:eastAsia="仿宋_GB2312"/>
          <w:bCs/>
          <w:color w:val="000000"/>
          <w:spacing w:val="6"/>
          <w:sz w:val="28"/>
          <w:szCs w:val="28"/>
        </w:rPr>
      </w:pPr>
      <w:r>
        <w:rPr>
          <w:rFonts w:hint="eastAsia" w:ascii="仿宋_GB2312" w:hAnsi="宋体" w:eastAsia="仿宋_GB2312"/>
          <w:bCs/>
          <w:color w:val="000000"/>
          <w:spacing w:val="6"/>
          <w:sz w:val="28"/>
          <w:szCs w:val="28"/>
        </w:rPr>
        <w:t>（</w:t>
      </w:r>
      <w:r>
        <w:rPr>
          <w:rFonts w:ascii="仿宋_GB2312" w:hAnsi="宋体" w:eastAsia="仿宋_GB2312"/>
          <w:bCs/>
          <w:color w:val="000000"/>
          <w:spacing w:val="6"/>
          <w:sz w:val="28"/>
          <w:szCs w:val="28"/>
        </w:rPr>
        <w:t>2</w:t>
      </w:r>
      <w:r>
        <w:rPr>
          <w:rFonts w:hint="eastAsia" w:ascii="仿宋_GB2312" w:hAnsi="宋体" w:eastAsia="仿宋_GB2312"/>
          <w:bCs/>
          <w:color w:val="000000"/>
          <w:spacing w:val="6"/>
          <w:sz w:val="28"/>
          <w:szCs w:val="28"/>
        </w:rPr>
        <w:t>）产品终止后支付</w:t>
      </w:r>
    </w:p>
    <w:p>
      <w:pPr>
        <w:spacing w:line="580" w:lineRule="exact"/>
        <w:ind w:firstLine="584" w:firstLineChars="200"/>
        <w:rPr>
          <w:rFonts w:ascii="仿宋_GB2312" w:hAnsi="宋体" w:eastAsia="仿宋_GB2312"/>
          <w:bCs/>
          <w:color w:val="000000"/>
          <w:spacing w:val="6"/>
          <w:sz w:val="28"/>
          <w:szCs w:val="28"/>
        </w:rPr>
      </w:pPr>
      <w:r>
        <w:rPr>
          <w:rFonts w:hint="eastAsia" w:ascii="仿宋_GB2312" w:hAnsi="宋体" w:eastAsia="仿宋_GB2312"/>
          <w:bCs/>
          <w:color w:val="000000"/>
          <w:spacing w:val="6"/>
          <w:sz w:val="28"/>
          <w:szCs w:val="28"/>
        </w:rPr>
        <w:t>按照有关清算程序一次性支付，最迟应在产品终止后5日内付款。</w:t>
      </w:r>
    </w:p>
    <w:p>
      <w:pPr>
        <w:numPr>
          <w:ilvl w:val="0"/>
          <w:numId w:val="1"/>
        </w:numPr>
        <w:spacing w:before="40" w:line="580" w:lineRule="exact"/>
        <w:ind w:firstLine="584" w:firstLineChars="200"/>
        <w:rPr>
          <w:rFonts w:ascii="仿宋_GB2312" w:hAnsi="宋体" w:eastAsia="仿宋_GB2312"/>
          <w:bCs/>
          <w:color w:val="000000"/>
          <w:spacing w:val="6"/>
          <w:sz w:val="28"/>
          <w:szCs w:val="28"/>
        </w:rPr>
      </w:pPr>
      <w:r>
        <w:rPr>
          <w:rFonts w:hint="eastAsia" w:ascii="仿宋_GB2312" w:hAnsi="宋体" w:eastAsia="仿宋_GB2312"/>
          <w:bCs/>
          <w:color w:val="000000"/>
          <w:spacing w:val="6"/>
          <w:sz w:val="28"/>
          <w:szCs w:val="28"/>
        </w:rPr>
        <w:t>双方另有约定的，按其约定执行。</w:t>
      </w:r>
    </w:p>
    <w:p>
      <w:pPr>
        <w:widowControl/>
        <w:adjustRightInd w:val="0"/>
        <w:snapToGrid w:val="0"/>
        <w:spacing w:line="58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11.4</w:t>
      </w:r>
      <w:r>
        <w:rPr>
          <w:rFonts w:hint="eastAsia" w:ascii="仿宋_GB2312" w:hAnsi="仿宋_GB2312" w:eastAsia="仿宋_GB2312" w:cs="仿宋_GB2312"/>
          <w:sz w:val="28"/>
          <w:szCs w:val="28"/>
          <w:lang w:val="zh-CN"/>
        </w:rPr>
        <w:t>增值税特别约定</w:t>
      </w:r>
    </w:p>
    <w:p>
      <w:pPr>
        <w:widowControl/>
        <w:adjustRightInd w:val="0"/>
        <w:snapToGrid w:val="0"/>
        <w:spacing w:line="58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11.4.1本合同项下甲方向乙方支付的上述费用/利息和费用（根据具体合同而定）均为含税价格。</w:t>
      </w:r>
    </w:p>
    <w:p>
      <w:pPr>
        <w:widowControl/>
        <w:adjustRightInd w:val="0"/>
        <w:snapToGrid w:val="0"/>
        <w:spacing w:line="58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11.4.2甲方要求乙方开具增值税专用发票的，应先在乙方办理甲方信息登记，登记信息包括甲方全称、纳税人识别号或社会信用代码、地址、电话、开户银行和账号。甲方应确保提供给乙方的相关信息真实、准确和完整，并按照乙方要求提供相关证明资料，具体要求由乙方通过网点通知或网站公告等发布。</w:t>
      </w:r>
    </w:p>
    <w:p>
      <w:pPr>
        <w:widowControl/>
        <w:adjustRightInd w:val="0"/>
        <w:snapToGrid w:val="0"/>
        <w:spacing w:line="58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11.4.3甲方自行领取增值税专用发票的，需向乙方提供加盖印章的授权委托书，指定领取人，并明确领取人身份证号等信息，由指定领取人凭身份证原件领取增值税专用发票；指定领取人发生变更的，甲方需重新向乙方出具加盖印章的授权委托书。甲方选择邮寄方式收取增值税专用发票的，还应提供准确无误且可送达的邮寄信息；若邮寄信息发生变更的，应及时书面通知乙方。</w:t>
      </w:r>
    </w:p>
    <w:p>
      <w:pPr>
        <w:widowControl/>
        <w:adjustRightInd w:val="0"/>
        <w:snapToGrid w:val="0"/>
        <w:spacing w:line="580" w:lineRule="exact"/>
        <w:ind w:firstLine="560" w:firstLineChars="200"/>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11.4.4</w:t>
      </w:r>
      <w:r>
        <w:rPr>
          <w:rFonts w:hint="eastAsia" w:ascii="仿宋_GB2312" w:hAnsi="仿宋_GB2312" w:eastAsia="仿宋_GB2312" w:cs="仿宋_GB2312"/>
          <w:sz w:val="28"/>
          <w:szCs w:val="28"/>
          <w:lang w:val="zh-CN"/>
        </w:rPr>
        <w:t>因自然灾害、政府行为、社会异常事件等不可抗力或税务机关原因导致乙方不能及时开具增值税专用发票的，乙方有权延迟开票，并不承担任何责任。</w:t>
      </w:r>
    </w:p>
    <w:p>
      <w:pPr>
        <w:widowControl/>
        <w:adjustRightInd w:val="0"/>
        <w:snapToGrid w:val="0"/>
        <w:spacing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11.4.5</w:t>
      </w:r>
      <w:r>
        <w:rPr>
          <w:rFonts w:hint="eastAsia" w:ascii="仿宋_GB2312" w:hAnsi="仿宋_GB2312" w:eastAsia="仿宋_GB2312" w:cs="仿宋_GB2312"/>
          <w:sz w:val="28"/>
          <w:szCs w:val="28"/>
          <w:lang w:val="zh-CN"/>
        </w:rPr>
        <w:t>增值税专用发票被甲方领取后或乙方交由第三方邮递后发生发票丢失、破损或逾期等非乙方原因，导致甲方无法收到增值税发票相应联次或逾期无法抵扣的，乙方不负责赔偿甲方相关经济损失。</w:t>
      </w:r>
      <w:r>
        <w:rPr>
          <w:rFonts w:hint="eastAsia" w:ascii="仿宋_GB2312" w:hAnsi="仿宋_GB2312" w:eastAsia="仿宋_GB2312" w:cs="仿宋_GB2312"/>
          <w:sz w:val="28"/>
          <w:szCs w:val="28"/>
        </w:rPr>
        <w:t xml:space="preserve">  </w:t>
      </w:r>
    </w:p>
    <w:p>
      <w:pPr>
        <w:widowControl/>
        <w:adjustRightInd w:val="0"/>
        <w:snapToGrid w:val="0"/>
        <w:spacing w:line="580" w:lineRule="exact"/>
        <w:ind w:firstLine="560" w:firstLineChars="200"/>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11.4.6</w:t>
      </w:r>
      <w:r>
        <w:rPr>
          <w:rFonts w:hint="eastAsia" w:ascii="仿宋_GB2312" w:hAnsi="仿宋_GB2312" w:eastAsia="仿宋_GB2312" w:cs="仿宋_GB2312"/>
          <w:sz w:val="28"/>
          <w:szCs w:val="28"/>
          <w:lang w:val="zh-CN"/>
        </w:rPr>
        <w:t>由于发生销售退回、应税服务中止或开票有误、抵扣联、发票联均无法认证等情形，需要开具增值税红字专用发票的，根据相关法律、法规及政策性文件规定需要由甲方向税务机关提交《开具红字增值税专用发票信息表》的，应由甲方向税务机关提交《开具红字增值税专用发票信息表》，待税务机关审核并通知乙方后，乙方开具红字增值税专用发票。</w:t>
      </w:r>
    </w:p>
    <w:p>
      <w:pPr>
        <w:widowControl/>
        <w:adjustRightInd w:val="0"/>
        <w:snapToGrid w:val="0"/>
        <w:spacing w:line="580" w:lineRule="exact"/>
        <w:ind w:firstLine="560" w:firstLineChars="200"/>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11.4.7</w:t>
      </w:r>
      <w:r>
        <w:rPr>
          <w:rFonts w:hint="eastAsia" w:ascii="仿宋_GB2312" w:hAnsi="仿宋_GB2312" w:eastAsia="仿宋_GB2312" w:cs="仿宋_GB2312"/>
          <w:sz w:val="28"/>
          <w:szCs w:val="28"/>
          <w:lang w:val="zh-CN"/>
        </w:rPr>
        <w:t>在合同履行期间，如遇国家税率调整，乙方有权根据国家税率变化调整本合同约定价格。</w:t>
      </w:r>
    </w:p>
    <w:p>
      <w:pPr>
        <w:pStyle w:val="2"/>
        <w:spacing w:before="40" w:after="0" w:line="580" w:lineRule="exact"/>
        <w:ind w:left="584"/>
        <w:rPr>
          <w:rFonts w:ascii="仿宋_GB2312" w:hAnsi="宋体" w:eastAsia="仿宋_GB2312"/>
          <w:sz w:val="28"/>
          <w:szCs w:val="28"/>
        </w:rPr>
      </w:pPr>
      <w:bookmarkStart w:id="29" w:name="_Toc856275"/>
      <w:r>
        <w:rPr>
          <w:rFonts w:hint="eastAsia" w:ascii="仿宋_GB2312" w:hAnsi="宋体" w:eastAsia="仿宋_GB2312"/>
          <w:sz w:val="28"/>
          <w:szCs w:val="28"/>
        </w:rPr>
        <w:t>12、资产清算</w:t>
      </w:r>
      <w:bookmarkEnd w:id="29"/>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12.1理财产品到期清算</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理财产品到期后，甲方对理财产品资产进行清算，并出具清算报告，乙方对清算报告进行复核。</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在清算日，甲方根据清算报告结果向乙方发送划款指令，乙方按照审核无误的划款指令将扣除各项费用后的全部剩余资产划至甲方指定账户，并配合甲方完成到期理财产品相关账户或组合的销账处理。</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12.2理财产品提前终止清算</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在本协议有效期内，如遇提前终止理财产品，甲乙双方应按照本协议及理财产品发行文件的规定办理资金清算。</w:t>
      </w:r>
    </w:p>
    <w:p>
      <w:pPr>
        <w:spacing w:before="40" w:line="580" w:lineRule="exact"/>
        <w:ind w:firstLine="584" w:firstLineChars="200"/>
        <w:rPr>
          <w:rFonts w:ascii="仿宋_GB2312" w:hAnsi="宋体" w:eastAsia="仿宋_GB2312"/>
          <w:color w:val="000000"/>
          <w:spacing w:val="6"/>
          <w:sz w:val="28"/>
          <w:szCs w:val="28"/>
        </w:rPr>
      </w:pPr>
    </w:p>
    <w:p>
      <w:pPr>
        <w:pStyle w:val="2"/>
        <w:spacing w:before="40" w:after="0" w:line="580" w:lineRule="exact"/>
        <w:ind w:left="584"/>
        <w:rPr>
          <w:rFonts w:ascii="仿宋_GB2312" w:hAnsi="宋体" w:eastAsia="仿宋_GB2312"/>
          <w:sz w:val="28"/>
          <w:szCs w:val="28"/>
        </w:rPr>
      </w:pPr>
      <w:bookmarkStart w:id="30" w:name="_Toc856276"/>
      <w:r>
        <w:rPr>
          <w:rFonts w:hint="eastAsia" w:ascii="仿宋_GB2312" w:hAnsi="宋体" w:eastAsia="仿宋_GB2312"/>
          <w:sz w:val="28"/>
          <w:szCs w:val="28"/>
        </w:rPr>
        <w:t>13、文件档案保存和保密</w:t>
      </w:r>
      <w:bookmarkEnd w:id="30"/>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13.1甲方、乙方各自完整保存有关原始凭证、记账凭证、账册、交易记录和重要协议至少15年。</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13.2甲方、乙方在此承诺：对于从依据本协议所获得的所有关于对方业务方针和策略，托管运作明细等内容严格保密。未经对方书面事先同意，任何一方不得向任何第三方披露对方保密信息，但在国家机关或监管部门要求的情况下除外。</w:t>
      </w:r>
    </w:p>
    <w:p>
      <w:pPr>
        <w:pStyle w:val="2"/>
        <w:numPr>
          <w:ilvl w:val="0"/>
          <w:numId w:val="0"/>
        </w:numPr>
        <w:spacing w:line="578" w:lineRule="auto"/>
        <w:ind w:firstLine="141" w:firstLineChars="50"/>
        <w:rPr>
          <w:rFonts w:ascii="仿宋_GB2312" w:hAnsi="仿宋_GB2312" w:eastAsia="仿宋_GB2312"/>
          <w:bCs/>
          <w:sz w:val="28"/>
          <w:szCs w:val="28"/>
        </w:rPr>
      </w:pPr>
      <w:bookmarkStart w:id="31" w:name="_Toc856277"/>
      <w:r>
        <w:rPr>
          <w:rFonts w:hint="eastAsia" w:ascii="仿宋_GB2312" w:hAnsi="仿宋_GB2312" w:eastAsia="仿宋_GB2312"/>
          <w:bCs/>
          <w:sz w:val="28"/>
          <w:szCs w:val="28"/>
        </w:rPr>
        <w:t xml:space="preserve">   14、</w:t>
      </w:r>
      <w:r>
        <w:rPr>
          <w:rFonts w:hint="eastAsia" w:ascii="仿宋_GB2312" w:hAnsi="仿宋_GB2312" w:eastAsia="仿宋_GB2312"/>
          <w:bCs/>
          <w:sz w:val="28"/>
          <w:szCs w:val="28"/>
        </w:rPr>
        <w:t>反洗钱相关条款</w:t>
      </w:r>
      <w:bookmarkEnd w:id="31"/>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4</w:t>
      </w:r>
      <w:r>
        <w:rPr>
          <w:rFonts w:hint="eastAsia" w:ascii="仿宋_GB2312" w:hAnsi="宋体" w:eastAsia="仿宋_GB2312"/>
          <w:color w:val="000000"/>
          <w:spacing w:val="6"/>
          <w:sz w:val="28"/>
          <w:szCs w:val="28"/>
        </w:rPr>
        <w:t>.1 甲乙双方共同遵守中华人民共和国反洗钱法律法规，不参与涉嫌洗钱、恐怖融资、扩散融资等违法犯罪活动。</w:t>
      </w:r>
      <w:r>
        <w:rPr>
          <w:rFonts w:ascii="仿宋_GB2312" w:hAnsi="宋体" w:eastAsia="仿宋_GB2312"/>
          <w:color w:val="000000"/>
          <w:spacing w:val="6"/>
          <w:sz w:val="28"/>
          <w:szCs w:val="28"/>
        </w:rPr>
        <w:t>甲乙双方积极开展在反洗钱领域的信息支持与合作，</w:t>
      </w:r>
      <w:r>
        <w:rPr>
          <w:rFonts w:hint="eastAsia" w:ascii="仿宋_GB2312" w:hAnsi="宋体" w:eastAsia="仿宋_GB2312"/>
          <w:color w:val="000000"/>
          <w:spacing w:val="6"/>
          <w:sz w:val="28"/>
          <w:szCs w:val="28"/>
        </w:rPr>
        <w:t>并同时履行反洗钱职责与义务。</w:t>
      </w:r>
    </w:p>
    <w:p>
      <w:pPr>
        <w:pStyle w:val="2"/>
        <w:spacing w:before="40" w:after="120" w:line="580" w:lineRule="exact"/>
        <w:ind w:left="420"/>
        <w:rPr>
          <w:rFonts w:ascii="仿宋_GB2312" w:hAnsi="仿宋_GB2312" w:eastAsia="仿宋_GB2312"/>
          <w:bCs/>
          <w:sz w:val="28"/>
          <w:szCs w:val="28"/>
        </w:rPr>
      </w:pPr>
      <w:bookmarkStart w:id="32" w:name="_Toc856278"/>
      <w:r>
        <w:rPr>
          <w:rFonts w:hint="eastAsia" w:ascii="仿宋_GB2312" w:hAnsi="仿宋_GB2312" w:eastAsia="仿宋_GB2312"/>
          <w:bCs/>
          <w:sz w:val="28"/>
          <w:szCs w:val="28"/>
        </w:rPr>
        <w:t xml:space="preserve"> 1</w:t>
      </w:r>
      <w:r>
        <w:rPr>
          <w:rFonts w:ascii="仿宋_GB2312" w:hAnsi="仿宋_GB2312" w:eastAsia="仿宋_GB2312"/>
          <w:bCs/>
          <w:sz w:val="28"/>
          <w:szCs w:val="28"/>
        </w:rPr>
        <w:t>5</w:t>
      </w:r>
      <w:r>
        <w:rPr>
          <w:rFonts w:hint="eastAsia" w:ascii="仿宋_GB2312" w:hAnsi="仿宋_GB2312" w:eastAsia="仿宋_GB2312"/>
          <w:bCs/>
          <w:sz w:val="28"/>
          <w:szCs w:val="28"/>
        </w:rPr>
        <w:t>、违约责任</w:t>
      </w:r>
      <w:bookmarkEnd w:id="32"/>
    </w:p>
    <w:p>
      <w:pPr>
        <w:spacing w:before="60" w:after="6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5</w:t>
      </w:r>
      <w:r>
        <w:rPr>
          <w:rFonts w:hint="eastAsia" w:ascii="仿宋_GB2312" w:hAnsi="宋体" w:eastAsia="仿宋_GB2312"/>
          <w:color w:val="000000"/>
          <w:spacing w:val="6"/>
          <w:sz w:val="28"/>
          <w:szCs w:val="28"/>
        </w:rPr>
        <w:t>.1由于协议当事人违约，造成本协议不能履行或者不能完全履行的，由违约一方承担违约责任；如当事人均违约的，各自承担应负的责任。</w:t>
      </w:r>
    </w:p>
    <w:p>
      <w:pPr>
        <w:spacing w:before="60" w:after="6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5</w:t>
      </w:r>
      <w:r>
        <w:rPr>
          <w:rFonts w:hint="eastAsia" w:ascii="仿宋_GB2312" w:hAnsi="宋体" w:eastAsia="仿宋_GB2312"/>
          <w:color w:val="000000"/>
          <w:spacing w:val="6"/>
          <w:sz w:val="28"/>
          <w:szCs w:val="28"/>
        </w:rPr>
        <w:t>.2由于不可抗力或意外事故导致无法履行或无法全面履行本合同的，根据不可抗力或意外事故的影响部分或全部免除甲方、乙方的责任。不可抗力是指甲方、乙方不能预见、不能避免、并不能克服的客观情况，包括但不限于自然灾害、法律法规及政策变更、社会政治动乱和战争。意外事故指网络、通讯系统故障以及第三方入侵系统等非甲方、乙方故意或重大过失造成的事件。</w:t>
      </w:r>
    </w:p>
    <w:p>
      <w:pPr>
        <w:spacing w:before="60" w:after="6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5</w:t>
      </w:r>
      <w:r>
        <w:rPr>
          <w:rFonts w:hint="eastAsia" w:ascii="仿宋_GB2312" w:hAnsi="宋体" w:eastAsia="仿宋_GB2312"/>
          <w:color w:val="000000"/>
          <w:spacing w:val="6"/>
          <w:sz w:val="28"/>
          <w:szCs w:val="28"/>
        </w:rPr>
        <w:t>.3 甲方、乙方因不可抗力不能履行本协议时，应及时通知对方并采取适当措施防止损失的扩大，同时在合理期限内提供遭受不可抗力影响的证明。</w:t>
      </w:r>
    </w:p>
    <w:p>
      <w:pPr>
        <w:spacing w:before="60" w:after="6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5</w:t>
      </w:r>
      <w:r>
        <w:rPr>
          <w:rFonts w:hint="eastAsia" w:ascii="仿宋_GB2312" w:hAnsi="宋体" w:eastAsia="仿宋_GB2312"/>
          <w:color w:val="000000"/>
          <w:spacing w:val="6"/>
          <w:sz w:val="28"/>
          <w:szCs w:val="28"/>
        </w:rPr>
        <w:t>.4 本协议所指的损失仅限于直接损失。</w:t>
      </w:r>
    </w:p>
    <w:p>
      <w:pPr>
        <w:spacing w:before="60" w:after="60" w:line="580" w:lineRule="exact"/>
        <w:ind w:firstLine="584" w:firstLineChars="200"/>
        <w:rPr>
          <w:rFonts w:ascii="仿宋_GB2312" w:hAnsi="宋体" w:eastAsia="仿宋_GB2312"/>
          <w:color w:val="000000"/>
          <w:spacing w:val="6"/>
          <w:sz w:val="28"/>
          <w:szCs w:val="28"/>
        </w:rPr>
      </w:pPr>
    </w:p>
    <w:p>
      <w:pPr>
        <w:pStyle w:val="2"/>
        <w:spacing w:before="40" w:after="0" w:line="580" w:lineRule="exact"/>
        <w:ind w:left="584"/>
        <w:rPr>
          <w:rFonts w:ascii="仿宋_GB2312" w:hAnsi="宋体" w:eastAsia="仿宋_GB2312"/>
          <w:sz w:val="28"/>
          <w:szCs w:val="28"/>
        </w:rPr>
      </w:pPr>
      <w:bookmarkStart w:id="33" w:name="_Toc856279"/>
      <w:r>
        <w:rPr>
          <w:rFonts w:hint="eastAsia" w:ascii="仿宋_GB2312" w:hAnsi="宋体" w:eastAsia="仿宋_GB2312"/>
          <w:sz w:val="28"/>
          <w:szCs w:val="28"/>
        </w:rPr>
        <w:t>1</w:t>
      </w:r>
      <w:r>
        <w:rPr>
          <w:rFonts w:ascii="仿宋_GB2312" w:hAnsi="宋体" w:eastAsia="仿宋_GB2312"/>
          <w:sz w:val="28"/>
          <w:szCs w:val="28"/>
        </w:rPr>
        <w:t>6</w:t>
      </w:r>
      <w:r>
        <w:rPr>
          <w:rFonts w:hint="eastAsia" w:ascii="仿宋_GB2312" w:hAnsi="宋体" w:eastAsia="仿宋_GB2312"/>
          <w:sz w:val="28"/>
          <w:szCs w:val="28"/>
        </w:rPr>
        <w:t>、协议的</w:t>
      </w:r>
      <w:bookmarkStart w:id="34" w:name="OLE_LINK4"/>
      <w:r>
        <w:rPr>
          <w:rFonts w:hint="eastAsia" w:ascii="仿宋_GB2312" w:hAnsi="宋体" w:eastAsia="仿宋_GB2312"/>
          <w:sz w:val="28"/>
          <w:szCs w:val="28"/>
        </w:rPr>
        <w:t>适用范围、</w:t>
      </w:r>
      <w:bookmarkEnd w:id="34"/>
      <w:r>
        <w:rPr>
          <w:rFonts w:hint="eastAsia" w:ascii="仿宋_GB2312" w:hAnsi="宋体" w:eastAsia="仿宋_GB2312"/>
          <w:sz w:val="28"/>
          <w:szCs w:val="28"/>
        </w:rPr>
        <w:t>修改、争议的解决及有效期</w:t>
      </w:r>
      <w:bookmarkEnd w:id="33"/>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6</w:t>
      </w:r>
      <w:r>
        <w:rPr>
          <w:rFonts w:hint="eastAsia" w:ascii="仿宋_GB2312" w:hAnsi="宋体" w:eastAsia="仿宋_GB2312"/>
          <w:color w:val="000000"/>
          <w:spacing w:val="6"/>
          <w:sz w:val="28"/>
          <w:szCs w:val="28"/>
        </w:rPr>
        <w:t>.1本协议适用于有效期内甲方发行的理财产品，甲方在产品托管前按约定格式向乙方提交相关产品说明资料（内容包括但不限于期限、规模、费率、投资范围等）。</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6</w:t>
      </w:r>
      <w:r>
        <w:rPr>
          <w:rFonts w:hint="eastAsia" w:ascii="仿宋_GB2312" w:hAnsi="宋体" w:eastAsia="仿宋_GB2312"/>
          <w:color w:val="000000"/>
          <w:spacing w:val="6"/>
          <w:sz w:val="28"/>
          <w:szCs w:val="28"/>
        </w:rPr>
        <w:t>.2本协议未经双方书面同意，不得予以修改。</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6</w:t>
      </w:r>
      <w:r>
        <w:rPr>
          <w:rFonts w:hint="eastAsia" w:ascii="仿宋_GB2312" w:hAnsi="宋体" w:eastAsia="仿宋_GB2312"/>
          <w:color w:val="000000"/>
          <w:spacing w:val="6"/>
          <w:sz w:val="28"/>
          <w:szCs w:val="28"/>
        </w:rPr>
        <w:t>.3本协议的无效或解除，不影响本协议中有关争议解决条款的效力。</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6</w:t>
      </w:r>
      <w:r>
        <w:rPr>
          <w:rFonts w:hint="eastAsia" w:ascii="仿宋_GB2312" w:hAnsi="宋体" w:eastAsia="仿宋_GB2312"/>
          <w:color w:val="000000"/>
          <w:spacing w:val="6"/>
          <w:sz w:val="28"/>
          <w:szCs w:val="28"/>
        </w:rPr>
        <w:t>.4本协议适用中华人民共和国法律。有关协议的任何争议，各方应本着互谅、互让、诚信和务实的原则，共同协商解决，协商不成可选择第</w:t>
      </w:r>
      <w:r>
        <w:rPr>
          <w:rFonts w:hint="eastAsia" w:ascii="仿宋_GB2312" w:hAnsi="宋体" w:eastAsia="仿宋_GB2312"/>
          <w:color w:val="000000"/>
          <w:spacing w:val="6"/>
          <w:sz w:val="28"/>
          <w:szCs w:val="28"/>
          <w:u w:val="single"/>
        </w:rPr>
        <w:t>（1）</w:t>
      </w:r>
      <w:r>
        <w:rPr>
          <w:rFonts w:hint="eastAsia" w:ascii="仿宋_GB2312" w:hAnsi="宋体" w:eastAsia="仿宋_GB2312"/>
          <w:color w:val="000000"/>
          <w:spacing w:val="6"/>
          <w:sz w:val="28"/>
          <w:szCs w:val="28"/>
        </w:rPr>
        <w:t>种方式解决：</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w:t>
      </w:r>
      <w:r>
        <w:rPr>
          <w:rFonts w:ascii="仿宋_GB2312" w:hAnsi="宋体" w:eastAsia="仿宋_GB2312"/>
          <w:color w:val="000000"/>
          <w:spacing w:val="6"/>
          <w:sz w:val="28"/>
          <w:szCs w:val="28"/>
        </w:rPr>
        <w:t>1</w:t>
      </w:r>
      <w:r>
        <w:rPr>
          <w:rFonts w:hint="eastAsia" w:ascii="仿宋_GB2312" w:hAnsi="宋体" w:eastAsia="仿宋_GB2312"/>
          <w:color w:val="000000"/>
          <w:spacing w:val="6"/>
          <w:sz w:val="28"/>
          <w:szCs w:val="28"/>
        </w:rPr>
        <w:t>）提起诉讼，由甲方所在地有管辖权</w:t>
      </w:r>
      <w:r>
        <w:rPr>
          <w:rFonts w:ascii="仿宋_GB2312" w:hAnsi="宋体" w:eastAsia="仿宋_GB2312"/>
          <w:color w:val="000000"/>
          <w:spacing w:val="6"/>
          <w:sz w:val="28"/>
          <w:szCs w:val="28"/>
        </w:rPr>
        <w:t>的</w:t>
      </w:r>
      <w:r>
        <w:rPr>
          <w:rFonts w:hint="eastAsia" w:ascii="仿宋_GB2312" w:hAnsi="宋体" w:eastAsia="仿宋_GB2312"/>
          <w:color w:val="000000"/>
          <w:spacing w:val="6"/>
          <w:sz w:val="28"/>
          <w:szCs w:val="28"/>
        </w:rPr>
        <w:t>人民法院管辖。</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w:t>
      </w:r>
      <w:r>
        <w:rPr>
          <w:rFonts w:ascii="仿宋_GB2312" w:hAnsi="宋体" w:eastAsia="仿宋_GB2312"/>
          <w:color w:val="000000"/>
          <w:spacing w:val="6"/>
          <w:sz w:val="28"/>
          <w:szCs w:val="28"/>
        </w:rPr>
        <w:t>2</w:t>
      </w:r>
      <w:r>
        <w:rPr>
          <w:rFonts w:hint="eastAsia" w:ascii="仿宋_GB2312" w:hAnsi="宋体" w:eastAsia="仿宋_GB2312"/>
          <w:color w:val="000000"/>
          <w:spacing w:val="6"/>
          <w:sz w:val="28"/>
          <w:szCs w:val="28"/>
        </w:rPr>
        <w:t>）任何一方均有权将争议提交</w:t>
      </w:r>
      <w:r>
        <w:rPr>
          <w:rFonts w:hint="eastAsia" w:ascii="仿宋_GB2312" w:hAnsi="宋体" w:eastAsia="仿宋_GB2312"/>
          <w:color w:val="000000"/>
          <w:spacing w:val="6"/>
          <w:sz w:val="28"/>
          <w:szCs w:val="28"/>
          <w:lang w:eastAsia="zh-CN"/>
        </w:rPr>
        <w:t>郑州</w:t>
      </w:r>
      <w:r>
        <w:rPr>
          <w:rFonts w:hint="eastAsia" w:ascii="仿宋_GB2312" w:hAnsi="宋体" w:eastAsia="仿宋_GB2312"/>
          <w:color w:val="000000"/>
          <w:spacing w:val="6"/>
          <w:sz w:val="28"/>
          <w:szCs w:val="28"/>
        </w:rPr>
        <w:t>仲裁委员会，按照该会届时有效的仲裁规则进行仲裁。仲裁地点为河南郑州。仲裁裁决是终局的，对当事人均有约束力。除非仲裁裁决另有决定，仲裁费用由败诉方承担。</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6</w:t>
      </w:r>
      <w:r>
        <w:rPr>
          <w:rFonts w:hint="eastAsia" w:ascii="仿宋_GB2312" w:hAnsi="宋体" w:eastAsia="仿宋_GB2312"/>
          <w:color w:val="000000"/>
          <w:spacing w:val="6"/>
          <w:sz w:val="28"/>
          <w:szCs w:val="28"/>
        </w:rPr>
        <w:t>.5本协议自双方法定代表人或授权代表人签字（或签章）并加盖公章或</w:t>
      </w:r>
      <w:r>
        <w:rPr>
          <w:rFonts w:ascii="仿宋_GB2312" w:hAnsi="宋体" w:eastAsia="仿宋_GB2312"/>
          <w:color w:val="000000"/>
          <w:spacing w:val="6"/>
          <w:sz w:val="28"/>
          <w:szCs w:val="28"/>
        </w:rPr>
        <w:t>合同专用章</w:t>
      </w:r>
      <w:r>
        <w:rPr>
          <w:rFonts w:hint="eastAsia" w:ascii="仿宋_GB2312" w:hAnsi="宋体" w:eastAsia="仿宋_GB2312"/>
          <w:color w:val="000000"/>
          <w:spacing w:val="6"/>
          <w:sz w:val="28"/>
          <w:szCs w:val="28"/>
        </w:rPr>
        <w:t>之日起生效，本协议自生效之日起三年有效，在协议到期前三十日之前，如果任何一方没有书面异议，则本协议有效期自动顺延三年，</w:t>
      </w:r>
      <w:r>
        <w:rPr>
          <w:rFonts w:ascii="仿宋_GB2312" w:hAnsi="宋体" w:eastAsia="仿宋_GB2312"/>
          <w:color w:val="000000"/>
          <w:spacing w:val="6"/>
          <w:sz w:val="28"/>
          <w:szCs w:val="28"/>
        </w:rPr>
        <w:t>顺延次数不限</w:t>
      </w:r>
      <w:r>
        <w:rPr>
          <w:rFonts w:hint="eastAsia" w:ascii="仿宋_GB2312" w:hAnsi="宋体" w:eastAsia="仿宋_GB2312"/>
          <w:color w:val="000000"/>
          <w:spacing w:val="6"/>
          <w:sz w:val="28"/>
          <w:szCs w:val="28"/>
        </w:rPr>
        <w:t>。</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6</w:t>
      </w:r>
      <w:r>
        <w:rPr>
          <w:rFonts w:hint="eastAsia" w:ascii="仿宋_GB2312" w:hAnsi="宋体" w:eastAsia="仿宋_GB2312"/>
          <w:color w:val="000000"/>
          <w:spacing w:val="6"/>
          <w:sz w:val="28"/>
          <w:szCs w:val="28"/>
        </w:rPr>
        <w:t>.6如本协议终止时，尚有部分理财产品未到期，则按以下约定处理：</w:t>
      </w:r>
    </w:p>
    <w:p>
      <w:pPr>
        <w:spacing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w:t>
      </w:r>
      <w:r>
        <w:rPr>
          <w:rFonts w:ascii="仿宋_GB2312" w:hAnsi="宋体" w:eastAsia="仿宋_GB2312"/>
          <w:color w:val="000000"/>
          <w:spacing w:val="6"/>
          <w:sz w:val="28"/>
          <w:szCs w:val="28"/>
        </w:rPr>
        <w:t>1</w:t>
      </w:r>
      <w:r>
        <w:rPr>
          <w:rFonts w:hint="eastAsia" w:ascii="仿宋_GB2312" w:hAnsi="宋体" w:eastAsia="仿宋_GB2312"/>
          <w:color w:val="000000"/>
          <w:spacing w:val="6"/>
          <w:sz w:val="28"/>
          <w:szCs w:val="28"/>
        </w:rPr>
        <w:t>）乙方有权按照本协议约定对上述理财产品继续履行托管职责，并享有相关权利，直至产品终止；</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w:t>
      </w:r>
      <w:r>
        <w:rPr>
          <w:rFonts w:ascii="仿宋_GB2312" w:hAnsi="宋体" w:eastAsia="仿宋_GB2312"/>
          <w:color w:val="000000"/>
          <w:spacing w:val="6"/>
          <w:sz w:val="28"/>
          <w:szCs w:val="28"/>
        </w:rPr>
        <w:t>2</w:t>
      </w:r>
      <w:r>
        <w:rPr>
          <w:rFonts w:hint="eastAsia" w:ascii="仿宋_GB2312" w:hAnsi="宋体" w:eastAsia="仿宋_GB2312"/>
          <w:color w:val="000000"/>
          <w:spacing w:val="6"/>
          <w:sz w:val="28"/>
          <w:szCs w:val="28"/>
        </w:rPr>
        <w:t>）如乙方丧失托管资质或拒绝继续托管相关产品，甲方有权在本协议终止之日起15日内变更托管人，在办理托管业务的移交手续前，乙方按照本协议内容继续履行托管责任，享有本协议项下权利。</w:t>
      </w:r>
    </w:p>
    <w:p>
      <w:pPr>
        <w:spacing w:before="40" w:line="580" w:lineRule="exact"/>
        <w:ind w:firstLine="584" w:firstLineChars="200"/>
        <w:rPr>
          <w:rFonts w:ascii="仿宋_GB2312" w:hAnsi="宋体" w:eastAsia="仿宋_GB2312"/>
          <w:color w:val="000000"/>
          <w:spacing w:val="6"/>
          <w:sz w:val="28"/>
          <w:szCs w:val="28"/>
        </w:rPr>
      </w:pPr>
      <w:r>
        <w:rPr>
          <w:rFonts w:hint="eastAsia" w:ascii="仿宋_GB2312" w:hAnsi="宋体" w:eastAsia="仿宋_GB2312"/>
          <w:color w:val="000000"/>
          <w:spacing w:val="6"/>
          <w:sz w:val="28"/>
          <w:szCs w:val="28"/>
        </w:rPr>
        <w:t>1</w:t>
      </w:r>
      <w:r>
        <w:rPr>
          <w:rFonts w:ascii="仿宋_GB2312" w:hAnsi="宋体" w:eastAsia="仿宋_GB2312"/>
          <w:color w:val="000000"/>
          <w:spacing w:val="6"/>
          <w:sz w:val="28"/>
          <w:szCs w:val="28"/>
        </w:rPr>
        <w:t>6</w:t>
      </w:r>
      <w:r>
        <w:rPr>
          <w:rFonts w:hint="eastAsia" w:ascii="仿宋_GB2312" w:hAnsi="宋体" w:eastAsia="仿宋_GB2312"/>
          <w:color w:val="000000"/>
          <w:spacing w:val="6"/>
          <w:sz w:val="28"/>
          <w:szCs w:val="28"/>
        </w:rPr>
        <w:t>.7本协议一式四份，双方各执两份，具有同等法律效力。</w:t>
      </w:r>
    </w:p>
    <w:p>
      <w:pPr>
        <w:spacing w:before="40" w:line="580" w:lineRule="exact"/>
        <w:outlineLvl w:val="9"/>
        <w:rPr>
          <w:rFonts w:ascii="仿宋_GB2312" w:eastAsia="仿宋_GB2312"/>
          <w:b/>
          <w:color w:val="000000"/>
          <w:sz w:val="28"/>
        </w:rPr>
      </w:pPr>
      <w:r>
        <w:rPr>
          <w:rFonts w:hint="eastAsia" w:ascii="仿宋_GB2312" w:hAnsi="宋体" w:eastAsia="仿宋_GB2312"/>
          <w:color w:val="000000"/>
          <w:spacing w:val="6"/>
          <w:sz w:val="28"/>
          <w:szCs w:val="28"/>
        </w:rPr>
        <w:t xml:space="preserve">    （以下</w:t>
      </w:r>
      <w:r>
        <w:rPr>
          <w:rFonts w:ascii="仿宋_GB2312" w:hAnsi="宋体" w:eastAsia="仿宋_GB2312"/>
          <w:color w:val="000000"/>
          <w:spacing w:val="6"/>
          <w:sz w:val="28"/>
          <w:szCs w:val="28"/>
        </w:rPr>
        <w:t>无正文</w:t>
      </w:r>
      <w:r>
        <w:rPr>
          <w:rFonts w:hint="eastAsia" w:ascii="仿宋_GB2312" w:hAnsi="宋体" w:eastAsia="仿宋_GB2312"/>
          <w:color w:val="000000"/>
          <w:spacing w:val="6"/>
          <w:sz w:val="28"/>
          <w:szCs w:val="28"/>
        </w:rPr>
        <w:t>）</w:t>
      </w:r>
      <w:r>
        <w:rPr>
          <w:rFonts w:ascii="仿宋_GB2312" w:eastAsia="仿宋_GB2312"/>
          <w:b/>
          <w:color w:val="000000"/>
          <w:sz w:val="28"/>
        </w:rPr>
        <w:br w:type="page"/>
      </w:r>
      <w:r>
        <w:rPr>
          <w:rFonts w:hint="eastAsia" w:ascii="仿宋_GB2312" w:eastAsia="仿宋_GB2312"/>
          <w:b/>
          <w:color w:val="000000"/>
          <w:sz w:val="28"/>
        </w:rPr>
        <w:t>（本页为中信银行股份有限公司郑州分行与中原银行订立的编号为</w:t>
      </w:r>
      <w:r>
        <w:rPr>
          <w:rFonts w:hint="eastAsia" w:ascii="宋体" w:hAnsi="宋体"/>
          <w:b/>
          <w:color w:val="000000"/>
          <w:kern w:val="0"/>
          <w:sz w:val="32"/>
          <w:szCs w:val="32"/>
        </w:rPr>
        <w:t xml:space="preserve">ZYZCGL20         </w:t>
      </w:r>
      <w:r>
        <w:rPr>
          <w:rFonts w:hint="eastAsia" w:ascii="仿宋_GB2312" w:eastAsia="仿宋_GB2312"/>
          <w:b/>
          <w:color w:val="000000"/>
          <w:sz w:val="28"/>
        </w:rPr>
        <w:t>的《中原银行鼎盛财富季季盈定期开放净值型理财产品（A款）托管协议》协议的签署页，此页无正文）</w:t>
      </w:r>
    </w:p>
    <w:p>
      <w:pPr>
        <w:spacing w:before="40" w:line="580" w:lineRule="exact"/>
        <w:ind w:firstLine="1124" w:firstLineChars="400"/>
        <w:outlineLvl w:val="0"/>
        <w:rPr>
          <w:rFonts w:ascii="仿宋_GB2312" w:eastAsia="仿宋_GB2312"/>
          <w:b/>
          <w:color w:val="000000"/>
          <w:sz w:val="28"/>
        </w:rPr>
      </w:pPr>
    </w:p>
    <w:p>
      <w:pPr>
        <w:spacing w:before="40" w:line="580" w:lineRule="exact"/>
        <w:ind w:firstLine="1124" w:firstLineChars="400"/>
        <w:outlineLvl w:val="0"/>
        <w:rPr>
          <w:rFonts w:ascii="仿宋_GB2312" w:eastAsia="仿宋_GB2312"/>
          <w:b/>
          <w:color w:val="000000"/>
          <w:sz w:val="28"/>
        </w:rPr>
      </w:pPr>
      <w:r>
        <w:rPr>
          <w:rFonts w:hint="eastAsia" w:ascii="仿宋_GB2312" w:eastAsia="仿宋_GB2312"/>
          <w:b/>
          <w:color w:val="000000"/>
          <w:sz w:val="28"/>
        </w:rPr>
        <w:t>甲方（公章或</w:t>
      </w:r>
      <w:r>
        <w:rPr>
          <w:rFonts w:ascii="仿宋_GB2312" w:eastAsia="仿宋_GB2312"/>
          <w:b/>
          <w:color w:val="000000"/>
          <w:sz w:val="28"/>
        </w:rPr>
        <w:t>合同专用章</w:t>
      </w:r>
      <w:r>
        <w:rPr>
          <w:rFonts w:hint="eastAsia" w:ascii="仿宋_GB2312" w:eastAsia="仿宋_GB2312"/>
          <w:b/>
          <w:color w:val="000000"/>
          <w:sz w:val="28"/>
        </w:rPr>
        <w:t>）：</w:t>
      </w:r>
    </w:p>
    <w:p>
      <w:pPr>
        <w:spacing w:before="40" w:line="580" w:lineRule="exact"/>
        <w:ind w:firstLine="562" w:firstLineChars="200"/>
        <w:outlineLvl w:val="0"/>
        <w:rPr>
          <w:rFonts w:ascii="仿宋_GB2312" w:eastAsia="仿宋_GB2312"/>
          <w:b/>
          <w:color w:val="000000"/>
          <w:sz w:val="28"/>
        </w:rPr>
      </w:pPr>
    </w:p>
    <w:p>
      <w:pPr>
        <w:spacing w:before="40" w:line="580" w:lineRule="exact"/>
        <w:ind w:firstLine="1124" w:firstLineChars="400"/>
        <w:outlineLvl w:val="0"/>
        <w:rPr>
          <w:rFonts w:ascii="仿宋_GB2312" w:eastAsia="仿宋_GB2312"/>
          <w:b/>
          <w:color w:val="000000"/>
          <w:sz w:val="28"/>
        </w:rPr>
      </w:pPr>
      <w:r>
        <w:rPr>
          <w:rFonts w:hint="eastAsia" w:ascii="仿宋_GB2312" w:eastAsia="仿宋_GB2312"/>
          <w:b/>
          <w:color w:val="000000"/>
          <w:sz w:val="28"/>
        </w:rPr>
        <w:t>法定代表人（或授权代表人）：</w:t>
      </w:r>
    </w:p>
    <w:p>
      <w:pPr>
        <w:spacing w:before="40" w:line="580" w:lineRule="exact"/>
        <w:ind w:firstLine="562" w:firstLineChars="200"/>
        <w:outlineLvl w:val="0"/>
        <w:rPr>
          <w:rFonts w:ascii="仿宋_GB2312" w:eastAsia="仿宋_GB2312"/>
          <w:b/>
          <w:color w:val="000000"/>
          <w:sz w:val="28"/>
        </w:rPr>
      </w:pPr>
    </w:p>
    <w:p>
      <w:pPr>
        <w:spacing w:before="40" w:line="580" w:lineRule="exact"/>
        <w:ind w:firstLine="1116" w:firstLineChars="397"/>
        <w:outlineLvl w:val="0"/>
        <w:rPr>
          <w:rFonts w:ascii="仿宋_GB2312" w:eastAsia="仿宋_GB2312"/>
          <w:b/>
          <w:color w:val="000000"/>
          <w:sz w:val="28"/>
        </w:rPr>
      </w:pPr>
      <w:r>
        <w:rPr>
          <w:rFonts w:hint="eastAsia" w:ascii="仿宋_GB2312" w:eastAsia="仿宋_GB2312"/>
          <w:b/>
          <w:color w:val="000000"/>
          <w:sz w:val="28"/>
        </w:rPr>
        <w:t xml:space="preserve">   年   月    日</w:t>
      </w:r>
    </w:p>
    <w:p>
      <w:pPr>
        <w:spacing w:before="40" w:line="580" w:lineRule="exact"/>
        <w:ind w:firstLine="562" w:firstLineChars="200"/>
        <w:outlineLvl w:val="0"/>
        <w:rPr>
          <w:rFonts w:ascii="仿宋_GB2312" w:eastAsia="仿宋_GB2312"/>
          <w:b/>
          <w:color w:val="000000"/>
          <w:sz w:val="28"/>
        </w:rPr>
      </w:pPr>
    </w:p>
    <w:p>
      <w:pPr>
        <w:spacing w:before="40" w:line="580" w:lineRule="exact"/>
        <w:ind w:firstLine="562" w:firstLineChars="200"/>
        <w:outlineLvl w:val="0"/>
        <w:rPr>
          <w:rFonts w:ascii="仿宋_GB2312" w:eastAsia="仿宋_GB2312"/>
          <w:b/>
          <w:color w:val="000000"/>
          <w:sz w:val="28"/>
        </w:rPr>
      </w:pPr>
    </w:p>
    <w:p>
      <w:pPr>
        <w:spacing w:before="40" w:line="580" w:lineRule="exact"/>
        <w:ind w:firstLine="562" w:firstLineChars="200"/>
        <w:outlineLvl w:val="0"/>
        <w:rPr>
          <w:rFonts w:ascii="仿宋_GB2312" w:eastAsia="仿宋_GB2312"/>
          <w:b/>
          <w:color w:val="000000"/>
          <w:sz w:val="28"/>
        </w:rPr>
      </w:pPr>
    </w:p>
    <w:p>
      <w:pPr>
        <w:spacing w:before="40" w:line="580" w:lineRule="exact"/>
        <w:ind w:firstLine="1124" w:firstLineChars="400"/>
        <w:outlineLvl w:val="0"/>
        <w:rPr>
          <w:rFonts w:ascii="仿宋_GB2312" w:eastAsia="仿宋_GB2312"/>
          <w:b/>
          <w:color w:val="000000"/>
          <w:sz w:val="28"/>
        </w:rPr>
      </w:pPr>
      <w:r>
        <w:rPr>
          <w:rFonts w:hint="eastAsia" w:ascii="仿宋_GB2312" w:eastAsia="仿宋_GB2312"/>
          <w:b/>
          <w:color w:val="000000"/>
          <w:sz w:val="28"/>
        </w:rPr>
        <w:t>乙方（公章或</w:t>
      </w:r>
      <w:r>
        <w:rPr>
          <w:rFonts w:ascii="仿宋_GB2312" w:eastAsia="仿宋_GB2312"/>
          <w:b/>
          <w:color w:val="000000"/>
          <w:sz w:val="28"/>
        </w:rPr>
        <w:t>合同专用章</w:t>
      </w:r>
      <w:r>
        <w:rPr>
          <w:rFonts w:hint="eastAsia" w:ascii="仿宋_GB2312" w:eastAsia="仿宋_GB2312"/>
          <w:b/>
          <w:color w:val="000000"/>
          <w:sz w:val="28"/>
        </w:rPr>
        <w:t>）：</w:t>
      </w:r>
    </w:p>
    <w:p>
      <w:pPr>
        <w:spacing w:before="40" w:line="580" w:lineRule="exact"/>
        <w:ind w:firstLine="562" w:firstLineChars="200"/>
        <w:outlineLvl w:val="0"/>
        <w:rPr>
          <w:rFonts w:ascii="仿宋_GB2312" w:eastAsia="仿宋_GB2312"/>
          <w:b/>
          <w:color w:val="000000"/>
          <w:sz w:val="28"/>
        </w:rPr>
      </w:pPr>
    </w:p>
    <w:p>
      <w:pPr>
        <w:spacing w:before="40" w:line="580" w:lineRule="exact"/>
        <w:ind w:firstLine="1124" w:firstLineChars="400"/>
        <w:outlineLvl w:val="0"/>
        <w:rPr>
          <w:rFonts w:ascii="仿宋_GB2312" w:eastAsia="仿宋_GB2312"/>
          <w:b/>
          <w:color w:val="000000"/>
          <w:sz w:val="28"/>
        </w:rPr>
      </w:pPr>
      <w:r>
        <w:rPr>
          <w:rFonts w:hint="eastAsia" w:ascii="仿宋_GB2312" w:eastAsia="仿宋_GB2312"/>
          <w:b/>
          <w:color w:val="000000"/>
          <w:sz w:val="28"/>
        </w:rPr>
        <w:t>法定代表人</w:t>
      </w:r>
      <w:r>
        <w:rPr>
          <w:rFonts w:hint="eastAsia" w:ascii="仿宋_GB2312" w:eastAsia="仿宋_GB2312"/>
          <w:b/>
          <w:color w:val="000000"/>
          <w:sz w:val="28"/>
          <w:lang w:val="en-US" w:eastAsia="zh-CN"/>
        </w:rPr>
        <w:t>/负责人</w:t>
      </w:r>
      <w:r>
        <w:rPr>
          <w:rFonts w:hint="eastAsia" w:ascii="仿宋_GB2312" w:eastAsia="仿宋_GB2312"/>
          <w:b/>
          <w:color w:val="000000"/>
          <w:sz w:val="28"/>
        </w:rPr>
        <w:t>（或授权代表人）：</w:t>
      </w:r>
    </w:p>
    <w:p>
      <w:pPr>
        <w:spacing w:before="40" w:line="580" w:lineRule="exact"/>
        <w:ind w:firstLine="562" w:firstLineChars="200"/>
        <w:outlineLvl w:val="0"/>
        <w:rPr>
          <w:rFonts w:ascii="仿宋_GB2312" w:eastAsia="仿宋_GB2312"/>
          <w:b/>
          <w:color w:val="000000"/>
          <w:sz w:val="28"/>
        </w:rPr>
      </w:pPr>
    </w:p>
    <w:p>
      <w:pPr>
        <w:spacing w:before="40" w:line="580" w:lineRule="exact"/>
        <w:ind w:firstLine="1124" w:firstLineChars="400"/>
        <w:outlineLvl w:val="0"/>
        <w:rPr>
          <w:rFonts w:ascii="仿宋_GB2312" w:hAnsi="宋体" w:eastAsia="仿宋_GB2312"/>
          <w:sz w:val="28"/>
        </w:rPr>
      </w:pPr>
      <w:r>
        <w:rPr>
          <w:rFonts w:hint="eastAsia" w:ascii="仿宋_GB2312" w:eastAsia="仿宋_GB2312"/>
          <w:b/>
          <w:color w:val="000000"/>
          <w:sz w:val="28"/>
        </w:rPr>
        <w:t xml:space="preserve">    年   月    日</w:t>
      </w:r>
    </w:p>
    <w:p>
      <w:pPr>
        <w:spacing w:line="360" w:lineRule="auto"/>
        <w:ind w:firstLine="560" w:firstLineChars="200"/>
        <w:rPr>
          <w:rFonts w:ascii="仿宋_GB2312" w:hAnsi="仿宋_GB2312" w:eastAsia="仿宋_GB2312"/>
          <w:b/>
          <w:sz w:val="28"/>
          <w:szCs w:val="28"/>
        </w:rPr>
      </w:pPr>
      <w:r>
        <w:rPr>
          <w:rFonts w:ascii="仿宋_GB2312" w:eastAsia="仿宋_GB2312"/>
          <w:sz w:val="28"/>
        </w:rPr>
        <w:br w:type="page"/>
      </w:r>
      <w:r>
        <w:rPr>
          <w:rFonts w:hint="eastAsia" w:ascii="仿宋_GB2312" w:hAnsi="仿宋_GB2312" w:eastAsia="仿宋_GB2312"/>
          <w:b/>
          <w:sz w:val="28"/>
          <w:szCs w:val="28"/>
        </w:rPr>
        <w:t>附件一：</w:t>
      </w:r>
    </w:p>
    <w:p>
      <w:pPr>
        <w:spacing w:line="360" w:lineRule="auto"/>
        <w:ind w:firstLine="275" w:firstLineChars="98"/>
        <w:jc w:val="center"/>
        <w:rPr>
          <w:rFonts w:ascii="仿宋_GB2312" w:hAnsi="仿宋_GB2312" w:eastAsia="仿宋_GB2312"/>
          <w:b/>
          <w:sz w:val="28"/>
          <w:szCs w:val="28"/>
        </w:rPr>
      </w:pPr>
      <w:r>
        <w:rPr>
          <w:rFonts w:hint="eastAsia" w:ascii="仿宋_GB2312" w:hAnsi="仿宋_GB2312" w:eastAsia="仿宋_GB2312"/>
          <w:b/>
          <w:sz w:val="28"/>
          <w:szCs w:val="28"/>
        </w:rPr>
        <w:t>中原银行理财产品资金划拨指定银行存款账户</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理财产品托管账户</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 xml:space="preserve">户    名： </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账    号：</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开户银行：</w:t>
      </w:r>
      <w:r>
        <w:rPr>
          <w:rFonts w:ascii="仿宋_GB2312" w:hAnsi="仿宋_GB2312" w:eastAsia="仿宋_GB2312"/>
          <w:sz w:val="28"/>
          <w:szCs w:val="28"/>
        </w:rPr>
        <w:t xml:space="preserve"> </w:t>
      </w:r>
    </w:p>
    <w:p>
      <w:pPr>
        <w:spacing w:line="580" w:lineRule="exact"/>
        <w:ind w:firstLine="560" w:firstLineChars="200"/>
        <w:rPr>
          <w:rFonts w:ascii="仿宋_GB2312" w:hAnsi="仿宋_GB2312" w:eastAsia="仿宋_GB2312"/>
          <w:sz w:val="28"/>
          <w:szCs w:val="28"/>
        </w:rPr>
      </w:pP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托管费收入账户</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户    名：</w:t>
      </w:r>
      <w:r>
        <w:rPr>
          <w:rFonts w:ascii="仿宋_GB2312" w:hAnsi="仿宋_GB2312" w:eastAsia="仿宋_GB2312"/>
          <w:sz w:val="28"/>
          <w:szCs w:val="28"/>
        </w:rPr>
        <w:t xml:space="preserve"> </w:t>
      </w:r>
      <w:r>
        <w:rPr>
          <w:rFonts w:hint="eastAsia" w:ascii="仿宋_GB2312" w:hAnsi="仿宋_GB2312" w:eastAsia="仿宋_GB2312"/>
          <w:sz w:val="28"/>
          <w:szCs w:val="28"/>
        </w:rPr>
        <w:t>处理收益款项－待处理托管业务收益款项</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账    号：</w:t>
      </w:r>
      <w:r>
        <w:rPr>
          <w:rFonts w:hint="eastAsia" w:ascii="仿宋_GB2312" w:hAnsi="仿宋_GB2312" w:eastAsia="仿宋_GB2312"/>
          <w:sz w:val="28"/>
          <w:szCs w:val="28"/>
        </w:rPr>
        <w:tab/>
      </w:r>
      <w:r>
        <w:rPr>
          <w:rFonts w:hint="eastAsia" w:ascii="仿宋_GB2312" w:hAnsi="仿宋_GB2312" w:eastAsia="仿宋_GB2312"/>
          <w:sz w:val="28"/>
          <w:szCs w:val="28"/>
        </w:rPr>
        <w:t>7392010127322000101</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开户银行： 中信银行郑州分行</w:t>
      </w:r>
    </w:p>
    <w:p>
      <w:pPr>
        <w:spacing w:line="580" w:lineRule="exact"/>
        <w:ind w:firstLine="560" w:firstLineChars="200"/>
        <w:rPr>
          <w:rFonts w:ascii="仿宋_GB2312" w:hAnsi="仿宋_GB2312" w:eastAsia="仿宋_GB2312"/>
          <w:sz w:val="28"/>
          <w:szCs w:val="28"/>
        </w:rPr>
      </w:pP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理财产品资金归集账户</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 xml:space="preserve">户    名： </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 xml:space="preserve">账    号： </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 xml:space="preserve">开户银行： </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大额支付行号：</w:t>
      </w:r>
    </w:p>
    <w:p>
      <w:pPr>
        <w:spacing w:line="580" w:lineRule="exact"/>
        <w:ind w:firstLine="560" w:firstLineChars="200"/>
        <w:rPr>
          <w:rFonts w:ascii="仿宋_GB2312" w:hAnsi="仿宋_GB2312" w:eastAsia="仿宋_GB2312"/>
          <w:sz w:val="28"/>
          <w:szCs w:val="28"/>
        </w:rPr>
      </w:pP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管理费收入账户</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 xml:space="preserve">户    名： </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账    号：</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开户银行：</w:t>
      </w:r>
    </w:p>
    <w:p>
      <w:pPr>
        <w:spacing w:line="5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大额支付行号：</w:t>
      </w:r>
    </w:p>
    <w:p>
      <w:pPr>
        <w:rPr>
          <w:rFonts w:ascii="仿宋_GB2312" w:hAnsi="宋体" w:eastAsia="仿宋_GB2312"/>
          <w:b/>
          <w:sz w:val="28"/>
          <w:szCs w:val="28"/>
        </w:rPr>
      </w:pPr>
    </w:p>
    <w:p>
      <w:pPr>
        <w:tabs>
          <w:tab w:val="left" w:pos="6090"/>
        </w:tabs>
        <w:spacing w:line="360" w:lineRule="auto"/>
        <w:jc w:val="left"/>
        <w:rPr>
          <w:b/>
          <w:bCs/>
          <w:sz w:val="30"/>
        </w:rPr>
      </w:pPr>
      <w:bookmarkStart w:id="35" w:name="_附件二：乙方划款指令"/>
      <w:bookmarkEnd w:id="35"/>
      <w:r>
        <w:rPr>
          <w:rFonts w:hint="eastAsia"/>
          <w:b/>
          <w:bCs/>
          <w:sz w:val="30"/>
        </w:rPr>
        <w:t>附件二</w:t>
      </w:r>
      <w:r>
        <w:rPr>
          <w:b/>
          <w:bCs/>
          <w:sz w:val="30"/>
        </w:rPr>
        <w:t>：</w:t>
      </w:r>
    </w:p>
    <w:p>
      <w:pPr>
        <w:tabs>
          <w:tab w:val="left" w:pos="6090"/>
        </w:tabs>
        <w:spacing w:line="360" w:lineRule="auto"/>
        <w:jc w:val="center"/>
        <w:rPr>
          <w:b/>
          <w:bCs/>
          <w:sz w:val="30"/>
        </w:rPr>
      </w:pPr>
      <w:r>
        <w:rPr>
          <w:rFonts w:hint="eastAsia"/>
          <w:b/>
          <w:bCs/>
          <w:sz w:val="30"/>
        </w:rPr>
        <w:t>“中原银行鼎盛财富季季盈定期开放净值型理财产品</w:t>
      </w:r>
      <w:r>
        <w:rPr>
          <w:rFonts w:hint="eastAsia"/>
          <w:b/>
          <w:bCs/>
          <w:sz w:val="30"/>
          <w:lang w:eastAsia="zh-CN"/>
        </w:rPr>
        <w:t>（</w:t>
      </w:r>
      <w:r>
        <w:rPr>
          <w:rFonts w:hint="eastAsia"/>
          <w:b/>
          <w:bCs/>
          <w:sz w:val="30"/>
          <w:lang w:val="en-US" w:eastAsia="zh-CN"/>
        </w:rPr>
        <w:t>A款）</w:t>
      </w:r>
      <w:r>
        <w:rPr>
          <w:rFonts w:hint="eastAsia"/>
          <w:b/>
          <w:bCs/>
          <w:sz w:val="30"/>
        </w:rPr>
        <w:t>”</w:t>
      </w:r>
    </w:p>
    <w:p>
      <w:pPr>
        <w:tabs>
          <w:tab w:val="left" w:pos="6090"/>
        </w:tabs>
        <w:spacing w:line="360" w:lineRule="auto"/>
        <w:jc w:val="center"/>
        <w:rPr>
          <w:b/>
          <w:bCs/>
          <w:sz w:val="30"/>
        </w:rPr>
      </w:pPr>
      <w:r>
        <w:rPr>
          <w:rFonts w:hint="eastAsia"/>
          <w:b/>
          <w:bCs/>
          <w:sz w:val="30"/>
        </w:rPr>
        <w:t>划款指令</w:t>
      </w:r>
    </w:p>
    <w:p>
      <w:pPr>
        <w:spacing w:line="360" w:lineRule="auto"/>
        <w:jc w:val="center"/>
      </w:pPr>
      <w:r>
        <w:rPr>
          <w:rFonts w:hint="eastAsia"/>
        </w:rPr>
        <w:t>年  月  日</w:t>
      </w:r>
    </w:p>
    <w:p>
      <w:pPr>
        <w:spacing w:line="360" w:lineRule="auto"/>
        <w:rPr>
          <w:b/>
          <w:bCs/>
        </w:rPr>
      </w:pPr>
      <w:r>
        <w:rPr>
          <w:rFonts w:hint="eastAsia"/>
        </w:rPr>
        <w:t xml:space="preserve">                                                                 编 号： </w:t>
      </w:r>
    </w:p>
    <w:p>
      <w:pPr>
        <w:spacing w:line="360" w:lineRule="auto"/>
        <w:rPr>
          <w:bCs/>
          <w:szCs w:val="21"/>
        </w:rPr>
      </w:pPr>
      <w:r>
        <w:rPr>
          <w:rFonts w:hint="eastAsia"/>
        </w:rPr>
        <w:t>付款方名称：</w:t>
      </w:r>
      <w:r>
        <w:rPr>
          <w:rFonts w:hint="eastAsia"/>
          <w:bCs/>
          <w:szCs w:val="21"/>
        </w:rPr>
        <w:t xml:space="preserve">  </w:t>
      </w:r>
    </w:p>
    <w:p>
      <w:pPr>
        <w:spacing w:line="360" w:lineRule="auto"/>
      </w:pPr>
      <w:r>
        <w:rPr>
          <w:rFonts w:hint="eastAsia"/>
        </w:rPr>
        <w:t>付款方账号：</w:t>
      </w:r>
      <w:r>
        <w:rPr>
          <w:rFonts w:hint="eastAsia"/>
          <w:bCs/>
          <w:szCs w:val="21"/>
        </w:rPr>
        <w:t xml:space="preserve">                        </w:t>
      </w:r>
      <w:r>
        <w:rPr>
          <w:rFonts w:hint="eastAsia"/>
          <w:b/>
          <w:bCs/>
        </w:rPr>
        <w:t xml:space="preserve">  </w:t>
      </w:r>
      <w:r>
        <w:rPr>
          <w:rFonts w:hint="eastAsia"/>
        </w:rPr>
        <w:t xml:space="preserve">     </w:t>
      </w:r>
      <w:r>
        <w:t xml:space="preserve">         </w:t>
      </w:r>
      <w:r>
        <w:rPr>
          <w:rFonts w:hint="eastAsia"/>
        </w:rPr>
        <w:t xml:space="preserve">   页 数：</w:t>
      </w:r>
      <w:r>
        <w:rPr>
          <w:rFonts w:hint="eastAsia"/>
          <w:b/>
          <w:bCs/>
        </w:rPr>
        <w:t>第  页 ，共  页</w:t>
      </w:r>
      <w:r>
        <w:rPr>
          <w:rFonts w:hint="eastAsia"/>
        </w:rPr>
        <w:t xml:space="preserve"> </w:t>
      </w:r>
    </w:p>
    <w:tbl>
      <w:tblPr>
        <w:tblStyle w:val="17"/>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8"/>
        <w:gridCol w:w="234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522" w:type="dxa"/>
            <w:gridSpan w:val="3"/>
            <w:vAlign w:val="top"/>
          </w:tcPr>
          <w:p>
            <w:pPr>
              <w:spacing w:line="360" w:lineRule="auto"/>
            </w:pPr>
            <w:r>
              <w:rPr>
                <w:rFonts w:hint="eastAsia"/>
              </w:rPr>
              <w:t>请于     年    月   日    时前支付下列款项（共  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522" w:type="dxa"/>
            <w:gridSpan w:val="3"/>
            <w:vAlign w:val="top"/>
          </w:tcPr>
          <w:p>
            <w:pPr>
              <w:spacing w:line="360" w:lineRule="auto"/>
              <w:rPr>
                <w:b/>
                <w:bCs/>
              </w:rPr>
            </w:pPr>
            <w:r>
              <w:rPr>
                <w:rFonts w:hint="eastAsia"/>
              </w:rPr>
              <w:t>金额大写：</w:t>
            </w:r>
            <w:r>
              <w:rPr>
                <w:rFonts w:hint="eastAsia"/>
                <w:b/>
                <w:bCs/>
              </w:rPr>
              <w:t xml:space="preserve"> </w:t>
            </w:r>
          </w:p>
          <w:p>
            <w:pPr>
              <w:spacing w:line="360" w:lineRule="auto"/>
              <w:rPr>
                <w:b/>
                <w:bCs/>
                <w:sz w:val="24"/>
                <w:u w:val="single"/>
              </w:rPr>
            </w:pPr>
            <w:r>
              <w:rPr>
                <w:rFonts w:hint="eastAsia"/>
              </w:rPr>
              <w:t>金额小写：</w:t>
            </w:r>
          </w:p>
          <w:p>
            <w:pPr>
              <w:spacing w:line="360" w:lineRule="auto"/>
              <w:rPr>
                <w:b/>
                <w:bCs/>
              </w:rPr>
            </w:pPr>
            <w:r>
              <w:rPr>
                <w:rFonts w:hint="eastAsia"/>
              </w:rPr>
              <w:t xml:space="preserve">收款方名称： </w:t>
            </w:r>
            <w:r>
              <w:rPr>
                <w:rFonts w:hint="eastAsia" w:ascii="宋体" w:hAnsi="宋体"/>
              </w:rPr>
              <w:t xml:space="preserve"> </w:t>
            </w:r>
          </w:p>
          <w:p>
            <w:pPr>
              <w:spacing w:line="360" w:lineRule="auto"/>
              <w:rPr>
                <w:b/>
                <w:bCs/>
              </w:rPr>
            </w:pPr>
            <w:r>
              <w:rPr>
                <w:rFonts w:hint="eastAsia"/>
              </w:rPr>
              <w:t xml:space="preserve">收款账号： </w:t>
            </w:r>
          </w:p>
          <w:p>
            <w:pPr>
              <w:spacing w:line="360" w:lineRule="auto"/>
            </w:pPr>
            <w:r>
              <w:rPr>
                <w:rFonts w:hint="eastAsia"/>
              </w:rPr>
              <w:t xml:space="preserve">开户银行： </w:t>
            </w:r>
          </w:p>
          <w:p>
            <w:pPr>
              <w:spacing w:line="360" w:lineRule="auto"/>
            </w:pPr>
            <w:r>
              <w:rPr>
                <w:rFonts w:hint="eastAsia"/>
              </w:rPr>
              <w:t>对方银行电子联行号（非必填项）：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522" w:type="dxa"/>
            <w:gridSpan w:val="3"/>
            <w:vAlign w:val="top"/>
          </w:tcPr>
          <w:p>
            <w:pPr>
              <w:spacing w:line="360" w:lineRule="auto"/>
              <w:rPr>
                <w:b/>
                <w:bCs/>
                <w:u w:val="single"/>
              </w:rPr>
            </w:pPr>
            <w:r>
              <w:rPr>
                <w:rFonts w:hint="eastAsia"/>
                <w:b/>
                <w:bCs/>
                <w:u w:val="single"/>
              </w:rPr>
              <w:t>资金用途（限15个字以内）</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522" w:type="dxa"/>
            <w:gridSpan w:val="3"/>
            <w:vAlign w:val="top"/>
          </w:tcPr>
          <w:p>
            <w:pPr>
              <w:spacing w:line="360" w:lineRule="auto"/>
            </w:pPr>
            <w:r>
              <w:rPr>
                <w:rFonts w:hint="eastAsia"/>
                <w:b/>
                <w:bCs/>
                <w:u w:val="single"/>
              </w:rPr>
              <w:t>管理人备注</w:t>
            </w:r>
            <w:r>
              <w:rPr>
                <w:rFonts w:hint="eastAsia"/>
              </w:rPr>
              <w:t xml:space="preserve">：  附件____张     </w:t>
            </w:r>
            <w:r>
              <w:rPr>
                <w:rFonts w:hint="eastAsia" w:ascii="宋体" w:hAnsi="宋体"/>
              </w:rPr>
              <w:t>□</w:t>
            </w:r>
            <w:r>
              <w:rPr>
                <w:rFonts w:hint="eastAsia"/>
              </w:rPr>
              <w:t xml:space="preserve"> 加急</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68" w:type="dxa"/>
            <w:vAlign w:val="top"/>
          </w:tcPr>
          <w:p>
            <w:pPr>
              <w:spacing w:line="360" w:lineRule="auto"/>
            </w:pPr>
            <w:r>
              <w:rPr>
                <w:rFonts w:hint="eastAsia"/>
              </w:rPr>
              <w:t>指令发送</w:t>
            </w:r>
            <w:r>
              <w:t>用章</w:t>
            </w:r>
            <w:r>
              <w:rPr>
                <w:rFonts w:hint="eastAsia"/>
              </w:rPr>
              <w:t>：</w:t>
            </w:r>
          </w:p>
          <w:p>
            <w:pPr>
              <w:spacing w:line="360" w:lineRule="auto"/>
            </w:pPr>
          </w:p>
          <w:p>
            <w:pPr>
              <w:spacing w:line="360" w:lineRule="auto"/>
            </w:pPr>
          </w:p>
          <w:p>
            <w:pPr>
              <w:spacing w:line="360" w:lineRule="auto"/>
            </w:pPr>
          </w:p>
          <w:p>
            <w:pPr>
              <w:spacing w:line="360" w:lineRule="auto"/>
            </w:pPr>
          </w:p>
          <w:p>
            <w:pPr>
              <w:spacing w:line="360" w:lineRule="auto"/>
            </w:pPr>
          </w:p>
        </w:tc>
        <w:tc>
          <w:tcPr>
            <w:tcW w:w="2340" w:type="dxa"/>
            <w:vAlign w:val="top"/>
          </w:tcPr>
          <w:p>
            <w:pPr>
              <w:spacing w:line="360" w:lineRule="auto"/>
            </w:pPr>
            <w:r>
              <w:rPr>
                <w:rFonts w:hint="eastAsia"/>
              </w:rPr>
              <w:t>经办：</w:t>
            </w:r>
          </w:p>
          <w:p>
            <w:pPr>
              <w:spacing w:line="360" w:lineRule="auto"/>
            </w:pPr>
          </w:p>
          <w:p>
            <w:pPr>
              <w:spacing w:line="360" w:lineRule="auto"/>
            </w:pPr>
          </w:p>
        </w:tc>
        <w:tc>
          <w:tcPr>
            <w:tcW w:w="2114" w:type="dxa"/>
            <w:vAlign w:val="top"/>
          </w:tcPr>
          <w:p>
            <w:pPr>
              <w:spacing w:line="360" w:lineRule="auto"/>
            </w:pPr>
            <w:r>
              <w:rPr>
                <w:rFonts w:hint="eastAsia"/>
              </w:rPr>
              <w:t>审批：</w:t>
            </w:r>
          </w:p>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vAlign w:val="top"/>
          </w:tcPr>
          <w:p>
            <w:pPr>
              <w:spacing w:line="360" w:lineRule="auto"/>
            </w:pPr>
            <w:r>
              <w:rPr>
                <w:rFonts w:hint="eastAsia"/>
              </w:rPr>
              <w:t>保管银行审核：</w:t>
            </w:r>
          </w:p>
          <w:p>
            <w:pPr>
              <w:spacing w:line="360" w:lineRule="auto"/>
            </w:pPr>
          </w:p>
          <w:p>
            <w:pPr>
              <w:spacing w:line="360" w:lineRule="auto"/>
            </w:pPr>
          </w:p>
          <w:p>
            <w:pPr>
              <w:spacing w:line="360" w:lineRule="auto"/>
            </w:pPr>
          </w:p>
          <w:p>
            <w:pPr>
              <w:spacing w:line="360" w:lineRule="auto"/>
            </w:pPr>
          </w:p>
        </w:tc>
      </w:tr>
    </w:tbl>
    <w:p>
      <w:pPr>
        <w:pStyle w:val="7"/>
        <w:adjustRightInd w:val="0"/>
        <w:snapToGrid w:val="0"/>
        <w:spacing w:line="360" w:lineRule="auto"/>
        <w:ind w:firstLine="560" w:firstLineChars="200"/>
        <w:rPr>
          <w:rFonts w:ascii="仿宋_GB2312" w:hAnsi="仿宋_GB2312" w:eastAsia="仿宋_GB2312"/>
          <w:sz w:val="28"/>
          <w:szCs w:val="28"/>
        </w:rPr>
      </w:pPr>
    </w:p>
    <w:p>
      <w:pPr>
        <w:spacing w:line="360" w:lineRule="auto"/>
        <w:ind w:firstLine="562" w:firstLineChars="200"/>
        <w:rPr>
          <w:rFonts w:ascii="仿宋_GB2312" w:hAnsi="仿宋_GB2312" w:eastAsia="仿宋_GB2312"/>
          <w:b/>
          <w:sz w:val="28"/>
          <w:szCs w:val="28"/>
        </w:rPr>
        <w:sectPr>
          <w:footerReference r:id="rId4" w:type="default"/>
          <w:footerReference r:id="rId5" w:type="even"/>
          <w:pgSz w:w="11906" w:h="16838"/>
          <w:pgMar w:top="1440" w:right="1797" w:bottom="936" w:left="1797" w:header="851" w:footer="992" w:gutter="0"/>
          <w:pgNumType w:start="0"/>
          <w:cols w:space="720" w:num="1"/>
          <w:titlePg/>
          <w:docGrid w:type="lines" w:linePitch="312" w:charSpace="0"/>
        </w:sectPr>
      </w:pPr>
    </w:p>
    <w:p>
      <w:pPr>
        <w:spacing w:line="360" w:lineRule="auto"/>
        <w:ind w:firstLine="562" w:firstLineChars="200"/>
        <w:rPr>
          <w:rFonts w:ascii="仿宋_GB2312" w:hAnsi="仿宋_GB2312" w:eastAsia="仿宋_GB2312"/>
          <w:b/>
          <w:sz w:val="28"/>
          <w:szCs w:val="28"/>
        </w:rPr>
      </w:pPr>
      <w:r>
        <w:rPr>
          <w:rFonts w:hint="eastAsia" w:ascii="仿宋_GB2312" w:hAnsi="仿宋_GB2312" w:eastAsia="仿宋_GB2312"/>
          <w:b/>
          <w:sz w:val="28"/>
          <w:szCs w:val="28"/>
        </w:rPr>
        <w:t>附件三：</w:t>
      </w:r>
    </w:p>
    <w:p>
      <w:pPr>
        <w:jc w:val="center"/>
      </w:pPr>
      <w:r>
        <w:rPr>
          <w:rFonts w:hint="eastAsia" w:eastAsia="黑体"/>
          <w:sz w:val="28"/>
        </w:rPr>
        <w:t>授权通知书</w:t>
      </w:r>
    </w:p>
    <w:p>
      <w:pPr>
        <w:spacing w:line="360" w:lineRule="auto"/>
        <w:rPr>
          <w:rFonts w:ascii="仿宋_GB2312" w:hAnsi="仿宋_GB2312" w:eastAsia="仿宋_GB2312"/>
          <w:szCs w:val="21"/>
        </w:rPr>
      </w:pPr>
      <w:r>
        <w:rPr>
          <w:rFonts w:hint="eastAsia" w:ascii="仿宋_GB2312" w:hAnsi="宋体" w:eastAsia="仿宋_GB2312"/>
          <w:szCs w:val="21"/>
        </w:rPr>
        <w:t xml:space="preserve">    </w:t>
      </w:r>
      <w:r>
        <w:rPr>
          <w:rFonts w:hint="eastAsia" w:ascii="仿宋_GB2312" w:hAnsi="仿宋_GB2312" w:eastAsia="仿宋_GB2312"/>
          <w:szCs w:val="21"/>
        </w:rPr>
        <w:t>中信银行股份有限公司郑州分行：</w:t>
      </w:r>
    </w:p>
    <w:p>
      <w:pPr>
        <w:spacing w:line="360" w:lineRule="auto"/>
        <w:rPr>
          <w:rFonts w:ascii="仿宋_GB2312" w:hAnsi="仿宋_GB2312" w:eastAsia="仿宋_GB2312"/>
          <w:sz w:val="20"/>
          <w:szCs w:val="21"/>
        </w:rPr>
      </w:pPr>
      <w:r>
        <w:rPr>
          <w:rFonts w:hint="eastAsia" w:ascii="仿宋_GB2312" w:hAnsi="仿宋_GB2312" w:eastAsia="仿宋_GB2312"/>
          <w:sz w:val="20"/>
          <w:szCs w:val="21"/>
        </w:rPr>
        <w:t xml:space="preserve">    针对</w:t>
      </w:r>
      <w:r>
        <w:rPr>
          <w:rFonts w:ascii="仿宋_GB2312" w:hAnsi="仿宋_GB2312" w:eastAsia="仿宋_GB2312"/>
          <w:sz w:val="20"/>
          <w:szCs w:val="21"/>
        </w:rPr>
        <w:t>我司发行</w:t>
      </w:r>
      <w:r>
        <w:rPr>
          <w:rFonts w:hint="eastAsia" w:ascii="仿宋_GB2312" w:hAnsi="仿宋_GB2312" w:eastAsia="仿宋_GB2312"/>
          <w:sz w:val="20"/>
          <w:szCs w:val="21"/>
        </w:rPr>
        <w:t>的</w:t>
      </w:r>
      <w:r>
        <w:rPr>
          <w:rFonts w:ascii="仿宋_GB2312" w:hAnsi="仿宋_GB2312" w:eastAsia="仿宋_GB2312"/>
          <w:sz w:val="20"/>
          <w:szCs w:val="21"/>
        </w:rPr>
        <w:t>、</w:t>
      </w:r>
      <w:r>
        <w:rPr>
          <w:rFonts w:hint="eastAsia" w:ascii="仿宋_GB2312" w:hAnsi="仿宋_GB2312" w:eastAsia="仿宋_GB2312"/>
          <w:sz w:val="20"/>
          <w:szCs w:val="21"/>
        </w:rPr>
        <w:t>由</w:t>
      </w:r>
      <w:r>
        <w:rPr>
          <w:rFonts w:ascii="仿宋_GB2312" w:hAnsi="仿宋_GB2312" w:eastAsia="仿宋_GB2312"/>
          <w:sz w:val="20"/>
          <w:szCs w:val="21"/>
        </w:rPr>
        <w:t>你行托管的</w:t>
      </w:r>
      <w:r>
        <w:rPr>
          <w:rFonts w:ascii="仿宋_GB2312" w:hAnsi="仿宋_GB2312" w:eastAsia="仿宋_GB2312"/>
          <w:sz w:val="20"/>
          <w:szCs w:val="21"/>
          <w:u w:val="single"/>
        </w:rPr>
        <w:t xml:space="preserve"> </w:t>
      </w:r>
      <w:r>
        <w:rPr>
          <w:rFonts w:hint="eastAsia" w:ascii="仿宋_GB2312" w:hAnsi="仿宋_GB2312" w:eastAsia="仿宋_GB2312"/>
          <w:sz w:val="20"/>
          <w:szCs w:val="21"/>
          <w:u w:val="single"/>
        </w:rPr>
        <w:t>　　</w:t>
      </w:r>
      <w:r>
        <w:rPr>
          <w:rFonts w:ascii="仿宋_GB2312" w:hAnsi="仿宋_GB2312" w:eastAsia="仿宋_GB2312"/>
          <w:sz w:val="20"/>
          <w:szCs w:val="21"/>
          <w:u w:val="single"/>
        </w:rPr>
        <w:t>　　　　　</w:t>
      </w:r>
      <w:r>
        <w:rPr>
          <w:rFonts w:ascii="仿宋_GB2312" w:hAnsi="仿宋_GB2312" w:eastAsia="仿宋_GB2312"/>
          <w:sz w:val="20"/>
          <w:szCs w:val="21"/>
          <w:u w:val="single"/>
        </w:rPr>
        <w:t xml:space="preserve"> </w:t>
      </w:r>
      <w:r>
        <w:rPr>
          <w:rFonts w:ascii="仿宋_GB2312" w:hAnsi="仿宋_GB2312" w:eastAsia="仿宋_GB2312"/>
          <w:sz w:val="20"/>
          <w:szCs w:val="21"/>
        </w:rPr>
        <w:t>理财产品，我</w:t>
      </w:r>
      <w:r>
        <w:rPr>
          <w:rFonts w:hint="eastAsia" w:ascii="仿宋_GB2312" w:hAnsi="仿宋_GB2312" w:eastAsia="仿宋_GB2312"/>
          <w:sz w:val="20"/>
          <w:szCs w:val="21"/>
        </w:rPr>
        <w:t>司</w:t>
      </w:r>
      <w:r>
        <w:rPr>
          <w:rFonts w:ascii="仿宋_GB2312" w:hAnsi="仿宋_GB2312" w:eastAsia="仿宋_GB2312"/>
          <w:sz w:val="20"/>
          <w:szCs w:val="21"/>
        </w:rPr>
        <w:t>授权以下人员向你行发送相关业务通知和指令</w:t>
      </w:r>
      <w:r>
        <w:rPr>
          <w:rFonts w:hint="eastAsia" w:ascii="仿宋_GB2312" w:hAnsi="仿宋_GB2312" w:eastAsia="仿宋_GB2312"/>
          <w:sz w:val="20"/>
          <w:szCs w:val="21"/>
        </w:rPr>
        <w:t>，指令范围包括不限于投资、费用支付、其他划款等类型。现将指令发送用章、有关人员签字样本及相应权限与</w:t>
      </w:r>
      <w:r>
        <w:rPr>
          <w:rFonts w:ascii="仿宋_GB2312" w:hAnsi="仿宋_GB2312" w:eastAsia="仿宋_GB2312"/>
          <w:sz w:val="20"/>
          <w:szCs w:val="21"/>
        </w:rPr>
        <w:t>指定的指令发送</w:t>
      </w:r>
      <w:r>
        <w:rPr>
          <w:rFonts w:hint="eastAsia" w:ascii="仿宋_GB2312" w:hAnsi="仿宋_GB2312" w:eastAsia="仿宋_GB2312"/>
          <w:sz w:val="20"/>
          <w:szCs w:val="21"/>
        </w:rPr>
        <w:t>与</w:t>
      </w:r>
      <w:r>
        <w:rPr>
          <w:rFonts w:ascii="仿宋_GB2312" w:hAnsi="仿宋_GB2312" w:eastAsia="仿宋_GB2312"/>
          <w:sz w:val="20"/>
          <w:szCs w:val="21"/>
        </w:rPr>
        <w:t>核对方式</w:t>
      </w:r>
      <w:r>
        <w:rPr>
          <w:rFonts w:hint="eastAsia" w:ascii="仿宋_GB2312" w:hAnsi="仿宋_GB2312" w:eastAsia="仿宋_GB2312"/>
          <w:sz w:val="20"/>
          <w:szCs w:val="21"/>
        </w:rPr>
        <w:t>留给你行，请在使用时核验。上述被授权人在授权范围内向你行发送指令的真实性、准确性及合法性由我单位负全部责任。上述授权自</w:t>
      </w:r>
      <w:r>
        <w:rPr>
          <w:rFonts w:ascii="仿宋_GB2312" w:hAnsi="仿宋_GB2312" w:eastAsia="仿宋_GB2312"/>
          <w:sz w:val="20"/>
          <w:szCs w:val="21"/>
        </w:rPr>
        <w:t>20XX年X月X日起生效。</w:t>
      </w:r>
    </w:p>
    <w:tbl>
      <w:tblPr>
        <w:tblStyle w:val="17"/>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2694"/>
        <w:gridCol w:w="109"/>
        <w:gridCol w:w="3087"/>
        <w:gridCol w:w="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vAlign w:val="top"/>
          </w:tcPr>
          <w:p>
            <w:pPr>
              <w:spacing w:line="360" w:lineRule="auto"/>
              <w:jc w:val="center"/>
              <w:rPr>
                <w:rFonts w:ascii="仿宋_GB2312" w:eastAsia="仿宋_GB2312"/>
                <w:sz w:val="24"/>
              </w:rPr>
            </w:pPr>
            <w:r>
              <w:rPr>
                <w:rFonts w:hint="eastAsia" w:ascii="仿宋_GB2312" w:eastAsia="仿宋_GB2312"/>
                <w:sz w:val="24"/>
              </w:rPr>
              <w:t>姓名</w:t>
            </w:r>
          </w:p>
        </w:tc>
        <w:tc>
          <w:tcPr>
            <w:tcW w:w="2694" w:type="dxa"/>
            <w:vAlign w:val="top"/>
          </w:tcPr>
          <w:p>
            <w:pPr>
              <w:spacing w:line="360" w:lineRule="auto"/>
              <w:jc w:val="center"/>
              <w:rPr>
                <w:rFonts w:ascii="仿宋_GB2312" w:eastAsia="仿宋_GB2312"/>
                <w:sz w:val="24"/>
              </w:rPr>
            </w:pPr>
            <w:r>
              <w:rPr>
                <w:rFonts w:hint="eastAsia" w:ascii="仿宋_GB2312" w:eastAsia="仿宋_GB2312"/>
                <w:sz w:val="24"/>
              </w:rPr>
              <w:t>权限</w:t>
            </w:r>
          </w:p>
        </w:tc>
        <w:tc>
          <w:tcPr>
            <w:tcW w:w="3260" w:type="dxa"/>
            <w:gridSpan w:val="3"/>
            <w:vAlign w:val="top"/>
          </w:tcPr>
          <w:p>
            <w:pPr>
              <w:spacing w:line="360" w:lineRule="auto"/>
              <w:jc w:val="center"/>
              <w:rPr>
                <w:rFonts w:ascii="仿宋_GB2312" w:eastAsia="仿宋_GB2312"/>
                <w:sz w:val="24"/>
              </w:rPr>
            </w:pPr>
            <w:r>
              <w:rPr>
                <w:rFonts w:hint="eastAsia" w:ascii="仿宋_GB2312" w:eastAsia="仿宋_GB2312"/>
                <w:sz w:val="24"/>
              </w:rPr>
              <w:t>签字样本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vAlign w:val="top"/>
          </w:tcPr>
          <w:p>
            <w:pPr>
              <w:spacing w:line="360" w:lineRule="auto"/>
              <w:jc w:val="center"/>
              <w:rPr>
                <w:rFonts w:ascii="仿宋_GB2312" w:eastAsia="仿宋_GB2312"/>
                <w:sz w:val="24"/>
              </w:rPr>
            </w:pPr>
            <w:r>
              <w:rPr>
                <w:rFonts w:hint="eastAsia" w:ascii="仿宋_GB2312" w:eastAsia="仿宋_GB2312"/>
                <w:sz w:val="24"/>
              </w:rPr>
              <w:t>竟婕</w:t>
            </w:r>
          </w:p>
        </w:tc>
        <w:tc>
          <w:tcPr>
            <w:tcW w:w="2694" w:type="dxa"/>
            <w:vAlign w:val="top"/>
          </w:tcPr>
          <w:p>
            <w:pPr>
              <w:spacing w:line="360" w:lineRule="auto"/>
              <w:jc w:val="center"/>
              <w:rPr>
                <w:rFonts w:ascii="仿宋_GB2312" w:eastAsia="仿宋_GB2312"/>
                <w:sz w:val="24"/>
              </w:rPr>
            </w:pPr>
            <w:r>
              <w:rPr>
                <w:rFonts w:hint="eastAsia" w:ascii="仿宋_GB2312" w:eastAsia="仿宋_GB2312"/>
                <w:sz w:val="24"/>
              </w:rPr>
              <w:t>经办</w:t>
            </w:r>
          </w:p>
        </w:tc>
        <w:tc>
          <w:tcPr>
            <w:tcW w:w="3260" w:type="dxa"/>
            <w:gridSpan w:val="3"/>
            <w:vAlign w:val="top"/>
          </w:tcPr>
          <w:p>
            <w:pPr>
              <w:spacing w:line="360" w:lineRule="auto"/>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vAlign w:val="top"/>
          </w:tcPr>
          <w:p>
            <w:pPr>
              <w:spacing w:line="360" w:lineRule="auto"/>
              <w:jc w:val="center"/>
              <w:rPr>
                <w:rFonts w:ascii="仿宋_GB2312" w:eastAsia="仿宋_GB2312"/>
                <w:sz w:val="24"/>
              </w:rPr>
            </w:pPr>
            <w:r>
              <w:rPr>
                <w:rFonts w:hint="eastAsia" w:ascii="仿宋_GB2312" w:eastAsia="仿宋_GB2312"/>
                <w:sz w:val="24"/>
              </w:rPr>
              <w:t>曹亚蕊</w:t>
            </w:r>
          </w:p>
        </w:tc>
        <w:tc>
          <w:tcPr>
            <w:tcW w:w="2694" w:type="dxa"/>
            <w:vAlign w:val="top"/>
          </w:tcPr>
          <w:p>
            <w:pPr>
              <w:spacing w:line="360" w:lineRule="auto"/>
              <w:jc w:val="center"/>
              <w:rPr>
                <w:rFonts w:ascii="仿宋_GB2312" w:eastAsia="仿宋_GB2312"/>
                <w:sz w:val="24"/>
              </w:rPr>
            </w:pPr>
            <w:r>
              <w:rPr>
                <w:rFonts w:hint="eastAsia" w:ascii="仿宋_GB2312" w:eastAsia="仿宋_GB2312"/>
                <w:sz w:val="24"/>
              </w:rPr>
              <w:t>经办</w:t>
            </w:r>
          </w:p>
        </w:tc>
        <w:tc>
          <w:tcPr>
            <w:tcW w:w="3260" w:type="dxa"/>
            <w:gridSpan w:val="3"/>
            <w:vAlign w:val="top"/>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2263" w:type="dxa"/>
            <w:vAlign w:val="top"/>
          </w:tcPr>
          <w:p>
            <w:pPr>
              <w:spacing w:line="360" w:lineRule="auto"/>
              <w:jc w:val="center"/>
              <w:rPr>
                <w:rFonts w:ascii="仿宋_GB2312" w:eastAsia="仿宋_GB2312"/>
                <w:sz w:val="24"/>
              </w:rPr>
            </w:pPr>
            <w:r>
              <w:rPr>
                <w:rFonts w:hint="eastAsia" w:ascii="仿宋_GB2312" w:eastAsia="仿宋_GB2312"/>
                <w:sz w:val="24"/>
              </w:rPr>
              <w:t>路瑞杰</w:t>
            </w:r>
          </w:p>
        </w:tc>
        <w:tc>
          <w:tcPr>
            <w:tcW w:w="2694" w:type="dxa"/>
            <w:vAlign w:val="top"/>
          </w:tcPr>
          <w:p>
            <w:pPr>
              <w:spacing w:line="360" w:lineRule="auto"/>
              <w:jc w:val="center"/>
              <w:rPr>
                <w:rFonts w:ascii="仿宋_GB2312" w:eastAsia="仿宋_GB2312"/>
                <w:sz w:val="24"/>
              </w:rPr>
            </w:pPr>
            <w:r>
              <w:rPr>
                <w:rFonts w:hint="eastAsia" w:ascii="仿宋_GB2312" w:eastAsia="仿宋_GB2312"/>
                <w:sz w:val="24"/>
              </w:rPr>
              <w:t>经办</w:t>
            </w:r>
          </w:p>
        </w:tc>
        <w:tc>
          <w:tcPr>
            <w:tcW w:w="3260" w:type="dxa"/>
            <w:gridSpan w:val="3"/>
            <w:vAlign w:val="top"/>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2263" w:type="dxa"/>
            <w:vAlign w:val="top"/>
          </w:tcPr>
          <w:p>
            <w:pPr>
              <w:spacing w:line="360" w:lineRule="auto"/>
              <w:jc w:val="center"/>
              <w:rPr>
                <w:rFonts w:ascii="仿宋_GB2312" w:eastAsia="仿宋_GB2312"/>
                <w:sz w:val="24"/>
              </w:rPr>
            </w:pPr>
            <w:r>
              <w:rPr>
                <w:rFonts w:hint="eastAsia" w:ascii="仿宋_GB2312" w:eastAsia="仿宋_GB2312"/>
                <w:sz w:val="24"/>
              </w:rPr>
              <w:t>李朝兵</w:t>
            </w:r>
          </w:p>
        </w:tc>
        <w:tc>
          <w:tcPr>
            <w:tcW w:w="2694" w:type="dxa"/>
            <w:vAlign w:val="top"/>
          </w:tcPr>
          <w:p>
            <w:pPr>
              <w:spacing w:line="360" w:lineRule="auto"/>
              <w:jc w:val="center"/>
              <w:rPr>
                <w:rFonts w:ascii="仿宋_GB2312" w:eastAsia="仿宋_GB2312"/>
                <w:sz w:val="24"/>
              </w:rPr>
            </w:pPr>
            <w:r>
              <w:rPr>
                <w:rFonts w:hint="eastAsia" w:ascii="仿宋_GB2312" w:eastAsia="仿宋_GB2312"/>
                <w:sz w:val="24"/>
              </w:rPr>
              <w:t>经办</w:t>
            </w:r>
          </w:p>
        </w:tc>
        <w:tc>
          <w:tcPr>
            <w:tcW w:w="3260" w:type="dxa"/>
            <w:gridSpan w:val="3"/>
            <w:vAlign w:val="top"/>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vAlign w:val="top"/>
          </w:tcPr>
          <w:p>
            <w:pPr>
              <w:spacing w:line="360" w:lineRule="auto"/>
              <w:jc w:val="center"/>
              <w:rPr>
                <w:rFonts w:ascii="仿宋_GB2312" w:eastAsia="仿宋_GB2312"/>
                <w:sz w:val="24"/>
              </w:rPr>
            </w:pPr>
            <w:r>
              <w:rPr>
                <w:rFonts w:hint="eastAsia" w:ascii="仿宋_GB2312" w:eastAsia="仿宋_GB2312"/>
                <w:sz w:val="24"/>
              </w:rPr>
              <w:t>吴昊</w:t>
            </w:r>
          </w:p>
        </w:tc>
        <w:tc>
          <w:tcPr>
            <w:tcW w:w="2694" w:type="dxa"/>
            <w:vAlign w:val="top"/>
          </w:tcPr>
          <w:p>
            <w:pPr>
              <w:spacing w:line="360" w:lineRule="auto"/>
              <w:jc w:val="center"/>
              <w:rPr>
                <w:rFonts w:ascii="仿宋_GB2312" w:eastAsia="仿宋_GB2312"/>
                <w:sz w:val="24"/>
              </w:rPr>
            </w:pPr>
            <w:r>
              <w:rPr>
                <w:rFonts w:hint="eastAsia" w:ascii="仿宋_GB2312" w:eastAsia="仿宋_GB2312"/>
                <w:sz w:val="24"/>
              </w:rPr>
              <w:t>审批</w:t>
            </w:r>
          </w:p>
        </w:tc>
        <w:tc>
          <w:tcPr>
            <w:tcW w:w="3260" w:type="dxa"/>
            <w:gridSpan w:val="3"/>
            <w:vAlign w:val="top"/>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vAlign w:val="top"/>
          </w:tcPr>
          <w:p>
            <w:pPr>
              <w:spacing w:line="360" w:lineRule="auto"/>
              <w:jc w:val="center"/>
              <w:rPr>
                <w:rFonts w:ascii="仿宋_GB2312" w:eastAsia="仿宋_GB2312"/>
                <w:sz w:val="24"/>
              </w:rPr>
            </w:pPr>
            <w:r>
              <w:rPr>
                <w:rFonts w:hint="eastAsia" w:ascii="仿宋_GB2312" w:eastAsia="仿宋_GB2312"/>
                <w:sz w:val="24"/>
              </w:rPr>
              <w:t>滑欣辉</w:t>
            </w:r>
          </w:p>
        </w:tc>
        <w:tc>
          <w:tcPr>
            <w:tcW w:w="2694" w:type="dxa"/>
            <w:vAlign w:val="top"/>
          </w:tcPr>
          <w:p>
            <w:pPr>
              <w:spacing w:line="360" w:lineRule="auto"/>
              <w:jc w:val="center"/>
              <w:rPr>
                <w:rFonts w:ascii="仿宋_GB2312" w:eastAsia="仿宋_GB2312"/>
                <w:sz w:val="24"/>
              </w:rPr>
            </w:pPr>
            <w:r>
              <w:rPr>
                <w:rFonts w:hint="eastAsia" w:ascii="仿宋_GB2312" w:eastAsia="仿宋_GB2312"/>
                <w:sz w:val="24"/>
              </w:rPr>
              <w:t>审批</w:t>
            </w:r>
          </w:p>
        </w:tc>
        <w:tc>
          <w:tcPr>
            <w:tcW w:w="3260" w:type="dxa"/>
            <w:gridSpan w:val="3"/>
            <w:vAlign w:val="top"/>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cantSplit/>
          <w:jc w:val="center"/>
        </w:trPr>
        <w:tc>
          <w:tcPr>
            <w:tcW w:w="2263" w:type="dxa"/>
            <w:vAlign w:val="top"/>
          </w:tcPr>
          <w:p>
            <w:pPr>
              <w:spacing w:line="360" w:lineRule="auto"/>
              <w:jc w:val="center"/>
              <w:rPr>
                <w:rFonts w:ascii="仿宋_GB2312" w:eastAsia="仿宋_GB2312"/>
                <w:sz w:val="24"/>
              </w:rPr>
            </w:pPr>
            <w:r>
              <w:rPr>
                <w:rFonts w:hint="eastAsia" w:ascii="仿宋_GB2312" w:eastAsia="仿宋_GB2312"/>
                <w:sz w:val="24"/>
              </w:rPr>
              <w:t>指令发送</w:t>
            </w:r>
            <w:r>
              <w:rPr>
                <w:rFonts w:ascii="仿宋_GB2312" w:eastAsia="仿宋_GB2312"/>
                <w:sz w:val="24"/>
              </w:rPr>
              <w:t>用章</w:t>
            </w:r>
          </w:p>
        </w:tc>
        <w:tc>
          <w:tcPr>
            <w:tcW w:w="5890" w:type="dxa"/>
            <w:gridSpan w:val="3"/>
            <w:vAlign w:val="top"/>
          </w:tcPr>
          <w:p>
            <w:pPr>
              <w:spacing w:line="360" w:lineRule="auto"/>
              <w:rPr>
                <w:rFonts w:ascii="仿宋_GB2312" w:eastAsia="仿宋_GB2312"/>
                <w:sz w:val="24"/>
              </w:rPr>
            </w:pPr>
          </w:p>
          <w:p>
            <w:pPr>
              <w:spacing w:line="360" w:lineRule="auto"/>
              <w:rPr>
                <w:rFonts w:ascii="仿宋_GB2312" w:eastAsia="仿宋_GB2312"/>
                <w:sz w:val="24"/>
              </w:rPr>
            </w:pPr>
          </w:p>
          <w:p>
            <w:pPr>
              <w:spacing w:line="360" w:lineRule="auto"/>
              <w:rPr>
                <w:rFonts w:ascii="仿宋_GB2312" w:eastAsia="仿宋_GB2312"/>
                <w:sz w:val="24"/>
              </w:rPr>
            </w:pPr>
            <w:r>
              <w:rPr>
                <w:rFonts w:hint="eastAsia" w:ascii="仿宋_GB2312" w:eastAsia="仿宋_GB2312"/>
                <w:sz w:val="24"/>
              </w:rPr>
              <w:t xml:space="preserve">                            （指令发送用章样本）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cantSplit/>
          <w:jc w:val="center"/>
        </w:trPr>
        <w:tc>
          <w:tcPr>
            <w:tcW w:w="2263" w:type="dxa"/>
            <w:vAlign w:val="top"/>
          </w:tcPr>
          <w:p>
            <w:pPr>
              <w:spacing w:line="360" w:lineRule="auto"/>
              <w:rPr>
                <w:rFonts w:ascii="仿宋_GB2312" w:eastAsia="仿宋_GB2312"/>
                <w:sz w:val="24"/>
              </w:rPr>
            </w:pPr>
            <w:r>
              <w:rPr>
                <w:rFonts w:hint="eastAsia" w:ascii="仿宋_GB2312" w:eastAsia="仿宋_GB2312"/>
                <w:sz w:val="24"/>
              </w:rPr>
              <w:t>指令</w:t>
            </w:r>
            <w:r>
              <w:rPr>
                <w:rFonts w:ascii="仿宋_GB2312" w:eastAsia="仿宋_GB2312"/>
                <w:sz w:val="24"/>
              </w:rPr>
              <w:t>发送</w:t>
            </w:r>
            <w:r>
              <w:rPr>
                <w:rFonts w:hint="eastAsia" w:ascii="仿宋_GB2312" w:eastAsia="仿宋_GB2312"/>
                <w:sz w:val="24"/>
              </w:rPr>
              <w:t>指定</w:t>
            </w:r>
            <w:r>
              <w:rPr>
                <w:rFonts w:ascii="仿宋_GB2312" w:eastAsia="仿宋_GB2312"/>
                <w:sz w:val="24"/>
              </w:rPr>
              <w:t>传真</w:t>
            </w:r>
          </w:p>
        </w:tc>
        <w:tc>
          <w:tcPr>
            <w:tcW w:w="5890" w:type="dxa"/>
            <w:gridSpan w:val="3"/>
            <w:vAlign w:val="top"/>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cantSplit/>
          <w:jc w:val="center"/>
        </w:trPr>
        <w:tc>
          <w:tcPr>
            <w:tcW w:w="2263" w:type="dxa"/>
            <w:vAlign w:val="top"/>
          </w:tcPr>
          <w:p>
            <w:pPr>
              <w:spacing w:line="360" w:lineRule="auto"/>
              <w:rPr>
                <w:rFonts w:ascii="仿宋_GB2312" w:eastAsia="仿宋_GB2312"/>
                <w:sz w:val="24"/>
              </w:rPr>
            </w:pPr>
            <w:r>
              <w:rPr>
                <w:rFonts w:hint="eastAsia" w:ascii="仿宋_GB2312" w:eastAsia="仿宋_GB2312"/>
                <w:sz w:val="24"/>
              </w:rPr>
              <w:t>指令</w:t>
            </w:r>
            <w:r>
              <w:rPr>
                <w:rFonts w:ascii="仿宋_GB2312" w:eastAsia="仿宋_GB2312"/>
                <w:sz w:val="24"/>
              </w:rPr>
              <w:t>发送指定邮箱</w:t>
            </w:r>
          </w:p>
        </w:tc>
        <w:tc>
          <w:tcPr>
            <w:tcW w:w="5890" w:type="dxa"/>
            <w:gridSpan w:val="3"/>
            <w:vAlign w:val="top"/>
          </w:tcPr>
          <w:p>
            <w:pPr>
              <w:spacing w:line="360" w:lineRule="auto"/>
              <w:rPr>
                <w:rFonts w:ascii="仿宋_GB2312" w:eastAsia="仿宋_GB2312"/>
                <w:sz w:val="24"/>
              </w:rPr>
            </w:pPr>
            <w:r>
              <w:rPr>
                <w:rFonts w:ascii="仿宋_GB2312" w:eastAsia="仿宋_GB2312"/>
                <w:sz w:val="24"/>
              </w:rPr>
              <w:t>jingjie01</w:t>
            </w:r>
            <w:r>
              <w:rPr>
                <w:rFonts w:hint="eastAsia" w:ascii="仿宋_GB2312" w:eastAsia="仿宋_GB2312"/>
                <w:sz w:val="24"/>
              </w:rPr>
              <w:t>@zybank.com.cn</w:t>
            </w:r>
          </w:p>
          <w:p>
            <w:pPr>
              <w:spacing w:line="360" w:lineRule="auto"/>
              <w:rPr>
                <w:rFonts w:ascii="仿宋_GB2312" w:eastAsia="仿宋_GB2312"/>
                <w:sz w:val="24"/>
              </w:rPr>
            </w:pPr>
            <w:r>
              <w:rPr>
                <w:rFonts w:hint="eastAsia" w:ascii="仿宋_GB2312" w:eastAsia="仿宋_GB2312"/>
                <w:sz w:val="24"/>
              </w:rPr>
              <w:t>luruijie@zybank.com.cn</w:t>
            </w:r>
          </w:p>
          <w:p>
            <w:pPr>
              <w:spacing w:line="360" w:lineRule="auto"/>
              <w:rPr>
                <w:rFonts w:ascii="仿宋_GB2312" w:eastAsia="仿宋_GB2312"/>
                <w:sz w:val="24"/>
              </w:rPr>
            </w:pPr>
            <w:r>
              <w:rPr>
                <w:rFonts w:hint="eastAsia" w:ascii="仿宋_GB2312" w:eastAsia="仿宋_GB2312"/>
                <w:sz w:val="24"/>
              </w:rPr>
              <w:t>caoyarui@zybank.com.cn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cantSplit/>
          <w:trHeight w:val="310" w:hRule="atLeast"/>
          <w:jc w:val="center"/>
        </w:trPr>
        <w:tc>
          <w:tcPr>
            <w:tcW w:w="2263" w:type="dxa"/>
            <w:vMerge w:val="restart"/>
            <w:vAlign w:val="top"/>
          </w:tcPr>
          <w:p>
            <w:pPr>
              <w:spacing w:line="360" w:lineRule="auto"/>
              <w:rPr>
                <w:rFonts w:ascii="仿宋_GB2312" w:eastAsia="仿宋_GB2312"/>
                <w:sz w:val="24"/>
              </w:rPr>
            </w:pPr>
            <w:r>
              <w:rPr>
                <w:rFonts w:hint="eastAsia" w:ascii="仿宋_GB2312" w:eastAsia="仿宋_GB2312"/>
                <w:sz w:val="24"/>
              </w:rPr>
              <w:t>指令</w:t>
            </w:r>
            <w:r>
              <w:rPr>
                <w:rFonts w:ascii="仿宋_GB2312" w:eastAsia="仿宋_GB2312"/>
                <w:sz w:val="24"/>
              </w:rPr>
              <w:t>确认人员及</w:t>
            </w:r>
          </w:p>
          <w:p>
            <w:pPr>
              <w:spacing w:line="360" w:lineRule="auto"/>
              <w:rPr>
                <w:rFonts w:ascii="仿宋_GB2312" w:eastAsia="仿宋_GB2312"/>
                <w:sz w:val="24"/>
              </w:rPr>
            </w:pPr>
            <w:r>
              <w:rPr>
                <w:rFonts w:ascii="仿宋_GB2312" w:eastAsia="仿宋_GB2312"/>
                <w:sz w:val="24"/>
              </w:rPr>
              <w:t>指令确认电话</w:t>
            </w:r>
          </w:p>
        </w:tc>
        <w:tc>
          <w:tcPr>
            <w:tcW w:w="2803" w:type="dxa"/>
            <w:gridSpan w:val="2"/>
            <w:vAlign w:val="top"/>
          </w:tcPr>
          <w:p>
            <w:pPr>
              <w:spacing w:line="360" w:lineRule="auto"/>
              <w:rPr>
                <w:rFonts w:ascii="仿宋_GB2312" w:eastAsia="仿宋_GB2312"/>
                <w:sz w:val="24"/>
              </w:rPr>
            </w:pPr>
            <w:r>
              <w:rPr>
                <w:rFonts w:hint="eastAsia" w:ascii="仿宋_GB2312" w:eastAsia="仿宋_GB2312"/>
                <w:sz w:val="24"/>
              </w:rPr>
              <w:t>竟婕</w:t>
            </w:r>
          </w:p>
        </w:tc>
        <w:tc>
          <w:tcPr>
            <w:tcW w:w="3087" w:type="dxa"/>
            <w:vAlign w:val="top"/>
          </w:tcPr>
          <w:p>
            <w:pPr>
              <w:spacing w:line="360" w:lineRule="auto"/>
              <w:rPr>
                <w:rFonts w:ascii="仿宋_GB2312" w:eastAsia="仿宋_GB2312"/>
                <w:sz w:val="24"/>
              </w:rPr>
            </w:pPr>
            <w:r>
              <w:rPr>
                <w:rFonts w:ascii="仿宋_GB2312" w:eastAsia="仿宋_GB2312"/>
                <w:sz w:val="24"/>
              </w:rPr>
              <w:t>0371-85517557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cantSplit/>
          <w:trHeight w:val="310" w:hRule="atLeast"/>
          <w:jc w:val="center"/>
        </w:trPr>
        <w:tc>
          <w:tcPr>
            <w:tcW w:w="2263" w:type="dxa"/>
            <w:vMerge w:val="continue"/>
            <w:vAlign w:val="top"/>
          </w:tcPr>
          <w:p>
            <w:pPr>
              <w:spacing w:line="360" w:lineRule="auto"/>
              <w:rPr>
                <w:rFonts w:ascii="仿宋_GB2312" w:eastAsia="仿宋_GB2312"/>
                <w:sz w:val="24"/>
              </w:rPr>
            </w:pPr>
          </w:p>
        </w:tc>
        <w:tc>
          <w:tcPr>
            <w:tcW w:w="2803" w:type="dxa"/>
            <w:gridSpan w:val="2"/>
            <w:vAlign w:val="top"/>
          </w:tcPr>
          <w:p>
            <w:pPr>
              <w:spacing w:line="360" w:lineRule="auto"/>
              <w:rPr>
                <w:rFonts w:ascii="仿宋_GB2312" w:eastAsia="仿宋_GB2312"/>
                <w:sz w:val="24"/>
              </w:rPr>
            </w:pPr>
            <w:r>
              <w:rPr>
                <w:rFonts w:hint="eastAsia" w:ascii="仿宋_GB2312" w:eastAsia="仿宋_GB2312"/>
                <w:sz w:val="24"/>
              </w:rPr>
              <w:t>路瑞杰</w:t>
            </w:r>
          </w:p>
        </w:tc>
        <w:tc>
          <w:tcPr>
            <w:tcW w:w="3087" w:type="dxa"/>
            <w:vAlign w:val="top"/>
          </w:tcPr>
          <w:p>
            <w:pPr>
              <w:spacing w:line="360" w:lineRule="auto"/>
              <w:rPr>
                <w:rFonts w:ascii="仿宋_GB2312" w:eastAsia="仿宋_GB2312"/>
                <w:sz w:val="24"/>
              </w:rPr>
            </w:pPr>
            <w:r>
              <w:rPr>
                <w:rFonts w:hint="eastAsia" w:ascii="仿宋_GB2312" w:eastAsia="仿宋_GB2312"/>
                <w:sz w:val="24"/>
              </w:rPr>
              <w:t>0371-8551</w:t>
            </w:r>
            <w:r>
              <w:rPr>
                <w:rFonts w:ascii="仿宋_GB2312" w:eastAsia="仿宋_GB2312"/>
                <w:sz w:val="24"/>
              </w:rPr>
              <w:t>7572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cantSplit/>
          <w:trHeight w:val="310" w:hRule="atLeast"/>
          <w:jc w:val="center"/>
        </w:trPr>
        <w:tc>
          <w:tcPr>
            <w:tcW w:w="2263" w:type="dxa"/>
            <w:vMerge w:val="continue"/>
            <w:vAlign w:val="top"/>
          </w:tcPr>
          <w:p>
            <w:pPr>
              <w:spacing w:line="360" w:lineRule="auto"/>
              <w:rPr>
                <w:rFonts w:ascii="仿宋_GB2312" w:eastAsia="仿宋_GB2312"/>
                <w:sz w:val="24"/>
              </w:rPr>
            </w:pPr>
          </w:p>
        </w:tc>
        <w:tc>
          <w:tcPr>
            <w:tcW w:w="2803" w:type="dxa"/>
            <w:gridSpan w:val="2"/>
            <w:vAlign w:val="top"/>
          </w:tcPr>
          <w:p>
            <w:pPr>
              <w:spacing w:line="360" w:lineRule="auto"/>
              <w:rPr>
                <w:rFonts w:ascii="仿宋_GB2312" w:eastAsia="仿宋_GB2312"/>
                <w:sz w:val="24"/>
              </w:rPr>
            </w:pPr>
            <w:r>
              <w:rPr>
                <w:rFonts w:hint="eastAsia" w:ascii="仿宋_GB2312" w:eastAsia="仿宋_GB2312"/>
                <w:sz w:val="24"/>
              </w:rPr>
              <w:t>曹亚蕊</w:t>
            </w:r>
          </w:p>
        </w:tc>
        <w:tc>
          <w:tcPr>
            <w:tcW w:w="3087" w:type="dxa"/>
            <w:vAlign w:val="top"/>
          </w:tcPr>
          <w:p>
            <w:pPr>
              <w:spacing w:line="360" w:lineRule="auto"/>
              <w:rPr>
                <w:rFonts w:ascii="仿宋_GB2312" w:eastAsia="仿宋_GB2312"/>
                <w:sz w:val="24"/>
              </w:rPr>
            </w:pPr>
            <w:r>
              <w:rPr>
                <w:rFonts w:ascii="仿宋_GB2312" w:eastAsia="仿宋_GB2312"/>
                <w:sz w:val="24"/>
              </w:rPr>
              <w:t>0371-85519869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cantSplit/>
          <w:jc w:val="center"/>
        </w:trPr>
        <w:tc>
          <w:tcPr>
            <w:tcW w:w="8153" w:type="dxa"/>
            <w:gridSpan w:val="4"/>
            <w:vAlign w:val="top"/>
          </w:tcPr>
          <w:p>
            <w:pPr>
              <w:spacing w:line="360" w:lineRule="auto"/>
              <w:rPr>
                <w:rFonts w:ascii="仿宋_GB2312" w:eastAsia="仿宋_GB2312"/>
                <w:sz w:val="24"/>
              </w:rPr>
            </w:pPr>
            <w:r>
              <w:rPr>
                <w:rFonts w:hint="eastAsia" w:ascii="仿宋_GB2312" w:eastAsia="仿宋_GB2312"/>
                <w:sz w:val="24"/>
              </w:rPr>
              <w:t>备注： 1、指令发送用章须与个人签字同时出具，方为有效。</w:t>
            </w:r>
          </w:p>
          <w:p>
            <w:pPr>
              <w:spacing w:line="360" w:lineRule="auto"/>
              <w:rPr>
                <w:rFonts w:ascii="仿宋_GB2312" w:eastAsia="仿宋_GB2312"/>
                <w:sz w:val="24"/>
              </w:rPr>
            </w:pPr>
            <w:r>
              <w:rPr>
                <w:rFonts w:hint="eastAsia" w:ascii="仿宋_GB2312" w:eastAsia="仿宋_GB2312"/>
                <w:sz w:val="24"/>
              </w:rPr>
              <w:t xml:space="preserve">       2、权限类型：经办、审批。</w:t>
            </w:r>
          </w:p>
          <w:p>
            <w:pPr>
              <w:spacing w:line="360" w:lineRule="auto"/>
              <w:rPr>
                <w:rFonts w:ascii="仿宋_GB2312" w:eastAsia="仿宋_GB2312"/>
                <w:sz w:val="24"/>
              </w:rPr>
            </w:pPr>
            <w:r>
              <w:rPr>
                <w:rFonts w:hint="eastAsia" w:ascii="仿宋_GB2312" w:eastAsia="仿宋_GB2312"/>
                <w:sz w:val="24"/>
              </w:rPr>
              <w:t xml:space="preserve">       3、须指定至少一位指令确认人。</w:t>
            </w:r>
          </w:p>
        </w:tc>
      </w:tr>
    </w:tbl>
    <w:p>
      <w:pPr>
        <w:spacing w:line="360" w:lineRule="auto"/>
        <w:ind w:right="560"/>
        <w:jc w:val="left"/>
        <w:rPr>
          <w:rFonts w:ascii="仿宋_GB2312" w:eastAsia="仿宋_GB2312"/>
          <w:sz w:val="24"/>
          <w:szCs w:val="28"/>
        </w:rPr>
      </w:pP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eastAsia="仿宋_GB2312"/>
          <w:sz w:val="24"/>
          <w:szCs w:val="28"/>
        </w:rPr>
        <w:t>中原银行股份有限公司（公章）：</w:t>
      </w:r>
    </w:p>
    <w:p>
      <w:pPr>
        <w:spacing w:line="360" w:lineRule="auto"/>
        <w:ind w:right="280"/>
        <w:jc w:val="left"/>
        <w:rPr>
          <w:rFonts w:ascii="仿宋_GB2312" w:eastAsia="仿宋_GB2312"/>
          <w:sz w:val="24"/>
          <w:szCs w:val="28"/>
        </w:rPr>
      </w:pPr>
      <w:r>
        <w:rPr>
          <w:rFonts w:hint="eastAsia" w:ascii="仿宋_GB2312" w:eastAsia="仿宋_GB2312"/>
          <w:sz w:val="24"/>
          <w:szCs w:val="28"/>
        </w:rPr>
        <w:t xml:space="preserve">        </w:t>
      </w:r>
      <w:r>
        <w:rPr>
          <w:rFonts w:ascii="仿宋_GB2312" w:eastAsia="仿宋_GB2312"/>
          <w:sz w:val="24"/>
          <w:szCs w:val="28"/>
        </w:rPr>
        <w:t xml:space="preserve">                                    </w:t>
      </w:r>
      <w:r>
        <w:rPr>
          <w:rFonts w:hint="eastAsia" w:ascii="仿宋_GB2312" w:eastAsia="仿宋_GB2312"/>
          <w:sz w:val="24"/>
          <w:szCs w:val="28"/>
        </w:rPr>
        <w:t>法定代表人（或授权代理人）：</w:t>
      </w:r>
    </w:p>
    <w:p>
      <w:pPr>
        <w:ind w:right="480" w:firstLine="7200" w:firstLineChars="3000"/>
        <w:rPr>
          <w:sz w:val="20"/>
        </w:rPr>
      </w:pPr>
      <w:r>
        <w:rPr>
          <w:rFonts w:hint="eastAsia" w:ascii="仿宋_GB2312" w:eastAsia="仿宋_GB2312"/>
          <w:sz w:val="24"/>
          <w:szCs w:val="28"/>
        </w:rPr>
        <w:t>年</w:t>
      </w:r>
      <w:r>
        <w:rPr>
          <w:rFonts w:ascii="仿宋_GB2312" w:eastAsia="仿宋_GB2312"/>
          <w:sz w:val="24"/>
          <w:szCs w:val="28"/>
        </w:rPr>
        <w:t xml:space="preserve">  </w:t>
      </w:r>
      <w:r>
        <w:rPr>
          <w:rFonts w:hint="eastAsia" w:ascii="仿宋_GB2312" w:eastAsia="仿宋_GB2312"/>
          <w:sz w:val="24"/>
          <w:szCs w:val="28"/>
        </w:rPr>
        <w:t>月</w:t>
      </w:r>
      <w:r>
        <w:rPr>
          <w:rFonts w:ascii="仿宋_GB2312" w:eastAsia="仿宋_GB2312"/>
          <w:sz w:val="24"/>
          <w:szCs w:val="28"/>
        </w:rPr>
        <w:t xml:space="preserve">  </w:t>
      </w:r>
      <w:r>
        <w:rPr>
          <w:rFonts w:hint="eastAsia" w:ascii="仿宋_GB2312" w:eastAsia="仿宋_GB2312"/>
          <w:sz w:val="24"/>
          <w:szCs w:val="28"/>
        </w:rPr>
        <w:t>日</w:t>
      </w:r>
    </w:p>
    <w:p>
      <w:pPr>
        <w:spacing w:line="360" w:lineRule="auto"/>
        <w:ind w:firstLine="700" w:firstLineChars="249"/>
        <w:rPr>
          <w:rFonts w:ascii="仿宋_GB2312" w:hAnsi="仿宋_GB2312" w:eastAsia="仿宋_GB2312"/>
          <w:b/>
          <w:sz w:val="28"/>
          <w:szCs w:val="28"/>
        </w:rPr>
      </w:pPr>
    </w:p>
    <w:p>
      <w:pPr>
        <w:spacing w:line="360" w:lineRule="auto"/>
        <w:ind w:firstLine="700" w:firstLineChars="249"/>
        <w:rPr>
          <w:rFonts w:ascii="仿宋_GB2312" w:hAnsi="仿宋_GB2312" w:eastAsia="仿宋_GB2312"/>
          <w:b/>
          <w:sz w:val="28"/>
          <w:szCs w:val="28"/>
        </w:rPr>
      </w:pPr>
      <w:r>
        <w:rPr>
          <w:rFonts w:hint="eastAsia" w:ascii="仿宋_GB2312" w:hAnsi="仿宋_GB2312" w:eastAsia="仿宋_GB2312"/>
          <w:b/>
          <w:sz w:val="28"/>
          <w:szCs w:val="28"/>
        </w:rPr>
        <w:t>附件四：</w:t>
      </w:r>
    </w:p>
    <w:p>
      <w:pPr>
        <w:spacing w:line="360" w:lineRule="auto"/>
        <w:ind w:firstLine="562" w:firstLineChars="200"/>
        <w:jc w:val="center"/>
        <w:rPr>
          <w:rFonts w:ascii="仿宋_GB2312" w:hAnsi="仿宋_GB2312" w:eastAsia="仿宋_GB2312"/>
          <w:b/>
          <w:sz w:val="28"/>
          <w:szCs w:val="28"/>
        </w:rPr>
      </w:pPr>
    </w:p>
    <w:p>
      <w:pPr>
        <w:spacing w:line="360" w:lineRule="auto"/>
        <w:ind w:firstLine="562" w:firstLineChars="200"/>
        <w:jc w:val="center"/>
        <w:rPr>
          <w:rFonts w:ascii="仿宋_GB2312" w:eastAsia="仿宋_GB2312"/>
          <w:b/>
          <w:color w:val="000000"/>
          <w:sz w:val="28"/>
          <w:szCs w:val="28"/>
        </w:rPr>
      </w:pPr>
      <w:r>
        <w:rPr>
          <w:rFonts w:hint="eastAsia" w:ascii="仿宋_GB2312" w:eastAsia="仿宋_GB2312"/>
          <w:b/>
          <w:color w:val="000000"/>
          <w:sz w:val="28"/>
          <w:szCs w:val="28"/>
        </w:rPr>
        <w:t>监督事项表</w:t>
      </w:r>
    </w:p>
    <w:p>
      <w:pPr>
        <w:spacing w:line="360" w:lineRule="auto"/>
        <w:ind w:firstLine="643" w:firstLineChars="200"/>
        <w:jc w:val="center"/>
        <w:rPr>
          <w:rFonts w:ascii="仿宋_GB2312" w:eastAsia="仿宋_GB2312"/>
          <w:b/>
          <w:color w:val="000000"/>
          <w:sz w:val="32"/>
          <w:szCs w:val="32"/>
        </w:rPr>
      </w:pP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top"/>
          </w:tcPr>
          <w:p>
            <w:pPr>
              <w:spacing w:line="590" w:lineRule="exact"/>
              <w:jc w:val="center"/>
              <w:rPr>
                <w:rFonts w:ascii="仿宋_GB2312" w:eastAsia="仿宋_GB2312"/>
                <w:color w:val="000000"/>
                <w:sz w:val="28"/>
                <w:szCs w:val="28"/>
              </w:rPr>
            </w:pPr>
            <w:r>
              <w:rPr>
                <w:rFonts w:hint="eastAsia" w:ascii="仿宋_GB2312" w:eastAsia="仿宋_GB2312"/>
                <w:color w:val="000000"/>
                <w:sz w:val="28"/>
                <w:szCs w:val="28"/>
              </w:rPr>
              <w:t>内容</w:t>
            </w:r>
          </w:p>
        </w:tc>
        <w:tc>
          <w:tcPr>
            <w:tcW w:w="4261" w:type="dxa"/>
            <w:vAlign w:val="top"/>
          </w:tcPr>
          <w:p>
            <w:pPr>
              <w:spacing w:line="590" w:lineRule="exact"/>
              <w:jc w:val="center"/>
              <w:rPr>
                <w:rFonts w:ascii="仿宋_GB2312" w:eastAsia="仿宋_GB2312"/>
                <w:color w:val="000000"/>
                <w:sz w:val="28"/>
                <w:szCs w:val="28"/>
              </w:rPr>
            </w:pPr>
            <w:r>
              <w:rPr>
                <w:rFonts w:hint="eastAsia" w:ascii="仿宋_GB2312" w:eastAsia="仿宋_GB2312"/>
                <w:color w:val="000000"/>
                <w:sz w:val="28"/>
                <w:szCs w:val="28"/>
              </w:rPr>
              <w:t>监控计量说明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top"/>
          </w:tcPr>
          <w:p>
            <w:pPr>
              <w:spacing w:line="590" w:lineRule="exact"/>
              <w:rPr>
                <w:rFonts w:ascii="仿宋_GB2312" w:eastAsia="仿宋_GB2312"/>
                <w:color w:val="000000"/>
                <w:sz w:val="28"/>
                <w:szCs w:val="28"/>
              </w:rPr>
            </w:pPr>
            <w:r>
              <w:rPr>
                <w:rFonts w:hint="eastAsia" w:ascii="仿宋_GB2312" w:eastAsia="仿宋_GB2312"/>
                <w:color w:val="000000"/>
                <w:sz w:val="28"/>
                <w:szCs w:val="28"/>
              </w:rPr>
              <w:t>一、投资范围</w:t>
            </w:r>
          </w:p>
        </w:tc>
        <w:tc>
          <w:tcPr>
            <w:tcW w:w="4261" w:type="dxa"/>
            <w:vAlign w:val="top"/>
          </w:tcPr>
          <w:p>
            <w:pPr>
              <w:spacing w:line="590" w:lineRule="exac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top"/>
          </w:tcPr>
          <w:p>
            <w:pPr>
              <w:spacing w:line="590" w:lineRule="exact"/>
              <w:rPr>
                <w:rFonts w:ascii="仿宋_GB2312" w:eastAsia="仿宋_GB2312"/>
                <w:color w:val="000000"/>
                <w:sz w:val="28"/>
                <w:szCs w:val="28"/>
              </w:rPr>
            </w:pPr>
            <w:r>
              <w:rPr>
                <w:rFonts w:hint="eastAsia" w:ascii="仿宋_GB2312" w:hAnsi="宋体" w:eastAsia="仿宋_GB2312"/>
                <w:color w:val="000000"/>
                <w:spacing w:val="6"/>
                <w:sz w:val="28"/>
                <w:szCs w:val="28"/>
              </w:rPr>
              <w:t>银行存款、国债、金融债、央行票据、其他债券、股票、项目收受益权、同业借款、各类资管计划、各类信托计划、债券回购、同业存单、资产支持证券、债权融资计划、证券投资基金</w:t>
            </w:r>
          </w:p>
        </w:tc>
        <w:tc>
          <w:tcPr>
            <w:tcW w:w="4261" w:type="dxa"/>
            <w:vAlign w:val="top"/>
          </w:tcPr>
          <w:p>
            <w:pPr>
              <w:spacing w:line="590" w:lineRule="exac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tcBorders>
              <w:bottom w:val="single" w:color="auto" w:sz="4" w:space="0"/>
            </w:tcBorders>
            <w:vAlign w:val="top"/>
          </w:tcPr>
          <w:p>
            <w:pPr>
              <w:spacing w:line="590" w:lineRule="exact"/>
              <w:rPr>
                <w:rFonts w:ascii="仿宋_GB2312" w:eastAsia="仿宋_GB2312"/>
                <w:color w:val="000000"/>
                <w:sz w:val="28"/>
                <w:szCs w:val="28"/>
              </w:rPr>
            </w:pPr>
            <w:r>
              <w:rPr>
                <w:rFonts w:hint="eastAsia" w:ascii="仿宋_GB2312" w:eastAsia="仿宋_GB2312"/>
                <w:color w:val="000000"/>
                <w:sz w:val="28"/>
                <w:szCs w:val="28"/>
              </w:rPr>
              <w:t>二、投资比例</w:t>
            </w:r>
          </w:p>
        </w:tc>
        <w:tc>
          <w:tcPr>
            <w:tcW w:w="4261" w:type="dxa"/>
            <w:tcBorders>
              <w:bottom w:val="single" w:color="auto" w:sz="4" w:space="0"/>
            </w:tcBorders>
            <w:vAlign w:val="top"/>
          </w:tcPr>
          <w:p>
            <w:pPr>
              <w:spacing w:line="590" w:lineRule="exac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tcBorders>
              <w:top w:val="single" w:color="auto" w:sz="4" w:space="0"/>
              <w:left w:val="single" w:color="auto" w:sz="4" w:space="0"/>
              <w:bottom w:val="single" w:color="auto" w:sz="4" w:space="0"/>
              <w:right w:val="single" w:color="auto" w:sz="4" w:space="0"/>
            </w:tcBorders>
            <w:vAlign w:val="top"/>
          </w:tcPr>
          <w:p>
            <w:pPr>
              <w:spacing w:line="590" w:lineRule="exact"/>
              <w:rPr>
                <w:rFonts w:ascii="仿宋_GB2312" w:eastAsia="仿宋_GB2312"/>
                <w:color w:val="000000"/>
                <w:sz w:val="28"/>
                <w:szCs w:val="28"/>
              </w:rPr>
            </w:pPr>
            <w:r>
              <w:rPr>
                <w:rFonts w:hint="eastAsia" w:ascii="仿宋_GB2312" w:eastAsia="仿宋_GB2312"/>
                <w:color w:val="000000"/>
                <w:sz w:val="28"/>
                <w:szCs w:val="28"/>
              </w:rPr>
              <w:t>本计划总资产占净资产的比例不得超过200%。</w:t>
            </w:r>
          </w:p>
        </w:tc>
        <w:tc>
          <w:tcPr>
            <w:tcW w:w="4261" w:type="dxa"/>
            <w:tcBorders>
              <w:top w:val="single" w:color="auto" w:sz="4" w:space="0"/>
              <w:left w:val="single" w:color="auto" w:sz="4" w:space="0"/>
              <w:bottom w:val="single" w:color="auto" w:sz="4" w:space="0"/>
              <w:right w:val="single" w:color="auto" w:sz="4" w:space="0"/>
            </w:tcBorders>
            <w:vAlign w:val="top"/>
          </w:tcPr>
          <w:p>
            <w:pPr>
              <w:spacing w:line="590" w:lineRule="exact"/>
              <w:rPr>
                <w:rFonts w:ascii="仿宋_GB2312" w:eastAsia="仿宋_GB2312"/>
                <w:color w:val="000000"/>
                <w:sz w:val="28"/>
                <w:szCs w:val="28"/>
              </w:rPr>
            </w:pPr>
          </w:p>
        </w:tc>
      </w:tr>
    </w:tbl>
    <w:p>
      <w:pPr>
        <w:spacing w:line="590" w:lineRule="exact"/>
        <w:rPr>
          <w:rFonts w:ascii="仿宋_GB2312" w:eastAsia="仿宋_GB2312"/>
          <w:color w:val="000000"/>
          <w:sz w:val="32"/>
          <w:szCs w:val="32"/>
        </w:rPr>
      </w:pPr>
    </w:p>
    <w:p>
      <w:pPr>
        <w:spacing w:line="360" w:lineRule="auto"/>
        <w:ind w:firstLine="562" w:firstLineChars="200"/>
        <w:rPr>
          <w:rFonts w:ascii="仿宋_GB2312" w:hAnsi="仿宋_GB2312" w:eastAsia="仿宋_GB2312"/>
          <w:b/>
          <w:sz w:val="28"/>
          <w:szCs w:val="28"/>
        </w:rPr>
      </w:pPr>
    </w:p>
    <w:p>
      <w:pPr>
        <w:spacing w:line="360" w:lineRule="auto"/>
        <w:ind w:firstLine="562" w:firstLineChars="200"/>
        <w:rPr>
          <w:rFonts w:ascii="仿宋_GB2312" w:hAnsi="仿宋_GB2312" w:eastAsia="仿宋_GB2312"/>
          <w:b/>
          <w:sz w:val="28"/>
          <w:szCs w:val="28"/>
        </w:rPr>
      </w:pPr>
    </w:p>
    <w:p>
      <w:pPr>
        <w:spacing w:line="360" w:lineRule="auto"/>
        <w:ind w:firstLine="562" w:firstLineChars="200"/>
        <w:rPr>
          <w:rFonts w:ascii="仿宋_GB2312" w:hAnsi="仿宋_GB2312" w:eastAsia="仿宋_GB2312"/>
          <w:b/>
          <w:sz w:val="28"/>
          <w:szCs w:val="28"/>
        </w:rPr>
      </w:pPr>
    </w:p>
    <w:p>
      <w:pPr>
        <w:spacing w:line="360" w:lineRule="auto"/>
        <w:ind w:firstLine="562" w:firstLineChars="200"/>
        <w:rPr>
          <w:rFonts w:ascii="仿宋_GB2312" w:hAnsi="仿宋_GB2312" w:eastAsia="仿宋_GB2312"/>
          <w:b/>
          <w:sz w:val="28"/>
          <w:szCs w:val="28"/>
        </w:rPr>
      </w:pPr>
    </w:p>
    <w:p>
      <w:pPr>
        <w:spacing w:line="360" w:lineRule="auto"/>
        <w:ind w:firstLine="562" w:firstLineChars="200"/>
        <w:rPr>
          <w:rFonts w:ascii="仿宋_GB2312" w:hAnsi="仿宋_GB2312" w:eastAsia="仿宋_GB2312"/>
          <w:b/>
          <w:sz w:val="28"/>
          <w:szCs w:val="28"/>
        </w:rPr>
      </w:pPr>
    </w:p>
    <w:p>
      <w:pPr>
        <w:spacing w:line="360" w:lineRule="auto"/>
        <w:ind w:firstLine="562" w:firstLineChars="200"/>
        <w:rPr>
          <w:rFonts w:ascii="仿宋_GB2312" w:hAnsi="仿宋_GB2312" w:eastAsia="仿宋_GB2312"/>
          <w:b/>
          <w:sz w:val="28"/>
          <w:szCs w:val="28"/>
        </w:rPr>
      </w:pPr>
    </w:p>
    <w:p>
      <w:pPr>
        <w:spacing w:line="360" w:lineRule="auto"/>
        <w:ind w:firstLine="562" w:firstLineChars="200"/>
        <w:rPr>
          <w:rFonts w:ascii="仿宋_GB2312" w:hAnsi="仿宋_GB2312" w:eastAsia="仿宋_GB2312"/>
          <w:b/>
          <w:sz w:val="28"/>
          <w:szCs w:val="28"/>
        </w:rPr>
      </w:pPr>
    </w:p>
    <w:p>
      <w:pPr>
        <w:spacing w:line="360" w:lineRule="auto"/>
        <w:ind w:firstLine="700" w:firstLineChars="249"/>
        <w:rPr>
          <w:rFonts w:ascii="仿宋_GB2312" w:hAnsi="仿宋_GB2312" w:eastAsia="仿宋_GB2312"/>
          <w:b/>
          <w:sz w:val="28"/>
          <w:szCs w:val="28"/>
        </w:rPr>
      </w:pPr>
      <w:r>
        <w:rPr>
          <w:rFonts w:ascii="仿宋_GB2312" w:hAnsi="仿宋_GB2312" w:eastAsia="仿宋_GB2312"/>
          <w:b/>
          <w:sz w:val="28"/>
          <w:szCs w:val="28"/>
        </w:rPr>
        <w:br w:type="page"/>
      </w:r>
      <w:r>
        <w:rPr>
          <w:rFonts w:hint="eastAsia" w:ascii="仿宋_GB2312" w:hAnsi="仿宋_GB2312" w:eastAsia="仿宋_GB2312"/>
          <w:b/>
          <w:sz w:val="28"/>
          <w:szCs w:val="28"/>
        </w:rPr>
        <w:t>附件五：</w:t>
      </w:r>
    </w:p>
    <w:p>
      <w:pPr>
        <w:spacing w:before="60" w:after="60" w:line="360" w:lineRule="auto"/>
        <w:jc w:val="center"/>
        <w:rPr>
          <w:rFonts w:ascii="宋体" w:hAnsi="宋体"/>
          <w:b/>
          <w:sz w:val="28"/>
          <w:szCs w:val="28"/>
        </w:rPr>
      </w:pPr>
    </w:p>
    <w:p>
      <w:pPr>
        <w:spacing w:before="60" w:after="60" w:line="360" w:lineRule="auto"/>
        <w:jc w:val="center"/>
        <w:rPr>
          <w:rFonts w:ascii="宋体" w:hAnsi="宋体"/>
          <w:sz w:val="24"/>
        </w:rPr>
      </w:pPr>
      <w:r>
        <w:rPr>
          <w:rFonts w:hint="eastAsia" w:ascii="宋体" w:hAnsi="宋体"/>
          <w:b/>
          <w:sz w:val="28"/>
          <w:szCs w:val="28"/>
        </w:rPr>
        <w:t>托管运作起始通知书</w:t>
      </w:r>
    </w:p>
    <w:p>
      <w:pPr>
        <w:spacing w:line="360" w:lineRule="auto"/>
        <w:rPr>
          <w:rFonts w:ascii="仿宋_GB2312" w:hAnsi="宋体" w:eastAsia="仿宋_GB2312"/>
          <w:sz w:val="28"/>
          <w:szCs w:val="28"/>
        </w:rPr>
      </w:pPr>
      <w:r>
        <w:rPr>
          <w:rFonts w:hint="eastAsia" w:ascii="仿宋_GB2312" w:hAnsi="宋体" w:eastAsia="仿宋_GB2312"/>
          <w:sz w:val="28"/>
          <w:szCs w:val="28"/>
        </w:rPr>
        <w:t>中信</w:t>
      </w:r>
      <w:r>
        <w:rPr>
          <w:rFonts w:hint="eastAsia" w:ascii="仿宋_GB2312" w:hAnsi="宋体" w:eastAsia="仿宋_GB2312"/>
          <w:sz w:val="28"/>
          <w:szCs w:val="28"/>
        </w:rPr>
        <w:t>银行股份有限公司</w:t>
      </w:r>
      <w:r>
        <w:rPr>
          <w:rFonts w:hint="eastAsia" w:ascii="仿宋_GB2312" w:hAnsi="宋体" w:eastAsia="仿宋_GB2312"/>
          <w:sz w:val="28"/>
          <w:szCs w:val="28"/>
        </w:rPr>
        <w:t>郑州</w:t>
      </w:r>
      <w:r>
        <w:rPr>
          <w:rFonts w:ascii="仿宋_GB2312" w:hAnsi="宋体" w:eastAsia="仿宋_GB2312"/>
          <w:sz w:val="28"/>
          <w:szCs w:val="28"/>
        </w:rPr>
        <w:t>分行</w:t>
      </w:r>
      <w:r>
        <w:rPr>
          <w:rFonts w:hint="eastAsia" w:ascii="仿宋_GB2312" w:hAnsi="宋体" w:eastAsia="仿宋_GB2312"/>
          <w:sz w:val="28"/>
          <w:szCs w:val="28"/>
        </w:rPr>
        <w:t>：</w:t>
      </w: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r>
        <w:rPr>
          <w:rFonts w:ascii="仿宋_GB2312" w:hAnsi="宋体" w:eastAsia="仿宋_GB2312"/>
          <w:sz w:val="28"/>
          <w:szCs w:val="28"/>
        </w:rPr>
        <w:t xml:space="preserve">    我方已完成“</w:t>
      </w:r>
      <w:r>
        <w:rPr>
          <w:rFonts w:hint="eastAsia" w:ascii="仿宋_GB2312" w:hAnsi="宋体" w:eastAsia="仿宋_GB2312" w:cs="方正小标宋"/>
          <w:sz w:val="28"/>
          <w:szCs w:val="28"/>
        </w:rPr>
        <w:t xml:space="preserve"> </w:t>
      </w:r>
      <w:r>
        <w:rPr>
          <w:rFonts w:hint="eastAsia" w:ascii="仿宋_GB2312" w:hAnsi="宋体" w:eastAsia="仿宋_GB2312"/>
          <w:color w:val="000000"/>
          <w:spacing w:val="6"/>
          <w:sz w:val="28"/>
          <w:szCs w:val="28"/>
        </w:rPr>
        <w:t>中原银行鼎盛财富季季盈定期开放净值型理财产品</w:t>
      </w:r>
      <w:r>
        <w:rPr>
          <w:rFonts w:hint="eastAsia" w:ascii="仿宋_GB2312" w:hAnsi="宋体" w:eastAsia="仿宋_GB2312"/>
          <w:color w:val="000000"/>
          <w:spacing w:val="6"/>
          <w:sz w:val="28"/>
          <w:szCs w:val="28"/>
          <w:lang w:eastAsia="zh-CN"/>
        </w:rPr>
        <w:t>（</w:t>
      </w:r>
      <w:r>
        <w:rPr>
          <w:rFonts w:hint="eastAsia" w:ascii="仿宋_GB2312" w:hAnsi="宋体" w:eastAsia="仿宋_GB2312"/>
          <w:color w:val="000000"/>
          <w:spacing w:val="6"/>
          <w:sz w:val="28"/>
          <w:szCs w:val="28"/>
          <w:lang w:val="en-US" w:eastAsia="zh-CN"/>
        </w:rPr>
        <w:t>A</w:t>
      </w:r>
      <w:r>
        <w:rPr>
          <w:rFonts w:hint="eastAsia" w:ascii="仿宋_GB2312" w:hAnsi="宋体" w:eastAsia="仿宋_GB2312"/>
          <w:color w:val="000000"/>
          <w:spacing w:val="6"/>
          <w:sz w:val="28"/>
          <w:szCs w:val="28"/>
          <w:u w:val="single"/>
        </w:rPr>
        <w:t>款</w:t>
      </w:r>
      <w:r>
        <w:rPr>
          <w:rFonts w:hint="eastAsia" w:ascii="仿宋_GB2312" w:hAnsi="宋体" w:eastAsia="仿宋_GB2312"/>
          <w:color w:val="000000"/>
          <w:spacing w:val="6"/>
          <w:sz w:val="28"/>
          <w:szCs w:val="28"/>
          <w:u w:val="single"/>
          <w:lang w:eastAsia="zh-CN"/>
        </w:rPr>
        <w:t>）</w:t>
      </w:r>
      <w:r>
        <w:rPr>
          <w:rFonts w:hint="eastAsia" w:ascii="仿宋_GB2312" w:hAnsi="宋体" w:eastAsia="仿宋_GB2312"/>
          <w:sz w:val="28"/>
          <w:szCs w:val="28"/>
        </w:rPr>
        <w:t>”理财产品资金募集，根据编号为“</w:t>
      </w:r>
      <w:r>
        <w:rPr>
          <w:rFonts w:ascii="仿宋_GB2312" w:hAnsi="宋体" w:eastAsia="仿宋_GB2312"/>
          <w:sz w:val="28"/>
          <w:szCs w:val="28"/>
          <w:u w:val="single"/>
        </w:rPr>
        <w:t xml:space="preserve">             </w:t>
      </w:r>
      <w:r>
        <w:rPr>
          <w:rFonts w:hint="eastAsia" w:ascii="仿宋_GB2312" w:hAnsi="宋体" w:eastAsia="仿宋_GB2312"/>
          <w:sz w:val="28"/>
          <w:szCs w:val="28"/>
        </w:rPr>
        <w:t>”的《</w:t>
      </w:r>
      <w:r>
        <w:rPr>
          <w:rFonts w:hint="eastAsia" w:ascii="仿宋_GB2312" w:hAnsi="宋体" w:eastAsia="仿宋_GB2312"/>
          <w:color w:val="000000"/>
          <w:spacing w:val="6"/>
          <w:sz w:val="28"/>
          <w:szCs w:val="28"/>
        </w:rPr>
        <w:t>中原银行鼎盛财富季季盈定期开放净值型理财产品</w:t>
      </w:r>
      <w:r>
        <w:rPr>
          <w:rFonts w:hint="eastAsia" w:ascii="仿宋_GB2312" w:hAnsi="宋体" w:eastAsia="仿宋_GB2312"/>
          <w:color w:val="000000"/>
          <w:spacing w:val="6"/>
          <w:sz w:val="28"/>
          <w:szCs w:val="28"/>
          <w:lang w:eastAsia="zh-CN"/>
        </w:rPr>
        <w:t>（</w:t>
      </w:r>
      <w:r>
        <w:rPr>
          <w:rFonts w:hint="eastAsia" w:ascii="仿宋_GB2312" w:hAnsi="宋体" w:eastAsia="仿宋_GB2312"/>
          <w:color w:val="000000"/>
          <w:spacing w:val="6"/>
          <w:sz w:val="28"/>
          <w:szCs w:val="28"/>
          <w:lang w:val="en-US" w:eastAsia="zh-CN"/>
        </w:rPr>
        <w:t>A款</w:t>
      </w:r>
      <w:r>
        <w:rPr>
          <w:rFonts w:hint="eastAsia" w:ascii="仿宋_GB2312" w:hAnsi="宋体" w:eastAsia="仿宋_GB2312"/>
          <w:color w:val="000000"/>
          <w:spacing w:val="6"/>
          <w:sz w:val="28"/>
          <w:szCs w:val="28"/>
          <w:lang w:eastAsia="zh-CN"/>
        </w:rPr>
        <w:t>）</w:t>
      </w:r>
      <w:r>
        <w:rPr>
          <w:rFonts w:hint="eastAsia" w:ascii="仿宋_GB2312" w:hAnsi="宋体" w:eastAsia="仿宋_GB2312"/>
          <w:spacing w:val="4"/>
          <w:sz w:val="28"/>
          <w:szCs w:val="28"/>
        </w:rPr>
        <w:t>托管</w:t>
      </w:r>
      <w:r>
        <w:rPr>
          <w:rFonts w:hint="eastAsia" w:ascii="仿宋_GB2312" w:hAnsi="宋体" w:eastAsia="仿宋_GB2312"/>
          <w:sz w:val="28"/>
          <w:szCs w:val="28"/>
        </w:rPr>
        <w:t>协议》，资金人民币</w:t>
      </w:r>
      <w:r>
        <w:rPr>
          <w:rFonts w:ascii="仿宋_GB2312" w:hAnsi="宋体" w:eastAsia="仿宋_GB2312"/>
          <w:sz w:val="28"/>
          <w:szCs w:val="28"/>
        </w:rPr>
        <w:t>XXX元整已划入贵行资金托管专户。</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兹确定</w:t>
      </w:r>
      <w:r>
        <w:rPr>
          <w:rFonts w:ascii="仿宋_GB2312" w:hAnsi="宋体" w:eastAsia="仿宋_GB2312"/>
          <w:sz w:val="28"/>
          <w:szCs w:val="28"/>
        </w:rPr>
        <w:t xml:space="preserve">     </w:t>
      </w:r>
      <w:r>
        <w:rPr>
          <w:rFonts w:hint="eastAsia" w:ascii="仿宋_GB2312" w:hAnsi="宋体" w:eastAsia="仿宋_GB2312"/>
          <w:sz w:val="28"/>
          <w:szCs w:val="28"/>
        </w:rPr>
        <w:t>年</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日</w:t>
      </w:r>
      <w:r>
        <w:rPr>
          <w:rFonts w:ascii="仿宋_GB2312" w:hAnsi="宋体" w:eastAsia="仿宋_GB2312"/>
          <w:sz w:val="28"/>
          <w:szCs w:val="28"/>
        </w:rPr>
        <w:t xml:space="preserve"> </w:t>
      </w:r>
      <w:r>
        <w:rPr>
          <w:rFonts w:hint="eastAsia" w:ascii="仿宋_GB2312" w:hAnsi="宋体" w:eastAsia="仿宋_GB2312"/>
          <w:sz w:val="28"/>
          <w:szCs w:val="28"/>
        </w:rPr>
        <w:t>为托管运作的起始日。</w:t>
      </w:r>
    </w:p>
    <w:p>
      <w:pPr>
        <w:spacing w:line="360" w:lineRule="auto"/>
        <w:ind w:firstLine="560" w:firstLineChars="200"/>
        <w:rPr>
          <w:rFonts w:ascii="仿宋_GB2312" w:hAnsi="宋体" w:eastAsia="仿宋_GB2312"/>
          <w:sz w:val="28"/>
          <w:szCs w:val="28"/>
        </w:rPr>
      </w:pP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特此通知。</w:t>
      </w:r>
    </w:p>
    <w:p>
      <w:pPr>
        <w:spacing w:line="360" w:lineRule="auto"/>
        <w:ind w:firstLine="4480" w:firstLineChars="1600"/>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ind w:firstLine="4480" w:firstLineChars="1600"/>
        <w:rPr>
          <w:rFonts w:ascii="仿宋_GB2312" w:hAnsi="宋体" w:eastAsia="仿宋_GB2312"/>
          <w:sz w:val="28"/>
          <w:szCs w:val="28"/>
        </w:rPr>
      </w:pPr>
    </w:p>
    <w:p>
      <w:pPr>
        <w:spacing w:before="60" w:after="60" w:line="360" w:lineRule="auto"/>
        <w:jc w:val="right"/>
        <w:rPr>
          <w:rFonts w:ascii="仿宋_GB2312" w:hAnsi="宋体" w:eastAsia="仿宋_GB2312"/>
          <w:sz w:val="28"/>
          <w:szCs w:val="28"/>
        </w:rPr>
      </w:pPr>
      <w:r>
        <w:rPr>
          <w:rFonts w:hint="eastAsia" w:ascii="仿宋_GB2312" w:hAnsi="宋体" w:eastAsia="仿宋_GB2312"/>
          <w:bCs/>
          <w:sz w:val="28"/>
          <w:szCs w:val="28"/>
        </w:rPr>
        <w:t>中原银行股份有限公司</w:t>
      </w:r>
      <w:r>
        <w:rPr>
          <w:rFonts w:ascii="仿宋_GB2312" w:hAnsi="宋体" w:eastAsia="仿宋_GB2312"/>
          <w:sz w:val="28"/>
          <w:szCs w:val="28"/>
        </w:rPr>
        <w:t xml:space="preserve">                                               </w:t>
      </w:r>
    </w:p>
    <w:p>
      <w:pPr>
        <w:spacing w:before="60" w:after="60" w:line="360" w:lineRule="auto"/>
        <w:jc w:val="right"/>
        <w:rPr>
          <w:rFonts w:ascii="仿宋_GB2312" w:hAnsi="华文中宋" w:eastAsia="仿宋_GB2312"/>
          <w:b/>
          <w:sz w:val="28"/>
          <w:szCs w:val="28"/>
        </w:rPr>
      </w:pPr>
      <w:r>
        <w:rPr>
          <w:rFonts w:ascii="仿宋_GB2312" w:hAnsi="宋体" w:eastAsia="仿宋_GB2312"/>
          <w:sz w:val="28"/>
          <w:szCs w:val="28"/>
        </w:rPr>
        <w:t xml:space="preserve">       年    月    日</w:t>
      </w:r>
    </w:p>
    <w:p/>
    <w:p>
      <w:pPr>
        <w:spacing w:line="360" w:lineRule="auto"/>
        <w:ind w:firstLine="562" w:firstLineChars="200"/>
        <w:rPr>
          <w:rFonts w:ascii="仿宋_GB2312" w:hAnsi="仿宋_GB2312" w:eastAsia="仿宋_GB2312"/>
          <w:b/>
          <w:sz w:val="28"/>
          <w:szCs w:val="28"/>
        </w:rPr>
      </w:pPr>
    </w:p>
    <w:p>
      <w:pPr>
        <w:spacing w:line="360" w:lineRule="auto"/>
        <w:ind w:firstLine="562" w:firstLineChars="200"/>
        <w:rPr>
          <w:rFonts w:ascii="仿宋_GB2312" w:hAnsi="仿宋_GB2312" w:eastAsia="仿宋_GB2312"/>
          <w:b/>
          <w:sz w:val="28"/>
          <w:szCs w:val="28"/>
        </w:rPr>
      </w:pPr>
      <w:r>
        <w:rPr>
          <w:rFonts w:ascii="仿宋_GB2312" w:hAnsi="仿宋_GB2312" w:eastAsia="仿宋_GB2312"/>
          <w:b/>
          <w:sz w:val="28"/>
          <w:szCs w:val="28"/>
        </w:rPr>
        <w:br w:type="page"/>
      </w:r>
    </w:p>
    <w:p>
      <w:pPr>
        <w:spacing w:line="360" w:lineRule="auto"/>
        <w:ind w:firstLine="562" w:firstLineChars="200"/>
        <w:rPr>
          <w:rFonts w:ascii="仿宋_GB2312" w:hAnsi="仿宋_GB2312" w:eastAsia="仿宋_GB2312"/>
          <w:b/>
          <w:sz w:val="28"/>
          <w:szCs w:val="28"/>
        </w:rPr>
      </w:pPr>
      <w:r>
        <w:rPr>
          <w:rFonts w:hint="eastAsia" w:ascii="仿宋_GB2312" w:hAnsi="仿宋_GB2312" w:eastAsia="仿宋_GB2312"/>
          <w:b/>
          <w:sz w:val="28"/>
          <w:szCs w:val="28"/>
        </w:rPr>
        <w:t>附件六：</w:t>
      </w:r>
    </w:p>
    <w:p>
      <w:pPr>
        <w:spacing w:line="360" w:lineRule="auto"/>
        <w:ind w:firstLine="562" w:firstLineChars="200"/>
        <w:jc w:val="center"/>
        <w:rPr>
          <w:rFonts w:ascii="仿宋_GB2312" w:hAnsi="仿宋_GB2312" w:eastAsia="仿宋_GB2312"/>
          <w:b/>
          <w:sz w:val="28"/>
          <w:szCs w:val="28"/>
        </w:rPr>
      </w:pPr>
      <w:r>
        <w:rPr>
          <w:rFonts w:hint="eastAsia" w:ascii="仿宋_GB2312" w:hAnsi="仿宋_GB2312" w:eastAsia="仿宋_GB2312"/>
          <w:b/>
          <w:sz w:val="28"/>
          <w:szCs w:val="28"/>
        </w:rPr>
        <w:t>业务联系表</w:t>
      </w:r>
    </w:p>
    <w:p>
      <w:pPr>
        <w:spacing w:line="360" w:lineRule="auto"/>
        <w:ind w:firstLine="560" w:firstLineChars="200"/>
        <w:jc w:val="center"/>
        <w:rPr>
          <w:rFonts w:ascii="仿宋_GB2312" w:hAnsi="仿宋_GB2312" w:eastAsia="仿宋_GB2312"/>
          <w:sz w:val="28"/>
          <w:szCs w:val="28"/>
        </w:rPr>
      </w:pPr>
    </w:p>
    <w:tbl>
      <w:tblPr>
        <w:tblStyle w:val="17"/>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234"/>
        <w:gridCol w:w="2354"/>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00" w:type="dxa"/>
            <w:gridSpan w:val="4"/>
            <w:vAlign w:val="center"/>
          </w:tcPr>
          <w:p>
            <w:pPr>
              <w:spacing w:line="360" w:lineRule="auto"/>
              <w:ind w:firstLine="560" w:firstLineChars="200"/>
              <w:jc w:val="center"/>
              <w:rPr>
                <w:rFonts w:ascii="仿宋_GB2312" w:hAnsi="仿宋_GB2312" w:eastAsia="仿宋_GB2312"/>
                <w:sz w:val="28"/>
                <w:szCs w:val="28"/>
              </w:rPr>
            </w:pPr>
            <w:r>
              <w:rPr>
                <w:rFonts w:hint="eastAsia" w:ascii="仿宋_GB2312" w:hAnsi="仿宋_GB2312" w:eastAsia="仿宋_GB2312"/>
                <w:sz w:val="28"/>
                <w:szCs w:val="28"/>
              </w:rPr>
              <w:t>中信银行股份有限公司郑州分行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姓名</w:t>
            </w:r>
          </w:p>
        </w:tc>
        <w:tc>
          <w:tcPr>
            <w:tcW w:w="2234" w:type="dxa"/>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联系电话</w:t>
            </w:r>
          </w:p>
        </w:tc>
        <w:tc>
          <w:tcPr>
            <w:tcW w:w="2354" w:type="dxa"/>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传真电话</w:t>
            </w:r>
          </w:p>
        </w:tc>
        <w:tc>
          <w:tcPr>
            <w:tcW w:w="2252" w:type="dxa"/>
            <w:vAlign w:val="center"/>
          </w:tcPr>
          <w:p>
            <w:pPr>
              <w:spacing w:line="360" w:lineRule="auto"/>
              <w:ind w:firstLine="560" w:firstLineChars="200"/>
              <w:jc w:val="center"/>
              <w:rPr>
                <w:rFonts w:ascii="仿宋_GB2312" w:hAnsi="仿宋_GB2312" w:eastAsia="仿宋_GB2312"/>
                <w:sz w:val="28"/>
                <w:szCs w:val="28"/>
              </w:rPr>
            </w:pPr>
            <w:r>
              <w:rPr>
                <w:rFonts w:hint="eastAsia" w:ascii="仿宋_GB2312" w:hAnsi="仿宋_GB2312" w:eastAsia="仿宋_GB2312"/>
                <w:sz w:val="28"/>
                <w:szCs w:val="28"/>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周寅祥</w:t>
            </w:r>
          </w:p>
        </w:tc>
        <w:tc>
          <w:tcPr>
            <w:tcW w:w="2234"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0371-55588715</w:t>
            </w:r>
          </w:p>
        </w:tc>
        <w:tc>
          <w:tcPr>
            <w:tcW w:w="2354"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010-58810940</w:t>
            </w:r>
          </w:p>
        </w:tc>
        <w:tc>
          <w:tcPr>
            <w:tcW w:w="2252" w:type="dxa"/>
            <w:vAlign w:val="center"/>
          </w:tcPr>
          <w:p>
            <w:pPr>
              <w:spacing w:line="360" w:lineRule="auto"/>
              <w:ind w:firstLine="560" w:firstLineChars="200"/>
              <w:jc w:val="center"/>
              <w:rPr>
                <w:rFonts w:ascii="仿宋_GB2312" w:hAnsi="仿宋_GB2312" w:eastAsia="仿宋_GB2312"/>
                <w:sz w:val="28"/>
                <w:szCs w:val="28"/>
              </w:rPr>
            </w:pPr>
            <w:r>
              <w:rPr>
                <w:rFonts w:hint="eastAsia" w:ascii="仿宋_GB2312" w:hAnsi="仿宋_GB2312" w:eastAsia="仿宋_GB2312"/>
                <w:sz w:val="28"/>
                <w:szCs w:val="28"/>
              </w:rPr>
              <w:t>清算岗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王璐</w:t>
            </w:r>
          </w:p>
        </w:tc>
        <w:tc>
          <w:tcPr>
            <w:tcW w:w="2234"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0371-55888249</w:t>
            </w:r>
          </w:p>
        </w:tc>
        <w:tc>
          <w:tcPr>
            <w:tcW w:w="2354"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010-58810940</w:t>
            </w:r>
          </w:p>
        </w:tc>
        <w:tc>
          <w:tcPr>
            <w:tcW w:w="2252" w:type="dxa"/>
            <w:vAlign w:val="center"/>
          </w:tcPr>
          <w:p>
            <w:pPr>
              <w:spacing w:line="360" w:lineRule="auto"/>
              <w:ind w:firstLine="560" w:firstLineChars="200"/>
              <w:jc w:val="center"/>
              <w:rPr>
                <w:rFonts w:ascii="仿宋_GB2312" w:hAnsi="仿宋_GB2312" w:eastAsia="仿宋_GB2312"/>
                <w:sz w:val="28"/>
                <w:szCs w:val="28"/>
              </w:rPr>
            </w:pPr>
            <w:r>
              <w:rPr>
                <w:rFonts w:hint="eastAsia" w:ascii="仿宋_GB2312" w:hAnsi="仿宋_GB2312" w:eastAsia="仿宋_GB2312"/>
                <w:sz w:val="28"/>
                <w:szCs w:val="28"/>
              </w:rPr>
              <w:t>清算岗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尹金龙</w:t>
            </w:r>
          </w:p>
        </w:tc>
        <w:tc>
          <w:tcPr>
            <w:tcW w:w="2234"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0371-55588929</w:t>
            </w:r>
          </w:p>
        </w:tc>
        <w:tc>
          <w:tcPr>
            <w:tcW w:w="2354"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18530821626</w:t>
            </w:r>
          </w:p>
        </w:tc>
        <w:tc>
          <w:tcPr>
            <w:tcW w:w="2252" w:type="dxa"/>
            <w:vAlign w:val="center"/>
          </w:tcPr>
          <w:p>
            <w:pPr>
              <w:spacing w:line="360" w:lineRule="auto"/>
              <w:ind w:firstLine="560" w:firstLineChars="200"/>
              <w:jc w:val="center"/>
              <w:rPr>
                <w:rFonts w:ascii="仿宋_GB2312" w:hAnsi="仿宋_GB2312" w:eastAsia="仿宋_GB2312"/>
                <w:sz w:val="28"/>
                <w:szCs w:val="28"/>
              </w:rPr>
            </w:pPr>
            <w:r>
              <w:rPr>
                <w:rFonts w:hint="eastAsia" w:ascii="仿宋_GB2312" w:hAnsi="仿宋_GB2312" w:eastAsia="仿宋_GB2312"/>
                <w:sz w:val="28"/>
                <w:szCs w:val="28"/>
              </w:rPr>
              <w:t>产品岗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惠宁</w:t>
            </w:r>
          </w:p>
        </w:tc>
        <w:tc>
          <w:tcPr>
            <w:tcW w:w="2234"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0371-55588685</w:t>
            </w:r>
          </w:p>
        </w:tc>
        <w:tc>
          <w:tcPr>
            <w:tcW w:w="2354" w:type="dxa"/>
            <w:vAlign w:val="center"/>
          </w:tcPr>
          <w:p>
            <w:pPr>
              <w:spacing w:line="360" w:lineRule="auto"/>
              <w:rPr>
                <w:rFonts w:ascii="仿宋_GB2312" w:hAnsi="仿宋_GB2312" w:eastAsia="仿宋_GB2312"/>
                <w:sz w:val="28"/>
                <w:szCs w:val="28"/>
              </w:rPr>
            </w:pPr>
            <w:r>
              <w:rPr>
                <w:rFonts w:hint="eastAsia" w:ascii="仿宋_GB2312" w:hAnsi="仿宋_GB2312" w:eastAsia="仿宋_GB2312"/>
                <w:sz w:val="28"/>
                <w:szCs w:val="28"/>
              </w:rPr>
              <w:t>010-58810940</w:t>
            </w:r>
          </w:p>
        </w:tc>
        <w:tc>
          <w:tcPr>
            <w:tcW w:w="2252" w:type="dxa"/>
            <w:vAlign w:val="center"/>
          </w:tcPr>
          <w:p>
            <w:pPr>
              <w:spacing w:line="360" w:lineRule="auto"/>
              <w:ind w:firstLine="560" w:firstLineChars="200"/>
              <w:jc w:val="center"/>
              <w:rPr>
                <w:rFonts w:ascii="仿宋_GB2312" w:hAnsi="仿宋_GB2312" w:eastAsia="仿宋_GB2312"/>
                <w:sz w:val="28"/>
                <w:szCs w:val="28"/>
              </w:rPr>
            </w:pPr>
            <w:r>
              <w:rPr>
                <w:rFonts w:hint="eastAsia" w:ascii="仿宋_GB2312" w:hAnsi="仿宋_GB2312" w:eastAsia="仿宋_GB2312"/>
                <w:sz w:val="28"/>
                <w:szCs w:val="28"/>
              </w:rPr>
              <w:t>核算岗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center"/>
          </w:tcPr>
          <w:p>
            <w:pPr>
              <w:spacing w:line="360" w:lineRule="auto"/>
              <w:rPr>
                <w:rFonts w:ascii="仿宋_GB2312" w:hAnsi="仿宋_GB2312" w:eastAsia="仿宋_GB2312"/>
                <w:sz w:val="28"/>
                <w:szCs w:val="28"/>
              </w:rPr>
            </w:pPr>
          </w:p>
        </w:tc>
        <w:tc>
          <w:tcPr>
            <w:tcW w:w="2234" w:type="dxa"/>
            <w:vAlign w:val="center"/>
          </w:tcPr>
          <w:p>
            <w:pPr>
              <w:spacing w:line="360" w:lineRule="auto"/>
              <w:rPr>
                <w:rFonts w:ascii="仿宋_GB2312" w:hAnsi="仿宋_GB2312" w:eastAsia="仿宋_GB2312"/>
                <w:sz w:val="28"/>
                <w:szCs w:val="28"/>
              </w:rPr>
            </w:pPr>
          </w:p>
        </w:tc>
        <w:tc>
          <w:tcPr>
            <w:tcW w:w="2354" w:type="dxa"/>
            <w:vAlign w:val="center"/>
          </w:tcPr>
          <w:p>
            <w:pPr>
              <w:spacing w:line="360" w:lineRule="auto"/>
              <w:rPr>
                <w:rFonts w:ascii="仿宋_GB2312" w:hAnsi="仿宋_GB2312" w:eastAsia="仿宋_GB2312"/>
                <w:sz w:val="28"/>
                <w:szCs w:val="28"/>
              </w:rPr>
            </w:pPr>
          </w:p>
        </w:tc>
        <w:tc>
          <w:tcPr>
            <w:tcW w:w="2252" w:type="dxa"/>
            <w:vAlign w:val="center"/>
          </w:tcPr>
          <w:p>
            <w:pPr>
              <w:spacing w:line="360" w:lineRule="auto"/>
              <w:ind w:firstLine="560" w:firstLineChars="200"/>
              <w:jc w:val="center"/>
              <w:rPr>
                <w:rFonts w:ascii="仿宋_GB2312" w:hAnsi="仿宋_GB2312" w:eastAsia="仿宋_GB2312"/>
                <w:sz w:val="28"/>
                <w:szCs w:val="28"/>
              </w:rPr>
            </w:pPr>
          </w:p>
        </w:tc>
      </w:tr>
    </w:tbl>
    <w:p>
      <w:pPr>
        <w:spacing w:line="360" w:lineRule="auto"/>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 xml:space="preserve">           托管人</w:t>
      </w:r>
      <w:r>
        <w:rPr>
          <w:rFonts w:ascii="仿宋_GB2312" w:hAnsi="仿宋_GB2312" w:eastAsia="仿宋_GB2312"/>
          <w:sz w:val="28"/>
          <w:szCs w:val="28"/>
        </w:rPr>
        <w:t>指定邮箱：</w:t>
      </w:r>
      <w:r>
        <w:rPr>
          <w:rFonts w:hint="eastAsia" w:ascii="仿宋_GB2312" w:hAnsi="仿宋_GB2312" w:eastAsia="仿宋_GB2312"/>
          <w:sz w:val="28"/>
          <w:szCs w:val="28"/>
        </w:rPr>
        <w:t>zxtgzz@citicbank.com</w:t>
      </w:r>
    </w:p>
    <w:p>
      <w:pPr>
        <w:spacing w:line="360" w:lineRule="auto"/>
        <w:ind w:firstLine="560" w:firstLineChars="200"/>
        <w:jc w:val="left"/>
        <w:rPr>
          <w:rFonts w:ascii="仿宋_GB2312" w:hAnsi="仿宋_GB2312" w:eastAsia="仿宋_GB2312"/>
          <w:sz w:val="28"/>
          <w:szCs w:val="28"/>
        </w:rPr>
      </w:pPr>
    </w:p>
    <w:p>
      <w:pPr>
        <w:spacing w:line="360" w:lineRule="auto"/>
        <w:ind w:firstLine="560" w:firstLineChars="200"/>
        <w:jc w:val="right"/>
        <w:rPr>
          <w:rFonts w:ascii="仿宋_GB2312" w:hAnsi="仿宋_GB2312" w:eastAsia="仿宋_GB2312"/>
          <w:sz w:val="28"/>
          <w:szCs w:val="28"/>
        </w:rPr>
      </w:pPr>
    </w:p>
    <w:tbl>
      <w:tblPr>
        <w:tblStyle w:val="17"/>
        <w:tblW w:w="8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22"/>
        <w:gridCol w:w="2976"/>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0" w:type="dxa"/>
            <w:gridSpan w:val="4"/>
            <w:tcBorders>
              <w:bottom w:val="single" w:color="auto" w:sz="4" w:space="0"/>
            </w:tcBorders>
            <w:vAlign w:val="center"/>
          </w:tcPr>
          <w:p>
            <w:pPr>
              <w:spacing w:line="360" w:lineRule="auto"/>
              <w:ind w:firstLine="560" w:firstLineChars="200"/>
              <w:jc w:val="center"/>
              <w:rPr>
                <w:rFonts w:ascii="仿宋_GB2312" w:hAnsi="仿宋_GB2312" w:eastAsia="仿宋_GB2312"/>
                <w:sz w:val="28"/>
                <w:szCs w:val="28"/>
              </w:rPr>
            </w:pPr>
            <w:r>
              <w:rPr>
                <w:rFonts w:hint="eastAsia" w:ascii="仿宋_GB2312" w:hAnsi="仿宋_GB2312" w:eastAsia="仿宋_GB2312"/>
                <w:sz w:val="28"/>
                <w:szCs w:val="28"/>
              </w:rPr>
              <w:t>中原银行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姓名</w:t>
            </w:r>
          </w:p>
        </w:tc>
        <w:tc>
          <w:tcPr>
            <w:tcW w:w="23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联系电话</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sz w:val="28"/>
                <w:szCs w:val="28"/>
              </w:rPr>
            </w:pPr>
            <w:r>
              <w:rPr>
                <w:rFonts w:hint="eastAsia" w:ascii="仿宋_GB2312" w:hAnsi="仿宋_GB2312" w:eastAsia="仿宋_GB2312"/>
                <w:sz w:val="28"/>
                <w:szCs w:val="28"/>
              </w:rPr>
              <w:t>传真电话</w:t>
            </w:r>
          </w:p>
        </w:tc>
        <w:tc>
          <w:tcPr>
            <w:tcW w:w="1442" w:type="dxa"/>
            <w:tcBorders>
              <w:top w:val="single" w:color="auto" w:sz="4" w:space="0"/>
              <w:left w:val="single" w:color="auto" w:sz="4" w:space="0"/>
              <w:bottom w:val="single" w:color="auto" w:sz="4" w:space="0"/>
              <w:right w:val="single" w:color="auto" w:sz="4" w:space="0"/>
            </w:tcBorders>
            <w:vAlign w:val="center"/>
          </w:tcPr>
          <w:p>
            <w:pPr>
              <w:spacing w:line="360" w:lineRule="auto"/>
              <w:ind w:firstLine="560" w:firstLineChars="200"/>
              <w:jc w:val="center"/>
              <w:rPr>
                <w:rFonts w:ascii="仿宋_GB2312" w:hAnsi="仿宋_GB2312" w:eastAsia="仿宋_GB2312"/>
                <w:sz w:val="28"/>
                <w:szCs w:val="28"/>
              </w:rPr>
            </w:pPr>
            <w:r>
              <w:rPr>
                <w:rFonts w:hint="eastAsia" w:ascii="仿宋_GB2312" w:hAnsi="仿宋_GB2312" w:eastAsia="仿宋_GB2312"/>
                <w:sz w:val="28"/>
                <w:szCs w:val="28"/>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tcBorders>
              <w:top w:val="single" w:color="auto" w:sz="4" w:space="0"/>
              <w:left w:val="single" w:color="auto" w:sz="4" w:space="0"/>
              <w:bottom w:val="single" w:color="auto" w:sz="4" w:space="0"/>
              <w:right w:val="single" w:color="auto" w:sz="4" w:space="0"/>
            </w:tcBorders>
            <w:vAlign w:val="top"/>
          </w:tcPr>
          <w:p>
            <w:pPr>
              <w:spacing w:line="360" w:lineRule="auto"/>
              <w:jc w:val="left"/>
              <w:rPr>
                <w:rFonts w:ascii="仿宋_GB2312" w:hAnsi="仿宋_GB2312" w:eastAsia="仿宋_GB2312"/>
                <w:sz w:val="28"/>
                <w:szCs w:val="28"/>
              </w:rPr>
            </w:pPr>
            <w:r>
              <w:rPr>
                <w:rFonts w:hint="eastAsia" w:ascii="仿宋_GB2312" w:hAnsi="仿宋_GB2312" w:eastAsia="仿宋_GB2312"/>
                <w:sz w:val="28"/>
                <w:szCs w:val="28"/>
              </w:rPr>
              <w:t>竟婕</w:t>
            </w:r>
          </w:p>
        </w:tc>
        <w:tc>
          <w:tcPr>
            <w:tcW w:w="2322" w:type="dxa"/>
            <w:tcBorders>
              <w:top w:val="single" w:color="auto" w:sz="4" w:space="0"/>
              <w:left w:val="single" w:color="auto" w:sz="4" w:space="0"/>
              <w:bottom w:val="single" w:color="auto" w:sz="4" w:space="0"/>
              <w:right w:val="single" w:color="auto" w:sz="4" w:space="0"/>
            </w:tcBorders>
            <w:vAlign w:val="top"/>
          </w:tcPr>
          <w:p>
            <w:pPr>
              <w:spacing w:line="360" w:lineRule="auto"/>
              <w:jc w:val="left"/>
              <w:rPr>
                <w:rFonts w:ascii="仿宋_GB2312" w:hAnsi="仿宋_GB2312" w:eastAsia="仿宋_GB2312"/>
                <w:sz w:val="28"/>
                <w:szCs w:val="28"/>
              </w:rPr>
            </w:pPr>
            <w:r>
              <w:rPr>
                <w:rFonts w:hint="eastAsia" w:ascii="仿宋_GB2312" w:hAnsi="仿宋_GB2312" w:eastAsia="仿宋_GB2312"/>
                <w:sz w:val="28"/>
                <w:szCs w:val="28"/>
              </w:rPr>
              <w:t>0371-85517557</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60" w:lineRule="auto"/>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0371-85519869</w:t>
            </w:r>
          </w:p>
        </w:tc>
        <w:tc>
          <w:tcPr>
            <w:tcW w:w="144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hAnsi="仿宋_GB2312" w:eastAsia="仿宋_GB2312"/>
                <w:sz w:val="28"/>
                <w:szCs w:val="28"/>
              </w:rPr>
            </w:pPr>
            <w:r>
              <w:rPr>
                <w:rFonts w:hint="eastAsia" w:ascii="仿宋_GB2312" w:hAnsi="仿宋_GB2312" w:eastAsia="仿宋_GB2312"/>
                <w:sz w:val="28"/>
                <w:szCs w:val="28"/>
              </w:rPr>
              <w:t>指令核对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hAnsi="仿宋_GB2312" w:eastAsia="仿宋_GB2312"/>
                <w:sz w:val="28"/>
                <w:szCs w:val="28"/>
              </w:rPr>
            </w:pPr>
            <w:r>
              <w:rPr>
                <w:rFonts w:hint="eastAsia" w:ascii="仿宋_GB2312" w:hAnsi="仿宋_GB2312" w:eastAsia="仿宋_GB2312"/>
                <w:sz w:val="28"/>
                <w:szCs w:val="28"/>
              </w:rPr>
              <w:t>曹亚蕊</w:t>
            </w:r>
          </w:p>
        </w:tc>
        <w:tc>
          <w:tcPr>
            <w:tcW w:w="232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hAnsi="仿宋_GB2312" w:eastAsia="仿宋_GB2312"/>
                <w:sz w:val="28"/>
                <w:szCs w:val="28"/>
              </w:rPr>
            </w:pPr>
            <w:r>
              <w:rPr>
                <w:rFonts w:hint="eastAsia" w:ascii="仿宋_GB2312" w:hAnsi="仿宋_GB2312" w:eastAsia="仿宋_GB2312"/>
                <w:sz w:val="28"/>
                <w:szCs w:val="28"/>
              </w:rPr>
              <w:t>17737790093</w:t>
            </w:r>
          </w:p>
        </w:tc>
        <w:tc>
          <w:tcPr>
            <w:tcW w:w="2976" w:type="dxa"/>
            <w:tcBorders>
              <w:top w:val="single" w:color="auto" w:sz="4" w:space="0"/>
              <w:left w:val="single" w:color="auto" w:sz="4" w:space="0"/>
              <w:bottom w:val="single" w:color="auto" w:sz="4" w:space="0"/>
              <w:right w:val="single" w:color="auto" w:sz="4" w:space="0"/>
            </w:tcBorders>
            <w:vAlign w:val="top"/>
          </w:tcPr>
          <w:p>
            <w:pPr>
              <w:spacing w:line="360" w:lineRule="auto"/>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0371-85519869</w:t>
            </w:r>
          </w:p>
        </w:tc>
        <w:tc>
          <w:tcPr>
            <w:tcW w:w="144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hAnsi="仿宋_GB2312" w:eastAsia="仿宋_GB2312"/>
                <w:sz w:val="28"/>
                <w:szCs w:val="28"/>
              </w:rPr>
            </w:pPr>
            <w:r>
              <w:rPr>
                <w:rFonts w:hint="eastAsia" w:ascii="仿宋_GB2312" w:hAnsi="仿宋_GB2312" w:eastAsia="仿宋_GB2312"/>
                <w:sz w:val="28"/>
                <w:szCs w:val="28"/>
              </w:rPr>
              <w:t>指令核对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hAnsi="仿宋_GB2312" w:eastAsia="仿宋_GB2312"/>
                <w:sz w:val="28"/>
                <w:szCs w:val="28"/>
              </w:rPr>
            </w:pPr>
            <w:r>
              <w:rPr>
                <w:rFonts w:hint="eastAsia" w:ascii="仿宋_GB2312" w:hAnsi="仿宋_GB2312" w:eastAsia="仿宋_GB2312"/>
                <w:sz w:val="28"/>
                <w:szCs w:val="28"/>
              </w:rPr>
              <w:t>李朝兵</w:t>
            </w:r>
          </w:p>
        </w:tc>
        <w:tc>
          <w:tcPr>
            <w:tcW w:w="232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hAnsi="仿宋_GB2312" w:eastAsia="仿宋_GB2312"/>
                <w:sz w:val="28"/>
                <w:szCs w:val="28"/>
              </w:rPr>
            </w:pPr>
            <w:r>
              <w:rPr>
                <w:rFonts w:hint="eastAsia" w:ascii="仿宋_GB2312" w:hAnsi="仿宋_GB2312" w:eastAsia="仿宋_GB2312"/>
                <w:sz w:val="28"/>
                <w:szCs w:val="28"/>
              </w:rPr>
              <w:t>0371-85517607</w:t>
            </w:r>
          </w:p>
        </w:tc>
        <w:tc>
          <w:tcPr>
            <w:tcW w:w="2976" w:type="dxa"/>
            <w:tcBorders>
              <w:top w:val="single" w:color="auto" w:sz="4" w:space="0"/>
              <w:left w:val="single" w:color="auto" w:sz="4" w:space="0"/>
              <w:bottom w:val="single" w:color="auto" w:sz="4" w:space="0"/>
              <w:right w:val="single" w:color="auto" w:sz="4" w:space="0"/>
            </w:tcBorders>
            <w:vAlign w:val="top"/>
          </w:tcPr>
          <w:p>
            <w:pPr>
              <w:spacing w:line="360" w:lineRule="auto"/>
              <w:ind w:firstLine="560" w:firstLineChars="200"/>
              <w:jc w:val="left"/>
              <w:rPr>
                <w:rFonts w:ascii="仿宋_GB2312" w:hAnsi="仿宋_GB2312" w:eastAsia="仿宋_GB2312"/>
                <w:sz w:val="28"/>
                <w:szCs w:val="28"/>
              </w:rPr>
            </w:pPr>
            <w:r>
              <w:rPr>
                <w:rFonts w:hint="eastAsia" w:ascii="仿宋_GB2312" w:hAnsi="仿宋_GB2312" w:eastAsia="仿宋_GB2312"/>
                <w:sz w:val="28"/>
                <w:szCs w:val="28"/>
              </w:rPr>
              <w:t>0371-85519869</w:t>
            </w:r>
          </w:p>
        </w:tc>
        <w:tc>
          <w:tcPr>
            <w:tcW w:w="144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_GB2312" w:hAnsi="仿宋_GB2312" w:eastAsia="仿宋_GB2312"/>
                <w:sz w:val="28"/>
                <w:szCs w:val="28"/>
              </w:rPr>
            </w:pPr>
            <w:r>
              <w:rPr>
                <w:rFonts w:hint="eastAsia" w:ascii="仿宋_GB2312" w:hAnsi="仿宋_GB2312" w:eastAsia="仿宋_GB2312"/>
                <w:sz w:val="28"/>
                <w:szCs w:val="28"/>
              </w:rPr>
              <w:t>指令核对</w:t>
            </w:r>
          </w:p>
        </w:tc>
      </w:tr>
    </w:tbl>
    <w:p>
      <w:pPr>
        <w:spacing w:line="360" w:lineRule="auto"/>
        <w:ind w:firstLine="560" w:firstLineChars="200"/>
        <w:jc w:val="right"/>
        <w:rPr>
          <w:rFonts w:ascii="仿宋_GB2312" w:hAnsi="仿宋_GB2312" w:eastAsia="仿宋_GB2312"/>
          <w:sz w:val="28"/>
          <w:szCs w:val="28"/>
        </w:rPr>
      </w:pPr>
    </w:p>
    <w:p>
      <w:pPr>
        <w:spacing w:before="40" w:line="520" w:lineRule="exact"/>
        <w:ind w:firstLine="420" w:firstLineChars="200"/>
        <w:outlineLvl w:val="0"/>
      </w:pPr>
    </w:p>
    <w:p>
      <w:pPr>
        <w:spacing w:before="40" w:line="520" w:lineRule="exact"/>
        <w:ind w:firstLine="840" w:firstLineChars="400"/>
        <w:outlineLvl w:val="0"/>
      </w:pPr>
    </w:p>
    <w:p/>
    <w:sectPr>
      <w:pgSz w:w="11906" w:h="16838"/>
      <w:pgMar w:top="851" w:right="567" w:bottom="851" w:left="567" w:header="851" w:footer="992"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
    <w:altName w:val="宋体"/>
    <w:panose1 w:val="00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26</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28972938">
    <w:nsid w:val="5B22468A"/>
    <w:multiLevelType w:val="singleLevel"/>
    <w:tmpl w:val="5B22468A"/>
    <w:lvl w:ilvl="0" w:tentative="1">
      <w:start w:val="3"/>
      <w:numFmt w:val="decimal"/>
      <w:suff w:val="nothing"/>
      <w:lvlText w:val="（%1）"/>
      <w:lvlJc w:val="left"/>
    </w:lvl>
  </w:abstractNum>
  <w:num w:numId="1">
    <w:abstractNumId w:val="15289729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239E0"/>
    <w:rsid w:val="0001107A"/>
    <w:rsid w:val="00062AED"/>
    <w:rsid w:val="000A5A92"/>
    <w:rsid w:val="000C33AF"/>
    <w:rsid w:val="000E6D88"/>
    <w:rsid w:val="000F350F"/>
    <w:rsid w:val="00114038"/>
    <w:rsid w:val="00147E4E"/>
    <w:rsid w:val="00155884"/>
    <w:rsid w:val="001800A0"/>
    <w:rsid w:val="001B2F4B"/>
    <w:rsid w:val="001F29B3"/>
    <w:rsid w:val="00216827"/>
    <w:rsid w:val="00261A3A"/>
    <w:rsid w:val="002A3E25"/>
    <w:rsid w:val="002E10E1"/>
    <w:rsid w:val="002F194B"/>
    <w:rsid w:val="002F599D"/>
    <w:rsid w:val="00302201"/>
    <w:rsid w:val="0031236E"/>
    <w:rsid w:val="00373969"/>
    <w:rsid w:val="00394260"/>
    <w:rsid w:val="003C21AF"/>
    <w:rsid w:val="003C6C97"/>
    <w:rsid w:val="003E4900"/>
    <w:rsid w:val="00437289"/>
    <w:rsid w:val="0045186F"/>
    <w:rsid w:val="00494D43"/>
    <w:rsid w:val="005A5B60"/>
    <w:rsid w:val="00623894"/>
    <w:rsid w:val="006E660E"/>
    <w:rsid w:val="00725977"/>
    <w:rsid w:val="00736792"/>
    <w:rsid w:val="00750C12"/>
    <w:rsid w:val="00791617"/>
    <w:rsid w:val="007B227A"/>
    <w:rsid w:val="007D5CBD"/>
    <w:rsid w:val="007E2CC6"/>
    <w:rsid w:val="0080752D"/>
    <w:rsid w:val="00811CD1"/>
    <w:rsid w:val="00840B1A"/>
    <w:rsid w:val="008D1A19"/>
    <w:rsid w:val="008D657A"/>
    <w:rsid w:val="008E689F"/>
    <w:rsid w:val="00905D89"/>
    <w:rsid w:val="009063EF"/>
    <w:rsid w:val="00907B27"/>
    <w:rsid w:val="00917273"/>
    <w:rsid w:val="00957792"/>
    <w:rsid w:val="00973858"/>
    <w:rsid w:val="00983342"/>
    <w:rsid w:val="009836EE"/>
    <w:rsid w:val="009E476F"/>
    <w:rsid w:val="00A222A2"/>
    <w:rsid w:val="00A45AF9"/>
    <w:rsid w:val="00A61DE5"/>
    <w:rsid w:val="00B23ADF"/>
    <w:rsid w:val="00B67B25"/>
    <w:rsid w:val="00BC58B4"/>
    <w:rsid w:val="00C4336B"/>
    <w:rsid w:val="00C43C16"/>
    <w:rsid w:val="00C63B68"/>
    <w:rsid w:val="00C77539"/>
    <w:rsid w:val="00C944ED"/>
    <w:rsid w:val="00CD11BE"/>
    <w:rsid w:val="00D239E0"/>
    <w:rsid w:val="00D34B01"/>
    <w:rsid w:val="00D97BE3"/>
    <w:rsid w:val="00E1550B"/>
    <w:rsid w:val="00E4373C"/>
    <w:rsid w:val="00E525C0"/>
    <w:rsid w:val="00EC5050"/>
    <w:rsid w:val="00F121AF"/>
    <w:rsid w:val="00F256F1"/>
    <w:rsid w:val="00F51889"/>
    <w:rsid w:val="00FB2409"/>
    <w:rsid w:val="00FE1DEA"/>
    <w:rsid w:val="01257E95"/>
    <w:rsid w:val="2114635B"/>
    <w:rsid w:val="227865D9"/>
    <w:rsid w:val="26F81F74"/>
    <w:rsid w:val="346B298C"/>
    <w:rsid w:val="43735FE6"/>
    <w:rsid w:val="45755183"/>
    <w:rsid w:val="4E05276A"/>
    <w:rsid w:val="509879CA"/>
    <w:rsid w:val="602568CC"/>
    <w:rsid w:val="767C3BF3"/>
    <w:rsid w:val="7A4765EC"/>
    <w:rsid w:val="7C94157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nhideWhenUsed="0" w:uiPriority="0" w:name="annotation text"/>
    <w:lsdException w:uiPriority="99"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kern w:val="44"/>
      <w:sz w:val="44"/>
      <w:szCs w:val="20"/>
    </w:rPr>
  </w:style>
  <w:style w:type="character" w:default="1" w:styleId="13">
    <w:name w:val="Default Paragraph Font"/>
    <w:unhideWhenUsed/>
    <w:uiPriority w:val="1"/>
  </w:style>
  <w:style w:type="table" w:default="1" w:styleId="17">
    <w:name w:val="Normal Table"/>
    <w:unhideWhenUsed/>
    <w:uiPriority w:val="99"/>
    <w:tblPr>
      <w:tblStyle w:val="17"/>
      <w:tblLayout w:type="fixed"/>
      <w:tblCellMar>
        <w:top w:w="0" w:type="dxa"/>
        <w:left w:w="108" w:type="dxa"/>
        <w:bottom w:w="0" w:type="dxa"/>
        <w:right w:w="108" w:type="dxa"/>
      </w:tblCellMar>
    </w:tblPr>
    <w:tcPr>
      <w:textDirection w:val="lrTb"/>
    </w:tcPr>
  </w:style>
  <w:style w:type="paragraph" w:styleId="3">
    <w:name w:val="annotation subject"/>
    <w:basedOn w:val="4"/>
    <w:next w:val="4"/>
    <w:link w:val="26"/>
    <w:unhideWhenUsed/>
    <w:uiPriority w:val="0"/>
    <w:rPr>
      <w:b/>
      <w:bCs/>
    </w:rPr>
  </w:style>
  <w:style w:type="paragraph" w:styleId="4">
    <w:name w:val="annotation text"/>
    <w:basedOn w:val="1"/>
    <w:link w:val="23"/>
    <w:semiHidden/>
    <w:uiPriority w:val="0"/>
    <w:pPr>
      <w:jc w:val="left"/>
    </w:pPr>
  </w:style>
  <w:style w:type="paragraph" w:styleId="5">
    <w:name w:val="Normal Indent"/>
    <w:basedOn w:val="1"/>
    <w:uiPriority w:val="0"/>
    <w:pPr>
      <w:ind w:firstLine="420" w:firstLineChars="200"/>
    </w:pPr>
    <w:rPr>
      <w:kern w:val="0"/>
      <w:sz w:val="20"/>
    </w:rPr>
  </w:style>
  <w:style w:type="paragraph" w:styleId="6">
    <w:name w:val="Body Text Indent"/>
    <w:basedOn w:val="1"/>
    <w:link w:val="21"/>
    <w:uiPriority w:val="0"/>
    <w:pPr>
      <w:spacing w:line="360" w:lineRule="auto"/>
      <w:ind w:firstLine="425"/>
    </w:pPr>
  </w:style>
  <w:style w:type="paragraph" w:styleId="7">
    <w:name w:val="Plain Text"/>
    <w:basedOn w:val="1"/>
    <w:link w:val="22"/>
    <w:uiPriority w:val="0"/>
    <w:rPr>
      <w:rFonts w:ascii="宋体" w:hAnsi="Courier New"/>
      <w:szCs w:val="20"/>
    </w:rPr>
  </w:style>
  <w:style w:type="paragraph" w:styleId="8">
    <w:name w:val="Balloon Text"/>
    <w:basedOn w:val="1"/>
    <w:link w:val="25"/>
    <w:unhideWhenUsed/>
    <w:uiPriority w:val="99"/>
    <w:rPr>
      <w:sz w:val="18"/>
      <w:szCs w:val="18"/>
    </w:rPr>
  </w:style>
  <w:style w:type="paragraph" w:styleId="9">
    <w:name w:val="footer"/>
    <w:basedOn w:val="1"/>
    <w:link w:val="19"/>
    <w:unhideWhenUsed/>
    <w:uiPriority w:val="0"/>
    <w:pPr>
      <w:tabs>
        <w:tab w:val="center" w:pos="4153"/>
        <w:tab w:val="right" w:pos="8306"/>
      </w:tabs>
      <w:snapToGrid w:val="0"/>
      <w:jc w:val="left"/>
    </w:pPr>
    <w:rPr>
      <w:sz w:val="18"/>
      <w:szCs w:val="18"/>
    </w:rPr>
  </w:style>
  <w:style w:type="paragraph" w:styleId="10">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iPriority w:val="39"/>
    <w:rPr>
      <w:szCs w:val="20"/>
    </w:rPr>
  </w:style>
  <w:style w:type="paragraph" w:styleId="12">
    <w:name w:val="Body Text Indent 3"/>
    <w:basedOn w:val="1"/>
    <w:link w:val="24"/>
    <w:uiPriority w:val="0"/>
    <w:pPr>
      <w:spacing w:after="120"/>
      <w:ind w:left="420" w:leftChars="200"/>
    </w:pPr>
    <w:rPr>
      <w:sz w:val="16"/>
      <w:szCs w:val="16"/>
    </w:rPr>
  </w:style>
  <w:style w:type="character" w:styleId="14">
    <w:name w:val="page number"/>
    <w:basedOn w:val="13"/>
    <w:uiPriority w:val="0"/>
    <w:rPr/>
  </w:style>
  <w:style w:type="character" w:styleId="15">
    <w:name w:val="Hyperlink"/>
    <w:uiPriority w:val="99"/>
    <w:rPr>
      <w:color w:val="0000FF"/>
      <w:u w:val="single"/>
    </w:rPr>
  </w:style>
  <w:style w:type="character" w:styleId="16">
    <w:name w:val="annotation reference"/>
    <w:semiHidden/>
    <w:uiPriority w:val="0"/>
    <w:rPr>
      <w:sz w:val="21"/>
      <w:szCs w:val="21"/>
    </w:rPr>
  </w:style>
  <w:style w:type="character" w:customStyle="1" w:styleId="18">
    <w:name w:val="页眉 字符"/>
    <w:link w:val="10"/>
    <w:uiPriority w:val="99"/>
    <w:rPr>
      <w:sz w:val="18"/>
      <w:szCs w:val="18"/>
    </w:rPr>
  </w:style>
  <w:style w:type="character" w:customStyle="1" w:styleId="19">
    <w:name w:val="页脚 字符"/>
    <w:link w:val="9"/>
    <w:semiHidden/>
    <w:uiPriority w:val="99"/>
    <w:rPr>
      <w:sz w:val="18"/>
      <w:szCs w:val="18"/>
    </w:rPr>
  </w:style>
  <w:style w:type="character" w:customStyle="1" w:styleId="20">
    <w:name w:val="标题 1 字符"/>
    <w:link w:val="2"/>
    <w:uiPriority w:val="0"/>
    <w:rPr>
      <w:rFonts w:ascii="Times New Roman" w:hAnsi="Times New Roman" w:eastAsia="宋体" w:cs="Times New Roman"/>
      <w:b/>
      <w:kern w:val="44"/>
      <w:sz w:val="44"/>
      <w:szCs w:val="20"/>
    </w:rPr>
  </w:style>
  <w:style w:type="character" w:customStyle="1" w:styleId="21">
    <w:name w:val="正文文本缩进 字符"/>
    <w:link w:val="6"/>
    <w:uiPriority w:val="0"/>
    <w:rPr>
      <w:rFonts w:ascii="Times New Roman" w:hAnsi="Times New Roman" w:eastAsia="宋体" w:cs="Times New Roman"/>
      <w:szCs w:val="24"/>
    </w:rPr>
  </w:style>
  <w:style w:type="character" w:customStyle="1" w:styleId="22">
    <w:name w:val="纯文本 字符"/>
    <w:link w:val="7"/>
    <w:uiPriority w:val="0"/>
    <w:rPr>
      <w:rFonts w:ascii="宋体" w:hAnsi="Courier New" w:eastAsia="宋体" w:cs="Times New Roman"/>
      <w:szCs w:val="20"/>
    </w:rPr>
  </w:style>
  <w:style w:type="character" w:customStyle="1" w:styleId="23">
    <w:name w:val="批注文字 字符"/>
    <w:link w:val="4"/>
    <w:semiHidden/>
    <w:uiPriority w:val="0"/>
    <w:rPr>
      <w:rFonts w:ascii="Times New Roman" w:hAnsi="Times New Roman" w:eastAsia="宋体" w:cs="Times New Roman"/>
      <w:szCs w:val="24"/>
    </w:rPr>
  </w:style>
  <w:style w:type="character" w:customStyle="1" w:styleId="24">
    <w:name w:val="正文文本缩进 3 字符"/>
    <w:link w:val="12"/>
    <w:uiPriority w:val="0"/>
    <w:rPr>
      <w:rFonts w:ascii="Times New Roman" w:hAnsi="Times New Roman" w:eastAsia="宋体" w:cs="Times New Roman"/>
      <w:sz w:val="16"/>
      <w:szCs w:val="16"/>
    </w:rPr>
  </w:style>
  <w:style w:type="character" w:customStyle="1" w:styleId="25">
    <w:name w:val="批注框文本 字符"/>
    <w:link w:val="8"/>
    <w:semiHidden/>
    <w:uiPriority w:val="99"/>
    <w:rPr>
      <w:rFonts w:ascii="Times New Roman" w:hAnsi="Times New Roman" w:eastAsia="宋体" w:cs="Times New Roman"/>
      <w:sz w:val="18"/>
      <w:szCs w:val="18"/>
    </w:rPr>
  </w:style>
  <w:style w:type="character" w:customStyle="1" w:styleId="26">
    <w:name w:val="批注主题 字符"/>
    <w:link w:val="3"/>
    <w:semiHidden/>
    <w:uiPriority w:val="0"/>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2541</Words>
  <Characters>14484</Characters>
  <Lines>120</Lines>
  <Paragraphs>33</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2019-02-11T08:32:00Z</dcterms:created>
  <dc:creator>万户网络</dc:creator>
  <cp:lastModifiedBy>尹金龙</cp:lastModifiedBy>
  <cp:lastPrinted>2018-12-27T09:46:00Z</cp:lastPrinted>
  <dcterms:modified xsi:type="dcterms:W3CDTF">2019-02-18T09:36:52Z</dcterms:modified>
  <dc:title>中原银行鼎盛财富乾景系列2018年第六期理财产品</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