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overflowPunct w:val="0"/>
        <w:autoSpaceDE w:val="0"/>
        <w:autoSpaceDN w:val="0"/>
        <w:adjustRightInd w:val="0"/>
        <w:rPr>
          <w:rFonts w:ascii="宋体"/>
          <w:b/>
          <w:color w:val="000000"/>
          <w:kern w:val="0"/>
          <w:sz w:val="32"/>
        </w:rPr>
      </w:pPr>
    </w:p>
    <w:p>
      <w:pPr>
        <w:wordWrap w:val="0"/>
        <w:overflowPunct w:val="0"/>
        <w:autoSpaceDE w:val="0"/>
        <w:autoSpaceDN w:val="0"/>
        <w:adjustRightInd w:val="0"/>
        <w:jc w:val="center"/>
        <w:rPr>
          <w:rFonts w:ascii="黑体" w:eastAsia="黑体"/>
          <w:b/>
          <w:color w:val="000000"/>
          <w:kern w:val="0"/>
          <w:sz w:val="36"/>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36"/>
          <w:szCs w:val="36"/>
        </w:rPr>
      </w:pPr>
    </w:p>
    <w:p>
      <w:pPr>
        <w:wordWrap w:val="0"/>
        <w:overflowPunct w:val="0"/>
        <w:autoSpaceDE w:val="0"/>
        <w:autoSpaceDN w:val="0"/>
        <w:adjustRightInd w:val="0"/>
        <w:jc w:val="center"/>
        <w:outlineLvl w:val="0"/>
        <w:rPr>
          <w:rFonts w:ascii="宋体" w:hAnsi="宋体"/>
          <w:b/>
          <w:color w:val="000000"/>
          <w:kern w:val="0"/>
          <w:sz w:val="44"/>
          <w:szCs w:val="44"/>
        </w:rPr>
      </w:pPr>
      <w:r>
        <w:rPr>
          <w:rFonts w:hint="eastAsia" w:ascii="宋体" w:hAnsi="宋体"/>
          <w:b/>
          <w:color w:val="000000"/>
          <w:kern w:val="0"/>
          <w:sz w:val="44"/>
          <w:szCs w:val="44"/>
        </w:rPr>
        <w:t>中原银行鼎盛财富季季盈定期开放净值型理财产品（B款）托管协议</w:t>
      </w: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宋体" w:hAnsi="宋体"/>
          <w:b/>
          <w:color w:val="000000"/>
          <w:kern w:val="0"/>
          <w:sz w:val="32"/>
          <w:szCs w:val="32"/>
        </w:rPr>
      </w:pPr>
      <w:r>
        <w:rPr>
          <w:rFonts w:hint="eastAsia" w:ascii="宋体" w:hAnsi="宋体"/>
          <w:b/>
          <w:color w:val="000000"/>
          <w:kern w:val="0"/>
          <w:sz w:val="32"/>
          <w:szCs w:val="32"/>
        </w:rPr>
        <w:t xml:space="preserve">协议编号：ZYZCGL20    </w:t>
      </w: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overflowPunct w:val="0"/>
        <w:autoSpaceDE w:val="0"/>
        <w:autoSpaceDN w:val="0"/>
        <w:adjustRightInd w:val="0"/>
        <w:jc w:val="center"/>
        <w:outlineLvl w:val="0"/>
        <w:rPr>
          <w:rFonts w:ascii="宋体" w:hAnsi="宋体"/>
          <w:b/>
          <w:color w:val="000000"/>
          <w:spacing w:val="6"/>
          <w:sz w:val="32"/>
          <w:szCs w:val="32"/>
        </w:rPr>
      </w:pPr>
      <w:r>
        <w:rPr>
          <w:rFonts w:hint="eastAsia" w:ascii="宋体" w:hAnsi="宋体"/>
          <w:b/>
          <w:color w:val="000000"/>
          <w:spacing w:val="6"/>
          <w:sz w:val="32"/>
          <w:szCs w:val="32"/>
        </w:rPr>
        <w:t>中原银行股份有限公司</w:t>
      </w:r>
    </w:p>
    <w:p>
      <w:pPr>
        <w:wordWrap w:val="0"/>
        <w:overflowPunct w:val="0"/>
        <w:autoSpaceDE w:val="0"/>
        <w:autoSpaceDN w:val="0"/>
        <w:adjustRightInd w:val="0"/>
        <w:jc w:val="center"/>
        <w:rPr>
          <w:rFonts w:ascii="华文中宋" w:hAnsi="华文中宋" w:eastAsia="华文中宋"/>
          <w:b/>
          <w:color w:val="000000"/>
          <w:kern w:val="0"/>
          <w:sz w:val="32"/>
          <w:szCs w:val="32"/>
        </w:rPr>
      </w:pPr>
      <w:r>
        <w:rPr>
          <w:rFonts w:hint="eastAsia" w:ascii="宋体" w:hAnsi="宋体"/>
          <w:b/>
          <w:color w:val="000000"/>
          <w:spacing w:val="6"/>
          <w:sz w:val="32"/>
          <w:szCs w:val="32"/>
        </w:rPr>
        <w:t>中信银行股份有限公司郑州分行</w:t>
      </w: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autoSpaceDE w:val="0"/>
        <w:autoSpaceDN w:val="0"/>
        <w:adjustRightInd w:val="0"/>
        <w:spacing w:before="240" w:after="240"/>
        <w:jc w:val="center"/>
        <w:outlineLvl w:val="0"/>
        <w:rPr>
          <w:rFonts w:ascii="宋体" w:hAnsi="宋体"/>
          <w:b/>
          <w:bCs/>
          <w:color w:val="000000"/>
          <w:kern w:val="0"/>
          <w:sz w:val="30"/>
          <w:szCs w:val="30"/>
        </w:rPr>
      </w:pPr>
      <w:r>
        <w:rPr>
          <w:rFonts w:hint="eastAsia" w:ascii="华文中宋" w:hAnsi="华文中宋" w:eastAsia="华文中宋"/>
          <w:color w:val="000000"/>
          <w:kern w:val="0"/>
          <w:sz w:val="32"/>
          <w:szCs w:val="32"/>
        </w:rPr>
        <w:t>　</w:t>
      </w:r>
    </w:p>
    <w:p>
      <w:pPr>
        <w:autoSpaceDE w:val="0"/>
        <w:autoSpaceDN w:val="0"/>
        <w:adjustRightInd w:val="0"/>
        <w:spacing w:before="240" w:after="240"/>
        <w:jc w:val="center"/>
        <w:outlineLvl w:val="0"/>
        <w:rPr>
          <w:rFonts w:ascii="宋体" w:hAnsi="宋体"/>
          <w:b/>
          <w:color w:val="000000"/>
          <w:kern w:val="0"/>
          <w:sz w:val="44"/>
          <w:szCs w:val="44"/>
        </w:rPr>
      </w:pPr>
      <w:r>
        <w:rPr>
          <w:rFonts w:hint="eastAsia" w:ascii="宋体" w:hAnsi="宋体"/>
          <w:b/>
          <w:color w:val="000000"/>
          <w:kern w:val="0"/>
          <w:sz w:val="44"/>
          <w:szCs w:val="44"/>
        </w:rPr>
        <w:t>目 录</w:t>
      </w:r>
    </w:p>
    <w:p>
      <w:pPr>
        <w:autoSpaceDE w:val="0"/>
        <w:autoSpaceDN w:val="0"/>
        <w:adjustRightInd w:val="0"/>
        <w:spacing w:before="240" w:after="240"/>
        <w:jc w:val="center"/>
        <w:outlineLvl w:val="0"/>
        <w:rPr>
          <w:rFonts w:ascii="宋体" w:hAnsi="宋体"/>
          <w:b/>
          <w:color w:val="000000"/>
          <w:kern w:val="0"/>
          <w:sz w:val="44"/>
          <w:szCs w:val="44"/>
        </w:rPr>
      </w:pPr>
    </w:p>
    <w:p>
      <w:pPr>
        <w:pStyle w:val="11"/>
        <w:tabs>
          <w:tab w:val="right" w:leader="dot" w:pos="8302"/>
        </w:tabs>
        <w:rPr>
          <w:rFonts w:ascii="仿宋_GB2312" w:hAnsi="Calibri" w:eastAsia="仿宋_GB2312"/>
          <w:sz w:val="32"/>
          <w:szCs w:val="32"/>
        </w:rPr>
      </w:pPr>
      <w:r>
        <w:rPr>
          <w:rFonts w:hint="eastAsia" w:ascii="仿宋_GB2312" w:eastAsia="仿宋_GB2312"/>
          <w:b/>
          <w:color w:val="000000"/>
          <w:kern w:val="0"/>
          <w:sz w:val="32"/>
          <w:szCs w:val="32"/>
        </w:rPr>
        <w:fldChar w:fldCharType="begin"/>
      </w:r>
      <w:r>
        <w:rPr>
          <w:rFonts w:hint="eastAsia" w:ascii="仿宋_GB2312" w:eastAsia="仿宋_GB2312"/>
          <w:b/>
          <w:color w:val="000000"/>
          <w:kern w:val="0"/>
          <w:sz w:val="32"/>
          <w:szCs w:val="32"/>
        </w:rPr>
        <w:instrText xml:space="preserve"> TOC \o "1-3" \h \z </w:instrText>
      </w:r>
      <w:r>
        <w:rPr>
          <w:rFonts w:hint="eastAsia" w:ascii="仿宋_GB2312" w:eastAsia="仿宋_GB2312"/>
          <w:b/>
          <w:color w:val="000000"/>
          <w:kern w:val="0"/>
          <w:sz w:val="32"/>
          <w:szCs w:val="32"/>
        </w:rPr>
        <w:fldChar w:fldCharType="separate"/>
      </w:r>
      <w:r>
        <w:fldChar w:fldCharType="begin"/>
      </w:r>
      <w:r>
        <w:instrText xml:space="preserve">HYPERLINK  \l "_Toc856264" </w:instrText>
      </w:r>
      <w:r>
        <w:fldChar w:fldCharType="separate"/>
      </w:r>
      <w:r>
        <w:rPr>
          <w:rStyle w:val="15"/>
          <w:rFonts w:hint="eastAsia" w:ascii="仿宋_GB2312" w:hAnsi="宋体" w:eastAsia="仿宋_GB2312"/>
          <w:sz w:val="32"/>
          <w:szCs w:val="32"/>
        </w:rPr>
        <w:t>1、当事人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"_Toc856265" </w:instrText>
      </w:r>
      <w:r>
        <w:fldChar w:fldCharType="separate"/>
      </w:r>
      <w:r>
        <w:rPr>
          <w:rStyle w:val="15"/>
          <w:rFonts w:hint="eastAsia" w:ascii="仿宋_GB2312" w:hAnsi="宋体" w:eastAsia="仿宋_GB2312"/>
          <w:sz w:val="32"/>
          <w:szCs w:val="32"/>
        </w:rPr>
        <w:t>2、释义</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_Toc856265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"_Toc856266" </w:instrText>
      </w:r>
      <w:r>
        <w:fldChar w:fldCharType="separate"/>
      </w:r>
      <w:r>
        <w:rPr>
          <w:rStyle w:val="15"/>
          <w:rFonts w:hint="eastAsia" w:ascii="仿宋_GB2312" w:hAnsi="宋体" w:eastAsia="仿宋_GB2312"/>
          <w:sz w:val="32"/>
          <w:szCs w:val="32"/>
        </w:rPr>
        <w:t>3、订立托管协议的依据、目的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_Toc856266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"_Toc856267" </w:instrText>
      </w:r>
      <w:r>
        <w:fldChar w:fldCharType="separate"/>
      </w:r>
      <w:r>
        <w:rPr>
          <w:rStyle w:val="15"/>
          <w:rFonts w:hint="eastAsia" w:ascii="仿宋_GB2312" w:hAnsi="宋体" w:eastAsia="仿宋_GB2312"/>
          <w:sz w:val="32"/>
          <w:szCs w:val="32"/>
        </w:rPr>
        <w:t>4、甲方权利及义务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_Toc856267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"_Toc856268" </w:instrText>
      </w:r>
      <w:r>
        <w:fldChar w:fldCharType="separate"/>
      </w:r>
      <w:r>
        <w:rPr>
          <w:rStyle w:val="15"/>
          <w:rFonts w:hint="eastAsia" w:ascii="仿宋_GB2312" w:hAnsi="宋体" w:eastAsia="仿宋_GB2312"/>
          <w:sz w:val="32"/>
          <w:szCs w:val="32"/>
        </w:rPr>
        <w:t>5、乙方权利及义务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_Toc856268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"_Toc856269" </w:instrText>
      </w:r>
      <w:r>
        <w:fldChar w:fldCharType="separate"/>
      </w:r>
      <w:r>
        <w:rPr>
          <w:rStyle w:val="15"/>
          <w:rFonts w:hint="eastAsia" w:ascii="仿宋_GB2312" w:hAnsi="宋体" w:eastAsia="仿宋_GB2312"/>
          <w:sz w:val="32"/>
          <w:szCs w:val="32"/>
        </w:rPr>
        <w:t>6、理财产品投资范围</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_Toc856269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"_Toc856270" </w:instrText>
      </w:r>
      <w:r>
        <w:fldChar w:fldCharType="separate"/>
      </w:r>
      <w:r>
        <w:rPr>
          <w:rStyle w:val="15"/>
          <w:rFonts w:hint="eastAsia" w:ascii="仿宋_GB2312" w:hAnsi="宋体" w:eastAsia="仿宋_GB2312"/>
          <w:sz w:val="32"/>
          <w:szCs w:val="32"/>
        </w:rPr>
        <w:t>7、理财产品现金资产的保管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_Toc856270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"_Toc856271" </w:instrText>
      </w:r>
      <w:r>
        <w:fldChar w:fldCharType="separate"/>
      </w:r>
      <w:r>
        <w:rPr>
          <w:rStyle w:val="15"/>
          <w:rFonts w:hint="eastAsia" w:ascii="仿宋_GB2312" w:hAnsi="宋体" w:eastAsia="仿宋_GB2312"/>
          <w:sz w:val="32"/>
          <w:szCs w:val="32"/>
        </w:rPr>
        <w:t>8、划款指令和资金清算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_Toc856271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"_Toc856272" </w:instrText>
      </w:r>
      <w:r>
        <w:fldChar w:fldCharType="separate"/>
      </w:r>
      <w:r>
        <w:rPr>
          <w:rStyle w:val="15"/>
          <w:rFonts w:hint="eastAsia" w:ascii="仿宋_GB2312" w:hAnsi="宋体" w:eastAsia="仿宋_GB2312"/>
          <w:sz w:val="32"/>
          <w:szCs w:val="32"/>
        </w:rPr>
        <w:t>9、会计核算与估值</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_Toc856272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"_Toc856273" </w:instrText>
      </w:r>
      <w:r>
        <w:fldChar w:fldCharType="separate"/>
      </w:r>
      <w:r>
        <w:rPr>
          <w:rStyle w:val="15"/>
          <w:rFonts w:hint="eastAsia" w:ascii="仿宋_GB2312" w:hAnsi="宋体" w:eastAsia="仿宋_GB2312"/>
          <w:sz w:val="32"/>
          <w:szCs w:val="32"/>
        </w:rPr>
        <w:t>10、交易监督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_Toc856273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"_Toc856274" </w:instrText>
      </w:r>
      <w:r>
        <w:fldChar w:fldCharType="separate"/>
      </w:r>
      <w:r>
        <w:rPr>
          <w:rStyle w:val="15"/>
          <w:rFonts w:hint="eastAsia" w:ascii="仿宋_GB2312" w:hAnsi="宋体" w:eastAsia="仿宋_GB2312"/>
          <w:sz w:val="32"/>
          <w:szCs w:val="32"/>
        </w:rPr>
        <w:t>11、理财产品费用支出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_Toc856274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"_Toc856275" </w:instrText>
      </w:r>
      <w:r>
        <w:fldChar w:fldCharType="separate"/>
      </w:r>
      <w:r>
        <w:rPr>
          <w:rStyle w:val="15"/>
          <w:rFonts w:hint="eastAsia" w:ascii="仿宋_GB2312" w:hAnsi="宋体" w:eastAsia="仿宋_GB2312"/>
          <w:sz w:val="32"/>
          <w:szCs w:val="32"/>
        </w:rPr>
        <w:t>12、资产清算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_Toc856275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"_Toc856276" </w:instrText>
      </w:r>
      <w:r>
        <w:fldChar w:fldCharType="separate"/>
      </w:r>
      <w:r>
        <w:rPr>
          <w:rStyle w:val="15"/>
          <w:rFonts w:hint="eastAsia" w:ascii="仿宋_GB2312" w:hAnsi="宋体" w:eastAsia="仿宋_GB2312"/>
          <w:sz w:val="32"/>
          <w:szCs w:val="32"/>
        </w:rPr>
        <w:t>13、文件档案保存和保密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_Toc856276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"_Toc856277" </w:instrText>
      </w:r>
      <w:r>
        <w:fldChar w:fldCharType="separate"/>
      </w:r>
      <w:r>
        <w:rPr>
          <w:rStyle w:val="15"/>
          <w:rFonts w:hint="eastAsia" w:ascii="仿宋_GB2312" w:hAnsi="仿宋_GB2312" w:eastAsia="仿宋_GB2312"/>
          <w:bCs/>
          <w:sz w:val="32"/>
          <w:szCs w:val="32"/>
        </w:rPr>
        <w:t>14、反洗钱相关条款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_Toc856277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"_Toc856278" </w:instrText>
      </w:r>
      <w:r>
        <w:fldChar w:fldCharType="separate"/>
      </w:r>
      <w:r>
        <w:rPr>
          <w:rStyle w:val="15"/>
          <w:rFonts w:hint="eastAsia" w:ascii="仿宋_GB2312" w:hAnsi="仿宋_GB2312" w:eastAsia="仿宋_GB2312"/>
          <w:bCs/>
          <w:sz w:val="32"/>
          <w:szCs w:val="32"/>
        </w:rPr>
        <w:t>15、违约责任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_Toc856278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Calibri" w:hAnsi="Calibri"/>
          <w:szCs w:val="22"/>
        </w:rPr>
      </w:pPr>
      <w:r>
        <w:fldChar w:fldCharType="begin"/>
      </w:r>
      <w:r>
        <w:instrText xml:space="preserve">HYPERLINK  \l "_Toc856279" </w:instrText>
      </w:r>
      <w:r>
        <w:fldChar w:fldCharType="separate"/>
      </w:r>
      <w:r>
        <w:rPr>
          <w:rStyle w:val="15"/>
          <w:rFonts w:hint="eastAsia" w:ascii="仿宋_GB2312" w:hAnsi="宋体" w:eastAsia="仿宋_GB2312"/>
          <w:sz w:val="32"/>
          <w:szCs w:val="32"/>
        </w:rPr>
        <w:t>16、协议的适用范围、修改、争议的解决及有效期</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_Toc856279 \h </w:instrText>
      </w:r>
      <w:r>
        <w:rPr>
          <w:rFonts w:hint="eastAsia" w:ascii="仿宋_GB2312" w:eastAsia="仿宋_GB2312"/>
          <w:sz w:val="32"/>
          <w:szCs w:val="32"/>
        </w:rPr>
        <w:fldChar w:fldCharType="separate"/>
      </w:r>
      <w:r>
        <w:rPr>
          <w:rFonts w:hint="eastAsia" w:ascii="仿宋_GB2312" w:eastAsia="仿宋_GB2312"/>
          <w:sz w:val="32"/>
          <w:szCs w:val="32"/>
        </w:rPr>
        <w:t>24</w:t>
      </w:r>
      <w:r>
        <w:rPr>
          <w:rFonts w:hint="eastAsia" w:ascii="仿宋_GB2312" w:eastAsia="仿宋_GB2312"/>
          <w:sz w:val="32"/>
          <w:szCs w:val="32"/>
        </w:rPr>
        <w:fldChar w:fldCharType="end"/>
      </w:r>
      <w:r>
        <w:fldChar w:fldCharType="end"/>
      </w:r>
    </w:p>
    <w:p>
      <w:pPr>
        <w:autoSpaceDE w:val="0"/>
        <w:autoSpaceDN w:val="0"/>
        <w:adjustRightInd w:val="0"/>
        <w:spacing w:before="240" w:after="240"/>
        <w:jc w:val="center"/>
        <w:outlineLvl w:val="0"/>
        <w:rPr>
          <w:b/>
          <w:color w:val="000000"/>
          <w:kern w:val="0"/>
          <w:sz w:val="44"/>
        </w:rPr>
      </w:pPr>
      <w:r>
        <w:rPr>
          <w:rFonts w:hint="eastAsia" w:ascii="仿宋_GB2312" w:eastAsia="仿宋_GB2312"/>
          <w:b/>
          <w:color w:val="000000"/>
          <w:kern w:val="0"/>
          <w:sz w:val="32"/>
          <w:szCs w:val="32"/>
        </w:rPr>
        <w:fldChar w:fldCharType="end"/>
      </w:r>
    </w:p>
    <w:p>
      <w:pPr>
        <w:autoSpaceDE w:val="0"/>
        <w:autoSpaceDN w:val="0"/>
        <w:adjustRightInd w:val="0"/>
        <w:spacing w:before="240" w:after="240"/>
        <w:jc w:val="center"/>
        <w:outlineLvl w:val="0"/>
        <w:rPr>
          <w:b/>
          <w:color w:val="000000"/>
          <w:kern w:val="0"/>
          <w:sz w:val="44"/>
        </w:rPr>
      </w:pPr>
    </w:p>
    <w:p>
      <w:pPr>
        <w:autoSpaceDE w:val="0"/>
        <w:autoSpaceDN w:val="0"/>
        <w:adjustRightInd w:val="0"/>
        <w:spacing w:before="240" w:after="240"/>
        <w:jc w:val="center"/>
        <w:outlineLvl w:val="0"/>
        <w:rPr>
          <w:b/>
          <w:color w:val="000000"/>
          <w:kern w:val="0"/>
          <w:sz w:val="44"/>
        </w:rPr>
      </w:pPr>
    </w:p>
    <w:p>
      <w:pPr>
        <w:pStyle w:val="2"/>
        <w:spacing w:before="0" w:after="0" w:line="580" w:lineRule="exact"/>
        <w:rPr>
          <w:rFonts w:ascii="仿宋_GB2312" w:hAnsi="宋体" w:eastAsia="仿宋_GB2312"/>
          <w:sz w:val="28"/>
          <w:szCs w:val="28"/>
        </w:rPr>
      </w:pPr>
      <w:bookmarkStart w:id="0" w:name="_Toc85084282"/>
      <w:bookmarkStart w:id="1" w:name="_Toc85085138"/>
      <w:bookmarkStart w:id="2" w:name="_Toc115229083"/>
      <w:bookmarkStart w:id="3" w:name="_Toc164655145"/>
      <w:bookmarkStart w:id="4" w:name="_Toc856264"/>
      <w:r>
        <w:rPr>
          <w:rFonts w:hint="eastAsia" w:ascii="仿宋_GB2312" w:hAnsi="宋体" w:eastAsia="仿宋_GB2312"/>
          <w:sz w:val="28"/>
          <w:szCs w:val="28"/>
        </w:rPr>
        <w:t>1、当事人</w:t>
      </w:r>
      <w:bookmarkEnd w:id="0"/>
      <w:bookmarkEnd w:id="1"/>
      <w:bookmarkEnd w:id="2"/>
      <w:bookmarkEnd w:id="3"/>
      <w:bookmarkEnd w:id="4"/>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甲方：中原银行股份有限公司</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地址：郑州市郑东新区商务外环路23号中科金座大厦</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法定代表人：窦荣兴</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联系电话：0371-85517607</w:t>
      </w:r>
    </w:p>
    <w:p>
      <w:pPr>
        <w:spacing w:line="580" w:lineRule="exact"/>
        <w:ind w:firstLine="584" w:firstLineChars="200"/>
        <w:rPr>
          <w:rFonts w:ascii="仿宋_GB2312" w:hAnsi="宋体" w:eastAsia="仿宋_GB2312"/>
          <w:color w:val="000000"/>
          <w:spacing w:val="6"/>
          <w:sz w:val="28"/>
          <w:szCs w:val="28"/>
        </w:rPr>
      </w:pP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 中信银行股份有限公司郑州分行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地址：郑州市郑东新区商务内环路1号</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autoSpaceDE w:val="0"/>
        <w:autoSpaceDN w:val="0"/>
        <w:snapToGrid w:val="0"/>
        <w:spacing w:before="156" w:beforeLines="50" w:after="156" w:afterLines="50"/>
        <w:ind w:firstLine="584" w:firstLineChars="2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负责人：</w:t>
      </w:r>
      <w:r>
        <w:rPr>
          <w:rFonts w:ascii="仿宋_GB2312" w:hAnsi="宋体" w:eastAsia="仿宋_GB2312"/>
          <w:color w:val="000000"/>
          <w:spacing w:val="6"/>
          <w:sz w:val="28"/>
          <w:szCs w:val="28"/>
        </w:rPr>
        <w:t xml:space="preserve"> </w:t>
      </w:r>
      <w:r>
        <w:rPr>
          <w:rFonts w:hint="eastAsia" w:ascii="仿宋_GB2312" w:hAnsi="宋体" w:eastAsia="仿宋_GB2312"/>
          <w:color w:val="000000"/>
          <w:spacing w:val="6"/>
          <w:sz w:val="28"/>
          <w:szCs w:val="28"/>
        </w:rPr>
        <w:t>方萍</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联系电话：0371-55588929</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120" w:line="580" w:lineRule="exact"/>
        <w:ind w:left="420"/>
        <w:rPr>
          <w:rFonts w:ascii="仿宋_GB2312" w:hAnsi="宋体" w:eastAsia="仿宋_GB2312"/>
          <w:sz w:val="28"/>
          <w:szCs w:val="28"/>
        </w:rPr>
      </w:pPr>
      <w:bookmarkStart w:id="5" w:name="_Toc856265"/>
      <w:bookmarkStart w:id="6" w:name="_Toc76806353"/>
      <w:bookmarkStart w:id="7" w:name="_Toc85084283"/>
      <w:bookmarkStart w:id="8" w:name="_Toc85085139"/>
      <w:bookmarkStart w:id="9" w:name="_Toc115229085"/>
      <w:bookmarkStart w:id="10" w:name="_Toc164655147"/>
      <w:r>
        <w:rPr>
          <w:rFonts w:hint="eastAsia" w:ascii="仿宋_GB2312" w:hAnsi="宋体" w:eastAsia="仿宋_GB2312"/>
          <w:sz w:val="28"/>
          <w:szCs w:val="28"/>
        </w:rPr>
        <w:t>2、释义</w:t>
      </w:r>
      <w:bookmarkEnd w:id="5"/>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在本协议中，除上下文另有规定外，下列用语应当具有如下含义：</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2.1 本协议：指甲方与乙方签署的《中原银行鼎盛财富季季盈定期开放净值型理财产品（B款）托管协议》及其附件，以及甲、乙双方对前述协议及附件作出的任何有效变更。</w:t>
      </w:r>
    </w:p>
    <w:p>
      <w:pPr>
        <w:wordWrap w:val="0"/>
        <w:spacing w:line="580" w:lineRule="exact"/>
        <w:ind w:left="438" w:leftChars="0" w:hanging="438" w:hangingChars="15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2.2 理财产品：由甲方发行并管理且委托乙方托管的中原银行鼎盛财富季季盈定期开放净值型理财产品（B款）。</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2.4 理财产品投资范围：根据相关法律法规规定及理财产品发行文件的约定，理财产品可以投资的产品类型。</w:t>
      </w:r>
    </w:p>
    <w:p>
      <w:pPr>
        <w:spacing w:line="580" w:lineRule="exact"/>
        <w:ind w:firstLine="584" w:firstLineChars="200"/>
        <w:rPr>
          <w:rFonts w:ascii="仿宋_GB2312" w:hAnsi="宋体" w:eastAsia="仿宋_GB2312"/>
          <w:color w:val="000000"/>
          <w:spacing w:val="6"/>
          <w:sz w:val="28"/>
          <w:szCs w:val="28"/>
        </w:rPr>
      </w:pPr>
      <w:bookmarkStart w:id="11" w:name="OLE_LINK5"/>
      <w:r>
        <w:rPr>
          <w:rFonts w:hint="eastAsia" w:ascii="仿宋_GB2312" w:hAnsi="宋体" w:eastAsia="仿宋_GB2312"/>
          <w:color w:val="000000"/>
          <w:spacing w:val="6"/>
          <w:sz w:val="28"/>
          <w:szCs w:val="28"/>
        </w:rPr>
        <w:t>2.5 管理人</w:t>
      </w:r>
      <w:bookmarkEnd w:id="11"/>
      <w:r>
        <w:rPr>
          <w:rFonts w:hint="eastAsia" w:ascii="仿宋_GB2312" w:hAnsi="宋体" w:eastAsia="仿宋_GB2312"/>
          <w:color w:val="000000"/>
          <w:spacing w:val="6"/>
          <w:sz w:val="28"/>
          <w:szCs w:val="28"/>
        </w:rPr>
        <w:t>：发行理财产品，并委托乙方托管理财产品资金的商业银行，即本协议甲方。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2.6 托管人：根据本协议约定，负责理财产品现金资产保管、资金清算、会计核算、资产估值和投资监督等工作的托管银行，即本协议乙方。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2.7 资金归集户：甲方为理财产品开立的用于接收投资人认购理财资金的银行账户。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2.8 托管账户：指按相关法规规定，甲方在乙方开立的专门用于保管、管理和运用理财产品现金资产的银行账户。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2.9 理财产品发行文件：指理财产品发行相关文件，包括但不限于理财产品说明书、相关协议书等。</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2.10 日：除非双方另有约定，本协议所指日，均指法定工作日。</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p>
    <w:p>
      <w:pPr>
        <w:pStyle w:val="2"/>
        <w:spacing w:before="40" w:after="0" w:line="580" w:lineRule="exact"/>
        <w:ind w:left="425"/>
        <w:rPr>
          <w:rFonts w:ascii="仿宋_GB2312" w:hAnsi="宋体" w:eastAsia="仿宋_GB2312"/>
          <w:sz w:val="28"/>
          <w:szCs w:val="28"/>
        </w:rPr>
      </w:pPr>
      <w:bookmarkStart w:id="12" w:name="_Toc856266"/>
      <w:r>
        <w:rPr>
          <w:rFonts w:hint="eastAsia" w:ascii="仿宋_GB2312" w:hAnsi="宋体" w:eastAsia="仿宋_GB2312"/>
          <w:sz w:val="28"/>
          <w:szCs w:val="28"/>
        </w:rPr>
        <w:t>3、订立托管协议的依据、目的</w:t>
      </w:r>
      <w:bookmarkEnd w:id="6"/>
      <w:bookmarkEnd w:id="7"/>
      <w:bookmarkEnd w:id="8"/>
      <w:bookmarkEnd w:id="9"/>
      <w:bookmarkEnd w:id="10"/>
      <w:bookmarkEnd w:id="12"/>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甲方委托乙方作为理财产品资产</w:t>
      </w:r>
      <w:r>
        <w:rPr>
          <w:rFonts w:hint="eastAsia" w:ascii="仿宋_GB2312" w:hAnsi="宋体" w:eastAsia="仿宋_GB2312"/>
          <w:bCs/>
          <w:sz w:val="28"/>
          <w:szCs w:val="28"/>
        </w:rPr>
        <w:t>的托管人</w:t>
      </w:r>
      <w:r>
        <w:rPr>
          <w:rFonts w:hint="eastAsia" w:ascii="仿宋_GB2312" w:hAnsi="宋体" w:eastAsia="仿宋_GB2312"/>
          <w:sz w:val="28"/>
          <w:szCs w:val="28"/>
        </w:rPr>
        <w:t>，为明确甲、乙双方</w:t>
      </w:r>
      <w:r>
        <w:rPr>
          <w:rFonts w:hint="eastAsia" w:ascii="仿宋_GB2312" w:eastAsia="仿宋_GB2312"/>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3" w:name="_Toc856267"/>
      <w:r>
        <w:rPr>
          <w:rFonts w:hint="eastAsia" w:ascii="仿宋_GB2312" w:hAnsi="宋体" w:eastAsia="仿宋_GB2312"/>
          <w:sz w:val="28"/>
          <w:szCs w:val="28"/>
        </w:rPr>
        <w:t>4、甲方权利及义务</w:t>
      </w:r>
      <w:bookmarkEnd w:id="1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4.1甲方的权利：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4.1.1按照国家有关法律法规及相关协议的规定，对理财产品资产行使管理权。</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4.1.2按照国家有关法律法规及相关协议的规定及时获得管理费。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4.1.3国家有关法律法规、监管机构规定的</w:t>
      </w:r>
      <w:bookmarkStart w:id="14" w:name="OLE_LINK7"/>
      <w:r>
        <w:rPr>
          <w:rFonts w:hint="eastAsia" w:ascii="仿宋_GB2312" w:hAnsi="宋体" w:eastAsia="仿宋_GB2312"/>
          <w:color w:val="000000"/>
          <w:spacing w:val="6"/>
          <w:sz w:val="28"/>
          <w:szCs w:val="28"/>
        </w:rPr>
        <w:t>其他</w:t>
      </w:r>
      <w:bookmarkEnd w:id="14"/>
      <w:r>
        <w:rPr>
          <w:rFonts w:hint="eastAsia" w:ascii="仿宋_GB2312" w:hAnsi="宋体" w:eastAsia="仿宋_GB2312"/>
          <w:color w:val="000000"/>
          <w:spacing w:val="6"/>
          <w:sz w:val="28"/>
          <w:szCs w:val="28"/>
        </w:rPr>
        <w:t>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4.2甲方的义务：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4.2.2按照本协议的约定，及时、足额将理财产品资产移交至乙方，及时、全面</w:t>
      </w:r>
      <w:bookmarkStart w:id="15" w:name="OLE_LINK6"/>
      <w:r>
        <w:rPr>
          <w:rFonts w:hint="eastAsia" w:ascii="仿宋_GB2312" w:hAnsi="宋体" w:eastAsia="仿宋_GB2312"/>
          <w:color w:val="000000"/>
          <w:spacing w:val="6"/>
          <w:sz w:val="28"/>
          <w:szCs w:val="28"/>
        </w:rPr>
        <w:t>地</w:t>
      </w:r>
      <w:bookmarkEnd w:id="15"/>
      <w:r>
        <w:rPr>
          <w:rFonts w:hint="eastAsia" w:ascii="仿宋_GB2312" w:hAnsi="宋体" w:eastAsia="仿宋_GB2312"/>
          <w:color w:val="000000"/>
          <w:spacing w:val="6"/>
          <w:sz w:val="28"/>
          <w:szCs w:val="28"/>
        </w:rPr>
        <w:t>向乙方提供有关授权文件。</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4.2.3根据本协议约定，及时、合规地向乙方发送理财产品划款指令。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4.2.4按本协议约定向乙方支付托管费。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color w:val="000000"/>
          <w:spacing w:val="6"/>
          <w:sz w:val="28"/>
          <w:szCs w:val="28"/>
        </w:rPr>
        <w:t>4.2.6</w:t>
      </w:r>
      <w:r>
        <w:rPr>
          <w:rFonts w:hint="eastAsia" w:ascii="仿宋_GB2312" w:hAnsi="宋体" w:eastAsia="仿宋_GB2312"/>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spacing w:val="6"/>
          <w:sz w:val="28"/>
          <w:szCs w:val="18"/>
        </w:rPr>
        <w:t>4.2.7理财产品业务变动、甲方经营范围发生变化或发生任何可能影响托管业务的事项时，甲方应提前2日通知乙方，不能预见的，应在上述事项发生之日起3日内通知乙方。</w:t>
      </w:r>
    </w:p>
    <w:p>
      <w:pPr>
        <w:tabs>
          <w:tab w:val="left" w:pos="360"/>
          <w:tab w:val="left" w:pos="420"/>
        </w:tabs>
        <w:spacing w:before="40" w:line="52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4.2.8甲方确保理财产品相关文件中关于乙方托管义务及责任的规定与本协议一致，不存在任何误导性陈述。</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4.2.9甲方应确保理财产品的各类投资交易的合法有效性，因交易合同以及与之相关的交易本身的合法性及有效性导致的任何侵权、损害赔偿及其他法律责任，均由甲方自行承担。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4.2.10国家有关法律法规、监管机构规定的</w:t>
      </w:r>
      <w:bookmarkStart w:id="16" w:name="OLE_LINK9"/>
      <w:r>
        <w:rPr>
          <w:rFonts w:hint="eastAsia" w:ascii="仿宋_GB2312" w:hAnsi="宋体" w:eastAsia="仿宋_GB2312"/>
          <w:color w:val="000000"/>
          <w:spacing w:val="6"/>
          <w:sz w:val="28"/>
          <w:szCs w:val="28"/>
        </w:rPr>
        <w:t>其他</w:t>
      </w:r>
      <w:bookmarkEnd w:id="16"/>
      <w:r>
        <w:rPr>
          <w:rFonts w:hint="eastAsia" w:ascii="仿宋_GB2312" w:hAnsi="宋体" w:eastAsia="仿宋_GB2312"/>
          <w:color w:val="000000"/>
          <w:spacing w:val="6"/>
          <w:sz w:val="28"/>
          <w:szCs w:val="28"/>
        </w:rPr>
        <w:t>义务。</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7" w:name="_Toc856268"/>
      <w:r>
        <w:rPr>
          <w:rFonts w:hint="eastAsia" w:ascii="仿宋_GB2312" w:hAnsi="宋体" w:eastAsia="仿宋_GB2312"/>
          <w:sz w:val="28"/>
          <w:szCs w:val="28"/>
        </w:rPr>
        <w:t>5、乙方权利及义务</w:t>
      </w:r>
      <w:bookmarkEnd w:id="17"/>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5.1乙方的权利：</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5.1.1按照本协议约定，对托管的理财产品资产进行托管，行使保管、清算、核算、估值和监督等职能。</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5.1.2</w:t>
      </w:r>
      <w:r>
        <w:rPr>
          <w:rFonts w:hint="eastAsia" w:ascii="仿宋_GB2312" w:hAnsi="宋体" w:eastAsia="仿宋_GB2312"/>
          <w:color w:val="000000"/>
          <w:kern w:val="0"/>
          <w:sz w:val="28"/>
          <w:szCs w:val="28"/>
        </w:rPr>
        <w:t>依据本协议的规定监督甲方投资运作，发现甲方存在违反协议约定的，按照协议约定向甲方提示</w:t>
      </w:r>
      <w:r>
        <w:rPr>
          <w:rFonts w:hint="eastAsia" w:ascii="仿宋_GB2312" w:hAnsi="宋体" w:eastAsia="仿宋_GB2312"/>
          <w:color w:val="000000"/>
          <w:spacing w:val="6"/>
          <w:sz w:val="28"/>
          <w:szCs w:val="28"/>
        </w:rPr>
        <w:t>。</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5.1.3对甲方发送的划款指令进行审核，对于存在违反本协议约定的划款指令，有权拒绝执行，并通知甲方予以更正。</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5.1.4按照本协议的约定，及时、足额收取托管费。</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5.1.5国家有关法律法规、监管机构规定的其他权利。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5.2乙方的义务：</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5.2.1</w:t>
      </w:r>
      <w:r>
        <w:rPr>
          <w:rFonts w:hint="eastAsia" w:ascii="仿宋_GB2312" w:hAnsi="宋体" w:eastAsia="仿宋_GB2312"/>
          <w:color w:val="000000"/>
          <w:sz w:val="28"/>
          <w:szCs w:val="28"/>
        </w:rPr>
        <w:t>安全保管理财产品资产，除甲方的划款指令或协议另有规定外，乙方不得自行运用、处分和分配理财产品资产。</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5.2.2根</w:t>
      </w:r>
      <w:r>
        <w:rPr>
          <w:rFonts w:hint="eastAsia" w:ascii="仿宋_GB2312" w:hAnsi="宋体" w:eastAsia="仿宋_GB2312"/>
          <w:color w:val="000000"/>
          <w:sz w:val="28"/>
          <w:szCs w:val="28"/>
        </w:rPr>
        <w:t>据相关规定为理财产品开设独立的资产托管账户、投资资产账户等，</w:t>
      </w:r>
      <w:r>
        <w:rPr>
          <w:rFonts w:hint="eastAsia" w:ascii="仿宋_GB2312" w:hAnsi="宋体" w:eastAsia="仿宋_GB2312"/>
          <w:color w:val="000000"/>
          <w:spacing w:val="6"/>
          <w:sz w:val="28"/>
          <w:szCs w:val="28"/>
        </w:rPr>
        <w:t>根据甲方的划款指令，办理本协议项下的资金清算。</w:t>
      </w:r>
    </w:p>
    <w:p>
      <w:pPr>
        <w:spacing w:before="40" w:line="580" w:lineRule="exact"/>
        <w:ind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5.2.3将理财产品资产独立于乙方托管的其他资产，根据甲方的要求为理财产品设立单独的组合，进行</w:t>
      </w:r>
      <w:r>
        <w:rPr>
          <w:rFonts w:hint="eastAsia" w:ascii="仿宋_GB2312" w:hAnsi="宋体" w:eastAsia="仿宋_GB2312"/>
          <w:color w:val="000000"/>
          <w:sz w:val="28"/>
          <w:szCs w:val="28"/>
        </w:rPr>
        <w:t>独立核算，分账管理。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5.2.4根据本协议的有关规定，执行甲方的划款指令，</w:t>
      </w:r>
      <w:r>
        <w:rPr>
          <w:rFonts w:hint="eastAsia" w:ascii="仿宋_GB2312" w:hAnsi="宋体" w:eastAsia="仿宋_GB2312"/>
          <w:color w:val="000000"/>
          <w:spacing w:val="6"/>
          <w:sz w:val="28"/>
          <w:szCs w:val="18"/>
        </w:rPr>
        <w:t>办理本协议项下的资金清算</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5.2.5根据甲方要求</w:t>
      </w:r>
      <w:r>
        <w:rPr>
          <w:rFonts w:hint="eastAsia" w:ascii="仿宋_GB2312" w:hAnsi="宋体" w:eastAsia="仿宋_GB2312"/>
          <w:color w:val="000000"/>
          <w:sz w:val="28"/>
          <w:szCs w:val="28"/>
        </w:rPr>
        <w:t>定期向甲方提交理财产品相关的信息、数据和财务报表。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5.2.6 国家有关法律法规、监管机构规定的</w:t>
      </w:r>
      <w:bookmarkStart w:id="18" w:name="OLE_LINK8"/>
      <w:r>
        <w:rPr>
          <w:rFonts w:hint="eastAsia" w:ascii="仿宋_GB2312" w:hAnsi="宋体" w:eastAsia="仿宋_GB2312"/>
          <w:color w:val="000000"/>
          <w:spacing w:val="6"/>
          <w:sz w:val="28"/>
          <w:szCs w:val="28"/>
        </w:rPr>
        <w:t>其他</w:t>
      </w:r>
      <w:bookmarkEnd w:id="18"/>
      <w:r>
        <w:rPr>
          <w:rFonts w:hint="eastAsia" w:ascii="仿宋_GB2312" w:hAnsi="宋体" w:eastAsia="仿宋_GB2312"/>
          <w:color w:val="000000"/>
          <w:spacing w:val="6"/>
          <w:sz w:val="28"/>
          <w:szCs w:val="28"/>
        </w:rPr>
        <w:t>义务。</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19" w:name="_Toc856269"/>
      <w:r>
        <w:rPr>
          <w:rFonts w:hint="eastAsia" w:ascii="仿宋_GB2312" w:hAnsi="宋体" w:eastAsia="仿宋_GB2312"/>
          <w:sz w:val="28"/>
          <w:szCs w:val="28"/>
        </w:rPr>
        <w:t>6、理财产品投资范围</w:t>
      </w:r>
      <w:bookmarkEnd w:id="1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hint="eastAsia" w:ascii="仿宋_GB2312" w:hAnsi="宋体" w:eastAsia="仿宋_GB2312"/>
          <w:color w:val="000000"/>
          <w:spacing w:val="6"/>
          <w:sz w:val="28"/>
          <w:szCs w:val="18"/>
        </w:rPr>
        <w:t>或</w:t>
      </w:r>
      <w:r>
        <w:rPr>
          <w:rFonts w:hint="eastAsia" w:ascii="仿宋_GB2312" w:hAnsi="宋体" w:eastAsia="仿宋_GB2312"/>
          <w:color w:val="000000"/>
          <w:spacing w:val="6"/>
          <w:sz w:val="28"/>
          <w:szCs w:val="28"/>
        </w:rPr>
        <w:t>理财产品发行文件规定的投资品种。</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6.2</w:t>
      </w:r>
      <w:r>
        <w:rPr>
          <w:rFonts w:hint="eastAsia" w:ascii="仿宋_GB2312" w:hAnsi="宋体" w:eastAsia="仿宋_GB2312"/>
          <w:color w:val="000000"/>
          <w:spacing w:val="6"/>
          <w:sz w:val="28"/>
          <w:szCs w:val="18"/>
        </w:rPr>
        <w:t>理财产品的具体投资范围依据理财产品说明书的具体约定。</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0" w:name="_Toc856270"/>
      <w:r>
        <w:rPr>
          <w:rFonts w:hint="eastAsia" w:ascii="仿宋_GB2312" w:hAnsi="宋体" w:eastAsia="仿宋_GB2312"/>
          <w:sz w:val="28"/>
          <w:szCs w:val="28"/>
        </w:rPr>
        <w:t>7、理财产品现金资产的保管</w:t>
      </w:r>
      <w:bookmarkEnd w:id="20"/>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7.1理财产品托管账户的开立</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7.1.1甲方根据相关规定为理财产品在乙方开立理财产品托管账户，</w:t>
      </w:r>
      <w:r>
        <w:rPr>
          <w:rFonts w:hint="eastAsia" w:ascii="仿宋_GB2312" w:eastAsia="仿宋_GB2312"/>
          <w:sz w:val="28"/>
        </w:rPr>
        <w:t>用于保管理财产品现金资产，</w:t>
      </w:r>
      <w:r>
        <w:rPr>
          <w:rFonts w:hint="eastAsia" w:ascii="仿宋_GB2312" w:hAnsi="宋体" w:eastAsia="仿宋_GB2312"/>
          <w:color w:val="000000"/>
          <w:spacing w:val="6"/>
          <w:sz w:val="28"/>
          <w:szCs w:val="28"/>
        </w:rPr>
        <w:t>乙方为理财产品建立单独的组合进行管理</w:t>
      </w:r>
      <w:r>
        <w:rPr>
          <w:rFonts w:hint="eastAsia" w:ascii="仿宋_GB2312" w:hAnsi="宋体" w:eastAsia="仿宋_GB2312"/>
          <w:sz w:val="28"/>
          <w:szCs w:val="18"/>
        </w:rPr>
        <w:t>。</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7.1.2 甲方应协助乙方，在乙方指定的乙方营业机构，以乙方的名义为甲方理财产品开立专用银行存款账户，作为本理财产品的托管专户，账户名称为“中原银行鼎盛财富季季盈定期开放净值型理财产品（</w:t>
      </w:r>
      <w:bookmarkStart w:id="36" w:name="_GoBack"/>
      <w:r>
        <w:rPr>
          <w:rFonts w:ascii="仿宋_GB2312" w:hAnsi="宋体" w:eastAsia="仿宋_GB2312"/>
          <w:color w:val="000000"/>
          <w:spacing w:val="6"/>
          <w:sz w:val="28"/>
          <w:szCs w:val="28"/>
        </w:rPr>
        <w:t>B款</w:t>
      </w:r>
      <w:r>
        <w:rPr>
          <w:rFonts w:hint="eastAsia" w:ascii="仿宋_GB2312" w:hAnsi="宋体" w:eastAsia="仿宋_GB2312"/>
          <w:color w:val="000000"/>
          <w:spacing w:val="6"/>
          <w:sz w:val="28"/>
          <w:szCs w:val="28"/>
        </w:rPr>
        <w:t>）中信银行郑州分行托管专户</w:t>
      </w:r>
      <w:bookmarkEnd w:id="36"/>
      <w:r>
        <w:rPr>
          <w:rFonts w:hint="eastAsia" w:ascii="仿宋_GB2312" w:hAnsi="宋体" w:eastAsia="仿宋_GB2312"/>
          <w:color w:val="000000"/>
          <w:spacing w:val="6"/>
          <w:sz w:val="28"/>
          <w:szCs w:val="28"/>
        </w:rPr>
        <w:t>”（以实际开立名称为准）。理财产品的托管专户采用无印鉴管理。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hint="eastAsia" w:ascii="仿宋_GB2312" w:hAnsi="仿宋_GB2312" w:eastAsia="仿宋_GB2312" w:cs="仿宋_GB2312"/>
          <w:sz w:val="28"/>
          <w:szCs w:val="28"/>
        </w:rPr>
        <w:t>利息按照同期金融同业存款利率支付。</w:t>
      </w:r>
      <w:r>
        <w:rPr>
          <w:rFonts w:hint="eastAsia" w:ascii="仿宋_GB2312" w:hAnsi="仿宋_GB2312" w:eastAsia="仿宋_GB2312" w:cs="仿宋_GB2312"/>
          <w:color w:val="000000"/>
          <w:spacing w:val="6"/>
          <w:sz w:val="28"/>
          <w:szCs w:val="28"/>
        </w:rPr>
        <w:t xml:space="preserve">    </w:t>
      </w:r>
      <w:r>
        <w:rPr>
          <w:rFonts w:hint="eastAsia" w:ascii="仿宋_GB2312" w:hAnsi="宋体" w:eastAsia="仿宋_GB2312"/>
          <w:color w:val="000000"/>
          <w:spacing w:val="6"/>
          <w:sz w:val="28"/>
          <w:szCs w:val="28"/>
        </w:rPr>
        <w:t xml:space="preserve">        </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 xml:space="preserve">.2 </w:t>
      </w:r>
      <w:r>
        <w:rPr>
          <w:rFonts w:hint="eastAsia" w:ascii="仿宋_GB2312" w:hAnsi="宋体" w:eastAsia="仿宋_GB2312"/>
          <w:b/>
          <w:color w:val="000000"/>
          <w:spacing w:val="6"/>
          <w:sz w:val="28"/>
          <w:szCs w:val="28"/>
        </w:rPr>
        <w:t>银行间债券账户的开立和管理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7.3 理财产品证券账户的开立和管理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3）证券账户的开立和证券账户卡的保管由乙方负责，管理和运用由甲方负责。</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7.4</w:t>
      </w:r>
      <w:r>
        <w:rPr>
          <w:rFonts w:hint="eastAsia" w:ascii="仿宋_GB2312" w:hAnsi="宋体" w:eastAsia="仿宋_GB2312"/>
          <w:b/>
          <w:color w:val="000000"/>
          <w:spacing w:val="6"/>
          <w:sz w:val="28"/>
          <w:szCs w:val="28"/>
        </w:rPr>
        <w:t>专用资金账户（专用资金台账账户）的开立和管理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2）在本协议有效期内，未经乙方同意，甲方不得注销该专用资金账户，也不得自行通过“第三方存管”平台从专用资金账户向银行结算账户（即托管账户）划款。</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 xml:space="preserve">7.5 </w:t>
      </w:r>
      <w:r>
        <w:rPr>
          <w:rFonts w:hint="eastAsia" w:ascii="仿宋_GB2312" w:hAnsi="宋体" w:eastAsia="仿宋_GB2312"/>
          <w:b/>
          <w:color w:val="000000"/>
          <w:spacing w:val="6"/>
          <w:sz w:val="28"/>
          <w:szCs w:val="28"/>
        </w:rPr>
        <w:t>开放式证券投资基金账户的开立和管理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2）除非通过证券经纪商申购、赎回开放式证券投资基金，甲方在开立基金账户时应将理财产品托管专户作为理财产品的赎回款的指定收款账户。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pPr>
        <w:pStyle w:val="6"/>
        <w:spacing w:before="40" w:line="580" w:lineRule="exact"/>
        <w:ind w:firstLine="562" w:firstLineChars="200"/>
        <w:rPr>
          <w:rFonts w:ascii="仿宋_GB2312" w:eastAsia="仿宋_GB2312"/>
          <w:b/>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.6</w:t>
      </w:r>
      <w:r>
        <w:rPr>
          <w:rFonts w:hint="eastAsia" w:ascii="仿宋_GB2312" w:eastAsia="仿宋_GB2312"/>
          <w:b/>
          <w:sz w:val="28"/>
          <w:szCs w:val="28"/>
        </w:rPr>
        <w:t>理财产品现金资产的交付与支取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7.6.1理财产品现金资产的首次移交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甲方应在理财产品成立至少前一个工作日向乙方发出理财产品成立通知，列明交付乙方托管的理财产品资金金额并提供</w:t>
      </w:r>
      <w:r>
        <w:rPr>
          <w:rFonts w:hint="eastAsia" w:ascii="仿宋_GB2312" w:hAnsi="宋体" w:eastAsia="仿宋_GB2312"/>
          <w:color w:val="000000"/>
          <w:kern w:val="0"/>
          <w:sz w:val="28"/>
          <w:szCs w:val="28"/>
        </w:rPr>
        <w:t>理财产品发行的</w:t>
      </w:r>
      <w:r>
        <w:rPr>
          <w:rFonts w:ascii="仿宋_GB2312" w:hAnsi="宋体" w:eastAsia="仿宋_GB2312"/>
          <w:color w:val="000000"/>
          <w:kern w:val="0"/>
          <w:sz w:val="28"/>
          <w:szCs w:val="28"/>
        </w:rPr>
        <w:t>相关</w:t>
      </w:r>
      <w:r>
        <w:rPr>
          <w:rFonts w:hint="eastAsia" w:ascii="仿宋_GB2312" w:hAnsi="宋体" w:eastAsia="仿宋_GB2312"/>
          <w:color w:val="000000"/>
          <w:kern w:val="0"/>
          <w:sz w:val="28"/>
          <w:szCs w:val="28"/>
        </w:rPr>
        <w:t>文件，乙方据此为理财产品建立单独的组合进行建账；</w:t>
      </w:r>
      <w:r>
        <w:rPr>
          <w:rFonts w:hint="eastAsia" w:ascii="仿宋_GB2312" w:hAnsi="宋体" w:eastAsia="仿宋_GB2312"/>
          <w:color w:val="000000"/>
          <w:spacing w:val="6"/>
          <w:sz w:val="28"/>
          <w:szCs w:val="28"/>
        </w:rPr>
        <w:t>在理财产品发行结束后，托管运作前将期初现金资产从资金归集户一次性划入托管账户。</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7.6.2理财产品</w:t>
      </w:r>
      <w:bookmarkStart w:id="21" w:name="OLE_LINK3"/>
      <w:r>
        <w:rPr>
          <w:rFonts w:hint="eastAsia" w:ascii="仿宋_GB2312" w:hAnsi="宋体" w:eastAsia="仿宋_GB2312"/>
          <w:color w:val="000000"/>
          <w:spacing w:val="6"/>
          <w:sz w:val="28"/>
          <w:szCs w:val="28"/>
        </w:rPr>
        <w:t>现金</w:t>
      </w:r>
      <w:bookmarkEnd w:id="21"/>
      <w:r>
        <w:rPr>
          <w:rFonts w:hint="eastAsia" w:ascii="仿宋_GB2312" w:hAnsi="宋体" w:eastAsia="仿宋_GB2312"/>
          <w:color w:val="000000"/>
          <w:spacing w:val="6"/>
          <w:sz w:val="28"/>
          <w:szCs w:val="28"/>
        </w:rPr>
        <w:t>资产的增加</w:t>
      </w:r>
    </w:p>
    <w:p>
      <w:pPr>
        <w:pStyle w:val="6"/>
        <w:spacing w:before="40" w:line="580" w:lineRule="exact"/>
        <w:ind w:firstLine="584" w:firstLineChars="200"/>
        <w:rPr>
          <w:rFonts w:ascii="仿宋_GB2312" w:eastAsia="仿宋_GB2312"/>
          <w:sz w:val="28"/>
          <w:szCs w:val="28"/>
        </w:rPr>
      </w:pPr>
      <w:r>
        <w:rPr>
          <w:rFonts w:hint="eastAsia" w:ascii="仿宋_GB2312" w:hAnsi="宋体" w:eastAsia="仿宋_GB2312"/>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7.6.3理财产品现金资产的支取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7.7理财产品现金资产的保管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7.7.1乙方依据本协议负责保管理财产品资产及相关资料。</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7.7.2理财产品的资金收支活动，包括但不限于理财资金的投资、支付管理费、托管费等各项费用等均需通过托管账户进行。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7.7.3托管账户专项用于甲方理财产品现金资产保管，未取得甲方授权，乙方不得自行支配理财资金。</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7.7.4理财产品资产如投资其他投资产品，甲方</w:t>
      </w:r>
      <w:r>
        <w:rPr>
          <w:rFonts w:ascii="仿宋_GB2312" w:hAnsi="宋体" w:eastAsia="仿宋_GB2312"/>
          <w:color w:val="000000"/>
          <w:spacing w:val="6"/>
          <w:sz w:val="28"/>
          <w:szCs w:val="28"/>
        </w:rPr>
        <w:t>对</w:t>
      </w:r>
      <w:r>
        <w:rPr>
          <w:rFonts w:hint="eastAsia" w:ascii="仿宋_GB2312" w:hAnsi="宋体" w:eastAsia="仿宋_GB2312"/>
          <w:color w:val="000000"/>
          <w:spacing w:val="6"/>
          <w:sz w:val="28"/>
          <w:szCs w:val="28"/>
        </w:rPr>
        <w:t>上述</w:t>
      </w:r>
      <w:r>
        <w:rPr>
          <w:rFonts w:ascii="仿宋_GB2312" w:hAnsi="宋体" w:eastAsia="仿宋_GB2312"/>
          <w:color w:val="000000"/>
          <w:spacing w:val="6"/>
          <w:sz w:val="28"/>
          <w:szCs w:val="28"/>
        </w:rPr>
        <w:t>投资业务的合法合规性负责。</w:t>
      </w:r>
      <w:r>
        <w:rPr>
          <w:rFonts w:hint="eastAsia" w:ascii="仿宋_GB2312" w:hAnsi="宋体" w:eastAsia="仿宋_GB2312"/>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hAnsi="宋体" w:eastAsia="仿宋_GB2312"/>
          <w:color w:val="000000"/>
          <w:spacing w:val="6"/>
          <w:sz w:val="28"/>
          <w:szCs w:val="28"/>
        </w:rPr>
        <w:t>投资业务不合规</w:t>
      </w:r>
      <w:r>
        <w:rPr>
          <w:rFonts w:hint="eastAsia" w:ascii="仿宋_GB2312" w:hAnsi="宋体" w:eastAsia="仿宋_GB2312"/>
          <w:color w:val="000000"/>
          <w:spacing w:val="6"/>
          <w:sz w:val="28"/>
          <w:szCs w:val="28"/>
        </w:rPr>
        <w:t>而</w:t>
      </w:r>
      <w:r>
        <w:rPr>
          <w:rFonts w:ascii="仿宋_GB2312" w:hAnsi="宋体" w:eastAsia="仿宋_GB2312"/>
          <w:color w:val="000000"/>
          <w:spacing w:val="6"/>
          <w:sz w:val="28"/>
          <w:szCs w:val="28"/>
        </w:rPr>
        <w:t>给乙方造成损失的，甲方应当承担赔偿责任</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2" w:name="_Toc856271"/>
      <w:r>
        <w:rPr>
          <w:rFonts w:hint="eastAsia" w:ascii="仿宋_GB2312" w:hAnsi="宋体" w:eastAsia="仿宋_GB2312"/>
          <w:sz w:val="28"/>
          <w:szCs w:val="28"/>
        </w:rPr>
        <w:t>8、划款指令和资金清算</w:t>
      </w:r>
      <w:bookmarkEnd w:id="22"/>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8.1划款指令的内容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8.1.1划款指令是指甲方发送至乙方的有关理财产品托管账户名下的款项支付以及其它资金划拨的指令。甲乙双方</w:t>
      </w:r>
      <w:r>
        <w:rPr>
          <w:rFonts w:ascii="仿宋_GB2312" w:hAnsi="宋体" w:eastAsia="仿宋_GB2312"/>
          <w:color w:val="000000"/>
          <w:spacing w:val="6"/>
          <w:sz w:val="28"/>
          <w:szCs w:val="28"/>
        </w:rPr>
        <w:t>发送及</w:t>
      </w:r>
      <w:r>
        <w:rPr>
          <w:rFonts w:hint="eastAsia" w:ascii="仿宋_GB2312" w:hAnsi="宋体" w:eastAsia="仿宋_GB2312"/>
          <w:color w:val="000000"/>
          <w:spacing w:val="6"/>
          <w:sz w:val="28"/>
          <w:szCs w:val="28"/>
        </w:rPr>
        <w:t>接收指令等</w:t>
      </w:r>
      <w:r>
        <w:rPr>
          <w:rFonts w:ascii="仿宋_GB2312" w:hAnsi="宋体" w:eastAsia="仿宋_GB2312"/>
          <w:color w:val="000000"/>
          <w:spacing w:val="6"/>
          <w:sz w:val="28"/>
          <w:szCs w:val="28"/>
        </w:rPr>
        <w:t>均应通过</w:t>
      </w:r>
      <w:r>
        <w:rPr>
          <w:rFonts w:hint="eastAsia" w:ascii="仿宋_GB2312" w:hAnsi="宋体" w:eastAsia="仿宋_GB2312"/>
          <w:color w:val="000000"/>
          <w:spacing w:val="6"/>
          <w:sz w:val="28"/>
          <w:szCs w:val="28"/>
        </w:rPr>
        <w:t>本协议</w:t>
      </w:r>
      <w:r>
        <w:rPr>
          <w:rFonts w:ascii="仿宋_GB2312" w:hAnsi="宋体" w:eastAsia="仿宋_GB2312"/>
          <w:color w:val="000000"/>
          <w:spacing w:val="6"/>
          <w:sz w:val="28"/>
          <w:szCs w:val="28"/>
        </w:rPr>
        <w:t>附件</w:t>
      </w:r>
      <w:r>
        <w:rPr>
          <w:rFonts w:hint="eastAsia" w:ascii="仿宋_GB2312" w:hAnsi="宋体" w:eastAsia="仿宋_GB2312"/>
          <w:color w:val="000000"/>
          <w:spacing w:val="6"/>
          <w:sz w:val="28"/>
          <w:szCs w:val="28"/>
        </w:rPr>
        <w:t>五《业务联系表》约定的</w:t>
      </w:r>
      <w:r>
        <w:rPr>
          <w:rFonts w:ascii="仿宋_GB2312" w:hAnsi="宋体" w:eastAsia="仿宋_GB2312"/>
          <w:color w:val="000000"/>
          <w:spacing w:val="6"/>
          <w:sz w:val="28"/>
          <w:szCs w:val="28"/>
        </w:rPr>
        <w:t>联系方式进行。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8.2被授权人的指定和变更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8.2.1理财产品托管运作前，甲方应向乙方提供划款指令授权书（附件三）原件，划款指令授权书应包括被授权人名单、签名样本及相应权限，并加盖甲方公章。</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color w:val="000000"/>
          <w:spacing w:val="6"/>
          <w:sz w:val="28"/>
          <w:szCs w:val="28"/>
        </w:rPr>
        <w:t>8.2.2被授权人变更时，甲方应在变更前5个工作日向</w:t>
      </w:r>
      <w:r>
        <w:rPr>
          <w:rFonts w:ascii="仿宋_GB2312" w:hAnsi="宋体" w:eastAsia="仿宋_GB2312"/>
          <w:color w:val="000000"/>
          <w:spacing w:val="6"/>
          <w:sz w:val="28"/>
          <w:szCs w:val="28"/>
        </w:rPr>
        <w:t>乙方发送</w:t>
      </w:r>
      <w:r>
        <w:rPr>
          <w:rFonts w:hint="eastAsia" w:ascii="仿宋_GB2312" w:hAnsi="宋体" w:eastAsia="仿宋_GB2312"/>
          <w:color w:val="000000"/>
          <w:spacing w:val="6"/>
          <w:sz w:val="28"/>
          <w:szCs w:val="28"/>
        </w:rPr>
        <w:t>加盖</w:t>
      </w:r>
      <w:r>
        <w:rPr>
          <w:rFonts w:ascii="仿宋_GB2312" w:hAnsi="宋体" w:eastAsia="仿宋_GB2312"/>
          <w:color w:val="000000"/>
          <w:spacing w:val="6"/>
          <w:sz w:val="28"/>
          <w:szCs w:val="28"/>
        </w:rPr>
        <w:t>甲方公章的划款指令授权变更通知书</w:t>
      </w:r>
      <w:r>
        <w:rPr>
          <w:rFonts w:hint="eastAsia" w:ascii="仿宋_GB2312" w:hAnsi="宋体" w:eastAsia="仿宋_GB2312"/>
          <w:color w:val="000000"/>
          <w:spacing w:val="6"/>
          <w:sz w:val="28"/>
          <w:szCs w:val="28"/>
        </w:rPr>
        <w:t>扫描件</w:t>
      </w:r>
      <w:r>
        <w:rPr>
          <w:rFonts w:ascii="仿宋_GB2312" w:hAnsi="宋体" w:eastAsia="仿宋_GB2312"/>
          <w:color w:val="000000"/>
          <w:spacing w:val="6"/>
          <w:sz w:val="28"/>
          <w:szCs w:val="28"/>
        </w:rPr>
        <w:t>、传真件或原件</w:t>
      </w:r>
      <w:r>
        <w:rPr>
          <w:rFonts w:hint="eastAsia" w:ascii="仿宋_GB2312" w:hAnsi="宋体" w:eastAsia="仿宋_GB2312"/>
          <w:color w:val="000000"/>
          <w:spacing w:val="6"/>
          <w:sz w:val="28"/>
          <w:szCs w:val="28"/>
        </w:rPr>
        <w:t>。该变更应于甲乙</w:t>
      </w:r>
      <w:r>
        <w:rPr>
          <w:rFonts w:ascii="仿宋_GB2312" w:hAnsi="宋体" w:eastAsia="仿宋_GB2312"/>
          <w:color w:val="000000"/>
          <w:spacing w:val="6"/>
          <w:sz w:val="28"/>
          <w:szCs w:val="28"/>
        </w:rPr>
        <w:t>双方电话确认</w:t>
      </w:r>
      <w:r>
        <w:rPr>
          <w:rFonts w:hint="eastAsia" w:ascii="仿宋_GB2312" w:hAnsi="宋体" w:eastAsia="仿宋_GB2312"/>
          <w:color w:val="000000"/>
          <w:spacing w:val="6"/>
          <w:sz w:val="28"/>
          <w:szCs w:val="28"/>
        </w:rPr>
        <w:t>乙方</w:t>
      </w:r>
      <w:r>
        <w:rPr>
          <w:rFonts w:ascii="仿宋_GB2312" w:hAnsi="宋体" w:eastAsia="仿宋_GB2312"/>
          <w:color w:val="000000"/>
          <w:spacing w:val="6"/>
          <w:sz w:val="28"/>
          <w:szCs w:val="28"/>
        </w:rPr>
        <w:t>已收妥</w:t>
      </w:r>
      <w:r>
        <w:rPr>
          <w:rFonts w:hint="eastAsia" w:ascii="仿宋_GB2312" w:hAnsi="宋体" w:eastAsia="仿宋_GB2312"/>
          <w:color w:val="000000"/>
          <w:spacing w:val="6"/>
          <w:sz w:val="28"/>
          <w:szCs w:val="28"/>
        </w:rPr>
        <w:t>之日起生效。</w:t>
      </w:r>
      <w:bookmarkStart w:id="23" w:name="OLE_LINK17"/>
      <w:r>
        <w:rPr>
          <w:rFonts w:hint="eastAsia" w:ascii="仿宋_GB2312" w:hAnsi="宋体" w:eastAsia="仿宋_GB2312"/>
          <w:color w:val="000000"/>
          <w:spacing w:val="6"/>
          <w:sz w:val="28"/>
          <w:szCs w:val="28"/>
        </w:rPr>
        <w:t>在新的划款指令授权书生效前，双方仍按</w:t>
      </w:r>
      <w:r>
        <w:rPr>
          <w:rFonts w:hint="eastAsia" w:ascii="仿宋_GB2312" w:hAnsi="宋体" w:eastAsia="仿宋_GB2312"/>
          <w:spacing w:val="6"/>
          <w:sz w:val="28"/>
          <w:szCs w:val="28"/>
        </w:rPr>
        <w:t>原划款指令授权书执行。</w:t>
      </w:r>
      <w:bookmarkEnd w:id="23"/>
    </w:p>
    <w:p>
      <w:pPr>
        <w:spacing w:before="40" w:line="580" w:lineRule="exact"/>
        <w:ind w:firstLine="584" w:firstLineChars="200"/>
        <w:rPr>
          <w:rFonts w:ascii="仿宋_GB2312" w:hAnsi="仿宋_GB2312" w:eastAsia="仿宋_GB2312" w:cs="仿宋_GB2312"/>
          <w:sz w:val="28"/>
          <w:szCs w:val="28"/>
        </w:rPr>
      </w:pPr>
      <w:r>
        <w:rPr>
          <w:rFonts w:hint="eastAsia" w:ascii="仿宋_GB2312" w:hAnsi="宋体" w:eastAsia="仿宋_GB2312"/>
          <w:spacing w:val="6"/>
          <w:sz w:val="28"/>
          <w:szCs w:val="28"/>
        </w:rPr>
        <w:t xml:space="preserve">8.2.3 </w:t>
      </w:r>
      <w:r>
        <w:rPr>
          <w:rFonts w:hint="eastAsia" w:ascii="仿宋_GB2312" w:hAnsi="仿宋_GB2312" w:eastAsia="仿宋_GB2312" w:cs="仿宋_GB2312"/>
          <w:sz w:val="28"/>
          <w:szCs w:val="28"/>
        </w:rPr>
        <w:t>授权变更</w:t>
      </w:r>
      <w:r>
        <w:rPr>
          <w:rFonts w:ascii="仿宋_GB2312" w:hAnsi="仿宋_GB2312" w:eastAsia="仿宋_GB2312" w:cs="仿宋_GB2312"/>
          <w:sz w:val="28"/>
          <w:szCs w:val="28"/>
        </w:rPr>
        <w:t>通知</w:t>
      </w:r>
      <w:r>
        <w:rPr>
          <w:rFonts w:hint="eastAsia" w:ascii="仿宋_GB2312" w:hAnsi="仿宋_GB2312" w:eastAsia="仿宋_GB2312" w:cs="仿宋_GB2312"/>
          <w:sz w:val="28"/>
          <w:szCs w:val="28"/>
        </w:rPr>
        <w:t>书若以扫描件/</w:t>
      </w:r>
      <w:r>
        <w:rPr>
          <w:rFonts w:ascii="仿宋_GB2312" w:hAnsi="仿宋_GB2312" w:eastAsia="仿宋_GB2312" w:cs="仿宋_GB2312"/>
          <w:sz w:val="28"/>
          <w:szCs w:val="28"/>
        </w:rPr>
        <w:t>传真件的</w:t>
      </w:r>
      <w:r>
        <w:rPr>
          <w:rFonts w:hint="eastAsia" w:ascii="仿宋_GB2312" w:hAnsi="仿宋_GB2312" w:eastAsia="仿宋_GB2312" w:cs="仿宋_GB2312"/>
          <w:sz w:val="28"/>
          <w:szCs w:val="28"/>
        </w:rPr>
        <w:t>形式发出，则甲方</w:t>
      </w:r>
      <w:r>
        <w:rPr>
          <w:rFonts w:ascii="仿宋_GB2312" w:hAnsi="仿宋_GB2312" w:eastAsia="仿宋_GB2312" w:cs="仿宋_GB2312"/>
          <w:sz w:val="28"/>
          <w:szCs w:val="28"/>
        </w:rPr>
        <w:t>应于发送后一个工作日内向乙方提供授权变更通知书原件，</w:t>
      </w:r>
      <w:r>
        <w:rPr>
          <w:rFonts w:hint="eastAsia" w:ascii="仿宋_GB2312" w:hAnsi="仿宋_GB2312" w:eastAsia="仿宋_GB2312" w:cs="仿宋_GB2312"/>
          <w:sz w:val="28"/>
          <w:szCs w:val="28"/>
        </w:rPr>
        <w:t>如乙方</w:t>
      </w:r>
      <w:r>
        <w:rPr>
          <w:rFonts w:ascii="仿宋_GB2312" w:hAnsi="仿宋_GB2312" w:eastAsia="仿宋_GB2312" w:cs="仿宋_GB2312"/>
          <w:sz w:val="28"/>
          <w:szCs w:val="28"/>
        </w:rPr>
        <w:t>收到的原件与扫描件</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传真件不一致，则</w:t>
      </w:r>
      <w:r>
        <w:rPr>
          <w:rFonts w:hint="eastAsia" w:ascii="仿宋_GB2312" w:hAnsi="仿宋_GB2312" w:eastAsia="仿宋_GB2312" w:cs="仿宋_GB2312"/>
          <w:sz w:val="28"/>
          <w:szCs w:val="28"/>
        </w:rPr>
        <w:t>以</w:t>
      </w:r>
      <w:r>
        <w:rPr>
          <w:rFonts w:ascii="仿宋_GB2312" w:hAnsi="仿宋_GB2312" w:eastAsia="仿宋_GB2312" w:cs="仿宋_GB2312"/>
          <w:sz w:val="28"/>
          <w:szCs w:val="28"/>
        </w:rPr>
        <w:t>乙方收到的扫描件</w:t>
      </w:r>
      <w:r>
        <w:rPr>
          <w:rFonts w:hint="eastAsia" w:ascii="仿宋_GB2312" w:hAnsi="仿宋_GB2312" w:eastAsia="仿宋_GB2312" w:cs="仿宋_GB2312"/>
          <w:sz w:val="28"/>
          <w:szCs w:val="28"/>
        </w:rPr>
        <w:t>/传真件</w:t>
      </w:r>
      <w:r>
        <w:rPr>
          <w:rFonts w:ascii="仿宋_GB2312" w:hAnsi="仿宋_GB2312" w:eastAsia="仿宋_GB2312" w:cs="仿宋_GB2312"/>
          <w:sz w:val="28"/>
          <w:szCs w:val="28"/>
        </w:rPr>
        <w:t>为准</w:t>
      </w:r>
      <w:r>
        <w:rPr>
          <w:rFonts w:hint="eastAsia" w:ascii="仿宋_GB2312" w:hAnsi="仿宋_GB2312" w:eastAsia="仿宋_GB2312" w:cs="仿宋_GB2312"/>
          <w:sz w:val="28"/>
          <w:szCs w:val="28"/>
        </w:rPr>
        <w:t>。</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8.2.4对于经本合同约定授权程序授权后的被授权人在授权权限内发出的指令，甲方不得否认其效力。</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8.3指令的发送</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8.3.1划款</w:t>
      </w:r>
      <w:r>
        <w:rPr>
          <w:rFonts w:ascii="仿宋_GB2312" w:hAnsi="宋体" w:eastAsia="仿宋_GB2312"/>
          <w:b/>
          <w:spacing w:val="6"/>
          <w:sz w:val="28"/>
          <w:szCs w:val="28"/>
        </w:rPr>
        <w:t>指令的发送方式</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甲方选择以下方式向乙方发送指令：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甲方以预留传真或</w:t>
      </w:r>
      <w:r>
        <w:rPr>
          <w:rFonts w:ascii="仿宋_GB2312" w:hAnsi="宋体" w:eastAsia="仿宋_GB2312"/>
          <w:spacing w:val="6"/>
          <w:sz w:val="28"/>
          <w:szCs w:val="28"/>
        </w:rPr>
        <w:t>电子邮箱</w:t>
      </w:r>
      <w:r>
        <w:rPr>
          <w:rFonts w:hint="eastAsia" w:ascii="仿宋_GB2312" w:hAnsi="宋体" w:eastAsia="仿宋_GB2312"/>
          <w:spacing w:val="6"/>
          <w:sz w:val="28"/>
          <w:szCs w:val="28"/>
        </w:rPr>
        <w:t>方式发送指令。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甲方向乙方</w:t>
      </w:r>
      <w:r>
        <w:rPr>
          <w:rFonts w:ascii="仿宋_GB2312" w:hAnsi="宋体" w:eastAsia="仿宋_GB2312"/>
          <w:spacing w:val="6"/>
          <w:sz w:val="28"/>
          <w:szCs w:val="28"/>
        </w:rPr>
        <w:t>发送划款指令，可</w:t>
      </w:r>
      <w:r>
        <w:rPr>
          <w:rFonts w:hint="eastAsia" w:ascii="仿宋_GB2312" w:hAnsi="宋体" w:eastAsia="仿宋_GB2312"/>
          <w:spacing w:val="6"/>
          <w:sz w:val="28"/>
          <w:szCs w:val="28"/>
        </w:rPr>
        <w:t>通过</w:t>
      </w:r>
      <w:r>
        <w:rPr>
          <w:rFonts w:ascii="仿宋_GB2312" w:hAnsi="宋体" w:eastAsia="仿宋_GB2312"/>
          <w:spacing w:val="6"/>
          <w:sz w:val="28"/>
          <w:szCs w:val="28"/>
        </w:rPr>
        <w:t>指定传真</w:t>
      </w:r>
      <w:r>
        <w:rPr>
          <w:rFonts w:hint="eastAsia" w:ascii="仿宋_GB2312" w:hAnsi="宋体" w:eastAsia="仿宋_GB2312"/>
          <w:spacing w:val="6"/>
          <w:sz w:val="28"/>
          <w:szCs w:val="28"/>
        </w:rPr>
        <w:t>发送</w:t>
      </w:r>
      <w:r>
        <w:rPr>
          <w:rFonts w:ascii="仿宋_GB2312" w:hAnsi="宋体" w:eastAsia="仿宋_GB2312"/>
          <w:spacing w:val="6"/>
          <w:sz w:val="28"/>
          <w:szCs w:val="28"/>
        </w:rPr>
        <w:t>传真件或指定的邮箱发送</w:t>
      </w:r>
      <w:r>
        <w:rPr>
          <w:rFonts w:hint="eastAsia" w:ascii="仿宋_GB2312" w:hAnsi="宋体" w:eastAsia="仿宋_GB2312"/>
          <w:spacing w:val="6"/>
          <w:sz w:val="28"/>
          <w:szCs w:val="28"/>
        </w:rPr>
        <w:t>扫描件。甲方</w:t>
      </w:r>
      <w:r>
        <w:rPr>
          <w:rFonts w:ascii="仿宋_GB2312" w:hAnsi="宋体" w:eastAsia="仿宋_GB2312"/>
          <w:spacing w:val="6"/>
          <w:sz w:val="28"/>
          <w:szCs w:val="28"/>
        </w:rPr>
        <w:t>向乙方发送</w:t>
      </w:r>
      <w:r>
        <w:rPr>
          <w:rFonts w:hint="eastAsia" w:ascii="仿宋_GB2312" w:hAnsi="宋体" w:eastAsia="仿宋_GB2312"/>
          <w:spacing w:val="6"/>
          <w:sz w:val="28"/>
          <w:szCs w:val="28"/>
        </w:rPr>
        <w:t>指令的同时应通过已预留的传真号码或电子邮箱提供相关合同、交易凭证或其他证明材料。甲方对该等资料的真实性、有效性、完整性和合法合规性负责。</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对于甲方通过预留传真号码或指定邮箱向乙方指定</w:t>
      </w:r>
      <w:r>
        <w:rPr>
          <w:rFonts w:ascii="仿宋_GB2312" w:hAnsi="宋体" w:eastAsia="仿宋_GB2312"/>
          <w:spacing w:val="6"/>
          <w:sz w:val="28"/>
          <w:szCs w:val="28"/>
        </w:rPr>
        <w:t>传真号码或邮箱</w:t>
      </w:r>
      <w:r>
        <w:rPr>
          <w:rFonts w:hint="eastAsia" w:ascii="仿宋_GB2312" w:hAnsi="宋体" w:eastAsia="仿宋_GB2312"/>
          <w:spacing w:val="6"/>
          <w:sz w:val="28"/>
          <w:szCs w:val="28"/>
        </w:rPr>
        <w:t>发出的指令及指令附件，甲方不得否认其效力。</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hAnsi="宋体" w:eastAsia="仿宋_GB2312"/>
          <w:spacing w:val="6"/>
          <w:sz w:val="28"/>
          <w:szCs w:val="28"/>
        </w:rPr>
        <w:t>或重大过失</w:t>
      </w:r>
      <w:r>
        <w:rPr>
          <w:rFonts w:hint="eastAsia" w:ascii="仿宋_GB2312" w:hAnsi="宋体" w:eastAsia="仿宋_GB2312"/>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8.4指令的接收和执行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28"/>
        </w:rPr>
        <w:t>8.4.1乙方收到甲方的划款指令和</w:t>
      </w:r>
      <w:bookmarkStart w:id="24" w:name="OLE_LINK20"/>
      <w:r>
        <w:rPr>
          <w:rFonts w:hint="eastAsia" w:ascii="仿宋_GB2312" w:hAnsi="宋体" w:eastAsia="仿宋_GB2312"/>
          <w:spacing w:val="6"/>
          <w:sz w:val="28"/>
          <w:szCs w:val="28"/>
        </w:rPr>
        <w:t>成交合</w:t>
      </w:r>
      <w:r>
        <w:rPr>
          <w:rFonts w:hint="eastAsia" w:ascii="仿宋_GB2312" w:hAnsi="宋体" w:eastAsia="仿宋_GB2312"/>
          <w:color w:val="000000"/>
          <w:spacing w:val="6"/>
          <w:sz w:val="28"/>
          <w:szCs w:val="28"/>
        </w:rPr>
        <w:t>同</w:t>
      </w:r>
      <w:bookmarkEnd w:id="24"/>
      <w:r>
        <w:rPr>
          <w:rFonts w:hint="eastAsia" w:ascii="仿宋_GB2312" w:hAnsi="宋体" w:eastAsia="仿宋_GB2312"/>
          <w:spacing w:val="6"/>
          <w:sz w:val="28"/>
          <w:szCs w:val="28"/>
        </w:rPr>
        <w:t>或</w:t>
      </w:r>
      <w:bookmarkStart w:id="25" w:name="OLE_LINK21"/>
      <w:r>
        <w:rPr>
          <w:rFonts w:hint="eastAsia" w:ascii="仿宋_GB2312" w:hAnsi="宋体" w:eastAsia="仿宋_GB2312"/>
          <w:spacing w:val="6"/>
          <w:sz w:val="28"/>
          <w:szCs w:val="28"/>
        </w:rPr>
        <w:t>其他</w:t>
      </w:r>
      <w:bookmarkEnd w:id="25"/>
      <w:r>
        <w:rPr>
          <w:rFonts w:hint="eastAsia" w:ascii="仿宋_GB2312" w:hAnsi="宋体" w:eastAsia="仿宋_GB2312"/>
          <w:spacing w:val="6"/>
          <w:sz w:val="28"/>
          <w:szCs w:val="28"/>
        </w:rPr>
        <w:t>交易证明文件（如有）</w:t>
      </w:r>
      <w:r>
        <w:rPr>
          <w:rFonts w:hint="eastAsia" w:ascii="仿宋_GB2312" w:hAnsi="宋体" w:eastAsia="仿宋_GB2312"/>
          <w:color w:val="000000"/>
          <w:spacing w:val="6"/>
          <w:sz w:val="28"/>
          <w:szCs w:val="28"/>
        </w:rPr>
        <w:t>后，应对指令进行表面审核，若该指令不违反本协议约定，则予执行。</w:t>
      </w:r>
    </w:p>
    <w:p>
      <w:pPr>
        <w:pStyle w:val="12"/>
        <w:spacing w:after="0" w:line="580" w:lineRule="exact"/>
        <w:ind w:left="0" w:leftChars="0" w:firstLine="564" w:firstLineChars="193"/>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8.4.</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划款指令原件应由甲方保管，乙方保管传真件或</w:t>
      </w:r>
      <w:r>
        <w:rPr>
          <w:rFonts w:ascii="仿宋_GB2312" w:hAnsi="宋体" w:eastAsia="仿宋_GB2312"/>
          <w:color w:val="000000"/>
          <w:spacing w:val="6"/>
          <w:sz w:val="28"/>
          <w:szCs w:val="28"/>
        </w:rPr>
        <w:t>扫描件</w:t>
      </w:r>
      <w:r>
        <w:rPr>
          <w:rFonts w:hint="eastAsia" w:ascii="仿宋_GB2312" w:hAnsi="宋体" w:eastAsia="仿宋_GB2312"/>
          <w:color w:val="000000"/>
          <w:spacing w:val="6"/>
          <w:sz w:val="28"/>
          <w:szCs w:val="28"/>
        </w:rPr>
        <w:t>，当两者不一致时，以乙方收到的传真件或扫描件为准。</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8.5银行间债券的资金清算交收</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pPr>
        <w:spacing w:before="40" w:line="580" w:lineRule="exact"/>
        <w:ind w:firstLine="562" w:firstLineChars="200"/>
        <w:rPr>
          <w:rFonts w:ascii="仿宋_GB2312" w:hAnsi="宋体" w:eastAsia="仿宋_GB2312"/>
          <w:sz w:val="28"/>
          <w:szCs w:val="28"/>
        </w:rPr>
      </w:pPr>
      <w:r>
        <w:rPr>
          <w:rFonts w:ascii="仿宋_GB2312" w:hAnsi="宋体" w:eastAsia="仿宋_GB2312"/>
          <w:b/>
          <w:sz w:val="28"/>
          <w:szCs w:val="28"/>
        </w:rPr>
        <w:t>8.6北京金融资产交易所</w:t>
      </w:r>
      <w:r>
        <w:rPr>
          <w:rFonts w:hint="eastAsia" w:ascii="仿宋_GB2312" w:hAnsi="宋体" w:eastAsia="仿宋_GB2312"/>
          <w:b/>
          <w:sz w:val="28"/>
          <w:szCs w:val="28"/>
        </w:rPr>
        <w:t>挂牌项目的投资</w:t>
      </w:r>
      <w:r>
        <w:rPr>
          <w:rFonts w:ascii="仿宋_GB2312" w:hAnsi="宋体" w:eastAsia="仿宋_GB2312"/>
          <w:b/>
          <w:sz w:val="28"/>
          <w:szCs w:val="28"/>
        </w:rPr>
        <w:t>、交易</w:t>
      </w:r>
      <w:r>
        <w:rPr>
          <w:rFonts w:hint="eastAsia" w:ascii="仿宋_GB2312" w:hAnsi="宋体" w:eastAsia="仿宋_GB2312"/>
          <w:b/>
          <w:sz w:val="28"/>
          <w:szCs w:val="28"/>
        </w:rPr>
        <w:t>和</w:t>
      </w:r>
      <w:r>
        <w:rPr>
          <w:rFonts w:ascii="仿宋_GB2312" w:hAnsi="宋体" w:eastAsia="仿宋_GB2312"/>
          <w:b/>
          <w:sz w:val="28"/>
          <w:szCs w:val="28"/>
        </w:rPr>
        <w:t>清算</w:t>
      </w:r>
    </w:p>
    <w:p>
      <w:pPr>
        <w:spacing w:before="40" w:line="580" w:lineRule="exact"/>
        <w:ind w:firstLine="560" w:firstLineChars="200"/>
        <w:rPr>
          <w:rFonts w:ascii="仿宋_GB2312" w:hAnsi="宋体" w:eastAsia="仿宋_GB2312"/>
          <w:spacing w:val="6"/>
          <w:sz w:val="28"/>
          <w:szCs w:val="28"/>
        </w:rPr>
      </w:pPr>
      <w:r>
        <w:rPr>
          <w:rFonts w:ascii="仿宋_GB2312" w:hAnsi="宋体" w:eastAsia="仿宋_GB2312"/>
          <w:sz w:val="28"/>
          <w:szCs w:val="28"/>
        </w:rPr>
        <w:t>8.6.1</w:t>
      </w:r>
      <w:r>
        <w:rPr>
          <w:rFonts w:hint="eastAsia" w:ascii="仿宋_GB2312" w:hAnsi="宋体" w:eastAsia="仿宋_GB2312"/>
          <w:sz w:val="28"/>
          <w:szCs w:val="28"/>
        </w:rPr>
        <w:t>本</w:t>
      </w:r>
      <w:r>
        <w:rPr>
          <w:rFonts w:ascii="仿宋_GB2312" w:hAnsi="宋体" w:eastAsia="仿宋_GB2312"/>
          <w:sz w:val="28"/>
          <w:szCs w:val="28"/>
        </w:rPr>
        <w:t>理财产品如投资</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挂牌</w:t>
      </w:r>
      <w:r>
        <w:rPr>
          <w:rFonts w:ascii="仿宋_GB2312" w:hAnsi="宋体" w:eastAsia="仿宋_GB2312"/>
          <w:sz w:val="28"/>
          <w:szCs w:val="28"/>
        </w:rPr>
        <w:t>的项目，</w:t>
      </w:r>
      <w:r>
        <w:rPr>
          <w:rFonts w:hint="eastAsia" w:ascii="仿宋_GB2312" w:hAnsi="宋体" w:eastAsia="仿宋_GB2312"/>
          <w:sz w:val="28"/>
          <w:szCs w:val="28"/>
        </w:rPr>
        <w:t>乙方</w:t>
      </w:r>
      <w:r>
        <w:rPr>
          <w:rFonts w:ascii="仿宋_GB2312" w:hAnsi="宋体" w:eastAsia="仿宋_GB2312"/>
          <w:sz w:val="28"/>
          <w:szCs w:val="28"/>
        </w:rPr>
        <w:t>负责根据甲方指令</w:t>
      </w:r>
      <w:r>
        <w:rPr>
          <w:rFonts w:hint="eastAsia" w:ascii="仿宋_GB2312" w:hAnsi="宋体" w:eastAsia="仿宋_GB2312"/>
          <w:sz w:val="28"/>
          <w:szCs w:val="28"/>
        </w:rPr>
        <w:t>、</w:t>
      </w:r>
      <w:r>
        <w:rPr>
          <w:rFonts w:ascii="仿宋_GB2312" w:hAnsi="宋体" w:eastAsia="仿宋_GB2312"/>
          <w:sz w:val="28"/>
          <w:szCs w:val="28"/>
        </w:rPr>
        <w:t>将交易资金转入甲方指定的</w:t>
      </w:r>
      <w:r>
        <w:rPr>
          <w:rFonts w:hint="eastAsia" w:ascii="仿宋_GB2312" w:hAnsi="宋体" w:eastAsia="仿宋_GB2312"/>
          <w:sz w:val="28"/>
          <w:szCs w:val="28"/>
        </w:rPr>
        <w:t>投资</w:t>
      </w:r>
      <w:r>
        <w:rPr>
          <w:rFonts w:ascii="仿宋_GB2312" w:hAnsi="宋体" w:eastAsia="仿宋_GB2312"/>
          <w:sz w:val="28"/>
          <w:szCs w:val="28"/>
        </w:rPr>
        <w:t>账户，由</w:t>
      </w:r>
      <w:r>
        <w:rPr>
          <w:rFonts w:hint="eastAsia" w:ascii="仿宋_GB2312" w:hAnsi="宋体" w:eastAsia="仿宋_GB2312"/>
          <w:spacing w:val="6"/>
          <w:sz w:val="28"/>
          <w:szCs w:val="28"/>
        </w:rPr>
        <w:t>甲方负责在</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进行</w:t>
      </w:r>
      <w:r>
        <w:rPr>
          <w:rFonts w:hint="eastAsia" w:ascii="仿宋_GB2312" w:hAnsi="宋体" w:eastAsia="仿宋_GB2312"/>
          <w:spacing w:val="6"/>
          <w:sz w:val="28"/>
          <w:szCs w:val="28"/>
        </w:rPr>
        <w:t>投资交易及清算。投资到期</w:t>
      </w:r>
      <w:r>
        <w:rPr>
          <w:rFonts w:ascii="仿宋_GB2312" w:hAnsi="宋体" w:eastAsia="仿宋_GB2312"/>
          <w:spacing w:val="6"/>
          <w:sz w:val="28"/>
          <w:szCs w:val="28"/>
        </w:rPr>
        <w:t>或资产转让后，</w:t>
      </w:r>
      <w:r>
        <w:rPr>
          <w:rFonts w:hint="eastAsia" w:ascii="仿宋_GB2312" w:hAnsi="宋体" w:eastAsia="仿宋_GB2312"/>
          <w:spacing w:val="6"/>
          <w:sz w:val="28"/>
          <w:szCs w:val="28"/>
        </w:rPr>
        <w:t>甲方负责将投资收益</w:t>
      </w:r>
      <w:r>
        <w:rPr>
          <w:rFonts w:ascii="仿宋_GB2312" w:hAnsi="宋体" w:eastAsia="仿宋_GB2312"/>
          <w:spacing w:val="6"/>
          <w:sz w:val="28"/>
          <w:szCs w:val="28"/>
        </w:rPr>
        <w:t>及本金</w:t>
      </w:r>
      <w:r>
        <w:rPr>
          <w:rFonts w:hint="eastAsia" w:ascii="仿宋_GB2312" w:hAnsi="宋体" w:eastAsia="仿宋_GB2312"/>
          <w:spacing w:val="6"/>
          <w:sz w:val="28"/>
          <w:szCs w:val="28"/>
        </w:rPr>
        <w:t>及时划入托管账户。</w:t>
      </w:r>
    </w:p>
    <w:p>
      <w:pPr>
        <w:spacing w:before="40" w:line="580" w:lineRule="exact"/>
        <w:ind w:firstLine="560" w:firstLineChars="200"/>
        <w:rPr>
          <w:rFonts w:ascii="仿宋_GB2312" w:hAnsi="宋体" w:eastAsia="仿宋_GB2312"/>
          <w:spacing w:val="6"/>
          <w:sz w:val="28"/>
          <w:szCs w:val="28"/>
        </w:rPr>
      </w:pPr>
      <w:r>
        <w:rPr>
          <w:rFonts w:hint="eastAsia" w:ascii="仿宋_GB2312" w:hAnsi="宋体" w:eastAsia="仿宋_GB2312"/>
          <w:bCs/>
          <w:sz w:val="28"/>
          <w:szCs w:val="28"/>
        </w:rPr>
        <w:t>8.</w:t>
      </w:r>
      <w:r>
        <w:rPr>
          <w:rFonts w:ascii="仿宋_GB2312" w:hAnsi="宋体" w:eastAsia="仿宋_GB2312"/>
          <w:bCs/>
          <w:sz w:val="28"/>
          <w:szCs w:val="28"/>
        </w:rPr>
        <w:t>6</w:t>
      </w:r>
      <w:r>
        <w:rPr>
          <w:rFonts w:hint="eastAsia" w:ascii="仿宋_GB2312" w:hAnsi="宋体" w:eastAsia="仿宋_GB2312"/>
          <w:bCs/>
          <w:sz w:val="28"/>
          <w:szCs w:val="28"/>
        </w:rPr>
        <w:t xml:space="preserve">.2 </w:t>
      </w:r>
      <w:r>
        <w:rPr>
          <w:rFonts w:hint="eastAsia" w:ascii="仿宋_GB2312" w:hAnsi="宋体" w:eastAsia="仿宋_GB2312"/>
          <w:spacing w:val="6"/>
          <w:sz w:val="28"/>
          <w:szCs w:val="28"/>
        </w:rPr>
        <w:t>甲方应根据本理财产品说明书等相关资料规定的投资对象、投资范围及相关要求进行投资交易，</w:t>
      </w:r>
      <w:r>
        <w:rPr>
          <w:rFonts w:hint="eastAsia" w:ascii="仿宋_GB2312" w:hAnsi="宋体" w:eastAsia="仿宋_GB2312"/>
          <w:bCs/>
          <w:sz w:val="28"/>
          <w:szCs w:val="28"/>
        </w:rPr>
        <w:t>乙方根据甲方提供的投资交易数据作为资产估值及投资监督等的依据。</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color w:val="000000"/>
          <w:sz w:val="28"/>
          <w:szCs w:val="28"/>
        </w:rPr>
        <w:t>8.</w:t>
      </w:r>
      <w:r>
        <w:rPr>
          <w:rFonts w:ascii="仿宋_GB2312" w:hAnsi="宋体" w:eastAsia="仿宋_GB2312"/>
          <w:color w:val="000000"/>
          <w:sz w:val="28"/>
          <w:szCs w:val="28"/>
        </w:rPr>
        <w:t>6</w:t>
      </w:r>
      <w:r>
        <w:rPr>
          <w:rFonts w:hint="eastAsia" w:ascii="仿宋_GB2312" w:hAnsi="宋体" w:eastAsia="仿宋_GB2312"/>
          <w:color w:val="000000"/>
          <w:sz w:val="28"/>
          <w:szCs w:val="28"/>
        </w:rPr>
        <w:t>.3 甲</w:t>
      </w:r>
      <w:r>
        <w:rPr>
          <w:rFonts w:hint="eastAsia" w:ascii="仿宋_GB2312" w:hAnsi="宋体" w:eastAsia="仿宋_GB2312"/>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pPr>
        <w:spacing w:before="40" w:line="5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8.7投资于信托计划、基金公司、证券公司、保险资产管理公司等金融机构发行的资产管理计划，以及委托投资管理人进行理财投资管理的资金清算交收安排</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hAnsi="宋体" w:eastAsia="仿宋_GB2312"/>
          <w:sz w:val="28"/>
          <w:szCs w:val="28"/>
        </w:rPr>
        <w:t>约定的相关资料进行审核，审核无误后及时将资金划付至《信托合同》、《资产管理合同》指定的收款账户。</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8.8甲方理财产品投资于证券交易所市场的资金清算</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甲方理财产品通过指定证券经纪商进行交易时有关交易数据传输与接收、场内证券交易的资金清算与交割等事项在理财产品操作协议中进行约定。</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8.9投资于开放式基金的资金清算交收</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8.</w:t>
      </w:r>
      <w:r>
        <w:rPr>
          <w:rFonts w:ascii="仿宋_GB2312" w:hAnsi="宋体" w:eastAsia="仿宋_GB2312"/>
          <w:sz w:val="28"/>
          <w:szCs w:val="28"/>
        </w:rPr>
        <w:t>10</w:t>
      </w:r>
      <w:r>
        <w:rPr>
          <w:rFonts w:hint="eastAsia" w:ascii="仿宋_GB2312" w:hAnsi="宋体" w:eastAsia="仿宋_GB2312"/>
          <w:sz w:val="28"/>
          <w:szCs w:val="28"/>
        </w:rPr>
        <w:t>理财产品投资于其他投资产品的，具体清算程序，由双方另行商定。</w:t>
      </w:r>
    </w:p>
    <w:p>
      <w:pPr>
        <w:spacing w:before="40" w:line="580" w:lineRule="exact"/>
        <w:ind w:firstLine="560" w:firstLineChars="200"/>
        <w:rPr>
          <w:rFonts w:ascii="仿宋_GB2312" w:hAnsi="宋体" w:eastAsia="仿宋_GB2312"/>
          <w:sz w:val="28"/>
          <w:szCs w:val="28"/>
        </w:rPr>
      </w:pPr>
    </w:p>
    <w:p>
      <w:pPr>
        <w:pStyle w:val="2"/>
        <w:spacing w:before="40" w:after="0" w:line="580" w:lineRule="exact"/>
        <w:ind w:left="425"/>
        <w:rPr>
          <w:rFonts w:ascii="仿宋_GB2312" w:hAnsi="宋体" w:eastAsia="仿宋_GB2312"/>
          <w:sz w:val="28"/>
          <w:szCs w:val="28"/>
        </w:rPr>
      </w:pPr>
      <w:bookmarkStart w:id="26" w:name="_Toc856272"/>
      <w:r>
        <w:rPr>
          <w:rFonts w:hint="eastAsia" w:ascii="仿宋_GB2312" w:hAnsi="宋体" w:eastAsia="仿宋_GB2312"/>
          <w:sz w:val="28"/>
          <w:szCs w:val="28"/>
        </w:rPr>
        <w:t>9、会计核算与估值</w:t>
      </w:r>
      <w:bookmarkEnd w:id="26"/>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9.1甲方和乙方依照法律法规、相关会计法则商定的理财产品记账方法和会计核算标准对理财产品进行会计账务处理，</w:t>
      </w:r>
      <w:r>
        <w:rPr>
          <w:rFonts w:hint="eastAsia" w:ascii="仿宋_GB2312" w:hAnsi="宋体" w:eastAsia="仿宋_GB2312"/>
          <w:color w:val="000000"/>
          <w:sz w:val="28"/>
          <w:szCs w:val="28"/>
        </w:rPr>
        <w:t>甲乙双方</w:t>
      </w:r>
      <w:r>
        <w:rPr>
          <w:rFonts w:hint="eastAsia" w:ascii="仿宋_GB2312" w:hAnsi="宋体" w:eastAsia="仿宋_GB2312"/>
          <w:color w:val="000000"/>
          <w:spacing w:val="6"/>
          <w:sz w:val="28"/>
          <w:szCs w:val="28"/>
        </w:rPr>
        <w:t>分别为理财产品单独建账、单独核算，通过单独的组合完整记录理财产品投资及收益，并保管理财产品资产会计核算与账册。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9.2账务核对</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甲方每周向乙方提供理财产品财务核算报表，</w:t>
      </w:r>
      <w:r>
        <w:rPr>
          <w:rFonts w:hint="eastAsia" w:ascii="仿宋_GB2312" w:hAnsi="宋体" w:eastAsia="仿宋_GB2312"/>
          <w:color w:val="000000"/>
          <w:sz w:val="28"/>
          <w:szCs w:val="28"/>
        </w:rPr>
        <w:t>乙方对甲方计算的理财产品净值数据</w:t>
      </w:r>
      <w:r>
        <w:rPr>
          <w:rFonts w:hint="eastAsia" w:ascii="仿宋_GB2312" w:hAnsi="宋体" w:eastAsia="仿宋_GB2312"/>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9.3甲方应及时将理财产品投资信息数据传送给乙方，并对数据的准确性、真实性、完整性负责。</w:t>
      </w:r>
    </w:p>
    <w:p>
      <w:pPr>
        <w:pStyle w:val="5"/>
        <w:spacing w:line="360" w:lineRule="auto"/>
        <w:ind w:firstLine="584"/>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9.4 估值方法</w:t>
      </w:r>
    </w:p>
    <w:p>
      <w:pPr>
        <w:widowControl/>
        <w:spacing w:line="360" w:lineRule="auto"/>
        <w:ind w:firstLine="584" w:firstLineChars="200"/>
        <w:jc w:val="left"/>
        <w:rPr>
          <w:rFonts w:ascii="宋体" w:hAnsi="宋体" w:cs="宋体"/>
          <w:color w:val="000000"/>
          <w:spacing w:val="6"/>
          <w:sz w:val="28"/>
          <w:szCs w:val="28"/>
        </w:rPr>
      </w:pPr>
      <w:r>
        <w:rPr>
          <w:rFonts w:ascii="仿宋_GB2312" w:hAnsi="宋体" w:eastAsia="仿宋_GB2312"/>
          <w:color w:val="000000"/>
          <w:spacing w:val="6"/>
          <w:sz w:val="28"/>
          <w:szCs w:val="28"/>
        </w:rPr>
        <w:t>a)</w:t>
      </w:r>
      <w:r>
        <w:rPr>
          <w:rFonts w:hint="eastAsia" w:ascii="仿宋_GB2312" w:hAnsi="宋体" w:eastAsia="仿宋_GB2312"/>
          <w:color w:val="000000"/>
          <w:spacing w:val="6"/>
          <w:sz w:val="28"/>
          <w:szCs w:val="28"/>
        </w:rPr>
        <w:t>债券类</w:t>
      </w:r>
      <w:r>
        <w:rPr>
          <w:rFonts w:hint="eastAsia" w:ascii="宋体" w:hAnsi="宋体" w:cs="宋体"/>
          <w:color w:val="000000"/>
          <w:spacing w:val="6"/>
          <w:sz w:val="28"/>
          <w:szCs w:val="28"/>
        </w:rPr>
        <w:t xml:space="preserve"> </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（1）</w:t>
      </w:r>
      <w:r>
        <w:rPr>
          <w:rFonts w:hint="eastAsia" w:ascii="仿宋_GB2312" w:hAnsi="宋体" w:eastAsia="仿宋_GB2312"/>
          <w:color w:val="000000"/>
          <w:spacing w:val="6"/>
          <w:sz w:val="28"/>
          <w:szCs w:val="28"/>
        </w:rPr>
        <w:t>以持有到期为目的持有的债券按摊余成本法估值；</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（2）</w:t>
      </w:r>
      <w:r>
        <w:rPr>
          <w:rFonts w:hint="eastAsia" w:ascii="仿宋_GB2312" w:hAnsi="宋体" w:eastAsia="仿宋_GB2312"/>
          <w:color w:val="000000"/>
          <w:spacing w:val="6"/>
          <w:sz w:val="28"/>
          <w:szCs w:val="28"/>
        </w:rPr>
        <w:t>以交易为目的持有的债券按市价法估值。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（3）一年内同业存单或债券以摊余成本法估值。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b)存款和回购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持有的银行存款以本金列示，</w:t>
      </w:r>
      <w:r>
        <w:rPr>
          <w:rFonts w:hint="eastAsia" w:ascii="仿宋_GB2312" w:hAnsi="宋体" w:eastAsia="仿宋_GB2312"/>
          <w:color w:val="000000"/>
          <w:spacing w:val="6"/>
          <w:sz w:val="28"/>
          <w:szCs w:val="28"/>
        </w:rPr>
        <w:t>按商定利率在实际持有期间内逐日计提利息</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持有的回购协议以成本列示，按商定利率在实际持有期间内逐日计提利息</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c)基金</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（2）未上市的封闭式基金按估值日的份额净值估值，若估值日未公布份额净值，按最近公布的份额净值估值。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w:t>
      </w:r>
      <w:r>
        <w:rPr>
          <w:rFonts w:ascii="仿宋_GB2312" w:hAnsi="宋体" w:eastAsia="仿宋_GB2312"/>
          <w:color w:val="000000"/>
          <w:spacing w:val="6"/>
          <w:sz w:val="28"/>
          <w:szCs w:val="28"/>
        </w:rPr>
        <w:t>货币市场基金或货币类集合理财计划，单位价值按1.0000计算，</w:t>
      </w:r>
      <w:r>
        <w:rPr>
          <w:rFonts w:hint="eastAsia" w:ascii="仿宋_GB2312" w:hAnsi="宋体" w:eastAsia="仿宋_GB2312"/>
          <w:color w:val="000000"/>
          <w:spacing w:val="6"/>
          <w:sz w:val="28"/>
          <w:szCs w:val="28"/>
        </w:rPr>
        <w:t>按基金管理公司公布的估值日前一交易日的每万份收益计提红利</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d)股票</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e)信托计划</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若相关信托计划没有净值，则对持有信托计划份额</w:t>
      </w:r>
      <w:r>
        <w:rPr>
          <w:rFonts w:ascii="仿宋_GB2312" w:hAnsi="宋体" w:eastAsia="仿宋_GB2312"/>
          <w:color w:val="000000"/>
          <w:spacing w:val="6"/>
          <w:sz w:val="28"/>
          <w:szCs w:val="28"/>
        </w:rPr>
        <w:t>采用成本法进行估值，</w:t>
      </w:r>
      <w:r>
        <w:rPr>
          <w:rFonts w:hint="eastAsia" w:ascii="仿宋_GB2312" w:hAnsi="宋体" w:eastAsia="仿宋_GB2312"/>
          <w:color w:val="000000"/>
          <w:spacing w:val="6"/>
          <w:sz w:val="28"/>
          <w:szCs w:val="28"/>
        </w:rPr>
        <w:t>根据管理人提供的持有份额对应收益率</w:t>
      </w:r>
      <w:r>
        <w:rPr>
          <w:rFonts w:ascii="仿宋_GB2312" w:hAnsi="宋体" w:eastAsia="仿宋_GB2312"/>
          <w:color w:val="000000"/>
          <w:spacing w:val="6"/>
          <w:sz w:val="28"/>
          <w:szCs w:val="28"/>
        </w:rPr>
        <w:t>每日计提</w:t>
      </w:r>
      <w:r>
        <w:rPr>
          <w:rFonts w:hint="eastAsia" w:ascii="仿宋_GB2312" w:hAnsi="宋体" w:eastAsia="仿宋_GB2312"/>
          <w:color w:val="000000"/>
          <w:spacing w:val="6"/>
          <w:sz w:val="28"/>
          <w:szCs w:val="28"/>
        </w:rPr>
        <w:t>收益。</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w:t>
      </w:r>
      <w:r>
        <w:rPr>
          <w:rFonts w:hint="eastAsia"/>
        </w:rPr>
        <w:t xml:space="preserve"> </w:t>
      </w:r>
      <w:r>
        <w:rPr>
          <w:rFonts w:hint="eastAsia" w:ascii="仿宋_GB2312" w:hAnsi="宋体" w:eastAsia="仿宋_GB2312"/>
          <w:color w:val="000000"/>
          <w:spacing w:val="6"/>
          <w:sz w:val="28"/>
          <w:szCs w:val="28"/>
        </w:rPr>
        <w:t>债权类项目的估值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g</w:t>
      </w:r>
      <w:r>
        <w:rPr>
          <w:rFonts w:ascii="仿宋_GB2312" w:hAnsi="宋体" w:eastAsia="仿宋_GB2312"/>
          <w:color w:val="000000"/>
          <w:spacing w:val="6"/>
          <w:sz w:val="28"/>
          <w:szCs w:val="28"/>
        </w:rPr>
        <w:t>) 其他证券品种</w:t>
      </w:r>
      <w:r>
        <w:rPr>
          <w:rFonts w:hint="eastAsia" w:ascii="仿宋_GB2312" w:hAnsi="宋体" w:eastAsia="仿宋_GB2312"/>
          <w:color w:val="000000"/>
          <w:spacing w:val="6"/>
          <w:sz w:val="28"/>
          <w:szCs w:val="28"/>
        </w:rPr>
        <w:t>存在并可以确定公允价值的，以公允价值计算，公允价值不能确定</w:t>
      </w:r>
      <w:r>
        <w:rPr>
          <w:rFonts w:ascii="仿宋_GB2312" w:hAnsi="宋体" w:eastAsia="仿宋_GB2312"/>
          <w:color w:val="000000"/>
          <w:spacing w:val="6"/>
          <w:sz w:val="28"/>
          <w:szCs w:val="28"/>
        </w:rPr>
        <w:t>的估值由管理人以及托管行共同商议确定。</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h)</w:t>
      </w:r>
      <w:r>
        <w:rPr>
          <w:rFonts w:ascii="仿宋_GB2312" w:hAnsi="宋体" w:eastAsia="仿宋_GB2312"/>
          <w:color w:val="000000"/>
          <w:spacing w:val="6"/>
          <w:sz w:val="28"/>
          <w:szCs w:val="28"/>
        </w:rPr>
        <w:t>如有新增事项或变更事项，按国家最新规定估值。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i</w:t>
      </w:r>
      <w:r>
        <w:rPr>
          <w:rFonts w:ascii="仿宋_GB2312" w:hAnsi="宋体" w:eastAsia="仿宋_GB2312"/>
          <w:color w:val="000000"/>
          <w:spacing w:val="6"/>
          <w:sz w:val="28"/>
          <w:szCs w:val="28"/>
        </w:rPr>
        <w:t>)上述估值方法如有变动，或有更适合的估值方法，管理人应根据具体情况与托管人商定后，在新的估值方法实施前3个工作日通告</w:t>
      </w:r>
      <w:r>
        <w:rPr>
          <w:rFonts w:hint="eastAsia" w:ascii="仿宋_GB2312" w:hAnsi="宋体" w:eastAsia="仿宋_GB2312"/>
          <w:color w:val="000000"/>
          <w:spacing w:val="6"/>
          <w:sz w:val="28"/>
          <w:szCs w:val="28"/>
        </w:rPr>
        <w:t>投资者</w:t>
      </w:r>
      <w:r>
        <w:rPr>
          <w:rFonts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9.5在本协议存续期间，双方均应允许对方聘请的会计师在工作时间对本协议项下银行理财资产进行监督、检查与审计。双方应为上述人员开展工作提供便利。</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7" w:name="_Toc856273"/>
      <w:r>
        <w:rPr>
          <w:rFonts w:hint="eastAsia" w:ascii="仿宋_GB2312" w:hAnsi="宋体" w:eastAsia="仿宋_GB2312"/>
          <w:sz w:val="28"/>
          <w:szCs w:val="28"/>
        </w:rPr>
        <w:t>10、交易监督</w:t>
      </w:r>
      <w:bookmarkEnd w:id="27"/>
    </w:p>
    <w:p>
      <w:pPr>
        <w:spacing w:line="580" w:lineRule="exact"/>
        <w:ind w:firstLine="560" w:firstLineChars="200"/>
        <w:rPr>
          <w:rFonts w:ascii="仿宋_GB2312" w:eastAsia="仿宋_GB2312"/>
          <w:color w:val="000000"/>
          <w:sz w:val="28"/>
          <w:szCs w:val="28"/>
        </w:rPr>
      </w:pPr>
      <w:r>
        <w:rPr>
          <w:rFonts w:hint="eastAsia" w:ascii="仿宋_GB2312" w:hAnsi="宋体" w:eastAsia="仿宋_GB2312"/>
          <w:sz w:val="28"/>
          <w:szCs w:val="28"/>
        </w:rPr>
        <w:t>10.1</w:t>
      </w:r>
      <w:r>
        <w:rPr>
          <w:rFonts w:hint="eastAsia" w:ascii="仿宋_GB2312" w:eastAsia="仿宋_GB2312"/>
          <w:color w:val="000000"/>
          <w:sz w:val="28"/>
          <w:szCs w:val="28"/>
        </w:rPr>
        <w:t>监督依据</w:t>
      </w:r>
    </w:p>
    <w:p>
      <w:pPr>
        <w:spacing w:line="580" w:lineRule="exact"/>
        <w:ind w:firstLine="560" w:firstLineChars="200"/>
        <w:rPr>
          <w:rFonts w:ascii="仿宋_GB2312" w:eastAsia="仿宋_GB2312"/>
          <w:color w:val="000000"/>
          <w:sz w:val="28"/>
          <w:szCs w:val="28"/>
        </w:rPr>
      </w:pPr>
      <w:r>
        <w:rPr>
          <w:rFonts w:hint="eastAsia" w:ascii="仿宋_GB2312" w:hAnsi="宋体" w:eastAsia="仿宋_GB2312"/>
          <w:bCs/>
          <w:sz w:val="28"/>
          <w:szCs w:val="28"/>
        </w:rPr>
        <w:t>乙方依据本协议及甲方事先以书面形式通知的投资事项进行监督，</w:t>
      </w:r>
      <w:r>
        <w:rPr>
          <w:rFonts w:hint="eastAsia" w:ascii="仿宋_GB2312" w:eastAsia="仿宋_GB2312"/>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10.2监督流程</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10.3甲乙双方应事先约定发送信息和沟通的联系人（附件五），如果联系人发生变更，应当及时通知对方。</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hint="eastAsia" w:ascii="仿宋_GB2312" w:eastAsia="仿宋_GB2312"/>
          <w:color w:val="000000"/>
          <w:sz w:val="28"/>
          <w:szCs w:val="28"/>
        </w:rPr>
        <w:t>不承担责任。</w:t>
      </w:r>
    </w:p>
    <w:p>
      <w:pPr>
        <w:spacing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28" w:name="_Toc856274"/>
      <w:r>
        <w:rPr>
          <w:rFonts w:hint="eastAsia" w:ascii="仿宋_GB2312" w:hAnsi="宋体" w:eastAsia="仿宋_GB2312"/>
          <w:sz w:val="28"/>
          <w:szCs w:val="28"/>
        </w:rPr>
        <w:t>11、理财产品费用支出</w:t>
      </w:r>
      <w:bookmarkEnd w:id="28"/>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11.1 理财产品费用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理财产品各项费用包括管理费、销售手续费、托管费、资金汇划费用及交易过程中的其他费用等。</w:t>
      </w:r>
    </w:p>
    <w:p>
      <w:pPr>
        <w:autoSpaceDE w:val="0"/>
        <w:autoSpaceDN w:val="0"/>
        <w:adjustRightInd w:val="0"/>
        <w:spacing w:before="40" w:line="580" w:lineRule="exact"/>
        <w:ind w:firstLine="584" w:firstLineChars="200"/>
        <w:jc w:val="left"/>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11.2费用计算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本协议项下甲方应收管理费及乙方应收托管费皆从理财产品资产中予以支付，收费标准、计算方法和收取方式为：</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11.2.1甲方应收管理费计算方法如下：</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依照理财产品说明书的约定进行计提、计算。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11.2.2乙方在理财产品</w:t>
      </w:r>
      <w:r>
        <w:rPr>
          <w:rFonts w:ascii="仿宋_GB2312" w:hAnsi="宋体" w:eastAsia="仿宋_GB2312"/>
          <w:color w:val="000000"/>
          <w:spacing w:val="6"/>
          <w:sz w:val="28"/>
          <w:szCs w:val="28"/>
        </w:rPr>
        <w:t>存续期</w:t>
      </w:r>
      <w:r>
        <w:rPr>
          <w:rFonts w:hint="eastAsia" w:ascii="仿宋_GB2312" w:hAnsi="宋体" w:eastAsia="仿宋_GB2312"/>
          <w:color w:val="000000"/>
          <w:spacing w:val="6"/>
          <w:sz w:val="28"/>
          <w:szCs w:val="28"/>
        </w:rPr>
        <w:t>内</w:t>
      </w:r>
      <w:r>
        <w:rPr>
          <w:rFonts w:ascii="仿宋_GB2312" w:hAnsi="宋体" w:eastAsia="仿宋_GB2312"/>
          <w:color w:val="000000"/>
          <w:spacing w:val="6"/>
          <w:sz w:val="28"/>
          <w:szCs w:val="28"/>
        </w:rPr>
        <w:t>每日</w:t>
      </w:r>
      <w:r>
        <w:rPr>
          <w:rFonts w:hint="eastAsia" w:ascii="仿宋_GB2312" w:hAnsi="宋体" w:eastAsia="仿宋_GB2312"/>
          <w:color w:val="000000"/>
          <w:spacing w:val="6"/>
          <w:sz w:val="28"/>
          <w:szCs w:val="28"/>
        </w:rPr>
        <w:t>应收托管费计算方法如下：</w:t>
      </w:r>
    </w:p>
    <w:p>
      <w:pPr>
        <w:spacing w:before="40" w:line="580" w:lineRule="exact"/>
        <w:ind w:firstLine="1168" w:firstLineChars="4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 = A×Y%÷365</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其中：F为当日应收托管费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A为当日委托资产实收本金</w:t>
      </w:r>
    </w:p>
    <w:p>
      <w:pPr>
        <w:spacing w:before="40" w:line="580" w:lineRule="exact"/>
        <w:ind w:left="584" w:leftChars="278"/>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Y%为托管费年费率，年费率为0.01%。</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11.2.3除管理费、托管费以外的其他费用（如销售服务费等），应当根据法律法规、产品说明书等相关法律文件从理财产品托管账户中列支。</w:t>
      </w:r>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11.3费用支付方式</w:t>
      </w:r>
    </w:p>
    <w:p>
      <w:pPr>
        <w:spacing w:line="580" w:lineRule="exact"/>
        <w:ind w:left="294" w:leftChars="140" w:firstLine="292" w:firstLineChars="1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理财产品管理费与托管费按日计提，逐日累计，并按以下第</w:t>
      </w:r>
      <w:r>
        <w:rPr>
          <w:rFonts w:hint="eastAsia" w:ascii="仿宋_GB2312" w:hAnsi="宋体" w:eastAsia="仿宋_GB2312"/>
          <w:bCs/>
          <w:color w:val="000000"/>
          <w:spacing w:val="6"/>
          <w:sz w:val="28"/>
          <w:szCs w:val="28"/>
          <w:u w:val="single"/>
        </w:rPr>
        <w:t>（1）</w:t>
      </w:r>
      <w:r>
        <w:rPr>
          <w:rFonts w:hint="eastAsia" w:ascii="仿宋_GB2312" w:hAnsi="宋体" w:eastAsia="仿宋_GB2312"/>
          <w:bCs/>
          <w:color w:val="000000"/>
          <w:spacing w:val="6"/>
          <w:sz w:val="28"/>
          <w:szCs w:val="28"/>
        </w:rPr>
        <w:t>种方式支付：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1</w:t>
      </w:r>
      <w:r>
        <w:rPr>
          <w:rFonts w:hint="eastAsia" w:ascii="仿宋_GB2312" w:hAnsi="宋体" w:eastAsia="仿宋_GB2312"/>
          <w:bCs/>
          <w:color w:val="000000"/>
          <w:spacing w:val="6"/>
          <w:sz w:val="28"/>
          <w:szCs w:val="28"/>
        </w:rPr>
        <w:t>）按季度支付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2</w:t>
      </w:r>
      <w:r>
        <w:rPr>
          <w:rFonts w:hint="eastAsia" w:ascii="仿宋_GB2312" w:hAnsi="宋体" w:eastAsia="仿宋_GB2312"/>
          <w:bCs/>
          <w:color w:val="000000"/>
          <w:spacing w:val="6"/>
          <w:sz w:val="28"/>
          <w:szCs w:val="28"/>
        </w:rPr>
        <w:t>）产品终止后支付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按照有关清算程序一次性支付，最迟应在产品终止后5日内付款。</w:t>
      </w:r>
    </w:p>
    <w:p>
      <w:pPr>
        <w:numPr>
          <w:ilvl w:val="0"/>
          <w:numId w:val="1"/>
        </w:num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双方另有约定的，按其约定执行。</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w:t>
      </w:r>
      <w:r>
        <w:rPr>
          <w:rFonts w:hint="eastAsia" w:ascii="仿宋_GB2312" w:hAnsi="仿宋_GB2312" w:eastAsia="仿宋_GB2312" w:cs="仿宋_GB2312"/>
          <w:sz w:val="28"/>
          <w:szCs w:val="28"/>
          <w:lang w:val="zh-CN"/>
        </w:rPr>
        <w:t>增值税特别约定</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11.4.1本合同项下甲方向乙方支付的上述费用/利息和费用（根据具体合同而定）均为含税价格。</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11.4.4</w:t>
      </w:r>
      <w:r>
        <w:rPr>
          <w:rFonts w:hint="eastAsia" w:ascii="仿宋_GB2312" w:hAnsi="仿宋_GB2312" w:eastAsia="仿宋_GB2312" w:cs="仿宋_GB2312"/>
          <w:sz w:val="28"/>
          <w:szCs w:val="28"/>
          <w:lang w:val="zh-CN"/>
        </w:rPr>
        <w:t>因自然灾害、政府行为、社会异常事件等不可抗力或税务机关原因导致乙方不能及时开具增值税专用发票的，乙方有权延迟开票，并不承担任何责任。</w:t>
      </w:r>
    </w:p>
    <w:p>
      <w:pPr>
        <w:widowControl/>
        <w:adjustRightInd w:val="0"/>
        <w:snapToGrid w:val="0"/>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11.4.5</w:t>
      </w:r>
      <w:r>
        <w:rPr>
          <w:rFonts w:hint="eastAsia" w:ascii="仿宋_GB2312" w:hAnsi="仿宋_GB2312" w:eastAsia="仿宋_GB2312" w:cs="仿宋_GB2312"/>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hint="eastAsia" w:ascii="仿宋_GB2312" w:hAnsi="仿宋_GB2312" w:eastAsia="仿宋_GB2312" w:cs="仿宋_GB2312"/>
          <w:sz w:val="28"/>
          <w:szCs w:val="28"/>
        </w:rPr>
        <w:t xml:space="preserve">  </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11.4.6</w:t>
      </w:r>
      <w:r>
        <w:rPr>
          <w:rFonts w:hint="eastAsia" w:ascii="仿宋_GB2312" w:hAnsi="仿宋_GB2312" w:eastAsia="仿宋_GB2312" w:cs="仿宋_GB2312"/>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11.4.7</w:t>
      </w:r>
      <w:r>
        <w:rPr>
          <w:rFonts w:hint="eastAsia" w:ascii="仿宋_GB2312" w:hAnsi="仿宋_GB2312" w:eastAsia="仿宋_GB2312" w:cs="仿宋_GB2312"/>
          <w:sz w:val="28"/>
          <w:szCs w:val="28"/>
          <w:lang w:val="zh-CN"/>
        </w:rPr>
        <w:t>在合同履行期间，如遇国家税率调整，乙方有权根据国家税率变化调整本合同约定价格。</w:t>
      </w:r>
    </w:p>
    <w:p>
      <w:pPr>
        <w:pStyle w:val="2"/>
        <w:spacing w:before="40" w:after="0" w:line="580" w:lineRule="exact"/>
        <w:ind w:left="584"/>
        <w:rPr>
          <w:rFonts w:ascii="仿宋_GB2312" w:hAnsi="宋体" w:eastAsia="仿宋_GB2312"/>
          <w:sz w:val="28"/>
          <w:szCs w:val="28"/>
        </w:rPr>
      </w:pPr>
      <w:bookmarkStart w:id="29" w:name="_Toc856275"/>
      <w:r>
        <w:rPr>
          <w:rFonts w:hint="eastAsia" w:ascii="仿宋_GB2312" w:hAnsi="宋体" w:eastAsia="仿宋_GB2312"/>
          <w:sz w:val="28"/>
          <w:szCs w:val="28"/>
        </w:rPr>
        <w:t>12、资产清算</w:t>
      </w:r>
      <w:bookmarkEnd w:id="2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12.1理财产品到期清算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理财产品到期后，甲方对理财产品资产进行清算，并出具清算报告，乙方对清算报告进行复核。</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12.2理财产品提前终止清算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在本协议有效期内，如遇提前终止理财产品，甲乙双方应按照本协议及理财产品发行文件的规定办理资金清算。</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0" w:name="_Toc856276"/>
      <w:r>
        <w:rPr>
          <w:rFonts w:hint="eastAsia" w:ascii="仿宋_GB2312" w:hAnsi="宋体" w:eastAsia="仿宋_GB2312"/>
          <w:sz w:val="28"/>
          <w:szCs w:val="28"/>
        </w:rPr>
        <w:t>13、文件档案保存和保密</w:t>
      </w:r>
      <w:bookmarkEnd w:id="30"/>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13.1甲方、乙方各自完整保存有关原始凭证、记账凭证、账册、交易记录和重要协议至少15年。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pPr>
        <w:pStyle w:val="2"/>
        <w:numPr>
          <w:numId w:val="0"/>
        </w:numPr>
        <w:spacing w:line="578" w:lineRule="auto"/>
        <w:ind w:firstLine="141" w:firstLineChars="50"/>
        <w:rPr>
          <w:rFonts w:ascii="仿宋_GB2312" w:hAnsi="仿宋_GB2312" w:eastAsia="仿宋_GB2312"/>
          <w:bCs/>
          <w:sz w:val="28"/>
          <w:szCs w:val="28"/>
        </w:rPr>
      </w:pPr>
      <w:bookmarkStart w:id="31" w:name="_Toc856277"/>
      <w:r>
        <w:rPr>
          <w:rFonts w:hint="eastAsia" w:ascii="仿宋_GB2312" w:hAnsi="仿宋_GB2312" w:eastAsia="仿宋_GB2312"/>
          <w:bCs/>
          <w:sz w:val="28"/>
          <w:szCs w:val="28"/>
        </w:rPr>
        <w:t xml:space="preserve">   14、</w:t>
      </w:r>
      <w:r>
        <w:rPr>
          <w:rFonts w:hint="eastAsia" w:ascii="仿宋_GB2312" w:hAnsi="仿宋_GB2312" w:eastAsia="仿宋_GB2312"/>
          <w:b/>
          <w:bCs/>
          <w:sz w:val="28"/>
          <w:szCs w:val="28"/>
        </w:rPr>
        <w:t>反洗钱相关条款</w:t>
      </w:r>
      <w:bookmarkEnd w:id="31"/>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4</w:t>
      </w:r>
      <w:r>
        <w:rPr>
          <w:rFonts w:hint="eastAsia" w:ascii="仿宋_GB2312" w:hAnsi="宋体" w:eastAsia="仿宋_GB2312"/>
          <w:color w:val="000000"/>
          <w:spacing w:val="6"/>
          <w:sz w:val="28"/>
          <w:szCs w:val="28"/>
        </w:rPr>
        <w:t>.1 甲乙双方共同遵守中华人民共和国反洗钱法律法规，不参与涉嫌洗钱、恐怖融资、扩散融资等违法犯罪活动。</w:t>
      </w:r>
      <w:r>
        <w:rPr>
          <w:rFonts w:ascii="仿宋_GB2312" w:hAnsi="宋体" w:eastAsia="仿宋_GB2312"/>
          <w:color w:val="000000"/>
          <w:spacing w:val="6"/>
          <w:sz w:val="28"/>
          <w:szCs w:val="28"/>
        </w:rPr>
        <w:t>甲乙双方积极开展在反洗钱领域的信息支持与合作，</w:t>
      </w:r>
      <w:r>
        <w:rPr>
          <w:rFonts w:hint="eastAsia" w:ascii="仿宋_GB2312" w:hAnsi="宋体" w:eastAsia="仿宋_GB2312"/>
          <w:color w:val="000000"/>
          <w:spacing w:val="6"/>
          <w:sz w:val="28"/>
          <w:szCs w:val="28"/>
        </w:rPr>
        <w:t>并同时履行反洗钱职责与义务。</w:t>
      </w:r>
    </w:p>
    <w:p>
      <w:pPr>
        <w:pStyle w:val="2"/>
        <w:spacing w:before="40" w:after="120" w:line="580" w:lineRule="exact"/>
        <w:ind w:left="420"/>
        <w:rPr>
          <w:rFonts w:ascii="仿宋_GB2312" w:hAnsi="仿宋_GB2312" w:eastAsia="仿宋_GB2312"/>
          <w:bCs/>
          <w:sz w:val="28"/>
          <w:szCs w:val="28"/>
        </w:rPr>
      </w:pPr>
      <w:bookmarkStart w:id="32" w:name="_Toc856278"/>
      <w:r>
        <w:rPr>
          <w:rFonts w:hint="eastAsia" w:ascii="仿宋_GB2312" w:hAnsi="仿宋_GB2312" w:eastAsia="仿宋_GB2312"/>
          <w:bCs/>
          <w:sz w:val="28"/>
          <w:szCs w:val="28"/>
        </w:rPr>
        <w:t xml:space="preserve"> 1</w:t>
      </w:r>
      <w:r>
        <w:rPr>
          <w:rFonts w:ascii="仿宋_GB2312" w:hAnsi="仿宋_GB2312" w:eastAsia="仿宋_GB2312"/>
          <w:bCs/>
          <w:sz w:val="28"/>
          <w:szCs w:val="28"/>
        </w:rPr>
        <w:t>5</w:t>
      </w:r>
      <w:r>
        <w:rPr>
          <w:rFonts w:hint="eastAsia" w:ascii="仿宋_GB2312" w:hAnsi="仿宋_GB2312" w:eastAsia="仿宋_GB2312"/>
          <w:bCs/>
          <w:sz w:val="28"/>
          <w:szCs w:val="28"/>
        </w:rPr>
        <w:t>、违约责任</w:t>
      </w:r>
      <w:bookmarkEnd w:id="32"/>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.1由于协议当事人违约，造成本协议不能履行或者不能完全履行的，由违约一方承担违约责任；如当事人均违约的，各自承担应负的责任。</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.3 甲方、乙方因不可抗力不能履行本协议时，应及时通知对方并采取适当措施防止损失的扩大，同时在合理期限内提供遭受不可抗力影响的证明。</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.4 本协议所指的损失仅限于直接损失。</w:t>
      </w:r>
    </w:p>
    <w:p>
      <w:pPr>
        <w:spacing w:before="60" w:after="6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3" w:name="_Toc856279"/>
      <w:r>
        <w:rPr>
          <w:rFonts w:hint="eastAsia" w:ascii="仿宋_GB2312" w:hAnsi="宋体" w:eastAsia="仿宋_GB2312"/>
          <w:sz w:val="28"/>
          <w:szCs w:val="28"/>
        </w:rPr>
        <w:t>1</w:t>
      </w:r>
      <w:r>
        <w:rPr>
          <w:rFonts w:ascii="仿宋_GB2312" w:hAnsi="宋体" w:eastAsia="仿宋_GB2312"/>
          <w:sz w:val="28"/>
          <w:szCs w:val="28"/>
        </w:rPr>
        <w:t>6</w:t>
      </w:r>
      <w:r>
        <w:rPr>
          <w:rFonts w:hint="eastAsia" w:ascii="仿宋_GB2312" w:hAnsi="宋体" w:eastAsia="仿宋_GB2312"/>
          <w:sz w:val="28"/>
          <w:szCs w:val="28"/>
        </w:rPr>
        <w:t>、协议的</w:t>
      </w:r>
      <w:bookmarkStart w:id="34" w:name="OLE_LINK4"/>
      <w:r>
        <w:rPr>
          <w:rFonts w:hint="eastAsia" w:ascii="仿宋_GB2312" w:hAnsi="宋体" w:eastAsia="仿宋_GB2312"/>
          <w:sz w:val="28"/>
          <w:szCs w:val="28"/>
        </w:rPr>
        <w:t>适用范围、</w:t>
      </w:r>
      <w:bookmarkEnd w:id="34"/>
      <w:r>
        <w:rPr>
          <w:rFonts w:hint="eastAsia" w:ascii="仿宋_GB2312" w:hAnsi="宋体" w:eastAsia="仿宋_GB2312"/>
          <w:sz w:val="28"/>
          <w:szCs w:val="28"/>
        </w:rPr>
        <w:t>修改、争议的解决及有效期</w:t>
      </w:r>
      <w:bookmarkEnd w:id="3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.1本协议适用于有效期内甲方发行的理财产品，甲方在产品托管前按约定格式向乙方提交相关产品说明资料（内容包括但不限于期限、规模、费率、投资范围等）。</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.2本协议未经双方书面同意，不得予以修改。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.3本协议的无效或解除，不影响本协议中有关争议解决条款的效力。</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.4本协议适用中华人民共和国法律。有关协议的任何争议，各方应本着互谅、互让、诚信和务实的原则，共同协商解决，协商不成可选择第</w:t>
      </w:r>
      <w:r>
        <w:rPr>
          <w:rFonts w:hint="eastAsia" w:ascii="仿宋_GB2312" w:hAnsi="宋体" w:eastAsia="仿宋_GB2312"/>
          <w:color w:val="000000"/>
          <w:spacing w:val="6"/>
          <w:sz w:val="28"/>
          <w:szCs w:val="28"/>
          <w:u w:val="single"/>
        </w:rPr>
        <w:t>（1）</w:t>
      </w:r>
      <w:r>
        <w:rPr>
          <w:rFonts w:hint="eastAsia" w:ascii="仿宋_GB2312" w:hAnsi="宋体" w:eastAsia="仿宋_GB2312"/>
          <w:color w:val="000000"/>
          <w:spacing w:val="6"/>
          <w:sz w:val="28"/>
          <w:szCs w:val="28"/>
        </w:rPr>
        <w:t>种方式解决：</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）提起诉讼，由甲方所在地有管辖权</w:t>
      </w:r>
      <w:r>
        <w:rPr>
          <w:rFonts w:ascii="仿宋_GB2312" w:hAnsi="宋体" w:eastAsia="仿宋_GB2312"/>
          <w:color w:val="000000"/>
          <w:spacing w:val="6"/>
          <w:sz w:val="28"/>
          <w:szCs w:val="28"/>
        </w:rPr>
        <w:t>的</w:t>
      </w:r>
      <w:r>
        <w:rPr>
          <w:rFonts w:hint="eastAsia" w:ascii="仿宋_GB2312" w:hAnsi="宋体" w:eastAsia="仿宋_GB2312"/>
          <w:color w:val="000000"/>
          <w:spacing w:val="6"/>
          <w:sz w:val="28"/>
          <w:szCs w:val="28"/>
        </w:rPr>
        <w:t>人民法院管辖。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）任何一方均有权将争议提交</w:t>
      </w:r>
      <w:r>
        <w:rPr>
          <w:rFonts w:hint="eastAsia" w:ascii="仿宋_GB2312" w:hAnsi="宋体" w:eastAsia="仿宋_GB2312"/>
          <w:color w:val="000000"/>
          <w:spacing w:val="6"/>
          <w:sz w:val="28"/>
          <w:szCs w:val="28"/>
          <w:u w:val="single"/>
        </w:rPr>
        <w:t>郑州</w:t>
      </w:r>
      <w:r>
        <w:rPr>
          <w:rFonts w:hint="eastAsia" w:ascii="仿宋_GB2312" w:hAnsi="宋体" w:eastAsia="仿宋_GB2312"/>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.5本协议自双方法定代表人或授权代表人签字（或签章）并加盖公章或</w:t>
      </w:r>
      <w:r>
        <w:rPr>
          <w:rFonts w:ascii="仿宋_GB2312" w:hAnsi="宋体" w:eastAsia="仿宋_GB2312"/>
          <w:color w:val="000000"/>
          <w:spacing w:val="6"/>
          <w:sz w:val="28"/>
          <w:szCs w:val="28"/>
        </w:rPr>
        <w:t>合同专用章</w:t>
      </w:r>
      <w:r>
        <w:rPr>
          <w:rFonts w:hint="eastAsia" w:ascii="仿宋_GB2312" w:hAnsi="宋体" w:eastAsia="仿宋_GB2312"/>
          <w:color w:val="000000"/>
          <w:spacing w:val="6"/>
          <w:sz w:val="28"/>
          <w:szCs w:val="28"/>
        </w:rPr>
        <w:t>之日起生效，本协议自生效之日起三年有效，在协议到期前三十日之前，如果任何一方没有书面异议，则本协议有效期自动顺延三年，</w:t>
      </w:r>
      <w:r>
        <w:rPr>
          <w:rFonts w:ascii="仿宋_GB2312" w:hAnsi="宋体" w:eastAsia="仿宋_GB2312"/>
          <w:color w:val="000000"/>
          <w:spacing w:val="6"/>
          <w:sz w:val="28"/>
          <w:szCs w:val="28"/>
        </w:rPr>
        <w:t>顺延次数不限</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.6如本协议终止时，尚有部分理财产品未到期，则按以下约定处理：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）乙方有权按照本协议约定对上述理财产品继续履行托管职责，并享有相关权利，直至产品终止；</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.7本协议一式四份，双方各执两份，具有同等法律效力。</w:t>
      </w:r>
    </w:p>
    <w:p>
      <w:pPr>
        <w:spacing w:before="40" w:line="580" w:lineRule="exact"/>
        <w:outlineLvl w:val="9"/>
        <w:rPr>
          <w:rFonts w:ascii="仿宋_GB2312" w:eastAsia="仿宋_GB2312"/>
          <w:b/>
          <w:color w:val="000000"/>
          <w:sz w:val="28"/>
        </w:rPr>
      </w:pPr>
      <w:r>
        <w:rPr>
          <w:rFonts w:hint="eastAsia" w:ascii="仿宋_GB2312" w:hAnsi="宋体" w:eastAsia="仿宋_GB2312"/>
          <w:color w:val="000000"/>
          <w:spacing w:val="6"/>
          <w:sz w:val="28"/>
          <w:szCs w:val="28"/>
        </w:rPr>
        <w:t xml:space="preserve">    （以下</w:t>
      </w:r>
      <w:r>
        <w:rPr>
          <w:rFonts w:ascii="仿宋_GB2312" w:hAnsi="宋体" w:eastAsia="仿宋_GB2312"/>
          <w:color w:val="000000"/>
          <w:spacing w:val="6"/>
          <w:sz w:val="28"/>
          <w:szCs w:val="28"/>
        </w:rPr>
        <w:t>无正文</w:t>
      </w:r>
      <w:r>
        <w:rPr>
          <w:rFonts w:hint="eastAsia" w:ascii="仿宋_GB2312" w:hAnsi="宋体" w:eastAsia="仿宋_GB2312"/>
          <w:color w:val="000000"/>
          <w:spacing w:val="6"/>
          <w:sz w:val="28"/>
          <w:szCs w:val="28"/>
        </w:rPr>
        <w:t>）</w:t>
      </w:r>
      <w:r>
        <w:rPr>
          <w:rFonts w:ascii="仿宋_GB2312" w:eastAsia="仿宋_GB2312"/>
          <w:b/>
          <w:color w:val="000000"/>
          <w:sz w:val="28"/>
        </w:rPr>
        <w:br w:type="page"/>
      </w:r>
      <w:r>
        <w:rPr>
          <w:rFonts w:hint="eastAsia" w:ascii="仿宋_GB2312" w:eastAsia="仿宋_GB2312"/>
          <w:b/>
          <w:color w:val="000000"/>
          <w:sz w:val="28"/>
        </w:rPr>
        <w:t>（本页为中信银行股份有限公司郑州分行与中原银行订立的编号为</w:t>
      </w:r>
      <w:r>
        <w:rPr>
          <w:rFonts w:hint="eastAsia" w:ascii="宋体" w:hAnsi="宋体"/>
          <w:b/>
          <w:color w:val="000000"/>
          <w:kern w:val="0"/>
          <w:sz w:val="32"/>
          <w:szCs w:val="32"/>
        </w:rPr>
        <w:t xml:space="preserve">ZYZCGL20         </w:t>
      </w:r>
      <w:r>
        <w:rPr>
          <w:rFonts w:hint="eastAsia" w:ascii="仿宋_GB2312" w:eastAsia="仿宋_GB2312"/>
          <w:b/>
          <w:color w:val="000000"/>
          <w:sz w:val="28"/>
        </w:rPr>
        <w:t>的《中原银行鼎盛财富季季盈定期开放净值型理财产品（B款）托管协议》协议的签署页，此页无正文）</w:t>
      </w:r>
    </w:p>
    <w:p>
      <w:pPr>
        <w:spacing w:before="40" w:line="580" w:lineRule="exact"/>
        <w:ind w:firstLine="1124" w:firstLineChars="4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甲方（公章或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16" w:firstLineChars="397"/>
        <w:outlineLvl w:val="0"/>
        <w:rPr>
          <w:rFonts w:ascii="仿宋_GB2312" w:eastAsia="仿宋_GB2312"/>
          <w:b/>
          <w:color w:val="000000"/>
          <w:sz w:val="28"/>
        </w:rPr>
      </w:pPr>
      <w:r>
        <w:rPr>
          <w:rFonts w:hint="eastAsia" w:ascii="仿宋_GB2312" w:eastAsia="仿宋_GB2312"/>
          <w:b/>
          <w:color w:val="000000"/>
          <w:sz w:val="28"/>
        </w:rPr>
        <w:t xml:space="preserve">   年   月    日</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乙方（公章或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法定代表人/负责人（或授权代表人）：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hAnsi="宋体" w:eastAsia="仿宋_GB2312"/>
          <w:sz w:val="28"/>
        </w:rPr>
      </w:pPr>
      <w:r>
        <w:rPr>
          <w:rFonts w:hint="eastAsia" w:ascii="仿宋_GB2312" w:eastAsia="仿宋_GB2312"/>
          <w:b/>
          <w:color w:val="000000"/>
          <w:sz w:val="28"/>
        </w:rPr>
        <w:t xml:space="preserve">    年   月    日</w:t>
      </w:r>
    </w:p>
    <w:p>
      <w:pPr>
        <w:spacing w:line="360" w:lineRule="auto"/>
        <w:ind w:firstLine="560" w:firstLineChars="200"/>
        <w:rPr>
          <w:rFonts w:ascii="仿宋_GB2312" w:hAnsi="仿宋_GB2312" w:eastAsia="仿宋_GB2312"/>
          <w:b/>
          <w:sz w:val="28"/>
          <w:szCs w:val="28"/>
        </w:rPr>
      </w:pPr>
      <w:r>
        <w:rPr>
          <w:rFonts w:ascii="仿宋_GB2312" w:eastAsia="仿宋_GB2312"/>
          <w:sz w:val="28"/>
        </w:rPr>
        <w:br w:type="page"/>
      </w:r>
      <w:r>
        <w:rPr>
          <w:rFonts w:hint="eastAsia" w:ascii="仿宋_GB2312" w:hAnsi="仿宋_GB2312" w:eastAsia="仿宋_GB2312"/>
          <w:b/>
          <w:sz w:val="28"/>
          <w:szCs w:val="28"/>
        </w:rPr>
        <w:t>附件一：</w:t>
      </w:r>
    </w:p>
    <w:p>
      <w:pPr>
        <w:spacing w:line="360" w:lineRule="auto"/>
        <w:ind w:firstLine="275" w:firstLineChars="98"/>
        <w:jc w:val="center"/>
        <w:rPr>
          <w:rFonts w:ascii="仿宋_GB2312" w:hAnsi="仿宋_GB2312" w:eastAsia="仿宋_GB2312"/>
          <w:b/>
          <w:sz w:val="28"/>
          <w:szCs w:val="28"/>
        </w:rPr>
      </w:pPr>
      <w:r>
        <w:rPr>
          <w:rFonts w:hint="eastAsia" w:ascii="仿宋_GB2312" w:hAnsi="仿宋_GB2312" w:eastAsia="仿宋_GB2312"/>
          <w:b/>
          <w:sz w:val="28"/>
          <w:szCs w:val="28"/>
        </w:rPr>
        <w:t>中原银行理财产品资金划拨指定银行存款账户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理财产品托管账户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r>
        <w:rPr>
          <w:rFonts w:ascii="仿宋_GB2312" w:hAnsi="仿宋_GB2312" w:eastAsia="仿宋_GB2312"/>
          <w:sz w:val="28"/>
          <w:szCs w:val="28"/>
        </w:rPr>
        <w:t xml:space="preserve"> </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托管费收入账户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户    名：</w:t>
      </w:r>
      <w:r>
        <w:rPr>
          <w:rFonts w:ascii="仿宋_GB2312" w:hAnsi="仿宋_GB2312" w:eastAsia="仿宋_GB2312"/>
          <w:sz w:val="28"/>
          <w:szCs w:val="28"/>
        </w:rPr>
        <w:t xml:space="preserve"> </w:t>
      </w:r>
      <w:r>
        <w:rPr>
          <w:rFonts w:hint="eastAsia" w:ascii="仿宋_GB2312" w:hAnsi="仿宋_GB2312" w:eastAsia="仿宋_GB2312"/>
          <w:sz w:val="28"/>
          <w:szCs w:val="28"/>
        </w:rPr>
        <w:t>处理收益款项－待处理托管业务收益款项</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r>
        <w:rPr>
          <w:rFonts w:hint="eastAsia" w:ascii="仿宋_GB2312" w:hAnsi="仿宋_GB2312" w:eastAsia="仿宋_GB2312"/>
          <w:sz w:val="28"/>
          <w:szCs w:val="28"/>
        </w:rPr>
        <w:tab/>
      </w:r>
      <w:r>
        <w:rPr>
          <w:rFonts w:hint="eastAsia" w:ascii="仿宋_GB2312" w:hAnsi="仿宋_GB2312" w:eastAsia="仿宋_GB2312"/>
          <w:sz w:val="28"/>
          <w:szCs w:val="28"/>
        </w:rPr>
        <w:t>7392010127322000101</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 中信银行郑州分行</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理财产品资金归集账户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账    号：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开户银行：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管理费收入账户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rPr>
          <w:rFonts w:ascii="仿宋_GB2312" w:hAnsi="宋体" w:eastAsia="仿宋_GB2312"/>
          <w:b/>
          <w:sz w:val="28"/>
          <w:szCs w:val="28"/>
        </w:rPr>
      </w:pPr>
    </w:p>
    <w:p>
      <w:pPr>
        <w:tabs>
          <w:tab w:val="left" w:pos="6090"/>
        </w:tabs>
        <w:spacing w:line="360" w:lineRule="auto"/>
        <w:jc w:val="left"/>
        <w:rPr>
          <w:b/>
          <w:bCs/>
          <w:sz w:val="30"/>
        </w:rPr>
      </w:pPr>
      <w:bookmarkStart w:id="35" w:name="_附件二：乙方划款指令"/>
      <w:bookmarkEnd w:id="35"/>
      <w:r>
        <w:rPr>
          <w:rFonts w:hint="eastAsia"/>
          <w:b/>
          <w:bCs/>
          <w:sz w:val="30"/>
        </w:rPr>
        <w:t>附件二</w:t>
      </w:r>
      <w:r>
        <w:rPr>
          <w:b/>
          <w:bCs/>
          <w:sz w:val="30"/>
        </w:rPr>
        <w:t>：</w:t>
      </w:r>
    </w:p>
    <w:p>
      <w:pPr>
        <w:tabs>
          <w:tab w:val="left" w:pos="6090"/>
        </w:tabs>
        <w:spacing w:line="360" w:lineRule="auto"/>
        <w:jc w:val="center"/>
        <w:rPr>
          <w:b/>
          <w:bCs/>
          <w:sz w:val="30"/>
        </w:rPr>
      </w:pPr>
      <w:r>
        <w:rPr>
          <w:rFonts w:hint="eastAsia"/>
          <w:b/>
          <w:bCs/>
          <w:sz w:val="30"/>
        </w:rPr>
        <w:t>“中原银行鼎盛财富季季盈定期开放净值型理财产品（B款）”</w:t>
      </w:r>
    </w:p>
    <w:p>
      <w:pPr>
        <w:tabs>
          <w:tab w:val="left" w:pos="6090"/>
        </w:tabs>
        <w:spacing w:line="360" w:lineRule="auto"/>
        <w:jc w:val="center"/>
        <w:rPr>
          <w:b/>
          <w:bCs/>
          <w:sz w:val="30"/>
        </w:rPr>
      </w:pPr>
      <w:r>
        <w:rPr>
          <w:rFonts w:hint="eastAsia"/>
          <w:b/>
          <w:bCs/>
          <w:sz w:val="30"/>
        </w:rPr>
        <w:t>划款指令</w:t>
      </w:r>
    </w:p>
    <w:p>
      <w:pPr>
        <w:spacing w:line="360" w:lineRule="auto"/>
        <w:jc w:val="center"/>
      </w:pPr>
      <w:r>
        <w:rPr>
          <w:rFonts w:hint="eastAsia"/>
        </w:rPr>
        <w:t>年  月  日</w:t>
      </w:r>
    </w:p>
    <w:p>
      <w:pPr>
        <w:spacing w:line="360" w:lineRule="auto"/>
        <w:rPr>
          <w:b/>
          <w:bCs/>
        </w:rPr>
      </w:pPr>
      <w:r>
        <w:rPr>
          <w:rFonts w:hint="eastAsia"/>
        </w:rPr>
        <w:t xml:space="preserve">                                                                 编 号： </w:t>
      </w:r>
    </w:p>
    <w:p>
      <w:pPr>
        <w:spacing w:line="360" w:lineRule="auto"/>
        <w:rPr>
          <w:bCs/>
          <w:szCs w:val="21"/>
        </w:rPr>
      </w:pPr>
      <w:r>
        <w:rPr>
          <w:rFonts w:hint="eastAsia"/>
        </w:rPr>
        <w:t>付款方名称：</w:t>
      </w:r>
      <w:r>
        <w:rPr>
          <w:rFonts w:hint="eastAsia"/>
          <w:bCs/>
          <w:szCs w:val="21"/>
        </w:rPr>
        <w:t xml:space="preserve">  </w:t>
      </w:r>
    </w:p>
    <w:p>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页 数：</w:t>
      </w:r>
      <w:r>
        <w:rPr>
          <w:rFonts w:hint="eastAsia"/>
          <w:b/>
          <w:bCs/>
        </w:rPr>
        <w:t>第  页 ，共  页</w:t>
      </w:r>
      <w:r>
        <w:rPr>
          <w:rFonts w:hint="eastAsia"/>
        </w:rPr>
        <w:t xml:space="preserve"> </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23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rPr>
              <w:t>请于     年    月   日    时前支付下列款项（共  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rPr>
            </w:pPr>
            <w:r>
              <w:rPr>
                <w:rFonts w:hint="eastAsia"/>
              </w:rPr>
              <w:t>金额大写：</w:t>
            </w:r>
            <w:r>
              <w:rPr>
                <w:rFonts w:hint="eastAsia"/>
                <w:b/>
                <w:bCs/>
              </w:rPr>
              <w:t xml:space="preserve"> </w:t>
            </w:r>
          </w:p>
          <w:p>
            <w:pPr>
              <w:spacing w:line="360" w:lineRule="auto"/>
              <w:rPr>
                <w:b/>
                <w:bCs/>
                <w:sz w:val="24"/>
                <w:u w:val="single"/>
              </w:rPr>
            </w:pPr>
            <w:r>
              <w:rPr>
                <w:rFonts w:hint="eastAsia"/>
              </w:rPr>
              <w:t>金额小写：</w:t>
            </w:r>
          </w:p>
          <w:p>
            <w:pPr>
              <w:spacing w:line="360" w:lineRule="auto"/>
              <w:rPr>
                <w:b/>
                <w:bCs/>
              </w:rPr>
            </w:pPr>
            <w:r>
              <w:rPr>
                <w:rFonts w:hint="eastAsia"/>
              </w:rPr>
              <w:t xml:space="preserve">收款方名称： </w:t>
            </w:r>
            <w:r>
              <w:rPr>
                <w:rFonts w:hint="eastAsia" w:ascii="宋体" w:hAnsi="宋体"/>
              </w:rPr>
              <w:t xml:space="preserve"> </w:t>
            </w:r>
          </w:p>
          <w:p>
            <w:pPr>
              <w:spacing w:line="360" w:lineRule="auto"/>
              <w:rPr>
                <w:b/>
                <w:bCs/>
              </w:rPr>
            </w:pPr>
            <w:r>
              <w:rPr>
                <w:rFonts w:hint="eastAsia"/>
              </w:rPr>
              <w:t xml:space="preserve">收款账号： </w:t>
            </w:r>
          </w:p>
          <w:p>
            <w:pPr>
              <w:spacing w:line="360" w:lineRule="auto"/>
            </w:pPr>
            <w:r>
              <w:rPr>
                <w:rFonts w:hint="eastAsia"/>
              </w:rPr>
              <w:t xml:space="preserve">开户银行： </w:t>
            </w:r>
          </w:p>
          <w:p>
            <w:pPr>
              <w:spacing w:line="360" w:lineRule="auto"/>
            </w:pPr>
            <w:r>
              <w:rPr>
                <w:rFonts w:hint="eastAsia"/>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u w:val="single"/>
              </w:rPr>
            </w:pPr>
            <w:r>
              <w:rPr>
                <w:rFonts w:hint="eastAsia"/>
                <w:b/>
                <w:bCs/>
                <w:u w:val="single"/>
              </w:rPr>
              <w:t>资金用途（限15个字以内）</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b/>
                <w:bCs/>
                <w:u w:val="single"/>
              </w:rPr>
              <w:t>管理人备注</w:t>
            </w:r>
            <w:r>
              <w:rPr>
                <w:rFonts w:hint="eastAsia"/>
              </w:rPr>
              <w:t xml:space="preserve">：  附件____张     </w:t>
            </w:r>
            <w:r>
              <w:rPr>
                <w:rFonts w:hint="eastAsia" w:ascii="宋体" w:hAnsi="宋体"/>
              </w:rPr>
              <w:t>□</w:t>
            </w:r>
            <w:r>
              <w:rPr>
                <w:rFonts w:hint="eastAsia"/>
              </w:rPr>
              <w:t xml:space="preserve"> 加急</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line="360" w:lineRule="auto"/>
            </w:pPr>
            <w:r>
              <w:rPr>
                <w:rFonts w:hint="eastAsia"/>
              </w:rPr>
              <w:t>指令发送</w:t>
            </w:r>
            <w:r>
              <w:t>用章</w:t>
            </w:r>
            <w:r>
              <w:rPr>
                <w:rFonts w:hint="eastAsia"/>
              </w:rPr>
              <w:t>：</w:t>
            </w:r>
          </w:p>
          <w:p>
            <w:pPr>
              <w:spacing w:line="360" w:lineRule="auto"/>
            </w:pPr>
          </w:p>
          <w:p>
            <w:pPr>
              <w:spacing w:line="360" w:lineRule="auto"/>
            </w:pPr>
          </w:p>
          <w:p>
            <w:pPr>
              <w:spacing w:line="360" w:lineRule="auto"/>
            </w:pPr>
          </w:p>
          <w:p>
            <w:pPr>
              <w:spacing w:line="360" w:lineRule="auto"/>
            </w:pPr>
          </w:p>
          <w:p>
            <w:pPr>
              <w:spacing w:line="360" w:lineRule="auto"/>
            </w:pPr>
          </w:p>
        </w:tc>
        <w:tc>
          <w:tcPr>
            <w:tcW w:w="2340" w:type="dxa"/>
            <w:vAlign w:val="top"/>
          </w:tcPr>
          <w:p>
            <w:pPr>
              <w:spacing w:line="360" w:lineRule="auto"/>
            </w:pPr>
            <w:r>
              <w:rPr>
                <w:rFonts w:hint="eastAsia"/>
              </w:rPr>
              <w:t>经办：</w:t>
            </w:r>
          </w:p>
          <w:p>
            <w:pPr>
              <w:spacing w:line="360" w:lineRule="auto"/>
            </w:pPr>
          </w:p>
          <w:p>
            <w:pPr>
              <w:spacing w:line="360" w:lineRule="auto"/>
            </w:pPr>
          </w:p>
        </w:tc>
        <w:tc>
          <w:tcPr>
            <w:tcW w:w="2114" w:type="dxa"/>
            <w:vAlign w:val="top"/>
          </w:tcPr>
          <w:p>
            <w:pPr>
              <w:spacing w:line="360" w:lineRule="auto"/>
            </w:pPr>
            <w:r>
              <w:rPr>
                <w:rFonts w:hint="eastAsia"/>
              </w:rPr>
              <w:t>审批：</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spacing w:line="360" w:lineRule="auto"/>
            </w:pPr>
            <w:r>
              <w:rPr>
                <w:rFonts w:hint="eastAsia"/>
              </w:rPr>
              <w:t>保管银行审核：</w:t>
            </w:r>
          </w:p>
          <w:p>
            <w:pPr>
              <w:spacing w:line="360" w:lineRule="auto"/>
            </w:pPr>
          </w:p>
          <w:p>
            <w:pPr>
              <w:spacing w:line="360" w:lineRule="auto"/>
            </w:pPr>
          </w:p>
          <w:p>
            <w:pPr>
              <w:spacing w:line="360" w:lineRule="auto"/>
            </w:pPr>
          </w:p>
          <w:p>
            <w:pPr>
              <w:spacing w:line="360" w:lineRule="auto"/>
            </w:pPr>
          </w:p>
        </w:tc>
      </w:tr>
    </w:tbl>
    <w:p>
      <w:pPr>
        <w:pStyle w:val="7"/>
        <w:adjustRightInd w:val="0"/>
        <w:snapToGrid w:val="0"/>
        <w:spacing w:line="360" w:lineRule="auto"/>
        <w:ind w:firstLine="560" w:firstLineChars="200"/>
        <w:rPr>
          <w:rFonts w:ascii="仿宋_GB2312" w:hAnsi="仿宋_GB2312" w:eastAsia="仿宋_GB2312"/>
          <w:sz w:val="28"/>
          <w:szCs w:val="28"/>
        </w:rPr>
      </w:pPr>
    </w:p>
    <w:p>
      <w:pPr>
        <w:spacing w:line="360" w:lineRule="auto"/>
        <w:ind w:firstLine="562" w:firstLineChars="200"/>
        <w:rPr>
          <w:rFonts w:ascii="仿宋_GB2312" w:hAnsi="仿宋_GB2312" w:eastAsia="仿宋_GB2312"/>
          <w:b/>
          <w:sz w:val="28"/>
          <w:szCs w:val="28"/>
        </w:rPr>
        <w:sectPr>
          <w:footerReference r:id="rId4" w:type="default"/>
          <w:footerReference r:id="rId5" w:type="even"/>
          <w:pgSz w:w="11906" w:h="16838"/>
          <w:pgMar w:top="1440" w:right="1797" w:bottom="936" w:left="1797" w:header="851" w:footer="992" w:gutter="0"/>
          <w:pgNumType w:start="0"/>
          <w:cols w:space="720" w:num="1"/>
          <w:titlePg/>
          <w:docGrid w:type="lines" w:linePitch="312" w:charSpace="0"/>
        </w:sectPr>
      </w:pP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附件三：</w:t>
      </w:r>
    </w:p>
    <w:p>
      <w:pPr>
        <w:jc w:val="center"/>
      </w:pPr>
      <w:r>
        <w:rPr>
          <w:rFonts w:hint="eastAsia" w:eastAsia="黑体"/>
          <w:sz w:val="28"/>
        </w:rPr>
        <w:t>授权通知书</w:t>
      </w:r>
    </w:p>
    <w:p>
      <w:pPr>
        <w:spacing w:line="360" w:lineRule="auto"/>
        <w:rPr>
          <w:rFonts w:ascii="仿宋_GB2312" w:hAnsi="仿宋_GB2312" w:eastAsia="仿宋_GB2312"/>
          <w:szCs w:val="21"/>
        </w:rPr>
      </w:pPr>
      <w:r>
        <w:rPr>
          <w:rFonts w:hint="eastAsia" w:ascii="仿宋_GB2312" w:hAnsi="宋体" w:eastAsia="仿宋_GB2312"/>
          <w:szCs w:val="21"/>
        </w:rPr>
        <w:t xml:space="preserve">    </w:t>
      </w:r>
      <w:r>
        <w:rPr>
          <w:rFonts w:hint="eastAsia" w:ascii="仿宋_GB2312" w:hAnsi="仿宋_GB2312" w:eastAsia="仿宋_GB2312"/>
          <w:szCs w:val="21"/>
        </w:rPr>
        <w:t>中信银行股份有限公司郑州分行：</w:t>
      </w:r>
    </w:p>
    <w:p>
      <w:pPr>
        <w:spacing w:line="360" w:lineRule="auto"/>
        <w:rPr>
          <w:rFonts w:ascii="仿宋_GB2312" w:hAnsi="仿宋_GB2312" w:eastAsia="仿宋_GB2312"/>
          <w:sz w:val="20"/>
          <w:szCs w:val="21"/>
        </w:rPr>
      </w:pPr>
      <w:r>
        <w:rPr>
          <w:rFonts w:hint="eastAsia" w:ascii="仿宋_GB2312" w:hAnsi="仿宋_GB2312" w:eastAsia="仿宋_GB2312"/>
          <w:sz w:val="20"/>
          <w:szCs w:val="21"/>
        </w:rPr>
        <w:t xml:space="preserve">    针对</w:t>
      </w:r>
      <w:r>
        <w:rPr>
          <w:rFonts w:ascii="仿宋_GB2312" w:hAnsi="仿宋_GB2312" w:eastAsia="仿宋_GB2312"/>
          <w:sz w:val="20"/>
          <w:szCs w:val="21"/>
        </w:rPr>
        <w:t>我司发行</w:t>
      </w:r>
      <w:r>
        <w:rPr>
          <w:rFonts w:hint="eastAsia" w:ascii="仿宋_GB2312" w:hAnsi="仿宋_GB2312" w:eastAsia="仿宋_GB2312"/>
          <w:sz w:val="20"/>
          <w:szCs w:val="21"/>
        </w:rPr>
        <w:t>的</w:t>
      </w:r>
      <w:r>
        <w:rPr>
          <w:rFonts w:ascii="仿宋_GB2312" w:hAnsi="仿宋_GB2312" w:eastAsia="仿宋_GB2312"/>
          <w:sz w:val="20"/>
          <w:szCs w:val="21"/>
        </w:rPr>
        <w:t>、</w:t>
      </w:r>
      <w:r>
        <w:rPr>
          <w:rFonts w:hint="eastAsia" w:ascii="仿宋_GB2312" w:hAnsi="仿宋_GB2312" w:eastAsia="仿宋_GB2312"/>
          <w:sz w:val="20"/>
          <w:szCs w:val="21"/>
        </w:rPr>
        <w:t>由</w:t>
      </w:r>
      <w:r>
        <w:rPr>
          <w:rFonts w:ascii="仿宋_GB2312" w:hAnsi="仿宋_GB2312" w:eastAsia="仿宋_GB2312"/>
          <w:sz w:val="20"/>
          <w:szCs w:val="21"/>
        </w:rPr>
        <w:t>你行托管的</w:t>
      </w:r>
      <w:r>
        <w:rPr>
          <w:rFonts w:ascii="仿宋_GB2312" w:hAnsi="仿宋_GB2312" w:eastAsia="仿宋_GB2312"/>
          <w:sz w:val="20"/>
          <w:szCs w:val="21"/>
          <w:u w:val="single"/>
        </w:rPr>
        <w:t xml:space="preserve"> </w:t>
      </w:r>
      <w:r>
        <w:rPr>
          <w:rFonts w:hint="eastAsia" w:ascii="仿宋_GB2312" w:hAnsi="仿宋_GB2312" w:eastAsia="仿宋_GB2312"/>
          <w:sz w:val="20"/>
          <w:szCs w:val="21"/>
          <w:u w:val="single"/>
        </w:rPr>
        <w:t>　　</w:t>
      </w:r>
      <w:r>
        <w:rPr>
          <w:rFonts w:ascii="仿宋_GB2312" w:hAnsi="仿宋_GB2312" w:eastAsia="仿宋_GB2312"/>
          <w:sz w:val="20"/>
          <w:szCs w:val="21"/>
          <w:u w:val="single"/>
        </w:rPr>
        <w:t xml:space="preserve">　　　　　 </w:t>
      </w:r>
      <w:r>
        <w:rPr>
          <w:rFonts w:ascii="仿宋_GB2312" w:hAnsi="仿宋_GB2312" w:eastAsia="仿宋_GB2312"/>
          <w:sz w:val="20"/>
          <w:szCs w:val="21"/>
        </w:rPr>
        <w:t>理财产品，我</w:t>
      </w:r>
      <w:r>
        <w:rPr>
          <w:rFonts w:hint="eastAsia" w:ascii="仿宋_GB2312" w:hAnsi="仿宋_GB2312" w:eastAsia="仿宋_GB2312"/>
          <w:sz w:val="20"/>
          <w:szCs w:val="21"/>
        </w:rPr>
        <w:t>司</w:t>
      </w:r>
      <w:r>
        <w:rPr>
          <w:rFonts w:ascii="仿宋_GB2312" w:hAnsi="仿宋_GB2312" w:eastAsia="仿宋_GB2312"/>
          <w:sz w:val="20"/>
          <w:szCs w:val="21"/>
        </w:rPr>
        <w:t>授权以下人员向你行发送相关业务通知和指令</w:t>
      </w:r>
      <w:r>
        <w:rPr>
          <w:rFonts w:hint="eastAsia" w:ascii="仿宋_GB2312" w:hAnsi="仿宋_GB2312" w:eastAsia="仿宋_GB2312"/>
          <w:sz w:val="20"/>
          <w:szCs w:val="21"/>
        </w:rPr>
        <w:t>，指令范围包括不限于投资、费用支付、其他划款等类型。现将指令发送用章、有关人员签字样本及相应权限与</w:t>
      </w:r>
      <w:r>
        <w:rPr>
          <w:rFonts w:ascii="仿宋_GB2312" w:hAnsi="仿宋_GB2312" w:eastAsia="仿宋_GB2312"/>
          <w:sz w:val="20"/>
          <w:szCs w:val="21"/>
        </w:rPr>
        <w:t>指定的指令发送</w:t>
      </w:r>
      <w:r>
        <w:rPr>
          <w:rFonts w:hint="eastAsia" w:ascii="仿宋_GB2312" w:hAnsi="仿宋_GB2312" w:eastAsia="仿宋_GB2312"/>
          <w:sz w:val="20"/>
          <w:szCs w:val="21"/>
        </w:rPr>
        <w:t>与</w:t>
      </w:r>
      <w:r>
        <w:rPr>
          <w:rFonts w:ascii="仿宋_GB2312" w:hAnsi="仿宋_GB2312" w:eastAsia="仿宋_GB2312"/>
          <w:sz w:val="20"/>
          <w:szCs w:val="21"/>
        </w:rPr>
        <w:t>核对方式</w:t>
      </w:r>
      <w:r>
        <w:rPr>
          <w:rFonts w:hint="eastAsia" w:ascii="仿宋_GB2312" w:hAnsi="仿宋_GB2312" w:eastAsia="仿宋_GB2312"/>
          <w:sz w:val="20"/>
          <w:szCs w:val="21"/>
        </w:rPr>
        <w:t>留给你行，请在使用时核验。上述被授权人在授权范围内向你行发送指令的真实性、准确性及合法性由我单位负全部责任。上述授权自</w:t>
      </w:r>
      <w:r>
        <w:rPr>
          <w:rFonts w:ascii="仿宋_GB2312" w:hAnsi="仿宋_GB2312" w:eastAsia="仿宋_GB2312"/>
          <w:sz w:val="20"/>
          <w:szCs w:val="21"/>
        </w:rPr>
        <w:t>20XX年X月X日起生效。</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4"/>
        <w:gridCol w:w="109"/>
        <w:gridCol w:w="3087"/>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姓名</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权限</w:t>
            </w:r>
          </w:p>
        </w:tc>
        <w:tc>
          <w:tcPr>
            <w:tcW w:w="3260" w:type="dxa"/>
            <w:gridSpan w:val="3"/>
            <w:vAlign w:val="top"/>
          </w:tcPr>
          <w:p>
            <w:pPr>
              <w:spacing w:line="360" w:lineRule="auto"/>
              <w:jc w:val="center"/>
              <w:rPr>
                <w:rFonts w:ascii="仿宋_GB2312" w:eastAsia="仿宋_GB2312"/>
                <w:sz w:val="24"/>
              </w:rPr>
            </w:pPr>
            <w:r>
              <w:rPr>
                <w:rFonts w:hint="eastAsia" w:ascii="仿宋_GB2312" w:eastAsia="仿宋_GB2312"/>
                <w:sz w:val="24"/>
              </w:rPr>
              <w:t>签字样本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竟婕</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曹亚蕊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路瑞杰</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李朝兵</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吴昊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滑欣辉</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指令发送</w:t>
            </w:r>
            <w:r>
              <w:rPr>
                <w:rFonts w:ascii="仿宋_GB2312" w:eastAsia="仿宋_GB2312"/>
                <w:sz w:val="24"/>
              </w:rPr>
              <w:t>用章</w:t>
            </w:r>
          </w:p>
        </w:tc>
        <w:tc>
          <w:tcPr>
            <w:tcW w:w="5890" w:type="dxa"/>
            <w:gridSpan w:val="3"/>
            <w:vAlign w:val="top"/>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w:t>
            </w:r>
            <w:r>
              <w:rPr>
                <w:rFonts w:hint="eastAsia" w:ascii="仿宋_GB2312" w:eastAsia="仿宋_GB2312"/>
                <w:sz w:val="24"/>
              </w:rPr>
              <w:t>指定</w:t>
            </w:r>
            <w:r>
              <w:rPr>
                <w:rFonts w:ascii="仿宋_GB2312" w:eastAsia="仿宋_GB2312"/>
                <w:sz w:val="24"/>
              </w:rPr>
              <w:t>传真</w:t>
            </w:r>
          </w:p>
        </w:tc>
        <w:tc>
          <w:tcPr>
            <w:tcW w:w="589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发送指定邮箱</w:t>
            </w:r>
          </w:p>
        </w:tc>
        <w:tc>
          <w:tcPr>
            <w:tcW w:w="5890" w:type="dxa"/>
            <w:gridSpan w:val="3"/>
            <w:vAlign w:val="top"/>
          </w:tcPr>
          <w:p>
            <w:pPr>
              <w:spacing w:line="360" w:lineRule="auto"/>
              <w:rPr>
                <w:rFonts w:ascii="仿宋_GB2312" w:eastAsia="仿宋_GB2312"/>
                <w:sz w:val="24"/>
              </w:rPr>
            </w:pPr>
            <w:r>
              <w:rPr>
                <w:rFonts w:ascii="仿宋_GB2312" w:eastAsia="仿宋_GB2312"/>
                <w:sz w:val="24"/>
              </w:rPr>
              <w:t>jingjie01</w:t>
            </w:r>
            <w:r>
              <w:rPr>
                <w:rFonts w:hint="eastAsia" w:ascii="仿宋_GB2312" w:eastAsia="仿宋_GB2312"/>
                <w:sz w:val="24"/>
              </w:rPr>
              <w:t>@zybank.com.cn</w:t>
            </w:r>
          </w:p>
          <w:p>
            <w:pPr>
              <w:spacing w:line="360" w:lineRule="auto"/>
              <w:rPr>
                <w:rFonts w:ascii="仿宋_GB2312" w:eastAsia="仿宋_GB2312"/>
                <w:sz w:val="24"/>
              </w:rPr>
            </w:pPr>
            <w:r>
              <w:rPr>
                <w:rFonts w:hint="eastAsia" w:ascii="仿宋_GB2312" w:eastAsia="仿宋_GB2312"/>
                <w:sz w:val="24"/>
              </w:rPr>
              <w:t>luruijie@zybank.com.cn</w:t>
            </w:r>
          </w:p>
          <w:p>
            <w:pPr>
              <w:spacing w:line="360" w:lineRule="auto"/>
              <w:rPr>
                <w:rFonts w:ascii="仿宋_GB2312" w:eastAsia="仿宋_GB2312"/>
                <w:sz w:val="24"/>
              </w:rPr>
            </w:pPr>
            <w:r>
              <w:rPr>
                <w:rFonts w:hint="eastAsia" w:ascii="仿宋_GB2312" w:eastAsia="仿宋_GB2312"/>
                <w:sz w:val="24"/>
              </w:rPr>
              <w:t>caoyarui@zybank.com.cn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restart"/>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确认人员及</w:t>
            </w:r>
          </w:p>
          <w:p>
            <w:pPr>
              <w:spacing w:line="360" w:lineRule="auto"/>
              <w:rPr>
                <w:rFonts w:ascii="仿宋_GB2312" w:eastAsia="仿宋_GB2312"/>
                <w:sz w:val="24"/>
              </w:rPr>
            </w:pPr>
            <w:r>
              <w:rPr>
                <w:rFonts w:ascii="仿宋_GB2312" w:eastAsia="仿宋_GB2312"/>
                <w:sz w:val="24"/>
              </w:rPr>
              <w:t>指令确认电话</w:t>
            </w: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竟婕</w:t>
            </w:r>
          </w:p>
        </w:tc>
        <w:tc>
          <w:tcPr>
            <w:tcW w:w="3087" w:type="dxa"/>
            <w:vAlign w:val="top"/>
          </w:tcPr>
          <w:p>
            <w:pPr>
              <w:spacing w:line="360" w:lineRule="auto"/>
              <w:rPr>
                <w:rFonts w:ascii="仿宋_GB2312" w:eastAsia="仿宋_GB2312"/>
                <w:sz w:val="24"/>
              </w:rPr>
            </w:pPr>
            <w:r>
              <w:rPr>
                <w:rFonts w:ascii="仿宋_GB2312" w:eastAsia="仿宋_GB2312"/>
                <w:sz w:val="24"/>
              </w:rPr>
              <w:t>0371-85517557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路瑞杰</w:t>
            </w:r>
          </w:p>
        </w:tc>
        <w:tc>
          <w:tcPr>
            <w:tcW w:w="3087" w:type="dxa"/>
            <w:vAlign w:val="top"/>
          </w:tcPr>
          <w:p>
            <w:pPr>
              <w:spacing w:line="360" w:lineRule="auto"/>
              <w:rPr>
                <w:rFonts w:ascii="仿宋_GB2312" w:eastAsia="仿宋_GB2312"/>
                <w:sz w:val="24"/>
              </w:rPr>
            </w:pPr>
            <w:r>
              <w:rPr>
                <w:rFonts w:hint="eastAsia" w:ascii="仿宋_GB2312" w:eastAsia="仿宋_GB2312"/>
                <w:sz w:val="24"/>
              </w:rPr>
              <w:t>0371-8551</w:t>
            </w:r>
            <w:r>
              <w:rPr>
                <w:rFonts w:ascii="仿宋_GB2312" w:eastAsia="仿宋_GB2312"/>
                <w:sz w:val="24"/>
              </w:rPr>
              <w:t>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曹亚蕊</w:t>
            </w:r>
          </w:p>
        </w:tc>
        <w:tc>
          <w:tcPr>
            <w:tcW w:w="3087" w:type="dxa"/>
            <w:vAlign w:val="top"/>
          </w:tcPr>
          <w:p>
            <w:pPr>
              <w:spacing w:line="360" w:lineRule="auto"/>
              <w:rPr>
                <w:rFonts w:ascii="仿宋_GB2312" w:eastAsia="仿宋_GB2312"/>
                <w:sz w:val="24"/>
              </w:rPr>
            </w:pPr>
            <w:r>
              <w:rPr>
                <w:rFonts w:ascii="仿宋_GB2312" w:eastAsia="仿宋_GB2312"/>
                <w:sz w:val="24"/>
              </w:rPr>
              <w:t>0371-85519869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8153" w:type="dxa"/>
            <w:gridSpan w:val="4"/>
            <w:vAlign w:val="top"/>
          </w:tcPr>
          <w:p>
            <w:pPr>
              <w:spacing w:line="360" w:lineRule="auto"/>
              <w:rPr>
                <w:rFonts w:ascii="仿宋_GB2312" w:eastAsia="仿宋_GB2312"/>
                <w:sz w:val="24"/>
              </w:rPr>
            </w:pPr>
            <w:r>
              <w:rPr>
                <w:rFonts w:hint="eastAsia" w:ascii="仿宋_GB2312" w:eastAsia="仿宋_GB2312"/>
                <w:sz w:val="24"/>
              </w:rPr>
              <w:t>备注： 1、指令发送用章须与个人签字同时出具，方为有效。</w:t>
            </w:r>
          </w:p>
          <w:p>
            <w:pPr>
              <w:spacing w:line="360" w:lineRule="auto"/>
              <w:rPr>
                <w:rFonts w:ascii="仿宋_GB2312" w:eastAsia="仿宋_GB2312"/>
                <w:sz w:val="24"/>
              </w:rPr>
            </w:pPr>
            <w:r>
              <w:rPr>
                <w:rFonts w:hint="eastAsia" w:ascii="仿宋_GB2312" w:eastAsia="仿宋_GB2312"/>
                <w:sz w:val="24"/>
              </w:rPr>
              <w:t xml:space="preserve">       2、权限类型：经办、审批。</w:t>
            </w:r>
          </w:p>
          <w:p>
            <w:pPr>
              <w:spacing w:line="360" w:lineRule="auto"/>
              <w:rPr>
                <w:rFonts w:ascii="仿宋_GB2312" w:eastAsia="仿宋_GB2312"/>
                <w:sz w:val="24"/>
              </w:rPr>
            </w:pPr>
            <w:r>
              <w:rPr>
                <w:rFonts w:hint="eastAsia" w:ascii="仿宋_GB2312" w:eastAsia="仿宋_GB2312"/>
                <w:sz w:val="24"/>
              </w:rPr>
              <w:t xml:space="preserve">       3、须指定至少一位指令确认人。</w:t>
            </w:r>
          </w:p>
        </w:tc>
      </w:tr>
    </w:tbl>
    <w:p>
      <w:pPr>
        <w:spacing w:line="360" w:lineRule="auto"/>
        <w:ind w:right="560"/>
        <w:jc w:val="left"/>
        <w:rPr>
          <w:rFonts w:ascii="仿宋_GB2312" w:eastAsia="仿宋_GB2312"/>
          <w:sz w:val="24"/>
          <w:szCs w:val="28"/>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eastAsia="仿宋_GB2312"/>
          <w:sz w:val="24"/>
          <w:szCs w:val="28"/>
        </w:rPr>
        <w:t>中原银行股份有限公司（公章）：</w:t>
      </w:r>
    </w:p>
    <w:p>
      <w:pPr>
        <w:spacing w:line="360" w:lineRule="auto"/>
        <w:ind w:right="280"/>
        <w:jc w:val="left"/>
        <w:rPr>
          <w:rFonts w:ascii="仿宋_GB2312" w:eastAsia="仿宋_GB2312"/>
          <w:sz w:val="24"/>
          <w:szCs w:val="28"/>
        </w:rPr>
      </w:pPr>
      <w:r>
        <w:rPr>
          <w:rFonts w:hint="eastAsia" w:ascii="仿宋_GB2312" w:eastAsia="仿宋_GB2312"/>
          <w:sz w:val="24"/>
          <w:szCs w:val="28"/>
        </w:rPr>
        <w:t xml:space="preserve">        </w:t>
      </w:r>
      <w:r>
        <w:rPr>
          <w:rFonts w:ascii="仿宋_GB2312" w:eastAsia="仿宋_GB2312"/>
          <w:sz w:val="24"/>
          <w:szCs w:val="28"/>
        </w:rPr>
        <w:t xml:space="preserve">                                    </w:t>
      </w:r>
      <w:r>
        <w:rPr>
          <w:rFonts w:hint="eastAsia" w:ascii="仿宋_GB2312" w:eastAsia="仿宋_GB2312"/>
          <w:sz w:val="24"/>
          <w:szCs w:val="28"/>
        </w:rPr>
        <w:t>法定代表人（或授权代理人）：</w:t>
      </w:r>
    </w:p>
    <w:p>
      <w:pPr>
        <w:ind w:right="480" w:firstLine="7200" w:firstLineChars="30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spacing w:line="360" w:lineRule="auto"/>
        <w:ind w:firstLine="700" w:firstLineChars="249"/>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hint="eastAsia" w:ascii="仿宋_GB2312" w:hAnsi="仿宋_GB2312" w:eastAsia="仿宋_GB2312"/>
          <w:b/>
          <w:sz w:val="28"/>
          <w:szCs w:val="28"/>
        </w:rPr>
        <w:t>附件四：</w:t>
      </w:r>
    </w:p>
    <w:p>
      <w:pPr>
        <w:spacing w:line="360" w:lineRule="auto"/>
        <w:ind w:firstLine="562" w:firstLineChars="200"/>
        <w:jc w:val="center"/>
        <w:rPr>
          <w:rFonts w:ascii="仿宋_GB2312" w:hAnsi="仿宋_GB2312" w:eastAsia="仿宋_GB2312"/>
          <w:b/>
          <w:sz w:val="28"/>
          <w:szCs w:val="28"/>
        </w:rPr>
      </w:pP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监督事项表</w:t>
      </w:r>
    </w:p>
    <w:p>
      <w:pPr>
        <w:spacing w:line="360" w:lineRule="auto"/>
        <w:ind w:firstLine="643" w:firstLineChars="200"/>
        <w:jc w:val="center"/>
        <w:rPr>
          <w:rFonts w:ascii="仿宋_GB2312" w:eastAsia="仿宋_GB2312"/>
          <w:b/>
          <w:color w:val="000000"/>
          <w:sz w:val="32"/>
          <w:szCs w:val="32"/>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内容</w:t>
            </w:r>
          </w:p>
        </w:tc>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监控计量说明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一、投资范围</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hAnsi="宋体" w:eastAsia="仿宋_GB2312"/>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bottom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二、投资比例</w:t>
            </w:r>
          </w:p>
        </w:tc>
        <w:tc>
          <w:tcPr>
            <w:tcW w:w="4261" w:type="dxa"/>
            <w:tcBorders>
              <w:bottom w:val="single" w:color="auto" w:sz="4" w:space="0"/>
            </w:tcBorders>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本计划总资产占净资产的比例不得超过200%。</w:t>
            </w:r>
          </w:p>
        </w:tc>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p>
        </w:tc>
      </w:tr>
    </w:tbl>
    <w:p>
      <w:pPr>
        <w:spacing w:line="590" w:lineRule="exact"/>
        <w:rPr>
          <w:rFonts w:ascii="仿宋_GB2312" w:eastAsia="仿宋_GB2312"/>
          <w:color w:val="000000"/>
          <w:sz w:val="32"/>
          <w:szCs w:val="32"/>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ascii="仿宋_GB2312" w:hAnsi="仿宋_GB2312" w:eastAsia="仿宋_GB2312"/>
          <w:b/>
          <w:sz w:val="28"/>
          <w:szCs w:val="28"/>
        </w:rPr>
        <w:br w:type="page"/>
      </w:r>
      <w:r>
        <w:rPr>
          <w:rFonts w:hint="eastAsia" w:ascii="仿宋_GB2312" w:hAnsi="仿宋_GB2312" w:eastAsia="仿宋_GB2312"/>
          <w:b/>
          <w:sz w:val="28"/>
          <w:szCs w:val="28"/>
        </w:rPr>
        <w:t>附件五：</w:t>
      </w:r>
    </w:p>
    <w:p>
      <w:pPr>
        <w:spacing w:before="60" w:after="60" w:line="360" w:lineRule="auto"/>
        <w:jc w:val="center"/>
        <w:rPr>
          <w:rFonts w:ascii="宋体" w:hAnsi="宋体"/>
          <w:b/>
          <w:sz w:val="28"/>
          <w:szCs w:val="28"/>
        </w:rPr>
      </w:pPr>
    </w:p>
    <w:p>
      <w:pPr>
        <w:spacing w:before="60" w:after="60" w:line="360" w:lineRule="auto"/>
        <w:jc w:val="center"/>
        <w:rPr>
          <w:rFonts w:ascii="宋体" w:hAnsi="宋体"/>
          <w:sz w:val="24"/>
        </w:rPr>
      </w:pPr>
      <w:r>
        <w:rPr>
          <w:rFonts w:hint="eastAsia" w:ascii="宋体" w:hAnsi="宋体"/>
          <w:b/>
          <w:sz w:val="28"/>
          <w:szCs w:val="28"/>
        </w:rPr>
        <w:t>托管运作起始通知书</w:t>
      </w:r>
    </w:p>
    <w:p>
      <w:pPr>
        <w:spacing w:line="360" w:lineRule="auto"/>
        <w:rPr>
          <w:rFonts w:ascii="仿宋_GB2312" w:hAnsi="宋体" w:eastAsia="仿宋_GB2312"/>
          <w:sz w:val="28"/>
          <w:szCs w:val="28"/>
        </w:rPr>
      </w:pPr>
      <w:r>
        <w:rPr>
          <w:rFonts w:hint="eastAsia" w:ascii="仿宋_GB2312" w:hAnsi="宋体" w:eastAsia="仿宋_GB2312"/>
          <w:sz w:val="28"/>
          <w:szCs w:val="28"/>
        </w:rPr>
        <w:t>中信银行股份有限公司郑州</w:t>
      </w:r>
      <w:r>
        <w:rPr>
          <w:rFonts w:ascii="仿宋_GB2312" w:hAnsi="宋体" w:eastAsia="仿宋_GB2312"/>
          <w:sz w:val="28"/>
          <w:szCs w:val="28"/>
        </w:rPr>
        <w:t>分行</w:t>
      </w:r>
      <w:r>
        <w:rPr>
          <w:rFonts w:hint="eastAsia" w:ascii="仿宋_GB2312" w:hAnsi="宋体" w:eastAsia="仿宋_GB2312"/>
          <w:sz w:val="28"/>
          <w:szCs w:val="28"/>
        </w:rPr>
        <w:t>：</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r>
        <w:rPr>
          <w:rFonts w:ascii="仿宋_GB2312" w:hAnsi="宋体" w:eastAsia="仿宋_GB2312"/>
          <w:sz w:val="28"/>
          <w:szCs w:val="28"/>
        </w:rPr>
        <w:t xml:space="preserve">    我方已完成“</w:t>
      </w:r>
      <w:r>
        <w:rPr>
          <w:rFonts w:hint="eastAsia" w:ascii="仿宋_GB2312" w:hAnsi="宋体" w:eastAsia="仿宋_GB2312" w:cs="方正小标宋"/>
          <w:sz w:val="28"/>
          <w:szCs w:val="28"/>
        </w:rPr>
        <w:t xml:space="preserve"> </w:t>
      </w:r>
      <w:r>
        <w:rPr>
          <w:rFonts w:hint="eastAsia" w:ascii="仿宋_GB2312" w:hAnsi="宋体" w:eastAsia="仿宋_GB2312"/>
          <w:color w:val="000000"/>
          <w:spacing w:val="6"/>
          <w:sz w:val="28"/>
          <w:szCs w:val="28"/>
        </w:rPr>
        <w:t>中原银行鼎盛财富季季盈定期开放净值型理财产品（B款</w:t>
      </w:r>
      <w:r>
        <w:rPr>
          <w:rFonts w:hint="eastAsia" w:ascii="仿宋_GB2312" w:hAnsi="宋体" w:eastAsia="仿宋_GB2312"/>
          <w:color w:val="000000"/>
          <w:spacing w:val="6"/>
          <w:sz w:val="28"/>
          <w:szCs w:val="28"/>
          <w:u w:val="single"/>
        </w:rPr>
        <w:t>）</w:t>
      </w:r>
      <w:r>
        <w:rPr>
          <w:rFonts w:hint="eastAsia" w:ascii="仿宋_GB2312" w:hAnsi="宋体" w:eastAsia="仿宋_GB2312"/>
          <w:sz w:val="28"/>
          <w:szCs w:val="28"/>
        </w:rPr>
        <w:t>”理财产品资金募集，根据编号为“</w:t>
      </w:r>
      <w:r>
        <w:rPr>
          <w:rFonts w:ascii="仿宋_GB2312" w:hAnsi="宋体" w:eastAsia="仿宋_GB2312"/>
          <w:sz w:val="28"/>
          <w:szCs w:val="28"/>
          <w:u w:val="single"/>
        </w:rPr>
        <w:t xml:space="preserve">             </w:t>
      </w:r>
      <w:r>
        <w:rPr>
          <w:rFonts w:hint="eastAsia" w:ascii="仿宋_GB2312" w:hAnsi="宋体" w:eastAsia="仿宋_GB2312"/>
          <w:sz w:val="28"/>
          <w:szCs w:val="28"/>
        </w:rPr>
        <w:t>”的《</w:t>
      </w:r>
      <w:r>
        <w:rPr>
          <w:rFonts w:hint="eastAsia" w:ascii="仿宋_GB2312" w:hAnsi="宋体" w:eastAsia="仿宋_GB2312"/>
          <w:color w:val="000000"/>
          <w:spacing w:val="6"/>
          <w:sz w:val="28"/>
          <w:szCs w:val="28"/>
        </w:rPr>
        <w:t>中原银行鼎盛财富季季盈定期开放净值型理财产品（B款）</w:t>
      </w:r>
      <w:r>
        <w:rPr>
          <w:rFonts w:hint="eastAsia" w:ascii="仿宋_GB2312" w:hAnsi="宋体" w:eastAsia="仿宋_GB2312"/>
          <w:spacing w:val="4"/>
          <w:sz w:val="28"/>
          <w:szCs w:val="28"/>
        </w:rPr>
        <w:t>托管</w:t>
      </w:r>
      <w:r>
        <w:rPr>
          <w:rFonts w:hint="eastAsia" w:ascii="仿宋_GB2312" w:hAnsi="宋体" w:eastAsia="仿宋_GB2312"/>
          <w:sz w:val="28"/>
          <w:szCs w:val="28"/>
        </w:rPr>
        <w:t>协议》，资金人民币</w:t>
      </w:r>
      <w:r>
        <w:rPr>
          <w:rFonts w:ascii="仿宋_GB2312" w:hAnsi="宋体" w:eastAsia="仿宋_GB2312"/>
          <w:sz w:val="28"/>
          <w:szCs w:val="28"/>
        </w:rPr>
        <w:t>XXX元整已划入贵行资金托管专户。</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兹确定</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为托管运作的起始日。</w:t>
      </w: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特此通知。</w:t>
      </w:r>
    </w:p>
    <w:p>
      <w:pPr>
        <w:spacing w:line="360" w:lineRule="auto"/>
        <w:ind w:firstLine="4480" w:firstLineChars="1600"/>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ind w:firstLine="4480" w:firstLineChars="1600"/>
        <w:rPr>
          <w:rFonts w:ascii="仿宋_GB2312" w:hAnsi="宋体" w:eastAsia="仿宋_GB2312"/>
          <w:sz w:val="28"/>
          <w:szCs w:val="28"/>
        </w:rPr>
      </w:pPr>
    </w:p>
    <w:p>
      <w:pPr>
        <w:spacing w:before="60" w:after="60" w:line="360" w:lineRule="auto"/>
        <w:jc w:val="right"/>
        <w:rPr>
          <w:rFonts w:ascii="仿宋_GB2312" w:hAnsi="宋体" w:eastAsia="仿宋_GB2312"/>
          <w:sz w:val="28"/>
          <w:szCs w:val="28"/>
        </w:rPr>
      </w:pPr>
      <w:r>
        <w:rPr>
          <w:rFonts w:hint="eastAsia" w:ascii="仿宋_GB2312" w:hAnsi="宋体" w:eastAsia="仿宋_GB2312"/>
          <w:bCs/>
          <w:sz w:val="28"/>
          <w:szCs w:val="28"/>
        </w:rPr>
        <w:t>中原银行股份有限公司</w:t>
      </w:r>
      <w:r>
        <w:rPr>
          <w:rFonts w:ascii="仿宋_GB2312" w:hAnsi="宋体" w:eastAsia="仿宋_GB2312"/>
          <w:sz w:val="28"/>
          <w:szCs w:val="28"/>
        </w:rPr>
        <w:t xml:space="preserve">                                               </w:t>
      </w:r>
    </w:p>
    <w:p>
      <w:pPr>
        <w:spacing w:before="60" w:after="60" w:line="360" w:lineRule="auto"/>
        <w:jc w:val="right"/>
        <w:rPr>
          <w:rFonts w:ascii="仿宋_GB2312" w:hAnsi="华文中宋" w:eastAsia="仿宋_GB2312"/>
          <w:b/>
          <w:sz w:val="28"/>
          <w:szCs w:val="28"/>
        </w:rPr>
      </w:pPr>
      <w:r>
        <w:rPr>
          <w:rFonts w:ascii="仿宋_GB2312" w:hAnsi="宋体" w:eastAsia="仿宋_GB2312"/>
          <w:sz w:val="28"/>
          <w:szCs w:val="28"/>
        </w:rPr>
        <w:t xml:space="preserve">       年    月    日</w:t>
      </w:r>
    </w:p>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r>
        <w:rPr>
          <w:rFonts w:ascii="仿宋_GB2312" w:hAnsi="仿宋_GB2312" w:eastAsia="仿宋_GB2312"/>
          <w:b/>
          <w:sz w:val="28"/>
          <w:szCs w:val="28"/>
        </w:rPr>
        <w:br w:type="page"/>
      </w: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附件六：</w:t>
      </w:r>
    </w:p>
    <w:p>
      <w:pPr>
        <w:spacing w:line="360" w:lineRule="auto"/>
        <w:ind w:firstLine="562" w:firstLineChars="200"/>
        <w:jc w:val="center"/>
        <w:rPr>
          <w:rFonts w:ascii="仿宋_GB2312" w:hAnsi="仿宋_GB2312" w:eastAsia="仿宋_GB2312"/>
          <w:b/>
          <w:sz w:val="28"/>
          <w:szCs w:val="28"/>
        </w:rPr>
      </w:pPr>
      <w:r>
        <w:rPr>
          <w:rFonts w:hint="eastAsia" w:ascii="仿宋_GB2312" w:hAnsi="仿宋_GB2312" w:eastAsia="仿宋_GB2312"/>
          <w:b/>
          <w:sz w:val="28"/>
          <w:szCs w:val="28"/>
        </w:rPr>
        <w:t>业务联系表</w:t>
      </w:r>
    </w:p>
    <w:p>
      <w:pPr>
        <w:spacing w:line="360" w:lineRule="auto"/>
        <w:ind w:firstLine="560" w:firstLineChars="200"/>
        <w:jc w:val="center"/>
        <w:rPr>
          <w:rFonts w:ascii="仿宋_GB2312" w:hAnsi="仿宋_GB2312" w:eastAsia="仿宋_GB2312"/>
          <w:sz w:val="28"/>
          <w:szCs w:val="28"/>
        </w:rPr>
      </w:pPr>
    </w:p>
    <w:tbl>
      <w:tblPr>
        <w:tblStyle w:val="1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34"/>
        <w:gridCol w:w="23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0" w:type="dxa"/>
            <w:gridSpan w:val="4"/>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中信银行股份有限公司郑州分行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23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35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周寅祥</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0371-55588715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王璐</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0371-55888249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尹金龙</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0371-55588929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18530821626</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产品岗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惠宁</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0371-55588685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核算岗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p>
        </w:tc>
        <w:tc>
          <w:tcPr>
            <w:tcW w:w="2234" w:type="dxa"/>
            <w:vAlign w:val="center"/>
          </w:tcPr>
          <w:p>
            <w:pPr>
              <w:spacing w:line="360" w:lineRule="auto"/>
              <w:rPr>
                <w:rFonts w:ascii="仿宋_GB2312" w:hAnsi="仿宋_GB2312" w:eastAsia="仿宋_GB2312"/>
                <w:sz w:val="28"/>
                <w:szCs w:val="28"/>
              </w:rPr>
            </w:pPr>
          </w:p>
        </w:tc>
        <w:tc>
          <w:tcPr>
            <w:tcW w:w="2354" w:type="dxa"/>
            <w:vAlign w:val="center"/>
          </w:tcPr>
          <w:p>
            <w:pPr>
              <w:spacing w:line="360" w:lineRule="auto"/>
              <w:rPr>
                <w:rFonts w:ascii="仿宋_GB2312" w:hAnsi="仿宋_GB2312" w:eastAsia="仿宋_GB2312"/>
                <w:sz w:val="28"/>
                <w:szCs w:val="28"/>
              </w:rPr>
            </w:pPr>
          </w:p>
        </w:tc>
        <w:tc>
          <w:tcPr>
            <w:tcW w:w="2252" w:type="dxa"/>
            <w:vAlign w:val="center"/>
          </w:tcPr>
          <w:p>
            <w:pPr>
              <w:spacing w:line="360" w:lineRule="auto"/>
              <w:ind w:firstLine="560" w:firstLineChars="200"/>
              <w:jc w:val="center"/>
              <w:rPr>
                <w:rFonts w:ascii="仿宋_GB2312" w:hAnsi="仿宋_GB2312" w:eastAsia="仿宋_GB2312"/>
                <w:sz w:val="28"/>
                <w:szCs w:val="28"/>
              </w:rPr>
            </w:pPr>
          </w:p>
        </w:tc>
      </w:tr>
    </w:tbl>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 xml:space="preserve">           托管人</w:t>
      </w:r>
      <w:r>
        <w:rPr>
          <w:rFonts w:ascii="仿宋_GB2312" w:hAnsi="仿宋_GB2312" w:eastAsia="仿宋_GB2312"/>
          <w:sz w:val="28"/>
          <w:szCs w:val="28"/>
        </w:rPr>
        <w:t>指定邮箱：</w:t>
      </w:r>
      <w:r>
        <w:rPr>
          <w:rFonts w:hint="eastAsia" w:ascii="仿宋_GB2312" w:hAnsi="仿宋_GB2312" w:eastAsia="仿宋_GB2312"/>
          <w:sz w:val="28"/>
          <w:szCs w:val="28"/>
        </w:rPr>
        <w:t>zxtgzz@citicbank.com</w:t>
      </w:r>
    </w:p>
    <w:p>
      <w:pPr>
        <w:spacing w:line="360" w:lineRule="auto"/>
        <w:ind w:firstLine="560" w:firstLineChars="200"/>
        <w:jc w:val="left"/>
        <w:rPr>
          <w:rFonts w:ascii="仿宋_GB2312" w:hAnsi="仿宋_GB2312" w:eastAsia="仿宋_GB2312"/>
          <w:sz w:val="28"/>
          <w:szCs w:val="28"/>
        </w:rPr>
      </w:pPr>
    </w:p>
    <w:p>
      <w:pPr>
        <w:spacing w:line="360" w:lineRule="auto"/>
        <w:ind w:firstLine="560" w:firstLineChars="200"/>
        <w:jc w:val="right"/>
        <w:rPr>
          <w:rFonts w:ascii="仿宋_GB2312" w:hAnsi="仿宋_GB2312" w:eastAsia="仿宋_GB2312"/>
          <w:sz w:val="28"/>
          <w:szCs w:val="28"/>
        </w:rPr>
      </w:pPr>
    </w:p>
    <w:tbl>
      <w:tblPr>
        <w:tblStyle w:val="17"/>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22"/>
        <w:gridCol w:w="297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0" w:type="dxa"/>
            <w:gridSpan w:val="4"/>
            <w:tcBorders>
              <w:bottom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中原银行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竟婕</w:t>
            </w:r>
          </w:p>
        </w:tc>
        <w:tc>
          <w:tcPr>
            <w:tcW w:w="232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0371-85517557</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曹亚蕊</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17737790093</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李朝兵</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0371-85517607</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bl>
    <w:p>
      <w:pPr>
        <w:spacing w:line="360" w:lineRule="auto"/>
        <w:ind w:firstLine="560" w:firstLineChars="200"/>
        <w:jc w:val="right"/>
        <w:rPr>
          <w:rFonts w:ascii="仿宋_GB2312" w:hAnsi="仿宋_GB2312" w:eastAsia="仿宋_GB2312"/>
          <w:sz w:val="28"/>
          <w:szCs w:val="28"/>
        </w:rPr>
      </w:pPr>
    </w:p>
    <w:p>
      <w:pPr>
        <w:spacing w:before="40" w:line="520" w:lineRule="exact"/>
        <w:ind w:firstLine="420" w:firstLineChars="200"/>
        <w:outlineLvl w:val="0"/>
      </w:pPr>
    </w:p>
    <w:p>
      <w:pPr>
        <w:spacing w:before="40" w:line="520" w:lineRule="exact"/>
        <w:ind w:firstLine="840" w:firstLineChars="400"/>
        <w:outlineLvl w:val="0"/>
      </w:pPr>
    </w:p>
    <w:p/>
    <w:sectPr>
      <w:pgSz w:w="11906" w:h="16838"/>
      <w:pgMar w:top="851" w:right="567" w:bottom="851" w:left="567"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8972938">
    <w:nsid w:val="5B22468A"/>
    <w:multiLevelType w:val="singleLevel"/>
    <w:tmpl w:val="5B22468A"/>
    <w:lvl w:ilvl="0" w:tentative="1">
      <w:start w:val="3"/>
      <w:numFmt w:val="decimal"/>
      <w:suff w:val="nothing"/>
      <w:lvlText w:val="（%1）"/>
      <w:lvlJc w:val="left"/>
    </w:lvl>
  </w:abstractNum>
  <w:num w:numId="1">
    <w:abstractNumId w:val="15289729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39E0"/>
    <w:rsid w:val="0001107A"/>
    <w:rsid w:val="00062AED"/>
    <w:rsid w:val="000A5A92"/>
    <w:rsid w:val="000C33AF"/>
    <w:rsid w:val="000E6D88"/>
    <w:rsid w:val="000F350F"/>
    <w:rsid w:val="00114038"/>
    <w:rsid w:val="00147E4E"/>
    <w:rsid w:val="00155884"/>
    <w:rsid w:val="001800A0"/>
    <w:rsid w:val="001B2F4B"/>
    <w:rsid w:val="001F29B3"/>
    <w:rsid w:val="00216827"/>
    <w:rsid w:val="00261A3A"/>
    <w:rsid w:val="00266D31"/>
    <w:rsid w:val="002A3E25"/>
    <w:rsid w:val="002E10E1"/>
    <w:rsid w:val="002F194B"/>
    <w:rsid w:val="002F599D"/>
    <w:rsid w:val="00302201"/>
    <w:rsid w:val="0031236E"/>
    <w:rsid w:val="00373969"/>
    <w:rsid w:val="00394260"/>
    <w:rsid w:val="003C21AF"/>
    <w:rsid w:val="003C6C97"/>
    <w:rsid w:val="003E4900"/>
    <w:rsid w:val="00437289"/>
    <w:rsid w:val="0045186F"/>
    <w:rsid w:val="00494D43"/>
    <w:rsid w:val="005A5B60"/>
    <w:rsid w:val="00623894"/>
    <w:rsid w:val="006E660E"/>
    <w:rsid w:val="00725977"/>
    <w:rsid w:val="00736792"/>
    <w:rsid w:val="00750C12"/>
    <w:rsid w:val="007834D6"/>
    <w:rsid w:val="00791617"/>
    <w:rsid w:val="007B227A"/>
    <w:rsid w:val="007D5CBD"/>
    <w:rsid w:val="007E2CC6"/>
    <w:rsid w:val="0080752D"/>
    <w:rsid w:val="00811CD1"/>
    <w:rsid w:val="00840B1A"/>
    <w:rsid w:val="008D1A19"/>
    <w:rsid w:val="008D657A"/>
    <w:rsid w:val="008E689F"/>
    <w:rsid w:val="00905D89"/>
    <w:rsid w:val="009063EF"/>
    <w:rsid w:val="00907B27"/>
    <w:rsid w:val="00917273"/>
    <w:rsid w:val="00957792"/>
    <w:rsid w:val="00973858"/>
    <w:rsid w:val="00983342"/>
    <w:rsid w:val="009836EE"/>
    <w:rsid w:val="009E476F"/>
    <w:rsid w:val="00A222A2"/>
    <w:rsid w:val="00A45AF9"/>
    <w:rsid w:val="00A61DE5"/>
    <w:rsid w:val="00B23ADF"/>
    <w:rsid w:val="00B67B25"/>
    <w:rsid w:val="00BC58B4"/>
    <w:rsid w:val="00C4336B"/>
    <w:rsid w:val="00C43C16"/>
    <w:rsid w:val="00C63B68"/>
    <w:rsid w:val="00C77539"/>
    <w:rsid w:val="00C944ED"/>
    <w:rsid w:val="00CD11BE"/>
    <w:rsid w:val="00D239E0"/>
    <w:rsid w:val="00D34B01"/>
    <w:rsid w:val="00D97BE3"/>
    <w:rsid w:val="00E1550B"/>
    <w:rsid w:val="00E4373C"/>
    <w:rsid w:val="00E525C0"/>
    <w:rsid w:val="00EC5050"/>
    <w:rsid w:val="00F121AF"/>
    <w:rsid w:val="00F256F1"/>
    <w:rsid w:val="00F51889"/>
    <w:rsid w:val="00F83BAC"/>
    <w:rsid w:val="00FB2409"/>
    <w:rsid w:val="00FE1DEA"/>
    <w:rsid w:val="01257E95"/>
    <w:rsid w:val="2114635B"/>
    <w:rsid w:val="227865D9"/>
    <w:rsid w:val="26F81F74"/>
    <w:rsid w:val="31C44444"/>
    <w:rsid w:val="346B298C"/>
    <w:rsid w:val="43735FE6"/>
    <w:rsid w:val="45755183"/>
    <w:rsid w:val="4A905DCB"/>
    <w:rsid w:val="4E05276A"/>
    <w:rsid w:val="60817ECA"/>
    <w:rsid w:val="7A4765EC"/>
    <w:rsid w:val="7C94157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kern w:val="44"/>
      <w:sz w:val="44"/>
      <w:szCs w:val="20"/>
    </w:rPr>
  </w:style>
  <w:style w:type="character" w:default="1" w:styleId="13">
    <w:name w:val="Default Paragraph Font"/>
    <w:unhideWhenUsed/>
    <w:uiPriority w:val="1"/>
  </w:style>
  <w:style w:type="table" w:default="1" w:styleId="17">
    <w:name w:val="Normal Table"/>
    <w:unhideWhenUsed/>
    <w:uiPriority w:val="99"/>
    <w:tblPr>
      <w:tblStyle w:val="17"/>
      <w:tblLayout w:type="fixed"/>
      <w:tblCellMar>
        <w:top w:w="0" w:type="dxa"/>
        <w:left w:w="108" w:type="dxa"/>
        <w:bottom w:w="0" w:type="dxa"/>
        <w:right w:w="108" w:type="dxa"/>
      </w:tblCellMar>
    </w:tblPr>
    <w:tcPr>
      <w:textDirection w:val="lrTb"/>
    </w:tcPr>
  </w:style>
  <w:style w:type="paragraph" w:styleId="3">
    <w:name w:val="annotation subject"/>
    <w:basedOn w:val="4"/>
    <w:next w:val="4"/>
    <w:link w:val="26"/>
    <w:unhideWhenUsed/>
    <w:uiPriority w:val="0"/>
    <w:rPr>
      <w:b/>
      <w:bCs/>
    </w:rPr>
  </w:style>
  <w:style w:type="paragraph" w:styleId="4">
    <w:name w:val="annotation text"/>
    <w:basedOn w:val="1"/>
    <w:link w:val="23"/>
    <w:semiHidden/>
    <w:uiPriority w:val="0"/>
    <w:pPr>
      <w:jc w:val="left"/>
    </w:pPr>
  </w:style>
  <w:style w:type="paragraph" w:styleId="5">
    <w:name w:val="Normal Indent"/>
    <w:basedOn w:val="1"/>
    <w:uiPriority w:val="0"/>
    <w:pPr>
      <w:ind w:firstLine="420" w:firstLineChars="200"/>
    </w:pPr>
    <w:rPr>
      <w:kern w:val="0"/>
      <w:sz w:val="20"/>
    </w:rPr>
  </w:style>
  <w:style w:type="paragraph" w:styleId="6">
    <w:name w:val="Body Text Indent"/>
    <w:basedOn w:val="1"/>
    <w:link w:val="21"/>
    <w:uiPriority w:val="0"/>
    <w:pPr>
      <w:spacing w:line="360" w:lineRule="auto"/>
      <w:ind w:firstLine="425"/>
    </w:pPr>
  </w:style>
  <w:style w:type="paragraph" w:styleId="7">
    <w:name w:val="Plain Text"/>
    <w:basedOn w:val="1"/>
    <w:link w:val="22"/>
    <w:uiPriority w:val="0"/>
    <w:rPr>
      <w:rFonts w:ascii="宋体" w:hAnsi="Courier New"/>
      <w:szCs w:val="20"/>
    </w:rPr>
  </w:style>
  <w:style w:type="paragraph" w:styleId="8">
    <w:name w:val="Balloon Text"/>
    <w:basedOn w:val="1"/>
    <w:link w:val="25"/>
    <w:unhideWhenUsed/>
    <w:uiPriority w:val="99"/>
    <w:rPr>
      <w:sz w:val="18"/>
      <w:szCs w:val="18"/>
    </w:rPr>
  </w:style>
  <w:style w:type="paragraph" w:styleId="9">
    <w:name w:val="footer"/>
    <w:basedOn w:val="1"/>
    <w:link w:val="19"/>
    <w:unhideWhenUsed/>
    <w:uiPriority w:val="0"/>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rPr>
      <w:szCs w:val="20"/>
    </w:rPr>
  </w:style>
  <w:style w:type="paragraph" w:styleId="12">
    <w:name w:val="Body Text Indent 3"/>
    <w:basedOn w:val="1"/>
    <w:link w:val="24"/>
    <w:uiPriority w:val="0"/>
    <w:pPr>
      <w:spacing w:after="120"/>
      <w:ind w:left="420" w:leftChars="200"/>
    </w:pPr>
    <w:rPr>
      <w:sz w:val="16"/>
      <w:szCs w:val="16"/>
    </w:rPr>
  </w:style>
  <w:style w:type="character" w:styleId="14">
    <w:name w:val="page number"/>
    <w:basedOn w:val="13"/>
    <w:uiPriority w:val="0"/>
    <w:rPr/>
  </w:style>
  <w:style w:type="character" w:styleId="15">
    <w:name w:val="Hyperlink"/>
    <w:uiPriority w:val="99"/>
    <w:rPr>
      <w:color w:val="0000FF"/>
      <w:u w:val="single"/>
    </w:rPr>
  </w:style>
  <w:style w:type="character" w:styleId="16">
    <w:name w:val="annotation reference"/>
    <w:semiHidden/>
    <w:uiPriority w:val="0"/>
    <w:rPr>
      <w:sz w:val="21"/>
      <w:szCs w:val="21"/>
    </w:rPr>
  </w:style>
  <w:style w:type="character" w:customStyle="1" w:styleId="18">
    <w:name w:val="页眉 字符"/>
    <w:link w:val="10"/>
    <w:uiPriority w:val="99"/>
    <w:rPr>
      <w:sz w:val="18"/>
      <w:szCs w:val="18"/>
    </w:rPr>
  </w:style>
  <w:style w:type="character" w:customStyle="1" w:styleId="19">
    <w:name w:val="页脚 字符"/>
    <w:link w:val="9"/>
    <w:semiHidden/>
    <w:uiPriority w:val="99"/>
    <w:rPr>
      <w:sz w:val="18"/>
      <w:szCs w:val="18"/>
    </w:rPr>
  </w:style>
  <w:style w:type="character" w:customStyle="1" w:styleId="20">
    <w:name w:val="标题 1 字符"/>
    <w:link w:val="2"/>
    <w:uiPriority w:val="0"/>
    <w:rPr>
      <w:rFonts w:ascii="Times New Roman" w:hAnsi="Times New Roman" w:eastAsia="宋体" w:cs="Times New Roman"/>
      <w:b/>
      <w:kern w:val="44"/>
      <w:sz w:val="44"/>
      <w:szCs w:val="20"/>
    </w:rPr>
  </w:style>
  <w:style w:type="character" w:customStyle="1" w:styleId="21">
    <w:name w:val="正文文本缩进 字符"/>
    <w:link w:val="6"/>
    <w:uiPriority w:val="0"/>
    <w:rPr>
      <w:rFonts w:ascii="Times New Roman" w:hAnsi="Times New Roman" w:eastAsia="宋体" w:cs="Times New Roman"/>
      <w:szCs w:val="24"/>
    </w:rPr>
  </w:style>
  <w:style w:type="character" w:customStyle="1" w:styleId="22">
    <w:name w:val="纯文本 字符"/>
    <w:link w:val="7"/>
    <w:uiPriority w:val="0"/>
    <w:rPr>
      <w:rFonts w:ascii="宋体" w:hAnsi="Courier New" w:eastAsia="宋体" w:cs="Times New Roman"/>
      <w:szCs w:val="20"/>
    </w:rPr>
  </w:style>
  <w:style w:type="character" w:customStyle="1" w:styleId="23">
    <w:name w:val="批注文字 字符"/>
    <w:link w:val="4"/>
    <w:semiHidden/>
    <w:uiPriority w:val="0"/>
    <w:rPr>
      <w:rFonts w:ascii="Times New Roman" w:hAnsi="Times New Roman" w:eastAsia="宋体" w:cs="Times New Roman"/>
      <w:szCs w:val="24"/>
    </w:rPr>
  </w:style>
  <w:style w:type="character" w:customStyle="1" w:styleId="24">
    <w:name w:val="正文文本缩进 3 字符"/>
    <w:link w:val="12"/>
    <w:uiPriority w:val="0"/>
    <w:rPr>
      <w:rFonts w:ascii="Times New Roman" w:hAnsi="Times New Roman" w:eastAsia="宋体" w:cs="Times New Roman"/>
      <w:sz w:val="16"/>
      <w:szCs w:val="16"/>
    </w:rPr>
  </w:style>
  <w:style w:type="character" w:customStyle="1" w:styleId="25">
    <w:name w:val="批注框文本 字符"/>
    <w:link w:val="8"/>
    <w:semiHidden/>
    <w:uiPriority w:val="99"/>
    <w:rPr>
      <w:rFonts w:ascii="Times New Roman" w:hAnsi="Times New Roman" w:eastAsia="宋体" w:cs="Times New Roman"/>
      <w:sz w:val="18"/>
      <w:szCs w:val="18"/>
    </w:rPr>
  </w:style>
  <w:style w:type="character" w:customStyle="1" w:styleId="26">
    <w:name w:val="批注主题 字符"/>
    <w:link w:val="3"/>
    <w:semiHidden/>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2549</Words>
  <Characters>14534</Characters>
  <Lines>121</Lines>
  <Paragraphs>34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2019-02-11T08:32:00Z</dcterms:created>
  <dc:creator>万户网络</dc:creator>
  <cp:lastModifiedBy>尹金龙</cp:lastModifiedBy>
  <cp:lastPrinted>2018-12-27T09:46:00Z</cp:lastPrinted>
  <dcterms:modified xsi:type="dcterms:W3CDTF">2019-03-05T01:24:52Z</dcterms:modified>
  <dc:title>中原银行鼎盛财富乾景系列2018年第六期理财产品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