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xml" PartName="/customXml/item1.xml"/>
  <Override ContentType="application/xml" PartName="/customXml/item2.xml"/>
  <Override ContentType="application/xml" PartName="/customXml/item3.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 Generated by Aspose.Words for Java 16.8.0.0 -->
  <w:body>
    <w:p w:rsidR="00F07D82">
      <w:pPr>
        <w:spacing w:line="520" w:lineRule="exact"/>
        <w:jc w:val="right"/>
        <w:rPr>
          <w:rFonts w:ascii="宋体" w:hAnsi="宋体"/>
          <w:shadow/>
          <w:sz w:val="28"/>
          <w:szCs w:val="28"/>
        </w:rPr>
      </w:pPr>
      <w:r>
        <w:rPr>
          <w:rFonts w:ascii="宋体" w:hint="eastAsia"/>
          <w:sz w:val="24"/>
          <w:szCs w:val="28"/>
        </w:rPr>
        <w:t>编号：银【 】字/第【 】号</w:t>
      </w:r>
    </w:p>
    <w:p w:rsidR="00F07D82">
      <w:pPr>
        <w:spacing w:line="520" w:lineRule="exact"/>
        <w:jc w:val="center"/>
        <w:rPr>
          <w:rFonts w:ascii="宋体" w:hAnsi="宋体"/>
          <w:shadow/>
          <w:sz w:val="28"/>
          <w:szCs w:val="28"/>
        </w:rPr>
      </w:pPr>
      <w:r>
        <w:rPr>
          <w:rFonts w:ascii="宋体" w:hAnsi="宋体" w:hint="eastAsia"/>
          <w:szCs w:val="28"/>
        </w:rPr>
        <w:t xml:space="preserve">                             </w:t>
      </w:r>
    </w:p>
    <w:p w:rsidR="00F07D82">
      <w:pPr>
        <w:spacing w:line="520" w:lineRule="exact"/>
        <w:jc w:val="center"/>
        <w:rPr>
          <w:rFonts w:ascii="宋体" w:hAnsi="宋体"/>
          <w:shadow/>
          <w:sz w:val="28"/>
          <w:szCs w:val="28"/>
        </w:rPr>
      </w:pPr>
    </w:p>
    <w:p w:rsidR="00F07D82">
      <w:pPr>
        <w:spacing w:line="520" w:lineRule="exact"/>
        <w:jc w:val="center"/>
        <w:rPr>
          <w:rFonts w:ascii="宋体" w:hAnsi="宋体"/>
          <w:shadow/>
          <w:sz w:val="28"/>
          <w:szCs w:val="28"/>
        </w:rPr>
      </w:pPr>
    </w:p>
    <w:p w:rsidR="00F07D82">
      <w:pPr>
        <w:spacing w:line="520" w:lineRule="exact"/>
        <w:jc w:val="center"/>
        <w:rPr>
          <w:rFonts w:ascii="宋体" w:hAnsi="宋体"/>
          <w:shadow/>
          <w:sz w:val="28"/>
          <w:szCs w:val="28"/>
        </w:rPr>
      </w:pPr>
    </w:p>
    <w:p w:rsidR="00F07D82">
      <w:pPr>
        <w:spacing w:line="520" w:lineRule="exact"/>
        <w:jc w:val="center"/>
        <w:rPr>
          <w:rFonts w:ascii="宋体" w:hAnsi="宋体"/>
          <w:shadow/>
          <w:sz w:val="28"/>
          <w:szCs w:val="28"/>
        </w:rPr>
      </w:pPr>
    </w:p>
    <w:p w:rsidR="00F07D82">
      <w:pPr>
        <w:spacing w:line="360" w:lineRule="auto"/>
        <w:jc w:val="center"/>
        <w:rPr>
          <w:rFonts w:ascii="宋体" w:hAnsi="宋体"/>
          <w:b/>
          <w:sz w:val="48"/>
        </w:rPr>
      </w:pPr>
      <w:bookmarkStart w:id="0" w:name="_Toc139991724"/>
      <w:bookmarkStart w:id="1" w:name="_Toc123112222"/>
      <w:bookmarkStart w:id="2" w:name="_Toc123701381"/>
      <w:bookmarkStart w:id="3" w:name="_Toc123112261"/>
      <w:bookmarkStart w:id="4" w:name="_Toc139992299"/>
      <w:r>
        <w:rPr>
          <w:rFonts w:ascii="宋体" w:hAnsi="宋体" w:hint="eastAsia"/>
          <w:b/>
          <w:sz w:val="48"/>
        </w:rPr>
        <w:t>国泰君</w:t>
      </w:r>
      <w:r>
        <w:rPr>
          <w:rFonts w:ascii="宋体" w:hAnsi="宋体" w:hint="eastAsia"/>
          <w:b/>
          <w:sz w:val="48"/>
        </w:rPr>
        <w:t>安价值</w:t>
      </w:r>
      <w:r>
        <w:rPr>
          <w:rFonts w:ascii="宋体" w:hAnsi="宋体" w:hint="eastAsia"/>
          <w:b/>
          <w:sz w:val="48"/>
        </w:rPr>
        <w:t>精选混合型发起式</w:t>
      </w:r>
    </w:p>
    <w:p w:rsidR="00F07D82">
      <w:pPr>
        <w:spacing w:line="360" w:lineRule="auto"/>
        <w:jc w:val="center"/>
        <w:rPr>
          <w:rFonts w:ascii="宋体" w:hAnsi="宋体"/>
          <w:b/>
          <w:sz w:val="48"/>
        </w:rPr>
      </w:pPr>
      <w:r>
        <w:rPr>
          <w:rFonts w:ascii="宋体" w:hAnsi="宋体" w:hint="eastAsia"/>
          <w:b/>
          <w:sz w:val="48"/>
        </w:rPr>
        <w:t>证券投资基金</w:t>
      </w:r>
    </w:p>
    <w:p w:rsidR="00F07D82">
      <w:pPr>
        <w:spacing w:line="360" w:lineRule="auto"/>
        <w:jc w:val="center"/>
        <w:rPr>
          <w:rFonts w:ascii="宋体" w:hAnsi="宋体"/>
          <w:b/>
          <w:sz w:val="48"/>
        </w:rPr>
      </w:pPr>
      <w:bookmarkEnd w:id="0"/>
      <w:bookmarkEnd w:id="1"/>
      <w:bookmarkEnd w:id="2"/>
      <w:bookmarkEnd w:id="3"/>
      <w:bookmarkEnd w:id="4"/>
      <w:r>
        <w:rPr>
          <w:rFonts w:ascii="宋体" w:hAnsi="宋体" w:hint="eastAsia"/>
          <w:b/>
          <w:sz w:val="48"/>
        </w:rPr>
        <w:t>托管协议</w:t>
      </w:r>
    </w:p>
    <w:p w:rsidR="00F07D82">
      <w:pPr>
        <w:spacing w:line="360" w:lineRule="auto"/>
        <w:jc w:val="center"/>
        <w:rPr>
          <w:rFonts w:ascii="宋体" w:hAnsi="宋体"/>
          <w:sz w:val="32"/>
          <w:szCs w:val="80"/>
        </w:rPr>
      </w:pPr>
    </w:p>
    <w:p w:rsidR="00F07D82">
      <w:pPr>
        <w:pStyle w:val="BodyTextIndent2"/>
        <w:spacing w:line="520" w:lineRule="exact"/>
        <w:ind w:firstLine="560"/>
        <w:rPr>
          <w:rFonts w:hAnsi="宋体"/>
          <w:sz w:val="28"/>
          <w:szCs w:val="28"/>
        </w:rPr>
      </w:pPr>
    </w:p>
    <w:p w:rsidR="00F07D82">
      <w:pPr>
        <w:pStyle w:val="BodyTextIndent2"/>
        <w:spacing w:line="520" w:lineRule="exact"/>
        <w:ind w:firstLine="560"/>
        <w:rPr>
          <w:rFonts w:hAnsi="宋体"/>
          <w:sz w:val="28"/>
          <w:szCs w:val="28"/>
        </w:rPr>
      </w:pPr>
    </w:p>
    <w:p w:rsidR="00F07D82">
      <w:pPr>
        <w:pStyle w:val="BodyTextIndent2"/>
        <w:spacing w:line="520" w:lineRule="exact"/>
        <w:ind w:firstLine="560"/>
        <w:rPr>
          <w:rFonts w:hAnsi="宋体"/>
          <w:sz w:val="28"/>
          <w:szCs w:val="28"/>
        </w:rPr>
      </w:pPr>
    </w:p>
    <w:p w:rsidR="00F07D82">
      <w:pPr>
        <w:pStyle w:val="BodyTextIndent2"/>
        <w:spacing w:line="520" w:lineRule="exact"/>
        <w:ind w:firstLine="560"/>
        <w:rPr>
          <w:rFonts w:hAnsi="宋体"/>
          <w:sz w:val="28"/>
          <w:szCs w:val="28"/>
        </w:rPr>
      </w:pPr>
    </w:p>
    <w:p w:rsidR="00F07D82">
      <w:pPr>
        <w:spacing w:line="360" w:lineRule="auto"/>
        <w:jc w:val="center"/>
        <w:rPr>
          <w:rFonts w:ascii="宋体" w:hAnsi="宋体"/>
          <w:b/>
          <w:sz w:val="36"/>
        </w:rPr>
      </w:pPr>
      <w:bookmarkStart w:id="5" w:name="_Toc123701383"/>
      <w:bookmarkStart w:id="6" w:name="_Toc139991726"/>
      <w:bookmarkStart w:id="7" w:name="_Toc123112263"/>
      <w:bookmarkStart w:id="8" w:name="_Toc123112224"/>
      <w:bookmarkStart w:id="9" w:name="_Toc139992301"/>
      <w:r>
        <w:rPr>
          <w:rFonts w:ascii="宋体" w:hAnsi="宋体"/>
          <w:b/>
          <w:sz w:val="36"/>
        </w:rPr>
        <w:t>基金管理人：</w:t>
      </w:r>
      <w:bookmarkEnd w:id="5"/>
      <w:bookmarkEnd w:id="6"/>
      <w:bookmarkEnd w:id="7"/>
      <w:bookmarkEnd w:id="8"/>
      <w:bookmarkEnd w:id="9"/>
      <w:r>
        <w:rPr>
          <w:rFonts w:ascii="宋体" w:hAnsi="宋体" w:hint="eastAsia"/>
          <w:b/>
          <w:sz w:val="36"/>
        </w:rPr>
        <w:t>上海国泰君安证券资产管理有限公司</w:t>
      </w:r>
    </w:p>
    <w:p w:rsidR="00F07D82">
      <w:pPr>
        <w:spacing w:line="360" w:lineRule="auto"/>
        <w:jc w:val="center"/>
        <w:rPr>
          <w:rFonts w:ascii="宋体" w:hAnsi="宋体"/>
          <w:b/>
          <w:sz w:val="36"/>
        </w:rPr>
      </w:pPr>
      <w:bookmarkStart w:id="10" w:name="_Toc139992302"/>
      <w:bookmarkStart w:id="11" w:name="_Toc139991727"/>
      <w:bookmarkStart w:id="12" w:name="_Toc123701384"/>
      <w:bookmarkStart w:id="13" w:name="_Toc123112225"/>
      <w:bookmarkStart w:id="14" w:name="_Toc123112264"/>
      <w:r>
        <w:rPr>
          <w:rFonts w:ascii="宋体" w:hAnsi="宋体"/>
          <w:b/>
          <w:sz w:val="36"/>
        </w:rPr>
        <w:t>基金托管人：</w:t>
      </w:r>
      <w:r>
        <w:rPr>
          <w:rFonts w:ascii="宋体" w:hAnsi="宋体" w:hint="eastAsia"/>
          <w:b/>
          <w:sz w:val="36"/>
        </w:rPr>
        <w:t>中信银行股份有限公司</w:t>
      </w:r>
      <w:bookmarkEnd w:id="10"/>
      <w:bookmarkEnd w:id="11"/>
      <w:bookmarkEnd w:id="12"/>
      <w:bookmarkEnd w:id="13"/>
      <w:bookmarkEnd w:id="14"/>
    </w:p>
    <w:p w:rsidR="00F07D82">
      <w:pPr>
        <w:spacing w:line="360" w:lineRule="auto"/>
        <w:jc w:val="center"/>
        <w:rPr>
          <w:rFonts w:ascii="宋体" w:hAnsi="宋体"/>
          <w:b/>
          <w:sz w:val="44"/>
          <w:szCs w:val="44"/>
        </w:rPr>
      </w:pPr>
    </w:p>
    <w:p w:rsidR="00F07D82">
      <w:pPr>
        <w:spacing w:line="360" w:lineRule="auto"/>
        <w:rPr>
          <w:rFonts w:ascii="宋体" w:hAnsi="宋体"/>
          <w:b/>
          <w:szCs w:val="28"/>
        </w:rPr>
      </w:pPr>
    </w:p>
    <w:p w:rsidR="00F07D82">
      <w:pPr>
        <w:spacing w:line="360" w:lineRule="auto"/>
        <w:ind w:firstLine="560" w:firstLineChars="200"/>
        <w:jc w:val="center"/>
        <w:rPr>
          <w:rFonts w:ascii="宋体" w:hAnsi="宋体"/>
          <w:b/>
          <w:bCs/>
          <w:sz w:val="28"/>
          <w:szCs w:val="28"/>
        </w:rPr>
      </w:pPr>
    </w:p>
    <w:p w:rsidR="00F07D82">
      <w:pPr>
        <w:spacing w:line="360" w:lineRule="auto"/>
        <w:ind w:firstLine="560" w:firstLineChars="200"/>
        <w:jc w:val="center"/>
        <w:rPr>
          <w:rFonts w:ascii="宋体" w:hAnsi="宋体"/>
          <w:b/>
          <w:bCs/>
          <w:sz w:val="28"/>
          <w:szCs w:val="28"/>
        </w:rPr>
      </w:pPr>
    </w:p>
    <w:p w:rsidR="00F07D82">
      <w:pPr>
        <w:spacing w:line="360" w:lineRule="auto"/>
        <w:rPr>
          <w:rFonts w:ascii="宋体" w:hAnsi="宋体"/>
          <w:b/>
          <w:bCs/>
          <w:sz w:val="28"/>
          <w:szCs w:val="28"/>
        </w:rPr>
      </w:pPr>
    </w:p>
    <w:p w:rsidR="00F07D82">
      <w:pPr>
        <w:spacing w:line="360" w:lineRule="auto"/>
        <w:ind w:firstLine="560" w:firstLineChars="200"/>
        <w:jc w:val="center"/>
        <w:rPr>
          <w:rFonts w:ascii="宋体" w:hAnsi="宋体"/>
          <w:b/>
          <w:bCs/>
          <w:sz w:val="28"/>
          <w:szCs w:val="28"/>
        </w:rPr>
      </w:pPr>
      <w:r>
        <w:rPr>
          <w:rFonts w:ascii="宋体" w:hAnsi="宋体"/>
        </w:rP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1025" style="width:141.75pt;height:50.75pt;margin-top:659.25pt;margin-left:142.3pt;mso-height-relative:page;mso-position-horizontal-relative:margin;mso-position-vertical-relative:margin;mso-width-relative:page;mso-wrap-distance-bottom:0;mso-wrap-distance-left:9pt;mso-wrap-distance-right:9pt;mso-wrap-distance-top:0;position:absolute;z-index:251658240" type="#_x0000_t75">
            <v:imagedata o:title="NEWLOGO" r:id="rId7"/>
            <w10:wrap type="square"/>
          </v:shape>
        </w:pict>
      </w:r>
      <w:r w:rsidR="003563F8">
        <w:rPr>
          <w:rFonts w:ascii="宋体" w:hAnsi="宋体" w:hint="eastAsia"/>
          <w:b/>
          <w:bCs/>
          <w:sz w:val="28"/>
          <w:szCs w:val="28"/>
        </w:rPr>
        <w:br w:type="page"/>
      </w:r>
    </w:p>
    <w:p w:rsidR="00F07D82">
      <w:pPr>
        <w:spacing w:line="360" w:lineRule="auto"/>
        <w:jc w:val="center"/>
        <w:rPr>
          <w:rFonts w:ascii="宋体" w:hAnsi="宋体"/>
          <w:b/>
          <w:bCs/>
          <w:sz w:val="28"/>
          <w:szCs w:val="28"/>
        </w:rPr>
      </w:pPr>
      <w:r>
        <w:rPr>
          <w:rFonts w:ascii="宋体" w:hAnsi="宋体" w:hint="eastAsia"/>
          <w:b/>
          <w:bCs/>
          <w:sz w:val="28"/>
          <w:szCs w:val="28"/>
        </w:rPr>
        <w:t>目录</w:t>
      </w:r>
    </w:p>
    <w:p w:rsidR="00F07D82">
      <w:pPr>
        <w:spacing w:line="360" w:lineRule="auto"/>
        <w:ind w:firstLine="560" w:firstLineChars="200"/>
        <w:jc w:val="center"/>
        <w:rPr>
          <w:rFonts w:ascii="宋体" w:hAnsi="宋体"/>
          <w:b/>
          <w:bCs/>
          <w:sz w:val="28"/>
          <w:szCs w:val="28"/>
        </w:rPr>
      </w:pPr>
    </w:p>
    <w:p w:rsidR="00F07D82">
      <w:pPr>
        <w:pStyle w:val="TOC1"/>
        <w:rPr>
          <w:rFonts w:asciiTheme="minorHAnsi" w:cstheme="minorBidi" w:eastAsiaTheme="minorEastAsia" w:hAnsiTheme="minorHAnsi"/>
          <w:noProof/>
          <w:sz w:val="21"/>
          <w:szCs w:val="22"/>
        </w:rPr>
      </w:pPr>
      <w:r>
        <w:rPr>
          <w:b/>
          <w:sz w:val="28"/>
          <w:szCs w:val="28"/>
        </w:rPr>
        <w:fldChar w:fldCharType="begin"/>
      </w:r>
      <w:r>
        <w:rPr>
          <w:b/>
          <w:sz w:val="28"/>
          <w:szCs w:val="28"/>
        </w:rPr>
        <w:instrText xml:space="preserve"> </w:instrText>
      </w:r>
      <w:r>
        <w:rPr>
          <w:rFonts w:hint="eastAsia"/>
          <w:b/>
          <w:sz w:val="28"/>
          <w:szCs w:val="28"/>
        </w:rPr>
        <w:instrText>TOC \o "1-1" \h \z \u</w:instrText>
      </w:r>
      <w:r>
        <w:rPr>
          <w:b/>
          <w:sz w:val="28"/>
          <w:szCs w:val="28"/>
        </w:rPr>
        <w:instrText xml:space="preserve"> </w:instrText>
      </w:r>
      <w:r>
        <w:rPr>
          <w:b/>
          <w:sz w:val="28"/>
          <w:szCs w:val="28"/>
        </w:rPr>
        <w:fldChar w:fldCharType="separate"/>
      </w:r>
      <w:r>
        <w:fldChar w:fldCharType="begin"/>
      </w:r>
      <w:r>
        <w:instrText xml:space="preserve"> HYPERLINK \l "_Toc44321700" </w:instrText>
      </w:r>
      <w:r>
        <w:fldChar w:fldCharType="separate"/>
      </w:r>
      <w:r>
        <w:rPr>
          <w:rStyle w:val="Hyperlink"/>
          <w:rFonts w:asciiTheme="minorEastAsia" w:hAnsiTheme="minorEastAsia" w:hint="eastAsia"/>
          <w:bCs/>
          <w:noProof/>
        </w:rPr>
        <w:t>第一条</w:t>
      </w:r>
      <w:r>
        <w:rPr>
          <w:rStyle w:val="Hyperlink"/>
          <w:rFonts w:asciiTheme="minorEastAsia" w:hAnsiTheme="minorEastAsia"/>
          <w:bCs/>
          <w:noProof/>
        </w:rPr>
        <w:t xml:space="preserve"> </w:t>
      </w:r>
      <w:r>
        <w:rPr>
          <w:rStyle w:val="Hyperlink"/>
          <w:rFonts w:asciiTheme="minorEastAsia" w:hAnsiTheme="minorEastAsia" w:hint="eastAsia"/>
          <w:bCs/>
          <w:noProof/>
        </w:rPr>
        <w:t>本协议当事人</w:t>
      </w:r>
      <w:r>
        <w:rPr>
          <w:noProof/>
        </w:rPr>
        <w:tab/>
      </w:r>
      <w:r>
        <w:rPr>
          <w:noProof/>
        </w:rPr>
        <w:fldChar w:fldCharType="begin"/>
      </w:r>
      <w:r>
        <w:rPr>
          <w:noProof/>
        </w:rPr>
        <w:instrText xml:space="preserve"> PAGEREF _Toc44321700 \h </w:instrText>
      </w:r>
      <w:r>
        <w:rPr>
          <w:noProof/>
        </w:rPr>
        <w:fldChar w:fldCharType="separate"/>
      </w:r>
      <w:r w:rsidR="009F49A5">
        <w:rPr>
          <w:noProof/>
        </w:rPr>
        <w:t>3</w:t>
      </w:r>
      <w:r>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"_Toc44321701" </w:instrText>
      </w:r>
      <w:r>
        <w:fldChar w:fldCharType="separate"/>
      </w:r>
      <w:r w:rsidR="003563F8">
        <w:rPr>
          <w:rStyle w:val="Hyperlink"/>
          <w:rFonts w:asciiTheme="minorEastAsia" w:hAnsiTheme="minorEastAsia" w:hint="eastAsia"/>
          <w:bCs/>
          <w:noProof/>
        </w:rPr>
        <w:t>第二条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本协议的依据、目的和原则</w:t>
      </w:r>
      <w:r w:rsidR="003563F8">
        <w:rPr>
          <w:noProof/>
        </w:rPr>
        <w:tab/>
      </w:r>
      <w:r w:rsidR="003563F8">
        <w:rPr>
          <w:noProof/>
        </w:rPr>
        <w:fldChar w:fldCharType="begin"/>
      </w:r>
      <w:r w:rsidR="003563F8">
        <w:rPr>
          <w:noProof/>
        </w:rPr>
        <w:instrText xml:space="preserve"> PAGEREF _Toc44321701 \h </w:instrText>
      </w:r>
      <w:r w:rsidR="003563F8">
        <w:rPr>
          <w:noProof/>
        </w:rPr>
        <w:fldChar w:fldCharType="separate"/>
      </w:r>
      <w:r w:rsidR="009F49A5">
        <w:rPr>
          <w:noProof/>
        </w:rPr>
        <w:t>3</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"_Toc44321702" </w:instrText>
      </w:r>
      <w:r>
        <w:fldChar w:fldCharType="separate"/>
      </w:r>
      <w:r w:rsidR="003563F8">
        <w:rPr>
          <w:rStyle w:val="Hyperlink"/>
          <w:rFonts w:asciiTheme="minorEastAsia" w:hAnsiTheme="minorEastAsia" w:hint="eastAsia"/>
          <w:bCs/>
          <w:noProof/>
        </w:rPr>
        <w:t>第三条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基金托管人对基金管理人的业务监督和核查</w:t>
      </w:r>
      <w:r w:rsidR="003563F8">
        <w:rPr>
          <w:noProof/>
        </w:rPr>
        <w:tab/>
      </w:r>
      <w:r w:rsidR="003563F8">
        <w:rPr>
          <w:noProof/>
        </w:rPr>
        <w:fldChar w:fldCharType="begin"/>
      </w:r>
      <w:r w:rsidR="003563F8">
        <w:rPr>
          <w:noProof/>
        </w:rPr>
        <w:instrText xml:space="preserve"> PAGEREF _Toc44321702 \h </w:instrText>
      </w:r>
      <w:r w:rsidR="003563F8">
        <w:rPr>
          <w:noProof/>
        </w:rPr>
        <w:fldChar w:fldCharType="separate"/>
      </w:r>
      <w:r w:rsidR="009F49A5">
        <w:rPr>
          <w:noProof/>
        </w:rPr>
        <w:t>4</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"_Toc44321703" </w:instrText>
      </w:r>
      <w:r>
        <w:fldChar w:fldCharType="separate"/>
      </w:r>
      <w:r w:rsidR="003563F8">
        <w:rPr>
          <w:rStyle w:val="Hyperlink"/>
          <w:rFonts w:asciiTheme="minorEastAsia" w:hAnsiTheme="minorEastAsia" w:hint="eastAsia"/>
          <w:bCs/>
          <w:noProof/>
        </w:rPr>
        <w:t>第四条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基金管理人对基金托管人的业务核查</w:t>
      </w:r>
      <w:r w:rsidR="003563F8">
        <w:rPr>
          <w:noProof/>
        </w:rPr>
        <w:tab/>
      </w:r>
      <w:r w:rsidR="003563F8">
        <w:rPr>
          <w:noProof/>
        </w:rPr>
        <w:fldChar w:fldCharType="begin"/>
      </w:r>
      <w:r w:rsidR="003563F8">
        <w:rPr>
          <w:noProof/>
        </w:rPr>
        <w:instrText xml:space="preserve"> PAGEREF _Toc44321703 \h </w:instrText>
      </w:r>
      <w:r w:rsidR="003563F8">
        <w:rPr>
          <w:noProof/>
        </w:rPr>
        <w:fldChar w:fldCharType="separate"/>
      </w:r>
      <w:r w:rsidR="009F49A5">
        <w:rPr>
          <w:noProof/>
        </w:rPr>
        <w:t>13</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"_Toc44321704" </w:instrText>
      </w:r>
      <w:r>
        <w:fldChar w:fldCharType="separate"/>
      </w:r>
      <w:r w:rsidR="003563F8">
        <w:rPr>
          <w:rStyle w:val="Hyperlink"/>
          <w:rFonts w:asciiTheme="minorEastAsia" w:hAnsiTheme="minorEastAsia" w:hint="eastAsia"/>
          <w:bCs/>
          <w:noProof/>
        </w:rPr>
        <w:t>第五条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基金财产保管</w:t>
      </w:r>
      <w:r w:rsidR="003563F8">
        <w:rPr>
          <w:noProof/>
        </w:rPr>
        <w:tab/>
      </w:r>
      <w:r w:rsidR="003563F8">
        <w:rPr>
          <w:noProof/>
        </w:rPr>
        <w:fldChar w:fldCharType="begin"/>
      </w:r>
      <w:r w:rsidR="003563F8">
        <w:rPr>
          <w:noProof/>
        </w:rPr>
        <w:instrText xml:space="preserve"> PAGEREF _Toc44321704 \h </w:instrText>
      </w:r>
      <w:r w:rsidR="003563F8">
        <w:rPr>
          <w:noProof/>
        </w:rPr>
        <w:fldChar w:fldCharType="separate"/>
      </w:r>
      <w:r w:rsidR="009F49A5">
        <w:rPr>
          <w:noProof/>
        </w:rPr>
        <w:t>14</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"_Toc44321705" </w:instrText>
      </w:r>
      <w:r>
        <w:fldChar w:fldCharType="separate"/>
      </w:r>
      <w:r w:rsidR="003563F8">
        <w:rPr>
          <w:rStyle w:val="Hyperlink"/>
          <w:rFonts w:asciiTheme="minorEastAsia" w:hAnsiTheme="minorEastAsia" w:hint="eastAsia"/>
          <w:bCs/>
          <w:noProof/>
        </w:rPr>
        <w:t>第六条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指令的发送、确认和执行</w:t>
      </w:r>
      <w:r w:rsidR="003563F8">
        <w:rPr>
          <w:noProof/>
        </w:rPr>
        <w:tab/>
      </w:r>
      <w:r w:rsidR="003563F8">
        <w:rPr>
          <w:noProof/>
        </w:rPr>
        <w:fldChar w:fldCharType="begin"/>
      </w:r>
      <w:r w:rsidR="003563F8">
        <w:rPr>
          <w:noProof/>
        </w:rPr>
        <w:instrText xml:space="preserve"> PAGEREF _Toc44321705 \h </w:instrText>
      </w:r>
      <w:r w:rsidR="003563F8">
        <w:rPr>
          <w:noProof/>
        </w:rPr>
        <w:fldChar w:fldCharType="separate"/>
      </w:r>
      <w:r w:rsidR="009F49A5">
        <w:rPr>
          <w:noProof/>
        </w:rPr>
        <w:t>16</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"_Toc44321706" </w:instrText>
      </w:r>
      <w:r>
        <w:fldChar w:fldCharType="separate"/>
      </w:r>
      <w:r w:rsidR="003563F8">
        <w:rPr>
          <w:rStyle w:val="Hyperlink"/>
          <w:rFonts w:asciiTheme="minorEastAsia" w:hAnsiTheme="minorEastAsia" w:hint="eastAsia"/>
          <w:bCs/>
          <w:noProof/>
        </w:rPr>
        <w:t>第七条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交易及清算交收安排</w:t>
      </w:r>
      <w:r w:rsidR="003563F8">
        <w:rPr>
          <w:noProof/>
        </w:rPr>
        <w:tab/>
      </w:r>
      <w:r w:rsidR="003563F8">
        <w:rPr>
          <w:noProof/>
        </w:rPr>
        <w:fldChar w:fldCharType="begin"/>
      </w:r>
      <w:r w:rsidR="003563F8">
        <w:rPr>
          <w:noProof/>
        </w:rPr>
        <w:instrText xml:space="preserve"> PAGEREF _Toc44321706 \h </w:instrText>
      </w:r>
      <w:r w:rsidR="003563F8">
        <w:rPr>
          <w:noProof/>
        </w:rPr>
        <w:fldChar w:fldCharType="separate"/>
      </w:r>
      <w:r w:rsidR="009F49A5">
        <w:rPr>
          <w:noProof/>
        </w:rPr>
        <w:t>19</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"_Toc44321707" </w:instrText>
      </w:r>
      <w:r>
        <w:fldChar w:fldCharType="separate"/>
      </w:r>
      <w:r w:rsidR="003563F8">
        <w:rPr>
          <w:rStyle w:val="Hyperlink"/>
          <w:rFonts w:asciiTheme="minorEastAsia" w:hAnsiTheme="minorEastAsia" w:hint="eastAsia"/>
          <w:bCs/>
          <w:noProof/>
        </w:rPr>
        <w:t>第八条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基金净值计算和会计核算</w:t>
      </w:r>
      <w:r w:rsidR="003563F8">
        <w:rPr>
          <w:noProof/>
        </w:rPr>
        <w:tab/>
      </w:r>
      <w:r w:rsidR="003563F8">
        <w:rPr>
          <w:noProof/>
        </w:rPr>
        <w:fldChar w:fldCharType="begin"/>
      </w:r>
      <w:r w:rsidR="003563F8">
        <w:rPr>
          <w:noProof/>
        </w:rPr>
        <w:instrText xml:space="preserve"> PAGEREF _Toc44321707 \h </w:instrText>
      </w:r>
      <w:r w:rsidR="003563F8">
        <w:rPr>
          <w:noProof/>
        </w:rPr>
        <w:fldChar w:fldCharType="separate"/>
      </w:r>
      <w:r w:rsidR="009F49A5">
        <w:rPr>
          <w:noProof/>
        </w:rPr>
        <w:t>21</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"_Toc44321708" </w:instrText>
      </w:r>
      <w:r>
        <w:fldChar w:fldCharType="separate"/>
      </w:r>
      <w:r w:rsidR="003563F8">
        <w:rPr>
          <w:rStyle w:val="Hyperlink"/>
          <w:rFonts w:asciiTheme="minorEastAsia" w:hAnsiTheme="minorEastAsia" w:hint="eastAsia"/>
          <w:bCs/>
          <w:noProof/>
        </w:rPr>
        <w:t>第九条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基金收益分配</w:t>
      </w:r>
      <w:r w:rsidR="003563F8">
        <w:rPr>
          <w:noProof/>
        </w:rPr>
        <w:tab/>
      </w:r>
      <w:r w:rsidR="003563F8">
        <w:rPr>
          <w:noProof/>
        </w:rPr>
        <w:fldChar w:fldCharType="begin"/>
      </w:r>
      <w:r w:rsidR="003563F8">
        <w:rPr>
          <w:noProof/>
        </w:rPr>
        <w:instrText xml:space="preserve"> PAGEREF _Toc44321708 \h </w:instrText>
      </w:r>
      <w:r w:rsidR="003563F8">
        <w:rPr>
          <w:noProof/>
        </w:rPr>
        <w:fldChar w:fldCharType="separate"/>
      </w:r>
      <w:r w:rsidR="009F49A5">
        <w:rPr>
          <w:noProof/>
        </w:rPr>
        <w:t>28</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"_Toc44321709" </w:instrText>
      </w:r>
      <w:r>
        <w:fldChar w:fldCharType="separate"/>
      </w:r>
      <w:r w:rsidR="003563F8">
        <w:rPr>
          <w:rStyle w:val="Hyperlink"/>
          <w:rFonts w:asciiTheme="minorEastAsia" w:hAnsiTheme="minorEastAsia" w:hint="eastAsia"/>
          <w:bCs/>
          <w:noProof/>
        </w:rPr>
        <w:t>第十条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信息披露</w:t>
      </w:r>
      <w:r w:rsidR="003563F8">
        <w:rPr>
          <w:noProof/>
        </w:rPr>
        <w:tab/>
      </w:r>
      <w:r w:rsidR="003563F8">
        <w:rPr>
          <w:noProof/>
        </w:rPr>
        <w:fldChar w:fldCharType="begin"/>
      </w:r>
      <w:r w:rsidR="003563F8">
        <w:rPr>
          <w:noProof/>
        </w:rPr>
        <w:instrText xml:space="preserve"> PAGEREF _Toc44321709 \h </w:instrText>
      </w:r>
      <w:r w:rsidR="003563F8">
        <w:rPr>
          <w:noProof/>
        </w:rPr>
        <w:fldChar w:fldCharType="separate"/>
      </w:r>
      <w:r w:rsidR="009F49A5">
        <w:rPr>
          <w:noProof/>
        </w:rPr>
        <w:t>29</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"_Toc44321710" </w:instrText>
      </w:r>
      <w:r>
        <w:fldChar w:fldCharType="separate"/>
      </w:r>
      <w:r w:rsidR="003563F8">
        <w:rPr>
          <w:rStyle w:val="Hyperlink"/>
          <w:rFonts w:asciiTheme="minorEastAsia" w:hAnsiTheme="minorEastAsia" w:hint="eastAsia"/>
          <w:bCs/>
          <w:noProof/>
        </w:rPr>
        <w:t>第十一条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基金费用</w:t>
      </w:r>
      <w:r w:rsidR="003563F8">
        <w:rPr>
          <w:noProof/>
        </w:rPr>
        <w:tab/>
      </w:r>
      <w:r w:rsidR="003563F8">
        <w:rPr>
          <w:noProof/>
        </w:rPr>
        <w:fldChar w:fldCharType="begin"/>
      </w:r>
      <w:r w:rsidR="003563F8">
        <w:rPr>
          <w:noProof/>
        </w:rPr>
        <w:instrText xml:space="preserve"> PAGEREF _Toc44321710 \h </w:instrText>
      </w:r>
      <w:r w:rsidR="003563F8">
        <w:rPr>
          <w:noProof/>
        </w:rPr>
        <w:fldChar w:fldCharType="separate"/>
      </w:r>
      <w:r w:rsidR="009F49A5">
        <w:rPr>
          <w:noProof/>
        </w:rPr>
        <w:t>31</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"_Toc44321711" </w:instrText>
      </w:r>
      <w:r>
        <w:fldChar w:fldCharType="separate"/>
      </w:r>
      <w:r w:rsidR="003563F8">
        <w:rPr>
          <w:rStyle w:val="Hyperlink"/>
          <w:rFonts w:asciiTheme="minorEastAsia" w:hAnsiTheme="minorEastAsia" w:hint="eastAsia"/>
          <w:bCs/>
          <w:noProof/>
        </w:rPr>
        <w:t>第十二条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基金份额持有人名册的保管</w:t>
      </w:r>
      <w:r w:rsidR="003563F8">
        <w:rPr>
          <w:noProof/>
        </w:rPr>
        <w:tab/>
      </w:r>
      <w:r w:rsidR="003563F8">
        <w:rPr>
          <w:noProof/>
        </w:rPr>
        <w:fldChar w:fldCharType="begin"/>
      </w:r>
      <w:r w:rsidR="003563F8">
        <w:rPr>
          <w:noProof/>
        </w:rPr>
        <w:instrText xml:space="preserve"> PAGEREF _Toc44321711 \h </w:instrText>
      </w:r>
      <w:r w:rsidR="003563F8">
        <w:rPr>
          <w:noProof/>
        </w:rPr>
        <w:fldChar w:fldCharType="separate"/>
      </w:r>
      <w:r w:rsidR="009F49A5">
        <w:rPr>
          <w:noProof/>
        </w:rPr>
        <w:t>33</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"_Toc44321712" </w:instrText>
      </w:r>
      <w:r>
        <w:fldChar w:fldCharType="separate"/>
      </w:r>
      <w:r w:rsidR="003563F8">
        <w:rPr>
          <w:rStyle w:val="Hyperlink"/>
          <w:rFonts w:asciiTheme="minorEastAsia" w:hAnsiTheme="minorEastAsia" w:hint="eastAsia"/>
          <w:bCs/>
          <w:noProof/>
        </w:rPr>
        <w:t>第十三条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基金有关文件和档案的保存</w:t>
      </w:r>
      <w:r w:rsidR="003563F8">
        <w:rPr>
          <w:noProof/>
        </w:rPr>
        <w:tab/>
      </w:r>
      <w:r w:rsidR="003563F8">
        <w:rPr>
          <w:noProof/>
        </w:rPr>
        <w:fldChar w:fldCharType="begin"/>
      </w:r>
      <w:r w:rsidR="003563F8">
        <w:rPr>
          <w:noProof/>
        </w:rPr>
        <w:instrText xml:space="preserve"> PAGEREF _Toc44321712 \h </w:instrText>
      </w:r>
      <w:r w:rsidR="003563F8">
        <w:rPr>
          <w:noProof/>
        </w:rPr>
        <w:fldChar w:fldCharType="separate"/>
      </w:r>
      <w:r w:rsidR="009F49A5">
        <w:rPr>
          <w:noProof/>
        </w:rPr>
        <w:t>34</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"_Toc44321713" </w:instrText>
      </w:r>
      <w:r>
        <w:fldChar w:fldCharType="separate"/>
      </w:r>
      <w:r w:rsidR="003563F8">
        <w:rPr>
          <w:rStyle w:val="Hyperlink"/>
          <w:rFonts w:asciiTheme="minorEastAsia" w:hAnsiTheme="minorEastAsia" w:hint="eastAsia"/>
          <w:bCs/>
          <w:noProof/>
        </w:rPr>
        <w:t>第十四条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基金管理人和基金托管人的更换</w:t>
      </w:r>
      <w:r w:rsidR="003563F8">
        <w:rPr>
          <w:noProof/>
        </w:rPr>
        <w:tab/>
      </w:r>
      <w:r w:rsidR="003563F8">
        <w:rPr>
          <w:noProof/>
        </w:rPr>
        <w:fldChar w:fldCharType="begin"/>
      </w:r>
      <w:r w:rsidR="003563F8">
        <w:rPr>
          <w:noProof/>
        </w:rPr>
        <w:instrText xml:space="preserve"> PAGEREF _Toc44321713 \h </w:instrText>
      </w:r>
      <w:r w:rsidR="003563F8">
        <w:rPr>
          <w:noProof/>
        </w:rPr>
        <w:fldChar w:fldCharType="separate"/>
      </w:r>
      <w:r w:rsidR="009F49A5">
        <w:rPr>
          <w:noProof/>
        </w:rPr>
        <w:t>34</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"_Toc44321714" </w:instrText>
      </w:r>
      <w:r>
        <w:fldChar w:fldCharType="separate"/>
      </w:r>
      <w:r w:rsidR="003563F8">
        <w:rPr>
          <w:rStyle w:val="Hyperlink"/>
          <w:rFonts w:asciiTheme="minorEastAsia" w:hAnsiTheme="minorEastAsia" w:hint="eastAsia"/>
          <w:bCs/>
          <w:noProof/>
        </w:rPr>
        <w:t>第十五条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禁止行为</w:t>
      </w:r>
      <w:r w:rsidR="003563F8">
        <w:rPr>
          <w:noProof/>
        </w:rPr>
        <w:tab/>
      </w:r>
      <w:r w:rsidR="003563F8">
        <w:rPr>
          <w:noProof/>
        </w:rPr>
        <w:fldChar w:fldCharType="begin"/>
      </w:r>
      <w:r w:rsidR="003563F8">
        <w:rPr>
          <w:noProof/>
        </w:rPr>
        <w:instrText xml:space="preserve"> PAGEREF _Toc44321714 \h </w:instrText>
      </w:r>
      <w:r w:rsidR="003563F8">
        <w:rPr>
          <w:noProof/>
        </w:rPr>
        <w:fldChar w:fldCharType="separate"/>
      </w:r>
      <w:r w:rsidR="009F49A5">
        <w:rPr>
          <w:noProof/>
        </w:rPr>
        <w:t>36</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"_Toc44321715" </w:instrText>
      </w:r>
      <w:r>
        <w:fldChar w:fldCharType="separate"/>
      </w:r>
      <w:r w:rsidR="003563F8">
        <w:rPr>
          <w:rStyle w:val="Hyperlink"/>
          <w:rFonts w:asciiTheme="minorEastAsia" w:hAnsiTheme="minorEastAsia" w:hint="eastAsia"/>
          <w:bCs/>
          <w:noProof/>
        </w:rPr>
        <w:t>第十六条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本协议的变更、终止与基金财产的清算</w:t>
      </w:r>
      <w:r w:rsidR="003563F8">
        <w:rPr>
          <w:noProof/>
        </w:rPr>
        <w:tab/>
      </w:r>
      <w:r w:rsidR="003563F8">
        <w:rPr>
          <w:noProof/>
        </w:rPr>
        <w:fldChar w:fldCharType="begin"/>
      </w:r>
      <w:r w:rsidR="003563F8">
        <w:rPr>
          <w:noProof/>
        </w:rPr>
        <w:instrText xml:space="preserve"> PAGEREF _Toc44321715 \h </w:instrText>
      </w:r>
      <w:r w:rsidR="003563F8">
        <w:rPr>
          <w:noProof/>
        </w:rPr>
        <w:fldChar w:fldCharType="separate"/>
      </w:r>
      <w:r w:rsidR="009F49A5">
        <w:rPr>
          <w:noProof/>
        </w:rPr>
        <w:t>37</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"_Toc44321716" </w:instrText>
      </w:r>
      <w:r>
        <w:fldChar w:fldCharType="separate"/>
      </w:r>
      <w:r w:rsidR="003563F8">
        <w:rPr>
          <w:rStyle w:val="Hyperlink"/>
          <w:rFonts w:asciiTheme="minorEastAsia" w:hAnsiTheme="minorEastAsia" w:hint="eastAsia"/>
          <w:bCs/>
          <w:noProof/>
        </w:rPr>
        <w:t>第十七条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违约责任</w:t>
      </w:r>
      <w:r w:rsidR="003563F8">
        <w:rPr>
          <w:noProof/>
        </w:rPr>
        <w:tab/>
      </w:r>
      <w:r w:rsidR="003563F8">
        <w:rPr>
          <w:noProof/>
        </w:rPr>
        <w:fldChar w:fldCharType="begin"/>
      </w:r>
      <w:r w:rsidR="003563F8">
        <w:rPr>
          <w:noProof/>
        </w:rPr>
        <w:instrText xml:space="preserve"> PAGEREF _Toc44321716 \h </w:instrText>
      </w:r>
      <w:r w:rsidR="003563F8">
        <w:rPr>
          <w:noProof/>
        </w:rPr>
        <w:fldChar w:fldCharType="separate"/>
      </w:r>
      <w:r w:rsidR="009F49A5">
        <w:rPr>
          <w:noProof/>
        </w:rPr>
        <w:t>39</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"_Toc44321717" </w:instrText>
      </w:r>
      <w:r>
        <w:fldChar w:fldCharType="separate"/>
      </w:r>
      <w:r w:rsidR="003563F8">
        <w:rPr>
          <w:rStyle w:val="Hyperlink"/>
          <w:rFonts w:asciiTheme="minorEastAsia" w:hAnsiTheme="minorEastAsia" w:hint="eastAsia"/>
          <w:bCs/>
          <w:noProof/>
        </w:rPr>
        <w:t>第十八条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法律适用和争议解决</w:t>
      </w:r>
      <w:r w:rsidR="003563F8">
        <w:rPr>
          <w:noProof/>
        </w:rPr>
        <w:tab/>
      </w:r>
      <w:r w:rsidR="003563F8">
        <w:rPr>
          <w:noProof/>
        </w:rPr>
        <w:fldChar w:fldCharType="begin"/>
      </w:r>
      <w:r w:rsidR="003563F8">
        <w:rPr>
          <w:noProof/>
        </w:rPr>
        <w:instrText xml:space="preserve"> PAGEREF _Toc44321717 \h </w:instrText>
      </w:r>
      <w:r w:rsidR="003563F8">
        <w:rPr>
          <w:noProof/>
        </w:rPr>
        <w:fldChar w:fldCharType="separate"/>
      </w:r>
      <w:r w:rsidR="009F49A5">
        <w:rPr>
          <w:noProof/>
        </w:rPr>
        <w:t>40</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"_Toc44321718" </w:instrText>
      </w:r>
      <w:r>
        <w:fldChar w:fldCharType="separate"/>
      </w:r>
      <w:r w:rsidR="003563F8">
        <w:rPr>
          <w:rStyle w:val="Hyperlink"/>
          <w:rFonts w:asciiTheme="minorEastAsia" w:hAnsiTheme="minorEastAsia" w:hint="eastAsia"/>
          <w:bCs/>
          <w:noProof/>
        </w:rPr>
        <w:t>第十九条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本协议的效力</w:t>
      </w:r>
      <w:r w:rsidR="003563F8">
        <w:rPr>
          <w:noProof/>
        </w:rPr>
        <w:tab/>
      </w:r>
      <w:r w:rsidR="003563F8">
        <w:rPr>
          <w:noProof/>
        </w:rPr>
        <w:fldChar w:fldCharType="begin"/>
      </w:r>
      <w:r w:rsidR="003563F8">
        <w:rPr>
          <w:noProof/>
        </w:rPr>
        <w:instrText xml:space="preserve"> PAGEREF _Toc44321718 \h </w:instrText>
      </w:r>
      <w:r w:rsidR="003563F8">
        <w:rPr>
          <w:noProof/>
        </w:rPr>
        <w:fldChar w:fldCharType="separate"/>
      </w:r>
      <w:r w:rsidR="009F49A5">
        <w:rPr>
          <w:noProof/>
        </w:rPr>
        <w:t>41</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"_Toc44321719" </w:instrText>
      </w:r>
      <w:r>
        <w:fldChar w:fldCharType="separate"/>
      </w:r>
      <w:r w:rsidR="003563F8">
        <w:rPr>
          <w:rStyle w:val="Hyperlink"/>
          <w:rFonts w:asciiTheme="minorEastAsia" w:hAnsiTheme="minorEastAsia" w:hint="eastAsia"/>
          <w:bCs/>
          <w:noProof/>
        </w:rPr>
        <w:t>第二十条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本协议的签订</w:t>
      </w:r>
      <w:r w:rsidR="003563F8">
        <w:rPr>
          <w:noProof/>
        </w:rPr>
        <w:tab/>
      </w:r>
      <w:r w:rsidR="003563F8">
        <w:rPr>
          <w:noProof/>
        </w:rPr>
        <w:fldChar w:fldCharType="begin"/>
      </w:r>
      <w:r w:rsidR="003563F8">
        <w:rPr>
          <w:noProof/>
        </w:rPr>
        <w:instrText xml:space="preserve"> PAGEREF _Toc44321719 \h </w:instrText>
      </w:r>
      <w:r w:rsidR="003563F8">
        <w:rPr>
          <w:noProof/>
        </w:rPr>
        <w:fldChar w:fldCharType="separate"/>
      </w:r>
      <w:r w:rsidR="009F49A5">
        <w:rPr>
          <w:noProof/>
        </w:rPr>
        <w:t>41</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"_Toc44321720" </w:instrText>
      </w:r>
      <w:r>
        <w:fldChar w:fldCharType="separate"/>
      </w:r>
      <w:r w:rsidR="003563F8">
        <w:rPr>
          <w:rStyle w:val="Hyperlink"/>
          <w:rFonts w:asciiTheme="minorEastAsia" w:hAnsiTheme="minorEastAsia" w:hint="eastAsia"/>
          <w:bCs/>
          <w:noProof/>
        </w:rPr>
        <w:t>第二十一条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不可抗力</w:t>
      </w:r>
      <w:r w:rsidR="003563F8">
        <w:rPr>
          <w:noProof/>
        </w:rPr>
        <w:tab/>
      </w:r>
      <w:r w:rsidR="003563F8">
        <w:rPr>
          <w:noProof/>
        </w:rPr>
        <w:fldChar w:fldCharType="begin"/>
      </w:r>
      <w:r w:rsidR="003563F8">
        <w:rPr>
          <w:noProof/>
        </w:rPr>
        <w:instrText xml:space="preserve"> PAGEREF _Toc44321720 \h </w:instrText>
      </w:r>
      <w:r w:rsidR="003563F8">
        <w:rPr>
          <w:noProof/>
        </w:rPr>
        <w:fldChar w:fldCharType="separate"/>
      </w:r>
      <w:r w:rsidR="009F49A5">
        <w:rPr>
          <w:noProof/>
        </w:rPr>
        <w:t>41</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"_Toc44321721" </w:instrText>
      </w:r>
      <w:r>
        <w:fldChar w:fldCharType="separate"/>
      </w:r>
      <w:r w:rsidR="003563F8">
        <w:rPr>
          <w:rStyle w:val="Hyperlink"/>
          <w:rFonts w:asciiTheme="minorEastAsia" w:hAnsiTheme="minorEastAsia" w:hint="eastAsia"/>
          <w:bCs/>
          <w:noProof/>
        </w:rPr>
        <w:t>第二十二条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可分割性</w:t>
      </w:r>
      <w:r w:rsidR="003563F8">
        <w:rPr>
          <w:noProof/>
        </w:rPr>
        <w:tab/>
      </w:r>
      <w:r w:rsidR="003563F8">
        <w:rPr>
          <w:noProof/>
        </w:rPr>
        <w:fldChar w:fldCharType="begin"/>
      </w:r>
      <w:r w:rsidR="003563F8">
        <w:rPr>
          <w:noProof/>
        </w:rPr>
        <w:instrText xml:space="preserve"> PAGEREF _Toc44321721 \h </w:instrText>
      </w:r>
      <w:r w:rsidR="003563F8">
        <w:rPr>
          <w:noProof/>
        </w:rPr>
        <w:fldChar w:fldCharType="separate"/>
      </w:r>
      <w:r w:rsidR="009F49A5">
        <w:rPr>
          <w:noProof/>
        </w:rPr>
        <w:t>42</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"_Toc44321722" </w:instrText>
      </w:r>
      <w:r>
        <w:fldChar w:fldCharType="separate"/>
      </w:r>
      <w:r w:rsidR="003563F8">
        <w:rPr>
          <w:rStyle w:val="Hyperlink"/>
          <w:rFonts w:asciiTheme="minorEastAsia" w:hAnsiTheme="minorEastAsia" w:hint="eastAsia"/>
          <w:bCs/>
          <w:noProof/>
        </w:rPr>
        <w:t>第二十三条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通知与送达</w:t>
      </w:r>
      <w:r w:rsidR="003563F8">
        <w:rPr>
          <w:noProof/>
        </w:rPr>
        <w:tab/>
      </w:r>
      <w:r w:rsidR="003563F8">
        <w:rPr>
          <w:noProof/>
        </w:rPr>
        <w:fldChar w:fldCharType="begin"/>
      </w:r>
      <w:r w:rsidR="003563F8">
        <w:rPr>
          <w:noProof/>
        </w:rPr>
        <w:instrText xml:space="preserve"> PAGEREF _Toc44321722 \h </w:instrText>
      </w:r>
      <w:r w:rsidR="003563F8">
        <w:rPr>
          <w:noProof/>
        </w:rPr>
        <w:fldChar w:fldCharType="separate"/>
      </w:r>
      <w:r w:rsidR="009F49A5">
        <w:rPr>
          <w:noProof/>
        </w:rPr>
        <w:t>42</w:t>
      </w:r>
      <w:r w:rsidR="003563F8">
        <w:rPr>
          <w:noProof/>
        </w:rPr>
        <w:fldChar w:fldCharType="end"/>
      </w:r>
      <w:r>
        <w:fldChar w:fldCharType="end"/>
      </w:r>
    </w:p>
    <w:p w:rsidR="00F07D82">
      <w:pPr>
        <w:pStyle w:val="TOC1"/>
        <w:rPr>
          <w:rFonts w:asciiTheme="minorHAnsi" w:cstheme="minorBidi" w:eastAsiaTheme="minorEastAsia" w:hAnsiTheme="minorHAnsi"/>
          <w:noProof/>
          <w:sz w:val="21"/>
          <w:szCs w:val="22"/>
        </w:rPr>
      </w:pPr>
      <w:r>
        <w:fldChar w:fldCharType="begin"/>
      </w:r>
      <w:r>
        <w:instrText xml:space="preserve"> HYPERLINK \l "_Toc44321723" </w:instrText>
      </w:r>
      <w:r>
        <w:fldChar w:fldCharType="separate"/>
      </w:r>
      <w:r w:rsidR="003563F8">
        <w:rPr>
          <w:rStyle w:val="Hyperlink"/>
          <w:rFonts w:asciiTheme="minorEastAsia" w:hAnsiTheme="minorEastAsia" w:hint="eastAsia"/>
          <w:bCs/>
          <w:noProof/>
        </w:rPr>
        <w:t>第二十四条</w:t>
      </w:r>
      <w:r w:rsidR="003563F8">
        <w:rPr>
          <w:rStyle w:val="Hyperlink"/>
          <w:rFonts w:asciiTheme="minorEastAsia" w:hAnsiTheme="minorEastAsia"/>
          <w:bCs/>
          <w:noProof/>
        </w:rPr>
        <w:t xml:space="preserve"> </w:t>
      </w:r>
      <w:r w:rsidR="003563F8">
        <w:rPr>
          <w:rStyle w:val="Hyperlink"/>
          <w:rFonts w:asciiTheme="minorEastAsia" w:hAnsiTheme="minorEastAsia" w:hint="eastAsia"/>
          <w:bCs/>
          <w:noProof/>
        </w:rPr>
        <w:t>其他约定事项</w:t>
      </w:r>
      <w:r w:rsidR="003563F8">
        <w:rPr>
          <w:noProof/>
        </w:rPr>
        <w:tab/>
      </w:r>
      <w:r w:rsidR="003563F8">
        <w:rPr>
          <w:noProof/>
        </w:rPr>
        <w:fldChar w:fldCharType="begin"/>
      </w:r>
      <w:r w:rsidR="003563F8">
        <w:rPr>
          <w:noProof/>
        </w:rPr>
        <w:instrText xml:space="preserve"> PAGEREF _Toc44321723 \h </w:instrText>
      </w:r>
      <w:r w:rsidR="003563F8">
        <w:rPr>
          <w:noProof/>
        </w:rPr>
        <w:fldChar w:fldCharType="separate"/>
      </w:r>
      <w:r w:rsidR="009F49A5">
        <w:rPr>
          <w:noProof/>
        </w:rPr>
        <w:t>42</w:t>
      </w:r>
      <w:r w:rsidR="003563F8">
        <w:rPr>
          <w:noProof/>
        </w:rPr>
        <w:fldChar w:fldCharType="end"/>
      </w:r>
      <w:r>
        <w:fldChar w:fldCharType="end"/>
      </w:r>
    </w:p>
    <w:p w:rsidR="00F07D82">
      <w:pPr>
        <w:snapToGrid w:val="0"/>
        <w:spacing w:line="360" w:lineRule="auto"/>
        <w:jc w:val="center"/>
        <w:rPr>
          <w:rFonts w:ascii="宋体" w:hAnsi="宋体"/>
          <w:b/>
          <w:sz w:val="28"/>
          <w:szCs w:val="28"/>
        </w:rPr>
      </w:pPr>
      <w:r>
        <w:rPr>
          <w:rFonts w:ascii="宋体" w:hAnsi="宋体"/>
          <w:b/>
          <w:sz w:val="28"/>
          <w:szCs w:val="28"/>
        </w:rPr>
        <w:fldChar w:fldCharType="end"/>
      </w:r>
    </w:p>
    <w:p w:rsidR="00F07D82">
      <w:pPr>
        <w:adjustRightInd w:val="0"/>
        <w:snapToGrid w:val="0"/>
        <w:spacing w:line="520" w:lineRule="atLeast"/>
        <w:jc w:val="center"/>
        <w:rPr>
          <w:rFonts w:ascii="宋体" w:hAnsi="宋体"/>
          <w:b/>
          <w:sz w:val="28"/>
          <w:szCs w:val="28"/>
        </w:rPr>
      </w:pPr>
      <w:r>
        <w:rPr>
          <w:rFonts w:ascii="宋体" w:hAnsi="宋体"/>
          <w:b/>
          <w:sz w:val="28"/>
          <w:szCs w:val="28"/>
        </w:rPr>
        <w:br w:type="page"/>
      </w:r>
      <w:r>
        <w:rPr>
          <w:rFonts w:ascii="宋体" w:hAnsi="宋体" w:hint="eastAsia"/>
          <w:b/>
          <w:sz w:val="28"/>
          <w:szCs w:val="28"/>
        </w:rPr>
        <w:t>国泰君</w:t>
      </w:r>
      <w:r>
        <w:rPr>
          <w:rFonts w:ascii="宋体" w:hAnsi="宋体" w:hint="eastAsia"/>
          <w:b/>
          <w:sz w:val="28"/>
          <w:szCs w:val="28"/>
        </w:rPr>
        <w:t>安价值</w:t>
      </w:r>
      <w:r>
        <w:rPr>
          <w:rFonts w:ascii="宋体" w:hAnsi="宋体" w:hint="eastAsia"/>
          <w:b/>
          <w:sz w:val="28"/>
          <w:szCs w:val="28"/>
        </w:rPr>
        <w:t>精选混合型发起式证券投资基金托管协议</w:t>
      </w:r>
    </w:p>
    <w:p w:rsidR="00F07D82">
      <w:pPr>
        <w:adjustRightInd w:val="0"/>
        <w:snapToGrid w:val="0"/>
        <w:spacing w:line="520" w:lineRule="atLeast"/>
        <w:jc w:val="center"/>
        <w:rPr>
          <w:rFonts w:ascii="宋体" w:hAnsi="宋体"/>
          <w:b/>
          <w:sz w:val="24"/>
          <w:szCs w:val="24"/>
        </w:rPr>
      </w:pPr>
    </w:p>
    <w:p w:rsidR="00F07D82">
      <w:pPr>
        <w:adjustRightInd w:val="0"/>
        <w:snapToGrid w:val="0"/>
        <w:spacing w:line="520" w:lineRule="atLeast"/>
        <w:jc w:val="center"/>
        <w:rPr>
          <w:rFonts w:ascii="宋体" w:hAnsi="宋体"/>
          <w:b/>
          <w:sz w:val="24"/>
          <w:szCs w:val="24"/>
        </w:rPr>
      </w:pPr>
    </w:p>
    <w:p w:rsidR="00F07D82">
      <w:pPr>
        <w:tabs>
          <w:tab w:pos="5940" w:val="left"/>
        </w:tabs>
        <w:adjustRightInd w:val="0"/>
        <w:snapToGrid w:val="0"/>
        <w:spacing w:line="520" w:lineRule="atLeast"/>
        <w:rPr>
          <w:rFonts w:ascii="宋体" w:hAnsi="宋体"/>
          <w:b/>
          <w:sz w:val="24"/>
          <w:szCs w:val="24"/>
        </w:rPr>
      </w:pPr>
    </w:p>
    <w:p w:rsidR="00F07D82">
      <w:pPr>
        <w:tabs>
          <w:tab w:pos="5940" w:val="left"/>
        </w:tabs>
        <w:adjustRightInd w:val="0"/>
        <w:snapToGrid w:val="0"/>
        <w:spacing w:line="52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基金管理人：</w:t>
      </w:r>
      <w:r>
        <w:rPr>
          <w:rFonts w:asciiTheme="minorEastAsia" w:eastAsiaTheme="minorEastAsia" w:hAnsiTheme="minorEastAsia" w:hint="eastAsia"/>
          <w:sz w:val="24"/>
          <w:szCs w:val="24"/>
        </w:rPr>
        <w:t>上海国泰君安证券资产管理有限公司</w:t>
      </w:r>
      <w:r>
        <w:rPr>
          <w:rFonts w:asciiTheme="minorEastAsia" w:eastAsiaTheme="minorEastAsia" w:hAnsiTheme="minorEastAsia" w:hint="eastAsia"/>
          <w:b/>
          <w:sz w:val="24"/>
          <w:szCs w:val="24"/>
        </w:rPr>
        <w:t xml:space="preserve"> </w:t>
      </w:r>
    </w:p>
    <w:p w:rsidR="00F07D82">
      <w:pPr>
        <w:tabs>
          <w:tab w:pos="5940" w:val="left"/>
        </w:tabs>
        <w:adjustRightInd w:val="0"/>
        <w:snapToGrid w:val="0"/>
        <w:spacing w:line="5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法定代表人：谢乐斌</w:t>
      </w:r>
    </w:p>
    <w:p w:rsidR="00F07D82">
      <w:pPr>
        <w:tabs>
          <w:tab w:pos="5940" w:val="left"/>
        </w:tabs>
        <w:adjustRightInd w:val="0"/>
        <w:snapToGrid w:val="0"/>
        <w:spacing w:line="5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住    所：上海市黄浦区南苏州路381号409A10室</w:t>
      </w:r>
    </w:p>
    <w:p w:rsidR="00F07D82">
      <w:pPr>
        <w:adjustRightInd w:val="0"/>
        <w:snapToGrid w:val="0"/>
        <w:spacing w:line="520" w:lineRule="atLeast"/>
        <w:rPr>
          <w:rFonts w:asciiTheme="minorEastAsia" w:eastAsiaTheme="minorEastAsia" w:hAnsiTheme="minorEastAsia"/>
          <w:sz w:val="24"/>
          <w:szCs w:val="24"/>
        </w:rPr>
      </w:pPr>
    </w:p>
    <w:p w:rsidR="00F07D82">
      <w:pPr>
        <w:tabs>
          <w:tab w:pos="5940" w:val="left"/>
        </w:tabs>
        <w:adjustRightInd w:val="0"/>
        <w:snapToGrid w:val="0"/>
        <w:spacing w:line="520" w:lineRule="atLeast"/>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基金托管人：中信银行股份有限公司 </w:t>
      </w:r>
    </w:p>
    <w:p w:rsidR="00F07D82">
      <w:pPr>
        <w:tabs>
          <w:tab w:pos="5940" w:val="left"/>
        </w:tabs>
        <w:adjustRightInd w:val="0"/>
        <w:snapToGrid w:val="0"/>
        <w:spacing w:line="5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法定代表人/负责人：朱鹤新</w:t>
      </w:r>
    </w:p>
    <w:p w:rsidR="00F07D82">
      <w:pPr>
        <w:tabs>
          <w:tab w:pos="5940" w:val="left"/>
        </w:tabs>
        <w:adjustRightInd w:val="0"/>
        <w:snapToGrid w:val="0"/>
        <w:spacing w:line="5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住    所：北京市朝阳区光华路10号院1号楼6-30层、32-42层</w:t>
      </w:r>
    </w:p>
    <w:p w:rsidR="00F07D82">
      <w:pPr>
        <w:autoSpaceDE w:val="0"/>
        <w:autoSpaceDN w:val="0"/>
        <w:adjustRightInd w:val="0"/>
        <w:snapToGrid w:val="0"/>
        <w:spacing w:line="520" w:lineRule="atLeast"/>
        <w:rPr>
          <w:rFonts w:asciiTheme="minorEastAsia" w:eastAsiaTheme="minorEastAsia" w:hAnsiTheme="minorEastAsia"/>
          <w:sz w:val="24"/>
          <w:szCs w:val="24"/>
        </w:rPr>
      </w:pPr>
    </w:p>
    <w:p w:rsidR="00F07D82">
      <w:pPr>
        <w:autoSpaceDE w:val="0"/>
        <w:autoSpaceDN w:val="0"/>
        <w:adjustRightInd w:val="0"/>
        <w:snapToGrid w:val="0"/>
        <w:spacing w:line="520" w:lineRule="atLeast"/>
        <w:ind w:firstLine="480" w:firstLineChars="200"/>
        <w:rPr>
          <w:rFonts w:asciiTheme="minorEastAsia" w:eastAsiaTheme="minorEastAsia" w:hAnsiTheme="minorEastAsia"/>
          <w:b/>
          <w:sz w:val="24"/>
          <w:szCs w:val="24"/>
        </w:rPr>
      </w:pPr>
      <w:r>
        <w:rPr>
          <w:rFonts w:asciiTheme="minorEastAsia" w:eastAsiaTheme="minorEastAsia" w:hAnsiTheme="minorEastAsia" w:hint="eastAsia"/>
          <w:b/>
          <w:sz w:val="24"/>
          <w:szCs w:val="24"/>
        </w:rPr>
        <w:t>鉴于：</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1．上海国泰君安证券资产管理有限公司系一家依照中国法律合法成立并有效存续的企业法人或其他组织，按照相关法律法规的规定具备担任基金管理人的资格和能力；</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2.中信银行股份有限公司系一家依照中国法律合法成立并有效存续的银行，按照相关法律法规的规定具备担任基金托管人的资格和能力；</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w:t>
      </w:r>
      <w:r>
        <w:rPr>
          <w:rFonts w:hint="eastAsia"/>
        </w:rPr>
        <w:t xml:space="preserve"> </w:t>
      </w:r>
      <w:r>
        <w:rPr>
          <w:rFonts w:asciiTheme="minorEastAsia" w:eastAsiaTheme="minorEastAsia" w:hAnsiTheme="minorEastAsia" w:hint="eastAsia"/>
          <w:szCs w:val="24"/>
        </w:rPr>
        <w:t>上海国泰君安证券资产管理有限公司拟担任国泰君</w:t>
      </w:r>
      <w:r>
        <w:rPr>
          <w:rFonts w:asciiTheme="minorEastAsia" w:eastAsiaTheme="minorEastAsia" w:hAnsiTheme="minorEastAsia" w:hint="eastAsia"/>
          <w:szCs w:val="24"/>
        </w:rPr>
        <w:t>安价值</w:t>
      </w:r>
      <w:r>
        <w:rPr>
          <w:rFonts w:asciiTheme="minorEastAsia" w:eastAsiaTheme="minorEastAsia" w:hAnsiTheme="minorEastAsia" w:hint="eastAsia"/>
          <w:szCs w:val="24"/>
        </w:rPr>
        <w:t>精选混合型发起式证券投资基金的基金管理人，中信银行股份有限公司拟担任国泰君</w:t>
      </w:r>
      <w:r>
        <w:rPr>
          <w:rFonts w:asciiTheme="minorEastAsia" w:eastAsiaTheme="minorEastAsia" w:hAnsiTheme="minorEastAsia" w:hint="eastAsia"/>
          <w:szCs w:val="24"/>
        </w:rPr>
        <w:t>安价值</w:t>
      </w:r>
      <w:r>
        <w:rPr>
          <w:rFonts w:asciiTheme="minorEastAsia" w:eastAsiaTheme="minorEastAsia" w:hAnsiTheme="minorEastAsia" w:hint="eastAsia"/>
          <w:szCs w:val="24"/>
        </w:rPr>
        <w:t>精选混合型发起式证券投资基金的基金托管人；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为明确双方在基金托管中的权利、义务及责任，确保基金财产的安全，保护基金份额持有人的合法权益，依据相关法律法规和监管规定，双方本着平等自愿、诚实守信的原则特签订本协议。</w:t>
      </w:r>
    </w:p>
    <w:p w:rsidR="00F07D82">
      <w:pPr>
        <w:pStyle w:val="BodyTextIndent2"/>
        <w:adjustRightInd w:val="0"/>
        <w:snapToGrid w:val="0"/>
        <w:spacing w:after="0" w:before="0" w:line="520" w:lineRule="atLeast"/>
        <w:ind w:firstLine="541" w:left="0"/>
        <w:rPr>
          <w:rFonts w:asciiTheme="minorEastAsia" w:eastAsiaTheme="minorEastAsia" w:hAnsiTheme="minorEastAsia"/>
          <w:b/>
          <w:bCs/>
          <w:szCs w:val="24"/>
        </w:rPr>
      </w:pPr>
      <w:r>
        <w:rPr>
          <w:rFonts w:asciiTheme="minorEastAsia" w:eastAsiaTheme="minorEastAsia" w:hAnsiTheme="minorEastAsia" w:hint="eastAsia"/>
          <w:b/>
          <w:bCs/>
          <w:szCs w:val="24"/>
        </w:rPr>
        <w:t>释义：</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除非另有约定，《国泰君安价值精选混合型发起式证券投资基金基金合同》(以下简称“基金合同”)中定义的术语在用于本托管协议时应具有相同的含义；若有抵触，应以基金合同为准，并依其条款解释。 </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15" w:name="_Toc44321700"/>
      <w:bookmarkStart w:id="16" w:name="_Toc296551337"/>
      <w:r>
        <w:rPr>
          <w:rFonts w:asciiTheme="minorEastAsia" w:eastAsiaTheme="minorEastAsia" w:hAnsiTheme="minorEastAsia" w:hint="eastAsia"/>
          <w:bCs/>
          <w:color w:val="auto"/>
          <w:szCs w:val="24"/>
        </w:rPr>
        <w:t>第一条 本协议当事人</w:t>
      </w:r>
      <w:bookmarkEnd w:id="15"/>
      <w:bookmarkEnd w:id="16"/>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1.1基金管理人：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名称：上海国泰君安证券资产管理有限公司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住所：上海市黄浦区南苏州路381号409A10室</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法定代表人：谢乐斌</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成立时间：2010年8月27日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批准设立机关：中国证券监督管理委员会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批准设立文号：证监许可【2010】631号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组织形式：有限责任公司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注册资本：20亿元人民币</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经营范围：证券资产管理业务、公</w:t>
      </w:r>
      <w:r>
        <w:rPr>
          <w:rFonts w:asciiTheme="minorEastAsia" w:eastAsiaTheme="minorEastAsia" w:hAnsiTheme="minorEastAsia" w:hint="eastAsia"/>
          <w:szCs w:val="24"/>
        </w:rPr>
        <w:t>募基金</w:t>
      </w:r>
      <w:r>
        <w:rPr>
          <w:rFonts w:asciiTheme="minorEastAsia" w:eastAsiaTheme="minorEastAsia" w:hAnsiTheme="minorEastAsia" w:hint="eastAsia"/>
          <w:szCs w:val="24"/>
        </w:rPr>
        <w:t>管理业务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存续期间：持续经营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1.2基金托管人：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名称：中信银行股份有限公司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住所：北京市朝阳区光华路10号院1号楼6-30层、32-42层</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法定代表人：朱鹤新</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成立时间：1987年4月20日</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批准设立文号：国办函[1987]14号</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基金托管业务批准文号：证</w:t>
      </w:r>
      <w:r>
        <w:rPr>
          <w:rFonts w:asciiTheme="minorEastAsia" w:eastAsiaTheme="minorEastAsia" w:hAnsiTheme="minorEastAsia" w:hint="eastAsia"/>
          <w:szCs w:val="24"/>
        </w:rPr>
        <w:t>监基金字</w:t>
      </w:r>
      <w:r>
        <w:rPr>
          <w:rFonts w:asciiTheme="minorEastAsia" w:eastAsiaTheme="minorEastAsia" w:hAnsiTheme="minorEastAsia" w:hint="eastAsia"/>
          <w:szCs w:val="24"/>
        </w:rPr>
        <w:t>[2004]125号</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组织形式：股份有限公司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注册资本：489.35亿元人民币</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存续期间：持续经营</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17" w:name="_Toc296551338"/>
      <w:bookmarkStart w:id="18" w:name="_Toc44321701"/>
      <w:r>
        <w:rPr>
          <w:rFonts w:asciiTheme="minorEastAsia" w:eastAsiaTheme="minorEastAsia" w:hAnsiTheme="minorEastAsia" w:hint="eastAsia"/>
          <w:bCs/>
          <w:color w:val="auto"/>
          <w:szCs w:val="24"/>
        </w:rPr>
        <w:t>第二条 本协议的依据、目的和原则</w:t>
      </w:r>
      <w:bookmarkEnd w:id="17"/>
      <w:bookmarkEnd w:id="18"/>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2.1本协议的依据</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订立本协议的依据是《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w:t>
      </w:r>
      <w:r>
        <w:rPr>
          <w:rFonts w:asciiTheme="minorEastAsia" w:eastAsiaTheme="minorEastAsia" w:hAnsiTheme="minorEastAsia" w:hint="eastAsia"/>
          <w:bCs/>
          <w:szCs w:val="24"/>
        </w:rPr>
        <w:t>《公开募集开放</w:t>
      </w:r>
      <w:r>
        <w:rPr>
          <w:rFonts w:asciiTheme="minorEastAsia" w:eastAsiaTheme="minorEastAsia" w:hAnsiTheme="minorEastAsia" w:hint="eastAsia"/>
          <w:bCs/>
          <w:szCs w:val="24"/>
        </w:rPr>
        <w:t>式证券投资基金流动性风险管理规定》（以下简称“《流动性风险管理规定》”）、</w:t>
      </w:r>
      <w:r>
        <w:rPr>
          <w:rFonts w:asciiTheme="minorEastAsia" w:eastAsiaTheme="minorEastAsia" w:hAnsiTheme="minorEastAsia" w:hint="eastAsia"/>
          <w:szCs w:val="24"/>
        </w:rPr>
        <w:t>《证券投资基金信息披露内容与格式准则第7号〈托管协议的内容与格式〉》、《国泰君安价值精选混合型发起式证券投资基金基金合同》（以下简称“基金合同”）及其他有关规定。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2.2本协议的目的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2.3本协议的原则</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基金管理人和基金托管人本着平等自愿、诚实信用、充分保护基金份额持有人合法权益的原则，经协商一致，签订本协议。</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19" w:name="_Toc44321702"/>
      <w:bookmarkStart w:id="20" w:name="_Toc296551339"/>
      <w:r>
        <w:rPr>
          <w:rFonts w:asciiTheme="minorEastAsia" w:eastAsiaTheme="minorEastAsia" w:hAnsiTheme="minorEastAsia" w:hint="eastAsia"/>
          <w:bCs/>
          <w:color w:val="auto"/>
          <w:szCs w:val="24"/>
        </w:rPr>
        <w:t>第三条 基金托管人对基金管理人的业务监督和核查</w:t>
      </w:r>
      <w:bookmarkEnd w:id="19"/>
      <w:bookmarkEnd w:id="20"/>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3.1基金托管人对基金管理人的投资行为行使监督权</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3.1.1基金托管人根据有关法律法规的规定和基金合同的约定，对下述基金投资范围、投资对象进行监督。本基金将投资于以下金融工具：</w:t>
      </w:r>
    </w:p>
    <w:p w:rsidR="00F07D82">
      <w:pPr>
        <w:adjustRightInd w:val="0"/>
        <w:snapToGrid w:val="0"/>
        <w:spacing w:line="520" w:lineRule="atLeast"/>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基金的投资范围包括内地依法发行上市的股票（含主板、创业板及其他依法发行、上市的股票、存托凭证）、内地与香港股票市场交易互联互通机制允许买卖的香港证券市场股票（以下简称“港股通股票”）、债券（包括国债、央行票据、地方政府债、金融债、企业债、公司债、公开发行的次级债、中期票据、短期融资</w:t>
      </w:r>
      <w:r>
        <w:rPr>
          <w:rFonts w:asciiTheme="minorEastAsia" w:eastAsiaTheme="minorEastAsia" w:hAnsiTheme="minorEastAsia" w:hint="eastAsia"/>
          <w:sz w:val="24"/>
          <w:szCs w:val="24"/>
        </w:rPr>
        <w:t>券</w:t>
      </w:r>
      <w:r>
        <w:rPr>
          <w:rFonts w:asciiTheme="minorEastAsia" w:eastAsiaTheme="minorEastAsia" w:hAnsiTheme="minorEastAsia" w:hint="eastAsia"/>
          <w:sz w:val="24"/>
          <w:szCs w:val="24"/>
        </w:rPr>
        <w:t>、政府支持机构债、政府支持债券、可转换债券、可交换债券、超短期融资</w:t>
      </w:r>
      <w:r>
        <w:rPr>
          <w:rFonts w:asciiTheme="minorEastAsia" w:eastAsiaTheme="minorEastAsia" w:hAnsiTheme="minorEastAsia" w:hint="eastAsia"/>
          <w:sz w:val="24"/>
          <w:szCs w:val="24"/>
        </w:rPr>
        <w:t>券</w:t>
      </w:r>
      <w:r>
        <w:rPr>
          <w:rFonts w:asciiTheme="minorEastAsia" w:eastAsiaTheme="minorEastAsia" w:hAnsiTheme="minorEastAsia" w:hint="eastAsia"/>
          <w:sz w:val="24"/>
          <w:szCs w:val="24"/>
        </w:rPr>
        <w:t>等）、资产支持证券、债券回购、银行存款、同业存单、货币市场工具、股指期货、国债期货、股票期权及法律法规或中国证监会允许基金投资的其他金融工具。</w:t>
      </w:r>
    </w:p>
    <w:p w:rsidR="00F07D82">
      <w:pPr>
        <w:adjustRightInd w:val="0"/>
        <w:snapToGrid w:val="0"/>
        <w:spacing w:line="520" w:lineRule="atLeast"/>
        <w:ind w:firstLine="480"/>
        <w:rPr>
          <w:rFonts w:asciiTheme="minorEastAsia" w:eastAsiaTheme="minorEastAsia" w:hAnsiTheme="minorEastAsia"/>
          <w:sz w:val="24"/>
          <w:szCs w:val="24"/>
        </w:rPr>
      </w:pPr>
      <w:r>
        <w:rPr>
          <w:rFonts w:hint="eastAsia"/>
          <w:sz w:val="24"/>
        </w:rPr>
        <w:t>本基金可根据法律法规的规定参与融资业务。</w:t>
      </w:r>
    </w:p>
    <w:p w:rsidR="00F07D82">
      <w:pPr>
        <w:adjustRightInd w:val="0"/>
        <w:snapToGrid w:val="0"/>
        <w:spacing w:line="520" w:lineRule="atLeast"/>
        <w:ind w:firstLine="48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 xml:space="preserve">如法律法规或监管机构以后允许基金投资其他品种，基金管理人在履行适当程序后，本基金可以将其纳入投资范围。                                                          </w:t>
      </w:r>
    </w:p>
    <w:p w:rsidR="00F07D82">
      <w:pPr>
        <w:adjustRightInd w:val="0"/>
        <w:snapToGrid w:val="0"/>
        <w:spacing w:line="520" w:lineRule="atLeast"/>
        <w:ind w:firstLine="480"/>
        <w:rPr>
          <w:rFonts w:asciiTheme="minorEastAsia" w:eastAsiaTheme="minorEastAsia" w:hAnsiTheme="minorEastAsia"/>
          <w:sz w:val="24"/>
          <w:szCs w:val="24"/>
        </w:rPr>
      </w:pPr>
      <w:r>
        <w:rPr>
          <w:sz w:val="24"/>
        </w:rPr>
        <w:t>基金的投资组合比例为：</w:t>
      </w:r>
      <w:r>
        <w:rPr>
          <w:rFonts w:asciiTheme="minorEastAsia" w:eastAsiaTheme="minorEastAsia" w:hAnsiTheme="minorEastAsia" w:hint="eastAsia"/>
          <w:sz w:val="24"/>
          <w:szCs w:val="24"/>
        </w:rPr>
        <w:t>本基金股票资产占基金资产的比例为</w:t>
      </w:r>
      <w:r w:rsidR="00E43048">
        <w:rPr>
          <w:rFonts w:asciiTheme="minorEastAsia" w:eastAsiaTheme="minorEastAsia" w:hAnsiTheme="minorEastAsia"/>
          <w:sz w:val="24"/>
          <w:szCs w:val="24"/>
        </w:rPr>
        <w:t>60</w:t>
      </w:r>
      <w:r>
        <w:rPr>
          <w:rFonts w:asciiTheme="minorEastAsia" w:eastAsiaTheme="minorEastAsia" w:hAnsiTheme="minorEastAsia" w:hint="eastAsia"/>
          <w:sz w:val="24"/>
          <w:szCs w:val="24"/>
        </w:rPr>
        <w:t>%-95%（其中投资于港股</w:t>
      </w:r>
      <w:r>
        <w:rPr>
          <w:rFonts w:asciiTheme="minorEastAsia" w:eastAsiaTheme="minorEastAsia" w:hAnsiTheme="minorEastAsia" w:hint="eastAsia"/>
          <w:sz w:val="24"/>
          <w:szCs w:val="24"/>
        </w:rPr>
        <w:t>通股票</w:t>
      </w:r>
      <w:r>
        <w:rPr>
          <w:rFonts w:asciiTheme="minorEastAsia" w:eastAsiaTheme="minorEastAsia" w:hAnsiTheme="minorEastAsia" w:hint="eastAsia"/>
          <w:sz w:val="24"/>
          <w:szCs w:val="24"/>
        </w:rPr>
        <w:t>不超过股票资产的40%）；每个交易日日终，扣除股指期货、国债期货、股票期权合约需缴纳的交易保证金后，现金或到期日在一年以内的政府债券</w:t>
      </w:r>
      <w:r>
        <w:rPr>
          <w:rFonts w:asciiTheme="minorEastAsia" w:eastAsiaTheme="minorEastAsia" w:hAnsiTheme="minorEastAsia" w:hint="eastAsia"/>
          <w:sz w:val="24"/>
          <w:szCs w:val="24"/>
        </w:rPr>
        <w:t xml:space="preserve">不低于基金资产净值的5%，现金不包括结算备付金、存出保证金、应收申购款等。股指期货、国债期货、股票期权及其他金融工具的投资比例依照法律法规或监管机构的规定执行。                                                                                                                                  </w:t>
      </w:r>
    </w:p>
    <w:p w:rsidR="00F07D82">
      <w:pPr>
        <w:adjustRightInd w:val="0"/>
        <w:snapToGrid w:val="0"/>
        <w:spacing w:line="5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3.1.2基金托管人根据有关法律法规的规定及基金合同的约定对下述基金投融资比例进行监督：    </w:t>
      </w:r>
    </w:p>
    <w:p w:rsidR="00F07D82">
      <w:pPr>
        <w:adjustRightInd w:val="0"/>
        <w:snapToGrid w:val="0"/>
        <w:spacing w:line="520" w:lineRule="atLeast"/>
        <w:ind w:firstLine="480" w:firstLineChars="200"/>
        <w:rPr>
          <w:rFonts w:asciiTheme="minorEastAsia" w:eastAsiaTheme="minorEastAsia" w:hAnsiTheme="minorEastAsia"/>
          <w:sz w:val="24"/>
          <w:szCs w:val="24"/>
        </w:rPr>
      </w:pPr>
      <w:bookmarkStart w:id="21" w:name="_Hlk101544380"/>
      <w:r>
        <w:rPr>
          <w:rFonts w:asciiTheme="minorEastAsia" w:eastAsiaTheme="minorEastAsia" w:hAnsiTheme="minorEastAsia" w:hint="eastAsia"/>
          <w:sz w:val="24"/>
          <w:szCs w:val="24"/>
        </w:rPr>
        <w:t>（1）本基金股票资产占基金资产的比例为</w:t>
      </w:r>
      <w:r w:rsidR="00E43048">
        <w:rPr>
          <w:rFonts w:asciiTheme="minorEastAsia" w:eastAsiaTheme="minorEastAsia" w:hAnsiTheme="minorEastAsia"/>
          <w:sz w:val="24"/>
          <w:szCs w:val="24"/>
        </w:rPr>
        <w:t>60</w:t>
      </w:r>
      <w:r>
        <w:rPr>
          <w:rFonts w:asciiTheme="minorEastAsia" w:eastAsiaTheme="minorEastAsia" w:hAnsiTheme="minorEastAsia" w:hint="eastAsia"/>
          <w:sz w:val="24"/>
          <w:szCs w:val="24"/>
        </w:rPr>
        <w:t>%-95%（其中投资于港股</w:t>
      </w:r>
      <w:r>
        <w:rPr>
          <w:rFonts w:asciiTheme="minorEastAsia" w:eastAsiaTheme="minorEastAsia" w:hAnsiTheme="minorEastAsia" w:hint="eastAsia"/>
          <w:sz w:val="24"/>
          <w:szCs w:val="24"/>
        </w:rPr>
        <w:t>通股票</w:t>
      </w:r>
      <w:r>
        <w:rPr>
          <w:rFonts w:asciiTheme="minorEastAsia" w:eastAsiaTheme="minorEastAsia" w:hAnsiTheme="minorEastAsia" w:hint="eastAsia"/>
          <w:sz w:val="24"/>
          <w:szCs w:val="24"/>
        </w:rPr>
        <w:t>不超过股票资产的40%）；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2）每个交易日日终，扣除股指期货、国债期货、股票期权合约需缴纳的交易保证金后，保持不低于基金资产净值5％的现金或者到期日在一年以内的政府债券，其中现金不包括结算备付金、存出保证金和应收申购款等；</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（3）本基金持有一家公司发行的证券（同一家公司在境内和香港同时上市的A+H股合计计算），其市值不超过基金资产净值的10％；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4）本基金管理人管理的全部基金持有一家公司发行的证券（同一家公司在境内和香港同时上市的A+H股合计计算），不超过该证券的10％，完全按照有关指数的构成比例进行证券投资的基金品种可以不受此条款规定的比例限制；</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（5）本基金投资于同一原始权益人的各类资产支持证券的比例，不得超过基金资产净值的10％；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（6）本基金持有的全部资产支持证券，其市值不得超过基金资产净值的20％；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（7）本基金持有的同一(指同一信用级别)资产支持证券的比例，不得超过该资产支持证券规模的10％；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（8）本基金管理人管理的全部基金投资于同一原始权益人的各类资产支持证券，不得超过其各类资产支持证券合计规模的10％；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（10）基金财产参与股票发行申购，本基金所申报的金额不超过本基金的总资产，本基金所申报的股票数量不超过拟发行股票公司本次发行股票的总量；</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（11）本基金进入全国银行间同业市场进行债券回购的资金余额不得超过基金</w:t>
      </w:r>
      <w:r>
        <w:rPr>
          <w:rFonts w:asciiTheme="minorEastAsia" w:eastAsiaTheme="minorEastAsia" w:hAnsiTheme="minorEastAsia" w:hint="eastAsia"/>
          <w:sz w:val="24"/>
          <w:szCs w:val="24"/>
        </w:rPr>
        <w:t>资产净值的40%，进入全国银行间同业市场进行债券回购的最长期限为1年，债券回购到期后不得展期；</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（14）本基金与私募类</w:t>
      </w:r>
      <w:r>
        <w:rPr>
          <w:rFonts w:asciiTheme="minorEastAsia" w:eastAsiaTheme="minorEastAsia" w:hAnsiTheme="minorEastAsia" w:hint="eastAsia"/>
          <w:sz w:val="24"/>
          <w:szCs w:val="24"/>
        </w:rPr>
        <w:t>证券资管产品</w:t>
      </w:r>
      <w:r>
        <w:rPr>
          <w:rFonts w:asciiTheme="minorEastAsia" w:eastAsiaTheme="minorEastAsia" w:hAnsiTheme="minorEastAsia" w:hint="eastAsia"/>
          <w:sz w:val="24"/>
          <w:szCs w:val="24"/>
        </w:rPr>
        <w:t>及中国证监会认定的其他主体为交易对手开展逆回购交易的，可接受质押品的资质要求应当与基金合同约定的投资范围保持一致；</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（15）本基金资产总值不超过基金资产净值的140%；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（16）本基金参与股指期货、国债期货交易的，应当遵守下列要求：</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1）本基金在任何交易日日终，持有的买入股指期货合约价值不得超过基金资产净值的10%；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2）在任何交易日日终，持有的买入国债期货和股指期货合约价值与有价证券市值之和，不得超过基金资产净值的95%，其中，有价证券指股票、债券、资产支持证券、买入返售金融资产（不含质押式回购）等；</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3）在任何交易日终，持有的卖出股指期货合约价值不得超过基金持有的股票总市值的20%；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4）本基金所持有的股票市值和买入、卖出股指期货合约价值，合计（轧差计算）应当符合基金合同关于股票投资比例的有关约定；</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5）在任何交易日内交易(不包括平仓)的股指期货合约的成交金额不得超过上一交易日基金资产净值的20%；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6）在任何交易日日终，本基金持有的买入国债期货合约价值，不得超过基金</w:t>
      </w:r>
      <w:r>
        <w:rPr>
          <w:rFonts w:asciiTheme="minorEastAsia" w:eastAsiaTheme="minorEastAsia" w:hAnsiTheme="minorEastAsia" w:hint="eastAsia"/>
          <w:sz w:val="24"/>
          <w:szCs w:val="24"/>
        </w:rPr>
        <w:t>资产净值的15%；</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7）本基金在任何交易日日终，持有的卖出国债期货合约价值不得超过基金持有的债券总市值的30%；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8）本基金在任何交易日内交易（不包括平仓）的国债期货合约的成交金额不得超过上一交易日基金资产净值的30%；</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9）本基金所持有的债券市值和买入、卖出国债期货合约价值，合计（轧差计算）应当符合基金合同关于债券投资比例的有关约定；</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（17）本基金参与股票期权交易的，应当符合下列要求：</w:t>
      </w:r>
    </w:p>
    <w:p w:rsidR="00F07D82">
      <w:pPr>
        <w:adjustRightInd w:val="0"/>
        <w:snapToGrid w:val="0"/>
        <w:spacing w:line="5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基金因未平仓的期权合约支付和收取的权利金总额不得超过基金资产净值的10%；开仓卖出认购期权的，应持有足额标的证券；开仓卖出认沽期权的，应持有合约行权所需的全额现金或交易所规则认可的可冲抵期权保证金的现金等价物；未平仓的期权合约面值不得超过基金资产净值的20%。其中，合约面值按照行权价乘以合约乘数计算；</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（18）基金参与融资业务的，在任何交易日日终，持有的融资买入股票与其他有价证券市值之和，不得超过基金资产净值的95%；</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（19）本基金投资存托凭证的比例限制依照境内上市交易的股票执行，与境内上市交易的股票合并计算；</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（20）法律法规及中国证监会规定的和《基金合同》约定的其他投资限制。</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除上述（2）、（9）、（10）、（13）、（14）情形之外，因证券市场波动、证券发行人合并、基金规模变动等基金管理人之外的因素致使基金投资比例不符合上述规定投资比例的，基金管理人应当在10个交易日内进行调整，但中国证监会规定的特殊情形除外。</w:t>
      </w:r>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F07D82">
      <w:pPr>
        <w:adjustRightInd w:val="0"/>
        <w:snapToGrid w:val="0"/>
        <w:spacing w:line="520" w:lineRule="atLeast"/>
        <w:ind w:firstLine="480" w:firstLineChars="200"/>
        <w:rPr>
          <w:rFonts w:asciiTheme="minorEastAsia" w:eastAsiaTheme="minorEastAsia" w:hAnsiTheme="minorEastAsia"/>
          <w:color w:themeColor="text1" w:val="000000"/>
          <w:sz w:val="24"/>
          <w:szCs w:val="24"/>
        </w:rPr>
      </w:pPr>
      <w:r>
        <w:rPr>
          <w:rFonts w:asciiTheme="minorEastAsia" w:eastAsiaTheme="minorEastAsia" w:hAnsiTheme="minorEastAsia" w:hint="eastAsia"/>
          <w:sz w:val="24"/>
          <w:szCs w:val="24"/>
        </w:rPr>
        <w:t>法律法规或监管部门取消或变更上述限制，如适用于本基金，基金管理人在履行适当程序后，则本基金投资不再受相关限制或按变更后的规定执行。</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End w:id="21"/>
      <w:r>
        <w:rPr>
          <w:rFonts w:asciiTheme="minorEastAsia" w:eastAsiaTheme="minorEastAsia" w:hAnsiTheme="minorEastAsia" w:hint="eastAsia"/>
          <w:szCs w:val="24"/>
        </w:rPr>
        <w:t>3.1.3基金托管人根据有关法律法规的规定及基金合同的约定对下述基金投资</w:t>
      </w:r>
      <w:r>
        <w:rPr>
          <w:rFonts w:asciiTheme="minorEastAsia" w:eastAsiaTheme="minorEastAsia" w:hAnsiTheme="minorEastAsia" w:hint="eastAsia"/>
          <w:szCs w:val="24"/>
        </w:rPr>
        <w:t>禁止行为进行监督：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根据法律法规的规定及基金合同的约定，本基金禁止从事下列行为：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22" w:name="_Hlk101544450"/>
      <w:r>
        <w:rPr>
          <w:rFonts w:asciiTheme="minorEastAsia" w:eastAsiaTheme="minorEastAsia" w:hAnsiTheme="minorEastAsia" w:hint="eastAsia"/>
          <w:szCs w:val="24"/>
        </w:rPr>
        <w:t>（1）承销证券；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（2）违反规定向他人贷款或者提供担保；</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（3）从事承担无限责任的投资；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（4）买卖其他基金份额，但是中国证监会另有规定的除外；</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（5）向其基金管理人、基金托管人出资；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（6）从事内幕交易、操纵证券交易价格及其他不正当的证券交易活动；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（7）法律、行政法规和中国证监会规定禁止的其他活动。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法律法规或监管部门取消上述禁止性规定，如适用于本基金，基金管理人在履行适当程序后，则本基金投资不再受相关限制。</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End w:id="22"/>
      <w:r>
        <w:rPr>
          <w:rFonts w:asciiTheme="minorEastAsia" w:eastAsiaTheme="minorEastAsia" w:hAnsiTheme="minorEastAsia" w:hint="eastAsia"/>
          <w:szCs w:val="24"/>
        </w:rPr>
        <w:t>3.1.4基金托管人依据有关法律法规的规定和基金合同的约定对于基金关联投资限制进行监督：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3.1.5基金托管人依据有关法律法规的规定和基金合同的约定对基金管理人参与银行间债券市场进行监督：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（1）基金托管人对于基金管理人参与银行间债券市场交易时是否按交易对手名单进行</w:t>
      </w:r>
      <w:r>
        <w:rPr>
          <w:rFonts w:asciiTheme="minorEastAsia" w:eastAsiaTheme="minorEastAsia" w:hAnsiTheme="minorEastAsia"/>
          <w:szCs w:val="24"/>
        </w:rPr>
        <w:t>交易</w:t>
      </w:r>
      <w:r>
        <w:rPr>
          <w:rFonts w:asciiTheme="minorEastAsia" w:eastAsiaTheme="minorEastAsia" w:hAnsiTheme="minorEastAsia" w:hint="eastAsia"/>
          <w:szCs w:val="24"/>
        </w:rPr>
        <w:t>进行监督。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w:t>
      </w:r>
      <w:r w:rsidRPr="005A4D8F">
        <w:rPr>
          <w:rFonts w:asciiTheme="minorEastAsia" w:eastAsiaTheme="minorEastAsia" w:hAnsiTheme="minorEastAsia" w:hint="eastAsia"/>
          <w:szCs w:val="24"/>
        </w:rPr>
        <w:t>基金托管人在收到名单后</w:t>
      </w:r>
      <w:r w:rsidRPr="005A4D8F">
        <w:rPr>
          <w:rFonts w:asciiTheme="minorEastAsia" w:eastAsiaTheme="minorEastAsia" w:hAnsiTheme="minorEastAsia"/>
          <w:szCs w:val="24"/>
        </w:rPr>
        <w:t>2</w:t>
      </w:r>
      <w:r w:rsidRPr="005A4D8F">
        <w:rPr>
          <w:rFonts w:asciiTheme="minorEastAsia" w:eastAsiaTheme="minorEastAsia" w:hAnsiTheme="minorEastAsia" w:hint="eastAsia"/>
          <w:szCs w:val="24"/>
        </w:rPr>
        <w:t>个工作日内回函确认收到该名单。基金托管人向基金管理人发出回函之后，名单开始生效。基金管理人应定期或不定期对银行间债券市场现券及回购交易对手的名单进行更新，名单中增加或减少银行间债券市场交易对手时须及时通知基金托管人，基金托管人于</w:t>
      </w:r>
      <w:r w:rsidRPr="005A4D8F">
        <w:rPr>
          <w:rFonts w:asciiTheme="minorEastAsia" w:eastAsiaTheme="minorEastAsia" w:hAnsiTheme="minorEastAsia"/>
          <w:szCs w:val="24"/>
        </w:rPr>
        <w:t>2</w:t>
      </w:r>
      <w:r w:rsidRPr="005A4D8F">
        <w:rPr>
          <w:rFonts w:asciiTheme="minorEastAsia" w:eastAsiaTheme="minorEastAsia" w:hAnsiTheme="minorEastAsia" w:hint="eastAsia"/>
          <w:szCs w:val="24"/>
        </w:rPr>
        <w:t>个工作日内回函确认收到后，对名单进行更新。基金托管人发出回函之后，被确认调整的名单开始生效</w:t>
      </w:r>
      <w:r>
        <w:rPr>
          <w:rFonts w:asciiTheme="minorEastAsia" w:eastAsiaTheme="minorEastAsia" w:hAnsiTheme="minorEastAsia" w:hint="eastAsia"/>
          <w:szCs w:val="24"/>
        </w:rPr>
        <w:t>，新名单生效前已与本次剔除的交易对手所进行但尚未结算的交易，仍应按照双方原定协议进行结算。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（2）基金托管人对于基金管理人参与银行间债券市场交易的交易方式的控制</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（3）基金管理人有责任控制交易对手的资信风险。</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3.1.6基金托管人对基金投资流通受限证券的监督：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r>
        <w:rPr>
          <w:rFonts w:asciiTheme="minorEastAsia" w:eastAsiaTheme="minorEastAsia" w:hAnsiTheme="minorEastAsia" w:hint="eastAsia"/>
          <w:szCs w:val="24"/>
        </w:rPr>
        <w:t>券</w:t>
      </w:r>
      <w:r>
        <w:rPr>
          <w:rFonts w:asciiTheme="minorEastAsia" w:eastAsiaTheme="minorEastAsia" w:hAnsiTheme="minorEastAsia" w:hint="eastAsia"/>
          <w:szCs w:val="24"/>
        </w:rPr>
        <w:t>等流通受限证券。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基金管理人应至少</w:t>
      </w:r>
      <w:r>
        <w:rPr>
          <w:rFonts w:asciiTheme="minorEastAsia" w:eastAsiaTheme="minorEastAsia" w:hAnsiTheme="minorEastAsia" w:hint="eastAsia"/>
          <w:szCs w:val="24"/>
        </w:rPr>
        <w:t>于首次</w:t>
      </w:r>
      <w:r>
        <w:rPr>
          <w:rFonts w:asciiTheme="minorEastAsia" w:eastAsiaTheme="minorEastAsia" w:hAnsiTheme="minorEastAsia" w:hint="eastAsia"/>
          <w:szCs w:val="24"/>
        </w:rPr>
        <w:t>执行投资指令之前2个工作日将上述资料书面发至基金托管人，保证基金托管人有足够的时间进行审核。基金托管人应在收到上述资料后2个工作日内，以书面或其他双方认可的方式确认收到上述资料。</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（3）基金投资流通受限证券前，基金管理人应向基金托管人提供符合法律法规要求的有关必要书面信息。基金管理人应保证上述信息的真实、完整，并应至少</w:t>
      </w:r>
      <w:r>
        <w:rPr>
          <w:rFonts w:asciiTheme="minorEastAsia" w:eastAsiaTheme="minorEastAsia" w:hAnsiTheme="minorEastAsia" w:hint="eastAsia"/>
          <w:szCs w:val="24"/>
        </w:rPr>
        <w:t>于拟执行</w:t>
      </w:r>
      <w:r>
        <w:rPr>
          <w:rFonts w:asciiTheme="minorEastAsia" w:eastAsiaTheme="minorEastAsia" w:hAnsiTheme="minorEastAsia" w:hint="eastAsia"/>
          <w:szCs w:val="24"/>
        </w:rPr>
        <w:t>投资指令前将上述信息书面发至基金托管人。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w:t>
      </w:r>
      <w:r>
        <w:rPr>
          <w:rFonts w:asciiTheme="minorEastAsia" w:eastAsiaTheme="minorEastAsia" w:hAnsiTheme="minorEastAsia"/>
          <w:szCs w:val="24"/>
        </w:rPr>
        <w:t>调整</w:t>
      </w:r>
      <w:r>
        <w:rPr>
          <w:rFonts w:asciiTheme="minorEastAsia" w:eastAsiaTheme="minorEastAsia" w:hAnsiTheme="minorEastAsia" w:hint="eastAsia"/>
          <w:szCs w:val="24"/>
        </w:rPr>
        <w:t>，否则，基金托管人有权拒绝执行有关指令。因拒绝执行该指令造成基金财产损失的，基金托管人不承担任何责任，并有权报告中国证监会。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rsidR="00F07D82">
      <w:pPr>
        <w:pStyle w:val="BodyTextIndent2"/>
        <w:adjustRightInd w:val="0"/>
        <w:snapToGrid w:val="0"/>
        <w:spacing w:after="0" w:before="0" w:line="520" w:lineRule="atLeast"/>
        <w:rPr>
          <w:rFonts w:asciiTheme="minorEastAsia" w:eastAsiaTheme="minorEastAsia" w:hAnsiTheme="minorEastAsia"/>
          <w:szCs w:val="24"/>
        </w:rPr>
      </w:pPr>
      <w:r>
        <w:rPr>
          <w:rFonts w:asciiTheme="minorEastAsia" w:eastAsiaTheme="minorEastAsia" w:hAnsiTheme="minorEastAsia" w:hint="eastAsia"/>
          <w:szCs w:val="24"/>
        </w:rPr>
        <w:t>3.1.7基金托管人对基金投资中期票据的监督：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w:t>
      </w:r>
      <w:r>
        <w:rPr>
          <w:rFonts w:asciiTheme="minorEastAsia" w:eastAsiaTheme="minorEastAsia" w:hAnsiTheme="minorEastAsia" w:hint="eastAsia"/>
          <w:szCs w:val="24"/>
        </w:rPr>
        <w:t>中期票据的额度和比例进行监督。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（2）如未来有关监管部门发布的法律法规对证券投资基金投资中期票据另有规定的，从其规定。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规定和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3.1.</w:t>
      </w:r>
      <w:r>
        <w:rPr>
          <w:rFonts w:asciiTheme="minorEastAsia" w:eastAsiaTheme="minorEastAsia" w:hAnsiTheme="minorEastAsia"/>
          <w:szCs w:val="24"/>
        </w:rPr>
        <w:t>8</w:t>
      </w:r>
      <w:r>
        <w:rPr>
          <w:rFonts w:asciiTheme="minorEastAsia" w:eastAsiaTheme="minorEastAsia" w:hAnsiTheme="minorEastAsia" w:hint="eastAsia"/>
          <w:szCs w:val="24"/>
        </w:rPr>
        <w:t>基金托管人根据有关法律法规的规定及基金合同的约定，对基金管理人选择存款银行进行监督：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本基金投资银行存款应符合如下规定：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（1）基金管理人、基金托管人应当与存款银行建立定期对账机制，确保基金银行存款业务账目及核算的真实、准确。</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（3）基金托管人应对基金银行存款业务进行监督与核查，审查、复核相关协议、账户资料、投资指令、存款证实书等有关文件，履行托管职责。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（4）基金管理人与基金托管人在开展基金存款业务时，应严格遵守《基金法》、《运作办法》等有关法律法规，以及国家有关账户管理、利率管理、支付结算等的</w:t>
      </w:r>
      <w:r>
        <w:rPr>
          <w:rFonts w:asciiTheme="minorEastAsia" w:eastAsiaTheme="minorEastAsia" w:hAnsiTheme="minorEastAsia" w:hint="eastAsia"/>
          <w:szCs w:val="24"/>
        </w:rPr>
        <w:t>各项规定。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3.2基金托管人对基金管理人业务进行监督和核查的有关措施：</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3.2.1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3.2.3在限期内，基金托管人有权随时对通知事项进行复查，督促基金管理人改正。基金管理人对基金托管人通知的违规事项未能在限期内纠正的，基金托管人应报告中国证监会。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3.2.4</w:t>
      </w:r>
      <w:r w:rsidRPr="005A4D8F">
        <w:rPr>
          <w:rFonts w:asciiTheme="minorEastAsia" w:eastAsiaTheme="minorEastAsia" w:hAnsiTheme="minorEastAsia" w:hint="eastAsia"/>
          <w:szCs w:val="24"/>
        </w:rPr>
        <w:t>基金托管人发现基金管理人的投资指令违</w:t>
      </w:r>
      <w:r w:rsidR="00F53C5D">
        <w:rPr>
          <w:rFonts w:asciiTheme="minorEastAsia" w:eastAsiaTheme="minorEastAsia" w:hAnsiTheme="minorEastAsia" w:hint="eastAsia"/>
          <w:szCs w:val="24"/>
        </w:rPr>
        <w:t>反</w:t>
      </w:r>
      <w:r w:rsidRPr="005A4D8F">
        <w:rPr>
          <w:rFonts w:asciiTheme="minorEastAsia" w:eastAsiaTheme="minorEastAsia" w:hAnsiTheme="minorEastAsia" w:hint="eastAsia"/>
          <w:szCs w:val="24"/>
        </w:rPr>
        <w:t>有关法律法规或者违反基金合同约定的，应当拒绝执行，立即通知基金管理人，并及时向中国证监会报告，持续跟进基金管理人的后续处理，督促基金管理人依法履行披露义务。基金管理人的上述违规失信行为给基金财产或者基金份额持有人造成损害的，基金托管人应当督促基金管理人及时予以赔偿</w:t>
      </w:r>
      <w:r>
        <w:rPr>
          <w:rFonts w:asciiTheme="minorEastAsia" w:eastAsiaTheme="minorEastAsia" w:hAnsiTheme="minorEastAsia" w:hint="eastAsia"/>
          <w:szCs w:val="24"/>
        </w:rPr>
        <w:t>。</w:t>
      </w:r>
      <w:r w:rsidRPr="005A4D8F">
        <w:rPr>
          <w:rFonts w:asciiTheme="minorEastAsia" w:eastAsiaTheme="minorEastAsia" w:hAnsiTheme="minorEastAsia" w:hint="eastAsia"/>
          <w:szCs w:val="24"/>
        </w:rPr>
        <w:t>若给基金托管人造成损失，基金托管人有权向基金管理人追偿由此造成的全部损失。</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3.2.7基金托管人发现基金管理人有重大违规行为，应立即报告中国证监会，同时通知基金管理人限期纠正。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szCs w:val="24"/>
        </w:rPr>
        <w:t>3.2.9</w:t>
      </w:r>
      <w:r>
        <w:rPr>
          <w:rFonts w:asciiTheme="minorEastAsia" w:eastAsiaTheme="minorEastAsia" w:hAnsiTheme="minorEastAsia" w:hint="eastAsia"/>
          <w:szCs w:val="24"/>
        </w:rPr>
        <w:t>基金托管人对资金来源、投资收益及投资安全不承担审核责任，特别是对于本基金所投标的</w:t>
      </w:r>
      <w:r>
        <w:rPr>
          <w:rFonts w:asciiTheme="minorEastAsia" w:eastAsiaTheme="minorEastAsia" w:hAnsiTheme="minorEastAsia" w:hint="eastAsia"/>
          <w:szCs w:val="24"/>
        </w:rPr>
        <w:t>的</w:t>
      </w:r>
      <w:r>
        <w:rPr>
          <w:rFonts w:asciiTheme="minorEastAsia" w:eastAsiaTheme="minorEastAsia" w:hAnsiTheme="minorEastAsia" w:hint="eastAsia"/>
          <w:szCs w:val="24"/>
        </w:rPr>
        <w:t>后续资金使用情况无审核责任，不保证托管财产投资不受损失，不保证最低收益。</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23" w:name="_Toc296551340"/>
      <w:bookmarkStart w:id="24" w:name="_Toc44321703"/>
      <w:r>
        <w:rPr>
          <w:rFonts w:asciiTheme="minorEastAsia" w:eastAsiaTheme="minorEastAsia" w:hAnsiTheme="minorEastAsia" w:hint="eastAsia"/>
          <w:bCs/>
          <w:color w:val="auto"/>
          <w:szCs w:val="24"/>
        </w:rPr>
        <w:t>第四条 基金管理人对基金托管人的业务核查</w:t>
      </w:r>
      <w:bookmarkEnd w:id="23"/>
      <w:bookmarkEnd w:id="24"/>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4.1</w:t>
      </w:r>
      <w:r w:rsidRPr="005A4D8F">
        <w:rPr>
          <w:rFonts w:asciiTheme="minorEastAsia" w:eastAsiaTheme="minorEastAsia" w:hAnsiTheme="minorEastAsia" w:hint="eastAsia"/>
          <w:szCs w:val="24"/>
        </w:rPr>
        <w:t>根据《基金法》及其他有关法规、《基金合同》和本协议规定，</w:t>
      </w:r>
      <w:r>
        <w:rPr>
          <w:rFonts w:asciiTheme="minorEastAsia" w:eastAsiaTheme="minorEastAsia" w:hAnsiTheme="minorEastAsia" w:hint="eastAsia"/>
          <w:szCs w:val="24"/>
        </w:rPr>
        <w:t>基金管理人对基金托管人履行托管职责情况进行核查，核查事项包括但不限于基金托管人安全保管基金财产、开设基金财产的资金账户和证券账户等投资所需的其他账户、复核基金管理人计算的基金资产净值和各类基金份额净值、根据基金管理人指令办理清算交收、相关信息披露和监督基金投资运作等行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4.3基金管理人发现基金托管人有重大违规行为，应立即报告中国证监会和银行业监督管理机构，同时通知基金托管人限期纠正。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4.4基金托管人应积极配合基金管理人的核查行为，包括但不限于：提交相关资料以</w:t>
      </w:r>
      <w:r>
        <w:rPr>
          <w:rFonts w:asciiTheme="minorEastAsia" w:eastAsiaTheme="minorEastAsia" w:hAnsiTheme="minorEastAsia" w:hint="eastAsia"/>
          <w:szCs w:val="24"/>
        </w:rPr>
        <w:t>供基金</w:t>
      </w:r>
      <w:r>
        <w:rPr>
          <w:rFonts w:asciiTheme="minorEastAsia" w:eastAsiaTheme="minorEastAsia" w:hAnsiTheme="minorEastAsia" w:hint="eastAsia"/>
          <w:szCs w:val="24"/>
        </w:rPr>
        <w:t>管理人核查托管财产的完整性和真实性，在规定时间内答复基金管理人并改正。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25" w:name="_Toc44321704"/>
      <w:bookmarkStart w:id="26" w:name="_Toc296551341"/>
      <w:r>
        <w:rPr>
          <w:rFonts w:asciiTheme="minorEastAsia" w:eastAsiaTheme="minorEastAsia" w:hAnsiTheme="minorEastAsia" w:hint="eastAsia"/>
          <w:bCs/>
          <w:color w:val="auto"/>
          <w:szCs w:val="24"/>
        </w:rPr>
        <w:t>第五条 基金财产保管</w:t>
      </w:r>
      <w:bookmarkEnd w:id="25"/>
      <w:bookmarkEnd w:id="26"/>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5.1基金财产保管的原则</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5.1.1基金财产应独立于基金管理人、基金托管人的固有财产。</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5.1.2基金托管人应安全保管基金财产。除依据法律法规规定、基金合同和本托管协议约定及基金管理人的正当指令外，不得自行运用、处分、分配基金的任何财产。</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5.1.3基金托管人按照规定开设基金财产的资金账户和证券账户等投资所需的其他账户。</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5.1.4基金托管人对所托管的不同基金财产分别设置账户，与基金托管人的其他业务和其他基金的托管业务实行严格的分账管理，独立核算，确保基金财产的完整与独立。</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5.1.5基金托管人根据基金管理人的指令，按照基金合同和本协议的约定保管基金财产，如有特殊情况双方可另行协商解决。</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5.1.6除依据法律法规和基金合同的规定外，基金托管人不得委托第三人托管基金资产。</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5.2募集资金的验资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5.2.1基金募集期间募集的资金应存于基金管理人在基金托管人的营业机构或在其他银行开立的基金募集专户，该账户由基金管理人或基金管理人委托的登记机构开立并管理。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r>
        <w:rPr>
          <w:rFonts w:asciiTheme="minorEastAsia" w:eastAsiaTheme="minorEastAsia" w:hAnsiTheme="minorEastAsia" w:hint="eastAsia"/>
          <w:szCs w:val="24"/>
        </w:rPr>
        <w:t>请具备</w:t>
      </w:r>
      <w:r>
        <w:rPr>
          <w:rFonts w:asciiTheme="minorEastAsia" w:eastAsiaTheme="minorEastAsia" w:hAnsiTheme="minorEastAsia" w:hint="eastAsia"/>
          <w:szCs w:val="24"/>
        </w:rPr>
        <w:t>相关业务资质的会计师事务所进行验资，出具验资报告，出具的验资报告应由参加验资的2名以上（含2名）中国注册会计师签字有效。</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5.2.3</w:t>
      </w:r>
      <w:r>
        <w:rPr>
          <w:rFonts w:asciiTheme="minorEastAsia" w:eastAsiaTheme="minorEastAsia" w:hAnsiTheme="minorEastAsia" w:hint="eastAsia"/>
          <w:szCs w:val="24"/>
        </w:rPr>
        <w:t>若基金</w:t>
      </w:r>
      <w:r>
        <w:rPr>
          <w:rFonts w:asciiTheme="minorEastAsia" w:eastAsiaTheme="minorEastAsia" w:hAnsiTheme="minorEastAsia" w:hint="eastAsia"/>
          <w:szCs w:val="24"/>
        </w:rPr>
        <w:t>募集期限届满，未能达到基金备案条件，由基金管理人按规定办理退款事宜。</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5.3基金的银行账户的开立和管理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5.3.1基金托管人以本基金的名义在其营业机构开立基金的银行账户，并根据基金管理人合法合</w:t>
      </w:r>
      <w:r>
        <w:rPr>
          <w:rFonts w:asciiTheme="minorEastAsia" w:eastAsiaTheme="minorEastAsia" w:hAnsiTheme="minorEastAsia" w:hint="eastAsia"/>
          <w:szCs w:val="24"/>
        </w:rPr>
        <w:t>规</w:t>
      </w:r>
      <w:r>
        <w:rPr>
          <w:rFonts w:asciiTheme="minorEastAsia" w:eastAsiaTheme="minorEastAsia" w:hAnsiTheme="minorEastAsia" w:hint="eastAsia"/>
          <w:szCs w:val="24"/>
        </w:rPr>
        <w:t>的指令办理资金收付。本基金的银行预留印鉴由基金托管人刻制、保管和使用。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5.3.3基金银行账户的开立和管理应符合有关法律法规以及银行业监督管理机构的有关规定。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5.4基金证券账户与证券交易资金账户的开设和管理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5.4.1基金托管人以基金托管人和本基金联名的方式在中国证券登记结算有限责任公司（以下简称“中登公司”）上海分公司/深圳分公司开设证券账户。</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5.4.2基金托管人以基金托管人的名义在中登公司上海分公司/深圳分公司开立基金证券交易资金账户，用于证券清算。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5.4.4基金证券账户与证券交易资金账户相关证明文件的保管由基金托管人负责，账户资产的管理和运用由基金管理人负责。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5.5债券托管账户的开立和管理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5.5.2基金管理人和基金托管人应一起负责为基金对外签订全国银行间国债市场回购主协议，正本由基金管理人保存。</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5.6其他账户的开设和管理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5.7基金财产投资的有关实物证券、银行定期存款存单等有价凭证的保管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w:t>
      </w:r>
      <w:r w:rsidRPr="005A4D8F">
        <w:rPr>
          <w:rFonts w:asciiTheme="minorEastAsia" w:eastAsiaTheme="minorEastAsia" w:hAnsiTheme="minorEastAsia" w:hint="eastAsia"/>
          <w:szCs w:val="24"/>
        </w:rPr>
        <w:t>属于基金托管人控制下的实物证券在基金托管人保管期间因基金托管人的过错导致的损坏、灭失，由此产生的责任应由基金托管人承担。</w:t>
      </w:r>
      <w:r>
        <w:rPr>
          <w:rFonts w:asciiTheme="minorEastAsia" w:eastAsiaTheme="minorEastAsia" w:hAnsiTheme="minorEastAsia" w:hint="eastAsia"/>
          <w:szCs w:val="24"/>
        </w:rPr>
        <w:t>基金托管人对基金托管人以外机构实际有效控制的证券不承担保管责任。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5.8与基金财产有关的重大合同的保管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Pr>
          <w:rFonts w:asciiTheme="minorEastAsia" w:eastAsiaTheme="minorEastAsia" w:hAnsiTheme="minorEastAsia"/>
          <w:szCs w:val="24"/>
        </w:rPr>
        <w:t>20</w:t>
      </w:r>
      <w:r>
        <w:rPr>
          <w:rFonts w:asciiTheme="minorEastAsia" w:eastAsiaTheme="minorEastAsia" w:hAnsiTheme="minorEastAsia" w:hint="eastAsia"/>
          <w:szCs w:val="24"/>
        </w:rPr>
        <w:t>年以上，法律法规或监管规则另有规定的，从其规定。对于无法取得二份以上的正本的，基金管理人应向基金托管人提供加盖授权业务章的合同传真件，未经双方协商或未在合同约定范围内，合同原件不得转移，由基金管理人保管。</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27" w:name="_Toc296551342"/>
      <w:bookmarkStart w:id="28" w:name="_Toc44321705"/>
      <w:r>
        <w:rPr>
          <w:rFonts w:asciiTheme="minorEastAsia" w:eastAsiaTheme="minorEastAsia" w:hAnsiTheme="minorEastAsia" w:hint="eastAsia"/>
          <w:bCs/>
          <w:color w:val="auto"/>
          <w:szCs w:val="24"/>
        </w:rPr>
        <w:t>第六条 指令的发送、确认和执行</w:t>
      </w:r>
      <w:bookmarkEnd w:id="27"/>
      <w:bookmarkEnd w:id="28"/>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6.1基金管理人对发送指令人员的书面授权</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w:t>
      </w:r>
      <w:r>
        <w:rPr>
          <w:rFonts w:asciiTheme="minorEastAsia" w:eastAsiaTheme="minorEastAsia" w:hAnsiTheme="minorEastAsia" w:hint="eastAsia"/>
          <w:szCs w:val="24"/>
        </w:rPr>
        <w:t>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一致，若有不一致的，以基金托管人收到的传真为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基金管理人和基金托管人对授权文件负有保密义务，其内容不得向被授权人及相关操作人员以外的任何人泄露，法律法规另有规定或有权机关另有要求的除外。</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6.2指令的内容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6.3指令的发送、确认和执行的时间和程序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6.3.1指令由“授权通知”确定的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2小时，作为执行指令所必需的时间。由基金管理</w:t>
      </w:r>
      <w:r>
        <w:rPr>
          <w:rFonts w:asciiTheme="minorEastAsia" w:eastAsiaTheme="minorEastAsia" w:hAnsiTheme="minorEastAsia" w:hint="eastAsia"/>
          <w:szCs w:val="24"/>
        </w:rPr>
        <w:t>人原因</w:t>
      </w:r>
      <w:r>
        <w:rPr>
          <w:rFonts w:asciiTheme="minorEastAsia" w:eastAsiaTheme="minorEastAsia" w:hAnsiTheme="minorEastAsia" w:hint="eastAsia"/>
          <w:szCs w:val="24"/>
        </w:rPr>
        <w:t>造成的指令传输不及时、未能留出足够划款所需时间，基金托管人不承担资金未能及时到账所造成的损失。</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6.3.2基金托管人根据本协议相关约定仅履行审核职责，对指令的真实性不承担责任。如果基金管理人的指令存在事实上未经授权、欺诈、伪造、变造或未能及时提供授权通知等情形，基金托管人不承担因执行有关指令或拒绝执行有关指令而给基金管理人或基金财产或任何第三</w:t>
      </w:r>
      <w:r>
        <w:rPr>
          <w:rFonts w:asciiTheme="minorEastAsia" w:eastAsiaTheme="minorEastAsia" w:hAnsiTheme="minorEastAsia" w:hint="eastAsia"/>
          <w:szCs w:val="24"/>
        </w:rPr>
        <w:t>方带来</w:t>
      </w:r>
      <w:r>
        <w:rPr>
          <w:rFonts w:asciiTheme="minorEastAsia" w:eastAsiaTheme="minorEastAsia" w:hAnsiTheme="minorEastAsia" w:hint="eastAsia"/>
          <w:szCs w:val="24"/>
        </w:rPr>
        <w:t>的损失，全部责任由基金管理人承担，</w:t>
      </w:r>
      <w:r>
        <w:rPr>
          <w:rFonts w:asciiTheme="minorEastAsia" w:eastAsiaTheme="minorEastAsia" w:hAnsiTheme="minorEastAsia" w:hint="eastAsia"/>
          <w:szCs w:val="24"/>
        </w:rPr>
        <w:t>基金托管人由此遭受的损失，由基金管理人负责赔偿，但基金托管人未按协议约定</w:t>
      </w:r>
      <w:r>
        <w:rPr>
          <w:rFonts w:asciiTheme="minorEastAsia" w:eastAsiaTheme="minorEastAsia" w:hAnsiTheme="minorEastAsia" w:hint="eastAsia"/>
          <w:szCs w:val="24"/>
        </w:rPr>
        <w:t>尽形式</w:t>
      </w:r>
      <w:r>
        <w:rPr>
          <w:rFonts w:asciiTheme="minorEastAsia" w:eastAsiaTheme="minorEastAsia" w:hAnsiTheme="minorEastAsia" w:hint="eastAsia"/>
          <w:szCs w:val="24"/>
        </w:rPr>
        <w:t>审核义务执行指令而造成损失的情形除外。</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6.3.3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由此遭受的损失，由基金管理人负责赔偿。</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6.3.4基金托管人应指定专人接收基金管理人的指令，预先通知基金管理人其名单，并与基金管理人商定指令发送和接收方式。基金托管人收到基金管理人发送的指令后，应对指令进行审查，验证指令的要素是否齐全，传真</w:t>
      </w:r>
      <w:r>
        <w:rPr>
          <w:rFonts w:asciiTheme="minorEastAsia" w:eastAsiaTheme="minorEastAsia" w:hAnsiTheme="minorEastAsia" w:hint="eastAsia"/>
          <w:szCs w:val="24"/>
        </w:rPr>
        <w:t>指令仅</w:t>
      </w:r>
      <w:r>
        <w:rPr>
          <w:rFonts w:asciiTheme="minorEastAsia" w:eastAsiaTheme="minorEastAsia" w:hAnsiTheme="minorEastAsia" w:hint="eastAsia"/>
          <w:szCs w:val="24"/>
        </w:rPr>
        <w:t>对划款指令的印鉴及被授权人签章等通过肉眼辨识的方式与预留印鉴和签章样本进行比对，形式上不存在重大差异的，即视为通过审查。基金管理人出具的划款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6.3.5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6.3.6基金管理人应将交易通知单加盖预留印鉴后传真给基金托管人。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6.4基金管理人发送错误指令的情形和处理程序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6.4.1基金管理人发送错误指令的情形包括指令违反相关法律法规或基金合同、指令发送人员无权或超越权限发送指令及交割信息错误，指令中重要信息模糊不清或不全等。</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6.4.2基金托管人在履行监督职能时，发现基金管理人的指令错误时，有权拒</w:t>
      </w:r>
      <w:r>
        <w:rPr>
          <w:rFonts w:asciiTheme="minorEastAsia" w:eastAsiaTheme="minorEastAsia" w:hAnsiTheme="minorEastAsia" w:hint="eastAsia"/>
          <w:szCs w:val="24"/>
        </w:rPr>
        <w:t>绝执行，并及时通知基金管理人改正。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6.5基金托管人依照法律法规暂缓、拒绝执行指令的情形和处理程序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托管人发现基金管理人发送的指令违反《基金法》、基金合同、本协议或有关基金法规的有关规定，有权视情况暂缓执行或不予执行，并应及时以书面形式通知基金管理人纠正，基金托管人不承担任何损失和责任。对基金管理人更正并重新发送后的指令经基金托管人核对确认后方能执行。</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6.6基金托管人未按照基金管理人指令执行的处理方法</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托管人由于自身过错原因造成未按照或者未及时按照基金管理人发送的符合法律法规规定以及基金合同、本协议约定的指令执行，给基金份额持有人或基金财产造成损失的，应承担相应的责任，但如遇到不可抗力的情况除外。</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6.7更换被授权人的程序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撤换被授权人员或改变被授权人员的权限，必须提前至少1个交易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29" w:name="_Toc44321706"/>
      <w:r>
        <w:rPr>
          <w:rFonts w:asciiTheme="minorEastAsia" w:eastAsiaTheme="minorEastAsia" w:hAnsiTheme="minorEastAsia" w:hint="eastAsia"/>
          <w:bCs/>
          <w:color w:val="auto"/>
          <w:szCs w:val="24"/>
        </w:rPr>
        <w:t>第七条 交易及清算交收安排</w:t>
      </w:r>
      <w:bookmarkEnd w:id="29"/>
      <w:r>
        <w:rPr>
          <w:rFonts w:asciiTheme="minorEastAsia" w:eastAsiaTheme="minorEastAsia" w:hAnsiTheme="minorEastAsia" w:hint="eastAsia"/>
          <w:bCs/>
          <w:color w:val="auto"/>
          <w:szCs w:val="24"/>
        </w:rPr>
        <w:t xml:space="preserve">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7.1选择代理证券、期货买卖的证券、期货经营机构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7.1.1基金管理人负责选择代理本基金证券买卖的证券经纪机构，并与其签订证券经纪合同，基金管理人、基金托管人和证券经纪机构就基金参与证券交易的具体事项另行签订协议，明确三方在本基金参与场内证券买卖中各类证券交易、证券交收及相关资金交</w:t>
      </w:r>
      <w:r>
        <w:rPr>
          <w:rFonts w:asciiTheme="minorEastAsia" w:eastAsiaTheme="minorEastAsia" w:hAnsiTheme="minorEastAsia" w:hint="eastAsia"/>
          <w:szCs w:val="24"/>
        </w:rPr>
        <w:t>收过程</w:t>
      </w:r>
      <w:r>
        <w:rPr>
          <w:rFonts w:asciiTheme="minorEastAsia" w:eastAsiaTheme="minorEastAsia" w:hAnsiTheme="minorEastAsia" w:hint="eastAsia"/>
          <w:szCs w:val="24"/>
        </w:rPr>
        <w:t>中的职责和义务。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7.1.2基金管理人应及时将本基金财产的佣金费率等基本信息以及变更情况以</w:t>
      </w:r>
      <w:r>
        <w:rPr>
          <w:rFonts w:asciiTheme="minorEastAsia" w:eastAsiaTheme="minorEastAsia" w:hAnsiTheme="minorEastAsia" w:hint="eastAsia"/>
          <w:szCs w:val="24"/>
        </w:rPr>
        <w:t>书面形式通知基金托管人，以便基金托管人估值核算使用。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7.2清算与交割</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7.2.1基金投资证券后的清算交收安排</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本基金通过证券经纪机构进行的交易由证券经纪机构作为结算参与人代理本基金进行结算；本基金其它证券交易由基金托管人或相关机构负责结算。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7.2.2证券交易所证券资金结算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基金托管人、基金管理人应共同遵守中登公司制定的相关业务规则和规定，该等规则和规定自动成为本条款约定内容。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基金管理人在投资前，应充分知晓与理解中登公司针对各类交易品种制定的结算业务规则和规定。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证券经纪机构代理本基金与中登公司完成证券交易及</w:t>
      </w:r>
      <w:r>
        <w:rPr>
          <w:rFonts w:asciiTheme="minorEastAsia" w:eastAsiaTheme="minorEastAsia" w:hAnsiTheme="minorEastAsia" w:hint="eastAsia"/>
          <w:szCs w:val="24"/>
        </w:rPr>
        <w:t>非交易</w:t>
      </w:r>
      <w:r>
        <w:rPr>
          <w:rFonts w:asciiTheme="minorEastAsia" w:eastAsiaTheme="minorEastAsia" w:hAnsiTheme="minorEastAsia" w:hint="eastAsia"/>
          <w:szCs w:val="24"/>
        </w:rPr>
        <w:t>涉及的证券资金结算业务，并承担由证券经纪机构原因造成的正常结算、交收业务无法完成的责任；若由于基金管理</w:t>
      </w:r>
      <w:r>
        <w:rPr>
          <w:rFonts w:asciiTheme="minorEastAsia" w:eastAsiaTheme="minorEastAsia" w:hAnsiTheme="minorEastAsia" w:hint="eastAsia"/>
          <w:szCs w:val="24"/>
        </w:rPr>
        <w:t>人原因</w:t>
      </w:r>
      <w:r>
        <w:rPr>
          <w:rFonts w:asciiTheme="minorEastAsia" w:eastAsiaTheme="minorEastAsia" w:hAnsiTheme="minorEastAsia" w:hint="eastAsia"/>
          <w:szCs w:val="24"/>
        </w:rPr>
        <w:t>造成的正常结算业务无法完成，责任由基金管理人承担。</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对于任何原因发生的证券资金交收违约事件，相关各方应当及时协商解决。</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7.2.</w:t>
      </w:r>
      <w:r>
        <w:rPr>
          <w:rFonts w:asciiTheme="minorEastAsia" w:eastAsiaTheme="minorEastAsia" w:hAnsiTheme="minorEastAsia"/>
          <w:szCs w:val="24"/>
        </w:rPr>
        <w:t>3</w:t>
      </w:r>
      <w:r>
        <w:rPr>
          <w:rFonts w:asciiTheme="minorEastAsia" w:eastAsiaTheme="minorEastAsia" w:hAnsiTheme="minorEastAsia" w:hint="eastAsia"/>
          <w:szCs w:val="24"/>
        </w:rPr>
        <w:t>场外交易资金结算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场外资金对外投资划款由基金托管人</w:t>
      </w:r>
      <w:r>
        <w:rPr>
          <w:rFonts w:asciiTheme="minorEastAsia" w:eastAsiaTheme="minorEastAsia" w:hAnsiTheme="minorEastAsia" w:hint="eastAsia"/>
          <w:szCs w:val="24"/>
        </w:rPr>
        <w:t>凭基金</w:t>
      </w:r>
      <w:r>
        <w:rPr>
          <w:rFonts w:asciiTheme="minorEastAsia" w:eastAsiaTheme="minorEastAsia" w:hAnsiTheme="minorEastAsia" w:hint="eastAsia"/>
          <w:szCs w:val="24"/>
        </w:rPr>
        <w:t>管理人符合本托管协议约定的有效资金划拨指令和相关投资合同（如有）进行资金划拨；</w:t>
      </w:r>
      <w:r>
        <w:rPr>
          <w:rFonts w:asciiTheme="minorEastAsia" w:eastAsiaTheme="minorEastAsia" w:hAnsiTheme="minorEastAsia" w:hint="eastAsia"/>
          <w:szCs w:val="24"/>
        </w:rPr>
        <w:t>场外投资</w:t>
      </w:r>
      <w:r>
        <w:rPr>
          <w:rFonts w:asciiTheme="minorEastAsia" w:eastAsiaTheme="minorEastAsia" w:hAnsiTheme="minorEastAsia" w:hint="eastAsia"/>
          <w:szCs w:val="24"/>
        </w:rPr>
        <w:t>本金及收益的划回，由基金管理人负责协调相关资金</w:t>
      </w:r>
      <w:r>
        <w:rPr>
          <w:rFonts w:asciiTheme="minorEastAsia" w:eastAsiaTheme="minorEastAsia" w:hAnsiTheme="minorEastAsia" w:hint="eastAsia"/>
          <w:szCs w:val="24"/>
        </w:rPr>
        <w:t>划拨回产品托管户</w:t>
      </w:r>
      <w:r>
        <w:rPr>
          <w:rFonts w:asciiTheme="minorEastAsia" w:eastAsiaTheme="minorEastAsia" w:hAnsiTheme="minorEastAsia" w:hint="eastAsia"/>
          <w:szCs w:val="24"/>
        </w:rPr>
        <w:t>事宜。</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7.3资金、证券账目及交易记录的核对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7.3.1基金管理人与基金托管人按日进行交易记录的核对。每日对外披露各类基金份额净值之前，必须保证当天所有实际交易记录与基金会计账簿上的交易记录完全一致。如果实际交易记录与会计账簿记录不一致，造成基金会计核算不完整或不真实，由此导致的损失由责任方承担。</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7.3.2对基金的资金账目，由相关各方每日对账一次，确保相关各方账</w:t>
      </w:r>
      <w:r>
        <w:rPr>
          <w:rFonts w:asciiTheme="minorEastAsia" w:eastAsiaTheme="minorEastAsia" w:hAnsiTheme="minorEastAsia" w:hint="eastAsia"/>
          <w:szCs w:val="24"/>
        </w:rPr>
        <w:t>账</w:t>
      </w:r>
      <w:r>
        <w:rPr>
          <w:rFonts w:asciiTheme="minorEastAsia" w:eastAsiaTheme="minorEastAsia" w:hAnsiTheme="minorEastAsia" w:hint="eastAsia"/>
          <w:szCs w:val="24"/>
        </w:rPr>
        <w:t>相符。对基金证券账目，由相关各方每日进行对账。对实物</w:t>
      </w:r>
      <w:r>
        <w:rPr>
          <w:rFonts w:asciiTheme="minorEastAsia" w:eastAsiaTheme="minorEastAsia" w:hAnsiTheme="minorEastAsia" w:hint="eastAsia"/>
          <w:szCs w:val="24"/>
        </w:rPr>
        <w:t>券</w:t>
      </w:r>
      <w:r>
        <w:rPr>
          <w:rFonts w:asciiTheme="minorEastAsia" w:eastAsiaTheme="minorEastAsia" w:hAnsiTheme="minorEastAsia" w:hint="eastAsia"/>
          <w:szCs w:val="24"/>
        </w:rPr>
        <w:t>账目，每月月末由相关各方</w:t>
      </w:r>
      <w:r>
        <w:rPr>
          <w:rFonts w:asciiTheme="minorEastAsia" w:eastAsiaTheme="minorEastAsia" w:hAnsiTheme="minorEastAsia" w:hint="eastAsia"/>
          <w:szCs w:val="24"/>
        </w:rPr>
        <w:t>进行账实核对。对交易记录，由相关各方每日对账一次。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7.4申购、赎回、转换开放式基金的资金清算、数据传递及基金管理人、基金托管人的责任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7.4.1基金管理人和基金托管人在基金的申购赎回、转换中的责任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7.4.2基金的数据传递</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基金管理人应保证本基金（或本基金管理人委托）的登记机构于每个开放日15：00之前将本基金的申购、赎回、转换的数据传送给基金托管人。基金管理人应对传递的数据的真实性、准确性和完整性负责。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登记机构应通过与基金管理人建立的系统发送有关数据，如因各种原因，该系统无法正常发送，双方可协商解决处理方式。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7.4.3基金的资金清算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基金托管专户与“基金清算账户”间的资金结算遵循“全额清算、净额交收”的原则，每日按照托管专户应收资金与应付资金的差额来确定托管</w:t>
      </w:r>
      <w:r>
        <w:rPr>
          <w:rFonts w:asciiTheme="minorEastAsia" w:eastAsiaTheme="minorEastAsia" w:hAnsiTheme="minorEastAsia" w:hint="eastAsia"/>
          <w:szCs w:val="24"/>
        </w:rPr>
        <w:t>专户净应收</w:t>
      </w:r>
      <w:r>
        <w:rPr>
          <w:rFonts w:asciiTheme="minorEastAsia" w:eastAsiaTheme="minorEastAsia" w:hAnsiTheme="minorEastAsia" w:hint="eastAsia"/>
          <w:szCs w:val="24"/>
        </w:rPr>
        <w:t>额或净应付额，以此确定资金交收额。</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如果当日基金为净应收款，基金托管人应在T＋2日15:00之前查收资金是否到账，对于未准时到账的资金，基金托管人应及时通知基金管理人划付。如果当日基金为净应付款，基金托管人应根据基金管理人的指令在T+2日中午12:00前进行划付，对于未准时划付的资金，基金管理人应及时通知基金托管人划付。因基金托管专户没有足够的资金，导致基金托管人不能按时拨付，基金托管人应及时通知基金管理人。</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30" w:name="_Toc296551344"/>
      <w:bookmarkStart w:id="31" w:name="_Toc44321707"/>
      <w:r>
        <w:rPr>
          <w:rFonts w:asciiTheme="minorEastAsia" w:eastAsiaTheme="minorEastAsia" w:hAnsiTheme="minorEastAsia" w:hint="eastAsia"/>
          <w:bCs/>
          <w:color w:val="auto"/>
          <w:szCs w:val="24"/>
        </w:rPr>
        <w:t>第八条 基金净值计算和会计核算</w:t>
      </w:r>
      <w:bookmarkEnd w:id="30"/>
      <w:bookmarkEnd w:id="31"/>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8.1基金净值的计算、复核的时间和程序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8.1.1基金净值包括基金资产净值、基金份额净值、基金份额累计净值。基金资产净值是指基金资产总值减去基金负债后的价值。基金份额净值是指</w:t>
      </w:r>
      <w:r w:rsidR="004738BB">
        <w:rPr>
          <w:rFonts w:asciiTheme="minorEastAsia" w:eastAsiaTheme="minorEastAsia" w:hAnsiTheme="minorEastAsia" w:hint="eastAsia"/>
          <w:szCs w:val="24"/>
        </w:rPr>
        <w:t>估值</w:t>
      </w:r>
      <w:r>
        <w:rPr>
          <w:rFonts w:asciiTheme="minorEastAsia" w:eastAsiaTheme="minorEastAsia" w:hAnsiTheme="minorEastAsia" w:hint="eastAsia"/>
          <w:szCs w:val="24"/>
        </w:rPr>
        <w:t>日基金</w:t>
      </w:r>
      <w:r>
        <w:rPr>
          <w:rFonts w:asciiTheme="minorEastAsia" w:eastAsiaTheme="minorEastAsia" w:hAnsiTheme="minorEastAsia" w:hint="eastAsia"/>
          <w:szCs w:val="24"/>
        </w:rPr>
        <w:t>资产净值除以该</w:t>
      </w:r>
      <w:r w:rsidR="004738BB">
        <w:rPr>
          <w:rFonts w:asciiTheme="minorEastAsia" w:eastAsiaTheme="minorEastAsia" w:hAnsiTheme="minorEastAsia" w:hint="eastAsia"/>
          <w:szCs w:val="24"/>
        </w:rPr>
        <w:t>估值</w:t>
      </w:r>
      <w:r>
        <w:rPr>
          <w:rFonts w:asciiTheme="minorEastAsia" w:eastAsiaTheme="minorEastAsia" w:hAnsiTheme="minorEastAsia" w:hint="eastAsia"/>
          <w:szCs w:val="24"/>
        </w:rPr>
        <w:t>日基金份额总数后的数值。基金份额累计净值是指基金份额净值与基金历来分红累计金额之</w:t>
      </w:r>
      <w:r>
        <w:rPr>
          <w:rFonts w:asciiTheme="minorEastAsia" w:eastAsiaTheme="minorEastAsia" w:hAnsiTheme="minorEastAsia" w:hint="eastAsia"/>
          <w:szCs w:val="24"/>
        </w:rPr>
        <w:t>和</w:t>
      </w:r>
      <w:r>
        <w:rPr>
          <w:rFonts w:asciiTheme="minorEastAsia" w:eastAsiaTheme="minorEastAsia" w:hAnsiTheme="minorEastAsia" w:hint="eastAsia"/>
          <w:szCs w:val="24"/>
        </w:rPr>
        <w:t>。本基金各类基金份额净值的计算，均保留到小数点后4位，小数点后第5位四舍五入，由此产生的收益或损失由基金财产承担。基金管理人可以设立大额赎回情形下的净值精度应急调整机制。国家法律法规另有规定的，从其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8.1.2基金管理人</w:t>
      </w:r>
      <w:r>
        <w:rPr>
          <w:rFonts w:asciiTheme="minorEastAsia" w:eastAsiaTheme="minorEastAsia" w:hAnsiTheme="minorEastAsia" w:hint="eastAsia"/>
          <w:szCs w:val="24"/>
        </w:rPr>
        <w:t>应每个</w:t>
      </w:r>
      <w:r w:rsidR="004738BB">
        <w:rPr>
          <w:rFonts w:asciiTheme="minorEastAsia" w:eastAsiaTheme="minorEastAsia" w:hAnsiTheme="minorEastAsia" w:hint="eastAsia"/>
          <w:szCs w:val="24"/>
        </w:rPr>
        <w:t>估值</w:t>
      </w:r>
      <w:r>
        <w:rPr>
          <w:rFonts w:asciiTheme="minorEastAsia" w:eastAsiaTheme="minorEastAsia" w:hAnsiTheme="minorEastAsia" w:hint="eastAsia"/>
          <w:szCs w:val="24"/>
        </w:rPr>
        <w:t>日对基金资产估值，但基金管理人根据法律法规或基金合同的规定暂停估值时除外。估值原则应符合基金合同、《证券投资基金会计核算业务指引》、《企业会计准则》及其他法律、法规的规定。基金资产净值、各类基金份额净值和各类基金份额累计净值由基金管理人负责计算，基金托管人复核。基金管理人应于每个</w:t>
      </w:r>
      <w:r w:rsidR="004738BB">
        <w:rPr>
          <w:rFonts w:asciiTheme="minorEastAsia" w:eastAsiaTheme="minorEastAsia" w:hAnsiTheme="minorEastAsia" w:hint="eastAsia"/>
          <w:szCs w:val="24"/>
        </w:rPr>
        <w:t>估值</w:t>
      </w:r>
      <w:r>
        <w:rPr>
          <w:rFonts w:asciiTheme="minorEastAsia" w:eastAsiaTheme="minorEastAsia" w:hAnsiTheme="minorEastAsia" w:hint="eastAsia"/>
          <w:szCs w:val="24"/>
        </w:rPr>
        <w:t>日交易结束后计算当日的基金净值并以双方认可的方式发送给基金托管人。基金托管人对净值计算结果复核后以双方认可的方式发送给基金管理人，基金管理人在不晚于每个开放日的次日，通过规定网站披露开放日的各类基金份额净值和各类基金份额累计净值，并在不晚于半年度和年度最后一日的次日，在规定网站披露半年度和年度最后一日的各类基金份额净值和各类基金份额累计净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基金托管人对未达成一致意见的基金净值计算结果不承担任何责任</w:t>
      </w:r>
      <w:r w:rsidR="004738BB">
        <w:rPr>
          <w:rFonts w:asciiTheme="minorEastAsia" w:eastAsiaTheme="minorEastAsia" w:hAnsiTheme="minorEastAsia" w:hint="eastAsia"/>
          <w:szCs w:val="24"/>
        </w:rPr>
        <w:t>，基金托管人有过错的除外</w:t>
      </w:r>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8.2基金资产估值方法</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8.2.1估值对象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sidRPr="009E2ABD">
        <w:rPr>
          <w:rFonts w:hint="eastAsia"/>
          <w:bCs/>
        </w:rPr>
        <w:t>基金所拥有的股票、债券、银行存款本息、应收款项、股指期货合约、国债期货合约、股票期权合约、资产支持证券和其它投资等资产及负债</w:t>
      </w:r>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8.2.2估值方法</w:t>
      </w:r>
    </w:p>
    <w:p w:rsidR="00F07D82">
      <w:pPr>
        <w:adjustRightInd w:val="0"/>
        <w:snapToGrid w:val="0"/>
        <w:spacing w:line="520" w:lineRule="atLeast"/>
        <w:ind w:firstLine="480" w:firstLineChars="200"/>
        <w:rPr>
          <w:rFonts w:asciiTheme="minorEastAsia" w:eastAsiaTheme="minorEastAsia" w:hAnsiTheme="minorEastAsia"/>
          <w:bCs/>
          <w:sz w:val="24"/>
          <w:szCs w:val="24"/>
        </w:rPr>
      </w:pPr>
      <w:bookmarkStart w:id="32" w:name="_Hlk101545626"/>
      <w:r>
        <w:rPr>
          <w:rFonts w:asciiTheme="minorEastAsia" w:eastAsiaTheme="minorEastAsia" w:hAnsiTheme="minorEastAsia" w:hint="eastAsia"/>
          <w:bCs/>
          <w:sz w:val="24"/>
          <w:szCs w:val="24"/>
        </w:rPr>
        <w:t>（1）证券交易所上市的有价证券的估值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\o\ac(○,1)</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交易所上市的有价证券（包括股票等），以其估值日在证券交易所挂牌的市价（收盘价）估值；估值日无交易的，且最近交易日后经济环境未发生重大变化或</w:t>
      </w:r>
      <w:r>
        <w:rPr>
          <w:rFonts w:asciiTheme="minorEastAsia" w:eastAsiaTheme="minorEastAsia" w:hAnsiTheme="minorEastAsia" w:hint="eastAsia"/>
          <w:bCs/>
          <w:sz w:val="24"/>
          <w:szCs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\o\ac(○,2)</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交易所上市交易或挂牌转让的不含</w:t>
      </w:r>
      <w:r>
        <w:rPr>
          <w:rFonts w:asciiTheme="minorEastAsia" w:eastAsiaTheme="minorEastAsia" w:hAnsiTheme="minorEastAsia" w:hint="eastAsia"/>
          <w:bCs/>
          <w:sz w:val="24"/>
          <w:szCs w:val="24"/>
        </w:rPr>
        <w:t>权固定</w:t>
      </w:r>
      <w:r>
        <w:rPr>
          <w:rFonts w:asciiTheme="minorEastAsia" w:eastAsiaTheme="minorEastAsia" w:hAnsiTheme="minorEastAsia" w:hint="eastAsia"/>
          <w:bCs/>
          <w:sz w:val="24"/>
          <w:szCs w:val="24"/>
        </w:rPr>
        <w:t>收益品种，选取估值日第三方估值机构提供的相应品种当日的估值净价进行估值；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\o\ac(○,3)</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交易所上市交易或挂牌转让的含</w:t>
      </w:r>
      <w:r>
        <w:rPr>
          <w:rFonts w:asciiTheme="minorEastAsia" w:eastAsiaTheme="minorEastAsia" w:hAnsiTheme="minorEastAsia" w:hint="eastAsia"/>
          <w:bCs/>
          <w:sz w:val="24"/>
          <w:szCs w:val="24"/>
        </w:rPr>
        <w:t>权固定</w:t>
      </w:r>
      <w:r>
        <w:rPr>
          <w:rFonts w:asciiTheme="minorEastAsia" w:eastAsiaTheme="minorEastAsia" w:hAnsiTheme="minorEastAsia" w:hint="eastAsia"/>
          <w:bCs/>
          <w:sz w:val="24"/>
          <w:szCs w:val="24"/>
        </w:rPr>
        <w:t>收益品种，选取估值日第三方估值机构提供的相应品种当日的唯一估值净价或推荐估值净价进行估值；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\o\ac(○,4)</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交易所上市交易的可转换债券以每日收盘价作为估值全价；</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\o\ac(○,5)</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交易所上市不存在活跃市场的有价证券，采用估值技术确定公允价值；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\o\ac(○,6)</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（2）处于未上市期间的有价证券应区分如下情况处理：</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\o\ac(○,1)</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送股、转增股、配股和公开增发的新股，按估值日在证券交易所挂牌的同一股票的估值方法估值；该日无交易的，以最近一日的市价（收盘价）估值；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\o\ac(○,2)</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首次公开发行未上市的股票、债券，采用估值技术确定公允价值，在估值技术难以可靠计量公允价值的情况下，按成本估值；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bCs/>
          <w:sz w:val="24"/>
          <w:szCs w:val="24"/>
        </w:rPr>
        <w:fldChar w:fldCharType="begin"/>
      </w:r>
      <w:r>
        <w:rPr>
          <w:rFonts w:asciiTheme="minorEastAsia" w:eastAsiaTheme="minorEastAsia" w:hAnsiTheme="minorEastAsia"/>
          <w:bCs/>
          <w:sz w:val="24"/>
          <w:szCs w:val="24"/>
        </w:rPr>
        <w:instrText xml:space="preserve"> </w:instrText>
      </w:r>
      <w:r>
        <w:rPr>
          <w:rFonts w:asciiTheme="minorEastAsia" w:eastAsiaTheme="minorEastAsia" w:hAnsiTheme="minorEastAsia" w:hint="eastAsia"/>
          <w:bCs/>
          <w:sz w:val="24"/>
          <w:szCs w:val="24"/>
        </w:rPr>
        <w:instrText>eq \o\ac(○,3)</w:instrText>
      </w:r>
      <w:r>
        <w:rPr>
          <w:rFonts w:asciiTheme="minorEastAsia" w:eastAsiaTheme="minorEastAsia" w:hAnsiTheme="minorEastAsia"/>
          <w:bCs/>
          <w:sz w:val="24"/>
          <w:szCs w:val="24"/>
        </w:rPr>
        <w:fldChar w:fldCharType="separate"/>
      </w:r>
      <w:r>
        <w:rPr>
          <w:rFonts w:asciiTheme="minorEastAsia" w:eastAsiaTheme="minorEastAsia" w:hAnsiTheme="minorEastAsia"/>
          <w:bCs/>
          <w:sz w:val="24"/>
          <w:szCs w:val="24"/>
        </w:rPr>
        <w:fldChar w:fldCharType="end"/>
      </w:r>
      <w:r>
        <w:rPr>
          <w:rFonts w:asciiTheme="minorEastAsia" w:eastAsiaTheme="minorEastAsia" w:hAnsiTheme="minorEastAsia" w:hint="eastAsia"/>
          <w:bCs/>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w:t>
      </w:r>
      <w:r>
        <w:rPr>
          <w:rFonts w:asciiTheme="minorEastAsia" w:eastAsiaTheme="minorEastAsia" w:hAnsiTheme="minorEastAsia" w:hint="eastAsia"/>
          <w:bCs/>
          <w:sz w:val="24"/>
          <w:szCs w:val="24"/>
        </w:rPr>
        <w:t>券</w:t>
      </w:r>
      <w:r>
        <w:rPr>
          <w:rFonts w:asciiTheme="minorEastAsia" w:eastAsiaTheme="minorEastAsia" w:hAnsiTheme="minorEastAsia" w:hint="eastAsia"/>
          <w:bCs/>
          <w:sz w:val="24"/>
          <w:szCs w:val="24"/>
        </w:rPr>
        <w:t>等流通受限股票，按监管机构或行业协会有关规定确定公允价值。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w:t>
      </w:r>
      <w:r>
        <w:rPr>
          <w:rFonts w:asciiTheme="minorEastAsia" w:eastAsiaTheme="minorEastAsia" w:hAnsiTheme="minorEastAsia" w:hint="eastAsia"/>
          <w:bCs/>
          <w:sz w:val="24"/>
          <w:szCs w:val="24"/>
        </w:rPr>
        <w:t>值价格的债券，在发行利率与二级市场利率不存在明显差异，未上市期间市场利率没有发生大的变动的情况下，按成本估值。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（4）本基金可以采用第三方估值机构按照上述公允价值确定原则提供的估值价格数据。</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（5）基金投资同业存单，按估值日第三方估值机构提供的估值净价估值；选定的第三方估值机构未提供估值价格的，按成本估值。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（6）同一证券同时在两个或两个以上市场交易的，按证券所处的市场分别估值。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（7）期货合约以估值当日结算价进行估值，估值当日无结算价的，且最近交易日后经济环境未发生重大变化的，采用最近交易日结算价估值。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（8）本基金投资期权，根据相关法律法规以及监管部门的规定估值。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（9）本基金参与融资业务的，按照相关法律法规、监管部门和行业协会的相关规定进行估值。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0</w:t>
      </w:r>
      <w:r>
        <w:rPr>
          <w:rFonts w:asciiTheme="minorEastAsia" w:eastAsiaTheme="minorEastAsia" w:hAnsiTheme="minorEastAsia" w:hint="eastAsia"/>
          <w:bCs/>
          <w:sz w:val="24"/>
          <w:szCs w:val="24"/>
        </w:rPr>
        <w:t>）本基金投资存托凭证的估值核算，依照境内上市交易的股票执行。</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1</w:t>
      </w:r>
      <w:r>
        <w:rPr>
          <w:rFonts w:asciiTheme="minorEastAsia" w:eastAsiaTheme="minorEastAsia" w:hAnsiTheme="minorEastAsia" w:hint="eastAsia"/>
          <w:bCs/>
          <w:sz w:val="24"/>
          <w:szCs w:val="24"/>
        </w:rPr>
        <w:t>）汇率</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如本基金投资股票市场交易互联互通机制允许买卖的境外证券市场上市的股票，涉及相关货币对人民币汇率的，估值计算中涉及港币或其他外币币种对人民币汇率的，以估值当日中国人民银行或其授权机构公布的人民币汇率的中间价为准。</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2</w:t>
      </w:r>
      <w:r>
        <w:rPr>
          <w:rFonts w:asciiTheme="minorEastAsia" w:eastAsiaTheme="minorEastAsia" w:hAnsiTheme="minorEastAsia" w:hint="eastAsia"/>
          <w:bCs/>
          <w:sz w:val="24"/>
          <w:szCs w:val="24"/>
        </w:rPr>
        <w:t>）税收</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3</w:t>
      </w:r>
      <w:r>
        <w:rPr>
          <w:rFonts w:asciiTheme="minorEastAsia" w:eastAsiaTheme="minorEastAsia" w:hAnsiTheme="minorEastAsia" w:hint="eastAsia"/>
          <w:bCs/>
          <w:sz w:val="24"/>
          <w:szCs w:val="24"/>
        </w:rPr>
        <w:t>）如有充分理由表明按上述方法进行估值不能客观反映其公允价值的，基金管理人可根据具体情况与基金托管人商定后，按最能反映公允价值的价格估值。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4</w:t>
      </w:r>
      <w:r>
        <w:rPr>
          <w:rFonts w:asciiTheme="minorEastAsia" w:eastAsiaTheme="minorEastAsia" w:hAnsiTheme="minorEastAsia" w:hint="eastAsia"/>
          <w:bCs/>
          <w:sz w:val="24"/>
          <w:szCs w:val="24"/>
        </w:rPr>
        <w:t>）当发生大额申购或赎回情形时，基金管理人可以采用摆动定价机制，以确保基金估值的公平性。</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5</w:t>
      </w:r>
      <w:r>
        <w:rPr>
          <w:rFonts w:asciiTheme="minorEastAsia" w:eastAsiaTheme="minorEastAsia" w:hAnsiTheme="minorEastAsia" w:hint="eastAsia"/>
          <w:bCs/>
          <w:sz w:val="24"/>
          <w:szCs w:val="24"/>
        </w:rPr>
        <w:t>）相关法律法规以及监管部门有强制规定的，从其规定。如有新增事项，</w:t>
      </w:r>
      <w:r>
        <w:rPr>
          <w:rFonts w:asciiTheme="minorEastAsia" w:eastAsiaTheme="minorEastAsia" w:hAnsiTheme="minorEastAsia" w:hint="eastAsia"/>
          <w:bCs/>
          <w:sz w:val="24"/>
          <w:szCs w:val="24"/>
        </w:rPr>
        <w:t>按国家最新规定估值。</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F07D82">
      <w:pPr>
        <w:adjustRightInd w:val="0"/>
        <w:snapToGrid w:val="0"/>
        <w:spacing w:line="520" w:lineRule="atLeast"/>
        <w:ind w:firstLine="480" w:firstLineChars="200"/>
        <w:rPr>
          <w:rFonts w:asciiTheme="minorEastAsia" w:eastAsiaTheme="minorEastAsia" w:hAnsiTheme="minorEastAsia"/>
          <w:szCs w:val="24"/>
        </w:rPr>
      </w:pPr>
      <w:r>
        <w:rPr>
          <w:rFonts w:asciiTheme="minorEastAsia" w:eastAsiaTheme="minorEastAsia" w:hAnsiTheme="minorEastAsia"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r w:rsidRPr="005A4D8F">
        <w:rPr>
          <w:rFonts w:asciiTheme="minorEastAsia" w:eastAsiaTheme="minorEastAsia" w:hAnsiTheme="minorEastAsia" w:hint="eastAsia"/>
          <w:bCs/>
          <w:sz w:val="24"/>
          <w:szCs w:val="24"/>
        </w:rPr>
        <w:t>，基金托管人对未达成一致意见的基金净值计算结果不承担任何责任</w:t>
      </w:r>
      <w:r w:rsidR="004738BB">
        <w:rPr>
          <w:rFonts w:asciiTheme="minorEastAsia" w:eastAsiaTheme="minorEastAsia" w:hAnsiTheme="minorEastAsia" w:hint="eastAsia"/>
          <w:bCs/>
          <w:sz w:val="24"/>
          <w:szCs w:val="24"/>
        </w:rPr>
        <w:t>，基金托管人有过错的除外</w:t>
      </w:r>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End w:id="32"/>
      <w:r>
        <w:rPr>
          <w:rFonts w:asciiTheme="minorEastAsia" w:eastAsiaTheme="minorEastAsia" w:hAnsiTheme="minorEastAsia" w:hint="eastAsia"/>
          <w:szCs w:val="24"/>
        </w:rPr>
        <w:t>8.3估值差错处理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szCs w:val="24"/>
        </w:rPr>
        <w:t>8.3.1</w:t>
      </w:r>
      <w:r>
        <w:rPr>
          <w:rFonts w:asciiTheme="minorEastAsia" w:eastAsiaTheme="minorEastAsia" w:hAnsiTheme="minorEastAsia" w:hint="eastAsia"/>
          <w:szCs w:val="24"/>
        </w:rPr>
        <w:t>估值错误类型</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 “估值错误处理原则”给予赔偿，承担赔偿责任。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上述估值错误的主要类型包括但不限于：资料申报差错、数据传输差错、数据计算差错、系统故障差错、下达指令差错等。</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szCs w:val="24"/>
        </w:rPr>
        <w:t>8.3.2</w:t>
      </w:r>
      <w:r>
        <w:rPr>
          <w:rFonts w:asciiTheme="minorEastAsia" w:eastAsiaTheme="minorEastAsia" w:hAnsiTheme="minorEastAsia" w:hint="eastAsia"/>
          <w:szCs w:val="24"/>
        </w:rPr>
        <w:t>估值错误处理原则</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（2）估值错误的责任方对有关当事人的直接损失负责，不对间接损失负责，并且仅对估值错误的有关直接当事人负责，不对第三方负责。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（3）因估值错误而获得不当得利的当事人负有及时返还不当得利的义务。但估值错误责任方仍应对估值错误负责。如果由于获得不当得利的当事人</w:t>
      </w:r>
      <w:r>
        <w:rPr>
          <w:rFonts w:asciiTheme="minorEastAsia" w:eastAsiaTheme="minorEastAsia" w:hAnsiTheme="minorEastAsia" w:hint="eastAsia"/>
          <w:szCs w:val="24"/>
        </w:rPr>
        <w:t>不</w:t>
      </w:r>
      <w:r>
        <w:rPr>
          <w:rFonts w:asciiTheme="minorEastAsia" w:eastAsiaTheme="minorEastAsia" w:hAnsiTheme="minorEastAsia" w:hint="eastAsia"/>
          <w:szCs w:val="24"/>
        </w:rPr>
        <w:t>返还或不</w:t>
      </w:r>
      <w:r>
        <w:rPr>
          <w:rFonts w:asciiTheme="minorEastAsia" w:eastAsiaTheme="minorEastAsia" w:hAnsiTheme="minorEastAsia" w:hint="eastAsia"/>
          <w:szCs w:val="24"/>
        </w:rPr>
        <w:t>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（4）估值错误调整采用尽量恢复至假设未发生估值错误的正确情形的方式。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szCs w:val="24"/>
        </w:rPr>
        <w:t>8.3.3</w:t>
      </w:r>
      <w:r>
        <w:rPr>
          <w:rFonts w:asciiTheme="minorEastAsia" w:eastAsiaTheme="minorEastAsia" w:hAnsiTheme="minorEastAsia" w:hint="eastAsia"/>
          <w:szCs w:val="24"/>
        </w:rPr>
        <w:t>估值错误处理程序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估值错误被发现后，有关的当事人应当及时进行处理，处理的程序如下：</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（1）查明估值错误发生的原因，列明所有的当事人，并根据估值错误发生的原因确定估值错误的责任方；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（2）根据估值错误处理原则或当事人协商的方法对因估值错误造成的损失进行评估；</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（3）根据估值错误处理原则或当事人协商的方法由估值错误的责任方进行更正和赔偿损失；</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（4）根据估值错误处理的方法，需要修改基金登记机构交易数据的，由基金登记机构进行更正，并就估值错误的更正向有关当事人进行确认。</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szCs w:val="24"/>
        </w:rPr>
        <w:t>8.4.4</w:t>
      </w:r>
      <w:r>
        <w:rPr>
          <w:rFonts w:asciiTheme="minorEastAsia" w:eastAsiaTheme="minorEastAsia" w:hAnsiTheme="minorEastAsia" w:hint="eastAsia"/>
          <w:szCs w:val="24"/>
        </w:rPr>
        <w:t>基金份额净值估值错误处理的方法如下：</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（1）基金份额净值计算出现错误时，基金管理人应当立即予以纠正，通报基金托管人，并采取合理的措施防止损失进一步扩大。</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任一类基金份额的基金份额净值计算错误偏差达到该类基金份额净值的0.25%时，基金管理人应当通报基金托管人并报中国证监会备案；错误偏差达到该类基金份额净值的0.5%时，基金管理人应当公告，并报中国证监会备案。</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（3）前述内容如法律法规或监管机构另有规定的，从其规定处理。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8.4基金账册的建立</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8.5基金定期报告的编制和复核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8.5.1基金财务报告由基金管理人编制，基金托管人复核。月度报告的编制，应于每月终了后5个工作日内完成。</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8.5.2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基金管理人应当在上半年结束之日起两个月内，编制完成基金中期报告，将中期报告登载在规定网站上，并将中期报告提示性公告登载在规定报刊上。基金管理人应当在季度结束之日起15个工作日内，编制完成基金季度报告，将季度报告登载在规定网站上，并将季度报告提示性公告登载在规定报刊上。《基金合同》生效不足2个月的，基金管理人可以不编制当期季度报告、中期报告或者年度报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8.5.3《基金合同》生效后，基金招募说明书、基金产品资料概要的信息发生重大变更的，基金管理人应当在三个工作日内，更新基金招募说明书、基金产品资料概要，并登载在规定网站上，并将基金产品资料概要登载在基金销售机构网站或营业网点。基金招募说明书、基金产品资料概要其他信息发生变更的，基金管理人至少每年更新一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33" w:name="_DV_C270"/>
      <w:r>
        <w:rPr>
          <w:rFonts w:asciiTheme="minorEastAsia" w:eastAsiaTheme="minorEastAsia" w:hAnsiTheme="minorEastAsia" w:hint="eastAsia"/>
          <w:szCs w:val="24"/>
        </w:rPr>
        <w:t>8.5.4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3"/>
      <w:r>
        <w:rPr>
          <w:rFonts w:asciiTheme="minorEastAsia" w:eastAsiaTheme="minorEastAsia" w:hAnsiTheme="minorEastAsia" w:hint="eastAsia"/>
          <w:szCs w:val="24"/>
        </w:rPr>
        <w:t>复核。基金托管人在复核过程中，发现双方的数据、信息存在不符时，基金管理人和基金托管人应共同查明原因，进行调整，调整以国家有关规定为准。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8.5.5基金托管人在对财务会计报告、季度、中期报告或年度报告复核完毕后，</w:t>
      </w:r>
      <w:r>
        <w:rPr>
          <w:rFonts w:asciiTheme="minorEastAsia" w:eastAsiaTheme="minorEastAsia" w:hAnsiTheme="minorEastAsia" w:hint="eastAsia"/>
          <w:szCs w:val="24"/>
        </w:rPr>
        <w:t>需盖章确认或出具相应的复核确认书，以</w:t>
      </w:r>
      <w:r>
        <w:rPr>
          <w:rFonts w:asciiTheme="minorEastAsia" w:eastAsiaTheme="minorEastAsia" w:hAnsiTheme="minorEastAsia" w:hint="eastAsia"/>
          <w:szCs w:val="24"/>
        </w:rPr>
        <w:t>备有权</w:t>
      </w:r>
      <w:r>
        <w:rPr>
          <w:rFonts w:asciiTheme="minorEastAsia" w:eastAsiaTheme="minorEastAsia" w:hAnsiTheme="minorEastAsia" w:hint="eastAsia"/>
          <w:szCs w:val="24"/>
        </w:rPr>
        <w:t>机构对相关文件审核时提示。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8.6暂停估值的情形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34" w:name="_Hlk101545917"/>
      <w:r>
        <w:rPr>
          <w:rFonts w:asciiTheme="minorEastAsia" w:eastAsiaTheme="minorEastAsia" w:hAnsiTheme="minorEastAsia" w:hint="eastAsia"/>
          <w:szCs w:val="24"/>
        </w:rPr>
        <w:t>（1）基金投资所涉及的证券、期货交易市场遇法定节假日或因其他原因暂停营业时；</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（2）因不可抗力或其他情形致使基金管理人、基金托管人无法准确评估基金资产价值时；</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bCs/>
          <w:szCs w:val="24"/>
        </w:rPr>
      </w:pPr>
      <w:r>
        <w:rPr>
          <w:rFonts w:asciiTheme="minorEastAsia" w:eastAsiaTheme="minorEastAsia" w:hAnsiTheme="minorEastAsia" w:hint="eastAsia"/>
          <w:bCs/>
          <w:szCs w:val="24"/>
        </w:rPr>
        <w:t>（3）当特定资产占前一估值日基金资产净值50%以上的，经与基金托管人协商确认后，基金管理人应当暂停估值；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（4）法律法规、中国证监会规定和基金合同认定的其它情形。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35" w:name="_Hlk101545948"/>
      <w:bookmarkEnd w:id="34"/>
      <w:r>
        <w:rPr>
          <w:rFonts w:asciiTheme="minorEastAsia" w:eastAsiaTheme="minorEastAsia" w:hAnsiTheme="minorEastAsia" w:hint="eastAsia"/>
          <w:szCs w:val="24"/>
        </w:rPr>
        <w:t>8.7特殊情况的处理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（1）基金管理人或基金托管人按估值方法的第（</w:t>
      </w:r>
      <w:r>
        <w:rPr>
          <w:rFonts w:asciiTheme="minorEastAsia" w:eastAsiaTheme="minorEastAsia" w:hAnsiTheme="minorEastAsia"/>
          <w:szCs w:val="24"/>
        </w:rPr>
        <w:t>13</w:t>
      </w:r>
      <w:r>
        <w:rPr>
          <w:rFonts w:asciiTheme="minorEastAsia" w:eastAsiaTheme="minorEastAsia" w:hAnsiTheme="minorEastAsia" w:hint="eastAsia"/>
          <w:szCs w:val="24"/>
        </w:rPr>
        <w:t>）项进行估值时，所造成的误差不作为基金资产估值错误处理。</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（2）由于不可抗力，或证券、期货交易所、登记结算公司、证券经纪机构、期货公司及存款银行等第三方机构发送的数据错误等</w:t>
      </w:r>
      <w:r>
        <w:rPr>
          <w:rFonts w:asciiTheme="minorEastAsia" w:eastAsiaTheme="minorEastAsia" w:hAnsiTheme="minorEastAsia" w:hint="eastAsia"/>
          <w:szCs w:val="24"/>
        </w:rPr>
        <w:t>非基金</w:t>
      </w:r>
      <w:r>
        <w:rPr>
          <w:rFonts w:asciiTheme="minorEastAsia" w:eastAsiaTheme="minorEastAsia" w:hAnsiTheme="minorEastAsia" w:hint="eastAsia"/>
          <w:szCs w:val="24"/>
        </w:rPr>
        <w:t>管理人与基金托管人原因，基金管理人和基金托管人虽然已经采取必要、适当、合理的措施进行检查，</w:t>
      </w:r>
      <w:r w:rsidRPr="005A4D8F">
        <w:rPr>
          <w:rFonts w:asciiTheme="minorEastAsia" w:eastAsiaTheme="minorEastAsia" w:hAnsiTheme="minorEastAsia" w:hint="eastAsia"/>
          <w:szCs w:val="24"/>
        </w:rPr>
        <w:t>但未能发现该错误或</w:t>
      </w:r>
      <w:r w:rsidRPr="005A4D8F">
        <w:rPr>
          <w:rFonts w:asciiTheme="minorEastAsia" w:eastAsiaTheme="minorEastAsia" w:hAnsiTheme="minorEastAsia" w:hint="eastAsia"/>
          <w:szCs w:val="24"/>
        </w:rPr>
        <w:t>虽发现</w:t>
      </w:r>
      <w:r w:rsidRPr="005A4D8F">
        <w:rPr>
          <w:rFonts w:asciiTheme="minorEastAsia" w:eastAsiaTheme="minorEastAsia" w:hAnsiTheme="minorEastAsia" w:hint="eastAsia"/>
          <w:szCs w:val="24"/>
        </w:rPr>
        <w:t>错误但因前述原因无法及时更正的</w:t>
      </w:r>
      <w:r>
        <w:rPr>
          <w:rFonts w:asciiTheme="minorEastAsia" w:eastAsiaTheme="minorEastAsia" w:hAnsiTheme="minorEastAsia" w:hint="eastAsia"/>
          <w:szCs w:val="24"/>
        </w:rPr>
        <w:t>，由此造成的基金资产估值错误，基金管理人和基金托管人免除赔偿责任。但基金管理人、基金托管人应当积极采取必要的措施消除或减轻由此造成的影响。</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36" w:name="_Toc44321708"/>
      <w:bookmarkStart w:id="37" w:name="_Toc296551345"/>
      <w:bookmarkEnd w:id="35"/>
      <w:r>
        <w:rPr>
          <w:rFonts w:asciiTheme="minorEastAsia" w:eastAsiaTheme="minorEastAsia" w:hAnsiTheme="minorEastAsia" w:hint="eastAsia"/>
          <w:bCs/>
          <w:color w:val="auto"/>
          <w:szCs w:val="24"/>
        </w:rPr>
        <w:t>第九条 基金收益分配</w:t>
      </w:r>
      <w:bookmarkEnd w:id="36"/>
      <w:bookmarkEnd w:id="37"/>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38" w:name="_Hlk101546000"/>
      <w:r>
        <w:rPr>
          <w:rFonts w:asciiTheme="minorEastAsia" w:eastAsiaTheme="minorEastAsia" w:hAnsiTheme="minorEastAsia" w:hint="eastAsia"/>
          <w:szCs w:val="24"/>
        </w:rPr>
        <w:t>9.1基金利润的构成</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基金利润指基金利息收入、投资收益、公允价值变动收益和其他收入扣除相关费用后的余额，基金已实现收益指基金利润减去公允价值变动收益后的余额。</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9.2基金可供分配利润</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基金可供分配利润指截至收益分配基准日基金未分配利润与未分配利润中已实现收益的孰低数。</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9.3基金收益分配原则</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（1）在符合有关基金分红条件的前提下，基金管理人可以根据实际情况进行收益分配，具体分配方案以公告为准，若《基金合同》生效不满3个月可不进行收</w:t>
      </w:r>
      <w:r>
        <w:rPr>
          <w:rFonts w:asciiTheme="minorEastAsia" w:eastAsiaTheme="minorEastAsia" w:hAnsiTheme="minorEastAsia" w:hint="eastAsia"/>
          <w:szCs w:val="24"/>
        </w:rPr>
        <w:t>益分配；</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（2）A类基金份额和C类基金份额之间由于A类基金份额不收取而C类基金份额收取销售服务费将导致在可供分配利润上有所不同；本基金同一类别的每份基金份额享有同等分配权；</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（3）本基金收益分配方式分两种：现金分红与红利再投资，投资者可选择现金红利或将现金红利自动转为相应类别的基金份额进行再投资；若投资者不选择，本基金默认的收益分配方式是现金分红；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（4）基金收益分配后各类基金份额的基金份额净值不能低于面值；即基金收益分配基准日的各类基金份额的基金份额净值减去该类每单位基金份额收益分配金额后不能低于面值；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（5）法律法规或监管机构另有规定的，从其规定。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9.4收益分配方案</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基金收益分配方案中应载明截止收益分配基准日的可供分配利润、基金收益分配对象、分配时间、分配数额及比例、分配方式等内容。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9.5收益分配的时间和程序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bCs/>
          <w:szCs w:val="24"/>
        </w:rPr>
      </w:pPr>
      <w:r>
        <w:rPr>
          <w:rFonts w:asciiTheme="minorEastAsia" w:eastAsiaTheme="minorEastAsia" w:hAnsiTheme="minorEastAsia" w:hint="eastAsia"/>
          <w:szCs w:val="24"/>
        </w:rPr>
        <w:t>9.5.1本基金收益分配方案由基金管理人拟定，并由基金托管人复核，在2日内在规定媒介公告</w:t>
      </w:r>
      <w:r>
        <w:rPr>
          <w:rFonts w:asciiTheme="minorEastAsia" w:eastAsiaTheme="minorEastAsia" w:hAnsiTheme="minorEastAsia" w:hint="eastAsia"/>
          <w:bCs/>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9.5.2在收益分配方案公布后，基金管理人依据具体方案的规定就支付的现金红利向基金托管人发送划款指令，基金托管人按照基金管理人的指令及时进行分红资金的划付。基金托管人负责核对收益分配方案的总金额与划款指令金额一致，不对每个投资者的明细分配金额进行复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9.5.3法律法规或监管机关另有规定的，从其规定。</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39" w:name="_Toc44321709"/>
      <w:bookmarkStart w:id="40" w:name="_Toc296551346"/>
      <w:bookmarkEnd w:id="38"/>
      <w:r>
        <w:rPr>
          <w:rFonts w:asciiTheme="minorEastAsia" w:eastAsiaTheme="minorEastAsia" w:hAnsiTheme="minorEastAsia" w:hint="eastAsia"/>
          <w:bCs/>
          <w:color w:val="auto"/>
          <w:szCs w:val="24"/>
        </w:rPr>
        <w:t>第十条 信息披露</w:t>
      </w:r>
      <w:bookmarkEnd w:id="39"/>
      <w:bookmarkEnd w:id="40"/>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10.1保密义务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除按照《基金法》、《运作办法》、《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w:t>
      </w:r>
      <w:r>
        <w:rPr>
          <w:rFonts w:asciiTheme="minorEastAsia" w:eastAsiaTheme="minorEastAsia" w:hAnsiTheme="minorEastAsia" w:hint="eastAsia"/>
          <w:szCs w:val="24"/>
        </w:rPr>
        <w:t>公开披露之前，先行对任何第三方披露。但是，如下情况不应视为基金管理人或基金托管人违反保密义务：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（1）非因基金管理人和基金托管人的原因导致保密信息被披露、泄露或公开；</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（2）基金管理人和基金托管人为遵守和服从法院判决或裁定、仲裁裁决或中国证监会等监管机构的命令、决定所做出的信息披露或公开。</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10.2基金管理人和基金托管人在信息披露中的职责和信息披露程序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清算报告、基金份额持有人大会决议、投资资产支持证券、国债期货、股指期货、股票期权、参与融资交易、参与港股通交易、投资非公开股票的信息披露、实施</w:t>
      </w:r>
      <w:r>
        <w:rPr>
          <w:rFonts w:asciiTheme="minorEastAsia" w:eastAsiaTheme="minorEastAsia" w:hAnsiTheme="minorEastAsia" w:hint="eastAsia"/>
          <w:szCs w:val="24"/>
        </w:rPr>
        <w:t>侧袋机制</w:t>
      </w:r>
      <w:r>
        <w:rPr>
          <w:rFonts w:asciiTheme="minorEastAsia" w:eastAsiaTheme="minorEastAsia" w:hAnsiTheme="minorEastAsia" w:hint="eastAsia"/>
          <w:szCs w:val="24"/>
        </w:rPr>
        <w:t>期间的信息披露以及中国证监会规定的其他信息。</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10.2.3</w:t>
      </w:r>
      <w:bookmarkStart w:id="41" w:name="_Hlk101546203"/>
      <w:r>
        <w:rPr>
          <w:rFonts w:asciiTheme="minorEastAsia" w:eastAsiaTheme="minorEastAsia" w:hAnsiTheme="minorEastAsia" w:hint="eastAsia"/>
          <w:szCs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基金托管人应当同时将基金合同、基金托管协议登载在规定网站上</w:t>
      </w:r>
      <w:bookmarkEnd w:id="41"/>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10.2.4</w:t>
      </w:r>
      <w:bookmarkStart w:id="42" w:name="_Hlk101546259"/>
      <w:r>
        <w:rPr>
          <w:rFonts w:asciiTheme="minorEastAsia" w:eastAsiaTheme="minorEastAsia" w:hAnsiTheme="minorEastAsia" w:hint="eastAsia"/>
          <w:szCs w:val="24"/>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bookmarkEnd w:id="42"/>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10.2.5基金年度报告中的财务报告部分，</w:t>
      </w:r>
      <w:r>
        <w:rPr>
          <w:rFonts w:asciiTheme="minorEastAsia" w:eastAsiaTheme="minorEastAsia" w:hAnsiTheme="minorEastAsia" w:hint="eastAsia"/>
          <w:szCs w:val="24"/>
        </w:rPr>
        <w:t>经符合</w:t>
      </w:r>
      <w:r>
        <w:rPr>
          <w:rFonts w:asciiTheme="minorEastAsia" w:eastAsiaTheme="minorEastAsia" w:hAnsiTheme="minorEastAsia" w:hint="eastAsia"/>
          <w:szCs w:val="24"/>
        </w:rPr>
        <w:t>《中华人民共和国证券法》规定的会计师事务所审计后，方可披露。</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10.2.6基金管理人应当在中国证监会规定的时间内，将应予披露的基金信息通过基金管理人网站和中国证监会规定媒介披露。根据法律法规应由基金托管人公开披露的信息，基金托管人将通过中国证监会规定媒介公开披露。</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10.2.7依法必须披露的信息发布后，基金管理人、基金托管人应当按照相关法律法规规定将信息置备于公司住所，供社会公众查阅、复制。投资者在支付工本费后可在合理时间获得上述文件的复制件或复印件。基金管理人和基金托管人应保证文本的内容与所公告的内容完全一致。</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10.3暂停或延迟信息披露的情形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（1）不可抗力或其他情形致使基金管理人、基金托管人无法准确评估基金资产价值时；</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（2）基金合同约定的暂停估值的情形；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（3）法律法规、基金合同或中国证监会规定的情况。</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10.4基金托管人报告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基金托管人应按《基金法》、《运作办法》、《信息披露办法》和其他有关法律法规的规定于每个上半年度结束后两个月内、每个会计年度结束后三个月</w:t>
      </w:r>
      <w:r>
        <w:rPr>
          <w:rFonts w:asciiTheme="minorEastAsia" w:eastAsiaTheme="minorEastAsia" w:hAnsiTheme="minorEastAsia" w:hint="eastAsia"/>
          <w:szCs w:val="24"/>
        </w:rPr>
        <w:t>内在基金</w:t>
      </w:r>
      <w:r>
        <w:rPr>
          <w:rFonts w:asciiTheme="minorEastAsia" w:eastAsiaTheme="minorEastAsia" w:hAnsiTheme="minorEastAsia" w:hint="eastAsia"/>
          <w:szCs w:val="24"/>
        </w:rPr>
        <w:t>中期报告及年度报告中分别出具基金托管人报告，并提交给基金管理人。</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43" w:name="_Toc44321710"/>
      <w:bookmarkStart w:id="44" w:name="_Toc296551347"/>
      <w:r>
        <w:rPr>
          <w:rFonts w:asciiTheme="minorEastAsia" w:eastAsiaTheme="minorEastAsia" w:hAnsiTheme="minorEastAsia" w:hint="eastAsia"/>
          <w:bCs/>
          <w:color w:val="auto"/>
          <w:szCs w:val="24"/>
        </w:rPr>
        <w:t>第十一条 基金费用</w:t>
      </w:r>
      <w:bookmarkEnd w:id="43"/>
      <w:bookmarkEnd w:id="44"/>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11.1基金管理费的计提比例和计提方法</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45" w:name="_Hlk101546336"/>
      <w:r>
        <w:rPr>
          <w:rFonts w:asciiTheme="minorEastAsia" w:eastAsiaTheme="minorEastAsia" w:hAnsiTheme="minorEastAsia" w:hint="eastAsia"/>
          <w:szCs w:val="24"/>
        </w:rPr>
        <w:t>本基金的管理费按前一日基金资产净值的</w:t>
      </w:r>
      <w:r>
        <w:rPr>
          <w:rFonts w:asciiTheme="minorEastAsia" w:eastAsiaTheme="minorEastAsia" w:hAnsiTheme="minorEastAsia"/>
          <w:szCs w:val="24"/>
        </w:rPr>
        <w:t>1.50</w:t>
      </w:r>
      <w:r>
        <w:rPr>
          <w:rFonts w:asciiTheme="minorEastAsia" w:eastAsiaTheme="minorEastAsia" w:hAnsiTheme="minorEastAsia" w:hint="eastAsia"/>
          <w:szCs w:val="24"/>
        </w:rPr>
        <w:t>%年费率计提。管理费的计算方法如下：</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H＝E×</w:t>
      </w:r>
      <w:r>
        <w:rPr>
          <w:rFonts w:asciiTheme="minorEastAsia" w:eastAsiaTheme="minorEastAsia" w:hAnsiTheme="minorEastAsia"/>
          <w:szCs w:val="24"/>
        </w:rPr>
        <w:t>1.50</w:t>
      </w:r>
      <w:r>
        <w:rPr>
          <w:rFonts w:asciiTheme="minorEastAsia" w:eastAsiaTheme="minorEastAsia" w:hAnsiTheme="minorEastAsia" w:hint="eastAsia"/>
          <w:szCs w:val="24"/>
        </w:rPr>
        <w:t>%÷当年天数</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H为每日应计提的基金管理费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E为前一日的基金资产净值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46" w:name="_Hlk101476864"/>
      <w:r>
        <w:rPr>
          <w:rFonts w:asciiTheme="minorEastAsia" w:eastAsiaTheme="minorEastAsia" w:hAnsiTheme="minorEastAsia" w:hint="eastAsia"/>
          <w:szCs w:val="24"/>
        </w:rPr>
        <w:t>基金管理费每日计算，逐日累计至每月月末，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bookmarkEnd w:id="46"/>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11.2基金托管费的计提比例和计提方法</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本基金的托管费按前一日基金资产净值的</w:t>
      </w:r>
      <w:r>
        <w:rPr>
          <w:rFonts w:asciiTheme="minorEastAsia" w:eastAsiaTheme="minorEastAsia" w:hAnsiTheme="minorEastAsia"/>
          <w:szCs w:val="24"/>
        </w:rPr>
        <w:t>0.25%</w:t>
      </w:r>
      <w:r>
        <w:rPr>
          <w:rFonts w:asciiTheme="minorEastAsia" w:eastAsiaTheme="minorEastAsia" w:hAnsiTheme="minorEastAsia" w:hint="eastAsia"/>
          <w:szCs w:val="24"/>
        </w:rPr>
        <w:t>的年费率计提。托管费的计算方法如下：</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H＝E×</w:t>
      </w:r>
      <w:r>
        <w:rPr>
          <w:rFonts w:asciiTheme="minorEastAsia" w:eastAsiaTheme="minorEastAsia" w:hAnsiTheme="minorEastAsia"/>
          <w:szCs w:val="24"/>
        </w:rPr>
        <w:t>0.25%</w:t>
      </w:r>
      <w:r>
        <w:rPr>
          <w:rFonts w:asciiTheme="minorEastAsia" w:eastAsiaTheme="minorEastAsia" w:hAnsiTheme="minorEastAsia" w:hint="eastAsia"/>
          <w:szCs w:val="24"/>
        </w:rPr>
        <w:t>÷当年天数</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H为每日应计提的基金托管费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E为前一日的基金资产净值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47" w:name="_Hlk101476874"/>
      <w:r>
        <w:rPr>
          <w:rFonts w:asciiTheme="minorEastAsia" w:eastAsiaTheme="minorEastAsia" w:hAnsiTheme="minorEastAsia" w:hint="eastAsia"/>
          <w:szCs w:val="24"/>
        </w:rPr>
        <w:t>基金托管费每日计算，逐日累计至每月月末，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bookmarkEnd w:id="47"/>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11.3销售服务费的计提比例和计提方法</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本基金A类基金份额不收取销售服务费，C类基金份额的销售服务费年费率为0.40%。C类份额的销售服务费按前一日C类基金份额的基金资产净值的0.40%年费率计提。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销售服务费的计算方法如下：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H＝E×</w:t>
      </w:r>
      <w:r>
        <w:rPr>
          <w:rFonts w:asciiTheme="minorEastAsia" w:eastAsiaTheme="minorEastAsia" w:hAnsiTheme="minorEastAsia"/>
          <w:szCs w:val="24"/>
        </w:rPr>
        <w:t>0.40%</w:t>
      </w:r>
      <w:r>
        <w:rPr>
          <w:rFonts w:asciiTheme="minorEastAsia" w:eastAsiaTheme="minorEastAsia" w:hAnsiTheme="minorEastAsia" w:hint="eastAsia"/>
          <w:szCs w:val="24"/>
        </w:rPr>
        <w:t xml:space="preserve">÷当年天数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H为C类基金份额每日应计提的销售服务费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 xml:space="preserve">E为C类基金份额前一日基金资产净值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48" w:name="_Hlk101476883"/>
      <w:r>
        <w:rPr>
          <w:rFonts w:asciiTheme="minorEastAsia" w:eastAsiaTheme="minorEastAsia" w:hAnsiTheme="minorEastAsia" w:hint="eastAsia"/>
          <w:szCs w:val="24"/>
        </w:rPr>
        <w:t>基金销售服务费每日计算，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休息日或不可抗力致使无法按时支付的，支付日期顺延</w:t>
      </w:r>
      <w:bookmarkEnd w:id="48"/>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End w:id="45"/>
      <w:r>
        <w:rPr>
          <w:rFonts w:asciiTheme="minorEastAsia" w:eastAsiaTheme="minorEastAsia" w:hAnsiTheme="minorEastAsia" w:hint="eastAsia"/>
          <w:szCs w:val="24"/>
        </w:rPr>
        <w:t>11.4基金合同生效后与基金相关的信息披露费用、基金合同生效后与基金相关的会计师费、律师费、诉讼费和仲裁费、基金份额持有人大会费用、基金的证券、期货交易费用、基金的银行汇划费用、证券账户开户费用、银行账户维护费用、因投资港股</w:t>
      </w:r>
      <w:r>
        <w:rPr>
          <w:rFonts w:asciiTheme="minorEastAsia" w:eastAsiaTheme="minorEastAsia" w:hAnsiTheme="minorEastAsia" w:hint="eastAsia"/>
          <w:szCs w:val="24"/>
        </w:rPr>
        <w:t>通股票</w:t>
      </w:r>
      <w:r>
        <w:rPr>
          <w:rFonts w:asciiTheme="minorEastAsia" w:eastAsiaTheme="minorEastAsia" w:hAnsiTheme="minorEastAsia" w:hint="eastAsia"/>
          <w:szCs w:val="24"/>
        </w:rPr>
        <w:t>而产生的各项合理费用等根据有关法律法规、基金合同及相应协议的规定，由基金托管人按基金管理人的划款指令并根据费用实际支出金额支付，列入或摊入当期基金费用。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11.5不列入基金费用的项目</w:t>
      </w:r>
    </w:p>
    <w:p w:rsidR="00F07D82">
      <w:pPr>
        <w:adjustRightInd w:val="0"/>
        <w:snapToGrid w:val="0"/>
        <w:spacing w:line="520" w:lineRule="atLeast"/>
        <w:ind w:firstLine="480" w:firstLineChars="200"/>
        <w:rPr>
          <w:rFonts w:asciiTheme="minorEastAsia" w:eastAsiaTheme="minorEastAsia" w:hAnsiTheme="minorEastAsia"/>
          <w:bCs/>
          <w:sz w:val="24"/>
          <w:szCs w:val="24"/>
        </w:rPr>
      </w:pPr>
      <w:bookmarkStart w:id="49" w:name="_Hlk101546439"/>
      <w:r>
        <w:rPr>
          <w:rFonts w:asciiTheme="minorEastAsia" w:eastAsiaTheme="minorEastAsia" w:hAnsiTheme="minorEastAsia" w:hint="eastAsia"/>
          <w:bCs/>
          <w:sz w:val="24"/>
          <w:szCs w:val="24"/>
        </w:rPr>
        <w:t>（1）基金管理人和基金托管人因未履行或未完全履行义务导致的费用支出或基金财产的损失；</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（2）基金管理人和基金托管人处理与基金运作无关的事项发生的费用；</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（3）《基金合同》生效前的相关费用；</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（4）其他根据相关法律法规及中国证监会的有关规定不得列入基金费用的项目。</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End w:id="49"/>
      <w:r>
        <w:rPr>
          <w:rFonts w:asciiTheme="minorEastAsia" w:eastAsiaTheme="minorEastAsia" w:hAnsiTheme="minorEastAsia" w:hint="eastAsia"/>
          <w:szCs w:val="24"/>
        </w:rPr>
        <w:t>11.6基金管理费、基金托管费和销售服务费的调整</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在不对基金份额持有人权益产生实质性不利影响的情况下，基金管理人和基金托管人协商一致且在履行适当程序后，可按照基金发展情况，并根据法律法规规定和基金合同约定酌情调整基金管理费率、基金托管费率和销售服务费等相关费率。</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基金管理人必须于新的费率实施日前依照《信息披露办法》的规定在规定媒介上公告。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11.7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50" w:name="_Toc296551348"/>
      <w:bookmarkStart w:id="51" w:name="_Toc44321711"/>
      <w:r>
        <w:rPr>
          <w:rFonts w:asciiTheme="minorEastAsia" w:eastAsiaTheme="minorEastAsia" w:hAnsiTheme="minorEastAsia" w:hint="eastAsia"/>
          <w:bCs/>
          <w:color w:val="auto"/>
          <w:szCs w:val="24"/>
        </w:rPr>
        <w:t>第十二条 基金份额持有人名册的保管</w:t>
      </w:r>
      <w:bookmarkEnd w:id="50"/>
      <w:bookmarkEnd w:id="51"/>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12.1基金管理人和基金托管人须分别妥善保管基金份额持有人名册，基金份额持有人名册的内容必须包括基金份额持有人的名称和持有的基金份额。</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12.2</w:t>
      </w:r>
      <w:r w:rsidRPr="005A4D8F">
        <w:rPr>
          <w:rFonts w:asciiTheme="minorEastAsia" w:eastAsiaTheme="minorEastAsia" w:hAnsiTheme="minorEastAsia" w:hint="eastAsia"/>
          <w:szCs w:val="24"/>
        </w:rPr>
        <w:t>对于每半年度最后一个工作日的基金份额持有人名册，基金管理人应在每半年年度结束后</w:t>
      </w:r>
      <w:r w:rsidRPr="005A4D8F">
        <w:rPr>
          <w:rFonts w:asciiTheme="minorEastAsia" w:eastAsiaTheme="minorEastAsia" w:hAnsiTheme="minorEastAsia"/>
          <w:szCs w:val="24"/>
        </w:rPr>
        <w:t>5</w:t>
      </w:r>
      <w:r w:rsidRPr="005A4D8F">
        <w:rPr>
          <w:rFonts w:asciiTheme="minorEastAsia" w:eastAsiaTheme="minorEastAsia" w:hAnsiTheme="minorEastAsia" w:hint="eastAsia"/>
          <w:szCs w:val="24"/>
        </w:rPr>
        <w:t>个工作日内定期向基金托管人提供。对于基金募集期结束时的基金份额持有人名册、收益分配基准日的基金份额持有人名册以及基金份额持有人大会权益登记日的基金份额持有人名册，基金管理人应在相关名册生成后</w:t>
      </w:r>
      <w:r w:rsidRPr="005A4D8F">
        <w:rPr>
          <w:rFonts w:asciiTheme="minorEastAsia" w:eastAsiaTheme="minorEastAsia" w:hAnsiTheme="minorEastAsia"/>
          <w:szCs w:val="24"/>
        </w:rPr>
        <w:t>5</w:t>
      </w:r>
      <w:r w:rsidRPr="005A4D8F">
        <w:rPr>
          <w:rFonts w:asciiTheme="minorEastAsia" w:eastAsiaTheme="minorEastAsia" w:hAnsiTheme="minorEastAsia" w:hint="eastAsia"/>
          <w:szCs w:val="24"/>
        </w:rPr>
        <w:t>个工作日内向基金托管人提供。</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12.3基金份额持有人名册由基金的基金登记机构根据基金管理人的指令编制和保管，基金管理人和基金托管人应按照目前相关规则分别保管基金份额持有人名册。保管方式可以采用电子或文档的形式。保管期限为</w:t>
      </w:r>
      <w:r>
        <w:rPr>
          <w:rFonts w:asciiTheme="minorEastAsia" w:eastAsiaTheme="minorEastAsia" w:hAnsiTheme="minorEastAsia"/>
          <w:szCs w:val="24"/>
        </w:rPr>
        <w:t>20</w:t>
      </w:r>
      <w:r>
        <w:rPr>
          <w:rFonts w:asciiTheme="minorEastAsia" w:eastAsiaTheme="minorEastAsia" w:hAnsiTheme="minorEastAsia" w:hint="eastAsia"/>
          <w:szCs w:val="24"/>
        </w:rPr>
        <w:t>年，法律法规或监管规则另有规定的，从其规定。</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12.4</w:t>
      </w:r>
      <w:r>
        <w:rPr>
          <w:rFonts w:asciiTheme="minorEastAsia" w:eastAsiaTheme="minorEastAsia" w:hAnsiTheme="minorEastAsia" w:hint="eastAsia"/>
          <w:szCs w:val="24"/>
        </w:rPr>
        <w:t>若基金</w:t>
      </w:r>
      <w:r>
        <w:rPr>
          <w:rFonts w:asciiTheme="minorEastAsia" w:eastAsiaTheme="minorEastAsia" w:hAnsiTheme="minorEastAsia" w:hint="eastAsia"/>
          <w:szCs w:val="24"/>
        </w:rPr>
        <w:t>管理人或基金托管人由于自身原因无法妥善保管基金份额持有人名册，应按有关法规规定各自承担相应的责任。</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52" w:name="_Toc44321712"/>
      <w:bookmarkStart w:id="53" w:name="_Toc296551349"/>
      <w:r>
        <w:rPr>
          <w:rFonts w:asciiTheme="minorEastAsia" w:eastAsiaTheme="minorEastAsia" w:hAnsiTheme="minorEastAsia" w:hint="eastAsia"/>
          <w:bCs/>
          <w:color w:val="auto"/>
          <w:szCs w:val="24"/>
        </w:rPr>
        <w:t>第十三条 基金有关文件和档案的保存</w:t>
      </w:r>
      <w:bookmarkEnd w:id="52"/>
      <w:bookmarkEnd w:id="53"/>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13.1基金管理人、基金托管人按各自职责完整保存原始凭证、记账凭证、基金账册、交易记录和重要合同等，保存期限不少于</w:t>
      </w:r>
      <w:r>
        <w:rPr>
          <w:rFonts w:asciiTheme="minorEastAsia" w:eastAsiaTheme="minorEastAsia" w:hAnsiTheme="minorEastAsia"/>
          <w:szCs w:val="24"/>
        </w:rPr>
        <w:t>20</w:t>
      </w:r>
      <w:r>
        <w:rPr>
          <w:rFonts w:asciiTheme="minorEastAsia" w:eastAsiaTheme="minorEastAsia" w:hAnsiTheme="minorEastAsia" w:hint="eastAsia"/>
          <w:szCs w:val="24"/>
        </w:rPr>
        <w:t>年，对相关信息负有保密义务，但根据有关法律法规规定或有权机关要求披露的除外。其中，基金管理人应保存基金财产管理业务活动的记录、账册、报表和其他相关资料，基金托管人应保存基金托管业务活动的记录、账册、报表和其他相关资料。</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13.2基金管理人签署重大合同文本后，应及时将合同文本正本送达基金托管人处。基金管理人应及时将与本基金账务处理、资金划拨等有关的合同、协议传真给基金托管人。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13.3基金管理人或基金托管人变更后，未变更的一方有义务协助接任人接收基金的有关文件。</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54" w:name="_Toc296551350"/>
      <w:bookmarkStart w:id="55" w:name="_Toc44321713"/>
      <w:r>
        <w:rPr>
          <w:rFonts w:asciiTheme="minorEastAsia" w:eastAsiaTheme="minorEastAsia" w:hAnsiTheme="minorEastAsia" w:hint="eastAsia"/>
          <w:bCs/>
          <w:color w:val="auto"/>
          <w:szCs w:val="24"/>
        </w:rPr>
        <w:t>第十四条 基金管理人和基金托管人的更换</w:t>
      </w:r>
      <w:bookmarkEnd w:id="54"/>
      <w:bookmarkEnd w:id="55"/>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56" w:name="_Hlk101546501"/>
      <w:r>
        <w:rPr>
          <w:rFonts w:asciiTheme="minorEastAsia" w:eastAsiaTheme="minorEastAsia" w:hAnsiTheme="minorEastAsia" w:hint="eastAsia"/>
          <w:szCs w:val="24"/>
        </w:rPr>
        <w:t>14.1基金管理人的更换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14.1.1基金管理人的更换条件</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有下列情形之一的，基金管理人职责终止：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（1）基金管理人被依法取消基金管理资格；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（2）基金管理人依法解散、被依法撤销或被依法宣告破产；</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（3）基金管理人被基金份额持有人大会解任；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（4）法律法规</w:t>
      </w:r>
      <w:r>
        <w:rPr>
          <w:rFonts w:asciiTheme="minorEastAsia" w:eastAsiaTheme="minorEastAsia" w:hAnsiTheme="minorEastAsia" w:hint="eastAsia"/>
          <w:bCs/>
          <w:szCs w:val="24"/>
        </w:rPr>
        <w:t>及中国证监会规定的</w:t>
      </w:r>
      <w:r>
        <w:rPr>
          <w:rFonts w:asciiTheme="minorEastAsia" w:eastAsiaTheme="minorEastAsia" w:hAnsiTheme="minorEastAsia" w:hint="eastAsia"/>
          <w:szCs w:val="24"/>
        </w:rPr>
        <w:t>和基金合同约定的其他情形。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14.1.2基金管理人的更换程序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更换基金管理人必须依照如下程序进行：</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（1）提名：</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管理人由基金托管人或由单独或合计持有10%以上（含10%）基金份额的基金份额持有人提名；</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（3）临时基金管理人：</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管理人产生之前，由中国证监会指定临时基金管理人；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（4）备案：基金份额持有人大会更换基金管理人的决议须报中国证监会备案；</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（5）公告：基金管理人更换后，由基金托管人在更换基金管理人的基金份额持有人大会决议生效后2日内在规定媒介公告；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（6）交接：基金管理人职责终止的，基金管理人应妥善保管基金管理业务资料，及时向临时基金管理人或</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管理人办理基金管理业务的移交手续，临时基金管理人或</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管理人应及时接收。</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管理人应与基金托管人核对基金资产总值；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（7）审计：基金管理人职责终止的，应当按照法律法规规定聘请会计师事务所对基金财产进行审计，并将审计结果予以公告，同时报中国证监会备案。审计费用从基金财产中列支；</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（8）基金名称变更：基金管理人更换后，如果原任或</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管理人要求，应按其要求替换或删除基金名称中与</w:t>
      </w:r>
      <w:r>
        <w:rPr>
          <w:rFonts w:asciiTheme="minorEastAsia" w:eastAsiaTheme="minorEastAsia" w:hAnsiTheme="minorEastAsia" w:hint="eastAsia"/>
          <w:szCs w:val="24"/>
        </w:rPr>
        <w:t>原基金</w:t>
      </w:r>
      <w:r>
        <w:rPr>
          <w:rFonts w:asciiTheme="minorEastAsia" w:eastAsiaTheme="minorEastAsia" w:hAnsiTheme="minorEastAsia" w:hint="eastAsia"/>
          <w:szCs w:val="24"/>
        </w:rPr>
        <w:t>管理人有关的名称字样。</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14.2基金托管人的更换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14.2.1基金托管人的更换条件</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有下列情形之一的，基金托管人职责终止：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（1）基金托管人被依法取消基金托管资格；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（2）基金托管人依法解散、被依法撤销或被依法宣告破产；</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（3）基金托管人被基金份额持有人大会解任；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（4）法律法规</w:t>
      </w:r>
      <w:r>
        <w:rPr>
          <w:rFonts w:asciiTheme="minorEastAsia" w:eastAsiaTheme="minorEastAsia" w:hAnsiTheme="minorEastAsia" w:hint="eastAsia"/>
          <w:bCs/>
          <w:szCs w:val="24"/>
        </w:rPr>
        <w:t>及中国证监会规定的</w:t>
      </w:r>
      <w:r>
        <w:rPr>
          <w:rFonts w:asciiTheme="minorEastAsia" w:eastAsiaTheme="minorEastAsia" w:hAnsiTheme="minorEastAsia" w:hint="eastAsia"/>
          <w:szCs w:val="24"/>
        </w:rPr>
        <w:t>和基金合同约定的其他情形。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14.2.2基金托管人的更换程序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（1）提名：</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托管人由基金管理人或由单独或合计持有10%以上（含10%）基金份额的基金份额持有人提名；</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（3）临时基金托管人：</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托管人产生之前，由中国证监会指定临时基</w:t>
      </w:r>
      <w:r>
        <w:rPr>
          <w:rFonts w:asciiTheme="minorEastAsia" w:eastAsiaTheme="minorEastAsia" w:hAnsiTheme="minorEastAsia" w:hint="eastAsia"/>
          <w:szCs w:val="24"/>
        </w:rPr>
        <w:t>金托管人；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（4）备案：基金份额持有人大会更换基金托管人的决议须报中国证监会备案；</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（5）公告：基金托管人更换后，由基金管理人在更换基金托管人的基金份额持有人大会决议生效后2日内在规定媒介公告；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（6）交接：基金托管人职责终止的，应当妥善保管基金财产和基金托管业务资料，及时办理基金财产和基金托管业务的移交手续，</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托管人或者临时基金托管人应当及时接收。</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托管人与基金管理人核对基金资产总值；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（7）审计：基金托管人职责终止的，应当按照法律法规规定聘请会计师事务所对基金财产进行审计，并将审计结果予以公告，同时报中国证监会备案。审计费用从基金财产中列支。</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14.3基金管理人与基金托管人同时更换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14.3.1提名：如果基金管理人和基金托管人同时更换，由单独或合计持有基金总份额10%以上</w:t>
      </w:r>
      <w:r>
        <w:rPr>
          <w:rFonts w:asciiTheme="minorEastAsia" w:eastAsiaTheme="minorEastAsia" w:hAnsiTheme="minorEastAsia" w:hint="eastAsia"/>
          <w:bCs/>
          <w:szCs w:val="24"/>
        </w:rPr>
        <w:t>（含10%）</w:t>
      </w:r>
      <w:r>
        <w:rPr>
          <w:rFonts w:asciiTheme="minorEastAsia" w:eastAsiaTheme="minorEastAsia" w:hAnsiTheme="minorEastAsia" w:hint="eastAsia"/>
          <w:szCs w:val="24"/>
        </w:rPr>
        <w:t>的基金份额持有人提名新的基金管理人和基金托管人。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14.3.2基金管理人和基金托管人的更换分别按上述程序进行。</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14.3.3公告：</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管理人和</w:t>
      </w:r>
      <w:r>
        <w:rPr>
          <w:rFonts w:asciiTheme="minorEastAsia" w:eastAsiaTheme="minorEastAsia" w:hAnsiTheme="minorEastAsia" w:hint="eastAsia"/>
          <w:szCs w:val="24"/>
        </w:rPr>
        <w:t>新任基金</w:t>
      </w:r>
      <w:r>
        <w:rPr>
          <w:rFonts w:asciiTheme="minorEastAsia" w:eastAsiaTheme="minorEastAsia" w:hAnsiTheme="minorEastAsia" w:hint="eastAsia"/>
          <w:szCs w:val="24"/>
        </w:rPr>
        <w:t>托管人应在更换基金管理人和基金托管人的基金份额持有人大会决议生效后2日内在规定媒介上联合公告。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14.4本部</w:t>
      </w:r>
      <w:r>
        <w:rPr>
          <w:rFonts w:asciiTheme="minorEastAsia" w:eastAsiaTheme="minorEastAsia" w:hAnsiTheme="minorEastAsia" w:hint="eastAsia"/>
          <w:szCs w:val="24"/>
        </w:rPr>
        <w:t>分关于</w:t>
      </w:r>
      <w:r>
        <w:rPr>
          <w:rFonts w:asciiTheme="minorEastAsia" w:eastAsiaTheme="minorEastAsia" w:hAnsiTheme="minorEastAsia" w:hint="eastAsia"/>
          <w:szCs w:val="24"/>
        </w:rPr>
        <w:t>基金管理人、基金托管人更换条件和程序的约定，凡是直接引用法律法规的部分，如将来法律法规修改导致相关内容被取消或变更的，基金管理人与基金托管人协商一致并提前公告后，可直接对相应内容进行修改和调整，无需召开基金份额持有人大会审议。</w:t>
      </w:r>
      <w:bookmarkEnd w:id="56"/>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57" w:name="_Toc296551351"/>
      <w:bookmarkStart w:id="58" w:name="_Toc44321714"/>
      <w:r>
        <w:rPr>
          <w:rFonts w:asciiTheme="minorEastAsia" w:eastAsiaTheme="minorEastAsia" w:hAnsiTheme="minorEastAsia" w:hint="eastAsia"/>
          <w:bCs/>
          <w:color w:val="auto"/>
          <w:szCs w:val="24"/>
        </w:rPr>
        <w:t>第十五条 禁止行为</w:t>
      </w:r>
      <w:bookmarkEnd w:id="57"/>
      <w:bookmarkEnd w:id="58"/>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15.1基金管理人、基金托管人禁止从事的行为，包括但不限于：</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15.1.1基金管理人、基金托管人将其固有财产或者他人财产混同于基金财产从事证券投资。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15.1.2基金管理人不公平地对待其管理的不同基金财产，基金托管人不公平地对待其托管的不同基金财产。</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15.1.3基金管理人、基金托管人利用基金财产为基金份额持有人以外的第三人牟取利益。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15.1.4基金管理人、基金托管人向基金份额持有人违规承诺收益或者承担损失。</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15.1.5基金管理人、基金托管人对他人泄漏基金运作和管理过程中任何尚未按法律法规规定的方式公开披露的信息。</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15.1.6基金管理人在没有充足资金的情况下向基金托管人发出投资指令和赎回、分红资金的划拨指令，或违规向基金托管人发出指令。</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15.1.7基金管理人、基金托管人在行政上、财务上不独立，其高级管理人员和其他从业人员相互兼职。</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15.1.8基金托管人私自动用或处分基金财产，根据基金管理人的合法指令、基金合同或本协议的规定进行处分的除外。</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15.1.9基金财产用于下列投资或者活动：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59" w:name="_Hlk101546618"/>
      <w:r>
        <w:rPr>
          <w:rFonts w:asciiTheme="minorEastAsia" w:eastAsiaTheme="minorEastAsia" w:hAnsiTheme="minorEastAsia" w:hint="eastAsia"/>
          <w:szCs w:val="24"/>
        </w:rPr>
        <w:t>（1）承销证券；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bCs/>
          <w:szCs w:val="24"/>
        </w:rPr>
        <w:t>违反规定</w:t>
      </w:r>
      <w:r>
        <w:rPr>
          <w:rFonts w:asciiTheme="minorEastAsia" w:eastAsiaTheme="minorEastAsia" w:hAnsiTheme="minorEastAsia" w:hint="eastAsia"/>
          <w:szCs w:val="24"/>
        </w:rPr>
        <w:t>向他人贷款或者提供担保；</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（3）从事承担无限责任的投资；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（4）买卖其他基金份额，但是中国证监会另有规定的除外；</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（5）向其基金管理人、基金托管人出资；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（6）从事内幕交易、操纵证券交易价格及其他不正当的证券交易活动；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bCs/>
          <w:szCs w:val="24"/>
        </w:rPr>
        <w:t>（7）法律、行政法规和中国证监会规定禁止的其他活动</w:t>
      </w:r>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End w:id="59"/>
      <w:r>
        <w:rPr>
          <w:rFonts w:asciiTheme="minorEastAsia" w:eastAsiaTheme="minorEastAsia" w:hAnsiTheme="minorEastAsia" w:hint="eastAsia"/>
          <w:szCs w:val="24"/>
        </w:rPr>
        <w:t>15.1.10法律法规或监管部门取消</w:t>
      </w:r>
      <w:r>
        <w:rPr>
          <w:rFonts w:asciiTheme="minorEastAsia" w:eastAsiaTheme="minorEastAsia" w:hAnsiTheme="minorEastAsia" w:hint="eastAsia"/>
          <w:bCs/>
          <w:szCs w:val="24"/>
        </w:rPr>
        <w:t>或变更上述禁止性规定，如适用于本基金</w:t>
      </w:r>
      <w:r>
        <w:rPr>
          <w:rFonts w:asciiTheme="minorEastAsia" w:eastAsiaTheme="minorEastAsia" w:hAnsiTheme="minorEastAsia" w:hint="eastAsia"/>
          <w:szCs w:val="24"/>
        </w:rPr>
        <w:t>，基金管理人在履行适当程序后，</w:t>
      </w:r>
      <w:r>
        <w:rPr>
          <w:rFonts w:asciiTheme="minorEastAsia" w:eastAsiaTheme="minorEastAsia" w:hAnsiTheme="minorEastAsia" w:hint="eastAsia"/>
          <w:bCs/>
          <w:szCs w:val="24"/>
        </w:rPr>
        <w:t>可不受上述规定的限制或按变更后的规定执行</w:t>
      </w:r>
      <w:r>
        <w:rPr>
          <w:rFonts w:asciiTheme="minorEastAsia" w:eastAsiaTheme="minorEastAsia" w:hAnsiTheme="minorEastAsia" w:hint="eastAsia"/>
          <w:szCs w:val="24"/>
        </w:rPr>
        <w:t>。</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60" w:name="_Toc296551352"/>
      <w:bookmarkStart w:id="61" w:name="_Toc44321715"/>
      <w:r>
        <w:rPr>
          <w:rFonts w:asciiTheme="minorEastAsia" w:eastAsiaTheme="minorEastAsia" w:hAnsiTheme="minorEastAsia" w:hint="eastAsia"/>
          <w:bCs/>
          <w:color w:val="auto"/>
          <w:szCs w:val="24"/>
        </w:rPr>
        <w:t>第十六条 本协议的变更、终止与基金财产的清算</w:t>
      </w:r>
      <w:bookmarkEnd w:id="60"/>
      <w:bookmarkEnd w:id="61"/>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16.1本协议的变更与终止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16.1.1本协议的变更程序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本协议双方当事人经协商一致，可以对协议的内容进行变更。变更后的托管协议，其内容不得与基金合同的规定有任何冲突。本协议的变更报中国证监会备案。</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16.1.2本协议终止的情形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发生以下情况，本协议终止：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（1）基金合同终止；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（2）基金托管人解散、依法被撤销、破产或由其他基金托管人接管基金资产；</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（3）基金管理人解散、依法被撤销、破产或由其他基金管理人接管基金管理业务；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w:t>
      </w:r>
      <w:r w:rsidRPr="005A4D8F">
        <w:rPr>
          <w:rFonts w:asciiTheme="minorEastAsia" w:eastAsiaTheme="minorEastAsia" w:hAnsiTheme="minorEastAsia" w:hint="eastAsia"/>
          <w:szCs w:val="24"/>
        </w:rPr>
        <w:t>基金托管人发现基金管理人有下列情形的，</w:t>
      </w:r>
      <w:r w:rsidR="00FB2428" w:rsidRPr="00FB2428">
        <w:rPr>
          <w:rFonts w:asciiTheme="minorEastAsia" w:eastAsiaTheme="minorEastAsia" w:hAnsiTheme="minorEastAsia" w:hint="eastAsia"/>
          <w:szCs w:val="24"/>
        </w:rPr>
        <w:t>经中国证监会允许，</w:t>
      </w:r>
      <w:r w:rsidRPr="005A4D8F">
        <w:rPr>
          <w:rFonts w:asciiTheme="minorEastAsia" w:eastAsiaTheme="minorEastAsia" w:hAnsiTheme="minorEastAsia" w:hint="eastAsia"/>
          <w:szCs w:val="24"/>
        </w:rPr>
        <w:t>有权终止本协议，并要求基金管理人赔偿损失：</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sidRPr="005A4D8F">
        <w:rPr>
          <w:rFonts w:asciiTheme="minorEastAsia" w:eastAsiaTheme="minorEastAsia" w:hAnsiTheme="minorEastAsia" w:hint="eastAsia"/>
          <w:szCs w:val="24"/>
        </w:rPr>
        <w:t>①违反基金合同的投资目的，不当处分产品财产的；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sidRPr="005A4D8F">
        <w:rPr>
          <w:rFonts w:asciiTheme="minorEastAsia" w:eastAsiaTheme="minorEastAsia" w:hAnsiTheme="minorEastAsia" w:hint="eastAsia"/>
          <w:szCs w:val="24"/>
        </w:rPr>
        <w:t>②未能遵守或履行基金合同及本协议约定的有关承诺、义务、陈述或保证；</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sidRPr="005A4D8F">
        <w:rPr>
          <w:rFonts w:asciiTheme="minorEastAsia" w:eastAsiaTheme="minorEastAsia" w:hAnsiTheme="minorEastAsia" w:hint="eastAsia"/>
          <w:szCs w:val="24"/>
        </w:rPr>
        <w:t>③被依法取消基金管理人资质或经营异常。</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（5）发生法律法规或基金合同规定的终止事项。</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16.2基金财产的清算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16.2.1基金财产清算小组</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bookmarkStart w:id="62" w:name="_Hlk101546922"/>
      <w:r>
        <w:rPr>
          <w:rFonts w:asciiTheme="minorEastAsia" w:eastAsiaTheme="minorEastAsia" w:hAnsiTheme="minorEastAsia" w:hint="eastAsia"/>
          <w:szCs w:val="24"/>
        </w:rPr>
        <w:t>（1）基金财产清算小组：自出现《基金合同》终止事由之日起30个工作日内成立清算小组，基金管理人组织基金财产清算小组并在中国证监会的监督下进行基金清算。</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（3）基金财产清算小组职责：基金财产清算小组负责基金财产的保管、清理、估价、变现和分配。基金财产清算小组可以依法进行必要的民事活动。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16.2.2基金财产清算程序</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基金合同终止，应当按法律法规和基金合同的有关规定对基金财产进行清算。基金财产清算程序主要包括：</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（1）基金合同终止情形出现时，由基金财产清算小组统一接管基金；</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（2）对基金财产和债权债务进行清理和确认；</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（3）对基金财产进行估值和变现；</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（4）制作清算报告；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（5）聘请会计师事务所对清算报告进行外部审计，聘请律师事务所对清算报告出具法律意见书；</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（6）将清算报告报中国证监会备案并公告；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（7）对基金剩余财产进行分配。</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bCs/>
          <w:szCs w:val="24"/>
        </w:rPr>
      </w:pPr>
      <w:r>
        <w:rPr>
          <w:rFonts w:asciiTheme="minorEastAsia" w:eastAsiaTheme="minorEastAsia" w:hAnsiTheme="minorEastAsia" w:hint="eastAsia"/>
          <w:bCs/>
          <w:szCs w:val="24"/>
        </w:rPr>
        <w:t>基金财产清算的期限为6个月，但因本基金所持证券的流动性受到限制而不能及时变现的，清算期限相应顺延。</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16.2.3清算费用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清算费用是指基金财产清算小组在进行基金清算过程中发生的所有合理费用，清算费用由基金财产清算小组优先从基金财产中支付。</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16.2.4基金财产按下列顺序清偿：</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（1）支付清算费用；</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（2）交纳所欠税款；</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（3）清偿基金债务；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（4）按基金份额持有人持有的基金份额比例进行分配。</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基金财产未按前款（1）－（3）项规定清偿前，不分配给基金份额持有人。</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16.2.5基金财产清算的公告</w:t>
      </w:r>
    </w:p>
    <w:p w:rsidR="00F07D82">
      <w:pPr>
        <w:adjustRightInd w:val="0"/>
        <w:snapToGrid w:val="0"/>
        <w:spacing w:line="520" w:lineRule="atLeast"/>
        <w:ind w:firstLine="480" w:firstLineChars="200"/>
        <w:rPr>
          <w:rFonts w:asciiTheme="minorEastAsia" w:eastAsiaTheme="minorEastAsia" w:hAnsiTheme="minorEastAsia"/>
          <w:bCs/>
          <w:sz w:val="24"/>
          <w:szCs w:val="24"/>
        </w:rPr>
      </w:pPr>
      <w:r>
        <w:rPr>
          <w:rFonts w:asciiTheme="minorEastAsia" w:eastAsiaTheme="minorEastAsia" w:hAnsiTheme="minorEastAsia" w:hint="eastAsia"/>
          <w:bCs/>
          <w:sz w:val="24"/>
          <w:szCs w:val="24"/>
        </w:rPr>
        <w:t>清算过程中的有关重大事项须及时公告；基金财产清算报告</w:t>
      </w:r>
      <w:r>
        <w:rPr>
          <w:rFonts w:asciiTheme="minorEastAsia" w:eastAsiaTheme="minorEastAsia" w:hAnsiTheme="minorEastAsia" w:hint="eastAsia"/>
          <w:bCs/>
          <w:sz w:val="24"/>
          <w:szCs w:val="24"/>
        </w:rPr>
        <w:t>经符合</w:t>
      </w:r>
      <w:r>
        <w:rPr>
          <w:rFonts w:asciiTheme="minorEastAsia" w:eastAsiaTheme="minorEastAsia" w:hAnsiTheme="minorEastAsia" w:hint="eastAsia"/>
          <w:bCs/>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16.2.6基金财产清算账册及文件的保存</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基金财产清算账册及有关文件由基金托管人保存，保存期限不低于法律法规规定的最低期限。</w:t>
      </w:r>
      <w:bookmarkStart w:id="63" w:name="_Toc296551353"/>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64" w:name="_Toc44321716"/>
      <w:bookmarkEnd w:id="62"/>
      <w:r>
        <w:rPr>
          <w:rFonts w:asciiTheme="minorEastAsia" w:eastAsiaTheme="minorEastAsia" w:hAnsiTheme="minorEastAsia" w:hint="eastAsia"/>
          <w:bCs/>
          <w:color w:val="auto"/>
          <w:szCs w:val="24"/>
        </w:rPr>
        <w:t>第十七条 违约责任</w:t>
      </w:r>
      <w:bookmarkEnd w:id="63"/>
      <w:bookmarkEnd w:id="64"/>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17.1如果基金管理人或基金托管人不履行本协议或者履行本协议不符合约定的，应当承担违约责任。</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17.2因托管协议当事人违约给基金财产或者基金份额持有人造成损害的，</w:t>
      </w:r>
      <w:bookmarkStart w:id="65" w:name="_Hlk101546994"/>
      <w:r>
        <w:rPr>
          <w:rFonts w:asciiTheme="minorEastAsia" w:eastAsiaTheme="minorEastAsia" w:hAnsiTheme="minorEastAsia" w:hint="eastAsia"/>
          <w:szCs w:val="24"/>
        </w:rPr>
        <w:t>应当分别对各自的行为依法承担赔偿责任，因共同行为给基金财产或者基金份额持有人造成损害的，应当承担连带赔偿责任</w:t>
      </w:r>
      <w:bookmarkEnd w:id="65"/>
      <w:r>
        <w:rPr>
          <w:rFonts w:asciiTheme="minorEastAsia" w:eastAsiaTheme="minorEastAsia" w:hAnsiTheme="minorEastAsia" w:hint="eastAsia"/>
          <w:szCs w:val="24"/>
        </w:rPr>
        <w:t>。但是发生下列情况，当事人可以免责：</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（1）不可抗力；</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（2）基金管理人</w:t>
      </w:r>
      <w:r>
        <w:rPr>
          <w:rFonts w:asciiTheme="minorEastAsia" w:eastAsiaTheme="minorEastAsia" w:hAnsiTheme="minorEastAsia" w:hint="eastAsia"/>
          <w:bCs/>
          <w:szCs w:val="24"/>
        </w:rPr>
        <w:t>和/或</w:t>
      </w:r>
      <w:r>
        <w:rPr>
          <w:rFonts w:asciiTheme="minorEastAsia" w:eastAsiaTheme="minorEastAsia" w:hAnsiTheme="minorEastAsia" w:hint="eastAsia"/>
          <w:szCs w:val="24"/>
        </w:rPr>
        <w:t>基金托管人按照</w:t>
      </w:r>
      <w:r>
        <w:rPr>
          <w:rFonts w:asciiTheme="minorEastAsia" w:eastAsiaTheme="minorEastAsia" w:hAnsiTheme="minorEastAsia" w:hint="eastAsia"/>
          <w:bCs/>
          <w:szCs w:val="24"/>
        </w:rPr>
        <w:t>当时</w:t>
      </w:r>
      <w:r>
        <w:rPr>
          <w:rFonts w:asciiTheme="minorEastAsia" w:eastAsiaTheme="minorEastAsia" w:hAnsiTheme="minorEastAsia" w:hint="eastAsia"/>
          <w:szCs w:val="24"/>
        </w:rPr>
        <w:t>有效的法律法规或中国证监会的规定作为或不作为而造成的损失等；</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（3）基金管理人由于按照基金合同规定的投资原则</w:t>
      </w:r>
      <w:r>
        <w:rPr>
          <w:rFonts w:asciiTheme="minorEastAsia" w:eastAsiaTheme="minorEastAsia" w:hAnsiTheme="minorEastAsia" w:hint="eastAsia"/>
          <w:bCs/>
          <w:szCs w:val="24"/>
        </w:rPr>
        <w:t>投资或不投资</w:t>
      </w:r>
      <w:r>
        <w:rPr>
          <w:rFonts w:asciiTheme="minorEastAsia" w:eastAsiaTheme="minorEastAsia" w:hAnsiTheme="minorEastAsia" w:hint="eastAsia"/>
          <w:szCs w:val="24"/>
        </w:rPr>
        <w:t>造成的直接损失等。</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17.3如果由于本协议一方当事人（以下简称“违约方”）的违约行为给基金财产或基金份额持有人造成损失，另一方当事人（以下简称“非违约方”）有权利并且有义务代表基金对违约方进行追偿；如果由于违约方的违约行为导致守约方赔偿了该基金财产或基金份额持有人所遭受的损失，则非违约方有权向违约方追索，违约方应赔偿和补偿守约方由此发生的所有成本、费用和支出，以及由此遭受的损失。</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17.4一方当事人违约，</w:t>
      </w:r>
      <w:bookmarkStart w:id="66" w:name="_Hlk101547159"/>
      <w:r>
        <w:rPr>
          <w:rFonts w:asciiTheme="minorEastAsia" w:eastAsiaTheme="minorEastAsia" w:hAnsiTheme="minorEastAsia" w:hint="eastAsia"/>
          <w:szCs w:val="24"/>
        </w:rPr>
        <w:t>非违约方当事人在职责范围内有义务及时采取必要的措施，防止损失的扩大。没有采取适当措施致使损失进一步扩大的，不得就扩大的损失要求赔偿。非违约方因防止损失扩大而支出的合理费用由违约方承担</w:t>
      </w:r>
      <w:bookmarkEnd w:id="66"/>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17.5违约行为虽已发生，但本协议能够继续履行的，在最大限度地保护基金份额持有人利益的前提下，基金管理人和基金托管人应当继续履行本协议。</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17.6</w:t>
      </w:r>
      <w:bookmarkStart w:id="67" w:name="_Hlk101547195"/>
      <w:r>
        <w:rPr>
          <w:rFonts w:asciiTheme="minorEastAsia" w:eastAsiaTheme="minorEastAsia" w:hAnsiTheme="minorEastAsia" w:hint="eastAsia"/>
          <w:szCs w:val="24"/>
        </w:rPr>
        <w:t>由于基金管理人、基金托管人不可控制的因素导致业务出现差错，基金管理人和基金托管人虽然已经采取必要、适当、合理的措施进行检查，</w:t>
      </w:r>
      <w:r>
        <w:rPr>
          <w:rFonts w:hint="eastAsia"/>
          <w:bCs/>
        </w:rPr>
        <w:t>但未能发现该错误或</w:t>
      </w:r>
      <w:r>
        <w:rPr>
          <w:rFonts w:hint="eastAsia"/>
          <w:bCs/>
        </w:rPr>
        <w:t>虽发现</w:t>
      </w:r>
      <w:r>
        <w:rPr>
          <w:rFonts w:hint="eastAsia"/>
          <w:bCs/>
        </w:rPr>
        <w:t>错误但因前述原因无法及时更正的</w:t>
      </w:r>
      <w:r>
        <w:rPr>
          <w:rFonts w:asciiTheme="minorEastAsia" w:eastAsiaTheme="minorEastAsia" w:hAnsiTheme="minorEastAsia" w:hint="eastAsia"/>
          <w:szCs w:val="24"/>
        </w:rPr>
        <w:t>，由此造成基金财产或基金份额持有人损失，基金管理人和基金托管人免除赔偿责任。但是基金管理人和基金托管人应积极采取必要的措施减轻或消除由此造成的影响</w:t>
      </w:r>
      <w:bookmarkEnd w:id="67"/>
      <w:r>
        <w:rPr>
          <w:rFonts w:asciiTheme="minorEastAsia" w:eastAsiaTheme="minorEastAsia" w:hAnsiTheme="minorEastAsia" w:hint="eastAsia"/>
          <w:szCs w:val="24"/>
        </w:rPr>
        <w:t>。</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17.7本协议所指损失均为直接损失。</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68" w:name="_Toc296551354"/>
      <w:bookmarkStart w:id="69" w:name="_Toc44321717"/>
      <w:r>
        <w:rPr>
          <w:rFonts w:asciiTheme="minorEastAsia" w:eastAsiaTheme="minorEastAsia" w:hAnsiTheme="minorEastAsia" w:hint="eastAsia"/>
          <w:bCs/>
          <w:color w:val="auto"/>
          <w:szCs w:val="24"/>
        </w:rPr>
        <w:t>第十八条 法律适用和争议解决</w:t>
      </w:r>
      <w:bookmarkEnd w:id="68"/>
      <w:bookmarkEnd w:id="69"/>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本协议的效力、解释、变更、执行及争议的解决等均适用中华人民共和国法律（为本协议之目的，不包括香港特别行政区、澳门特别行政区以及台湾地区法律）并从其解释，没有相关成文规定的，参照通用的商业惯例和（或）行业惯例。</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凡因本协议产生的及与本协议有关的争议，双方均应协商、调解解决；协商不成的，双方均同意采取以下第1种方式解决：</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1.向上海国际仲裁中心申请仲裁，仲裁地为上海市，并适用申请仲裁时该仲裁</w:t>
      </w:r>
      <w:r>
        <w:rPr>
          <w:rFonts w:asciiTheme="minorEastAsia" w:eastAsiaTheme="minorEastAsia" w:hAnsiTheme="minorEastAsia" w:hint="eastAsia"/>
          <w:szCs w:val="24"/>
        </w:rPr>
        <w:t>机构现行有效的仲裁规则；</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2.向基金托管人住所地有管辖权的人民法院提起诉讼。</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争议处理期间，双方当事人应恪守基金管理人和基金托管人职责，继续忠实、勤勉、尽责地履行基金合同和本协议规定的义务，维护基金份额持有人的合法权益。</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70" w:name="_Toc296551355"/>
      <w:bookmarkStart w:id="71" w:name="_Toc44321718"/>
      <w:r>
        <w:rPr>
          <w:rFonts w:asciiTheme="minorEastAsia" w:eastAsiaTheme="minorEastAsia" w:hAnsiTheme="minorEastAsia" w:hint="eastAsia"/>
          <w:bCs/>
          <w:color w:val="auto"/>
          <w:szCs w:val="24"/>
        </w:rPr>
        <w:t>第十九条 本协议的效力</w:t>
      </w:r>
      <w:bookmarkEnd w:id="70"/>
      <w:bookmarkEnd w:id="71"/>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19.1基金管理人在向中国证监会申请发售基金份额时提交的托管协议草案，应经托管协议当事人加盖公章或合同专用章以及双方法定代表人/负责人或授权代理人签字或盖章，本协议当事人双方可能不时根据中国证监会的意见修改托管协议草案。本协议以中国证监会注册的最终文本为正式文本。</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19.2本协议自基金合同成立之日起成立，自基金合同生效之日起生效。本协议的有效期自其生效之日起至该基金财产清算结果报中国证监会备案并公告之日止。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19.3本协议自生效之日起对双方具有同等的法律约束力。</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19.4本协议正本一式三份，除上报有关监管机构一份外，基金管理人和基金托管人分别持有一份，每份具有同等的法律效力。</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72" w:name="_Toc296551356"/>
      <w:bookmarkStart w:id="73" w:name="_Toc44321719"/>
      <w:r>
        <w:rPr>
          <w:rFonts w:asciiTheme="minorEastAsia" w:eastAsiaTheme="minorEastAsia" w:hAnsiTheme="minorEastAsia" w:hint="eastAsia"/>
          <w:bCs/>
          <w:color w:val="auto"/>
          <w:szCs w:val="24"/>
        </w:rPr>
        <w:t>第二十条 本协议的签订</w:t>
      </w:r>
      <w:bookmarkEnd w:id="72"/>
      <w:bookmarkEnd w:id="73"/>
    </w:p>
    <w:p w:rsidR="00F07D82">
      <w:pPr>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20.1本协议经基金管理人和基金托管人认可后，由双方当事人在本协议上加盖公章或合同专用章，并由各自的法定代表人/负责人或授权代理人签字或盖章，并注明本托管协议的签订地点和签订日期。</w:t>
      </w:r>
    </w:p>
    <w:p w:rsidR="00F07D82">
      <w:pPr>
        <w:pStyle w:val="Heading1"/>
        <w:adjustRightInd w:val="0"/>
        <w:spacing w:line="520" w:lineRule="atLeast"/>
        <w:ind w:firstLine="480" w:firstLineChars="200"/>
        <w:rPr>
          <w:rFonts w:asciiTheme="minorEastAsia" w:eastAsiaTheme="minorEastAsia" w:hAnsiTheme="minorEastAsia"/>
          <w:bCs/>
          <w:color w:val="auto"/>
          <w:szCs w:val="24"/>
        </w:rPr>
      </w:pPr>
      <w:bookmarkStart w:id="74" w:name="_Toc44321720"/>
      <w:r>
        <w:rPr>
          <w:rFonts w:asciiTheme="minorEastAsia" w:eastAsiaTheme="minorEastAsia" w:hAnsiTheme="minorEastAsia" w:hint="eastAsia"/>
          <w:bCs/>
          <w:color w:val="auto"/>
          <w:szCs w:val="24"/>
        </w:rPr>
        <w:t>第二十一条 不可抗力</w:t>
      </w:r>
      <w:bookmarkEnd w:id="74"/>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21.1如果本协议任何一方因受不可抗力事件影响而未能履行其在本协议下的全部或部分义务，该义务的履行在不可抗力事件妨碍其履行期间应予中止。</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21.3不可抗力事件发生时，双方应立即通过友好协商决定如何执行本协议。不可抗力事件或其影响终止或消除后，双方须立即恢复履行各自在本协议项下的各</w:t>
      </w:r>
      <w:r>
        <w:rPr>
          <w:rFonts w:asciiTheme="minorEastAsia" w:eastAsiaTheme="minorEastAsia" w:hAnsiTheme="minorEastAsia" w:hint="eastAsia"/>
          <w:szCs w:val="24"/>
        </w:rPr>
        <w:t>项义务。</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21.4本条所述的不可抗力事件是指不能预见、不能避免并不能克服的客观情况。</w:t>
      </w:r>
    </w:p>
    <w:p w:rsidR="00F07D82">
      <w:pPr>
        <w:pStyle w:val="Heading1"/>
        <w:adjustRightInd w:val="0"/>
        <w:spacing w:line="520" w:lineRule="atLeast"/>
        <w:ind w:firstLine="480" w:firstLineChars="200"/>
        <w:rPr>
          <w:rFonts w:asciiTheme="minorEastAsia" w:eastAsiaTheme="minorEastAsia" w:hAnsiTheme="minorEastAsia"/>
          <w:bCs/>
          <w:szCs w:val="24"/>
        </w:rPr>
      </w:pPr>
      <w:bookmarkStart w:id="75" w:name="_Toc132794330"/>
      <w:bookmarkStart w:id="76" w:name="_Toc132794324"/>
      <w:bookmarkStart w:id="77" w:name="_Toc132794325"/>
      <w:bookmarkStart w:id="78" w:name="_Toc132794326"/>
      <w:bookmarkStart w:id="79" w:name="_Toc132794327"/>
      <w:bookmarkStart w:id="80" w:name="_Toc132794328"/>
      <w:bookmarkStart w:id="81" w:name="_Toc132794329"/>
      <w:bookmarkStart w:id="82" w:name="_Toc44321721"/>
      <w:bookmarkEnd w:id="75"/>
      <w:bookmarkEnd w:id="76"/>
      <w:bookmarkEnd w:id="77"/>
      <w:bookmarkEnd w:id="78"/>
      <w:bookmarkEnd w:id="79"/>
      <w:bookmarkEnd w:id="80"/>
      <w:bookmarkEnd w:id="81"/>
      <w:r>
        <w:rPr>
          <w:rFonts w:asciiTheme="minorEastAsia" w:eastAsiaTheme="minorEastAsia" w:hAnsiTheme="minorEastAsia" w:hint="eastAsia"/>
          <w:bCs/>
          <w:color w:val="auto"/>
          <w:szCs w:val="24"/>
        </w:rPr>
        <w:t>第二十二条 可分割性</w:t>
      </w:r>
      <w:bookmarkEnd w:id="82"/>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22.1如果本协议任何约定依现行法律被确定为无效或无法实施，本协议的其他条款将继续有效。此种情况下，双方将积极协商以达成有效的约定，且该有效约定应尽可能接近原规定和本协议相应的精神和宗旨。</w:t>
      </w:r>
    </w:p>
    <w:p w:rsidR="00F07D82">
      <w:pPr>
        <w:pStyle w:val="Heading1"/>
        <w:adjustRightInd w:val="0"/>
        <w:spacing w:line="520" w:lineRule="atLeast"/>
        <w:ind w:firstLine="480" w:firstLineChars="200"/>
        <w:rPr>
          <w:rFonts w:asciiTheme="minorEastAsia" w:eastAsiaTheme="minorEastAsia" w:hAnsiTheme="minorEastAsia"/>
          <w:bCs/>
          <w:szCs w:val="24"/>
        </w:rPr>
      </w:pPr>
      <w:bookmarkStart w:id="83" w:name="_Toc44321722"/>
      <w:r>
        <w:rPr>
          <w:rFonts w:asciiTheme="minorEastAsia" w:eastAsiaTheme="minorEastAsia" w:hAnsiTheme="minorEastAsia" w:hint="eastAsia"/>
          <w:bCs/>
          <w:color w:val="auto"/>
          <w:szCs w:val="24"/>
        </w:rPr>
        <w:t>第二十三条 通知与送达</w:t>
      </w:r>
      <w:bookmarkEnd w:id="83"/>
    </w:p>
    <w:p w:rsidR="00F07D82">
      <w:pPr>
        <w:autoSpaceDE w:val="0"/>
        <w:autoSpaceDN w:val="0"/>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23.1除本协议另有约定外，本协议项下的通知、要求、诉讼（仲裁）的法律文书或其他通信可交付或发送至本协议首部所约定的地址或联系方式。</w:t>
      </w:r>
    </w:p>
    <w:p w:rsidR="00F07D82">
      <w:pPr>
        <w:autoSpaceDE w:val="0"/>
        <w:autoSpaceDN w:val="0"/>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23.2就本协议项下一方给予另一方的任何通知、要求或其他通信，其中电传、电话、传真、电子邮件等一经发出即视为已送达另一方；邮政信函于投寄之日起第三日即视为已送达另一方；若派人专程送达，则另一方签收日视为送达，另一方拒收的，送达人可采取拍照、录像方式记录送达过程，并将文书留置，亦视为送达。</w:t>
      </w:r>
    </w:p>
    <w:p w:rsidR="00F07D82">
      <w:pPr>
        <w:autoSpaceDE w:val="0"/>
        <w:autoSpaceDN w:val="0"/>
        <w:adjustRightInd w:val="0"/>
        <w:snapToGrid w:val="0"/>
        <w:spacing w:line="520" w:lineRule="atLeast"/>
        <w:ind w:firstLine="480" w:firstLineChars="200"/>
        <w:rPr>
          <w:rFonts w:asciiTheme="minorEastAsia" w:eastAsiaTheme="minorEastAsia" w:hAnsiTheme="minorEastAsia"/>
          <w:sz w:val="24"/>
          <w:szCs w:val="24"/>
        </w:rPr>
      </w:pPr>
      <w:r>
        <w:rPr>
          <w:rFonts w:asciiTheme="minorEastAsia" w:eastAsiaTheme="minorEastAsia" w:hAnsiTheme="minorEastAsia" w:hint="eastAsia"/>
          <w:sz w:val="24"/>
          <w:szCs w:val="24"/>
        </w:rPr>
        <w:t>23.3司法机关或仲裁机构亦可按本款约定的地址、联系方式向</w:t>
      </w:r>
      <w:r>
        <w:rPr>
          <w:rFonts w:ascii="Arial" w:cs="Arial" w:hAnsi="Arial" w:hint="eastAsia"/>
          <w:sz w:val="24"/>
          <w:szCs w:val="24"/>
        </w:rPr>
        <w:t>任一方</w:t>
      </w:r>
      <w:r>
        <w:rPr>
          <w:rFonts w:asciiTheme="minorEastAsia" w:eastAsiaTheme="minorEastAsia" w:hAnsiTheme="minorEastAsia" w:hint="eastAsia"/>
          <w:sz w:val="24"/>
          <w:szCs w:val="24"/>
        </w:rPr>
        <w:t>发送相关（法律）文书，无人签收或</w:t>
      </w:r>
      <w:r>
        <w:rPr>
          <w:rFonts w:ascii="Arial" w:cs="Arial" w:hAnsi="Arial" w:hint="eastAsia"/>
          <w:sz w:val="24"/>
          <w:szCs w:val="24"/>
        </w:rPr>
        <w:t>该一方</w:t>
      </w:r>
      <w:r>
        <w:rPr>
          <w:rFonts w:asciiTheme="minorEastAsia" w:eastAsiaTheme="minorEastAsia" w:hAnsiTheme="minorEastAsia" w:hint="eastAsia"/>
          <w:sz w:val="24"/>
          <w:szCs w:val="24"/>
        </w:rPr>
        <w:t>拒收的，则（法律）文书退回之日视为送达之日；若直接送达时</w:t>
      </w:r>
      <w:r>
        <w:rPr>
          <w:rFonts w:ascii="Arial" w:cs="Arial" w:hAnsi="Arial" w:hint="eastAsia"/>
          <w:sz w:val="24"/>
          <w:szCs w:val="24"/>
        </w:rPr>
        <w:t>该一方</w:t>
      </w:r>
      <w:r>
        <w:rPr>
          <w:rFonts w:asciiTheme="minorEastAsia" w:eastAsiaTheme="minorEastAsia" w:hAnsiTheme="minorEastAsia" w:hint="eastAsia"/>
          <w:sz w:val="24"/>
          <w:szCs w:val="24"/>
        </w:rPr>
        <w:t>拒收的，送达人可采取拍照、录像方式记录送达过程，并将（法律）文书留置，亦视为送达。</w:t>
      </w:r>
      <w:r>
        <w:rPr>
          <w:rFonts w:ascii="Arial" w:cs="Arial" w:hAnsi="Arial" w:hint="eastAsia"/>
          <w:sz w:val="24"/>
          <w:szCs w:val="24"/>
        </w:rPr>
        <w:t>该一方</w:t>
      </w:r>
      <w:r>
        <w:rPr>
          <w:rFonts w:asciiTheme="minorEastAsia" w:eastAsiaTheme="minorEastAsia" w:hAnsiTheme="minorEastAsia" w:hint="eastAsia"/>
          <w:sz w:val="24"/>
          <w:szCs w:val="24"/>
        </w:rPr>
        <w:t>提供错误联系方式或未及时告知变更后联系方式的，导致（法律）文书未能送达或退回的，则（法律）文书退回之日视为送达之日。</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23.4如果</w:t>
      </w:r>
      <w:r>
        <w:rPr>
          <w:rFonts w:ascii="Arial" w:cs="Arial" w:hAnsi="Arial" w:hint="eastAsia"/>
          <w:szCs w:val="24"/>
        </w:rPr>
        <w:t>任一方</w:t>
      </w:r>
      <w:r>
        <w:rPr>
          <w:rFonts w:asciiTheme="minorEastAsia" w:eastAsiaTheme="minorEastAsia" w:hAnsiTheme="minorEastAsia" w:hint="eastAsia"/>
          <w:szCs w:val="24"/>
        </w:rPr>
        <w:t>提供的</w:t>
      </w:r>
      <w:r>
        <w:rPr>
          <w:rFonts w:asciiTheme="minorEastAsia" w:eastAsiaTheme="minorEastAsia" w:hAnsiTheme="minorEastAsia" w:hint="eastAsia"/>
          <w:szCs w:val="24"/>
        </w:rPr>
        <w:t>上述联系</w:t>
      </w:r>
      <w:r>
        <w:rPr>
          <w:rFonts w:asciiTheme="minorEastAsia" w:eastAsiaTheme="minorEastAsia" w:hAnsiTheme="minorEastAsia" w:hint="eastAsia"/>
          <w:szCs w:val="24"/>
        </w:rPr>
        <w:t>方式发生变更的，应在变更后三日内书面通知</w:t>
      </w:r>
      <w:r>
        <w:rPr>
          <w:rFonts w:ascii="Arial" w:cs="Arial" w:hAnsi="Arial" w:hint="eastAsia"/>
          <w:szCs w:val="24"/>
        </w:rPr>
        <w:t>另一方</w:t>
      </w:r>
      <w:r>
        <w:rPr>
          <w:rFonts w:asciiTheme="minorEastAsia" w:eastAsiaTheme="minorEastAsia" w:hAnsiTheme="minorEastAsia" w:hint="eastAsia"/>
          <w:szCs w:val="24"/>
        </w:rPr>
        <w:t>；在本协议项下债务进入诉讼或仲裁阶段后，则须以书面方式告知审理机关。否则按</w:t>
      </w:r>
      <w:r>
        <w:rPr>
          <w:rFonts w:asciiTheme="minorEastAsia" w:eastAsiaTheme="minorEastAsia" w:hAnsiTheme="minorEastAsia" w:hint="eastAsia"/>
          <w:szCs w:val="24"/>
        </w:rPr>
        <w:t>原联系</w:t>
      </w:r>
      <w:r>
        <w:rPr>
          <w:rFonts w:asciiTheme="minorEastAsia" w:eastAsiaTheme="minorEastAsia" w:hAnsiTheme="minorEastAsia" w:hint="eastAsia"/>
          <w:szCs w:val="24"/>
        </w:rPr>
        <w:t>方式发出的通知或其他文书，即使变更方没有收到，仍视为送达。</w:t>
      </w:r>
    </w:p>
    <w:p w:rsidR="00F07D82">
      <w:pPr>
        <w:pStyle w:val="Heading1"/>
        <w:adjustRightInd w:val="0"/>
        <w:spacing w:line="520" w:lineRule="atLeast"/>
        <w:ind w:firstLine="480" w:firstLineChars="200"/>
        <w:rPr>
          <w:rFonts w:asciiTheme="minorEastAsia" w:eastAsiaTheme="minorEastAsia" w:hAnsiTheme="minorEastAsia"/>
          <w:bCs/>
          <w:szCs w:val="24"/>
        </w:rPr>
      </w:pPr>
      <w:bookmarkStart w:id="84" w:name="_Toc44321723"/>
      <w:r>
        <w:rPr>
          <w:rFonts w:asciiTheme="minorEastAsia" w:eastAsiaTheme="minorEastAsia" w:hAnsiTheme="minorEastAsia" w:hint="eastAsia"/>
          <w:bCs/>
          <w:color w:val="auto"/>
          <w:szCs w:val="24"/>
        </w:rPr>
        <w:t>第二十四条 其他约定事项</w:t>
      </w:r>
      <w:bookmarkEnd w:id="84"/>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r>
        <w:rPr>
          <w:rFonts w:asciiTheme="minorEastAsia" w:eastAsiaTheme="minorEastAsia" w:hAnsiTheme="minorEastAsia" w:hint="eastAsia"/>
          <w:szCs w:val="24"/>
        </w:rPr>
        <w:t>除本协议有明确定义外，本协议的用语定义适用基金合同的约定。本协议未尽事宜，当事人依据基金合同、有关法律法规等规定协商办理。</w:t>
      </w: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 xml:space="preserve">    如本条约定与其他条款约定冲突的，应以本条约定为准。</w:t>
      </w:r>
    </w:p>
    <w:p w:rsidR="00F07D82">
      <w:pPr>
        <w:widowControl/>
        <w:adjustRightInd w:val="0"/>
        <w:snapToGrid w:val="0"/>
        <w:spacing w:line="520" w:lineRule="atLeast"/>
        <w:ind w:firstLine="240" w:firstLineChars="10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（以下无正文）</w:t>
      </w: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（本页无正文，为编号</w:t>
      </w:r>
      <w:r>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rPr>
        <w:t>的《国泰君安价值精选混合型发起式证券投资基金托管协议》的签署页）</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基金管理人：上海国泰君安证券资产管理有限公司（盖章）</w:t>
      </w: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法定代表人</w:t>
      </w: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 xml:space="preserve">（或授权代理人）：           </w:t>
      </w: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签署日期：</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基金托管人：中信银行股份有限公司（盖章）</w:t>
      </w: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法定代表人/负责人</w:t>
      </w: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（或授权代理人）：</w:t>
      </w: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 xml:space="preserve">签署日期：                 </w:t>
      </w:r>
    </w:p>
    <w:p w:rsidR="00F07D82">
      <w:pPr>
        <w:pStyle w:val="BodyTextIndent2"/>
        <w:adjustRightInd w:val="0"/>
        <w:snapToGrid w:val="0"/>
        <w:spacing w:after="0" w:before="0" w:line="520" w:lineRule="atLeast"/>
        <w:ind w:firstLine="480" w:firstLineChars="200"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p>
    <w:p w:rsidR="00F07D82">
      <w:pPr>
        <w:pStyle w:val="BodyTextIndent2"/>
        <w:adjustRightInd w:val="0"/>
        <w:snapToGrid w:val="0"/>
        <w:spacing w:after="0" w:before="0" w:line="520" w:lineRule="atLeast"/>
        <w:ind w:left="0"/>
        <w:rPr>
          <w:rFonts w:asciiTheme="minorEastAsia" w:eastAsiaTheme="minorEastAsia" w:hAnsiTheme="minorEastAsia"/>
          <w:szCs w:val="24"/>
        </w:rPr>
      </w:pPr>
      <w:r>
        <w:rPr>
          <w:rFonts w:asciiTheme="minorEastAsia" w:eastAsiaTheme="minorEastAsia" w:hAnsiTheme="minorEastAsia" w:hint="eastAsia"/>
          <w:szCs w:val="24"/>
        </w:rPr>
        <w:t xml:space="preserve">签订地： </w:t>
      </w:r>
    </w:p>
    <w:p w:rsidR="00F07D82">
      <w:pPr>
        <w:pStyle w:val="BodyTextIndent2"/>
        <w:spacing w:after="0" w:before="0" w:line="520" w:lineRule="exact"/>
        <w:ind w:firstLine="480" w:firstLineChars="200" w:left="0"/>
        <w:rPr>
          <w:rFonts w:hAnsi="宋体"/>
          <w:szCs w:val="24"/>
        </w:rPr>
      </w:pPr>
    </w:p>
    <w:p w:rsidR="00F07D82">
      <w:pPr>
        <w:pStyle w:val="BodyTextIndent2"/>
        <w:spacing w:after="0" w:before="0" w:line="520" w:lineRule="exact"/>
        <w:ind w:left="0"/>
        <w:rPr>
          <w:rFonts w:hAnsi="宋体"/>
          <w:sz w:val="28"/>
          <w:szCs w:val="28"/>
        </w:rPr>
      </w:pPr>
      <w:r>
        <w:rPr>
          <w:rFonts w:hAnsi="宋体" w:hint="eastAsia"/>
          <w:szCs w:val="24"/>
        </w:rPr>
        <w:t xml:space="preserve"> </w:t>
      </w:r>
      <w:r>
        <w:rPr>
          <w:rFonts w:hAnsi="宋体" w:hint="eastAsia"/>
          <w:sz w:val="28"/>
          <w:szCs w:val="28"/>
        </w:rPr>
        <w:t xml:space="preserve">  </w:t>
      </w:r>
    </w:p>
    <w:p w:rsidR="00F07D82">
      <w:pPr>
        <w:autoSpaceDE w:val="0"/>
        <w:autoSpaceDN w:val="0"/>
        <w:adjustRightInd w:val="0"/>
        <w:spacing w:line="520" w:lineRule="exact"/>
        <w:ind w:right="23" w:rightChars="11"/>
        <w:rPr>
          <w:rFonts w:ascii="宋体" w:hAnsi="宋体"/>
          <w:sz w:val="28"/>
          <w:szCs w:val="28"/>
        </w:rPr>
      </w:pPr>
    </w:p>
    <w:sectPr>
      <w:headerReference r:id="rId8" w:type="even"/>
      <w:headerReference r:id="rId9" w:type="default"/>
      <w:footerReference r:id="rId10" w:type="even"/>
      <w:footerReference r:id="rId11" w:type="default"/>
      <w:headerReference r:id="rId12" w:type="first"/>
      <w:pgSz w:h="16840" w:w="11907"/>
      <w:pgMar w:bottom="935" w:footer="720" w:gutter="0" w:header="720" w:left="1678" w:right="1678" w:top="109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07D82">
    <w:pPr>
      <w:pStyle w:val="Footer"/>
      <w:framePr w:hAnchor="margin" w:vAnchor="text" w:wrap="around" w:xAlign="center" w:y="1"/>
      <w:rPr>
        <w:rStyle w:val="PageNumber"/>
      </w:rPr>
    </w:pPr>
    <w:r>
      <w:fldChar w:fldCharType="begin"/>
    </w:r>
    <w:r>
      <w:rPr>
        <w:rStyle w:val="PageNumber"/>
      </w:rPr>
      <w:instrText xml:space="preserve">PAGE  </w:instrText>
    </w:r>
    <w:r>
      <w:fldChar w:fldCharType="separate"/>
    </w:r>
    <w:r>
      <w:fldChar w:fldCharType="end"/>
    </w:r>
  </w:p>
  <w:p w:rsidR="00F07D82">
    <w:pPr>
      <w:pStyle w:val="Footer"/>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07D82">
    <w:pPr>
      <w:pStyle w:val="Footer"/>
      <w:framePr w:hAnchor="margin" w:vAnchor="text" w:wrap="around" w:xAlign="center" w:y="1"/>
      <w:rPr>
        <w:rStyle w:val="PageNumber"/>
      </w:rPr>
    </w:pPr>
    <w:r>
      <w:fldChar w:fldCharType="begin"/>
    </w:r>
    <w:r>
      <w:rPr>
        <w:rStyle w:val="PageNumber"/>
      </w:rPr>
      <w:instrText xml:space="preserve">PAGE  </w:instrText>
    </w:r>
    <w:r>
      <w:fldChar w:fldCharType="separate"/>
    </w:r>
    <w:r>
      <w:rPr>
        <w:rStyle w:val="PageNumber"/>
      </w:rPr>
      <w:t>41</w:t>
    </w:r>
    <w:r>
      <w:fldChar w:fldCharType="end"/>
    </w:r>
  </w:p>
  <w:p w:rsidR="00F07D82">
    <w:pPr>
      <w:pStyle w:val="Footer"/>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51" style="width:222.75pt;height:315.75pt;margin-top:0;margin-left:0;mso-position-horizontal:center;mso-position-horizontal-relative:page;mso-position-vertical:center;mso-position-vertical-relative:page;position:absolute;z-index:251660288" type="#_x0000_t75">
          <v:imagedata o:title="" r:id="rId1"/>
          <o:lock aspectratio="f" v:ext="edit"/>
        </v:shape>
      </w:pict>
    </w: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49" style="width:222.75pt;height:315.75pt;margin-top:0;margin-left:0;mso-position-horizontal:center;mso-position-horizontal-relative:page;mso-position-vertical:center;mso-position-vertical-relative:page;position:absolute;z-index:251658240" type="#_x0000_t75">
          <v:imagedata o:title="" r:id="rId1"/>
          <o:lock aspectratio="f" v:ext="edit"/>
        </v:shape>
      </w:pic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
      <w:pict>
        <v:shapetype coordsize="21600,21600" filled="f" id="_x0000_t75" o:preferrelative="t" o:spt="75" path="m@4@5l@4@11@9@11@9@5xe"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50" style="width:222.75pt;height:315.75pt;margin-top:0;margin-left:0;mso-position-horizontal:center;mso-position-horizontal-relative:page;mso-position-vertical:center;mso-position-vertical-relative:page;position:absolute;z-index:251659264" type="#_x0000_t75">
          <v:imagedata o:title="" r:id="rId1"/>
          <o:lock aspectratio="f" v:ext="edit"/>
        </v:shape>
      </w:pic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proofState w:grammar="clean"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g2ZmViMzIzZDAwNDg1NWRmZWM1NmZkODAxZTMyYzAifQ=="/>
  </w:docVars>
  <m:mathPr>
    <m:mathFont m:val="Cambria Math"/>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uiPriority="9"/>
    <w:lsdException w:name="heading 2" w:qFormat="1"/>
    <w:lsdException w:name="heading 3" w:qFormat="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toc 1" w:qFormat="1" w:uiPriority="39" w:unhideWhenUsed="1"/>
    <w:lsdException w:name="annotation text" w:qFormat="1"/>
    <w:lsdException w:name="header" w:qFormat="1" w:uiPriority="99"/>
    <w:lsdException w:name="footer" w:qFormat="1" w:uiPriority="99"/>
    <w:lsdException w:name="caption" w:qFormat="1" w:semiHidden="1" w:unhideWhenUsed="1"/>
    <w:lsdException w:name="annotation reference" w:qFormat="1"/>
    <w:lsdException w:name="Title" w:qFormat="1"/>
    <w:lsdException w:name="Default Paragraph Font" w:semiHidden="1" w:uiPriority="1" w:unhideWhenUsed="1"/>
    <w:lsdException w:name="Subtitle" w:qFormat="1"/>
    <w:lsdException w:name="Date" w:qFormat="1"/>
    <w:lsdException w:name="Body Text Indent 2" w:qFormat="1"/>
    <w:lsdException w:name="Hyperlink" w:qFormat="1" w:uiPriority="99"/>
    <w:lsdException w:name="FollowedHyperlink" w:qFormat="1"/>
    <w:lsdException w:name="Strong" w:qFormat="1"/>
    <w:lsdException w:name="Emphasis" w:qFormat="1"/>
    <w:lsdException w:name="Document Map" w:qFormat="1" w:uiPriority="99" w:unhideWhenUsed="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qFormat="1" w:semiHidden="1" w:uiPriority="99" w:unhideWhenUsed="1"/>
    <w:lsdException w:name="annotation subject" w:qFormat="1"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pPr>
      <w:widowControl w:val="0"/>
      <w:jc w:val="both"/>
    </w:pPr>
    <w:rPr>
      <w:kern w:val="2"/>
      <w:sz w:val="21"/>
    </w:rPr>
  </w:style>
  <w:style w:styleId="Heading1" w:type="paragraph">
    <w:name w:val="heading 1"/>
    <w:basedOn w:val="Normal"/>
    <w:next w:val="Normal"/>
    <w:link w:val="1"/>
    <w:uiPriority w:val="9"/>
    <w:qFormat/>
    <w:pPr>
      <w:keepNext/>
      <w:keepLines/>
      <w:snapToGrid w:val="0"/>
      <w:spacing w:line="360" w:lineRule="auto"/>
      <w:ind w:firstLine="541"/>
      <w:outlineLvl w:val="0"/>
    </w:pPr>
    <w:rPr>
      <w:rFonts w:ascii="宋体" w:hAnsi="宋体"/>
      <w:b/>
      <w:color w:val="000000"/>
      <w:sz w:val="24"/>
    </w:rPr>
  </w:style>
  <w:style w:styleId="Heading2" w:type="paragraph">
    <w:name w:val="heading 2"/>
    <w:basedOn w:val="Normal"/>
    <w:next w:val="Normal"/>
    <w:qFormat/>
    <w:pPr>
      <w:keepNext/>
      <w:keepLines/>
      <w:spacing w:after="260" w:before="260" w:line="416" w:lineRule="auto"/>
      <w:outlineLvl w:val="1"/>
    </w:pPr>
    <w:rPr>
      <w:rFonts w:ascii="Arial" w:eastAsia="黑体" w:hAnsi="Arial"/>
      <w:b/>
      <w:bCs/>
      <w:sz w:val="32"/>
      <w:szCs w:val="32"/>
    </w:rPr>
  </w:style>
  <w:style w:styleId="Heading3" w:type="paragraph">
    <w:name w:val="heading 3"/>
    <w:basedOn w:val="Normal"/>
    <w:next w:val="Normal"/>
    <w:qFormat/>
    <w:pPr>
      <w:keepNext/>
      <w:keepLines/>
      <w:spacing w:after="260" w:before="260" w:line="416" w:lineRule="auto"/>
      <w:outlineLvl w:val="2"/>
    </w:pPr>
    <w:rPr>
      <w:b/>
      <w:bCs/>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DocumentMap" w:type="paragraph">
    <w:name w:val="Document Map"/>
    <w:basedOn w:val="Normal"/>
    <w:link w:val="a2"/>
    <w:uiPriority w:val="99"/>
    <w:unhideWhenUsed/>
    <w:qFormat/>
    <w:rPr>
      <w:rFonts w:ascii="宋体" w:hAnsi="Calibri"/>
      <w:kern w:val="0"/>
      <w:sz w:val="18"/>
      <w:szCs w:val="18"/>
    </w:rPr>
  </w:style>
  <w:style w:styleId="CommentText" w:type="paragraph">
    <w:name w:val="annotation text"/>
    <w:basedOn w:val="Normal"/>
    <w:link w:val="10"/>
    <w:qFormat/>
    <w:pPr>
      <w:jc w:val="left"/>
    </w:pPr>
  </w:style>
  <w:style w:styleId="BodyTextIndent" w:type="paragraph">
    <w:name w:val="Body Text Indent"/>
    <w:basedOn w:val="Normal"/>
    <w:link w:val="a4"/>
    <w:pPr>
      <w:autoSpaceDE w:val="0"/>
      <w:autoSpaceDN w:val="0"/>
      <w:adjustRightInd w:val="0"/>
      <w:spacing w:line="360" w:lineRule="auto"/>
      <w:ind w:firstLine="478" w:firstLineChars="199"/>
    </w:pPr>
    <w:rPr>
      <w:rFonts w:ascii="宋体" w:hAnsi="宋体"/>
      <w:kern w:val="0"/>
      <w:sz w:val="24"/>
      <w:szCs w:val="21"/>
    </w:rPr>
  </w:style>
  <w:style w:styleId="PlainText" w:type="paragraph">
    <w:name w:val="Plain Text"/>
    <w:basedOn w:val="Normal"/>
    <w:link w:val="a0"/>
    <w:qFormat/>
    <w:rPr>
      <w:rFonts w:ascii="宋体" w:hAnsi="Courier New"/>
      <w:szCs w:val="21"/>
    </w:rPr>
  </w:style>
  <w:style w:styleId="Date" w:type="paragraph">
    <w:name w:val="Date"/>
    <w:basedOn w:val="Normal"/>
    <w:next w:val="Normal"/>
    <w:qFormat/>
    <w:pPr>
      <w:ind w:left="100" w:leftChars="2500"/>
    </w:pPr>
    <w:rPr>
      <w:rFonts w:ascii="宋体" w:hAnsi="宋体"/>
      <w:sz w:val="24"/>
    </w:rPr>
  </w:style>
  <w:style w:styleId="BodyTextIndent2" w:type="paragraph">
    <w:name w:val="Body Text Indent 2"/>
    <w:basedOn w:val="Normal"/>
    <w:link w:val="2"/>
    <w:qFormat/>
    <w:pPr>
      <w:spacing w:after="60" w:before="60"/>
      <w:ind w:left="479"/>
    </w:pPr>
    <w:rPr>
      <w:rFonts w:ascii="宋体"/>
      <w:sz w:val="24"/>
    </w:rPr>
  </w:style>
  <w:style w:styleId="BalloonText" w:type="paragraph">
    <w:name w:val="Balloon Text"/>
    <w:basedOn w:val="Normal"/>
    <w:link w:val="a3"/>
    <w:uiPriority w:val="99"/>
    <w:semiHidden/>
    <w:qFormat/>
    <w:rPr>
      <w:sz w:val="18"/>
      <w:szCs w:val="18"/>
    </w:rPr>
  </w:style>
  <w:style w:styleId="Footer" w:type="paragraph">
    <w:name w:val="footer"/>
    <w:basedOn w:val="Normal"/>
    <w:link w:val="a5"/>
    <w:uiPriority w:val="99"/>
    <w:qFormat/>
    <w:pPr>
      <w:tabs>
        <w:tab w:pos="4153" w:val="center"/>
        <w:tab w:pos="8306" w:val="right"/>
      </w:tabs>
      <w:snapToGrid w:val="0"/>
      <w:jc w:val="left"/>
    </w:pPr>
    <w:rPr>
      <w:sz w:val="18"/>
      <w:szCs w:val="18"/>
    </w:rPr>
  </w:style>
  <w:style w:styleId="Header" w:type="paragraph">
    <w:name w:val="header"/>
    <w:basedOn w:val="Normal"/>
    <w:link w:val="a"/>
    <w:uiPriority w:val="99"/>
    <w:qFormat/>
    <w:pPr>
      <w:pBdr>
        <w:bottom w:color="auto" w:space="1" w:sz="6" w:val="single"/>
      </w:pBdr>
      <w:tabs>
        <w:tab w:pos="4153" w:val="center"/>
        <w:tab w:pos="8306" w:val="right"/>
      </w:tabs>
      <w:snapToGrid w:val="0"/>
      <w:jc w:val="center"/>
    </w:pPr>
    <w:rPr>
      <w:sz w:val="18"/>
      <w:szCs w:val="18"/>
    </w:rPr>
  </w:style>
  <w:style w:styleId="TOC1" w:type="paragraph">
    <w:name w:val="toc 1"/>
    <w:basedOn w:val="Normal"/>
    <w:next w:val="Normal"/>
    <w:uiPriority w:val="39"/>
    <w:unhideWhenUsed/>
    <w:qFormat/>
    <w:pPr>
      <w:tabs>
        <w:tab w:leader="hyphen" w:pos="8296" w:val="right"/>
      </w:tabs>
      <w:spacing w:line="360" w:lineRule="auto"/>
    </w:pPr>
    <w:rPr>
      <w:rFonts w:ascii="宋体" w:hAnsi="宋体"/>
      <w:sz w:val="24"/>
      <w:szCs w:val="24"/>
    </w:rPr>
  </w:style>
  <w:style w:styleId="CommentSubject" w:type="paragraph">
    <w:name w:val="annotation subject"/>
    <w:basedOn w:val="CommentText"/>
    <w:next w:val="CommentText"/>
    <w:link w:val="a1"/>
    <w:uiPriority w:val="99"/>
    <w:semiHidden/>
    <w:qFormat/>
    <w:rPr>
      <w:b/>
      <w:bCs/>
    </w:rPr>
  </w:style>
  <w:style w:styleId="PageNumber" w:type="character">
    <w:name w:val="page number"/>
    <w:basedOn w:val="DefaultParagraphFont"/>
  </w:style>
  <w:style w:styleId="FollowedHyperlink" w:type="character">
    <w:name w:val="FollowedHyperlink"/>
    <w:qFormat/>
    <w:rPr>
      <w:color w:val="800080"/>
      <w:u w:val="single"/>
    </w:rPr>
  </w:style>
  <w:style w:styleId="Hyperlink" w:type="character">
    <w:name w:val="Hyperlink"/>
    <w:uiPriority w:val="99"/>
    <w:qFormat/>
    <w:rPr>
      <w:color w:val="0000FF"/>
      <w:u w:val="single"/>
    </w:rPr>
  </w:style>
  <w:style w:styleId="CommentReference" w:type="character">
    <w:name w:val="annotation reference"/>
    <w:qFormat/>
    <w:rPr>
      <w:sz w:val="21"/>
      <w:szCs w:val="21"/>
    </w:rPr>
  </w:style>
  <w:style w:customStyle="1" w:styleId="a" w:type="character">
    <w:name w:val="页眉 字符"/>
    <w:link w:val="Header"/>
    <w:uiPriority w:val="99"/>
    <w:qFormat/>
    <w:rPr>
      <w:kern w:val="2"/>
      <w:sz w:val="18"/>
      <w:szCs w:val="18"/>
    </w:rPr>
  </w:style>
  <w:style w:customStyle="1" w:styleId="DeltaViewInsertion" w:type="character">
    <w:name w:val="DeltaView Insertion"/>
    <w:rPr>
      <w:color w:val="0000FF"/>
      <w:spacing w:val="0"/>
      <w:u w:val="double"/>
    </w:rPr>
  </w:style>
  <w:style w:customStyle="1" w:styleId="2" w:type="character">
    <w:name w:val="正文文本缩进 2 字符"/>
    <w:link w:val="BodyTextIndent2"/>
    <w:rPr>
      <w:rFonts w:ascii="宋体"/>
      <w:kern w:val="2"/>
      <w:sz w:val="24"/>
    </w:rPr>
  </w:style>
  <w:style w:customStyle="1" w:styleId="a0" w:type="character">
    <w:name w:val="纯文本 字符"/>
    <w:link w:val="PlainText"/>
    <w:rPr>
      <w:rFonts w:ascii="宋体" w:cs="Courier New" w:hAnsi="Courier New"/>
      <w:kern w:val="2"/>
      <w:sz w:val="21"/>
      <w:szCs w:val="21"/>
    </w:rPr>
  </w:style>
  <w:style w:customStyle="1" w:styleId="e-arialb101" w:type="character">
    <w:name w:val="e-arialb101"/>
    <w:qFormat/>
    <w:rPr>
      <w:rFonts w:ascii="Arial" w:cs="Arial" w:hAnsi="Arial" w:hint="default"/>
      <w:color w:val="000000"/>
      <w:sz w:val="14"/>
      <w:szCs w:val="14"/>
    </w:rPr>
  </w:style>
  <w:style w:customStyle="1" w:styleId="1" w:type="character">
    <w:name w:val="标题 1 字符"/>
    <w:link w:val="Heading1"/>
    <w:uiPriority w:val="9"/>
    <w:qFormat/>
    <w:rPr>
      <w:rFonts w:ascii="宋体" w:hAnsi="宋体"/>
      <w:b/>
      <w:color w:val="000000"/>
      <w:kern w:val="2"/>
      <w:sz w:val="24"/>
    </w:rPr>
  </w:style>
  <w:style w:customStyle="1" w:styleId="a1" w:type="character">
    <w:name w:val="批注主题 字符"/>
    <w:link w:val="CommentSubject"/>
    <w:uiPriority w:val="99"/>
    <w:semiHidden/>
    <w:qFormat/>
    <w:rPr>
      <w:b/>
      <w:bCs/>
      <w:kern w:val="2"/>
      <w:sz w:val="21"/>
    </w:rPr>
  </w:style>
  <w:style w:customStyle="1" w:styleId="a2" w:type="character">
    <w:name w:val="文档结构图 字符"/>
    <w:link w:val="DocumentMap"/>
    <w:uiPriority w:val="99"/>
    <w:rPr>
      <w:rFonts w:ascii="宋体" w:hAnsi="Calibri"/>
      <w:sz w:val="18"/>
      <w:szCs w:val="18"/>
    </w:rPr>
  </w:style>
  <w:style w:customStyle="1" w:styleId="a3" w:type="character">
    <w:name w:val="批注框文本 字符"/>
    <w:link w:val="BalloonText"/>
    <w:uiPriority w:val="99"/>
    <w:semiHidden/>
    <w:qFormat/>
    <w:rPr>
      <w:kern w:val="2"/>
      <w:sz w:val="18"/>
      <w:szCs w:val="18"/>
    </w:rPr>
  </w:style>
  <w:style w:customStyle="1" w:styleId="10" w:type="character">
    <w:name w:val="批注文字 字符1"/>
    <w:link w:val="CommentText"/>
    <w:qFormat/>
    <w:rPr>
      <w:kern w:val="2"/>
      <w:sz w:val="21"/>
    </w:rPr>
  </w:style>
  <w:style w:customStyle="1" w:styleId="a4" w:type="character">
    <w:name w:val="正文文本缩进 字符"/>
    <w:link w:val="BodyTextIndent"/>
    <w:qFormat/>
    <w:rPr>
      <w:rFonts w:ascii="宋体" w:cs="Arial" w:hAnsi="宋体"/>
      <w:sz w:val="24"/>
      <w:szCs w:val="21"/>
    </w:rPr>
  </w:style>
  <w:style w:customStyle="1" w:styleId="apple-style-span" w:type="character">
    <w:name w:val="apple-style-span"/>
    <w:qFormat/>
  </w:style>
  <w:style w:customStyle="1" w:styleId="a5" w:type="character">
    <w:name w:val="页脚 字符"/>
    <w:link w:val="Footer"/>
    <w:uiPriority w:val="99"/>
    <w:qFormat/>
    <w:rPr>
      <w:kern w:val="2"/>
      <w:sz w:val="18"/>
      <w:szCs w:val="18"/>
    </w:rPr>
  </w:style>
  <w:style w:customStyle="1" w:styleId="11" w:type="paragraph">
    <w:name w:val="修订1"/>
    <w:uiPriority w:val="99"/>
    <w:semiHidden/>
    <w:rPr>
      <w:rFonts w:ascii="Calibri" w:hAnsi="Calibri"/>
      <w:kern w:val="2"/>
      <w:sz w:val="21"/>
      <w:szCs w:val="22"/>
    </w:rPr>
  </w:style>
  <w:style w:customStyle="1" w:styleId="NormalJustified" w:type="paragraph">
    <w:name w:val="Normal (Justified)"/>
    <w:basedOn w:val="Normal"/>
    <w:semiHidden/>
    <w:pPr>
      <w:widowControl/>
      <w:snapToGrid w:val="0"/>
    </w:pPr>
    <w:rPr>
      <w:kern w:val="28"/>
      <w:sz w:val="24"/>
    </w:rPr>
  </w:style>
  <w:style w:customStyle="1" w:styleId="CharCharCharCharCharCharCharCharCharCharCharCharChar1CharCharCharChar" w:type="paragraph">
    <w:name w:val="Char Char Char Char Char Char Char Char Char Char Char Char Char1 Char Char Char Char"/>
    <w:basedOn w:val="Normal"/>
    <w:qFormat/>
    <w:rPr>
      <w:rFonts w:ascii="Tahoma" w:hAnsi="Tahoma"/>
      <w:sz w:val="24"/>
      <w:szCs w:val="24"/>
    </w:rPr>
  </w:style>
  <w:style w:customStyle="1" w:styleId="Default" w:type="paragraph">
    <w:name w:val="Default"/>
    <w:qFormat/>
    <w:pPr>
      <w:widowControl w:val="0"/>
      <w:autoSpaceDE w:val="0"/>
      <w:autoSpaceDN w:val="0"/>
      <w:adjustRightInd w:val="0"/>
    </w:pPr>
    <w:rPr>
      <w:rFonts w:ascii="宋体" w:cs="宋体" w:hAnsi="Calibri"/>
      <w:color w:val="000000"/>
      <w:sz w:val="24"/>
      <w:szCs w:val="24"/>
    </w:rPr>
  </w:style>
  <w:style w:customStyle="1" w:styleId="Char" w:type="paragraph">
    <w:name w:val="Char"/>
    <w:basedOn w:val="Normal"/>
    <w:pPr>
      <w:widowControl/>
      <w:spacing w:after="160" w:line="240" w:lineRule="exact"/>
      <w:jc w:val="left"/>
    </w:pPr>
  </w:style>
  <w:style w:customStyle="1" w:styleId="CharCharChar" w:type="paragraph">
    <w:name w:val="Char Char Char"/>
    <w:basedOn w:val="Normal"/>
    <w:qFormat/>
    <w:rPr>
      <w:szCs w:val="24"/>
    </w:rPr>
  </w:style>
  <w:style w:customStyle="1" w:styleId="CharCharCharCharCharCharChar" w:type="paragraph">
    <w:name w:val="Char Char Char Char Char Char Char"/>
    <w:basedOn w:val="Normal"/>
    <w:qFormat/>
    <w:pPr>
      <w:tabs>
        <w:tab w:pos="360" w:val="left"/>
      </w:tabs>
      <w:adjustRightInd w:val="0"/>
      <w:textAlignment w:val="baseline"/>
    </w:pPr>
    <w:rPr>
      <w:sz w:val="24"/>
    </w:rPr>
  </w:style>
  <w:style w:customStyle="1" w:styleId="CM16" w:type="paragraph">
    <w:name w:val="CM16"/>
    <w:basedOn w:val="Default"/>
    <w:next w:val="Default"/>
    <w:qFormat/>
    <w:pPr>
      <w:spacing w:line="471" w:lineRule="atLeast"/>
    </w:pPr>
    <w:rPr>
      <w:rFonts w:ascii="黑体" w:cs="Times New Roman" w:eastAsia="黑体" w:hAnsi="Times New Roman"/>
      <w:color w:val="auto"/>
    </w:rPr>
  </w:style>
  <w:style w:customStyle="1" w:styleId="CharCharChar1CharCharCharChar" w:type="paragraph">
    <w:name w:val="Char Char Char1 Char Char Char Char"/>
    <w:basedOn w:val="Normal"/>
    <w:qFormat/>
    <w:pPr>
      <w:tabs>
        <w:tab w:pos="360" w:val="left"/>
      </w:tabs>
    </w:pPr>
    <w:rPr>
      <w:sz w:val="24"/>
      <w:szCs w:val="24"/>
    </w:rPr>
  </w:style>
  <w:style w:customStyle="1" w:styleId="4CharCharCharChar" w:type="paragraph">
    <w:name w:val="4 Char Char Char Char"/>
    <w:basedOn w:val="Normal"/>
    <w:qFormat/>
    <w:rPr>
      <w:rFonts w:ascii="Tahoma" w:hAnsi="Tahoma"/>
      <w:sz w:val="24"/>
    </w:rPr>
  </w:style>
  <w:style w:customStyle="1" w:styleId="CharCharCharCharCharChar1CharCharChar" w:type="paragraph">
    <w:name w:val="Char Char Char Char Char Char1 Char Char Char"/>
    <w:basedOn w:val="Normal"/>
    <w:qFormat/>
    <w:pPr>
      <w:autoSpaceDE w:val="0"/>
      <w:autoSpaceDN w:val="0"/>
      <w:adjustRightInd w:val="0"/>
      <w:jc w:val="left"/>
      <w:textAlignment w:val="baseline"/>
    </w:pPr>
  </w:style>
  <w:style w:customStyle="1" w:styleId="a6" w:type="character">
    <w:name w:val="批注文字 字符"/>
    <w:qFormat/>
    <w:rPr>
      <w:rFonts w:ascii="Times New Roman" w:cs="Times New Roman" w:eastAsia="宋体" w:hAnsi="Times New Roman"/>
      <w:szCs w:val="24"/>
    </w:rPr>
  </w:style>
  <w:style w:customStyle="1" w:styleId="20" w:type="paragraph">
    <w:name w:val="修订2"/>
    <w:hidden/>
    <w:uiPriority w:val="99"/>
    <w:semiHidden/>
    <w:qFormat/>
    <w:rPr>
      <w:kern w:val="2"/>
      <w:sz w:val="21"/>
    </w:rPr>
  </w:style>
  <w:style w:styleId="Revision" w:type="paragraph">
    <w:name w:val="Revision"/>
    <w:hidden/>
    <w:uiPriority w:val="99"/>
    <w:semiHidden/>
    <w:rsid w:val="009E2A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theme/theme1.xml" Type="http://schemas.openxmlformats.org/officeDocument/2006/relationships/theme"/><Relationship Id="rId14" Target="styles.xml" Type="http://schemas.openxmlformats.org/officeDocument/2006/relationships/styles"/><Relationship Id="rId2" Target="webSettings.xml" Type="http://schemas.openxmlformats.org/officeDocument/2006/relationships/webSettings"/><Relationship Id="rId3" Target="fontTable.xml" Type="http://schemas.openxmlformats.org/officeDocument/2006/relationships/fontTable"/><Relationship Id="rId4" Target="../customXml/item1.xml" Type="http://schemas.openxmlformats.org/officeDocument/2006/relationships/customXml"/><Relationship Id="rId5" Target="../customXml/item2.xml" Type="http://schemas.openxmlformats.org/officeDocument/2006/relationships/customXml"/><Relationship Id="rId6" Target="../customXml/item3.xml" Type="http://schemas.openxmlformats.org/officeDocument/2006/relationships/customXml"/><Relationship Id="rId7" Target="media/image1.jpeg" Type="http://schemas.openxmlformats.org/officeDocument/2006/relationships/image"/><Relationship Id="rId8" Target="header1.xml" Type="http://schemas.openxmlformats.org/officeDocument/2006/relationships/header"/><Relationship Id="rId9" Target="header2.xml" Type="http://schemas.openxmlformats.org/officeDocument/2006/relationships/header"/></Relationships>
</file>

<file path=word/_rels/header1.xml.rels><?xml version="1.0" encoding="UTF-8" standalone="no"?><Relationships xmlns="http://schemas.openxmlformats.org/package/2006/relationships"><Relationship Id="rId1" Target="media/image2.png" Type="http://schemas.openxmlformats.org/officeDocument/2006/relationships/image"/></Relationships>
</file>

<file path=word/_rels/header2.xml.rels><?xml version="1.0" encoding="UTF-8" standalone="no"?><Relationships xmlns="http://schemas.openxmlformats.org/package/2006/relationships"><Relationship Id="rId1" Target="media/image2.png" Type="http://schemas.openxmlformats.org/officeDocument/2006/relationships/image"/></Relationships>
</file>

<file path=word/_rels/header3.xml.rels><?xml version="1.0" encoding="UTF-8" standalone="no"?><Relationships xmlns="http://schemas.openxmlformats.org/package/2006/relationships"><Relationship Id="rId1" Target="media/image2.png" Type="http://schemas.openxmlformats.org/officeDocument/2006/relationships/imag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F6FE4CD-DEDA-4B78-AAD2-153B1C07A021}">
  <ds:schemaRefs>
    <ds:schemaRef ds:uri="http://schemas.openxmlformats.org/officeDocument/2006/bibliography"/>
  </ds:schemaRefs>
</ds:datastoreItem>
</file>

<file path=customXml/itemProps2.xml><?xml version="1.0" encoding="utf-8"?>
<ds:datastoreItem xmlns:ds="http://schemas.openxmlformats.org/officeDocument/2006/customXml" ds:itemID="{2B7A56F2-41DE-4762-AD91-410AE11449E9}">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5219</Words>
  <Characters>29751</Characters>
  <Application>Microsoft Office Word</Application>
  <DocSecurity>0</DocSecurity>
  <Lines>247</Lines>
  <Paragraphs>69</Paragraphs>
  <ScaleCrop>false</ScaleCrop>
  <Company/>
  <LinksUpToDate>false</LinksUpToDate>
  <CharactersWithSpaces>34901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cp:contentStatus>国泰君安证券股份有限公司*李老师，国泰君安价值精选混合型发起式证券投资基金信披合同协议，信披日期8月5日，请查收~*diaopengran026470@gtjas.com*liwanyang@citicbank.com * * *2022-07-28 10:55:42;</cp:contentStatus>
  <dcterms:created xsi:type="dcterms:W3CDTF">2022-07-22T08:15:00Z</dcterms:created>
  <dc:creator>刘斓</dc:creator>
  <cp:lastModifiedBy>上官 兆村</cp:lastModifiedBy>
  <cp:lastPrinted>2020-07-21T06:15:00Z</cp:lastPrinted>
  <dcterms:modified xsi:type="dcterms:W3CDTF">2022-07-22T08:16:00Z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ICV" pid="2">
    <vt:lpwstr>D51CCC5230C146D5B1D79D4ED838B16E</vt:lpwstr>
  </property>
  <property fmtid="{D5CDD505-2E9C-101B-9397-08002B2CF9AE}" name="KSOProductBuildVer" pid="3">
    <vt:lpwstr>2052-11.1.0.11636</vt:lpwstr>
  </property>
</Properties>
</file>