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A654B" w14:textId="71BBE917" w:rsidR="00B61FF9" w:rsidRDefault="00B61FF9" w:rsidP="009F038B">
      <w:pPr>
        <w:spacing w:line="520" w:lineRule="exact"/>
        <w:jc w:val="right"/>
        <w:rPr>
          <w:rFonts w:ascii="宋体" w:hAnsi="宋体"/>
          <w:shadow/>
          <w:sz w:val="28"/>
          <w:szCs w:val="28"/>
        </w:rPr>
      </w:pPr>
    </w:p>
    <w:p w14:paraId="604CDD10" w14:textId="77777777" w:rsidR="00B61FF9" w:rsidRDefault="001B0A60">
      <w:pPr>
        <w:spacing w:line="520" w:lineRule="exact"/>
        <w:jc w:val="center"/>
        <w:rPr>
          <w:rFonts w:ascii="宋体" w:hAnsi="宋体"/>
          <w:shadow/>
          <w:sz w:val="28"/>
          <w:szCs w:val="28"/>
        </w:rPr>
      </w:pPr>
      <w:r>
        <w:rPr>
          <w:rFonts w:ascii="宋体" w:hAnsi="宋体" w:hint="eastAsia"/>
          <w:szCs w:val="28"/>
        </w:rPr>
        <w:t xml:space="preserve">                             </w:t>
      </w:r>
    </w:p>
    <w:p w14:paraId="7FC9A173" w14:textId="77777777" w:rsidR="00B61FF9" w:rsidRDefault="00B61FF9">
      <w:pPr>
        <w:spacing w:line="520" w:lineRule="exact"/>
        <w:jc w:val="center"/>
        <w:rPr>
          <w:rFonts w:ascii="宋体" w:hAnsi="宋体"/>
          <w:shadow/>
          <w:sz w:val="28"/>
          <w:szCs w:val="28"/>
        </w:rPr>
      </w:pPr>
    </w:p>
    <w:p w14:paraId="7543B588" w14:textId="77777777" w:rsidR="00B61FF9" w:rsidRDefault="00B61FF9">
      <w:pPr>
        <w:spacing w:line="520" w:lineRule="exact"/>
        <w:jc w:val="center"/>
        <w:rPr>
          <w:rFonts w:ascii="宋体" w:hAnsi="宋体"/>
          <w:shadow/>
          <w:sz w:val="28"/>
          <w:szCs w:val="28"/>
        </w:rPr>
      </w:pPr>
    </w:p>
    <w:p w14:paraId="41980CE1" w14:textId="77777777" w:rsidR="00B61FF9" w:rsidRDefault="00B61FF9">
      <w:pPr>
        <w:spacing w:line="520" w:lineRule="exact"/>
        <w:jc w:val="center"/>
        <w:rPr>
          <w:rFonts w:ascii="宋体" w:hAnsi="宋体"/>
          <w:shadow/>
          <w:sz w:val="28"/>
          <w:szCs w:val="28"/>
        </w:rPr>
      </w:pPr>
    </w:p>
    <w:p w14:paraId="0132F1ED" w14:textId="77777777" w:rsidR="00B61FF9" w:rsidRDefault="00B61FF9">
      <w:pPr>
        <w:spacing w:line="520" w:lineRule="exact"/>
        <w:jc w:val="center"/>
        <w:rPr>
          <w:rFonts w:ascii="宋体" w:hAnsi="宋体"/>
          <w:shadow/>
          <w:sz w:val="28"/>
          <w:szCs w:val="28"/>
        </w:rPr>
      </w:pPr>
    </w:p>
    <w:p w14:paraId="1A77D0F0" w14:textId="12EFCD5A" w:rsidR="00B61FF9" w:rsidRDefault="006A5442">
      <w:pPr>
        <w:spacing w:line="360" w:lineRule="auto"/>
        <w:jc w:val="center"/>
        <w:rPr>
          <w:rFonts w:ascii="宋体" w:hAnsi="宋体"/>
          <w:b/>
          <w:sz w:val="48"/>
        </w:rPr>
      </w:pPr>
      <w:bookmarkStart w:id="0" w:name="_Toc139991724"/>
      <w:bookmarkStart w:id="1" w:name="_Toc123112222"/>
      <w:bookmarkStart w:id="2" w:name="_Toc123701381"/>
      <w:bookmarkStart w:id="3" w:name="_Toc123112261"/>
      <w:bookmarkStart w:id="4" w:name="_Toc139992299"/>
      <w:r>
        <w:rPr>
          <w:rFonts w:ascii="宋体" w:hAnsi="宋体" w:hint="eastAsia"/>
          <w:b/>
          <w:sz w:val="48"/>
        </w:rPr>
        <w:t>鹏华</w:t>
      </w:r>
      <w:r w:rsidR="00720BBE">
        <w:rPr>
          <w:rFonts w:ascii="宋体" w:hAnsi="宋体" w:hint="eastAsia"/>
          <w:b/>
          <w:sz w:val="48"/>
        </w:rPr>
        <w:t>丰启</w:t>
      </w:r>
      <w:r w:rsidR="00D90C6F">
        <w:rPr>
          <w:rFonts w:ascii="宋体" w:hAnsi="宋体" w:hint="eastAsia"/>
          <w:b/>
          <w:sz w:val="48"/>
        </w:rPr>
        <w:t>债券</w:t>
      </w:r>
      <w:r>
        <w:rPr>
          <w:rFonts w:ascii="宋体" w:hAnsi="宋体"/>
          <w:b/>
          <w:sz w:val="48"/>
        </w:rPr>
        <w:t>型</w:t>
      </w:r>
      <w:r w:rsidR="001B0A60">
        <w:rPr>
          <w:rFonts w:ascii="宋体" w:hAnsi="宋体" w:hint="eastAsia"/>
          <w:b/>
          <w:sz w:val="48"/>
        </w:rPr>
        <w:t>证券投资基金</w:t>
      </w:r>
    </w:p>
    <w:bookmarkEnd w:id="0"/>
    <w:bookmarkEnd w:id="1"/>
    <w:bookmarkEnd w:id="2"/>
    <w:bookmarkEnd w:id="3"/>
    <w:bookmarkEnd w:id="4"/>
    <w:p w14:paraId="41602EA4" w14:textId="77777777" w:rsidR="00FE4DDC" w:rsidRDefault="001B0A60">
      <w:pPr>
        <w:spacing w:line="360" w:lineRule="auto"/>
        <w:jc w:val="center"/>
        <w:rPr>
          <w:rFonts w:ascii="宋体" w:hAnsi="宋体"/>
          <w:b/>
          <w:sz w:val="48"/>
        </w:rPr>
      </w:pPr>
      <w:r>
        <w:rPr>
          <w:rFonts w:ascii="宋体" w:hAnsi="宋体" w:hint="eastAsia"/>
          <w:b/>
          <w:sz w:val="48"/>
        </w:rPr>
        <w:t>托管协议</w:t>
      </w:r>
    </w:p>
    <w:p w14:paraId="019757BE" w14:textId="2A60FC28" w:rsidR="00B61FF9" w:rsidRDefault="00B61FF9">
      <w:pPr>
        <w:spacing w:line="360" w:lineRule="auto"/>
        <w:jc w:val="center"/>
        <w:rPr>
          <w:rFonts w:ascii="宋体" w:hAnsi="宋体"/>
          <w:b/>
          <w:sz w:val="48"/>
        </w:rPr>
      </w:pPr>
    </w:p>
    <w:p w14:paraId="36829694" w14:textId="6F9EC559" w:rsidR="00A156F8" w:rsidRPr="00A156F8" w:rsidRDefault="00A156F8">
      <w:pPr>
        <w:spacing w:line="360" w:lineRule="auto"/>
        <w:jc w:val="center"/>
        <w:rPr>
          <w:rFonts w:ascii="宋体" w:hAnsi="宋体"/>
          <w:b/>
          <w:sz w:val="48"/>
        </w:rPr>
      </w:pPr>
    </w:p>
    <w:p w14:paraId="260DB6C1" w14:textId="5E336AA3" w:rsidR="00B61FF9" w:rsidRPr="009F038B" w:rsidRDefault="00B61FF9" w:rsidP="009F038B">
      <w:pPr>
        <w:pStyle w:val="20"/>
        <w:spacing w:line="520" w:lineRule="exact"/>
        <w:ind w:left="0"/>
        <w:jc w:val="center"/>
        <w:rPr>
          <w:rFonts w:hAnsi="宋体"/>
          <w:b/>
          <w:sz w:val="48"/>
        </w:rPr>
      </w:pPr>
    </w:p>
    <w:p w14:paraId="7728D813" w14:textId="77777777" w:rsidR="00B61FF9" w:rsidRDefault="00B61FF9">
      <w:pPr>
        <w:pStyle w:val="20"/>
        <w:spacing w:line="520" w:lineRule="exact"/>
        <w:ind w:firstLine="560"/>
        <w:rPr>
          <w:rFonts w:hAnsi="宋体"/>
          <w:sz w:val="28"/>
          <w:szCs w:val="28"/>
        </w:rPr>
      </w:pPr>
    </w:p>
    <w:p w14:paraId="74F6494F" w14:textId="77777777" w:rsidR="00B61FF9" w:rsidRPr="003C67A3" w:rsidRDefault="00B61FF9">
      <w:pPr>
        <w:pStyle w:val="20"/>
        <w:spacing w:line="520" w:lineRule="exact"/>
        <w:ind w:firstLine="560"/>
        <w:rPr>
          <w:rFonts w:hAnsi="宋体"/>
          <w:sz w:val="28"/>
          <w:szCs w:val="28"/>
        </w:rPr>
      </w:pPr>
    </w:p>
    <w:p w14:paraId="27675802" w14:textId="77777777" w:rsidR="00B61FF9" w:rsidRDefault="00B61FF9">
      <w:pPr>
        <w:pStyle w:val="20"/>
        <w:spacing w:line="520" w:lineRule="exact"/>
        <w:ind w:firstLine="560"/>
        <w:rPr>
          <w:rFonts w:hAnsi="宋体"/>
          <w:sz w:val="28"/>
          <w:szCs w:val="28"/>
        </w:rPr>
      </w:pPr>
    </w:p>
    <w:p w14:paraId="42A80564" w14:textId="77777777" w:rsidR="00B61FF9" w:rsidRDefault="00B61FF9">
      <w:pPr>
        <w:pStyle w:val="20"/>
        <w:spacing w:line="520" w:lineRule="exact"/>
        <w:ind w:firstLine="560"/>
        <w:rPr>
          <w:rFonts w:hAnsi="宋体"/>
          <w:sz w:val="28"/>
          <w:szCs w:val="28"/>
        </w:rPr>
      </w:pPr>
    </w:p>
    <w:p w14:paraId="42E39DCD" w14:textId="758EE9B8" w:rsidR="00B61FF9" w:rsidRDefault="001B0A60">
      <w:pPr>
        <w:spacing w:line="360" w:lineRule="auto"/>
        <w:jc w:val="center"/>
        <w:rPr>
          <w:rFonts w:ascii="宋体" w:hAnsi="宋体"/>
          <w:b/>
          <w:sz w:val="36"/>
        </w:rPr>
      </w:pPr>
      <w:bookmarkStart w:id="5" w:name="_Toc123112263"/>
      <w:bookmarkStart w:id="6" w:name="_Toc139992301"/>
      <w:bookmarkStart w:id="7" w:name="_Toc123701383"/>
      <w:bookmarkStart w:id="8" w:name="_Toc123112224"/>
      <w:bookmarkStart w:id="9" w:name="_Toc139991726"/>
      <w:r>
        <w:rPr>
          <w:rFonts w:ascii="宋体" w:hAnsi="宋体"/>
          <w:b/>
          <w:sz w:val="36"/>
        </w:rPr>
        <w:t>基金管理人：</w:t>
      </w:r>
      <w:bookmarkEnd w:id="5"/>
      <w:bookmarkEnd w:id="6"/>
      <w:bookmarkEnd w:id="7"/>
      <w:bookmarkEnd w:id="8"/>
      <w:bookmarkEnd w:id="9"/>
      <w:r w:rsidR="0032409F">
        <w:rPr>
          <w:rFonts w:ascii="宋体" w:hAnsi="宋体" w:hint="eastAsia"/>
          <w:b/>
          <w:sz w:val="36"/>
        </w:rPr>
        <w:t>鹏华基金</w:t>
      </w:r>
      <w:r w:rsidR="0032409F">
        <w:rPr>
          <w:rFonts w:ascii="宋体" w:hAnsi="宋体"/>
          <w:b/>
          <w:sz w:val="36"/>
        </w:rPr>
        <w:t>管理有限公司</w:t>
      </w:r>
      <w:r w:rsidR="00B50738" w:rsidDel="00B50738">
        <w:rPr>
          <w:rFonts w:ascii="宋体" w:hAnsi="宋体" w:hint="eastAsia"/>
          <w:b/>
          <w:sz w:val="36"/>
        </w:rPr>
        <w:t xml:space="preserve"> </w:t>
      </w:r>
    </w:p>
    <w:p w14:paraId="31299E76" w14:textId="06A93760" w:rsidR="00B61FF9" w:rsidRDefault="001B0A60">
      <w:pPr>
        <w:spacing w:line="360" w:lineRule="auto"/>
        <w:jc w:val="center"/>
        <w:rPr>
          <w:rFonts w:ascii="宋体" w:hAnsi="宋体"/>
          <w:b/>
          <w:sz w:val="36"/>
        </w:rPr>
      </w:pPr>
      <w:bookmarkStart w:id="10" w:name="_Toc123701384"/>
      <w:bookmarkStart w:id="11" w:name="_Toc139991727"/>
      <w:bookmarkStart w:id="12" w:name="_Toc139992302"/>
      <w:bookmarkStart w:id="13" w:name="_Toc123112225"/>
      <w:bookmarkStart w:id="14" w:name="_Toc123112264"/>
      <w:r>
        <w:rPr>
          <w:rFonts w:ascii="宋体" w:hAnsi="宋体"/>
          <w:b/>
          <w:sz w:val="36"/>
        </w:rPr>
        <w:t>基金托管人：</w:t>
      </w:r>
      <w:r>
        <w:rPr>
          <w:rFonts w:ascii="宋体" w:hAnsi="宋体" w:hint="eastAsia"/>
          <w:b/>
          <w:sz w:val="36"/>
        </w:rPr>
        <w:t>中信银行股份有限公司</w:t>
      </w:r>
      <w:bookmarkEnd w:id="10"/>
      <w:bookmarkEnd w:id="11"/>
      <w:bookmarkEnd w:id="12"/>
      <w:bookmarkEnd w:id="13"/>
      <w:bookmarkEnd w:id="14"/>
    </w:p>
    <w:p w14:paraId="24B0D84E" w14:textId="77777777" w:rsidR="00B61FF9" w:rsidRDefault="00B61FF9">
      <w:pPr>
        <w:spacing w:line="360" w:lineRule="auto"/>
        <w:jc w:val="center"/>
        <w:rPr>
          <w:rFonts w:ascii="宋体" w:hAnsi="宋体"/>
          <w:b/>
          <w:sz w:val="44"/>
          <w:szCs w:val="44"/>
        </w:rPr>
      </w:pPr>
    </w:p>
    <w:p w14:paraId="2F66EE18" w14:textId="77777777" w:rsidR="00B61FF9" w:rsidRDefault="00B61FF9">
      <w:pPr>
        <w:spacing w:line="360" w:lineRule="auto"/>
        <w:rPr>
          <w:rFonts w:ascii="宋体" w:hAnsi="宋体"/>
          <w:b/>
          <w:szCs w:val="28"/>
        </w:rPr>
      </w:pPr>
    </w:p>
    <w:p w14:paraId="1AC8ECAE" w14:textId="77777777" w:rsidR="00B61FF9" w:rsidRDefault="00B61FF9">
      <w:pPr>
        <w:spacing w:line="360" w:lineRule="auto"/>
        <w:ind w:firstLineChars="200" w:firstLine="562"/>
        <w:jc w:val="center"/>
        <w:rPr>
          <w:rFonts w:ascii="宋体" w:hAnsi="宋体"/>
          <w:b/>
          <w:bCs/>
          <w:sz w:val="28"/>
          <w:szCs w:val="28"/>
        </w:rPr>
      </w:pPr>
    </w:p>
    <w:p w14:paraId="292CA083" w14:textId="1DAA8669" w:rsidR="00B61FF9" w:rsidRDefault="00B61FF9">
      <w:pPr>
        <w:spacing w:line="360" w:lineRule="auto"/>
        <w:ind w:firstLineChars="200" w:firstLine="562"/>
        <w:jc w:val="center"/>
        <w:rPr>
          <w:rFonts w:ascii="宋体" w:hAnsi="宋体"/>
          <w:b/>
          <w:bCs/>
          <w:sz w:val="28"/>
          <w:szCs w:val="28"/>
        </w:rPr>
      </w:pPr>
    </w:p>
    <w:p w14:paraId="30167824" w14:textId="11837C12" w:rsidR="00B61FF9" w:rsidRDefault="00B61FF9">
      <w:pPr>
        <w:spacing w:line="360" w:lineRule="auto"/>
        <w:rPr>
          <w:rFonts w:ascii="宋体" w:hAnsi="宋体"/>
          <w:b/>
          <w:bCs/>
          <w:sz w:val="28"/>
          <w:szCs w:val="28"/>
        </w:rPr>
      </w:pPr>
    </w:p>
    <w:p w14:paraId="36D4FBA4" w14:textId="77777777" w:rsidR="00E23F4C" w:rsidRDefault="00B50738">
      <w:pPr>
        <w:spacing w:line="360" w:lineRule="auto"/>
        <w:ind w:firstLineChars="200" w:firstLine="562"/>
        <w:jc w:val="center"/>
        <w:rPr>
          <w:rFonts w:ascii="宋体" w:hAnsi="宋体"/>
          <w:b/>
          <w:bCs/>
          <w:sz w:val="28"/>
          <w:szCs w:val="28"/>
        </w:rPr>
      </w:pPr>
      <w:r w:rsidRPr="009F038B">
        <w:rPr>
          <w:rFonts w:ascii="宋体" w:hAnsi="宋体"/>
          <w:b/>
          <w:bCs/>
          <w:noProof/>
          <w:sz w:val="28"/>
          <w:szCs w:val="28"/>
        </w:rPr>
        <w:drawing>
          <wp:anchor distT="0" distB="0" distL="114300" distR="114300" simplePos="0" relativeHeight="251658240" behindDoc="0" locked="0" layoutInCell="1" allowOverlap="1" wp14:anchorId="3D2E2C99" wp14:editId="1B585078">
            <wp:simplePos x="0" y="0"/>
            <wp:positionH relativeFrom="margin">
              <wp:align>center</wp:align>
            </wp:positionH>
            <wp:positionV relativeFrom="margin">
              <wp:posOffset>8178800</wp:posOffset>
            </wp:positionV>
            <wp:extent cx="1800225" cy="644525"/>
            <wp:effectExtent l="0" t="0" r="9525" b="3175"/>
            <wp:wrapSquare wrapText="bothSides"/>
            <wp:docPr id="1" name="图片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644525"/>
                    </a:xfrm>
                    <a:prstGeom prst="rect">
                      <a:avLst/>
                    </a:prstGeom>
                    <a:noFill/>
                  </pic:spPr>
                </pic:pic>
              </a:graphicData>
            </a:graphic>
            <wp14:sizeRelH relativeFrom="page">
              <wp14:pctWidth>0</wp14:pctWidth>
            </wp14:sizeRelH>
            <wp14:sizeRelV relativeFrom="page">
              <wp14:pctHeight>0</wp14:pctHeight>
            </wp14:sizeRelV>
          </wp:anchor>
        </w:drawing>
      </w:r>
      <w:r w:rsidR="001B0A60">
        <w:rPr>
          <w:rFonts w:ascii="宋体" w:hAnsi="宋体" w:hint="eastAsia"/>
          <w:b/>
          <w:bCs/>
          <w:sz w:val="28"/>
          <w:szCs w:val="28"/>
        </w:rPr>
        <w:br w:type="page"/>
      </w:r>
    </w:p>
    <w:p w14:paraId="690BB98B" w14:textId="23C6A603" w:rsidR="00B61FF9" w:rsidRDefault="001B0A60" w:rsidP="009F038B">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1D9F9BE" w14:textId="77777777" w:rsidR="00B61FF9" w:rsidRDefault="00B61FF9">
      <w:pPr>
        <w:spacing w:line="360" w:lineRule="auto"/>
        <w:ind w:firstLineChars="200" w:firstLine="562"/>
        <w:jc w:val="center"/>
        <w:rPr>
          <w:rFonts w:ascii="宋体" w:hAnsi="宋体"/>
          <w:b/>
          <w:bCs/>
          <w:sz w:val="28"/>
          <w:szCs w:val="28"/>
        </w:rPr>
      </w:pPr>
    </w:p>
    <w:p w14:paraId="1CE2A94E" w14:textId="7E4814A3" w:rsidR="00C17895" w:rsidRDefault="001B0A60">
      <w:pPr>
        <w:pStyle w:val="10"/>
        <w:rPr>
          <w:rFonts w:asciiTheme="minorHAnsi" w:eastAsiaTheme="minorEastAsia" w:hAnsiTheme="minorHAnsi" w:cstheme="minorBidi"/>
          <w:noProof/>
          <w:sz w:val="21"/>
          <w:szCs w:val="22"/>
        </w:rPr>
      </w:pPr>
      <w:r>
        <w:rPr>
          <w:b/>
          <w:sz w:val="28"/>
          <w:szCs w:val="28"/>
        </w:rPr>
        <w:fldChar w:fldCharType="begin"/>
      </w:r>
      <w:r>
        <w:rPr>
          <w:b/>
          <w:sz w:val="28"/>
          <w:szCs w:val="28"/>
        </w:rPr>
        <w:instrText xml:space="preserve"> </w:instrText>
      </w:r>
      <w:r>
        <w:rPr>
          <w:rFonts w:hint="eastAsia"/>
          <w:b/>
          <w:sz w:val="28"/>
          <w:szCs w:val="28"/>
        </w:rPr>
        <w:instrText>TOC \o "1-1" \h \z \u</w:instrText>
      </w:r>
      <w:r>
        <w:rPr>
          <w:b/>
          <w:sz w:val="28"/>
          <w:szCs w:val="28"/>
        </w:rPr>
        <w:instrText xml:space="preserve"> </w:instrText>
      </w:r>
      <w:r>
        <w:rPr>
          <w:b/>
          <w:sz w:val="28"/>
          <w:szCs w:val="28"/>
        </w:rPr>
        <w:fldChar w:fldCharType="separate"/>
      </w:r>
      <w:hyperlink w:anchor="_Toc44321724" w:history="1">
        <w:r w:rsidR="00C17895" w:rsidRPr="001C6DDE">
          <w:rPr>
            <w:rStyle w:val="ae"/>
            <w:rFonts w:hint="eastAsia"/>
            <w:bCs/>
            <w:noProof/>
          </w:rPr>
          <w:t>第一条</w:t>
        </w:r>
        <w:r w:rsidR="00C17895" w:rsidRPr="001C6DDE">
          <w:rPr>
            <w:rStyle w:val="ae"/>
            <w:bCs/>
            <w:noProof/>
          </w:rPr>
          <w:t xml:space="preserve"> </w:t>
        </w:r>
        <w:r w:rsidR="00C17895" w:rsidRPr="001C6DDE">
          <w:rPr>
            <w:rStyle w:val="ae"/>
            <w:rFonts w:hint="eastAsia"/>
            <w:bCs/>
            <w:noProof/>
          </w:rPr>
          <w:t>本协议当事人</w:t>
        </w:r>
        <w:r w:rsidR="00C17895">
          <w:rPr>
            <w:noProof/>
            <w:webHidden/>
          </w:rPr>
          <w:tab/>
        </w:r>
        <w:r w:rsidR="00C17895">
          <w:rPr>
            <w:noProof/>
            <w:webHidden/>
          </w:rPr>
          <w:fldChar w:fldCharType="begin"/>
        </w:r>
        <w:r w:rsidR="00C17895">
          <w:rPr>
            <w:noProof/>
            <w:webHidden/>
          </w:rPr>
          <w:instrText xml:space="preserve"> PAGEREF _Toc44321724 \h </w:instrText>
        </w:r>
        <w:r w:rsidR="00C17895">
          <w:rPr>
            <w:noProof/>
            <w:webHidden/>
          </w:rPr>
        </w:r>
        <w:r w:rsidR="00C17895">
          <w:rPr>
            <w:noProof/>
            <w:webHidden/>
          </w:rPr>
          <w:fldChar w:fldCharType="separate"/>
        </w:r>
        <w:r w:rsidR="00412FF1">
          <w:rPr>
            <w:noProof/>
            <w:webHidden/>
          </w:rPr>
          <w:t>3</w:t>
        </w:r>
        <w:r w:rsidR="00C17895">
          <w:rPr>
            <w:noProof/>
            <w:webHidden/>
          </w:rPr>
          <w:fldChar w:fldCharType="end"/>
        </w:r>
      </w:hyperlink>
    </w:p>
    <w:p w14:paraId="3E85C43E" w14:textId="2E4CA4D5" w:rsidR="00C17895" w:rsidRDefault="00EF5C64">
      <w:pPr>
        <w:pStyle w:val="10"/>
        <w:rPr>
          <w:rFonts w:asciiTheme="minorHAnsi" w:eastAsiaTheme="minorEastAsia" w:hAnsiTheme="minorHAnsi" w:cstheme="minorBidi"/>
          <w:noProof/>
          <w:sz w:val="21"/>
          <w:szCs w:val="22"/>
        </w:rPr>
      </w:pPr>
      <w:hyperlink w:anchor="_Toc44321725" w:history="1">
        <w:r w:rsidR="00C17895" w:rsidRPr="001C6DDE">
          <w:rPr>
            <w:rStyle w:val="ae"/>
            <w:rFonts w:hint="eastAsia"/>
            <w:bCs/>
            <w:noProof/>
          </w:rPr>
          <w:t>第二条</w:t>
        </w:r>
        <w:r w:rsidR="00C17895" w:rsidRPr="001C6DDE">
          <w:rPr>
            <w:rStyle w:val="ae"/>
            <w:bCs/>
            <w:noProof/>
          </w:rPr>
          <w:t xml:space="preserve"> </w:t>
        </w:r>
        <w:r w:rsidR="00C17895" w:rsidRPr="001C6DDE">
          <w:rPr>
            <w:rStyle w:val="ae"/>
            <w:rFonts w:hint="eastAsia"/>
            <w:bCs/>
            <w:noProof/>
          </w:rPr>
          <w:t>本协议的依据、目的和原则</w:t>
        </w:r>
        <w:r w:rsidR="00C17895">
          <w:rPr>
            <w:noProof/>
            <w:webHidden/>
          </w:rPr>
          <w:tab/>
        </w:r>
        <w:r w:rsidR="00C17895">
          <w:rPr>
            <w:noProof/>
            <w:webHidden/>
          </w:rPr>
          <w:fldChar w:fldCharType="begin"/>
        </w:r>
        <w:r w:rsidR="00C17895">
          <w:rPr>
            <w:noProof/>
            <w:webHidden/>
          </w:rPr>
          <w:instrText xml:space="preserve"> PAGEREF _Toc44321725 \h </w:instrText>
        </w:r>
        <w:r w:rsidR="00C17895">
          <w:rPr>
            <w:noProof/>
            <w:webHidden/>
          </w:rPr>
        </w:r>
        <w:r w:rsidR="00C17895">
          <w:rPr>
            <w:noProof/>
            <w:webHidden/>
          </w:rPr>
          <w:fldChar w:fldCharType="separate"/>
        </w:r>
        <w:r w:rsidR="00412FF1">
          <w:rPr>
            <w:noProof/>
            <w:webHidden/>
          </w:rPr>
          <w:t>3</w:t>
        </w:r>
        <w:r w:rsidR="00C17895">
          <w:rPr>
            <w:noProof/>
            <w:webHidden/>
          </w:rPr>
          <w:fldChar w:fldCharType="end"/>
        </w:r>
      </w:hyperlink>
    </w:p>
    <w:p w14:paraId="2CC64D20" w14:textId="4D5C3D58" w:rsidR="00C17895" w:rsidRDefault="00EF5C64">
      <w:pPr>
        <w:pStyle w:val="10"/>
        <w:rPr>
          <w:rFonts w:asciiTheme="minorHAnsi" w:eastAsiaTheme="minorEastAsia" w:hAnsiTheme="minorHAnsi" w:cstheme="minorBidi"/>
          <w:noProof/>
          <w:sz w:val="21"/>
          <w:szCs w:val="22"/>
        </w:rPr>
      </w:pPr>
      <w:hyperlink w:anchor="_Toc44321726" w:history="1">
        <w:r w:rsidR="00C17895" w:rsidRPr="001C6DDE">
          <w:rPr>
            <w:rStyle w:val="ae"/>
            <w:rFonts w:hint="eastAsia"/>
            <w:bCs/>
            <w:noProof/>
          </w:rPr>
          <w:t>第三条</w:t>
        </w:r>
        <w:r w:rsidR="00C17895" w:rsidRPr="001C6DDE">
          <w:rPr>
            <w:rStyle w:val="ae"/>
            <w:bCs/>
            <w:noProof/>
          </w:rPr>
          <w:t xml:space="preserve"> </w:t>
        </w:r>
        <w:r w:rsidR="00C17895" w:rsidRPr="001C6DDE">
          <w:rPr>
            <w:rStyle w:val="ae"/>
            <w:rFonts w:hint="eastAsia"/>
            <w:bCs/>
            <w:noProof/>
          </w:rPr>
          <w:t>基金托管人对基金管理人的业务监督和核查</w:t>
        </w:r>
        <w:r w:rsidR="00C17895">
          <w:rPr>
            <w:noProof/>
            <w:webHidden/>
          </w:rPr>
          <w:tab/>
        </w:r>
        <w:r w:rsidR="00C17895">
          <w:rPr>
            <w:noProof/>
            <w:webHidden/>
          </w:rPr>
          <w:fldChar w:fldCharType="begin"/>
        </w:r>
        <w:r w:rsidR="00C17895">
          <w:rPr>
            <w:noProof/>
            <w:webHidden/>
          </w:rPr>
          <w:instrText xml:space="preserve"> PAGEREF _Toc44321726 \h </w:instrText>
        </w:r>
        <w:r w:rsidR="00C17895">
          <w:rPr>
            <w:noProof/>
            <w:webHidden/>
          </w:rPr>
        </w:r>
        <w:r w:rsidR="00C17895">
          <w:rPr>
            <w:noProof/>
            <w:webHidden/>
          </w:rPr>
          <w:fldChar w:fldCharType="separate"/>
        </w:r>
        <w:r w:rsidR="00412FF1">
          <w:rPr>
            <w:noProof/>
            <w:webHidden/>
          </w:rPr>
          <w:t>4</w:t>
        </w:r>
        <w:r w:rsidR="00C17895">
          <w:rPr>
            <w:noProof/>
            <w:webHidden/>
          </w:rPr>
          <w:fldChar w:fldCharType="end"/>
        </w:r>
      </w:hyperlink>
    </w:p>
    <w:p w14:paraId="4E898CDB" w14:textId="77777777" w:rsidR="00C17895" w:rsidRDefault="00EF5C64">
      <w:pPr>
        <w:pStyle w:val="10"/>
        <w:rPr>
          <w:rFonts w:asciiTheme="minorHAnsi" w:eastAsiaTheme="minorEastAsia" w:hAnsiTheme="minorHAnsi" w:cstheme="minorBidi"/>
          <w:noProof/>
          <w:sz w:val="21"/>
          <w:szCs w:val="22"/>
        </w:rPr>
      </w:pPr>
      <w:hyperlink w:anchor="_Toc44321727" w:history="1">
        <w:r w:rsidR="00C17895" w:rsidRPr="001C6DDE">
          <w:rPr>
            <w:rStyle w:val="ae"/>
            <w:rFonts w:hint="eastAsia"/>
            <w:bCs/>
            <w:noProof/>
          </w:rPr>
          <w:t>第四条</w:t>
        </w:r>
        <w:r w:rsidR="00C17895" w:rsidRPr="001C6DDE">
          <w:rPr>
            <w:rStyle w:val="ae"/>
            <w:bCs/>
            <w:noProof/>
          </w:rPr>
          <w:t xml:space="preserve"> </w:t>
        </w:r>
        <w:r w:rsidR="00C17895" w:rsidRPr="001C6DDE">
          <w:rPr>
            <w:rStyle w:val="ae"/>
            <w:rFonts w:hint="eastAsia"/>
            <w:bCs/>
            <w:noProof/>
          </w:rPr>
          <w:t>基金管理人对基金托管人的业务核查</w:t>
        </w:r>
        <w:r w:rsidR="00C17895">
          <w:rPr>
            <w:noProof/>
            <w:webHidden/>
          </w:rPr>
          <w:tab/>
        </w:r>
        <w:r w:rsidR="00C17895">
          <w:rPr>
            <w:noProof/>
            <w:webHidden/>
          </w:rPr>
          <w:fldChar w:fldCharType="begin"/>
        </w:r>
        <w:r w:rsidR="00C17895">
          <w:rPr>
            <w:noProof/>
            <w:webHidden/>
          </w:rPr>
          <w:instrText xml:space="preserve"> PAGEREF _Toc44321727 \h </w:instrText>
        </w:r>
        <w:r w:rsidR="00C17895">
          <w:rPr>
            <w:noProof/>
            <w:webHidden/>
          </w:rPr>
        </w:r>
        <w:r w:rsidR="00C17895">
          <w:rPr>
            <w:noProof/>
            <w:webHidden/>
          </w:rPr>
          <w:fldChar w:fldCharType="separate"/>
        </w:r>
        <w:r w:rsidR="00412FF1">
          <w:rPr>
            <w:noProof/>
            <w:webHidden/>
          </w:rPr>
          <w:t>12</w:t>
        </w:r>
        <w:r w:rsidR="00C17895">
          <w:rPr>
            <w:noProof/>
            <w:webHidden/>
          </w:rPr>
          <w:fldChar w:fldCharType="end"/>
        </w:r>
      </w:hyperlink>
    </w:p>
    <w:p w14:paraId="0DED8B4C" w14:textId="77777777" w:rsidR="00C17895" w:rsidRDefault="00EF5C64">
      <w:pPr>
        <w:pStyle w:val="10"/>
        <w:rPr>
          <w:rFonts w:asciiTheme="minorHAnsi" w:eastAsiaTheme="minorEastAsia" w:hAnsiTheme="minorHAnsi" w:cstheme="minorBidi"/>
          <w:noProof/>
          <w:sz w:val="21"/>
          <w:szCs w:val="22"/>
        </w:rPr>
      </w:pPr>
      <w:hyperlink w:anchor="_Toc44321728" w:history="1">
        <w:r w:rsidR="00C17895" w:rsidRPr="001C6DDE">
          <w:rPr>
            <w:rStyle w:val="ae"/>
            <w:rFonts w:hint="eastAsia"/>
            <w:bCs/>
            <w:noProof/>
          </w:rPr>
          <w:t>第五条</w:t>
        </w:r>
        <w:r w:rsidR="00C17895" w:rsidRPr="001C6DDE">
          <w:rPr>
            <w:rStyle w:val="ae"/>
            <w:bCs/>
            <w:noProof/>
          </w:rPr>
          <w:t xml:space="preserve"> </w:t>
        </w:r>
        <w:r w:rsidR="00C17895" w:rsidRPr="001C6DDE">
          <w:rPr>
            <w:rStyle w:val="ae"/>
            <w:rFonts w:hint="eastAsia"/>
            <w:bCs/>
            <w:noProof/>
          </w:rPr>
          <w:t>基金财产保管</w:t>
        </w:r>
        <w:r w:rsidR="00C17895">
          <w:rPr>
            <w:noProof/>
            <w:webHidden/>
          </w:rPr>
          <w:tab/>
        </w:r>
        <w:r w:rsidR="00C17895">
          <w:rPr>
            <w:noProof/>
            <w:webHidden/>
          </w:rPr>
          <w:fldChar w:fldCharType="begin"/>
        </w:r>
        <w:r w:rsidR="00C17895">
          <w:rPr>
            <w:noProof/>
            <w:webHidden/>
          </w:rPr>
          <w:instrText xml:space="preserve"> PAGEREF _Toc44321728 \h </w:instrText>
        </w:r>
        <w:r w:rsidR="00C17895">
          <w:rPr>
            <w:noProof/>
            <w:webHidden/>
          </w:rPr>
        </w:r>
        <w:r w:rsidR="00C17895">
          <w:rPr>
            <w:noProof/>
            <w:webHidden/>
          </w:rPr>
          <w:fldChar w:fldCharType="separate"/>
        </w:r>
        <w:r w:rsidR="00412FF1">
          <w:rPr>
            <w:noProof/>
            <w:webHidden/>
          </w:rPr>
          <w:t>13</w:t>
        </w:r>
        <w:r w:rsidR="00C17895">
          <w:rPr>
            <w:noProof/>
            <w:webHidden/>
          </w:rPr>
          <w:fldChar w:fldCharType="end"/>
        </w:r>
      </w:hyperlink>
    </w:p>
    <w:p w14:paraId="6D059F00" w14:textId="66AA3B1F" w:rsidR="00C17895" w:rsidRDefault="00EF5C64">
      <w:pPr>
        <w:pStyle w:val="10"/>
        <w:rPr>
          <w:rFonts w:asciiTheme="minorHAnsi" w:eastAsiaTheme="minorEastAsia" w:hAnsiTheme="minorHAnsi" w:cstheme="minorBidi"/>
          <w:noProof/>
          <w:sz w:val="21"/>
          <w:szCs w:val="22"/>
        </w:rPr>
      </w:pPr>
      <w:hyperlink w:anchor="_Toc44321729" w:history="1">
        <w:r w:rsidR="00C17895" w:rsidRPr="001C6DDE">
          <w:rPr>
            <w:rStyle w:val="ae"/>
            <w:rFonts w:hint="eastAsia"/>
            <w:bCs/>
            <w:noProof/>
          </w:rPr>
          <w:t>第六条</w:t>
        </w:r>
        <w:r w:rsidR="00C17895" w:rsidRPr="001C6DDE">
          <w:rPr>
            <w:rStyle w:val="ae"/>
            <w:bCs/>
            <w:noProof/>
          </w:rPr>
          <w:t xml:space="preserve"> </w:t>
        </w:r>
        <w:r w:rsidR="00C17895" w:rsidRPr="001C6DDE">
          <w:rPr>
            <w:rStyle w:val="ae"/>
            <w:rFonts w:hint="eastAsia"/>
            <w:bCs/>
            <w:noProof/>
          </w:rPr>
          <w:t>指令的发送、确认和执行</w:t>
        </w:r>
        <w:r w:rsidR="00C17895">
          <w:rPr>
            <w:noProof/>
            <w:webHidden/>
          </w:rPr>
          <w:tab/>
        </w:r>
        <w:r w:rsidR="00C17895">
          <w:rPr>
            <w:noProof/>
            <w:webHidden/>
          </w:rPr>
          <w:fldChar w:fldCharType="begin"/>
        </w:r>
        <w:r w:rsidR="00C17895">
          <w:rPr>
            <w:noProof/>
            <w:webHidden/>
          </w:rPr>
          <w:instrText xml:space="preserve"> PAGEREF _Toc44321729 \h </w:instrText>
        </w:r>
        <w:r w:rsidR="00C17895">
          <w:rPr>
            <w:noProof/>
            <w:webHidden/>
          </w:rPr>
        </w:r>
        <w:r w:rsidR="00C17895">
          <w:rPr>
            <w:noProof/>
            <w:webHidden/>
          </w:rPr>
          <w:fldChar w:fldCharType="separate"/>
        </w:r>
        <w:r w:rsidR="00412FF1">
          <w:rPr>
            <w:noProof/>
            <w:webHidden/>
          </w:rPr>
          <w:t>15</w:t>
        </w:r>
        <w:r w:rsidR="00C17895">
          <w:rPr>
            <w:noProof/>
            <w:webHidden/>
          </w:rPr>
          <w:fldChar w:fldCharType="end"/>
        </w:r>
      </w:hyperlink>
    </w:p>
    <w:p w14:paraId="0BB1AC47" w14:textId="77777777" w:rsidR="00C17895" w:rsidRDefault="00EF5C64">
      <w:pPr>
        <w:pStyle w:val="10"/>
        <w:rPr>
          <w:rFonts w:asciiTheme="minorHAnsi" w:eastAsiaTheme="minorEastAsia" w:hAnsiTheme="minorHAnsi" w:cstheme="minorBidi"/>
          <w:noProof/>
          <w:sz w:val="21"/>
          <w:szCs w:val="22"/>
        </w:rPr>
      </w:pPr>
      <w:hyperlink w:anchor="_Toc44321730" w:history="1">
        <w:r w:rsidR="00C17895" w:rsidRPr="001C6DDE">
          <w:rPr>
            <w:rStyle w:val="ae"/>
            <w:rFonts w:hint="eastAsia"/>
            <w:bCs/>
            <w:noProof/>
          </w:rPr>
          <w:t>第七条</w:t>
        </w:r>
        <w:r w:rsidR="00C17895" w:rsidRPr="001C6DDE">
          <w:rPr>
            <w:rStyle w:val="ae"/>
            <w:bCs/>
            <w:noProof/>
          </w:rPr>
          <w:t xml:space="preserve"> </w:t>
        </w:r>
        <w:r w:rsidR="00C17895" w:rsidRPr="001C6DDE">
          <w:rPr>
            <w:rStyle w:val="ae"/>
            <w:rFonts w:hint="eastAsia"/>
            <w:bCs/>
            <w:noProof/>
          </w:rPr>
          <w:t>交易及清算交收安排</w:t>
        </w:r>
        <w:r w:rsidR="00C17895">
          <w:rPr>
            <w:noProof/>
            <w:webHidden/>
          </w:rPr>
          <w:tab/>
        </w:r>
        <w:r w:rsidR="00C17895">
          <w:rPr>
            <w:noProof/>
            <w:webHidden/>
          </w:rPr>
          <w:fldChar w:fldCharType="begin"/>
        </w:r>
        <w:r w:rsidR="00C17895">
          <w:rPr>
            <w:noProof/>
            <w:webHidden/>
          </w:rPr>
          <w:instrText xml:space="preserve"> PAGEREF _Toc44321730 \h </w:instrText>
        </w:r>
        <w:r w:rsidR="00C17895">
          <w:rPr>
            <w:noProof/>
            <w:webHidden/>
          </w:rPr>
        </w:r>
        <w:r w:rsidR="00C17895">
          <w:rPr>
            <w:noProof/>
            <w:webHidden/>
          </w:rPr>
          <w:fldChar w:fldCharType="separate"/>
        </w:r>
        <w:r w:rsidR="00412FF1">
          <w:rPr>
            <w:noProof/>
            <w:webHidden/>
          </w:rPr>
          <w:t>19</w:t>
        </w:r>
        <w:r w:rsidR="00C17895">
          <w:rPr>
            <w:noProof/>
            <w:webHidden/>
          </w:rPr>
          <w:fldChar w:fldCharType="end"/>
        </w:r>
      </w:hyperlink>
    </w:p>
    <w:p w14:paraId="3A2ADB36" w14:textId="6DBFD0F6" w:rsidR="00C17895" w:rsidRDefault="00EF5C64">
      <w:pPr>
        <w:pStyle w:val="10"/>
        <w:rPr>
          <w:rFonts w:asciiTheme="minorHAnsi" w:eastAsiaTheme="minorEastAsia" w:hAnsiTheme="minorHAnsi" w:cstheme="minorBidi"/>
          <w:noProof/>
          <w:sz w:val="21"/>
          <w:szCs w:val="22"/>
        </w:rPr>
      </w:pPr>
      <w:hyperlink w:anchor="_Toc44321731" w:history="1">
        <w:r w:rsidR="00C17895" w:rsidRPr="001C6DDE">
          <w:rPr>
            <w:rStyle w:val="ae"/>
            <w:rFonts w:hint="eastAsia"/>
            <w:bCs/>
            <w:noProof/>
          </w:rPr>
          <w:t>第八条</w:t>
        </w:r>
        <w:r w:rsidR="00C17895" w:rsidRPr="001C6DDE">
          <w:rPr>
            <w:rStyle w:val="ae"/>
            <w:bCs/>
            <w:noProof/>
          </w:rPr>
          <w:t xml:space="preserve"> </w:t>
        </w:r>
        <w:r w:rsidR="00C17895" w:rsidRPr="001C6DDE">
          <w:rPr>
            <w:rStyle w:val="ae"/>
            <w:rFonts w:hint="eastAsia"/>
            <w:bCs/>
            <w:noProof/>
          </w:rPr>
          <w:t>基金净值计算和会计核算</w:t>
        </w:r>
        <w:r w:rsidR="00C17895">
          <w:rPr>
            <w:noProof/>
            <w:webHidden/>
          </w:rPr>
          <w:tab/>
        </w:r>
        <w:r w:rsidR="00C17895">
          <w:rPr>
            <w:noProof/>
            <w:webHidden/>
          </w:rPr>
          <w:fldChar w:fldCharType="begin"/>
        </w:r>
        <w:r w:rsidR="00C17895">
          <w:rPr>
            <w:noProof/>
            <w:webHidden/>
          </w:rPr>
          <w:instrText xml:space="preserve"> PAGEREF _Toc44321731 \h </w:instrText>
        </w:r>
        <w:r w:rsidR="00C17895">
          <w:rPr>
            <w:noProof/>
            <w:webHidden/>
          </w:rPr>
        </w:r>
        <w:r w:rsidR="00C17895">
          <w:rPr>
            <w:noProof/>
            <w:webHidden/>
          </w:rPr>
          <w:fldChar w:fldCharType="separate"/>
        </w:r>
        <w:r w:rsidR="00412FF1">
          <w:rPr>
            <w:noProof/>
            <w:webHidden/>
          </w:rPr>
          <w:t>22</w:t>
        </w:r>
        <w:r w:rsidR="00C17895">
          <w:rPr>
            <w:noProof/>
            <w:webHidden/>
          </w:rPr>
          <w:fldChar w:fldCharType="end"/>
        </w:r>
      </w:hyperlink>
    </w:p>
    <w:p w14:paraId="19288208" w14:textId="005A3E8F" w:rsidR="00C17895" w:rsidRDefault="00EF5C64">
      <w:pPr>
        <w:pStyle w:val="10"/>
        <w:rPr>
          <w:rFonts w:asciiTheme="minorHAnsi" w:eastAsiaTheme="minorEastAsia" w:hAnsiTheme="minorHAnsi" w:cstheme="minorBidi"/>
          <w:noProof/>
          <w:sz w:val="21"/>
          <w:szCs w:val="22"/>
        </w:rPr>
      </w:pPr>
      <w:hyperlink w:anchor="_Toc44321732" w:history="1">
        <w:r w:rsidR="00C17895" w:rsidRPr="001C6DDE">
          <w:rPr>
            <w:rStyle w:val="ae"/>
            <w:rFonts w:hint="eastAsia"/>
            <w:bCs/>
            <w:noProof/>
          </w:rPr>
          <w:t>第九条</w:t>
        </w:r>
        <w:r w:rsidR="00C17895" w:rsidRPr="001C6DDE">
          <w:rPr>
            <w:rStyle w:val="ae"/>
            <w:bCs/>
            <w:noProof/>
          </w:rPr>
          <w:t xml:space="preserve"> </w:t>
        </w:r>
        <w:r w:rsidR="00C17895" w:rsidRPr="001C6DDE">
          <w:rPr>
            <w:rStyle w:val="ae"/>
            <w:rFonts w:hint="eastAsia"/>
            <w:bCs/>
            <w:noProof/>
          </w:rPr>
          <w:t>基金收益分配</w:t>
        </w:r>
        <w:r w:rsidR="00C17895">
          <w:rPr>
            <w:noProof/>
            <w:webHidden/>
          </w:rPr>
          <w:tab/>
        </w:r>
        <w:r w:rsidR="00C17895">
          <w:rPr>
            <w:noProof/>
            <w:webHidden/>
          </w:rPr>
          <w:fldChar w:fldCharType="begin"/>
        </w:r>
        <w:r w:rsidR="00C17895">
          <w:rPr>
            <w:noProof/>
            <w:webHidden/>
          </w:rPr>
          <w:instrText xml:space="preserve"> PAGEREF _Toc44321732 \h </w:instrText>
        </w:r>
        <w:r w:rsidR="00C17895">
          <w:rPr>
            <w:noProof/>
            <w:webHidden/>
          </w:rPr>
        </w:r>
        <w:r w:rsidR="00C17895">
          <w:rPr>
            <w:noProof/>
            <w:webHidden/>
          </w:rPr>
          <w:fldChar w:fldCharType="separate"/>
        </w:r>
        <w:r w:rsidR="00412FF1">
          <w:rPr>
            <w:noProof/>
            <w:webHidden/>
          </w:rPr>
          <w:t>27</w:t>
        </w:r>
        <w:r w:rsidR="00C17895">
          <w:rPr>
            <w:noProof/>
            <w:webHidden/>
          </w:rPr>
          <w:fldChar w:fldCharType="end"/>
        </w:r>
      </w:hyperlink>
    </w:p>
    <w:p w14:paraId="42113776" w14:textId="2BAB1284" w:rsidR="00C17895" w:rsidRDefault="00EF5C64">
      <w:pPr>
        <w:pStyle w:val="10"/>
        <w:rPr>
          <w:rFonts w:asciiTheme="minorHAnsi" w:eastAsiaTheme="minorEastAsia" w:hAnsiTheme="minorHAnsi" w:cstheme="minorBidi"/>
          <w:noProof/>
          <w:sz w:val="21"/>
          <w:szCs w:val="22"/>
        </w:rPr>
      </w:pPr>
      <w:hyperlink w:anchor="_Toc44321733" w:history="1">
        <w:r w:rsidR="00C17895" w:rsidRPr="001C6DDE">
          <w:rPr>
            <w:rStyle w:val="ae"/>
            <w:rFonts w:hint="eastAsia"/>
            <w:bCs/>
            <w:noProof/>
          </w:rPr>
          <w:t>第十条</w:t>
        </w:r>
        <w:r w:rsidR="00C17895" w:rsidRPr="001C6DDE">
          <w:rPr>
            <w:rStyle w:val="ae"/>
            <w:bCs/>
            <w:noProof/>
          </w:rPr>
          <w:t xml:space="preserve"> </w:t>
        </w:r>
        <w:r w:rsidR="00C17895" w:rsidRPr="001C6DDE">
          <w:rPr>
            <w:rStyle w:val="ae"/>
            <w:rFonts w:hint="eastAsia"/>
            <w:bCs/>
            <w:noProof/>
          </w:rPr>
          <w:t>信息披露</w:t>
        </w:r>
        <w:r w:rsidR="00C17895">
          <w:rPr>
            <w:noProof/>
            <w:webHidden/>
          </w:rPr>
          <w:tab/>
        </w:r>
        <w:r w:rsidR="00C17895">
          <w:rPr>
            <w:noProof/>
            <w:webHidden/>
          </w:rPr>
          <w:fldChar w:fldCharType="begin"/>
        </w:r>
        <w:r w:rsidR="00C17895">
          <w:rPr>
            <w:noProof/>
            <w:webHidden/>
          </w:rPr>
          <w:instrText xml:space="preserve"> PAGEREF _Toc44321733 \h </w:instrText>
        </w:r>
        <w:r w:rsidR="00C17895">
          <w:rPr>
            <w:noProof/>
            <w:webHidden/>
          </w:rPr>
        </w:r>
        <w:r w:rsidR="00C17895">
          <w:rPr>
            <w:noProof/>
            <w:webHidden/>
          </w:rPr>
          <w:fldChar w:fldCharType="separate"/>
        </w:r>
        <w:r w:rsidR="00412FF1">
          <w:rPr>
            <w:noProof/>
            <w:webHidden/>
          </w:rPr>
          <w:t>29</w:t>
        </w:r>
        <w:r w:rsidR="00C17895">
          <w:rPr>
            <w:noProof/>
            <w:webHidden/>
          </w:rPr>
          <w:fldChar w:fldCharType="end"/>
        </w:r>
      </w:hyperlink>
    </w:p>
    <w:p w14:paraId="29897971" w14:textId="5CF22E43" w:rsidR="00C17895" w:rsidRDefault="00EF5C64">
      <w:pPr>
        <w:pStyle w:val="10"/>
        <w:rPr>
          <w:rFonts w:asciiTheme="minorHAnsi" w:eastAsiaTheme="minorEastAsia" w:hAnsiTheme="minorHAnsi" w:cstheme="minorBidi"/>
          <w:noProof/>
          <w:sz w:val="21"/>
          <w:szCs w:val="22"/>
        </w:rPr>
      </w:pPr>
      <w:hyperlink w:anchor="_Toc44321734" w:history="1">
        <w:r w:rsidR="00C17895" w:rsidRPr="001C6DDE">
          <w:rPr>
            <w:rStyle w:val="ae"/>
            <w:rFonts w:hint="eastAsia"/>
            <w:bCs/>
            <w:noProof/>
          </w:rPr>
          <w:t>第十一条</w:t>
        </w:r>
        <w:r w:rsidR="00C17895" w:rsidRPr="001C6DDE">
          <w:rPr>
            <w:rStyle w:val="ae"/>
            <w:bCs/>
            <w:noProof/>
          </w:rPr>
          <w:t xml:space="preserve"> </w:t>
        </w:r>
        <w:r w:rsidR="00C17895" w:rsidRPr="001C6DDE">
          <w:rPr>
            <w:rStyle w:val="ae"/>
            <w:rFonts w:hint="eastAsia"/>
            <w:bCs/>
            <w:noProof/>
          </w:rPr>
          <w:t>基金费用</w:t>
        </w:r>
        <w:r w:rsidR="00C17895">
          <w:rPr>
            <w:noProof/>
            <w:webHidden/>
          </w:rPr>
          <w:tab/>
        </w:r>
        <w:r w:rsidR="00C17895">
          <w:rPr>
            <w:noProof/>
            <w:webHidden/>
          </w:rPr>
          <w:fldChar w:fldCharType="begin"/>
        </w:r>
        <w:r w:rsidR="00C17895">
          <w:rPr>
            <w:noProof/>
            <w:webHidden/>
          </w:rPr>
          <w:instrText xml:space="preserve"> PAGEREF _Toc44321734 \h </w:instrText>
        </w:r>
        <w:r w:rsidR="00C17895">
          <w:rPr>
            <w:noProof/>
            <w:webHidden/>
          </w:rPr>
        </w:r>
        <w:r w:rsidR="00C17895">
          <w:rPr>
            <w:noProof/>
            <w:webHidden/>
          </w:rPr>
          <w:fldChar w:fldCharType="separate"/>
        </w:r>
        <w:r w:rsidR="00412FF1">
          <w:rPr>
            <w:noProof/>
            <w:webHidden/>
          </w:rPr>
          <w:t>30</w:t>
        </w:r>
        <w:r w:rsidR="00C17895">
          <w:rPr>
            <w:noProof/>
            <w:webHidden/>
          </w:rPr>
          <w:fldChar w:fldCharType="end"/>
        </w:r>
      </w:hyperlink>
    </w:p>
    <w:p w14:paraId="1A04BA25" w14:textId="51E5B826" w:rsidR="00C17895" w:rsidRDefault="00EF5C64">
      <w:pPr>
        <w:pStyle w:val="10"/>
        <w:rPr>
          <w:rFonts w:asciiTheme="minorHAnsi" w:eastAsiaTheme="minorEastAsia" w:hAnsiTheme="minorHAnsi" w:cstheme="minorBidi"/>
          <w:noProof/>
          <w:sz w:val="21"/>
          <w:szCs w:val="22"/>
        </w:rPr>
      </w:pPr>
      <w:hyperlink w:anchor="_Toc44321735" w:history="1">
        <w:r w:rsidR="00C17895" w:rsidRPr="001C6DDE">
          <w:rPr>
            <w:rStyle w:val="ae"/>
            <w:rFonts w:hint="eastAsia"/>
            <w:bCs/>
            <w:noProof/>
          </w:rPr>
          <w:t>第十二条</w:t>
        </w:r>
        <w:r w:rsidR="00C17895" w:rsidRPr="001C6DDE">
          <w:rPr>
            <w:rStyle w:val="ae"/>
            <w:bCs/>
            <w:noProof/>
          </w:rPr>
          <w:t xml:space="preserve"> </w:t>
        </w:r>
        <w:r w:rsidR="00C17895" w:rsidRPr="001C6DDE">
          <w:rPr>
            <w:rStyle w:val="ae"/>
            <w:rFonts w:hint="eastAsia"/>
            <w:bCs/>
            <w:noProof/>
          </w:rPr>
          <w:t>基金份额持有人名册的保管</w:t>
        </w:r>
        <w:r w:rsidR="00C17895">
          <w:rPr>
            <w:noProof/>
            <w:webHidden/>
          </w:rPr>
          <w:tab/>
        </w:r>
        <w:r w:rsidR="00C17895">
          <w:rPr>
            <w:noProof/>
            <w:webHidden/>
          </w:rPr>
          <w:fldChar w:fldCharType="begin"/>
        </w:r>
        <w:r w:rsidR="00C17895">
          <w:rPr>
            <w:noProof/>
            <w:webHidden/>
          </w:rPr>
          <w:instrText xml:space="preserve"> PAGEREF _Toc44321735 \h </w:instrText>
        </w:r>
        <w:r w:rsidR="00C17895">
          <w:rPr>
            <w:noProof/>
            <w:webHidden/>
          </w:rPr>
        </w:r>
        <w:r w:rsidR="00C17895">
          <w:rPr>
            <w:noProof/>
            <w:webHidden/>
          </w:rPr>
          <w:fldChar w:fldCharType="separate"/>
        </w:r>
        <w:r w:rsidR="00412FF1">
          <w:rPr>
            <w:noProof/>
            <w:webHidden/>
          </w:rPr>
          <w:t>32</w:t>
        </w:r>
        <w:r w:rsidR="00C17895">
          <w:rPr>
            <w:noProof/>
            <w:webHidden/>
          </w:rPr>
          <w:fldChar w:fldCharType="end"/>
        </w:r>
      </w:hyperlink>
    </w:p>
    <w:p w14:paraId="4265EBF7" w14:textId="2FCA951E" w:rsidR="00C17895" w:rsidRDefault="00EF5C64">
      <w:pPr>
        <w:pStyle w:val="10"/>
        <w:rPr>
          <w:rFonts w:asciiTheme="minorHAnsi" w:eastAsiaTheme="minorEastAsia" w:hAnsiTheme="minorHAnsi" w:cstheme="minorBidi"/>
          <w:noProof/>
          <w:sz w:val="21"/>
          <w:szCs w:val="22"/>
        </w:rPr>
      </w:pPr>
      <w:hyperlink w:anchor="_Toc44321736" w:history="1">
        <w:r w:rsidR="00C17895" w:rsidRPr="001C6DDE">
          <w:rPr>
            <w:rStyle w:val="ae"/>
            <w:rFonts w:hint="eastAsia"/>
            <w:bCs/>
            <w:noProof/>
          </w:rPr>
          <w:t>第十三条</w:t>
        </w:r>
        <w:r w:rsidR="00C17895" w:rsidRPr="001C6DDE">
          <w:rPr>
            <w:rStyle w:val="ae"/>
            <w:bCs/>
            <w:noProof/>
          </w:rPr>
          <w:t xml:space="preserve"> </w:t>
        </w:r>
        <w:r w:rsidR="00C17895" w:rsidRPr="001C6DDE">
          <w:rPr>
            <w:rStyle w:val="ae"/>
            <w:rFonts w:hint="eastAsia"/>
            <w:bCs/>
            <w:noProof/>
          </w:rPr>
          <w:t>基金有关文件和档案的保存</w:t>
        </w:r>
        <w:r w:rsidR="00C17895">
          <w:rPr>
            <w:noProof/>
            <w:webHidden/>
          </w:rPr>
          <w:tab/>
        </w:r>
        <w:r w:rsidR="00C17895">
          <w:rPr>
            <w:noProof/>
            <w:webHidden/>
          </w:rPr>
          <w:fldChar w:fldCharType="begin"/>
        </w:r>
        <w:r w:rsidR="00C17895">
          <w:rPr>
            <w:noProof/>
            <w:webHidden/>
          </w:rPr>
          <w:instrText xml:space="preserve"> PAGEREF _Toc44321736 \h </w:instrText>
        </w:r>
        <w:r w:rsidR="00C17895">
          <w:rPr>
            <w:noProof/>
            <w:webHidden/>
          </w:rPr>
        </w:r>
        <w:r w:rsidR="00C17895">
          <w:rPr>
            <w:noProof/>
            <w:webHidden/>
          </w:rPr>
          <w:fldChar w:fldCharType="separate"/>
        </w:r>
        <w:r w:rsidR="00412FF1">
          <w:rPr>
            <w:noProof/>
            <w:webHidden/>
          </w:rPr>
          <w:t>32</w:t>
        </w:r>
        <w:r w:rsidR="00C17895">
          <w:rPr>
            <w:noProof/>
            <w:webHidden/>
          </w:rPr>
          <w:fldChar w:fldCharType="end"/>
        </w:r>
      </w:hyperlink>
    </w:p>
    <w:p w14:paraId="5B1A4A5B" w14:textId="74D674A6" w:rsidR="00C17895" w:rsidRDefault="00EF5C64">
      <w:pPr>
        <w:pStyle w:val="10"/>
        <w:rPr>
          <w:rFonts w:asciiTheme="minorHAnsi" w:eastAsiaTheme="minorEastAsia" w:hAnsiTheme="minorHAnsi" w:cstheme="minorBidi"/>
          <w:noProof/>
          <w:sz w:val="21"/>
          <w:szCs w:val="22"/>
        </w:rPr>
      </w:pPr>
      <w:hyperlink w:anchor="_Toc44321737" w:history="1">
        <w:r w:rsidR="00C17895" w:rsidRPr="001C6DDE">
          <w:rPr>
            <w:rStyle w:val="ae"/>
            <w:rFonts w:hint="eastAsia"/>
            <w:bCs/>
            <w:noProof/>
          </w:rPr>
          <w:t>第十四条</w:t>
        </w:r>
        <w:r w:rsidR="00C17895" w:rsidRPr="001C6DDE">
          <w:rPr>
            <w:rStyle w:val="ae"/>
            <w:bCs/>
            <w:noProof/>
          </w:rPr>
          <w:t xml:space="preserve"> </w:t>
        </w:r>
        <w:r w:rsidR="00C17895" w:rsidRPr="001C6DDE">
          <w:rPr>
            <w:rStyle w:val="ae"/>
            <w:rFonts w:hint="eastAsia"/>
            <w:bCs/>
            <w:noProof/>
          </w:rPr>
          <w:t>基金管理人和基金托管人的更换</w:t>
        </w:r>
        <w:r w:rsidR="00C17895">
          <w:rPr>
            <w:noProof/>
            <w:webHidden/>
          </w:rPr>
          <w:tab/>
        </w:r>
        <w:r w:rsidR="00C17895">
          <w:rPr>
            <w:noProof/>
            <w:webHidden/>
          </w:rPr>
          <w:fldChar w:fldCharType="begin"/>
        </w:r>
        <w:r w:rsidR="00C17895">
          <w:rPr>
            <w:noProof/>
            <w:webHidden/>
          </w:rPr>
          <w:instrText xml:space="preserve"> PAGEREF _Toc44321737 \h </w:instrText>
        </w:r>
        <w:r w:rsidR="00C17895">
          <w:rPr>
            <w:noProof/>
            <w:webHidden/>
          </w:rPr>
        </w:r>
        <w:r w:rsidR="00C17895">
          <w:rPr>
            <w:noProof/>
            <w:webHidden/>
          </w:rPr>
          <w:fldChar w:fldCharType="separate"/>
        </w:r>
        <w:r w:rsidR="00412FF1">
          <w:rPr>
            <w:noProof/>
            <w:webHidden/>
          </w:rPr>
          <w:t>33</w:t>
        </w:r>
        <w:r w:rsidR="00C17895">
          <w:rPr>
            <w:noProof/>
            <w:webHidden/>
          </w:rPr>
          <w:fldChar w:fldCharType="end"/>
        </w:r>
      </w:hyperlink>
    </w:p>
    <w:p w14:paraId="1AA366EB" w14:textId="62460541" w:rsidR="00C17895" w:rsidRDefault="00EF5C64">
      <w:pPr>
        <w:pStyle w:val="10"/>
        <w:rPr>
          <w:rFonts w:asciiTheme="minorHAnsi" w:eastAsiaTheme="minorEastAsia" w:hAnsiTheme="minorHAnsi" w:cstheme="minorBidi"/>
          <w:noProof/>
          <w:sz w:val="21"/>
          <w:szCs w:val="22"/>
        </w:rPr>
      </w:pPr>
      <w:hyperlink w:anchor="_Toc44321738" w:history="1">
        <w:r w:rsidR="00C17895" w:rsidRPr="001C6DDE">
          <w:rPr>
            <w:rStyle w:val="ae"/>
            <w:rFonts w:hint="eastAsia"/>
            <w:bCs/>
            <w:noProof/>
          </w:rPr>
          <w:t>第十五条</w:t>
        </w:r>
        <w:r w:rsidR="00C17895" w:rsidRPr="001C6DDE">
          <w:rPr>
            <w:rStyle w:val="ae"/>
            <w:bCs/>
            <w:noProof/>
          </w:rPr>
          <w:t xml:space="preserve"> </w:t>
        </w:r>
        <w:r w:rsidR="00C17895" w:rsidRPr="001C6DDE">
          <w:rPr>
            <w:rStyle w:val="ae"/>
            <w:rFonts w:hint="eastAsia"/>
            <w:bCs/>
            <w:noProof/>
          </w:rPr>
          <w:t>禁止行为</w:t>
        </w:r>
        <w:r w:rsidR="00C17895">
          <w:rPr>
            <w:noProof/>
            <w:webHidden/>
          </w:rPr>
          <w:tab/>
        </w:r>
        <w:r w:rsidR="00C17895">
          <w:rPr>
            <w:noProof/>
            <w:webHidden/>
          </w:rPr>
          <w:fldChar w:fldCharType="begin"/>
        </w:r>
        <w:r w:rsidR="00C17895">
          <w:rPr>
            <w:noProof/>
            <w:webHidden/>
          </w:rPr>
          <w:instrText xml:space="preserve"> PAGEREF _Toc44321738 \h </w:instrText>
        </w:r>
        <w:r w:rsidR="00C17895">
          <w:rPr>
            <w:noProof/>
            <w:webHidden/>
          </w:rPr>
        </w:r>
        <w:r w:rsidR="00C17895">
          <w:rPr>
            <w:noProof/>
            <w:webHidden/>
          </w:rPr>
          <w:fldChar w:fldCharType="separate"/>
        </w:r>
        <w:r w:rsidR="00412FF1">
          <w:rPr>
            <w:noProof/>
            <w:webHidden/>
          </w:rPr>
          <w:t>35</w:t>
        </w:r>
        <w:r w:rsidR="00C17895">
          <w:rPr>
            <w:noProof/>
            <w:webHidden/>
          </w:rPr>
          <w:fldChar w:fldCharType="end"/>
        </w:r>
      </w:hyperlink>
    </w:p>
    <w:p w14:paraId="09B00164" w14:textId="09C76F40" w:rsidR="00C17895" w:rsidRDefault="00EF5C64">
      <w:pPr>
        <w:pStyle w:val="10"/>
        <w:rPr>
          <w:rFonts w:asciiTheme="minorHAnsi" w:eastAsiaTheme="minorEastAsia" w:hAnsiTheme="minorHAnsi" w:cstheme="minorBidi"/>
          <w:noProof/>
          <w:sz w:val="21"/>
          <w:szCs w:val="22"/>
        </w:rPr>
      </w:pPr>
      <w:hyperlink w:anchor="_Toc44321739" w:history="1">
        <w:r w:rsidR="00C17895" w:rsidRPr="001C6DDE">
          <w:rPr>
            <w:rStyle w:val="ae"/>
            <w:rFonts w:hint="eastAsia"/>
            <w:bCs/>
            <w:noProof/>
          </w:rPr>
          <w:t>第十六条</w:t>
        </w:r>
        <w:r w:rsidR="00C17895" w:rsidRPr="001C6DDE">
          <w:rPr>
            <w:rStyle w:val="ae"/>
            <w:bCs/>
            <w:noProof/>
          </w:rPr>
          <w:t xml:space="preserve"> </w:t>
        </w:r>
        <w:r w:rsidR="00C17895" w:rsidRPr="001C6DDE">
          <w:rPr>
            <w:rStyle w:val="ae"/>
            <w:rFonts w:hint="eastAsia"/>
            <w:bCs/>
            <w:noProof/>
          </w:rPr>
          <w:t>本协议的变更、终止与基金财产的清算</w:t>
        </w:r>
        <w:r w:rsidR="00C17895">
          <w:rPr>
            <w:noProof/>
            <w:webHidden/>
          </w:rPr>
          <w:tab/>
        </w:r>
        <w:r w:rsidR="00C17895">
          <w:rPr>
            <w:noProof/>
            <w:webHidden/>
          </w:rPr>
          <w:fldChar w:fldCharType="begin"/>
        </w:r>
        <w:r w:rsidR="00C17895">
          <w:rPr>
            <w:noProof/>
            <w:webHidden/>
          </w:rPr>
          <w:instrText xml:space="preserve"> PAGEREF _Toc44321739 \h </w:instrText>
        </w:r>
        <w:r w:rsidR="00C17895">
          <w:rPr>
            <w:noProof/>
            <w:webHidden/>
          </w:rPr>
        </w:r>
        <w:r w:rsidR="00C17895">
          <w:rPr>
            <w:noProof/>
            <w:webHidden/>
          </w:rPr>
          <w:fldChar w:fldCharType="separate"/>
        </w:r>
        <w:r w:rsidR="00412FF1">
          <w:rPr>
            <w:noProof/>
            <w:webHidden/>
          </w:rPr>
          <w:t>36</w:t>
        </w:r>
        <w:r w:rsidR="00C17895">
          <w:rPr>
            <w:noProof/>
            <w:webHidden/>
          </w:rPr>
          <w:fldChar w:fldCharType="end"/>
        </w:r>
      </w:hyperlink>
    </w:p>
    <w:p w14:paraId="40321FC3" w14:textId="4303AB70" w:rsidR="00C17895" w:rsidRDefault="00EF5C64">
      <w:pPr>
        <w:pStyle w:val="10"/>
        <w:rPr>
          <w:rFonts w:asciiTheme="minorHAnsi" w:eastAsiaTheme="minorEastAsia" w:hAnsiTheme="minorHAnsi" w:cstheme="minorBidi"/>
          <w:noProof/>
          <w:sz w:val="21"/>
          <w:szCs w:val="22"/>
        </w:rPr>
      </w:pPr>
      <w:hyperlink w:anchor="_Toc44321740" w:history="1">
        <w:r w:rsidR="00C17895" w:rsidRPr="001C6DDE">
          <w:rPr>
            <w:rStyle w:val="ae"/>
            <w:rFonts w:hint="eastAsia"/>
            <w:bCs/>
            <w:noProof/>
          </w:rPr>
          <w:t>第十七条</w:t>
        </w:r>
        <w:r w:rsidR="00C17895" w:rsidRPr="001C6DDE">
          <w:rPr>
            <w:rStyle w:val="ae"/>
            <w:bCs/>
            <w:noProof/>
          </w:rPr>
          <w:t xml:space="preserve"> </w:t>
        </w:r>
        <w:r w:rsidR="00C17895" w:rsidRPr="001C6DDE">
          <w:rPr>
            <w:rStyle w:val="ae"/>
            <w:rFonts w:hint="eastAsia"/>
            <w:bCs/>
            <w:noProof/>
          </w:rPr>
          <w:t>违约责任</w:t>
        </w:r>
        <w:r w:rsidR="00C17895">
          <w:rPr>
            <w:noProof/>
            <w:webHidden/>
          </w:rPr>
          <w:tab/>
        </w:r>
        <w:r w:rsidR="00C17895">
          <w:rPr>
            <w:noProof/>
            <w:webHidden/>
          </w:rPr>
          <w:fldChar w:fldCharType="begin"/>
        </w:r>
        <w:r w:rsidR="00C17895">
          <w:rPr>
            <w:noProof/>
            <w:webHidden/>
          </w:rPr>
          <w:instrText xml:space="preserve"> PAGEREF _Toc44321740 \h </w:instrText>
        </w:r>
        <w:r w:rsidR="00C17895">
          <w:rPr>
            <w:noProof/>
            <w:webHidden/>
          </w:rPr>
        </w:r>
        <w:r w:rsidR="00C17895">
          <w:rPr>
            <w:noProof/>
            <w:webHidden/>
          </w:rPr>
          <w:fldChar w:fldCharType="separate"/>
        </w:r>
        <w:r w:rsidR="00412FF1">
          <w:rPr>
            <w:noProof/>
            <w:webHidden/>
          </w:rPr>
          <w:t>38</w:t>
        </w:r>
        <w:r w:rsidR="00C17895">
          <w:rPr>
            <w:noProof/>
            <w:webHidden/>
          </w:rPr>
          <w:fldChar w:fldCharType="end"/>
        </w:r>
      </w:hyperlink>
    </w:p>
    <w:p w14:paraId="5DF94BC9" w14:textId="7ED4C292" w:rsidR="00C17895" w:rsidRDefault="00EF5C64">
      <w:pPr>
        <w:pStyle w:val="10"/>
        <w:rPr>
          <w:rFonts w:asciiTheme="minorHAnsi" w:eastAsiaTheme="minorEastAsia" w:hAnsiTheme="minorHAnsi" w:cstheme="minorBidi"/>
          <w:noProof/>
          <w:sz w:val="21"/>
          <w:szCs w:val="22"/>
        </w:rPr>
      </w:pPr>
      <w:hyperlink w:anchor="_Toc44321741" w:history="1">
        <w:r w:rsidR="00C17895" w:rsidRPr="001C6DDE">
          <w:rPr>
            <w:rStyle w:val="ae"/>
            <w:rFonts w:hint="eastAsia"/>
            <w:bCs/>
            <w:noProof/>
          </w:rPr>
          <w:t>第十八条</w:t>
        </w:r>
        <w:r w:rsidR="00C17895" w:rsidRPr="001C6DDE">
          <w:rPr>
            <w:rStyle w:val="ae"/>
            <w:bCs/>
            <w:noProof/>
          </w:rPr>
          <w:t xml:space="preserve"> </w:t>
        </w:r>
        <w:r w:rsidR="00C17895" w:rsidRPr="001C6DDE">
          <w:rPr>
            <w:rStyle w:val="ae"/>
            <w:rFonts w:hint="eastAsia"/>
            <w:bCs/>
            <w:noProof/>
          </w:rPr>
          <w:t>法律适用和争议解决</w:t>
        </w:r>
        <w:r w:rsidR="00C17895">
          <w:rPr>
            <w:noProof/>
            <w:webHidden/>
          </w:rPr>
          <w:tab/>
        </w:r>
        <w:r w:rsidR="00C17895">
          <w:rPr>
            <w:noProof/>
            <w:webHidden/>
          </w:rPr>
          <w:fldChar w:fldCharType="begin"/>
        </w:r>
        <w:r w:rsidR="00C17895">
          <w:rPr>
            <w:noProof/>
            <w:webHidden/>
          </w:rPr>
          <w:instrText xml:space="preserve"> PAGEREF _Toc44321741 \h </w:instrText>
        </w:r>
        <w:r w:rsidR="00C17895">
          <w:rPr>
            <w:noProof/>
            <w:webHidden/>
          </w:rPr>
        </w:r>
        <w:r w:rsidR="00C17895">
          <w:rPr>
            <w:noProof/>
            <w:webHidden/>
          </w:rPr>
          <w:fldChar w:fldCharType="separate"/>
        </w:r>
        <w:r w:rsidR="00412FF1">
          <w:rPr>
            <w:noProof/>
            <w:webHidden/>
          </w:rPr>
          <w:t>39</w:t>
        </w:r>
        <w:r w:rsidR="00C17895">
          <w:rPr>
            <w:noProof/>
            <w:webHidden/>
          </w:rPr>
          <w:fldChar w:fldCharType="end"/>
        </w:r>
      </w:hyperlink>
    </w:p>
    <w:p w14:paraId="3FDD56F4" w14:textId="33447FAE" w:rsidR="00C17895" w:rsidRDefault="00EF5C64">
      <w:pPr>
        <w:pStyle w:val="10"/>
        <w:rPr>
          <w:rFonts w:asciiTheme="minorHAnsi" w:eastAsiaTheme="minorEastAsia" w:hAnsiTheme="minorHAnsi" w:cstheme="minorBidi"/>
          <w:noProof/>
          <w:sz w:val="21"/>
          <w:szCs w:val="22"/>
        </w:rPr>
      </w:pPr>
      <w:hyperlink w:anchor="_Toc44321742" w:history="1">
        <w:r w:rsidR="00C17895" w:rsidRPr="001C6DDE">
          <w:rPr>
            <w:rStyle w:val="ae"/>
            <w:rFonts w:hint="eastAsia"/>
            <w:bCs/>
            <w:noProof/>
          </w:rPr>
          <w:t>第十九条</w:t>
        </w:r>
        <w:r w:rsidR="00C17895" w:rsidRPr="001C6DDE">
          <w:rPr>
            <w:rStyle w:val="ae"/>
            <w:bCs/>
            <w:noProof/>
          </w:rPr>
          <w:t xml:space="preserve"> </w:t>
        </w:r>
        <w:r w:rsidR="00C17895" w:rsidRPr="001C6DDE">
          <w:rPr>
            <w:rStyle w:val="ae"/>
            <w:rFonts w:hint="eastAsia"/>
            <w:bCs/>
            <w:noProof/>
          </w:rPr>
          <w:t>本协议的效力</w:t>
        </w:r>
        <w:r w:rsidR="00C17895">
          <w:rPr>
            <w:noProof/>
            <w:webHidden/>
          </w:rPr>
          <w:tab/>
        </w:r>
        <w:r w:rsidR="00C17895">
          <w:rPr>
            <w:noProof/>
            <w:webHidden/>
          </w:rPr>
          <w:fldChar w:fldCharType="begin"/>
        </w:r>
        <w:r w:rsidR="00C17895">
          <w:rPr>
            <w:noProof/>
            <w:webHidden/>
          </w:rPr>
          <w:instrText xml:space="preserve"> PAGEREF _Toc44321742 \h </w:instrText>
        </w:r>
        <w:r w:rsidR="00C17895">
          <w:rPr>
            <w:noProof/>
            <w:webHidden/>
          </w:rPr>
        </w:r>
        <w:r w:rsidR="00C17895">
          <w:rPr>
            <w:noProof/>
            <w:webHidden/>
          </w:rPr>
          <w:fldChar w:fldCharType="separate"/>
        </w:r>
        <w:r w:rsidR="00412FF1">
          <w:rPr>
            <w:noProof/>
            <w:webHidden/>
          </w:rPr>
          <w:t>40</w:t>
        </w:r>
        <w:r w:rsidR="00C17895">
          <w:rPr>
            <w:noProof/>
            <w:webHidden/>
          </w:rPr>
          <w:fldChar w:fldCharType="end"/>
        </w:r>
      </w:hyperlink>
    </w:p>
    <w:p w14:paraId="295DAEED" w14:textId="433967E8" w:rsidR="00C17895" w:rsidRDefault="00EF5C64">
      <w:pPr>
        <w:pStyle w:val="10"/>
        <w:rPr>
          <w:rFonts w:asciiTheme="minorHAnsi" w:eastAsiaTheme="minorEastAsia" w:hAnsiTheme="minorHAnsi" w:cstheme="minorBidi"/>
          <w:noProof/>
          <w:sz w:val="21"/>
          <w:szCs w:val="22"/>
        </w:rPr>
      </w:pPr>
      <w:hyperlink w:anchor="_Toc44321743" w:history="1">
        <w:r w:rsidR="00C17895" w:rsidRPr="001C6DDE">
          <w:rPr>
            <w:rStyle w:val="ae"/>
            <w:rFonts w:hint="eastAsia"/>
            <w:bCs/>
            <w:noProof/>
          </w:rPr>
          <w:t>第二十条</w:t>
        </w:r>
        <w:r w:rsidR="00C17895" w:rsidRPr="001C6DDE">
          <w:rPr>
            <w:rStyle w:val="ae"/>
            <w:bCs/>
            <w:noProof/>
          </w:rPr>
          <w:t xml:space="preserve"> </w:t>
        </w:r>
        <w:r w:rsidR="00C17895" w:rsidRPr="001C6DDE">
          <w:rPr>
            <w:rStyle w:val="ae"/>
            <w:rFonts w:hint="eastAsia"/>
            <w:bCs/>
            <w:noProof/>
          </w:rPr>
          <w:t>本协议的签订</w:t>
        </w:r>
        <w:r w:rsidR="00C17895">
          <w:rPr>
            <w:noProof/>
            <w:webHidden/>
          </w:rPr>
          <w:tab/>
        </w:r>
        <w:r w:rsidR="00C17895">
          <w:rPr>
            <w:noProof/>
            <w:webHidden/>
          </w:rPr>
          <w:fldChar w:fldCharType="begin"/>
        </w:r>
        <w:r w:rsidR="00C17895">
          <w:rPr>
            <w:noProof/>
            <w:webHidden/>
          </w:rPr>
          <w:instrText xml:space="preserve"> PAGEREF _Toc44321743 \h </w:instrText>
        </w:r>
        <w:r w:rsidR="00C17895">
          <w:rPr>
            <w:noProof/>
            <w:webHidden/>
          </w:rPr>
        </w:r>
        <w:r w:rsidR="00C17895">
          <w:rPr>
            <w:noProof/>
            <w:webHidden/>
          </w:rPr>
          <w:fldChar w:fldCharType="separate"/>
        </w:r>
        <w:r w:rsidR="00412FF1">
          <w:rPr>
            <w:noProof/>
            <w:webHidden/>
          </w:rPr>
          <w:t>40</w:t>
        </w:r>
        <w:r w:rsidR="00C17895">
          <w:rPr>
            <w:noProof/>
            <w:webHidden/>
          </w:rPr>
          <w:fldChar w:fldCharType="end"/>
        </w:r>
      </w:hyperlink>
    </w:p>
    <w:p w14:paraId="0A0C7D3D" w14:textId="0C53F558" w:rsidR="00C17895" w:rsidRDefault="00EF5C64">
      <w:pPr>
        <w:pStyle w:val="10"/>
        <w:rPr>
          <w:rFonts w:asciiTheme="minorHAnsi" w:eastAsiaTheme="minorEastAsia" w:hAnsiTheme="minorHAnsi" w:cstheme="minorBidi"/>
          <w:noProof/>
          <w:sz w:val="21"/>
          <w:szCs w:val="22"/>
        </w:rPr>
      </w:pPr>
      <w:hyperlink w:anchor="_Toc44321744" w:history="1">
        <w:r w:rsidR="00C17895" w:rsidRPr="001C6DDE">
          <w:rPr>
            <w:rStyle w:val="ae"/>
            <w:rFonts w:hint="eastAsia"/>
            <w:bCs/>
            <w:noProof/>
          </w:rPr>
          <w:t>第二十一条</w:t>
        </w:r>
        <w:r w:rsidR="00C17895" w:rsidRPr="001C6DDE">
          <w:rPr>
            <w:rStyle w:val="ae"/>
            <w:bCs/>
            <w:noProof/>
          </w:rPr>
          <w:t xml:space="preserve"> </w:t>
        </w:r>
        <w:r w:rsidR="00C17895" w:rsidRPr="001C6DDE">
          <w:rPr>
            <w:rStyle w:val="ae"/>
            <w:rFonts w:hint="eastAsia"/>
            <w:bCs/>
            <w:noProof/>
          </w:rPr>
          <w:t>不可抗力</w:t>
        </w:r>
        <w:r w:rsidR="00C17895">
          <w:rPr>
            <w:noProof/>
            <w:webHidden/>
          </w:rPr>
          <w:tab/>
        </w:r>
        <w:r w:rsidR="00C17895">
          <w:rPr>
            <w:noProof/>
            <w:webHidden/>
          </w:rPr>
          <w:fldChar w:fldCharType="begin"/>
        </w:r>
        <w:r w:rsidR="00C17895">
          <w:rPr>
            <w:noProof/>
            <w:webHidden/>
          </w:rPr>
          <w:instrText xml:space="preserve"> PAGEREF _Toc44321744 \h </w:instrText>
        </w:r>
        <w:r w:rsidR="00C17895">
          <w:rPr>
            <w:noProof/>
            <w:webHidden/>
          </w:rPr>
        </w:r>
        <w:r w:rsidR="00C17895">
          <w:rPr>
            <w:noProof/>
            <w:webHidden/>
          </w:rPr>
          <w:fldChar w:fldCharType="separate"/>
        </w:r>
        <w:r w:rsidR="00412FF1">
          <w:rPr>
            <w:noProof/>
            <w:webHidden/>
          </w:rPr>
          <w:t>40</w:t>
        </w:r>
        <w:r w:rsidR="00C17895">
          <w:rPr>
            <w:noProof/>
            <w:webHidden/>
          </w:rPr>
          <w:fldChar w:fldCharType="end"/>
        </w:r>
      </w:hyperlink>
    </w:p>
    <w:p w14:paraId="1C2D370C" w14:textId="65E313B8" w:rsidR="00C17895" w:rsidRDefault="00EF5C64">
      <w:pPr>
        <w:pStyle w:val="10"/>
        <w:rPr>
          <w:rFonts w:asciiTheme="minorHAnsi" w:eastAsiaTheme="minorEastAsia" w:hAnsiTheme="minorHAnsi" w:cstheme="minorBidi"/>
          <w:noProof/>
          <w:sz w:val="21"/>
          <w:szCs w:val="22"/>
        </w:rPr>
      </w:pPr>
      <w:hyperlink w:anchor="_Toc44321745" w:history="1">
        <w:r w:rsidR="00C17895" w:rsidRPr="001C6DDE">
          <w:rPr>
            <w:rStyle w:val="ae"/>
            <w:rFonts w:hint="eastAsia"/>
            <w:bCs/>
            <w:noProof/>
          </w:rPr>
          <w:t>第二十二条</w:t>
        </w:r>
        <w:r w:rsidR="00C17895" w:rsidRPr="001C6DDE">
          <w:rPr>
            <w:rStyle w:val="ae"/>
            <w:bCs/>
            <w:noProof/>
          </w:rPr>
          <w:t xml:space="preserve"> </w:t>
        </w:r>
        <w:r w:rsidR="00C17895" w:rsidRPr="001C6DDE">
          <w:rPr>
            <w:rStyle w:val="ae"/>
            <w:rFonts w:hint="eastAsia"/>
            <w:bCs/>
            <w:noProof/>
          </w:rPr>
          <w:t>可分割性</w:t>
        </w:r>
        <w:r w:rsidR="00C17895">
          <w:rPr>
            <w:noProof/>
            <w:webHidden/>
          </w:rPr>
          <w:tab/>
        </w:r>
        <w:r w:rsidR="00C17895">
          <w:rPr>
            <w:noProof/>
            <w:webHidden/>
          </w:rPr>
          <w:fldChar w:fldCharType="begin"/>
        </w:r>
        <w:r w:rsidR="00C17895">
          <w:rPr>
            <w:noProof/>
            <w:webHidden/>
          </w:rPr>
          <w:instrText xml:space="preserve"> PAGEREF _Toc44321745 \h </w:instrText>
        </w:r>
        <w:r w:rsidR="00C17895">
          <w:rPr>
            <w:noProof/>
            <w:webHidden/>
          </w:rPr>
        </w:r>
        <w:r w:rsidR="00C17895">
          <w:rPr>
            <w:noProof/>
            <w:webHidden/>
          </w:rPr>
          <w:fldChar w:fldCharType="separate"/>
        </w:r>
        <w:r w:rsidR="00412FF1">
          <w:rPr>
            <w:noProof/>
            <w:webHidden/>
          </w:rPr>
          <w:t>41</w:t>
        </w:r>
        <w:r w:rsidR="00C17895">
          <w:rPr>
            <w:noProof/>
            <w:webHidden/>
          </w:rPr>
          <w:fldChar w:fldCharType="end"/>
        </w:r>
      </w:hyperlink>
    </w:p>
    <w:p w14:paraId="0DA58F72" w14:textId="53786E0F" w:rsidR="00C17895" w:rsidRDefault="00EF5C64">
      <w:pPr>
        <w:pStyle w:val="10"/>
        <w:rPr>
          <w:rFonts w:asciiTheme="minorHAnsi" w:eastAsiaTheme="minorEastAsia" w:hAnsiTheme="minorHAnsi" w:cstheme="minorBidi"/>
          <w:noProof/>
          <w:sz w:val="21"/>
          <w:szCs w:val="22"/>
        </w:rPr>
      </w:pPr>
      <w:hyperlink w:anchor="_Toc44321746" w:history="1">
        <w:r w:rsidR="00C17895" w:rsidRPr="001C6DDE">
          <w:rPr>
            <w:rStyle w:val="ae"/>
            <w:rFonts w:hint="eastAsia"/>
            <w:bCs/>
            <w:noProof/>
          </w:rPr>
          <w:t>第二十三条</w:t>
        </w:r>
        <w:r w:rsidR="00C17895" w:rsidRPr="001C6DDE">
          <w:rPr>
            <w:rStyle w:val="ae"/>
            <w:bCs/>
            <w:noProof/>
          </w:rPr>
          <w:t xml:space="preserve"> </w:t>
        </w:r>
        <w:r w:rsidR="00C17895" w:rsidRPr="001C6DDE">
          <w:rPr>
            <w:rStyle w:val="ae"/>
            <w:rFonts w:hint="eastAsia"/>
            <w:bCs/>
            <w:noProof/>
          </w:rPr>
          <w:t>通知与送达</w:t>
        </w:r>
        <w:r w:rsidR="00C17895">
          <w:rPr>
            <w:noProof/>
            <w:webHidden/>
          </w:rPr>
          <w:tab/>
        </w:r>
        <w:r w:rsidR="00C17895">
          <w:rPr>
            <w:noProof/>
            <w:webHidden/>
          </w:rPr>
          <w:fldChar w:fldCharType="begin"/>
        </w:r>
        <w:r w:rsidR="00C17895">
          <w:rPr>
            <w:noProof/>
            <w:webHidden/>
          </w:rPr>
          <w:instrText xml:space="preserve"> PAGEREF _Toc44321746 \h </w:instrText>
        </w:r>
        <w:r w:rsidR="00C17895">
          <w:rPr>
            <w:noProof/>
            <w:webHidden/>
          </w:rPr>
        </w:r>
        <w:r w:rsidR="00C17895">
          <w:rPr>
            <w:noProof/>
            <w:webHidden/>
          </w:rPr>
          <w:fldChar w:fldCharType="separate"/>
        </w:r>
        <w:r w:rsidR="00412FF1">
          <w:rPr>
            <w:noProof/>
            <w:webHidden/>
          </w:rPr>
          <w:t>41</w:t>
        </w:r>
        <w:r w:rsidR="00C17895">
          <w:rPr>
            <w:noProof/>
            <w:webHidden/>
          </w:rPr>
          <w:fldChar w:fldCharType="end"/>
        </w:r>
      </w:hyperlink>
    </w:p>
    <w:p w14:paraId="237CB1DA" w14:textId="0BF7DE14" w:rsidR="00C17895" w:rsidRDefault="00EF5C64">
      <w:pPr>
        <w:pStyle w:val="10"/>
        <w:rPr>
          <w:rFonts w:asciiTheme="minorHAnsi" w:eastAsiaTheme="minorEastAsia" w:hAnsiTheme="minorHAnsi" w:cstheme="minorBidi"/>
          <w:noProof/>
          <w:sz w:val="21"/>
          <w:szCs w:val="22"/>
        </w:rPr>
      </w:pPr>
      <w:hyperlink w:anchor="_Toc44321747" w:history="1">
        <w:r w:rsidR="00C17895" w:rsidRPr="001C6DDE">
          <w:rPr>
            <w:rStyle w:val="ae"/>
            <w:rFonts w:hint="eastAsia"/>
            <w:bCs/>
            <w:noProof/>
          </w:rPr>
          <w:t>第二十四条</w:t>
        </w:r>
        <w:r w:rsidR="00C17895" w:rsidRPr="001C6DDE">
          <w:rPr>
            <w:rStyle w:val="ae"/>
            <w:bCs/>
            <w:noProof/>
          </w:rPr>
          <w:t xml:space="preserve"> </w:t>
        </w:r>
        <w:r w:rsidR="00C17895" w:rsidRPr="001C6DDE">
          <w:rPr>
            <w:rStyle w:val="ae"/>
            <w:rFonts w:hint="eastAsia"/>
            <w:bCs/>
            <w:noProof/>
          </w:rPr>
          <w:t>其他约定事项</w:t>
        </w:r>
        <w:r w:rsidR="00C17895">
          <w:rPr>
            <w:noProof/>
            <w:webHidden/>
          </w:rPr>
          <w:tab/>
        </w:r>
        <w:r w:rsidR="00C17895">
          <w:rPr>
            <w:noProof/>
            <w:webHidden/>
          </w:rPr>
          <w:fldChar w:fldCharType="begin"/>
        </w:r>
        <w:r w:rsidR="00C17895">
          <w:rPr>
            <w:noProof/>
            <w:webHidden/>
          </w:rPr>
          <w:instrText xml:space="preserve"> PAGEREF _Toc44321747 \h </w:instrText>
        </w:r>
        <w:r w:rsidR="00C17895">
          <w:rPr>
            <w:noProof/>
            <w:webHidden/>
          </w:rPr>
        </w:r>
        <w:r w:rsidR="00C17895">
          <w:rPr>
            <w:noProof/>
            <w:webHidden/>
          </w:rPr>
          <w:fldChar w:fldCharType="separate"/>
        </w:r>
        <w:r w:rsidR="00412FF1">
          <w:rPr>
            <w:noProof/>
            <w:webHidden/>
          </w:rPr>
          <w:t>41</w:t>
        </w:r>
        <w:r w:rsidR="00C17895">
          <w:rPr>
            <w:noProof/>
            <w:webHidden/>
          </w:rPr>
          <w:fldChar w:fldCharType="end"/>
        </w:r>
      </w:hyperlink>
    </w:p>
    <w:p w14:paraId="6A84B50D" w14:textId="77777777" w:rsidR="00B61FF9" w:rsidRDefault="001B0A60">
      <w:pPr>
        <w:snapToGrid w:val="0"/>
        <w:spacing w:line="360" w:lineRule="auto"/>
        <w:jc w:val="center"/>
        <w:rPr>
          <w:rFonts w:ascii="宋体" w:hAnsi="宋体"/>
          <w:b/>
          <w:sz w:val="28"/>
          <w:szCs w:val="28"/>
        </w:rPr>
      </w:pPr>
      <w:r>
        <w:rPr>
          <w:rFonts w:ascii="宋体" w:hAnsi="宋体"/>
          <w:b/>
          <w:sz w:val="28"/>
          <w:szCs w:val="28"/>
        </w:rPr>
        <w:fldChar w:fldCharType="end"/>
      </w:r>
    </w:p>
    <w:p w14:paraId="0022B401" w14:textId="2F12DD65" w:rsidR="00B61FF9" w:rsidRDefault="001B0A60" w:rsidP="006643B1">
      <w:pPr>
        <w:adjustRightInd w:val="0"/>
        <w:snapToGrid w:val="0"/>
        <w:spacing w:line="520" w:lineRule="atLeast"/>
        <w:jc w:val="center"/>
        <w:rPr>
          <w:rFonts w:ascii="宋体" w:hAnsi="宋体"/>
          <w:b/>
          <w:sz w:val="28"/>
          <w:szCs w:val="28"/>
        </w:rPr>
      </w:pPr>
      <w:r>
        <w:rPr>
          <w:rFonts w:ascii="宋体" w:hAnsi="宋体"/>
          <w:b/>
          <w:sz w:val="28"/>
          <w:szCs w:val="28"/>
        </w:rPr>
        <w:br w:type="page"/>
      </w:r>
      <w:r w:rsidR="002569F0">
        <w:rPr>
          <w:rFonts w:ascii="宋体" w:hAnsi="宋体" w:hint="eastAsia"/>
          <w:b/>
          <w:sz w:val="28"/>
          <w:szCs w:val="28"/>
        </w:rPr>
        <w:lastRenderedPageBreak/>
        <w:t>鹏华</w:t>
      </w:r>
      <w:r w:rsidR="00720BBE">
        <w:rPr>
          <w:rFonts w:ascii="宋体" w:hAnsi="宋体" w:hint="eastAsia"/>
          <w:b/>
          <w:sz w:val="28"/>
          <w:szCs w:val="28"/>
        </w:rPr>
        <w:t>丰启</w:t>
      </w:r>
      <w:r w:rsidR="00D90C6F">
        <w:rPr>
          <w:rFonts w:ascii="宋体" w:hAnsi="宋体" w:hint="eastAsia"/>
          <w:b/>
          <w:sz w:val="28"/>
          <w:szCs w:val="28"/>
        </w:rPr>
        <w:t>债券</w:t>
      </w:r>
      <w:r w:rsidR="00B30933">
        <w:rPr>
          <w:rFonts w:ascii="宋体" w:hAnsi="宋体" w:hint="eastAsia"/>
          <w:b/>
          <w:sz w:val="28"/>
          <w:szCs w:val="28"/>
        </w:rPr>
        <w:t>型</w:t>
      </w:r>
      <w:r>
        <w:rPr>
          <w:rFonts w:ascii="宋体" w:hAnsi="宋体" w:hint="eastAsia"/>
          <w:b/>
          <w:sz w:val="28"/>
          <w:szCs w:val="28"/>
        </w:rPr>
        <w:t>证券投资基金托管协议</w:t>
      </w:r>
    </w:p>
    <w:p w14:paraId="1C2B939A" w14:textId="0A110E31" w:rsidR="001C545B" w:rsidRDefault="001C545B" w:rsidP="006643B1">
      <w:pPr>
        <w:adjustRightInd w:val="0"/>
        <w:snapToGrid w:val="0"/>
        <w:spacing w:line="520" w:lineRule="atLeast"/>
        <w:jc w:val="center"/>
        <w:rPr>
          <w:rFonts w:ascii="宋体" w:hAnsi="宋体"/>
          <w:b/>
          <w:sz w:val="28"/>
          <w:szCs w:val="28"/>
        </w:rPr>
      </w:pPr>
    </w:p>
    <w:p w14:paraId="5C53CA99" w14:textId="77777777" w:rsidR="0091746B" w:rsidRPr="009F038B" w:rsidRDefault="0091746B" w:rsidP="006643B1">
      <w:pPr>
        <w:adjustRightInd w:val="0"/>
        <w:snapToGrid w:val="0"/>
        <w:spacing w:line="520" w:lineRule="atLeast"/>
        <w:jc w:val="center"/>
        <w:rPr>
          <w:rFonts w:ascii="宋体" w:hAnsi="宋体"/>
          <w:b/>
          <w:sz w:val="28"/>
          <w:szCs w:val="28"/>
        </w:rPr>
      </w:pPr>
    </w:p>
    <w:p w14:paraId="483247CF" w14:textId="122FA57E" w:rsidR="00DC20D3" w:rsidRPr="0054454A" w:rsidRDefault="00DC20D3" w:rsidP="0016478E">
      <w:pPr>
        <w:adjustRightInd w:val="0"/>
        <w:snapToGrid w:val="0"/>
        <w:spacing w:line="360" w:lineRule="auto"/>
        <w:outlineLvl w:val="2"/>
        <w:rPr>
          <w:rFonts w:ascii="宋体" w:hAnsi="宋体"/>
          <w:bCs/>
          <w:sz w:val="24"/>
        </w:rPr>
      </w:pPr>
      <w:r>
        <w:rPr>
          <w:rFonts w:ascii="宋体" w:hAnsi="宋体" w:hint="eastAsia"/>
          <w:bCs/>
          <w:sz w:val="24"/>
        </w:rPr>
        <w:t>基金管理人</w:t>
      </w:r>
      <w:r w:rsidRPr="0054454A">
        <w:rPr>
          <w:rFonts w:ascii="宋体" w:hAnsi="宋体" w:hint="eastAsia"/>
          <w:bCs/>
          <w:sz w:val="24"/>
        </w:rPr>
        <w:t>：鹏华基金管理有限公司</w:t>
      </w:r>
    </w:p>
    <w:p w14:paraId="4BF9A10C" w14:textId="77777777" w:rsidR="00DC20D3" w:rsidRDefault="00DC20D3" w:rsidP="0016478E">
      <w:pPr>
        <w:adjustRightInd w:val="0"/>
        <w:snapToGrid w:val="0"/>
        <w:spacing w:line="360" w:lineRule="auto"/>
        <w:outlineLvl w:val="2"/>
        <w:rPr>
          <w:rFonts w:ascii="宋体" w:hAnsi="宋体"/>
          <w:bCs/>
          <w:sz w:val="24"/>
        </w:rPr>
      </w:pPr>
      <w:r w:rsidRPr="0054454A">
        <w:rPr>
          <w:rFonts w:ascii="宋体" w:hAnsi="宋体" w:hint="eastAsia"/>
          <w:bCs/>
          <w:sz w:val="24"/>
        </w:rPr>
        <w:t>住所：深圳市福田区福华三路168号深圳国际商会中心43层</w:t>
      </w:r>
    </w:p>
    <w:p w14:paraId="4F2D9B27" w14:textId="175D61CA" w:rsidR="009F69C0" w:rsidRPr="0054454A" w:rsidRDefault="009F69C0" w:rsidP="0016478E">
      <w:pPr>
        <w:adjustRightInd w:val="0"/>
        <w:snapToGrid w:val="0"/>
        <w:spacing w:line="360" w:lineRule="auto"/>
        <w:outlineLvl w:val="2"/>
        <w:rPr>
          <w:rFonts w:ascii="宋体" w:hAnsi="宋体"/>
          <w:bCs/>
          <w:sz w:val="24"/>
        </w:rPr>
      </w:pPr>
      <w:r>
        <w:rPr>
          <w:rFonts w:ascii="宋体" w:hAnsi="宋体" w:hint="eastAsia"/>
          <w:bCs/>
          <w:sz w:val="24"/>
        </w:rPr>
        <w:t>邮政编码</w:t>
      </w:r>
      <w:r>
        <w:rPr>
          <w:rFonts w:ascii="宋体" w:hAnsi="宋体"/>
          <w:bCs/>
          <w:sz w:val="24"/>
        </w:rPr>
        <w:t>：</w:t>
      </w:r>
      <w:r>
        <w:rPr>
          <w:rFonts w:ascii="宋体" w:hAnsi="宋体" w:hint="eastAsia"/>
          <w:bCs/>
          <w:sz w:val="24"/>
        </w:rPr>
        <w:t>51</w:t>
      </w:r>
      <w:r>
        <w:rPr>
          <w:rFonts w:ascii="宋体" w:hAnsi="宋体"/>
          <w:bCs/>
          <w:sz w:val="24"/>
        </w:rPr>
        <w:t>8048</w:t>
      </w:r>
    </w:p>
    <w:p w14:paraId="42A422D3" w14:textId="77777777" w:rsidR="00DC20D3" w:rsidRPr="0054454A" w:rsidRDefault="00DC20D3" w:rsidP="0016478E">
      <w:pPr>
        <w:adjustRightInd w:val="0"/>
        <w:snapToGrid w:val="0"/>
        <w:spacing w:line="360" w:lineRule="auto"/>
        <w:outlineLvl w:val="2"/>
        <w:rPr>
          <w:rFonts w:ascii="宋体" w:hAnsi="宋体"/>
          <w:bCs/>
          <w:sz w:val="24"/>
        </w:rPr>
      </w:pPr>
      <w:r w:rsidRPr="0054454A">
        <w:rPr>
          <w:rFonts w:ascii="宋体" w:hAnsi="宋体" w:hint="eastAsia"/>
          <w:bCs/>
          <w:sz w:val="24"/>
        </w:rPr>
        <w:t>法定代表人：何如</w:t>
      </w:r>
    </w:p>
    <w:p w14:paraId="070018B6" w14:textId="77777777" w:rsidR="009F69C0" w:rsidRDefault="00DC20D3" w:rsidP="0016478E">
      <w:pPr>
        <w:adjustRightInd w:val="0"/>
        <w:snapToGrid w:val="0"/>
        <w:spacing w:line="360" w:lineRule="auto"/>
        <w:outlineLvl w:val="2"/>
        <w:rPr>
          <w:rFonts w:ascii="宋体" w:hAnsi="宋体"/>
          <w:bCs/>
          <w:sz w:val="24"/>
        </w:rPr>
      </w:pPr>
      <w:r w:rsidRPr="0054454A">
        <w:rPr>
          <w:rFonts w:ascii="宋体" w:hAnsi="宋体" w:hint="eastAsia"/>
          <w:bCs/>
          <w:sz w:val="24"/>
        </w:rPr>
        <w:t>联系电话：0755-82021233</w:t>
      </w:r>
    </w:p>
    <w:p w14:paraId="2261AF5E" w14:textId="50E5F6A5" w:rsidR="001C545B" w:rsidRPr="00DC20D3" w:rsidRDefault="009F69C0" w:rsidP="0016478E">
      <w:pPr>
        <w:adjustRightInd w:val="0"/>
        <w:snapToGrid w:val="0"/>
        <w:spacing w:line="360" w:lineRule="auto"/>
        <w:outlineLvl w:val="2"/>
        <w:rPr>
          <w:rFonts w:ascii="宋体" w:hAnsi="宋体"/>
          <w:bCs/>
          <w:sz w:val="24"/>
        </w:rPr>
      </w:pPr>
      <w:r>
        <w:rPr>
          <w:rFonts w:ascii="宋体" w:hAnsi="宋体" w:hint="eastAsia"/>
          <w:bCs/>
          <w:sz w:val="24"/>
        </w:rPr>
        <w:t>传真</w:t>
      </w:r>
      <w:r>
        <w:rPr>
          <w:rFonts w:ascii="宋体" w:hAnsi="宋体"/>
          <w:bCs/>
          <w:sz w:val="24"/>
        </w:rPr>
        <w:t>：</w:t>
      </w:r>
      <w:r>
        <w:rPr>
          <w:rFonts w:ascii="宋体" w:hAnsi="宋体" w:hint="eastAsia"/>
          <w:bCs/>
          <w:sz w:val="24"/>
        </w:rPr>
        <w:t>0755-82021155</w:t>
      </w:r>
    </w:p>
    <w:p w14:paraId="189162C5" w14:textId="77777777" w:rsidR="001C545B" w:rsidRDefault="001C545B" w:rsidP="006643B1">
      <w:pPr>
        <w:snapToGrid w:val="0"/>
        <w:spacing w:line="520" w:lineRule="atLeast"/>
        <w:rPr>
          <w:rFonts w:ascii="宋体" w:hAnsi="宋体"/>
          <w:sz w:val="24"/>
          <w:szCs w:val="24"/>
        </w:rPr>
      </w:pPr>
    </w:p>
    <w:p w14:paraId="459E78BF" w14:textId="77777777" w:rsidR="009F69C0" w:rsidRPr="009F69C0" w:rsidRDefault="009F69C0" w:rsidP="009F69C0">
      <w:pPr>
        <w:snapToGrid w:val="0"/>
        <w:spacing w:line="520" w:lineRule="atLeast"/>
        <w:rPr>
          <w:rFonts w:ascii="宋体" w:hAnsi="宋体"/>
          <w:sz w:val="24"/>
          <w:szCs w:val="24"/>
        </w:rPr>
      </w:pPr>
      <w:r w:rsidRPr="009F69C0">
        <w:rPr>
          <w:rFonts w:ascii="宋体" w:hAnsi="宋体" w:hint="eastAsia"/>
          <w:sz w:val="24"/>
          <w:szCs w:val="24"/>
        </w:rPr>
        <w:t>基金托管人：中信银行股份有限公司</w:t>
      </w:r>
    </w:p>
    <w:p w14:paraId="537694D7" w14:textId="41049AB5" w:rsidR="009F69C0" w:rsidRPr="009F69C0" w:rsidRDefault="009F69C0" w:rsidP="009F69C0">
      <w:pPr>
        <w:snapToGrid w:val="0"/>
        <w:spacing w:line="520" w:lineRule="atLeast"/>
        <w:rPr>
          <w:rFonts w:ascii="宋体" w:hAnsi="宋体"/>
          <w:sz w:val="24"/>
          <w:szCs w:val="24"/>
        </w:rPr>
      </w:pPr>
      <w:r w:rsidRPr="009F69C0">
        <w:rPr>
          <w:rFonts w:ascii="宋体" w:hAnsi="宋体" w:hint="eastAsia"/>
          <w:sz w:val="24"/>
          <w:szCs w:val="24"/>
        </w:rPr>
        <w:t>住所：</w:t>
      </w:r>
      <w:r w:rsidR="00091DFF" w:rsidRPr="00091DFF">
        <w:rPr>
          <w:rFonts w:ascii="宋体" w:hAnsi="宋体" w:hint="eastAsia"/>
          <w:sz w:val="24"/>
          <w:szCs w:val="24"/>
        </w:rPr>
        <w:t>北京市朝阳区光华路10号院1号楼6-30层、32-42层</w:t>
      </w:r>
    </w:p>
    <w:p w14:paraId="2E2ECBA7" w14:textId="77777777" w:rsidR="009F69C0" w:rsidRPr="009F69C0" w:rsidRDefault="009F69C0" w:rsidP="009F69C0">
      <w:pPr>
        <w:snapToGrid w:val="0"/>
        <w:spacing w:line="520" w:lineRule="atLeast"/>
        <w:rPr>
          <w:rFonts w:ascii="宋体" w:hAnsi="宋体"/>
          <w:sz w:val="24"/>
          <w:szCs w:val="24"/>
        </w:rPr>
      </w:pPr>
      <w:r w:rsidRPr="009F69C0">
        <w:rPr>
          <w:rFonts w:ascii="宋体" w:hAnsi="宋体" w:hint="eastAsia"/>
          <w:sz w:val="24"/>
          <w:szCs w:val="24"/>
        </w:rPr>
        <w:t>邮政编码:100027</w:t>
      </w:r>
    </w:p>
    <w:p w14:paraId="56DC7CA5" w14:textId="77777777" w:rsidR="009F69C0" w:rsidRPr="009F69C0" w:rsidRDefault="009F69C0" w:rsidP="009F69C0">
      <w:pPr>
        <w:snapToGrid w:val="0"/>
        <w:spacing w:line="520" w:lineRule="atLeast"/>
        <w:rPr>
          <w:rFonts w:ascii="宋体" w:hAnsi="宋体"/>
          <w:sz w:val="24"/>
          <w:szCs w:val="24"/>
        </w:rPr>
      </w:pPr>
      <w:r w:rsidRPr="009F69C0">
        <w:rPr>
          <w:rFonts w:ascii="宋体" w:hAnsi="宋体" w:hint="eastAsia"/>
          <w:sz w:val="24"/>
          <w:szCs w:val="24"/>
        </w:rPr>
        <w:t>电话：4006800000</w:t>
      </w:r>
    </w:p>
    <w:p w14:paraId="0B3282FC" w14:textId="77777777" w:rsidR="009F69C0" w:rsidRPr="009F69C0" w:rsidRDefault="009F69C0" w:rsidP="009F69C0">
      <w:pPr>
        <w:snapToGrid w:val="0"/>
        <w:spacing w:line="520" w:lineRule="atLeast"/>
        <w:rPr>
          <w:rFonts w:ascii="宋体" w:hAnsi="宋体"/>
          <w:sz w:val="24"/>
          <w:szCs w:val="24"/>
        </w:rPr>
      </w:pPr>
      <w:r w:rsidRPr="009F69C0">
        <w:rPr>
          <w:rFonts w:ascii="宋体" w:hAnsi="宋体" w:hint="eastAsia"/>
          <w:sz w:val="24"/>
          <w:szCs w:val="24"/>
        </w:rPr>
        <w:t>传真：010-85230024</w:t>
      </w:r>
    </w:p>
    <w:p w14:paraId="4E603CA4" w14:textId="68AFE7B2" w:rsidR="00B61FF9" w:rsidRDefault="009F69C0" w:rsidP="006643B1">
      <w:pPr>
        <w:snapToGrid w:val="0"/>
        <w:spacing w:line="520" w:lineRule="atLeast"/>
        <w:rPr>
          <w:rFonts w:ascii="宋体" w:hAnsi="宋体"/>
          <w:b/>
          <w:sz w:val="28"/>
          <w:szCs w:val="28"/>
        </w:rPr>
      </w:pPr>
      <w:r w:rsidRPr="009F69C0">
        <w:rPr>
          <w:rFonts w:ascii="宋体" w:hAnsi="宋体" w:hint="eastAsia"/>
          <w:sz w:val="24"/>
          <w:szCs w:val="24"/>
        </w:rPr>
        <w:t>法定代表人：</w:t>
      </w:r>
      <w:r w:rsidR="00563173" w:rsidRPr="00563173">
        <w:rPr>
          <w:rFonts w:ascii="宋体" w:hAnsi="宋体" w:hint="eastAsia"/>
          <w:sz w:val="24"/>
          <w:szCs w:val="24"/>
        </w:rPr>
        <w:t>朱鹤新</w:t>
      </w:r>
    </w:p>
    <w:p w14:paraId="7E89DEC1" w14:textId="77777777" w:rsidR="00B61FF9" w:rsidRDefault="00B61FF9" w:rsidP="006643B1">
      <w:pPr>
        <w:autoSpaceDE w:val="0"/>
        <w:autoSpaceDN w:val="0"/>
        <w:adjustRightInd w:val="0"/>
        <w:spacing w:line="520" w:lineRule="atLeast"/>
        <w:rPr>
          <w:rFonts w:ascii="宋体" w:hAnsi="宋体"/>
          <w:sz w:val="24"/>
          <w:szCs w:val="24"/>
        </w:rPr>
      </w:pPr>
    </w:p>
    <w:p w14:paraId="0A339E9C" w14:textId="77777777" w:rsidR="00B61FF9" w:rsidRDefault="001B0A60" w:rsidP="006643B1">
      <w:pPr>
        <w:autoSpaceDE w:val="0"/>
        <w:autoSpaceDN w:val="0"/>
        <w:adjustRightInd w:val="0"/>
        <w:spacing w:line="520" w:lineRule="atLeast"/>
        <w:ind w:firstLineChars="200" w:firstLine="482"/>
        <w:rPr>
          <w:rFonts w:ascii="宋体" w:hAnsi="宋体"/>
          <w:b/>
          <w:sz w:val="24"/>
          <w:szCs w:val="24"/>
        </w:rPr>
      </w:pPr>
      <w:r>
        <w:rPr>
          <w:rFonts w:ascii="宋体" w:hAnsi="宋体" w:hint="eastAsia"/>
          <w:b/>
          <w:sz w:val="24"/>
          <w:szCs w:val="24"/>
        </w:rPr>
        <w:t>鉴于：</w:t>
      </w:r>
    </w:p>
    <w:p w14:paraId="795869F6" w14:textId="5DF7D8F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3D2655">
        <w:rPr>
          <w:rFonts w:hAnsi="宋体" w:hint="eastAsia"/>
          <w:szCs w:val="24"/>
        </w:rPr>
        <w:t>鹏华</w:t>
      </w:r>
      <w:r w:rsidR="003D2655">
        <w:rPr>
          <w:rFonts w:hAnsi="宋体"/>
          <w:szCs w:val="24"/>
        </w:rPr>
        <w:t>基金管理有限公司</w:t>
      </w:r>
      <w:r>
        <w:rPr>
          <w:rFonts w:hAnsi="宋体" w:hint="eastAsia"/>
          <w:szCs w:val="24"/>
        </w:rPr>
        <w:t>系一家依照中国法律合法成立并有效存续的</w:t>
      </w:r>
      <w:r w:rsidR="00850170" w:rsidRPr="00B9229E">
        <w:rPr>
          <w:rFonts w:hAnsi="宋体" w:hint="eastAsia"/>
          <w:szCs w:val="24"/>
        </w:rPr>
        <w:t>企业</w:t>
      </w:r>
      <w:r w:rsidR="000877E6">
        <w:rPr>
          <w:rFonts w:hAnsi="宋体" w:hint="eastAsia"/>
          <w:szCs w:val="24"/>
        </w:rPr>
        <w:t>法人</w:t>
      </w:r>
      <w:r>
        <w:rPr>
          <w:rFonts w:hAnsi="宋体" w:hint="eastAsia"/>
          <w:szCs w:val="24"/>
        </w:rPr>
        <w:t>，按照相关法律法规的规定具备担任基金管理人的资格和能力；</w:t>
      </w:r>
    </w:p>
    <w:p w14:paraId="4FE5F169" w14:textId="084BF71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2.中信银行股份有限公司系一家依照中国法律合法成立并有效存续的银行，按照相关法律法规的规定具备担任基金托管人的资格和能力；</w:t>
      </w:r>
    </w:p>
    <w:p w14:paraId="436B2A7A" w14:textId="5A3061E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3D2655">
        <w:rPr>
          <w:rFonts w:hAnsi="宋体" w:hint="eastAsia"/>
          <w:szCs w:val="24"/>
        </w:rPr>
        <w:t>鹏华</w:t>
      </w:r>
      <w:r w:rsidR="003D2655">
        <w:rPr>
          <w:rFonts w:hAnsi="宋体"/>
          <w:szCs w:val="24"/>
        </w:rPr>
        <w:t>基金管理有限公司</w:t>
      </w:r>
      <w:r>
        <w:rPr>
          <w:rFonts w:hAnsi="宋体" w:hint="eastAsia"/>
          <w:szCs w:val="24"/>
        </w:rPr>
        <w:t>拟担任</w:t>
      </w:r>
      <w:r w:rsidR="003D2655">
        <w:rPr>
          <w:rFonts w:hAnsi="宋体" w:hint="eastAsia"/>
          <w:szCs w:val="24"/>
        </w:rPr>
        <w:t>鹏华</w:t>
      </w:r>
      <w:r w:rsidR="00720BBE">
        <w:rPr>
          <w:rFonts w:hAnsi="宋体" w:hint="eastAsia"/>
          <w:szCs w:val="24"/>
        </w:rPr>
        <w:t>丰启</w:t>
      </w:r>
      <w:r w:rsidR="00D90C6F">
        <w:rPr>
          <w:rFonts w:hAnsi="宋体" w:hint="eastAsia"/>
          <w:szCs w:val="24"/>
        </w:rPr>
        <w:t>债券</w:t>
      </w:r>
      <w:r w:rsidR="003D2655">
        <w:rPr>
          <w:rFonts w:hAnsi="宋体"/>
          <w:szCs w:val="24"/>
        </w:rPr>
        <w:t>型</w:t>
      </w:r>
      <w:r>
        <w:rPr>
          <w:rFonts w:hAnsi="宋体" w:hint="eastAsia"/>
          <w:szCs w:val="24"/>
        </w:rPr>
        <w:t>证券投资基金的基金管理人，中信银行股份有限公司拟担任</w:t>
      </w:r>
      <w:r w:rsidR="003D2655">
        <w:rPr>
          <w:rFonts w:hAnsi="宋体" w:hint="eastAsia"/>
          <w:szCs w:val="24"/>
        </w:rPr>
        <w:t>鹏华</w:t>
      </w:r>
      <w:r w:rsidR="00720BBE">
        <w:rPr>
          <w:rFonts w:hAnsi="宋体" w:hint="eastAsia"/>
          <w:szCs w:val="24"/>
        </w:rPr>
        <w:t>丰启</w:t>
      </w:r>
      <w:r w:rsidR="00D90C6F">
        <w:rPr>
          <w:rFonts w:hAnsi="宋体" w:hint="eastAsia"/>
          <w:szCs w:val="24"/>
        </w:rPr>
        <w:t>债券</w:t>
      </w:r>
      <w:r w:rsidR="003D2655">
        <w:rPr>
          <w:rFonts w:hAnsi="宋体"/>
          <w:szCs w:val="24"/>
        </w:rPr>
        <w:t>型</w:t>
      </w:r>
      <w:r>
        <w:rPr>
          <w:rFonts w:hAnsi="宋体" w:hint="eastAsia"/>
          <w:szCs w:val="24"/>
        </w:rPr>
        <w:t>证券投资基金的基金托管人；</w:t>
      </w:r>
    </w:p>
    <w:p w14:paraId="774C6DCC" w14:textId="159AAEA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为明确双方在基金托管中的权利、义务及责任，确保基金财产的安全，保护基金份额持有人的合法权益，依据</w:t>
      </w:r>
      <w:r w:rsidR="006117E4" w:rsidRPr="00B9229E">
        <w:rPr>
          <w:rFonts w:hAnsi="宋体" w:hint="eastAsia"/>
          <w:szCs w:val="24"/>
        </w:rPr>
        <w:t>相关法律法规和监管规定</w:t>
      </w:r>
      <w:r>
        <w:rPr>
          <w:rFonts w:hAnsi="宋体" w:hint="eastAsia"/>
          <w:szCs w:val="24"/>
        </w:rPr>
        <w:t>，双方本着平等自愿、诚实守信的原则特签订本协议。</w:t>
      </w:r>
    </w:p>
    <w:p w14:paraId="4A1D1ECD" w14:textId="77777777" w:rsidR="00B61FF9" w:rsidRDefault="001B0A60" w:rsidP="006643B1">
      <w:pPr>
        <w:pStyle w:val="20"/>
        <w:spacing w:before="0" w:after="0" w:line="520" w:lineRule="atLeast"/>
        <w:ind w:left="0" w:firstLine="541"/>
        <w:rPr>
          <w:rFonts w:hAnsi="宋体"/>
          <w:b/>
          <w:bCs/>
          <w:szCs w:val="24"/>
        </w:rPr>
      </w:pPr>
      <w:r>
        <w:rPr>
          <w:rFonts w:hAnsi="宋体" w:hint="eastAsia"/>
          <w:b/>
          <w:bCs/>
          <w:szCs w:val="24"/>
        </w:rPr>
        <w:t>释义：</w:t>
      </w:r>
    </w:p>
    <w:p w14:paraId="02313709" w14:textId="03F6C05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除非另有约定，《</w:t>
      </w:r>
      <w:r w:rsidR="003D2655">
        <w:rPr>
          <w:rFonts w:hAnsi="宋体" w:hint="eastAsia"/>
          <w:szCs w:val="24"/>
        </w:rPr>
        <w:t>鹏华</w:t>
      </w:r>
      <w:r w:rsidR="00720BBE">
        <w:rPr>
          <w:rFonts w:hAnsi="宋体" w:hint="eastAsia"/>
          <w:szCs w:val="24"/>
        </w:rPr>
        <w:t>丰启</w:t>
      </w:r>
      <w:r w:rsidR="00D90C6F">
        <w:rPr>
          <w:rFonts w:hAnsi="宋体" w:hint="eastAsia"/>
          <w:szCs w:val="24"/>
        </w:rPr>
        <w:t>债券</w:t>
      </w:r>
      <w:r w:rsidR="003D2655">
        <w:rPr>
          <w:rFonts w:hAnsi="宋体"/>
          <w:szCs w:val="24"/>
        </w:rPr>
        <w:t>型</w:t>
      </w:r>
      <w:r>
        <w:rPr>
          <w:rFonts w:hAnsi="宋体" w:hint="eastAsia"/>
          <w:szCs w:val="24"/>
        </w:rPr>
        <w:t>证券投资基金基金合同》(以下简称“基金合</w:t>
      </w:r>
      <w:r>
        <w:rPr>
          <w:rFonts w:hAnsi="宋体" w:hint="eastAsia"/>
          <w:szCs w:val="24"/>
        </w:rPr>
        <w:lastRenderedPageBreak/>
        <w:t>同”)中定义的术语在用于本托管协议时应具有相同的含义；若有抵触</w:t>
      </w:r>
      <w:r w:rsidR="00BC0D5D">
        <w:rPr>
          <w:rFonts w:hAnsi="宋体" w:hint="eastAsia"/>
          <w:szCs w:val="24"/>
        </w:rPr>
        <w:t>，</w:t>
      </w:r>
      <w:r>
        <w:rPr>
          <w:rFonts w:hAnsi="宋体" w:hint="eastAsia"/>
          <w:szCs w:val="24"/>
        </w:rPr>
        <w:t xml:space="preserve">应以基金合同为准，并依其条款解释。 </w:t>
      </w:r>
    </w:p>
    <w:p w14:paraId="3518F577" w14:textId="344C09A6" w:rsidR="00B61FF9" w:rsidRDefault="001B0A60" w:rsidP="006643B1">
      <w:pPr>
        <w:pStyle w:val="1"/>
        <w:spacing w:line="520" w:lineRule="atLeast"/>
        <w:ind w:firstLineChars="200" w:firstLine="482"/>
        <w:rPr>
          <w:bCs/>
          <w:color w:val="auto"/>
          <w:szCs w:val="24"/>
        </w:rPr>
      </w:pPr>
      <w:bookmarkStart w:id="15" w:name="_Toc296551337"/>
      <w:bookmarkStart w:id="16" w:name="_Toc44321724"/>
      <w:r>
        <w:rPr>
          <w:rFonts w:hint="eastAsia"/>
          <w:bCs/>
          <w:color w:val="auto"/>
          <w:szCs w:val="24"/>
        </w:rPr>
        <w:t xml:space="preserve">第一条 </w:t>
      </w:r>
      <w:r w:rsidR="00271BEE">
        <w:rPr>
          <w:rFonts w:hint="eastAsia"/>
          <w:bCs/>
          <w:color w:val="auto"/>
          <w:szCs w:val="24"/>
        </w:rPr>
        <w:t>本</w:t>
      </w:r>
      <w:r>
        <w:rPr>
          <w:rFonts w:hint="eastAsia"/>
          <w:bCs/>
          <w:color w:val="auto"/>
          <w:szCs w:val="24"/>
        </w:rPr>
        <w:t>协议当事人</w:t>
      </w:r>
      <w:bookmarkEnd w:id="15"/>
      <w:bookmarkEnd w:id="16"/>
    </w:p>
    <w:p w14:paraId="198D9B9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1.1基金管理人：</w:t>
      </w:r>
    </w:p>
    <w:p w14:paraId="4F539C87" w14:textId="16C03E09" w:rsidR="00EA13C8" w:rsidRPr="00EA13C8" w:rsidRDefault="00EA13C8" w:rsidP="00EA13C8">
      <w:pPr>
        <w:pStyle w:val="20"/>
        <w:spacing w:line="520" w:lineRule="atLeast"/>
        <w:ind w:firstLineChars="200" w:firstLine="480"/>
        <w:rPr>
          <w:rFonts w:hAnsi="宋体"/>
          <w:szCs w:val="24"/>
        </w:rPr>
      </w:pPr>
      <w:r>
        <w:rPr>
          <w:rFonts w:hAnsi="宋体" w:hint="eastAsia"/>
          <w:szCs w:val="24"/>
        </w:rPr>
        <w:t>名称</w:t>
      </w:r>
      <w:r w:rsidRPr="00EA13C8">
        <w:rPr>
          <w:rFonts w:hAnsi="宋体" w:hint="eastAsia"/>
          <w:szCs w:val="24"/>
        </w:rPr>
        <w:t>：鹏华基金管理有限公司</w:t>
      </w:r>
    </w:p>
    <w:p w14:paraId="55A8D9AF"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住所：深圳市福田区福华三路168号深圳国际商会中心43层</w:t>
      </w:r>
    </w:p>
    <w:p w14:paraId="49B3E4F7"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法定代表人：何如</w:t>
      </w:r>
    </w:p>
    <w:p w14:paraId="1563C222"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设立日期：1998年12月22日</w:t>
      </w:r>
    </w:p>
    <w:p w14:paraId="2F1B4322"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批准设立机关及批准设立文号：中国证券监督管理委员会［1998］31号文</w:t>
      </w:r>
    </w:p>
    <w:p w14:paraId="43EB2C58"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组织形式：有限责任公司</w:t>
      </w:r>
    </w:p>
    <w:p w14:paraId="30110044"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注册资本：1.5亿元</w:t>
      </w:r>
    </w:p>
    <w:p w14:paraId="1743F172" w14:textId="77777777" w:rsidR="00EA13C8" w:rsidRPr="00EA13C8" w:rsidRDefault="00EA13C8" w:rsidP="00EA13C8">
      <w:pPr>
        <w:pStyle w:val="20"/>
        <w:spacing w:line="520" w:lineRule="atLeast"/>
        <w:ind w:firstLineChars="200" w:firstLine="480"/>
        <w:rPr>
          <w:rFonts w:hAnsi="宋体"/>
          <w:szCs w:val="24"/>
        </w:rPr>
      </w:pPr>
      <w:r w:rsidRPr="00EA13C8">
        <w:rPr>
          <w:rFonts w:hAnsi="宋体" w:hint="eastAsia"/>
          <w:szCs w:val="24"/>
        </w:rPr>
        <w:t>存续期限：持续经营</w:t>
      </w:r>
    </w:p>
    <w:p w14:paraId="1C99E1A4" w14:textId="77777777" w:rsidR="00EA13C8" w:rsidRDefault="00EA13C8" w:rsidP="00341E23">
      <w:pPr>
        <w:pStyle w:val="20"/>
        <w:spacing w:before="0" w:after="0" w:line="520" w:lineRule="atLeast"/>
        <w:ind w:left="0" w:firstLineChars="400" w:firstLine="960"/>
        <w:rPr>
          <w:rFonts w:hAnsi="宋体"/>
          <w:szCs w:val="24"/>
        </w:rPr>
      </w:pPr>
      <w:r w:rsidRPr="00EA13C8">
        <w:rPr>
          <w:rFonts w:hAnsi="宋体" w:hint="eastAsia"/>
          <w:szCs w:val="24"/>
        </w:rPr>
        <w:t>联系电话：0755-82021233</w:t>
      </w:r>
    </w:p>
    <w:p w14:paraId="6CD5413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1.2基金托管人：</w:t>
      </w:r>
    </w:p>
    <w:p w14:paraId="714A5CDA" w14:textId="77777777"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名称：中信银行股份有限公司</w:t>
      </w:r>
    </w:p>
    <w:p w14:paraId="4CD8F947" w14:textId="0384FA9F"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住所：</w:t>
      </w:r>
      <w:bookmarkStart w:id="17" w:name="_Hlk98510862"/>
      <w:r w:rsidR="0001455C" w:rsidRPr="00664215">
        <w:rPr>
          <w:rFonts w:hint="eastAsia"/>
          <w:szCs w:val="21"/>
        </w:rPr>
        <w:t>北京市朝阳区光华路10号院1号楼6-30层、32-42层</w:t>
      </w:r>
      <w:bookmarkEnd w:id="17"/>
    </w:p>
    <w:p w14:paraId="3ADFE9CB" w14:textId="2C3D032D"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法定代表人：</w:t>
      </w:r>
      <w:r w:rsidR="000D41C2" w:rsidRPr="000D41C2">
        <w:rPr>
          <w:rFonts w:hAnsi="宋体" w:hint="eastAsia"/>
          <w:szCs w:val="24"/>
        </w:rPr>
        <w:t>朱鹤新</w:t>
      </w:r>
    </w:p>
    <w:p w14:paraId="3B18D1C9" w14:textId="2BCE7F49"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成立时间：1987年4月</w:t>
      </w:r>
      <w:r w:rsidR="00A156F8">
        <w:rPr>
          <w:rFonts w:hAnsi="宋体"/>
          <w:szCs w:val="24"/>
        </w:rPr>
        <w:t>20</w:t>
      </w:r>
      <w:r w:rsidRPr="0016478E">
        <w:rPr>
          <w:rFonts w:hAnsi="宋体" w:hint="eastAsia"/>
          <w:szCs w:val="24"/>
        </w:rPr>
        <w:t>日</w:t>
      </w:r>
    </w:p>
    <w:p w14:paraId="4234D8F9" w14:textId="77777777"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 xml:space="preserve">批准设立机关和批准设立文号：中华人民共和国国务院办公厅国办函[1987]14 号 </w:t>
      </w:r>
    </w:p>
    <w:p w14:paraId="007490D8" w14:textId="77777777"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组织形式：股份有限公司</w:t>
      </w:r>
    </w:p>
    <w:p w14:paraId="12E54D6B" w14:textId="77777777"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注册资本：489.348 亿元人民币</w:t>
      </w:r>
    </w:p>
    <w:p w14:paraId="01D7B607" w14:textId="77777777" w:rsidR="0016478E" w:rsidRPr="0016478E" w:rsidRDefault="0016478E" w:rsidP="0016478E">
      <w:pPr>
        <w:pStyle w:val="20"/>
        <w:spacing w:line="520" w:lineRule="atLeast"/>
        <w:ind w:firstLineChars="200" w:firstLine="480"/>
        <w:rPr>
          <w:rFonts w:hAnsi="宋体"/>
          <w:szCs w:val="24"/>
        </w:rPr>
      </w:pPr>
      <w:r w:rsidRPr="0016478E">
        <w:rPr>
          <w:rFonts w:hAnsi="宋体" w:hint="eastAsia"/>
          <w:szCs w:val="24"/>
        </w:rPr>
        <w:t>存续期间：持续经营</w:t>
      </w:r>
    </w:p>
    <w:p w14:paraId="232A018F" w14:textId="5214DB1D" w:rsidR="00B61FF9" w:rsidRDefault="0016478E" w:rsidP="00341E23">
      <w:pPr>
        <w:pStyle w:val="20"/>
        <w:spacing w:before="0" w:after="0" w:line="520" w:lineRule="atLeast"/>
        <w:ind w:left="0" w:firstLineChars="400" w:firstLine="960"/>
        <w:rPr>
          <w:rFonts w:hAnsi="宋体"/>
          <w:szCs w:val="24"/>
        </w:rPr>
      </w:pPr>
      <w:r w:rsidRPr="0016478E">
        <w:rPr>
          <w:rFonts w:hAnsi="宋体" w:hint="eastAsia"/>
          <w:szCs w:val="24"/>
        </w:rPr>
        <w:t>基金托管资格批文及文号：中国证监会证监基金字[2004]125 号</w:t>
      </w:r>
    </w:p>
    <w:p w14:paraId="1D8A7D14" w14:textId="3A704FD2" w:rsidR="00B61FF9" w:rsidRDefault="001B0A60" w:rsidP="006643B1">
      <w:pPr>
        <w:pStyle w:val="1"/>
        <w:spacing w:line="520" w:lineRule="atLeast"/>
        <w:ind w:firstLineChars="200" w:firstLine="482"/>
        <w:rPr>
          <w:bCs/>
          <w:color w:val="auto"/>
          <w:szCs w:val="24"/>
        </w:rPr>
      </w:pPr>
      <w:bookmarkStart w:id="18" w:name="_Toc296551338"/>
      <w:bookmarkStart w:id="19" w:name="_Toc44321725"/>
      <w:r>
        <w:rPr>
          <w:rFonts w:hint="eastAsia"/>
          <w:bCs/>
          <w:color w:val="auto"/>
          <w:szCs w:val="24"/>
        </w:rPr>
        <w:t xml:space="preserve">第二条 </w:t>
      </w:r>
      <w:r w:rsidR="00271BEE">
        <w:rPr>
          <w:rFonts w:hint="eastAsia"/>
          <w:bCs/>
          <w:color w:val="auto"/>
          <w:szCs w:val="24"/>
        </w:rPr>
        <w:t>本</w:t>
      </w:r>
      <w:r>
        <w:rPr>
          <w:rFonts w:hint="eastAsia"/>
          <w:bCs/>
          <w:color w:val="auto"/>
          <w:szCs w:val="24"/>
        </w:rPr>
        <w:t>协议的依据、目的和原则</w:t>
      </w:r>
      <w:bookmarkEnd w:id="18"/>
      <w:bookmarkEnd w:id="19"/>
    </w:p>
    <w:p w14:paraId="64ED2F98" w14:textId="4D6822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w:t>
      </w:r>
      <w:r w:rsidR="00271BEE">
        <w:rPr>
          <w:rFonts w:hAnsi="宋体" w:hint="eastAsia"/>
          <w:szCs w:val="24"/>
        </w:rPr>
        <w:t>本</w:t>
      </w:r>
      <w:r>
        <w:rPr>
          <w:rFonts w:hAnsi="宋体" w:hint="eastAsia"/>
          <w:szCs w:val="24"/>
        </w:rPr>
        <w:t>协议的依据</w:t>
      </w:r>
    </w:p>
    <w:p w14:paraId="7A47D76C" w14:textId="5B665B1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订立本协议的依据是《中华人民共和国证券投资基金法》（以下简称“《基金法》”）、《公开募集证券投资基金运作管理办法》（以下简称“《运作办法》”）、《</w:t>
      </w:r>
      <w:r w:rsidR="000002CB" w:rsidRPr="00CB5B79">
        <w:rPr>
          <w:rFonts w:hAnsi="宋体" w:hint="eastAsia"/>
          <w:bCs/>
          <w:szCs w:val="21"/>
        </w:rPr>
        <w:t>公开募集证券投资基金销售机构监督管理办法</w:t>
      </w:r>
      <w:r>
        <w:rPr>
          <w:rFonts w:hAnsi="宋体" w:hint="eastAsia"/>
          <w:szCs w:val="24"/>
        </w:rPr>
        <w:t>》（以下简称“《销售办法》”）、《</w:t>
      </w:r>
      <w:r w:rsidR="00DE7DCF">
        <w:rPr>
          <w:rFonts w:hAnsi="宋体" w:hint="eastAsia"/>
          <w:szCs w:val="24"/>
        </w:rPr>
        <w:t>公开</w:t>
      </w:r>
      <w:r w:rsidR="00DE7DCF">
        <w:rPr>
          <w:rFonts w:hAnsi="宋体"/>
          <w:szCs w:val="24"/>
        </w:rPr>
        <w:t>募集</w:t>
      </w:r>
      <w:r>
        <w:rPr>
          <w:rFonts w:hAnsi="宋体" w:hint="eastAsia"/>
          <w:szCs w:val="24"/>
        </w:rPr>
        <w:t>证券投资基金信息披露管理办法》（以下简称“《信息披露办法》”）、</w:t>
      </w:r>
      <w:r>
        <w:rPr>
          <w:rFonts w:hint="eastAsia"/>
          <w:bCs/>
        </w:rPr>
        <w:t>《公开募集开放式证券投资基金流动性风险管理规定》（以下简称“《流动性风险管理规定》”）、</w:t>
      </w:r>
      <w:r>
        <w:rPr>
          <w:rFonts w:hAnsi="宋体" w:hint="eastAsia"/>
          <w:szCs w:val="24"/>
        </w:rPr>
        <w:t>《证券投资基金信息披露内容与格式准则第7号〈托管协议的内容与格式〉》</w:t>
      </w:r>
      <w:r w:rsidR="00DE7DCF">
        <w:rPr>
          <w:rFonts w:hAnsi="宋体" w:hint="eastAsia"/>
          <w:szCs w:val="24"/>
        </w:rPr>
        <w:t>、</w:t>
      </w:r>
      <w:r w:rsidR="001E7621">
        <w:rPr>
          <w:rFonts w:hAnsi="宋体" w:hint="eastAsia"/>
          <w:szCs w:val="24"/>
        </w:rPr>
        <w:t>《鹏华</w:t>
      </w:r>
      <w:r w:rsidR="00720BBE">
        <w:rPr>
          <w:rFonts w:hAnsi="宋体" w:hint="eastAsia"/>
          <w:szCs w:val="24"/>
        </w:rPr>
        <w:t>丰启</w:t>
      </w:r>
      <w:r w:rsidR="00D90C6F">
        <w:rPr>
          <w:rFonts w:hAnsi="宋体" w:hint="eastAsia"/>
          <w:szCs w:val="24"/>
        </w:rPr>
        <w:t>债券</w:t>
      </w:r>
      <w:r w:rsidR="001E7621">
        <w:rPr>
          <w:rFonts w:hAnsi="宋体"/>
          <w:szCs w:val="24"/>
        </w:rPr>
        <w:t>型</w:t>
      </w:r>
      <w:r w:rsidR="001E7621" w:rsidRPr="00DE7DCF">
        <w:rPr>
          <w:rFonts w:hAnsi="宋体" w:hint="eastAsia"/>
          <w:szCs w:val="24"/>
        </w:rPr>
        <w:t>证券投资基金基金合同》</w:t>
      </w:r>
      <w:r w:rsidR="00DE7DCF" w:rsidRPr="00DE7DCF">
        <w:rPr>
          <w:rFonts w:hAnsi="宋体" w:hint="eastAsia"/>
          <w:szCs w:val="24"/>
        </w:rPr>
        <w:t>（以下简称“基金合同”）</w:t>
      </w:r>
      <w:r>
        <w:rPr>
          <w:rFonts w:hAnsi="宋体" w:hint="eastAsia"/>
          <w:szCs w:val="24"/>
        </w:rPr>
        <w:t>及其他有关规定。</w:t>
      </w:r>
    </w:p>
    <w:p w14:paraId="31203815" w14:textId="4B50C06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2.2</w:t>
      </w:r>
      <w:r w:rsidR="00271BEE">
        <w:rPr>
          <w:rFonts w:hAnsi="宋体" w:hint="eastAsia"/>
          <w:szCs w:val="24"/>
        </w:rPr>
        <w:t>本</w:t>
      </w:r>
      <w:r>
        <w:rPr>
          <w:rFonts w:hAnsi="宋体" w:hint="eastAsia"/>
          <w:szCs w:val="24"/>
        </w:rPr>
        <w:t>协议的目的</w:t>
      </w:r>
    </w:p>
    <w:p w14:paraId="3C143C3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F561756" w14:textId="534140FC"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2.3</w:t>
      </w:r>
      <w:r w:rsidR="00271BEE">
        <w:rPr>
          <w:rFonts w:hAnsi="宋体" w:hint="eastAsia"/>
          <w:szCs w:val="24"/>
        </w:rPr>
        <w:t>本</w:t>
      </w:r>
      <w:r>
        <w:rPr>
          <w:rFonts w:hAnsi="宋体" w:hint="eastAsia"/>
          <w:szCs w:val="24"/>
        </w:rPr>
        <w:t>协议的原则</w:t>
      </w:r>
    </w:p>
    <w:p w14:paraId="6E4EA736" w14:textId="43D203FA"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基金管理人和基金托管人本着平等自愿、诚实信用、充分保护基金份额持有人合法权益的原则，经协商一致，签订本协议。</w:t>
      </w:r>
    </w:p>
    <w:p w14:paraId="5A71A539" w14:textId="77777777" w:rsidR="00B61FF9" w:rsidRDefault="001B0A60" w:rsidP="006643B1">
      <w:pPr>
        <w:pStyle w:val="1"/>
        <w:adjustRightInd w:val="0"/>
        <w:spacing w:line="520" w:lineRule="atLeast"/>
        <w:ind w:firstLineChars="200" w:firstLine="482"/>
        <w:rPr>
          <w:bCs/>
          <w:color w:val="auto"/>
          <w:szCs w:val="24"/>
        </w:rPr>
      </w:pPr>
      <w:bookmarkStart w:id="20" w:name="_Toc296551339"/>
      <w:bookmarkStart w:id="21" w:name="_Toc44321726"/>
      <w:r>
        <w:rPr>
          <w:rFonts w:hint="eastAsia"/>
          <w:bCs/>
          <w:color w:val="auto"/>
          <w:szCs w:val="24"/>
        </w:rPr>
        <w:t>第三条 基金托管人对基金管理人的业务监督和核查</w:t>
      </w:r>
      <w:bookmarkEnd w:id="20"/>
      <w:bookmarkEnd w:id="21"/>
    </w:p>
    <w:p w14:paraId="54DC570B"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3.1基金托管人对基金管理人的投资行为行使监督权</w:t>
      </w:r>
    </w:p>
    <w:p w14:paraId="24042AF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3.1.1基金托管人根据有关法律法规的规定和基金合同的约定，对下述基金投资范围、投资对象进行监督。本基金将投资于以下金融工具：</w:t>
      </w:r>
    </w:p>
    <w:p w14:paraId="2BD86AD5" w14:textId="609E6EA8" w:rsidR="00F15F69" w:rsidRPr="00F15F69" w:rsidRDefault="00F15F69" w:rsidP="00B043B9">
      <w:pPr>
        <w:pStyle w:val="20"/>
        <w:adjustRightInd w:val="0"/>
        <w:snapToGrid w:val="0"/>
        <w:spacing w:line="520" w:lineRule="atLeast"/>
        <w:ind w:left="0" w:firstLineChars="200" w:firstLine="480"/>
        <w:rPr>
          <w:rFonts w:hAnsi="宋体"/>
          <w:szCs w:val="24"/>
        </w:rPr>
      </w:pPr>
      <w:r w:rsidRPr="00F15F69">
        <w:rPr>
          <w:rFonts w:hAnsi="宋体" w:hint="eastAsia"/>
          <w:szCs w:val="24"/>
        </w:rPr>
        <w:t>本基金投资范围主要为具有良好流动性的金融工具，包括债券（含国债、金融债、企业债、公司债、央行票据、地方政府债、中期票据、短期融资券、超短期融资券、可分离交易可转债的纯债部分、次级债、政府支持机构债）、资产支持证券、同业存单、债券回购、银行存款、国债期货等法律法规或中国证监会允许基金投资的其他金融工具（但须符合中国证监会的相关规定）。</w:t>
      </w:r>
    </w:p>
    <w:p w14:paraId="288736A9" w14:textId="77777777" w:rsidR="00F15F69" w:rsidRPr="00F15F69" w:rsidRDefault="00F15F69" w:rsidP="00B043B9">
      <w:pPr>
        <w:pStyle w:val="20"/>
        <w:adjustRightInd w:val="0"/>
        <w:snapToGrid w:val="0"/>
        <w:spacing w:line="520" w:lineRule="atLeast"/>
        <w:ind w:left="0" w:firstLineChars="200" w:firstLine="480"/>
        <w:rPr>
          <w:rFonts w:hAnsi="宋体"/>
          <w:szCs w:val="24"/>
        </w:rPr>
      </w:pPr>
      <w:r w:rsidRPr="00F15F69">
        <w:rPr>
          <w:rFonts w:hAnsi="宋体" w:hint="eastAsia"/>
          <w:szCs w:val="24"/>
        </w:rPr>
        <w:t>本基金不投资于股票，也不投资于可转换债券（可分离交易可转债的纯债部分除外）、可交换债券。</w:t>
      </w:r>
    </w:p>
    <w:p w14:paraId="6648BD98" w14:textId="77777777" w:rsidR="00F15F69" w:rsidRPr="00F15F69" w:rsidRDefault="00F15F69" w:rsidP="00B043B9">
      <w:pPr>
        <w:pStyle w:val="20"/>
        <w:adjustRightInd w:val="0"/>
        <w:snapToGrid w:val="0"/>
        <w:spacing w:line="520" w:lineRule="atLeast"/>
        <w:ind w:left="0" w:firstLineChars="200" w:firstLine="480"/>
        <w:rPr>
          <w:rFonts w:hAnsi="宋体"/>
          <w:szCs w:val="24"/>
        </w:rPr>
      </w:pPr>
      <w:r w:rsidRPr="00F15F69">
        <w:rPr>
          <w:rFonts w:hAnsi="宋体" w:hint="eastAsia"/>
          <w:szCs w:val="24"/>
        </w:rPr>
        <w:t>如法律法规或监管机构以后允许基金投资其他品种，基金管理人在履行适当程序后，可以将其纳入投资范围。</w:t>
      </w:r>
    </w:p>
    <w:p w14:paraId="0F9E6602" w14:textId="77777777" w:rsidR="00F15F69" w:rsidRPr="00F15F69" w:rsidRDefault="00F15F69" w:rsidP="00B043B9">
      <w:pPr>
        <w:pStyle w:val="20"/>
        <w:adjustRightInd w:val="0"/>
        <w:snapToGrid w:val="0"/>
        <w:spacing w:line="520" w:lineRule="atLeast"/>
        <w:ind w:left="0" w:firstLineChars="200" w:firstLine="480"/>
        <w:rPr>
          <w:rFonts w:hAnsi="宋体"/>
          <w:szCs w:val="24"/>
        </w:rPr>
      </w:pPr>
      <w:r w:rsidRPr="00F15F69">
        <w:rPr>
          <w:rFonts w:hAnsi="宋体" w:hint="eastAsia"/>
          <w:szCs w:val="24"/>
        </w:rPr>
        <w:t>基金的投资组合比例：本基金投资于债券资产的比例不低于基金资产的80%；</w:t>
      </w:r>
      <w:r w:rsidRPr="00F15F69">
        <w:rPr>
          <w:rFonts w:hAnsi="宋体" w:hint="eastAsia"/>
          <w:szCs w:val="24"/>
        </w:rPr>
        <w:lastRenderedPageBreak/>
        <w:t>每个交易日日终在扣除国债期货合约需缴纳的交易保证金后，基金保留的现金或到期日在一年以内的政府债券的投资比例不低于基金资产净值的5%，其中现金不包括结算备付金、存出保证金和应收申购款等。</w:t>
      </w:r>
    </w:p>
    <w:p w14:paraId="46500AEA" w14:textId="4B369D6B" w:rsidR="00B61FF9" w:rsidRPr="00D90C6F" w:rsidRDefault="00F15F69" w:rsidP="00222238">
      <w:pPr>
        <w:spacing w:line="520" w:lineRule="atLeast"/>
        <w:ind w:firstLine="480"/>
        <w:rPr>
          <w:rFonts w:ascii="宋体" w:hAnsi="宋体"/>
          <w:sz w:val="24"/>
          <w:szCs w:val="24"/>
        </w:rPr>
      </w:pPr>
      <w:r w:rsidRPr="00F15F69">
        <w:rPr>
          <w:rFonts w:hAnsi="宋体" w:hint="eastAsia"/>
          <w:szCs w:val="24"/>
        </w:rPr>
        <w:t>如法律法规或中国证监会变更投资品种的投资比例限制，基金管理人在履行适当程序后，可以调整上述投资品种的投资比例。</w:t>
      </w:r>
    </w:p>
    <w:p w14:paraId="615A5EA5" w14:textId="0941DF20" w:rsidR="00130C38" w:rsidRPr="00CB1D0F" w:rsidRDefault="00130C38" w:rsidP="006643B1">
      <w:pPr>
        <w:spacing w:line="520" w:lineRule="atLeast"/>
        <w:jc w:val="left"/>
        <w:rPr>
          <w:rFonts w:ascii="宋体" w:hAnsi="宋体"/>
          <w:sz w:val="24"/>
          <w:szCs w:val="24"/>
        </w:rPr>
      </w:pPr>
      <w:r>
        <w:rPr>
          <w:rFonts w:ascii="宋体" w:hAnsi="宋体" w:hint="eastAsia"/>
          <w:sz w:val="24"/>
        </w:rPr>
        <w:t xml:space="preserve">    </w:t>
      </w:r>
      <w:r w:rsidR="001B0A60" w:rsidRPr="00130C38">
        <w:rPr>
          <w:rFonts w:ascii="宋体" w:hAnsi="宋体" w:hint="eastAsia"/>
          <w:sz w:val="24"/>
        </w:rPr>
        <w:t>3.1.2基金托管人根据有关法律法规的规定及基金合同的约定</w:t>
      </w:r>
      <w:r w:rsidR="00266385">
        <w:rPr>
          <w:rFonts w:ascii="宋体" w:hAnsi="宋体" w:hint="eastAsia"/>
          <w:sz w:val="24"/>
        </w:rPr>
        <w:t>，</w:t>
      </w:r>
      <w:r w:rsidR="001B0A60" w:rsidRPr="00130C38">
        <w:rPr>
          <w:rFonts w:ascii="宋体" w:hAnsi="宋体" w:hint="eastAsia"/>
          <w:sz w:val="24"/>
        </w:rPr>
        <w:t>对下述基金投</w:t>
      </w:r>
      <w:r w:rsidR="000559C3" w:rsidRPr="00130C38">
        <w:rPr>
          <w:rFonts w:ascii="宋体" w:hAnsi="宋体" w:hint="eastAsia"/>
          <w:sz w:val="24"/>
        </w:rPr>
        <w:t>融</w:t>
      </w:r>
      <w:r w:rsidR="001B0A60" w:rsidRPr="00D830C5">
        <w:rPr>
          <w:rFonts w:ascii="宋体" w:hAnsi="宋体" w:hint="eastAsia"/>
          <w:sz w:val="24"/>
          <w:szCs w:val="24"/>
        </w:rPr>
        <w:t>资比例进行监督：</w:t>
      </w:r>
      <w:r w:rsidR="007B0DCD" w:rsidRPr="00D830C5">
        <w:rPr>
          <w:rFonts w:ascii="宋体" w:hAnsi="宋体" w:hint="eastAsia"/>
          <w:sz w:val="24"/>
          <w:szCs w:val="24"/>
        </w:rPr>
        <w:t xml:space="preserve">    </w:t>
      </w:r>
    </w:p>
    <w:p w14:paraId="47CE5C81" w14:textId="298A641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w:t>
      </w:r>
      <w:r w:rsidRPr="00661EB6">
        <w:rPr>
          <w:rFonts w:hint="eastAsia"/>
          <w:bCs/>
          <w:sz w:val="24"/>
          <w:szCs w:val="24"/>
        </w:rPr>
        <w:t>）本基金投资于债券资产的比例不低于基金资产的</w:t>
      </w:r>
      <w:r w:rsidRPr="00661EB6">
        <w:rPr>
          <w:rFonts w:hint="eastAsia"/>
          <w:bCs/>
          <w:sz w:val="24"/>
          <w:szCs w:val="24"/>
        </w:rPr>
        <w:t>80%</w:t>
      </w:r>
      <w:r w:rsidRPr="00661EB6">
        <w:rPr>
          <w:rFonts w:hint="eastAsia"/>
          <w:bCs/>
          <w:sz w:val="24"/>
          <w:szCs w:val="24"/>
        </w:rPr>
        <w:t>；</w:t>
      </w:r>
      <w:r w:rsidR="00F15F69" w:rsidRPr="00661EB6" w:rsidDel="00F15F69">
        <w:rPr>
          <w:rFonts w:hint="eastAsia"/>
          <w:bCs/>
          <w:sz w:val="24"/>
          <w:szCs w:val="24"/>
        </w:rPr>
        <w:t xml:space="preserve"> </w:t>
      </w:r>
    </w:p>
    <w:p w14:paraId="52BFA6D7"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2</w:t>
      </w:r>
      <w:r w:rsidRPr="00661EB6">
        <w:rPr>
          <w:rFonts w:hint="eastAsia"/>
          <w:bCs/>
          <w:sz w:val="24"/>
          <w:szCs w:val="24"/>
        </w:rPr>
        <w:t>）每个交易日日终在扣除国债期货合约需缴纳的交易保证金后，基金保留的现金或到期日在一年以内的政府债券的投资比例不低于基金资产净值的</w:t>
      </w:r>
      <w:r w:rsidRPr="00661EB6">
        <w:rPr>
          <w:rFonts w:hint="eastAsia"/>
          <w:bCs/>
          <w:sz w:val="24"/>
          <w:szCs w:val="24"/>
        </w:rPr>
        <w:t>5%</w:t>
      </w:r>
      <w:r w:rsidRPr="00661EB6">
        <w:rPr>
          <w:rFonts w:hint="eastAsia"/>
          <w:bCs/>
          <w:sz w:val="24"/>
          <w:szCs w:val="24"/>
        </w:rPr>
        <w:t>，其中现金不包括结算备付金、存出保证金和应收申购款等；</w:t>
      </w:r>
    </w:p>
    <w:p w14:paraId="1D70681D"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3</w:t>
      </w:r>
      <w:r w:rsidRPr="00661EB6">
        <w:rPr>
          <w:rFonts w:hint="eastAsia"/>
          <w:bCs/>
          <w:sz w:val="24"/>
          <w:szCs w:val="24"/>
        </w:rPr>
        <w:t>）本基金持有一家公司发行的证券，其市值不超过基金资产净值的</w:t>
      </w:r>
      <w:r w:rsidRPr="00661EB6">
        <w:rPr>
          <w:rFonts w:hint="eastAsia"/>
          <w:bCs/>
          <w:sz w:val="24"/>
          <w:szCs w:val="24"/>
        </w:rPr>
        <w:t>10%</w:t>
      </w:r>
      <w:r w:rsidRPr="00661EB6">
        <w:rPr>
          <w:rFonts w:hint="eastAsia"/>
          <w:bCs/>
          <w:sz w:val="24"/>
          <w:szCs w:val="24"/>
        </w:rPr>
        <w:t>；</w:t>
      </w:r>
    </w:p>
    <w:p w14:paraId="7C56EA7C"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4</w:t>
      </w:r>
      <w:r w:rsidRPr="00661EB6">
        <w:rPr>
          <w:rFonts w:hint="eastAsia"/>
          <w:bCs/>
          <w:sz w:val="24"/>
          <w:szCs w:val="24"/>
        </w:rPr>
        <w:t>）本基金管理人管理的全部基金持有一家公司发行的证券，不超过该证券的</w:t>
      </w:r>
      <w:r w:rsidRPr="00661EB6">
        <w:rPr>
          <w:rFonts w:hint="eastAsia"/>
          <w:bCs/>
          <w:sz w:val="24"/>
          <w:szCs w:val="24"/>
        </w:rPr>
        <w:t>10%</w:t>
      </w:r>
      <w:r w:rsidRPr="00661EB6">
        <w:rPr>
          <w:rFonts w:hint="eastAsia"/>
          <w:bCs/>
          <w:sz w:val="24"/>
          <w:szCs w:val="24"/>
        </w:rPr>
        <w:t>，完全按照有关指数的构成比例进行证券投资的基金品种可以不受此条款规定的比例限制；</w:t>
      </w:r>
    </w:p>
    <w:p w14:paraId="2D6EA1F7"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5</w:t>
      </w:r>
      <w:r w:rsidRPr="00661EB6">
        <w:rPr>
          <w:rFonts w:hint="eastAsia"/>
          <w:bCs/>
          <w:sz w:val="24"/>
          <w:szCs w:val="24"/>
        </w:rPr>
        <w:t>）本基金投资于同一原始权益人的各类资产支持证券的比例，不得超过基金资产净值的</w:t>
      </w:r>
      <w:r w:rsidRPr="00661EB6">
        <w:rPr>
          <w:rFonts w:hint="eastAsia"/>
          <w:bCs/>
          <w:sz w:val="24"/>
          <w:szCs w:val="24"/>
        </w:rPr>
        <w:t>10%</w:t>
      </w:r>
      <w:r w:rsidRPr="00661EB6">
        <w:rPr>
          <w:rFonts w:hint="eastAsia"/>
          <w:bCs/>
          <w:sz w:val="24"/>
          <w:szCs w:val="24"/>
        </w:rPr>
        <w:t>；</w:t>
      </w:r>
    </w:p>
    <w:p w14:paraId="08485195"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6</w:t>
      </w:r>
      <w:r w:rsidRPr="00661EB6">
        <w:rPr>
          <w:rFonts w:hint="eastAsia"/>
          <w:bCs/>
          <w:sz w:val="24"/>
          <w:szCs w:val="24"/>
        </w:rPr>
        <w:t>）本基金持有的全部资产支持证券，其市值不得超过基金资产净值的</w:t>
      </w:r>
      <w:r w:rsidRPr="00661EB6">
        <w:rPr>
          <w:rFonts w:hint="eastAsia"/>
          <w:bCs/>
          <w:sz w:val="24"/>
          <w:szCs w:val="24"/>
        </w:rPr>
        <w:t>20%</w:t>
      </w:r>
      <w:r w:rsidRPr="00661EB6">
        <w:rPr>
          <w:rFonts w:hint="eastAsia"/>
          <w:bCs/>
          <w:sz w:val="24"/>
          <w:szCs w:val="24"/>
        </w:rPr>
        <w:t>，中国证监会规定的特殊品种除外；</w:t>
      </w:r>
    </w:p>
    <w:p w14:paraId="596E743B"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7</w:t>
      </w:r>
      <w:r w:rsidRPr="00661EB6">
        <w:rPr>
          <w:rFonts w:hint="eastAsia"/>
          <w:bCs/>
          <w:sz w:val="24"/>
          <w:szCs w:val="24"/>
        </w:rPr>
        <w:t>）本基金持有的同一</w:t>
      </w:r>
      <w:r w:rsidRPr="00661EB6">
        <w:rPr>
          <w:rFonts w:hint="eastAsia"/>
          <w:bCs/>
          <w:sz w:val="24"/>
          <w:szCs w:val="24"/>
        </w:rPr>
        <w:t>(</w:t>
      </w:r>
      <w:r w:rsidRPr="00661EB6">
        <w:rPr>
          <w:rFonts w:hint="eastAsia"/>
          <w:bCs/>
          <w:sz w:val="24"/>
          <w:szCs w:val="24"/>
        </w:rPr>
        <w:t>指同一信用级别</w:t>
      </w:r>
      <w:r w:rsidRPr="00661EB6">
        <w:rPr>
          <w:rFonts w:hint="eastAsia"/>
          <w:bCs/>
          <w:sz w:val="24"/>
          <w:szCs w:val="24"/>
        </w:rPr>
        <w:t>)</w:t>
      </w:r>
      <w:r w:rsidRPr="00661EB6">
        <w:rPr>
          <w:rFonts w:hint="eastAsia"/>
          <w:bCs/>
          <w:sz w:val="24"/>
          <w:szCs w:val="24"/>
        </w:rPr>
        <w:t>资产支持证券的比例，不得超过该资产支持证券规模的</w:t>
      </w:r>
      <w:r w:rsidRPr="00661EB6">
        <w:rPr>
          <w:rFonts w:hint="eastAsia"/>
          <w:bCs/>
          <w:sz w:val="24"/>
          <w:szCs w:val="24"/>
        </w:rPr>
        <w:t>10%</w:t>
      </w:r>
      <w:r w:rsidRPr="00661EB6">
        <w:rPr>
          <w:rFonts w:hint="eastAsia"/>
          <w:bCs/>
          <w:sz w:val="24"/>
          <w:szCs w:val="24"/>
        </w:rPr>
        <w:t>；</w:t>
      </w:r>
    </w:p>
    <w:p w14:paraId="7D6DD0A0"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8</w:t>
      </w:r>
      <w:r w:rsidRPr="00661EB6">
        <w:rPr>
          <w:rFonts w:hint="eastAsia"/>
          <w:bCs/>
          <w:sz w:val="24"/>
          <w:szCs w:val="24"/>
        </w:rPr>
        <w:t>）本基金管理人管理的全部基金投资于同一原始权益人的各类资产支持证券，不得超过其各类资产支持证券合计规模的</w:t>
      </w:r>
      <w:r w:rsidRPr="00661EB6">
        <w:rPr>
          <w:rFonts w:hint="eastAsia"/>
          <w:bCs/>
          <w:sz w:val="24"/>
          <w:szCs w:val="24"/>
        </w:rPr>
        <w:t>10%</w:t>
      </w:r>
      <w:r w:rsidRPr="00661EB6">
        <w:rPr>
          <w:rFonts w:hint="eastAsia"/>
          <w:bCs/>
          <w:sz w:val="24"/>
          <w:szCs w:val="24"/>
        </w:rPr>
        <w:t>；</w:t>
      </w:r>
    </w:p>
    <w:p w14:paraId="78E9781E"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9</w:t>
      </w:r>
      <w:r w:rsidRPr="00661EB6">
        <w:rPr>
          <w:rFonts w:hint="eastAsia"/>
          <w:bCs/>
          <w:sz w:val="24"/>
          <w:szCs w:val="24"/>
        </w:rPr>
        <w:t>）本基金进入全国银行间同业市场进行债券回购的资金余额不得超过基金资产净值的</w:t>
      </w:r>
      <w:r w:rsidRPr="00661EB6">
        <w:rPr>
          <w:rFonts w:hint="eastAsia"/>
          <w:bCs/>
          <w:sz w:val="24"/>
          <w:szCs w:val="24"/>
        </w:rPr>
        <w:t>40%</w:t>
      </w:r>
      <w:r w:rsidRPr="00661EB6">
        <w:rPr>
          <w:rFonts w:hint="eastAsia"/>
          <w:bCs/>
          <w:sz w:val="24"/>
          <w:szCs w:val="24"/>
        </w:rPr>
        <w:t>，进入全国银行间同业市场进行债券回购的最长期限为</w:t>
      </w:r>
      <w:r w:rsidRPr="00661EB6">
        <w:rPr>
          <w:rFonts w:hint="eastAsia"/>
          <w:bCs/>
          <w:sz w:val="24"/>
          <w:szCs w:val="24"/>
        </w:rPr>
        <w:t>1</w:t>
      </w:r>
      <w:r w:rsidRPr="00661EB6">
        <w:rPr>
          <w:rFonts w:hint="eastAsia"/>
          <w:bCs/>
          <w:sz w:val="24"/>
          <w:szCs w:val="24"/>
        </w:rPr>
        <w:t>年，债券回购到期后不得展期；</w:t>
      </w:r>
    </w:p>
    <w:p w14:paraId="2FB2099D"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10</w:t>
      </w:r>
      <w:r w:rsidRPr="00661EB6">
        <w:rPr>
          <w:rFonts w:hint="eastAsia"/>
          <w:bCs/>
          <w:sz w:val="24"/>
          <w:szCs w:val="24"/>
        </w:rPr>
        <w:t>）本基金主动投资于流动性受限资产的市值合计不得超过基金资产净值的</w:t>
      </w:r>
      <w:r w:rsidRPr="00661EB6">
        <w:rPr>
          <w:rFonts w:hint="eastAsia"/>
          <w:bCs/>
          <w:sz w:val="24"/>
          <w:szCs w:val="24"/>
        </w:rPr>
        <w:t>15%</w:t>
      </w:r>
      <w:r w:rsidRPr="00661EB6">
        <w:rPr>
          <w:rFonts w:hint="eastAsia"/>
          <w:bCs/>
          <w:sz w:val="24"/>
          <w:szCs w:val="24"/>
        </w:rPr>
        <w:t>；因证券市场波动、基金规模变动等基金管理人之外的因素致使基金不符合该比例限制的，基金管理人不得主动新增流动性受限资产的投资；</w:t>
      </w:r>
    </w:p>
    <w:p w14:paraId="5C27A978"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11</w:t>
      </w:r>
      <w:r w:rsidRPr="00661EB6">
        <w:rPr>
          <w:rFonts w:hint="eastAsia"/>
          <w:bCs/>
          <w:sz w:val="24"/>
          <w:szCs w:val="24"/>
        </w:rPr>
        <w:t>）本基金与私募类证券资管产品及中国证监会认定的其他主体为交易对手开展逆回购交易的，可接受质押品的资质要求应当与本基金合同约定的投资范围保</w:t>
      </w:r>
      <w:r w:rsidRPr="00661EB6">
        <w:rPr>
          <w:rFonts w:hint="eastAsia"/>
          <w:bCs/>
          <w:sz w:val="24"/>
          <w:szCs w:val="24"/>
        </w:rPr>
        <w:lastRenderedPageBreak/>
        <w:t>持一致；</w:t>
      </w:r>
    </w:p>
    <w:p w14:paraId="789D4DD6"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12</w:t>
      </w:r>
      <w:r w:rsidRPr="00661EB6">
        <w:rPr>
          <w:rFonts w:hint="eastAsia"/>
          <w:bCs/>
          <w:sz w:val="24"/>
          <w:szCs w:val="24"/>
        </w:rPr>
        <w:t>）本基金资产总值不超过基金资产净值的</w:t>
      </w:r>
      <w:r w:rsidRPr="00661EB6">
        <w:rPr>
          <w:rFonts w:hint="eastAsia"/>
          <w:bCs/>
          <w:sz w:val="24"/>
          <w:szCs w:val="24"/>
        </w:rPr>
        <w:t>140%</w:t>
      </w:r>
      <w:r w:rsidRPr="00661EB6">
        <w:rPr>
          <w:rFonts w:hint="eastAsia"/>
          <w:bCs/>
          <w:sz w:val="24"/>
          <w:szCs w:val="24"/>
        </w:rPr>
        <w:t>；</w:t>
      </w:r>
    </w:p>
    <w:p w14:paraId="45C00480"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13</w:t>
      </w:r>
      <w:r w:rsidRPr="00661EB6">
        <w:rPr>
          <w:rFonts w:hint="eastAsia"/>
          <w:bCs/>
          <w:sz w:val="24"/>
          <w:szCs w:val="24"/>
        </w:rPr>
        <w:t>）本基金参与国债期货交易，需遵守下列投资比例限制：本基金在任何交易日日终，持有的买入国债期货合约价值，不得超过基金资产净值的</w:t>
      </w:r>
      <w:r w:rsidRPr="00661EB6">
        <w:rPr>
          <w:rFonts w:hint="eastAsia"/>
          <w:bCs/>
          <w:sz w:val="24"/>
          <w:szCs w:val="24"/>
        </w:rPr>
        <w:t>15%</w:t>
      </w:r>
      <w:r w:rsidRPr="00661EB6">
        <w:rPr>
          <w:rFonts w:hint="eastAsia"/>
          <w:bCs/>
          <w:sz w:val="24"/>
          <w:szCs w:val="24"/>
        </w:rPr>
        <w:t>；本基金在任何交易日日终，持有的卖出国债期货合约价值不得超过基金持有的债券总市值的</w:t>
      </w:r>
      <w:r w:rsidRPr="00661EB6">
        <w:rPr>
          <w:rFonts w:hint="eastAsia"/>
          <w:bCs/>
          <w:sz w:val="24"/>
          <w:szCs w:val="24"/>
        </w:rPr>
        <w:t>30%</w:t>
      </w:r>
      <w:r w:rsidRPr="00661EB6">
        <w:rPr>
          <w:rFonts w:hint="eastAsia"/>
          <w:bCs/>
          <w:sz w:val="24"/>
          <w:szCs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661EB6">
        <w:rPr>
          <w:rFonts w:hint="eastAsia"/>
          <w:bCs/>
          <w:sz w:val="24"/>
          <w:szCs w:val="24"/>
        </w:rPr>
        <w:t>30%</w:t>
      </w:r>
      <w:r w:rsidRPr="00661EB6">
        <w:rPr>
          <w:rFonts w:hint="eastAsia"/>
          <w:bCs/>
          <w:sz w:val="24"/>
          <w:szCs w:val="24"/>
        </w:rPr>
        <w:t>；</w:t>
      </w:r>
    </w:p>
    <w:p w14:paraId="727982C8" w14:textId="77777777" w:rsidR="00661EB6" w:rsidRPr="00661EB6" w:rsidRDefault="00661EB6" w:rsidP="00661EB6">
      <w:pPr>
        <w:spacing w:line="360" w:lineRule="auto"/>
        <w:ind w:firstLineChars="200" w:firstLine="480"/>
        <w:rPr>
          <w:bCs/>
          <w:sz w:val="24"/>
          <w:szCs w:val="24"/>
        </w:rPr>
      </w:pPr>
      <w:r w:rsidRPr="00661EB6">
        <w:rPr>
          <w:rFonts w:hint="eastAsia"/>
          <w:bCs/>
          <w:sz w:val="24"/>
          <w:szCs w:val="24"/>
        </w:rPr>
        <w:t>（</w:t>
      </w:r>
      <w:r w:rsidRPr="00661EB6">
        <w:rPr>
          <w:rFonts w:hint="eastAsia"/>
          <w:bCs/>
          <w:sz w:val="24"/>
          <w:szCs w:val="24"/>
        </w:rPr>
        <w:t>14</w:t>
      </w:r>
      <w:r w:rsidRPr="00661EB6">
        <w:rPr>
          <w:rFonts w:hint="eastAsia"/>
          <w:bCs/>
          <w:sz w:val="24"/>
          <w:szCs w:val="24"/>
        </w:rPr>
        <w:t>）法律法规及中国证监会规定的和《基金合同》约定的其他投资限制。</w:t>
      </w:r>
    </w:p>
    <w:p w14:paraId="5973C996" w14:textId="3A9B1C28" w:rsidR="00D830C5" w:rsidRPr="00F15F69" w:rsidRDefault="00661EB6" w:rsidP="00661EB6">
      <w:pPr>
        <w:spacing w:line="360" w:lineRule="auto"/>
        <w:ind w:firstLineChars="200" w:firstLine="480"/>
        <w:rPr>
          <w:bCs/>
          <w:sz w:val="24"/>
          <w:szCs w:val="24"/>
        </w:rPr>
      </w:pPr>
      <w:r w:rsidRPr="00661EB6">
        <w:rPr>
          <w:rFonts w:hint="eastAsia"/>
          <w:bCs/>
          <w:sz w:val="24"/>
          <w:szCs w:val="24"/>
        </w:rPr>
        <w:t>除上述第（</w:t>
      </w:r>
      <w:r w:rsidRPr="00661EB6">
        <w:rPr>
          <w:rFonts w:hint="eastAsia"/>
          <w:bCs/>
          <w:sz w:val="24"/>
          <w:szCs w:val="24"/>
        </w:rPr>
        <w:t>2</w:t>
      </w:r>
      <w:r w:rsidRPr="00661EB6">
        <w:rPr>
          <w:rFonts w:hint="eastAsia"/>
          <w:bCs/>
          <w:sz w:val="24"/>
          <w:szCs w:val="24"/>
        </w:rPr>
        <w:t>）、（</w:t>
      </w:r>
      <w:r w:rsidRPr="00661EB6">
        <w:rPr>
          <w:rFonts w:hint="eastAsia"/>
          <w:bCs/>
          <w:sz w:val="24"/>
          <w:szCs w:val="24"/>
        </w:rPr>
        <w:t>10</w:t>
      </w:r>
      <w:r w:rsidRPr="00661EB6">
        <w:rPr>
          <w:rFonts w:hint="eastAsia"/>
          <w:bCs/>
          <w:sz w:val="24"/>
          <w:szCs w:val="24"/>
        </w:rPr>
        <w:t>）、（</w:t>
      </w:r>
      <w:r w:rsidRPr="00661EB6">
        <w:rPr>
          <w:rFonts w:hint="eastAsia"/>
          <w:bCs/>
          <w:sz w:val="24"/>
          <w:szCs w:val="24"/>
        </w:rPr>
        <w:t>11</w:t>
      </w:r>
      <w:r w:rsidRPr="00661EB6">
        <w:rPr>
          <w:rFonts w:hint="eastAsia"/>
          <w:bCs/>
          <w:sz w:val="24"/>
          <w:szCs w:val="24"/>
        </w:rPr>
        <w:t>）情形之外，因证券</w:t>
      </w:r>
      <w:r w:rsidRPr="00661EB6">
        <w:rPr>
          <w:rFonts w:hint="eastAsia"/>
          <w:bCs/>
          <w:sz w:val="24"/>
          <w:szCs w:val="24"/>
        </w:rPr>
        <w:t>/</w:t>
      </w:r>
      <w:r w:rsidRPr="00661EB6">
        <w:rPr>
          <w:rFonts w:hint="eastAsia"/>
          <w:bCs/>
          <w:sz w:val="24"/>
          <w:szCs w:val="24"/>
        </w:rPr>
        <w:t>期货市场波动、证券发行人合并、基金规模变动等基金管理人之外的因素致使基金投资比例不符合上述规定投资比例的，基金管理人应当在</w:t>
      </w:r>
      <w:r w:rsidRPr="00661EB6">
        <w:rPr>
          <w:rFonts w:hint="eastAsia"/>
          <w:bCs/>
          <w:sz w:val="24"/>
          <w:szCs w:val="24"/>
        </w:rPr>
        <w:t>10</w:t>
      </w:r>
      <w:r w:rsidRPr="00661EB6">
        <w:rPr>
          <w:rFonts w:hint="eastAsia"/>
          <w:bCs/>
          <w:sz w:val="24"/>
          <w:szCs w:val="24"/>
        </w:rPr>
        <w:t>个交易日内进行调整，但中国证监会规定的特殊情形除外。</w:t>
      </w:r>
    </w:p>
    <w:p w14:paraId="4A0975E1" w14:textId="77777777" w:rsidR="00D830C5" w:rsidRPr="00F15F69" w:rsidRDefault="00D830C5" w:rsidP="00D830C5">
      <w:pPr>
        <w:spacing w:line="360" w:lineRule="auto"/>
        <w:ind w:firstLineChars="200" w:firstLine="480"/>
        <w:rPr>
          <w:bCs/>
          <w:sz w:val="24"/>
          <w:szCs w:val="24"/>
        </w:rPr>
      </w:pPr>
      <w:r w:rsidRPr="00F15F69">
        <w:rPr>
          <w:rFonts w:hint="eastAsia"/>
          <w:bCs/>
          <w:sz w:val="24"/>
          <w:szCs w:val="24"/>
        </w:rPr>
        <w:t>基金管理人应当自基金合同生效之日起</w:t>
      </w:r>
      <w:r w:rsidRPr="00F15F69">
        <w:rPr>
          <w:bCs/>
          <w:sz w:val="24"/>
          <w:szCs w:val="24"/>
        </w:rPr>
        <w:t>6</w:t>
      </w:r>
      <w:r w:rsidRPr="00F15F69">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80BBFB6" w14:textId="39AC674C" w:rsidR="00B61FF9" w:rsidRPr="00F15F69" w:rsidRDefault="00D830C5" w:rsidP="00471C79">
      <w:pPr>
        <w:spacing w:line="520" w:lineRule="atLeast"/>
        <w:ind w:firstLineChars="200" w:firstLine="480"/>
        <w:rPr>
          <w:rFonts w:hAnsi="宋体"/>
          <w:sz w:val="24"/>
          <w:szCs w:val="24"/>
        </w:rPr>
      </w:pPr>
      <w:r w:rsidRPr="00F15F69">
        <w:rPr>
          <w:rFonts w:hint="eastAsia"/>
          <w:bCs/>
          <w:sz w:val="24"/>
          <w:szCs w:val="24"/>
        </w:rPr>
        <w:t>法律法规或监管部门取消或调整上述限制，如适用于本基金，基金管理人在履行适当程序后，则本基金投资不再受相关限制或按调整后的规定执行。</w:t>
      </w:r>
    </w:p>
    <w:p w14:paraId="65C673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3.1.3基金托管人根据有关法律法规的规定及基金合同的约定对下述基金投资禁止行为进行监督：</w:t>
      </w:r>
    </w:p>
    <w:p w14:paraId="0941FDB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根据法律法规的规定及基金合同的约定，本基金禁止从事下列行为：</w:t>
      </w:r>
    </w:p>
    <w:p w14:paraId="43AECD1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（1）承销证券；</w:t>
      </w:r>
    </w:p>
    <w:p w14:paraId="23FEB802"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（2）违反规定向他人贷款或者提供担保；</w:t>
      </w:r>
    </w:p>
    <w:p w14:paraId="7DE5F798"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（3）从事承担无限责任的投资；</w:t>
      </w:r>
    </w:p>
    <w:p w14:paraId="7A587E5F" w14:textId="149C5C26"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（4）买卖其他基金份额，但</w:t>
      </w:r>
      <w:r w:rsidR="00B05E90">
        <w:rPr>
          <w:rFonts w:hAnsi="宋体" w:hint="eastAsia"/>
          <w:szCs w:val="24"/>
        </w:rPr>
        <w:t>是</w:t>
      </w:r>
      <w:r>
        <w:rPr>
          <w:rFonts w:hAnsi="宋体" w:hint="eastAsia"/>
          <w:szCs w:val="24"/>
        </w:rPr>
        <w:t>中国证监会另有规定的除外；</w:t>
      </w:r>
    </w:p>
    <w:p w14:paraId="2FF501F7"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（5）向其基金管理人、基金托管人出资；</w:t>
      </w:r>
    </w:p>
    <w:p w14:paraId="65593985" w14:textId="77777777"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（6）从事内幕交易、操纵证券交易价格及其他不正当的证券交易活动；</w:t>
      </w:r>
    </w:p>
    <w:p w14:paraId="4E358909" w14:textId="55A4BCF4" w:rsidR="00B61FF9" w:rsidRDefault="001B0A60" w:rsidP="00F55F8F">
      <w:pPr>
        <w:pStyle w:val="20"/>
        <w:adjustRightInd w:val="0"/>
        <w:snapToGrid w:val="0"/>
        <w:spacing w:before="0" w:after="0" w:line="520" w:lineRule="atLeast"/>
        <w:ind w:left="0" w:firstLineChars="200" w:firstLine="480"/>
        <w:rPr>
          <w:rFonts w:hAnsi="宋体"/>
        </w:rPr>
      </w:pPr>
      <w:r>
        <w:rPr>
          <w:rFonts w:hAnsi="宋体" w:hint="eastAsia"/>
          <w:szCs w:val="24"/>
        </w:rPr>
        <w:t>（7）法律、行政法规和中国证监会规定禁止的其他活动。</w:t>
      </w:r>
    </w:p>
    <w:p w14:paraId="76D70D9C" w14:textId="455696BF"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法律法规或监管部门取消或变更上述禁止性规定，如适用于本基金，基金管理</w:t>
      </w:r>
      <w:r>
        <w:rPr>
          <w:rFonts w:hAnsi="宋体" w:hint="eastAsia"/>
          <w:szCs w:val="24"/>
        </w:rPr>
        <w:lastRenderedPageBreak/>
        <w:t>人在履行适当程序后，可不受上述规定的限制或按变更后的规定执行。</w:t>
      </w:r>
    </w:p>
    <w:p w14:paraId="333216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3.1.4基金托管人依据有关法律法规的规定和基金合同的约定对于基金关联投资限制进行监督：</w:t>
      </w:r>
    </w:p>
    <w:p w14:paraId="5EDBD7C2" w14:textId="6CF63A07" w:rsidR="00F55F8F" w:rsidRDefault="00F55F8F" w:rsidP="006643B1">
      <w:pPr>
        <w:pStyle w:val="20"/>
        <w:spacing w:before="0" w:after="0" w:line="520" w:lineRule="atLeast"/>
        <w:ind w:left="0" w:firstLineChars="200" w:firstLine="480"/>
        <w:rPr>
          <w:rFonts w:hAnsi="宋体"/>
          <w:szCs w:val="24"/>
        </w:rPr>
      </w:pPr>
      <w:r w:rsidRPr="00F55F8F">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9EBD8E" w14:textId="22B57CB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根据法律法规有关从事关联交易的规定，基金管理人和基金托管人应事先相互提供与本机构有控股关系的股东或与本机构有其他重大利害关系的公司名单及其更新，加盖公章并</w:t>
      </w:r>
      <w:r w:rsidR="000877E6">
        <w:rPr>
          <w:rFonts w:hAnsi="宋体" w:hint="eastAsia"/>
          <w:szCs w:val="24"/>
        </w:rPr>
        <w:t>相互</w:t>
      </w:r>
      <w:r>
        <w:rPr>
          <w:rFonts w:hAnsi="宋体" w:hint="eastAsia"/>
          <w:szCs w:val="24"/>
        </w:rPr>
        <w:t>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14:paraId="1BDABE37" w14:textId="77777777" w:rsidR="00AB08D8" w:rsidRDefault="00AB08D8" w:rsidP="006643B1">
      <w:pPr>
        <w:pStyle w:val="20"/>
        <w:spacing w:before="0" w:after="0" w:line="520" w:lineRule="atLeast"/>
        <w:ind w:left="0" w:firstLineChars="200" w:firstLine="480"/>
        <w:rPr>
          <w:rFonts w:hAnsi="宋体"/>
          <w:szCs w:val="24"/>
        </w:rPr>
      </w:pPr>
      <w:r w:rsidRPr="00AB08D8">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31BFFE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3.1.5基金托管人依据有关法律法规的规定和基金合同的约定对基金管理人参与银行间债券市场进行监督：</w:t>
      </w:r>
    </w:p>
    <w:p w14:paraId="2D8D8947" w14:textId="2BF1B28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w:t>
      </w:r>
      <w:r w:rsidR="0088782C" w:rsidRPr="0088782C">
        <w:rPr>
          <w:rFonts w:hAnsi="宋体" w:hint="eastAsia"/>
          <w:szCs w:val="24"/>
        </w:rPr>
        <w:t>基金托管人对于基金管理人参与银行间债券市场交易时是否按交易对手名单进行交易进行监督</w:t>
      </w:r>
      <w:r>
        <w:rPr>
          <w:rFonts w:hAnsi="宋体" w:hint="eastAsia"/>
          <w:szCs w:val="24"/>
        </w:rPr>
        <w:t>。</w:t>
      </w:r>
    </w:p>
    <w:p w14:paraId="29D846AE" w14:textId="76A6E6D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w:t>
      </w:r>
      <w:r w:rsidR="00645707" w:rsidRPr="00645707">
        <w:rPr>
          <w:rFonts w:hAnsi="宋体" w:hint="eastAsia"/>
          <w:szCs w:val="24"/>
        </w:rPr>
        <w:t>基金托管人向基金管理人发出回函之后，名单开始生效。</w:t>
      </w:r>
      <w:r>
        <w:rPr>
          <w:rFonts w:hAnsi="宋体" w:hint="eastAsia"/>
          <w:szCs w:val="24"/>
        </w:rPr>
        <w:t>基金管理人应定期或不定期对银行间债券市场现券及回购交易对手的名单进行更新，名单中增加或减少银行间债券市场交易对手时须及时通知基金托管人，基金托管人于2个工作日内回函确认收到后，对名单进行更新。</w:t>
      </w:r>
      <w:r w:rsidR="00645707" w:rsidRPr="00645707">
        <w:rPr>
          <w:rFonts w:hAnsi="宋体" w:hint="eastAsia"/>
          <w:szCs w:val="24"/>
        </w:rPr>
        <w:t>基金托管人发出回函之后</w:t>
      </w:r>
      <w:r>
        <w:rPr>
          <w:rFonts w:hAnsi="宋体" w:hint="eastAsia"/>
          <w:szCs w:val="24"/>
        </w:rPr>
        <w:t>，被确认调整的名单开始生效，新名单生效前已与本次剔除的交易对手所进行但尚未结算的交易，仍应按照双方原定协议进行结算。</w:t>
      </w:r>
    </w:p>
    <w:p w14:paraId="691C4B8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D8ACE29" w14:textId="69ADACA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（2）基金托管人对于基金管理人参与银行间债券市场交易的交易方式的控制</w:t>
      </w:r>
      <w:r w:rsidR="00CD3734">
        <w:rPr>
          <w:rFonts w:hAnsi="宋体" w:hint="eastAsia"/>
          <w:szCs w:val="24"/>
        </w:rPr>
        <w:t>。</w:t>
      </w:r>
    </w:p>
    <w:p w14:paraId="511403B6" w14:textId="2CE36C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07DF5109" w14:textId="599917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（3）基金管理人有责任控制交易对手的资信风险</w:t>
      </w:r>
      <w:r w:rsidR="00541A7B">
        <w:rPr>
          <w:rFonts w:hAnsi="宋体" w:hint="eastAsia"/>
          <w:szCs w:val="24"/>
        </w:rPr>
        <w:t>。</w:t>
      </w:r>
    </w:p>
    <w:p w14:paraId="1D3479AC" w14:textId="61321D75" w:rsidR="00B61FF9" w:rsidRDefault="000877E6" w:rsidP="006643B1">
      <w:pPr>
        <w:pStyle w:val="20"/>
        <w:spacing w:before="0" w:after="0" w:line="520" w:lineRule="atLeast"/>
        <w:ind w:left="0" w:firstLineChars="200" w:firstLine="480"/>
        <w:rPr>
          <w:rFonts w:hAnsi="宋体"/>
          <w:szCs w:val="24"/>
        </w:rPr>
      </w:pPr>
      <w:r>
        <w:rPr>
          <w:rFonts w:hAnsi="宋体" w:hint="eastAsia"/>
          <w:szCs w:val="24"/>
        </w:rPr>
        <w:t>基金</w:t>
      </w:r>
      <w:r>
        <w:rPr>
          <w:rFonts w:hAnsi="宋体"/>
          <w:szCs w:val="24"/>
        </w:rPr>
        <w:t>管理人</w:t>
      </w:r>
      <w:r w:rsidR="001B0A60">
        <w:rPr>
          <w:rFonts w:hAnsi="宋体" w:hint="eastAsia"/>
          <w:szCs w:val="24"/>
        </w:rPr>
        <w:t>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012C863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3.1.6基金托管人对基金投资流通受限证券的监督：</w:t>
      </w:r>
    </w:p>
    <w:p w14:paraId="2424BCF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07184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（2）基金管理人应在基金首次投资流通受限证券前，向基金托管人提供经基金管理人董事会批准的有关基金投资流通受限证券的投资决策流程、风险控制制度。</w:t>
      </w:r>
      <w:r w:rsidR="00922C37" w:rsidRPr="00922C37">
        <w:rPr>
          <w:rFonts w:hAnsi="宋体" w:hint="eastAsia"/>
          <w:szCs w:val="24"/>
        </w:rPr>
        <w:t>基金投资非公开发行股票，基金管理人还应提供基金管理人董事会批准的流动性风险处置预案。</w:t>
      </w:r>
      <w:r>
        <w:rPr>
          <w:rFonts w:hAnsi="宋体" w:hint="eastAsia"/>
          <w:szCs w:val="24"/>
        </w:rPr>
        <w:t>上述资料应包括但不限于基金投资流通受限证券的投资额度和投资比例控制情况。</w:t>
      </w:r>
    </w:p>
    <w:p w14:paraId="0DE6C0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687DE81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13CD9F6" w14:textId="0286B63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（4）基金托管人应对基金管理人是否遵守法律法规、投资决策流程、风险控制制度情况进行监督，并审核基金管理人提供的有关书面信息。基金托管人认为上述资料</w:t>
      </w:r>
      <w:r w:rsidR="000E69F8" w:rsidRPr="000E69F8">
        <w:rPr>
          <w:rFonts w:hAnsi="宋体" w:hint="eastAsia"/>
          <w:szCs w:val="24"/>
        </w:rPr>
        <w:t>不符合法律法规、投资决策流程、风险控制制度</w:t>
      </w:r>
      <w:r>
        <w:rPr>
          <w:rFonts w:hAnsi="宋体" w:hint="eastAsia"/>
          <w:szCs w:val="24"/>
        </w:rPr>
        <w:t>的，有权要求基金管理人在投资流通受限证券前</w:t>
      </w:r>
      <w:r w:rsidR="000E69F8" w:rsidRPr="000E69F8">
        <w:rPr>
          <w:rFonts w:hAnsi="宋体" w:hint="eastAsia"/>
          <w:szCs w:val="24"/>
        </w:rPr>
        <w:t>就以上事项进行调整</w:t>
      </w:r>
      <w:r>
        <w:rPr>
          <w:rFonts w:hAnsi="宋体" w:hint="eastAsia"/>
          <w:szCs w:val="24"/>
        </w:rPr>
        <w:t>，否则，基金托管人有权拒绝执行有关指令。因拒绝执行该指令造成基金财产损失的，基金托管人不承担任何责任，并有权报告中国证监会。</w:t>
      </w:r>
    </w:p>
    <w:p w14:paraId="5682853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14:paraId="683E4AF3" w14:textId="77777777" w:rsidR="00922C37" w:rsidRPr="00922C37" w:rsidRDefault="00922C37" w:rsidP="006643B1">
      <w:pPr>
        <w:pStyle w:val="20"/>
        <w:spacing w:before="0" w:after="0" w:line="520" w:lineRule="atLeast"/>
        <w:rPr>
          <w:rFonts w:hAnsi="宋体"/>
          <w:szCs w:val="24"/>
        </w:rPr>
      </w:pPr>
      <w:r w:rsidRPr="00922C37">
        <w:rPr>
          <w:rFonts w:hAnsi="宋体" w:hint="eastAsia"/>
          <w:szCs w:val="24"/>
        </w:rPr>
        <w:t>3.1.</w:t>
      </w:r>
      <w:r>
        <w:rPr>
          <w:rFonts w:hAnsi="宋体"/>
          <w:szCs w:val="24"/>
        </w:rPr>
        <w:t>7</w:t>
      </w:r>
      <w:r w:rsidRPr="00922C37">
        <w:rPr>
          <w:rFonts w:hAnsi="宋体" w:hint="eastAsia"/>
          <w:szCs w:val="24"/>
        </w:rPr>
        <w:t>基金托管人对基金投资中期票据的监督：</w:t>
      </w:r>
    </w:p>
    <w:p w14:paraId="38CE4BA8" w14:textId="77777777"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393DC7" w14:textId="5AA10E7C" w:rsidR="00922C37" w:rsidRP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（2）如未来有关监管部门发布的法律法规对证券投资基金投资中期票据另有规定的，从其</w:t>
      </w:r>
      <w:r w:rsidR="00B77FC9">
        <w:rPr>
          <w:rFonts w:hAnsi="宋体" w:hint="eastAsia"/>
          <w:szCs w:val="24"/>
        </w:rPr>
        <w:t>规定</w:t>
      </w:r>
      <w:r w:rsidRPr="00922C37">
        <w:rPr>
          <w:rFonts w:hAnsi="宋体" w:hint="eastAsia"/>
          <w:szCs w:val="24"/>
        </w:rPr>
        <w:t>。</w:t>
      </w:r>
    </w:p>
    <w:p w14:paraId="7803DBA6" w14:textId="21954BB1" w:rsidR="00922C37" w:rsidRDefault="00922C37" w:rsidP="006643B1">
      <w:pPr>
        <w:pStyle w:val="20"/>
        <w:spacing w:before="0" w:after="0" w:line="520" w:lineRule="atLeast"/>
        <w:ind w:left="0" w:firstLineChars="200" w:firstLine="480"/>
        <w:rPr>
          <w:rFonts w:hAnsi="宋体"/>
          <w:szCs w:val="24"/>
        </w:rPr>
      </w:pPr>
      <w:r w:rsidRPr="00922C37">
        <w:rPr>
          <w:rFonts w:hAnsi="宋体" w:hint="eastAsia"/>
          <w:szCs w:val="24"/>
        </w:rPr>
        <w:t>（3）基金托管人有权监督基金管理人在相关基金投资中期票据时的法律法规</w:t>
      </w:r>
      <w:r w:rsidRPr="00922C37">
        <w:rPr>
          <w:rFonts w:hAnsi="宋体" w:hint="eastAsia"/>
          <w:szCs w:val="24"/>
        </w:rPr>
        <w:lastRenderedPageBreak/>
        <w:t>遵守情况，有关制度、信用风险、流动性风险处置预案的完善情况，有关额度、比例限制的执行情况。基金托管人发现基金管理人的上述事项违反法律法规</w:t>
      </w:r>
      <w:r w:rsidR="000877E6">
        <w:rPr>
          <w:rFonts w:hAnsi="宋体" w:hint="eastAsia"/>
          <w:szCs w:val="24"/>
        </w:rPr>
        <w:t>的</w:t>
      </w:r>
      <w:r w:rsidR="000877E6">
        <w:rPr>
          <w:rFonts w:hAnsi="宋体"/>
          <w:szCs w:val="24"/>
        </w:rPr>
        <w:t>规定</w:t>
      </w:r>
      <w:r w:rsidRPr="00922C37">
        <w:rPr>
          <w:rFonts w:hAnsi="宋体" w:hint="eastAsia"/>
          <w:szCs w:val="24"/>
        </w:rPr>
        <w:t>和基金合同以及本协议的</w:t>
      </w:r>
      <w:r w:rsidR="000877E6">
        <w:rPr>
          <w:rFonts w:hAnsi="宋体" w:hint="eastAsia"/>
          <w:szCs w:val="24"/>
        </w:rPr>
        <w:t>约定</w:t>
      </w:r>
      <w:r w:rsidRPr="00922C37">
        <w:rPr>
          <w:rFonts w:hAnsi="宋体" w:hint="eastAsia"/>
          <w:szCs w:val="24"/>
        </w:rPr>
        <w:t>，应及时以书面形式通知基金管理人</w:t>
      </w:r>
      <w:r w:rsidR="000877E6">
        <w:rPr>
          <w:rFonts w:hAnsi="宋体" w:hint="eastAsia"/>
          <w:szCs w:val="24"/>
        </w:rPr>
        <w:t>限期</w:t>
      </w:r>
      <w:r w:rsidRPr="00922C37">
        <w:rPr>
          <w:rFonts w:hAnsi="宋体" w:hint="eastAsia"/>
          <w:szCs w:val="24"/>
        </w:rPr>
        <w:t>纠正。基金管理人应积极配合和协助基金托管人的监督和核查。基金管理人应按</w:t>
      </w:r>
      <w:r w:rsidR="00777C8C">
        <w:rPr>
          <w:rFonts w:hAnsi="宋体" w:hint="eastAsia"/>
          <w:szCs w:val="24"/>
        </w:rPr>
        <w:t>本协议</w:t>
      </w:r>
      <w:r w:rsidRPr="00922C37">
        <w:rPr>
          <w:rFonts w:hAnsi="宋体" w:hint="eastAsia"/>
          <w:szCs w:val="24"/>
        </w:rPr>
        <w:t>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14:paraId="66964A8B" w14:textId="7D27795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3.1.</w:t>
      </w:r>
      <w:r w:rsidR="00471C79">
        <w:rPr>
          <w:rFonts w:hAnsi="宋体"/>
          <w:szCs w:val="24"/>
        </w:rPr>
        <w:t>8</w:t>
      </w:r>
      <w:r>
        <w:rPr>
          <w:rFonts w:hAnsi="宋体" w:hint="eastAsia"/>
          <w:szCs w:val="24"/>
        </w:rPr>
        <w:t>基金托管人根据有关法律法规的规定及基金合同的约定，对基金管理人选择存款银行进行监督：</w:t>
      </w:r>
    </w:p>
    <w:p w14:paraId="2EB69D60" w14:textId="77777777" w:rsidR="007D21F7" w:rsidRDefault="007D21F7" w:rsidP="006643B1">
      <w:pPr>
        <w:pStyle w:val="20"/>
        <w:spacing w:before="0" w:after="0" w:line="520" w:lineRule="atLeast"/>
        <w:ind w:left="0" w:firstLineChars="200" w:firstLine="480"/>
        <w:rPr>
          <w:rFonts w:hAnsi="宋体"/>
          <w:szCs w:val="24"/>
        </w:rPr>
      </w:pPr>
      <w:r w:rsidRPr="007D21F7">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EC02E6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本基金投资银行存款应符合如下规定：</w:t>
      </w:r>
    </w:p>
    <w:p w14:paraId="1DC1576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（1）基金管理人、基金托管人应当与存款银行建立定期对账机制，确保基金银行存款业务账目及核算的真实、准确。</w:t>
      </w:r>
    </w:p>
    <w:p w14:paraId="1D41C09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E85211C" w14:textId="66FF2C2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（3）基金托管人应对基金银行存款业务</w:t>
      </w:r>
      <w:r w:rsidR="00490CC4">
        <w:rPr>
          <w:rFonts w:hAnsi="宋体" w:hint="eastAsia"/>
          <w:szCs w:val="24"/>
        </w:rPr>
        <w:t>进行</w:t>
      </w:r>
      <w:r>
        <w:rPr>
          <w:rFonts w:hAnsi="宋体" w:hint="eastAsia"/>
          <w:szCs w:val="24"/>
        </w:rPr>
        <w:t>监督与核查，审查、复核相关协议、账户资料、投资指令、存款证实书等有关文件，履行托管职责。</w:t>
      </w:r>
    </w:p>
    <w:p w14:paraId="545436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（4）基金管理人与基金托管人在开展基金存款业务时，应严格遵守《基金法》、《运作办法》等有关法律法规，以及国家有关账户管理、利率管理、支付结算等的各项规定。</w:t>
      </w:r>
    </w:p>
    <w:p w14:paraId="7820832A" w14:textId="7B43FF21" w:rsidR="00C82CCF" w:rsidRPr="00C82CCF" w:rsidRDefault="00C82CCF" w:rsidP="00C82CCF">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.2</w:t>
      </w:r>
      <w:r w:rsidRPr="00C82CCF">
        <w:rPr>
          <w:rFonts w:hAnsi="宋体" w:hint="eastAsia"/>
          <w:szCs w:val="24"/>
        </w:rPr>
        <w:t>侧袋机制的实施和投资运作安排</w:t>
      </w:r>
    </w:p>
    <w:p w14:paraId="1254D520" w14:textId="77777777" w:rsidR="00C82CCF" w:rsidRPr="00C82CCF" w:rsidRDefault="00C82CCF" w:rsidP="00C82CCF">
      <w:pPr>
        <w:pStyle w:val="20"/>
        <w:spacing w:before="0" w:after="0" w:line="520" w:lineRule="atLeast"/>
        <w:ind w:left="0" w:firstLineChars="200" w:firstLine="480"/>
        <w:rPr>
          <w:rFonts w:hAnsi="宋体"/>
          <w:szCs w:val="24"/>
        </w:rPr>
      </w:pPr>
      <w:r w:rsidRPr="00C82CCF">
        <w:rPr>
          <w:rFonts w:hAnsi="宋体" w:hint="eastAsia"/>
          <w:szCs w:val="24"/>
        </w:rPr>
        <w:t>当基金持有特定资产且存在或潜在大额赎回申请时，根据最大限度保护基金份额持有人利益的原则，基金管理人经与基金托管人协商一致，并咨询会计师事务所</w:t>
      </w:r>
      <w:r w:rsidRPr="00C82CCF">
        <w:rPr>
          <w:rFonts w:hAnsi="宋体" w:hint="eastAsia"/>
          <w:szCs w:val="24"/>
        </w:rPr>
        <w:lastRenderedPageBreak/>
        <w:t>意见后，可以依照法律法规及基金合同的约定启用侧袋机制。</w:t>
      </w:r>
    </w:p>
    <w:p w14:paraId="5B80F1A2" w14:textId="4645B499" w:rsidR="00C82CCF" w:rsidRPr="00C82CCF" w:rsidRDefault="00C82CCF" w:rsidP="00C82CCF">
      <w:pPr>
        <w:pStyle w:val="20"/>
        <w:spacing w:before="0" w:after="0" w:line="520" w:lineRule="atLeast"/>
        <w:ind w:left="0" w:firstLineChars="200" w:firstLine="480"/>
        <w:rPr>
          <w:rFonts w:hAnsi="宋体"/>
          <w:szCs w:val="24"/>
        </w:rPr>
      </w:pPr>
      <w:r w:rsidRPr="00C82CCF">
        <w:rPr>
          <w:rFonts w:hAnsi="宋体" w:hint="eastAsia"/>
          <w:szCs w:val="24"/>
        </w:rPr>
        <w:t>侧袋机制实施期间，本部分约定的投资组合比例、组合限制等约定仅适用于主袋账户。</w:t>
      </w:r>
    </w:p>
    <w:p w14:paraId="3183DC80" w14:textId="7CC2B8DA" w:rsidR="00C82CCF" w:rsidRDefault="00C82CCF" w:rsidP="00C82CCF">
      <w:pPr>
        <w:pStyle w:val="20"/>
        <w:spacing w:before="0" w:after="0" w:line="520" w:lineRule="atLeast"/>
        <w:ind w:left="0" w:firstLineChars="200" w:firstLine="480"/>
        <w:rPr>
          <w:rFonts w:hAnsi="宋体"/>
          <w:szCs w:val="24"/>
        </w:rPr>
      </w:pPr>
      <w:r w:rsidRPr="00C82CCF">
        <w:rPr>
          <w:rFonts w:hAnsi="宋体" w:hint="eastAsia"/>
          <w:szCs w:val="24"/>
        </w:rPr>
        <w:t>侧袋账户的实施条件、实施程序、运作安排、投资安排、特定资产的处置变现和支付等对投资者权益有重大影响的事项详见招募说明书的规定。</w:t>
      </w:r>
    </w:p>
    <w:p w14:paraId="3DB59B85" w14:textId="6E66F75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基金托管人对基金管理人业务进行监督和核查的有关措施：</w:t>
      </w:r>
    </w:p>
    <w:p w14:paraId="7B1C1714" w14:textId="7BF273C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AE4B54" w14:textId="22C3F3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C8CD977" w14:textId="5258E3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.3在限期内，基金托管人有权随时对通知事项进行复查，督促基金管理人改正。基金管理人对基金托管人通知的违规事项未能在限期内纠正的，基金托管人应报告中国证监会。</w:t>
      </w:r>
    </w:p>
    <w:p w14:paraId="227F7F20" w14:textId="695605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.4基金托管人发现基金管理人的投资指令违反</w:t>
      </w:r>
      <w:r w:rsidR="00ED2EBF">
        <w:rPr>
          <w:rFonts w:hAnsi="宋体" w:hint="eastAsia"/>
          <w:szCs w:val="24"/>
        </w:rPr>
        <w:t>相</w:t>
      </w:r>
      <w:r>
        <w:rPr>
          <w:rFonts w:hAnsi="宋体" w:hint="eastAsia"/>
          <w:szCs w:val="24"/>
        </w:rPr>
        <w:t>关法律法规规定或者违反基金合同约定的，应当拒绝执行，立即通知基金管理人。</w:t>
      </w:r>
    </w:p>
    <w:p w14:paraId="103CC0C0" w14:textId="25C94D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5BB3C3A" w14:textId="36AD757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7B023291" w14:textId="3781438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sidR="00C82CCF">
        <w:rPr>
          <w:rFonts w:hAnsi="宋体"/>
          <w:szCs w:val="24"/>
        </w:rPr>
        <w:t>3</w:t>
      </w:r>
      <w:r>
        <w:rPr>
          <w:rFonts w:hAnsi="宋体" w:hint="eastAsia"/>
          <w:szCs w:val="24"/>
        </w:rPr>
        <w:t>.7基金托管人发现基金管理人有重大违规行为，应立即报告中国证监会，同时通知基金管理人限期纠正。</w:t>
      </w:r>
    </w:p>
    <w:p w14:paraId="1E5AD90B" w14:textId="750798C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3.</w:t>
      </w:r>
      <w:r w:rsidR="00C82CCF">
        <w:rPr>
          <w:rFonts w:hAnsi="宋体"/>
          <w:szCs w:val="24"/>
        </w:rPr>
        <w:t>3</w:t>
      </w:r>
      <w:r>
        <w:rPr>
          <w:rFonts w:hAnsi="宋体" w:hint="eastAsia"/>
          <w:szCs w:val="24"/>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8B3C291" w14:textId="3F7E1B16" w:rsidR="00180B60" w:rsidRDefault="00180B60" w:rsidP="006643B1">
      <w:pPr>
        <w:pStyle w:val="20"/>
        <w:spacing w:before="0" w:after="0" w:line="520" w:lineRule="atLeast"/>
        <w:ind w:left="0" w:firstLineChars="200" w:firstLine="480"/>
        <w:rPr>
          <w:rFonts w:hAnsi="宋体"/>
          <w:szCs w:val="24"/>
        </w:rPr>
      </w:pPr>
      <w:r w:rsidRPr="00180B60">
        <w:rPr>
          <w:rFonts w:hAnsi="宋体" w:hint="eastAsia"/>
          <w:szCs w:val="24"/>
        </w:rPr>
        <w:t>3.</w:t>
      </w:r>
      <w:r w:rsidR="00C82CCF">
        <w:rPr>
          <w:rFonts w:hAnsi="宋体"/>
          <w:szCs w:val="24"/>
        </w:rPr>
        <w:t>3</w:t>
      </w:r>
      <w:r w:rsidRPr="00180B60">
        <w:rPr>
          <w:rFonts w:hAnsi="宋体" w:hint="eastAsia"/>
          <w:szCs w:val="24"/>
        </w:rPr>
        <w:t>.9基金托管人对资金来源、投资收益及投资安全不承担审核责任，特别是对于本基金所投标的的后续资金使用情况无审核责任，不保证托管财产投资不受损失，不保证最低收益。</w:t>
      </w:r>
    </w:p>
    <w:p w14:paraId="5F98E3AE" w14:textId="63E1E56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w:t>
      </w:r>
      <w:r w:rsidR="00C82CCF">
        <w:rPr>
          <w:rFonts w:hAnsi="宋体"/>
          <w:szCs w:val="24"/>
        </w:rPr>
        <w:t>3</w:t>
      </w:r>
      <w:r>
        <w:rPr>
          <w:rFonts w:hAnsi="宋体"/>
          <w:szCs w:val="24"/>
        </w:rPr>
        <w:t>.</w:t>
      </w:r>
      <w:r w:rsidR="00180B60">
        <w:rPr>
          <w:rFonts w:hAnsi="宋体"/>
          <w:szCs w:val="24"/>
        </w:rPr>
        <w:t>10</w:t>
      </w:r>
      <w:r>
        <w:rPr>
          <w:rFonts w:hAnsi="宋体" w:hint="eastAsia"/>
          <w:szCs w:val="24"/>
        </w:rPr>
        <w:t>基金管理人应遵守中华人民共和国反洗钱法律法规，不参与涉嫌洗钱、恐怖融资、扩散融资等违法犯罪活动；主动配合基金托管人客户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076365DA" w14:textId="77777777" w:rsidR="00B61FF9" w:rsidRDefault="001B0A60" w:rsidP="006643B1">
      <w:pPr>
        <w:pStyle w:val="1"/>
        <w:spacing w:line="520" w:lineRule="atLeast"/>
        <w:ind w:firstLineChars="200" w:firstLine="482"/>
        <w:rPr>
          <w:bCs/>
          <w:color w:val="auto"/>
          <w:szCs w:val="24"/>
        </w:rPr>
      </w:pPr>
      <w:bookmarkStart w:id="22" w:name="_Toc296551340"/>
      <w:bookmarkStart w:id="23" w:name="_Toc44321727"/>
      <w:r>
        <w:rPr>
          <w:rFonts w:hint="eastAsia"/>
          <w:bCs/>
          <w:color w:val="auto"/>
          <w:szCs w:val="24"/>
        </w:rPr>
        <w:t>第四条 基金管理人对基金托管人的业务核查</w:t>
      </w:r>
      <w:bookmarkEnd w:id="22"/>
      <w:bookmarkEnd w:id="23"/>
    </w:p>
    <w:p w14:paraId="0B47154B" w14:textId="1F51C4E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14:paraId="4108A175" w14:textId="6C40ECF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4.2基金管理人发现基金托管人擅自挪用基金财产、未对基金财产实行分账管理、</w:t>
      </w:r>
      <w:r w:rsidR="00D872FC" w:rsidRPr="00D872FC">
        <w:rPr>
          <w:rFonts w:hAnsi="宋体" w:hint="eastAsia"/>
          <w:szCs w:val="24"/>
        </w:rPr>
        <w:t>无故拒绝</w:t>
      </w:r>
      <w:r>
        <w:rPr>
          <w:rFonts w:hAnsi="宋体" w:hint="eastAsia"/>
          <w:szCs w:val="24"/>
        </w:rPr>
        <w:t>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w:t>
      </w:r>
    </w:p>
    <w:p w14:paraId="0326DC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4.3基金管理人发现基金托管人有重大违规行为，应立即报告中国证监会和银行业监督管理机构，同时通知基金托管人限期纠正。</w:t>
      </w:r>
    </w:p>
    <w:p w14:paraId="04EE692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14:paraId="06857838" w14:textId="3EBA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961B7E9" w14:textId="77777777" w:rsidR="00B61FF9" w:rsidRDefault="001B0A60" w:rsidP="006643B1">
      <w:pPr>
        <w:pStyle w:val="1"/>
        <w:spacing w:line="520" w:lineRule="atLeast"/>
        <w:ind w:firstLineChars="200" w:firstLine="482"/>
        <w:rPr>
          <w:bCs/>
          <w:color w:val="auto"/>
          <w:szCs w:val="24"/>
        </w:rPr>
      </w:pPr>
      <w:bookmarkStart w:id="24" w:name="_Toc296551341"/>
      <w:bookmarkStart w:id="25" w:name="_Toc44321728"/>
      <w:r>
        <w:rPr>
          <w:rFonts w:hint="eastAsia"/>
          <w:bCs/>
          <w:color w:val="auto"/>
          <w:szCs w:val="24"/>
        </w:rPr>
        <w:t>第五条 基金财产保管</w:t>
      </w:r>
      <w:bookmarkEnd w:id="24"/>
      <w:bookmarkEnd w:id="25"/>
    </w:p>
    <w:p w14:paraId="44D94EF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5.1基金财产保管的原则</w:t>
      </w:r>
    </w:p>
    <w:p w14:paraId="5FB84EF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5.1.1基金财产应独立于基金管理人、基金托管人的固有财产。</w:t>
      </w:r>
    </w:p>
    <w:p w14:paraId="3CB990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5.1.2基金托管人应安全保管基金财产。除依据法律法规规定、基金合同和本托管协议约定及基金管理人的正当指令外，不得自行运用、处分、分配基金的任何财产。</w:t>
      </w:r>
    </w:p>
    <w:p w14:paraId="35ED32F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5.1.3基金托管人按照规定开设基金财产的资金账户和证券账户等投资所需的其他账户。</w:t>
      </w:r>
    </w:p>
    <w:p w14:paraId="67CA2C5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5.1.4基金托管人对所托管的不同基金财产分别设置账户，与基金托管人的其他业务和其他基金的托管业务实行严格的分账管理，确保基金财产的完整与独立。</w:t>
      </w:r>
    </w:p>
    <w:p w14:paraId="5212E46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5.1.5基金托管人根据基金管理人的指令，按照基金合同和本协议的约定保管基金财产，如有特殊情况双方可另行协商解决。</w:t>
      </w:r>
    </w:p>
    <w:p w14:paraId="39D25B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5.1.6除依据法律法规和基金合同的规定外，基金托管人不得委托第三人托管基金资产。</w:t>
      </w:r>
    </w:p>
    <w:p w14:paraId="560679A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5.2募集资金的验资</w:t>
      </w:r>
    </w:p>
    <w:p w14:paraId="5176218F" w14:textId="6F1A9D82" w:rsidR="00B61FF9" w:rsidRPr="009F038B" w:rsidRDefault="001B0A60" w:rsidP="006643B1">
      <w:pPr>
        <w:pStyle w:val="CharCharCharCharCharCharChar"/>
        <w:adjustRightInd/>
        <w:spacing w:line="520" w:lineRule="atLeast"/>
        <w:ind w:firstLineChars="200" w:firstLine="480"/>
        <w:rPr>
          <w:rFonts w:hAnsi="宋体"/>
          <w:szCs w:val="24"/>
        </w:rPr>
      </w:pPr>
      <w:r w:rsidRPr="009F038B">
        <w:rPr>
          <w:rFonts w:ascii="宋体" w:hAnsi="宋体" w:hint="eastAsia"/>
          <w:szCs w:val="24"/>
        </w:rPr>
        <w:t>5.2.1基金募集期间募集的资金应存于基金管理人在基金托管人的营业机构或在其他银行开立的</w:t>
      </w:r>
      <w:r w:rsidR="000020A6">
        <w:rPr>
          <w:rFonts w:ascii="宋体" w:hAnsi="宋体" w:hint="eastAsia"/>
          <w:szCs w:val="24"/>
        </w:rPr>
        <w:t>“</w:t>
      </w:r>
      <w:r w:rsidRPr="009F038B">
        <w:rPr>
          <w:rFonts w:ascii="宋体" w:hAnsi="宋体" w:hint="eastAsia"/>
          <w:szCs w:val="24"/>
        </w:rPr>
        <w:t>基金募集专户</w:t>
      </w:r>
      <w:r w:rsidR="00F26602">
        <w:rPr>
          <w:rFonts w:ascii="宋体" w:hAnsi="宋体" w:hint="eastAsia"/>
          <w:szCs w:val="24"/>
        </w:rPr>
        <w:t>”</w:t>
      </w:r>
      <w:r w:rsidRPr="009F038B">
        <w:rPr>
          <w:rFonts w:ascii="宋体" w:hAnsi="宋体" w:hint="eastAsia"/>
          <w:szCs w:val="24"/>
        </w:rPr>
        <w:t>，</w:t>
      </w:r>
      <w:r w:rsidR="000107EC" w:rsidRPr="009F038B">
        <w:rPr>
          <w:rFonts w:ascii="宋体" w:hAnsi="宋体" w:hint="eastAsia"/>
          <w:szCs w:val="24"/>
        </w:rPr>
        <w:t>该账户由</w:t>
      </w:r>
      <w:r w:rsidR="00757C03" w:rsidRPr="00757C03">
        <w:rPr>
          <w:rFonts w:ascii="宋体" w:hAnsi="宋体" w:hint="eastAsia"/>
          <w:szCs w:val="24"/>
        </w:rPr>
        <w:t>基金管理人</w:t>
      </w:r>
      <w:r w:rsidR="000020A6">
        <w:rPr>
          <w:rFonts w:ascii="宋体" w:hAnsi="宋体" w:hint="eastAsia"/>
          <w:szCs w:val="24"/>
        </w:rPr>
        <w:t>或</w:t>
      </w:r>
      <w:r w:rsidR="000020A6">
        <w:rPr>
          <w:rFonts w:ascii="宋体" w:hAnsi="宋体"/>
          <w:szCs w:val="24"/>
        </w:rPr>
        <w:t>其</w:t>
      </w:r>
      <w:r w:rsidR="00757C03" w:rsidRPr="00757C03">
        <w:rPr>
          <w:rFonts w:ascii="宋体" w:hAnsi="宋体" w:hint="eastAsia"/>
          <w:szCs w:val="24"/>
        </w:rPr>
        <w:t>委托的登记机构</w:t>
      </w:r>
      <w:r w:rsidR="000107EC" w:rsidRPr="009F038B">
        <w:rPr>
          <w:rFonts w:ascii="宋体" w:hAnsi="宋体" w:hint="eastAsia"/>
          <w:szCs w:val="24"/>
        </w:rPr>
        <w:t>开立并管理</w:t>
      </w:r>
      <w:r w:rsidRPr="009F038B">
        <w:rPr>
          <w:rFonts w:ascii="宋体" w:hAnsi="宋体" w:hint="eastAsia"/>
          <w:szCs w:val="24"/>
        </w:rPr>
        <w:t>。</w:t>
      </w:r>
    </w:p>
    <w:p w14:paraId="3BF24AA2" w14:textId="6B1971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请</w:t>
      </w:r>
      <w:r w:rsidR="005A0509" w:rsidRPr="00DE3A3E">
        <w:rPr>
          <w:rFonts w:hAnsi="宋体" w:hint="eastAsia"/>
          <w:szCs w:val="24"/>
        </w:rPr>
        <w:t>符合《中华人民共和国证券法》规定</w:t>
      </w:r>
      <w:r w:rsidR="00B9229E" w:rsidRPr="00B9229E">
        <w:rPr>
          <w:rFonts w:hAnsi="宋体" w:hint="eastAsia"/>
          <w:szCs w:val="24"/>
        </w:rPr>
        <w:t>的</w:t>
      </w:r>
      <w:r>
        <w:rPr>
          <w:rFonts w:hAnsi="宋体" w:hint="eastAsia"/>
          <w:szCs w:val="24"/>
        </w:rPr>
        <w:t>会计师事务所进行验资，出具验资报告，出具的验资报告应由参加验资的2名以上（含2名）中国注册会计师签字有效。</w:t>
      </w:r>
    </w:p>
    <w:p w14:paraId="592600F7" w14:textId="3F0814B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5.2.3若基金募集期限届满，未能达到基金备案条件，由基金管理人按规定办</w:t>
      </w:r>
      <w:r>
        <w:rPr>
          <w:rFonts w:hAnsi="宋体" w:hint="eastAsia"/>
          <w:szCs w:val="24"/>
        </w:rPr>
        <w:lastRenderedPageBreak/>
        <w:t>理退款事宜</w:t>
      </w:r>
      <w:r w:rsidR="005A0509" w:rsidRPr="00E022E3">
        <w:rPr>
          <w:rFonts w:hAnsi="宋体" w:hint="eastAsia"/>
          <w:szCs w:val="24"/>
        </w:rPr>
        <w:t>，基金托管人应提供充分协助与配合</w:t>
      </w:r>
      <w:r>
        <w:rPr>
          <w:rFonts w:hAnsi="宋体" w:hint="eastAsia"/>
          <w:szCs w:val="24"/>
        </w:rPr>
        <w:t>。</w:t>
      </w:r>
    </w:p>
    <w:p w14:paraId="21FFF4F3" w14:textId="65078DF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5.3基金的银行账户的开立和管理</w:t>
      </w:r>
    </w:p>
    <w:p w14:paraId="7364D35C" w14:textId="0CAAB9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14:paraId="7E0D5C64" w14:textId="0CA451D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5.3.2基金银行</w:t>
      </w:r>
      <w:r w:rsidRPr="00FF6FFB">
        <w:rPr>
          <w:rFonts w:hAnsi="宋体" w:hint="eastAsia"/>
          <w:szCs w:val="24"/>
        </w:rPr>
        <w:t>账户</w:t>
      </w:r>
      <w:r>
        <w:rPr>
          <w:rFonts w:hAnsi="宋体" w:hint="eastAsia"/>
          <w:szCs w:val="24"/>
        </w:rPr>
        <w:t>的开立和使用，限于满足开展本基金业务的需要。基金托管人和基金管理人不得假借本基金的名义开立任何其他银行账户；亦不得使用基金的任何账户进行本基金业务以外的活动。</w:t>
      </w:r>
    </w:p>
    <w:p w14:paraId="619E5ECA" w14:textId="16E478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5.3.3基金银行</w:t>
      </w:r>
      <w:r w:rsidRPr="00FF6FFB">
        <w:rPr>
          <w:rFonts w:hAnsi="宋体" w:hint="eastAsia"/>
          <w:szCs w:val="24"/>
        </w:rPr>
        <w:t>账户</w:t>
      </w:r>
      <w:r>
        <w:rPr>
          <w:rFonts w:hAnsi="宋体" w:hint="eastAsia"/>
          <w:szCs w:val="24"/>
        </w:rPr>
        <w:t>的开立和管理应符合有关法律法规以及银行业监督管理机构的有关规定。</w:t>
      </w:r>
    </w:p>
    <w:p w14:paraId="13A74BF8" w14:textId="55E427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5.4基金证券账户与证券交易资金账户的开设和管理</w:t>
      </w:r>
    </w:p>
    <w:p w14:paraId="141A21BE" w14:textId="52B4FB9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5.4.1基金托管人以基金托管人和本基金联名的方式在中国证券登记结算有限责任公司</w:t>
      </w:r>
      <w:r w:rsidR="00777C8C">
        <w:rPr>
          <w:rFonts w:hAnsi="宋体" w:hint="eastAsia"/>
          <w:szCs w:val="24"/>
        </w:rPr>
        <w:t>（以下简称“中登公司”）</w:t>
      </w:r>
      <w:r>
        <w:rPr>
          <w:rFonts w:hAnsi="宋体" w:hint="eastAsia"/>
          <w:szCs w:val="24"/>
        </w:rPr>
        <w:t>上海分公司/深圳分公司开设证券账户。</w:t>
      </w:r>
    </w:p>
    <w:p w14:paraId="498D35CA" w14:textId="2CC1A8B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5.4.2基金托管人以基金托管人的名义在</w:t>
      </w:r>
      <w:r w:rsidR="00E2562C" w:rsidRPr="00E2562C">
        <w:rPr>
          <w:rFonts w:hAnsi="宋体" w:hint="eastAsia"/>
          <w:szCs w:val="24"/>
        </w:rPr>
        <w:t>中登公司</w:t>
      </w:r>
      <w:r>
        <w:rPr>
          <w:rFonts w:hAnsi="宋体" w:hint="eastAsia"/>
          <w:szCs w:val="24"/>
        </w:rPr>
        <w:t>上海分公司/深圳分公司开立基金证券交易资金账户，用于证券清算。</w:t>
      </w:r>
    </w:p>
    <w:p w14:paraId="49554FF6" w14:textId="2CD24A2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5.4.3基金证券账户</w:t>
      </w:r>
      <w:r w:rsidR="00777C8C">
        <w:rPr>
          <w:rFonts w:hAnsi="宋体" w:hint="eastAsia"/>
          <w:szCs w:val="24"/>
        </w:rPr>
        <w:t>与证券交易资金账户</w:t>
      </w:r>
      <w:r>
        <w:rPr>
          <w:rFonts w:hAnsi="宋体" w:hint="eastAsia"/>
          <w:szCs w:val="24"/>
        </w:rPr>
        <w:t>的开立和使用，限于满足开展本基金业务的需要。基金托管人和基金管理人不得出借和未经对方同意擅自转让基金的任何证券账户</w:t>
      </w:r>
      <w:r w:rsidR="00777C8C">
        <w:rPr>
          <w:rFonts w:hAnsi="宋体" w:hint="eastAsia"/>
          <w:szCs w:val="24"/>
        </w:rPr>
        <w:t>或证券交易资金账户</w:t>
      </w:r>
      <w:r>
        <w:rPr>
          <w:rFonts w:hAnsi="宋体" w:hint="eastAsia"/>
          <w:szCs w:val="24"/>
        </w:rPr>
        <w:t>；亦不得使用基金的任何账户进行本基金业务以外的活动。</w:t>
      </w:r>
    </w:p>
    <w:p w14:paraId="1A7436D4" w14:textId="3A7B7867"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5.4.4</w:t>
      </w:r>
      <w:r w:rsidRPr="00BC7C1B">
        <w:rPr>
          <w:rFonts w:hAnsi="宋体" w:hint="eastAsia"/>
          <w:szCs w:val="24"/>
        </w:rPr>
        <w:t>基金证券账户</w:t>
      </w:r>
      <w:r>
        <w:rPr>
          <w:rFonts w:hAnsi="宋体" w:hint="eastAsia"/>
          <w:szCs w:val="24"/>
        </w:rPr>
        <w:t>与证券交易资金账户</w:t>
      </w:r>
      <w:r w:rsidRPr="00BC7C1B">
        <w:rPr>
          <w:rFonts w:hAnsi="宋体" w:hint="eastAsia"/>
          <w:szCs w:val="24"/>
        </w:rPr>
        <w:t>相关证明文件的保管由基金托管人负责，账户资产的管理和运用由基金管理人负责。</w:t>
      </w:r>
    </w:p>
    <w:p w14:paraId="68E9787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5.5债券托管账户的开立和管理</w:t>
      </w:r>
    </w:p>
    <w:p w14:paraId="5FBE6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274FA8B7" w14:textId="2435F93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5.5.2</w:t>
      </w:r>
      <w:r w:rsidR="00627E17" w:rsidRPr="00627E17">
        <w:rPr>
          <w:rFonts w:hAnsi="宋体" w:hint="eastAsia"/>
          <w:szCs w:val="24"/>
        </w:rPr>
        <w:t>基金管理人和基金托管人应一起负责为基金对外签订全国银行间国债市</w:t>
      </w:r>
      <w:r w:rsidR="00627E17" w:rsidRPr="00627E17">
        <w:rPr>
          <w:rFonts w:hAnsi="宋体" w:hint="eastAsia"/>
          <w:szCs w:val="24"/>
        </w:rPr>
        <w:lastRenderedPageBreak/>
        <w:t>场回购主协议，正本由</w:t>
      </w:r>
      <w:r w:rsidR="00712E45">
        <w:rPr>
          <w:rFonts w:hAnsi="宋体" w:hint="eastAsia"/>
          <w:szCs w:val="24"/>
        </w:rPr>
        <w:t>基金管理人保存</w:t>
      </w:r>
      <w:r w:rsidR="00627E17" w:rsidRPr="00627E17">
        <w:rPr>
          <w:rFonts w:hAnsi="宋体" w:hint="eastAsia"/>
          <w:szCs w:val="24"/>
        </w:rPr>
        <w:t>。</w:t>
      </w:r>
    </w:p>
    <w:p w14:paraId="36083D2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5.6其他账户的开设和管理</w:t>
      </w:r>
    </w:p>
    <w:p w14:paraId="751F2F1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5DDC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5.7基金财产投资的有关实物证券、银行定期存款存单等有价凭证的保管</w:t>
      </w:r>
    </w:p>
    <w:p w14:paraId="53D914C4" w14:textId="4D9B55B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基金财产投资的有关实物证券</w:t>
      </w:r>
      <w:r w:rsidR="005A0509" w:rsidRPr="00DE3A3E">
        <w:rPr>
          <w:rFonts w:hAnsi="宋体" w:hint="eastAsia"/>
          <w:szCs w:val="24"/>
        </w:rPr>
        <w:t>等有价凭证</w:t>
      </w:r>
      <w:r>
        <w:rPr>
          <w:rFonts w:hAnsi="宋体" w:hint="eastAsia"/>
          <w:szCs w:val="24"/>
        </w:rPr>
        <w:t>由基金托管人存放于基金托管人的保管库；其中实物证券也可存入中央国债登记结算有限责任公司、</w:t>
      </w:r>
      <w:r w:rsidR="00E2562C" w:rsidRPr="00E2562C">
        <w:rPr>
          <w:rFonts w:hAnsi="宋体" w:hint="eastAsia"/>
          <w:szCs w:val="24"/>
        </w:rPr>
        <w:t>中登公司</w:t>
      </w:r>
      <w:r>
        <w:rPr>
          <w:rFonts w:hAnsi="宋体" w:hint="eastAsia"/>
          <w:szCs w:val="24"/>
        </w:rPr>
        <w:t>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49FE962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5.8与基金财产有关的重大合同的保管</w:t>
      </w:r>
    </w:p>
    <w:p w14:paraId="214F6AE3" w14:textId="4BD2C73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w:t>
      </w:r>
      <w:r w:rsidR="005A0509" w:rsidRPr="00DE5710">
        <w:rPr>
          <w:rFonts w:hAnsi="宋体" w:hint="eastAsia"/>
          <w:szCs w:val="24"/>
        </w:rPr>
        <w:t>，并按规定期限保管</w:t>
      </w:r>
      <w:r w:rsidR="009E0DFD">
        <w:rPr>
          <w:rFonts w:hAnsi="宋体" w:hint="eastAsia"/>
          <w:szCs w:val="24"/>
        </w:rPr>
        <w:t>，保存期限不少于法律法规的规定</w:t>
      </w:r>
      <w:r>
        <w:rPr>
          <w:rFonts w:hAnsi="宋体" w:hint="eastAsia"/>
          <w:szCs w:val="24"/>
        </w:rPr>
        <w:t>。对于无法取得二份以上的正本的，基金管理人应向基金托管人提供加盖授权业务章的合同传真件，未经双方协商或未在合同约定范围内，合同原件不得转移，由基金管理人保管。</w:t>
      </w:r>
    </w:p>
    <w:p w14:paraId="7EC438BD" w14:textId="77777777" w:rsidR="00B61FF9" w:rsidRDefault="001B0A60" w:rsidP="006643B1">
      <w:pPr>
        <w:pStyle w:val="1"/>
        <w:spacing w:line="520" w:lineRule="atLeast"/>
        <w:ind w:firstLineChars="200" w:firstLine="482"/>
        <w:rPr>
          <w:bCs/>
          <w:color w:val="auto"/>
          <w:szCs w:val="24"/>
        </w:rPr>
      </w:pPr>
      <w:bookmarkStart w:id="26" w:name="_Toc296551342"/>
      <w:bookmarkStart w:id="27" w:name="_Toc44321729"/>
      <w:r>
        <w:rPr>
          <w:rFonts w:hint="eastAsia"/>
          <w:bCs/>
          <w:color w:val="auto"/>
          <w:szCs w:val="24"/>
        </w:rPr>
        <w:t>第六条 指令的发送、确认和执行</w:t>
      </w:r>
      <w:bookmarkEnd w:id="26"/>
      <w:bookmarkEnd w:id="27"/>
    </w:p>
    <w:p w14:paraId="48C1A64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6.1基金管理人对发送指令人员的书面授权</w:t>
      </w:r>
    </w:p>
    <w:p w14:paraId="373554B7" w14:textId="7031CF17" w:rsidR="00DA1D58" w:rsidRDefault="00AD46EC" w:rsidP="006643B1">
      <w:pPr>
        <w:pStyle w:val="20"/>
        <w:spacing w:before="0" w:after="0" w:line="520" w:lineRule="atLeast"/>
        <w:ind w:left="0" w:firstLineChars="200" w:firstLine="480"/>
        <w:rPr>
          <w:rFonts w:hAnsi="宋体"/>
          <w:szCs w:val="24"/>
        </w:rPr>
      </w:pPr>
      <w:r w:rsidRPr="00AD46EC">
        <w:rPr>
          <w:rFonts w:hAnsi="宋体" w:hint="eastAsia"/>
          <w:szCs w:val="24"/>
        </w:rPr>
        <w:t>基金管理人应事先向基金托管人提供书面授权通知（以下称“授权通知”），指定有权发送指令的人员</w:t>
      </w:r>
      <w:r w:rsidR="00F24AAE">
        <w:rPr>
          <w:rFonts w:hAnsi="宋体" w:hint="eastAsia"/>
          <w:szCs w:val="24"/>
        </w:rPr>
        <w:t>（以下</w:t>
      </w:r>
      <w:r w:rsidR="00F24AAE" w:rsidRPr="00F24AAE">
        <w:rPr>
          <w:rFonts w:hAnsi="宋体" w:hint="eastAsia"/>
          <w:szCs w:val="24"/>
        </w:rPr>
        <w:t>称“被授权人”）</w:t>
      </w:r>
      <w:r w:rsidRPr="00AD46EC">
        <w:rPr>
          <w:rFonts w:hAnsi="宋体" w:hint="eastAsia"/>
          <w:szCs w:val="24"/>
        </w:rPr>
        <w:t>名单、预留印鉴和被授权人</w:t>
      </w:r>
      <w:r w:rsidR="00B9229E">
        <w:rPr>
          <w:rFonts w:hAnsi="宋体" w:hint="eastAsia"/>
          <w:szCs w:val="24"/>
        </w:rPr>
        <w:t>签章</w:t>
      </w:r>
      <w:r w:rsidRPr="00AD46EC">
        <w:rPr>
          <w:rFonts w:hAnsi="宋体" w:hint="eastAsia"/>
          <w:szCs w:val="24"/>
        </w:rPr>
        <w:t>样</w:t>
      </w:r>
      <w:r w:rsidRPr="00AD46EC">
        <w:rPr>
          <w:rFonts w:hAnsi="宋体" w:hint="eastAsia"/>
          <w:szCs w:val="24"/>
        </w:rPr>
        <w:lastRenderedPageBreak/>
        <w:t>本，注明相应的交易权限，</w:t>
      </w:r>
      <w:r w:rsidR="001B0A60">
        <w:rPr>
          <w:rFonts w:hAnsi="宋体" w:hint="eastAsia"/>
          <w:szCs w:val="24"/>
        </w:rPr>
        <w:t>并规定基金管理人向基金托管人发送指令时基金托管人确认</w:t>
      </w:r>
      <w:r w:rsidR="00F24AAE" w:rsidRPr="00F24AAE">
        <w:rPr>
          <w:rFonts w:hAnsi="宋体" w:hint="eastAsia"/>
          <w:szCs w:val="24"/>
        </w:rPr>
        <w:t>被授权人</w:t>
      </w:r>
      <w:r w:rsidR="001B0A60">
        <w:rPr>
          <w:rFonts w:hAnsi="宋体" w:hint="eastAsia"/>
          <w:szCs w:val="24"/>
        </w:rPr>
        <w:t>身份的方法。</w:t>
      </w:r>
      <w:r w:rsidR="00DA1D58" w:rsidRPr="00DA1D58">
        <w:rPr>
          <w:rFonts w:hAnsi="宋体" w:hint="eastAsia"/>
          <w:szCs w:val="24"/>
        </w:rPr>
        <w:t>授权通知应加盖基金管理人公章。基金管理人应使用传真方式</w:t>
      </w:r>
      <w:r w:rsidR="000603A2" w:rsidRPr="00B9229E">
        <w:rPr>
          <w:rFonts w:hAnsi="宋体" w:hint="eastAsia"/>
          <w:szCs w:val="24"/>
        </w:rPr>
        <w:t>或其他基金托管人和基金管理人书面确认过的方式</w:t>
      </w:r>
      <w:r w:rsidR="00DA1D58" w:rsidRPr="00DA1D58">
        <w:rPr>
          <w:rFonts w:hAnsi="宋体" w:hint="eastAsia"/>
          <w:szCs w:val="24"/>
        </w:rPr>
        <w:t>向基金托管人发出授权通知，同时电话通知基金托管人。</w:t>
      </w:r>
      <w:r w:rsidR="001B0A60">
        <w:rPr>
          <w:rFonts w:hAnsi="宋体" w:hint="eastAsia"/>
          <w:szCs w:val="24"/>
        </w:rPr>
        <w:t>基金托管人在收到授权通知当日</w:t>
      </w:r>
      <w:r w:rsidR="0094040B">
        <w:rPr>
          <w:rFonts w:hAnsi="宋体" w:hint="eastAsia"/>
          <w:szCs w:val="24"/>
        </w:rPr>
        <w:t>与</w:t>
      </w:r>
      <w:r w:rsidR="001B0A60">
        <w:rPr>
          <w:rFonts w:hAnsi="宋体" w:hint="eastAsia"/>
          <w:szCs w:val="24"/>
        </w:rPr>
        <w:t>基金管理人确认。</w:t>
      </w:r>
      <w:r w:rsidR="00645707" w:rsidRPr="00645707">
        <w:rPr>
          <w:rFonts w:hAnsi="宋体" w:hint="eastAsia"/>
          <w:szCs w:val="24"/>
        </w:rPr>
        <w:t>基金托管人与基金管理人确认之后，授权通知生效。如授权通知中载明的生效日期早于基金托管人与基金管理人确认的时间，则以基金托管人与基金管理人确认的时间为授权通知生效日期；如授权通知中载明的生效日期晚于基金托管人与基金管理人确认的时间，则以授权通知中载明的日期为授权通知生效日期。</w:t>
      </w:r>
      <w:r w:rsidR="00DA1D58" w:rsidRPr="00DA1D58">
        <w:rPr>
          <w:rFonts w:hAnsi="宋体" w:hint="eastAsia"/>
          <w:szCs w:val="24"/>
        </w:rPr>
        <w:t>基金管理人在此后3个工作日内将授权通知的正本送交基金托管人。</w:t>
      </w:r>
      <w:r w:rsidR="00AD1B3E" w:rsidRPr="00135EC6">
        <w:rPr>
          <w:rFonts w:hAnsi="宋体" w:hint="eastAsia"/>
          <w:szCs w:val="24"/>
        </w:rPr>
        <w:t>授权通知正本内容</w:t>
      </w:r>
      <w:r w:rsidR="00AD1B3E">
        <w:rPr>
          <w:rFonts w:hAnsi="宋体" w:hint="eastAsia"/>
          <w:szCs w:val="24"/>
        </w:rPr>
        <w:t>应</w:t>
      </w:r>
      <w:r w:rsidR="00AD1B3E" w:rsidRPr="00135EC6">
        <w:rPr>
          <w:rFonts w:hAnsi="宋体" w:hint="eastAsia"/>
          <w:szCs w:val="24"/>
        </w:rPr>
        <w:t>与基金托管人收到的传真</w:t>
      </w:r>
      <w:r w:rsidR="00AD1B3E">
        <w:rPr>
          <w:rFonts w:hAnsi="宋体" w:hint="eastAsia"/>
          <w:szCs w:val="24"/>
        </w:rPr>
        <w:t>内容</w:t>
      </w:r>
      <w:r w:rsidR="00AD1B3E">
        <w:rPr>
          <w:rFonts w:hAnsi="宋体"/>
          <w:szCs w:val="24"/>
        </w:rPr>
        <w:t>一致，若有</w:t>
      </w:r>
      <w:r w:rsidR="00AD1B3E" w:rsidRPr="00135EC6">
        <w:rPr>
          <w:rFonts w:hAnsi="宋体" w:hint="eastAsia"/>
          <w:szCs w:val="24"/>
        </w:rPr>
        <w:t>不一致的，以基金托管人收到的传真为准。</w:t>
      </w:r>
    </w:p>
    <w:p w14:paraId="481559FF" w14:textId="13FFCAE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基金管理人和基金托管人对授权文件负有保密义务，其内容不得向被授权人及相关操作人员以外的任何人泄露，</w:t>
      </w:r>
      <w:r>
        <w:rPr>
          <w:rFonts w:hAnsi="宋体"/>
          <w:szCs w:val="24"/>
        </w:rPr>
        <w:t>法律法规另有规定</w:t>
      </w:r>
      <w:r>
        <w:rPr>
          <w:rFonts w:hAnsi="宋体" w:hint="eastAsia"/>
          <w:szCs w:val="24"/>
        </w:rPr>
        <w:t>或</w:t>
      </w:r>
      <w:r>
        <w:rPr>
          <w:rFonts w:hAnsi="宋体"/>
          <w:szCs w:val="24"/>
        </w:rPr>
        <w:t>有权机关另有要求的除外</w:t>
      </w:r>
      <w:r>
        <w:rPr>
          <w:rFonts w:hAnsi="宋体" w:hint="eastAsia"/>
          <w:szCs w:val="24"/>
        </w:rPr>
        <w:t>。</w:t>
      </w:r>
    </w:p>
    <w:p w14:paraId="762A61C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6.2指令的内容</w:t>
      </w:r>
    </w:p>
    <w:p w14:paraId="52F6F15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6695071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6.3指令的发送、确认和执行的时间和程序</w:t>
      </w:r>
    </w:p>
    <w:p w14:paraId="7E3E0CEA" w14:textId="030A2F2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6.3.1指令由“授权通知”确定的</w:t>
      </w:r>
      <w:r w:rsidR="00F24AAE" w:rsidRPr="00F24AAE">
        <w:rPr>
          <w:rFonts w:hAnsi="宋体" w:hint="eastAsia"/>
          <w:szCs w:val="24"/>
        </w:rPr>
        <w:t>被授权人</w:t>
      </w:r>
      <w:r>
        <w:rPr>
          <w:rFonts w:hAnsi="宋体" w:hint="eastAsia"/>
          <w:szCs w:val="24"/>
        </w:rPr>
        <w:t>代表基金管理人用传真的方式或其他基金托管人和基金管理人书面确认过的方式向基金托管人发送。基金管理人有义务在发送指令后及时与托管人进行确认，因基金管理人未能及时与基金托管人进行指令确认</w:t>
      </w:r>
      <w:r w:rsidR="00F63198">
        <w:rPr>
          <w:rFonts w:hAnsi="宋体" w:hint="eastAsia"/>
          <w:szCs w:val="24"/>
        </w:rPr>
        <w:t>，</w:t>
      </w:r>
      <w:r>
        <w:rPr>
          <w:rFonts w:hAnsi="宋体" w:hint="eastAsia"/>
          <w:szCs w:val="24"/>
        </w:rPr>
        <w:t>致使资金未能及时到账所造成的损失</w:t>
      </w:r>
      <w:r w:rsidR="00F63198" w:rsidRPr="00B9229E">
        <w:rPr>
          <w:rFonts w:hAnsi="宋体" w:hint="eastAsia"/>
          <w:szCs w:val="24"/>
        </w:rPr>
        <w:t>，基金托管人不承担任何形式的责任。</w:t>
      </w:r>
      <w:r>
        <w:rPr>
          <w:rFonts w:hAnsi="宋体" w:hint="eastAsia"/>
          <w:szCs w:val="24"/>
        </w:rPr>
        <w:t>基金托管人依照“授权通知”规定的方法确认指令有效后，方可执行指令。对于被授权人发出的指令，基金管理人不得否认其效力。</w:t>
      </w:r>
      <w:r w:rsidR="00DB3C21" w:rsidRPr="00DB3C21">
        <w:rPr>
          <w:rFonts w:hAnsi="宋体" w:hint="eastAsia"/>
          <w:szCs w:val="24"/>
        </w:rPr>
        <w:t>基金托管人正确执行基金管理人发送的有效指令，基金份额持有人或基金财产发生损失的，基金托管人不承担任何形式的责任。</w:t>
      </w:r>
      <w:r>
        <w:rPr>
          <w:rFonts w:hAnsi="宋体" w:hint="eastAsia"/>
          <w:szCs w:val="24"/>
        </w:rPr>
        <w:t>基金管理人应按照《基金法》、有关法律法规和基金合同的规定，在其合法的经营权限和交易权限内发送划款指令，被授权人应按照其授权权限发送划款指令。基金管理人在发送指令时，应为基金托管人留出</w:t>
      </w:r>
      <w:r w:rsidR="00777C8C">
        <w:rPr>
          <w:rFonts w:hAnsi="宋体" w:hint="eastAsia"/>
          <w:szCs w:val="24"/>
        </w:rPr>
        <w:t>2小时</w:t>
      </w:r>
      <w:r w:rsidR="00777C8C">
        <w:rPr>
          <w:rFonts w:hAnsi="宋体"/>
          <w:szCs w:val="24"/>
        </w:rPr>
        <w:t>，作为</w:t>
      </w:r>
      <w:r>
        <w:rPr>
          <w:rFonts w:hAnsi="宋体" w:hint="eastAsia"/>
          <w:szCs w:val="24"/>
        </w:rPr>
        <w:t>执行指令所必需的时间。由基金管理人原因造成的指令传输不及时、未能留出足够划款所需</w:t>
      </w:r>
      <w:r>
        <w:rPr>
          <w:rFonts w:hAnsi="宋体" w:hint="eastAsia"/>
          <w:szCs w:val="24"/>
        </w:rPr>
        <w:lastRenderedPageBreak/>
        <w:t>时间，基金托管人不承担资金未能及时到账所造成的损失。</w:t>
      </w:r>
    </w:p>
    <w:p w14:paraId="78CFF98E" w14:textId="2B333F5C" w:rsidR="00A33B45" w:rsidRDefault="00A33B45" w:rsidP="006643B1">
      <w:pPr>
        <w:pStyle w:val="20"/>
        <w:spacing w:before="0" w:after="0" w:line="520" w:lineRule="atLeast"/>
        <w:ind w:left="0" w:firstLineChars="200" w:firstLine="480"/>
        <w:rPr>
          <w:rFonts w:hAnsi="宋体"/>
          <w:szCs w:val="24"/>
        </w:rPr>
      </w:pPr>
      <w:r w:rsidRPr="00A33B45">
        <w:rPr>
          <w:rFonts w:hAnsi="宋体" w:hint="eastAsia"/>
          <w:szCs w:val="24"/>
        </w:rPr>
        <w:t>6.3.2</w:t>
      </w:r>
      <w:r w:rsidR="00E62C33">
        <w:rPr>
          <w:rFonts w:hAnsi="宋体" w:hint="eastAsia"/>
          <w:szCs w:val="24"/>
        </w:rPr>
        <w:t>基金</w:t>
      </w:r>
      <w:r w:rsidR="00E62C33" w:rsidRPr="00E62C33">
        <w:rPr>
          <w:rFonts w:hAnsi="宋体" w:hint="eastAsia"/>
          <w:szCs w:val="24"/>
        </w:rPr>
        <w:t>托管人对</w:t>
      </w:r>
      <w:r w:rsidR="00E62C33">
        <w:rPr>
          <w:rFonts w:hAnsi="宋体" w:hint="eastAsia"/>
          <w:szCs w:val="24"/>
        </w:rPr>
        <w:t>基金</w:t>
      </w:r>
      <w:r w:rsidR="00E62C33" w:rsidRPr="00E62C33">
        <w:rPr>
          <w:rFonts w:hAnsi="宋体" w:hint="eastAsia"/>
          <w:szCs w:val="24"/>
        </w:rPr>
        <w:t>管理人发出的划款指令进行形式审核，</w:t>
      </w:r>
      <w:r w:rsidR="00E62C33">
        <w:rPr>
          <w:rFonts w:hAnsi="宋体" w:hint="eastAsia"/>
          <w:szCs w:val="24"/>
        </w:rPr>
        <w:t>基金</w:t>
      </w:r>
      <w:r w:rsidR="00E62C33" w:rsidRPr="00E62C33">
        <w:rPr>
          <w:rFonts w:hAnsi="宋体" w:hint="eastAsia"/>
          <w:szCs w:val="24"/>
        </w:rPr>
        <w:t>托管人不对任何文件承担实质性审查义务，不负责审查划款指令的真实性，不负责审查相关交易依据的真实性、合法性和合理性，即审核以下内容：仅对划款指令书的印鉴及被授权人签字等通过肉眼辨识的方式与预留印鉴及签字样本进行比对，包括是否相符、资金用途说明是否与所提供的交易依据一致、是否符合国家法律法规的规定及信托文件的约定、划款指令书面内容是否完整等，形式上不存在重大差异的，即视为通过表面审查。</w:t>
      </w:r>
      <w:r w:rsidR="00A43138">
        <w:rPr>
          <w:rFonts w:hAnsi="宋体" w:hint="eastAsia"/>
          <w:szCs w:val="24"/>
        </w:rPr>
        <w:t>基金</w:t>
      </w:r>
      <w:r w:rsidR="00E62C33" w:rsidRPr="00E62C33">
        <w:rPr>
          <w:rFonts w:hAnsi="宋体" w:hint="eastAsia"/>
          <w:szCs w:val="24"/>
        </w:rPr>
        <w:t>管理人出具的划款指令中的编号不属于指令要素，属于</w:t>
      </w:r>
      <w:r w:rsidR="00A43138">
        <w:rPr>
          <w:rFonts w:hAnsi="宋体" w:hint="eastAsia"/>
          <w:szCs w:val="24"/>
        </w:rPr>
        <w:t>基金</w:t>
      </w:r>
      <w:r w:rsidR="00E62C33" w:rsidRPr="00E62C33">
        <w:rPr>
          <w:rFonts w:hAnsi="宋体" w:hint="eastAsia"/>
          <w:szCs w:val="24"/>
        </w:rPr>
        <w:t>管理人内部业务信息，</w:t>
      </w:r>
      <w:r w:rsidR="00A43138">
        <w:rPr>
          <w:rFonts w:hAnsi="宋体" w:hint="eastAsia"/>
          <w:szCs w:val="24"/>
        </w:rPr>
        <w:t>基金</w:t>
      </w:r>
      <w:r w:rsidR="00E62C33" w:rsidRPr="00E62C33">
        <w:rPr>
          <w:rFonts w:hAnsi="宋体" w:hint="eastAsia"/>
          <w:szCs w:val="24"/>
        </w:rPr>
        <w:t>托管人不对指令编号承担任何审核职责；</w:t>
      </w:r>
      <w:r w:rsidR="00A43138">
        <w:rPr>
          <w:rFonts w:hAnsi="宋体" w:hint="eastAsia"/>
          <w:szCs w:val="24"/>
        </w:rPr>
        <w:t>基金</w:t>
      </w:r>
      <w:r w:rsidR="00E62C33" w:rsidRPr="00E62C33">
        <w:rPr>
          <w:rFonts w:hAnsi="宋体" w:hint="eastAsia"/>
          <w:szCs w:val="24"/>
        </w:rPr>
        <w:t>管理人应确保其在划款指令通知书中填写的内容真实、准确、完整，划款指令编号不存在重复、遗漏、错误、不连续。因划款指令通知书编号重复、编号不连续、空缺导致的重复性扣款，所产生的责任由</w:t>
      </w:r>
      <w:r w:rsidR="00A43138">
        <w:rPr>
          <w:rFonts w:hAnsi="宋体" w:hint="eastAsia"/>
          <w:szCs w:val="24"/>
        </w:rPr>
        <w:t>基金</w:t>
      </w:r>
      <w:r w:rsidR="00E62C33" w:rsidRPr="00E62C33">
        <w:rPr>
          <w:rFonts w:hAnsi="宋体" w:hint="eastAsia"/>
          <w:szCs w:val="24"/>
        </w:rPr>
        <w:t>管理人承担。</w:t>
      </w:r>
      <w:r w:rsidR="00A43138">
        <w:rPr>
          <w:rFonts w:hAnsi="宋体" w:hint="eastAsia"/>
          <w:szCs w:val="24"/>
        </w:rPr>
        <w:t>基金</w:t>
      </w:r>
      <w:r w:rsidR="00E62C33" w:rsidRPr="00E62C33">
        <w:rPr>
          <w:rFonts w:hAnsi="宋体" w:hint="eastAsia"/>
          <w:szCs w:val="24"/>
        </w:rPr>
        <w:t>托管人不负责审查划款指令书的真实性，不负责审查相关交易依据的真实性、合法性和合理性，相关责任由</w:t>
      </w:r>
      <w:r w:rsidR="00A43138">
        <w:rPr>
          <w:rFonts w:hAnsi="宋体" w:hint="eastAsia"/>
          <w:szCs w:val="24"/>
        </w:rPr>
        <w:t>基金</w:t>
      </w:r>
      <w:r w:rsidR="00E62C33" w:rsidRPr="00E62C33">
        <w:rPr>
          <w:rFonts w:hAnsi="宋体" w:hint="eastAsia"/>
          <w:szCs w:val="24"/>
        </w:rPr>
        <w:t>管理人全部承担。如因基金管理人提供的上述文件不合法、不真实、不完整或失去效力而影响基金托管人的审核或给任何第三人带来损失，基金托管人不承担任何形式的责任。</w:t>
      </w:r>
      <w:r w:rsidR="00A420FD" w:rsidRPr="00A420FD">
        <w:rPr>
          <w:rFonts w:hAnsi="宋体" w:hint="eastAsia"/>
          <w:szCs w:val="24"/>
        </w:rPr>
        <w:t>基金托管人由此遭受的损失，由基金管理人负责赔偿</w:t>
      </w:r>
      <w:r w:rsidR="00A420FD">
        <w:rPr>
          <w:rFonts w:hAnsi="宋体" w:hint="eastAsia"/>
          <w:szCs w:val="24"/>
        </w:rPr>
        <w:t>。</w:t>
      </w:r>
    </w:p>
    <w:p w14:paraId="2D826E1C" w14:textId="24905B1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3</w:t>
      </w:r>
      <w:r>
        <w:rPr>
          <w:rFonts w:hAnsi="宋体" w:hint="eastAsia"/>
          <w:szCs w:val="24"/>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r w:rsidR="00777C8C">
        <w:rPr>
          <w:rFonts w:hAnsi="宋体" w:hint="eastAsia"/>
          <w:szCs w:val="24"/>
        </w:rPr>
        <w:t>基金托管人</w:t>
      </w:r>
      <w:r w:rsidR="00777C8C">
        <w:rPr>
          <w:rFonts w:hAnsi="宋体"/>
          <w:szCs w:val="24"/>
        </w:rPr>
        <w:t>由此</w:t>
      </w:r>
      <w:r w:rsidR="00DF5FB3">
        <w:rPr>
          <w:rFonts w:hAnsi="宋体" w:hint="eastAsia"/>
          <w:szCs w:val="24"/>
        </w:rPr>
        <w:t>遭受</w:t>
      </w:r>
      <w:r w:rsidR="00777C8C">
        <w:rPr>
          <w:rFonts w:hAnsi="宋体"/>
          <w:szCs w:val="24"/>
        </w:rPr>
        <w:t>的损失，由基金管理人负责赔偿。</w:t>
      </w:r>
    </w:p>
    <w:p w14:paraId="7FC700CF" w14:textId="6390AE4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4</w:t>
      </w:r>
      <w:r>
        <w:rPr>
          <w:rFonts w:hAnsi="宋体" w:hint="eastAsia"/>
          <w:szCs w:val="24"/>
        </w:rPr>
        <w:t>基金托管人应指定专人接收基金管理人的指令，预先通知基金管理人其名单，并与基金管理人商定指令发送和接收方式。基金托管人收到基金管理人发送的指令后，</w:t>
      </w:r>
      <w:r w:rsidR="00757ED4" w:rsidRPr="00757ED4">
        <w:rPr>
          <w:rFonts w:hAnsi="宋体" w:hint="eastAsia"/>
          <w:szCs w:val="24"/>
        </w:rPr>
        <w:t>应对指令进行表面形式审查，验证指令的要素是否齐全，</w:t>
      </w:r>
      <w:r w:rsidR="00961105" w:rsidRPr="00961105">
        <w:rPr>
          <w:rFonts w:hAnsi="宋体" w:hint="eastAsia"/>
          <w:szCs w:val="24"/>
        </w:rPr>
        <w:t>传真指令仅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w:t>
      </w:r>
      <w:r w:rsidR="00961105" w:rsidRPr="00961105">
        <w:rPr>
          <w:rFonts w:hAnsi="宋体" w:hint="eastAsia"/>
          <w:szCs w:val="24"/>
        </w:rPr>
        <w:lastRenderedPageBreak/>
        <w:t>确、完整，划款指令编号不存在重复。因划款指令编号重复、编号不连续、空缺导致的重复性扣款，所产生的责任由基金管理人承担，与基金托管人无关。</w:t>
      </w:r>
      <w:r w:rsidR="00757ED4" w:rsidRPr="00757ED4">
        <w:rPr>
          <w:rFonts w:hAnsi="宋体" w:hint="eastAsia"/>
          <w:szCs w:val="24"/>
        </w:rPr>
        <w:t>指令复核无误后应在规定期限内及时执行。</w:t>
      </w:r>
      <w:r w:rsidR="003B7C32" w:rsidRPr="003B7C32">
        <w:rPr>
          <w:rFonts w:hAnsi="宋体" w:hint="eastAsia"/>
          <w:szCs w:val="24"/>
        </w:rPr>
        <w:t>指令若以传真方式发出，则正本由基金管理人保管，基金托管人保管指令传真件。当两者不一致时，以基金托管人收到的指令传真件为准。</w:t>
      </w:r>
    </w:p>
    <w:p w14:paraId="107700D6" w14:textId="6F16E67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5</w:t>
      </w:r>
      <w:r>
        <w:rPr>
          <w:rFonts w:hAnsi="宋体" w:hint="eastAsia"/>
          <w:szCs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4067BA21" w14:textId="13E541D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6.3.</w:t>
      </w:r>
      <w:r w:rsidR="00A33B45">
        <w:rPr>
          <w:rFonts w:hAnsi="宋体"/>
          <w:szCs w:val="24"/>
        </w:rPr>
        <w:t>6</w:t>
      </w:r>
      <w:r>
        <w:rPr>
          <w:rFonts w:hAnsi="宋体" w:hint="eastAsia"/>
          <w:szCs w:val="24"/>
        </w:rPr>
        <w:t>基金管理人应将</w:t>
      </w:r>
      <w:r w:rsidR="00FE4FAD">
        <w:rPr>
          <w:rFonts w:hAnsi="宋体" w:hint="eastAsia"/>
          <w:szCs w:val="24"/>
        </w:rPr>
        <w:t>同业存单国债</w:t>
      </w:r>
      <w:r>
        <w:rPr>
          <w:rFonts w:hAnsi="宋体" w:hint="eastAsia"/>
          <w:szCs w:val="24"/>
        </w:rPr>
        <w:t>交易通知单加盖预留印鉴后传真给基金托管人。</w:t>
      </w:r>
    </w:p>
    <w:p w14:paraId="665C5A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6.4基金管理人发送错误指令的情形和处理程序</w:t>
      </w:r>
    </w:p>
    <w:p w14:paraId="7FFB860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14:paraId="6F5177AF" w14:textId="11D0F3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6.4.2基金托管人在履行监督职能时，发现基金管理人的指令错误时，有权拒绝执行，并及时通知基金管理人改正。</w:t>
      </w:r>
    </w:p>
    <w:p w14:paraId="236956C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6.5基金托管人依照法律法规暂缓、拒绝执行指令的情形和处理程序</w:t>
      </w:r>
    </w:p>
    <w:p w14:paraId="1B33FBC6" w14:textId="34FD97B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基金托管人发现基金管理人发送的指令违反《基金法》、基金合同、本协议或有关基金法规的有关规定，有权</w:t>
      </w:r>
      <w:r w:rsidRPr="006B0F66">
        <w:rPr>
          <w:rFonts w:hAnsi="宋体" w:hint="eastAsia"/>
          <w:szCs w:val="24"/>
        </w:rPr>
        <w:t>视情况暂缓</w:t>
      </w:r>
      <w:r w:rsidR="00D53004" w:rsidRPr="006B0F66">
        <w:rPr>
          <w:rFonts w:hAnsi="宋体" w:hint="eastAsia"/>
          <w:szCs w:val="24"/>
        </w:rPr>
        <w:t>执行</w:t>
      </w:r>
      <w:r>
        <w:rPr>
          <w:rFonts w:hAnsi="宋体" w:hint="eastAsia"/>
          <w:szCs w:val="24"/>
        </w:rPr>
        <w:t>或不予执行，并应及时以书面形式通知基金管理人纠正，基金托管人不承担任何损失和责任。对基金管理人更正并重新发送后的指令经基金托管人核对确认后方能执行。</w:t>
      </w:r>
    </w:p>
    <w:p w14:paraId="344E93B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6.6基金托管人未按照基金管理人指令执行的处理方法</w:t>
      </w:r>
    </w:p>
    <w:p w14:paraId="45861445" w14:textId="2C5C219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基金托管人由于自身</w:t>
      </w:r>
      <w:r w:rsidR="00AD13BC">
        <w:rPr>
          <w:rFonts w:hAnsi="宋体" w:hint="eastAsia"/>
          <w:szCs w:val="24"/>
        </w:rPr>
        <w:t>过错</w:t>
      </w:r>
      <w:r>
        <w:rPr>
          <w:rFonts w:hAnsi="宋体" w:hint="eastAsia"/>
          <w:szCs w:val="24"/>
        </w:rPr>
        <w:t>原因造成未按照或者未及时按照基金管理人发送的符合法律法规规定以及基金合同</w:t>
      </w:r>
      <w:r w:rsidR="00631068" w:rsidRPr="00631068">
        <w:rPr>
          <w:rFonts w:hAnsi="宋体" w:hint="eastAsia"/>
          <w:szCs w:val="24"/>
        </w:rPr>
        <w:t>、本协议</w:t>
      </w:r>
      <w:r>
        <w:rPr>
          <w:rFonts w:hAnsi="宋体" w:hint="eastAsia"/>
          <w:szCs w:val="24"/>
        </w:rPr>
        <w:t>约定的指令执行，给基金份额持有人</w:t>
      </w:r>
      <w:r w:rsidR="005A0509">
        <w:rPr>
          <w:rFonts w:hAnsi="宋体" w:hint="eastAsia"/>
          <w:szCs w:val="24"/>
        </w:rPr>
        <w:t>、基金管理人</w:t>
      </w:r>
      <w:r>
        <w:rPr>
          <w:rFonts w:hAnsi="宋体" w:hint="eastAsia"/>
          <w:szCs w:val="24"/>
        </w:rPr>
        <w:t>或</w:t>
      </w:r>
      <w:r>
        <w:rPr>
          <w:rFonts w:hAnsi="宋体"/>
          <w:szCs w:val="24"/>
        </w:rPr>
        <w:t>基金财产</w:t>
      </w:r>
      <w:r>
        <w:rPr>
          <w:rFonts w:hAnsi="宋体" w:hint="eastAsia"/>
          <w:szCs w:val="24"/>
        </w:rPr>
        <w:t>造成损失的，应</w:t>
      </w:r>
      <w:r w:rsidR="007865D8" w:rsidRPr="007865D8">
        <w:rPr>
          <w:rFonts w:hAnsi="宋体" w:hint="eastAsia"/>
          <w:szCs w:val="24"/>
        </w:rPr>
        <w:t>承担相应的责任，但如遇到不可抗力的情况除外。</w:t>
      </w:r>
    </w:p>
    <w:p w14:paraId="43C482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6.7更换被授权人的程序</w:t>
      </w:r>
    </w:p>
    <w:p w14:paraId="64D98207" w14:textId="41E2891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基金管理人撤换被授权人员或改变被授权人员的权限，必须提前至少1个交易日，使用传真</w:t>
      </w:r>
      <w:r w:rsidR="000603A2" w:rsidRPr="00B9229E">
        <w:rPr>
          <w:rFonts w:hAnsi="宋体" w:hint="eastAsia"/>
          <w:szCs w:val="24"/>
        </w:rPr>
        <w:t>方式或其他基金托管人和基金管理人书面确认过的方式</w:t>
      </w:r>
      <w:r>
        <w:rPr>
          <w:rFonts w:hAnsi="宋体" w:hint="eastAsia"/>
          <w:szCs w:val="24"/>
        </w:rPr>
        <w:t>向基金托管人发出由基金管理人签字和盖章的被授权人变更通知，同时电话通知基金托管人，基金托管人收到变更通知当日</w:t>
      </w:r>
      <w:r w:rsidR="00F711DA">
        <w:rPr>
          <w:rFonts w:hAnsi="宋体" w:hint="eastAsia"/>
          <w:szCs w:val="24"/>
        </w:rPr>
        <w:t>与</w:t>
      </w:r>
      <w:r>
        <w:rPr>
          <w:rFonts w:hAnsi="宋体" w:hint="eastAsia"/>
          <w:szCs w:val="24"/>
        </w:rPr>
        <w:t>基金管理人确认。</w:t>
      </w:r>
      <w:r w:rsidR="00FA36A3">
        <w:rPr>
          <w:rFonts w:hAnsi="宋体" w:hint="eastAsia"/>
          <w:szCs w:val="24"/>
        </w:rPr>
        <w:t>基</w:t>
      </w:r>
      <w:r w:rsidR="00FA36A3" w:rsidRPr="00FA36A3">
        <w:rPr>
          <w:rFonts w:hAnsi="宋体" w:hint="eastAsia"/>
          <w:szCs w:val="24"/>
        </w:rPr>
        <w:t>金托管人与基金管理人确认之后，</w:t>
      </w:r>
      <w:r w:rsidR="00FA36A3">
        <w:rPr>
          <w:rFonts w:hAnsi="宋体" w:hint="eastAsia"/>
          <w:szCs w:val="24"/>
        </w:rPr>
        <w:t>变更</w:t>
      </w:r>
      <w:r w:rsidR="00FA36A3" w:rsidRPr="00FA36A3">
        <w:rPr>
          <w:rFonts w:hAnsi="宋体" w:hint="eastAsia"/>
          <w:szCs w:val="24"/>
        </w:rPr>
        <w:t>通知生效。如</w:t>
      </w:r>
      <w:r w:rsidR="00FA36A3">
        <w:rPr>
          <w:rFonts w:hAnsi="宋体" w:hint="eastAsia"/>
          <w:szCs w:val="24"/>
        </w:rPr>
        <w:t>变更</w:t>
      </w:r>
      <w:r w:rsidR="00FA36A3" w:rsidRPr="00FA36A3">
        <w:rPr>
          <w:rFonts w:hAnsi="宋体" w:hint="eastAsia"/>
          <w:szCs w:val="24"/>
        </w:rPr>
        <w:t>通知中载明的生效日期早于基金托管人与</w:t>
      </w:r>
      <w:r w:rsidR="00FA36A3">
        <w:rPr>
          <w:rFonts w:hAnsi="宋体" w:hint="eastAsia"/>
          <w:szCs w:val="24"/>
        </w:rPr>
        <w:t>基金管理人确认的时间，则以基金托管人与基金管理人确认的时间为变更</w:t>
      </w:r>
      <w:r w:rsidR="00FA36A3" w:rsidRPr="00FA36A3">
        <w:rPr>
          <w:rFonts w:hAnsi="宋体" w:hint="eastAsia"/>
          <w:szCs w:val="24"/>
        </w:rPr>
        <w:t>通知生效日期；如</w:t>
      </w:r>
      <w:r w:rsidR="00FA36A3">
        <w:rPr>
          <w:rFonts w:hAnsi="宋体" w:hint="eastAsia"/>
          <w:szCs w:val="24"/>
        </w:rPr>
        <w:t>变更</w:t>
      </w:r>
      <w:r w:rsidR="00FA36A3" w:rsidRPr="00FA36A3">
        <w:rPr>
          <w:rFonts w:hAnsi="宋体" w:hint="eastAsia"/>
          <w:szCs w:val="24"/>
        </w:rPr>
        <w:t>通知中载明的生效日期晚于基金托管人与基金管理人确认的时间，则以</w:t>
      </w:r>
      <w:r w:rsidR="00FA36A3">
        <w:rPr>
          <w:rFonts w:hAnsi="宋体" w:hint="eastAsia"/>
          <w:szCs w:val="24"/>
        </w:rPr>
        <w:t>变更</w:t>
      </w:r>
      <w:r w:rsidR="00FA36A3" w:rsidRPr="00FA36A3">
        <w:rPr>
          <w:rFonts w:hAnsi="宋体" w:hint="eastAsia"/>
          <w:szCs w:val="24"/>
        </w:rPr>
        <w:t>通知中载明的日期为</w:t>
      </w:r>
      <w:r w:rsidR="00FA36A3">
        <w:rPr>
          <w:rFonts w:hAnsi="宋体" w:hint="eastAsia"/>
          <w:szCs w:val="24"/>
        </w:rPr>
        <w:t>变更</w:t>
      </w:r>
      <w:r w:rsidR="00FA36A3" w:rsidRPr="00FA36A3">
        <w:rPr>
          <w:rFonts w:hAnsi="宋体" w:hint="eastAsia"/>
          <w:szCs w:val="24"/>
        </w:rPr>
        <w:t>通知生效日期。</w:t>
      </w:r>
      <w:r>
        <w:rPr>
          <w:rFonts w:hAnsi="宋体" w:hint="eastAsia"/>
          <w:szCs w:val="24"/>
        </w:rPr>
        <w:t>基金管理人在此后</w:t>
      </w:r>
      <w:r w:rsidR="00DA1D58" w:rsidRPr="00DA1D58">
        <w:rPr>
          <w:rFonts w:hAnsi="宋体" w:hint="eastAsia"/>
          <w:szCs w:val="24"/>
        </w:rPr>
        <w:t>3个工作日</w:t>
      </w:r>
      <w:r>
        <w:rPr>
          <w:rFonts w:hAnsi="宋体" w:hint="eastAsia"/>
          <w:szCs w:val="24"/>
        </w:rPr>
        <w:t>内将被授权人变更通知的正本送交基金托管人。被授权人变更通知的正本应与传真内容一致，若有不一致的，以基金托管人收到的传真件为准。</w:t>
      </w:r>
      <w:r w:rsidR="00E97CC8" w:rsidRPr="00B9229E">
        <w:rPr>
          <w:rFonts w:hAnsi="宋体" w:hint="eastAsia"/>
          <w:szCs w:val="24"/>
        </w:rPr>
        <w:t>在被授权人变更通知生效之前，基金托管人所接收的原被授权人所签发的划款指令及其它文件仍然完全有效。</w:t>
      </w:r>
      <w:r>
        <w:rPr>
          <w:rFonts w:hAnsi="宋体" w:hint="eastAsia"/>
          <w:szCs w:val="24"/>
        </w:rPr>
        <w:t>基金管理人更换被授权人通知生效后，对于已被撤换的人员无权发送的指令，或被改变授权人员超权限发送的指令，基金管理人不承担责任。</w:t>
      </w:r>
    </w:p>
    <w:p w14:paraId="075E24CE" w14:textId="0AAC0ABF" w:rsidR="00B61FF9" w:rsidRPr="003E619A" w:rsidRDefault="003E619A" w:rsidP="006643B1">
      <w:pPr>
        <w:pStyle w:val="1"/>
        <w:spacing w:line="520" w:lineRule="atLeast"/>
        <w:ind w:firstLineChars="200" w:firstLine="482"/>
        <w:rPr>
          <w:bCs/>
          <w:color w:val="auto"/>
          <w:szCs w:val="24"/>
        </w:rPr>
      </w:pPr>
      <w:bookmarkStart w:id="28" w:name="_Toc44321730"/>
      <w:r>
        <w:rPr>
          <w:rFonts w:hint="eastAsia"/>
          <w:bCs/>
          <w:color w:val="auto"/>
          <w:szCs w:val="24"/>
        </w:rPr>
        <w:t>第七条 交易及清算交收安排</w:t>
      </w:r>
      <w:bookmarkEnd w:id="28"/>
      <w:r>
        <w:rPr>
          <w:rFonts w:hint="eastAsia"/>
          <w:bCs/>
          <w:color w:val="auto"/>
          <w:szCs w:val="24"/>
        </w:rPr>
        <w:t xml:space="preserve"> </w:t>
      </w:r>
    </w:p>
    <w:p w14:paraId="27A4DDBC" w14:textId="6D26F6DC" w:rsidR="00342101" w:rsidRPr="00342101" w:rsidRDefault="00342101" w:rsidP="006643B1">
      <w:pPr>
        <w:pStyle w:val="20"/>
        <w:spacing w:before="0" w:after="0" w:line="520" w:lineRule="atLeast"/>
        <w:rPr>
          <w:rFonts w:hAnsi="宋体"/>
          <w:szCs w:val="24"/>
        </w:rPr>
      </w:pPr>
      <w:r w:rsidRPr="00342101">
        <w:rPr>
          <w:rFonts w:hAnsi="宋体" w:hint="eastAsia"/>
          <w:szCs w:val="24"/>
        </w:rPr>
        <w:t>7.1选择代理证券</w:t>
      </w:r>
      <w:r w:rsidR="007D47B0" w:rsidRPr="00237B25">
        <w:rPr>
          <w:rFonts w:hAnsi="宋体" w:hint="eastAsia"/>
          <w:szCs w:val="24"/>
        </w:rPr>
        <w:t>/期货</w:t>
      </w:r>
      <w:r w:rsidRPr="00342101">
        <w:rPr>
          <w:rFonts w:hAnsi="宋体" w:hint="eastAsia"/>
          <w:szCs w:val="24"/>
        </w:rPr>
        <w:t>买卖的证券</w:t>
      </w:r>
      <w:r w:rsidR="007D47B0" w:rsidRPr="00237B25">
        <w:rPr>
          <w:rFonts w:hAnsi="宋体" w:hint="eastAsia"/>
          <w:szCs w:val="24"/>
        </w:rPr>
        <w:t>/期货</w:t>
      </w:r>
      <w:r w:rsidRPr="00342101">
        <w:rPr>
          <w:rFonts w:hAnsi="宋体" w:hint="eastAsia"/>
          <w:szCs w:val="24"/>
        </w:rPr>
        <w:t>经营机构</w:t>
      </w:r>
    </w:p>
    <w:p w14:paraId="7ADB3462" w14:textId="11AC9C33"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交易单元保证金由被选中的证券经营机构支付。</w:t>
      </w:r>
    </w:p>
    <w:p w14:paraId="4675918E" w14:textId="7F50EFE2" w:rsidR="00342101" w:rsidRDefault="00342101" w:rsidP="00341E23">
      <w:pPr>
        <w:pStyle w:val="20"/>
        <w:spacing w:before="0" w:after="0" w:line="520" w:lineRule="atLeast"/>
        <w:ind w:left="0" w:firstLine="480"/>
        <w:rPr>
          <w:rFonts w:hAnsi="宋体"/>
          <w:szCs w:val="24"/>
        </w:rPr>
      </w:pPr>
      <w:r w:rsidRPr="00342101">
        <w:rPr>
          <w:rFonts w:hAnsi="宋体" w:hint="eastAsia"/>
          <w:szCs w:val="24"/>
        </w:rPr>
        <w:t>7.1.2基金管理人应及时将基金专用交易单元号、佣金费率等基本信息以及变更情况以书面形式通知基金托管人。</w:t>
      </w:r>
    </w:p>
    <w:p w14:paraId="5F0FACE2" w14:textId="02384C5E" w:rsidR="00B321B6" w:rsidRPr="00B321B6" w:rsidRDefault="00B321B6" w:rsidP="00341E23">
      <w:pPr>
        <w:pStyle w:val="20"/>
        <w:spacing w:before="0" w:after="0" w:line="520" w:lineRule="atLeast"/>
        <w:ind w:left="0" w:firstLine="480"/>
        <w:rPr>
          <w:rFonts w:hAnsi="宋体"/>
          <w:szCs w:val="24"/>
        </w:rPr>
      </w:pPr>
      <w:r w:rsidRPr="00B321B6">
        <w:rPr>
          <w:rFonts w:hAnsi="宋体" w:hint="eastAsia"/>
          <w:szCs w:val="24"/>
        </w:rPr>
        <w:t>7.1.3基金管理人负责选择本基金期货交易的期货经纪机构，并与其签订期货经纪合同，其他事宜根据法律法规、基金合同的相关规定执行，若无明确规定的，可参照有关证券买卖、证券经纪机构选择的规则执行。</w:t>
      </w:r>
    </w:p>
    <w:p w14:paraId="44E392DB" w14:textId="514214E2" w:rsidR="007041FF" w:rsidRDefault="00342101" w:rsidP="006643B1">
      <w:pPr>
        <w:pStyle w:val="20"/>
        <w:spacing w:before="0" w:after="0" w:line="520" w:lineRule="atLeast"/>
        <w:rPr>
          <w:rFonts w:hAnsi="宋体"/>
          <w:szCs w:val="24"/>
        </w:rPr>
      </w:pPr>
      <w:r w:rsidRPr="00342101">
        <w:rPr>
          <w:rFonts w:hAnsi="宋体" w:hint="eastAsia"/>
          <w:szCs w:val="24"/>
        </w:rPr>
        <w:t>7.2</w:t>
      </w:r>
      <w:r w:rsidR="007041FF" w:rsidRPr="007041FF">
        <w:rPr>
          <w:rFonts w:hAnsi="宋体" w:hint="eastAsia"/>
          <w:szCs w:val="24"/>
        </w:rPr>
        <w:t>清算与交割</w:t>
      </w:r>
    </w:p>
    <w:p w14:paraId="275DDB77" w14:textId="6F2814BD" w:rsidR="00342101" w:rsidRPr="00342101" w:rsidRDefault="007041FF" w:rsidP="006643B1">
      <w:pPr>
        <w:pStyle w:val="20"/>
        <w:spacing w:before="0" w:after="0" w:line="520" w:lineRule="atLeast"/>
        <w:rPr>
          <w:rFonts w:hAnsi="宋体"/>
          <w:szCs w:val="24"/>
        </w:rPr>
      </w:pPr>
      <w:r>
        <w:rPr>
          <w:rFonts w:hAnsi="宋体" w:hint="eastAsia"/>
          <w:szCs w:val="24"/>
        </w:rPr>
        <w:t>7.2.1</w:t>
      </w:r>
      <w:r w:rsidR="00342101" w:rsidRPr="00342101">
        <w:rPr>
          <w:rFonts w:hAnsi="宋体" w:hint="eastAsia"/>
          <w:szCs w:val="24"/>
        </w:rPr>
        <w:t>基金投资证券后的清算交收安排</w:t>
      </w:r>
    </w:p>
    <w:p w14:paraId="1811126F" w14:textId="2A482D6A"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基金管理人与基金托管人应根据有关法律法规及相关业务规则，签订《证券交</w:t>
      </w:r>
      <w:r w:rsidRPr="00342101">
        <w:rPr>
          <w:rFonts w:hAnsi="宋体" w:hint="eastAsia"/>
          <w:szCs w:val="24"/>
        </w:rPr>
        <w:lastRenderedPageBreak/>
        <w:t>易资金结算协议》，用以具体明确基金管理人与基金托管人在证券交易资金结算业务中的责任。</w:t>
      </w:r>
    </w:p>
    <w:p w14:paraId="61FCEF02" w14:textId="256E429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对基金管理人的资金划拨指令，基金托管人在复核无误后应在规定期限内执行并在执行完毕后回函确认，不得无故延误。</w:t>
      </w:r>
    </w:p>
    <w:p w14:paraId="083F2C01" w14:textId="7639A23C" w:rsid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本基金投资于证券发生的所有场内、场外交易的资金清算交割，全部由基金托管人负责办理。</w:t>
      </w:r>
    </w:p>
    <w:p w14:paraId="636395A2" w14:textId="6DB4B256" w:rsidR="00342101" w:rsidRPr="00342101" w:rsidRDefault="00342101" w:rsidP="006643B1">
      <w:pPr>
        <w:pStyle w:val="20"/>
        <w:spacing w:before="0" w:after="0" w:line="520" w:lineRule="atLeast"/>
        <w:ind w:left="0" w:firstLine="480"/>
        <w:rPr>
          <w:rFonts w:hAnsi="宋体"/>
          <w:szCs w:val="24"/>
        </w:rPr>
      </w:pPr>
      <w:r w:rsidRPr="00342101">
        <w:rPr>
          <w:rFonts w:hAnsi="宋体" w:hint="eastAsia"/>
          <w:szCs w:val="24"/>
        </w:rPr>
        <w:t>本基金证券投资的清算交割，由基金托管人通过</w:t>
      </w:r>
      <w:r w:rsidR="00E2562C" w:rsidRPr="00E2562C">
        <w:rPr>
          <w:rFonts w:hAnsi="宋体" w:hint="eastAsia"/>
          <w:szCs w:val="24"/>
        </w:rPr>
        <w:t>中登公司</w:t>
      </w:r>
      <w:r w:rsidRPr="00342101">
        <w:rPr>
          <w:rFonts w:hAnsi="宋体" w:hint="eastAsia"/>
          <w:szCs w:val="24"/>
        </w:rPr>
        <w:t>上海分公司/深圳分公司及清算代理银行办理。</w:t>
      </w:r>
    </w:p>
    <w:p w14:paraId="0F48D44E" w14:textId="2C54389F" w:rsidR="00FA4707" w:rsidRPr="00342101" w:rsidRDefault="00FA4707" w:rsidP="006643B1">
      <w:pPr>
        <w:pStyle w:val="20"/>
        <w:spacing w:before="0" w:after="0" w:line="520" w:lineRule="atLeast"/>
        <w:ind w:left="0" w:firstLine="480"/>
        <w:rPr>
          <w:rFonts w:hAnsi="宋体"/>
          <w:szCs w:val="24"/>
        </w:rPr>
      </w:pPr>
      <w:r w:rsidRPr="00FA4707">
        <w:rPr>
          <w:rFonts w:hAnsi="宋体" w:hint="eastAsia"/>
          <w:szCs w:val="24"/>
        </w:rPr>
        <w:t>交易及清算交收安排中管理人应为托管人预留2个小时的指令处理时间，</w:t>
      </w:r>
      <w:r w:rsidR="008A7F32" w:rsidRPr="00B9229E">
        <w:rPr>
          <w:rFonts w:hAnsi="宋体" w:hint="eastAsia"/>
          <w:szCs w:val="24"/>
        </w:rPr>
        <w:t>当日</w:t>
      </w:r>
      <w:r w:rsidRPr="00FA4707">
        <w:rPr>
          <w:rFonts w:hAnsi="宋体" w:hint="eastAsia"/>
          <w:szCs w:val="24"/>
        </w:rPr>
        <w:t>15:00之后收到的指令，托管人尽力负责但不承诺指令支付成功。如果因基金托管人</w:t>
      </w:r>
      <w:r w:rsidR="00CB1963">
        <w:rPr>
          <w:rFonts w:hAnsi="宋体" w:hint="eastAsia"/>
          <w:szCs w:val="24"/>
        </w:rPr>
        <w:t>过错</w:t>
      </w:r>
      <w:r w:rsidRPr="00FA4707">
        <w:rPr>
          <w:rFonts w:hAnsi="宋体" w:hint="eastAsia"/>
          <w:szCs w:val="24"/>
        </w:rPr>
        <w:t>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377D47F8"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7.2.2基金出现超买或超卖的责任认定及处理程序</w:t>
      </w:r>
    </w:p>
    <w:p w14:paraId="5C3EBFF2" w14:textId="06458110"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14:paraId="6E56925C"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7.2.3基金无法按时支付证券清算款的责任认定及处理程序</w:t>
      </w:r>
    </w:p>
    <w:p w14:paraId="0A39BF66" w14:textId="6AD76445"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基金管理人应确保基金托管人在执行基金管理人发送的指令时，有足够的头寸进行交收。基金的资金头寸不足时，基金托管人有权拒绝基金管理人发送的划款指令</w:t>
      </w:r>
      <w:r w:rsidR="007D47B0" w:rsidRPr="00E022E3">
        <w:rPr>
          <w:rFonts w:hAnsi="宋体" w:hint="eastAsia"/>
          <w:szCs w:val="24"/>
        </w:rPr>
        <w:t>，并及时通知基金管理人</w:t>
      </w:r>
      <w:r w:rsidRPr="00342101">
        <w:rPr>
          <w:rFonts w:hAnsi="宋体" w:hint="eastAsia"/>
          <w:szCs w:val="24"/>
        </w:rPr>
        <w:t>。基金管理人在发送划款指令时应充分考虑基金托管人的划款处理所需的合理时间。如由于基金管理人的原因导致无法按时支付证券清算款，由此给基金造成的损失由基金管理人承担。</w:t>
      </w:r>
    </w:p>
    <w:p w14:paraId="647055CA" w14:textId="1C24B123" w:rsidR="00342101" w:rsidRDefault="00342101" w:rsidP="007041FF">
      <w:pPr>
        <w:pStyle w:val="20"/>
        <w:spacing w:before="0" w:after="0" w:line="520" w:lineRule="atLeast"/>
        <w:ind w:left="0" w:firstLine="480"/>
        <w:rPr>
          <w:rFonts w:hAnsi="宋体"/>
          <w:szCs w:val="24"/>
        </w:rPr>
      </w:pPr>
      <w:r w:rsidRPr="00342101">
        <w:rPr>
          <w:rFonts w:hAnsi="宋体" w:hint="eastAsia"/>
          <w:szCs w:val="24"/>
        </w:rPr>
        <w:t>在基金资金头寸充足的情况下，基金托管人对基金管理人符合法律法规、基金合同、本托管协议的指令不得拖延或拒绝执行。如由于基金托管人的</w:t>
      </w:r>
      <w:r w:rsidR="006631BB">
        <w:rPr>
          <w:rFonts w:hAnsi="宋体" w:hint="eastAsia"/>
          <w:szCs w:val="24"/>
        </w:rPr>
        <w:t>过错</w:t>
      </w:r>
      <w:r w:rsidRPr="00342101">
        <w:rPr>
          <w:rFonts w:hAnsi="宋体" w:hint="eastAsia"/>
          <w:szCs w:val="24"/>
        </w:rPr>
        <w:t>原因导致基金无法按时支付证券清算款，由此给基金造成的损失由基金托管人承担。</w:t>
      </w:r>
    </w:p>
    <w:p w14:paraId="61C3CA4F" w14:textId="5AF11730" w:rsidR="00234821" w:rsidRDefault="00234821" w:rsidP="007041FF">
      <w:pPr>
        <w:pStyle w:val="20"/>
        <w:spacing w:before="0" w:after="0" w:line="520" w:lineRule="atLeast"/>
        <w:ind w:left="0" w:firstLine="480"/>
        <w:rPr>
          <w:rFonts w:hAnsi="宋体"/>
          <w:szCs w:val="24"/>
        </w:rPr>
      </w:pPr>
      <w:r w:rsidRPr="00234821">
        <w:rPr>
          <w:rFonts w:hAnsi="宋体" w:hint="eastAsia"/>
          <w:szCs w:val="24"/>
        </w:rPr>
        <w:lastRenderedPageBreak/>
        <w:t>基金托管人与基金管理人应当签订结算协议或者在基金托管协议中约定结算条款，明确双方在基金清算交收及相关风险控制方面的职责。基金清算交收过程中，出现基金财产中资金或证券不足以交收的，基金托管人应当及时通知基金管理人，督促基金管理人积极采取措施、最大程度控制违约交收风险与相关损失，并报告中国证监会。</w:t>
      </w:r>
    </w:p>
    <w:p w14:paraId="0E56B5B4" w14:textId="77777777" w:rsidR="007041FF" w:rsidRPr="007041FF" w:rsidRDefault="007041FF" w:rsidP="007041FF">
      <w:pPr>
        <w:pStyle w:val="20"/>
        <w:spacing w:line="520" w:lineRule="atLeast"/>
        <w:ind w:left="0" w:firstLineChars="200" w:firstLine="480"/>
        <w:rPr>
          <w:rFonts w:hAnsi="宋体"/>
          <w:szCs w:val="24"/>
        </w:rPr>
      </w:pPr>
      <w:r w:rsidRPr="007041FF">
        <w:rPr>
          <w:rFonts w:hAnsi="宋体" w:hint="eastAsia"/>
          <w:szCs w:val="24"/>
        </w:rPr>
        <w:t>7.2.4场外交易资金结算</w:t>
      </w:r>
    </w:p>
    <w:p w14:paraId="3CC2E700" w14:textId="2F857FED" w:rsidR="007041FF" w:rsidRPr="00342101" w:rsidRDefault="007041FF" w:rsidP="007041FF">
      <w:pPr>
        <w:pStyle w:val="20"/>
        <w:spacing w:before="0" w:after="0" w:line="520" w:lineRule="atLeast"/>
        <w:ind w:left="0" w:firstLine="480"/>
        <w:rPr>
          <w:rFonts w:hAnsi="宋体"/>
          <w:szCs w:val="24"/>
        </w:rPr>
      </w:pPr>
      <w:r w:rsidRPr="007041FF">
        <w:rPr>
          <w:rFonts w:hAnsi="宋体" w:hint="eastAsia"/>
          <w:szCs w:val="24"/>
        </w:rPr>
        <w:t>场外资金对外投资划款由基金托管人凭基金管理人符合本托管协议约定的有效资金划拨指令和相关投资合同（如有）进行资金划拨；场外投资本金及收益的划回，由管理人负责协调相关资金划拨回产品托管户事宜。</w:t>
      </w:r>
    </w:p>
    <w:p w14:paraId="449806E4"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7.3资金、证券账目及交易记录的核对</w:t>
      </w:r>
    </w:p>
    <w:p w14:paraId="06DA1B14" w14:textId="1E496667" w:rsidR="00B74EE1" w:rsidRDefault="00342101" w:rsidP="00341E23">
      <w:pPr>
        <w:pStyle w:val="20"/>
        <w:spacing w:before="0" w:after="0" w:line="520" w:lineRule="atLeast"/>
        <w:ind w:left="0" w:firstLine="480"/>
        <w:rPr>
          <w:rFonts w:hAnsi="宋体"/>
          <w:szCs w:val="24"/>
        </w:rPr>
      </w:pPr>
      <w:r w:rsidRPr="00342101">
        <w:rPr>
          <w:rFonts w:hAnsi="宋体" w:hint="eastAsia"/>
          <w:szCs w:val="24"/>
        </w:rPr>
        <w:t>7.3.1</w:t>
      </w:r>
      <w:r w:rsidR="00B74EE1">
        <w:rPr>
          <w:rFonts w:hAnsi="宋体" w:hint="eastAsia"/>
          <w:szCs w:val="24"/>
        </w:rPr>
        <w:t>基金</w:t>
      </w:r>
      <w:r w:rsidR="00B74EE1" w:rsidRPr="00B74EE1">
        <w:rPr>
          <w:rFonts w:hAnsi="宋体" w:hint="eastAsia"/>
          <w:szCs w:val="24"/>
        </w:rPr>
        <w:t>托管人与基金管理人建立定期对账机制，定期核对资金头寸、证券账目、净值信息等数据，及时核查认购与申购资金的到账、赎回资金的支付以及投资资金的支付与到账情况</w:t>
      </w:r>
      <w:r w:rsidR="00B74EE1">
        <w:rPr>
          <w:rFonts w:hAnsi="宋体" w:hint="eastAsia"/>
          <w:szCs w:val="24"/>
        </w:rPr>
        <w:t>。</w:t>
      </w:r>
    </w:p>
    <w:p w14:paraId="174D30DF" w14:textId="2AB1E1D7" w:rsidR="00342101" w:rsidRPr="00342101" w:rsidRDefault="00342101" w:rsidP="00341E23">
      <w:pPr>
        <w:pStyle w:val="20"/>
        <w:spacing w:before="0" w:after="0" w:line="520" w:lineRule="atLeast"/>
        <w:ind w:left="0" w:firstLine="480"/>
        <w:rPr>
          <w:rFonts w:hAnsi="宋体"/>
          <w:szCs w:val="24"/>
        </w:rPr>
      </w:pPr>
      <w:r w:rsidRPr="00342101">
        <w:rPr>
          <w:rFonts w:hAnsi="宋体" w:hint="eastAsia"/>
          <w:szCs w:val="24"/>
        </w:rPr>
        <w:t>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07589EE7" w14:textId="6732FD74"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14:paraId="6DD4A6C2" w14:textId="482A71DF"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7.4申购、赎回、转换开放式基金的资金清算、数据传递及</w:t>
      </w:r>
      <w:r w:rsidR="00D91349" w:rsidRPr="00D91349">
        <w:rPr>
          <w:rFonts w:hAnsi="宋体" w:hint="eastAsia"/>
          <w:szCs w:val="24"/>
        </w:rPr>
        <w:t>基金管理人、基金托管人</w:t>
      </w:r>
      <w:r w:rsidRPr="00342101">
        <w:rPr>
          <w:rFonts w:hAnsi="宋体" w:hint="eastAsia"/>
          <w:szCs w:val="24"/>
        </w:rPr>
        <w:t>的责任</w:t>
      </w:r>
    </w:p>
    <w:p w14:paraId="120E4C14" w14:textId="1F5F4FC1"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7.4.1</w:t>
      </w:r>
      <w:r w:rsidR="00AA3B97" w:rsidRPr="00AA3B97">
        <w:rPr>
          <w:rFonts w:hAnsi="宋体" w:hint="eastAsia"/>
          <w:szCs w:val="24"/>
        </w:rPr>
        <w:t>基金管理人和基金托管人</w:t>
      </w:r>
      <w:r w:rsidRPr="00342101">
        <w:rPr>
          <w:rFonts w:hAnsi="宋体" w:hint="eastAsia"/>
          <w:szCs w:val="24"/>
        </w:rPr>
        <w:t>在基金的申购赎回、转换中的责任</w:t>
      </w:r>
    </w:p>
    <w:p w14:paraId="49894872" w14:textId="26836D7D"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14:paraId="32AD2B8F"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7.4.2基金的数据传递</w:t>
      </w:r>
    </w:p>
    <w:p w14:paraId="386CE73D" w14:textId="692F4ECC" w:rsidR="00342101" w:rsidRPr="00342101" w:rsidRDefault="00342101" w:rsidP="006643B1">
      <w:pPr>
        <w:pStyle w:val="20"/>
        <w:spacing w:before="0" w:after="0" w:line="520" w:lineRule="atLeast"/>
        <w:ind w:left="0"/>
        <w:rPr>
          <w:rFonts w:hAnsi="宋体"/>
          <w:szCs w:val="24"/>
        </w:rPr>
      </w:pPr>
      <w:r>
        <w:rPr>
          <w:rFonts w:hAnsi="宋体" w:hint="eastAsia"/>
          <w:szCs w:val="24"/>
        </w:rPr>
        <w:lastRenderedPageBreak/>
        <w:t xml:space="preserve">    </w:t>
      </w:r>
      <w:r w:rsidRPr="00342101">
        <w:rPr>
          <w:rFonts w:hAnsi="宋体" w:hint="eastAsia"/>
          <w:szCs w:val="24"/>
        </w:rPr>
        <w:t>基金管理人应保证本基金（或本基金管理人委托）的登记机构于每个开放日15：00之前将本基金的申购、赎回、转换的数据传送给基金托管人。基金管理人应对传递的数据的真实性、准确性和完整性负责。</w:t>
      </w:r>
    </w:p>
    <w:p w14:paraId="44EFE447" w14:textId="3D515F2E"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登记机构应通过与基金管理人建立的系统发送有关数据，如因各种原因，该系统无法正常发送，双方可协商解决处理方式。</w:t>
      </w:r>
    </w:p>
    <w:p w14:paraId="42155ED2" w14:textId="77777777" w:rsidR="00342101" w:rsidRPr="00342101" w:rsidRDefault="00342101" w:rsidP="006643B1">
      <w:pPr>
        <w:pStyle w:val="20"/>
        <w:spacing w:before="0" w:after="0" w:line="520" w:lineRule="atLeast"/>
        <w:rPr>
          <w:rFonts w:hAnsi="宋体"/>
          <w:szCs w:val="24"/>
        </w:rPr>
      </w:pPr>
      <w:r w:rsidRPr="00342101">
        <w:rPr>
          <w:rFonts w:hAnsi="宋体" w:hint="eastAsia"/>
          <w:szCs w:val="24"/>
        </w:rPr>
        <w:t>7.4.3基金的资金清算</w:t>
      </w:r>
    </w:p>
    <w:p w14:paraId="48E36EC3" w14:textId="76A0225B" w:rsidR="00342101" w:rsidRPr="00342101" w:rsidRDefault="00342101" w:rsidP="006643B1">
      <w:pPr>
        <w:pStyle w:val="20"/>
        <w:spacing w:before="0" w:after="0" w:line="520" w:lineRule="atLeast"/>
        <w:ind w:left="0"/>
        <w:rPr>
          <w:rFonts w:hAnsi="宋体"/>
          <w:szCs w:val="24"/>
        </w:rPr>
      </w:pPr>
      <w:r>
        <w:rPr>
          <w:rFonts w:hAnsi="宋体" w:hint="eastAsia"/>
          <w:szCs w:val="24"/>
        </w:rPr>
        <w:t xml:space="preserve">    </w:t>
      </w:r>
      <w:r w:rsidRPr="00342101">
        <w:rPr>
          <w:rFonts w:hAnsi="宋体" w:hint="eastAsia"/>
          <w:szCs w:val="24"/>
        </w:rPr>
        <w:t>基金托管</w:t>
      </w:r>
      <w:r w:rsidR="00777C8C">
        <w:rPr>
          <w:rFonts w:hAnsi="宋体" w:hint="eastAsia"/>
          <w:szCs w:val="24"/>
        </w:rPr>
        <w:t>专户</w:t>
      </w:r>
      <w:r w:rsidRPr="00342101">
        <w:rPr>
          <w:rFonts w:hAnsi="宋体" w:hint="eastAsia"/>
          <w:szCs w:val="24"/>
        </w:rPr>
        <w:t>与“基金清算账户”间的资金结算遵循“全额清算、净额交收”的原则，每日按照托管</w:t>
      </w:r>
      <w:r w:rsidR="00777C8C">
        <w:rPr>
          <w:rFonts w:hAnsi="宋体" w:hint="eastAsia"/>
          <w:szCs w:val="24"/>
        </w:rPr>
        <w:t>专户</w:t>
      </w:r>
      <w:r w:rsidRPr="00342101">
        <w:rPr>
          <w:rFonts w:hAnsi="宋体" w:hint="eastAsia"/>
          <w:szCs w:val="24"/>
        </w:rPr>
        <w:t>应收资金与应付资金的差额来确定托管</w:t>
      </w:r>
      <w:r w:rsidR="00777C8C">
        <w:rPr>
          <w:rFonts w:hAnsi="宋体" w:hint="eastAsia"/>
          <w:szCs w:val="24"/>
        </w:rPr>
        <w:t>专户</w:t>
      </w:r>
      <w:r w:rsidRPr="00342101">
        <w:rPr>
          <w:rFonts w:hAnsi="宋体" w:hint="eastAsia"/>
          <w:szCs w:val="24"/>
        </w:rPr>
        <w:t>净应收额或净应付额，以此确定资金交收额。</w:t>
      </w:r>
    </w:p>
    <w:p w14:paraId="335F81B0" w14:textId="36816F66" w:rsidR="00B61FF9" w:rsidRDefault="004702E5" w:rsidP="006643B1">
      <w:pPr>
        <w:pStyle w:val="20"/>
        <w:spacing w:before="0" w:after="0" w:line="520" w:lineRule="atLeast"/>
        <w:ind w:left="0" w:firstLineChars="200" w:firstLine="480"/>
        <w:rPr>
          <w:rFonts w:hAnsi="宋体"/>
          <w:szCs w:val="24"/>
        </w:rPr>
      </w:pPr>
      <w:r w:rsidRPr="00591580">
        <w:rPr>
          <w:rFonts w:hAnsi="宋体" w:hint="eastAsia"/>
          <w:szCs w:val="24"/>
        </w:rPr>
        <w:t>如果当日基金为净应收款，基金托管人应在</w:t>
      </w:r>
      <w:r w:rsidR="007B78CE">
        <w:rPr>
          <w:rFonts w:hAnsi="宋体" w:hint="eastAsia"/>
          <w:szCs w:val="24"/>
        </w:rPr>
        <w:t>交收</w:t>
      </w:r>
      <w:r w:rsidRPr="00591580">
        <w:rPr>
          <w:rFonts w:hAnsi="宋体" w:hint="eastAsia"/>
          <w:szCs w:val="24"/>
        </w:rPr>
        <w:t>日15:00之前查收资金是否到账，对于未准时到账的资金，基金托管人应及时通知基金管理人划付。如果当日基金为净应付款，基金托管人应根据基金管理人的指令在</w:t>
      </w:r>
      <w:r w:rsidR="007B78CE">
        <w:rPr>
          <w:rFonts w:hAnsi="宋体" w:hint="eastAsia"/>
          <w:szCs w:val="24"/>
        </w:rPr>
        <w:t>交收</w:t>
      </w:r>
      <w:r w:rsidRPr="00591580">
        <w:rPr>
          <w:rFonts w:hAnsi="宋体" w:hint="eastAsia"/>
          <w:szCs w:val="24"/>
        </w:rPr>
        <w:t>日中午12:00前进行划付</w:t>
      </w:r>
      <w:r w:rsidR="006374EE">
        <w:rPr>
          <w:rFonts w:hAnsi="宋体" w:hint="eastAsia"/>
          <w:szCs w:val="24"/>
        </w:rPr>
        <w:t>，</w:t>
      </w:r>
      <w:r w:rsidRPr="00591580">
        <w:rPr>
          <w:rFonts w:hAnsi="宋体" w:hint="eastAsia"/>
          <w:szCs w:val="24"/>
        </w:rPr>
        <w:t>对于未准时划付的资金，基金管理人应及时通知基金托管人划付。</w:t>
      </w:r>
      <w:r w:rsidRPr="004702E5">
        <w:rPr>
          <w:rFonts w:hAnsi="宋体" w:hint="eastAsia"/>
          <w:szCs w:val="24"/>
        </w:rPr>
        <w:t>因基金托管专户没有足够的资金，导致基金托管人不能按时拨付，基金托管人应及时通知基金管理人。</w:t>
      </w:r>
    </w:p>
    <w:p w14:paraId="71FF034B" w14:textId="74B51147" w:rsidR="00B61FF9" w:rsidRDefault="001B0A60" w:rsidP="006643B1">
      <w:pPr>
        <w:pStyle w:val="1"/>
        <w:spacing w:line="520" w:lineRule="atLeast"/>
        <w:ind w:firstLineChars="200" w:firstLine="482"/>
        <w:rPr>
          <w:bCs/>
          <w:color w:val="auto"/>
          <w:szCs w:val="24"/>
        </w:rPr>
      </w:pPr>
      <w:bookmarkStart w:id="29" w:name="_Toc296551344"/>
      <w:bookmarkStart w:id="30" w:name="_Toc44321731"/>
      <w:r>
        <w:rPr>
          <w:rFonts w:hint="eastAsia"/>
          <w:bCs/>
          <w:color w:val="auto"/>
          <w:szCs w:val="24"/>
        </w:rPr>
        <w:t>第八条 基金净值计算和会计核算</w:t>
      </w:r>
      <w:bookmarkEnd w:id="29"/>
      <w:bookmarkEnd w:id="30"/>
    </w:p>
    <w:p w14:paraId="5F2E4397" w14:textId="0BAF5F7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8.1基金净值的计算、复核的时间和程序</w:t>
      </w:r>
    </w:p>
    <w:p w14:paraId="0CE3CEB3" w14:textId="28E6A16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8.1.1</w:t>
      </w:r>
      <w:r w:rsidR="00674E25">
        <w:rPr>
          <w:rFonts w:hAnsi="宋体" w:hint="eastAsia"/>
          <w:szCs w:val="24"/>
        </w:rPr>
        <w:t>基金</w:t>
      </w:r>
      <w:r>
        <w:rPr>
          <w:rFonts w:hAnsi="宋体" w:hint="eastAsia"/>
          <w:szCs w:val="24"/>
        </w:rPr>
        <w:t>资产净值是指基金资产总值减去负债后的净资产值。</w:t>
      </w:r>
      <w:r w:rsidR="008C0F14" w:rsidRPr="00C73BAC">
        <w:rPr>
          <w:bCs/>
          <w:szCs w:val="21"/>
        </w:rPr>
        <w:t>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1A7D7083" w14:textId="4E5D6B6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8.1.2基金管理人应每</w:t>
      </w:r>
      <w:r w:rsidR="007346AA">
        <w:rPr>
          <w:rFonts w:hAnsi="宋体" w:hint="eastAsia"/>
          <w:szCs w:val="24"/>
        </w:rPr>
        <w:t>个</w:t>
      </w:r>
      <w:r>
        <w:rPr>
          <w:rFonts w:hAnsi="宋体" w:hint="eastAsia"/>
          <w:szCs w:val="24"/>
        </w:rPr>
        <w:t>工作日对基金资产估值，但基金管理人根据法律法规或基金合同的规定暂停估值时除外。估值原则应符合基金合同、《证券投资基金会计核算业务指引》及其他法律、法规的规定。基金资产净值</w:t>
      </w:r>
      <w:r w:rsidR="008C0F14">
        <w:rPr>
          <w:rFonts w:hAnsi="宋体" w:hint="eastAsia"/>
          <w:szCs w:val="24"/>
        </w:rPr>
        <w:t>和</w:t>
      </w:r>
      <w:r w:rsidR="00674E25">
        <w:rPr>
          <w:rFonts w:hAnsi="宋体" w:hint="eastAsia"/>
          <w:szCs w:val="24"/>
        </w:rPr>
        <w:t>基金份额净值</w:t>
      </w:r>
      <w:r>
        <w:rPr>
          <w:rFonts w:hAnsi="宋体" w:hint="eastAsia"/>
          <w:szCs w:val="24"/>
        </w:rPr>
        <w:t>由基金管理人负责计算，基金托管人复核。基金管理人应于每个工作日交易结束后计算当日的基金净值并以双方认可的方式发送给基金托管人。基金托管人对净值计算结果复核后以双方认可的方式发送给基金管理人，</w:t>
      </w:r>
      <w:r w:rsidR="00674E25">
        <w:rPr>
          <w:rFonts w:hAnsi="宋体" w:hint="eastAsia"/>
          <w:szCs w:val="24"/>
        </w:rPr>
        <w:t>基金管理人在不晚于</w:t>
      </w:r>
      <w:r w:rsidR="00674E25">
        <w:rPr>
          <w:rFonts w:hAnsi="宋体"/>
          <w:szCs w:val="24"/>
        </w:rPr>
        <w:t>每个开放日的次日，通过</w:t>
      </w:r>
      <w:r w:rsidR="007346AA">
        <w:rPr>
          <w:rFonts w:hAnsi="宋体" w:hint="eastAsia"/>
          <w:szCs w:val="24"/>
        </w:rPr>
        <w:t>规定</w:t>
      </w:r>
      <w:r w:rsidR="00674E25">
        <w:rPr>
          <w:rFonts w:hAnsi="宋体"/>
          <w:szCs w:val="24"/>
        </w:rPr>
        <w:t>网站</w:t>
      </w:r>
      <w:r w:rsidR="00674E25">
        <w:rPr>
          <w:rFonts w:hAnsi="宋体" w:hint="eastAsia"/>
          <w:szCs w:val="24"/>
        </w:rPr>
        <w:t>披露</w:t>
      </w:r>
      <w:r w:rsidR="00674E25">
        <w:rPr>
          <w:rFonts w:hAnsi="宋体"/>
          <w:szCs w:val="24"/>
        </w:rPr>
        <w:t>开放日的</w:t>
      </w:r>
      <w:r w:rsidR="00674E25">
        <w:rPr>
          <w:rFonts w:hAnsi="宋体" w:hint="eastAsia"/>
          <w:szCs w:val="24"/>
        </w:rPr>
        <w:t>基金净值，</w:t>
      </w:r>
      <w:r w:rsidR="00674E25">
        <w:rPr>
          <w:rFonts w:hAnsi="宋体"/>
          <w:szCs w:val="24"/>
        </w:rPr>
        <w:t>并在不晚于半年度和年度最后一日的次</w:t>
      </w:r>
      <w:r w:rsidR="00674E25">
        <w:rPr>
          <w:rFonts w:hAnsi="宋体"/>
          <w:szCs w:val="24"/>
        </w:rPr>
        <w:lastRenderedPageBreak/>
        <w:t>日，在</w:t>
      </w:r>
      <w:r w:rsidR="007346AA">
        <w:rPr>
          <w:rFonts w:hAnsi="宋体" w:hint="eastAsia"/>
          <w:szCs w:val="24"/>
        </w:rPr>
        <w:t>规定</w:t>
      </w:r>
      <w:r w:rsidR="00674E25">
        <w:rPr>
          <w:rFonts w:hAnsi="宋体"/>
          <w:szCs w:val="24"/>
        </w:rPr>
        <w:t>网站披露</w:t>
      </w:r>
      <w:r w:rsidR="00674E25">
        <w:rPr>
          <w:rFonts w:hAnsi="宋体" w:hint="eastAsia"/>
          <w:szCs w:val="24"/>
        </w:rPr>
        <w:t>半年度</w:t>
      </w:r>
      <w:r w:rsidR="00674E25">
        <w:rPr>
          <w:rFonts w:hAnsi="宋体"/>
          <w:szCs w:val="24"/>
        </w:rPr>
        <w:t>和年度最后一日的基金净值</w:t>
      </w:r>
      <w:r w:rsidR="00674E25">
        <w:rPr>
          <w:rFonts w:hAnsi="宋体" w:hint="eastAsia"/>
          <w:szCs w:val="24"/>
        </w:rPr>
        <w:t>。</w:t>
      </w:r>
      <w:r w:rsidR="00A275B4" w:rsidRPr="00A275B4">
        <w:rPr>
          <w:rFonts w:hAnsi="宋体" w:hint="eastAsia"/>
          <w:szCs w:val="24"/>
        </w:rPr>
        <w:t>基金托管人发现基金份额净值计价出现错误的，应当提示基金管理人立即纠正，并采取合理措施防止损失进一步扩大。基金托管人发现基金份额净值计价出现重大错误或者估值出现重大偏离的，应当提示基金管理人依法履行披露和报告义务。</w:t>
      </w:r>
    </w:p>
    <w:p w14:paraId="59521001" w14:textId="48A5732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00777C8C">
        <w:rPr>
          <w:rFonts w:hAnsi="宋体" w:hint="eastAsia"/>
          <w:szCs w:val="24"/>
        </w:rPr>
        <w:t>，</w:t>
      </w:r>
      <w:r w:rsidR="00777C8C">
        <w:rPr>
          <w:rFonts w:hAnsi="宋体"/>
          <w:szCs w:val="24"/>
        </w:rPr>
        <w:t>基金托管人对未达成一致意见的</w:t>
      </w:r>
      <w:r w:rsidR="00777C8C">
        <w:rPr>
          <w:rFonts w:hAnsi="宋体" w:hint="eastAsia"/>
          <w:szCs w:val="24"/>
        </w:rPr>
        <w:t>基金净值计算结果不承担任何</w:t>
      </w:r>
      <w:r w:rsidR="00777C8C">
        <w:rPr>
          <w:rFonts w:hAnsi="宋体"/>
          <w:szCs w:val="24"/>
        </w:rPr>
        <w:t>责任</w:t>
      </w:r>
      <w:r>
        <w:rPr>
          <w:rFonts w:hAnsi="宋体" w:hint="eastAsia"/>
          <w:szCs w:val="24"/>
        </w:rPr>
        <w:t>。</w:t>
      </w:r>
    </w:p>
    <w:p w14:paraId="3C3CDBF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8.2基金资产估值方法</w:t>
      </w:r>
    </w:p>
    <w:p w14:paraId="05CF78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8.2.1估值对象</w:t>
      </w:r>
    </w:p>
    <w:p w14:paraId="03455A8A" w14:textId="699474A4" w:rsidR="00B61FF9" w:rsidRDefault="00CB1D0F" w:rsidP="006643B1">
      <w:pPr>
        <w:pStyle w:val="20"/>
        <w:spacing w:before="0" w:after="0" w:line="520" w:lineRule="atLeast"/>
        <w:ind w:left="0" w:firstLineChars="200" w:firstLine="480"/>
        <w:rPr>
          <w:rFonts w:hAnsi="宋体"/>
          <w:szCs w:val="24"/>
        </w:rPr>
      </w:pPr>
      <w:r w:rsidRPr="00C73BAC">
        <w:rPr>
          <w:bCs/>
          <w:szCs w:val="21"/>
        </w:rPr>
        <w:t>基金所拥有的债券</w:t>
      </w:r>
      <w:r>
        <w:rPr>
          <w:rFonts w:hint="eastAsia"/>
          <w:bCs/>
          <w:szCs w:val="21"/>
        </w:rPr>
        <w:t>、资产支持证券</w:t>
      </w:r>
      <w:r w:rsidR="00ED5B55" w:rsidRPr="00ED5B55">
        <w:rPr>
          <w:rFonts w:hint="eastAsia"/>
          <w:bCs/>
          <w:szCs w:val="21"/>
        </w:rPr>
        <w:t>、国债期货合约</w:t>
      </w:r>
      <w:r w:rsidRPr="00C73BAC">
        <w:rPr>
          <w:bCs/>
          <w:szCs w:val="21"/>
        </w:rPr>
        <w:t>和银行存款本息、应收款项、其它投资等资产及负债。</w:t>
      </w:r>
    </w:p>
    <w:p w14:paraId="2DA698E9" w14:textId="62AEDF06" w:rsidR="00B3071E" w:rsidRPr="00B3071E" w:rsidRDefault="001B0A60" w:rsidP="00341E23">
      <w:pPr>
        <w:pStyle w:val="20"/>
        <w:spacing w:before="0" w:after="0" w:line="520" w:lineRule="atLeast"/>
        <w:ind w:left="0" w:firstLineChars="200" w:firstLine="480"/>
      </w:pPr>
      <w:r>
        <w:rPr>
          <w:rFonts w:hAnsi="宋体" w:hint="eastAsia"/>
          <w:szCs w:val="24"/>
        </w:rPr>
        <w:t>8.2.2估值方法</w:t>
      </w:r>
    </w:p>
    <w:p w14:paraId="5039962E"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1</w:t>
      </w:r>
      <w:r w:rsidRPr="002C5A1F">
        <w:rPr>
          <w:rFonts w:hint="eastAsia"/>
          <w:bCs/>
          <w:sz w:val="24"/>
          <w:szCs w:val="24"/>
        </w:rPr>
        <w:t>、证券交易所上市的有价证券的估值</w:t>
      </w:r>
    </w:p>
    <w:p w14:paraId="4C433E59"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1</w:t>
      </w:r>
      <w:r w:rsidRPr="002C5A1F">
        <w:rPr>
          <w:rFonts w:hint="eastAsia"/>
          <w:bCs/>
          <w:sz w:val="24"/>
          <w:szCs w:val="24"/>
        </w:rPr>
        <w:t>）交易所上市的有价证券，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ABBBBCA"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2</w:t>
      </w:r>
      <w:r w:rsidRPr="002C5A1F">
        <w:rPr>
          <w:rFonts w:hint="eastAsia"/>
          <w:bCs/>
          <w:sz w:val="24"/>
          <w:szCs w:val="24"/>
        </w:rPr>
        <w:t>）交易所上市交易或挂牌转让的不含权固定收益品种，选取估值日第三方估值机构提供的相应品种当日的估值净价进行估值；</w:t>
      </w:r>
    </w:p>
    <w:p w14:paraId="1F201DF6"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3</w:t>
      </w:r>
      <w:r w:rsidRPr="002C5A1F">
        <w:rPr>
          <w:rFonts w:hint="eastAsia"/>
          <w:bCs/>
          <w:sz w:val="24"/>
          <w:szCs w:val="24"/>
        </w:rPr>
        <w:t>）交易所上市交易或挂牌转让的含权固定收益品种，选取估值日第三方估值机构提供的相应品种当日的唯一估值净价或推荐估值净价进行估值；</w:t>
      </w:r>
    </w:p>
    <w:p w14:paraId="2E2A1739"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4</w:t>
      </w:r>
      <w:r w:rsidRPr="002C5A1F">
        <w:rPr>
          <w:rFonts w:hint="eastAsia"/>
          <w:bCs/>
          <w:sz w:val="24"/>
          <w:szCs w:val="24"/>
        </w:rPr>
        <w:t>）交易所上市交易的可转换债券以每日收盘价作为估值全价；</w:t>
      </w:r>
    </w:p>
    <w:p w14:paraId="1FC9A9AB"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5</w:t>
      </w:r>
      <w:r w:rsidRPr="002C5A1F">
        <w:rPr>
          <w:rFonts w:hint="eastAsia"/>
          <w:bCs/>
          <w:sz w:val="24"/>
          <w:szCs w:val="24"/>
        </w:rPr>
        <w:t>）交易所上市不存在活跃市场的有价证券，采用估值技术确定公允价值。交易所市场挂牌转让的资产支持证券，采用估值技术确定公允价值；</w:t>
      </w:r>
    </w:p>
    <w:p w14:paraId="167ED54C"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6</w:t>
      </w:r>
      <w:r w:rsidRPr="002C5A1F">
        <w:rPr>
          <w:rFonts w:hint="eastAsia"/>
          <w:bCs/>
          <w:sz w:val="24"/>
          <w:szCs w:val="24"/>
        </w:rPr>
        <w:t>）对在交易所市场发行未上市或未挂牌转让的债券，对存在活跃市场的情况下，应以活跃市场上未经调整的报价作为估值日的公允价值；对于活跃市场报价</w:t>
      </w:r>
      <w:r w:rsidRPr="002C5A1F">
        <w:rPr>
          <w:rFonts w:hint="eastAsia"/>
          <w:bCs/>
          <w:sz w:val="24"/>
          <w:szCs w:val="24"/>
        </w:rPr>
        <w:lastRenderedPageBreak/>
        <w:t>未能代表估值日公允价值的情况下，应对市场报价进行调整以确认估值日的公允价值；对于不存在市场活动或市场活动很少的情况下，应采用估值技术确定其公允价值。</w:t>
      </w:r>
    </w:p>
    <w:p w14:paraId="1AC985BA"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2</w:t>
      </w:r>
      <w:r w:rsidRPr="002C5A1F">
        <w:rPr>
          <w:rFonts w:hint="eastAsia"/>
          <w:bCs/>
          <w:sz w:val="24"/>
          <w:szCs w:val="24"/>
        </w:rPr>
        <w:t>、处于未上市期间的有价证券应区分如下情况处理：</w:t>
      </w:r>
    </w:p>
    <w:p w14:paraId="401BDE21"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1</w:t>
      </w:r>
      <w:r w:rsidRPr="002C5A1F">
        <w:rPr>
          <w:rFonts w:hint="eastAsia"/>
          <w:bCs/>
          <w:sz w:val="24"/>
          <w:szCs w:val="24"/>
        </w:rPr>
        <w:t>）送股、转增股、配股和公开增发的新股，按估值日在证券交易所挂牌的同一股票的估值方法估值；该日无交易的，以最近一日的市价（收盘价）估值；</w:t>
      </w:r>
    </w:p>
    <w:p w14:paraId="08255C40"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2</w:t>
      </w:r>
      <w:r w:rsidRPr="002C5A1F">
        <w:rPr>
          <w:rFonts w:hint="eastAsia"/>
          <w:bCs/>
          <w:sz w:val="24"/>
          <w:szCs w:val="24"/>
        </w:rPr>
        <w:t>）首次公开发行未上市的股票和债券，采用估值技术确定公允价值，在估值技术难以可靠计量公允价值的情况下，按成本估值；</w:t>
      </w:r>
    </w:p>
    <w:p w14:paraId="1C50C8F0"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w:t>
      </w:r>
      <w:r w:rsidRPr="002C5A1F">
        <w:rPr>
          <w:rFonts w:hint="eastAsia"/>
          <w:bCs/>
          <w:sz w:val="24"/>
          <w:szCs w:val="24"/>
        </w:rPr>
        <w:t>3</w:t>
      </w:r>
      <w:r w:rsidRPr="002C5A1F">
        <w:rPr>
          <w:rFonts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2394FD0"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3</w:t>
      </w:r>
      <w:r w:rsidRPr="002C5A1F">
        <w:rPr>
          <w:rFonts w:hint="eastAsia"/>
          <w:bCs/>
          <w:sz w:val="24"/>
          <w:szCs w:val="24"/>
        </w:rPr>
        <w:t>、首次公开发行未上市的债券，采用估值技术确定公允价值，在估值技术难以可靠计量公允价值的情况下，按成本估值。</w:t>
      </w:r>
    </w:p>
    <w:p w14:paraId="4BB7DA58"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4</w:t>
      </w:r>
      <w:r w:rsidRPr="002C5A1F">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403E81"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5</w:t>
      </w:r>
      <w:r w:rsidRPr="002C5A1F">
        <w:rPr>
          <w:rFonts w:hint="eastAsia"/>
          <w:bCs/>
          <w:sz w:val="24"/>
          <w:szCs w:val="24"/>
        </w:rPr>
        <w:t>、同一债券同时在两个或两个以上市场交易的，按债券所处的市场分别估值。</w:t>
      </w:r>
    </w:p>
    <w:p w14:paraId="26AAC138"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6</w:t>
      </w:r>
      <w:r w:rsidRPr="002C5A1F">
        <w:rPr>
          <w:rFonts w:hint="eastAsia"/>
          <w:bCs/>
          <w:sz w:val="24"/>
          <w:szCs w:val="24"/>
        </w:rPr>
        <w:t>、国债期货合约以估值日的结算价估值。估值当日无结算价的，且最近交易日后经济环境未发生重大变化的，采用最近交易日结算价估值。如法律法规今后另有规定的，从其规定。</w:t>
      </w:r>
    </w:p>
    <w:p w14:paraId="7FC33976"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7</w:t>
      </w:r>
      <w:r w:rsidRPr="002C5A1F">
        <w:rPr>
          <w:rFonts w:hint="eastAsia"/>
          <w:bCs/>
          <w:sz w:val="24"/>
          <w:szCs w:val="24"/>
        </w:rPr>
        <w:t>、如有确凿证据表明按上述方法进行估值不能客观反映其公允价值的，基金管理人可根据具体情况与基金托管人商定后，按最能反映公允价值的价格估值。</w:t>
      </w:r>
    </w:p>
    <w:p w14:paraId="7F8065F0" w14:textId="77777777" w:rsidR="002C5A1F" w:rsidRPr="002C5A1F" w:rsidRDefault="002C5A1F" w:rsidP="002C5A1F">
      <w:pPr>
        <w:spacing w:line="360" w:lineRule="auto"/>
        <w:ind w:firstLineChars="200" w:firstLine="480"/>
        <w:rPr>
          <w:bCs/>
          <w:sz w:val="24"/>
          <w:szCs w:val="24"/>
        </w:rPr>
      </w:pPr>
      <w:r w:rsidRPr="002C5A1F">
        <w:rPr>
          <w:rFonts w:hint="eastAsia"/>
          <w:bCs/>
          <w:sz w:val="24"/>
          <w:szCs w:val="24"/>
        </w:rPr>
        <w:t>8</w:t>
      </w:r>
      <w:r w:rsidRPr="002C5A1F">
        <w:rPr>
          <w:rFonts w:hint="eastAsia"/>
          <w:bCs/>
          <w:sz w:val="24"/>
          <w:szCs w:val="24"/>
        </w:rPr>
        <w:t>、当发生大额申购或赎回情形时，基金管理人可以采用摆动定价机制，以确保基金估值的公平性。</w:t>
      </w:r>
    </w:p>
    <w:p w14:paraId="6A93B39E" w14:textId="7BD3B4F9" w:rsidR="00CB1D0F" w:rsidRPr="00F15F69" w:rsidRDefault="002C5A1F" w:rsidP="002C5A1F">
      <w:pPr>
        <w:spacing w:line="360" w:lineRule="auto"/>
        <w:ind w:firstLineChars="200" w:firstLine="480"/>
        <w:rPr>
          <w:bCs/>
          <w:sz w:val="24"/>
          <w:szCs w:val="24"/>
        </w:rPr>
      </w:pPr>
      <w:r w:rsidRPr="002C5A1F">
        <w:rPr>
          <w:rFonts w:hint="eastAsia"/>
          <w:bCs/>
          <w:sz w:val="24"/>
          <w:szCs w:val="24"/>
        </w:rPr>
        <w:t>9</w:t>
      </w:r>
      <w:r w:rsidRPr="002C5A1F">
        <w:rPr>
          <w:rFonts w:hint="eastAsia"/>
          <w:bCs/>
          <w:sz w:val="24"/>
          <w:szCs w:val="24"/>
        </w:rPr>
        <w:t>、相关法律法规以及监管部门有强制规定的，从其规定。如有新增事项，按国家最新规定估值。</w:t>
      </w:r>
    </w:p>
    <w:p w14:paraId="3F5E943B" w14:textId="77777777" w:rsidR="00CB1D0F" w:rsidRPr="00F15F69" w:rsidRDefault="00CB1D0F" w:rsidP="00F15F69">
      <w:pPr>
        <w:spacing w:line="360" w:lineRule="auto"/>
        <w:ind w:firstLineChars="200" w:firstLine="480"/>
        <w:rPr>
          <w:rStyle w:val="read"/>
          <w:bCs/>
          <w:sz w:val="24"/>
          <w:szCs w:val="24"/>
        </w:rPr>
      </w:pPr>
      <w:r w:rsidRPr="00F15F69">
        <w:rPr>
          <w:rStyle w:val="read"/>
          <w:rFonts w:hint="eastAsia"/>
          <w:bCs/>
          <w:sz w:val="24"/>
          <w:szCs w:val="24"/>
        </w:rPr>
        <w:t>如基金管理人或基金托管人发现基金估值违反基金合同订明的估值方法、程序</w:t>
      </w:r>
      <w:r w:rsidRPr="00F15F69">
        <w:rPr>
          <w:rStyle w:val="read"/>
          <w:rFonts w:hint="eastAsia"/>
          <w:bCs/>
          <w:sz w:val="24"/>
          <w:szCs w:val="24"/>
        </w:rPr>
        <w:lastRenderedPageBreak/>
        <w:t>及相关法律法规的规定或者未能充分维护基金份额持有人利益时，应立即通知对方，共同查明原因，双方协商解决。</w:t>
      </w:r>
    </w:p>
    <w:p w14:paraId="104D38DE" w14:textId="6EC0681B" w:rsidR="00B61FF9" w:rsidRPr="00F15F69" w:rsidRDefault="00CB1D0F" w:rsidP="00F15F69">
      <w:pPr>
        <w:spacing w:line="360" w:lineRule="auto"/>
        <w:ind w:firstLineChars="200" w:firstLine="480"/>
        <w:rPr>
          <w:rFonts w:hAnsi="宋体"/>
          <w:sz w:val="24"/>
          <w:szCs w:val="24"/>
        </w:rPr>
      </w:pPr>
      <w:r w:rsidRPr="00F15F69">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93D74">
        <w:rPr>
          <w:rFonts w:hint="eastAsia"/>
          <w:bCs/>
          <w:sz w:val="24"/>
          <w:szCs w:val="24"/>
        </w:rPr>
        <w:t>信息</w:t>
      </w:r>
      <w:r w:rsidRPr="00F15F69">
        <w:rPr>
          <w:rFonts w:hint="eastAsia"/>
          <w:bCs/>
          <w:sz w:val="24"/>
          <w:szCs w:val="24"/>
        </w:rPr>
        <w:t>的计算结果对外予以公布</w:t>
      </w:r>
      <w:r w:rsidR="00E42178" w:rsidRPr="00E42178">
        <w:rPr>
          <w:rFonts w:hint="eastAsia"/>
          <w:bCs/>
          <w:sz w:val="24"/>
          <w:szCs w:val="24"/>
        </w:rPr>
        <w:t>，由此造成的损失由基金管理人承担赔偿责任，基金托管人不负赔偿责任。</w:t>
      </w:r>
    </w:p>
    <w:p w14:paraId="7D8B54C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8.3估值差错处理</w:t>
      </w:r>
    </w:p>
    <w:p w14:paraId="653FE5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8.3.1因基金估值错误给投资人造成损失的应先由基金管理人承担，基金管理人对不应由其承担的责任，有权向过错人追偿。</w:t>
      </w:r>
    </w:p>
    <w:p w14:paraId="5F4BBB38" w14:textId="5BCAEB7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8.3.2当基金管理人计算的基金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B41C1B3" w14:textId="68163D74" w:rsidR="00B61FF9" w:rsidRDefault="001B0A60" w:rsidP="002B2B46">
      <w:pPr>
        <w:pStyle w:val="20"/>
        <w:spacing w:before="0" w:after="0" w:line="520" w:lineRule="atLeast"/>
        <w:ind w:left="0" w:firstLineChars="200" w:firstLine="480"/>
        <w:rPr>
          <w:rFonts w:hAnsi="宋体"/>
          <w:szCs w:val="24"/>
        </w:rPr>
      </w:pPr>
      <w:r>
        <w:rPr>
          <w:rFonts w:hAnsi="宋体" w:hint="eastAsia"/>
          <w:szCs w:val="24"/>
        </w:rPr>
        <w:t>8.3.3由于一方当事人提供的信息错误，另一方当事人在采取了必要合理的措施后仍不能发现该错误，进而导致基金净值计算错误造成投资人或基金的损失，以及由此造成以后交易日基金净值计算顺延错误而引起的投资人或基金的损失，由提供错误信息的当事人一方负责赔偿。</w:t>
      </w:r>
    </w:p>
    <w:p w14:paraId="04B0D6E8" w14:textId="3840877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4</w:t>
      </w:r>
      <w:r>
        <w:rPr>
          <w:rFonts w:hAnsi="宋体" w:hint="eastAsia"/>
          <w:szCs w:val="24"/>
        </w:rPr>
        <w:t>当基金管理人计算的基金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7E6B3578" w14:textId="10A41711" w:rsidR="00777C8C" w:rsidRDefault="00777C8C" w:rsidP="006643B1">
      <w:pPr>
        <w:pStyle w:val="20"/>
        <w:spacing w:before="0" w:after="0" w:line="520" w:lineRule="atLeast"/>
        <w:ind w:left="0" w:firstLineChars="200" w:firstLine="480"/>
        <w:rPr>
          <w:rFonts w:hAnsi="宋体"/>
          <w:szCs w:val="24"/>
        </w:rPr>
      </w:pPr>
      <w:r>
        <w:rPr>
          <w:rFonts w:hAnsi="宋体" w:hint="eastAsia"/>
          <w:szCs w:val="24"/>
        </w:rPr>
        <w:t>8.3.</w:t>
      </w:r>
      <w:r w:rsidR="00C15064">
        <w:rPr>
          <w:rFonts w:hAnsi="宋体"/>
          <w:szCs w:val="24"/>
        </w:rPr>
        <w:t>5</w:t>
      </w:r>
      <w:r w:rsidR="000A58A5" w:rsidRPr="00C73BAC">
        <w:rPr>
          <w:bCs/>
          <w:szCs w:val="21"/>
        </w:rPr>
        <w:t>错误偏差达到基金份额净值的0.25%时，基金管理人应当通报基金托管人并报中国证监会备案；错误偏差达到基金份额净值的0.5%时，基金管理人应当公告，并报中国证监会备案。</w:t>
      </w:r>
    </w:p>
    <w:p w14:paraId="0F3144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8.4基金账册的建立</w:t>
      </w:r>
    </w:p>
    <w:p w14:paraId="7029EB2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w:t>
      </w:r>
      <w:r>
        <w:rPr>
          <w:rFonts w:hAnsi="宋体" w:hint="eastAsia"/>
          <w:szCs w:val="24"/>
        </w:rPr>
        <w:lastRenderedPageBreak/>
        <w:t>会计处理方法存在分歧，应以基金管理人的处理方法为准。</w:t>
      </w:r>
    </w:p>
    <w:p w14:paraId="132F2038" w14:textId="04B286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14:paraId="11F3D14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8.5基金定期报告的编制和复核</w:t>
      </w:r>
    </w:p>
    <w:p w14:paraId="3DE2BD04" w14:textId="5531C433" w:rsidR="005B7532" w:rsidRDefault="001B0A60" w:rsidP="006643B1">
      <w:pPr>
        <w:pStyle w:val="20"/>
        <w:spacing w:before="0" w:after="0" w:line="520" w:lineRule="atLeast"/>
        <w:ind w:left="0" w:firstLineChars="200" w:firstLine="480"/>
        <w:rPr>
          <w:rFonts w:hAnsi="宋体"/>
          <w:szCs w:val="24"/>
        </w:rPr>
      </w:pPr>
      <w:r>
        <w:rPr>
          <w:rFonts w:hAnsi="宋体" w:hint="eastAsia"/>
          <w:szCs w:val="24"/>
        </w:rPr>
        <w:t>8.5.1基金财务</w:t>
      </w:r>
      <w:r w:rsidR="00777C8C">
        <w:rPr>
          <w:rFonts w:hAnsi="宋体" w:hint="eastAsia"/>
          <w:szCs w:val="24"/>
        </w:rPr>
        <w:t>报告</w:t>
      </w:r>
      <w:r>
        <w:rPr>
          <w:rFonts w:hAnsi="宋体" w:hint="eastAsia"/>
          <w:szCs w:val="24"/>
        </w:rPr>
        <w:t>由基金管理人编制</w:t>
      </w:r>
      <w:r w:rsidR="00777C8C">
        <w:rPr>
          <w:rFonts w:hAnsi="宋体" w:hint="eastAsia"/>
          <w:szCs w:val="24"/>
        </w:rPr>
        <w:t>，</w:t>
      </w:r>
      <w:r w:rsidR="00777C8C">
        <w:rPr>
          <w:rFonts w:hAnsi="宋体"/>
          <w:szCs w:val="24"/>
        </w:rPr>
        <w:t>基金托管人</w:t>
      </w:r>
      <w:r w:rsidR="00777C8C">
        <w:rPr>
          <w:rFonts w:hAnsi="宋体" w:hint="eastAsia"/>
          <w:szCs w:val="24"/>
        </w:rPr>
        <w:t>复核</w:t>
      </w:r>
      <w:r>
        <w:rPr>
          <w:rFonts w:hAnsi="宋体" w:hint="eastAsia"/>
          <w:szCs w:val="24"/>
        </w:rPr>
        <w:t>。月度</w:t>
      </w:r>
      <w:r w:rsidR="00777C8C">
        <w:rPr>
          <w:rFonts w:hAnsi="宋体" w:hint="eastAsia"/>
          <w:szCs w:val="24"/>
        </w:rPr>
        <w:t>报告</w:t>
      </w:r>
      <w:r>
        <w:rPr>
          <w:rFonts w:hAnsi="宋体" w:hint="eastAsia"/>
          <w:szCs w:val="24"/>
        </w:rPr>
        <w:t>的编制，应于每月终了后5个工作日内完成。</w:t>
      </w:r>
    </w:p>
    <w:p w14:paraId="784C9691" w14:textId="6962AD7F"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8.5.2</w:t>
      </w:r>
      <w:r w:rsidRPr="001B2AF0">
        <w:rPr>
          <w:rFonts w:hAnsi="宋体" w:hint="eastAsia"/>
          <w:szCs w:val="24"/>
        </w:rPr>
        <w:t>基金管理人应当在每年结束之日起三个月内，编制完成基金年度报告，将年度报告登载</w:t>
      </w:r>
      <w:r w:rsidR="00376534">
        <w:rPr>
          <w:rFonts w:hAnsi="宋体" w:hint="eastAsia"/>
          <w:szCs w:val="24"/>
        </w:rPr>
        <w:t>在</w:t>
      </w:r>
      <w:r w:rsidR="004849DA">
        <w:rPr>
          <w:rFonts w:hAnsi="宋体" w:hint="eastAsia"/>
          <w:szCs w:val="24"/>
        </w:rPr>
        <w:t>规定网站</w:t>
      </w:r>
      <w:r w:rsidRPr="001B2AF0">
        <w:rPr>
          <w:rFonts w:hAnsi="宋体" w:hint="eastAsia"/>
          <w:szCs w:val="24"/>
        </w:rPr>
        <w:t>上，并将年度报告提示性公告登载在</w:t>
      </w:r>
      <w:r w:rsidR="004849DA">
        <w:rPr>
          <w:rFonts w:hAnsi="宋体" w:hint="eastAsia"/>
          <w:szCs w:val="24"/>
        </w:rPr>
        <w:t>规定报刊</w:t>
      </w:r>
      <w:r w:rsidRPr="001B2AF0">
        <w:rPr>
          <w:rFonts w:hAnsi="宋体" w:hint="eastAsia"/>
          <w:szCs w:val="24"/>
        </w:rPr>
        <w:t>上。基金年度报告中的财务会计报告应当经过</w:t>
      </w:r>
      <w:r w:rsidR="004849DA" w:rsidRPr="003577BB">
        <w:rPr>
          <w:rFonts w:hAnsi="宋体" w:hint="eastAsia"/>
          <w:szCs w:val="24"/>
        </w:rPr>
        <w:t>符合《中华人民共和国证券法》规定</w:t>
      </w:r>
      <w:r w:rsidR="00B9229E" w:rsidRPr="00B9229E">
        <w:rPr>
          <w:rFonts w:hAnsi="宋体" w:hint="eastAsia"/>
          <w:szCs w:val="24"/>
        </w:rPr>
        <w:t>的</w:t>
      </w:r>
      <w:r w:rsidRPr="001B2AF0">
        <w:rPr>
          <w:rFonts w:hAnsi="宋体" w:hint="eastAsia"/>
          <w:szCs w:val="24"/>
        </w:rPr>
        <w:t>会计师事务所审计。基金管理人应当在上半年结束之日起两个月内，编制完成基金中期报告，将中期报告登载在</w:t>
      </w:r>
      <w:r w:rsidR="004849DA">
        <w:rPr>
          <w:rFonts w:hAnsi="宋体" w:hint="eastAsia"/>
          <w:szCs w:val="24"/>
        </w:rPr>
        <w:t>规定网站</w:t>
      </w:r>
      <w:r w:rsidRPr="001B2AF0">
        <w:rPr>
          <w:rFonts w:hAnsi="宋体" w:hint="eastAsia"/>
          <w:szCs w:val="24"/>
        </w:rPr>
        <w:t>上，并将中期报告提示性公告登载在</w:t>
      </w:r>
      <w:r w:rsidR="004849DA">
        <w:rPr>
          <w:rFonts w:hAnsi="宋体" w:hint="eastAsia"/>
          <w:szCs w:val="24"/>
        </w:rPr>
        <w:t>规定报刊</w:t>
      </w:r>
      <w:r w:rsidRPr="001B2AF0">
        <w:rPr>
          <w:rFonts w:hAnsi="宋体" w:hint="eastAsia"/>
          <w:szCs w:val="24"/>
        </w:rPr>
        <w:t>上。基金管理人应当在季度结束之日起15个工作日内，编制完成基金季度报告，将季度报告登载在</w:t>
      </w:r>
      <w:r w:rsidR="004849DA">
        <w:rPr>
          <w:rFonts w:hAnsi="宋体" w:hint="eastAsia"/>
          <w:szCs w:val="24"/>
        </w:rPr>
        <w:t>规定网站</w:t>
      </w:r>
      <w:r w:rsidRPr="001B2AF0">
        <w:rPr>
          <w:rFonts w:hAnsi="宋体" w:hint="eastAsia"/>
          <w:szCs w:val="24"/>
        </w:rPr>
        <w:t>上，并将季度报告提示性公告登载在</w:t>
      </w:r>
      <w:r w:rsidR="004849DA">
        <w:rPr>
          <w:rFonts w:hAnsi="宋体" w:hint="eastAsia"/>
          <w:szCs w:val="24"/>
        </w:rPr>
        <w:t>规定报刊</w:t>
      </w:r>
      <w:r w:rsidRPr="001B2AF0">
        <w:rPr>
          <w:rFonts w:hAnsi="宋体" w:hint="eastAsia"/>
          <w:szCs w:val="24"/>
        </w:rPr>
        <w:t>上。《基金合同》生效不足2个月的，基金管理人可以不编制当期季度报告、中期报告或者年度报告。</w:t>
      </w:r>
    </w:p>
    <w:p w14:paraId="26A94805" w14:textId="09A6D847" w:rsidR="001B2AF0" w:rsidRDefault="001B2AF0" w:rsidP="006643B1">
      <w:pPr>
        <w:pStyle w:val="20"/>
        <w:spacing w:before="0" w:after="0" w:line="520" w:lineRule="atLeast"/>
        <w:ind w:left="0" w:firstLineChars="200" w:firstLine="480"/>
        <w:rPr>
          <w:rFonts w:hAnsi="宋体"/>
          <w:szCs w:val="24"/>
        </w:rPr>
      </w:pPr>
      <w:r>
        <w:rPr>
          <w:rFonts w:hAnsi="宋体" w:hint="eastAsia"/>
          <w:szCs w:val="24"/>
        </w:rPr>
        <w:t>8.5.3</w:t>
      </w:r>
      <w:r w:rsidRPr="001B2AF0">
        <w:rPr>
          <w:rFonts w:hAnsi="宋体" w:hint="eastAsia"/>
          <w:szCs w:val="24"/>
        </w:rPr>
        <w:t>《基金合同》生效后，基金招募说明书、基金产品资料概要的信息发生重大变更的，基金管理人应当在三个工作日内，更新基金招募说明书、基金产品资料概要，并登载在</w:t>
      </w:r>
      <w:r w:rsidR="004849DA">
        <w:rPr>
          <w:rFonts w:hAnsi="宋体" w:hint="eastAsia"/>
          <w:szCs w:val="24"/>
        </w:rPr>
        <w:t>规定网站</w:t>
      </w:r>
      <w:r w:rsidRPr="001B2AF0">
        <w:rPr>
          <w:rFonts w:hAnsi="宋体" w:hint="eastAsia"/>
          <w:szCs w:val="24"/>
        </w:rPr>
        <w:t>上，并将基金产品资料概要登载在基金销售机构网站或营业网点。基金招募说明书、基金产品资料概要其他信息发生变更的，基金管理人至少每年更新一次。</w:t>
      </w:r>
    </w:p>
    <w:p w14:paraId="52FC67A4" w14:textId="2142E051" w:rsidR="00B61FF9" w:rsidRDefault="001B0A60" w:rsidP="006643B1">
      <w:pPr>
        <w:pStyle w:val="20"/>
        <w:spacing w:before="0" w:after="0" w:line="520" w:lineRule="atLeast"/>
        <w:ind w:left="0" w:firstLineChars="200" w:firstLine="480"/>
        <w:rPr>
          <w:rFonts w:hAnsi="宋体"/>
          <w:szCs w:val="24"/>
        </w:rPr>
      </w:pPr>
      <w:bookmarkStart w:id="31" w:name="_DV_C270"/>
      <w:r>
        <w:rPr>
          <w:rFonts w:hAnsi="宋体" w:hint="eastAsia"/>
          <w:szCs w:val="24"/>
        </w:rPr>
        <w:t>8.5.</w:t>
      </w:r>
      <w:r w:rsidR="001B2AF0">
        <w:rPr>
          <w:rFonts w:hAnsi="宋体"/>
          <w:szCs w:val="24"/>
        </w:rPr>
        <w:t>4</w:t>
      </w:r>
      <w:r>
        <w:rPr>
          <w:rFonts w:hAnsi="宋体" w:hint="eastAsia"/>
          <w:szCs w:val="24"/>
        </w:rPr>
        <w:t>基金管理人应及时完成</w:t>
      </w:r>
      <w:r w:rsidR="00777C8C">
        <w:rPr>
          <w:rFonts w:hAnsi="宋体" w:hint="eastAsia"/>
          <w:szCs w:val="24"/>
        </w:rPr>
        <w:t>报告</w:t>
      </w:r>
      <w:r>
        <w:rPr>
          <w:rFonts w:hAnsi="宋体" w:hint="eastAsia"/>
          <w:szCs w:val="24"/>
        </w:rPr>
        <w:t>编制，将有关</w:t>
      </w:r>
      <w:r w:rsidR="00777C8C">
        <w:rPr>
          <w:rFonts w:hAnsi="宋体" w:hint="eastAsia"/>
          <w:szCs w:val="24"/>
        </w:rPr>
        <w:t>报告</w:t>
      </w:r>
      <w:r>
        <w:rPr>
          <w:rFonts w:hAnsi="宋体" w:hint="eastAsia"/>
          <w:szCs w:val="24"/>
        </w:rPr>
        <w:t>提供基金托管人复核；基金托管人应当在收到报告之日起2个工作日内完成月度</w:t>
      </w:r>
      <w:r w:rsidR="00777C8C">
        <w:rPr>
          <w:rFonts w:hAnsi="宋体" w:hint="eastAsia"/>
          <w:szCs w:val="24"/>
        </w:rPr>
        <w:t>报告</w:t>
      </w:r>
      <w:r>
        <w:rPr>
          <w:rFonts w:hAnsi="宋体" w:hint="eastAsia"/>
          <w:szCs w:val="24"/>
        </w:rPr>
        <w:t>的复核；在收到报告之日起7个工作日内完成基金季度报告的复核；在收到报告之日起20</w:t>
      </w:r>
      <w:r w:rsidR="003D48C9" w:rsidRPr="003D48C9">
        <w:rPr>
          <w:rFonts w:hAnsi="宋体" w:hint="eastAsia"/>
          <w:szCs w:val="24"/>
        </w:rPr>
        <w:t>个工作日</w:t>
      </w:r>
      <w:r>
        <w:rPr>
          <w:rFonts w:hAnsi="宋体" w:hint="eastAsia"/>
          <w:szCs w:val="24"/>
        </w:rPr>
        <w:t>内完成基金</w:t>
      </w:r>
      <w:r w:rsidR="005B7532">
        <w:rPr>
          <w:rFonts w:hAnsi="宋体" w:hint="eastAsia"/>
          <w:szCs w:val="24"/>
        </w:rPr>
        <w:t>中期</w:t>
      </w:r>
      <w:r>
        <w:rPr>
          <w:rFonts w:hAnsi="宋体" w:hint="eastAsia"/>
          <w:szCs w:val="24"/>
        </w:rPr>
        <w:t>报告的复核；在收到报告之日起30</w:t>
      </w:r>
      <w:r w:rsidR="003D48C9" w:rsidRPr="003D48C9">
        <w:rPr>
          <w:rFonts w:hAnsi="宋体" w:hint="eastAsia"/>
          <w:szCs w:val="24"/>
        </w:rPr>
        <w:t>个工作日</w:t>
      </w:r>
      <w:r>
        <w:rPr>
          <w:rFonts w:hAnsi="宋体" w:hint="eastAsia"/>
          <w:szCs w:val="24"/>
        </w:rPr>
        <w:t>内完成基金年度报告的</w:t>
      </w:r>
      <w:bookmarkEnd w:id="31"/>
      <w:r>
        <w:rPr>
          <w:rFonts w:hAnsi="宋体" w:hint="eastAsia"/>
          <w:szCs w:val="24"/>
        </w:rPr>
        <w:t>复核。基金托管人在复核过程中，发现双方的</w:t>
      </w:r>
      <w:r w:rsidR="002B0CA2">
        <w:rPr>
          <w:rFonts w:hAnsi="宋体" w:hint="eastAsia"/>
          <w:szCs w:val="24"/>
        </w:rPr>
        <w:t>数据、</w:t>
      </w:r>
      <w:r w:rsidR="002B0CA2">
        <w:rPr>
          <w:rFonts w:hAnsi="宋体"/>
          <w:szCs w:val="24"/>
        </w:rPr>
        <w:t>信息</w:t>
      </w:r>
      <w:r>
        <w:rPr>
          <w:rFonts w:hAnsi="宋体" w:hint="eastAsia"/>
          <w:szCs w:val="24"/>
        </w:rPr>
        <w:t>存在不符时，基金管理人和基金托管人应共同查明原因，进行调整，调整以国家有关规定为准。</w:t>
      </w:r>
    </w:p>
    <w:p w14:paraId="6188369B" w14:textId="3BEB0F3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8.5.</w:t>
      </w:r>
      <w:r w:rsidR="00B60E44">
        <w:rPr>
          <w:rFonts w:hAnsi="宋体"/>
          <w:szCs w:val="24"/>
        </w:rPr>
        <w:t>5</w:t>
      </w:r>
      <w:r>
        <w:rPr>
          <w:rFonts w:hAnsi="宋体" w:hint="eastAsia"/>
          <w:szCs w:val="24"/>
        </w:rPr>
        <w:t>基金托管人在对财务会计报告、季度</w:t>
      </w:r>
      <w:r w:rsidR="004849DA">
        <w:rPr>
          <w:rFonts w:hAnsi="宋体" w:hint="eastAsia"/>
          <w:szCs w:val="24"/>
        </w:rPr>
        <w:t>报告</w:t>
      </w:r>
      <w:r>
        <w:rPr>
          <w:rFonts w:hAnsi="宋体" w:hint="eastAsia"/>
          <w:szCs w:val="24"/>
        </w:rPr>
        <w:t>、</w:t>
      </w:r>
      <w:r w:rsidR="005B7532">
        <w:rPr>
          <w:rFonts w:hAnsi="宋体" w:hint="eastAsia"/>
          <w:szCs w:val="24"/>
        </w:rPr>
        <w:t>中期</w:t>
      </w:r>
      <w:r>
        <w:rPr>
          <w:rFonts w:hAnsi="宋体" w:hint="eastAsia"/>
          <w:szCs w:val="24"/>
        </w:rPr>
        <w:t>报告或年度报告复核完毕后，需盖章确认或出具相应的复核确认书</w:t>
      </w:r>
      <w:r w:rsidR="004849DA" w:rsidRPr="003577BB">
        <w:rPr>
          <w:rFonts w:hAnsi="宋体" w:hint="eastAsia"/>
          <w:szCs w:val="24"/>
        </w:rPr>
        <w:t>或</w:t>
      </w:r>
      <w:r w:rsidR="004849DA">
        <w:rPr>
          <w:rFonts w:hAnsi="宋体" w:hint="eastAsia"/>
          <w:szCs w:val="24"/>
        </w:rPr>
        <w:t>进行</w:t>
      </w:r>
      <w:r w:rsidR="004849DA" w:rsidRPr="003577BB">
        <w:rPr>
          <w:rFonts w:hAnsi="宋体" w:hint="eastAsia"/>
          <w:szCs w:val="24"/>
        </w:rPr>
        <w:t>电子确认</w:t>
      </w:r>
      <w:r>
        <w:rPr>
          <w:rFonts w:hAnsi="宋体" w:hint="eastAsia"/>
          <w:szCs w:val="24"/>
        </w:rPr>
        <w:t>，以备有权机构对相关文件审核时提示。</w:t>
      </w:r>
    </w:p>
    <w:p w14:paraId="4479B97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8.6暂停估值的情形</w:t>
      </w:r>
    </w:p>
    <w:p w14:paraId="0CCDC2C3" w14:textId="11C6AB4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w:t>
      </w:r>
      <w:r w:rsidR="00EA67DA">
        <w:rPr>
          <w:rFonts w:hAnsi="宋体" w:hint="eastAsia"/>
          <w:szCs w:val="24"/>
        </w:rPr>
        <w:t>/期货</w:t>
      </w:r>
      <w:r>
        <w:rPr>
          <w:rFonts w:hAnsi="宋体" w:hint="eastAsia"/>
          <w:szCs w:val="24"/>
        </w:rPr>
        <w:t>交易市场遇法定节假日或因其他原因暂停营业时；</w:t>
      </w:r>
    </w:p>
    <w:p w14:paraId="4CB557D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（2）因不可抗力致使基金管理人、基金托管人无法准确评估基金资产价值时；</w:t>
      </w:r>
    </w:p>
    <w:p w14:paraId="63F83C0E" w14:textId="6222D6DE" w:rsidR="00B61FF9" w:rsidRDefault="002A61A3" w:rsidP="006643B1">
      <w:pPr>
        <w:pStyle w:val="20"/>
        <w:spacing w:before="0" w:after="0" w:line="520" w:lineRule="atLeast"/>
        <w:ind w:left="0" w:firstLineChars="200" w:firstLine="480"/>
        <w:rPr>
          <w:bCs/>
        </w:rPr>
      </w:pPr>
      <w:r>
        <w:rPr>
          <w:rFonts w:hAnsi="宋体" w:hint="eastAsia"/>
          <w:szCs w:val="24"/>
        </w:rPr>
        <w:t>（3）</w:t>
      </w:r>
      <w:r w:rsidRPr="003770F9">
        <w:rPr>
          <w:rFonts w:hint="eastAsia"/>
          <w:bCs/>
          <w:szCs w:val="21"/>
        </w:rPr>
        <w:t>当特定资产占前一估值日基金资产净值50%以上的，经与基金托管人协商确认后，基金管理人应当暂停估值；</w:t>
      </w:r>
    </w:p>
    <w:p w14:paraId="4524DA93" w14:textId="7B09A75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sidR="00EC0027">
        <w:rPr>
          <w:rFonts w:hAnsi="宋体" w:hint="eastAsia"/>
          <w:szCs w:val="24"/>
        </w:rPr>
        <w:t>法律法规、</w:t>
      </w:r>
      <w:r>
        <w:rPr>
          <w:rFonts w:hAnsi="宋体" w:hint="eastAsia"/>
          <w:szCs w:val="24"/>
        </w:rPr>
        <w:t>中国证监会和基金合同认定的其他情形。</w:t>
      </w:r>
    </w:p>
    <w:p w14:paraId="383F2DD3" w14:textId="77777777" w:rsidR="002B0CA2" w:rsidRDefault="002B0CA2" w:rsidP="006643B1">
      <w:pPr>
        <w:pStyle w:val="20"/>
        <w:spacing w:before="0" w:after="0" w:line="520" w:lineRule="atLeast"/>
        <w:ind w:left="0" w:firstLineChars="200" w:firstLine="480"/>
        <w:rPr>
          <w:rFonts w:hAnsi="宋体"/>
          <w:szCs w:val="24"/>
        </w:rPr>
      </w:pPr>
      <w:r>
        <w:rPr>
          <w:rFonts w:hAnsi="宋体" w:hint="eastAsia"/>
          <w:szCs w:val="24"/>
        </w:rPr>
        <w:t>8.7</w:t>
      </w:r>
      <w:r w:rsidRPr="00BA6DFF">
        <w:rPr>
          <w:rFonts w:hAnsi="宋体" w:hint="eastAsia"/>
          <w:szCs w:val="24"/>
        </w:rPr>
        <w:t>特殊情况的处理</w:t>
      </w:r>
      <w:r>
        <w:rPr>
          <w:rFonts w:hAnsi="宋体" w:hint="eastAsia"/>
          <w:szCs w:val="24"/>
        </w:rPr>
        <w:t> </w:t>
      </w:r>
    </w:p>
    <w:p w14:paraId="52F239F8" w14:textId="4729F4F7" w:rsidR="00CB1D0F" w:rsidRPr="00F15F69" w:rsidRDefault="00CB1D0F" w:rsidP="00CB1D0F">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F15F69">
        <w:rPr>
          <w:rFonts w:hint="eastAsia"/>
          <w:bCs/>
          <w:sz w:val="24"/>
          <w:szCs w:val="24"/>
        </w:rPr>
        <w:t>基金管理人或基金托管人按估值方法的第</w:t>
      </w:r>
      <w:r w:rsidR="002C5A1F">
        <w:rPr>
          <w:bCs/>
          <w:sz w:val="24"/>
          <w:szCs w:val="24"/>
        </w:rPr>
        <w:t>7</w:t>
      </w:r>
      <w:r w:rsidRPr="00F15F69">
        <w:rPr>
          <w:rFonts w:hint="eastAsia"/>
          <w:bCs/>
          <w:sz w:val="24"/>
          <w:szCs w:val="24"/>
        </w:rPr>
        <w:t>项进行估值时，所造成的误差不作为基金资产估值错误处理。</w:t>
      </w:r>
    </w:p>
    <w:p w14:paraId="69859BB7" w14:textId="53A2739D" w:rsidR="00D3749D" w:rsidRPr="00C03112" w:rsidRDefault="00CB1D0F" w:rsidP="00F15F69">
      <w:pPr>
        <w:pStyle w:val="20"/>
        <w:spacing w:before="0" w:after="0" w:line="360" w:lineRule="auto"/>
        <w:ind w:left="0" w:firstLineChars="200" w:firstLine="480"/>
        <w:rPr>
          <w:bCs/>
          <w:szCs w:val="24"/>
        </w:rPr>
      </w:pPr>
      <w:r>
        <w:rPr>
          <w:rFonts w:hint="eastAsia"/>
          <w:bCs/>
          <w:szCs w:val="24"/>
        </w:rPr>
        <w:t>（2）</w:t>
      </w:r>
      <w:r w:rsidR="00362701">
        <w:rPr>
          <w:rFonts w:hint="eastAsia"/>
          <w:bCs/>
          <w:szCs w:val="21"/>
        </w:rPr>
        <w:t>由于不可抗力原因，或由于证券/期货交易所、登记结算公司以及存款银行等第三方机构发送的数据错误，或由于国家会计政策变更、市场规则变更等</w:t>
      </w:r>
      <w:bookmarkStart w:id="32" w:name="_Hlk65242777"/>
      <w:r w:rsidR="00362701">
        <w:rPr>
          <w:rFonts w:hint="eastAsia"/>
          <w:bCs/>
          <w:szCs w:val="21"/>
        </w:rPr>
        <w:t>非基金管理人与基金托管人</w:t>
      </w:r>
      <w:bookmarkEnd w:id="32"/>
      <w:r w:rsidR="00362701">
        <w:rPr>
          <w:rFonts w:hint="eastAsia"/>
          <w:bCs/>
          <w:szCs w:val="21"/>
        </w:rPr>
        <w:t>原因，基金管理人和基金托管人虽然已经采取必要、适当、合理的措施进行检查，但是未能发现该错误而造成的基金资产净值计算错误，基金管理人</w:t>
      </w:r>
      <w:r w:rsidR="00362701">
        <w:rPr>
          <w:bCs/>
          <w:szCs w:val="21"/>
        </w:rPr>
        <w:t>和</w:t>
      </w:r>
      <w:r w:rsidR="00362701">
        <w:rPr>
          <w:rFonts w:hint="eastAsia"/>
          <w:bCs/>
          <w:szCs w:val="21"/>
        </w:rPr>
        <w:t>基金托管人应当免除赔偿责任。但基金管理人、基金托管人应当积极采取必要的措施减轻或消除由此造成的影响。</w:t>
      </w:r>
    </w:p>
    <w:p w14:paraId="5C877B08" w14:textId="28E0F0A3" w:rsidR="00D3749D" w:rsidRPr="00D3749D" w:rsidRDefault="00D3749D" w:rsidP="00D3749D">
      <w:pPr>
        <w:pStyle w:val="20"/>
        <w:spacing w:before="0" w:after="0" w:line="520" w:lineRule="atLeast"/>
        <w:ind w:left="0" w:firstLineChars="200" w:firstLine="480"/>
        <w:rPr>
          <w:bCs/>
          <w:szCs w:val="21"/>
        </w:rPr>
      </w:pPr>
      <w:r>
        <w:rPr>
          <w:rFonts w:hAnsi="宋体" w:hint="eastAsia"/>
          <w:szCs w:val="24"/>
        </w:rPr>
        <w:t>8</w:t>
      </w:r>
      <w:r>
        <w:rPr>
          <w:rFonts w:hAnsi="宋体"/>
          <w:szCs w:val="24"/>
        </w:rPr>
        <w:t>.8</w:t>
      </w:r>
      <w:r w:rsidRPr="00D3749D">
        <w:rPr>
          <w:rFonts w:hAnsi="宋体" w:hint="eastAsia"/>
          <w:szCs w:val="24"/>
        </w:rPr>
        <w:t>实施侧袋机制期间的基金资产估值</w:t>
      </w:r>
    </w:p>
    <w:p w14:paraId="31E20C0D" w14:textId="2DE8BF0D" w:rsidR="00B61FF9" w:rsidRDefault="00D3749D" w:rsidP="00D3749D">
      <w:pPr>
        <w:pStyle w:val="20"/>
        <w:spacing w:before="0" w:after="0" w:line="520" w:lineRule="atLeast"/>
        <w:ind w:left="0" w:firstLineChars="200" w:firstLine="480"/>
        <w:rPr>
          <w:rFonts w:hAnsi="宋体"/>
          <w:szCs w:val="24"/>
        </w:rPr>
      </w:pPr>
      <w:r w:rsidRPr="00D3749D">
        <w:rPr>
          <w:rFonts w:hAnsi="宋体" w:hint="eastAsia"/>
          <w:szCs w:val="24"/>
        </w:rPr>
        <w:t>本基金实施侧袋机制的，应根据基金合同的约定对主袋账户资产进行估值并披露主袋账户的</w:t>
      </w:r>
      <w:r w:rsidR="004849DA" w:rsidRPr="003577BB">
        <w:rPr>
          <w:rFonts w:hAnsi="宋体" w:hint="eastAsia"/>
          <w:szCs w:val="24"/>
        </w:rPr>
        <w:t>基金净值信息</w:t>
      </w:r>
      <w:r w:rsidRPr="00D3749D">
        <w:rPr>
          <w:rFonts w:hAnsi="宋体" w:hint="eastAsia"/>
          <w:szCs w:val="24"/>
        </w:rPr>
        <w:t>，暂停披露侧袋账户份额净值。</w:t>
      </w:r>
    </w:p>
    <w:p w14:paraId="47F50F9C" w14:textId="77777777" w:rsidR="00B61FF9" w:rsidRDefault="001B0A60" w:rsidP="006643B1">
      <w:pPr>
        <w:pStyle w:val="1"/>
        <w:spacing w:line="520" w:lineRule="atLeast"/>
        <w:ind w:firstLineChars="200" w:firstLine="482"/>
        <w:rPr>
          <w:bCs/>
          <w:color w:val="auto"/>
          <w:szCs w:val="24"/>
        </w:rPr>
      </w:pPr>
      <w:bookmarkStart w:id="33" w:name="_Toc296551345"/>
      <w:bookmarkStart w:id="34" w:name="_Toc44321732"/>
      <w:r>
        <w:rPr>
          <w:rFonts w:hint="eastAsia"/>
          <w:bCs/>
          <w:color w:val="auto"/>
          <w:szCs w:val="24"/>
        </w:rPr>
        <w:t>第九条 基金收益分配</w:t>
      </w:r>
      <w:bookmarkEnd w:id="33"/>
      <w:bookmarkEnd w:id="34"/>
    </w:p>
    <w:p w14:paraId="1F64B90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9.1基金利润的构成</w:t>
      </w:r>
    </w:p>
    <w:p w14:paraId="761BF858" w14:textId="466FCA0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基金利润指基金利息收入、投资收益、公允价值变动收益和其他收入扣除相关费用后的余额；基金已实现收益指基金利润减去公允价值变动收益后的余额。</w:t>
      </w:r>
    </w:p>
    <w:p w14:paraId="2A1332E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9.2基金可供分配利润</w:t>
      </w:r>
    </w:p>
    <w:p w14:paraId="3D9436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基金可供分配利润指截至收益分配基准日基金未分配利润与未分配利润中已实现收益的孰低数。</w:t>
      </w:r>
    </w:p>
    <w:p w14:paraId="79FA1A5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9.3收益分配原则</w:t>
      </w:r>
    </w:p>
    <w:p w14:paraId="729C443B" w14:textId="066EA0C3" w:rsidR="000849BE" w:rsidRPr="00D3749D" w:rsidRDefault="003E26AD" w:rsidP="00D3749D">
      <w:pPr>
        <w:pStyle w:val="20"/>
        <w:spacing w:before="0" w:after="0" w:line="520" w:lineRule="atLeast"/>
        <w:ind w:left="0" w:firstLineChars="200" w:firstLine="480"/>
        <w:rPr>
          <w:rFonts w:hAnsi="宋体"/>
          <w:szCs w:val="24"/>
        </w:rPr>
      </w:pPr>
      <w:r>
        <w:rPr>
          <w:rFonts w:hAnsi="宋体" w:hint="eastAsia"/>
          <w:szCs w:val="24"/>
        </w:rPr>
        <w:t>（1）</w:t>
      </w:r>
      <w:r w:rsidR="000849BE" w:rsidRPr="00D3749D">
        <w:rPr>
          <w:rFonts w:hAnsi="宋体" w:hint="eastAsia"/>
          <w:szCs w:val="24"/>
        </w:rPr>
        <w:t>在符合有关基金分红条件的前提下，本基金管理人可以根据实际情况进行收益分配，具体分配方案以公告为准，若《基金合同》生效不满3个月可不进行收益分配；</w:t>
      </w:r>
    </w:p>
    <w:p w14:paraId="6FF28E2F" w14:textId="0DA45FC4" w:rsidR="000849BE" w:rsidRPr="00D3749D" w:rsidRDefault="003E26AD" w:rsidP="00D3749D">
      <w:pPr>
        <w:pStyle w:val="20"/>
        <w:spacing w:before="0" w:after="0" w:line="520" w:lineRule="atLeast"/>
        <w:ind w:left="0" w:firstLineChars="200" w:firstLine="480"/>
        <w:rPr>
          <w:rFonts w:hAnsi="宋体"/>
          <w:szCs w:val="24"/>
        </w:rPr>
      </w:pPr>
      <w:r>
        <w:rPr>
          <w:rFonts w:hAnsi="宋体" w:hint="eastAsia"/>
          <w:szCs w:val="24"/>
        </w:rPr>
        <w:t>（2）</w:t>
      </w:r>
      <w:r w:rsidR="000849BE" w:rsidRPr="00D3749D">
        <w:rPr>
          <w:rFonts w:hAnsi="宋体" w:hint="eastAsia"/>
          <w:szCs w:val="24"/>
        </w:rPr>
        <w:t>本基金收益分配方式分两种：现金分红与红利再投资，投资者可选择现金红利或将现金红利自动转为基金份额进行再投资；若投资者不选择，本基金默认的收益分配方式是现金分红；</w:t>
      </w:r>
    </w:p>
    <w:p w14:paraId="4745851A" w14:textId="7115EDC5" w:rsidR="000849BE" w:rsidRPr="00D3749D" w:rsidRDefault="003E26AD" w:rsidP="00D3749D">
      <w:pPr>
        <w:pStyle w:val="20"/>
        <w:spacing w:before="0" w:after="0" w:line="520" w:lineRule="atLeast"/>
        <w:ind w:left="0" w:firstLineChars="200" w:firstLine="480"/>
        <w:rPr>
          <w:rFonts w:hAnsi="宋体"/>
          <w:szCs w:val="24"/>
        </w:rPr>
      </w:pPr>
      <w:r>
        <w:rPr>
          <w:rFonts w:hAnsi="宋体" w:hint="eastAsia"/>
          <w:szCs w:val="24"/>
        </w:rPr>
        <w:t>（3）</w:t>
      </w:r>
      <w:r w:rsidR="000849BE" w:rsidRPr="00D3749D">
        <w:rPr>
          <w:rFonts w:hAnsi="宋体" w:hint="eastAsia"/>
          <w:szCs w:val="24"/>
        </w:rPr>
        <w:t>基金收益分配后基金份额净值不能低于面值，即基金收益分配基准日的基金份额净值减去每单位基金份额收益分配金额后不能低于面值；</w:t>
      </w:r>
    </w:p>
    <w:p w14:paraId="5110232A" w14:textId="16AA5BF8" w:rsidR="000849BE" w:rsidRPr="00D3749D" w:rsidRDefault="003E26AD" w:rsidP="00D3749D">
      <w:pPr>
        <w:pStyle w:val="20"/>
        <w:spacing w:before="0" w:after="0" w:line="520" w:lineRule="atLeast"/>
        <w:ind w:left="0" w:firstLineChars="200" w:firstLine="480"/>
        <w:rPr>
          <w:rFonts w:hAnsi="宋体"/>
          <w:szCs w:val="24"/>
        </w:rPr>
      </w:pPr>
      <w:r>
        <w:rPr>
          <w:rFonts w:hAnsi="宋体" w:hint="eastAsia"/>
          <w:szCs w:val="24"/>
        </w:rPr>
        <w:t>（4）</w:t>
      </w:r>
      <w:r w:rsidR="000849BE" w:rsidRPr="00D3749D">
        <w:rPr>
          <w:rFonts w:hAnsi="宋体" w:hint="eastAsia"/>
          <w:szCs w:val="24"/>
        </w:rPr>
        <w:t>每</w:t>
      </w:r>
      <w:r w:rsidR="00CB1D0F">
        <w:rPr>
          <w:rFonts w:hAnsi="宋体" w:hint="eastAsia"/>
          <w:szCs w:val="24"/>
        </w:rPr>
        <w:t>一</w:t>
      </w:r>
      <w:r w:rsidR="000849BE" w:rsidRPr="00D3749D">
        <w:rPr>
          <w:rFonts w:hAnsi="宋体" w:hint="eastAsia"/>
          <w:szCs w:val="24"/>
        </w:rPr>
        <w:t>基金份额享有同等分配权；</w:t>
      </w:r>
    </w:p>
    <w:p w14:paraId="783E77A2" w14:textId="0FBEAE60" w:rsidR="000849BE" w:rsidRPr="00D3749D" w:rsidRDefault="003E26AD" w:rsidP="00D3749D">
      <w:pPr>
        <w:pStyle w:val="20"/>
        <w:spacing w:before="0" w:after="0" w:line="520" w:lineRule="atLeast"/>
        <w:ind w:left="0" w:firstLineChars="200" w:firstLine="480"/>
        <w:rPr>
          <w:rFonts w:hAnsi="宋体"/>
          <w:szCs w:val="24"/>
        </w:rPr>
      </w:pPr>
      <w:r>
        <w:rPr>
          <w:rFonts w:hAnsi="宋体" w:hint="eastAsia"/>
          <w:szCs w:val="24"/>
        </w:rPr>
        <w:t>（</w:t>
      </w:r>
      <w:r w:rsidR="00CB1D0F">
        <w:rPr>
          <w:rFonts w:hAnsi="宋体"/>
          <w:szCs w:val="24"/>
        </w:rPr>
        <w:t>5</w:t>
      </w:r>
      <w:r>
        <w:rPr>
          <w:rFonts w:hAnsi="宋体" w:hint="eastAsia"/>
          <w:szCs w:val="24"/>
        </w:rPr>
        <w:t>）</w:t>
      </w:r>
      <w:r w:rsidR="000849BE" w:rsidRPr="00D3749D">
        <w:rPr>
          <w:rFonts w:hAnsi="宋体" w:hint="eastAsia"/>
          <w:szCs w:val="24"/>
        </w:rPr>
        <w:t>法律法规或监管机关另有规定的，从其规定。</w:t>
      </w:r>
    </w:p>
    <w:p w14:paraId="1BC7E737" w14:textId="6F815D6F" w:rsidR="00B61FF9" w:rsidRPr="00D3749D" w:rsidRDefault="000849BE" w:rsidP="00D3749D">
      <w:pPr>
        <w:pStyle w:val="20"/>
        <w:spacing w:before="0" w:after="0" w:line="520" w:lineRule="atLeast"/>
        <w:ind w:left="0" w:firstLineChars="200" w:firstLine="480"/>
        <w:rPr>
          <w:rFonts w:hAnsi="宋体"/>
          <w:szCs w:val="24"/>
        </w:rPr>
      </w:pPr>
      <w:r w:rsidRPr="00D3749D">
        <w:rPr>
          <w:rFonts w:hAnsi="宋体" w:hint="eastAsia"/>
          <w:szCs w:val="24"/>
        </w:rPr>
        <w:t>在对基金份额持有人利益无实质不利影响的前提下，基金管理人可调整基金收益分配原则和支付方式，不需召开基金份额持有人大会。</w:t>
      </w:r>
    </w:p>
    <w:p w14:paraId="5EFDDD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9.4收益分配方案</w:t>
      </w:r>
    </w:p>
    <w:p w14:paraId="4C3303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基金收益分配方案中应载明截止收益分配基准日的可供分配利润、基金收益分配对象、分配时间、分配数额及比例、分配方式等内容。</w:t>
      </w:r>
    </w:p>
    <w:p w14:paraId="5C2777C5" w14:textId="6DA5CA2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9.5收益分配</w:t>
      </w:r>
      <w:r w:rsidR="00B21541">
        <w:rPr>
          <w:rFonts w:hAnsi="宋体" w:hint="eastAsia"/>
          <w:szCs w:val="24"/>
        </w:rPr>
        <w:t>方案</w:t>
      </w:r>
      <w:r>
        <w:rPr>
          <w:rFonts w:hAnsi="宋体" w:hint="eastAsia"/>
          <w:szCs w:val="24"/>
        </w:rPr>
        <w:t>的</w:t>
      </w:r>
      <w:r w:rsidR="000849BE">
        <w:rPr>
          <w:rFonts w:hAnsi="宋体" w:hint="eastAsia"/>
          <w:szCs w:val="24"/>
        </w:rPr>
        <w:t>确定、</w:t>
      </w:r>
      <w:r w:rsidR="000849BE">
        <w:rPr>
          <w:rFonts w:hAnsi="宋体"/>
          <w:szCs w:val="24"/>
        </w:rPr>
        <w:t>公告与实施</w:t>
      </w:r>
    </w:p>
    <w:p w14:paraId="09B781DD" w14:textId="25A02AF0" w:rsidR="00B61FF9" w:rsidRDefault="000849BE" w:rsidP="006643B1">
      <w:pPr>
        <w:pStyle w:val="20"/>
        <w:spacing w:before="0" w:after="0" w:line="520" w:lineRule="atLeast"/>
        <w:ind w:left="0" w:firstLineChars="200" w:firstLine="480"/>
        <w:rPr>
          <w:rFonts w:hAnsi="宋体"/>
          <w:szCs w:val="24"/>
        </w:rPr>
      </w:pPr>
      <w:r w:rsidRPr="00C73BAC">
        <w:rPr>
          <w:bCs/>
          <w:szCs w:val="21"/>
        </w:rPr>
        <w:t>本基金收益分配方案由基金管理人拟定，并由基金托管人复核，在2日内在</w:t>
      </w:r>
      <w:r w:rsidR="004A0956">
        <w:rPr>
          <w:bCs/>
          <w:szCs w:val="21"/>
        </w:rPr>
        <w:t>规定媒介</w:t>
      </w:r>
      <w:r w:rsidRPr="00C73BAC">
        <w:rPr>
          <w:bCs/>
          <w:szCs w:val="21"/>
        </w:rPr>
        <w:t>公告。</w:t>
      </w:r>
    </w:p>
    <w:p w14:paraId="15A1AB95" w14:textId="13DDD925" w:rsidR="000849BE" w:rsidRPr="000849BE" w:rsidRDefault="000849BE" w:rsidP="000849BE">
      <w:pPr>
        <w:pStyle w:val="20"/>
        <w:spacing w:before="0" w:after="0" w:line="520" w:lineRule="atLeast"/>
        <w:ind w:left="0" w:firstLineChars="200" w:firstLine="480"/>
        <w:rPr>
          <w:rFonts w:hAnsi="宋体"/>
          <w:szCs w:val="24"/>
        </w:rPr>
      </w:pPr>
      <w:r>
        <w:rPr>
          <w:rFonts w:hAnsi="宋体" w:hint="eastAsia"/>
          <w:szCs w:val="24"/>
        </w:rPr>
        <w:t>9</w:t>
      </w:r>
      <w:r>
        <w:rPr>
          <w:rFonts w:hAnsi="宋体"/>
          <w:szCs w:val="24"/>
        </w:rPr>
        <w:t>.6</w:t>
      </w:r>
      <w:r w:rsidRPr="000849BE">
        <w:rPr>
          <w:rFonts w:hAnsi="宋体" w:hint="eastAsia"/>
          <w:szCs w:val="24"/>
        </w:rPr>
        <w:t>基金收益分配中发生的费用</w:t>
      </w:r>
    </w:p>
    <w:p w14:paraId="76403596" w14:textId="50EA4E9A" w:rsidR="000849BE" w:rsidRPr="000849BE" w:rsidRDefault="000849BE" w:rsidP="000849BE">
      <w:pPr>
        <w:pStyle w:val="20"/>
        <w:spacing w:before="0" w:after="0" w:line="520" w:lineRule="atLeast"/>
        <w:ind w:left="0" w:firstLineChars="200" w:firstLine="480"/>
        <w:rPr>
          <w:rFonts w:hAnsi="宋体"/>
          <w:szCs w:val="24"/>
        </w:rPr>
      </w:pPr>
      <w:r w:rsidRPr="000849BE">
        <w:rPr>
          <w:rFonts w:hAnsi="宋体" w:hint="eastAsia"/>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854C01E" w14:textId="2B9B7784" w:rsidR="000849BE" w:rsidRPr="000849BE" w:rsidRDefault="000849BE" w:rsidP="000849BE">
      <w:pPr>
        <w:pStyle w:val="20"/>
        <w:spacing w:before="0" w:after="0" w:line="520" w:lineRule="atLeast"/>
        <w:ind w:left="0" w:firstLineChars="200" w:firstLine="480"/>
        <w:rPr>
          <w:rFonts w:hAnsi="宋体"/>
          <w:szCs w:val="24"/>
        </w:rPr>
      </w:pPr>
      <w:r>
        <w:rPr>
          <w:rFonts w:hAnsi="宋体" w:hint="eastAsia"/>
          <w:szCs w:val="24"/>
        </w:rPr>
        <w:t>9</w:t>
      </w:r>
      <w:r>
        <w:rPr>
          <w:rFonts w:hAnsi="宋体"/>
          <w:szCs w:val="24"/>
        </w:rPr>
        <w:t>.7</w:t>
      </w:r>
      <w:r w:rsidRPr="000849BE">
        <w:rPr>
          <w:rFonts w:hAnsi="宋体" w:hint="eastAsia"/>
          <w:szCs w:val="24"/>
        </w:rPr>
        <w:t>实施侧袋机制期间的收益分配</w:t>
      </w:r>
    </w:p>
    <w:p w14:paraId="21FE0253" w14:textId="59E64CF9" w:rsidR="00B61FF9" w:rsidRDefault="000849BE" w:rsidP="000849BE">
      <w:pPr>
        <w:pStyle w:val="20"/>
        <w:spacing w:before="0" w:after="0" w:line="520" w:lineRule="atLeast"/>
        <w:ind w:left="0" w:firstLineChars="200" w:firstLine="480"/>
        <w:rPr>
          <w:rFonts w:hAnsi="宋体"/>
          <w:szCs w:val="24"/>
        </w:rPr>
      </w:pPr>
      <w:r w:rsidRPr="000849BE">
        <w:rPr>
          <w:rFonts w:hAnsi="宋体" w:hint="eastAsia"/>
          <w:szCs w:val="24"/>
        </w:rPr>
        <w:t>本基金实施侧袋机制的，侧袋账户不进行收益分配，详见招募说明书的规定。</w:t>
      </w:r>
    </w:p>
    <w:p w14:paraId="28ABF083" w14:textId="77777777" w:rsidR="00B61FF9" w:rsidRDefault="001B0A60" w:rsidP="006643B1">
      <w:pPr>
        <w:pStyle w:val="1"/>
        <w:spacing w:line="520" w:lineRule="atLeast"/>
        <w:ind w:firstLineChars="200" w:firstLine="482"/>
        <w:rPr>
          <w:bCs/>
          <w:color w:val="auto"/>
          <w:szCs w:val="24"/>
        </w:rPr>
      </w:pPr>
      <w:bookmarkStart w:id="35" w:name="_Toc296551346"/>
      <w:bookmarkStart w:id="36" w:name="_Toc44321733"/>
      <w:r>
        <w:rPr>
          <w:rFonts w:hint="eastAsia"/>
          <w:bCs/>
          <w:color w:val="auto"/>
          <w:szCs w:val="24"/>
        </w:rPr>
        <w:t>第十条 信息披露</w:t>
      </w:r>
      <w:bookmarkEnd w:id="35"/>
      <w:bookmarkEnd w:id="36"/>
    </w:p>
    <w:p w14:paraId="67369A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10.1保密义务</w:t>
      </w:r>
    </w:p>
    <w:p w14:paraId="34D4A9BB" w14:textId="7F7F0FF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除按照《基金法》、</w:t>
      </w:r>
      <w:r w:rsidR="00ED1003" w:rsidRPr="00ED1003">
        <w:rPr>
          <w:rFonts w:hAnsi="宋体" w:hint="eastAsia"/>
          <w:szCs w:val="24"/>
        </w:rPr>
        <w:t>《运作办法》、</w:t>
      </w:r>
      <w:r>
        <w:rPr>
          <w:rFonts w:hAnsi="宋体" w:hint="eastAsia"/>
          <w:szCs w:val="24"/>
        </w:rPr>
        <w:t>《信息披露办法》、《流动性</w:t>
      </w:r>
      <w:r>
        <w:rPr>
          <w:rFonts w:hAnsi="宋体"/>
          <w:szCs w:val="24"/>
        </w:rPr>
        <w:t>风险管理规定</w:t>
      </w:r>
      <w:r>
        <w:rPr>
          <w:rFonts w:hAnsi="宋体" w:hint="eastAsia"/>
          <w:szCs w:val="24"/>
        </w:rPr>
        <w:t>》、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D804AD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（1）非因基金管理人和基金托管人的原因导致保密信息被披露、泄露或公开；</w:t>
      </w:r>
    </w:p>
    <w:p w14:paraId="1DC407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（2）基金管理人和基金托管人为遵守和服从法院判决或裁定、仲裁裁决或中国证监会等监管机构的命令、决定所做出的信息披露或公开。</w:t>
      </w:r>
    </w:p>
    <w:p w14:paraId="04523B7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10.2基金管理人和基金托管人在信息披露中的职责和信息披露程序</w:t>
      </w:r>
    </w:p>
    <w:p w14:paraId="73D423FD" w14:textId="15267DA8" w:rsidR="00F91330" w:rsidRDefault="001B0A60" w:rsidP="006643B1">
      <w:pPr>
        <w:pStyle w:val="20"/>
        <w:spacing w:before="0" w:after="0" w:line="520" w:lineRule="atLeast"/>
        <w:ind w:left="0" w:firstLineChars="200" w:firstLine="480"/>
        <w:rPr>
          <w:rFonts w:hAnsi="宋体"/>
          <w:szCs w:val="24"/>
        </w:rPr>
      </w:pPr>
      <w:r>
        <w:rPr>
          <w:rFonts w:hAnsi="宋体" w:hint="eastAsia"/>
          <w:szCs w:val="24"/>
        </w:rPr>
        <w:t>10.2.1基金管理人和基金托管人应根据相关法律法规、基金合同的规定各自承担相应的信息披露职责。基金管理人和基金托管人负有积极配合、互相督促、彼此监督、保证其履行按照法定方式和时限披露的义务。</w:t>
      </w:r>
    </w:p>
    <w:p w14:paraId="7D69F301" w14:textId="268A9A9F"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10.2.2</w:t>
      </w:r>
      <w:r w:rsidRPr="00F91330">
        <w:rPr>
          <w:rFonts w:hAnsi="宋体" w:hint="eastAsia"/>
          <w:szCs w:val="24"/>
        </w:rPr>
        <w:t>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w:t>
      </w:r>
      <w:r w:rsidR="00EE039B" w:rsidRPr="003577BB">
        <w:rPr>
          <w:rFonts w:hAnsi="宋体" w:hint="eastAsia"/>
          <w:szCs w:val="24"/>
        </w:rPr>
        <w:t>清算报告</w:t>
      </w:r>
      <w:r w:rsidR="00EE039B">
        <w:rPr>
          <w:rFonts w:hAnsi="宋体" w:hint="eastAsia"/>
          <w:szCs w:val="24"/>
        </w:rPr>
        <w:t>、</w:t>
      </w:r>
      <w:r w:rsidR="00EE039B" w:rsidRPr="003577BB">
        <w:rPr>
          <w:rFonts w:hAnsi="宋体" w:hint="eastAsia"/>
          <w:szCs w:val="24"/>
        </w:rPr>
        <w:t>实施侧袋机制期间的信息披露</w:t>
      </w:r>
      <w:r w:rsidR="00EE039B">
        <w:rPr>
          <w:rFonts w:hAnsi="宋体" w:hint="eastAsia"/>
          <w:szCs w:val="24"/>
        </w:rPr>
        <w:t>、</w:t>
      </w:r>
      <w:r w:rsidRPr="00F91330">
        <w:rPr>
          <w:rFonts w:hAnsi="宋体" w:hint="eastAsia"/>
          <w:szCs w:val="24"/>
        </w:rPr>
        <w:t>投资资产支持证券</w:t>
      </w:r>
      <w:r w:rsidR="006444AE">
        <w:rPr>
          <w:rFonts w:hAnsi="宋体" w:hint="eastAsia"/>
          <w:szCs w:val="24"/>
        </w:rPr>
        <w:t>、国债期货</w:t>
      </w:r>
      <w:r w:rsidRPr="00F91330">
        <w:rPr>
          <w:rFonts w:hAnsi="宋体" w:hint="eastAsia"/>
          <w:szCs w:val="24"/>
        </w:rPr>
        <w:t>的信息披露以及中国证监会规定的其他信息。</w:t>
      </w:r>
    </w:p>
    <w:p w14:paraId="1E001AC2" w14:textId="36152E46" w:rsidR="00AD38E5" w:rsidRDefault="00AD38E5" w:rsidP="006643B1">
      <w:pPr>
        <w:pStyle w:val="20"/>
        <w:spacing w:before="0" w:after="0" w:line="520" w:lineRule="atLeast"/>
        <w:ind w:left="0" w:firstLineChars="200" w:firstLine="480"/>
        <w:rPr>
          <w:rFonts w:hAnsi="宋体"/>
          <w:szCs w:val="24"/>
        </w:rPr>
      </w:pPr>
      <w:r>
        <w:rPr>
          <w:rFonts w:hAnsi="宋体" w:hint="eastAsia"/>
          <w:szCs w:val="24"/>
        </w:rPr>
        <w:t>10.2.3</w:t>
      </w:r>
      <w:r w:rsidRPr="00AD38E5">
        <w:rPr>
          <w:rFonts w:hAnsi="宋体" w:hint="eastAsia"/>
          <w:szCs w:val="24"/>
        </w:rPr>
        <w:t>基金募集申请经中国证监会注册后，基金管理人应当在基金份额发售的三日前，将基金份额发售公告、基金招募说明书提示性公告和基金合同提示性公告登载在</w:t>
      </w:r>
      <w:r w:rsidR="004849DA">
        <w:rPr>
          <w:rFonts w:hAnsi="宋体" w:hint="eastAsia"/>
          <w:szCs w:val="24"/>
        </w:rPr>
        <w:t>规定报刊</w:t>
      </w:r>
      <w:r w:rsidRPr="00AD38E5">
        <w:rPr>
          <w:rFonts w:hAnsi="宋体" w:hint="eastAsia"/>
          <w:szCs w:val="24"/>
        </w:rPr>
        <w:t>上，将基金份额发售公告、基金招募说明书、基金产品资料概要、基金合同和基金托管协议登载在</w:t>
      </w:r>
      <w:r w:rsidR="004849DA">
        <w:rPr>
          <w:rFonts w:hAnsi="宋体" w:hint="eastAsia"/>
          <w:szCs w:val="24"/>
        </w:rPr>
        <w:t>规定网站</w:t>
      </w:r>
      <w:r w:rsidRPr="00AD38E5">
        <w:rPr>
          <w:rFonts w:hAnsi="宋体" w:hint="eastAsia"/>
          <w:szCs w:val="24"/>
        </w:rPr>
        <w:t>上</w:t>
      </w:r>
      <w:r w:rsidR="00EE039B" w:rsidRPr="00947083">
        <w:rPr>
          <w:rFonts w:hAnsi="宋体" w:hint="eastAsia"/>
          <w:szCs w:val="24"/>
        </w:rPr>
        <w:t>，并将基金产品资料概要登载在基金销售机构网站或营业网点</w:t>
      </w:r>
      <w:r w:rsidRPr="00AD38E5">
        <w:rPr>
          <w:rFonts w:hAnsi="宋体" w:hint="eastAsia"/>
          <w:szCs w:val="24"/>
        </w:rPr>
        <w:t>；基金托管人应当同时将基金合同、基金托管协议登载在</w:t>
      </w:r>
      <w:r w:rsidR="004849DA">
        <w:rPr>
          <w:rFonts w:hAnsi="宋体" w:hint="eastAsia"/>
          <w:szCs w:val="24"/>
        </w:rPr>
        <w:t>规定网站</w:t>
      </w:r>
      <w:r w:rsidRPr="00AD38E5">
        <w:rPr>
          <w:rFonts w:hAnsi="宋体" w:hint="eastAsia"/>
          <w:szCs w:val="24"/>
        </w:rPr>
        <w:t>上。</w:t>
      </w:r>
    </w:p>
    <w:p w14:paraId="77511525" w14:textId="60D88019" w:rsidR="00F91330" w:rsidRDefault="00F9133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4</w:t>
      </w:r>
      <w:r w:rsidRPr="00F91330">
        <w:rPr>
          <w:rFonts w:hAnsi="宋体" w:hint="eastAsia"/>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w:t>
      </w:r>
      <w:r w:rsidRPr="00F91330">
        <w:rPr>
          <w:rFonts w:hAnsi="宋体" w:hint="eastAsia"/>
          <w:szCs w:val="24"/>
        </w:rPr>
        <w:lastRenderedPageBreak/>
        <w:t>披露的相关基金信息进行复核、审查，并向基金管理人出具书面文件确认</w:t>
      </w:r>
      <w:r w:rsidR="000A3650">
        <w:rPr>
          <w:rFonts w:hAnsi="宋体" w:hint="eastAsia"/>
          <w:szCs w:val="24"/>
        </w:rPr>
        <w:t>或进行电子确认</w:t>
      </w:r>
      <w:r w:rsidRPr="00F91330">
        <w:rPr>
          <w:rFonts w:hAnsi="宋体" w:hint="eastAsia"/>
          <w:szCs w:val="24"/>
        </w:rPr>
        <w:t>。</w:t>
      </w:r>
    </w:p>
    <w:p w14:paraId="79A96C17" w14:textId="659D081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5</w:t>
      </w:r>
      <w:r>
        <w:rPr>
          <w:rFonts w:hAnsi="宋体" w:hint="eastAsia"/>
          <w:szCs w:val="24"/>
        </w:rPr>
        <w:t>基金年</w:t>
      </w:r>
      <w:r w:rsidR="00E71B58">
        <w:rPr>
          <w:rFonts w:hAnsi="宋体" w:hint="eastAsia"/>
          <w:szCs w:val="24"/>
        </w:rPr>
        <w:t>度</w:t>
      </w:r>
      <w:r w:rsidR="00E71B58">
        <w:rPr>
          <w:rFonts w:hAnsi="宋体"/>
          <w:szCs w:val="24"/>
        </w:rPr>
        <w:t>报</w:t>
      </w:r>
      <w:r w:rsidR="00E71B58">
        <w:rPr>
          <w:rFonts w:hAnsi="宋体" w:hint="eastAsia"/>
          <w:szCs w:val="24"/>
        </w:rPr>
        <w:t>告</w:t>
      </w:r>
      <w:r>
        <w:rPr>
          <w:rFonts w:hAnsi="宋体" w:hint="eastAsia"/>
          <w:szCs w:val="24"/>
        </w:rPr>
        <w:t>中的财务报告部分，经</w:t>
      </w:r>
      <w:r w:rsidR="00EE039B" w:rsidRPr="003577BB">
        <w:rPr>
          <w:rFonts w:hAnsi="宋体" w:hint="eastAsia"/>
          <w:szCs w:val="24"/>
        </w:rPr>
        <w:t>符合《中华人民共和国证券法》规定</w:t>
      </w:r>
      <w:r w:rsidR="00B9229E" w:rsidRPr="00B9229E">
        <w:rPr>
          <w:rFonts w:hAnsi="宋体" w:hint="eastAsia"/>
          <w:szCs w:val="24"/>
        </w:rPr>
        <w:t>的</w:t>
      </w:r>
      <w:r>
        <w:rPr>
          <w:rFonts w:hAnsi="宋体" w:hint="eastAsia"/>
          <w:szCs w:val="24"/>
        </w:rPr>
        <w:t>会计师事务所审计后，方可披露。</w:t>
      </w:r>
    </w:p>
    <w:p w14:paraId="73A4A26B" w14:textId="3FA8DA9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6</w:t>
      </w:r>
      <w:r>
        <w:rPr>
          <w:rFonts w:hAnsi="宋体" w:hint="eastAsia"/>
          <w:szCs w:val="24"/>
        </w:rPr>
        <w:t>基金管理人应当在中国证监会规定的时间内，将应予披露的基金信息通过</w:t>
      </w:r>
      <w:r w:rsidR="004A0956">
        <w:rPr>
          <w:rFonts w:hAnsi="宋体" w:hint="eastAsia"/>
          <w:szCs w:val="24"/>
        </w:rPr>
        <w:t>规定媒介</w:t>
      </w:r>
      <w:r>
        <w:rPr>
          <w:rFonts w:hAnsi="宋体" w:hint="eastAsia"/>
          <w:szCs w:val="24"/>
        </w:rPr>
        <w:t>披露。根据法律法规应由基金托管人公开披露的信息，基金托管人将通过</w:t>
      </w:r>
      <w:r w:rsidR="004A0956">
        <w:rPr>
          <w:rFonts w:hAnsi="宋体" w:hint="eastAsia"/>
          <w:szCs w:val="24"/>
        </w:rPr>
        <w:t>规定媒介</w:t>
      </w:r>
      <w:r>
        <w:rPr>
          <w:rFonts w:hAnsi="宋体" w:hint="eastAsia"/>
          <w:szCs w:val="24"/>
        </w:rPr>
        <w:t>公开披露。</w:t>
      </w:r>
    </w:p>
    <w:p w14:paraId="0DF7CAA6" w14:textId="03B24A0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10.2.</w:t>
      </w:r>
      <w:r w:rsidR="00674E25">
        <w:rPr>
          <w:rFonts w:hAnsi="宋体"/>
          <w:szCs w:val="24"/>
        </w:rPr>
        <w:t>7</w:t>
      </w:r>
      <w:r>
        <w:rPr>
          <w:rFonts w:hAnsi="宋体" w:hint="eastAsia"/>
          <w:szCs w:val="24"/>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76260BC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10.3暂停或延迟信息披露的情形</w:t>
      </w:r>
    </w:p>
    <w:p w14:paraId="2C9FE54F" w14:textId="785C16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（1）基金投资所涉及的证券</w:t>
      </w:r>
      <w:r w:rsidR="005C3CEA">
        <w:rPr>
          <w:rFonts w:hAnsi="宋体" w:hint="eastAsia"/>
          <w:szCs w:val="24"/>
        </w:rPr>
        <w:t>/期货</w:t>
      </w:r>
      <w:r>
        <w:rPr>
          <w:rFonts w:hAnsi="宋体" w:hint="eastAsia"/>
          <w:szCs w:val="24"/>
        </w:rPr>
        <w:t>交易市场遇法定节假日或因其他原因暂停营业时；</w:t>
      </w:r>
    </w:p>
    <w:p w14:paraId="0D2CCAC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（2）不可抗力；</w:t>
      </w:r>
    </w:p>
    <w:p w14:paraId="0A6B642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int="eastAsia"/>
          <w:bCs/>
        </w:rPr>
        <w:t>发生暂停估值的情形；</w:t>
      </w:r>
    </w:p>
    <w:p w14:paraId="54ECC5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Ansi="宋体" w:hint="eastAsia"/>
        </w:rPr>
        <w:t>基金合同或</w:t>
      </w:r>
      <w:r>
        <w:rPr>
          <w:rFonts w:hAnsi="宋体" w:hint="eastAsia"/>
          <w:szCs w:val="24"/>
        </w:rPr>
        <w:t>中国证监会规定的情况。</w:t>
      </w:r>
    </w:p>
    <w:p w14:paraId="1A6035A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10.4基金托管人报告</w:t>
      </w:r>
    </w:p>
    <w:p w14:paraId="61E6A634" w14:textId="1D0D6C7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基金托管人应按《基金法》、《运作办法》、《信息披露办法》和其他有关法律法规的规定于每个上半年度结束后</w:t>
      </w:r>
      <w:r w:rsidR="00E71B58">
        <w:rPr>
          <w:rFonts w:hAnsi="宋体" w:hint="eastAsia"/>
          <w:szCs w:val="24"/>
        </w:rPr>
        <w:t>两个</w:t>
      </w:r>
      <w:r w:rsidR="00E71B58">
        <w:rPr>
          <w:rFonts w:hAnsi="宋体"/>
          <w:szCs w:val="24"/>
        </w:rPr>
        <w:t>月</w:t>
      </w:r>
      <w:r>
        <w:rPr>
          <w:rFonts w:hAnsi="宋体" w:hint="eastAsia"/>
          <w:szCs w:val="24"/>
        </w:rPr>
        <w:t>内、每个会计年度结束后</w:t>
      </w:r>
      <w:r w:rsidR="00E71B58">
        <w:rPr>
          <w:rFonts w:hAnsi="宋体" w:hint="eastAsia"/>
          <w:szCs w:val="24"/>
        </w:rPr>
        <w:t>三个</w:t>
      </w:r>
      <w:r w:rsidR="00E71B58">
        <w:rPr>
          <w:rFonts w:hAnsi="宋体"/>
          <w:szCs w:val="24"/>
        </w:rPr>
        <w:t>月</w:t>
      </w:r>
      <w:r>
        <w:rPr>
          <w:rFonts w:hAnsi="宋体" w:hint="eastAsia"/>
          <w:szCs w:val="24"/>
        </w:rPr>
        <w:t>内在基金</w:t>
      </w:r>
      <w:r w:rsidR="00E71B58">
        <w:rPr>
          <w:rFonts w:hAnsi="宋体" w:hint="eastAsia"/>
          <w:szCs w:val="24"/>
        </w:rPr>
        <w:t>中期</w:t>
      </w:r>
      <w:r>
        <w:rPr>
          <w:rFonts w:hAnsi="宋体" w:hint="eastAsia"/>
          <w:szCs w:val="24"/>
        </w:rPr>
        <w:t>报告及年度报告中分别出具基金托管人报告</w:t>
      </w:r>
      <w:r w:rsidR="003A4C9D">
        <w:rPr>
          <w:rFonts w:hAnsi="宋体" w:hint="eastAsia"/>
          <w:szCs w:val="24"/>
        </w:rPr>
        <w:t>，</w:t>
      </w:r>
      <w:r w:rsidR="003A4C9D">
        <w:rPr>
          <w:rFonts w:hAnsi="宋体"/>
          <w:szCs w:val="24"/>
        </w:rPr>
        <w:t>并提交给基金管理人</w:t>
      </w:r>
      <w:r>
        <w:rPr>
          <w:rFonts w:hAnsi="宋体" w:hint="eastAsia"/>
          <w:szCs w:val="24"/>
        </w:rPr>
        <w:t>。</w:t>
      </w:r>
    </w:p>
    <w:p w14:paraId="6882FFEA" w14:textId="77777777" w:rsidR="00B61FF9" w:rsidRDefault="001B0A60" w:rsidP="006643B1">
      <w:pPr>
        <w:pStyle w:val="1"/>
        <w:spacing w:line="520" w:lineRule="atLeast"/>
        <w:ind w:firstLineChars="200" w:firstLine="482"/>
        <w:rPr>
          <w:bCs/>
          <w:color w:val="auto"/>
          <w:szCs w:val="24"/>
        </w:rPr>
      </w:pPr>
      <w:bookmarkStart w:id="37" w:name="_Toc296551347"/>
      <w:bookmarkStart w:id="38" w:name="_Toc44321734"/>
      <w:r>
        <w:rPr>
          <w:rFonts w:hint="eastAsia"/>
          <w:bCs/>
          <w:color w:val="auto"/>
          <w:szCs w:val="24"/>
        </w:rPr>
        <w:t>第十一条 基金费用</w:t>
      </w:r>
      <w:bookmarkEnd w:id="37"/>
      <w:bookmarkEnd w:id="38"/>
    </w:p>
    <w:p w14:paraId="04A0AAD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11.1基金管理费的计提比例和计提方法</w:t>
      </w:r>
    </w:p>
    <w:p w14:paraId="22C6FD75" w14:textId="6CB71BB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本基金的管理费按前一日基金资产净值的</w:t>
      </w:r>
      <w:r w:rsidR="00254532">
        <w:rPr>
          <w:bCs/>
          <w:szCs w:val="21"/>
        </w:rPr>
        <w:t>0.</w:t>
      </w:r>
      <w:r w:rsidR="00D151AC">
        <w:rPr>
          <w:bCs/>
          <w:szCs w:val="21"/>
        </w:rPr>
        <w:t>30</w:t>
      </w:r>
      <w:r w:rsidR="00254532" w:rsidRPr="00C73BAC">
        <w:rPr>
          <w:bCs/>
          <w:szCs w:val="21"/>
        </w:rPr>
        <w:t>%</w:t>
      </w:r>
      <w:r>
        <w:rPr>
          <w:rFonts w:hAnsi="宋体" w:hint="eastAsia"/>
          <w:szCs w:val="24"/>
        </w:rPr>
        <w:t>年费率计提。管理费的计算方法如下：</w:t>
      </w:r>
    </w:p>
    <w:p w14:paraId="46F634F0" w14:textId="47AE429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254532" w:rsidRPr="00254532">
        <w:rPr>
          <w:rFonts w:hAnsi="宋体"/>
        </w:rPr>
        <w:t>0.</w:t>
      </w:r>
      <w:r w:rsidR="00D151AC">
        <w:rPr>
          <w:rFonts w:hAnsi="宋体"/>
        </w:rPr>
        <w:t>3</w:t>
      </w:r>
      <w:r w:rsidR="00D151AC" w:rsidRPr="00254532">
        <w:rPr>
          <w:rFonts w:hAnsi="宋体"/>
        </w:rPr>
        <w:t>0</w:t>
      </w:r>
      <w:r w:rsidR="00254532" w:rsidRPr="00254532">
        <w:rPr>
          <w:rFonts w:hAnsi="宋体"/>
        </w:rPr>
        <w:t>%</w:t>
      </w:r>
      <w:r>
        <w:rPr>
          <w:rFonts w:hAnsi="宋体" w:hint="eastAsia"/>
          <w:szCs w:val="24"/>
        </w:rPr>
        <w:t>÷当年天数</w:t>
      </w:r>
    </w:p>
    <w:p w14:paraId="6E59C7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H为每日应计提的基金管理费</w:t>
      </w:r>
    </w:p>
    <w:p w14:paraId="053FFFA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033FC7D8" w14:textId="10C9591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基金管理费每日</w:t>
      </w:r>
      <w:r w:rsidR="00EE039B">
        <w:rPr>
          <w:rFonts w:hAnsi="宋体" w:hint="eastAsia"/>
          <w:szCs w:val="24"/>
        </w:rPr>
        <w:t>计提</w:t>
      </w:r>
      <w:r>
        <w:rPr>
          <w:rFonts w:hAnsi="宋体" w:hint="eastAsia"/>
          <w:szCs w:val="24"/>
        </w:rPr>
        <w:t>，</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w:t>
      </w:r>
      <w:r>
        <w:rPr>
          <w:rFonts w:hAnsi="宋体" w:hint="eastAsia"/>
          <w:szCs w:val="24"/>
        </w:rPr>
        <w:lastRenderedPageBreak/>
        <w:t>托管人核对一致后，基金托管人按照与基金管理人协商一致的方式于次月前5个工作日内从基金财产中一次性支付给基金管理人。若遇法定节假日、休息日或不可抗力致使无法按时支付的，支付日期顺延。</w:t>
      </w:r>
    </w:p>
    <w:p w14:paraId="40E26D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11.2基金托管费的计提比例和计提方法</w:t>
      </w:r>
    </w:p>
    <w:p w14:paraId="49A1043B" w14:textId="06B86CD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本基金的托管费按前一日基金资产净值的</w:t>
      </w:r>
      <w:r w:rsidR="00254532">
        <w:rPr>
          <w:bCs/>
          <w:szCs w:val="21"/>
        </w:rPr>
        <w:t>0.10</w:t>
      </w:r>
      <w:r w:rsidR="00254532" w:rsidRPr="00C73BAC">
        <w:rPr>
          <w:bCs/>
          <w:szCs w:val="21"/>
        </w:rPr>
        <w:t>%</w:t>
      </w:r>
      <w:r>
        <w:rPr>
          <w:rFonts w:hAnsi="宋体" w:hint="eastAsia"/>
          <w:szCs w:val="24"/>
        </w:rPr>
        <w:t>的年费率计提。托管费的计算方法如下：</w:t>
      </w:r>
    </w:p>
    <w:p w14:paraId="412C2D11" w14:textId="2560086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H＝E×</w:t>
      </w:r>
      <w:r w:rsidR="00254532">
        <w:rPr>
          <w:bCs/>
          <w:szCs w:val="21"/>
        </w:rPr>
        <w:t>0.10</w:t>
      </w:r>
      <w:r w:rsidR="00254532" w:rsidRPr="00C73BAC">
        <w:rPr>
          <w:bCs/>
          <w:szCs w:val="21"/>
        </w:rPr>
        <w:t>%</w:t>
      </w:r>
      <w:r>
        <w:rPr>
          <w:rFonts w:hAnsi="宋体" w:hint="eastAsia"/>
          <w:szCs w:val="24"/>
        </w:rPr>
        <w:t>÷当年天数</w:t>
      </w:r>
    </w:p>
    <w:p w14:paraId="56C9B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H为每日应计提的基金托管费</w:t>
      </w:r>
    </w:p>
    <w:p w14:paraId="12D7837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E为前一日的基金资产净值</w:t>
      </w:r>
    </w:p>
    <w:p w14:paraId="70DB3B0D" w14:textId="702EBB1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基金托管费每日</w:t>
      </w:r>
      <w:r w:rsidR="00EE039B">
        <w:rPr>
          <w:rFonts w:hAnsi="宋体" w:hint="eastAsia"/>
          <w:szCs w:val="24"/>
        </w:rPr>
        <w:t>计提</w:t>
      </w:r>
      <w:r>
        <w:rPr>
          <w:rFonts w:hAnsi="宋体" w:hint="eastAsia"/>
          <w:szCs w:val="24"/>
        </w:rPr>
        <w:t>，</w:t>
      </w:r>
      <w:r>
        <w:rPr>
          <w:rFonts w:hAnsi="宋体" w:hint="eastAsia"/>
        </w:rPr>
        <w:t>逐日累计至</w:t>
      </w:r>
      <w:r>
        <w:rPr>
          <w:rFonts w:hAnsi="宋体" w:hint="eastAsia"/>
          <w:szCs w:val="24"/>
        </w:rPr>
        <w:t>每</w:t>
      </w:r>
      <w:r>
        <w:rPr>
          <w:rFonts w:hAnsi="宋体" w:hint="eastAsia"/>
        </w:rPr>
        <w:t>月月末，</w:t>
      </w:r>
      <w:r>
        <w:rPr>
          <w:rFonts w:hAnsi="宋体" w:hint="eastAsia"/>
          <w:szCs w:val="24"/>
        </w:rPr>
        <w:t>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445ED6AC" w14:textId="21FF374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D151AC">
        <w:rPr>
          <w:rFonts w:hAnsi="宋体"/>
          <w:szCs w:val="24"/>
        </w:rPr>
        <w:t>3</w:t>
      </w:r>
      <w:r>
        <w:rPr>
          <w:rFonts w:hAnsi="宋体" w:hint="eastAsia"/>
          <w:szCs w:val="24"/>
        </w:rPr>
        <w:t>为基金财产及基金运作所开立账户的开户费和维护费、证券</w:t>
      </w:r>
      <w:r w:rsidR="0035355B">
        <w:rPr>
          <w:rFonts w:hAnsi="宋体" w:hint="eastAsia"/>
          <w:szCs w:val="24"/>
        </w:rPr>
        <w:t>/期货</w:t>
      </w:r>
      <w:r>
        <w:rPr>
          <w:rFonts w:hAnsi="宋体" w:hint="eastAsia"/>
          <w:szCs w:val="24"/>
        </w:rPr>
        <w:t>交易费用、基金合同生效后与</w:t>
      </w:r>
      <w:r>
        <w:rPr>
          <w:rFonts w:hAnsi="宋体"/>
          <w:szCs w:val="24"/>
        </w:rPr>
        <w:t>基金相关</w:t>
      </w:r>
      <w:r>
        <w:rPr>
          <w:rFonts w:hAnsi="宋体" w:hint="eastAsia"/>
          <w:szCs w:val="24"/>
        </w:rPr>
        <w:t>的信息披露费用、基金份额持有人大会费用、基金合同生效后与基金相关的会计师费、律师费</w:t>
      </w:r>
      <w:r>
        <w:rPr>
          <w:rFonts w:hint="eastAsia"/>
          <w:bCs/>
        </w:rPr>
        <w:t>、仲裁费</w:t>
      </w:r>
      <w:r w:rsidR="001272C2">
        <w:rPr>
          <w:rFonts w:hint="eastAsia"/>
          <w:bCs/>
        </w:rPr>
        <w:t>、</w:t>
      </w:r>
      <w:r>
        <w:rPr>
          <w:bCs/>
        </w:rPr>
        <w:t>诉讼费</w:t>
      </w:r>
      <w:r>
        <w:rPr>
          <w:rFonts w:hint="eastAsia"/>
          <w:bCs/>
        </w:rPr>
        <w:t>、</w:t>
      </w:r>
      <w:r w:rsidR="001272C2" w:rsidRPr="00426F6A">
        <w:rPr>
          <w:rFonts w:hint="eastAsia"/>
          <w:bCs/>
        </w:rPr>
        <w:t>公证费和认证费</w:t>
      </w:r>
      <w:r w:rsidR="001272C2">
        <w:rPr>
          <w:rFonts w:hint="eastAsia"/>
          <w:bCs/>
        </w:rPr>
        <w:t>、</w:t>
      </w:r>
      <w:r>
        <w:rPr>
          <w:bCs/>
        </w:rPr>
        <w:t>基金的银行</w:t>
      </w:r>
      <w:r w:rsidR="001272C2">
        <w:rPr>
          <w:bCs/>
        </w:rPr>
        <w:t>划</w:t>
      </w:r>
      <w:r w:rsidR="001272C2">
        <w:rPr>
          <w:rFonts w:hint="eastAsia"/>
          <w:bCs/>
        </w:rPr>
        <w:t>汇</w:t>
      </w:r>
      <w:r>
        <w:rPr>
          <w:bCs/>
        </w:rPr>
        <w:t>费用</w:t>
      </w:r>
      <w:r>
        <w:rPr>
          <w:rFonts w:hAnsi="宋体" w:hint="eastAsia"/>
          <w:szCs w:val="24"/>
        </w:rPr>
        <w:t>等根据有关法律法规、基金合同及相应协议的规定，由基金托管人按基金管理人的划款指令并根据费用实际支出金额支付，列入或摊入当期基金费用。</w:t>
      </w:r>
    </w:p>
    <w:p w14:paraId="055E4E71" w14:textId="56F9A3F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D151AC">
        <w:rPr>
          <w:rFonts w:hAnsi="宋体"/>
          <w:szCs w:val="24"/>
        </w:rPr>
        <w:t>4</w:t>
      </w:r>
      <w:r>
        <w:rPr>
          <w:rFonts w:hAnsi="宋体" w:hint="eastAsia"/>
          <w:szCs w:val="24"/>
        </w:rPr>
        <w:t>不列入基金费用的项目</w:t>
      </w:r>
    </w:p>
    <w:p w14:paraId="0DF4033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14:paraId="652D3238" w14:textId="1EF8E81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D151AC">
        <w:rPr>
          <w:rFonts w:hAnsi="宋体"/>
          <w:szCs w:val="24"/>
        </w:rPr>
        <w:t>5</w:t>
      </w:r>
      <w:r>
        <w:rPr>
          <w:rFonts w:hAnsi="宋体" w:hint="eastAsia"/>
          <w:szCs w:val="24"/>
        </w:rPr>
        <w:t>基金管理费</w:t>
      </w:r>
      <w:r w:rsidR="00D151AC">
        <w:rPr>
          <w:rFonts w:hAnsi="宋体" w:hint="eastAsia"/>
          <w:szCs w:val="24"/>
        </w:rPr>
        <w:t>和</w:t>
      </w:r>
      <w:r>
        <w:rPr>
          <w:rFonts w:hAnsi="宋体" w:hint="eastAsia"/>
          <w:szCs w:val="24"/>
        </w:rPr>
        <w:t>基金托管费的调整</w:t>
      </w:r>
    </w:p>
    <w:p w14:paraId="11EC803D" w14:textId="4A2B9C7E" w:rsidR="00B61FF9" w:rsidRDefault="001B0A60" w:rsidP="006643B1">
      <w:pPr>
        <w:spacing w:line="520" w:lineRule="atLeast"/>
        <w:ind w:firstLineChars="200" w:firstLine="480"/>
        <w:rPr>
          <w:bCs/>
          <w:sz w:val="24"/>
        </w:rPr>
      </w:pPr>
      <w:r>
        <w:rPr>
          <w:rFonts w:hint="eastAsia"/>
          <w:bCs/>
          <w:sz w:val="24"/>
        </w:rPr>
        <w:t>在不对基金份额持有人权益产生实质性不利影响的情况下，基金管理人和基金托管人协商一致且在履行适当程序后，可按照基金发展情况，并根据法律法规规定</w:t>
      </w:r>
      <w:r>
        <w:rPr>
          <w:rFonts w:hint="eastAsia"/>
          <w:bCs/>
          <w:sz w:val="24"/>
        </w:rPr>
        <w:lastRenderedPageBreak/>
        <w:t>和基金合同约定酌情调整基金管理费率</w:t>
      </w:r>
      <w:r w:rsidR="00D151AC">
        <w:rPr>
          <w:rFonts w:hint="eastAsia"/>
          <w:bCs/>
          <w:sz w:val="24"/>
        </w:rPr>
        <w:t>和</w:t>
      </w:r>
      <w:r>
        <w:rPr>
          <w:rFonts w:hint="eastAsia"/>
          <w:bCs/>
          <w:sz w:val="24"/>
        </w:rPr>
        <w:t>基金托管费率等相关费率。</w:t>
      </w:r>
    </w:p>
    <w:p w14:paraId="39005B3C" w14:textId="0268BE59" w:rsidR="00B61FF9" w:rsidRDefault="001B0A60" w:rsidP="006643B1">
      <w:pPr>
        <w:spacing w:line="520" w:lineRule="atLeast"/>
        <w:ind w:firstLineChars="200" w:firstLine="480"/>
        <w:rPr>
          <w:bCs/>
          <w:sz w:val="24"/>
        </w:rPr>
      </w:pPr>
      <w:r>
        <w:rPr>
          <w:rFonts w:hint="eastAsia"/>
          <w:bCs/>
          <w:sz w:val="24"/>
        </w:rPr>
        <w:t>基金管理人必须于新的费率实施日前依照</w:t>
      </w:r>
      <w:r>
        <w:rPr>
          <w:bCs/>
          <w:sz w:val="24"/>
        </w:rPr>
        <w:t>《</w:t>
      </w:r>
      <w:r>
        <w:rPr>
          <w:rFonts w:hint="eastAsia"/>
          <w:bCs/>
          <w:sz w:val="24"/>
        </w:rPr>
        <w:t>信息</w:t>
      </w:r>
      <w:r>
        <w:rPr>
          <w:bCs/>
          <w:sz w:val="24"/>
        </w:rPr>
        <w:t>披露办法》</w:t>
      </w:r>
      <w:r>
        <w:rPr>
          <w:rFonts w:hint="eastAsia"/>
          <w:bCs/>
          <w:sz w:val="24"/>
        </w:rPr>
        <w:t>的</w:t>
      </w:r>
      <w:r>
        <w:rPr>
          <w:bCs/>
          <w:sz w:val="24"/>
        </w:rPr>
        <w:t>规定</w:t>
      </w:r>
      <w:r>
        <w:rPr>
          <w:rFonts w:hint="eastAsia"/>
          <w:bCs/>
          <w:sz w:val="24"/>
        </w:rPr>
        <w:t>在</w:t>
      </w:r>
      <w:r w:rsidR="004A0956">
        <w:rPr>
          <w:rFonts w:hint="eastAsia"/>
          <w:bCs/>
          <w:sz w:val="24"/>
        </w:rPr>
        <w:t>规定媒介</w:t>
      </w:r>
      <w:r>
        <w:rPr>
          <w:rFonts w:hint="eastAsia"/>
          <w:bCs/>
          <w:sz w:val="24"/>
        </w:rPr>
        <w:t>上公告。</w:t>
      </w:r>
    </w:p>
    <w:p w14:paraId="169D8D9C" w14:textId="061F6C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11.</w:t>
      </w:r>
      <w:r w:rsidR="00D151AC">
        <w:rPr>
          <w:rFonts w:hAnsi="宋体"/>
          <w:szCs w:val="24"/>
        </w:rPr>
        <w:t>6</w:t>
      </w:r>
      <w:r>
        <w:rPr>
          <w:rFonts w:hAnsi="宋体" w:hint="eastAsia"/>
          <w:szCs w:val="24"/>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73493347" w14:textId="7E975B0A" w:rsidR="00D4605A" w:rsidRPr="00D4605A" w:rsidRDefault="00D4605A" w:rsidP="00341E23">
      <w:pPr>
        <w:pStyle w:val="20"/>
        <w:spacing w:line="520" w:lineRule="atLeast"/>
        <w:ind w:left="0" w:firstLineChars="200" w:firstLine="480"/>
        <w:rPr>
          <w:rFonts w:hAnsi="宋体"/>
          <w:szCs w:val="24"/>
        </w:rPr>
      </w:pPr>
      <w:r>
        <w:rPr>
          <w:rFonts w:hAnsi="宋体" w:hint="eastAsia"/>
          <w:szCs w:val="24"/>
        </w:rPr>
        <w:t>1</w:t>
      </w:r>
      <w:r>
        <w:rPr>
          <w:rFonts w:hAnsi="宋体"/>
          <w:szCs w:val="24"/>
        </w:rPr>
        <w:t>1.</w:t>
      </w:r>
      <w:r w:rsidR="00D151AC">
        <w:rPr>
          <w:rFonts w:hAnsi="宋体"/>
          <w:szCs w:val="24"/>
        </w:rPr>
        <w:t>7</w:t>
      </w:r>
      <w:r w:rsidRPr="00D4605A">
        <w:rPr>
          <w:rFonts w:hAnsi="宋体" w:hint="eastAsia"/>
          <w:szCs w:val="24"/>
        </w:rPr>
        <w:t>实施侧袋机制期间的基金费用</w:t>
      </w:r>
    </w:p>
    <w:p w14:paraId="612E71DB" w14:textId="51E20E51" w:rsidR="00D4605A" w:rsidRDefault="00D4605A" w:rsidP="00D4605A">
      <w:pPr>
        <w:pStyle w:val="20"/>
        <w:spacing w:before="0" w:after="0" w:line="520" w:lineRule="atLeast"/>
        <w:ind w:left="0" w:firstLineChars="200" w:firstLine="480"/>
        <w:rPr>
          <w:rFonts w:hAnsi="宋体"/>
          <w:szCs w:val="24"/>
        </w:rPr>
      </w:pPr>
      <w:r w:rsidRPr="00D4605A">
        <w:rPr>
          <w:rFonts w:hAnsi="宋体" w:hint="eastAsia"/>
          <w:szCs w:val="24"/>
        </w:rPr>
        <w:t>本基金实施侧袋机制的，与侧袋账户有关的费用可以从侧袋账户中列支，但应待侧袋账户资产变现后方可列支，有关费用可酌情收取或减免，但不得收取管理费，详见招募说明书的规定</w:t>
      </w:r>
      <w:r w:rsidR="006A3BBA">
        <w:rPr>
          <w:rFonts w:hAnsi="宋体" w:hint="eastAsia"/>
          <w:szCs w:val="24"/>
        </w:rPr>
        <w:t>或相关公告</w:t>
      </w:r>
      <w:r w:rsidRPr="00D4605A">
        <w:rPr>
          <w:rFonts w:hAnsi="宋体" w:hint="eastAsia"/>
          <w:szCs w:val="24"/>
        </w:rPr>
        <w:t>。</w:t>
      </w:r>
    </w:p>
    <w:p w14:paraId="354E5384" w14:textId="77777777" w:rsidR="00B61FF9" w:rsidRDefault="001B0A60" w:rsidP="006643B1">
      <w:pPr>
        <w:pStyle w:val="1"/>
        <w:spacing w:line="520" w:lineRule="atLeast"/>
        <w:ind w:firstLineChars="200" w:firstLine="482"/>
        <w:rPr>
          <w:bCs/>
          <w:color w:val="auto"/>
          <w:szCs w:val="24"/>
        </w:rPr>
      </w:pPr>
      <w:bookmarkStart w:id="39" w:name="_Toc296551348"/>
      <w:bookmarkStart w:id="40" w:name="_Toc44321735"/>
      <w:r>
        <w:rPr>
          <w:rFonts w:hint="eastAsia"/>
          <w:bCs/>
          <w:color w:val="auto"/>
          <w:szCs w:val="24"/>
        </w:rPr>
        <w:t>第十二条 基金份额持有人名册的保管</w:t>
      </w:r>
      <w:bookmarkEnd w:id="39"/>
      <w:bookmarkEnd w:id="40"/>
    </w:p>
    <w:p w14:paraId="18E6D17D" w14:textId="4DF88AD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12.1基金管理人和基金托管人须分别妥善保管基金份额持有人名册，基金份额持有人名册的内容必须包括基金份额持有人的名称和持有的基金份额。</w:t>
      </w:r>
    </w:p>
    <w:p w14:paraId="69FF566A" w14:textId="241A420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w:t>
      </w:r>
      <w:r w:rsidR="00A66A16">
        <w:rPr>
          <w:rFonts w:hAnsi="宋体" w:hint="eastAsia"/>
          <w:szCs w:val="24"/>
        </w:rPr>
        <w:t>不低于法律法规的规定</w:t>
      </w:r>
      <w:r>
        <w:rPr>
          <w:rFonts w:hAnsi="宋体" w:hint="eastAsia"/>
          <w:szCs w:val="24"/>
        </w:rPr>
        <w:t>。</w:t>
      </w:r>
    </w:p>
    <w:p w14:paraId="2CB05DB8" w14:textId="77777777" w:rsidR="008059C3" w:rsidRDefault="001B0A60" w:rsidP="006643B1">
      <w:pPr>
        <w:pStyle w:val="20"/>
        <w:spacing w:before="0" w:after="0" w:line="520" w:lineRule="atLeast"/>
        <w:ind w:left="0" w:firstLineChars="200" w:firstLine="480"/>
        <w:rPr>
          <w:rFonts w:hAnsi="宋体"/>
          <w:szCs w:val="24"/>
        </w:rPr>
      </w:pPr>
      <w:r>
        <w:rPr>
          <w:rFonts w:hAnsi="宋体" w:hint="eastAsia"/>
          <w:szCs w:val="24"/>
        </w:rPr>
        <w:t>12.</w:t>
      </w:r>
      <w:r w:rsidR="00BB1D20">
        <w:rPr>
          <w:rFonts w:hAnsi="宋体"/>
          <w:szCs w:val="24"/>
        </w:rPr>
        <w:t>3</w:t>
      </w:r>
      <w:r w:rsidR="008059C3" w:rsidRPr="008059C3">
        <w:rPr>
          <w:rFonts w:hAnsi="宋体" w:hint="eastAsia"/>
          <w:szCs w:val="24"/>
        </w:rPr>
        <w:t>对于每半年度最后一个工作日的基金份额持有人名册，基金管理人应在每半年度结束后5个工作日内定期向基金托管人提供。对于基金募集期结束时的基金份额持有人名册、收益分配基准日的基金份额持有人名册以及基金份额持有人大会权益登记日的基金份额持有人名册，基金管理人应在相关的名册生成后5个工作日内向基金托管人提供</w:t>
      </w:r>
      <w:r w:rsidR="008059C3">
        <w:rPr>
          <w:rFonts w:hAnsi="宋体" w:hint="eastAsia"/>
          <w:szCs w:val="24"/>
        </w:rPr>
        <w:t>。</w:t>
      </w:r>
    </w:p>
    <w:p w14:paraId="5749803B" w14:textId="232378BC" w:rsidR="00B61FF9" w:rsidRDefault="008059C3" w:rsidP="006643B1">
      <w:pPr>
        <w:pStyle w:val="20"/>
        <w:spacing w:before="0" w:after="0" w:line="520" w:lineRule="atLeast"/>
        <w:ind w:left="0" w:firstLineChars="200" w:firstLine="480"/>
        <w:rPr>
          <w:rFonts w:hAnsi="宋体"/>
          <w:szCs w:val="24"/>
        </w:rPr>
      </w:pPr>
      <w:r>
        <w:rPr>
          <w:rFonts w:hAnsi="宋体"/>
          <w:szCs w:val="24"/>
        </w:rPr>
        <w:t>12.4</w:t>
      </w:r>
      <w:r w:rsidR="001B0A60">
        <w:rPr>
          <w:rFonts w:hAnsi="宋体" w:hint="eastAsia"/>
          <w:szCs w:val="24"/>
        </w:rPr>
        <w:t>若基金管理人或基金托管人由于自身原因无法妥善保管基金份额持有人名册，应按有关法规规定各自承担相应的责任。</w:t>
      </w:r>
    </w:p>
    <w:p w14:paraId="39C93E16" w14:textId="77777777" w:rsidR="00B61FF9" w:rsidRDefault="001B0A60" w:rsidP="006643B1">
      <w:pPr>
        <w:pStyle w:val="1"/>
        <w:spacing w:line="520" w:lineRule="atLeast"/>
        <w:ind w:firstLineChars="200" w:firstLine="482"/>
        <w:rPr>
          <w:bCs/>
          <w:color w:val="auto"/>
          <w:szCs w:val="24"/>
        </w:rPr>
      </w:pPr>
      <w:bookmarkStart w:id="41" w:name="_Toc296551349"/>
      <w:bookmarkStart w:id="42" w:name="_Toc44321736"/>
      <w:r>
        <w:rPr>
          <w:rFonts w:hint="eastAsia"/>
          <w:bCs/>
          <w:color w:val="auto"/>
          <w:szCs w:val="24"/>
        </w:rPr>
        <w:t>第十三条 基金有关文件和档案的保存</w:t>
      </w:r>
      <w:bookmarkEnd w:id="41"/>
      <w:bookmarkEnd w:id="42"/>
    </w:p>
    <w:p w14:paraId="785FA5FC" w14:textId="6FC8EF3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13.1基金管理人、基金托管人按各自职责完整保存原始凭证、记账凭证、基金账册、交易记录和重要合同等，</w:t>
      </w:r>
      <w:r w:rsidR="009E0DFD">
        <w:rPr>
          <w:rFonts w:hAnsi="宋体" w:hint="eastAsia"/>
          <w:szCs w:val="24"/>
        </w:rPr>
        <w:t>保存期限不少于法律法规的规定</w:t>
      </w:r>
      <w:r>
        <w:rPr>
          <w:rFonts w:hAnsi="宋体" w:hint="eastAsia"/>
          <w:szCs w:val="24"/>
        </w:rPr>
        <w:t>，对相关信息负有保密义务，</w:t>
      </w:r>
      <w:r w:rsidR="00251308" w:rsidRPr="00251308">
        <w:rPr>
          <w:rFonts w:hAnsi="宋体" w:hint="eastAsia"/>
          <w:szCs w:val="24"/>
        </w:rPr>
        <w:t>但根据有关法律法规规定或有权机关要求披露的除外。</w:t>
      </w:r>
      <w:r>
        <w:rPr>
          <w:rFonts w:hAnsi="宋体" w:hint="eastAsia"/>
          <w:szCs w:val="24"/>
        </w:rPr>
        <w:t>其中，基金管理人应保存基金财产管理业务活动的记录、账册、报表和其他相关资料，基金托管人</w:t>
      </w:r>
      <w:r>
        <w:rPr>
          <w:rFonts w:hAnsi="宋体" w:hint="eastAsia"/>
          <w:szCs w:val="24"/>
        </w:rPr>
        <w:lastRenderedPageBreak/>
        <w:t>应保存基金托管业务活动的记录、账册、报表和其他相关资料。</w:t>
      </w:r>
    </w:p>
    <w:p w14:paraId="086FA62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14:paraId="09988EF3" w14:textId="1888FF6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13.3基金管理人或基金托管人变更后，未变更的一方有义务协助接任人接受基金的有关文件。</w:t>
      </w:r>
    </w:p>
    <w:p w14:paraId="3CB0ABD0" w14:textId="77777777" w:rsidR="00B61FF9" w:rsidRDefault="001B0A60" w:rsidP="006643B1">
      <w:pPr>
        <w:pStyle w:val="1"/>
        <w:spacing w:line="520" w:lineRule="atLeast"/>
        <w:ind w:firstLineChars="200" w:firstLine="482"/>
        <w:rPr>
          <w:bCs/>
          <w:color w:val="auto"/>
          <w:szCs w:val="24"/>
        </w:rPr>
      </w:pPr>
      <w:bookmarkStart w:id="43" w:name="_Toc296551350"/>
      <w:bookmarkStart w:id="44" w:name="_Toc44321737"/>
      <w:r>
        <w:rPr>
          <w:rFonts w:hint="eastAsia"/>
          <w:bCs/>
          <w:color w:val="auto"/>
          <w:szCs w:val="24"/>
        </w:rPr>
        <w:t>第十四条 基金管理人和基金托管人的更换</w:t>
      </w:r>
      <w:bookmarkEnd w:id="43"/>
      <w:bookmarkEnd w:id="44"/>
    </w:p>
    <w:p w14:paraId="60BC127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14.1基金管理人的更换</w:t>
      </w:r>
    </w:p>
    <w:p w14:paraId="2A1E540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14.1.1基金管理人的更换条件</w:t>
      </w:r>
    </w:p>
    <w:p w14:paraId="688950E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有下列情形之一的，基金管理人职责终止：</w:t>
      </w:r>
    </w:p>
    <w:p w14:paraId="76F0892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（1）基金管理人被依法取消基金管理资格；</w:t>
      </w:r>
    </w:p>
    <w:p w14:paraId="04CA669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（2）基金管理人依法解散、被依法撤销或者被依法宣告破产；</w:t>
      </w:r>
    </w:p>
    <w:p w14:paraId="63CED5B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（3）基金管理人被基金份额持有人大会解任；</w:t>
      </w:r>
    </w:p>
    <w:p w14:paraId="10E9E1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7778823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14.1.2基金管理人的更换程序</w:t>
      </w:r>
    </w:p>
    <w:p w14:paraId="6529078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更换基金管理人必须依照如下程序进行：</w:t>
      </w:r>
    </w:p>
    <w:p w14:paraId="72125D5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（1）提名：新任基金管理人由基金托管人或由单独或合计持有10%以上（含10%）基金份额的基金份额持有人提名；</w:t>
      </w:r>
    </w:p>
    <w:p w14:paraId="4593E59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（2）决议：基金份额持有人大会在基金管理人职责终止后6个月内对被提名的基金管理人形成决议，</w:t>
      </w:r>
      <w:r>
        <w:rPr>
          <w:bCs/>
        </w:rPr>
        <w:t>该决议需经参加大会的基金份额持有人所持表决权的</w:t>
      </w:r>
      <w:r>
        <w:rPr>
          <w:rFonts w:hint="eastAsia"/>
          <w:bCs/>
        </w:rPr>
        <w:t>2/3</w:t>
      </w:r>
      <w:r>
        <w:rPr>
          <w:bCs/>
        </w:rPr>
        <w:t>以上（含</w:t>
      </w:r>
      <w:r>
        <w:rPr>
          <w:rFonts w:hint="eastAsia"/>
          <w:bCs/>
        </w:rPr>
        <w:t>2/3</w:t>
      </w:r>
      <w:r>
        <w:rPr>
          <w:bCs/>
        </w:rPr>
        <w:t>）表决通过</w:t>
      </w:r>
      <w:r>
        <w:rPr>
          <w:rFonts w:hint="eastAsia"/>
          <w:bCs/>
        </w:rPr>
        <w:t>，决议自表决通过之日起生效</w:t>
      </w:r>
      <w:r>
        <w:rPr>
          <w:rFonts w:hAnsi="宋体" w:hint="eastAsia"/>
          <w:szCs w:val="24"/>
        </w:rPr>
        <w:t>；</w:t>
      </w:r>
    </w:p>
    <w:p w14:paraId="55DCA08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（3）临时基金管理人：新任基金管理人产生之前，由中国证监会指定临时基金管理人；</w:t>
      </w:r>
    </w:p>
    <w:p w14:paraId="0C0876B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 xml:space="preserve">（4）备案：基金份额持有人大会更换基金管理人的决议须报中国证监会备案；  </w:t>
      </w:r>
    </w:p>
    <w:p w14:paraId="3BBE8852" w14:textId="4A58026F" w:rsidR="00B61FF9" w:rsidRDefault="001B0A60" w:rsidP="006643B1">
      <w:pPr>
        <w:pStyle w:val="20"/>
        <w:spacing w:before="0" w:after="0" w:line="520" w:lineRule="atLeast"/>
        <w:ind w:left="0"/>
        <w:rPr>
          <w:rFonts w:hAnsi="宋体"/>
          <w:szCs w:val="24"/>
        </w:rPr>
      </w:pPr>
      <w:r>
        <w:rPr>
          <w:rFonts w:hint="eastAsia"/>
          <w:bCs/>
        </w:rPr>
        <w:t xml:space="preserve">  </w:t>
      </w:r>
      <w:r>
        <w:rPr>
          <w:bCs/>
        </w:rPr>
        <w:t xml:space="preserve">  </w:t>
      </w:r>
      <w:r>
        <w:rPr>
          <w:rFonts w:hAnsi="宋体" w:hint="eastAsia"/>
          <w:szCs w:val="24"/>
        </w:rPr>
        <w:t>（5）公告：基金管理人更换后，由基金托管人在</w:t>
      </w:r>
      <w:r>
        <w:rPr>
          <w:rFonts w:hint="eastAsia"/>
          <w:bCs/>
        </w:rPr>
        <w:t>更换</w:t>
      </w:r>
      <w:r>
        <w:rPr>
          <w:bCs/>
        </w:rPr>
        <w:t>基金管理人的</w:t>
      </w:r>
      <w:r>
        <w:rPr>
          <w:rFonts w:hint="eastAsia"/>
          <w:bCs/>
        </w:rPr>
        <w:t>基金</w:t>
      </w:r>
      <w:r>
        <w:rPr>
          <w:bCs/>
        </w:rPr>
        <w:t>份额持有人大会</w:t>
      </w:r>
      <w:r>
        <w:rPr>
          <w:rFonts w:hint="eastAsia"/>
          <w:bCs/>
        </w:rPr>
        <w:t>决议生效后</w:t>
      </w:r>
      <w:r w:rsidR="00F46CA0" w:rsidRPr="00C73BAC">
        <w:rPr>
          <w:bCs/>
          <w:szCs w:val="21"/>
        </w:rPr>
        <w:t>2日内</w:t>
      </w:r>
      <w:r>
        <w:rPr>
          <w:bCs/>
        </w:rPr>
        <w:t>在</w:t>
      </w:r>
      <w:r w:rsidR="004A0956">
        <w:rPr>
          <w:rFonts w:hint="eastAsia"/>
          <w:bCs/>
        </w:rPr>
        <w:t>规定媒介</w:t>
      </w:r>
      <w:r>
        <w:rPr>
          <w:bCs/>
        </w:rPr>
        <w:t>公告</w:t>
      </w:r>
      <w:r>
        <w:rPr>
          <w:rFonts w:hAnsi="宋体" w:hint="eastAsia"/>
          <w:szCs w:val="24"/>
        </w:rPr>
        <w:t>；</w:t>
      </w:r>
    </w:p>
    <w:p w14:paraId="17807CB8" w14:textId="743ACB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）交接：基金管理人职责终止的，</w:t>
      </w:r>
      <w:r>
        <w:rPr>
          <w:bCs/>
        </w:rPr>
        <w:t>基金管理人</w:t>
      </w:r>
      <w:r>
        <w:rPr>
          <w:rFonts w:hAnsi="宋体" w:hint="eastAsia"/>
          <w:szCs w:val="24"/>
        </w:rPr>
        <w:t>应妥善保管基金管理业务资料，及时</w:t>
      </w:r>
      <w:r>
        <w:rPr>
          <w:bCs/>
        </w:rPr>
        <w:t>向临时基金管理人或新任基金管理人</w:t>
      </w:r>
      <w:r>
        <w:rPr>
          <w:rFonts w:hAnsi="宋体" w:hint="eastAsia"/>
          <w:szCs w:val="24"/>
        </w:rPr>
        <w:t>办理基金管理业务的移交手续，临时</w:t>
      </w:r>
      <w:r>
        <w:rPr>
          <w:rFonts w:hAnsi="宋体" w:hint="eastAsia"/>
          <w:szCs w:val="24"/>
        </w:rPr>
        <w:lastRenderedPageBreak/>
        <w:t>基金管理人或新任基金管理人应及时接收，临时基金管理人或新任基金管理人应与基金托管人核对基金资产总值</w:t>
      </w:r>
      <w:r>
        <w:rPr>
          <w:rFonts w:hint="eastAsia"/>
          <w:bCs/>
        </w:rPr>
        <w:t>和</w:t>
      </w:r>
      <w:r>
        <w:rPr>
          <w:bCs/>
        </w:rPr>
        <w:t>净值</w:t>
      </w:r>
      <w:r>
        <w:rPr>
          <w:rFonts w:hAnsi="宋体" w:hint="eastAsia"/>
          <w:szCs w:val="24"/>
        </w:rPr>
        <w:t>；</w:t>
      </w:r>
    </w:p>
    <w:p w14:paraId="373D6AE6" w14:textId="0A8D8F1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7</w:t>
      </w:r>
      <w:r>
        <w:rPr>
          <w:rFonts w:hAnsi="宋体" w:hint="eastAsia"/>
          <w:szCs w:val="24"/>
        </w:rPr>
        <w:t>）审计：基金管理人职责终止的，应当按照法律法规规定</w:t>
      </w:r>
      <w:r w:rsidR="001309C0" w:rsidRPr="001309C0">
        <w:rPr>
          <w:rFonts w:hAnsi="宋体" w:hint="eastAsia"/>
          <w:szCs w:val="24"/>
        </w:rPr>
        <w:t>聘请符合《中华人民共和国证券法》规定的会计师事务所</w:t>
      </w:r>
      <w:r>
        <w:rPr>
          <w:rFonts w:hAnsi="宋体" w:hint="eastAsia"/>
          <w:szCs w:val="24"/>
        </w:rPr>
        <w:t>对基金财产进行审计，并将审计结果予以公告，同时报中国证监会备案，审计费由基金财产承担；</w:t>
      </w:r>
    </w:p>
    <w:p w14:paraId="4A3ABB0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8</w:t>
      </w:r>
      <w:r>
        <w:rPr>
          <w:rFonts w:hAnsi="宋体" w:hint="eastAsia"/>
          <w:szCs w:val="24"/>
        </w:rPr>
        <w:t>）基金名称变更：基金管理人更换后，如果原任或新任基金管理人要求，应按其要求替换或删除基金名称中与原基金管理人有关的名称字样。</w:t>
      </w:r>
    </w:p>
    <w:p w14:paraId="4A2665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14.2基金托管人的更换</w:t>
      </w:r>
    </w:p>
    <w:p w14:paraId="3E0CA9B6" w14:textId="7A2C7EC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14.2.1基金托管人的更换条件</w:t>
      </w:r>
    </w:p>
    <w:p w14:paraId="06D772A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有下列情形之一的，基金托管人职责终止：</w:t>
      </w:r>
    </w:p>
    <w:p w14:paraId="12571C3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（1）基金托管人被依法取消基金托管资格；</w:t>
      </w:r>
    </w:p>
    <w:p w14:paraId="32E2E4E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（2）基金托管人依法解散、被依法撤销或者被依法宣布破产；</w:t>
      </w:r>
    </w:p>
    <w:p w14:paraId="4574CAE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（3）基金托管人被基金份额持有人大会解任；</w:t>
      </w:r>
    </w:p>
    <w:p w14:paraId="2C9927A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（4）法律法规</w:t>
      </w:r>
      <w:r>
        <w:rPr>
          <w:rFonts w:hint="eastAsia"/>
          <w:bCs/>
        </w:rPr>
        <w:t>及中国证监会规定的</w:t>
      </w:r>
      <w:r>
        <w:rPr>
          <w:rFonts w:hAnsi="宋体" w:hint="eastAsia"/>
          <w:szCs w:val="24"/>
        </w:rPr>
        <w:t>和基金合同规定的其他情形。</w:t>
      </w:r>
    </w:p>
    <w:p w14:paraId="0A9432A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14.2.2基金托管人的更换程序</w:t>
      </w:r>
    </w:p>
    <w:p w14:paraId="7267EE7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（1）提名：新任基金托管人由基金管理人或由单独或合计持有10%以上（含10%）基金份额的基金份额持有人提名；</w:t>
      </w:r>
    </w:p>
    <w:p w14:paraId="1834DF4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（2）决议：基金份额持有人大会在基金托管人职责终止后6个月内对被提名的基金托管人形成决议，</w:t>
      </w:r>
      <w:r>
        <w:rPr>
          <w:rFonts w:hAnsi="宋体"/>
          <w:szCs w:val="24"/>
        </w:rPr>
        <w:t>该决议需经参加大会的基金份额持有人所持表决权的</w:t>
      </w:r>
      <w:r>
        <w:rPr>
          <w:rFonts w:hAnsi="宋体" w:hint="eastAsia"/>
          <w:szCs w:val="24"/>
        </w:rPr>
        <w:t>2/3</w:t>
      </w:r>
      <w:r>
        <w:rPr>
          <w:rFonts w:hAnsi="宋体"/>
          <w:szCs w:val="24"/>
        </w:rPr>
        <w:t>以上（含</w:t>
      </w:r>
      <w:r>
        <w:rPr>
          <w:rFonts w:hAnsi="宋体" w:hint="eastAsia"/>
          <w:szCs w:val="24"/>
        </w:rPr>
        <w:t>2/3</w:t>
      </w:r>
      <w:r>
        <w:rPr>
          <w:rFonts w:hAnsi="宋体"/>
          <w:szCs w:val="24"/>
        </w:rPr>
        <w:t>）表决通过</w:t>
      </w:r>
      <w:r>
        <w:rPr>
          <w:rFonts w:hAnsi="宋体" w:hint="eastAsia"/>
          <w:szCs w:val="24"/>
        </w:rPr>
        <w:t>，决议自表决通过之日起生效；</w:t>
      </w:r>
    </w:p>
    <w:p w14:paraId="3F6613D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w:t>
      </w:r>
      <w:r>
        <w:rPr>
          <w:rFonts w:hAnsi="宋体"/>
          <w:szCs w:val="24"/>
        </w:rPr>
        <w:t>临时基金托管人：新任基金托管人产生之前，由中国证监会指定临时基金托管人；</w:t>
      </w:r>
    </w:p>
    <w:p w14:paraId="4A13D44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Pr>
          <w:rFonts w:hint="eastAsia"/>
          <w:bCs/>
        </w:rPr>
        <w:t>备案</w:t>
      </w:r>
      <w:r>
        <w:rPr>
          <w:bCs/>
        </w:rPr>
        <w:t>：</w:t>
      </w:r>
      <w:r>
        <w:rPr>
          <w:rFonts w:hint="eastAsia"/>
          <w:bCs/>
        </w:rPr>
        <w:t xml:space="preserve">基金份额持有人大会更换基金托管人的决议须报中国证监会备案；  </w:t>
      </w:r>
      <w:r>
        <w:rPr>
          <w:bCs/>
        </w:rPr>
        <w:t xml:space="preserve"> </w:t>
      </w:r>
    </w:p>
    <w:p w14:paraId="75C48CD3" w14:textId="2996000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（5）公告：基金托管人更换后，由基金管理人在</w:t>
      </w:r>
      <w:r>
        <w:rPr>
          <w:rFonts w:hint="eastAsia"/>
          <w:bCs/>
        </w:rPr>
        <w:t>更换</w:t>
      </w:r>
      <w:r>
        <w:rPr>
          <w:bCs/>
        </w:rPr>
        <w:t>基金托管人的基金</w:t>
      </w:r>
      <w:r>
        <w:rPr>
          <w:rFonts w:hint="eastAsia"/>
          <w:bCs/>
        </w:rPr>
        <w:t>份额</w:t>
      </w:r>
      <w:r>
        <w:rPr>
          <w:bCs/>
        </w:rPr>
        <w:t>持有人大会</w:t>
      </w:r>
      <w:r>
        <w:rPr>
          <w:rFonts w:hint="eastAsia"/>
          <w:bCs/>
        </w:rPr>
        <w:t>决议生效</w:t>
      </w:r>
      <w:r>
        <w:rPr>
          <w:bCs/>
        </w:rPr>
        <w:t>后</w:t>
      </w:r>
      <w:r w:rsidR="00F46CA0">
        <w:rPr>
          <w:rFonts w:hint="eastAsia"/>
          <w:bCs/>
        </w:rPr>
        <w:t>2日内</w:t>
      </w:r>
      <w:r>
        <w:rPr>
          <w:bCs/>
        </w:rPr>
        <w:t>在</w:t>
      </w:r>
      <w:r w:rsidR="004A0956">
        <w:rPr>
          <w:rFonts w:hint="eastAsia"/>
          <w:bCs/>
        </w:rPr>
        <w:t>规定媒介</w:t>
      </w:r>
      <w:r>
        <w:rPr>
          <w:bCs/>
        </w:rPr>
        <w:t>公告</w:t>
      </w:r>
      <w:r>
        <w:rPr>
          <w:rFonts w:hAnsi="宋体" w:hint="eastAsia"/>
          <w:szCs w:val="24"/>
        </w:rPr>
        <w:t>；</w:t>
      </w:r>
    </w:p>
    <w:p w14:paraId="105B685A" w14:textId="69CCD806"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交接：基金托管人职责终止的，应当妥善保管基金财产和基金托管业务资料，及时办理基金财产和基金托管业务的移交手续，临时基金托管人或新任基金托管人应当及时接收，临时基金托管人或新任基金托管人应与基金管理人核对基金</w:t>
      </w:r>
      <w:r>
        <w:rPr>
          <w:rFonts w:hAnsi="宋体" w:hint="eastAsia"/>
          <w:szCs w:val="24"/>
        </w:rPr>
        <w:lastRenderedPageBreak/>
        <w:t>资产总值</w:t>
      </w:r>
      <w:r>
        <w:rPr>
          <w:rFonts w:hint="eastAsia"/>
          <w:bCs/>
        </w:rPr>
        <w:t>和</w:t>
      </w:r>
      <w:r>
        <w:rPr>
          <w:bCs/>
        </w:rPr>
        <w:t>净值</w:t>
      </w:r>
      <w:r>
        <w:rPr>
          <w:rFonts w:hAnsi="宋体" w:hint="eastAsia"/>
          <w:szCs w:val="24"/>
        </w:rPr>
        <w:t>；</w:t>
      </w:r>
    </w:p>
    <w:p w14:paraId="1DBEF52D" w14:textId="73B7EA5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（7）审计：基金托管人职责终止的，应当按照法律法规规定</w:t>
      </w:r>
      <w:r w:rsidR="001309C0" w:rsidRPr="001309C0">
        <w:rPr>
          <w:rFonts w:hAnsi="宋体" w:hint="eastAsia"/>
          <w:szCs w:val="24"/>
        </w:rPr>
        <w:t>聘请符合《中华人民共和国证券法》规定的会计师事务所</w:t>
      </w:r>
      <w:r>
        <w:rPr>
          <w:rFonts w:hAnsi="宋体" w:hint="eastAsia"/>
          <w:szCs w:val="24"/>
        </w:rPr>
        <w:t>对基金财产进行审计，并将审计结果予以公告，同时报中国证监会备案。审计费由基金财产承担。</w:t>
      </w:r>
    </w:p>
    <w:p w14:paraId="41D086D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14.3基金管理人与基金托管人同时更换</w:t>
      </w:r>
    </w:p>
    <w:p w14:paraId="77D157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14.3.1提名：如果基金管理人和基金托管人同时更换，由单独或合计持有基金总份额10%以上</w:t>
      </w:r>
      <w:r>
        <w:rPr>
          <w:bCs/>
        </w:rPr>
        <w:t>（含</w:t>
      </w:r>
      <w:r>
        <w:rPr>
          <w:rFonts w:hint="eastAsia"/>
          <w:bCs/>
        </w:rPr>
        <w:t>10%</w:t>
      </w:r>
      <w:r>
        <w:rPr>
          <w:bCs/>
        </w:rPr>
        <w:t>）</w:t>
      </w:r>
      <w:r>
        <w:rPr>
          <w:rFonts w:hAnsi="宋体" w:hint="eastAsia"/>
          <w:szCs w:val="24"/>
        </w:rPr>
        <w:t>的基金份额持有人提名新的基金管理人和基金托管人。</w:t>
      </w:r>
    </w:p>
    <w:p w14:paraId="3521EC5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14.3.2基金管理人和基金托管人的更换分别按上述程序进行。</w:t>
      </w:r>
    </w:p>
    <w:p w14:paraId="08ED22FB" w14:textId="02C45CB1" w:rsidR="006E1C21" w:rsidRDefault="006E1C21" w:rsidP="006643B1">
      <w:pPr>
        <w:pStyle w:val="20"/>
        <w:spacing w:before="0" w:after="0" w:line="520" w:lineRule="atLeast"/>
        <w:ind w:left="0" w:firstLineChars="200" w:firstLine="480"/>
        <w:rPr>
          <w:rFonts w:hAnsi="宋体"/>
          <w:szCs w:val="24"/>
        </w:rPr>
      </w:pPr>
      <w:r>
        <w:rPr>
          <w:rFonts w:hAnsi="宋体"/>
          <w:szCs w:val="24"/>
        </w:rPr>
        <w:t>14.3.3</w:t>
      </w:r>
      <w:r w:rsidRPr="006E1C21">
        <w:rPr>
          <w:rFonts w:hAnsi="宋体" w:hint="eastAsia"/>
          <w:szCs w:val="24"/>
        </w:rPr>
        <w:t>公告：新任基金管理人和新任基金托管人应在更换基金管理人和基金托管人的基金份额持有人大会决议生效后2日内在</w:t>
      </w:r>
      <w:r w:rsidR="004A0956">
        <w:rPr>
          <w:rFonts w:hAnsi="宋体" w:hint="eastAsia"/>
          <w:szCs w:val="24"/>
        </w:rPr>
        <w:t>规定媒介</w:t>
      </w:r>
      <w:r w:rsidRPr="006E1C21">
        <w:rPr>
          <w:rFonts w:hAnsi="宋体" w:hint="eastAsia"/>
          <w:szCs w:val="24"/>
        </w:rPr>
        <w:t>上联合公告。</w:t>
      </w:r>
    </w:p>
    <w:p w14:paraId="2F55917C" w14:textId="1396ADDB" w:rsidR="00B61FF9" w:rsidRDefault="001B0A60" w:rsidP="006643B1">
      <w:pPr>
        <w:pStyle w:val="20"/>
        <w:spacing w:before="0" w:after="0" w:line="520" w:lineRule="atLeast"/>
        <w:ind w:left="0" w:firstLineChars="200" w:firstLine="480"/>
        <w:rPr>
          <w:bCs/>
        </w:rPr>
      </w:pPr>
      <w:r>
        <w:rPr>
          <w:rFonts w:hAnsi="宋体" w:hint="eastAsia"/>
          <w:szCs w:val="24"/>
        </w:rPr>
        <w:t>14.4新任或临时基金管理人</w:t>
      </w:r>
      <w:r w:rsidR="001272C2">
        <w:rPr>
          <w:rFonts w:hint="eastAsia"/>
          <w:bCs/>
        </w:rPr>
        <w:t>接收</w:t>
      </w:r>
      <w:r>
        <w:rPr>
          <w:rFonts w:hAnsi="宋体" w:hint="eastAsia"/>
          <w:szCs w:val="24"/>
        </w:rPr>
        <w:t>基金管理业务或新任或临时基金托管人</w:t>
      </w:r>
      <w:r w:rsidR="001272C2">
        <w:rPr>
          <w:rFonts w:hint="eastAsia"/>
          <w:bCs/>
        </w:rPr>
        <w:t>接收</w:t>
      </w:r>
      <w:r>
        <w:rPr>
          <w:rFonts w:hAnsi="宋体" w:hint="eastAsia"/>
          <w:szCs w:val="24"/>
        </w:rPr>
        <w:t>基金财产和基金托管业务前，原基金管理人或原基金托管人应</w:t>
      </w:r>
      <w:r>
        <w:rPr>
          <w:rFonts w:hint="eastAsia"/>
          <w:bCs/>
        </w:rPr>
        <w:t>依据法律法规和基金合同的规定</w:t>
      </w:r>
      <w:r>
        <w:rPr>
          <w:rFonts w:hAnsi="宋体" w:hint="eastAsia"/>
          <w:szCs w:val="24"/>
        </w:rPr>
        <w:t>继续履行相关职责，并保证不对基金份额持有人的利益造成损害。</w:t>
      </w:r>
      <w:r>
        <w:rPr>
          <w:rFonts w:hint="eastAsia"/>
          <w:bCs/>
        </w:rPr>
        <w:t>原基金管理人或原基金托管人在继续履行相关职责期间，仍有权按照</w:t>
      </w:r>
      <w:r>
        <w:rPr>
          <w:bCs/>
        </w:rPr>
        <w:t>基金</w:t>
      </w:r>
      <w:r>
        <w:rPr>
          <w:rFonts w:hint="eastAsia"/>
          <w:bCs/>
        </w:rPr>
        <w:t>合同的规定收取基金管理费或基金托管费。</w:t>
      </w:r>
    </w:p>
    <w:p w14:paraId="00BAFE85" w14:textId="7244A3EF" w:rsidR="00B61FF9" w:rsidRDefault="006E1C21" w:rsidP="006643B1">
      <w:pPr>
        <w:pStyle w:val="20"/>
        <w:spacing w:before="0" w:after="0" w:line="520" w:lineRule="atLeast"/>
        <w:ind w:left="0" w:firstLineChars="200" w:firstLine="480"/>
        <w:rPr>
          <w:rFonts w:hAnsi="宋体"/>
          <w:szCs w:val="24"/>
        </w:rPr>
      </w:pPr>
      <w:r>
        <w:rPr>
          <w:rFonts w:hint="eastAsia"/>
          <w:bCs/>
        </w:rPr>
        <w:t>14.5</w:t>
      </w:r>
      <w:r w:rsidRPr="006E1C21">
        <w:rPr>
          <w:rFonts w:hint="eastAsia"/>
          <w:bCs/>
        </w:rPr>
        <w:t>本部分关于基金管理人、基金托管人更换条件和程序的约定，凡是直接引用法律法规或监管规则的部分，如法律法规或监管规则修改导致相关内容被取消或变更的，基金管理人与基金托管人协商一致并公告后，可直接对相应内容进行修改和调整，无需召开基金份额持有人大会审议。</w:t>
      </w:r>
    </w:p>
    <w:p w14:paraId="20C2D7D6" w14:textId="77777777" w:rsidR="00B61FF9" w:rsidRDefault="001B0A60" w:rsidP="006643B1">
      <w:pPr>
        <w:pStyle w:val="1"/>
        <w:spacing w:line="520" w:lineRule="atLeast"/>
        <w:ind w:firstLineChars="200" w:firstLine="482"/>
        <w:rPr>
          <w:bCs/>
          <w:color w:val="auto"/>
          <w:szCs w:val="24"/>
        </w:rPr>
      </w:pPr>
      <w:bookmarkStart w:id="45" w:name="_Toc296551351"/>
      <w:bookmarkStart w:id="46" w:name="_Toc44321738"/>
      <w:r>
        <w:rPr>
          <w:rFonts w:hint="eastAsia"/>
          <w:bCs/>
          <w:color w:val="auto"/>
          <w:szCs w:val="24"/>
        </w:rPr>
        <w:t>第十五条 禁止行为</w:t>
      </w:r>
      <w:bookmarkEnd w:id="45"/>
      <w:bookmarkEnd w:id="46"/>
    </w:p>
    <w:p w14:paraId="6DDEE3F7" w14:textId="5916ABDC"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w:t>
      </w:r>
      <w:r w:rsidR="00956305" w:rsidRPr="00956305">
        <w:rPr>
          <w:rFonts w:hAnsi="宋体" w:hint="eastAsia"/>
          <w:szCs w:val="24"/>
        </w:rPr>
        <w:t>基金管理人、基金托管人</w:t>
      </w:r>
      <w:r>
        <w:rPr>
          <w:rFonts w:hAnsi="宋体" w:hint="eastAsia"/>
          <w:szCs w:val="24"/>
        </w:rPr>
        <w:t>禁止从事的行为，包括但不限于：</w:t>
      </w:r>
    </w:p>
    <w:p w14:paraId="1ADC5B0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15.1.1基金管理人、基金托管人将其固有财产或者他人财产混同于基金财产从事证券投资。</w:t>
      </w:r>
    </w:p>
    <w:p w14:paraId="129DDB9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15.1.2基金管理人不公平地对待其管理的不同基金财产，基金托管人不公平地对待其托管的不同基金财产。</w:t>
      </w:r>
    </w:p>
    <w:p w14:paraId="4CFCF4FC" w14:textId="73A02AE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15.1.3基金管理人、基金托管人利用基金财产</w:t>
      </w:r>
      <w:r w:rsidR="001272C2" w:rsidRPr="00426F6A">
        <w:rPr>
          <w:rFonts w:hAnsi="宋体" w:hint="eastAsia"/>
          <w:szCs w:val="24"/>
        </w:rPr>
        <w:t>或职务之便</w:t>
      </w:r>
      <w:r>
        <w:rPr>
          <w:rFonts w:hAnsi="宋体" w:hint="eastAsia"/>
          <w:szCs w:val="24"/>
        </w:rPr>
        <w:t>为基金份额持有人以外的第三人牟取利益。</w:t>
      </w:r>
    </w:p>
    <w:p w14:paraId="1F4F40F0"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15.1.4基金管理人、基金托管人向基金份额持有人违规承诺收益或者承担损</w:t>
      </w:r>
      <w:r>
        <w:rPr>
          <w:rFonts w:hAnsi="宋体" w:hint="eastAsia"/>
          <w:szCs w:val="24"/>
        </w:rPr>
        <w:lastRenderedPageBreak/>
        <w:t>失。</w:t>
      </w:r>
    </w:p>
    <w:p w14:paraId="3E7B056A" w14:textId="4E51F8E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15.1.5基金管理人、基金托管人对他人</w:t>
      </w:r>
      <w:r w:rsidR="001272C2" w:rsidRPr="00426F6A">
        <w:rPr>
          <w:rFonts w:hAnsi="宋体" w:hint="eastAsia"/>
          <w:szCs w:val="24"/>
        </w:rPr>
        <w:t>泄露</w:t>
      </w:r>
      <w:r>
        <w:rPr>
          <w:rFonts w:hAnsi="宋体" w:hint="eastAsia"/>
          <w:szCs w:val="24"/>
        </w:rPr>
        <w:t>基金运作和管理过程中任何尚未按法律法规规定的方式公开披露的信息。</w:t>
      </w:r>
    </w:p>
    <w:p w14:paraId="108B7F4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15.1.6基金管理人在没有充足资金的情况下向基金托管人发出投资指令和赎回、分红资金的划拨指令，或违规向基金托管人发出指令。</w:t>
      </w:r>
    </w:p>
    <w:p w14:paraId="529DF95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15.1.7基金管理人、基金托管人在行政上、财务上不独立，其高级管理人员和其他从业人员相互兼职。</w:t>
      </w:r>
    </w:p>
    <w:p w14:paraId="11727950" w14:textId="55CBFF8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15.1.8基金托管人私自动用或处分基金财产，根据基金管理人的合法指令、基金合同或</w:t>
      </w:r>
      <w:r w:rsidR="00956305">
        <w:rPr>
          <w:rFonts w:hAnsi="宋体" w:hint="eastAsia"/>
          <w:szCs w:val="24"/>
        </w:rPr>
        <w:t>本</w:t>
      </w:r>
      <w:r>
        <w:rPr>
          <w:rFonts w:hAnsi="宋体" w:hint="eastAsia"/>
          <w:szCs w:val="24"/>
        </w:rPr>
        <w:t>协议的规定进行处分的除外。</w:t>
      </w:r>
    </w:p>
    <w:p w14:paraId="6FA4A03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15.1.9基金财产用于下列投资或者活动：</w:t>
      </w:r>
    </w:p>
    <w:p w14:paraId="19A359FD"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（1）承销证券；</w:t>
      </w:r>
    </w:p>
    <w:p w14:paraId="2AC00A1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w:t>
      </w:r>
      <w:r>
        <w:rPr>
          <w:rFonts w:hint="eastAsia"/>
          <w:bCs/>
        </w:rPr>
        <w:t>违反规定</w:t>
      </w:r>
      <w:r>
        <w:rPr>
          <w:rFonts w:hAnsi="宋体" w:hint="eastAsia"/>
          <w:szCs w:val="24"/>
        </w:rPr>
        <w:t>向他人贷款或者提供担保；</w:t>
      </w:r>
    </w:p>
    <w:p w14:paraId="244EE8C6" w14:textId="20A5AD7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（3）从事承担无限责任的投资；</w:t>
      </w:r>
    </w:p>
    <w:p w14:paraId="0244A90F" w14:textId="39C6206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（4）买卖其他基金份额，但</w:t>
      </w:r>
      <w:r w:rsidR="001272C2">
        <w:rPr>
          <w:rFonts w:hAnsi="宋体" w:hint="eastAsia"/>
          <w:szCs w:val="24"/>
        </w:rPr>
        <w:t>是</w:t>
      </w:r>
      <w:r>
        <w:rPr>
          <w:rFonts w:hAnsi="宋体" w:hint="eastAsia"/>
          <w:szCs w:val="24"/>
        </w:rPr>
        <w:t>中国证监会另有规定的除外；</w:t>
      </w:r>
    </w:p>
    <w:p w14:paraId="1F164F9C" w14:textId="00D6575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（5）向其基金管理人、基金托管人出资；</w:t>
      </w:r>
    </w:p>
    <w:p w14:paraId="35F8DF21"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w:t>
      </w:r>
      <w:r>
        <w:rPr>
          <w:rFonts w:hAnsi="宋体"/>
          <w:szCs w:val="24"/>
        </w:rPr>
        <w:t>6</w:t>
      </w:r>
      <w:r>
        <w:rPr>
          <w:rFonts w:hAnsi="宋体" w:hint="eastAsia"/>
          <w:szCs w:val="24"/>
        </w:rPr>
        <w:t>）从事内幕交易、操纵证券交易价格及其他不正当的证券交易活动；</w:t>
      </w:r>
    </w:p>
    <w:p w14:paraId="2794BC19" w14:textId="77777777" w:rsidR="00B61FF9" w:rsidRDefault="001B0A60" w:rsidP="006643B1">
      <w:pPr>
        <w:pStyle w:val="20"/>
        <w:spacing w:before="0" w:after="0" w:line="520" w:lineRule="atLeast"/>
        <w:ind w:left="0" w:firstLineChars="200" w:firstLine="480"/>
        <w:rPr>
          <w:rFonts w:hAnsi="宋体"/>
          <w:szCs w:val="24"/>
        </w:rPr>
      </w:pPr>
      <w:r>
        <w:rPr>
          <w:rFonts w:hint="eastAsia"/>
          <w:bCs/>
        </w:rPr>
        <w:t>（</w:t>
      </w:r>
      <w:r>
        <w:rPr>
          <w:bCs/>
        </w:rPr>
        <w:t>7</w:t>
      </w:r>
      <w:r>
        <w:rPr>
          <w:rFonts w:hint="eastAsia"/>
          <w:bCs/>
        </w:rPr>
        <w:t>）</w:t>
      </w:r>
      <w:r>
        <w:rPr>
          <w:bCs/>
        </w:rPr>
        <w:t>法律</w:t>
      </w:r>
      <w:r>
        <w:rPr>
          <w:rFonts w:hint="eastAsia"/>
          <w:bCs/>
        </w:rPr>
        <w:t>、</w:t>
      </w:r>
      <w:r>
        <w:rPr>
          <w:bCs/>
        </w:rPr>
        <w:t>行政法规</w:t>
      </w:r>
      <w:r>
        <w:rPr>
          <w:rFonts w:hint="eastAsia"/>
          <w:bCs/>
        </w:rPr>
        <w:t>和中国证监会规定禁止的其他活动</w:t>
      </w:r>
      <w:r>
        <w:rPr>
          <w:rFonts w:hAnsi="宋体" w:hint="eastAsia"/>
          <w:szCs w:val="24"/>
        </w:rPr>
        <w:t>。</w:t>
      </w:r>
    </w:p>
    <w:p w14:paraId="09C60CAA" w14:textId="58ECAE5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15.1.10法律法规或监管部门取消</w:t>
      </w:r>
      <w:r>
        <w:rPr>
          <w:rFonts w:hint="eastAsia"/>
          <w:bCs/>
        </w:rPr>
        <w:t>或变更上述禁止性规定</w:t>
      </w:r>
      <w:r>
        <w:rPr>
          <w:bCs/>
        </w:rPr>
        <w:t>，</w:t>
      </w:r>
      <w:r>
        <w:rPr>
          <w:rFonts w:hint="eastAsia"/>
          <w:bCs/>
        </w:rPr>
        <w:t>如适用于本基金</w:t>
      </w:r>
      <w:r>
        <w:rPr>
          <w:rFonts w:hAnsi="宋体" w:hint="eastAsia"/>
          <w:szCs w:val="24"/>
        </w:rPr>
        <w:t>，基金管理人在履行适当程序后，</w:t>
      </w:r>
      <w:r>
        <w:rPr>
          <w:rFonts w:hint="eastAsia"/>
          <w:bCs/>
        </w:rPr>
        <w:t>可不受上述规定的限制或按变更后的规定执行</w:t>
      </w:r>
      <w:r>
        <w:rPr>
          <w:rFonts w:hAnsi="宋体" w:hint="eastAsia"/>
          <w:szCs w:val="24"/>
        </w:rPr>
        <w:t>。</w:t>
      </w:r>
    </w:p>
    <w:p w14:paraId="0DE0930D" w14:textId="0E16810A" w:rsidR="00B61FF9" w:rsidRDefault="001B0A60" w:rsidP="006643B1">
      <w:pPr>
        <w:pStyle w:val="1"/>
        <w:spacing w:line="520" w:lineRule="atLeast"/>
        <w:ind w:firstLineChars="200" w:firstLine="482"/>
        <w:rPr>
          <w:bCs/>
          <w:color w:val="auto"/>
          <w:szCs w:val="24"/>
        </w:rPr>
      </w:pPr>
      <w:bookmarkStart w:id="47" w:name="_Toc296551352"/>
      <w:bookmarkStart w:id="48" w:name="_Toc44321739"/>
      <w:r>
        <w:rPr>
          <w:rFonts w:hint="eastAsia"/>
          <w:bCs/>
          <w:color w:val="auto"/>
          <w:szCs w:val="24"/>
        </w:rPr>
        <w:t xml:space="preserve">第十六条 </w:t>
      </w:r>
      <w:r w:rsidR="00AA086B">
        <w:rPr>
          <w:rFonts w:hint="eastAsia"/>
          <w:bCs/>
          <w:color w:val="auto"/>
          <w:szCs w:val="24"/>
        </w:rPr>
        <w:t>本</w:t>
      </w:r>
      <w:r>
        <w:rPr>
          <w:rFonts w:hint="eastAsia"/>
          <w:bCs/>
          <w:color w:val="auto"/>
          <w:szCs w:val="24"/>
        </w:rPr>
        <w:t>协议的变更、终止与基金财产的清算</w:t>
      </w:r>
      <w:bookmarkEnd w:id="47"/>
      <w:bookmarkEnd w:id="48"/>
    </w:p>
    <w:p w14:paraId="7B762386" w14:textId="32872C6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w:t>
      </w:r>
      <w:r w:rsidR="002309FE">
        <w:rPr>
          <w:rFonts w:hAnsi="宋体" w:hint="eastAsia"/>
          <w:szCs w:val="24"/>
        </w:rPr>
        <w:t>本</w:t>
      </w:r>
      <w:r>
        <w:rPr>
          <w:rFonts w:hAnsi="宋体" w:hint="eastAsia"/>
          <w:szCs w:val="24"/>
        </w:rPr>
        <w:t>协议的变更与终止</w:t>
      </w:r>
    </w:p>
    <w:p w14:paraId="7E3DC8A8" w14:textId="06BF4D0E"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16.1.1</w:t>
      </w:r>
      <w:r w:rsidR="002309FE">
        <w:rPr>
          <w:rFonts w:hAnsi="宋体" w:hint="eastAsia"/>
          <w:szCs w:val="24"/>
        </w:rPr>
        <w:t>本</w:t>
      </w:r>
      <w:r>
        <w:rPr>
          <w:rFonts w:hAnsi="宋体" w:hint="eastAsia"/>
          <w:szCs w:val="24"/>
        </w:rPr>
        <w:t>协议的变更程序</w:t>
      </w:r>
    </w:p>
    <w:p w14:paraId="2347D456" w14:textId="73FBB9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本协议双方当事人经协商一致，可以对协议的内容进行变更。变更后的托管协议，其内容不得与基金合同的规定有任何冲突。本协议的变更报中国证监会注册或备案。</w:t>
      </w:r>
    </w:p>
    <w:p w14:paraId="15A9B219" w14:textId="1AFCAC5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16.1.2</w:t>
      </w:r>
      <w:r w:rsidR="002309FE">
        <w:rPr>
          <w:rFonts w:hAnsi="宋体" w:hint="eastAsia"/>
          <w:szCs w:val="24"/>
        </w:rPr>
        <w:t>本</w:t>
      </w:r>
      <w:r>
        <w:rPr>
          <w:rFonts w:hAnsi="宋体" w:hint="eastAsia"/>
          <w:szCs w:val="24"/>
        </w:rPr>
        <w:t>协议终止的情形</w:t>
      </w:r>
    </w:p>
    <w:p w14:paraId="2A222E2B" w14:textId="6A6BBB0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发生以下情况，本协议终止：</w:t>
      </w:r>
    </w:p>
    <w:p w14:paraId="7C51ED3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w:t>
      </w:r>
    </w:p>
    <w:p w14:paraId="6E06C074" w14:textId="39E0FCA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（2）基金托管人解散、依法被撤销、破产</w:t>
      </w:r>
      <w:r w:rsidR="00965E4D">
        <w:rPr>
          <w:rFonts w:hAnsi="宋体" w:hint="eastAsia"/>
          <w:szCs w:val="24"/>
        </w:rPr>
        <w:t>或</w:t>
      </w:r>
      <w:r w:rsidR="00965E4D">
        <w:rPr>
          <w:rFonts w:hAnsi="宋体"/>
          <w:szCs w:val="24"/>
        </w:rPr>
        <w:t>职责终止</w:t>
      </w:r>
      <w:r w:rsidR="00965E4D">
        <w:rPr>
          <w:rFonts w:hAnsi="宋体" w:hint="eastAsia"/>
          <w:szCs w:val="24"/>
        </w:rPr>
        <w:t>后</w:t>
      </w:r>
      <w:r>
        <w:rPr>
          <w:rFonts w:hAnsi="宋体" w:hint="eastAsia"/>
          <w:szCs w:val="24"/>
        </w:rPr>
        <w:t>由其他基金托管人接管基金资产；</w:t>
      </w:r>
    </w:p>
    <w:p w14:paraId="1412220C" w14:textId="074A0D15"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（3）基金管理人解散、依法被撤销、破产</w:t>
      </w:r>
      <w:r w:rsidR="00965E4D">
        <w:rPr>
          <w:rFonts w:hAnsi="宋体" w:hint="eastAsia"/>
          <w:szCs w:val="24"/>
        </w:rPr>
        <w:t>或</w:t>
      </w:r>
      <w:r w:rsidR="00965E4D">
        <w:rPr>
          <w:rFonts w:hAnsi="宋体"/>
          <w:szCs w:val="24"/>
        </w:rPr>
        <w:t>职责终止</w:t>
      </w:r>
      <w:r w:rsidR="00965E4D">
        <w:rPr>
          <w:rFonts w:hAnsi="宋体" w:hint="eastAsia"/>
          <w:szCs w:val="24"/>
        </w:rPr>
        <w:t>后</w:t>
      </w:r>
      <w:r>
        <w:rPr>
          <w:rFonts w:hAnsi="宋体" w:hint="eastAsia"/>
          <w:szCs w:val="24"/>
        </w:rPr>
        <w:t>由其他基金管理人接管基金管理权；</w:t>
      </w:r>
    </w:p>
    <w:p w14:paraId="16B0DC3C" w14:textId="6716F9EA" w:rsidR="00B61FF9" w:rsidRDefault="00BA71B2" w:rsidP="00B91FE0">
      <w:pPr>
        <w:pStyle w:val="20"/>
        <w:spacing w:before="0" w:after="0" w:line="520" w:lineRule="atLeast"/>
        <w:ind w:left="0" w:firstLineChars="200" w:firstLine="480"/>
        <w:rPr>
          <w:rFonts w:hAnsi="宋体"/>
          <w:szCs w:val="24"/>
        </w:rPr>
      </w:pPr>
      <w:r>
        <w:rPr>
          <w:rFonts w:hAnsi="宋体" w:hint="eastAsia"/>
          <w:szCs w:val="24"/>
        </w:rPr>
        <w:t>（4）</w:t>
      </w:r>
      <w:r w:rsidR="001B0A60">
        <w:rPr>
          <w:rFonts w:hAnsi="宋体" w:hint="eastAsia"/>
          <w:szCs w:val="24"/>
        </w:rPr>
        <w:t>发生法律法规或基金合同规定的终止事项。</w:t>
      </w:r>
    </w:p>
    <w:p w14:paraId="19FDB44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16.2基金财产的清算</w:t>
      </w:r>
    </w:p>
    <w:p w14:paraId="34F9D066" w14:textId="3FF92344"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16.2.1基金财产清算小组</w:t>
      </w:r>
    </w:p>
    <w:p w14:paraId="6EBCB3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（1）自出现基金合同终止事由之日起30个工作日内成立基金财产清算小组，基金管理人组织基金财产清算小组并在中国证监会的监督下进行基金清算。</w:t>
      </w:r>
    </w:p>
    <w:p w14:paraId="58362C37" w14:textId="3EE49F3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（2）基金财产清算小组成员由基金管理人、基金托管人、</w:t>
      </w:r>
      <w:r w:rsidR="00F46CA0" w:rsidRPr="00FE4A25">
        <w:rPr>
          <w:bCs/>
          <w:szCs w:val="21"/>
        </w:rPr>
        <w:t>符合</w:t>
      </w:r>
      <w:r w:rsidR="00F46CA0" w:rsidRPr="00FE4A25">
        <w:rPr>
          <w:rFonts w:hint="eastAsia"/>
          <w:bCs/>
          <w:szCs w:val="21"/>
        </w:rPr>
        <w:t>《中华人民共和国证券法》规定</w:t>
      </w:r>
      <w:r w:rsidR="00B9229E" w:rsidRPr="00B9229E">
        <w:rPr>
          <w:rFonts w:hAnsi="宋体" w:hint="eastAsia"/>
          <w:szCs w:val="24"/>
        </w:rPr>
        <w:t>的</w:t>
      </w:r>
      <w:r>
        <w:rPr>
          <w:rFonts w:hAnsi="宋体" w:hint="eastAsia"/>
          <w:szCs w:val="24"/>
        </w:rPr>
        <w:t>注册会计师、律师以及中国证监会指定的人员组成。基金财产清算小组可以聘用必要的工作人员。</w:t>
      </w:r>
    </w:p>
    <w:p w14:paraId="314B2534" w14:textId="25FF513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（3）在基金财产清算过程中，基金管理人和基金托管人应各自履行职责，继续忠实、勤勉、尽责地履行基金合同和本协议规定的义务，维护基金份额持有人的合法权益。</w:t>
      </w:r>
    </w:p>
    <w:p w14:paraId="2ADF12F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（4）基金财产清算小组负责基金财产的保管、清理、估价、变现和分配。基金财产清算小组可以依法进行必要的民事活动。</w:t>
      </w:r>
    </w:p>
    <w:p w14:paraId="4AE71D6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16.2.2基金财产清算程序</w:t>
      </w:r>
    </w:p>
    <w:p w14:paraId="1F5F5DBF"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基金合同终止，应当按法律法规和基金合同的有关规定对基金财产进行清算。基金财产清算程序主要包括：</w:t>
      </w:r>
    </w:p>
    <w:p w14:paraId="289C28C0" w14:textId="63BCF0D9"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（1）基金合同终止情形出现</w:t>
      </w:r>
      <w:r w:rsidR="00F46CA0">
        <w:rPr>
          <w:rFonts w:hint="eastAsia"/>
          <w:bCs/>
          <w:szCs w:val="21"/>
        </w:rPr>
        <w:t>且基金财产清算小组成立后</w:t>
      </w:r>
      <w:r>
        <w:rPr>
          <w:rFonts w:hAnsi="宋体" w:hint="eastAsia"/>
          <w:szCs w:val="24"/>
        </w:rPr>
        <w:t>，由基金财产清算小组统一接管基金财产；</w:t>
      </w:r>
    </w:p>
    <w:p w14:paraId="09D428B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（2）对基金财产和债权债务进行清理和确认；</w:t>
      </w:r>
    </w:p>
    <w:p w14:paraId="2B2ABB97"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（3）对基金财产进行估值和变现；</w:t>
      </w:r>
    </w:p>
    <w:p w14:paraId="216B51C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（4）制作清算报告；</w:t>
      </w:r>
    </w:p>
    <w:p w14:paraId="2D2DAC98"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（5）聘请会计师事务所对清算报告进行外部审计，聘请律师事务所对清算报告出具法律意见书；</w:t>
      </w:r>
    </w:p>
    <w:p w14:paraId="4C43008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（6）将清算报告报中国证监会备案并公告；</w:t>
      </w:r>
    </w:p>
    <w:p w14:paraId="41776B6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（7）对基金剩余财产进行分配。</w:t>
      </w:r>
    </w:p>
    <w:p w14:paraId="1D5FD850" w14:textId="77777777" w:rsidR="00B61FF9" w:rsidRDefault="001B0A60" w:rsidP="006643B1">
      <w:pPr>
        <w:pStyle w:val="20"/>
        <w:spacing w:before="0" w:after="0" w:line="520" w:lineRule="atLeast"/>
        <w:ind w:left="0" w:firstLineChars="200" w:firstLine="480"/>
        <w:rPr>
          <w:bCs/>
          <w:szCs w:val="24"/>
        </w:rPr>
      </w:pPr>
      <w:r>
        <w:rPr>
          <w:bCs/>
        </w:rPr>
        <w:t>基金财产清算的期限为</w:t>
      </w:r>
      <w:r>
        <w:rPr>
          <w:rFonts w:hint="eastAsia"/>
          <w:bCs/>
        </w:rPr>
        <w:t>6</w:t>
      </w:r>
      <w:r>
        <w:rPr>
          <w:bCs/>
        </w:rPr>
        <w:t>个月</w:t>
      </w:r>
      <w:r>
        <w:rPr>
          <w:rFonts w:hint="eastAsia"/>
          <w:bCs/>
          <w:szCs w:val="24"/>
        </w:rPr>
        <w:t>，但因本基金所持证券的流动性受到限制而不能及时变现的，清算期限相应顺延。</w:t>
      </w:r>
    </w:p>
    <w:p w14:paraId="00FA27A5"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16.2.3清算费用</w:t>
      </w:r>
    </w:p>
    <w:p w14:paraId="17CF895C"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清算费用是指基金财产清算小组在进行基金财产清算过程中发生的所有合理费用，清算费用由基金财产清算小组优先从基金剩余财产中支付。</w:t>
      </w:r>
    </w:p>
    <w:p w14:paraId="0FD54C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16.2.4基金财产按下列顺序清偿：</w:t>
      </w:r>
    </w:p>
    <w:p w14:paraId="04E61F5E"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（1）支付清算费用；</w:t>
      </w:r>
    </w:p>
    <w:p w14:paraId="0B4E111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（2）交纳所欠税款；</w:t>
      </w:r>
    </w:p>
    <w:p w14:paraId="4CF2301A"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（3）清偿基金债务；</w:t>
      </w:r>
    </w:p>
    <w:p w14:paraId="022C32FF" w14:textId="6F5B37A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（4）</w:t>
      </w:r>
      <w:r w:rsidR="001272C2">
        <w:rPr>
          <w:rFonts w:hAnsi="宋体" w:hint="eastAsia"/>
          <w:szCs w:val="24"/>
        </w:rPr>
        <w:t>按</w:t>
      </w:r>
      <w:r>
        <w:rPr>
          <w:rFonts w:hAnsi="宋体" w:hint="eastAsia"/>
          <w:szCs w:val="24"/>
        </w:rPr>
        <w:t>基金份额持有人持有的基金份额比例进行分配。</w:t>
      </w:r>
    </w:p>
    <w:p w14:paraId="74AD1ED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基金财产未按前款（1）－（3）项规定清偿前，不分配给基金份额持有人。</w:t>
      </w:r>
    </w:p>
    <w:p w14:paraId="30847BB8" w14:textId="4EDAA0D0"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16.2.5基金财产清算的公告</w:t>
      </w:r>
    </w:p>
    <w:p w14:paraId="65F57273" w14:textId="508BAD50" w:rsidR="006E1C21" w:rsidRDefault="006E1C21" w:rsidP="006643B1">
      <w:pPr>
        <w:spacing w:line="520" w:lineRule="atLeast"/>
        <w:ind w:firstLineChars="200" w:firstLine="480"/>
        <w:rPr>
          <w:bCs/>
          <w:sz w:val="24"/>
        </w:rPr>
      </w:pPr>
      <w:r w:rsidRPr="006E1C21">
        <w:rPr>
          <w:rFonts w:hint="eastAsia"/>
          <w:bCs/>
          <w:sz w:val="24"/>
        </w:rPr>
        <w:t>基金财产清算公告于基金财产清算报告报中国证监会备案后</w:t>
      </w:r>
      <w:r w:rsidRPr="006E1C21">
        <w:rPr>
          <w:rFonts w:hint="eastAsia"/>
          <w:bCs/>
          <w:sz w:val="24"/>
        </w:rPr>
        <w:t>5</w:t>
      </w:r>
      <w:r w:rsidRPr="006E1C21">
        <w:rPr>
          <w:rFonts w:hint="eastAsia"/>
          <w:bCs/>
          <w:sz w:val="24"/>
        </w:rPr>
        <w:t>个工作日内由基金财产清算小组公告；清算过程中的有关重大事项须及时公告；基金财产清算报告经</w:t>
      </w:r>
      <w:r w:rsidR="00F46CA0" w:rsidRPr="00F46CA0">
        <w:rPr>
          <w:rFonts w:hint="eastAsia"/>
          <w:bCs/>
          <w:sz w:val="24"/>
        </w:rPr>
        <w:t>符合《中华人民共和国证券法》规定</w:t>
      </w:r>
      <w:r w:rsidR="00B9229E" w:rsidRPr="00B9229E">
        <w:rPr>
          <w:rFonts w:hint="eastAsia"/>
          <w:bCs/>
          <w:sz w:val="24"/>
        </w:rPr>
        <w:t>的</w:t>
      </w:r>
      <w:r w:rsidRPr="006E1C21">
        <w:rPr>
          <w:rFonts w:hint="eastAsia"/>
          <w:bCs/>
          <w:sz w:val="24"/>
        </w:rPr>
        <w:t>会计师事务所审计，律师事务所出具法律意见书后，由基金财产清算小组报中国证监会备案并公告，基金财产清算小组应当将清算报告登载在</w:t>
      </w:r>
      <w:r w:rsidR="00F46CA0">
        <w:rPr>
          <w:rFonts w:hint="eastAsia"/>
          <w:bCs/>
          <w:sz w:val="24"/>
        </w:rPr>
        <w:t>规定</w:t>
      </w:r>
      <w:r w:rsidRPr="006E1C21">
        <w:rPr>
          <w:rFonts w:hint="eastAsia"/>
          <w:bCs/>
          <w:sz w:val="24"/>
        </w:rPr>
        <w:t>网站上，并将清算报告提示性公告登载在</w:t>
      </w:r>
      <w:r w:rsidR="00F46CA0">
        <w:rPr>
          <w:rFonts w:hint="eastAsia"/>
          <w:bCs/>
          <w:sz w:val="24"/>
        </w:rPr>
        <w:t>规定</w:t>
      </w:r>
      <w:r w:rsidRPr="006E1C21">
        <w:rPr>
          <w:rFonts w:hint="eastAsia"/>
          <w:bCs/>
          <w:sz w:val="24"/>
        </w:rPr>
        <w:t>报刊上。</w:t>
      </w:r>
    </w:p>
    <w:p w14:paraId="203F8D76"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16.2.6基金财产清算账册及文件的保存</w:t>
      </w:r>
    </w:p>
    <w:p w14:paraId="6AB66DB8" w14:textId="3F74F01B"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基金财产清算账册及有关文件由基金托管人保存</w:t>
      </w:r>
      <w:r w:rsidR="001528C1">
        <w:rPr>
          <w:rFonts w:hAnsi="宋体" w:hint="eastAsia"/>
          <w:szCs w:val="24"/>
        </w:rPr>
        <w:t>，保存期限不少于法律法规的规定。</w:t>
      </w:r>
      <w:bookmarkStart w:id="49" w:name="_Toc296551353"/>
    </w:p>
    <w:p w14:paraId="739C2B72" w14:textId="77777777" w:rsidR="00B61FF9" w:rsidRDefault="001B0A60" w:rsidP="006643B1">
      <w:pPr>
        <w:pStyle w:val="1"/>
        <w:spacing w:line="520" w:lineRule="atLeast"/>
        <w:ind w:firstLineChars="200" w:firstLine="482"/>
        <w:rPr>
          <w:bCs/>
          <w:color w:val="auto"/>
          <w:szCs w:val="24"/>
        </w:rPr>
      </w:pPr>
      <w:bookmarkStart w:id="50" w:name="_Toc44321740"/>
      <w:r>
        <w:rPr>
          <w:rFonts w:hint="eastAsia"/>
          <w:bCs/>
          <w:color w:val="auto"/>
          <w:szCs w:val="24"/>
        </w:rPr>
        <w:t>第十七条 违约责任</w:t>
      </w:r>
      <w:bookmarkEnd w:id="49"/>
      <w:bookmarkEnd w:id="50"/>
    </w:p>
    <w:p w14:paraId="493B9B11" w14:textId="5F9A63A1"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17.1如果基金管理人或基金托管人不履行本协议或者履行本协议不符合约定的，应当承担违约责任。</w:t>
      </w:r>
    </w:p>
    <w:p w14:paraId="0EB8AF53" w14:textId="187698C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14:paraId="5E2AB5F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（1）不可抗力；</w:t>
      </w:r>
    </w:p>
    <w:p w14:paraId="27933153"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（2）基金管理人</w:t>
      </w:r>
      <w:r>
        <w:rPr>
          <w:rFonts w:hint="eastAsia"/>
          <w:bCs/>
        </w:rPr>
        <w:t>和/或</w:t>
      </w:r>
      <w:r>
        <w:rPr>
          <w:rFonts w:hAnsi="宋体" w:hint="eastAsia"/>
          <w:szCs w:val="24"/>
        </w:rPr>
        <w:t>基金托管人按照</w:t>
      </w:r>
      <w:r>
        <w:rPr>
          <w:rFonts w:hint="eastAsia"/>
          <w:bCs/>
        </w:rPr>
        <w:t>届时</w:t>
      </w:r>
      <w:r>
        <w:rPr>
          <w:rFonts w:hAnsi="宋体" w:hint="eastAsia"/>
          <w:szCs w:val="24"/>
        </w:rPr>
        <w:t>有效的法律法规或中国证监会的规定作为或不作为而造成的损失等；</w:t>
      </w:r>
    </w:p>
    <w:p w14:paraId="54D81544"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（3）基金管理人由于按照基金合同规定的投资原则</w:t>
      </w:r>
      <w:r>
        <w:rPr>
          <w:rFonts w:hint="eastAsia"/>
          <w:bCs/>
        </w:rPr>
        <w:t>投资或不投资</w:t>
      </w:r>
      <w:r>
        <w:rPr>
          <w:rFonts w:hAnsi="宋体" w:hint="eastAsia"/>
          <w:szCs w:val="24"/>
        </w:rPr>
        <w:t>而造成的损失等。</w:t>
      </w:r>
    </w:p>
    <w:p w14:paraId="00B4C2ED" w14:textId="5D01548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17.3如果由于本协议一方当事人（以下简称“违约方”）的违约行为给基金财产或</w:t>
      </w:r>
      <w:r w:rsidR="002E423B" w:rsidRPr="002E423B">
        <w:rPr>
          <w:rFonts w:hAnsi="宋体" w:hint="eastAsia"/>
          <w:szCs w:val="24"/>
        </w:rPr>
        <w:t>基金份额持有人</w:t>
      </w:r>
      <w:r>
        <w:rPr>
          <w:rFonts w:hAnsi="宋体" w:hint="eastAsia"/>
          <w:szCs w:val="24"/>
        </w:rPr>
        <w:t>造成损失，另一方当事人（以下简称“守约方”）有权利并且有义务代表基金对违约方进行追偿；如果由于违约方的违约行为导致守约方赔偿了该基金财产或</w:t>
      </w:r>
      <w:r w:rsidR="002E423B" w:rsidRPr="002E423B">
        <w:rPr>
          <w:rFonts w:hAnsi="宋体" w:hint="eastAsia"/>
          <w:szCs w:val="24"/>
        </w:rPr>
        <w:t>基金份额持有人</w:t>
      </w:r>
      <w:r>
        <w:rPr>
          <w:rFonts w:hAnsi="宋体" w:hint="eastAsia"/>
          <w:szCs w:val="24"/>
        </w:rPr>
        <w:t>所遭受的损失，则守约方有权向违约方追索，违约方应赔偿和补偿守约方由此发生的所有成本、费用和支出，以及由此遭受的损失。</w:t>
      </w:r>
    </w:p>
    <w:p w14:paraId="31A69CD2"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DAE9E6" w14:textId="17151D48"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17.5违约行为虽已发生，但本协议能够继续履行的，在最大限度地保护基金份额持有人利益的前提下，基金管理人和基金托管人应当继续履行本协议。</w:t>
      </w:r>
    </w:p>
    <w:p w14:paraId="6C4BF814" w14:textId="20112342"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w:t>
      </w:r>
      <w:r w:rsidR="002E423B" w:rsidRPr="002E423B">
        <w:rPr>
          <w:rFonts w:hAnsi="宋体" w:hint="eastAsia"/>
          <w:szCs w:val="24"/>
        </w:rPr>
        <w:t>基金份额持有人</w:t>
      </w:r>
      <w:r>
        <w:rPr>
          <w:rFonts w:hAnsi="宋体" w:hint="eastAsia"/>
          <w:szCs w:val="24"/>
        </w:rPr>
        <w:t>损失，基金管理人和基金托管人免除赔偿责任。但是基金管理人和基金托管人应积极采取必要的措施减轻或消除由此造成的影响。</w:t>
      </w:r>
    </w:p>
    <w:p w14:paraId="71EB71ED" w14:textId="2FEF45A5" w:rsidR="00B61FF9" w:rsidRDefault="001B0A60" w:rsidP="006643B1">
      <w:pPr>
        <w:pStyle w:val="20"/>
        <w:snapToGrid w:val="0"/>
        <w:spacing w:before="0" w:after="0" w:line="520" w:lineRule="atLeast"/>
        <w:ind w:left="0" w:firstLineChars="200" w:firstLine="480"/>
        <w:rPr>
          <w:rFonts w:hAnsi="宋体"/>
          <w:szCs w:val="24"/>
        </w:rPr>
      </w:pPr>
      <w:r>
        <w:rPr>
          <w:rFonts w:hAnsi="宋体" w:hint="eastAsia"/>
          <w:szCs w:val="24"/>
        </w:rPr>
        <w:t>17.7本协议所指损失均为直接损失。</w:t>
      </w:r>
    </w:p>
    <w:p w14:paraId="707E8AEE" w14:textId="4C82551F" w:rsidR="00B61FF9" w:rsidRDefault="001B0A60" w:rsidP="006643B1">
      <w:pPr>
        <w:pStyle w:val="1"/>
        <w:spacing w:line="520" w:lineRule="atLeast"/>
        <w:ind w:firstLineChars="200" w:firstLine="482"/>
        <w:rPr>
          <w:bCs/>
          <w:color w:val="auto"/>
          <w:szCs w:val="24"/>
        </w:rPr>
      </w:pPr>
      <w:bookmarkStart w:id="51" w:name="_Toc296551354"/>
      <w:bookmarkStart w:id="52" w:name="_Toc44321741"/>
      <w:r>
        <w:rPr>
          <w:rFonts w:hint="eastAsia"/>
          <w:bCs/>
          <w:color w:val="auto"/>
          <w:szCs w:val="24"/>
        </w:rPr>
        <w:t xml:space="preserve">第十八条 </w:t>
      </w:r>
      <w:r w:rsidR="00317BE9">
        <w:rPr>
          <w:rFonts w:hint="eastAsia"/>
          <w:bCs/>
          <w:color w:val="auto"/>
          <w:szCs w:val="24"/>
        </w:rPr>
        <w:t>法律</w:t>
      </w:r>
      <w:r w:rsidR="00317BE9">
        <w:rPr>
          <w:bCs/>
          <w:color w:val="auto"/>
          <w:szCs w:val="24"/>
        </w:rPr>
        <w:t>适用和</w:t>
      </w:r>
      <w:r>
        <w:rPr>
          <w:rFonts w:hint="eastAsia"/>
          <w:bCs/>
          <w:color w:val="auto"/>
          <w:szCs w:val="24"/>
        </w:rPr>
        <w:t>争议解决</w:t>
      </w:r>
      <w:bookmarkEnd w:id="51"/>
      <w:bookmarkEnd w:id="52"/>
    </w:p>
    <w:p w14:paraId="554F0FF5"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5523FC6D" w14:textId="7F225F3E"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凡因本协议产生的及与本协议有关的争议，双方均应协商解决；协商不成的，双方均同意采取以下第</w:t>
      </w:r>
      <w:r w:rsidR="00D64286">
        <w:rPr>
          <w:rFonts w:hint="eastAsia"/>
          <w:bCs/>
          <w:sz w:val="24"/>
        </w:rPr>
        <w:t>1</w:t>
      </w:r>
      <w:r w:rsidRPr="005B05A6">
        <w:rPr>
          <w:rFonts w:hint="eastAsia"/>
          <w:bCs/>
          <w:sz w:val="24"/>
        </w:rPr>
        <w:t>种方式解决：</w:t>
      </w:r>
    </w:p>
    <w:p w14:paraId="6097B3F1" w14:textId="13656C2C" w:rsidR="005B05A6" w:rsidRPr="001272C2" w:rsidRDefault="005B05A6" w:rsidP="005B05A6">
      <w:pPr>
        <w:adjustRightInd w:val="0"/>
        <w:snapToGrid w:val="0"/>
        <w:spacing w:line="520" w:lineRule="atLeast"/>
        <w:ind w:firstLineChars="200" w:firstLine="480"/>
        <w:rPr>
          <w:bCs/>
          <w:sz w:val="24"/>
        </w:rPr>
      </w:pPr>
      <w:r w:rsidRPr="005B05A6">
        <w:rPr>
          <w:rFonts w:hint="eastAsia"/>
          <w:bCs/>
          <w:sz w:val="24"/>
        </w:rPr>
        <w:t>1.</w:t>
      </w:r>
      <w:r w:rsidRPr="005B05A6">
        <w:rPr>
          <w:rFonts w:hint="eastAsia"/>
          <w:bCs/>
          <w:sz w:val="24"/>
        </w:rPr>
        <w:t>向</w:t>
      </w:r>
      <w:r w:rsidR="00CE1854" w:rsidRPr="00CE1854">
        <w:rPr>
          <w:rFonts w:hint="eastAsia"/>
          <w:bCs/>
          <w:sz w:val="24"/>
        </w:rPr>
        <w:t>中国国际经济贸易仲裁委员会</w:t>
      </w:r>
      <w:r w:rsidRPr="005B05A6">
        <w:rPr>
          <w:rFonts w:hint="eastAsia"/>
          <w:bCs/>
          <w:sz w:val="24"/>
        </w:rPr>
        <w:t>申请仲裁，并适用申请仲裁时该仲裁机构现行有效的仲裁规则</w:t>
      </w:r>
      <w:r w:rsidR="001272C2">
        <w:rPr>
          <w:rFonts w:hint="eastAsia"/>
          <w:bCs/>
          <w:sz w:val="24"/>
        </w:rPr>
        <w:t>。</w:t>
      </w:r>
      <w:r w:rsidR="001272C2" w:rsidRPr="00DE5710">
        <w:rPr>
          <w:rFonts w:hint="eastAsia"/>
          <w:bCs/>
          <w:sz w:val="24"/>
        </w:rPr>
        <w:t>仲裁地点为</w:t>
      </w:r>
      <w:r w:rsidR="00CE1854">
        <w:rPr>
          <w:rFonts w:hint="eastAsia"/>
          <w:bCs/>
          <w:sz w:val="24"/>
        </w:rPr>
        <w:t>北京市</w:t>
      </w:r>
      <w:r w:rsidR="001272C2" w:rsidRPr="00DE5710">
        <w:rPr>
          <w:rFonts w:hint="eastAsia"/>
          <w:bCs/>
          <w:sz w:val="24"/>
        </w:rPr>
        <w:t>。仲裁裁决是终局的，对</w:t>
      </w:r>
      <w:r w:rsidR="00177915">
        <w:rPr>
          <w:rFonts w:hint="eastAsia"/>
          <w:bCs/>
          <w:sz w:val="24"/>
        </w:rPr>
        <w:t>双</w:t>
      </w:r>
      <w:r w:rsidR="001272C2" w:rsidRPr="00DE5710">
        <w:rPr>
          <w:rFonts w:hint="eastAsia"/>
          <w:bCs/>
          <w:sz w:val="24"/>
        </w:rPr>
        <w:t>方当事人均有约</w:t>
      </w:r>
      <w:r w:rsidR="001272C2" w:rsidRPr="00DE5710">
        <w:rPr>
          <w:rFonts w:hint="eastAsia"/>
          <w:bCs/>
          <w:sz w:val="24"/>
        </w:rPr>
        <w:lastRenderedPageBreak/>
        <w:t>束力。除非仲裁裁决另有规定，仲裁费用、律师费用由败诉方承担</w:t>
      </w:r>
    </w:p>
    <w:p w14:paraId="36DF164B" w14:textId="77777777" w:rsidR="005B05A6" w:rsidRPr="005B05A6" w:rsidRDefault="005B05A6" w:rsidP="005B05A6">
      <w:pPr>
        <w:adjustRightInd w:val="0"/>
        <w:snapToGrid w:val="0"/>
        <w:spacing w:line="520" w:lineRule="atLeast"/>
        <w:ind w:firstLineChars="200" w:firstLine="480"/>
        <w:rPr>
          <w:bCs/>
          <w:sz w:val="24"/>
        </w:rPr>
      </w:pPr>
      <w:r w:rsidRPr="005B05A6">
        <w:rPr>
          <w:rFonts w:hint="eastAsia"/>
          <w:bCs/>
          <w:sz w:val="24"/>
        </w:rPr>
        <w:t>2.</w:t>
      </w:r>
      <w:r w:rsidRPr="005B05A6">
        <w:rPr>
          <w:rFonts w:hint="eastAsia"/>
          <w:bCs/>
          <w:sz w:val="24"/>
        </w:rPr>
        <w:t>向基金托管人住所地有管辖权的人民法院提起诉讼。</w:t>
      </w:r>
    </w:p>
    <w:p w14:paraId="2DB6717E" w14:textId="27670ABF" w:rsidR="00B61FF9" w:rsidRPr="00A3173D" w:rsidRDefault="005B05A6" w:rsidP="005B05A6">
      <w:pPr>
        <w:adjustRightInd w:val="0"/>
        <w:snapToGrid w:val="0"/>
        <w:spacing w:line="520" w:lineRule="atLeast"/>
        <w:ind w:firstLineChars="200" w:firstLine="480"/>
        <w:rPr>
          <w:bCs/>
          <w:sz w:val="24"/>
        </w:rPr>
      </w:pPr>
      <w:r w:rsidRPr="005B05A6">
        <w:rPr>
          <w:rFonts w:hint="eastAsia"/>
          <w:bCs/>
          <w:sz w:val="24"/>
        </w:rPr>
        <w:t>争议处理期间，双方当事人应恪守基金管理人和基金托管人职责，继续忠实、勤勉、尽责地履行基金合同和本协议规定的义务，维护基金份额持有人的合法权益。</w:t>
      </w:r>
    </w:p>
    <w:p w14:paraId="4B2CCD2F" w14:textId="48421760" w:rsidR="00B61FF9" w:rsidRDefault="001B0A60" w:rsidP="006643B1">
      <w:pPr>
        <w:pStyle w:val="1"/>
        <w:adjustRightInd w:val="0"/>
        <w:spacing w:line="520" w:lineRule="atLeast"/>
        <w:ind w:firstLineChars="200" w:firstLine="482"/>
        <w:rPr>
          <w:bCs/>
          <w:color w:val="auto"/>
          <w:szCs w:val="24"/>
        </w:rPr>
      </w:pPr>
      <w:bookmarkStart w:id="53" w:name="_Toc296551355"/>
      <w:bookmarkStart w:id="54" w:name="_Toc44321742"/>
      <w:r>
        <w:rPr>
          <w:rFonts w:hint="eastAsia"/>
          <w:bCs/>
          <w:color w:val="auto"/>
          <w:szCs w:val="24"/>
        </w:rPr>
        <w:t xml:space="preserve">第十九条 </w:t>
      </w:r>
      <w:r w:rsidR="00E83608">
        <w:rPr>
          <w:rFonts w:hint="eastAsia"/>
          <w:bCs/>
          <w:color w:val="auto"/>
          <w:szCs w:val="24"/>
        </w:rPr>
        <w:t>本</w:t>
      </w:r>
      <w:r>
        <w:rPr>
          <w:rFonts w:hint="eastAsia"/>
          <w:bCs/>
          <w:color w:val="auto"/>
          <w:szCs w:val="24"/>
        </w:rPr>
        <w:t>协议的效力</w:t>
      </w:r>
      <w:bookmarkEnd w:id="53"/>
      <w:bookmarkEnd w:id="54"/>
    </w:p>
    <w:p w14:paraId="10C858D2" w14:textId="18D14173" w:rsidR="00B61FF9" w:rsidRDefault="001B0A60" w:rsidP="006643B1">
      <w:pPr>
        <w:pStyle w:val="20"/>
        <w:adjustRightInd w:val="0"/>
        <w:snapToGrid w:val="0"/>
        <w:spacing w:before="0" w:after="0" w:line="520" w:lineRule="atLeast"/>
        <w:ind w:left="0" w:firstLineChars="200" w:firstLine="480"/>
        <w:rPr>
          <w:rFonts w:hAnsi="宋体"/>
          <w:szCs w:val="24"/>
        </w:rPr>
      </w:pPr>
      <w:r>
        <w:rPr>
          <w:rFonts w:hAnsi="宋体" w:hint="eastAsia"/>
          <w:szCs w:val="24"/>
        </w:rPr>
        <w:t>19.1基金管理人在向中国证监会申请发售基金份额时提交的托管协议草案，应经托管协议当事人加盖公章或合同专用章以及双方法定代表人</w:t>
      </w:r>
      <w:r w:rsidR="0078303E" w:rsidRPr="00B9229E">
        <w:rPr>
          <w:rFonts w:hAnsi="宋体"/>
          <w:szCs w:val="24"/>
        </w:rPr>
        <w:t>/负责人</w:t>
      </w:r>
      <w:r>
        <w:rPr>
          <w:rFonts w:hAnsi="宋体" w:hint="eastAsia"/>
          <w:szCs w:val="24"/>
        </w:rPr>
        <w:t>或授权代理人签字或盖章，</w:t>
      </w:r>
      <w:r w:rsidR="00E83608">
        <w:rPr>
          <w:rFonts w:hAnsi="宋体" w:hint="eastAsia"/>
          <w:szCs w:val="24"/>
        </w:rPr>
        <w:t>本</w:t>
      </w:r>
      <w:r>
        <w:rPr>
          <w:rFonts w:hAnsi="宋体" w:hint="eastAsia"/>
          <w:szCs w:val="24"/>
        </w:rPr>
        <w:t>协议当事人双方可能不时根据中国证监会的意见修改托管协议草案。</w:t>
      </w:r>
      <w:r w:rsidR="00E83608">
        <w:rPr>
          <w:rFonts w:hAnsi="宋体" w:hint="eastAsia"/>
          <w:szCs w:val="24"/>
        </w:rPr>
        <w:t>本</w:t>
      </w:r>
      <w:r>
        <w:rPr>
          <w:rFonts w:hAnsi="宋体" w:hint="eastAsia"/>
          <w:szCs w:val="24"/>
        </w:rPr>
        <w:t>协议以中国证监会注册的</w:t>
      </w:r>
      <w:r w:rsidR="0026403B" w:rsidRPr="00B9229E">
        <w:rPr>
          <w:rFonts w:hAnsi="宋体" w:hint="eastAsia"/>
          <w:szCs w:val="24"/>
        </w:rPr>
        <w:t>最终</w:t>
      </w:r>
      <w:r>
        <w:rPr>
          <w:rFonts w:hAnsi="宋体" w:hint="eastAsia"/>
          <w:szCs w:val="24"/>
        </w:rPr>
        <w:t>文本为正式文本。</w:t>
      </w:r>
    </w:p>
    <w:p w14:paraId="71043479" w14:textId="2B657CA3"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19.2本协议自</w:t>
      </w:r>
      <w:r w:rsidR="00E83608">
        <w:rPr>
          <w:rFonts w:hAnsi="宋体" w:hint="eastAsia"/>
          <w:szCs w:val="24"/>
        </w:rPr>
        <w:t>双方</w:t>
      </w:r>
      <w:r>
        <w:rPr>
          <w:rFonts w:hAnsi="宋体"/>
          <w:szCs w:val="24"/>
        </w:rPr>
        <w:t>签订</w:t>
      </w:r>
      <w:r>
        <w:rPr>
          <w:rFonts w:hAnsi="宋体" w:hint="eastAsia"/>
          <w:szCs w:val="24"/>
        </w:rPr>
        <w:t>之日起成立，自基金合同生效之日起生效。本协议的有效期自其生效之日起至该基金财产清算结果报中国证监会备案并公告之日止。</w:t>
      </w:r>
    </w:p>
    <w:p w14:paraId="495DEB09" w14:textId="0297BAAF"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19.3本协议自生效之日起对</w:t>
      </w:r>
      <w:r w:rsidR="00E83608">
        <w:rPr>
          <w:rFonts w:hAnsi="宋体" w:hint="eastAsia"/>
          <w:szCs w:val="24"/>
        </w:rPr>
        <w:t>双方</w:t>
      </w:r>
      <w:r>
        <w:rPr>
          <w:rFonts w:hAnsi="宋体" w:hint="eastAsia"/>
          <w:szCs w:val="24"/>
        </w:rPr>
        <w:t>具有同等的法律约束力。</w:t>
      </w:r>
    </w:p>
    <w:p w14:paraId="513BCB84" w14:textId="5319A9A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19.4本协议正本</w:t>
      </w:r>
      <w:r w:rsidR="00D64286">
        <w:rPr>
          <w:rFonts w:hAnsi="宋体" w:hint="eastAsia"/>
          <w:szCs w:val="24"/>
        </w:rPr>
        <w:t>一式三份</w:t>
      </w:r>
      <w:r>
        <w:rPr>
          <w:rFonts w:hAnsi="宋体" w:hint="eastAsia"/>
          <w:szCs w:val="24"/>
        </w:rPr>
        <w:t>，除上报有关监管机构</w:t>
      </w:r>
      <w:r w:rsidR="00D64286">
        <w:rPr>
          <w:rFonts w:hAnsi="宋体" w:hint="eastAsia"/>
          <w:szCs w:val="24"/>
        </w:rPr>
        <w:t>一</w:t>
      </w:r>
      <w:r>
        <w:rPr>
          <w:rFonts w:hAnsi="宋体" w:hint="eastAsia"/>
          <w:szCs w:val="24"/>
        </w:rPr>
        <w:t>份外，基金管理人和基金托管人分别持有</w:t>
      </w:r>
      <w:r w:rsidR="00D64286">
        <w:rPr>
          <w:rFonts w:hAnsi="宋体" w:hint="eastAsia"/>
          <w:szCs w:val="24"/>
        </w:rPr>
        <w:t>一</w:t>
      </w:r>
      <w:r>
        <w:rPr>
          <w:rFonts w:hAnsi="宋体" w:hint="eastAsia"/>
          <w:szCs w:val="24"/>
        </w:rPr>
        <w:t>份，每份具有同等的法律效力。</w:t>
      </w:r>
    </w:p>
    <w:p w14:paraId="7DFB62E3" w14:textId="15240CC2" w:rsidR="00B61FF9" w:rsidRDefault="001B0A60" w:rsidP="006643B1">
      <w:pPr>
        <w:pStyle w:val="1"/>
        <w:spacing w:line="520" w:lineRule="atLeast"/>
        <w:ind w:firstLineChars="200" w:firstLine="482"/>
        <w:rPr>
          <w:bCs/>
          <w:color w:val="auto"/>
          <w:szCs w:val="24"/>
        </w:rPr>
      </w:pPr>
      <w:bookmarkStart w:id="55" w:name="_Toc296551356"/>
      <w:bookmarkStart w:id="56" w:name="_Toc44321743"/>
      <w:r>
        <w:rPr>
          <w:rFonts w:hint="eastAsia"/>
          <w:bCs/>
          <w:color w:val="auto"/>
          <w:szCs w:val="24"/>
        </w:rPr>
        <w:t xml:space="preserve">第二十条 </w:t>
      </w:r>
      <w:r w:rsidR="00062E2D">
        <w:rPr>
          <w:rFonts w:hint="eastAsia"/>
          <w:bCs/>
          <w:color w:val="auto"/>
          <w:szCs w:val="24"/>
        </w:rPr>
        <w:t>本</w:t>
      </w:r>
      <w:r>
        <w:rPr>
          <w:rFonts w:hint="eastAsia"/>
          <w:bCs/>
          <w:color w:val="auto"/>
          <w:szCs w:val="24"/>
        </w:rPr>
        <w:t>协议的签订</w:t>
      </w:r>
      <w:bookmarkEnd w:id="55"/>
      <w:bookmarkEnd w:id="56"/>
    </w:p>
    <w:p w14:paraId="14D2005A" w14:textId="34D1B983" w:rsidR="00B61FF9" w:rsidRPr="00A3173D" w:rsidRDefault="001B0A60" w:rsidP="006643B1">
      <w:pPr>
        <w:snapToGrid w:val="0"/>
        <w:spacing w:line="520" w:lineRule="atLeast"/>
        <w:ind w:firstLineChars="200" w:firstLine="480"/>
        <w:rPr>
          <w:rFonts w:ascii="宋体" w:hAnsi="宋体"/>
          <w:sz w:val="24"/>
          <w:szCs w:val="24"/>
        </w:rPr>
      </w:pPr>
      <w:r>
        <w:rPr>
          <w:rFonts w:ascii="宋体" w:hAnsi="宋体" w:hint="eastAsia"/>
          <w:sz w:val="24"/>
          <w:szCs w:val="24"/>
        </w:rPr>
        <w:t>20.1本协议经基金管理人和基金托管人认可后，由双方当事人在本协议上加盖公章或合同专用章，并由各自的法定代表人</w:t>
      </w:r>
      <w:r w:rsidR="0078303E" w:rsidRPr="00B9229E">
        <w:rPr>
          <w:rFonts w:ascii="宋体" w:hAnsi="宋体"/>
          <w:sz w:val="24"/>
          <w:szCs w:val="24"/>
        </w:rPr>
        <w:t>/负责人</w:t>
      </w:r>
      <w:r>
        <w:rPr>
          <w:rFonts w:ascii="宋体" w:hAnsi="宋体" w:hint="eastAsia"/>
          <w:sz w:val="24"/>
          <w:szCs w:val="24"/>
        </w:rPr>
        <w:t>或授权代理人签字或盖章，并注明本托管协议的签订地点和签订日期。</w:t>
      </w:r>
    </w:p>
    <w:p w14:paraId="57643CFC" w14:textId="77777777" w:rsidR="00B61FF9" w:rsidRDefault="001B0A60" w:rsidP="006643B1">
      <w:pPr>
        <w:pStyle w:val="1"/>
        <w:spacing w:line="520" w:lineRule="atLeast"/>
        <w:ind w:firstLineChars="200" w:firstLine="482"/>
        <w:rPr>
          <w:bCs/>
          <w:color w:val="auto"/>
          <w:szCs w:val="24"/>
        </w:rPr>
      </w:pPr>
      <w:bookmarkStart w:id="57" w:name="_Toc44321744"/>
      <w:r>
        <w:rPr>
          <w:rFonts w:hint="eastAsia"/>
          <w:bCs/>
          <w:color w:val="auto"/>
          <w:szCs w:val="24"/>
        </w:rPr>
        <w:t>第二十一条 不可抗力</w:t>
      </w:r>
      <w:bookmarkEnd w:id="57"/>
    </w:p>
    <w:p w14:paraId="3B84638B"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21.1如果本协议任何一方因受不可抗力事件影响而未能履行其在本协议下的全部或部分义务，该义务的履行在不可抗力事件妨碍其履行期间应予中止。</w:t>
      </w:r>
    </w:p>
    <w:p w14:paraId="60EB96B9" w14:textId="77777777"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14:paraId="49021F22" w14:textId="7CC6CCBD"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t>21.3不可抗力事件发生时，</w:t>
      </w:r>
      <w:r w:rsidR="00062E2D">
        <w:rPr>
          <w:rFonts w:hAnsi="宋体" w:hint="eastAsia"/>
          <w:szCs w:val="24"/>
        </w:rPr>
        <w:t>双</w:t>
      </w:r>
      <w:r>
        <w:rPr>
          <w:rFonts w:hAnsi="宋体" w:hint="eastAsia"/>
          <w:szCs w:val="24"/>
        </w:rPr>
        <w:t>方应立即通过友好协商决定如何执行本协议。不可抗力事件或其影响终止或消除后，</w:t>
      </w:r>
      <w:r w:rsidR="00062E2D">
        <w:rPr>
          <w:rFonts w:hAnsi="宋体" w:hint="eastAsia"/>
          <w:szCs w:val="24"/>
        </w:rPr>
        <w:t>双</w:t>
      </w:r>
      <w:r>
        <w:rPr>
          <w:rFonts w:hAnsi="宋体" w:hint="eastAsia"/>
          <w:szCs w:val="24"/>
        </w:rPr>
        <w:t>方须立即恢复履行各自在本协议项下的各项义务。</w:t>
      </w:r>
    </w:p>
    <w:p w14:paraId="1EB38EBE" w14:textId="6CC6A50A" w:rsidR="00B61FF9" w:rsidRDefault="001B0A60" w:rsidP="006643B1">
      <w:pPr>
        <w:pStyle w:val="20"/>
        <w:spacing w:before="0" w:after="0" w:line="520" w:lineRule="atLeast"/>
        <w:ind w:left="0" w:firstLineChars="200" w:firstLine="480"/>
        <w:rPr>
          <w:rFonts w:hAnsi="宋体"/>
          <w:szCs w:val="24"/>
        </w:rPr>
      </w:pPr>
      <w:r>
        <w:rPr>
          <w:rFonts w:hAnsi="宋体" w:hint="eastAsia"/>
          <w:szCs w:val="24"/>
        </w:rPr>
        <w:lastRenderedPageBreak/>
        <w:t>21.4本条所述的不可抗力事件是指不能预见、不能避免并不能克服的客观情况。</w:t>
      </w:r>
    </w:p>
    <w:p w14:paraId="6977D707" w14:textId="77777777" w:rsidR="00B61FF9" w:rsidRDefault="001B0A60" w:rsidP="006643B1">
      <w:pPr>
        <w:pStyle w:val="1"/>
        <w:spacing w:line="520" w:lineRule="atLeast"/>
        <w:ind w:firstLineChars="200" w:firstLine="482"/>
        <w:rPr>
          <w:bCs/>
          <w:szCs w:val="24"/>
        </w:rPr>
      </w:pPr>
      <w:bookmarkStart w:id="58" w:name="_Toc132794324"/>
      <w:bookmarkStart w:id="59" w:name="_Toc132794325"/>
      <w:bookmarkStart w:id="60" w:name="_Toc132794326"/>
      <w:bookmarkStart w:id="61" w:name="_Toc132794327"/>
      <w:bookmarkStart w:id="62" w:name="_Toc132794328"/>
      <w:bookmarkStart w:id="63" w:name="_Toc132794329"/>
      <w:bookmarkStart w:id="64" w:name="_Toc132794330"/>
      <w:bookmarkStart w:id="65" w:name="_Toc44321745"/>
      <w:bookmarkEnd w:id="58"/>
      <w:bookmarkEnd w:id="59"/>
      <w:bookmarkEnd w:id="60"/>
      <w:bookmarkEnd w:id="61"/>
      <w:bookmarkEnd w:id="62"/>
      <w:bookmarkEnd w:id="63"/>
      <w:bookmarkEnd w:id="64"/>
      <w:r>
        <w:rPr>
          <w:rFonts w:hint="eastAsia"/>
          <w:bCs/>
          <w:color w:val="auto"/>
          <w:szCs w:val="24"/>
        </w:rPr>
        <w:t>第二十二条</w:t>
      </w:r>
      <w:r>
        <w:rPr>
          <w:bCs/>
          <w:color w:val="auto"/>
          <w:szCs w:val="24"/>
        </w:rPr>
        <w:t xml:space="preserve"> </w:t>
      </w:r>
      <w:r>
        <w:rPr>
          <w:rFonts w:hint="eastAsia"/>
          <w:bCs/>
          <w:color w:val="auto"/>
          <w:szCs w:val="24"/>
        </w:rPr>
        <w:t>可分割性</w:t>
      </w:r>
      <w:bookmarkEnd w:id="65"/>
    </w:p>
    <w:p w14:paraId="3452196B" w14:textId="1BB6514B" w:rsidR="00B61FF9" w:rsidRPr="00A3173D" w:rsidRDefault="001B0A60" w:rsidP="006643B1">
      <w:pPr>
        <w:pStyle w:val="20"/>
        <w:spacing w:before="0" w:after="0" w:line="520" w:lineRule="atLeast"/>
        <w:ind w:left="0" w:firstLineChars="200" w:firstLine="480"/>
        <w:rPr>
          <w:rFonts w:hAnsi="宋体"/>
          <w:szCs w:val="24"/>
        </w:rPr>
      </w:pPr>
      <w:r>
        <w:rPr>
          <w:rFonts w:hAnsi="宋体"/>
          <w:szCs w:val="24"/>
        </w:rPr>
        <w:t>22.1如果本协议任何约定依现行法律被确定为无效或无法实施，本协议的其他条款将继续有效。此种情况下，</w:t>
      </w:r>
      <w:r w:rsidR="004F5507">
        <w:rPr>
          <w:rFonts w:hAnsi="宋体" w:hint="eastAsia"/>
          <w:szCs w:val="24"/>
        </w:rPr>
        <w:t>双</w:t>
      </w:r>
      <w:r>
        <w:rPr>
          <w:rFonts w:hAnsi="宋体"/>
          <w:szCs w:val="24"/>
        </w:rPr>
        <w:t>方将积极协商以达成有效的约定，且该有效约定应尽可能接近原规定和本协议相应的精神和宗旨。</w:t>
      </w:r>
    </w:p>
    <w:p w14:paraId="4CA5DFA8" w14:textId="77777777" w:rsidR="00B61FF9" w:rsidRDefault="001B0A60" w:rsidP="006643B1">
      <w:pPr>
        <w:pStyle w:val="1"/>
        <w:spacing w:line="520" w:lineRule="atLeast"/>
        <w:ind w:firstLineChars="200" w:firstLine="482"/>
        <w:rPr>
          <w:bCs/>
          <w:szCs w:val="24"/>
        </w:rPr>
      </w:pPr>
      <w:bookmarkStart w:id="66" w:name="_Toc44321746"/>
      <w:r>
        <w:rPr>
          <w:rFonts w:hint="eastAsia"/>
          <w:bCs/>
          <w:color w:val="auto"/>
          <w:szCs w:val="24"/>
        </w:rPr>
        <w:t>第二十三条</w:t>
      </w:r>
      <w:r>
        <w:rPr>
          <w:bCs/>
          <w:color w:val="auto"/>
          <w:szCs w:val="24"/>
        </w:rPr>
        <w:t xml:space="preserve"> </w:t>
      </w:r>
      <w:r>
        <w:rPr>
          <w:rFonts w:hint="eastAsia"/>
          <w:bCs/>
          <w:color w:val="auto"/>
          <w:szCs w:val="24"/>
        </w:rPr>
        <w:t>通知与送达</w:t>
      </w:r>
      <w:bookmarkEnd w:id="66"/>
    </w:p>
    <w:p w14:paraId="4512589F"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sz w:val="24"/>
          <w:szCs w:val="24"/>
        </w:rPr>
        <w:t>23.1</w:t>
      </w:r>
      <w:r w:rsidRPr="00F67A57">
        <w:rPr>
          <w:rFonts w:ascii="宋体" w:hAnsi="宋体" w:hint="eastAsia"/>
          <w:sz w:val="24"/>
          <w:szCs w:val="24"/>
        </w:rPr>
        <w:t>除本协议</w:t>
      </w:r>
      <w:r w:rsidRPr="00F67A57">
        <w:rPr>
          <w:rFonts w:ascii="宋体" w:hAnsi="宋体"/>
          <w:sz w:val="24"/>
          <w:szCs w:val="24"/>
        </w:rPr>
        <w:t>另有约定外，</w:t>
      </w:r>
      <w:r w:rsidRPr="00F67A57">
        <w:rPr>
          <w:rFonts w:ascii="宋体" w:hAnsi="宋体" w:hint="eastAsia"/>
          <w:sz w:val="24"/>
          <w:szCs w:val="24"/>
        </w:rPr>
        <w:t>本协议项下的通知、要求、诉讼（仲裁）的法律文书或其他通信可交付或发送至本协议首部所约定的地址或联系方式。</w:t>
      </w:r>
    </w:p>
    <w:p w14:paraId="6BDEA752"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3.2</w:t>
      </w:r>
      <w:r w:rsidRPr="00F67A57">
        <w:rPr>
          <w:rFonts w:ascii="宋体" w:hAnsi="宋体" w:hint="eastAsia"/>
          <w:sz w:val="24"/>
          <w:szCs w:val="24"/>
        </w:rPr>
        <w:t>就本协议项下基金托管人给予基金管理人的任何通知、要求或其他通信，其中电传、电话、传真、电子邮件等一经发出即视为已送达基金管理人；邮政信函于投寄之日起第三日即视为已送达基金管理人；若派人专程送达，则基金管理人签收日视为送达，基金管理人拒收的，送达人可采取拍照、录像方式记录送达过程，并将文书留置，亦视为送达。</w:t>
      </w:r>
    </w:p>
    <w:p w14:paraId="57C5F3A4" w14:textId="77777777" w:rsidR="005C1C72" w:rsidRPr="00F67A57" w:rsidRDefault="005C1C72" w:rsidP="006643B1">
      <w:pPr>
        <w:autoSpaceDE w:val="0"/>
        <w:autoSpaceDN w:val="0"/>
        <w:spacing w:line="520" w:lineRule="atLeast"/>
        <w:ind w:firstLineChars="200" w:firstLine="480"/>
        <w:rPr>
          <w:rFonts w:ascii="宋体" w:hAnsi="宋体"/>
          <w:sz w:val="24"/>
          <w:szCs w:val="24"/>
        </w:rPr>
      </w:pPr>
      <w:r w:rsidRPr="00F67A57">
        <w:rPr>
          <w:rFonts w:ascii="宋体" w:hAnsi="宋体" w:hint="eastAsia"/>
          <w:sz w:val="24"/>
          <w:szCs w:val="24"/>
        </w:rPr>
        <w:t>2</w:t>
      </w:r>
      <w:r w:rsidRPr="00F67A57">
        <w:rPr>
          <w:rFonts w:ascii="宋体" w:hAnsi="宋体"/>
          <w:sz w:val="24"/>
          <w:szCs w:val="24"/>
        </w:rPr>
        <w:t>3.3</w:t>
      </w:r>
      <w:r w:rsidRPr="00F67A57">
        <w:rPr>
          <w:rFonts w:ascii="宋体" w:hAnsi="宋体" w:hint="eastAsia"/>
          <w:sz w:val="24"/>
          <w:szCs w:val="24"/>
        </w:rPr>
        <w:t>司法机关或仲裁机构亦可按本款约定的地址、联系方式向基金管理人发送相关（法律）文书，无人签收或基金管理人拒收的，则（法律）文书退回之日视为送达之日；若直接送达时基金管理人拒收的，送达人可采取拍照、录像方式记录送达过程，并将（法律）文书留置，亦视为送达。基金管理人提供错误联系方式或未及时告知变更后联系方式的，导致（法律）文书未能送达或退回的，则（法律）文书退回之日视为送达之日。</w:t>
      </w:r>
    </w:p>
    <w:p w14:paraId="7D15ED7E" w14:textId="3C596A03" w:rsidR="00EB5BF5" w:rsidRDefault="005C1C72" w:rsidP="006643B1">
      <w:pPr>
        <w:pStyle w:val="20"/>
        <w:spacing w:before="0" w:after="0" w:line="520" w:lineRule="atLeast"/>
        <w:ind w:left="0" w:firstLineChars="200" w:firstLine="480"/>
        <w:rPr>
          <w:rFonts w:hAnsi="宋体"/>
          <w:szCs w:val="24"/>
        </w:rPr>
      </w:pPr>
      <w:r w:rsidRPr="00F67A57">
        <w:rPr>
          <w:rFonts w:hAnsi="宋体" w:hint="eastAsia"/>
          <w:szCs w:val="24"/>
        </w:rPr>
        <w:t>2</w:t>
      </w:r>
      <w:r w:rsidRPr="00F67A57">
        <w:rPr>
          <w:rFonts w:hAnsi="宋体"/>
          <w:szCs w:val="24"/>
        </w:rPr>
        <w:t>3.4</w:t>
      </w:r>
      <w:r w:rsidRPr="00F67A57">
        <w:rPr>
          <w:rFonts w:hAnsi="宋体" w:hint="eastAsia"/>
          <w:szCs w:val="24"/>
        </w:rPr>
        <w:t>如果基金管理人提供的上述联系方式发生变更的，应在变更后三日内书面通知基金托管人；在本协议项下债务进入诉讼或仲裁阶段后，则须以书面方式告知审理机关。否则按原联系方式发出的通知或其他文书，即使变更方没有收到，仍视为送达。</w:t>
      </w:r>
    </w:p>
    <w:p w14:paraId="618CC53F" w14:textId="77777777" w:rsidR="00EB5BF5" w:rsidRPr="00F67A57" w:rsidRDefault="00EB5BF5" w:rsidP="006643B1">
      <w:pPr>
        <w:pStyle w:val="1"/>
        <w:snapToGrid/>
        <w:spacing w:line="520" w:lineRule="atLeast"/>
        <w:ind w:firstLineChars="200" w:firstLine="482"/>
        <w:rPr>
          <w:bCs/>
          <w:color w:val="auto"/>
          <w:szCs w:val="24"/>
        </w:rPr>
      </w:pPr>
      <w:bookmarkStart w:id="67" w:name="_Toc44321747"/>
      <w:r w:rsidRPr="00F67A57">
        <w:rPr>
          <w:rFonts w:hint="eastAsia"/>
          <w:bCs/>
          <w:color w:val="auto"/>
          <w:szCs w:val="24"/>
        </w:rPr>
        <w:t>第二十四条 其他约定</w:t>
      </w:r>
      <w:r w:rsidRPr="00F67A57">
        <w:rPr>
          <w:bCs/>
          <w:color w:val="auto"/>
          <w:szCs w:val="24"/>
        </w:rPr>
        <w:t>事项</w:t>
      </w:r>
      <w:bookmarkEnd w:id="67"/>
    </w:p>
    <w:p w14:paraId="7077E46A" w14:textId="011999EC" w:rsidR="00EB5BF5" w:rsidRPr="00650B4B" w:rsidRDefault="00746FB5" w:rsidP="006643B1">
      <w:pPr>
        <w:pStyle w:val="20"/>
        <w:spacing w:before="0" w:after="0" w:line="520" w:lineRule="atLeast"/>
        <w:rPr>
          <w:rFonts w:hAnsi="宋体"/>
          <w:szCs w:val="24"/>
        </w:rPr>
      </w:pPr>
      <w:r>
        <w:rPr>
          <w:rFonts w:hAnsi="宋体" w:hint="eastAsia"/>
          <w:szCs w:val="24"/>
        </w:rPr>
        <w:t>无</w:t>
      </w:r>
    </w:p>
    <w:p w14:paraId="4282B13E" w14:textId="77777777" w:rsidR="00EB5BF5" w:rsidRDefault="00EB5BF5" w:rsidP="006643B1">
      <w:pPr>
        <w:pStyle w:val="20"/>
        <w:spacing w:before="0" w:after="0" w:line="520" w:lineRule="atLeast"/>
        <w:ind w:left="0"/>
        <w:rPr>
          <w:rFonts w:hAnsi="宋体"/>
          <w:szCs w:val="24"/>
        </w:rPr>
      </w:pPr>
      <w:r w:rsidRPr="00650B4B">
        <w:rPr>
          <w:rFonts w:hAnsi="宋体" w:hint="eastAsia"/>
          <w:szCs w:val="24"/>
        </w:rPr>
        <w:t xml:space="preserve">    如本条约定与其他条款约定冲突的，应以本条约定为准。</w:t>
      </w:r>
    </w:p>
    <w:p w14:paraId="124A0854" w14:textId="51AE383E" w:rsidR="00B61FF9" w:rsidRPr="00B273AE" w:rsidRDefault="00EB5BF5" w:rsidP="00B043B9">
      <w:pPr>
        <w:widowControl/>
        <w:spacing w:line="520" w:lineRule="atLeast"/>
        <w:ind w:firstLineChars="100" w:firstLine="240"/>
        <w:jc w:val="left"/>
        <w:rPr>
          <w:rFonts w:ascii="宋体" w:hAnsi="宋体"/>
          <w:sz w:val="28"/>
          <w:szCs w:val="28"/>
        </w:rPr>
      </w:pPr>
      <w:r w:rsidRPr="00F67A57">
        <w:rPr>
          <w:rFonts w:ascii="宋体" w:hAnsi="宋体" w:hint="eastAsia"/>
          <w:sz w:val="24"/>
          <w:szCs w:val="24"/>
        </w:rPr>
        <w:t>（以下无正文）</w:t>
      </w:r>
      <w:bookmarkStart w:id="68" w:name="_GoBack"/>
      <w:bookmarkEnd w:id="68"/>
    </w:p>
    <w:sectPr w:rsidR="00B61FF9" w:rsidRPr="00B273AE">
      <w:footerReference w:type="even" r:id="rId10"/>
      <w:footerReference w:type="default" r:id="rId11"/>
      <w:pgSz w:w="11907" w:h="16840"/>
      <w:pgMar w:top="1090" w:right="1678" w:bottom="935" w:left="1678"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688E" w16cex:dateUtc="2022-05-17T10:31:00Z"/>
  <w16cex:commentExtensible w16cex:durableId="262E6190" w16cex:dateUtc="2022-05-17T10:01:00Z"/>
  <w16cex:commentExtensible w16cex:durableId="262E686B" w16cex:dateUtc="2022-05-17T10:31:00Z"/>
  <w16cex:commentExtensible w16cex:durableId="25DF2324" w16cex:dateUtc="2022-03-18T07:26:00Z"/>
  <w16cex:commentExtensible w16cex:durableId="262E5F89" w16cex:dateUtc="2022-05-17T09:53:00Z"/>
  <w16cex:commentExtensible w16cex:durableId="262E5D8C" w16cex:dateUtc="2022-03-22T02:58:00Z"/>
  <w16cex:commentExtensible w16cex:durableId="262E61FF" w16cex:dateUtc="2022-05-17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FC7E6" w16cid:durableId="262E688E"/>
  <w16cid:commentId w16cid:paraId="36BBDB21" w16cid:durableId="262E6190"/>
  <w16cid:commentId w16cid:paraId="358AA0C4" w16cid:durableId="262E686B"/>
  <w16cid:commentId w16cid:paraId="3FA8CE88" w16cid:durableId="25DF2324"/>
  <w16cid:commentId w16cid:paraId="5832B75F" w16cid:durableId="262E5F89"/>
  <w16cid:commentId w16cid:paraId="5B189660" w16cid:durableId="262E5D8C"/>
  <w16cid:commentId w16cid:paraId="5493730A" w16cid:durableId="262E61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037C" w14:textId="77777777" w:rsidR="00EF5C64" w:rsidRDefault="00EF5C64">
      <w:r>
        <w:separator/>
      </w:r>
    </w:p>
  </w:endnote>
  <w:endnote w:type="continuationSeparator" w:id="0">
    <w:p w14:paraId="279F8B9C" w14:textId="77777777" w:rsidR="00EF5C64" w:rsidRDefault="00EF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5495" w14:textId="77777777" w:rsidR="00AE6DBC" w:rsidRDefault="00AE6DBC">
    <w:pPr>
      <w:pStyle w:val="aa"/>
      <w:framePr w:wrap="around" w:vAnchor="text" w:hAnchor="margin" w:xAlign="center" w:y="1"/>
      <w:rPr>
        <w:rStyle w:val="ac"/>
      </w:rPr>
    </w:pPr>
    <w:r>
      <w:fldChar w:fldCharType="begin"/>
    </w:r>
    <w:r>
      <w:rPr>
        <w:rStyle w:val="ac"/>
      </w:rPr>
      <w:instrText xml:space="preserve">PAGE  </w:instrText>
    </w:r>
    <w:r>
      <w:fldChar w:fldCharType="end"/>
    </w:r>
  </w:p>
  <w:p w14:paraId="357C8D2E" w14:textId="77777777" w:rsidR="00AE6DBC" w:rsidRDefault="00AE6DB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5F49" w14:textId="77777777" w:rsidR="00AE6DBC" w:rsidRDefault="00AE6DBC">
    <w:pPr>
      <w:pStyle w:val="aa"/>
      <w:framePr w:wrap="around" w:vAnchor="text" w:hAnchor="margin" w:xAlign="center" w:y="1"/>
      <w:rPr>
        <w:rStyle w:val="ac"/>
      </w:rPr>
    </w:pPr>
    <w:r>
      <w:fldChar w:fldCharType="begin"/>
    </w:r>
    <w:r>
      <w:rPr>
        <w:rStyle w:val="ac"/>
      </w:rPr>
      <w:instrText xml:space="preserve">PAGE  </w:instrText>
    </w:r>
    <w:r>
      <w:fldChar w:fldCharType="separate"/>
    </w:r>
    <w:r w:rsidR="00B043B9">
      <w:rPr>
        <w:rStyle w:val="ac"/>
        <w:noProof/>
      </w:rPr>
      <w:t>3</w:t>
    </w:r>
    <w:r>
      <w:fldChar w:fldCharType="end"/>
    </w:r>
  </w:p>
  <w:p w14:paraId="4C231A2F" w14:textId="77777777" w:rsidR="00AE6DBC" w:rsidRDefault="00AE6D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A316" w14:textId="77777777" w:rsidR="00EF5C64" w:rsidRDefault="00EF5C64">
      <w:r>
        <w:separator/>
      </w:r>
    </w:p>
  </w:footnote>
  <w:footnote w:type="continuationSeparator" w:id="0">
    <w:p w14:paraId="183EC37E" w14:textId="77777777" w:rsidR="00EF5C64" w:rsidRDefault="00EF5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B"/>
    <w:rsid w:val="000002CB"/>
    <w:rsid w:val="000020A6"/>
    <w:rsid w:val="00005F02"/>
    <w:rsid w:val="00006A92"/>
    <w:rsid w:val="00006CBA"/>
    <w:rsid w:val="00006EF5"/>
    <w:rsid w:val="00007EEE"/>
    <w:rsid w:val="000107EC"/>
    <w:rsid w:val="00014405"/>
    <w:rsid w:val="0001455C"/>
    <w:rsid w:val="00014C75"/>
    <w:rsid w:val="00014D0C"/>
    <w:rsid w:val="000156D9"/>
    <w:rsid w:val="0001713B"/>
    <w:rsid w:val="00017F23"/>
    <w:rsid w:val="000217E4"/>
    <w:rsid w:val="00023681"/>
    <w:rsid w:val="00023A92"/>
    <w:rsid w:val="00027285"/>
    <w:rsid w:val="00033A7B"/>
    <w:rsid w:val="00035920"/>
    <w:rsid w:val="00037404"/>
    <w:rsid w:val="00037818"/>
    <w:rsid w:val="00037980"/>
    <w:rsid w:val="00042A25"/>
    <w:rsid w:val="00042EEE"/>
    <w:rsid w:val="00043FB7"/>
    <w:rsid w:val="00046B2A"/>
    <w:rsid w:val="000559C3"/>
    <w:rsid w:val="000603A2"/>
    <w:rsid w:val="00062021"/>
    <w:rsid w:val="00062E2D"/>
    <w:rsid w:val="00066BF4"/>
    <w:rsid w:val="0006754D"/>
    <w:rsid w:val="00071F28"/>
    <w:rsid w:val="0007356D"/>
    <w:rsid w:val="00074856"/>
    <w:rsid w:val="0007750D"/>
    <w:rsid w:val="0008163D"/>
    <w:rsid w:val="000849BE"/>
    <w:rsid w:val="00084E1A"/>
    <w:rsid w:val="000877E6"/>
    <w:rsid w:val="00091DFF"/>
    <w:rsid w:val="00093120"/>
    <w:rsid w:val="00094436"/>
    <w:rsid w:val="000A228B"/>
    <w:rsid w:val="000A3650"/>
    <w:rsid w:val="000A58A5"/>
    <w:rsid w:val="000A6FC1"/>
    <w:rsid w:val="000B1E50"/>
    <w:rsid w:val="000C0905"/>
    <w:rsid w:val="000C0B57"/>
    <w:rsid w:val="000C152B"/>
    <w:rsid w:val="000C2F51"/>
    <w:rsid w:val="000C4913"/>
    <w:rsid w:val="000C7AB7"/>
    <w:rsid w:val="000D0BD5"/>
    <w:rsid w:val="000D17C9"/>
    <w:rsid w:val="000D41C2"/>
    <w:rsid w:val="000D59DE"/>
    <w:rsid w:val="000E216E"/>
    <w:rsid w:val="000E3608"/>
    <w:rsid w:val="000E69F8"/>
    <w:rsid w:val="000F6613"/>
    <w:rsid w:val="001022CC"/>
    <w:rsid w:val="0010239C"/>
    <w:rsid w:val="00102F71"/>
    <w:rsid w:val="00107051"/>
    <w:rsid w:val="00115AA2"/>
    <w:rsid w:val="001177F0"/>
    <w:rsid w:val="00124A0C"/>
    <w:rsid w:val="00125A2F"/>
    <w:rsid w:val="001272C2"/>
    <w:rsid w:val="001309C0"/>
    <w:rsid w:val="00130C38"/>
    <w:rsid w:val="00132302"/>
    <w:rsid w:val="00132BE4"/>
    <w:rsid w:val="00135362"/>
    <w:rsid w:val="00137C67"/>
    <w:rsid w:val="0014134F"/>
    <w:rsid w:val="0014169A"/>
    <w:rsid w:val="0014323B"/>
    <w:rsid w:val="00143504"/>
    <w:rsid w:val="00145C16"/>
    <w:rsid w:val="00146F90"/>
    <w:rsid w:val="001528C1"/>
    <w:rsid w:val="001618D7"/>
    <w:rsid w:val="00162AE0"/>
    <w:rsid w:val="0016478E"/>
    <w:rsid w:val="001657D8"/>
    <w:rsid w:val="00175B0A"/>
    <w:rsid w:val="00177915"/>
    <w:rsid w:val="00180B60"/>
    <w:rsid w:val="00183760"/>
    <w:rsid w:val="001848CC"/>
    <w:rsid w:val="001A1AF9"/>
    <w:rsid w:val="001B0A60"/>
    <w:rsid w:val="001B0F1A"/>
    <w:rsid w:val="001B1C7C"/>
    <w:rsid w:val="001B2959"/>
    <w:rsid w:val="001B2AF0"/>
    <w:rsid w:val="001B2E1D"/>
    <w:rsid w:val="001B687D"/>
    <w:rsid w:val="001B7022"/>
    <w:rsid w:val="001C2ACF"/>
    <w:rsid w:val="001C545B"/>
    <w:rsid w:val="001C66BC"/>
    <w:rsid w:val="001D03D4"/>
    <w:rsid w:val="001D09A0"/>
    <w:rsid w:val="001D3E64"/>
    <w:rsid w:val="001D444B"/>
    <w:rsid w:val="001D60A4"/>
    <w:rsid w:val="001E33B7"/>
    <w:rsid w:val="001E6B63"/>
    <w:rsid w:val="001E7621"/>
    <w:rsid w:val="001F02A0"/>
    <w:rsid w:val="001F1C99"/>
    <w:rsid w:val="001F5108"/>
    <w:rsid w:val="001F5848"/>
    <w:rsid w:val="00203D12"/>
    <w:rsid w:val="002045A2"/>
    <w:rsid w:val="00205409"/>
    <w:rsid w:val="00206D81"/>
    <w:rsid w:val="0021045C"/>
    <w:rsid w:val="00214195"/>
    <w:rsid w:val="002158ED"/>
    <w:rsid w:val="00216E66"/>
    <w:rsid w:val="00217901"/>
    <w:rsid w:val="002216DF"/>
    <w:rsid w:val="00221C8C"/>
    <w:rsid w:val="00222238"/>
    <w:rsid w:val="00222AE4"/>
    <w:rsid w:val="002254CA"/>
    <w:rsid w:val="00225A43"/>
    <w:rsid w:val="002309FE"/>
    <w:rsid w:val="00234821"/>
    <w:rsid w:val="00234CB5"/>
    <w:rsid w:val="00244076"/>
    <w:rsid w:val="00244CEE"/>
    <w:rsid w:val="00244F0B"/>
    <w:rsid w:val="00245A0F"/>
    <w:rsid w:val="002464DB"/>
    <w:rsid w:val="00251308"/>
    <w:rsid w:val="00254532"/>
    <w:rsid w:val="00256509"/>
    <w:rsid w:val="002567AE"/>
    <w:rsid w:val="002569F0"/>
    <w:rsid w:val="002620B5"/>
    <w:rsid w:val="0026403B"/>
    <w:rsid w:val="00266385"/>
    <w:rsid w:val="00270B1B"/>
    <w:rsid w:val="00271BEE"/>
    <w:rsid w:val="00273F36"/>
    <w:rsid w:val="0027511C"/>
    <w:rsid w:val="00275823"/>
    <w:rsid w:val="002771AB"/>
    <w:rsid w:val="00280105"/>
    <w:rsid w:val="00282CB6"/>
    <w:rsid w:val="00283722"/>
    <w:rsid w:val="002A0F59"/>
    <w:rsid w:val="002A153D"/>
    <w:rsid w:val="002A34FB"/>
    <w:rsid w:val="002A4594"/>
    <w:rsid w:val="002A5134"/>
    <w:rsid w:val="002A61A3"/>
    <w:rsid w:val="002B0CA2"/>
    <w:rsid w:val="002B2B25"/>
    <w:rsid w:val="002B2B46"/>
    <w:rsid w:val="002C4590"/>
    <w:rsid w:val="002C45EE"/>
    <w:rsid w:val="002C5A1F"/>
    <w:rsid w:val="002C5EC8"/>
    <w:rsid w:val="002C7260"/>
    <w:rsid w:val="002D278E"/>
    <w:rsid w:val="002D5AC8"/>
    <w:rsid w:val="002E324C"/>
    <w:rsid w:val="002E423B"/>
    <w:rsid w:val="002F1D9A"/>
    <w:rsid w:val="002F1FB2"/>
    <w:rsid w:val="002F526F"/>
    <w:rsid w:val="002F7C1F"/>
    <w:rsid w:val="0030473A"/>
    <w:rsid w:val="0030785F"/>
    <w:rsid w:val="00312A59"/>
    <w:rsid w:val="00314EE7"/>
    <w:rsid w:val="00317BE9"/>
    <w:rsid w:val="003229E8"/>
    <w:rsid w:val="0032409F"/>
    <w:rsid w:val="00326F54"/>
    <w:rsid w:val="00330DBF"/>
    <w:rsid w:val="00341E23"/>
    <w:rsid w:val="00342101"/>
    <w:rsid w:val="00343183"/>
    <w:rsid w:val="00345E38"/>
    <w:rsid w:val="0035177F"/>
    <w:rsid w:val="0035355B"/>
    <w:rsid w:val="00362701"/>
    <w:rsid w:val="003628D8"/>
    <w:rsid w:val="00363BF9"/>
    <w:rsid w:val="0036683F"/>
    <w:rsid w:val="00370E6A"/>
    <w:rsid w:val="00376470"/>
    <w:rsid w:val="00376534"/>
    <w:rsid w:val="00380257"/>
    <w:rsid w:val="003820CE"/>
    <w:rsid w:val="0038599A"/>
    <w:rsid w:val="00385CF5"/>
    <w:rsid w:val="00392AEE"/>
    <w:rsid w:val="00393A4B"/>
    <w:rsid w:val="0039570A"/>
    <w:rsid w:val="0039704D"/>
    <w:rsid w:val="003A21D3"/>
    <w:rsid w:val="003A4C9D"/>
    <w:rsid w:val="003A64E9"/>
    <w:rsid w:val="003A6D5A"/>
    <w:rsid w:val="003A6FC4"/>
    <w:rsid w:val="003A7609"/>
    <w:rsid w:val="003B0F07"/>
    <w:rsid w:val="003B240A"/>
    <w:rsid w:val="003B7C32"/>
    <w:rsid w:val="003C20E6"/>
    <w:rsid w:val="003C235D"/>
    <w:rsid w:val="003C2DEB"/>
    <w:rsid w:val="003C306C"/>
    <w:rsid w:val="003C3C90"/>
    <w:rsid w:val="003C5A81"/>
    <w:rsid w:val="003C67A3"/>
    <w:rsid w:val="003C6E19"/>
    <w:rsid w:val="003D0785"/>
    <w:rsid w:val="003D24E0"/>
    <w:rsid w:val="003D2655"/>
    <w:rsid w:val="003D48C9"/>
    <w:rsid w:val="003D6E5F"/>
    <w:rsid w:val="003D7086"/>
    <w:rsid w:val="003D778D"/>
    <w:rsid w:val="003E25E9"/>
    <w:rsid w:val="003E26AD"/>
    <w:rsid w:val="003E287F"/>
    <w:rsid w:val="003E57C9"/>
    <w:rsid w:val="003E5B9D"/>
    <w:rsid w:val="003E619A"/>
    <w:rsid w:val="003F26BF"/>
    <w:rsid w:val="003F32DF"/>
    <w:rsid w:val="003F38FA"/>
    <w:rsid w:val="003F4121"/>
    <w:rsid w:val="003F76F1"/>
    <w:rsid w:val="00403FA4"/>
    <w:rsid w:val="0040587A"/>
    <w:rsid w:val="00411E11"/>
    <w:rsid w:val="00411EC2"/>
    <w:rsid w:val="00412FF1"/>
    <w:rsid w:val="0041673C"/>
    <w:rsid w:val="00417D16"/>
    <w:rsid w:val="0042648F"/>
    <w:rsid w:val="00430FD3"/>
    <w:rsid w:val="004311E8"/>
    <w:rsid w:val="004339DF"/>
    <w:rsid w:val="00436366"/>
    <w:rsid w:val="00436883"/>
    <w:rsid w:val="0043710B"/>
    <w:rsid w:val="004412E4"/>
    <w:rsid w:val="00443EEB"/>
    <w:rsid w:val="004464B7"/>
    <w:rsid w:val="0044652B"/>
    <w:rsid w:val="00451371"/>
    <w:rsid w:val="00455161"/>
    <w:rsid w:val="004558DF"/>
    <w:rsid w:val="00456A15"/>
    <w:rsid w:val="00456C3E"/>
    <w:rsid w:val="0046023B"/>
    <w:rsid w:val="00462A74"/>
    <w:rsid w:val="004670BB"/>
    <w:rsid w:val="004702E5"/>
    <w:rsid w:val="00470F6A"/>
    <w:rsid w:val="00471C79"/>
    <w:rsid w:val="00472976"/>
    <w:rsid w:val="004734B3"/>
    <w:rsid w:val="00474712"/>
    <w:rsid w:val="0048045F"/>
    <w:rsid w:val="004849DA"/>
    <w:rsid w:val="00490CC4"/>
    <w:rsid w:val="004951E3"/>
    <w:rsid w:val="004A0749"/>
    <w:rsid w:val="004A0956"/>
    <w:rsid w:val="004A2093"/>
    <w:rsid w:val="004A21FA"/>
    <w:rsid w:val="004A26BE"/>
    <w:rsid w:val="004A4507"/>
    <w:rsid w:val="004A4EEB"/>
    <w:rsid w:val="004B0A2F"/>
    <w:rsid w:val="004B3F78"/>
    <w:rsid w:val="004B76D3"/>
    <w:rsid w:val="004C14BD"/>
    <w:rsid w:val="004C5378"/>
    <w:rsid w:val="004C7064"/>
    <w:rsid w:val="004D7082"/>
    <w:rsid w:val="004E1009"/>
    <w:rsid w:val="004E2E3D"/>
    <w:rsid w:val="004E306E"/>
    <w:rsid w:val="004E5206"/>
    <w:rsid w:val="004E5621"/>
    <w:rsid w:val="004E7254"/>
    <w:rsid w:val="004F2CD0"/>
    <w:rsid w:val="004F4570"/>
    <w:rsid w:val="004F5507"/>
    <w:rsid w:val="004F5ED3"/>
    <w:rsid w:val="004F7098"/>
    <w:rsid w:val="00500435"/>
    <w:rsid w:val="00503170"/>
    <w:rsid w:val="00507836"/>
    <w:rsid w:val="005121E1"/>
    <w:rsid w:val="005147D9"/>
    <w:rsid w:val="00514ECE"/>
    <w:rsid w:val="005223A4"/>
    <w:rsid w:val="00526BD9"/>
    <w:rsid w:val="00530616"/>
    <w:rsid w:val="005307DB"/>
    <w:rsid w:val="00533B7B"/>
    <w:rsid w:val="005366E9"/>
    <w:rsid w:val="0054036A"/>
    <w:rsid w:val="005417F4"/>
    <w:rsid w:val="00541A7B"/>
    <w:rsid w:val="00543408"/>
    <w:rsid w:val="00552CCB"/>
    <w:rsid w:val="005576FE"/>
    <w:rsid w:val="00563173"/>
    <w:rsid w:val="005662BD"/>
    <w:rsid w:val="00585CCD"/>
    <w:rsid w:val="00587AA1"/>
    <w:rsid w:val="00591580"/>
    <w:rsid w:val="00591B16"/>
    <w:rsid w:val="005A0509"/>
    <w:rsid w:val="005A11E0"/>
    <w:rsid w:val="005A1862"/>
    <w:rsid w:val="005A1FC8"/>
    <w:rsid w:val="005A301C"/>
    <w:rsid w:val="005A36FD"/>
    <w:rsid w:val="005A52A1"/>
    <w:rsid w:val="005A6CDF"/>
    <w:rsid w:val="005A745C"/>
    <w:rsid w:val="005B05A6"/>
    <w:rsid w:val="005B0731"/>
    <w:rsid w:val="005B0CCB"/>
    <w:rsid w:val="005B0F25"/>
    <w:rsid w:val="005B4A54"/>
    <w:rsid w:val="005B6D06"/>
    <w:rsid w:val="005B7532"/>
    <w:rsid w:val="005C1C72"/>
    <w:rsid w:val="005C3CEA"/>
    <w:rsid w:val="005C5DFC"/>
    <w:rsid w:val="005D0467"/>
    <w:rsid w:val="005D11F0"/>
    <w:rsid w:val="005D18F6"/>
    <w:rsid w:val="005D442A"/>
    <w:rsid w:val="005D4DA3"/>
    <w:rsid w:val="005E0DF0"/>
    <w:rsid w:val="005E2FF6"/>
    <w:rsid w:val="005E3419"/>
    <w:rsid w:val="005E3FB2"/>
    <w:rsid w:val="005E751A"/>
    <w:rsid w:val="005F012D"/>
    <w:rsid w:val="005F0CA6"/>
    <w:rsid w:val="005F221B"/>
    <w:rsid w:val="005F42C5"/>
    <w:rsid w:val="005F48DE"/>
    <w:rsid w:val="005F7024"/>
    <w:rsid w:val="00601D3D"/>
    <w:rsid w:val="0060330F"/>
    <w:rsid w:val="006039BB"/>
    <w:rsid w:val="00604C7B"/>
    <w:rsid w:val="006117E4"/>
    <w:rsid w:val="00613881"/>
    <w:rsid w:val="00616872"/>
    <w:rsid w:val="006238E1"/>
    <w:rsid w:val="006269AA"/>
    <w:rsid w:val="00627E17"/>
    <w:rsid w:val="00630C12"/>
    <w:rsid w:val="00631068"/>
    <w:rsid w:val="006333AF"/>
    <w:rsid w:val="0063582D"/>
    <w:rsid w:val="006374EE"/>
    <w:rsid w:val="006433ED"/>
    <w:rsid w:val="006444AE"/>
    <w:rsid w:val="00645707"/>
    <w:rsid w:val="00645BD9"/>
    <w:rsid w:val="00646351"/>
    <w:rsid w:val="0065050A"/>
    <w:rsid w:val="006513FE"/>
    <w:rsid w:val="0065472A"/>
    <w:rsid w:val="0065631C"/>
    <w:rsid w:val="0065675D"/>
    <w:rsid w:val="00661EB6"/>
    <w:rsid w:val="0066277C"/>
    <w:rsid w:val="006631BB"/>
    <w:rsid w:val="006643B1"/>
    <w:rsid w:val="006704D3"/>
    <w:rsid w:val="00671709"/>
    <w:rsid w:val="00672EA6"/>
    <w:rsid w:val="006745D6"/>
    <w:rsid w:val="00674E25"/>
    <w:rsid w:val="0067636E"/>
    <w:rsid w:val="00676F66"/>
    <w:rsid w:val="00681B36"/>
    <w:rsid w:val="00682F3F"/>
    <w:rsid w:val="0068465B"/>
    <w:rsid w:val="0069476A"/>
    <w:rsid w:val="006A187B"/>
    <w:rsid w:val="006A3BBA"/>
    <w:rsid w:val="006A5442"/>
    <w:rsid w:val="006A7C46"/>
    <w:rsid w:val="006B0F66"/>
    <w:rsid w:val="006B259C"/>
    <w:rsid w:val="006B3419"/>
    <w:rsid w:val="006B5645"/>
    <w:rsid w:val="006B567E"/>
    <w:rsid w:val="006C1975"/>
    <w:rsid w:val="006E1C21"/>
    <w:rsid w:val="006E5F66"/>
    <w:rsid w:val="006E616F"/>
    <w:rsid w:val="006E6265"/>
    <w:rsid w:val="006F4830"/>
    <w:rsid w:val="006F7F18"/>
    <w:rsid w:val="007041FF"/>
    <w:rsid w:val="0070432C"/>
    <w:rsid w:val="00705281"/>
    <w:rsid w:val="0070544A"/>
    <w:rsid w:val="007105D4"/>
    <w:rsid w:val="00712E45"/>
    <w:rsid w:val="00714EDA"/>
    <w:rsid w:val="00715971"/>
    <w:rsid w:val="00720BBE"/>
    <w:rsid w:val="0072239D"/>
    <w:rsid w:val="00722E92"/>
    <w:rsid w:val="00723A7F"/>
    <w:rsid w:val="00731307"/>
    <w:rsid w:val="007346AA"/>
    <w:rsid w:val="00742138"/>
    <w:rsid w:val="0074389D"/>
    <w:rsid w:val="007451E3"/>
    <w:rsid w:val="00746FB5"/>
    <w:rsid w:val="00750443"/>
    <w:rsid w:val="00750A9C"/>
    <w:rsid w:val="00751198"/>
    <w:rsid w:val="0075595F"/>
    <w:rsid w:val="007564E2"/>
    <w:rsid w:val="00757C03"/>
    <w:rsid w:val="00757ED4"/>
    <w:rsid w:val="00760211"/>
    <w:rsid w:val="00770384"/>
    <w:rsid w:val="00772F6C"/>
    <w:rsid w:val="00773CE9"/>
    <w:rsid w:val="00775161"/>
    <w:rsid w:val="00777C8C"/>
    <w:rsid w:val="0078303E"/>
    <w:rsid w:val="007865D8"/>
    <w:rsid w:val="00786DDE"/>
    <w:rsid w:val="00792ABE"/>
    <w:rsid w:val="00793D74"/>
    <w:rsid w:val="00795FC7"/>
    <w:rsid w:val="007A4FFD"/>
    <w:rsid w:val="007B0920"/>
    <w:rsid w:val="007B0DCD"/>
    <w:rsid w:val="007B1FEA"/>
    <w:rsid w:val="007B40CD"/>
    <w:rsid w:val="007B78CE"/>
    <w:rsid w:val="007C3B71"/>
    <w:rsid w:val="007C56B2"/>
    <w:rsid w:val="007D21F7"/>
    <w:rsid w:val="007D47B0"/>
    <w:rsid w:val="007D4F74"/>
    <w:rsid w:val="007E2AA0"/>
    <w:rsid w:val="007E3074"/>
    <w:rsid w:val="007E4B49"/>
    <w:rsid w:val="007E66C2"/>
    <w:rsid w:val="007F28F2"/>
    <w:rsid w:val="007F37EC"/>
    <w:rsid w:val="007F780A"/>
    <w:rsid w:val="008059C3"/>
    <w:rsid w:val="00806439"/>
    <w:rsid w:val="00810562"/>
    <w:rsid w:val="008138B1"/>
    <w:rsid w:val="00815E67"/>
    <w:rsid w:val="00816328"/>
    <w:rsid w:val="00816E98"/>
    <w:rsid w:val="0082011A"/>
    <w:rsid w:val="00820261"/>
    <w:rsid w:val="008265FB"/>
    <w:rsid w:val="0083307F"/>
    <w:rsid w:val="008402D5"/>
    <w:rsid w:val="00844028"/>
    <w:rsid w:val="0084464F"/>
    <w:rsid w:val="00844681"/>
    <w:rsid w:val="0084596D"/>
    <w:rsid w:val="00850170"/>
    <w:rsid w:val="00850A81"/>
    <w:rsid w:val="00853FDC"/>
    <w:rsid w:val="00855B9C"/>
    <w:rsid w:val="00857A81"/>
    <w:rsid w:val="0086120E"/>
    <w:rsid w:val="008723BB"/>
    <w:rsid w:val="0087426C"/>
    <w:rsid w:val="0087434D"/>
    <w:rsid w:val="008758F6"/>
    <w:rsid w:val="0088044B"/>
    <w:rsid w:val="008815F1"/>
    <w:rsid w:val="00886001"/>
    <w:rsid w:val="0088782C"/>
    <w:rsid w:val="008931AE"/>
    <w:rsid w:val="00895349"/>
    <w:rsid w:val="008A160E"/>
    <w:rsid w:val="008A1C89"/>
    <w:rsid w:val="008A452D"/>
    <w:rsid w:val="008A50D6"/>
    <w:rsid w:val="008A772E"/>
    <w:rsid w:val="008A77A6"/>
    <w:rsid w:val="008A7F32"/>
    <w:rsid w:val="008B7214"/>
    <w:rsid w:val="008C0F14"/>
    <w:rsid w:val="008D2524"/>
    <w:rsid w:val="008E3AE4"/>
    <w:rsid w:val="008E5641"/>
    <w:rsid w:val="008E6026"/>
    <w:rsid w:val="008E7B24"/>
    <w:rsid w:val="008F3907"/>
    <w:rsid w:val="008F3F36"/>
    <w:rsid w:val="008F4C30"/>
    <w:rsid w:val="008F6233"/>
    <w:rsid w:val="008F7242"/>
    <w:rsid w:val="0090034A"/>
    <w:rsid w:val="00901F55"/>
    <w:rsid w:val="00910563"/>
    <w:rsid w:val="00910BB9"/>
    <w:rsid w:val="00912E35"/>
    <w:rsid w:val="0091346D"/>
    <w:rsid w:val="009168DA"/>
    <w:rsid w:val="0091746B"/>
    <w:rsid w:val="00922C37"/>
    <w:rsid w:val="00922E0D"/>
    <w:rsid w:val="00923621"/>
    <w:rsid w:val="00925BAE"/>
    <w:rsid w:val="00934CFF"/>
    <w:rsid w:val="0094040B"/>
    <w:rsid w:val="00942E0B"/>
    <w:rsid w:val="00951D67"/>
    <w:rsid w:val="009534CD"/>
    <w:rsid w:val="00956305"/>
    <w:rsid w:val="009568E1"/>
    <w:rsid w:val="00956C59"/>
    <w:rsid w:val="00961105"/>
    <w:rsid w:val="00961CF2"/>
    <w:rsid w:val="009637CC"/>
    <w:rsid w:val="00965E4D"/>
    <w:rsid w:val="00967914"/>
    <w:rsid w:val="00972E11"/>
    <w:rsid w:val="00976194"/>
    <w:rsid w:val="00980790"/>
    <w:rsid w:val="00980965"/>
    <w:rsid w:val="00983D29"/>
    <w:rsid w:val="00983EC2"/>
    <w:rsid w:val="009929CB"/>
    <w:rsid w:val="00992C48"/>
    <w:rsid w:val="00994EDA"/>
    <w:rsid w:val="00996D63"/>
    <w:rsid w:val="00997B73"/>
    <w:rsid w:val="00997B9E"/>
    <w:rsid w:val="00997CAB"/>
    <w:rsid w:val="009A3719"/>
    <w:rsid w:val="009B4930"/>
    <w:rsid w:val="009B7AFF"/>
    <w:rsid w:val="009C05E6"/>
    <w:rsid w:val="009C29DC"/>
    <w:rsid w:val="009D1B1F"/>
    <w:rsid w:val="009D3DFA"/>
    <w:rsid w:val="009D488A"/>
    <w:rsid w:val="009D5128"/>
    <w:rsid w:val="009D5D04"/>
    <w:rsid w:val="009E0844"/>
    <w:rsid w:val="009E0DFD"/>
    <w:rsid w:val="009E263C"/>
    <w:rsid w:val="009E4F5A"/>
    <w:rsid w:val="009E7182"/>
    <w:rsid w:val="009F038B"/>
    <w:rsid w:val="009F232A"/>
    <w:rsid w:val="009F37F6"/>
    <w:rsid w:val="009F69C0"/>
    <w:rsid w:val="00A11937"/>
    <w:rsid w:val="00A11C5F"/>
    <w:rsid w:val="00A156F8"/>
    <w:rsid w:val="00A17CB0"/>
    <w:rsid w:val="00A275B4"/>
    <w:rsid w:val="00A3173D"/>
    <w:rsid w:val="00A317FB"/>
    <w:rsid w:val="00A32ED7"/>
    <w:rsid w:val="00A33B45"/>
    <w:rsid w:val="00A34C6D"/>
    <w:rsid w:val="00A420FD"/>
    <w:rsid w:val="00A430CF"/>
    <w:rsid w:val="00A43138"/>
    <w:rsid w:val="00A464EF"/>
    <w:rsid w:val="00A478F7"/>
    <w:rsid w:val="00A5325C"/>
    <w:rsid w:val="00A55175"/>
    <w:rsid w:val="00A5593A"/>
    <w:rsid w:val="00A61E5C"/>
    <w:rsid w:val="00A66A16"/>
    <w:rsid w:val="00A7122D"/>
    <w:rsid w:val="00A72A31"/>
    <w:rsid w:val="00A734EC"/>
    <w:rsid w:val="00A76D15"/>
    <w:rsid w:val="00A80572"/>
    <w:rsid w:val="00A82BB8"/>
    <w:rsid w:val="00A86F8A"/>
    <w:rsid w:val="00A872C3"/>
    <w:rsid w:val="00A90358"/>
    <w:rsid w:val="00A90A88"/>
    <w:rsid w:val="00A91212"/>
    <w:rsid w:val="00AA086B"/>
    <w:rsid w:val="00AA26EB"/>
    <w:rsid w:val="00AA3B97"/>
    <w:rsid w:val="00AA5D4A"/>
    <w:rsid w:val="00AA74F1"/>
    <w:rsid w:val="00AB08D8"/>
    <w:rsid w:val="00AB76A9"/>
    <w:rsid w:val="00AC7A32"/>
    <w:rsid w:val="00AD13BC"/>
    <w:rsid w:val="00AD1B3E"/>
    <w:rsid w:val="00AD38E5"/>
    <w:rsid w:val="00AD46EC"/>
    <w:rsid w:val="00AE6DBC"/>
    <w:rsid w:val="00B0046B"/>
    <w:rsid w:val="00B03495"/>
    <w:rsid w:val="00B043B9"/>
    <w:rsid w:val="00B049FA"/>
    <w:rsid w:val="00B04E35"/>
    <w:rsid w:val="00B05E90"/>
    <w:rsid w:val="00B13317"/>
    <w:rsid w:val="00B14B93"/>
    <w:rsid w:val="00B21541"/>
    <w:rsid w:val="00B22359"/>
    <w:rsid w:val="00B240D8"/>
    <w:rsid w:val="00B273AE"/>
    <w:rsid w:val="00B3071E"/>
    <w:rsid w:val="00B30933"/>
    <w:rsid w:val="00B310E5"/>
    <w:rsid w:val="00B321B6"/>
    <w:rsid w:val="00B34B8F"/>
    <w:rsid w:val="00B37F3D"/>
    <w:rsid w:val="00B41AB2"/>
    <w:rsid w:val="00B42A85"/>
    <w:rsid w:val="00B4586E"/>
    <w:rsid w:val="00B46AC1"/>
    <w:rsid w:val="00B47EC6"/>
    <w:rsid w:val="00B50738"/>
    <w:rsid w:val="00B56ABC"/>
    <w:rsid w:val="00B578D3"/>
    <w:rsid w:val="00B60E44"/>
    <w:rsid w:val="00B61FF9"/>
    <w:rsid w:val="00B63751"/>
    <w:rsid w:val="00B66879"/>
    <w:rsid w:val="00B719B1"/>
    <w:rsid w:val="00B73796"/>
    <w:rsid w:val="00B74A93"/>
    <w:rsid w:val="00B74EE1"/>
    <w:rsid w:val="00B76F64"/>
    <w:rsid w:val="00B77FC9"/>
    <w:rsid w:val="00B81368"/>
    <w:rsid w:val="00B90203"/>
    <w:rsid w:val="00B91FE0"/>
    <w:rsid w:val="00B92165"/>
    <w:rsid w:val="00B9229E"/>
    <w:rsid w:val="00B93FAE"/>
    <w:rsid w:val="00BA1072"/>
    <w:rsid w:val="00BA1995"/>
    <w:rsid w:val="00BA1FFA"/>
    <w:rsid w:val="00BA71B2"/>
    <w:rsid w:val="00BA7CDA"/>
    <w:rsid w:val="00BB055E"/>
    <w:rsid w:val="00BB1D20"/>
    <w:rsid w:val="00BB45C2"/>
    <w:rsid w:val="00BB6B31"/>
    <w:rsid w:val="00BC0D5D"/>
    <w:rsid w:val="00BC11DF"/>
    <w:rsid w:val="00BC397C"/>
    <w:rsid w:val="00BD1B35"/>
    <w:rsid w:val="00BD582F"/>
    <w:rsid w:val="00BD6014"/>
    <w:rsid w:val="00BE3072"/>
    <w:rsid w:val="00BE46D4"/>
    <w:rsid w:val="00BE78A0"/>
    <w:rsid w:val="00C00B3A"/>
    <w:rsid w:val="00C01EEA"/>
    <w:rsid w:val="00C03112"/>
    <w:rsid w:val="00C04FDD"/>
    <w:rsid w:val="00C05846"/>
    <w:rsid w:val="00C06901"/>
    <w:rsid w:val="00C118AC"/>
    <w:rsid w:val="00C14204"/>
    <w:rsid w:val="00C15064"/>
    <w:rsid w:val="00C17895"/>
    <w:rsid w:val="00C21B5A"/>
    <w:rsid w:val="00C25D19"/>
    <w:rsid w:val="00C26B22"/>
    <w:rsid w:val="00C324F8"/>
    <w:rsid w:val="00C34241"/>
    <w:rsid w:val="00C37C51"/>
    <w:rsid w:val="00C44C0D"/>
    <w:rsid w:val="00C44C75"/>
    <w:rsid w:val="00C51A27"/>
    <w:rsid w:val="00C520BD"/>
    <w:rsid w:val="00C535AA"/>
    <w:rsid w:val="00C63EF2"/>
    <w:rsid w:val="00C747D9"/>
    <w:rsid w:val="00C7729D"/>
    <w:rsid w:val="00C822D7"/>
    <w:rsid w:val="00C82CCF"/>
    <w:rsid w:val="00C850FD"/>
    <w:rsid w:val="00C934E2"/>
    <w:rsid w:val="00C94574"/>
    <w:rsid w:val="00C9703A"/>
    <w:rsid w:val="00CA48B0"/>
    <w:rsid w:val="00CA7829"/>
    <w:rsid w:val="00CB1555"/>
    <w:rsid w:val="00CB1963"/>
    <w:rsid w:val="00CB1D0F"/>
    <w:rsid w:val="00CB1E25"/>
    <w:rsid w:val="00CB595B"/>
    <w:rsid w:val="00CB6238"/>
    <w:rsid w:val="00CC0307"/>
    <w:rsid w:val="00CD2AB3"/>
    <w:rsid w:val="00CD3734"/>
    <w:rsid w:val="00CD5447"/>
    <w:rsid w:val="00CD624B"/>
    <w:rsid w:val="00CE1854"/>
    <w:rsid w:val="00CE187B"/>
    <w:rsid w:val="00CE1A63"/>
    <w:rsid w:val="00CE1B3D"/>
    <w:rsid w:val="00CF0833"/>
    <w:rsid w:val="00CF1814"/>
    <w:rsid w:val="00CF2667"/>
    <w:rsid w:val="00CF2E69"/>
    <w:rsid w:val="00CF33B4"/>
    <w:rsid w:val="00D039C5"/>
    <w:rsid w:val="00D03C31"/>
    <w:rsid w:val="00D12176"/>
    <w:rsid w:val="00D12262"/>
    <w:rsid w:val="00D127E7"/>
    <w:rsid w:val="00D151AC"/>
    <w:rsid w:val="00D15D80"/>
    <w:rsid w:val="00D167A4"/>
    <w:rsid w:val="00D167CB"/>
    <w:rsid w:val="00D2248B"/>
    <w:rsid w:val="00D23019"/>
    <w:rsid w:val="00D23C7C"/>
    <w:rsid w:val="00D25D94"/>
    <w:rsid w:val="00D267C4"/>
    <w:rsid w:val="00D27344"/>
    <w:rsid w:val="00D348CE"/>
    <w:rsid w:val="00D3749D"/>
    <w:rsid w:val="00D40F8E"/>
    <w:rsid w:val="00D4246A"/>
    <w:rsid w:val="00D4605A"/>
    <w:rsid w:val="00D470C6"/>
    <w:rsid w:val="00D515A6"/>
    <w:rsid w:val="00D52B93"/>
    <w:rsid w:val="00D53004"/>
    <w:rsid w:val="00D64286"/>
    <w:rsid w:val="00D70AB1"/>
    <w:rsid w:val="00D71350"/>
    <w:rsid w:val="00D736CF"/>
    <w:rsid w:val="00D830C5"/>
    <w:rsid w:val="00D836E6"/>
    <w:rsid w:val="00D85323"/>
    <w:rsid w:val="00D872FC"/>
    <w:rsid w:val="00D90C6F"/>
    <w:rsid w:val="00D91349"/>
    <w:rsid w:val="00D9729F"/>
    <w:rsid w:val="00D9774E"/>
    <w:rsid w:val="00DA1D58"/>
    <w:rsid w:val="00DA3524"/>
    <w:rsid w:val="00DA7F7F"/>
    <w:rsid w:val="00DB35A9"/>
    <w:rsid w:val="00DB3C21"/>
    <w:rsid w:val="00DB684A"/>
    <w:rsid w:val="00DC20D3"/>
    <w:rsid w:val="00DC33C9"/>
    <w:rsid w:val="00DC3413"/>
    <w:rsid w:val="00DD01D6"/>
    <w:rsid w:val="00DD1564"/>
    <w:rsid w:val="00DD3B63"/>
    <w:rsid w:val="00DD6E4D"/>
    <w:rsid w:val="00DD76DE"/>
    <w:rsid w:val="00DE275A"/>
    <w:rsid w:val="00DE7037"/>
    <w:rsid w:val="00DE723D"/>
    <w:rsid w:val="00DE7D0B"/>
    <w:rsid w:val="00DE7DCF"/>
    <w:rsid w:val="00DF1530"/>
    <w:rsid w:val="00DF29C3"/>
    <w:rsid w:val="00DF447B"/>
    <w:rsid w:val="00DF5FB3"/>
    <w:rsid w:val="00E000EB"/>
    <w:rsid w:val="00E02E28"/>
    <w:rsid w:val="00E069ED"/>
    <w:rsid w:val="00E142BD"/>
    <w:rsid w:val="00E20017"/>
    <w:rsid w:val="00E23F4C"/>
    <w:rsid w:val="00E24C6C"/>
    <w:rsid w:val="00E2562C"/>
    <w:rsid w:val="00E25905"/>
    <w:rsid w:val="00E379DC"/>
    <w:rsid w:val="00E42178"/>
    <w:rsid w:val="00E45E88"/>
    <w:rsid w:val="00E462D1"/>
    <w:rsid w:val="00E46345"/>
    <w:rsid w:val="00E47EEE"/>
    <w:rsid w:val="00E50960"/>
    <w:rsid w:val="00E53F89"/>
    <w:rsid w:val="00E60EE5"/>
    <w:rsid w:val="00E62C33"/>
    <w:rsid w:val="00E646A6"/>
    <w:rsid w:val="00E65237"/>
    <w:rsid w:val="00E658FF"/>
    <w:rsid w:val="00E71B58"/>
    <w:rsid w:val="00E7429F"/>
    <w:rsid w:val="00E758C6"/>
    <w:rsid w:val="00E83608"/>
    <w:rsid w:val="00E855F4"/>
    <w:rsid w:val="00E8622A"/>
    <w:rsid w:val="00E86688"/>
    <w:rsid w:val="00E925E0"/>
    <w:rsid w:val="00E97CC8"/>
    <w:rsid w:val="00EA13C8"/>
    <w:rsid w:val="00EA2F66"/>
    <w:rsid w:val="00EA3DF0"/>
    <w:rsid w:val="00EA45C6"/>
    <w:rsid w:val="00EA5145"/>
    <w:rsid w:val="00EA5223"/>
    <w:rsid w:val="00EA6279"/>
    <w:rsid w:val="00EA67DA"/>
    <w:rsid w:val="00EB5BF5"/>
    <w:rsid w:val="00EC0027"/>
    <w:rsid w:val="00EC6164"/>
    <w:rsid w:val="00ED07E9"/>
    <w:rsid w:val="00ED1003"/>
    <w:rsid w:val="00ED2EBF"/>
    <w:rsid w:val="00ED5B55"/>
    <w:rsid w:val="00ED799A"/>
    <w:rsid w:val="00EE039B"/>
    <w:rsid w:val="00EE13AA"/>
    <w:rsid w:val="00EE2B34"/>
    <w:rsid w:val="00EE3DB8"/>
    <w:rsid w:val="00EF05EA"/>
    <w:rsid w:val="00EF53BE"/>
    <w:rsid w:val="00EF5A21"/>
    <w:rsid w:val="00EF5C64"/>
    <w:rsid w:val="00F02AC7"/>
    <w:rsid w:val="00F04B03"/>
    <w:rsid w:val="00F07B60"/>
    <w:rsid w:val="00F14DEF"/>
    <w:rsid w:val="00F15F69"/>
    <w:rsid w:val="00F21554"/>
    <w:rsid w:val="00F21570"/>
    <w:rsid w:val="00F24AAE"/>
    <w:rsid w:val="00F26602"/>
    <w:rsid w:val="00F27457"/>
    <w:rsid w:val="00F3012F"/>
    <w:rsid w:val="00F3208D"/>
    <w:rsid w:val="00F32FC8"/>
    <w:rsid w:val="00F4392A"/>
    <w:rsid w:val="00F46CA0"/>
    <w:rsid w:val="00F51862"/>
    <w:rsid w:val="00F53C8C"/>
    <w:rsid w:val="00F55670"/>
    <w:rsid w:val="00F55DCE"/>
    <w:rsid w:val="00F55F8F"/>
    <w:rsid w:val="00F565AB"/>
    <w:rsid w:val="00F578FD"/>
    <w:rsid w:val="00F60532"/>
    <w:rsid w:val="00F63198"/>
    <w:rsid w:val="00F711DA"/>
    <w:rsid w:val="00F73AD1"/>
    <w:rsid w:val="00F744ED"/>
    <w:rsid w:val="00F778EE"/>
    <w:rsid w:val="00F77DCD"/>
    <w:rsid w:val="00F821F1"/>
    <w:rsid w:val="00F82246"/>
    <w:rsid w:val="00F91330"/>
    <w:rsid w:val="00F96366"/>
    <w:rsid w:val="00FA228E"/>
    <w:rsid w:val="00FA36A3"/>
    <w:rsid w:val="00FA4707"/>
    <w:rsid w:val="00FA600E"/>
    <w:rsid w:val="00FB2A98"/>
    <w:rsid w:val="00FB2B25"/>
    <w:rsid w:val="00FB5D7A"/>
    <w:rsid w:val="00FB7505"/>
    <w:rsid w:val="00FC0D21"/>
    <w:rsid w:val="00FC450E"/>
    <w:rsid w:val="00FD0230"/>
    <w:rsid w:val="00FD1371"/>
    <w:rsid w:val="00FD320B"/>
    <w:rsid w:val="00FE10B3"/>
    <w:rsid w:val="00FE4DDC"/>
    <w:rsid w:val="00FE4FAD"/>
    <w:rsid w:val="00FE734D"/>
    <w:rsid w:val="00FF3396"/>
    <w:rsid w:val="00FF478A"/>
    <w:rsid w:val="00FF559D"/>
    <w:rsid w:val="00FF6FFB"/>
    <w:rsid w:val="01223B82"/>
    <w:rsid w:val="016F1D40"/>
    <w:rsid w:val="03E33DD9"/>
    <w:rsid w:val="176C72F7"/>
    <w:rsid w:val="17D50F45"/>
    <w:rsid w:val="18973A8F"/>
    <w:rsid w:val="272B250C"/>
    <w:rsid w:val="31E242B8"/>
    <w:rsid w:val="346D7BCB"/>
    <w:rsid w:val="3658101D"/>
    <w:rsid w:val="3E98676B"/>
    <w:rsid w:val="4B931DE9"/>
    <w:rsid w:val="50BE55B0"/>
    <w:rsid w:val="59A61CD2"/>
    <w:rsid w:val="5B1332C5"/>
    <w:rsid w:val="5FB2527F"/>
    <w:rsid w:val="63011BB9"/>
    <w:rsid w:val="6B0C2D7F"/>
    <w:rsid w:val="77CC40D6"/>
    <w:rsid w:val="78A4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5AF3E26"/>
  <w15:docId w15:val="{B9CC15D4-0C64-41F6-95CE-7B7D3A34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annotation text" w:uiPriority="99"/>
    <w:lsdException w:name="header" w:uiPriority="99"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qFormat="1"/>
    <w:lsdException w:name="Subtitle" w:qFormat="1"/>
    <w:lsdException w:name="Date" w:qFormat="1"/>
    <w:lsdException w:name="Hyperlink" w:uiPriority="99"/>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pPr>
      <w:jc w:val="left"/>
    </w:pPr>
  </w:style>
  <w:style w:type="paragraph" w:styleId="a5">
    <w:name w:val="Document Map"/>
    <w:basedOn w:val="a"/>
    <w:link w:val="Char1"/>
    <w:uiPriority w:val="99"/>
    <w:unhideWhenUsed/>
    <w:rPr>
      <w:rFonts w:ascii="宋体" w:hAnsi="Calibri"/>
      <w:kern w:val="0"/>
      <w:sz w:val="18"/>
      <w:szCs w:val="18"/>
    </w:rPr>
  </w:style>
  <w:style w:type="paragraph" w:styleId="a6">
    <w:name w:val="Body Text Indent"/>
    <w:basedOn w:val="a"/>
    <w:link w:val="Char2"/>
    <w:pPr>
      <w:autoSpaceDE w:val="0"/>
      <w:autoSpaceDN w:val="0"/>
      <w:adjustRightInd w:val="0"/>
      <w:spacing w:line="360" w:lineRule="auto"/>
      <w:ind w:firstLineChars="199" w:firstLine="478"/>
    </w:pPr>
    <w:rPr>
      <w:rFonts w:ascii="宋体" w:hAnsi="宋体"/>
      <w:kern w:val="0"/>
      <w:sz w:val="24"/>
      <w:szCs w:val="21"/>
    </w:rPr>
  </w:style>
  <w:style w:type="paragraph" w:styleId="a7">
    <w:name w:val="Plain Text"/>
    <w:basedOn w:val="a"/>
    <w:link w:val="Char3"/>
    <w:rPr>
      <w:rFonts w:ascii="宋体" w:hAnsi="Courier New"/>
      <w:szCs w:val="21"/>
    </w:rPr>
  </w:style>
  <w:style w:type="paragraph" w:styleId="a8">
    <w:name w:val="Date"/>
    <w:basedOn w:val="a"/>
    <w:next w:val="a"/>
    <w:qFormat/>
    <w:pPr>
      <w:ind w:leftChars="2500" w:left="100"/>
    </w:pPr>
    <w:rPr>
      <w:rFonts w:ascii="宋体" w:hAnsi="宋体"/>
      <w:sz w:val="24"/>
    </w:rPr>
  </w:style>
  <w:style w:type="paragraph" w:styleId="20">
    <w:name w:val="Body Text Indent 2"/>
    <w:basedOn w:val="a"/>
    <w:link w:val="2Char"/>
    <w:pPr>
      <w:spacing w:before="60" w:after="60"/>
      <w:ind w:left="479"/>
    </w:pPr>
    <w:rPr>
      <w:rFonts w:ascii="宋体"/>
      <w:sz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hyphen" w:pos="8296"/>
      </w:tabs>
      <w:spacing w:line="360" w:lineRule="auto"/>
    </w:pPr>
    <w:rPr>
      <w:rFonts w:ascii="宋体" w:hAnsi="宋体"/>
      <w:sz w:val="24"/>
      <w:szCs w:val="24"/>
    </w:rPr>
  </w:style>
  <w:style w:type="character" w:styleId="ac">
    <w:name w:val="page number"/>
    <w:basedOn w:val="a0"/>
  </w:style>
  <w:style w:type="character" w:styleId="ad">
    <w:name w:val="FollowedHyperlink"/>
    <w:rPr>
      <w:color w:val="800080"/>
      <w:u w:val="single"/>
    </w:rPr>
  </w:style>
  <w:style w:type="character" w:styleId="ae">
    <w:name w:val="Hyperlink"/>
    <w:uiPriority w:val="99"/>
    <w:rPr>
      <w:color w:val="0000FF"/>
      <w:u w:val="single"/>
    </w:rPr>
  </w:style>
  <w:style w:type="character" w:styleId="af">
    <w:name w:val="annotation reference"/>
    <w:uiPriority w:val="99"/>
    <w:semiHidden/>
    <w:rPr>
      <w:sz w:val="21"/>
      <w:szCs w:val="21"/>
    </w:rPr>
  </w:style>
  <w:style w:type="character" w:customStyle="1" w:styleId="Char6">
    <w:name w:val="页眉 Char"/>
    <w:link w:val="ab"/>
    <w:uiPriority w:val="99"/>
    <w:rPr>
      <w:kern w:val="2"/>
      <w:sz w:val="18"/>
      <w:szCs w:val="18"/>
    </w:rPr>
  </w:style>
  <w:style w:type="character" w:customStyle="1" w:styleId="DeltaViewInsertion">
    <w:name w:val="DeltaView Insertion"/>
    <w:rPr>
      <w:color w:val="0000FF"/>
      <w:spacing w:val="0"/>
      <w:u w:val="double"/>
    </w:rPr>
  </w:style>
  <w:style w:type="character" w:customStyle="1" w:styleId="2Char">
    <w:name w:val="正文文本缩进 2 Char"/>
    <w:link w:val="20"/>
    <w:rPr>
      <w:rFonts w:ascii="宋体"/>
      <w:kern w:val="2"/>
      <w:sz w:val="24"/>
    </w:rPr>
  </w:style>
  <w:style w:type="character" w:customStyle="1" w:styleId="Char3">
    <w:name w:val="纯文本 Char"/>
    <w:link w:val="a7"/>
    <w:rPr>
      <w:rFonts w:ascii="宋体" w:hAnsi="Courier New" w:cs="Courier New"/>
      <w:kern w:val="2"/>
      <w:sz w:val="21"/>
      <w:szCs w:val="21"/>
    </w:rPr>
  </w:style>
  <w:style w:type="character" w:customStyle="1" w:styleId="e-arialb101">
    <w:name w:val="e-arialb101"/>
    <w:rPr>
      <w:rFonts w:ascii="Arial" w:hAnsi="Arial" w:cs="Arial" w:hint="default"/>
      <w:color w:val="000000"/>
      <w:sz w:val="14"/>
      <w:szCs w:val="14"/>
    </w:rPr>
  </w:style>
  <w:style w:type="character" w:customStyle="1" w:styleId="1Char">
    <w:name w:val="标题 1 Char"/>
    <w:link w:val="1"/>
    <w:uiPriority w:val="9"/>
    <w:rPr>
      <w:rFonts w:ascii="宋体" w:hAnsi="宋体"/>
      <w:b/>
      <w:color w:val="000000"/>
      <w:kern w:val="2"/>
      <w:sz w:val="24"/>
    </w:rPr>
  </w:style>
  <w:style w:type="character" w:customStyle="1" w:styleId="Char">
    <w:name w:val="批注主题 Char"/>
    <w:link w:val="a3"/>
    <w:uiPriority w:val="99"/>
    <w:semiHidden/>
    <w:rPr>
      <w:b/>
      <w:bCs/>
      <w:kern w:val="2"/>
      <w:sz w:val="21"/>
    </w:rPr>
  </w:style>
  <w:style w:type="character" w:customStyle="1" w:styleId="Char1">
    <w:name w:val="文档结构图 Char"/>
    <w:link w:val="a5"/>
    <w:uiPriority w:val="99"/>
    <w:rPr>
      <w:rFonts w:ascii="宋体" w:hAnsi="Calibri"/>
      <w:sz w:val="18"/>
      <w:szCs w:val="18"/>
    </w:rPr>
  </w:style>
  <w:style w:type="character" w:customStyle="1" w:styleId="Char4">
    <w:name w:val="批注框文本 Char"/>
    <w:link w:val="a9"/>
    <w:uiPriority w:val="99"/>
    <w:semiHidden/>
    <w:qFormat/>
    <w:rPr>
      <w:kern w:val="2"/>
      <w:sz w:val="18"/>
      <w:szCs w:val="18"/>
    </w:rPr>
  </w:style>
  <w:style w:type="character" w:customStyle="1" w:styleId="Char0">
    <w:name w:val="批注文字 Char"/>
    <w:link w:val="a4"/>
    <w:uiPriority w:val="99"/>
    <w:qFormat/>
    <w:rPr>
      <w:kern w:val="2"/>
      <w:sz w:val="21"/>
    </w:rPr>
  </w:style>
  <w:style w:type="character" w:customStyle="1" w:styleId="Char2">
    <w:name w:val="正文文本缩进 Char"/>
    <w:link w:val="a6"/>
    <w:qFormat/>
    <w:rPr>
      <w:rFonts w:ascii="宋体" w:hAnsi="宋体" w:cs="Arial"/>
      <w:sz w:val="24"/>
      <w:szCs w:val="21"/>
    </w:rPr>
  </w:style>
  <w:style w:type="character" w:customStyle="1" w:styleId="apple-style-span">
    <w:name w:val="apple-style-span"/>
  </w:style>
  <w:style w:type="character" w:customStyle="1" w:styleId="Char5">
    <w:name w:val="页脚 Char"/>
    <w:link w:val="aa"/>
    <w:uiPriority w:val="99"/>
    <w:qFormat/>
    <w:rPr>
      <w:kern w:val="2"/>
      <w:sz w:val="18"/>
      <w:szCs w:val="18"/>
    </w:rPr>
  </w:style>
  <w:style w:type="paragraph" w:customStyle="1" w:styleId="11">
    <w:name w:val="修订1"/>
    <w:uiPriority w:val="99"/>
    <w:semiHidden/>
    <w:rPr>
      <w:rFonts w:ascii="Calibri" w:hAnsi="Calibri"/>
      <w:kern w:val="2"/>
      <w:sz w:val="21"/>
      <w:szCs w:val="22"/>
    </w:rPr>
  </w:style>
  <w:style w:type="paragraph" w:customStyle="1" w:styleId="NormalJustified">
    <w:name w:val="Normal (Justified)"/>
    <w:basedOn w:val="a"/>
    <w:semiHidden/>
    <w:pPr>
      <w:widowControl/>
      <w:snapToGrid w:val="0"/>
    </w:pPr>
    <w:rPr>
      <w:kern w:val="28"/>
      <w:sz w:val="24"/>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7">
    <w:name w:val="Char"/>
    <w:basedOn w:val="a"/>
    <w:pPr>
      <w:widowControl/>
      <w:spacing w:after="160" w:line="240" w:lineRule="exact"/>
      <w:jc w:val="left"/>
    </w:pPr>
  </w:style>
  <w:style w:type="paragraph" w:customStyle="1" w:styleId="CharCharChar">
    <w:name w:val="Char Char Char"/>
    <w:basedOn w:val="a"/>
    <w:qFormat/>
    <w:rPr>
      <w:szCs w:val="24"/>
    </w:rPr>
  </w:style>
  <w:style w:type="paragraph" w:customStyle="1" w:styleId="CharCharCharCharCharCharChar">
    <w:name w:val="Char Char Char Char Char Char Char"/>
    <w:basedOn w:val="a"/>
    <w:qFormat/>
    <w:pPr>
      <w:tabs>
        <w:tab w:val="left" w:pos="360"/>
      </w:tabs>
      <w:adjustRightInd w:val="0"/>
      <w:textAlignment w:val="baseline"/>
    </w:pPr>
    <w:rPr>
      <w:sz w:val="24"/>
    </w:r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paragraph" w:customStyle="1" w:styleId="CharCharChar1CharCharCharChar">
    <w:name w:val="Char Char Char1 Char Char Char Char"/>
    <w:basedOn w:val="a"/>
    <w:qFormat/>
    <w:pPr>
      <w:tabs>
        <w:tab w:val="left" w:pos="360"/>
      </w:tabs>
    </w:pPr>
    <w:rPr>
      <w:sz w:val="24"/>
      <w:szCs w:val="24"/>
    </w:rPr>
  </w:style>
  <w:style w:type="paragraph" w:customStyle="1" w:styleId="4CharCharCharChar">
    <w:name w:val="4 Char Char Char Char"/>
    <w:basedOn w:val="a"/>
    <w:qFormat/>
    <w:rPr>
      <w:rFonts w:ascii="Tahoma" w:hAnsi="Tahoma"/>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style>
  <w:style w:type="character" w:customStyle="1" w:styleId="af0">
    <w:name w:val="批注文字 字符"/>
    <w:qFormat/>
    <w:rPr>
      <w:rFonts w:ascii="Times New Roman" w:eastAsia="宋体" w:hAnsi="Times New Roman" w:cs="Times New Roman"/>
      <w:szCs w:val="24"/>
    </w:rPr>
  </w:style>
  <w:style w:type="paragraph" w:styleId="af1">
    <w:name w:val="Revision"/>
    <w:hidden/>
    <w:uiPriority w:val="99"/>
    <w:semiHidden/>
    <w:rsid w:val="007B0DCD"/>
    <w:rPr>
      <w:kern w:val="2"/>
      <w:sz w:val="21"/>
    </w:rPr>
  </w:style>
  <w:style w:type="paragraph" w:styleId="af2">
    <w:name w:val="Body Text"/>
    <w:basedOn w:val="a"/>
    <w:link w:val="Char8"/>
    <w:rsid w:val="0016478E"/>
    <w:pPr>
      <w:spacing w:after="120"/>
    </w:pPr>
  </w:style>
  <w:style w:type="character" w:customStyle="1" w:styleId="Char8">
    <w:name w:val="正文文本 Char"/>
    <w:basedOn w:val="a0"/>
    <w:link w:val="af2"/>
    <w:rsid w:val="0016478E"/>
    <w:rPr>
      <w:kern w:val="2"/>
      <w:sz w:val="21"/>
    </w:rPr>
  </w:style>
  <w:style w:type="character" w:customStyle="1" w:styleId="read">
    <w:name w:val="read"/>
    <w:basedOn w:val="a0"/>
    <w:rsid w:val="00CB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25">
      <w:bodyDiv w:val="1"/>
      <w:marLeft w:val="0"/>
      <w:marRight w:val="0"/>
      <w:marTop w:val="0"/>
      <w:marBottom w:val="0"/>
      <w:divBdr>
        <w:top w:val="none" w:sz="0" w:space="0" w:color="auto"/>
        <w:left w:val="none" w:sz="0" w:space="0" w:color="auto"/>
        <w:bottom w:val="none" w:sz="0" w:space="0" w:color="auto"/>
        <w:right w:val="none" w:sz="0" w:space="0" w:color="auto"/>
      </w:divBdr>
    </w:div>
    <w:div w:id="878781676">
      <w:bodyDiv w:val="1"/>
      <w:marLeft w:val="0"/>
      <w:marRight w:val="0"/>
      <w:marTop w:val="0"/>
      <w:marBottom w:val="0"/>
      <w:divBdr>
        <w:top w:val="none" w:sz="0" w:space="0" w:color="auto"/>
        <w:left w:val="none" w:sz="0" w:space="0" w:color="auto"/>
        <w:bottom w:val="none" w:sz="0" w:space="0" w:color="auto"/>
        <w:right w:val="none" w:sz="0" w:space="0" w:color="auto"/>
      </w:divBdr>
    </w:div>
    <w:div w:id="1059401885">
      <w:bodyDiv w:val="1"/>
      <w:marLeft w:val="0"/>
      <w:marRight w:val="0"/>
      <w:marTop w:val="0"/>
      <w:marBottom w:val="0"/>
      <w:divBdr>
        <w:top w:val="none" w:sz="0" w:space="0" w:color="auto"/>
        <w:left w:val="none" w:sz="0" w:space="0" w:color="auto"/>
        <w:bottom w:val="none" w:sz="0" w:space="0" w:color="auto"/>
        <w:right w:val="none" w:sz="0" w:space="0" w:color="auto"/>
      </w:divBdr>
    </w:div>
    <w:div w:id="151252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EB7A0-3C7D-4B4A-9E98-220BD7C75AD4}">
  <ds:schemaRefs>
    <ds:schemaRef ds:uri="http://schemas.openxmlformats.org/officeDocument/2006/bibliography"/>
  </ds:schemaRefs>
</ds:datastoreItem>
</file>

<file path=customXml/itemProps3.xml><?xml version="1.0" encoding="utf-8"?>
<ds:datastoreItem xmlns:ds="http://schemas.openxmlformats.org/officeDocument/2006/customXml" ds:itemID="{1B45BD3A-A859-4E1A-826A-8FB6C0F1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5084</Words>
  <Characters>28981</Characters>
  <Application>Microsoft Office Word</Application>
  <DocSecurity>0</DocSecurity>
  <Lines>241</Lines>
  <Paragraphs>67</Paragraphs>
  <ScaleCrop>false</ScaleCrop>
  <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刘斓</dc:creator>
  <cp:lastModifiedBy>张玮</cp:lastModifiedBy>
  <cp:revision>25</cp:revision>
  <cp:lastPrinted>2020-06-29T02:44:00Z</cp:lastPrinted>
  <dcterms:created xsi:type="dcterms:W3CDTF">2022-05-18T02:43:00Z</dcterms:created>
  <dcterms:modified xsi:type="dcterms:W3CDTF">2022-08-31T01:59:00Z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