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xml" PartName="/customXml/item1.xml"/>
  <Override ContentType="application/xml" PartName="/customXml/item2.xml"/>
  <Override ContentType="application/xml" PartName="/customXml/item3.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16.8.0.0 -->
  <w:body>
    <w:p w:rsidR="003C12F1" w:rsidRPr="006021A8">
      <w:pPr>
        <w:spacing w:line="520" w:lineRule="exact"/>
        <w:jc w:val="right"/>
        <w:rPr>
          <w:rFonts w:ascii="宋体" w:hAnsi="宋体"/>
          <w:sz w:val="28"/>
          <w:szCs w:val="28"/>
          <w14:shadow w14:algn="none" w14:blurRad="0" w14:dir="0" w14:dist="0" w14:kx="0" w14:ky="0" w14:sx="100000" w14:sy="100000">
            <w14:srgbClr w14:val="808080"/>
          </w14:shadow>
        </w:rPr>
      </w:pPr>
      <w:r w:rsidRPr="006021A8">
        <w:rPr>
          <w:rFonts w:ascii="宋体" w:hint="eastAsia"/>
          <w:sz w:val="24"/>
          <w:szCs w:val="28"/>
        </w:rPr>
        <w:t>编号：银【 】字/第【 】号</w:t>
      </w:r>
    </w:p>
    <w:p w:rsidR="003C12F1" w:rsidRPr="006021A8">
      <w:pPr>
        <w:spacing w:line="520" w:lineRule="exact"/>
        <w:jc w:val="center"/>
        <w:rPr>
          <w:rFonts w:ascii="宋体" w:hAnsi="宋体"/>
          <w:sz w:val="28"/>
          <w:szCs w:val="28"/>
          <w14:shadow w14:algn="none" w14:blurRad="0" w14:dir="0" w14:dist="0" w14:kx="0" w14:ky="0" w14:sx="100000" w14:sy="100000">
            <w14:srgbClr w14:val="808080"/>
          </w14:shadow>
        </w:rPr>
      </w:pPr>
      <w:r w:rsidRPr="006021A8">
        <w:rPr>
          <w:rFonts w:ascii="宋体" w:hAnsi="宋体" w:hint="eastAsia"/>
          <w:szCs w:val="28"/>
        </w:rPr>
        <w:t xml:space="preserve">                             </w:t>
      </w:r>
    </w:p>
    <w:p w:rsidR="003C12F1" w:rsidRPr="006021A8">
      <w:pPr>
        <w:spacing w:line="520" w:lineRule="exact"/>
        <w:jc w:val="center"/>
        <w:rPr>
          <w:rFonts w:ascii="宋体" w:hAnsi="宋体"/>
          <w:sz w:val="28"/>
          <w:szCs w:val="28"/>
          <w14:shadow w14:algn="none" w14:blurRad="0" w14:dir="0" w14:dist="0" w14:kx="0" w14:ky="0" w14:sx="100000" w14:sy="100000">
            <w14:srgbClr w14:val="808080"/>
          </w14:shadow>
        </w:rPr>
      </w:pPr>
    </w:p>
    <w:p w:rsidR="003C12F1" w:rsidRPr="006021A8">
      <w:pPr>
        <w:spacing w:line="520" w:lineRule="exact"/>
        <w:jc w:val="center"/>
        <w:rPr>
          <w:rFonts w:ascii="宋体" w:hAnsi="宋体"/>
          <w:sz w:val="28"/>
          <w:szCs w:val="28"/>
          <w14:shadow w14:algn="none" w14:blurRad="0" w14:dir="0" w14:dist="0" w14:kx="0" w14:ky="0" w14:sx="100000" w14:sy="100000">
            <w14:srgbClr w14:val="808080"/>
          </w14:shadow>
        </w:rPr>
      </w:pPr>
    </w:p>
    <w:p w:rsidR="003C12F1" w:rsidRPr="006021A8">
      <w:pPr>
        <w:spacing w:line="520" w:lineRule="exact"/>
        <w:jc w:val="center"/>
        <w:rPr>
          <w:rFonts w:ascii="宋体" w:hAnsi="宋体"/>
          <w:sz w:val="28"/>
          <w:szCs w:val="28"/>
          <w14:shadow w14:algn="none" w14:blurRad="0" w14:dir="0" w14:dist="0" w14:kx="0" w14:ky="0" w14:sx="100000" w14:sy="100000">
            <w14:srgbClr w14:val="808080"/>
          </w14:shadow>
        </w:rPr>
      </w:pPr>
    </w:p>
    <w:p w:rsidR="003C12F1" w:rsidRPr="006021A8">
      <w:pPr>
        <w:spacing w:line="520" w:lineRule="exact"/>
        <w:jc w:val="center"/>
        <w:rPr>
          <w:rFonts w:ascii="宋体" w:hAnsi="宋体"/>
          <w:sz w:val="28"/>
          <w:szCs w:val="28"/>
          <w14:shadow w14:algn="none" w14:blurRad="0" w14:dir="0" w14:dist="0" w14:kx="0" w14:ky="0" w14:sx="100000" w14:sy="100000">
            <w14:srgbClr w14:val="808080"/>
          </w14:shadow>
        </w:rPr>
      </w:pPr>
    </w:p>
    <w:p w:rsidR="003C12F1" w:rsidRPr="006021A8">
      <w:pPr>
        <w:spacing w:line="360" w:lineRule="auto"/>
        <w:jc w:val="center"/>
        <w:rPr>
          <w:rFonts w:ascii="宋体" w:hAnsi="宋体"/>
          <w:b/>
          <w:sz w:val="48"/>
        </w:rPr>
      </w:pPr>
      <w:bookmarkStart w:id="0" w:name="_Toc139991724"/>
      <w:bookmarkStart w:id="1" w:name="_Toc123112222"/>
      <w:bookmarkStart w:id="2" w:name="_Toc123701381"/>
      <w:bookmarkStart w:id="3" w:name="_Toc123112261"/>
      <w:bookmarkStart w:id="4" w:name="_Toc139992299"/>
      <w:r w:rsidRPr="006021A8">
        <w:rPr>
          <w:rFonts w:ascii="宋体" w:hAnsi="宋体" w:hint="eastAsia"/>
          <w:b/>
          <w:sz w:val="48"/>
        </w:rPr>
        <w:t>国泰君安善吾养老目标日期2045五年持有期混合型发起式基金中基金（FOF）</w:t>
      </w:r>
    </w:p>
    <w:p w:rsidR="003C12F1" w:rsidRPr="006021A8">
      <w:pPr>
        <w:spacing w:line="360" w:lineRule="auto"/>
        <w:jc w:val="center"/>
        <w:rPr>
          <w:rFonts w:ascii="宋体" w:hAnsi="宋体"/>
          <w:b/>
          <w:sz w:val="48"/>
        </w:rPr>
      </w:pPr>
      <w:bookmarkEnd w:id="0"/>
      <w:bookmarkEnd w:id="1"/>
      <w:bookmarkEnd w:id="2"/>
      <w:bookmarkEnd w:id="3"/>
      <w:bookmarkEnd w:id="4"/>
      <w:r w:rsidRPr="006021A8">
        <w:rPr>
          <w:rFonts w:ascii="宋体" w:hAnsi="宋体" w:hint="eastAsia"/>
          <w:b/>
          <w:sz w:val="48"/>
        </w:rPr>
        <w:t>托管协议</w:t>
      </w:r>
    </w:p>
    <w:p w:rsidR="003C12F1" w:rsidRPr="006021A8">
      <w:pPr>
        <w:pStyle w:val="BodyTextIndent2"/>
        <w:spacing w:line="520" w:lineRule="exact"/>
        <w:ind w:firstLine="560"/>
        <w:rPr>
          <w:rFonts w:hAnsi="宋体"/>
          <w:sz w:val="28"/>
          <w:szCs w:val="28"/>
        </w:rPr>
      </w:pPr>
    </w:p>
    <w:p w:rsidR="003C12F1" w:rsidRPr="006021A8">
      <w:pPr>
        <w:pStyle w:val="BodyTextIndent2"/>
        <w:spacing w:line="520" w:lineRule="exact"/>
        <w:ind w:firstLine="560"/>
        <w:rPr>
          <w:rFonts w:hAnsi="宋体"/>
          <w:sz w:val="28"/>
          <w:szCs w:val="28"/>
        </w:rPr>
      </w:pPr>
    </w:p>
    <w:p w:rsidP="00397B57" w:rsidR="003C12F1" w:rsidRPr="006021A8">
      <w:pPr>
        <w:pStyle w:val="BodyTextIndent2"/>
        <w:spacing w:line="520" w:lineRule="exact"/>
        <w:ind w:left="0"/>
        <w:rPr>
          <w:rFonts w:hAnsi="宋体"/>
          <w:sz w:val="28"/>
          <w:szCs w:val="28"/>
        </w:rPr>
      </w:pPr>
    </w:p>
    <w:p w:rsidP="00397B57" w:rsidR="00397B57" w:rsidRPr="006021A8">
      <w:pPr>
        <w:pStyle w:val="BodyTextIndent2"/>
        <w:spacing w:line="520" w:lineRule="exact"/>
        <w:ind w:left="0"/>
        <w:rPr>
          <w:rFonts w:hAnsi="宋体"/>
          <w:sz w:val="28"/>
          <w:szCs w:val="28"/>
        </w:rPr>
      </w:pPr>
    </w:p>
    <w:p w:rsidP="00397B57" w:rsidR="00397B57" w:rsidRPr="006021A8">
      <w:pPr>
        <w:pStyle w:val="BodyTextIndent2"/>
        <w:spacing w:line="520" w:lineRule="exact"/>
        <w:ind w:left="0"/>
        <w:rPr>
          <w:rFonts w:hAnsi="宋体"/>
          <w:sz w:val="28"/>
          <w:szCs w:val="28"/>
        </w:rPr>
      </w:pPr>
    </w:p>
    <w:p w:rsidP="00397B57" w:rsidR="00397B57" w:rsidRPr="006021A8">
      <w:pPr>
        <w:pStyle w:val="BodyTextIndent2"/>
        <w:spacing w:line="520" w:lineRule="exact"/>
        <w:ind w:left="0"/>
        <w:rPr>
          <w:rFonts w:hAnsi="宋体"/>
          <w:sz w:val="28"/>
          <w:szCs w:val="28"/>
        </w:rPr>
      </w:pPr>
    </w:p>
    <w:p w:rsidP="00BE27F4" w:rsidR="00397B57" w:rsidRPr="006021A8">
      <w:pPr>
        <w:pStyle w:val="BodyTextIndent2"/>
        <w:spacing w:line="520" w:lineRule="exact"/>
        <w:ind w:left="0"/>
        <w:rPr>
          <w:rFonts w:hAnsi="宋体"/>
          <w:sz w:val="28"/>
          <w:szCs w:val="28"/>
        </w:rPr>
      </w:pPr>
    </w:p>
    <w:p w:rsidR="003C12F1" w:rsidRPr="006021A8">
      <w:pPr>
        <w:pStyle w:val="BodyTextIndent2"/>
        <w:spacing w:line="520" w:lineRule="exact"/>
        <w:ind w:firstLine="560"/>
        <w:rPr>
          <w:rFonts w:hAnsi="宋体"/>
          <w:sz w:val="28"/>
          <w:szCs w:val="28"/>
        </w:rPr>
      </w:pPr>
    </w:p>
    <w:p w:rsidR="003C12F1" w:rsidRPr="006021A8">
      <w:pPr>
        <w:spacing w:line="360" w:lineRule="auto"/>
        <w:jc w:val="center"/>
        <w:rPr>
          <w:rFonts w:ascii="宋体" w:hAnsi="宋体"/>
          <w:b/>
          <w:sz w:val="36"/>
        </w:rPr>
      </w:pPr>
      <w:bookmarkStart w:id="5" w:name="_Toc123112263"/>
      <w:bookmarkStart w:id="6" w:name="_Toc139992301"/>
      <w:bookmarkStart w:id="7" w:name="_Toc123701383"/>
      <w:bookmarkStart w:id="8" w:name="_Toc123112224"/>
      <w:bookmarkStart w:id="9" w:name="_Toc139991726"/>
      <w:r w:rsidRPr="006021A8">
        <w:rPr>
          <w:rFonts w:ascii="宋体" w:hAnsi="宋体"/>
          <w:b/>
          <w:sz w:val="36"/>
        </w:rPr>
        <w:t>基金管理人：</w:t>
      </w:r>
      <w:bookmarkEnd w:id="5"/>
      <w:bookmarkEnd w:id="6"/>
      <w:bookmarkEnd w:id="7"/>
      <w:bookmarkEnd w:id="8"/>
      <w:bookmarkEnd w:id="9"/>
      <w:r w:rsidRPr="006021A8">
        <w:rPr>
          <w:rFonts w:ascii="宋体" w:hAnsi="宋体" w:hint="eastAsia"/>
          <w:b/>
          <w:sz w:val="36"/>
        </w:rPr>
        <w:t>上海国泰君安证券资产管理有限公司</w:t>
      </w:r>
    </w:p>
    <w:p w:rsidR="003C12F1" w:rsidRPr="006021A8">
      <w:pPr>
        <w:spacing w:line="360" w:lineRule="auto"/>
        <w:jc w:val="center"/>
        <w:rPr>
          <w:rFonts w:ascii="宋体" w:hAnsi="宋体"/>
          <w:b/>
          <w:sz w:val="36"/>
        </w:rPr>
      </w:pPr>
      <w:bookmarkStart w:id="10" w:name="_Toc123701384"/>
      <w:bookmarkStart w:id="11" w:name="_Toc139991727"/>
      <w:bookmarkStart w:id="12" w:name="_Toc139992302"/>
      <w:bookmarkStart w:id="13" w:name="_Toc123112225"/>
      <w:bookmarkStart w:id="14" w:name="_Toc123112264"/>
      <w:r w:rsidRPr="006021A8">
        <w:rPr>
          <w:rFonts w:ascii="宋体" w:hAnsi="宋体"/>
          <w:b/>
          <w:sz w:val="36"/>
        </w:rPr>
        <w:t>基金托管人：</w:t>
      </w:r>
      <w:r w:rsidRPr="006021A8">
        <w:rPr>
          <w:rFonts w:ascii="宋体" w:hAnsi="宋体" w:hint="eastAsia"/>
          <w:b/>
          <w:sz w:val="36"/>
        </w:rPr>
        <w:t>中信银行股份有限公司</w:t>
      </w:r>
      <w:bookmarkEnd w:id="10"/>
      <w:bookmarkEnd w:id="11"/>
      <w:bookmarkEnd w:id="12"/>
      <w:bookmarkEnd w:id="13"/>
      <w:bookmarkEnd w:id="14"/>
    </w:p>
    <w:p w:rsidR="00397B57" w:rsidRPr="006021A8">
      <w:pPr>
        <w:spacing w:line="360" w:lineRule="auto"/>
        <w:jc w:val="center"/>
        <w:rPr>
          <w:rFonts w:ascii="宋体" w:hAnsi="宋体"/>
          <w:b/>
          <w:sz w:val="36"/>
        </w:rPr>
      </w:pPr>
    </w:p>
    <w:p w:rsidR="003C12F1" w:rsidRPr="006021A8">
      <w:pPr>
        <w:spacing w:line="360" w:lineRule="auto"/>
        <w:jc w:val="center"/>
        <w:rPr>
          <w:rFonts w:ascii="宋体" w:hAnsi="宋体"/>
          <w:b/>
          <w:sz w:val="44"/>
          <w:szCs w:val="44"/>
        </w:rPr>
      </w:pPr>
    </w:p>
    <w:p w:rsidR="003C12F1" w:rsidRPr="006021A8">
      <w:pPr>
        <w:spacing w:line="360" w:lineRule="auto"/>
        <w:rPr>
          <w:rFonts w:ascii="宋体" w:hAnsi="宋体"/>
          <w:b/>
          <w:bCs/>
          <w:sz w:val="28"/>
          <w:szCs w:val="28"/>
        </w:rPr>
      </w:pPr>
    </w:p>
    <w:p w:rsidR="003C12F1" w:rsidRPr="006021A8">
      <w:pPr>
        <w:spacing w:line="360" w:lineRule="auto"/>
        <w:ind w:firstLine="560" w:firstLineChars="200"/>
        <w:jc w:val="center"/>
        <w:rPr>
          <w:rFonts w:ascii="宋体" w:hAnsi="宋体"/>
          <w:b/>
          <w:bCs/>
          <w:sz w:val="28"/>
          <w:szCs w:val="28"/>
        </w:rPr>
      </w:pPr>
      <w:r w:rsidRPr="006021A8">
        <w:rPr>
          <w:rFonts w:ascii="宋体" w:hAnsi="宋体"/>
          <w:noProof/>
        </w:rPr>
        <w:drawing>
          <wp:anchor allowOverlap="1" behindDoc="0" distB="0" distL="114300" distR="114300" distT="0" layoutInCell="1" locked="0" relativeHeight="251658240" simplePos="0">
            <wp:simplePos x="0" y="0"/>
            <mc:AlternateContent>
              <mc:Choice xmlns:c14="http://schemas.microsoft.com/office/drawing/2007/8/2/chart" Requires="c14">
                <wp:positionH relativeFrom="margin">
                  <wp14:pctPosHOffset>0</wp14:pctPosHOffset>
                </wp:positionH>
              </mc:Choice>
              <mc:Fallback>
                <wp:positionH relativeFrom="margin">
                  <wp:posOffset>0</wp:posOffset>
                </wp:positionH>
              </mc:Fallback>
            </mc:AlternateContent>
            <mc:AlternateContent>
              <mc:Choice xmlns:c14="http://schemas.microsoft.com/office/drawing/2007/8/2/chart" Requires="c14">
                <wp:positionV relativeFrom="margin">
                  <wp14:pctPosVOffset>0</wp14:pctPosVOffset>
                </wp:positionV>
              </mc:Choice>
              <mc:Fallback>
                <wp:positionV relativeFrom="margin">
                  <wp:posOffset>0</wp:posOffset>
                </wp:positionV>
              </mc:Fallback>
            </mc:AlternateContent>
            <wp:extent cx="1800224" cy="644525"/>
            <wp:effectExtent b="0" l="0" r="0" t="0"/>
            <wp:wrapSquare wrapText="bothSides"/>
            <wp:docPr id="102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129444" name="_x0000_t75"/>
                    <pic:cNvPicPr/>
                  </pic:nvPicPr>
                  <pic:blipFill>
                    <a:blip cstate="print" r:embed="rId7"/>
                    <a:stretch>
                      <a:fillRect/>
                    </a:stretch>
                  </pic:blipFill>
                  <pic:spPr>
                    <a:xfrm>
                      <a:off x="0" y="0"/>
                      <a:ext cx="1800224" cy="644525"/>
                    </a:xfrm>
                    <a:custGeom>
                      <a:avLst/>
                      <a:gdLst/>
                      <a:rect b="0" l="0" r="0" t="0"/>
                      <a:pathLst/>
                    </a:custGeom>
                    <a:ln>
                      <a:noFill/>
                    </a:ln>
                  </pic:spPr>
                </pic:pic>
              </a:graphicData>
            </a:graphic>
          </wp:anchor>
        </w:drawing>
      </w:r>
      <w:r w:rsidRPr="006021A8">
        <w:rPr>
          <w:rFonts w:ascii="宋体" w:hAnsi="宋体" w:hint="eastAsia"/>
          <w:b/>
          <w:bCs/>
          <w:sz w:val="28"/>
          <w:szCs w:val="28"/>
        </w:rPr>
        <w:br w:type="page"/>
      </w:r>
    </w:p>
    <w:p w:rsidP="00BE27F4" w:rsidR="003C12F1" w:rsidRPr="00BC0A0B">
      <w:pPr>
        <w:spacing w:line="360" w:lineRule="auto"/>
        <w:rPr>
          <w:rFonts w:ascii="宋体" w:hAnsi="宋体"/>
          <w:b/>
          <w:bCs/>
          <w:sz w:val="28"/>
          <w:szCs w:val="28"/>
        </w:rPr>
      </w:pPr>
    </w:p>
    <w:p w:rsidR="003C12F1" w:rsidRPr="006021A8">
      <w:pPr>
        <w:spacing w:line="360" w:lineRule="auto"/>
        <w:jc w:val="center"/>
        <w:rPr>
          <w:rFonts w:ascii="宋体" w:hAnsi="宋体"/>
          <w:b/>
          <w:bCs/>
          <w:sz w:val="28"/>
          <w:szCs w:val="28"/>
        </w:rPr>
      </w:pPr>
      <w:r w:rsidRPr="006021A8">
        <w:rPr>
          <w:rFonts w:ascii="宋体" w:hAnsi="宋体" w:hint="eastAsia"/>
          <w:b/>
          <w:bCs/>
          <w:sz w:val="28"/>
          <w:szCs w:val="28"/>
        </w:rPr>
        <w:t>目录</w:t>
      </w:r>
    </w:p>
    <w:p w:rsidR="003C12F1" w:rsidRPr="006021A8">
      <w:pPr>
        <w:spacing w:line="360" w:lineRule="auto"/>
        <w:ind w:firstLine="560" w:firstLineChars="200"/>
        <w:jc w:val="center"/>
        <w:rPr>
          <w:rFonts w:ascii="宋体" w:hAnsi="宋体"/>
          <w:b/>
          <w:bCs/>
          <w:sz w:val="28"/>
          <w:szCs w:val="28"/>
        </w:rPr>
      </w:pPr>
    </w:p>
    <w:p w:rsidR="003C12F1" w:rsidRPr="006021A8">
      <w:pPr>
        <w:pStyle w:val="TOC1"/>
        <w:rPr>
          <w:rFonts w:ascii="Calibri" w:cs="宋体" w:hAnsi="Calibri"/>
          <w:noProof/>
          <w:sz w:val="21"/>
          <w:szCs w:val="22"/>
        </w:rPr>
      </w:pPr>
      <w:r w:rsidRPr="006021A8">
        <w:rPr>
          <w:b/>
          <w:sz w:val="28"/>
          <w:szCs w:val="28"/>
        </w:rPr>
        <w:fldChar w:fldCharType="begin"/>
      </w:r>
      <w:r w:rsidRPr="006021A8">
        <w:rPr>
          <w:b/>
          <w:sz w:val="28"/>
          <w:szCs w:val="28"/>
        </w:rPr>
        <w:instrText xml:space="preserve"> </w:instrText>
      </w:r>
      <w:r w:rsidRPr="006021A8">
        <w:rPr>
          <w:rFonts w:hint="eastAsia"/>
          <w:b/>
          <w:sz w:val="28"/>
          <w:szCs w:val="28"/>
        </w:rPr>
        <w:instrText>TOC \o "1-1" \h \z \u</w:instrText>
      </w:r>
      <w:r w:rsidRPr="006021A8">
        <w:rPr>
          <w:b/>
          <w:sz w:val="28"/>
          <w:szCs w:val="28"/>
        </w:rPr>
        <w:instrText xml:space="preserve"> </w:instrText>
      </w:r>
      <w:r w:rsidRPr="006021A8">
        <w:rPr>
          <w:b/>
          <w:sz w:val="28"/>
          <w:szCs w:val="28"/>
        </w:rPr>
        <w:fldChar w:fldCharType="separate"/>
      </w:r>
      <w:r>
        <w:fldChar w:fldCharType="begin"/>
      </w:r>
      <w:r>
        <w:instrText xml:space="preserve"> HYPERLINK \l "_Toc44321700" </w:instrText>
      </w:r>
      <w:r>
        <w:fldChar w:fldCharType="separate"/>
      </w:r>
      <w:r w:rsidRPr="006021A8">
        <w:rPr>
          <w:rStyle w:val="Hyperlink"/>
          <w:rFonts w:hint="eastAsia"/>
          <w:bCs/>
          <w:noProof/>
        </w:rPr>
        <w:t>第一条</w:t>
      </w:r>
      <w:r w:rsidRPr="006021A8">
        <w:rPr>
          <w:rStyle w:val="Hyperlink"/>
          <w:bCs/>
          <w:noProof/>
        </w:rPr>
        <w:t xml:space="preserve"> </w:t>
      </w:r>
      <w:r w:rsidRPr="006021A8">
        <w:rPr>
          <w:rStyle w:val="Hyperlink"/>
          <w:rFonts w:hint="eastAsia"/>
          <w:bCs/>
          <w:noProof/>
        </w:rPr>
        <w:t>本协议当事人</w:t>
      </w:r>
      <w:r w:rsidRPr="006021A8">
        <w:rPr>
          <w:noProof/>
          <w:webHidden/>
        </w:rPr>
        <w:tab/>
      </w:r>
      <w:r w:rsidRPr="006021A8">
        <w:rPr>
          <w:noProof/>
          <w:webHidden/>
        </w:rPr>
        <w:fldChar w:fldCharType="begin"/>
      </w:r>
      <w:r w:rsidRPr="006021A8">
        <w:rPr>
          <w:noProof/>
          <w:webHidden/>
        </w:rPr>
        <w:instrText xml:space="preserve"> PAGEREF _Toc44321700 \h </w:instrText>
      </w:r>
      <w:r w:rsidRPr="006021A8">
        <w:rPr>
          <w:noProof/>
          <w:webHidden/>
        </w:rPr>
        <w:fldChar w:fldCharType="separate"/>
      </w:r>
      <w:r w:rsidR="00B23860">
        <w:rPr>
          <w:noProof/>
          <w:webHidden/>
        </w:rPr>
        <w:t>3</w:t>
      </w:r>
      <w:r w:rsidRPr="006021A8">
        <w:rPr>
          <w:noProof/>
          <w:webHidden/>
        </w:rPr>
        <w:fldChar w:fldCharType="end"/>
      </w:r>
      <w:r>
        <w:fldChar w:fldCharType="end"/>
      </w:r>
    </w:p>
    <w:p w:rsidR="003C12F1" w:rsidRPr="006021A8">
      <w:pPr>
        <w:pStyle w:val="TOC1"/>
        <w:rPr>
          <w:rFonts w:ascii="Calibri" w:cs="宋体" w:hAnsi="Calibri"/>
          <w:noProof/>
          <w:sz w:val="21"/>
          <w:szCs w:val="22"/>
        </w:rPr>
      </w:pPr>
      <w:r>
        <w:fldChar w:fldCharType="begin"/>
      </w:r>
      <w:r>
        <w:instrText xml:space="preserve"> HYPERLINK \l "_Toc44321701" </w:instrText>
      </w:r>
      <w:r>
        <w:fldChar w:fldCharType="separate"/>
      </w:r>
      <w:r w:rsidR="0049749C" w:rsidRPr="006021A8">
        <w:rPr>
          <w:rStyle w:val="Hyperlink"/>
          <w:rFonts w:hint="eastAsia"/>
          <w:bCs/>
          <w:noProof/>
        </w:rPr>
        <w:t>第二条</w:t>
      </w:r>
      <w:r w:rsidR="0049749C" w:rsidRPr="006021A8">
        <w:rPr>
          <w:rStyle w:val="Hyperlink"/>
          <w:bCs/>
          <w:noProof/>
        </w:rPr>
        <w:t xml:space="preserve"> </w:t>
      </w:r>
      <w:r w:rsidR="0049749C" w:rsidRPr="006021A8">
        <w:rPr>
          <w:rStyle w:val="Hyperlink"/>
          <w:rFonts w:hint="eastAsia"/>
          <w:bCs/>
          <w:noProof/>
        </w:rPr>
        <w:t>本协议的依据、目的和原则</w:t>
      </w:r>
      <w:r w:rsidR="0049749C" w:rsidRPr="006021A8">
        <w:rPr>
          <w:noProof/>
          <w:webHidden/>
        </w:rPr>
        <w:tab/>
      </w:r>
      <w:r w:rsidR="0049749C" w:rsidRPr="006021A8">
        <w:rPr>
          <w:noProof/>
          <w:webHidden/>
        </w:rPr>
        <w:fldChar w:fldCharType="begin"/>
      </w:r>
      <w:r w:rsidR="0049749C" w:rsidRPr="006021A8">
        <w:rPr>
          <w:noProof/>
          <w:webHidden/>
        </w:rPr>
        <w:instrText xml:space="preserve"> PAGEREF _Toc44321701 \h </w:instrText>
      </w:r>
      <w:r w:rsidR="0049749C" w:rsidRPr="006021A8">
        <w:rPr>
          <w:noProof/>
          <w:webHidden/>
        </w:rPr>
        <w:fldChar w:fldCharType="separate"/>
      </w:r>
      <w:r w:rsidR="00B23860">
        <w:rPr>
          <w:noProof/>
          <w:webHidden/>
        </w:rPr>
        <w:t>3</w:t>
      </w:r>
      <w:r w:rsidR="0049749C" w:rsidRPr="006021A8">
        <w:rPr>
          <w:noProof/>
          <w:webHidden/>
        </w:rPr>
        <w:fldChar w:fldCharType="end"/>
      </w:r>
      <w:r>
        <w:fldChar w:fldCharType="end"/>
      </w:r>
    </w:p>
    <w:p w:rsidR="003C12F1" w:rsidRPr="006021A8">
      <w:pPr>
        <w:pStyle w:val="TOC1"/>
        <w:rPr>
          <w:rFonts w:ascii="Calibri" w:cs="宋体" w:hAnsi="Calibri"/>
          <w:noProof/>
          <w:sz w:val="21"/>
          <w:szCs w:val="22"/>
        </w:rPr>
      </w:pPr>
      <w:r>
        <w:fldChar w:fldCharType="begin"/>
      </w:r>
      <w:r>
        <w:instrText xml:space="preserve"> HYPERLINK \l "_Toc44321702" </w:instrText>
      </w:r>
      <w:r>
        <w:fldChar w:fldCharType="separate"/>
      </w:r>
      <w:r w:rsidR="0049749C" w:rsidRPr="006021A8">
        <w:rPr>
          <w:rStyle w:val="Hyperlink"/>
          <w:rFonts w:hint="eastAsia"/>
          <w:bCs/>
          <w:noProof/>
        </w:rPr>
        <w:t>第三条</w:t>
      </w:r>
      <w:r w:rsidR="0049749C" w:rsidRPr="006021A8">
        <w:rPr>
          <w:rStyle w:val="Hyperlink"/>
          <w:bCs/>
          <w:noProof/>
        </w:rPr>
        <w:t xml:space="preserve"> </w:t>
      </w:r>
      <w:r w:rsidR="0049749C" w:rsidRPr="006021A8">
        <w:rPr>
          <w:rStyle w:val="Hyperlink"/>
          <w:rFonts w:hint="eastAsia"/>
          <w:bCs/>
          <w:noProof/>
        </w:rPr>
        <w:t>基金托管人对基金管理人的业务监督和核查</w:t>
      </w:r>
      <w:r w:rsidR="0049749C" w:rsidRPr="006021A8">
        <w:rPr>
          <w:noProof/>
          <w:webHidden/>
        </w:rPr>
        <w:tab/>
      </w:r>
      <w:r w:rsidR="0049749C" w:rsidRPr="006021A8">
        <w:rPr>
          <w:noProof/>
          <w:webHidden/>
        </w:rPr>
        <w:fldChar w:fldCharType="begin"/>
      </w:r>
      <w:r w:rsidR="0049749C" w:rsidRPr="006021A8">
        <w:rPr>
          <w:noProof/>
          <w:webHidden/>
        </w:rPr>
        <w:instrText xml:space="preserve"> PAGEREF _Toc44321702 \h </w:instrText>
      </w:r>
      <w:r w:rsidR="0049749C" w:rsidRPr="006021A8">
        <w:rPr>
          <w:noProof/>
          <w:webHidden/>
        </w:rPr>
        <w:fldChar w:fldCharType="separate"/>
      </w:r>
      <w:r w:rsidR="00B23860">
        <w:rPr>
          <w:noProof/>
          <w:webHidden/>
        </w:rPr>
        <w:t>4</w:t>
      </w:r>
      <w:r w:rsidR="0049749C" w:rsidRPr="006021A8">
        <w:rPr>
          <w:noProof/>
          <w:webHidden/>
        </w:rPr>
        <w:fldChar w:fldCharType="end"/>
      </w:r>
      <w:r>
        <w:fldChar w:fldCharType="end"/>
      </w:r>
    </w:p>
    <w:p w:rsidR="003C12F1" w:rsidRPr="006021A8">
      <w:pPr>
        <w:pStyle w:val="TOC1"/>
        <w:rPr>
          <w:rFonts w:ascii="Calibri" w:cs="宋体" w:hAnsi="Calibri"/>
          <w:noProof/>
          <w:sz w:val="21"/>
          <w:szCs w:val="22"/>
        </w:rPr>
      </w:pPr>
      <w:r>
        <w:fldChar w:fldCharType="begin"/>
      </w:r>
      <w:r>
        <w:instrText xml:space="preserve"> HYPERLINK \l "_Toc44321703" </w:instrText>
      </w:r>
      <w:r>
        <w:fldChar w:fldCharType="separate"/>
      </w:r>
      <w:r w:rsidR="0049749C" w:rsidRPr="006021A8">
        <w:rPr>
          <w:rStyle w:val="Hyperlink"/>
          <w:rFonts w:hint="eastAsia"/>
          <w:bCs/>
          <w:noProof/>
        </w:rPr>
        <w:t>第四条</w:t>
      </w:r>
      <w:r w:rsidR="0049749C" w:rsidRPr="006021A8">
        <w:rPr>
          <w:rStyle w:val="Hyperlink"/>
          <w:bCs/>
          <w:noProof/>
        </w:rPr>
        <w:t xml:space="preserve"> </w:t>
      </w:r>
      <w:r w:rsidR="0049749C" w:rsidRPr="006021A8">
        <w:rPr>
          <w:rStyle w:val="Hyperlink"/>
          <w:rFonts w:hint="eastAsia"/>
          <w:bCs/>
          <w:noProof/>
        </w:rPr>
        <w:t>基金管理人对基金托管人的业务核查</w:t>
      </w:r>
      <w:r w:rsidR="0049749C" w:rsidRPr="006021A8">
        <w:rPr>
          <w:noProof/>
          <w:webHidden/>
        </w:rPr>
        <w:tab/>
      </w:r>
      <w:r w:rsidR="0049749C" w:rsidRPr="006021A8">
        <w:rPr>
          <w:noProof/>
          <w:webHidden/>
        </w:rPr>
        <w:fldChar w:fldCharType="begin"/>
      </w:r>
      <w:r w:rsidR="0049749C" w:rsidRPr="006021A8">
        <w:rPr>
          <w:noProof/>
          <w:webHidden/>
        </w:rPr>
        <w:instrText xml:space="preserve"> PAGEREF _Toc44321703 \h </w:instrText>
      </w:r>
      <w:r w:rsidR="0049749C" w:rsidRPr="006021A8">
        <w:rPr>
          <w:noProof/>
          <w:webHidden/>
        </w:rPr>
        <w:fldChar w:fldCharType="separate"/>
      </w:r>
      <w:r w:rsidR="00B23860">
        <w:rPr>
          <w:noProof/>
          <w:webHidden/>
        </w:rPr>
        <w:t>17</w:t>
      </w:r>
      <w:r w:rsidR="0049749C" w:rsidRPr="006021A8">
        <w:rPr>
          <w:noProof/>
          <w:webHidden/>
        </w:rPr>
        <w:fldChar w:fldCharType="end"/>
      </w:r>
      <w:r>
        <w:fldChar w:fldCharType="end"/>
      </w:r>
    </w:p>
    <w:p w:rsidR="003C12F1" w:rsidRPr="006021A8">
      <w:pPr>
        <w:pStyle w:val="TOC1"/>
        <w:rPr>
          <w:rFonts w:ascii="Calibri" w:cs="宋体" w:hAnsi="Calibri"/>
          <w:noProof/>
          <w:sz w:val="21"/>
          <w:szCs w:val="22"/>
        </w:rPr>
      </w:pPr>
      <w:r>
        <w:fldChar w:fldCharType="begin"/>
      </w:r>
      <w:r>
        <w:instrText xml:space="preserve"> HYPERLINK \l "_Toc44321704" </w:instrText>
      </w:r>
      <w:r>
        <w:fldChar w:fldCharType="separate"/>
      </w:r>
      <w:r w:rsidR="0049749C" w:rsidRPr="006021A8">
        <w:rPr>
          <w:rStyle w:val="Hyperlink"/>
          <w:rFonts w:hint="eastAsia"/>
          <w:bCs/>
          <w:noProof/>
        </w:rPr>
        <w:t>第五条</w:t>
      </w:r>
      <w:r w:rsidR="0049749C" w:rsidRPr="006021A8">
        <w:rPr>
          <w:rStyle w:val="Hyperlink"/>
          <w:bCs/>
          <w:noProof/>
        </w:rPr>
        <w:t xml:space="preserve"> </w:t>
      </w:r>
      <w:r w:rsidR="0049749C" w:rsidRPr="006021A8">
        <w:rPr>
          <w:rStyle w:val="Hyperlink"/>
          <w:rFonts w:hint="eastAsia"/>
          <w:bCs/>
          <w:noProof/>
        </w:rPr>
        <w:t>基金财产保管</w:t>
      </w:r>
      <w:r w:rsidR="0049749C" w:rsidRPr="006021A8">
        <w:rPr>
          <w:noProof/>
          <w:webHidden/>
        </w:rPr>
        <w:tab/>
      </w:r>
      <w:r w:rsidR="0049749C" w:rsidRPr="006021A8">
        <w:rPr>
          <w:noProof/>
          <w:webHidden/>
        </w:rPr>
        <w:fldChar w:fldCharType="begin"/>
      </w:r>
      <w:r w:rsidR="0049749C" w:rsidRPr="006021A8">
        <w:rPr>
          <w:noProof/>
          <w:webHidden/>
        </w:rPr>
        <w:instrText xml:space="preserve"> PAGEREF _Toc44321704 \h </w:instrText>
      </w:r>
      <w:r w:rsidR="0049749C" w:rsidRPr="006021A8">
        <w:rPr>
          <w:noProof/>
          <w:webHidden/>
        </w:rPr>
        <w:fldChar w:fldCharType="separate"/>
      </w:r>
      <w:r w:rsidR="00B23860">
        <w:rPr>
          <w:noProof/>
          <w:webHidden/>
        </w:rPr>
        <w:t>18</w:t>
      </w:r>
      <w:r w:rsidR="0049749C" w:rsidRPr="006021A8">
        <w:rPr>
          <w:noProof/>
          <w:webHidden/>
        </w:rPr>
        <w:fldChar w:fldCharType="end"/>
      </w:r>
      <w:r>
        <w:fldChar w:fldCharType="end"/>
      </w:r>
    </w:p>
    <w:p w:rsidR="003C12F1" w:rsidRPr="006021A8">
      <w:pPr>
        <w:pStyle w:val="TOC1"/>
        <w:rPr>
          <w:rFonts w:ascii="Calibri" w:cs="宋体" w:hAnsi="Calibri"/>
          <w:noProof/>
          <w:sz w:val="21"/>
          <w:szCs w:val="22"/>
        </w:rPr>
      </w:pPr>
      <w:r>
        <w:fldChar w:fldCharType="begin"/>
      </w:r>
      <w:r>
        <w:instrText xml:space="preserve"> HYPERLINK \l "_Toc44321705" </w:instrText>
      </w:r>
      <w:r>
        <w:fldChar w:fldCharType="separate"/>
      </w:r>
      <w:r w:rsidR="0049749C" w:rsidRPr="006021A8">
        <w:rPr>
          <w:rStyle w:val="Hyperlink"/>
          <w:rFonts w:hint="eastAsia"/>
          <w:bCs/>
          <w:noProof/>
        </w:rPr>
        <w:t>第六条</w:t>
      </w:r>
      <w:r w:rsidR="0049749C" w:rsidRPr="006021A8">
        <w:rPr>
          <w:rStyle w:val="Hyperlink"/>
          <w:bCs/>
          <w:noProof/>
        </w:rPr>
        <w:t xml:space="preserve"> </w:t>
      </w:r>
      <w:r w:rsidR="0049749C" w:rsidRPr="006021A8">
        <w:rPr>
          <w:rStyle w:val="Hyperlink"/>
          <w:rFonts w:hint="eastAsia"/>
          <w:bCs/>
          <w:noProof/>
        </w:rPr>
        <w:t>指令的发送、确认和执行</w:t>
      </w:r>
      <w:r w:rsidR="0049749C" w:rsidRPr="006021A8">
        <w:rPr>
          <w:noProof/>
          <w:webHidden/>
        </w:rPr>
        <w:tab/>
      </w:r>
      <w:r w:rsidR="0049749C" w:rsidRPr="006021A8">
        <w:rPr>
          <w:noProof/>
          <w:webHidden/>
        </w:rPr>
        <w:fldChar w:fldCharType="begin"/>
      </w:r>
      <w:r w:rsidR="0049749C" w:rsidRPr="006021A8">
        <w:rPr>
          <w:noProof/>
          <w:webHidden/>
        </w:rPr>
        <w:instrText xml:space="preserve"> PAGEREF _Toc44321705 \h </w:instrText>
      </w:r>
      <w:r w:rsidR="0049749C" w:rsidRPr="006021A8">
        <w:rPr>
          <w:noProof/>
          <w:webHidden/>
        </w:rPr>
        <w:fldChar w:fldCharType="separate"/>
      </w:r>
      <w:r w:rsidR="00B23860">
        <w:rPr>
          <w:noProof/>
          <w:webHidden/>
        </w:rPr>
        <w:t>20</w:t>
      </w:r>
      <w:r w:rsidR="0049749C" w:rsidRPr="006021A8">
        <w:rPr>
          <w:noProof/>
          <w:webHidden/>
        </w:rPr>
        <w:fldChar w:fldCharType="end"/>
      </w:r>
      <w:r>
        <w:fldChar w:fldCharType="end"/>
      </w:r>
    </w:p>
    <w:p w:rsidR="003C12F1" w:rsidRPr="006021A8">
      <w:pPr>
        <w:pStyle w:val="TOC1"/>
        <w:rPr>
          <w:rFonts w:ascii="Calibri" w:cs="宋体" w:hAnsi="Calibri"/>
          <w:noProof/>
          <w:sz w:val="21"/>
          <w:szCs w:val="22"/>
        </w:rPr>
      </w:pPr>
      <w:r>
        <w:fldChar w:fldCharType="begin"/>
      </w:r>
      <w:r>
        <w:instrText xml:space="preserve"> HYPERLINK \l "_Toc44321706" </w:instrText>
      </w:r>
      <w:r>
        <w:fldChar w:fldCharType="separate"/>
      </w:r>
      <w:r w:rsidR="0049749C" w:rsidRPr="006021A8">
        <w:rPr>
          <w:rStyle w:val="Hyperlink"/>
          <w:rFonts w:hint="eastAsia"/>
          <w:bCs/>
          <w:noProof/>
        </w:rPr>
        <w:t>第七条</w:t>
      </w:r>
      <w:r w:rsidR="0049749C" w:rsidRPr="006021A8">
        <w:rPr>
          <w:rStyle w:val="Hyperlink"/>
          <w:bCs/>
          <w:noProof/>
        </w:rPr>
        <w:t xml:space="preserve"> </w:t>
      </w:r>
      <w:r w:rsidR="0049749C" w:rsidRPr="006021A8">
        <w:rPr>
          <w:rStyle w:val="Hyperlink"/>
          <w:rFonts w:hint="eastAsia"/>
          <w:bCs/>
          <w:noProof/>
        </w:rPr>
        <w:t>交易及清算交收安排</w:t>
      </w:r>
      <w:r w:rsidR="0049749C" w:rsidRPr="006021A8">
        <w:rPr>
          <w:noProof/>
          <w:webHidden/>
        </w:rPr>
        <w:tab/>
      </w:r>
      <w:r w:rsidR="0049749C" w:rsidRPr="006021A8">
        <w:rPr>
          <w:noProof/>
          <w:webHidden/>
        </w:rPr>
        <w:fldChar w:fldCharType="begin"/>
      </w:r>
      <w:r w:rsidR="0049749C" w:rsidRPr="006021A8">
        <w:rPr>
          <w:noProof/>
          <w:webHidden/>
        </w:rPr>
        <w:instrText xml:space="preserve"> PAGEREF _Toc44321706 \h </w:instrText>
      </w:r>
      <w:r w:rsidR="0049749C" w:rsidRPr="006021A8">
        <w:rPr>
          <w:noProof/>
          <w:webHidden/>
        </w:rPr>
        <w:fldChar w:fldCharType="separate"/>
      </w:r>
      <w:r w:rsidR="00B23860">
        <w:rPr>
          <w:noProof/>
          <w:webHidden/>
        </w:rPr>
        <w:t>23</w:t>
      </w:r>
      <w:r w:rsidR="0049749C" w:rsidRPr="006021A8">
        <w:rPr>
          <w:noProof/>
          <w:webHidden/>
        </w:rPr>
        <w:fldChar w:fldCharType="end"/>
      </w:r>
      <w:r>
        <w:fldChar w:fldCharType="end"/>
      </w:r>
    </w:p>
    <w:p w:rsidR="003C12F1" w:rsidRPr="006021A8">
      <w:pPr>
        <w:pStyle w:val="TOC1"/>
        <w:rPr>
          <w:rFonts w:ascii="Calibri" w:cs="宋体" w:hAnsi="Calibri"/>
          <w:noProof/>
          <w:sz w:val="21"/>
          <w:szCs w:val="22"/>
        </w:rPr>
      </w:pPr>
      <w:r>
        <w:fldChar w:fldCharType="begin"/>
      </w:r>
      <w:r>
        <w:instrText xml:space="preserve"> HYPERLINK \l "_Toc44321707" </w:instrText>
      </w:r>
      <w:r>
        <w:fldChar w:fldCharType="separate"/>
      </w:r>
      <w:r w:rsidR="0049749C" w:rsidRPr="006021A8">
        <w:rPr>
          <w:rStyle w:val="Hyperlink"/>
          <w:rFonts w:hint="eastAsia"/>
          <w:bCs/>
          <w:noProof/>
        </w:rPr>
        <w:t>第八条</w:t>
      </w:r>
      <w:r w:rsidR="0049749C" w:rsidRPr="006021A8">
        <w:rPr>
          <w:rStyle w:val="Hyperlink"/>
          <w:bCs/>
          <w:noProof/>
        </w:rPr>
        <w:t xml:space="preserve"> </w:t>
      </w:r>
      <w:r w:rsidR="0049749C" w:rsidRPr="006021A8">
        <w:rPr>
          <w:rStyle w:val="Hyperlink"/>
          <w:rFonts w:hint="eastAsia"/>
          <w:bCs/>
          <w:noProof/>
        </w:rPr>
        <w:t>基金净值计算和会计核算</w:t>
      </w:r>
      <w:r w:rsidR="0049749C" w:rsidRPr="006021A8">
        <w:rPr>
          <w:noProof/>
          <w:webHidden/>
        </w:rPr>
        <w:tab/>
      </w:r>
      <w:r w:rsidR="0049749C" w:rsidRPr="006021A8">
        <w:rPr>
          <w:noProof/>
          <w:webHidden/>
        </w:rPr>
        <w:fldChar w:fldCharType="begin"/>
      </w:r>
      <w:r w:rsidR="0049749C" w:rsidRPr="006021A8">
        <w:rPr>
          <w:noProof/>
          <w:webHidden/>
        </w:rPr>
        <w:instrText xml:space="preserve"> PAGEREF _Toc44321707 \h </w:instrText>
      </w:r>
      <w:r w:rsidR="0049749C" w:rsidRPr="006021A8">
        <w:rPr>
          <w:noProof/>
          <w:webHidden/>
        </w:rPr>
        <w:fldChar w:fldCharType="separate"/>
      </w:r>
      <w:r w:rsidR="00B23860">
        <w:rPr>
          <w:noProof/>
          <w:webHidden/>
        </w:rPr>
        <w:t>26</w:t>
      </w:r>
      <w:r w:rsidR="0049749C" w:rsidRPr="006021A8">
        <w:rPr>
          <w:noProof/>
          <w:webHidden/>
        </w:rPr>
        <w:fldChar w:fldCharType="end"/>
      </w:r>
      <w:r>
        <w:fldChar w:fldCharType="end"/>
      </w:r>
    </w:p>
    <w:p w:rsidR="003C12F1" w:rsidRPr="006021A8">
      <w:pPr>
        <w:pStyle w:val="TOC1"/>
        <w:rPr>
          <w:rFonts w:ascii="Calibri" w:cs="宋体" w:hAnsi="Calibri"/>
          <w:noProof/>
          <w:sz w:val="21"/>
          <w:szCs w:val="22"/>
        </w:rPr>
      </w:pPr>
      <w:r>
        <w:fldChar w:fldCharType="begin"/>
      </w:r>
      <w:r>
        <w:instrText xml:space="preserve"> HYPERLINK \l "_Toc44321708" </w:instrText>
      </w:r>
      <w:r>
        <w:fldChar w:fldCharType="separate"/>
      </w:r>
      <w:r w:rsidR="0049749C" w:rsidRPr="006021A8">
        <w:rPr>
          <w:rStyle w:val="Hyperlink"/>
          <w:rFonts w:hint="eastAsia"/>
          <w:bCs/>
          <w:noProof/>
        </w:rPr>
        <w:t>第九条</w:t>
      </w:r>
      <w:r w:rsidR="0049749C" w:rsidRPr="006021A8">
        <w:rPr>
          <w:rStyle w:val="Hyperlink"/>
          <w:bCs/>
          <w:noProof/>
        </w:rPr>
        <w:t xml:space="preserve"> </w:t>
      </w:r>
      <w:r w:rsidR="0049749C" w:rsidRPr="006021A8">
        <w:rPr>
          <w:rStyle w:val="Hyperlink"/>
          <w:rFonts w:hint="eastAsia"/>
          <w:bCs/>
          <w:noProof/>
        </w:rPr>
        <w:t>基金收益分配</w:t>
      </w:r>
      <w:r w:rsidR="0049749C" w:rsidRPr="006021A8">
        <w:rPr>
          <w:noProof/>
          <w:webHidden/>
        </w:rPr>
        <w:tab/>
      </w:r>
      <w:r w:rsidR="0049749C" w:rsidRPr="006021A8">
        <w:rPr>
          <w:noProof/>
          <w:webHidden/>
        </w:rPr>
        <w:fldChar w:fldCharType="begin"/>
      </w:r>
      <w:r w:rsidR="0049749C" w:rsidRPr="006021A8">
        <w:rPr>
          <w:noProof/>
          <w:webHidden/>
        </w:rPr>
        <w:instrText xml:space="preserve"> PAGEREF _Toc44321708 \h </w:instrText>
      </w:r>
      <w:r w:rsidR="0049749C" w:rsidRPr="006021A8">
        <w:rPr>
          <w:noProof/>
          <w:webHidden/>
        </w:rPr>
        <w:fldChar w:fldCharType="separate"/>
      </w:r>
      <w:r w:rsidR="00B23860">
        <w:rPr>
          <w:noProof/>
          <w:webHidden/>
        </w:rPr>
        <w:t>33</w:t>
      </w:r>
      <w:r w:rsidR="0049749C" w:rsidRPr="006021A8">
        <w:rPr>
          <w:noProof/>
          <w:webHidden/>
        </w:rPr>
        <w:fldChar w:fldCharType="end"/>
      </w:r>
      <w:r>
        <w:fldChar w:fldCharType="end"/>
      </w:r>
    </w:p>
    <w:p w:rsidR="003C12F1" w:rsidRPr="006021A8">
      <w:pPr>
        <w:pStyle w:val="TOC1"/>
        <w:rPr>
          <w:rFonts w:ascii="Calibri" w:cs="宋体" w:hAnsi="Calibri"/>
          <w:noProof/>
          <w:sz w:val="21"/>
          <w:szCs w:val="22"/>
        </w:rPr>
      </w:pPr>
      <w:r>
        <w:fldChar w:fldCharType="begin"/>
      </w:r>
      <w:r>
        <w:instrText xml:space="preserve"> HYPERLINK \l "_Toc44321709" </w:instrText>
      </w:r>
      <w:r>
        <w:fldChar w:fldCharType="separate"/>
      </w:r>
      <w:r w:rsidR="0049749C" w:rsidRPr="006021A8">
        <w:rPr>
          <w:rStyle w:val="Hyperlink"/>
          <w:rFonts w:hint="eastAsia"/>
          <w:bCs/>
          <w:noProof/>
        </w:rPr>
        <w:t>第十条</w:t>
      </w:r>
      <w:r w:rsidR="0049749C" w:rsidRPr="006021A8">
        <w:rPr>
          <w:rStyle w:val="Hyperlink"/>
          <w:bCs/>
          <w:noProof/>
        </w:rPr>
        <w:t xml:space="preserve"> </w:t>
      </w:r>
      <w:r w:rsidR="0049749C" w:rsidRPr="006021A8">
        <w:rPr>
          <w:rStyle w:val="Hyperlink"/>
          <w:rFonts w:hint="eastAsia"/>
          <w:bCs/>
          <w:noProof/>
        </w:rPr>
        <w:t>信息披露</w:t>
      </w:r>
      <w:r w:rsidR="0049749C" w:rsidRPr="006021A8">
        <w:rPr>
          <w:noProof/>
          <w:webHidden/>
        </w:rPr>
        <w:tab/>
      </w:r>
      <w:r w:rsidR="0049749C" w:rsidRPr="006021A8">
        <w:rPr>
          <w:noProof/>
          <w:webHidden/>
        </w:rPr>
        <w:fldChar w:fldCharType="begin"/>
      </w:r>
      <w:r w:rsidR="0049749C" w:rsidRPr="006021A8">
        <w:rPr>
          <w:noProof/>
          <w:webHidden/>
        </w:rPr>
        <w:instrText xml:space="preserve"> PAGEREF _Toc44321709 \h </w:instrText>
      </w:r>
      <w:r w:rsidR="0049749C" w:rsidRPr="006021A8">
        <w:rPr>
          <w:noProof/>
          <w:webHidden/>
        </w:rPr>
        <w:fldChar w:fldCharType="separate"/>
      </w:r>
      <w:r w:rsidR="00B23860">
        <w:rPr>
          <w:noProof/>
          <w:webHidden/>
        </w:rPr>
        <w:t>34</w:t>
      </w:r>
      <w:r w:rsidR="0049749C" w:rsidRPr="006021A8">
        <w:rPr>
          <w:noProof/>
          <w:webHidden/>
        </w:rPr>
        <w:fldChar w:fldCharType="end"/>
      </w:r>
      <w:r>
        <w:fldChar w:fldCharType="end"/>
      </w:r>
    </w:p>
    <w:p w:rsidR="003C12F1" w:rsidRPr="006021A8">
      <w:pPr>
        <w:pStyle w:val="TOC1"/>
        <w:rPr>
          <w:rFonts w:ascii="Calibri" w:cs="宋体" w:hAnsi="Calibri"/>
          <w:noProof/>
          <w:sz w:val="21"/>
          <w:szCs w:val="22"/>
        </w:rPr>
      </w:pPr>
      <w:r>
        <w:fldChar w:fldCharType="begin"/>
      </w:r>
      <w:r>
        <w:instrText xml:space="preserve"> HYPERLINK \l "_Toc44321710" </w:instrText>
      </w:r>
      <w:r>
        <w:fldChar w:fldCharType="separate"/>
      </w:r>
      <w:r w:rsidR="0049749C" w:rsidRPr="006021A8">
        <w:rPr>
          <w:rStyle w:val="Hyperlink"/>
          <w:rFonts w:hint="eastAsia"/>
          <w:bCs/>
          <w:noProof/>
        </w:rPr>
        <w:t>第十一条</w:t>
      </w:r>
      <w:r w:rsidR="0049749C" w:rsidRPr="006021A8">
        <w:rPr>
          <w:rStyle w:val="Hyperlink"/>
          <w:bCs/>
          <w:noProof/>
        </w:rPr>
        <w:t xml:space="preserve"> </w:t>
      </w:r>
      <w:r w:rsidR="0049749C" w:rsidRPr="006021A8">
        <w:rPr>
          <w:rStyle w:val="Hyperlink"/>
          <w:rFonts w:hint="eastAsia"/>
          <w:bCs/>
          <w:noProof/>
        </w:rPr>
        <w:t>基金费用</w:t>
      </w:r>
      <w:r w:rsidR="0049749C" w:rsidRPr="006021A8">
        <w:rPr>
          <w:noProof/>
          <w:webHidden/>
        </w:rPr>
        <w:tab/>
      </w:r>
      <w:r w:rsidR="0049749C" w:rsidRPr="006021A8">
        <w:rPr>
          <w:noProof/>
          <w:webHidden/>
        </w:rPr>
        <w:fldChar w:fldCharType="begin"/>
      </w:r>
      <w:r w:rsidR="0049749C" w:rsidRPr="006021A8">
        <w:rPr>
          <w:noProof/>
          <w:webHidden/>
        </w:rPr>
        <w:instrText xml:space="preserve"> PAGEREF _Toc44321710 \h </w:instrText>
      </w:r>
      <w:r w:rsidR="0049749C" w:rsidRPr="006021A8">
        <w:rPr>
          <w:noProof/>
          <w:webHidden/>
        </w:rPr>
        <w:fldChar w:fldCharType="separate"/>
      </w:r>
      <w:r w:rsidR="00B23860">
        <w:rPr>
          <w:noProof/>
          <w:webHidden/>
        </w:rPr>
        <w:t>36</w:t>
      </w:r>
      <w:r w:rsidR="0049749C" w:rsidRPr="006021A8">
        <w:rPr>
          <w:noProof/>
          <w:webHidden/>
        </w:rPr>
        <w:fldChar w:fldCharType="end"/>
      </w:r>
      <w:r>
        <w:fldChar w:fldCharType="end"/>
      </w:r>
    </w:p>
    <w:p w:rsidR="003C12F1" w:rsidRPr="006021A8">
      <w:pPr>
        <w:pStyle w:val="TOC1"/>
        <w:rPr>
          <w:rFonts w:ascii="Calibri" w:cs="宋体" w:hAnsi="Calibri"/>
          <w:noProof/>
          <w:sz w:val="21"/>
          <w:szCs w:val="22"/>
        </w:rPr>
      </w:pPr>
      <w:r>
        <w:fldChar w:fldCharType="begin"/>
      </w:r>
      <w:r>
        <w:instrText xml:space="preserve"> HYPERLINK \l "_Toc44321711" </w:instrText>
      </w:r>
      <w:r>
        <w:fldChar w:fldCharType="separate"/>
      </w:r>
      <w:r w:rsidR="0049749C" w:rsidRPr="006021A8">
        <w:rPr>
          <w:rStyle w:val="Hyperlink"/>
          <w:rFonts w:hint="eastAsia"/>
          <w:bCs/>
          <w:noProof/>
        </w:rPr>
        <w:t>第十二条</w:t>
      </w:r>
      <w:r w:rsidR="0049749C" w:rsidRPr="006021A8">
        <w:rPr>
          <w:rStyle w:val="Hyperlink"/>
          <w:bCs/>
          <w:noProof/>
        </w:rPr>
        <w:t xml:space="preserve"> </w:t>
      </w:r>
      <w:r w:rsidR="0049749C" w:rsidRPr="006021A8">
        <w:rPr>
          <w:rStyle w:val="Hyperlink"/>
          <w:rFonts w:hint="eastAsia"/>
          <w:bCs/>
          <w:noProof/>
        </w:rPr>
        <w:t>基金份额持有人名册的保管</w:t>
      </w:r>
      <w:r w:rsidR="0049749C" w:rsidRPr="006021A8">
        <w:rPr>
          <w:noProof/>
          <w:webHidden/>
        </w:rPr>
        <w:tab/>
      </w:r>
      <w:r w:rsidR="0049749C" w:rsidRPr="006021A8">
        <w:rPr>
          <w:noProof/>
          <w:webHidden/>
        </w:rPr>
        <w:fldChar w:fldCharType="begin"/>
      </w:r>
      <w:r w:rsidR="0049749C" w:rsidRPr="006021A8">
        <w:rPr>
          <w:noProof/>
          <w:webHidden/>
        </w:rPr>
        <w:instrText xml:space="preserve"> PAGEREF _Toc44321711 \h </w:instrText>
      </w:r>
      <w:r w:rsidR="0049749C" w:rsidRPr="006021A8">
        <w:rPr>
          <w:noProof/>
          <w:webHidden/>
        </w:rPr>
        <w:fldChar w:fldCharType="separate"/>
      </w:r>
      <w:r w:rsidR="00B23860">
        <w:rPr>
          <w:noProof/>
          <w:webHidden/>
        </w:rPr>
        <w:t>37</w:t>
      </w:r>
      <w:r w:rsidR="0049749C" w:rsidRPr="006021A8">
        <w:rPr>
          <w:noProof/>
          <w:webHidden/>
        </w:rPr>
        <w:fldChar w:fldCharType="end"/>
      </w:r>
      <w:r>
        <w:fldChar w:fldCharType="end"/>
      </w:r>
    </w:p>
    <w:p w:rsidR="003C12F1" w:rsidRPr="006021A8">
      <w:pPr>
        <w:pStyle w:val="TOC1"/>
        <w:rPr>
          <w:rFonts w:ascii="Calibri" w:cs="宋体" w:hAnsi="Calibri"/>
          <w:noProof/>
          <w:sz w:val="21"/>
          <w:szCs w:val="22"/>
        </w:rPr>
      </w:pPr>
      <w:r>
        <w:fldChar w:fldCharType="begin"/>
      </w:r>
      <w:r>
        <w:instrText xml:space="preserve"> HYPERLINK \l "_Toc44321712" </w:instrText>
      </w:r>
      <w:r>
        <w:fldChar w:fldCharType="separate"/>
      </w:r>
      <w:r w:rsidR="0049749C" w:rsidRPr="006021A8">
        <w:rPr>
          <w:rStyle w:val="Hyperlink"/>
          <w:rFonts w:hint="eastAsia"/>
          <w:bCs/>
          <w:noProof/>
        </w:rPr>
        <w:t>第十三条</w:t>
      </w:r>
      <w:r w:rsidR="0049749C" w:rsidRPr="006021A8">
        <w:rPr>
          <w:rStyle w:val="Hyperlink"/>
          <w:bCs/>
          <w:noProof/>
        </w:rPr>
        <w:t xml:space="preserve"> </w:t>
      </w:r>
      <w:r w:rsidR="0049749C" w:rsidRPr="006021A8">
        <w:rPr>
          <w:rStyle w:val="Hyperlink"/>
          <w:rFonts w:hint="eastAsia"/>
          <w:bCs/>
          <w:noProof/>
        </w:rPr>
        <w:t>基金有关文件和档案的保存</w:t>
      </w:r>
      <w:r w:rsidR="0049749C" w:rsidRPr="006021A8">
        <w:rPr>
          <w:noProof/>
          <w:webHidden/>
        </w:rPr>
        <w:tab/>
      </w:r>
      <w:r w:rsidR="0049749C" w:rsidRPr="006021A8">
        <w:rPr>
          <w:noProof/>
          <w:webHidden/>
        </w:rPr>
        <w:fldChar w:fldCharType="begin"/>
      </w:r>
      <w:r w:rsidR="0049749C" w:rsidRPr="006021A8">
        <w:rPr>
          <w:noProof/>
          <w:webHidden/>
        </w:rPr>
        <w:instrText xml:space="preserve"> PAGEREF _Toc44321712 \h </w:instrText>
      </w:r>
      <w:r w:rsidR="0049749C" w:rsidRPr="006021A8">
        <w:rPr>
          <w:noProof/>
          <w:webHidden/>
        </w:rPr>
        <w:fldChar w:fldCharType="separate"/>
      </w:r>
      <w:r w:rsidR="00B23860">
        <w:rPr>
          <w:noProof/>
          <w:webHidden/>
        </w:rPr>
        <w:t>38</w:t>
      </w:r>
      <w:r w:rsidR="0049749C" w:rsidRPr="006021A8">
        <w:rPr>
          <w:noProof/>
          <w:webHidden/>
        </w:rPr>
        <w:fldChar w:fldCharType="end"/>
      </w:r>
      <w:r>
        <w:fldChar w:fldCharType="end"/>
      </w:r>
    </w:p>
    <w:p w:rsidR="003C12F1" w:rsidRPr="006021A8">
      <w:pPr>
        <w:pStyle w:val="TOC1"/>
        <w:rPr>
          <w:rFonts w:ascii="Calibri" w:cs="宋体" w:hAnsi="Calibri"/>
          <w:noProof/>
          <w:sz w:val="21"/>
          <w:szCs w:val="22"/>
        </w:rPr>
      </w:pPr>
      <w:r>
        <w:fldChar w:fldCharType="begin"/>
      </w:r>
      <w:r>
        <w:instrText xml:space="preserve"> HYPERLINK \l "_Toc44321713" </w:instrText>
      </w:r>
      <w:r>
        <w:fldChar w:fldCharType="separate"/>
      </w:r>
      <w:r w:rsidR="0049749C" w:rsidRPr="006021A8">
        <w:rPr>
          <w:rStyle w:val="Hyperlink"/>
          <w:rFonts w:hint="eastAsia"/>
          <w:bCs/>
          <w:noProof/>
        </w:rPr>
        <w:t>第十四条</w:t>
      </w:r>
      <w:r w:rsidR="0049749C" w:rsidRPr="006021A8">
        <w:rPr>
          <w:rStyle w:val="Hyperlink"/>
          <w:bCs/>
          <w:noProof/>
        </w:rPr>
        <w:t xml:space="preserve"> </w:t>
      </w:r>
      <w:r w:rsidR="0049749C" w:rsidRPr="006021A8">
        <w:rPr>
          <w:rStyle w:val="Hyperlink"/>
          <w:rFonts w:hint="eastAsia"/>
          <w:bCs/>
          <w:noProof/>
        </w:rPr>
        <w:t>基金管理人和基金托管人的更换</w:t>
      </w:r>
      <w:r w:rsidR="0049749C" w:rsidRPr="006021A8">
        <w:rPr>
          <w:noProof/>
          <w:webHidden/>
        </w:rPr>
        <w:tab/>
      </w:r>
      <w:r w:rsidR="0049749C" w:rsidRPr="006021A8">
        <w:rPr>
          <w:noProof/>
          <w:webHidden/>
        </w:rPr>
        <w:fldChar w:fldCharType="begin"/>
      </w:r>
      <w:r w:rsidR="0049749C" w:rsidRPr="006021A8">
        <w:rPr>
          <w:noProof/>
          <w:webHidden/>
        </w:rPr>
        <w:instrText xml:space="preserve"> PAGEREF _Toc44321713 \h </w:instrText>
      </w:r>
      <w:r w:rsidR="0049749C" w:rsidRPr="006021A8">
        <w:rPr>
          <w:noProof/>
          <w:webHidden/>
        </w:rPr>
        <w:fldChar w:fldCharType="separate"/>
      </w:r>
      <w:r w:rsidR="00B23860">
        <w:rPr>
          <w:noProof/>
          <w:webHidden/>
        </w:rPr>
        <w:t>38</w:t>
      </w:r>
      <w:r w:rsidR="0049749C" w:rsidRPr="006021A8">
        <w:rPr>
          <w:noProof/>
          <w:webHidden/>
        </w:rPr>
        <w:fldChar w:fldCharType="end"/>
      </w:r>
      <w:r>
        <w:fldChar w:fldCharType="end"/>
      </w:r>
    </w:p>
    <w:p w:rsidR="003C12F1" w:rsidRPr="006021A8">
      <w:pPr>
        <w:pStyle w:val="TOC1"/>
        <w:rPr>
          <w:rFonts w:ascii="Calibri" w:cs="宋体" w:hAnsi="Calibri"/>
          <w:noProof/>
          <w:sz w:val="21"/>
          <w:szCs w:val="22"/>
        </w:rPr>
      </w:pPr>
      <w:r>
        <w:fldChar w:fldCharType="begin"/>
      </w:r>
      <w:r>
        <w:instrText xml:space="preserve"> HYPERLINK \l "_Toc44321714" </w:instrText>
      </w:r>
      <w:r>
        <w:fldChar w:fldCharType="separate"/>
      </w:r>
      <w:r w:rsidR="0049749C" w:rsidRPr="006021A8">
        <w:rPr>
          <w:rStyle w:val="Hyperlink"/>
          <w:rFonts w:hint="eastAsia"/>
          <w:bCs/>
          <w:noProof/>
        </w:rPr>
        <w:t>第十五条</w:t>
      </w:r>
      <w:r w:rsidR="0049749C" w:rsidRPr="006021A8">
        <w:rPr>
          <w:rStyle w:val="Hyperlink"/>
          <w:bCs/>
          <w:noProof/>
        </w:rPr>
        <w:t xml:space="preserve"> </w:t>
      </w:r>
      <w:r w:rsidR="0049749C" w:rsidRPr="006021A8">
        <w:rPr>
          <w:rStyle w:val="Hyperlink"/>
          <w:rFonts w:hint="eastAsia"/>
          <w:bCs/>
          <w:noProof/>
        </w:rPr>
        <w:t>禁止行为</w:t>
      </w:r>
      <w:r w:rsidR="0049749C" w:rsidRPr="006021A8">
        <w:rPr>
          <w:noProof/>
          <w:webHidden/>
        </w:rPr>
        <w:tab/>
      </w:r>
      <w:r w:rsidR="0049749C" w:rsidRPr="006021A8">
        <w:rPr>
          <w:noProof/>
          <w:webHidden/>
        </w:rPr>
        <w:fldChar w:fldCharType="begin"/>
      </w:r>
      <w:r w:rsidR="0049749C" w:rsidRPr="006021A8">
        <w:rPr>
          <w:noProof/>
          <w:webHidden/>
        </w:rPr>
        <w:instrText xml:space="preserve"> PAGEREF _Toc44321714 \h </w:instrText>
      </w:r>
      <w:r w:rsidR="0049749C" w:rsidRPr="006021A8">
        <w:rPr>
          <w:noProof/>
          <w:webHidden/>
        </w:rPr>
        <w:fldChar w:fldCharType="separate"/>
      </w:r>
      <w:r w:rsidR="00B23860">
        <w:rPr>
          <w:noProof/>
          <w:webHidden/>
        </w:rPr>
        <w:t>41</w:t>
      </w:r>
      <w:r w:rsidR="0049749C" w:rsidRPr="006021A8">
        <w:rPr>
          <w:noProof/>
          <w:webHidden/>
        </w:rPr>
        <w:fldChar w:fldCharType="end"/>
      </w:r>
      <w:r>
        <w:fldChar w:fldCharType="end"/>
      </w:r>
    </w:p>
    <w:p w:rsidR="003C12F1" w:rsidRPr="006021A8">
      <w:pPr>
        <w:pStyle w:val="TOC1"/>
        <w:rPr>
          <w:rFonts w:ascii="Calibri" w:cs="宋体" w:hAnsi="Calibri"/>
          <w:noProof/>
          <w:sz w:val="21"/>
          <w:szCs w:val="22"/>
        </w:rPr>
      </w:pPr>
      <w:r>
        <w:fldChar w:fldCharType="begin"/>
      </w:r>
      <w:r>
        <w:instrText xml:space="preserve"> HYPERLINK \l "_Toc44321715" </w:instrText>
      </w:r>
      <w:r>
        <w:fldChar w:fldCharType="separate"/>
      </w:r>
      <w:r w:rsidR="0049749C" w:rsidRPr="006021A8">
        <w:rPr>
          <w:rStyle w:val="Hyperlink"/>
          <w:rFonts w:hint="eastAsia"/>
          <w:bCs/>
          <w:noProof/>
        </w:rPr>
        <w:t>第十六条</w:t>
      </w:r>
      <w:r w:rsidR="0049749C" w:rsidRPr="006021A8">
        <w:rPr>
          <w:rStyle w:val="Hyperlink"/>
          <w:bCs/>
          <w:noProof/>
        </w:rPr>
        <w:t xml:space="preserve"> </w:t>
      </w:r>
      <w:r w:rsidR="0049749C" w:rsidRPr="006021A8">
        <w:rPr>
          <w:rStyle w:val="Hyperlink"/>
          <w:rFonts w:hint="eastAsia"/>
          <w:bCs/>
          <w:noProof/>
        </w:rPr>
        <w:t>本协议的变更、终止与基金财产的清算</w:t>
      </w:r>
      <w:r w:rsidR="0049749C" w:rsidRPr="006021A8">
        <w:rPr>
          <w:noProof/>
          <w:webHidden/>
        </w:rPr>
        <w:tab/>
      </w:r>
      <w:r w:rsidR="0049749C" w:rsidRPr="006021A8">
        <w:rPr>
          <w:noProof/>
          <w:webHidden/>
        </w:rPr>
        <w:fldChar w:fldCharType="begin"/>
      </w:r>
      <w:r w:rsidR="0049749C" w:rsidRPr="006021A8">
        <w:rPr>
          <w:noProof/>
          <w:webHidden/>
        </w:rPr>
        <w:instrText xml:space="preserve"> PAGEREF _Toc44321715 \h </w:instrText>
      </w:r>
      <w:r w:rsidR="0049749C" w:rsidRPr="006021A8">
        <w:rPr>
          <w:noProof/>
          <w:webHidden/>
        </w:rPr>
        <w:fldChar w:fldCharType="separate"/>
      </w:r>
      <w:r w:rsidR="00B23860">
        <w:rPr>
          <w:noProof/>
          <w:webHidden/>
        </w:rPr>
        <w:t>42</w:t>
      </w:r>
      <w:r w:rsidR="0049749C" w:rsidRPr="006021A8">
        <w:rPr>
          <w:noProof/>
          <w:webHidden/>
        </w:rPr>
        <w:fldChar w:fldCharType="end"/>
      </w:r>
      <w:r>
        <w:fldChar w:fldCharType="end"/>
      </w:r>
    </w:p>
    <w:p w:rsidR="003C12F1" w:rsidRPr="006021A8">
      <w:pPr>
        <w:pStyle w:val="TOC1"/>
        <w:rPr>
          <w:rFonts w:ascii="Calibri" w:cs="宋体" w:hAnsi="Calibri"/>
          <w:noProof/>
          <w:sz w:val="21"/>
          <w:szCs w:val="22"/>
        </w:rPr>
      </w:pPr>
      <w:r>
        <w:fldChar w:fldCharType="begin"/>
      </w:r>
      <w:r>
        <w:instrText xml:space="preserve"> HYPERLINK \l "_Toc44321716" </w:instrText>
      </w:r>
      <w:r>
        <w:fldChar w:fldCharType="separate"/>
      </w:r>
      <w:r w:rsidR="0049749C" w:rsidRPr="006021A8">
        <w:rPr>
          <w:rStyle w:val="Hyperlink"/>
          <w:rFonts w:hint="eastAsia"/>
          <w:bCs/>
          <w:noProof/>
        </w:rPr>
        <w:t>第十七条</w:t>
      </w:r>
      <w:r w:rsidR="0049749C" w:rsidRPr="006021A8">
        <w:rPr>
          <w:rStyle w:val="Hyperlink"/>
          <w:bCs/>
          <w:noProof/>
        </w:rPr>
        <w:t xml:space="preserve"> </w:t>
      </w:r>
      <w:r w:rsidR="0049749C" w:rsidRPr="006021A8">
        <w:rPr>
          <w:rStyle w:val="Hyperlink"/>
          <w:rFonts w:hint="eastAsia"/>
          <w:bCs/>
          <w:noProof/>
        </w:rPr>
        <w:t>违约责任</w:t>
      </w:r>
      <w:r w:rsidR="0049749C" w:rsidRPr="006021A8">
        <w:rPr>
          <w:noProof/>
          <w:webHidden/>
        </w:rPr>
        <w:tab/>
      </w:r>
      <w:r w:rsidR="0049749C" w:rsidRPr="006021A8">
        <w:rPr>
          <w:noProof/>
          <w:webHidden/>
        </w:rPr>
        <w:fldChar w:fldCharType="begin"/>
      </w:r>
      <w:r w:rsidR="0049749C" w:rsidRPr="006021A8">
        <w:rPr>
          <w:noProof/>
          <w:webHidden/>
        </w:rPr>
        <w:instrText xml:space="preserve"> PAGEREF _Toc44321716 \h </w:instrText>
      </w:r>
      <w:r w:rsidR="0049749C" w:rsidRPr="006021A8">
        <w:rPr>
          <w:noProof/>
          <w:webHidden/>
        </w:rPr>
        <w:fldChar w:fldCharType="separate"/>
      </w:r>
      <w:r w:rsidR="00B23860">
        <w:rPr>
          <w:noProof/>
          <w:webHidden/>
        </w:rPr>
        <w:t>44</w:t>
      </w:r>
      <w:r w:rsidR="0049749C" w:rsidRPr="006021A8">
        <w:rPr>
          <w:noProof/>
          <w:webHidden/>
        </w:rPr>
        <w:fldChar w:fldCharType="end"/>
      </w:r>
      <w:r>
        <w:fldChar w:fldCharType="end"/>
      </w:r>
    </w:p>
    <w:p w:rsidR="003C12F1" w:rsidRPr="006021A8">
      <w:pPr>
        <w:pStyle w:val="TOC1"/>
        <w:rPr>
          <w:rFonts w:ascii="Calibri" w:cs="宋体" w:hAnsi="Calibri"/>
          <w:noProof/>
          <w:sz w:val="21"/>
          <w:szCs w:val="22"/>
        </w:rPr>
      </w:pPr>
      <w:r>
        <w:fldChar w:fldCharType="begin"/>
      </w:r>
      <w:r>
        <w:instrText xml:space="preserve"> HYPERLINK \l "_Toc44321717" </w:instrText>
      </w:r>
      <w:r>
        <w:fldChar w:fldCharType="separate"/>
      </w:r>
      <w:r w:rsidR="0049749C" w:rsidRPr="006021A8">
        <w:rPr>
          <w:rStyle w:val="Hyperlink"/>
          <w:rFonts w:hint="eastAsia"/>
          <w:bCs/>
          <w:noProof/>
        </w:rPr>
        <w:t>第十八条</w:t>
      </w:r>
      <w:r w:rsidR="0049749C" w:rsidRPr="006021A8">
        <w:rPr>
          <w:rStyle w:val="Hyperlink"/>
          <w:bCs/>
          <w:noProof/>
        </w:rPr>
        <w:t xml:space="preserve"> </w:t>
      </w:r>
      <w:r w:rsidR="0049749C" w:rsidRPr="006021A8">
        <w:rPr>
          <w:rStyle w:val="Hyperlink"/>
          <w:rFonts w:hint="eastAsia"/>
          <w:bCs/>
          <w:noProof/>
        </w:rPr>
        <w:t>法律适用和争议解决</w:t>
      </w:r>
      <w:r w:rsidR="0049749C" w:rsidRPr="006021A8">
        <w:rPr>
          <w:noProof/>
          <w:webHidden/>
        </w:rPr>
        <w:tab/>
      </w:r>
      <w:r w:rsidR="0049749C" w:rsidRPr="006021A8">
        <w:rPr>
          <w:noProof/>
          <w:webHidden/>
        </w:rPr>
        <w:fldChar w:fldCharType="begin"/>
      </w:r>
      <w:r w:rsidR="0049749C" w:rsidRPr="006021A8">
        <w:rPr>
          <w:noProof/>
          <w:webHidden/>
        </w:rPr>
        <w:instrText xml:space="preserve"> PAGEREF _Toc44321717 \h </w:instrText>
      </w:r>
      <w:r w:rsidR="0049749C" w:rsidRPr="006021A8">
        <w:rPr>
          <w:noProof/>
          <w:webHidden/>
        </w:rPr>
        <w:fldChar w:fldCharType="separate"/>
      </w:r>
      <w:r w:rsidR="00B23860">
        <w:rPr>
          <w:noProof/>
          <w:webHidden/>
        </w:rPr>
        <w:t>45</w:t>
      </w:r>
      <w:r w:rsidR="0049749C" w:rsidRPr="006021A8">
        <w:rPr>
          <w:noProof/>
          <w:webHidden/>
        </w:rPr>
        <w:fldChar w:fldCharType="end"/>
      </w:r>
      <w:r>
        <w:fldChar w:fldCharType="end"/>
      </w:r>
    </w:p>
    <w:p w:rsidR="003C12F1" w:rsidRPr="006021A8">
      <w:pPr>
        <w:pStyle w:val="TOC1"/>
        <w:rPr>
          <w:rFonts w:ascii="Calibri" w:cs="宋体" w:hAnsi="Calibri"/>
          <w:noProof/>
          <w:sz w:val="21"/>
          <w:szCs w:val="22"/>
        </w:rPr>
      </w:pPr>
      <w:r>
        <w:fldChar w:fldCharType="begin"/>
      </w:r>
      <w:r>
        <w:instrText xml:space="preserve"> HYPERLINK \l "_Toc44321718" </w:instrText>
      </w:r>
      <w:r>
        <w:fldChar w:fldCharType="separate"/>
      </w:r>
      <w:r w:rsidR="0049749C" w:rsidRPr="006021A8">
        <w:rPr>
          <w:rStyle w:val="Hyperlink"/>
          <w:rFonts w:hint="eastAsia"/>
          <w:bCs/>
          <w:noProof/>
        </w:rPr>
        <w:t>第十九条</w:t>
      </w:r>
      <w:r w:rsidR="0049749C" w:rsidRPr="006021A8">
        <w:rPr>
          <w:rStyle w:val="Hyperlink"/>
          <w:bCs/>
          <w:noProof/>
        </w:rPr>
        <w:t xml:space="preserve"> </w:t>
      </w:r>
      <w:r w:rsidR="0049749C" w:rsidRPr="006021A8">
        <w:rPr>
          <w:rStyle w:val="Hyperlink"/>
          <w:rFonts w:hint="eastAsia"/>
          <w:bCs/>
          <w:noProof/>
        </w:rPr>
        <w:t>本协议的效力</w:t>
      </w:r>
      <w:r w:rsidR="0049749C" w:rsidRPr="006021A8">
        <w:rPr>
          <w:noProof/>
          <w:webHidden/>
        </w:rPr>
        <w:tab/>
      </w:r>
      <w:r w:rsidR="0049749C" w:rsidRPr="006021A8">
        <w:rPr>
          <w:noProof/>
          <w:webHidden/>
        </w:rPr>
        <w:fldChar w:fldCharType="begin"/>
      </w:r>
      <w:r w:rsidR="0049749C" w:rsidRPr="006021A8">
        <w:rPr>
          <w:noProof/>
          <w:webHidden/>
        </w:rPr>
        <w:instrText xml:space="preserve"> PAGEREF _Toc44321718 \h </w:instrText>
      </w:r>
      <w:r w:rsidR="0049749C" w:rsidRPr="006021A8">
        <w:rPr>
          <w:noProof/>
          <w:webHidden/>
        </w:rPr>
        <w:fldChar w:fldCharType="separate"/>
      </w:r>
      <w:r w:rsidR="00B23860">
        <w:rPr>
          <w:noProof/>
          <w:webHidden/>
        </w:rPr>
        <w:t>45</w:t>
      </w:r>
      <w:r w:rsidR="0049749C" w:rsidRPr="006021A8">
        <w:rPr>
          <w:noProof/>
          <w:webHidden/>
        </w:rPr>
        <w:fldChar w:fldCharType="end"/>
      </w:r>
      <w:r>
        <w:fldChar w:fldCharType="end"/>
      </w:r>
    </w:p>
    <w:p w:rsidR="003C12F1" w:rsidRPr="006021A8">
      <w:pPr>
        <w:pStyle w:val="TOC1"/>
        <w:rPr>
          <w:rFonts w:ascii="Calibri" w:cs="宋体" w:hAnsi="Calibri"/>
          <w:noProof/>
          <w:sz w:val="21"/>
          <w:szCs w:val="22"/>
        </w:rPr>
      </w:pPr>
      <w:r>
        <w:fldChar w:fldCharType="begin"/>
      </w:r>
      <w:r>
        <w:instrText xml:space="preserve"> HYPERLINK \l "_Toc44321719" </w:instrText>
      </w:r>
      <w:r>
        <w:fldChar w:fldCharType="separate"/>
      </w:r>
      <w:r w:rsidR="0049749C" w:rsidRPr="006021A8">
        <w:rPr>
          <w:rStyle w:val="Hyperlink"/>
          <w:rFonts w:hint="eastAsia"/>
          <w:bCs/>
          <w:noProof/>
        </w:rPr>
        <w:t>第二十条</w:t>
      </w:r>
      <w:r w:rsidR="0049749C" w:rsidRPr="006021A8">
        <w:rPr>
          <w:rStyle w:val="Hyperlink"/>
          <w:bCs/>
          <w:noProof/>
        </w:rPr>
        <w:t xml:space="preserve"> </w:t>
      </w:r>
      <w:r w:rsidR="0049749C" w:rsidRPr="006021A8">
        <w:rPr>
          <w:rStyle w:val="Hyperlink"/>
          <w:rFonts w:hint="eastAsia"/>
          <w:bCs/>
          <w:noProof/>
        </w:rPr>
        <w:t>本协议的签订</w:t>
      </w:r>
      <w:r w:rsidR="0049749C" w:rsidRPr="006021A8">
        <w:rPr>
          <w:noProof/>
          <w:webHidden/>
        </w:rPr>
        <w:tab/>
      </w:r>
      <w:r w:rsidR="0049749C" w:rsidRPr="006021A8">
        <w:rPr>
          <w:noProof/>
          <w:webHidden/>
        </w:rPr>
        <w:fldChar w:fldCharType="begin"/>
      </w:r>
      <w:r w:rsidR="0049749C" w:rsidRPr="006021A8">
        <w:rPr>
          <w:noProof/>
          <w:webHidden/>
        </w:rPr>
        <w:instrText xml:space="preserve"> PAGEREF _Toc44321719 \h </w:instrText>
      </w:r>
      <w:r w:rsidR="0049749C" w:rsidRPr="006021A8">
        <w:rPr>
          <w:noProof/>
          <w:webHidden/>
        </w:rPr>
        <w:fldChar w:fldCharType="separate"/>
      </w:r>
      <w:r w:rsidR="00B23860">
        <w:rPr>
          <w:noProof/>
          <w:webHidden/>
        </w:rPr>
        <w:t>46</w:t>
      </w:r>
      <w:r w:rsidR="0049749C" w:rsidRPr="006021A8">
        <w:rPr>
          <w:noProof/>
          <w:webHidden/>
        </w:rPr>
        <w:fldChar w:fldCharType="end"/>
      </w:r>
      <w:r>
        <w:fldChar w:fldCharType="end"/>
      </w:r>
    </w:p>
    <w:p w:rsidR="003C12F1" w:rsidRPr="006021A8">
      <w:pPr>
        <w:pStyle w:val="TOC1"/>
        <w:rPr>
          <w:rFonts w:ascii="Calibri" w:cs="宋体" w:hAnsi="Calibri"/>
          <w:noProof/>
          <w:sz w:val="21"/>
          <w:szCs w:val="22"/>
        </w:rPr>
      </w:pPr>
      <w:r>
        <w:fldChar w:fldCharType="begin"/>
      </w:r>
      <w:r>
        <w:instrText xml:space="preserve"> HYPERLINK \l "_Toc44321720" </w:instrText>
      </w:r>
      <w:r>
        <w:fldChar w:fldCharType="separate"/>
      </w:r>
      <w:r w:rsidR="0049749C" w:rsidRPr="006021A8">
        <w:rPr>
          <w:rStyle w:val="Hyperlink"/>
          <w:rFonts w:hint="eastAsia"/>
          <w:bCs/>
          <w:noProof/>
        </w:rPr>
        <w:t>第二十一条</w:t>
      </w:r>
      <w:r w:rsidR="0049749C" w:rsidRPr="006021A8">
        <w:rPr>
          <w:rStyle w:val="Hyperlink"/>
          <w:bCs/>
          <w:noProof/>
        </w:rPr>
        <w:t xml:space="preserve"> </w:t>
      </w:r>
      <w:r w:rsidR="0049749C" w:rsidRPr="006021A8">
        <w:rPr>
          <w:rStyle w:val="Hyperlink"/>
          <w:rFonts w:hint="eastAsia"/>
          <w:bCs/>
          <w:noProof/>
        </w:rPr>
        <w:t>不可抗力</w:t>
      </w:r>
      <w:r w:rsidR="0049749C" w:rsidRPr="006021A8">
        <w:rPr>
          <w:noProof/>
          <w:webHidden/>
        </w:rPr>
        <w:tab/>
      </w:r>
      <w:r w:rsidR="0049749C" w:rsidRPr="006021A8">
        <w:rPr>
          <w:noProof/>
          <w:webHidden/>
        </w:rPr>
        <w:fldChar w:fldCharType="begin"/>
      </w:r>
      <w:r w:rsidR="0049749C" w:rsidRPr="006021A8">
        <w:rPr>
          <w:noProof/>
          <w:webHidden/>
        </w:rPr>
        <w:instrText xml:space="preserve"> PAGEREF _Toc44321720 \h </w:instrText>
      </w:r>
      <w:r w:rsidR="0049749C" w:rsidRPr="006021A8">
        <w:rPr>
          <w:noProof/>
          <w:webHidden/>
        </w:rPr>
        <w:fldChar w:fldCharType="separate"/>
      </w:r>
      <w:r w:rsidR="00B23860">
        <w:rPr>
          <w:noProof/>
          <w:webHidden/>
        </w:rPr>
        <w:t>46</w:t>
      </w:r>
      <w:r w:rsidR="0049749C" w:rsidRPr="006021A8">
        <w:rPr>
          <w:noProof/>
          <w:webHidden/>
        </w:rPr>
        <w:fldChar w:fldCharType="end"/>
      </w:r>
      <w:r>
        <w:fldChar w:fldCharType="end"/>
      </w:r>
    </w:p>
    <w:p w:rsidR="003C12F1" w:rsidRPr="006021A8">
      <w:pPr>
        <w:pStyle w:val="TOC1"/>
        <w:rPr>
          <w:rFonts w:ascii="Calibri" w:cs="宋体" w:hAnsi="Calibri"/>
          <w:noProof/>
          <w:sz w:val="21"/>
          <w:szCs w:val="22"/>
        </w:rPr>
      </w:pPr>
      <w:r>
        <w:fldChar w:fldCharType="begin"/>
      </w:r>
      <w:r>
        <w:instrText xml:space="preserve"> HYPERLINK \l "_Toc44321721" </w:instrText>
      </w:r>
      <w:r>
        <w:fldChar w:fldCharType="separate"/>
      </w:r>
      <w:r w:rsidR="0049749C" w:rsidRPr="006021A8">
        <w:rPr>
          <w:rStyle w:val="Hyperlink"/>
          <w:rFonts w:hint="eastAsia"/>
          <w:bCs/>
          <w:noProof/>
        </w:rPr>
        <w:t>第二十二条</w:t>
      </w:r>
      <w:r w:rsidR="0049749C" w:rsidRPr="006021A8">
        <w:rPr>
          <w:rStyle w:val="Hyperlink"/>
          <w:bCs/>
          <w:noProof/>
        </w:rPr>
        <w:t xml:space="preserve"> </w:t>
      </w:r>
      <w:r w:rsidR="0049749C" w:rsidRPr="006021A8">
        <w:rPr>
          <w:rStyle w:val="Hyperlink"/>
          <w:rFonts w:hint="eastAsia"/>
          <w:bCs/>
          <w:noProof/>
        </w:rPr>
        <w:t>可分割性</w:t>
      </w:r>
      <w:r w:rsidR="0049749C" w:rsidRPr="006021A8">
        <w:rPr>
          <w:noProof/>
          <w:webHidden/>
        </w:rPr>
        <w:tab/>
      </w:r>
      <w:r w:rsidR="0049749C" w:rsidRPr="006021A8">
        <w:rPr>
          <w:noProof/>
          <w:webHidden/>
        </w:rPr>
        <w:fldChar w:fldCharType="begin"/>
      </w:r>
      <w:r w:rsidR="0049749C" w:rsidRPr="006021A8">
        <w:rPr>
          <w:noProof/>
          <w:webHidden/>
        </w:rPr>
        <w:instrText xml:space="preserve"> PAGEREF _Toc44321721 \h </w:instrText>
      </w:r>
      <w:r w:rsidR="0049749C" w:rsidRPr="006021A8">
        <w:rPr>
          <w:noProof/>
          <w:webHidden/>
        </w:rPr>
        <w:fldChar w:fldCharType="separate"/>
      </w:r>
      <w:r w:rsidR="00B23860">
        <w:rPr>
          <w:noProof/>
          <w:webHidden/>
        </w:rPr>
        <w:t>46</w:t>
      </w:r>
      <w:r w:rsidR="0049749C" w:rsidRPr="006021A8">
        <w:rPr>
          <w:noProof/>
          <w:webHidden/>
        </w:rPr>
        <w:fldChar w:fldCharType="end"/>
      </w:r>
      <w:r>
        <w:fldChar w:fldCharType="end"/>
      </w:r>
    </w:p>
    <w:p w:rsidR="003C12F1" w:rsidRPr="006021A8">
      <w:pPr>
        <w:pStyle w:val="TOC1"/>
        <w:rPr>
          <w:rFonts w:ascii="Calibri" w:cs="宋体" w:hAnsi="Calibri"/>
          <w:noProof/>
          <w:sz w:val="21"/>
          <w:szCs w:val="22"/>
        </w:rPr>
      </w:pPr>
      <w:r>
        <w:fldChar w:fldCharType="begin"/>
      </w:r>
      <w:r>
        <w:instrText xml:space="preserve"> HYPERLINK \l "_Toc44321722" </w:instrText>
      </w:r>
      <w:r>
        <w:fldChar w:fldCharType="separate"/>
      </w:r>
      <w:r w:rsidR="0049749C" w:rsidRPr="006021A8">
        <w:rPr>
          <w:rStyle w:val="Hyperlink"/>
          <w:rFonts w:hint="eastAsia"/>
          <w:bCs/>
          <w:noProof/>
        </w:rPr>
        <w:t>第二十三条</w:t>
      </w:r>
      <w:r w:rsidR="0049749C" w:rsidRPr="006021A8">
        <w:rPr>
          <w:rStyle w:val="Hyperlink"/>
          <w:bCs/>
          <w:noProof/>
        </w:rPr>
        <w:t xml:space="preserve"> </w:t>
      </w:r>
      <w:r w:rsidR="0049749C" w:rsidRPr="006021A8">
        <w:rPr>
          <w:rStyle w:val="Hyperlink"/>
          <w:rFonts w:hint="eastAsia"/>
          <w:bCs/>
          <w:noProof/>
        </w:rPr>
        <w:t>通知与送达</w:t>
      </w:r>
      <w:r w:rsidR="0049749C" w:rsidRPr="006021A8">
        <w:rPr>
          <w:noProof/>
          <w:webHidden/>
        </w:rPr>
        <w:tab/>
      </w:r>
      <w:r w:rsidR="0049749C" w:rsidRPr="006021A8">
        <w:rPr>
          <w:noProof/>
          <w:webHidden/>
        </w:rPr>
        <w:fldChar w:fldCharType="begin"/>
      </w:r>
      <w:r w:rsidR="0049749C" w:rsidRPr="006021A8">
        <w:rPr>
          <w:noProof/>
          <w:webHidden/>
        </w:rPr>
        <w:instrText xml:space="preserve"> PAGEREF _Toc44321722 \h </w:instrText>
      </w:r>
      <w:r w:rsidR="0049749C" w:rsidRPr="006021A8">
        <w:rPr>
          <w:noProof/>
          <w:webHidden/>
        </w:rPr>
        <w:fldChar w:fldCharType="separate"/>
      </w:r>
      <w:r w:rsidR="00B23860">
        <w:rPr>
          <w:noProof/>
          <w:webHidden/>
        </w:rPr>
        <w:t>46</w:t>
      </w:r>
      <w:r w:rsidR="0049749C" w:rsidRPr="006021A8">
        <w:rPr>
          <w:noProof/>
          <w:webHidden/>
        </w:rPr>
        <w:fldChar w:fldCharType="end"/>
      </w:r>
      <w:r>
        <w:fldChar w:fldCharType="end"/>
      </w:r>
    </w:p>
    <w:p w:rsidR="003C12F1" w:rsidRPr="006021A8">
      <w:pPr>
        <w:pStyle w:val="TOC1"/>
        <w:rPr>
          <w:rFonts w:ascii="Calibri" w:cs="宋体" w:hAnsi="Calibri"/>
          <w:noProof/>
          <w:sz w:val="21"/>
          <w:szCs w:val="22"/>
        </w:rPr>
      </w:pPr>
      <w:r>
        <w:fldChar w:fldCharType="begin"/>
      </w:r>
      <w:r>
        <w:instrText xml:space="preserve"> HYPERLINK \l "_Toc44321723" </w:instrText>
      </w:r>
      <w:r>
        <w:fldChar w:fldCharType="separate"/>
      </w:r>
      <w:r w:rsidR="0049749C" w:rsidRPr="006021A8">
        <w:rPr>
          <w:rStyle w:val="Hyperlink"/>
          <w:rFonts w:hint="eastAsia"/>
          <w:bCs/>
          <w:noProof/>
        </w:rPr>
        <w:t>第二十四条</w:t>
      </w:r>
      <w:r w:rsidR="0049749C" w:rsidRPr="006021A8">
        <w:rPr>
          <w:rStyle w:val="Hyperlink"/>
          <w:bCs/>
          <w:noProof/>
        </w:rPr>
        <w:t xml:space="preserve"> </w:t>
      </w:r>
      <w:r w:rsidR="0049749C" w:rsidRPr="006021A8">
        <w:rPr>
          <w:rStyle w:val="Hyperlink"/>
          <w:rFonts w:hint="eastAsia"/>
          <w:bCs/>
          <w:noProof/>
        </w:rPr>
        <w:t>其他约定事项</w:t>
      </w:r>
      <w:r w:rsidR="0049749C" w:rsidRPr="006021A8">
        <w:rPr>
          <w:noProof/>
          <w:webHidden/>
        </w:rPr>
        <w:tab/>
      </w:r>
      <w:r w:rsidR="0049749C" w:rsidRPr="006021A8">
        <w:rPr>
          <w:noProof/>
          <w:webHidden/>
        </w:rPr>
        <w:fldChar w:fldCharType="begin"/>
      </w:r>
      <w:r w:rsidR="0049749C" w:rsidRPr="006021A8">
        <w:rPr>
          <w:noProof/>
          <w:webHidden/>
        </w:rPr>
        <w:instrText xml:space="preserve"> PAGEREF _Toc44321723 \h </w:instrText>
      </w:r>
      <w:r w:rsidR="0049749C" w:rsidRPr="006021A8">
        <w:rPr>
          <w:noProof/>
          <w:webHidden/>
        </w:rPr>
        <w:fldChar w:fldCharType="separate"/>
      </w:r>
      <w:r w:rsidR="00B23860">
        <w:rPr>
          <w:noProof/>
          <w:webHidden/>
        </w:rPr>
        <w:t>47</w:t>
      </w:r>
      <w:r w:rsidR="0049749C" w:rsidRPr="006021A8">
        <w:rPr>
          <w:noProof/>
          <w:webHidden/>
        </w:rPr>
        <w:fldChar w:fldCharType="end"/>
      </w:r>
      <w:r>
        <w:fldChar w:fldCharType="end"/>
      </w:r>
    </w:p>
    <w:p w:rsidR="003C12F1" w:rsidRPr="006021A8">
      <w:pPr>
        <w:snapToGrid w:val="0"/>
        <w:spacing w:line="360" w:lineRule="auto"/>
        <w:jc w:val="center"/>
        <w:rPr>
          <w:rFonts w:ascii="宋体" w:hAnsi="宋体"/>
          <w:b/>
          <w:sz w:val="28"/>
          <w:szCs w:val="28"/>
        </w:rPr>
      </w:pPr>
      <w:r w:rsidRPr="006021A8">
        <w:rPr>
          <w:rFonts w:ascii="宋体" w:hAnsi="宋体"/>
          <w:b/>
          <w:sz w:val="28"/>
          <w:szCs w:val="28"/>
        </w:rPr>
        <w:fldChar w:fldCharType="end"/>
      </w:r>
    </w:p>
    <w:p w:rsidR="003C12F1" w:rsidRPr="006021A8">
      <w:pPr>
        <w:adjustRightInd w:val="0"/>
        <w:snapToGrid w:val="0"/>
        <w:spacing w:line="520" w:lineRule="atLeast"/>
        <w:jc w:val="center"/>
        <w:rPr>
          <w:rFonts w:ascii="宋体" w:hAnsi="宋体"/>
          <w:b/>
          <w:sz w:val="28"/>
          <w:szCs w:val="28"/>
        </w:rPr>
      </w:pPr>
      <w:r w:rsidRPr="006021A8">
        <w:rPr>
          <w:rFonts w:ascii="宋体" w:hAnsi="宋体"/>
          <w:b/>
          <w:sz w:val="28"/>
          <w:szCs w:val="28"/>
        </w:rPr>
        <w:br w:type="page"/>
      </w:r>
      <w:r w:rsidRPr="006021A8">
        <w:rPr>
          <w:rFonts w:ascii="宋体" w:hAnsi="宋体" w:hint="eastAsia"/>
          <w:b/>
          <w:sz w:val="28"/>
          <w:szCs w:val="28"/>
        </w:rPr>
        <w:t>国泰君安善吾养老目标日期2045五年持有期混合型发起式基金中基金（FOF）托管协议</w:t>
      </w:r>
    </w:p>
    <w:p w:rsidR="003C12F1" w:rsidRPr="006021A8">
      <w:pPr>
        <w:tabs>
          <w:tab w:pos="5940" w:val="left"/>
        </w:tabs>
        <w:adjustRightInd w:val="0"/>
        <w:snapToGrid w:val="0"/>
        <w:spacing w:line="520" w:lineRule="atLeast"/>
        <w:rPr>
          <w:rFonts w:ascii="宋体" w:hAnsi="宋体"/>
          <w:b/>
          <w:sz w:val="24"/>
          <w:szCs w:val="24"/>
        </w:rPr>
      </w:pPr>
    </w:p>
    <w:p w:rsidR="003C12F1" w:rsidRPr="006021A8">
      <w:pPr>
        <w:tabs>
          <w:tab w:pos="5940" w:val="left"/>
        </w:tabs>
        <w:adjustRightInd w:val="0"/>
        <w:snapToGrid w:val="0"/>
        <w:spacing w:line="520" w:lineRule="atLeast"/>
        <w:rPr>
          <w:rFonts w:ascii="宋体" w:hAnsi="宋体"/>
          <w:b/>
          <w:sz w:val="24"/>
          <w:szCs w:val="24"/>
        </w:rPr>
      </w:pPr>
      <w:r w:rsidRPr="006021A8">
        <w:rPr>
          <w:rFonts w:ascii="宋体" w:hAnsi="宋体" w:hint="eastAsia"/>
          <w:b/>
          <w:sz w:val="24"/>
          <w:szCs w:val="24"/>
        </w:rPr>
        <w:t>基金管理人：</w:t>
      </w:r>
      <w:r w:rsidRPr="006021A8">
        <w:rPr>
          <w:rFonts w:ascii="宋体" w:hAnsi="宋体" w:hint="eastAsia"/>
          <w:sz w:val="24"/>
          <w:szCs w:val="24"/>
        </w:rPr>
        <w:t>上海国泰君安证券资产管理有限公司</w:t>
      </w:r>
    </w:p>
    <w:p w:rsidR="003C12F1" w:rsidRPr="006021A8">
      <w:pPr>
        <w:tabs>
          <w:tab w:pos="5940" w:val="left"/>
        </w:tabs>
        <w:adjustRightInd w:val="0"/>
        <w:snapToGrid w:val="0"/>
        <w:spacing w:line="520" w:lineRule="atLeast"/>
        <w:rPr>
          <w:rFonts w:ascii="宋体" w:hAnsi="宋体"/>
          <w:sz w:val="24"/>
          <w:szCs w:val="24"/>
        </w:rPr>
      </w:pPr>
      <w:r w:rsidRPr="006021A8">
        <w:rPr>
          <w:rFonts w:ascii="宋体" w:hAnsi="宋体" w:hint="eastAsia"/>
          <w:sz w:val="24"/>
          <w:szCs w:val="24"/>
        </w:rPr>
        <w:t>法定代表人：谢乐斌</w:t>
      </w:r>
    </w:p>
    <w:p w:rsidR="003C12F1" w:rsidRPr="006021A8">
      <w:pPr>
        <w:tabs>
          <w:tab w:pos="5940" w:val="left"/>
        </w:tabs>
        <w:adjustRightInd w:val="0"/>
        <w:snapToGrid w:val="0"/>
        <w:spacing w:line="520" w:lineRule="atLeast"/>
        <w:rPr>
          <w:rFonts w:ascii="宋体" w:hAnsi="宋体"/>
          <w:sz w:val="24"/>
          <w:szCs w:val="24"/>
        </w:rPr>
      </w:pPr>
      <w:r w:rsidRPr="006021A8">
        <w:rPr>
          <w:rFonts w:ascii="宋体" w:hAnsi="宋体" w:hint="eastAsia"/>
          <w:sz w:val="24"/>
          <w:szCs w:val="24"/>
        </w:rPr>
        <w:t>住    所：上海市黄浦区南苏州路381号409A10室</w:t>
      </w:r>
    </w:p>
    <w:p w:rsidR="003C12F1" w:rsidRPr="006021A8">
      <w:pPr>
        <w:adjustRightInd w:val="0"/>
        <w:snapToGrid w:val="0"/>
        <w:spacing w:line="520" w:lineRule="atLeast"/>
        <w:rPr>
          <w:rFonts w:ascii="宋体" w:hAnsi="宋体"/>
          <w:sz w:val="24"/>
          <w:szCs w:val="24"/>
        </w:rPr>
      </w:pPr>
    </w:p>
    <w:p w:rsidR="003C12F1" w:rsidRPr="006021A8">
      <w:pPr>
        <w:tabs>
          <w:tab w:pos="5940" w:val="left"/>
        </w:tabs>
        <w:adjustRightInd w:val="0"/>
        <w:snapToGrid w:val="0"/>
        <w:spacing w:line="520" w:lineRule="atLeast"/>
        <w:rPr>
          <w:rFonts w:ascii="宋体" w:hAnsi="宋体"/>
          <w:b/>
          <w:sz w:val="24"/>
          <w:szCs w:val="24"/>
        </w:rPr>
      </w:pPr>
      <w:r w:rsidRPr="006021A8">
        <w:rPr>
          <w:rFonts w:ascii="宋体" w:hAnsi="宋体" w:hint="eastAsia"/>
          <w:b/>
          <w:sz w:val="24"/>
          <w:szCs w:val="24"/>
        </w:rPr>
        <w:t xml:space="preserve">基金托管人：中信银行股份有限公司 </w:t>
      </w:r>
    </w:p>
    <w:p w:rsidR="003C12F1" w:rsidRPr="006021A8">
      <w:pPr>
        <w:tabs>
          <w:tab w:pos="5940" w:val="left"/>
        </w:tabs>
        <w:adjustRightInd w:val="0"/>
        <w:snapToGrid w:val="0"/>
        <w:spacing w:line="520" w:lineRule="atLeast"/>
        <w:rPr>
          <w:rFonts w:ascii="宋体" w:hAnsi="宋体"/>
          <w:sz w:val="24"/>
          <w:szCs w:val="24"/>
        </w:rPr>
      </w:pPr>
      <w:r w:rsidRPr="006021A8">
        <w:rPr>
          <w:rFonts w:ascii="宋体" w:hAnsi="宋体" w:hint="eastAsia"/>
          <w:sz w:val="24"/>
          <w:szCs w:val="24"/>
        </w:rPr>
        <w:t>法定代表人/负责人：朱鹤新</w:t>
      </w:r>
    </w:p>
    <w:p w:rsidR="003C12F1" w:rsidRPr="006021A8">
      <w:pPr>
        <w:tabs>
          <w:tab w:pos="5940" w:val="left"/>
        </w:tabs>
        <w:adjustRightInd w:val="0"/>
        <w:snapToGrid w:val="0"/>
        <w:spacing w:line="520" w:lineRule="atLeast"/>
        <w:rPr>
          <w:rFonts w:ascii="宋体" w:hAnsi="宋体"/>
          <w:sz w:val="24"/>
          <w:szCs w:val="24"/>
        </w:rPr>
      </w:pPr>
      <w:r w:rsidRPr="006021A8">
        <w:rPr>
          <w:rFonts w:ascii="宋体" w:hAnsi="宋体" w:hint="eastAsia"/>
          <w:sz w:val="24"/>
          <w:szCs w:val="24"/>
        </w:rPr>
        <w:t>住    所：北京市朝阳区光华路10号院1号楼6-30层、32-42层</w:t>
      </w:r>
    </w:p>
    <w:p w:rsidP="00BE27F4" w:rsidR="003C12F1" w:rsidRPr="006021A8">
      <w:pPr>
        <w:adjustRightInd w:val="0"/>
        <w:snapToGrid w:val="0"/>
        <w:spacing w:line="520" w:lineRule="atLeast"/>
        <w:rPr>
          <w:rFonts w:ascii="宋体" w:hAnsi="宋体"/>
          <w:sz w:val="24"/>
          <w:szCs w:val="24"/>
        </w:rPr>
      </w:pPr>
    </w:p>
    <w:p w:rsidR="003C12F1" w:rsidRPr="006021A8">
      <w:pPr>
        <w:autoSpaceDE w:val="0"/>
        <w:autoSpaceDN w:val="0"/>
        <w:adjustRightInd w:val="0"/>
        <w:snapToGrid w:val="0"/>
        <w:spacing w:line="520" w:lineRule="atLeast"/>
        <w:ind w:firstLine="480" w:firstLineChars="200"/>
        <w:rPr>
          <w:rFonts w:ascii="宋体" w:hAnsi="宋体"/>
          <w:b/>
          <w:sz w:val="24"/>
          <w:szCs w:val="24"/>
        </w:rPr>
      </w:pPr>
      <w:r w:rsidRPr="006021A8">
        <w:rPr>
          <w:rFonts w:ascii="宋体" w:hAnsi="宋体" w:hint="eastAsia"/>
          <w:b/>
          <w:sz w:val="24"/>
          <w:szCs w:val="24"/>
        </w:rPr>
        <w:t>鉴于：</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1．上海国泰君安证券资产管理有限公司系一家依照中国法律合法成立并有效存续的有限责任公司，按照相关法律法规的规定具备担任基金管理人的资格和能力；</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2.中信银行股份有限公司系一家依照中国法律合法成立并有效存续的银行，按照相关法律法规的规定具备担任基金托管人的资格和能力；</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上海国泰君安证券资产管理有限公司拟担任国泰君安善吾养老目标日期2045五年持有期混合型发起式基金中基金（FOF）的基金管理人，中信银行股份有限公司拟担任国泰君安善吾养老目标日期2045五年持有期混合型发起式基金中基金（FOF）的基金托管人；</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为明确双方在基金托管中的权利、义务及责任，确保基金财产的安全，保护基金份额持有人的合法权益，依据相关法律法规和监管规定，双方本着平等自愿、诚实守信的原则特签订本协议。</w:t>
      </w:r>
    </w:p>
    <w:p w:rsidR="003C12F1" w:rsidRPr="006021A8">
      <w:pPr>
        <w:pStyle w:val="BodyTextIndent2"/>
        <w:adjustRightInd w:val="0"/>
        <w:snapToGrid w:val="0"/>
        <w:spacing w:after="0" w:before="0" w:line="520" w:lineRule="atLeast"/>
        <w:ind w:firstLine="541" w:left="0"/>
        <w:rPr>
          <w:rFonts w:hAnsi="宋体"/>
          <w:b/>
          <w:bCs/>
          <w:szCs w:val="24"/>
        </w:rPr>
      </w:pPr>
      <w:r w:rsidRPr="006021A8">
        <w:rPr>
          <w:rFonts w:hAnsi="宋体" w:hint="eastAsia"/>
          <w:b/>
          <w:bCs/>
          <w:szCs w:val="24"/>
        </w:rPr>
        <w:t>释义：</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 xml:space="preserve">除非另有约定，《国泰君安善吾养老目标日期2045五年持有期混合型发起式基金中基金（FOF）基金合同》(以下简称“基金合同”)中定义的术语在用于本托管协议时应具有相同的含义；若有抵触，应以基金合同为准，并依其条款解释。 </w:t>
      </w:r>
    </w:p>
    <w:p w:rsidR="003C12F1" w:rsidRPr="006021A8">
      <w:pPr>
        <w:pStyle w:val="Heading1"/>
        <w:adjustRightInd w:val="0"/>
        <w:spacing w:line="520" w:lineRule="atLeast"/>
        <w:ind w:firstLine="480" w:firstLineChars="200"/>
        <w:rPr>
          <w:bCs/>
          <w:color w:val="auto"/>
          <w:szCs w:val="24"/>
        </w:rPr>
      </w:pPr>
      <w:bookmarkStart w:id="15" w:name="_Toc296551337"/>
      <w:bookmarkStart w:id="16" w:name="_Toc44321700"/>
      <w:r w:rsidRPr="006021A8">
        <w:rPr>
          <w:rFonts w:hint="eastAsia"/>
          <w:bCs/>
          <w:color w:val="auto"/>
          <w:szCs w:val="24"/>
        </w:rPr>
        <w:t>第一条 本协议当事人</w:t>
      </w:r>
      <w:bookmarkEnd w:id="15"/>
      <w:bookmarkEnd w:id="16"/>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1.1基金管理人：</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名称：上海国泰君安证券资产管理有限公司</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住所：上海市黄浦区南苏州路381号409A10室</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法定代表人：谢乐斌</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 xml:space="preserve">成立时间：2010年8月27日 </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 xml:space="preserve">批准设立机关：中国证券监督管理委员会 </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 xml:space="preserve">批准设立文号：证监许可【2010】631号 </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组织形式：有限责任公司</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注册资本：20亿元人民币</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经营范围：证券资产管理业务、公募基金管理业务</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存续期间：</w:t>
      </w:r>
      <w:bookmarkStart w:id="17" w:name="_Hlk103018247"/>
      <w:r w:rsidRPr="006021A8">
        <w:rPr>
          <w:rFonts w:hAnsi="宋体" w:hint="eastAsia"/>
          <w:szCs w:val="24"/>
        </w:rPr>
        <w:t>持续经营</w:t>
      </w:r>
      <w:bookmarkEnd w:id="17"/>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1.2基金托管人：</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名称：中信银行股份有限公司</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住所：北京市朝阳区光华路10号院1号楼6-30层、32-42层</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法定代表人：朱鹤新</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成立时间：1987年4月20日</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批准设立文号：国办函[1987]14号</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基金托管业务批准文号：证监基金字[2004]125号</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组织形式：股份有限公司</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注册资本：489.35亿元人民币</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存续期间：持续经营</w:t>
      </w:r>
    </w:p>
    <w:p w:rsidR="003C12F1" w:rsidRPr="006021A8">
      <w:pPr>
        <w:pStyle w:val="Heading1"/>
        <w:adjustRightInd w:val="0"/>
        <w:spacing w:line="520" w:lineRule="atLeast"/>
        <w:ind w:firstLine="480" w:firstLineChars="200"/>
        <w:rPr>
          <w:bCs/>
          <w:color w:val="auto"/>
          <w:szCs w:val="24"/>
        </w:rPr>
      </w:pPr>
      <w:bookmarkStart w:id="18" w:name="_Toc296551338"/>
      <w:bookmarkStart w:id="19" w:name="_Toc44321701"/>
      <w:r w:rsidRPr="006021A8">
        <w:rPr>
          <w:rFonts w:hint="eastAsia"/>
          <w:bCs/>
          <w:color w:val="auto"/>
          <w:szCs w:val="24"/>
        </w:rPr>
        <w:t>第二条 本协议的依据、目的和原则</w:t>
      </w:r>
      <w:bookmarkEnd w:id="18"/>
      <w:bookmarkEnd w:id="19"/>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2.1本协议的依据</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订立本协议的依据是《中华人民共和国证券投资基金法》（以下简称“《基金法》”）、《公开募集证券投资基金运作管理办法》（以下简称“《运作办法》”）、《公开募集证券投资基金销售机构监督管理办法》、《公开募集证券投资基金信息披露管理办法》（以下简称“《信息披露办法》”）、</w:t>
      </w:r>
      <w:r w:rsidRPr="006021A8">
        <w:rPr>
          <w:rFonts w:hAnsi="宋体" w:hint="eastAsia"/>
          <w:bCs/>
          <w:szCs w:val="24"/>
        </w:rPr>
        <w:t>《公开募集开放式证券投资基金流动性风险</w:t>
      </w:r>
      <w:r w:rsidRPr="006021A8">
        <w:rPr>
          <w:rFonts w:hAnsi="宋体" w:hint="eastAsia"/>
          <w:bCs/>
          <w:szCs w:val="24"/>
        </w:rPr>
        <w:t>管理规定》（以下简称“《流动性风险管理规定》”）、</w:t>
      </w:r>
      <w:r w:rsidRPr="006021A8">
        <w:rPr>
          <w:rFonts w:hAnsi="宋体" w:hint="eastAsia"/>
          <w:szCs w:val="24"/>
        </w:rPr>
        <w:t>《证券投资基金信息披露内容与格式准则第7号〈托管协议的内容与格式〉》、《公开募集证券投资基金运作指引第2号——基金中基金指引》、《养老目标证券投资基金指引（试行）》、《国泰君安善吾养老目标日期2045五年持有期混合型发起式基金中基金（FOF）基金合同》（以下简称“基金合同”）及其他有关规定。</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2.2本协议的目的</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2.3本协议的原则</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基金管理人和基金托管人本着平等自愿、诚实信用、充分保护基金份额持有人合法权益的原则，经协商一致，签订本协议。</w:t>
      </w:r>
    </w:p>
    <w:p w:rsidR="003C12F1" w:rsidRPr="006021A8">
      <w:pPr>
        <w:pStyle w:val="Heading1"/>
        <w:adjustRightInd w:val="0"/>
        <w:spacing w:line="520" w:lineRule="atLeast"/>
        <w:ind w:firstLine="480" w:firstLineChars="200"/>
        <w:rPr>
          <w:bCs/>
          <w:color w:val="auto"/>
          <w:szCs w:val="24"/>
        </w:rPr>
      </w:pPr>
      <w:bookmarkStart w:id="20" w:name="_Toc296551339"/>
      <w:bookmarkStart w:id="21" w:name="_Toc44321702"/>
      <w:r w:rsidRPr="006021A8">
        <w:rPr>
          <w:rFonts w:hint="eastAsia"/>
          <w:bCs/>
          <w:color w:val="auto"/>
          <w:szCs w:val="24"/>
        </w:rPr>
        <w:t>第三条 基金托管人对基金管理人的业务监督和核查</w:t>
      </w:r>
      <w:bookmarkEnd w:id="20"/>
      <w:bookmarkEnd w:id="21"/>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3.1基金托管人对基金管理人的投资行为行使监督权</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3.1.1基金托管人根据有关法律法规的规定和基金合同的约定，对下述基金投资范围、投资对象进行监督。本基金将投资于以下金融工具：</w:t>
      </w:r>
    </w:p>
    <w:p w:rsidR="003324B7"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转型前本基金投资范围：</w:t>
      </w:r>
    </w:p>
    <w:p w:rsidR="003324B7" w:rsidRPr="006021A8">
      <w:pPr>
        <w:adjustRightInd w:val="0"/>
        <w:snapToGrid w:val="0"/>
        <w:spacing w:line="520" w:lineRule="atLeast"/>
        <w:ind w:firstLine="480"/>
        <w:rPr>
          <w:rFonts w:ascii="宋体" w:hAnsi="宋体"/>
          <w:sz w:val="24"/>
          <w:szCs w:val="24"/>
        </w:rPr>
      </w:pPr>
      <w:r w:rsidRPr="006021A8">
        <w:rPr>
          <w:rFonts w:ascii="宋体" w:hAnsi="宋体" w:hint="eastAsia"/>
          <w:sz w:val="24"/>
          <w:szCs w:val="24"/>
        </w:rPr>
        <w:t>本基金的投资范围为具有良好流动性的金融工具，包括经中国证监会核准或注册的公开募集证券投资基金（包括QDII基金、香港互认基金等）、国内依法发行上市的股票（包括创业板以及其他依法上市的股票、存托凭证）、债券（包括国债、央行票据、金融债券、企业债券、公司债券、证券公司短期公司债券、可转换债券（含可分离交易可转债）、可交换债券、中期票据、短期融资券、超短期融资券、次级债券、政府支持机构债、政府支持债券、地方政府债及其他经中国证监会允许投资的债券）、资产支持证券、债券回购、银行存款（包括协议存款、定期存款及其他银行存款）、同业存单、货币市场工具以及中国证监会允许基金投资的其他金融工具，但须符合中国证监会相关规定。</w:t>
      </w:r>
    </w:p>
    <w:p w:rsidP="00E7506B" w:rsidR="00E7506B" w:rsidRPr="006021A8">
      <w:pPr>
        <w:adjustRightInd w:val="0"/>
        <w:snapToGrid w:val="0"/>
        <w:spacing w:line="520" w:lineRule="atLeast"/>
        <w:ind w:firstLine="480"/>
        <w:rPr>
          <w:rFonts w:ascii="宋体" w:hAnsi="宋体"/>
          <w:sz w:val="24"/>
          <w:szCs w:val="24"/>
        </w:rPr>
      </w:pPr>
      <w:r w:rsidRPr="006021A8">
        <w:rPr>
          <w:rFonts w:ascii="宋体" w:hAnsi="宋体" w:hint="eastAsia"/>
          <w:sz w:val="24"/>
          <w:szCs w:val="24"/>
        </w:rPr>
        <w:t>如法律法规或监管机构以后允许基金投资其他品种，基金管理人在履行适当程序后，可以将其纳入投资范围。</w:t>
      </w:r>
    </w:p>
    <w:p w:rsidP="00E7506B" w:rsidR="00E7506B" w:rsidRPr="006021A8">
      <w:pPr>
        <w:adjustRightInd w:val="0"/>
        <w:snapToGrid w:val="0"/>
        <w:spacing w:line="520" w:lineRule="atLeast"/>
        <w:ind w:firstLine="480"/>
        <w:rPr>
          <w:rFonts w:ascii="宋体" w:hAnsi="宋体"/>
          <w:sz w:val="24"/>
          <w:szCs w:val="24"/>
        </w:rPr>
      </w:pPr>
      <w:r w:rsidRPr="006021A8">
        <w:rPr>
          <w:rFonts w:ascii="宋体" w:hAnsi="宋体" w:hint="eastAsia"/>
          <w:sz w:val="24"/>
          <w:szCs w:val="24"/>
        </w:rPr>
        <w:t>本基金为基金中基金，基金的投资组合比例为：本基金投资于经中国证监会依法核准或注册的公开募集证券投资基金的资产比例不低于基金资产的80%。基金投资于权益类资产和商品基金（含商品期货基金和黄金ETF）等品种的比例合计原则上不超过基金资产的80%。</w:t>
      </w:r>
      <w:r w:rsidR="00903728" w:rsidRPr="00903728">
        <w:rPr>
          <w:rFonts w:ascii="宋体" w:hAnsi="宋体" w:hint="eastAsia"/>
          <w:sz w:val="24"/>
          <w:szCs w:val="24"/>
        </w:rPr>
        <w:t>本基金投资于QDII基金和香港互认基金的比例不超过基金资产的20%。</w:t>
      </w:r>
      <w:r w:rsidRPr="006021A8">
        <w:rPr>
          <w:rFonts w:ascii="宋体" w:hAnsi="宋体" w:hint="eastAsia"/>
          <w:sz w:val="24"/>
          <w:szCs w:val="24"/>
        </w:rPr>
        <w:t>本基金投资于商品基金（含商品期货基金和黄金ETF）的比例不超过基金资产的10%。本基金投资于货币市场基金的资产占基金资产的比例不高于15%。本基金保持不低于基金资产净值5%的现金或者到期日在一年以内的政府债券，其中现金不包括结算备付金、存出保证金、应收申购款等。</w:t>
      </w:r>
    </w:p>
    <w:p w:rsidP="00E7506B" w:rsidR="00E7506B" w:rsidRPr="006021A8">
      <w:pPr>
        <w:adjustRightInd w:val="0"/>
        <w:snapToGrid w:val="0"/>
        <w:spacing w:line="520" w:lineRule="atLeast"/>
        <w:ind w:firstLine="480"/>
        <w:rPr>
          <w:rFonts w:ascii="宋体" w:hAnsi="宋体"/>
          <w:sz w:val="24"/>
          <w:szCs w:val="24"/>
        </w:rPr>
      </w:pPr>
      <w:r w:rsidRPr="006021A8">
        <w:rPr>
          <w:rFonts w:ascii="宋体" w:hAnsi="宋体" w:hint="eastAsia"/>
          <w:sz w:val="24"/>
          <w:szCs w:val="24"/>
        </w:rPr>
        <w:t>其中，本基金投资的权益类资产指股票（含存托凭证）、股票型基金和混合型基金，计入上述权益类资产的混合型基金需符合下列两个条件之一：1、基金合同约定股票资产投资比例不低于基金资产60%的混合型基金；2、根据基金披露的定期报告，最近四个季度中任一季度股票资产占基金资产比例均不低于60%的混合型基金。</w:t>
      </w:r>
    </w:p>
    <w:p w:rsidP="00E7506B" w:rsidR="003324B7" w:rsidRPr="006021A8">
      <w:pPr>
        <w:adjustRightInd w:val="0"/>
        <w:snapToGrid w:val="0"/>
        <w:spacing w:line="520" w:lineRule="atLeast"/>
        <w:ind w:firstLine="480"/>
        <w:rPr>
          <w:rFonts w:ascii="宋体" w:hAnsi="宋体"/>
          <w:sz w:val="24"/>
          <w:szCs w:val="24"/>
        </w:rPr>
      </w:pPr>
      <w:r w:rsidRPr="006021A8">
        <w:rPr>
          <w:rFonts w:ascii="宋体" w:hAnsi="宋体" w:hint="eastAsia"/>
          <w:sz w:val="24"/>
          <w:szCs w:val="24"/>
        </w:rPr>
        <w:t xml:space="preserve">如法律法规或监管机构变更投资品种的投资比例限制，基金管理人在履行适当程序后，可以调整上述投资品种的投资比例。 </w:t>
      </w:r>
    </w:p>
    <w:p w:rsidP="003324B7" w:rsidR="001F586B" w:rsidRPr="006021A8">
      <w:pPr>
        <w:adjustRightInd w:val="0"/>
        <w:snapToGrid w:val="0"/>
        <w:spacing w:line="520" w:lineRule="atLeast"/>
        <w:ind w:firstLine="480"/>
        <w:rPr>
          <w:rFonts w:ascii="宋体" w:hAnsi="宋体"/>
          <w:sz w:val="24"/>
          <w:szCs w:val="24"/>
        </w:rPr>
      </w:pPr>
      <w:r w:rsidRPr="006021A8">
        <w:rPr>
          <w:rFonts w:ascii="宋体" w:hAnsi="宋体" w:hint="eastAsia"/>
          <w:sz w:val="24"/>
          <w:szCs w:val="24"/>
        </w:rPr>
        <w:t>转型后本基金投资范围：</w:t>
      </w:r>
    </w:p>
    <w:p w:rsidP="003324B7" w:rsidR="003324B7" w:rsidRPr="006021A8">
      <w:pPr>
        <w:adjustRightInd w:val="0"/>
        <w:snapToGrid w:val="0"/>
        <w:spacing w:line="520" w:lineRule="atLeast"/>
        <w:ind w:firstLine="480"/>
        <w:rPr>
          <w:rFonts w:ascii="宋体" w:hAnsi="宋体"/>
          <w:sz w:val="24"/>
          <w:szCs w:val="24"/>
        </w:rPr>
      </w:pPr>
      <w:r w:rsidRPr="006021A8">
        <w:rPr>
          <w:rFonts w:ascii="宋体" w:hAnsi="宋体" w:hint="eastAsia"/>
          <w:sz w:val="24"/>
          <w:szCs w:val="24"/>
        </w:rPr>
        <w:t>本基金的投资范围为具有良好流动性的金融工具，包括经中国证监会核准或注册的公开募集证券投资基金（包括QDII基金、香港互认基金等）、国内依法发行上市的股票（包括创业板以及其他依法上市的股票、存托凭证）、债券（包括国债、央行票据、金融债券、企业债券、公司债券、证券公司短期公司债券、可转换债券（含可分离交易可转债）、可交换债券、中期票据、短期融资券、超短期融资券、次级债券、政府支持机构债、政府支持债券、地方政府债及其他经中国证监会允许投资的债券）、资产支持证券、债券回购、银行存款（包括协议存款、定期存款及其他银行存款）、同业存单、货币市场工具以及中国证监会允许基金投资的其他金融工具，但须符合中国证监会相关规定。</w:t>
      </w:r>
    </w:p>
    <w:p w:rsidP="003324B7" w:rsidR="003324B7" w:rsidRPr="006021A8">
      <w:pPr>
        <w:adjustRightInd w:val="0"/>
        <w:snapToGrid w:val="0"/>
        <w:spacing w:line="520" w:lineRule="atLeast"/>
        <w:ind w:firstLine="480"/>
        <w:rPr>
          <w:rFonts w:ascii="宋体" w:hAnsi="宋体"/>
          <w:sz w:val="24"/>
          <w:szCs w:val="24"/>
        </w:rPr>
      </w:pPr>
      <w:r w:rsidRPr="006021A8">
        <w:rPr>
          <w:rFonts w:ascii="宋体" w:hAnsi="宋体" w:hint="eastAsia"/>
          <w:sz w:val="24"/>
          <w:szCs w:val="24"/>
        </w:rPr>
        <w:t>如法律法规或监管机构以后允许基金投资其他品种，基金管理人在履行适当程序后，可以将其纳入投资范围。</w:t>
      </w:r>
    </w:p>
    <w:p w:rsidP="003324B7" w:rsidR="003324B7" w:rsidRPr="006021A8">
      <w:pPr>
        <w:adjustRightInd w:val="0"/>
        <w:snapToGrid w:val="0"/>
        <w:spacing w:line="520" w:lineRule="atLeast"/>
        <w:ind w:firstLine="480"/>
        <w:rPr>
          <w:rFonts w:ascii="宋体" w:hAnsi="宋体"/>
          <w:sz w:val="24"/>
          <w:szCs w:val="24"/>
        </w:rPr>
      </w:pPr>
      <w:r w:rsidRPr="006021A8">
        <w:rPr>
          <w:rFonts w:ascii="宋体" w:hAnsi="宋体" w:hint="eastAsia"/>
          <w:sz w:val="24"/>
          <w:szCs w:val="24"/>
        </w:rPr>
        <w:t>本基金为基金中基金，基金的投资组合比例为：本基金投资于经中国证监会依</w:t>
      </w:r>
      <w:r w:rsidRPr="006021A8">
        <w:rPr>
          <w:rFonts w:ascii="宋体" w:hAnsi="宋体" w:hint="eastAsia"/>
          <w:sz w:val="24"/>
          <w:szCs w:val="24"/>
        </w:rPr>
        <w:t>法核准或注册的公开募集证券投资基金的资产比例不低于基金资产的80%。投资于权益类资产（股票（含存托凭证）、股票型基金、混合型基金）</w:t>
      </w:r>
      <w:r w:rsidR="00655E04" w:rsidRPr="00655E04">
        <w:rPr>
          <w:rFonts w:ascii="宋体" w:hAnsi="宋体" w:hint="eastAsia"/>
          <w:sz w:val="24"/>
          <w:szCs w:val="24"/>
        </w:rPr>
        <w:t>和商品基金（含商品期货基金和黄金ETF）等品种</w:t>
      </w:r>
      <w:r w:rsidRPr="006021A8">
        <w:rPr>
          <w:rFonts w:ascii="宋体" w:hAnsi="宋体" w:hint="eastAsia"/>
          <w:sz w:val="24"/>
          <w:szCs w:val="24"/>
        </w:rPr>
        <w:t>合计占基金资产的比例为0-30%。</w:t>
      </w:r>
      <w:r w:rsidR="00655E04" w:rsidRPr="00655E04">
        <w:rPr>
          <w:rFonts w:ascii="宋体" w:hAnsi="宋体" w:hint="eastAsia"/>
          <w:sz w:val="24"/>
          <w:szCs w:val="24"/>
        </w:rPr>
        <w:t>本基金投资于QDII基金和香港互认基金的比例不超过基金资产的20%。本基金投资于商品基金（含商品期货基金和黄金ETF）的比例不超过基金资产的10%。本基金投资于货币市场基金的资产占基金资产的比例不高于15%。</w:t>
      </w:r>
      <w:r w:rsidRPr="006021A8">
        <w:rPr>
          <w:rFonts w:ascii="宋体" w:hAnsi="宋体" w:hint="eastAsia"/>
          <w:sz w:val="24"/>
          <w:szCs w:val="24"/>
        </w:rPr>
        <w:t>其中，计入上述权益类资产的混合型基金需符合下列两个条件之一：（</w:t>
      </w:r>
      <w:r w:rsidRPr="006021A8">
        <w:rPr>
          <w:rFonts w:ascii="宋体" w:hAnsi="宋体"/>
          <w:sz w:val="24"/>
          <w:szCs w:val="24"/>
        </w:rPr>
        <w:t>1）</w:t>
      </w:r>
      <w:r w:rsidRPr="006021A8">
        <w:rPr>
          <w:rFonts w:ascii="宋体" w:hAnsi="宋体" w:hint="eastAsia"/>
          <w:sz w:val="24"/>
          <w:szCs w:val="24"/>
        </w:rPr>
        <w:t>基金合同约定股票资产投资比例不低于基金资产</w:t>
      </w:r>
      <w:r w:rsidRPr="006021A8">
        <w:rPr>
          <w:rFonts w:ascii="宋体" w:hAnsi="宋体"/>
          <w:sz w:val="24"/>
          <w:szCs w:val="24"/>
        </w:rPr>
        <w:t>60%的混合型基金；</w:t>
      </w:r>
      <w:r w:rsidRPr="006021A8">
        <w:rPr>
          <w:rFonts w:ascii="宋体" w:hAnsi="宋体" w:hint="eastAsia"/>
          <w:sz w:val="24"/>
          <w:szCs w:val="24"/>
        </w:rPr>
        <w:t>（2）根据基金披露的定期报告,最近四个季度中任一季度股票资产占基金资产比例均不低于60%的混合型基金。本基金持有的现金或者到期日在一年以内的政府债券不低于基金资产净值的 5%，其中现金不包括结算备付金、存出保证金、应收申购款等。</w:t>
      </w:r>
    </w:p>
    <w:p w:rsidP="003324B7" w:rsidR="003C12F1" w:rsidRPr="006021A8">
      <w:pPr>
        <w:adjustRightInd w:val="0"/>
        <w:snapToGrid w:val="0"/>
        <w:spacing w:line="520" w:lineRule="atLeast"/>
        <w:ind w:firstLine="480"/>
        <w:rPr>
          <w:rFonts w:ascii="宋体" w:hAnsi="宋体"/>
          <w:sz w:val="24"/>
          <w:szCs w:val="24"/>
          <w:u w:val="single"/>
        </w:rPr>
      </w:pPr>
      <w:r w:rsidRPr="006021A8">
        <w:rPr>
          <w:rFonts w:ascii="宋体" w:hAnsi="宋体" w:hint="eastAsia"/>
          <w:sz w:val="24"/>
          <w:szCs w:val="24"/>
        </w:rPr>
        <w:t xml:space="preserve">如法律法规或中国证监会变更投资品种的投资比例限制，基金管理人在履行适当程序后，可以调整上述投资品种的投资比例。                                                  </w:t>
      </w:r>
    </w:p>
    <w:p w:rsidP="00B37CB3" w:rsidR="003C12F1" w:rsidRPr="006021A8">
      <w:pPr>
        <w:adjustRightInd w:val="0"/>
        <w:snapToGrid w:val="0"/>
        <w:spacing w:line="520" w:lineRule="atLeast"/>
        <w:rPr>
          <w:rFonts w:ascii="宋体" w:hAnsi="宋体"/>
          <w:sz w:val="24"/>
          <w:szCs w:val="24"/>
        </w:rPr>
      </w:pPr>
      <w:r w:rsidRPr="006021A8">
        <w:rPr>
          <w:rFonts w:ascii="宋体" w:hAnsi="宋体" w:hint="eastAsia"/>
          <w:sz w:val="24"/>
          <w:szCs w:val="24"/>
        </w:rPr>
        <w:t xml:space="preserve">    3.1.2基金托管人根据有关法律法规的规定及基金合同的约定对下述基金投融资比例进行监督：</w:t>
      </w:r>
    </w:p>
    <w:p w:rsidR="008B0F9C"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转型前本基金投资限制：</w:t>
      </w:r>
    </w:p>
    <w:p w:rsidP="00BE27F4" w:rsidR="00E7506B"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本基金投资于经中国证监会依法核准或注册的公开募集证券投资基金的资产比例不低于基金资产的80%。基金投资于权益类资产和商品基金（含商品期货基金和黄金ETF）等品种的比例合计原则上不超过基金资产的80%；</w:t>
      </w:r>
    </w:p>
    <w:p w:rsidP="00BE27F4" w:rsidR="00E7506B"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（2）本基金持有单只基金，其市值不高于本基金资产净值的20%，且不持有其他基金中基金；</w:t>
      </w:r>
    </w:p>
    <w:p w:rsidP="00BE27F4" w:rsidR="00E7506B"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（3）本基金基金管理人管理的全部基金（ETF联接基金除外）持有单只证券投资基金的比例不超过该被投资证券投资基金净资产的20%，被投资证券投资基金净资产规模以最近定期报告披露的规模为准；</w:t>
      </w:r>
    </w:p>
    <w:p w:rsidP="00BE27F4" w:rsidR="00E7506B"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（4）本基金投资于货币市场基金的比例不得超过基金资产的15%。</w:t>
      </w:r>
    </w:p>
    <w:p w:rsidP="00BE27F4" w:rsidR="00E7506B"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（5）本基金不得持有具有复杂、衍生品性质的基金份额，包括分级基金和中国证监会认定的其他基金份额；</w:t>
      </w:r>
    </w:p>
    <w:p w:rsidP="00BE27F4" w:rsidR="00E7506B"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（6）本基金投资于封闭运作基金、定期开放基金等流通受限基金的比例不得</w:t>
      </w:r>
      <w:r w:rsidRPr="006021A8">
        <w:rPr>
          <w:rFonts w:hAnsi="宋体" w:hint="eastAsia"/>
          <w:szCs w:val="24"/>
        </w:rPr>
        <w:t>超过本基金基金资产净值的10%。流通受限基金是指封闭运作基金、定期开放基金等由基金合同规定明确在一定期限锁定期内不可赎回的基金，但不包括</w:t>
      </w:r>
      <w:r w:rsidRPr="006021A8">
        <w:rPr>
          <w:rFonts w:hAnsi="宋体"/>
          <w:szCs w:val="24"/>
        </w:rPr>
        <w:t>ETF</w:t>
      </w:r>
      <w:r w:rsidRPr="006021A8">
        <w:rPr>
          <w:rFonts w:hAnsi="宋体" w:hint="eastAsia"/>
          <w:szCs w:val="24"/>
        </w:rPr>
        <w:t>、</w:t>
      </w:r>
      <w:r w:rsidRPr="006021A8">
        <w:rPr>
          <w:rFonts w:hAnsi="宋体"/>
          <w:szCs w:val="24"/>
        </w:rPr>
        <w:t>LOF</w:t>
      </w:r>
      <w:r w:rsidRPr="006021A8">
        <w:rPr>
          <w:rFonts w:hAnsi="宋体" w:hint="eastAsia"/>
          <w:szCs w:val="24"/>
        </w:rPr>
        <w:t>等可上市交易的基金。</w:t>
      </w:r>
    </w:p>
    <w:p w:rsidP="00BE27F4" w:rsidR="00E7506B"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7）本基金投资其他基金，除指数基金、ETF和商品基金以外，被投资基金的运作期限应当不少于2年，最近2年平均季末基金净资产应当不低于2亿元；本基金投资于指数基金、ETF和商品基金等品种的，被投资基金的运作期限应当不少于1年，最近定期报告披露的季末基金净资产应当不低于1亿元；被投资基金运作合规，风格清晰，中长期收益良好，业绩波动性较低；被投资基金的基金管理人及基金经理最近2年没有重大违法违规行为。</w:t>
      </w:r>
    </w:p>
    <w:p w:rsidP="00BE27F4" w:rsidR="00E7506B"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（8）</w:t>
      </w:r>
      <w:r w:rsidR="00903728" w:rsidRPr="00903728">
        <w:rPr>
          <w:rFonts w:hAnsi="宋体" w:hint="eastAsia"/>
          <w:szCs w:val="24"/>
        </w:rPr>
        <w:t>本基金投资于QDII基金和香港互认基金的比例不超过基金资产的20%。</w:t>
      </w:r>
      <w:r w:rsidRPr="006021A8">
        <w:rPr>
          <w:rFonts w:hAnsi="宋体" w:hint="eastAsia"/>
          <w:szCs w:val="24"/>
        </w:rPr>
        <w:t>本基金投资于商品基金（含商品期货基金和黄金ETF）的比例不得超过基金资产的10%。</w:t>
      </w:r>
    </w:p>
    <w:p w:rsidP="00BE27F4" w:rsidR="00E7506B"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（9）本基金每个交易日日终应当保持不低于基金资产净值5％的现金或者到期日在一年以内的政府债券；其中，现金不包括结算备付金、存出保证金、应收申购款等；</w:t>
      </w:r>
    </w:p>
    <w:p w:rsidP="00BE27F4" w:rsidR="00E7506B"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（10）本基金持有一家公司发行的证券（不含证券投资基金），其市值不超过基金资产净值的10％；</w:t>
      </w:r>
    </w:p>
    <w:p w:rsidP="00BE27F4" w:rsidR="00E7506B"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（11）本基金基金管理人管理的全部基金持有一家公司发行的证券（不含证券投资基金），不超过该证券的10％；</w:t>
      </w:r>
    </w:p>
    <w:p w:rsidP="00BE27F4" w:rsidR="00E7506B"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（12）本基金投资于同一原始权益人的各类资产支持证券的比例，不得超过基金资产净值的10％；</w:t>
      </w:r>
    </w:p>
    <w:p w:rsidP="00BE27F4" w:rsidR="00E7506B"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（13）本基金持有的全部资产支持证券，其市值不得超过基金资产净值的20％；</w:t>
      </w:r>
    </w:p>
    <w:p w:rsidP="00BE27F4" w:rsidR="00E7506B"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（14）本基金持有的同一(指同一信用级别)资产支持证券的比例，不得超过该资产支持证券规模的10％；</w:t>
      </w:r>
    </w:p>
    <w:p w:rsidP="00BE27F4" w:rsidR="00E7506B"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（15）本基金管理人管理的全部基金投资于同一原始权益人的各类资产支持证券，不得超过其各类资产支持证券合计规模的10％；</w:t>
      </w:r>
    </w:p>
    <w:p w:rsidP="00BE27F4" w:rsidR="00E7506B"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（16）本基金应投资于信用级别评级为</w:t>
      </w:r>
      <w:r w:rsidRPr="006021A8">
        <w:rPr>
          <w:rFonts w:hAnsi="宋体"/>
          <w:szCs w:val="24"/>
        </w:rPr>
        <w:t>BBB</w:t>
      </w:r>
      <w:r w:rsidRPr="006021A8">
        <w:rPr>
          <w:rFonts w:hAnsi="宋体" w:hint="eastAsia"/>
          <w:szCs w:val="24"/>
        </w:rPr>
        <w:t>以上</w:t>
      </w:r>
      <w:r w:rsidRPr="006021A8">
        <w:rPr>
          <w:rFonts w:hAnsi="宋体"/>
          <w:szCs w:val="24"/>
        </w:rPr>
        <w:t>(</w:t>
      </w:r>
      <w:r w:rsidRPr="006021A8">
        <w:rPr>
          <w:rFonts w:hAnsi="宋体" w:hint="eastAsia"/>
          <w:szCs w:val="24"/>
        </w:rPr>
        <w:t>含</w:t>
      </w:r>
      <w:r w:rsidRPr="006021A8">
        <w:rPr>
          <w:rFonts w:hAnsi="宋体"/>
          <w:szCs w:val="24"/>
        </w:rPr>
        <w:t>BBB)</w:t>
      </w:r>
      <w:r w:rsidRPr="006021A8">
        <w:rPr>
          <w:rFonts w:hAnsi="宋体" w:hint="eastAsia"/>
          <w:szCs w:val="24"/>
        </w:rPr>
        <w:t>的资产支持证券。基金持有资产支持证券期间，如果其信用等级下降、不再符合投资标准，应在评级报</w:t>
      </w:r>
      <w:r w:rsidRPr="006021A8">
        <w:rPr>
          <w:rFonts w:hAnsi="宋体" w:hint="eastAsia"/>
          <w:szCs w:val="24"/>
        </w:rPr>
        <w:t>告发布之日起3个月内予以全部卖出；</w:t>
      </w:r>
    </w:p>
    <w:p w:rsidP="00BE27F4" w:rsidR="00E7506B"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（17）基金财产参与股票发行申购，本基金所申报的金额不超过本基金的总资产，本基金所申报的股票数量不超过拟发行股票公司本次发行股票的总量；</w:t>
      </w:r>
    </w:p>
    <w:p w:rsidP="00BE27F4" w:rsidR="00E7506B"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（18）本基金进入全国银行间同业市场进行债券回购的资金余额不得超过基金资产净值的40%；债券回购最长期限为1年，债券回购到期后不得展期；</w:t>
      </w:r>
    </w:p>
    <w:p w:rsidP="00BE27F4" w:rsidR="00E7506B"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（19）本基金的基金资产总值不得超过基金资产净值的140%；</w:t>
      </w:r>
    </w:p>
    <w:p w:rsidP="00BE27F4" w:rsidR="00E7506B"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20）本基金主动投资于流动性受限资产的市值合计不得超过基金资产净值的15%。因证券市场波动、上市公司股票停牌、所投资基金暂停或延期办理赎回申请、基金规模变动等基金管理人之外的因素致使基金不符合本条规定比例限制的，基金管理人不得主动新增流动性受限资产的投资；</w:t>
      </w:r>
    </w:p>
    <w:p w:rsidP="00BE27F4" w:rsidR="00E7506B"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21）本基金管理人管理的全部开放式基金(包括开放式基金以及处于开放期的定期开放基金)持有一家上市公司发行的可流通股票，不得超过该上市公司可流通股票的15%；本基金基金管理人管理的全部投资组合持有一家上市公司发行的可流通股票，不得超过该上市公司可流通股票的30%；</w:t>
      </w:r>
    </w:p>
    <w:p w:rsidP="00BE27F4" w:rsidR="00E7506B"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（22）本基金与私募类证券资管产品及中国证监会认定的其他主体为交易对手开展逆回购交易的，可接受质押品的资质要求应当与基金合同约定的投资范围保持一致；</w:t>
      </w:r>
    </w:p>
    <w:p w:rsidP="00BE27F4" w:rsidR="00E7506B"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（23）本基金投资存托凭证的比例限制依照境内上市交易的股票进行，与境内上市交易的股票合并计算；</w:t>
      </w:r>
    </w:p>
    <w:p w:rsidP="00BE27F4" w:rsidR="00E7506B"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（24）法律法规及中国证监会规定的其他投资限制。</w:t>
      </w:r>
    </w:p>
    <w:p w:rsidP="00BE27F4" w:rsidR="00E7506B"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因证券市场波动、基金规模变动等基金管理人之外的因素致使基金投资不符合上述第（2）、（3）项的，基金管理人应当在20个交易日内进行调整；对于除第（2）、（3）、（9）、（16）、（20）、（22）项外的其他比例限制，因证券市场波动、证券发行人合并、基金规模变动等基金管理人之外的因素致使基金投资比例不符合上述规定投资比例的，基金管理人应当在10个交易日内进行调整，但中国证监会规定的特殊情形除外。法律法规另有规定，从其规定。</w:t>
      </w:r>
    </w:p>
    <w:p w:rsidP="00BE27F4" w:rsidR="00E7506B"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基金管理人应当自基金合同生效之日起6个月内使基金的投资组合比例符合基金合同的有关约定。在上述期间内，本基金的投资范围、投资策略应当符合基金</w:t>
      </w:r>
      <w:r w:rsidRPr="006021A8">
        <w:rPr>
          <w:rFonts w:hAnsi="宋体" w:hint="eastAsia"/>
          <w:szCs w:val="24"/>
        </w:rPr>
        <w:t>合同的约定。基金托管人对基金的投资的监督与检查自基金合同生效之日起开始。</w:t>
      </w:r>
    </w:p>
    <w:p w:rsidR="00E7506B"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法律法规或监管部门取消或变更上述限制，如适用于本基金，基金管理人在履行适当程序后，则本基金投资不再受相关限制或以变更以后的规定为准。</w:t>
      </w:r>
    </w:p>
    <w:p w:rsidR="008B0F9C"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转型后本基金投资限制：</w:t>
      </w:r>
    </w:p>
    <w:p w:rsidP="00BE27F4" w:rsidR="00EA6E5D">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（1）本基金投资于经中国证监会依法核准或注册的公开募集证券投资基金的资产比例不低于基金资产的80%，其中，股票（含存托凭证）、股票型基金、混合型基金</w:t>
      </w:r>
      <w:r w:rsidR="00655E04" w:rsidRPr="00655E04">
        <w:rPr>
          <w:rFonts w:hAnsi="宋体" w:hint="eastAsia"/>
          <w:szCs w:val="24"/>
        </w:rPr>
        <w:t>、商品基金（含商品期货基金和黄金ETF）等品种</w:t>
      </w:r>
      <w:r w:rsidRPr="006021A8">
        <w:rPr>
          <w:rFonts w:hAnsi="宋体" w:hint="eastAsia"/>
          <w:szCs w:val="24"/>
        </w:rPr>
        <w:t>合计占基金资产的比例为0-30%，投资于货币市场基金的资产占基金资产的比例不高于15%；</w:t>
      </w:r>
    </w:p>
    <w:p w:rsidP="00BE27F4" w:rsidR="00655E04" w:rsidRPr="00655E04">
      <w:pPr>
        <w:pStyle w:val="BodyTextIndent2"/>
        <w:adjustRightInd w:val="0"/>
        <w:snapToGrid w:val="0"/>
        <w:spacing w:after="0" w:before="0" w:line="520" w:lineRule="atLeast"/>
        <w:ind w:firstLine="480" w:firstLineChars="200" w:left="0"/>
        <w:rPr>
          <w:rFonts w:hAnsi="宋体"/>
          <w:szCs w:val="24"/>
        </w:rPr>
      </w:pPr>
      <w:r w:rsidRPr="00655E04">
        <w:rPr>
          <w:rFonts w:hAnsi="宋体" w:hint="eastAsia"/>
          <w:szCs w:val="24"/>
        </w:rPr>
        <w:t>（2）本基金投资于QDII基金和香港互认基金的比例不超过基金资产的20%。本基金投资于商品基金（含商品期货基金和黄金ETF）的比例不超过基金资产的10%。</w:t>
      </w:r>
    </w:p>
    <w:p w:rsidP="00BE27F4" w:rsidR="00EA6E5D"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w:t>
      </w:r>
      <w:r w:rsidR="00655E04">
        <w:rPr>
          <w:rFonts w:hAnsi="宋体"/>
          <w:szCs w:val="24"/>
        </w:rPr>
        <w:t>3</w:t>
      </w:r>
      <w:r w:rsidRPr="006021A8">
        <w:rPr>
          <w:rFonts w:hAnsi="宋体" w:hint="eastAsia"/>
          <w:szCs w:val="24"/>
        </w:rPr>
        <w:t>）本基金持有单只基金，其市值不高于本基金资产净值的20%，且不持有其他基金中基金；</w:t>
      </w:r>
    </w:p>
    <w:p w:rsidP="00BE27F4" w:rsidR="00EA6E5D"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w:t>
      </w:r>
      <w:r w:rsidR="00655E04">
        <w:rPr>
          <w:rFonts w:hAnsi="宋体"/>
          <w:szCs w:val="24"/>
        </w:rPr>
        <w:t>4</w:t>
      </w:r>
      <w:r w:rsidRPr="006021A8">
        <w:rPr>
          <w:rFonts w:hAnsi="宋体" w:hint="eastAsia"/>
          <w:szCs w:val="24"/>
        </w:rPr>
        <w:t>）本基金应当保持不低于基金资产净值5％的现金或者到期日在一年以内的政府债券；其中，现金不包括结算备付金、存出保证金、应收申购款等；</w:t>
      </w:r>
    </w:p>
    <w:p w:rsidP="00BE27F4" w:rsidR="00EA6E5D"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w:t>
      </w:r>
      <w:r w:rsidR="00655E04">
        <w:rPr>
          <w:rFonts w:hAnsi="宋体"/>
          <w:szCs w:val="24"/>
        </w:rPr>
        <w:t>5</w:t>
      </w:r>
      <w:r w:rsidRPr="006021A8">
        <w:rPr>
          <w:rFonts w:hAnsi="宋体" w:hint="eastAsia"/>
          <w:szCs w:val="24"/>
        </w:rPr>
        <w:t>）本基金基金管理人管理的全部基金（ETF联接基金除外）持有单只证券投资基金的比例不超过该被投资证券投资基金净资产的20%，被投资证券投资基金净资产规模以最近定期报告披露的规模为准；</w:t>
      </w:r>
    </w:p>
    <w:p w:rsidP="00BE27F4" w:rsidR="00EA6E5D"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w:t>
      </w:r>
      <w:r w:rsidR="00655E04">
        <w:rPr>
          <w:rFonts w:hAnsi="宋体"/>
          <w:szCs w:val="24"/>
        </w:rPr>
        <w:t>6</w:t>
      </w:r>
      <w:r w:rsidRPr="006021A8">
        <w:rPr>
          <w:rFonts w:hAnsi="宋体" w:hint="eastAsia"/>
          <w:szCs w:val="24"/>
        </w:rPr>
        <w:t>）本基金不得持有具有复杂、衍生品性质的基金份额，包括分级基金和中国证监会认定的其他基金份额；</w:t>
      </w:r>
    </w:p>
    <w:p w:rsidP="00BE27F4" w:rsidR="00EA6E5D"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w:t>
      </w:r>
      <w:r w:rsidR="00655E04">
        <w:rPr>
          <w:rFonts w:hAnsi="宋体"/>
          <w:szCs w:val="24"/>
        </w:rPr>
        <w:t>7</w:t>
      </w:r>
      <w:r w:rsidRPr="006021A8">
        <w:rPr>
          <w:rFonts w:hAnsi="宋体" w:hint="eastAsia"/>
          <w:szCs w:val="24"/>
        </w:rPr>
        <w:t>）本基金持有一家公司发行的证券（不含证券投资基金），其市值不超过基金资产净值的10％；</w:t>
      </w:r>
    </w:p>
    <w:p w:rsidP="00BE27F4" w:rsidR="00EA6E5D"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w:t>
      </w:r>
      <w:r w:rsidR="00655E04">
        <w:rPr>
          <w:rFonts w:hAnsi="宋体"/>
          <w:szCs w:val="24"/>
        </w:rPr>
        <w:t>8</w:t>
      </w:r>
      <w:r w:rsidRPr="006021A8">
        <w:rPr>
          <w:rFonts w:hAnsi="宋体" w:hint="eastAsia"/>
          <w:szCs w:val="24"/>
        </w:rPr>
        <w:t>）本基金基金管理人管理的全部基金持有一家公司发行的证券（不含证券投资基金），不超过该证券的10％；</w:t>
      </w:r>
    </w:p>
    <w:p w:rsidP="00BE27F4" w:rsidR="00EA6E5D"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w:t>
      </w:r>
      <w:r w:rsidR="00655E04">
        <w:rPr>
          <w:rFonts w:hAnsi="宋体"/>
          <w:szCs w:val="24"/>
        </w:rPr>
        <w:t>9</w:t>
      </w:r>
      <w:r w:rsidRPr="006021A8">
        <w:rPr>
          <w:rFonts w:hAnsi="宋体" w:hint="eastAsia"/>
          <w:szCs w:val="24"/>
        </w:rPr>
        <w:t>）本基金投资于同一原始权益人的各类资产支持证券的比例，不得超过基金资产净值的10％；</w:t>
      </w:r>
    </w:p>
    <w:p w:rsidP="00BE27F4" w:rsidR="00EA6E5D"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w:t>
      </w:r>
      <w:r w:rsidR="00655E04">
        <w:rPr>
          <w:rFonts w:hAnsi="宋体"/>
          <w:szCs w:val="24"/>
        </w:rPr>
        <w:t>10</w:t>
      </w:r>
      <w:r w:rsidRPr="006021A8">
        <w:rPr>
          <w:rFonts w:hAnsi="宋体" w:hint="eastAsia"/>
          <w:szCs w:val="24"/>
        </w:rPr>
        <w:t>）本基金持有的全部资产支持证券，其市值不得超过基金资产净值的20％；</w:t>
      </w:r>
    </w:p>
    <w:p w:rsidP="00BE27F4" w:rsidR="00EA6E5D"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w:t>
      </w:r>
      <w:r w:rsidR="00655E04" w:rsidRPr="006021A8">
        <w:rPr>
          <w:rFonts w:hAnsi="宋体" w:hint="eastAsia"/>
          <w:szCs w:val="24"/>
        </w:rPr>
        <w:t>1</w:t>
      </w:r>
      <w:r w:rsidR="00655E04">
        <w:rPr>
          <w:rFonts w:hAnsi="宋体"/>
          <w:szCs w:val="24"/>
        </w:rPr>
        <w:t>1</w:t>
      </w:r>
      <w:r w:rsidRPr="006021A8">
        <w:rPr>
          <w:rFonts w:hAnsi="宋体" w:hint="eastAsia"/>
          <w:szCs w:val="24"/>
        </w:rPr>
        <w:t>）本基金持有的同一(指同一信用级别)资产支持证券的比例，不得超过该资产支持证券规模的10％；</w:t>
      </w:r>
    </w:p>
    <w:p w:rsidP="00BE27F4" w:rsidR="00EA6E5D"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w:t>
      </w:r>
      <w:r w:rsidR="00655E04" w:rsidRPr="006021A8">
        <w:rPr>
          <w:rFonts w:hAnsi="宋体" w:hint="eastAsia"/>
          <w:szCs w:val="24"/>
        </w:rPr>
        <w:t>1</w:t>
      </w:r>
      <w:r w:rsidR="00655E04">
        <w:rPr>
          <w:rFonts w:hAnsi="宋体"/>
          <w:szCs w:val="24"/>
        </w:rPr>
        <w:t>2</w:t>
      </w:r>
      <w:r w:rsidRPr="006021A8">
        <w:rPr>
          <w:rFonts w:hAnsi="宋体" w:hint="eastAsia"/>
          <w:szCs w:val="24"/>
        </w:rPr>
        <w:t>）本基金管理人管理的全部基金投资于同一原始权益人的各类资产支持证券，不得超过其各类资产支持证券合计规模的10％；</w:t>
      </w:r>
    </w:p>
    <w:p w:rsidP="00BE27F4" w:rsidR="00EA6E5D"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w:t>
      </w:r>
      <w:r w:rsidR="00655E04" w:rsidRPr="006021A8">
        <w:rPr>
          <w:rFonts w:hAnsi="宋体" w:hint="eastAsia"/>
          <w:szCs w:val="24"/>
        </w:rPr>
        <w:t>1</w:t>
      </w:r>
      <w:r w:rsidR="00655E04">
        <w:rPr>
          <w:rFonts w:hAnsi="宋体"/>
          <w:szCs w:val="24"/>
        </w:rPr>
        <w:t>3</w:t>
      </w:r>
      <w:r w:rsidRPr="006021A8">
        <w:rPr>
          <w:rFonts w:hAnsi="宋体" w:hint="eastAsia"/>
          <w:szCs w:val="24"/>
        </w:rPr>
        <w:t>）本基金应投资于信用级别评级为</w:t>
      </w:r>
      <w:r w:rsidRPr="006021A8">
        <w:rPr>
          <w:rFonts w:hAnsi="宋体"/>
          <w:szCs w:val="24"/>
        </w:rPr>
        <w:t>BBB</w:t>
      </w:r>
      <w:r w:rsidRPr="006021A8">
        <w:rPr>
          <w:rFonts w:hAnsi="宋体" w:hint="eastAsia"/>
          <w:szCs w:val="24"/>
        </w:rPr>
        <w:t>以上</w:t>
      </w:r>
      <w:r w:rsidRPr="006021A8">
        <w:rPr>
          <w:rFonts w:hAnsi="宋体"/>
          <w:szCs w:val="24"/>
        </w:rPr>
        <w:t>(</w:t>
      </w:r>
      <w:r w:rsidRPr="006021A8">
        <w:rPr>
          <w:rFonts w:hAnsi="宋体" w:hint="eastAsia"/>
          <w:szCs w:val="24"/>
        </w:rPr>
        <w:t>含</w:t>
      </w:r>
      <w:r w:rsidRPr="006021A8">
        <w:rPr>
          <w:rFonts w:hAnsi="宋体"/>
          <w:szCs w:val="24"/>
        </w:rPr>
        <w:t>BBB)</w:t>
      </w:r>
      <w:r w:rsidRPr="006021A8">
        <w:rPr>
          <w:rFonts w:hAnsi="宋体" w:hint="eastAsia"/>
          <w:szCs w:val="24"/>
        </w:rPr>
        <w:t>的资产支持证券。基金持有资产支持证券期间，如果其信用等级下降、不再符合投资标准，应在评级报告发布之日起3个月内予以全部卖出；</w:t>
      </w:r>
    </w:p>
    <w:p w:rsidP="00BE27F4" w:rsidR="00EA6E5D"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w:t>
      </w:r>
      <w:r w:rsidR="00655E04" w:rsidRPr="006021A8">
        <w:rPr>
          <w:rFonts w:hAnsi="宋体" w:hint="eastAsia"/>
          <w:szCs w:val="24"/>
        </w:rPr>
        <w:t>1</w:t>
      </w:r>
      <w:r w:rsidR="00655E04">
        <w:rPr>
          <w:rFonts w:hAnsi="宋体"/>
          <w:szCs w:val="24"/>
        </w:rPr>
        <w:t>4</w:t>
      </w:r>
      <w:r w:rsidRPr="006021A8">
        <w:rPr>
          <w:rFonts w:hAnsi="宋体" w:hint="eastAsia"/>
          <w:szCs w:val="24"/>
        </w:rPr>
        <w:t>）基金财产参与股票发行申购，本基金所申报的金额不超过本基金的总资产，本基金所申报的股票数量不超过拟发行股票公司本次发行股票的总量；</w:t>
      </w:r>
    </w:p>
    <w:p w:rsidP="00BE27F4" w:rsidR="00EA6E5D"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w:t>
      </w:r>
      <w:r w:rsidR="00655E04" w:rsidRPr="006021A8">
        <w:rPr>
          <w:rFonts w:hAnsi="宋体" w:hint="eastAsia"/>
          <w:szCs w:val="24"/>
        </w:rPr>
        <w:t>1</w:t>
      </w:r>
      <w:r w:rsidR="00655E04">
        <w:rPr>
          <w:rFonts w:hAnsi="宋体"/>
          <w:szCs w:val="24"/>
        </w:rPr>
        <w:t>5</w:t>
      </w:r>
      <w:r w:rsidRPr="006021A8">
        <w:rPr>
          <w:rFonts w:hAnsi="宋体" w:hint="eastAsia"/>
          <w:szCs w:val="24"/>
        </w:rPr>
        <w:t>）本基金进入全国银行间同业市场进行债券回购的资金余额不得超过基金资产净值的40%；债券回购最长期限为1年，债券回购到期后不得展期；</w:t>
      </w:r>
    </w:p>
    <w:p w:rsidP="00BE27F4" w:rsidR="00EA6E5D"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w:t>
      </w:r>
      <w:r w:rsidR="00655E04" w:rsidRPr="006021A8">
        <w:rPr>
          <w:rFonts w:hAnsi="宋体" w:hint="eastAsia"/>
          <w:szCs w:val="24"/>
        </w:rPr>
        <w:t>1</w:t>
      </w:r>
      <w:r w:rsidR="00655E04">
        <w:rPr>
          <w:rFonts w:hAnsi="宋体"/>
          <w:szCs w:val="24"/>
        </w:rPr>
        <w:t>6</w:t>
      </w:r>
      <w:r w:rsidRPr="006021A8">
        <w:rPr>
          <w:rFonts w:hAnsi="宋体" w:hint="eastAsia"/>
          <w:szCs w:val="24"/>
        </w:rPr>
        <w:t>）本基金投资的基金的运作期限应当不少于1年，最近定期报告披露的基金净资产应当不低于1亿元；</w:t>
      </w:r>
    </w:p>
    <w:p w:rsidP="00BE27F4" w:rsidR="00EA6E5D"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w:t>
      </w:r>
      <w:r w:rsidR="00655E04" w:rsidRPr="006021A8">
        <w:rPr>
          <w:rFonts w:hAnsi="宋体" w:hint="eastAsia"/>
          <w:szCs w:val="24"/>
        </w:rPr>
        <w:t>1</w:t>
      </w:r>
      <w:r w:rsidR="00655E04">
        <w:rPr>
          <w:rFonts w:hAnsi="宋体"/>
          <w:szCs w:val="24"/>
        </w:rPr>
        <w:t>7</w:t>
      </w:r>
      <w:r w:rsidRPr="006021A8">
        <w:rPr>
          <w:rFonts w:hAnsi="宋体" w:hint="eastAsia"/>
          <w:szCs w:val="24"/>
        </w:rPr>
        <w:t>）本基金投资于封闭运作基金、定期开放基金等流通受限基金的比例不超过本基金资产净值的10%；</w:t>
      </w:r>
      <w:r w:rsidR="00715D05" w:rsidRPr="006021A8">
        <w:rPr>
          <w:rFonts w:hAnsi="宋体" w:hint="eastAsia"/>
          <w:szCs w:val="24"/>
        </w:rPr>
        <w:t>流通受限基金是指封闭运作基金、定期开放基金等由基金合同规定明确在一定期限锁定期内不可赎回的基金，但不包括ETF、LOF等可上市交易的基金。</w:t>
      </w:r>
    </w:p>
    <w:p w:rsidP="00BE27F4" w:rsidR="00EA6E5D"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w:t>
      </w:r>
      <w:r w:rsidR="00655E04" w:rsidRPr="006021A8">
        <w:rPr>
          <w:rFonts w:hAnsi="宋体" w:hint="eastAsia"/>
          <w:szCs w:val="24"/>
        </w:rPr>
        <w:t>1</w:t>
      </w:r>
      <w:r w:rsidR="00655E04">
        <w:rPr>
          <w:rFonts w:hAnsi="宋体"/>
          <w:szCs w:val="24"/>
        </w:rPr>
        <w:t>8</w:t>
      </w:r>
      <w:r w:rsidRPr="006021A8">
        <w:rPr>
          <w:rFonts w:hAnsi="宋体" w:hint="eastAsia"/>
          <w:szCs w:val="24"/>
        </w:rPr>
        <w:t>）本基金的基金资产总值不得超过基金资产净值的140%；</w:t>
      </w:r>
    </w:p>
    <w:p w:rsidP="00BE27F4" w:rsidR="00EA6E5D"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w:t>
      </w:r>
      <w:r w:rsidR="00655E04" w:rsidRPr="006021A8">
        <w:rPr>
          <w:rFonts w:hAnsi="宋体" w:hint="eastAsia"/>
          <w:szCs w:val="24"/>
        </w:rPr>
        <w:t>1</w:t>
      </w:r>
      <w:r w:rsidR="00655E04">
        <w:rPr>
          <w:rFonts w:hAnsi="宋体"/>
          <w:szCs w:val="24"/>
        </w:rPr>
        <w:t>9</w:t>
      </w:r>
      <w:r w:rsidRPr="006021A8">
        <w:rPr>
          <w:rFonts w:hAnsi="宋体" w:hint="eastAsia"/>
          <w:szCs w:val="24"/>
        </w:rPr>
        <w:t>）本基金主动投资于流动性受限资产的市值合计不得超过基金资产净值的15%。因证券市场波动、上市公司股票停牌、所投资基金暂停或延期办理赎回申请、基金规模变动等基金管理人之外的因素致使基金不符合本条规定比例限制的，基金管理人不得主动新增流动性受限资产的投资；</w:t>
      </w:r>
    </w:p>
    <w:p w:rsidP="00BE27F4" w:rsidR="00EA6E5D"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w:t>
      </w:r>
      <w:r w:rsidR="00655E04">
        <w:rPr>
          <w:rFonts w:hAnsi="宋体"/>
          <w:szCs w:val="24"/>
        </w:rPr>
        <w:t>20</w:t>
      </w:r>
      <w:r w:rsidRPr="006021A8">
        <w:rPr>
          <w:rFonts w:hAnsi="宋体" w:hint="eastAsia"/>
          <w:szCs w:val="24"/>
        </w:rPr>
        <w:t>）本基金管理人管理的全部开放式基金(包括开放式基金以及处于开放期的定期开放基金)持有一家上市公司发行的可流通股票，不得超过该上市公司可流通股票的15%；本基金基金管理人管理的全部投资组合持有一家上市公司发行的可流通股票，不得超过该上市公司可流通股票的30%；</w:t>
      </w:r>
    </w:p>
    <w:p w:rsidP="00BE27F4" w:rsidR="00EA6E5D"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w:t>
      </w:r>
      <w:r w:rsidR="00655E04" w:rsidRPr="006021A8">
        <w:rPr>
          <w:rFonts w:hAnsi="宋体" w:hint="eastAsia"/>
          <w:szCs w:val="24"/>
        </w:rPr>
        <w:t>2</w:t>
      </w:r>
      <w:r w:rsidR="00655E04">
        <w:rPr>
          <w:rFonts w:hAnsi="宋体"/>
          <w:szCs w:val="24"/>
        </w:rPr>
        <w:t>1</w:t>
      </w:r>
      <w:r w:rsidRPr="006021A8">
        <w:rPr>
          <w:rFonts w:hAnsi="宋体" w:hint="eastAsia"/>
          <w:szCs w:val="24"/>
        </w:rPr>
        <w:t>）本基金与私募类证券资管产品及中国证监会认定的其他主体为交易对手开展逆回购交易的，可接受质押品的资质要求应当与基金合同约定的投资范围保持一致；</w:t>
      </w:r>
    </w:p>
    <w:p w:rsidP="00BE27F4" w:rsidR="00EA6E5D"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w:t>
      </w:r>
      <w:r w:rsidR="00655E04" w:rsidRPr="006021A8">
        <w:rPr>
          <w:rFonts w:hAnsi="宋体" w:hint="eastAsia"/>
          <w:szCs w:val="24"/>
        </w:rPr>
        <w:t>2</w:t>
      </w:r>
      <w:r w:rsidR="00655E04">
        <w:rPr>
          <w:rFonts w:hAnsi="宋体"/>
          <w:szCs w:val="24"/>
        </w:rPr>
        <w:t>2</w:t>
      </w:r>
      <w:r w:rsidRPr="006021A8">
        <w:rPr>
          <w:rFonts w:hAnsi="宋体" w:hint="eastAsia"/>
          <w:szCs w:val="24"/>
        </w:rPr>
        <w:t>）本基金投资存托凭证的比例限制依照境内上市交易的股票进行，与境内</w:t>
      </w:r>
      <w:r w:rsidRPr="006021A8">
        <w:rPr>
          <w:rFonts w:hAnsi="宋体" w:hint="eastAsia"/>
          <w:szCs w:val="24"/>
        </w:rPr>
        <w:t>上市交易的股票合并计算；</w:t>
      </w:r>
    </w:p>
    <w:p w:rsidP="00BE27F4" w:rsidR="00EA6E5D"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w:t>
      </w:r>
      <w:r w:rsidR="00655E04" w:rsidRPr="006021A8">
        <w:rPr>
          <w:rFonts w:hAnsi="宋体" w:hint="eastAsia"/>
          <w:szCs w:val="24"/>
        </w:rPr>
        <w:t>2</w:t>
      </w:r>
      <w:r w:rsidR="00655E04">
        <w:rPr>
          <w:rFonts w:hAnsi="宋体"/>
          <w:szCs w:val="24"/>
        </w:rPr>
        <w:t>3</w:t>
      </w:r>
      <w:r w:rsidRPr="006021A8">
        <w:rPr>
          <w:rFonts w:hAnsi="宋体" w:hint="eastAsia"/>
          <w:szCs w:val="24"/>
        </w:rPr>
        <w:t>）法律法规及中国证监会规定的其他投资限制。</w:t>
      </w:r>
    </w:p>
    <w:p w:rsidP="00BE27F4" w:rsidR="00EA6E5D"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因证券市场波动、基金规模变动等基金管理人之外的因素致使基金投资不符合上述第（</w:t>
      </w:r>
      <w:r w:rsidR="00655E04">
        <w:rPr>
          <w:rFonts w:hAnsi="宋体"/>
          <w:szCs w:val="24"/>
        </w:rPr>
        <w:t>3</w:t>
      </w:r>
      <w:r w:rsidRPr="006021A8">
        <w:rPr>
          <w:rFonts w:hAnsi="宋体" w:hint="eastAsia"/>
          <w:szCs w:val="24"/>
        </w:rPr>
        <w:t>）、（</w:t>
      </w:r>
      <w:r w:rsidR="00655E04">
        <w:rPr>
          <w:rFonts w:hAnsi="宋体"/>
          <w:szCs w:val="24"/>
        </w:rPr>
        <w:t>5</w:t>
      </w:r>
      <w:r w:rsidRPr="006021A8">
        <w:rPr>
          <w:rFonts w:hAnsi="宋体" w:hint="eastAsia"/>
          <w:szCs w:val="24"/>
        </w:rPr>
        <w:t>）项的，基金管理人应当在20个交易日内进行调整；对于除第（</w:t>
      </w:r>
      <w:r w:rsidR="00655E04">
        <w:rPr>
          <w:rFonts w:hAnsi="宋体"/>
          <w:szCs w:val="24"/>
        </w:rPr>
        <w:t>3</w:t>
      </w:r>
      <w:r w:rsidRPr="006021A8">
        <w:rPr>
          <w:rFonts w:hAnsi="宋体" w:hint="eastAsia"/>
          <w:szCs w:val="24"/>
        </w:rPr>
        <w:t>）、（</w:t>
      </w:r>
      <w:r w:rsidR="00655E04">
        <w:rPr>
          <w:rFonts w:hAnsi="宋体"/>
          <w:szCs w:val="24"/>
        </w:rPr>
        <w:t>4</w:t>
      </w:r>
      <w:r w:rsidRPr="006021A8">
        <w:rPr>
          <w:rFonts w:hAnsi="宋体" w:hint="eastAsia"/>
          <w:szCs w:val="24"/>
        </w:rPr>
        <w:t>）、（</w:t>
      </w:r>
      <w:r w:rsidR="00655E04">
        <w:rPr>
          <w:rFonts w:hAnsi="宋体"/>
          <w:szCs w:val="24"/>
        </w:rPr>
        <w:t>5</w:t>
      </w:r>
      <w:r w:rsidRPr="006021A8">
        <w:rPr>
          <w:rFonts w:hAnsi="宋体" w:hint="eastAsia"/>
          <w:szCs w:val="24"/>
        </w:rPr>
        <w:t>）、（</w:t>
      </w:r>
      <w:r w:rsidR="00655E04" w:rsidRPr="006021A8">
        <w:rPr>
          <w:rFonts w:hAnsi="宋体" w:hint="eastAsia"/>
          <w:szCs w:val="24"/>
        </w:rPr>
        <w:t>1</w:t>
      </w:r>
      <w:r w:rsidR="00655E04">
        <w:rPr>
          <w:rFonts w:hAnsi="宋体"/>
          <w:szCs w:val="24"/>
        </w:rPr>
        <w:t>3</w:t>
      </w:r>
      <w:r w:rsidRPr="006021A8">
        <w:rPr>
          <w:rFonts w:hAnsi="宋体" w:hint="eastAsia"/>
          <w:szCs w:val="24"/>
        </w:rPr>
        <w:t>）、（</w:t>
      </w:r>
      <w:r w:rsidR="00655E04" w:rsidRPr="006021A8">
        <w:rPr>
          <w:rFonts w:hAnsi="宋体" w:hint="eastAsia"/>
          <w:szCs w:val="24"/>
        </w:rPr>
        <w:t>1</w:t>
      </w:r>
      <w:r w:rsidR="00655E04">
        <w:rPr>
          <w:rFonts w:hAnsi="宋体"/>
          <w:szCs w:val="24"/>
        </w:rPr>
        <w:t>9</w:t>
      </w:r>
      <w:r w:rsidRPr="006021A8">
        <w:rPr>
          <w:rFonts w:hAnsi="宋体" w:hint="eastAsia"/>
          <w:szCs w:val="24"/>
        </w:rPr>
        <w:t>）、（</w:t>
      </w:r>
      <w:r w:rsidR="00655E04" w:rsidRPr="006021A8">
        <w:rPr>
          <w:rFonts w:hAnsi="宋体" w:hint="eastAsia"/>
          <w:szCs w:val="24"/>
        </w:rPr>
        <w:t>2</w:t>
      </w:r>
      <w:r w:rsidR="00655E04">
        <w:rPr>
          <w:rFonts w:hAnsi="宋体"/>
          <w:szCs w:val="24"/>
        </w:rPr>
        <w:t>1</w:t>
      </w:r>
      <w:r w:rsidRPr="006021A8">
        <w:rPr>
          <w:rFonts w:hAnsi="宋体" w:hint="eastAsia"/>
          <w:szCs w:val="24"/>
        </w:rPr>
        <w:t>）项外的其他比例限制，因证券市场波动、证券发行人合并、基金规模变动等基金管理人之外的因素致使基金投资比例不符合上述规定投资比例的，基金管理人应当在10个交易日内进行调整，但中国证监会规定的特殊情形除外。法律法规另有规定，从其规定。</w:t>
      </w:r>
    </w:p>
    <w:p w:rsidP="00BE27F4" w:rsidR="00EA6E5D"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基金管理人应当自基金合同转型之日起6个月内使基金的投资组合比例符合基金合同的有关约定。在上述期间内，本基金的投资范围、投资策略应当符合基金合同的约定。基金托管人对基金转型后的投资的监督与检查自基金合同转型之日起开始。</w:t>
      </w:r>
    </w:p>
    <w:p w:rsidP="00B82D8E" w:rsidR="00B82D8E"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法律法规或监管部门取消或变更上述限制，如适用于本基金，基金管理人在履行适当程序后，则本基金投资不再受相关限制或以变更以后的规定为准。</w:t>
      </w:r>
    </w:p>
    <w:p w:rsidP="00BE27F4" w:rsidR="00B82D8E"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rsidP="00BE27F4" w:rsidR="00B82D8E"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基金托管人依照相关法律法规的规定和基金合同的约定，对侧袋机制启用、特定资产处置和信息披露等方面进行复核和监督。侧袋机制实施期间的具体规则依照相关法律法规的规定和基金合同的约定执行。</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3.1.3基金托管人根据有关法律法规的规定及基金合同的约定对下述基金投资禁止行为进行监督：</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根据法律法规的规定及基金合同的约定，本基金禁止从事下列行为：</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（1）承销证券；</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（2）违反规定向他人贷款或者提供担保；</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（3）从事承担无限责任的投资；</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w:t>
      </w:r>
      <w:r w:rsidRPr="006021A8">
        <w:rPr>
          <w:rFonts w:hAnsi="宋体"/>
          <w:szCs w:val="24"/>
        </w:rPr>
        <w:t>4</w:t>
      </w:r>
      <w:r w:rsidRPr="006021A8">
        <w:rPr>
          <w:rFonts w:hAnsi="宋体" w:hint="eastAsia"/>
          <w:szCs w:val="24"/>
        </w:rPr>
        <w:t>）向其基金管理人、基金托管人出资；</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w:t>
      </w:r>
      <w:r w:rsidRPr="006021A8">
        <w:rPr>
          <w:rFonts w:hAnsi="宋体"/>
          <w:szCs w:val="24"/>
        </w:rPr>
        <w:t>5</w:t>
      </w:r>
      <w:r w:rsidRPr="006021A8">
        <w:rPr>
          <w:rFonts w:hAnsi="宋体" w:hint="eastAsia"/>
          <w:szCs w:val="24"/>
        </w:rPr>
        <w:t>）从事内幕交易、操纵证券交易价格及其他不正当的证券交易活动；</w:t>
      </w:r>
    </w:p>
    <w:p w:rsidP="007C3A73" w:rsidR="007C3A73"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（6）持有具有复杂、衍生品性质的基金份额，包括分级基金和中国证监会认定的其他基金份额，但中国证监会认可或批准的特殊基金中基金除外；</w:t>
      </w:r>
    </w:p>
    <w:p w:rsidP="007C3A73" w:rsidR="003426D0"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（7）投资其他基金中基金；</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w:t>
      </w:r>
      <w:r w:rsidRPr="006021A8">
        <w:rPr>
          <w:rFonts w:hAnsi="宋体"/>
          <w:szCs w:val="24"/>
        </w:rPr>
        <w:t>8</w:t>
      </w:r>
      <w:r w:rsidRPr="006021A8">
        <w:rPr>
          <w:rFonts w:hAnsi="宋体" w:hint="eastAsia"/>
          <w:szCs w:val="24"/>
        </w:rPr>
        <w:t>）法律、行政法规和中国证监会规定禁止的其他活动。</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法律、行政法规或监管部门取消或调整上述禁止行为规定，本基金可不受相关限制或以变更后的规定为准。</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3.1.4基金托管人依据有关法律法规的规定和基金合同的约定对于基金关联投资限制进行监督：</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根据法律法规有关从事关联交易的规定，基金管理人和基金托管人应事先相互提供与本机构有控股关系的股东或与本机构有其他重大利害关系的公司名单及其更新，加盖公章并相互书面提交，并确保所提供名单的真实性、完整性、全面性。名单变更后基金管理人应及时发送基金托管人，基金托管人于2个工作日内进行回函确认已知名单的变更。名单变更时间以基金管理人收到基金托管人回函确认的时间为准。如果基金托管人在运作中严格遵循了监督流程，基金管理人仍违规进行交易，并造成基金资产损失的，由基金管理人承担责任，基金托管人不承担任何损失和责任。</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3.1.5基金托管人依据有关法律法规的规定和基金合同的约定对基金管理人参与银行间债券市场进行监督：</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（1）基金托管人对于基金管理人参与银行间债券市场交易时是否按交易对手名单进行</w:t>
      </w:r>
      <w:r w:rsidRPr="006021A8">
        <w:rPr>
          <w:rFonts w:hAnsi="宋体"/>
          <w:szCs w:val="24"/>
        </w:rPr>
        <w:t>交易</w:t>
      </w:r>
      <w:r w:rsidRPr="006021A8">
        <w:rPr>
          <w:rFonts w:hAnsi="宋体" w:hint="eastAsia"/>
          <w:szCs w:val="24"/>
        </w:rPr>
        <w:t>进行监督。</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托管人向基金管理人发出回函之后，名单开始生效。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托管人发出回函之后，被确认调整的名单开始生效，新名单生效前已与本次剔除的交易对手所进行但尚未结算的交易，仍应按照双方原定协议进行结算。</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（2）基金托管人对于基金管理人参与银行间债券市场交易的交易方式的控制</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（3）基金管理人有责任控制交易对手的资信风险。</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基金管理人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3.1.6基金托管人对基金投资流通受限证券的监督：</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基金管理人应至少于首次执行投资指令之前2个工作日将上述资料书面发至基金托管人，保证基金托管人有足够的时间进行审核。基金托管人应在收到上述资料后2个工作日内，以书面或其他双方认可的方式确认收到上述资料。</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4）基金托管人应对基金管理人是否遵守法律法规、投资决策流程、风险控制制度情况进行监督，并审核基金管理人提供的有关书面信息。基金托管人认为上述资料不符合法律法规、投资决策流程、风险控制制度的，有权要求基金管理人在投资流通受限证券前就以上事项进行</w:t>
      </w:r>
      <w:r w:rsidRPr="006021A8">
        <w:rPr>
          <w:rFonts w:hAnsi="宋体"/>
          <w:szCs w:val="24"/>
        </w:rPr>
        <w:t>调整</w:t>
      </w:r>
      <w:r w:rsidRPr="006021A8">
        <w:rPr>
          <w:rFonts w:hAnsi="宋体" w:hint="eastAsia"/>
          <w:szCs w:val="24"/>
        </w:rPr>
        <w:t>，否则，基金托管人有权拒绝执行有关指令。因拒绝执行该指令造成基金财产损失的，基金托管人不承担任何责任，并有权报告中国证监会。</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相应责任。</w:t>
      </w:r>
    </w:p>
    <w:p w:rsidR="003C12F1" w:rsidRPr="006021A8">
      <w:pPr>
        <w:pStyle w:val="BodyTextIndent2"/>
        <w:adjustRightInd w:val="0"/>
        <w:snapToGrid w:val="0"/>
        <w:spacing w:after="0" w:before="0" w:line="520" w:lineRule="atLeast"/>
        <w:rPr>
          <w:rFonts w:hAnsi="宋体"/>
          <w:szCs w:val="24"/>
        </w:rPr>
      </w:pPr>
      <w:r w:rsidRPr="006021A8">
        <w:rPr>
          <w:rFonts w:hAnsi="宋体" w:hint="eastAsia"/>
          <w:szCs w:val="24"/>
        </w:rPr>
        <w:t>3.1.7基金托管人对基金投资中期票据的监督：</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（2）如未来有关监管部门发布的法律法规对证券投资基金投资中期票据另有规定的，从其规定。</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（3）基金托管人有权监督基金管理人在相关基金投资中期票据时的法律法规</w:t>
      </w:r>
      <w:r w:rsidRPr="006021A8">
        <w:rPr>
          <w:rFonts w:hAnsi="宋体" w:hint="eastAsia"/>
          <w:szCs w:val="24"/>
        </w:rPr>
        <w:t>遵守情况，有关制度、信用风险、流动性风险处置预案的完善情况，有关额度、比例限制的执行情况。基金托管人发现基金管理人的上述事项违反法律法规的规定和基金合同以及本协议的约定，应及时以书面形式通知基金管理人限期纠正。基金管理人应积极配合和协助基金托管人的监督和核查。基金管理人应按本协议要求向基金托管人及时发出回函，并及时改正。基金托管人有权随时对所通知事项进行复查,督促基金管理人改正。如果基金管理人违规事项未能在限期内纠正的，基金托管人应报告中国证监会。基金托管人不承担由此造成的任何损失和责任。</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3.1.</w:t>
      </w:r>
      <w:r w:rsidRPr="006021A8">
        <w:rPr>
          <w:rFonts w:hAnsi="宋体"/>
          <w:szCs w:val="24"/>
        </w:rPr>
        <w:t>8</w:t>
      </w:r>
      <w:r w:rsidRPr="006021A8">
        <w:rPr>
          <w:rFonts w:hAnsi="宋体" w:hint="eastAsia"/>
          <w:szCs w:val="24"/>
        </w:rPr>
        <w:t>基金托管人根据有关法律法规的规定及基金合同的约定，对基金管理人选择存款银行进行监督：</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本基金投资银行存款应符合如下规定：</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（1）基金管理人、基金托管人应当与存款银行建立定期对账机制，确保基金银行存款业务账目及核算的真实、准确。</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（3）基金托管人应对基金银行存款业务进行监督与核查，审查、复核相关协议、账户资料、投资指令、存款证实书等有关文件，履行托管职责。</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（4）基金管理人与基金托管人在开展基金存款业务时，应严格遵守《基金法》、《运作办法》等有关法律法规，以及国家有关账户管理、利率管理、支付结算等的各项规定。</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3.2基金托管人对基金管理人业务进行监督和核查的有关措施：</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3.2.1基金托管人应根据有关法律法规的规定及基金合同的约定，对基金资产净值计算、基金份额净值计算、应收资金到账、基金费用开支及收入确定、基金收</w:t>
      </w:r>
      <w:r w:rsidRPr="006021A8">
        <w:rPr>
          <w:rFonts w:hAnsi="宋体" w:hint="eastAsia"/>
          <w:szCs w:val="24"/>
        </w:rPr>
        <w:t>益分配、相关信息披露、基金宣传推介材料中登载基金业绩表现数据等进行监督和核查。</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3.2.2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3.2.3在限期内，基金托管人有权随时对通知事项进行复查，督促基金管理人改正。基金管理人对基金托管人通知的违规事项未能在限期内纠正的，基金托管人应报告中国证监会。</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3.2.4基金托管人发现基金管理人的投资指令违</w:t>
      </w:r>
      <w:r w:rsidR="00CC2255" w:rsidRPr="006021A8">
        <w:rPr>
          <w:rFonts w:hAnsi="宋体" w:hint="eastAsia"/>
          <w:szCs w:val="24"/>
        </w:rPr>
        <w:t>反</w:t>
      </w:r>
      <w:r w:rsidRPr="006021A8">
        <w:rPr>
          <w:rFonts w:hAnsi="宋体" w:hint="eastAsia"/>
          <w:szCs w:val="24"/>
        </w:rPr>
        <w:t>有关法律法规或者违反基金合同约定的，应当拒绝执行，立即通知基金管理人，并及时向中国证监会报告，持续跟进基金管理人的后续处理，督促基金管理人依法履行披露义务。基金管理人的上述违规失信行为给基金财产或者基金份额持有人造成损害的，基金托管人应当督促基金管理人及时予以赔偿。若给基金托管人造成损失，基金托管人有权向基金管理人追偿由此造成的全部损失。</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3.2.5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3.2.6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3.2.7基金托管人发现基金管理人有重大违规行为，应立即报告中国证监会，同时通知基金管理人限期纠正。</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szCs w:val="24"/>
        </w:rPr>
        <w:t>3.2.9</w:t>
      </w:r>
      <w:r w:rsidRPr="006021A8">
        <w:rPr>
          <w:rFonts w:hAnsi="宋体" w:hint="eastAsia"/>
          <w:szCs w:val="24"/>
        </w:rPr>
        <w:t>基金托管人对资金来源、投资收益及投资安全不承担审核责任，特别是</w:t>
      </w:r>
      <w:r w:rsidRPr="006021A8">
        <w:rPr>
          <w:rFonts w:hAnsi="宋体" w:hint="eastAsia"/>
          <w:szCs w:val="24"/>
        </w:rPr>
        <w:t>对于本基金所投标的的后续资金使用情况无审核责任，不保证托管财产投资不受损失，不保证最低收益。</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3.2.</w:t>
      </w:r>
      <w:r w:rsidRPr="006021A8">
        <w:rPr>
          <w:rFonts w:hAnsi="宋体"/>
          <w:szCs w:val="24"/>
        </w:rPr>
        <w:t>10</w:t>
      </w:r>
      <w:r w:rsidRPr="006021A8">
        <w:rPr>
          <w:rFonts w:hAnsi="宋体" w:hint="eastAsia"/>
          <w:szCs w:val="24"/>
        </w:rPr>
        <w:t>基金管理人应遵守中华人民共和国反洗钱法律法规，不参与涉嫌洗钱、恐怖融资、扩散融资等违法犯罪活动；主动配合基金托管人客户身份识别与尽职调查，提供真实、准确、完整客户资料，遵守基金托管人反洗钱与反恐怖融资相关管理规定。对具备合理理由怀疑涉嫌洗钱、恐怖融资的客户，基金托管人将按照中国人民银行反洗钱监管规定采取必要管控措施。</w:t>
      </w:r>
    </w:p>
    <w:p w:rsidR="003C12F1" w:rsidRPr="006021A8">
      <w:pPr>
        <w:pStyle w:val="Heading1"/>
        <w:adjustRightInd w:val="0"/>
        <w:spacing w:line="520" w:lineRule="atLeast"/>
        <w:ind w:firstLine="480" w:firstLineChars="200"/>
        <w:rPr>
          <w:bCs/>
          <w:color w:val="auto"/>
          <w:szCs w:val="24"/>
        </w:rPr>
      </w:pPr>
      <w:bookmarkStart w:id="22" w:name="_Toc296551340"/>
      <w:bookmarkStart w:id="23" w:name="_Toc44321703"/>
      <w:r w:rsidRPr="006021A8">
        <w:rPr>
          <w:rFonts w:hint="eastAsia"/>
          <w:bCs/>
          <w:color w:val="auto"/>
          <w:szCs w:val="24"/>
        </w:rPr>
        <w:t>第四条 基金管理人对基金托管人的业务核查</w:t>
      </w:r>
      <w:bookmarkEnd w:id="22"/>
      <w:bookmarkEnd w:id="23"/>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4.1根据《基金法》及其他有关法规、《基金合同》和本协议规定，基金管理人对基金托管人履行托管职责情况进行核查，核查事项包括但不限于基金托管人安全保管基金财产、开设基金财产的资金账户和证券账户等投资所需的其他账户、复核基金管理人计算的基金资产净值和基金份额净值、根据基金管理人指令办理清算交收、相关信息披露和监督基金投资运作等行为。</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4.2基金管理人发现基金托管人擅自挪用基金财产、未对基金财产实行分账管理、无故拒绝执行或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4.3基金管理人发现基金托管人有重大违规行为，应立即报告中国证监会和银行业监督管理机构，同时通知基金托管人限期纠正。</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4.4基金托管人应积极配合基金管理人的核查行为，包括但不限于：提交相关资料以供基金管理人核查托管财产的完整性和真实性，在规定时间内答复基金管理人并改正。</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4.5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3C12F1" w:rsidRPr="006021A8">
      <w:pPr>
        <w:pStyle w:val="Heading1"/>
        <w:adjustRightInd w:val="0"/>
        <w:spacing w:line="520" w:lineRule="atLeast"/>
        <w:ind w:firstLine="480" w:firstLineChars="200"/>
        <w:rPr>
          <w:bCs/>
          <w:color w:val="auto"/>
          <w:szCs w:val="24"/>
        </w:rPr>
      </w:pPr>
      <w:bookmarkStart w:id="24" w:name="_Toc296551341"/>
      <w:bookmarkStart w:id="25" w:name="_Toc44321704"/>
      <w:r w:rsidRPr="006021A8">
        <w:rPr>
          <w:rFonts w:hint="eastAsia"/>
          <w:bCs/>
          <w:color w:val="auto"/>
          <w:szCs w:val="24"/>
        </w:rPr>
        <w:t>第五条 基金财产保管</w:t>
      </w:r>
      <w:bookmarkEnd w:id="24"/>
      <w:bookmarkEnd w:id="25"/>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5.1基金财产保管的原则</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5.1.1基金财产应独立于基金管理人、基金托管人的固有财产。</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5.1.2基金托管人应安全保管基金财产。除依据法律法规规定、基金合同和本托管协议约定及基金管理人的正当指令外，不得自行运用、处分、分配基金的任何财产。</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5.1.3基金托管人按照规定开设基金财产的资金账户和证券账户等投资所需的其他账户。</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5.1.4基金托管人对所托管的不同基金财产分别设置账户，与基金托管人的其他业务和其他基金的托管业务实行严格的分账管理，独立核算，确保基金财产的完整与独立。</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5.1.5基金托管人根据基金管理人的指令，按照基金合同和本协议的约定保管基金财产，如有特殊情况双方可另行协商解决。</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5.1.6除依据法律法规和基金合同的规定外，基金托管人不得委托第三人托管基金资产。</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5.2募集资金的验资</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5.2.1基金募集期间募集的资金应存于基金管理人在基金托管人的营业机构或在其他银行开立的基金募集专户，该账户由基金管理人或基金管理人委托的登记机构开立并管理。</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5.2.2基金募集期满或基金提前结束募集时，发起资金认购金额、发起资金提供方承诺的基金份额持有期限符合《基金法》、《运作办法》等有关规定后，基金管理人应将募集的属于本基金财产的全部资金划入基金托管人为本基金开立的托管专户中，基金托管人在收到资金当日出具确认文件。同时，基金管理人应聘请符合《中华人民共和国证券法》规定的会计师事务所进行验资，出具验资报告，验资报告需对发起资金的持有人及其持有份额进行专门说明。出具的验资报告应由参加验资的2名以上（含2名）中国注册会计师签字有效。</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5.2.3若基金募集期限届满，未能达到基金备案条件，由基金管理人按规定办理退款事宜，基金托管人应提供充分协助。</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5.3基金的银行账户的开立和管理</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5.3.1基金托管人以本基金的名义在其营业机构开立基金的银行账户，并根据基金管理人合法合规的指令办理资金收付。本基金的银行预留印鉴由基金托管人刻制、保管和使用。</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5.3.2基金银行账户的开立和使用，限于满足开展本基金业务的需要。基金托管人和基金管理人不得假借本基金的名义开立任何其他银行账户；亦不得使用基金的任何账户进行本基金业务以外的活动。</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5.3.3基金银行账户的开立和管理应符合有关法律法规以及银行业监督管理机构的有关规定。</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5.4基金证券账户与证券交易资金账户的开设和管理</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5.4.1基金托管人以基金托管人和本基金联名的方式在中国证券登记结算有限责任公司上海分公司/深圳分公司开设证券账户。</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5.4.2基金托管人以基金托管人的名义在中国证券登记结算有限责任公司上海分公司/深圳分公司开立基金证券交易资金账户，用于证券清算。</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5.4.3基金证券账户与证券交易资金账户的开立和使用，限于满足开展本基金业务的需要。基金托管人和基金管理人不得出借和未经对方同意擅自转让基金的任何证券账户或证券交易资金账户；亦不得使用基金的任何账户进行本基金业务以外的活动。</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5.4.4基金证券账户与证券交易资金账户相关证明文件的保管由基金托管人负责，账户资产的管理和运用由基金管理人负责。</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5.5债券托管账户的开立和管理</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5.5.1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5.5.2基金管理人和基金托管人应一起负责为基金对外签订全国银行间国债市场回购主协议，正本由基金管理人保存。</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5.6其他账户的开设和管理</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5.7基金财产投资的有关实物证券、银行定期存款存单等有价凭证的保管</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控制下的实物证券在基金托管人保管期间因基金托管人的过错导致的损坏、灭失，由此产生的责任应由基金托管人承担。基金托管人对基金托管人以外机构实际有效控制的证券不承担保管责任。</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5.8与基金财产有关的重大合同的保管</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w:t>
      </w:r>
      <w:r w:rsidRPr="006021A8">
        <w:rPr>
          <w:rFonts w:hAnsi="宋体"/>
          <w:szCs w:val="24"/>
        </w:rPr>
        <w:t>20</w:t>
      </w:r>
      <w:r w:rsidRPr="006021A8">
        <w:rPr>
          <w:rFonts w:hAnsi="宋体" w:hint="eastAsia"/>
          <w:szCs w:val="24"/>
        </w:rPr>
        <w:t>年以上，法律法规或监管规则另有规定的，从其规定。对于无法取得二份以上的正本的，基金管理人应向基金托管人提供加盖授权业务章的合同传真件，未经双方协商或未在合同约定范围内，合同原件不得转移，由基金管理人保管。</w:t>
      </w:r>
    </w:p>
    <w:p w:rsidR="003C12F1" w:rsidRPr="006021A8">
      <w:pPr>
        <w:pStyle w:val="Heading1"/>
        <w:adjustRightInd w:val="0"/>
        <w:spacing w:line="520" w:lineRule="atLeast"/>
        <w:ind w:firstLine="480" w:firstLineChars="200"/>
        <w:rPr>
          <w:bCs/>
          <w:color w:val="auto"/>
          <w:szCs w:val="24"/>
        </w:rPr>
      </w:pPr>
      <w:bookmarkStart w:id="26" w:name="_Toc296551342"/>
      <w:bookmarkStart w:id="27" w:name="_Toc44321705"/>
      <w:r w:rsidRPr="006021A8">
        <w:rPr>
          <w:rFonts w:hint="eastAsia"/>
          <w:bCs/>
          <w:color w:val="auto"/>
          <w:szCs w:val="24"/>
        </w:rPr>
        <w:t>第六条 指令的发送、确认和执行</w:t>
      </w:r>
      <w:bookmarkEnd w:id="26"/>
      <w:bookmarkEnd w:id="27"/>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6.1基金管理人对发送指令人员的书面授权</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基金管理人应事先向基金托管人提供书面授权通知（以下称“授权通知”），指定有权发送指令的人员（以下称“被授权人”）名单、预留印鉴和被授权人签章样本，注明相应的交易权限，并规定基金管理人向基金托管人发送指令时基金托管人</w:t>
      </w:r>
      <w:r w:rsidRPr="006021A8">
        <w:rPr>
          <w:rFonts w:hAnsi="宋体" w:hint="eastAsia"/>
          <w:szCs w:val="24"/>
        </w:rPr>
        <w:t>确认被授权人身份的方法。授权通知应加盖基金管理人公章。基金管理人应使用传真方式或其他基金托管人和基金管理人书面确认过的方式向基金托管人发出授权通知，同时电话通知基金托管人。基金托管人在收到授权通知当日与基金管理人确认。基金管理人在收到基金托管人的确认之后，授权通知生效。基金管理人在此后3个工作日内将授权通知的正本送交基金托管人。授权通知正本内容应与基金托管人收到的传真内容一致，若有不一致的，以基金托管人收到的传真为准。</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基金管理人和基金托管人对授权文件负有保密义务，其内容不得向被授权人及相关操作人员以外的任何人泄露，法律法规另有规定或有权机关另有要求的除外。</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6.2指令的内容</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6.3指令的发送、确认和执行的时间和程序</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6.3.1指令由“授权通知”确定的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致使资金未能及时到账所造成的损失，基金托管人不承担任何形式的责任。基金托管人依照“授权通知”规定的方法确认指令有效后，方可执行指令。对于被授权人发出的指令，基金管理人不得否认其效力。基金托管人正确执行基金管理人发送的有效指令，基金份额持有人或基金财产发生损失的，基金托管人不承担任何形式的责任。基金管理人应按照《基金法》、有关法律法规和基金合同的规定，在其合法的经营权限和交易权限内发送划款指令，被授权人应按照其授权权限发送划款指令。基金管理人在发送指令时，应为基金托管人留出2小时，作为执行指令所必需的时间。由基金管理人原因造成的指令传输不及时、未能留出足够划款所需时间，基金托管人不承担资金未能及时到账所造成的损失。</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6.3.2基金托管人根据本协议相关约定仅履行审核职责，对指令的真实性不承担责任。如果基金管理人的指令存在事实上未经授权、欺诈、伪造、变造或未能及时提供授权通知等情形，基金托管人不承担因执行有关指令或拒绝执行有关指令而</w:t>
      </w:r>
      <w:r w:rsidRPr="006021A8">
        <w:rPr>
          <w:rFonts w:hAnsi="宋体" w:hint="eastAsia"/>
          <w:szCs w:val="24"/>
        </w:rPr>
        <w:t>给基金管理人或基金财产或任何第三方带来的损失，全部责任由基金管理人承担，基金托管人由此遭受的损失，由基金管理人负责赔偿，但基金托管人未按协议约定尽形式审核义务执行指令而造成损失的情形除外。</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6.3.3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基金托管人由此遭受的损失，由基金管理人负责赔偿。</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6.3.4基金托管人应指定专人接收基金管理人的指令，预先通知基金管理人其名单，并与基金管理人商定指令发送和接收方式。基金托管人收到基金管理人发送的指令后，应对指令进行审查，验证指令的要素是否齐全，传真指令仅对划款指令的印鉴及被授权人签章等通过肉眼辨识的方式与预留印鉴和签章样本进行比对，形式上不存在重大差异的，即视为通过审查。基金管理人出具的划款指令中的编号不属于指令要素，属于基金管理人内部业务信息，基金托管人不对指令编号承担任何审核职责；基金管理人应确保其在划款指令中填写的内容真实、准确、完整，划款指令编号不存在重复。因划款指令编号重复、编号不连续、空缺导致的重复性扣款，所产生的责任由基金管理人承担，与基金托管人无关。指令复核无误后应在规定期限内及时执行。指令若以传真方式发出，则正本由基金管理人保管，基金托管人保管指令传真件。当两者不一致时，以基金托管人收到的指令传真件为准。</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6.3.5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6.3.6基金管理人应将交易通知单加盖预留印鉴后传真给基金托管人。</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6.4基金管理人发送错误指令的情形和处理程序</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6.4.1基金管理人发送错误指令的情形包括指令违反相关法律法规或基金合同、指令发送人员无权或超越权限发送指令及交割信息错误，指令中重要信息模糊不清或不全等。</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6.4.2基金托管人在履行监督职能时，发现基金管理人的指令错误时，有权视情况暂缓或拒绝执行，并及时通知基金管理人改正。</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6.5基金托管人依照法律法规暂缓、拒绝执行指令的情形和处理程序</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基金托管人发现基金管理人发送的指令违反《基金法》、基金合同、本协议或有关基金法规的有关规定，有权视情况暂缓执行或不予执行，并应及时以书面形式通知基金管理人纠正，基金托管人不承担任何损失和责任。对基金管理人更正并重新发送后的指令经基金托管人核对确认后方能执行。</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6.6基金托管人未按照基金管理人指令执行的处理方法</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基金托管人由于自身过错原因造成未按照或者未及时按照基金管理人发送的符合法律法规规定以及基金合同、本协议约定的指令执行，给基金份额持有人、基金管理人或基金财产造成损失的，应承担相应的责任，但如遇到不可抗力的情况除外。</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6.7更换被授权人的程序</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基金管理人撤换被授权人员或改变被授权人员的权限，必须提前至少1个交易日，使用传真方式或其他基金托管人和基金管理人书面确认过的方式向基金托管人发出由基金管理人签字和盖章的被授权人变更通知，同时电话通知基金托管人，基金托管人收到变更通知当日与基金管理人确认。被授权人变更通知，自基金管理人收到基金托管人确认时开始生效。基金管理人在此后3个工作日内将被授权人变更通知的正本送交基金托管人。被授权人变更通知的正本应与传真内容一致，若有不一致的，以基金托管人收到的传真件为准。在被授权人变更通知生效之前，基金托管人所接收的原被授权人所签发的划款指令及其它文件仍然完全有效。基金管理人更换被授权人通知生效后，对于已被撤换的人员无权发送的指令，或被改变授权人员超权限发送的指令，基金管理人不承担责任。</w:t>
      </w:r>
    </w:p>
    <w:p w:rsidR="003C12F1" w:rsidRPr="006021A8">
      <w:pPr>
        <w:pStyle w:val="Heading1"/>
        <w:adjustRightInd w:val="0"/>
        <w:spacing w:line="520" w:lineRule="atLeast"/>
        <w:ind w:firstLine="480" w:firstLineChars="200"/>
        <w:rPr>
          <w:bCs/>
          <w:color w:val="auto"/>
          <w:szCs w:val="24"/>
        </w:rPr>
      </w:pPr>
      <w:bookmarkStart w:id="28" w:name="_Toc44321706"/>
      <w:r w:rsidRPr="006021A8">
        <w:rPr>
          <w:rFonts w:hint="eastAsia"/>
          <w:bCs/>
          <w:color w:val="auto"/>
          <w:szCs w:val="24"/>
        </w:rPr>
        <w:t>第七条 交易及清算交收安排</w:t>
      </w:r>
      <w:bookmarkEnd w:id="28"/>
      <w:r w:rsidRPr="006021A8">
        <w:rPr>
          <w:rFonts w:hint="eastAsia"/>
          <w:bCs/>
          <w:color w:val="auto"/>
          <w:szCs w:val="24"/>
        </w:rPr>
        <w:t xml:space="preserve"> </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7.1选择代理证券买卖的证券经营机构</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7.1.1基金管理人负责选择代理本基金证券买卖的证券经纪机构，并与其签订证券经纪合同，基金管理人、基金托管人和证券经纪机构就基金参与证券交易的具体事项在证券经纪合同中明确三方在本基金参与场内证券买卖中各类证券交易、证</w:t>
      </w:r>
      <w:r w:rsidRPr="006021A8">
        <w:rPr>
          <w:rFonts w:hAnsi="宋体" w:hint="eastAsia"/>
          <w:szCs w:val="24"/>
        </w:rPr>
        <w:t>券交收及相关资金交收过程中的职责和义务。</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7.1.2基金管理人应及时将本基金财产的佣金费率等基本信息以及变更情况以书面形式通知基金托管人，以便基金托管人估值核算使用。</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7.2清算与交割</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7.2.1基金投资证券后的清算交收安排</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本基金通过证券经纪机构进行的交易由证券经纪机构作为结算参与人代理本基金进行结算；本基金其它证券交易由基金托管人或相关机构负责结算。</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7.2.2证券交易所证券资金结算</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基金托管人、基金管理人应共同遵守中国证券登记结算有限责任公司制定的相关业务规则和规定，该等规则和规定自动成为本条款约定内容。</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基金管理人在投资前，应充分知晓与理解中国证券登记结算有限责任公司针对各类交易品种制定的结算业务规则和规定。</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证券经纪机构代理本基金与中国证券登记结算有限责任公司完成证券交易及非交易涉及的证券资金结算业务，并承担由证券经纪机构原因造成的正常结算、交收业务无法完成的责任；若由于基金管理人原因造成的正常结算业务无法完成，责任由基金管理人承担。</w:t>
      </w:r>
    </w:p>
    <w:p w:rsidP="0047428A" w:rsidR="0047428A"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基金清算交收过程中，出现基金财产中资金或证券不足以交收的，基金托管人应当及时通知基金管理人，督促基金管理人积极采取措施、最大程度控制违约交收风险与相关损失。</w:t>
      </w:r>
    </w:p>
    <w:p w:rsidP="0047428A" w:rsidR="0030296D"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对于任何原因发生的证券资金交收违约事件，相关各方应当及时协商解决。</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7.2.</w:t>
      </w:r>
      <w:r w:rsidRPr="006021A8">
        <w:rPr>
          <w:rFonts w:hAnsi="宋体"/>
          <w:szCs w:val="24"/>
        </w:rPr>
        <w:t>3</w:t>
      </w:r>
      <w:r w:rsidRPr="006021A8">
        <w:rPr>
          <w:rFonts w:hAnsi="宋体" w:hint="eastAsia"/>
          <w:szCs w:val="24"/>
        </w:rPr>
        <w:t>场外交易资金结算</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场外资金对外投资划款由基金托管人凭基金管理人符合本托管协议约定的有效资金划拨指令和相关投资合同（如有）进行资金划拨；场外投资本金及收益的划回，由基金管理人负责协调相关资金划拨回产品托管户事宜。</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7.3资金、证券账目及交易记录的核对</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7.3.1基金管理人与基金托管人按日进行交易记录的核对。对外披露基金份额净值之前，必须保证当天所有实际交易记录与基金会计账簿上的交易记录完全一致。如果实际交易记录与会计账簿记录不一致，造成基金会计核算不完整或不真实，由</w:t>
      </w:r>
      <w:r w:rsidRPr="006021A8">
        <w:rPr>
          <w:rFonts w:hAnsi="宋体" w:hint="eastAsia"/>
          <w:szCs w:val="24"/>
        </w:rPr>
        <w:t>此导致的损失由责任方承担。</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7.3.2对基金的资金账目，由相关各方每日对账一次，确保相关各方账账相符。对基金证券账目，由相关各方每日进行对账。对实物券账目，每月月末由相关各方进行账实核对。对交易记录，由相关各方每日对账一次。</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7.4申购、赎回、转换开放式基金的资金清算、数据传递及基金管理人、基金托管人的责任</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7.4.1基金管理人和基金托管人在基金的申购赎回、转换中的责任</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基金投资人可通过基金管理人的直销中心和销售机构的代销网点进行申购和赎回申请，基金份额申购、赎回的确认、清算由基金管理人或其委托的登记机构负责。基金托管人负责接收并确认资金的到账情况，以及依照基金管理人的投资指令划付赎回款项。</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7.4.2基金的数据传递</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基金管理人应保证本基金（或本基金管理人委托）的登记机构于每个开放日15：00之前将本基金的申购、赎回、转换的数据传送给基金托管人。基金管理人应对传递的数据的真实性、准确性和完整性负责。</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登记机构应通过与基金管理人建立的系统发送有关数据，如因各种原因，该系统无法正常发送，双方可协商解决处理方式。</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7.4.3基金的资金清算</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基金托管专户与“基金清算账户”间的资金结算遵循“全额清算、净额交收”的原则，每日按照托管专户应收资金与应付资金的差额来确定托管专户净应收额或净应付额，以此确定资金交收额。</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如果当日基金为净应收款，基金托管人应在T＋2日15:00之前查收资金是否到账，对于未准时到账的资金，基金托管人应及时通知基金管理人划付。如果当日基金为净应付款，基金托管人应根据基金管理人的指令在T+2日中午12:00前进行划付，对于未准时划付的资金，基金管理人应及时通知基金托管人划付。因基金托管专户没有足够的资金，导致基金托管人不能按时拨付，基金托管人应及时通知基金管理人。</w:t>
      </w:r>
    </w:p>
    <w:p w:rsidR="003C12F1" w:rsidRPr="006021A8">
      <w:pPr>
        <w:pStyle w:val="Heading1"/>
        <w:adjustRightInd w:val="0"/>
        <w:spacing w:line="520" w:lineRule="atLeast"/>
        <w:ind w:firstLine="480" w:firstLineChars="200"/>
        <w:rPr>
          <w:bCs/>
          <w:color w:val="auto"/>
          <w:szCs w:val="24"/>
        </w:rPr>
      </w:pPr>
      <w:bookmarkStart w:id="29" w:name="_Toc296551344"/>
      <w:bookmarkStart w:id="30" w:name="_Toc44321707"/>
      <w:r w:rsidRPr="006021A8">
        <w:rPr>
          <w:rFonts w:hint="eastAsia"/>
          <w:bCs/>
          <w:color w:val="auto"/>
          <w:szCs w:val="24"/>
        </w:rPr>
        <w:t>第八条 基金净值计算和会计核算</w:t>
      </w:r>
      <w:bookmarkEnd w:id="29"/>
      <w:bookmarkEnd w:id="30"/>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8.1基金净值的计算、复核的时间和程序</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8.1.1基金净值包括基金资产净值、基金份额净值、基金份额累计净值。基金资产净值是指基金资产总值减去基金负债后的</w:t>
      </w:r>
      <w:r w:rsidRPr="006021A8">
        <w:rPr>
          <w:rFonts w:asciiTheme="minorEastAsia" w:eastAsiaTheme="minorEastAsia" w:hAnsiTheme="minorEastAsia" w:hint="eastAsia"/>
          <w:szCs w:val="24"/>
        </w:rPr>
        <w:t>价值</w:t>
      </w:r>
      <w:r w:rsidRPr="006021A8">
        <w:rPr>
          <w:rFonts w:hAnsi="宋体" w:hint="eastAsia"/>
          <w:szCs w:val="24"/>
        </w:rPr>
        <w:t>。基金份额净值是指</w:t>
      </w:r>
      <w:r w:rsidR="007D21E6" w:rsidRPr="006021A8">
        <w:rPr>
          <w:rFonts w:hAnsi="宋体" w:hint="eastAsia"/>
          <w:szCs w:val="24"/>
        </w:rPr>
        <w:t>估值</w:t>
      </w:r>
      <w:r w:rsidRPr="006021A8">
        <w:rPr>
          <w:rFonts w:hAnsi="宋体" w:hint="eastAsia"/>
          <w:szCs w:val="24"/>
        </w:rPr>
        <w:t>日基金资产净值除以</w:t>
      </w:r>
      <w:r w:rsidR="007D21E6" w:rsidRPr="006021A8">
        <w:rPr>
          <w:rFonts w:hAnsi="宋体" w:hint="eastAsia"/>
          <w:szCs w:val="24"/>
        </w:rPr>
        <w:t>估值</w:t>
      </w:r>
      <w:r w:rsidRPr="006021A8">
        <w:rPr>
          <w:rFonts w:hAnsi="宋体" w:hint="eastAsia"/>
          <w:szCs w:val="24"/>
        </w:rPr>
        <w:t>日基金份额总数后的数值。基金份额累计净值是指基金份额净值与基金历来分红累计金额之和。基金净值的计算保留到小数点后4位，小数点后第5位四舍五入，由此产生的收益或损失由基金财产承担。基金管理人可以设立大额赎回情形下的净值精度应急调整机制。国家法律法规另有规定的，从其规定。</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8.1.2基金管理人应每个估值日后第二个工作日对该估值日基金资产估值，但基金管理人根据法律法规或基金合同的规定暂停估值时除外。估值原则应符合基金合同、《证券投资基金会计核算业务指引》</w:t>
      </w:r>
      <w:r w:rsidRPr="006021A8">
        <w:rPr>
          <w:rFonts w:asciiTheme="minorEastAsia" w:eastAsiaTheme="minorEastAsia" w:hAnsiTheme="minorEastAsia" w:hint="eastAsia"/>
          <w:szCs w:val="24"/>
        </w:rPr>
        <w:t>、《企业会计准则》</w:t>
      </w:r>
      <w:r w:rsidRPr="006021A8">
        <w:rPr>
          <w:rFonts w:hAnsi="宋体" w:hint="eastAsia"/>
          <w:szCs w:val="24"/>
        </w:rPr>
        <w:t>及其他法律、法规的规定。基金资产净值、基金份额净值和基金份额累计净值由基金管理人负责计算，基金托管人复核。基金管理人应于每个估值日后第二个工作日对该估值日基金资产估值后以双方认可的方式发送给基金托管人。基金托管人对净值计算结果复核后以双方认可的方式发送给基金管理人，基金管理人在不晚于每个开放日后的第3个工作日，通过规定网站、基金份额销售机构网站或者营业网点披露开放日的基金份额净值和基金份额累计净值，并在不晚于半年度和年度最后一日后的第3个工作日，在规定网站披露半年度和年度最后一日的基金份额净值和基金份额累计净值。</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8.1.3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的计算结果对外予以公布，由此给基金份额持有人和基金造成损失以及因该交易日基金净值信息计算顺延错误而引起损失的，基金托管人不承担赔偿责任。</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8.2基金资产估值方法</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8.2.1估值对象</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基金所拥有的证券投资基金份额、股票、存托凭证、资产支持证券、债券</w:t>
      </w:r>
      <w:r w:rsidRPr="006021A8">
        <w:rPr>
          <w:bCs/>
        </w:rPr>
        <w:t>和</w:t>
      </w:r>
      <w:r w:rsidRPr="006021A8">
        <w:rPr>
          <w:rFonts w:hAnsi="宋体" w:hint="eastAsia"/>
          <w:szCs w:val="24"/>
        </w:rPr>
        <w:t>银行存款本息、应收款项、其它投资等资产及负债。</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8.2.2估值方法</w:t>
      </w:r>
    </w:p>
    <w:p w:rsidP="00BE27F4" w:rsidR="007A5A5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（1）对于未在交易所上市的证券投资基金的估值</w:t>
      </w:r>
    </w:p>
    <w:p w:rsidP="00BE27F4" w:rsidR="007A5A5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1）本基金投资的境内非货币市场基金，按所投资基金估值日的份额净值估值。</w:t>
      </w:r>
    </w:p>
    <w:p w:rsidP="00BE27F4" w:rsidR="007A5A5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本基金投资的境内货币市场基金，按所投资基金前一估值日后至估值日期间（含节假日）的万份收益计提估值日基金收益；如所投资基金披露份额净值，则按所投资基金的基金管理人披露的估值日份额净值进行估值。</w:t>
      </w:r>
    </w:p>
    <w:p w:rsidP="00BE27F4" w:rsidR="007A5A5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（2）对于在交易所上市的证券投资基金的估值</w:t>
      </w:r>
    </w:p>
    <w:p w:rsidP="00BE27F4" w:rsidR="007A5A5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1）本基金投资的交易型开放式指数基金（ETF），按所投资基金估值日的收盘价估值。</w:t>
      </w:r>
    </w:p>
    <w:p w:rsidP="00BE27F4" w:rsidR="007A5A5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2）本基金投资的境内上市开放式基金（LOF），按所投资基金估值日的份额净值估值。</w:t>
      </w:r>
    </w:p>
    <w:p w:rsidP="00BE27F4" w:rsidR="007A5A5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3）本基金投资的境内上市定期开放式基金、封闭式基金，按所投资基金估值日的收盘价估值。</w:t>
      </w:r>
    </w:p>
    <w:p w:rsidP="00BE27F4" w:rsidR="007A5A5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4）本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P="00BE27F4" w:rsidR="007A5A5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（3）对于证券投资基金特殊情况的估值处理</w:t>
      </w:r>
    </w:p>
    <w:p w:rsidP="00BE27F4" w:rsidR="007A5A5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如遇所投资的证券投资基金不公布基金份额净值、进行折算或拆分、估值日无交易等特殊情况，基金管理人根据以下原则进行估值：</w:t>
      </w:r>
    </w:p>
    <w:p w:rsidP="00BE27F4" w:rsidR="007A5A5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1）以所投资基金的份额净值估值的，若所投资基金与本基金估值频率一致但未公布估值日基金份额净值，按其最近公布的份额净值为基础估值。</w:t>
      </w:r>
    </w:p>
    <w:p w:rsidP="00BE27F4" w:rsidR="007A5A5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以所投资基金的收盘价估值的，若估值日无交易，且最近交易日后市场环境未发生重大变化，按最近交易日的收盘价估值；如最近交易日后市场环境发生了重大变化的，可使用最新的份额净值为基础或参考类似投资品种的现行市价及重大变化因素调整最近交易市价，确定公允价值。</w:t>
      </w:r>
    </w:p>
    <w:p w:rsidP="00BE27F4" w:rsidR="007A5A5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3）若所投资基金前一估值日至估值日期间发生分红除权、折算或拆分，基金管理人将根据份额净值或收盘价、单位基金份额分红金额、折算拆分比例、持仓份</w:t>
      </w:r>
      <w:r w:rsidRPr="006021A8">
        <w:rPr>
          <w:rFonts w:hAnsi="宋体" w:hint="eastAsia"/>
          <w:szCs w:val="24"/>
        </w:rPr>
        <w:t>额等因素合理确定公允价值。</w:t>
      </w:r>
    </w:p>
    <w:p w:rsidP="00BE27F4" w:rsidR="007A5A5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（4）证券交易所上市的有价证券（不含证券投资基金）的估值</w:t>
      </w:r>
    </w:p>
    <w:p w:rsidP="00BE27F4" w:rsidR="007A5A5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P="00BE27F4" w:rsidR="007A5A5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2）交易所上市交易或挂牌转让的不含权固定收益品种，选取估值日第三方估值机构提供的相应品种当日的估值净价进行估值；</w:t>
      </w:r>
    </w:p>
    <w:p w:rsidP="00BE27F4" w:rsidR="007A5A5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3）交易所上市交易或挂牌转让的含权固定收益品种，选取估值日第三方估值机构提供的相应品种当日的唯一估值净价或推荐估值净价进行估值；</w:t>
      </w:r>
    </w:p>
    <w:p w:rsidP="00BE27F4" w:rsidR="007A5A5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4）交易所上市交易的可转换债券以每日收盘价作为估值全价；</w:t>
      </w:r>
    </w:p>
    <w:p w:rsidP="00BE27F4" w:rsidR="007A5A5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5）交易所上市不存在活跃市场的有价证券，采用估值技术确定公允价值；</w:t>
      </w:r>
    </w:p>
    <w:p w:rsidP="00BE27F4" w:rsidR="007A5A5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P="00BE27F4" w:rsidR="007A5A5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w:t>
      </w:r>
      <w:r w:rsidRPr="006021A8">
        <w:rPr>
          <w:rFonts w:hAnsi="宋体"/>
          <w:szCs w:val="24"/>
        </w:rPr>
        <w:t>5</w:t>
      </w:r>
      <w:r w:rsidRPr="006021A8">
        <w:rPr>
          <w:rFonts w:hAnsi="宋体" w:hint="eastAsia"/>
          <w:szCs w:val="24"/>
        </w:rPr>
        <w:t>）处于未上市期间的有价证券（不含证券投资基金）应区分如下情况处理：</w:t>
      </w:r>
    </w:p>
    <w:p w:rsidP="00BE27F4" w:rsidR="007A5A5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1）送股、转增股、配股和公开增发的新股，按估值日在证券交易所挂牌的同一股票的估值方法估值；该日无交易的，以最近一日的市价（收盘价）估值；</w:t>
      </w:r>
    </w:p>
    <w:p w:rsidP="00BE27F4" w:rsidR="007A5A5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2）首次公开发行未上市的股票、债券，采用估值技术确定公允价值，在估值技术难以可靠计量公允价值的情况下，按成本估值；</w:t>
      </w:r>
    </w:p>
    <w:p w:rsidP="00BE27F4" w:rsidR="007A5A5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P="00BE27F4" w:rsidR="007A5A5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（6）对全国银行间市场上不含权的固定收益品种，按照第三方估值机构提供</w:t>
      </w:r>
      <w:r w:rsidRPr="006021A8">
        <w:rPr>
          <w:rFonts w:hAnsi="宋体" w:hint="eastAsia"/>
          <w:szCs w:val="24"/>
        </w:rPr>
        <w:t>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P="00BE27F4" w:rsidR="007A5A5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（7）同一债券或股票同时在两个或两个以上市场交易的，按债券或股票所处的市场分别估值。</w:t>
      </w:r>
    </w:p>
    <w:p w:rsidP="00BE27F4" w:rsidR="007A5A5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（8）同业存单按估值日第三方估值机构提供的估值净价估值；选定的第三方估值机构未提供估值价格的，按成本估值。</w:t>
      </w:r>
    </w:p>
    <w:p w:rsidP="00BE27F4" w:rsidR="007A5A5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（9）本基金投资存托凭证的估值核算，依照境内上市交易的股票执行。</w:t>
      </w:r>
    </w:p>
    <w:p w:rsidP="00BE27F4" w:rsidR="007A5A5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w:t>
      </w:r>
      <w:r w:rsidRPr="006021A8">
        <w:rPr>
          <w:rFonts w:hAnsi="宋体"/>
          <w:szCs w:val="24"/>
        </w:rPr>
        <w:t>0</w:t>
      </w:r>
      <w:r w:rsidRPr="006021A8">
        <w:rPr>
          <w:rFonts w:hAnsi="宋体" w:hint="eastAsia"/>
          <w:szCs w:val="24"/>
        </w:rPr>
        <w:t>）如有确凿证据表明按上述方法进行估值不能客观反映其公允价值的，基金管理人可根据具体情况与基金托管人商定后，按最能反映公允价值的价格估值。</w:t>
      </w:r>
    </w:p>
    <w:p w:rsidP="00BE27F4" w:rsidR="007A5A5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w:t>
      </w:r>
      <w:r w:rsidRPr="006021A8">
        <w:rPr>
          <w:rFonts w:hAnsi="宋体"/>
          <w:szCs w:val="24"/>
        </w:rPr>
        <w:t>1</w:t>
      </w:r>
      <w:r w:rsidRPr="006021A8">
        <w:rPr>
          <w:rFonts w:hAnsi="宋体" w:hint="eastAsia"/>
          <w:szCs w:val="24"/>
        </w:rPr>
        <w:t>）当发生大额申购或赎回情形时，基金管理人可以采用摆动定价机制，以确保基金估值的公平性。</w:t>
      </w:r>
    </w:p>
    <w:p w:rsidP="00BE27F4" w:rsidR="007A5A5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w:t>
      </w:r>
      <w:r w:rsidRPr="006021A8">
        <w:rPr>
          <w:rFonts w:hAnsi="宋体"/>
          <w:szCs w:val="24"/>
        </w:rPr>
        <w:t>2</w:t>
      </w:r>
      <w:r w:rsidRPr="006021A8">
        <w:rPr>
          <w:rFonts w:hAnsi="宋体" w:hint="eastAsia"/>
          <w:szCs w:val="24"/>
        </w:rPr>
        <w:t>）相关法律法规以及监管部门有强制规定的，从其规定。如有新增事项，按国家最新规定估值。</w:t>
      </w:r>
    </w:p>
    <w:p w:rsidP="00BE27F4" w:rsidR="007A5A5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8.3估值差错处理</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8.3.1估值错误类型</w:t>
      </w:r>
    </w:p>
    <w:p w:rsidP="00BE27F4" w:rsidR="00BA1C84"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P="00BA1C84" w:rsidR="00BA1C84"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上述估值错误的主要类型包括但不限于：资料申报差错、数据传输差错、数据计算差错、系统故障差错、下达指令差错等。</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8.3.2估值错误处理原则</w:t>
      </w:r>
    </w:p>
    <w:p w:rsidP="00BE27F4" w:rsidR="00BA1C84"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P="00BE27F4" w:rsidR="00BA1C84"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（2）估值错误的责任方对有关当事人的直接损失负责，不对间接损失负责，并且仅对估值错误的有关直接当事人负责，不对第三方负责。</w:t>
      </w:r>
    </w:p>
    <w:p w:rsidP="00BE27F4" w:rsidR="00BA1C84"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P="00BA1C84" w:rsidR="00BA1C84"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（4）估值错误调整采用尽量恢复至假设未发生估值错误的正确情形的方式。</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8.3.3估值错误处理程序</w:t>
      </w:r>
    </w:p>
    <w:p w:rsidP="00BE27F4" w:rsidR="00BA1C84"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估值错误被发现后，有关的当事人应当及时进行处理，处理的程序如下：</w:t>
      </w:r>
    </w:p>
    <w:p w:rsidP="00BE27F4" w:rsidR="00BA1C84"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（1）查明估值错误发生的原因，列明所有的当事人，并根据估值错误发生的原因确定估值错误的责任方；</w:t>
      </w:r>
    </w:p>
    <w:p w:rsidP="00BE27F4" w:rsidR="00BA1C84"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（2）根据估值错误处理原则或当事人协商的方法对因估值错误造成的损失进行评估；</w:t>
      </w:r>
    </w:p>
    <w:p w:rsidP="00BE27F4" w:rsidR="00BA1C84"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（3）根据估值错误处理原则或当事人协商的方法由估值错误的责任方进行更正和赔偿损失；</w:t>
      </w:r>
    </w:p>
    <w:p w:rsidP="00BA1C84" w:rsidR="00BA1C84"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（4）根据估值错误处理的方法，需要修改登记机构交易数据的，由登记机构进行更正，并就估值错误的更正向有关当事人进行确认。</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8.3.</w:t>
      </w:r>
      <w:r w:rsidRPr="006021A8">
        <w:rPr>
          <w:rFonts w:hAnsi="宋体"/>
          <w:szCs w:val="24"/>
        </w:rPr>
        <w:t>4</w:t>
      </w:r>
      <w:r w:rsidRPr="006021A8">
        <w:rPr>
          <w:rFonts w:hAnsi="宋体" w:hint="eastAsia"/>
          <w:szCs w:val="24"/>
        </w:rPr>
        <w:t>基金份额净值估值错误处理的方法如下：</w:t>
      </w:r>
    </w:p>
    <w:p w:rsidP="00BE27F4" w:rsidR="00BA1C84"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（1）基金份额净值计算出现错误时，基金管理人应当立即予以纠正，通报基金托管人，并采取合理的措施防止损失进一步扩大。</w:t>
      </w:r>
    </w:p>
    <w:p w:rsidP="00BE27F4" w:rsidR="00BA1C84"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（2）错误偏差达到或超过基金份额净值的0.25%时，基金管理人应当通报基金托管人并报中国证监会备案；错误偏差达到或超过基金份额净值的0.5%时，基金管理人应当公告，并报中国证监会备案。</w:t>
      </w:r>
    </w:p>
    <w:p w:rsidP="00BA1C84" w:rsidR="00BA1C84"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（3）前述内容如法律法规或监管机关另有规定的，从其规定处理。</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8.4基金账册的建立</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8.4.2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8.5基金定期报告的编制和复核</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8.5.1基金财务报告由基金管理人编制，基金托管人复核。月度报告的编制，应于每月终了后5个工作日内完成。</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8.5.2基金管理人应当在每年结束之日起三个月内，编制完成基金年度报告，将年度报告登载在规定网站上，并将年度报告提示性公告登载在规定报刊上。基金年度报告中的财务会计报告应当经过</w:t>
      </w:r>
      <w:r w:rsidRPr="006021A8">
        <w:rPr>
          <w:rFonts w:asciiTheme="minorEastAsia" w:eastAsiaTheme="minorEastAsia" w:hAnsiTheme="minorEastAsia" w:hint="eastAsia"/>
          <w:szCs w:val="24"/>
        </w:rPr>
        <w:t>符合《中华人民共和国证券法》规定</w:t>
      </w:r>
      <w:r w:rsidRPr="006021A8">
        <w:rPr>
          <w:rFonts w:hAnsi="宋体" w:hint="eastAsia"/>
          <w:szCs w:val="24"/>
        </w:rPr>
        <w:t>的会计师事务所审计。基金管理人应当在上半年结束之日起两个月内，编制完成基金中期报告，将中期报告登载在规定网站上，并将中期报告提示性公告登载在规定报刊上。基金管理人应当在季度结束之日起15个工作日内，编制完成基金季度报告，将季度报告登载在规定网站上，并将季度报告提示性公告登载在规定报刊上。《基金合同》生效不足2个月的，基金管理人可以不编制当期季度报告、中期报告或者年度报告。</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8.5.3《基金合同》生效后，基金招募说明书、基金产品资料概要的信息发生</w:t>
      </w:r>
      <w:r w:rsidRPr="006021A8">
        <w:rPr>
          <w:rFonts w:hAnsi="宋体" w:hint="eastAsia"/>
          <w:szCs w:val="24"/>
        </w:rPr>
        <w:t>重大变更的，基金管理人应当在三个工作日内，更新基金招募说明书、基金产品资料概要，并登载在规定网站上，并将基金产品资料概要登载在基金销售机构网站或营业网点。基金招募说明书、基金产品资料概要其他信息发生变更的，基金管理人至少每年更新一次。</w:t>
      </w:r>
    </w:p>
    <w:p w:rsidR="003C12F1" w:rsidRPr="006021A8">
      <w:pPr>
        <w:pStyle w:val="BodyTextIndent2"/>
        <w:adjustRightInd w:val="0"/>
        <w:snapToGrid w:val="0"/>
        <w:spacing w:after="0" w:before="0" w:line="520" w:lineRule="atLeast"/>
        <w:ind w:firstLine="480" w:firstLineChars="200" w:left="0"/>
        <w:rPr>
          <w:rFonts w:hAnsi="宋体"/>
          <w:szCs w:val="24"/>
        </w:rPr>
      </w:pPr>
      <w:bookmarkStart w:id="31" w:name="_DV_C270"/>
      <w:r w:rsidRPr="006021A8">
        <w:rPr>
          <w:rFonts w:hAnsi="宋体" w:hint="eastAsia"/>
          <w:szCs w:val="24"/>
        </w:rPr>
        <w:t>8.5.4基金管理人应及时完成报告编制，将有关报告提供基金托管人复核；基金托管人应当在收到报告之日起2个工作日内完成月度报告的复核；在收到报告之日起7个工作日内完成基金季度报告的复核；在收到报告之日起20个工作日内完成基金中期报告的复核；在收到报告之日起30个工作日内完成基金年度报告的</w:t>
      </w:r>
      <w:bookmarkEnd w:id="31"/>
      <w:r w:rsidRPr="006021A8">
        <w:rPr>
          <w:rFonts w:hAnsi="宋体" w:hint="eastAsia"/>
          <w:szCs w:val="24"/>
        </w:rPr>
        <w:t>复核。基金托管人在复核过程中，发现双方的数据、信息存在不符时，基金管理人和基金托管人应共同查明原因，进行调整，调整以国家有关规定为准。</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8.5.5基金托管人在对财务会计报告、季度、中期报告或年度报告复核完毕后，需盖章确认或出具相应的复核确认书，以备有权机构对相关文件审核时提示。</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8.6暂停估值的情形</w:t>
      </w:r>
    </w:p>
    <w:p w:rsidP="00BE27F4" w:rsidR="009A386C"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（1）基金投资所涉及的证券交易市场遇法定节假日或因其他原因暂停营业时；</w:t>
      </w:r>
    </w:p>
    <w:p w:rsidP="00BE27F4" w:rsidR="009A386C"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（2）因不可抗力致使基金管理人、基金托管人无法准确评估基金资产价值时；</w:t>
      </w:r>
    </w:p>
    <w:p w:rsidP="00BE27F4" w:rsidR="009A386C"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（3）当特定资产占前一估值日基金资产净值50%以上的，经与基金托管人协商确认后，基金管理人应当暂停估值；</w:t>
      </w:r>
    </w:p>
    <w:p w:rsidP="00BE27F4" w:rsidR="009A386C"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（4）占相当比例的被投资基金暂停估值</w:t>
      </w:r>
      <w:r w:rsidRPr="006021A8">
        <w:rPr>
          <w:rFonts w:hint="eastAsia"/>
          <w:bCs/>
        </w:rPr>
        <w:t>、暂停公告基金份额净值或暂停公告万份收益的情形</w:t>
      </w:r>
      <w:r w:rsidRPr="006021A8">
        <w:rPr>
          <w:rFonts w:hAnsi="宋体" w:hint="eastAsia"/>
          <w:szCs w:val="24"/>
        </w:rPr>
        <w:t>时；</w:t>
      </w:r>
    </w:p>
    <w:p w:rsidP="009A386C" w:rsidR="009A386C"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（5）中国证监会和基金合同认定的其它情形。</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8.7特殊情况的处理</w:t>
      </w:r>
      <w:r w:rsidRPr="006021A8">
        <w:rPr>
          <w:rFonts w:cs="Calibri" w:hAnsi="宋体" w:hint="eastAsia"/>
          <w:szCs w:val="24"/>
        </w:rPr>
        <w:t> </w:t>
      </w:r>
    </w:p>
    <w:p w:rsidP="00BE27F4" w:rsidR="00547314"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（1）基金管理人或基金托管人按本协议约定的估值方法第（1</w:t>
      </w:r>
      <w:r w:rsidRPr="006021A8">
        <w:rPr>
          <w:rFonts w:hAnsi="宋体"/>
          <w:szCs w:val="24"/>
        </w:rPr>
        <w:t>0</w:t>
      </w:r>
      <w:r w:rsidRPr="006021A8">
        <w:rPr>
          <w:rFonts w:hAnsi="宋体" w:hint="eastAsia"/>
          <w:szCs w:val="24"/>
        </w:rPr>
        <w:t>）项进行估值时，所造成的误差不作为基金资产估值错误处理；</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由于不可抗力，或由于证券交易所、登记结算公司及存款银行等第三方机构发送的数据错误等原因，基金管理人和基金托管人虽然已经采取必要、适当、合理的措施进行检查，但未能发现该错误或虽发现错误但因前述原因无法及时更正的，由此造成的基金资产估值错误，基金管理人和基金托管人免除赔偿责任。但基金管理人、基金托管人应当积极采取必要的措施减轻或消除由此造成的影响。</w:t>
      </w:r>
    </w:p>
    <w:p w:rsidR="003C12F1" w:rsidRPr="006021A8">
      <w:pPr>
        <w:pStyle w:val="Heading1"/>
        <w:adjustRightInd w:val="0"/>
        <w:spacing w:line="520" w:lineRule="atLeast"/>
        <w:ind w:firstLine="480" w:firstLineChars="200"/>
        <w:rPr>
          <w:bCs/>
          <w:color w:val="auto"/>
          <w:szCs w:val="24"/>
        </w:rPr>
      </w:pPr>
      <w:bookmarkStart w:id="32" w:name="_Toc296551345"/>
      <w:bookmarkStart w:id="33" w:name="_Toc44321708"/>
      <w:r w:rsidRPr="006021A8">
        <w:rPr>
          <w:rFonts w:hint="eastAsia"/>
          <w:bCs/>
          <w:color w:val="auto"/>
          <w:szCs w:val="24"/>
        </w:rPr>
        <w:t>第九条 基金收益分配</w:t>
      </w:r>
      <w:bookmarkEnd w:id="32"/>
      <w:bookmarkEnd w:id="33"/>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9.1基金利润的构成</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基金利润指基金所投资证券投资基金的分红收入、</w:t>
      </w:r>
      <w:r w:rsidRPr="006021A8">
        <w:rPr>
          <w:rFonts w:hint="eastAsia"/>
          <w:bCs/>
        </w:rPr>
        <w:t>股息、</w:t>
      </w:r>
      <w:r w:rsidRPr="006021A8">
        <w:rPr>
          <w:rFonts w:hAnsi="宋体" w:hint="eastAsia"/>
          <w:szCs w:val="24"/>
        </w:rPr>
        <w:t>利息收入、投资收益、公允价值变动收益和其他收入扣除相关费用后的余额，基金已实现收益指基金利润减去公允价值变动收益后的余额。</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9.2基金可供分配利润</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基金可供分配利润指截至收益分配基准日基金未分配利润与未分配利润中已实现收益的孰低数。</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9.3收益分配原则</w:t>
      </w:r>
    </w:p>
    <w:p w:rsidP="002867C4" w:rsidR="002867C4" w:rsidRPr="006021A8">
      <w:pPr>
        <w:adjustRightInd w:val="0"/>
        <w:snapToGrid w:val="0"/>
        <w:spacing w:line="520" w:lineRule="atLeast"/>
        <w:ind w:firstLine="540" w:firstLineChars="225"/>
        <w:rPr>
          <w:rFonts w:ascii="宋体" w:hAnsi="宋体"/>
          <w:bCs/>
          <w:sz w:val="24"/>
          <w:szCs w:val="24"/>
        </w:rPr>
      </w:pPr>
      <w:r w:rsidRPr="006021A8">
        <w:rPr>
          <w:rFonts w:ascii="宋体" w:hAnsi="宋体" w:hint="eastAsia"/>
          <w:bCs/>
          <w:sz w:val="24"/>
          <w:szCs w:val="24"/>
        </w:rPr>
        <w:t>（1）在符合有关基金分红条件的前提下，本基金可以根据实际情况进行收益分配，具体分配方案以公告为准，若《基金合同》生效不满3个月可不进行收益分配；</w:t>
      </w:r>
    </w:p>
    <w:p w:rsidP="002867C4" w:rsidR="002867C4" w:rsidRPr="006021A8">
      <w:pPr>
        <w:adjustRightInd w:val="0"/>
        <w:snapToGrid w:val="0"/>
        <w:spacing w:line="520" w:lineRule="atLeast"/>
        <w:ind w:firstLine="540" w:firstLineChars="225"/>
        <w:rPr>
          <w:rFonts w:ascii="宋体" w:hAnsi="宋体"/>
          <w:bCs/>
          <w:sz w:val="24"/>
          <w:szCs w:val="24"/>
        </w:rPr>
      </w:pPr>
      <w:r w:rsidRPr="006021A8">
        <w:rPr>
          <w:rFonts w:ascii="宋体" w:hAnsi="宋体" w:hint="eastAsia"/>
          <w:bCs/>
          <w:sz w:val="24"/>
          <w:szCs w:val="24"/>
        </w:rPr>
        <w:t>（2）本基金收益分配方式分两种：现金分红与红利再投资，投资者可选择现金红利或将现金红利自动转为基金份额进行再投资；若投资者不选择，本基金默认的收益分配方式是现金分红；</w:t>
      </w:r>
    </w:p>
    <w:p w:rsidP="002867C4" w:rsidR="002867C4" w:rsidRPr="006021A8">
      <w:pPr>
        <w:adjustRightInd w:val="0"/>
        <w:snapToGrid w:val="0"/>
        <w:spacing w:line="520" w:lineRule="atLeast"/>
        <w:ind w:firstLine="540" w:firstLineChars="225"/>
        <w:rPr>
          <w:rFonts w:ascii="宋体" w:hAnsi="宋体"/>
          <w:bCs/>
          <w:sz w:val="24"/>
          <w:szCs w:val="24"/>
        </w:rPr>
      </w:pPr>
      <w:r w:rsidRPr="006021A8">
        <w:rPr>
          <w:rFonts w:ascii="宋体" w:hAnsi="宋体" w:hint="eastAsia"/>
          <w:bCs/>
          <w:sz w:val="24"/>
          <w:szCs w:val="24"/>
        </w:rPr>
        <w:t>（3）基金收益分配后基金份额净值不能低于面值，即基金收益分配基准日的基金份额净值减去每单位基金份额收益分配金额后不能低于面值；</w:t>
      </w:r>
    </w:p>
    <w:p w:rsidP="002867C4" w:rsidR="002867C4" w:rsidRPr="006021A8">
      <w:pPr>
        <w:adjustRightInd w:val="0"/>
        <w:snapToGrid w:val="0"/>
        <w:spacing w:line="520" w:lineRule="atLeast"/>
        <w:ind w:firstLine="540" w:firstLineChars="225"/>
        <w:rPr>
          <w:rFonts w:ascii="宋体" w:hAnsi="宋体"/>
          <w:bCs/>
          <w:sz w:val="24"/>
          <w:szCs w:val="24"/>
        </w:rPr>
      </w:pPr>
      <w:r w:rsidRPr="006021A8">
        <w:rPr>
          <w:rFonts w:ascii="宋体" w:hAnsi="宋体" w:hint="eastAsia"/>
          <w:bCs/>
          <w:sz w:val="24"/>
          <w:szCs w:val="24"/>
        </w:rPr>
        <w:t>（4）每一基金份额享有同等分配权；</w:t>
      </w:r>
    </w:p>
    <w:p w:rsidP="002867C4" w:rsidR="002867C4" w:rsidRPr="006021A8">
      <w:pPr>
        <w:adjustRightInd w:val="0"/>
        <w:snapToGrid w:val="0"/>
        <w:spacing w:line="520" w:lineRule="atLeast"/>
        <w:ind w:firstLine="540" w:firstLineChars="225"/>
        <w:rPr>
          <w:rFonts w:ascii="宋体" w:hAnsi="宋体"/>
          <w:bCs/>
          <w:sz w:val="24"/>
          <w:szCs w:val="24"/>
        </w:rPr>
      </w:pPr>
      <w:r w:rsidRPr="006021A8">
        <w:rPr>
          <w:rFonts w:ascii="宋体" w:hAnsi="宋体" w:hint="eastAsia"/>
          <w:bCs/>
          <w:sz w:val="24"/>
          <w:szCs w:val="24"/>
        </w:rPr>
        <w:t>（5）对于收益分配方式为红利再投资的基金份额，每份基金份额（原份额）红利再投资所获得的基金份额的持有期限，按该原份额的持有期限计算，即与原份额最短持有期到期日相同；</w:t>
      </w:r>
    </w:p>
    <w:p w:rsidP="002867C4" w:rsidR="002867C4" w:rsidRPr="006021A8">
      <w:pPr>
        <w:adjustRightInd w:val="0"/>
        <w:snapToGrid w:val="0"/>
        <w:spacing w:line="520" w:lineRule="atLeast"/>
        <w:ind w:firstLine="540" w:firstLineChars="225"/>
        <w:rPr>
          <w:rFonts w:ascii="宋体" w:hAnsi="宋体"/>
          <w:bCs/>
          <w:sz w:val="24"/>
          <w:szCs w:val="24"/>
        </w:rPr>
      </w:pPr>
      <w:r w:rsidRPr="006021A8">
        <w:rPr>
          <w:rFonts w:ascii="宋体" w:hAnsi="宋体" w:hint="eastAsia"/>
          <w:bCs/>
          <w:sz w:val="24"/>
          <w:szCs w:val="24"/>
        </w:rPr>
        <w:t>（6）在对基金份额持有人利益无实质不利影响的前提下，基金管理人可调整基金收益的分配原则和支付方式，不需召开基金份额持有人大会审议；</w:t>
      </w:r>
    </w:p>
    <w:p w:rsidP="002867C4" w:rsidR="002867C4" w:rsidRPr="006021A8">
      <w:pPr>
        <w:adjustRightInd w:val="0"/>
        <w:snapToGrid w:val="0"/>
        <w:spacing w:line="520" w:lineRule="atLeast"/>
        <w:ind w:firstLine="540" w:firstLineChars="225"/>
        <w:rPr>
          <w:rFonts w:ascii="宋体" w:hAnsi="宋体"/>
          <w:bCs/>
          <w:sz w:val="24"/>
          <w:szCs w:val="24"/>
        </w:rPr>
      </w:pPr>
      <w:r w:rsidRPr="006021A8">
        <w:rPr>
          <w:rFonts w:ascii="宋体" w:hAnsi="宋体" w:hint="eastAsia"/>
          <w:bCs/>
          <w:sz w:val="24"/>
          <w:szCs w:val="24"/>
        </w:rPr>
        <w:t>（7）法律法规或监管机关另有规定的，从其规定。</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9.4收益分配方案</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收益分配方案中应载明截止收益分配基准日的可供分配利润、收益分配对象、分配时间、分配数额及比例、分配方式等内容。</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9.5收益分配的时间和程序</w:t>
      </w:r>
    </w:p>
    <w:p w:rsidR="003C12F1" w:rsidRPr="006021A8">
      <w:pPr>
        <w:pStyle w:val="BodyTextIndent2"/>
        <w:adjustRightInd w:val="0"/>
        <w:snapToGrid w:val="0"/>
        <w:spacing w:after="0" w:before="0" w:line="520" w:lineRule="atLeast"/>
        <w:ind w:firstLine="480" w:firstLineChars="200" w:left="0"/>
        <w:rPr>
          <w:rFonts w:hAnsi="宋体"/>
          <w:bCs/>
          <w:szCs w:val="24"/>
        </w:rPr>
      </w:pPr>
      <w:r w:rsidRPr="006021A8">
        <w:rPr>
          <w:rFonts w:hAnsi="宋体" w:hint="eastAsia"/>
          <w:szCs w:val="24"/>
        </w:rPr>
        <w:t>9.5.1本基金收益分配方案由基金管理人拟定，并由基金托管人复核，在2日内在规定媒介公告</w:t>
      </w:r>
      <w:r w:rsidRPr="006021A8">
        <w:rPr>
          <w:rFonts w:hAnsi="宋体" w:hint="eastAsia"/>
          <w:bCs/>
          <w:szCs w:val="24"/>
        </w:rPr>
        <w:t>。</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9.5.2在收益分配方案公布后，基金管理人依据具体方案的规定就支付的现金红利向基金托管人发送划款指令，基金托管人按照基金管理人的指令及时进行分红资金的划付。基金托管人负责核对收益分配方案的总金额与划款指令金额一致，不对每个投资者的明细分配金额进行复核。</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9.5.3法律法规或监管机关另有规定的，从其规定。</w:t>
      </w:r>
    </w:p>
    <w:p w:rsidR="003C12F1" w:rsidRPr="006021A8">
      <w:pPr>
        <w:pStyle w:val="Heading1"/>
        <w:adjustRightInd w:val="0"/>
        <w:spacing w:line="520" w:lineRule="atLeast"/>
        <w:ind w:firstLine="480" w:firstLineChars="200"/>
        <w:rPr>
          <w:bCs/>
          <w:color w:val="auto"/>
          <w:szCs w:val="24"/>
        </w:rPr>
      </w:pPr>
      <w:bookmarkStart w:id="34" w:name="_Toc296551346"/>
      <w:bookmarkStart w:id="35" w:name="_Toc44321709"/>
      <w:r w:rsidRPr="006021A8">
        <w:rPr>
          <w:rFonts w:hint="eastAsia"/>
          <w:bCs/>
          <w:color w:val="auto"/>
          <w:szCs w:val="24"/>
        </w:rPr>
        <w:t>第十条 信息披露</w:t>
      </w:r>
      <w:bookmarkEnd w:id="34"/>
      <w:bookmarkEnd w:id="35"/>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10.1保密义务</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除按照《基金法》、</w:t>
      </w:r>
      <w:r w:rsidRPr="006021A8">
        <w:rPr>
          <w:rFonts w:asciiTheme="minorEastAsia" w:eastAsiaTheme="minorEastAsia" w:hAnsiTheme="minorEastAsia" w:hint="eastAsia"/>
          <w:szCs w:val="24"/>
        </w:rPr>
        <w:t>《运作办法》、</w:t>
      </w:r>
      <w:r w:rsidRPr="006021A8">
        <w:rPr>
          <w:rFonts w:hAnsi="宋体" w:hint="eastAsia"/>
          <w:szCs w:val="24"/>
        </w:rPr>
        <w:t>《信息披露办法》、《流动性风险管理规定》、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（1）非因基金管理人和基金托管人的原因导致保密信息被披露、泄露或公开；</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（2）基金管理人和基金托管人为遵守和服从法院判决或裁定、仲裁裁决或中国证监会等监管机构的命令、决定所做出的信息披露或公开。</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10.2基金管理人和基金托管人在信息披露中的职责和信息披露程序</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10.2.1基金管理人和基金托管人应根据相关法律法规、基金合同的规定各自承担相应的信息披露职责。基金管理人和基金托管人负有积极配合、互相督促、彼此监督、保证其履行按照法定方式和时限披露的义务。</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10.2.2本基金信息披露的文件主要包括基金招募说明书、基金产品资料概要、基金合同、托管协议、基金份额发售公告、基金合同生效公告、基金净值信息、基金份额申购、赎回价格、基金定期报告（包括基金年度报告、基金中期报告和基金季度报告）、临时报告、澄清公告、基金份额持有人大会决议、清算报告、投资证券投资基金的信息披露、投资资产支持证券信息披露、实施侧袋机制期间的信息披露以及中国证监会规定的其他信息。</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10.2.3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10.2.4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10.2.5基金年度报告中的财务报告部分，经符合《中华人民共和国证券法》规定的会计师事务所审计后，方可披露。</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10.2.6基金管理人应当在中国证监会规定的时间内，将应予披露的基金信息通过基金管理人网站和中国证监会规定媒介披露。根据法律法规应由基金托管人公开披露的信息，基金托管人将通过中国证监会规定媒介公开披露。</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10.2.7依法必须披露的信息发布后，基金管理人、基金托管人应当按照相关法律法规规定将信息置备于各自住所，供社会公众查阅、复制。投资者在支付工本费后可在合理时间获得上述文件的复制件或复印件。基金管理人和基金托管人应保证文本的内容与所公告的内容完全一致。</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10.3暂停或延迟信息披露的情形</w:t>
      </w:r>
    </w:p>
    <w:p w:rsidR="00995F72"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（1）不可抗力或其他情形致使基金管理人、基金托管人无法准确评估基金资产价值时；</w:t>
      </w:r>
    </w:p>
    <w:p w:rsidP="00BE27F4" w:rsidR="00221AB5"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（2）基金投资所涉及的证券交易市场遇法定节假日或因其他原因暂停营业时；</w:t>
      </w:r>
    </w:p>
    <w:p w:rsidP="00BE27F4" w:rsidR="00995F72"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w:t>
      </w:r>
      <w:r w:rsidRPr="006021A8">
        <w:rPr>
          <w:rFonts w:hAnsi="宋体"/>
          <w:szCs w:val="24"/>
        </w:rPr>
        <w:t>3</w:t>
      </w:r>
      <w:r w:rsidRPr="006021A8">
        <w:rPr>
          <w:rFonts w:hAnsi="宋体" w:hint="eastAsia"/>
          <w:szCs w:val="24"/>
        </w:rPr>
        <w:t>）基金合同约定的暂停估值的情形；</w:t>
      </w:r>
    </w:p>
    <w:p w:rsidP="00995F72" w:rsidR="00995F72"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w:t>
      </w:r>
      <w:r w:rsidRPr="006021A8">
        <w:rPr>
          <w:rFonts w:hAnsi="宋体"/>
          <w:szCs w:val="24"/>
        </w:rPr>
        <w:t>4</w:t>
      </w:r>
      <w:r w:rsidRPr="006021A8">
        <w:rPr>
          <w:rFonts w:hAnsi="宋体" w:hint="eastAsia"/>
          <w:szCs w:val="24"/>
        </w:rPr>
        <w:t>）法律法规规定、中国证监会或《基金合同》认定的其他情形。</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10.4基金托管人报告</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基金托管人应按《基金法》、《运作办法》、《信息披露办法》和其他有关法律法规的规定于每个上半年度结束后两个月内、每个会计年度结束后三个月内在基金中</w:t>
      </w:r>
      <w:r w:rsidRPr="006021A8">
        <w:rPr>
          <w:rFonts w:hAnsi="宋体" w:hint="eastAsia"/>
          <w:szCs w:val="24"/>
        </w:rPr>
        <w:t>期报告及年度报告中分别出具基金托管人报告，并提交给基金管理人。</w:t>
      </w:r>
    </w:p>
    <w:p w:rsidR="003C12F1" w:rsidRPr="006021A8">
      <w:pPr>
        <w:pStyle w:val="Heading1"/>
        <w:adjustRightInd w:val="0"/>
        <w:spacing w:line="520" w:lineRule="atLeast"/>
        <w:ind w:firstLine="480" w:firstLineChars="200"/>
        <w:rPr>
          <w:bCs/>
          <w:color w:val="auto"/>
          <w:szCs w:val="24"/>
        </w:rPr>
      </w:pPr>
      <w:bookmarkStart w:id="36" w:name="_Toc296551347"/>
      <w:bookmarkStart w:id="37" w:name="_Toc44321710"/>
      <w:r w:rsidRPr="006021A8">
        <w:rPr>
          <w:rFonts w:hint="eastAsia"/>
          <w:bCs/>
          <w:color w:val="auto"/>
          <w:szCs w:val="24"/>
        </w:rPr>
        <w:t>第十一条 基金费用</w:t>
      </w:r>
      <w:bookmarkEnd w:id="36"/>
      <w:bookmarkEnd w:id="37"/>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11.1基金管理费的计提比例和计提方法</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本基金的管理费按前一日基金资产净值的</w:t>
      </w:r>
      <w:r w:rsidRPr="006021A8">
        <w:rPr>
          <w:rFonts w:hAnsi="宋体"/>
          <w:szCs w:val="24"/>
        </w:rPr>
        <w:t>0.80%</w:t>
      </w:r>
      <w:r w:rsidRPr="006021A8">
        <w:rPr>
          <w:rFonts w:hAnsi="宋体" w:hint="eastAsia"/>
          <w:szCs w:val="24"/>
        </w:rPr>
        <w:t>年费率计提，但本基金投资于基金管理人所管理的其他基金的部分不收取管理费。管理费的计算方法如下：</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H＝E×</w:t>
      </w:r>
      <w:r w:rsidRPr="006021A8">
        <w:rPr>
          <w:rFonts w:hAnsi="宋体"/>
          <w:szCs w:val="24"/>
        </w:rPr>
        <w:t>0.80%</w:t>
      </w:r>
      <w:r w:rsidRPr="006021A8">
        <w:rPr>
          <w:rFonts w:hAnsi="宋体" w:hint="eastAsia"/>
          <w:szCs w:val="24"/>
        </w:rPr>
        <w:t>÷当年天数</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H为每日应计提的基金管理费</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E为前一日的基金资产净值中扣除本基金持有的基金管理人自身管理的其他基金部分（若为负数，则取0）</w:t>
      </w:r>
    </w:p>
    <w:p w:rsidR="003C12F1" w:rsidRPr="006021A8">
      <w:pPr>
        <w:pStyle w:val="BodyTextIndent2"/>
        <w:adjustRightInd w:val="0"/>
        <w:snapToGrid w:val="0"/>
        <w:spacing w:after="0" w:before="0" w:line="520" w:lineRule="atLeast"/>
        <w:ind w:firstLine="480" w:firstLineChars="200" w:left="0"/>
        <w:rPr>
          <w:rFonts w:hAnsi="宋体"/>
          <w:szCs w:val="24"/>
        </w:rPr>
      </w:pPr>
      <w:bookmarkStart w:id="38" w:name="_Hlk102917020"/>
      <w:r w:rsidRPr="006021A8">
        <w:rPr>
          <w:rFonts w:hAnsi="宋体" w:hint="eastAsia"/>
          <w:szCs w:val="24"/>
        </w:rPr>
        <w:t>基金管理费每日计提，逐日累计至每月月末，按月支付，由基金托管人根据与基金管理人核对一致的财务数据，自动在次月首日起5个工作日内按照指定的账户路径进行资金支付，基金管理人无需再出具资金划拨指令。若遇法定节假日、公休假等，支付日期顺延</w:t>
      </w:r>
      <w:bookmarkEnd w:id="38"/>
      <w:r w:rsidRPr="006021A8">
        <w:rPr>
          <w:rFonts w:hAnsi="宋体" w:hint="eastAsia"/>
          <w:szCs w:val="24"/>
        </w:rPr>
        <w:t>。</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11.2基金托管费的计提比例和计提方法</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本基金的托管费按前一日基金资产净值的</w:t>
      </w:r>
      <w:r w:rsidRPr="006021A8">
        <w:rPr>
          <w:bCs/>
        </w:rPr>
        <w:t>0.15%</w:t>
      </w:r>
      <w:r w:rsidRPr="006021A8">
        <w:rPr>
          <w:rFonts w:hAnsi="宋体" w:hint="eastAsia"/>
          <w:szCs w:val="24"/>
        </w:rPr>
        <w:t>的年费率计提，但本基金投资于基金托管人所托管的其他公开募集证券投资基金的部分不收取托管费。托管费的计算方法如下：</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H＝E×</w:t>
      </w:r>
      <w:r w:rsidRPr="006021A8">
        <w:rPr>
          <w:bCs/>
        </w:rPr>
        <w:t>0.15%</w:t>
      </w:r>
      <w:r w:rsidRPr="006021A8">
        <w:rPr>
          <w:rFonts w:hAnsi="宋体" w:hint="eastAsia"/>
          <w:szCs w:val="24"/>
        </w:rPr>
        <w:t>÷当年天数</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H为每日应计提的基金托管费</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E为前一日的基金资产净值中扣除本基金持有的基金托管人自身托管的其他公开募集证券投资基金部分（若为负数，则取0）</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基金托管费每日计提，逐日累计至每月月末，按月支付，由基金托管人根据与基金管理人核对一致的财务数据，自动在次月首日起5个工作日内按照指定的账户路径进行资金支付，基金管理人无需再出具资金划拨指令。若遇法定节假日、公休日等，支付日期顺延。</w:t>
      </w:r>
    </w:p>
    <w:p w:rsidP="00BE27F4" w:rsidR="008335DA"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11.</w:t>
      </w:r>
      <w:r w:rsidRPr="006021A8">
        <w:rPr>
          <w:rFonts w:hAnsi="宋体"/>
          <w:szCs w:val="24"/>
        </w:rPr>
        <w:t>3</w:t>
      </w:r>
      <w:r w:rsidRPr="006021A8">
        <w:rPr>
          <w:rFonts w:hAnsi="宋体" w:hint="eastAsia"/>
          <w:szCs w:val="24"/>
        </w:rPr>
        <w:t xml:space="preserve"> 基金合同生效后与基金相关的信息披露费用、基金合同生效后与基金相关的会计师费、律师费、诉讼费和仲裁费等、基金份额持有人大会费用、基金的证券交易费用、基金的银行汇划费用、基金的开户费用、账户维护费用、基金投资其</w:t>
      </w:r>
      <w:r w:rsidRPr="006021A8">
        <w:rPr>
          <w:rFonts w:hAnsi="宋体" w:hint="eastAsia"/>
          <w:szCs w:val="24"/>
        </w:rPr>
        <w:t>他基金产生的相关费用（包括但不限于申购费、赎回费等），但法律法规禁止从基金财产中列支的除外等根据有关法律法规、基金合同及相应协议的规定，由基金托管人按基金管理人的划款指令并根据费用实际支出金额支付，列入或摊入当期基金费用。</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11.</w:t>
      </w:r>
      <w:r w:rsidRPr="006021A8">
        <w:rPr>
          <w:rFonts w:hAnsi="宋体"/>
          <w:szCs w:val="24"/>
        </w:rPr>
        <w:t>4</w:t>
      </w:r>
      <w:r w:rsidRPr="006021A8">
        <w:rPr>
          <w:rFonts w:hAnsi="宋体" w:hint="eastAsia"/>
          <w:szCs w:val="24"/>
        </w:rPr>
        <w:t>不列入基金费用的项目</w:t>
      </w:r>
    </w:p>
    <w:p w:rsidP="00BE27F4" w:rsidR="00BC1547"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（1）基金管理人和基金托管人因未履行或未完全履行义务导致的费用支出或基金财产的损失；</w:t>
      </w:r>
    </w:p>
    <w:p w:rsidP="00BE27F4" w:rsidR="00BC1547"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（2）基金管理人和基金托管人处理与基金运作无关的事项发生的费用；</w:t>
      </w:r>
    </w:p>
    <w:p w:rsidP="00BE27F4" w:rsidR="00BC1547"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（3）《基金合同》生效前的相关费用；</w:t>
      </w:r>
    </w:p>
    <w:p w:rsidP="00BC1547" w:rsidR="00BC1547"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（4）其他根据相关法律法规及中国证监会的有关规定不得列入基金费用的项目。</w:t>
      </w:r>
    </w:p>
    <w:p w:rsidP="00BC1547" w:rsidR="009611E8"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基金管理人运用基金财产申购自身管理的其他基金的（ETF除外），应当通过直销渠道申购且不得收取申购费、赎回费（按照相关法规、招募说明书约定应当收取并计入基金财产的赎回费用除外）、销售服务费等销售费用。</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11.</w:t>
      </w:r>
      <w:r w:rsidRPr="006021A8">
        <w:rPr>
          <w:rFonts w:hAnsi="宋体"/>
          <w:szCs w:val="24"/>
        </w:rPr>
        <w:t>5</w:t>
      </w:r>
      <w:r w:rsidRPr="006021A8">
        <w:rPr>
          <w:rFonts w:hAnsi="宋体" w:hint="eastAsia"/>
          <w:szCs w:val="24"/>
        </w:rPr>
        <w:t>基金管理费和基金托管费的调整</w:t>
      </w:r>
    </w:p>
    <w:p w:rsidR="003C12F1" w:rsidRPr="006021A8">
      <w:pPr>
        <w:adjustRightInd w:val="0"/>
        <w:snapToGrid w:val="0"/>
        <w:spacing w:line="520" w:lineRule="atLeast"/>
        <w:ind w:firstLine="480" w:firstLineChars="200"/>
        <w:rPr>
          <w:rFonts w:ascii="宋体" w:hAnsi="宋体"/>
          <w:bCs/>
          <w:sz w:val="24"/>
          <w:szCs w:val="24"/>
        </w:rPr>
      </w:pPr>
      <w:r w:rsidRPr="006021A8">
        <w:rPr>
          <w:rFonts w:ascii="宋体" w:hAnsi="宋体" w:hint="eastAsia"/>
          <w:bCs/>
          <w:sz w:val="24"/>
          <w:szCs w:val="24"/>
        </w:rPr>
        <w:t>在不对基金份额持有人权益产生实质性不利影响的情况下，基金管理人和基金托管人协商一致且在履行适当程序后，可按照基金发展情况，并根据法律法规规定和基金合同约定酌情调整基金管理费率、基金托管费率等相关费率。</w:t>
      </w:r>
    </w:p>
    <w:p w:rsidR="003C12F1" w:rsidRPr="006021A8">
      <w:pPr>
        <w:adjustRightInd w:val="0"/>
        <w:snapToGrid w:val="0"/>
        <w:spacing w:line="520" w:lineRule="atLeast"/>
        <w:ind w:firstLine="480" w:firstLineChars="200"/>
        <w:rPr>
          <w:rFonts w:ascii="宋体" w:hAnsi="宋体"/>
          <w:bCs/>
          <w:sz w:val="24"/>
          <w:szCs w:val="24"/>
        </w:rPr>
      </w:pPr>
      <w:r w:rsidRPr="006021A8">
        <w:rPr>
          <w:rFonts w:ascii="宋体" w:hAnsi="宋体" w:hint="eastAsia"/>
          <w:bCs/>
          <w:sz w:val="24"/>
          <w:szCs w:val="24"/>
        </w:rPr>
        <w:t>基金管理人必须于新的费率实施日前依照《信息披露办法》的规定在规定媒介上公告。</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11.</w:t>
      </w:r>
      <w:r w:rsidRPr="006021A8">
        <w:rPr>
          <w:rFonts w:hAnsi="宋体"/>
          <w:szCs w:val="24"/>
        </w:rPr>
        <w:t>6</w:t>
      </w:r>
      <w:r w:rsidRPr="006021A8">
        <w:rPr>
          <w:rFonts w:hAnsi="宋体" w:hint="eastAsia"/>
          <w:szCs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rsidR="003C12F1" w:rsidRPr="006021A8">
      <w:pPr>
        <w:pStyle w:val="Heading1"/>
        <w:adjustRightInd w:val="0"/>
        <w:spacing w:line="520" w:lineRule="atLeast"/>
        <w:ind w:firstLine="480" w:firstLineChars="200"/>
        <w:rPr>
          <w:bCs/>
          <w:color w:val="auto"/>
          <w:szCs w:val="24"/>
        </w:rPr>
      </w:pPr>
      <w:bookmarkStart w:id="39" w:name="_Toc296551348"/>
      <w:bookmarkStart w:id="40" w:name="_Toc44321711"/>
      <w:r w:rsidRPr="006021A8">
        <w:rPr>
          <w:rFonts w:hint="eastAsia"/>
          <w:bCs/>
          <w:color w:val="auto"/>
          <w:szCs w:val="24"/>
        </w:rPr>
        <w:t>第十二条 基金份额持有人名册的保管</w:t>
      </w:r>
      <w:bookmarkEnd w:id="39"/>
      <w:bookmarkEnd w:id="40"/>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12.1基金管理人和基金托管人须分别妥善保管基金份额持有人名册，基金份额持有人名册的内容必须包括基金份额持有人的名称和持有的基金份额。</w:t>
      </w:r>
    </w:p>
    <w:p w:rsidP="004351DF" w:rsidR="004351DF"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12.2对于每半年度最后一个工作日的基金份额持有人名册，基金管理人应在每半年度结束后5个工作日内定期向基金托管人提供。对于基金募集期结束时的基</w:t>
      </w:r>
      <w:r w:rsidRPr="006021A8">
        <w:rPr>
          <w:rFonts w:hAnsi="宋体" w:hint="eastAsia"/>
          <w:szCs w:val="24"/>
        </w:rPr>
        <w:t>金份额持有人名册、收益分配基准日的基金份额持有人名册以及基金份额持有人大会权益登记日的基金份额持有人名册，基金管理人应在相关名册生成后5个工作日内向基金托管人提供。</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12.</w:t>
      </w:r>
      <w:r w:rsidRPr="006021A8">
        <w:rPr>
          <w:rFonts w:hAnsi="宋体"/>
          <w:szCs w:val="24"/>
        </w:rPr>
        <w:t>3</w:t>
      </w:r>
      <w:r w:rsidRPr="006021A8">
        <w:rPr>
          <w:rFonts w:hAnsi="宋体" w:hint="eastAsia"/>
          <w:szCs w:val="24"/>
        </w:rPr>
        <w:t>基金份额持有人名册由基金的基金登记机构根据基金管理人的指令编制和保管，基金管理人和基金托管人应按照目前相关规则分别保管基金份额持有人名册。保管方式可以采用电子或文档的形式。保管期限为</w:t>
      </w:r>
      <w:r w:rsidRPr="006021A8">
        <w:rPr>
          <w:rFonts w:hAnsi="宋体"/>
          <w:szCs w:val="24"/>
        </w:rPr>
        <w:t>20</w:t>
      </w:r>
      <w:r w:rsidRPr="006021A8">
        <w:rPr>
          <w:rFonts w:hAnsi="宋体" w:hint="eastAsia"/>
          <w:szCs w:val="24"/>
        </w:rPr>
        <w:t>年，法律法规或监管规则另有规定的，从其规定。</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12.</w:t>
      </w:r>
      <w:r w:rsidRPr="006021A8">
        <w:rPr>
          <w:rFonts w:hAnsi="宋体"/>
          <w:szCs w:val="24"/>
        </w:rPr>
        <w:t>4</w:t>
      </w:r>
      <w:r w:rsidRPr="006021A8">
        <w:rPr>
          <w:rFonts w:hAnsi="宋体" w:hint="eastAsia"/>
          <w:szCs w:val="24"/>
        </w:rPr>
        <w:t>若基金管理人或基金托管人由于自身原因无法妥善保管基金份额持有人名册，应按有关法规规定各自承担相应的责任。</w:t>
      </w:r>
    </w:p>
    <w:p w:rsidR="003C12F1" w:rsidRPr="006021A8">
      <w:pPr>
        <w:pStyle w:val="Heading1"/>
        <w:adjustRightInd w:val="0"/>
        <w:spacing w:line="520" w:lineRule="atLeast"/>
        <w:ind w:firstLine="480" w:firstLineChars="200"/>
        <w:rPr>
          <w:bCs/>
          <w:color w:val="auto"/>
          <w:szCs w:val="24"/>
        </w:rPr>
      </w:pPr>
      <w:bookmarkStart w:id="41" w:name="_Toc296551349"/>
      <w:bookmarkStart w:id="42" w:name="_Toc44321712"/>
      <w:r w:rsidRPr="006021A8">
        <w:rPr>
          <w:rFonts w:hint="eastAsia"/>
          <w:bCs/>
          <w:color w:val="auto"/>
          <w:szCs w:val="24"/>
        </w:rPr>
        <w:t>第十三条 基金有关文件和档案的保存</w:t>
      </w:r>
      <w:bookmarkEnd w:id="41"/>
      <w:bookmarkEnd w:id="42"/>
    </w:p>
    <w:p w:rsidP="00B52C46"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13.1基金管理人、基金托管人按各自职责完整保存原始凭证、记账凭证、基金账册、交易记录和重要合同等，保存期限不少于</w:t>
      </w:r>
      <w:r w:rsidRPr="006021A8">
        <w:rPr>
          <w:rFonts w:hAnsi="宋体"/>
          <w:szCs w:val="24"/>
        </w:rPr>
        <w:t>20</w:t>
      </w:r>
      <w:r w:rsidRPr="006021A8">
        <w:rPr>
          <w:rFonts w:hAnsi="宋体" w:hint="eastAsia"/>
          <w:szCs w:val="24"/>
        </w:rPr>
        <w:t>年，法律法规或监管规则另有规定的，从其规定。基金管理人、基金托管人对相关信息负有保密义务，但根据有关法律法规规定或有权机关要求披露的除外。其中，基金管理人应保存基金财产管理业务活动的记录、账册、报表和其他相关资料，基金托管人应保存基金托管业务活动的记录、账册、报表和其他相关资料。</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13.2基金管理人签署重大合同文本后，应及时将合同文本正本送达基金托管人处。基金管理人应及时将与本基金账务处理、资金划拨等有关的合同、协议传真给基金托管人。</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13.3基金管理人或基金托管人变更后，未变更的一方有义务协助接任人接收基金的有关文件。</w:t>
      </w:r>
    </w:p>
    <w:p w:rsidR="003C12F1" w:rsidRPr="006021A8">
      <w:pPr>
        <w:pStyle w:val="Heading1"/>
        <w:adjustRightInd w:val="0"/>
        <w:spacing w:line="520" w:lineRule="atLeast"/>
        <w:ind w:firstLine="480" w:firstLineChars="200"/>
        <w:rPr>
          <w:bCs/>
          <w:color w:val="auto"/>
          <w:szCs w:val="24"/>
        </w:rPr>
      </w:pPr>
      <w:bookmarkStart w:id="43" w:name="_Toc296551350"/>
      <w:bookmarkStart w:id="44" w:name="_Toc44321713"/>
      <w:r w:rsidRPr="006021A8">
        <w:rPr>
          <w:rFonts w:hint="eastAsia"/>
          <w:bCs/>
          <w:color w:val="auto"/>
          <w:szCs w:val="24"/>
        </w:rPr>
        <w:t>第十四条 基金管理人和基金托管人的更换</w:t>
      </w:r>
      <w:bookmarkEnd w:id="43"/>
      <w:bookmarkEnd w:id="44"/>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14.1基金管理人的更换</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14.1.1基金管理人的更换条件</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有下列情形之一的，基金管理人职责终止：</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（1）基金管理人被依法取消基金管理资格；</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（2）基金管理人依法解散、被依法撤销或被依法宣告破产；</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（3）基金管理人被基金份额持有人大会解任；</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（4）法律法规</w:t>
      </w:r>
      <w:r w:rsidRPr="006021A8">
        <w:rPr>
          <w:rFonts w:hAnsi="宋体" w:hint="eastAsia"/>
          <w:bCs/>
          <w:szCs w:val="24"/>
        </w:rPr>
        <w:t>及中国证监会规定的</w:t>
      </w:r>
      <w:r w:rsidRPr="006021A8">
        <w:rPr>
          <w:rFonts w:hAnsi="宋体" w:hint="eastAsia"/>
          <w:szCs w:val="24"/>
        </w:rPr>
        <w:t>和基金合同约定的其他情形。</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14.1.2基金管理人的更换程序</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更换基金管理人必须依照如下程序进行：</w:t>
      </w:r>
    </w:p>
    <w:p w:rsidP="00BE27F4" w:rsidR="00056725"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（1）提名：新任基金管理人由基金托管人或由单独或合计持有10%以上（含10%）基金份额的基金份额持有人提名；</w:t>
      </w:r>
    </w:p>
    <w:p w:rsidP="00BE27F4" w:rsidR="00056725"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rsidP="00BE27F4" w:rsidR="00056725"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（3）临时基金管理人：新任基金管理人产生之前，由中国证监会指定临时基金管理人；</w:t>
      </w:r>
    </w:p>
    <w:p w:rsidP="00BE27F4" w:rsidR="00056725"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（4）备案：基金份额持有人大会更换基金管理人的决议须报中国证监会备案；</w:t>
      </w:r>
    </w:p>
    <w:p w:rsidP="00BE27F4" w:rsidR="00056725"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（5）公告：基金管理人更换后，由基金托管人在更换基金管理人的基金份额持有人大会决议生效后2日内在规定媒介公告；</w:t>
      </w:r>
    </w:p>
    <w:p w:rsidP="00BE27F4" w:rsidR="00056725"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6）交接与责任划分：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基金管理人、临时基金管理人、新任基金管理人应对各自履职行为依法承担责任；</w:t>
      </w:r>
    </w:p>
    <w:p w:rsidP="00BE27F4" w:rsidR="00056725"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（7）审计：基金管理人职责终止的，应当按照法律法规规定聘请会计师事务所对基金财产进行审计，并将审计结果予以公告，同时报中国证监会备案，审计费用从基金财产中列支；</w:t>
      </w:r>
    </w:p>
    <w:p w:rsidP="00056725" w:rsidR="00056725"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（8）基金名称变更：基金管理人更换后，如果原任或新任基金管理人要求，应按其要求替换或删除基金名称中与原任基金管理人有关的名称字样。</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14.2基金托管人的更换</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14.2.1基金托管人的更换条件</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有下列情形之一的，基金托管人职责终止：</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（1）基金托管人被依法取消基金托管资格；</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（2）基金托管人依法解散、被依法撤销或被依法宣告破产；</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（3）基金托管人被基金份额持有人大会解任；</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（4）法律法规</w:t>
      </w:r>
      <w:r w:rsidRPr="006021A8">
        <w:rPr>
          <w:rFonts w:hAnsi="宋体" w:hint="eastAsia"/>
          <w:bCs/>
          <w:szCs w:val="24"/>
        </w:rPr>
        <w:t>及中国证监会规定的</w:t>
      </w:r>
      <w:r w:rsidRPr="006021A8">
        <w:rPr>
          <w:rFonts w:hAnsi="宋体" w:hint="eastAsia"/>
          <w:szCs w:val="24"/>
        </w:rPr>
        <w:t>和基金合同约定的其他情形。</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14.2.2基金托管人的更换程序</w:t>
      </w:r>
    </w:p>
    <w:p w:rsidP="00BE27F4" w:rsidR="006C048E"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（1）提名：新任基金托管人由基金管理人或由单独或合计持有10%以上（含10%）基金份额的基金份额持有人提名；</w:t>
      </w:r>
    </w:p>
    <w:p w:rsidP="00BE27F4" w:rsidR="006C048E"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rsidP="00BE27F4" w:rsidR="006C048E"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（3）临时基金托管人：新任基金托管人产生之前，由中国证监会指定临时基金托管人；</w:t>
      </w:r>
    </w:p>
    <w:p w:rsidP="00BE27F4" w:rsidR="006C048E"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（4）备案：基金份额持有人大会更换基金托管人的决议须报中国证监会备案；</w:t>
      </w:r>
    </w:p>
    <w:p w:rsidP="00BE27F4" w:rsidR="006C048E"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（5）公告：基金托管人更换后，由基金管理人在更换基金托管人的基金份额持有人大会决议生效后2日内在规定媒介公告；</w:t>
      </w:r>
    </w:p>
    <w:p w:rsidP="00BE27F4" w:rsidR="006C048E"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 xml:space="preserve">（6）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 </w:t>
      </w:r>
    </w:p>
    <w:p w:rsidP="006C048E"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（7）审计：基金托管人职责终止的，应当按照法律法规规定聘请会计师事务所对基金财产进行审计，并将审计结果予以公告，同时报中国证监会备案，审计费用从基金财产中列支。</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14.3基金管理人与基金托管人同时更换</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14.3.1提名：如果基金管理人和基金托管人同时更换，由单独或合计持有基金总份额10%以上</w:t>
      </w:r>
      <w:r w:rsidRPr="006021A8">
        <w:rPr>
          <w:rFonts w:hAnsi="宋体" w:hint="eastAsia"/>
          <w:bCs/>
          <w:szCs w:val="24"/>
        </w:rPr>
        <w:t>（含10%）</w:t>
      </w:r>
      <w:r w:rsidRPr="006021A8">
        <w:rPr>
          <w:rFonts w:hAnsi="宋体" w:hint="eastAsia"/>
          <w:szCs w:val="24"/>
        </w:rPr>
        <w:t>的基金份额持有人提名新的基金管理人和基金托管人。</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14.3.2基金管理人和基金托管人的更换分别按上述程序进行。</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14.3.3公告：新任基金管理人和新任基金托管人应在更换基金管理人和基金托管人的基金份额持有人大会决议生效后2日内在规定媒介上联合公告。</w:t>
      </w:r>
    </w:p>
    <w:p w:rsidR="003C12F1" w:rsidRPr="006021A8">
      <w:pPr>
        <w:pStyle w:val="BodyTextIndent2"/>
        <w:adjustRightInd w:val="0"/>
        <w:snapToGrid w:val="0"/>
        <w:spacing w:after="0" w:before="0" w:line="520" w:lineRule="atLeast"/>
        <w:ind w:firstLine="480" w:firstLineChars="200" w:left="0"/>
        <w:rPr>
          <w:rFonts w:hAnsi="宋体"/>
          <w:bCs/>
          <w:szCs w:val="24"/>
        </w:rPr>
      </w:pPr>
      <w:r w:rsidRPr="006021A8">
        <w:rPr>
          <w:rFonts w:hAnsi="宋体" w:hint="eastAsia"/>
          <w:szCs w:val="24"/>
        </w:rPr>
        <w:t>14.4新基金管理人或临时基金管理人接收基金管理业务，或新基金托管人或临时基金托管人接收基金财产和基金托管业务前，原基金管理人或原基金托管人应</w:t>
      </w:r>
      <w:r w:rsidRPr="006021A8">
        <w:rPr>
          <w:rFonts w:hAnsi="宋体" w:hint="eastAsia"/>
          <w:szCs w:val="24"/>
        </w:rPr>
        <w:t>依据法律法规和基金合同的规定继续履行相关职责，并保证不做出对基金份额持有人的利益造成损害的行为。</w:t>
      </w:r>
      <w:r w:rsidRPr="006021A8">
        <w:rPr>
          <w:rFonts w:hAnsi="宋体" w:hint="eastAsia"/>
          <w:bCs/>
          <w:szCs w:val="24"/>
        </w:rPr>
        <w:t>原基金管理人或原基金托管人在继续履行相关职责期间，仍有权按照基金合同的规定收取基金管理费或基金托管费。</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14.5本部分关于基金管理人、基金托管人更换条件和程序的约定，凡是直接引用法律法规或监管规则的部分，如将来法律法规或监管规则修改导致相关内容被取消或变更的，基金管理人与基金托管人协商一致并履行适当程序后，可直接对相应内容进行修改和调整，无需召开基金份额持有人大会审议。</w:t>
      </w:r>
    </w:p>
    <w:p w:rsidR="003C12F1" w:rsidRPr="006021A8">
      <w:pPr>
        <w:pStyle w:val="Heading1"/>
        <w:adjustRightInd w:val="0"/>
        <w:spacing w:line="520" w:lineRule="atLeast"/>
        <w:ind w:firstLine="480" w:firstLineChars="200"/>
        <w:rPr>
          <w:bCs/>
          <w:color w:val="auto"/>
          <w:szCs w:val="24"/>
        </w:rPr>
      </w:pPr>
      <w:bookmarkStart w:id="45" w:name="_Toc296551351"/>
      <w:bookmarkStart w:id="46" w:name="_Toc44321714"/>
      <w:r w:rsidRPr="006021A8">
        <w:rPr>
          <w:rFonts w:hint="eastAsia"/>
          <w:bCs/>
          <w:color w:val="auto"/>
          <w:szCs w:val="24"/>
        </w:rPr>
        <w:t>第十五条 禁止行为</w:t>
      </w:r>
      <w:bookmarkEnd w:id="45"/>
      <w:bookmarkEnd w:id="46"/>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15.1基金管理人、基金托管人禁止从事的行为，包括但不限于：</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15.1.1基金管理人、基金托管人将其固有财产或者他人财产混同于基金财产从事证券投资。</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15.1.2基金管理人不公平地对待其管理的不同基金财产，基金托管人不公平地对待其托管的不同基金财产。</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15.1.3基金管理人、基金托管人利用基金财产或职务之便为基金份额持有人以外的第三人牟取利益。</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15.1.4基金管理人、基金托管人向基金份额持有人违规承诺收益或者承担损失。</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15.1.5基金管理人、基金托管人对他人泄露基金运作和管理过程中任何尚未按法律法规规定的方式公开披露的信息。</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15.1.6基金管理人在没有充足资金的情况下向基金托管人发出投资指令和赎回、分红资金的划拨指令，或违规向基金托管人发出指令。</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15.1.7基金管理人、基金托管人在行政上、财务上不独立，其高级管理人员和其他从业人员相互兼职。</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15.1.8基金托管人私自动用或处分基金财产，根据基金管理人的合法指令、基金合同或本协议的规定进行处分的除外。</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15.1.9基金财产用于下列投资或者活动：</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（1）承销证券；</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w:t>
      </w:r>
      <w:r w:rsidRPr="006021A8">
        <w:rPr>
          <w:rFonts w:hAnsi="宋体" w:hint="eastAsia"/>
          <w:bCs/>
          <w:szCs w:val="24"/>
        </w:rPr>
        <w:t>违反规定</w:t>
      </w:r>
      <w:r w:rsidRPr="006021A8">
        <w:rPr>
          <w:rFonts w:hAnsi="宋体" w:hint="eastAsia"/>
          <w:szCs w:val="24"/>
        </w:rPr>
        <w:t>向他人贷款或者提供担保；</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（3）从事承担无限责任的投资；</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w:t>
      </w:r>
      <w:r w:rsidRPr="006021A8">
        <w:rPr>
          <w:rFonts w:hAnsi="宋体"/>
          <w:szCs w:val="24"/>
        </w:rPr>
        <w:t>4</w:t>
      </w:r>
      <w:r w:rsidRPr="006021A8">
        <w:rPr>
          <w:rFonts w:hAnsi="宋体" w:hint="eastAsia"/>
          <w:szCs w:val="24"/>
        </w:rPr>
        <w:t>）向其基金管理人、基金托管人出资；</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w:t>
      </w:r>
      <w:r w:rsidRPr="006021A8">
        <w:rPr>
          <w:rFonts w:hAnsi="宋体"/>
          <w:szCs w:val="24"/>
        </w:rPr>
        <w:t>5</w:t>
      </w:r>
      <w:r w:rsidRPr="006021A8">
        <w:rPr>
          <w:rFonts w:hAnsi="宋体" w:hint="eastAsia"/>
          <w:szCs w:val="24"/>
        </w:rPr>
        <w:t>）从事内幕交易、操纵证券交易价格及其他不正当的证券交易活动；</w:t>
      </w:r>
    </w:p>
    <w:p w:rsidP="00BE27F4" w:rsidR="003426D0"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（6）持有具有复杂、衍生品性质的基金份额，包括分级基金和中国证监会认定的其他基金份额，但中国证监会认可或批准的特殊基金中基金除外；</w:t>
      </w:r>
    </w:p>
    <w:p w:rsidP="003426D0" w:rsidR="003426D0"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（7）投资其他基金中基金；</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w:t>
      </w:r>
      <w:r w:rsidRPr="006021A8">
        <w:rPr>
          <w:rFonts w:hAnsi="宋体"/>
          <w:szCs w:val="24"/>
        </w:rPr>
        <w:t>8</w:t>
      </w:r>
      <w:r w:rsidRPr="006021A8">
        <w:rPr>
          <w:rFonts w:hAnsi="宋体" w:hint="eastAsia"/>
          <w:szCs w:val="24"/>
        </w:rPr>
        <w:t>）法律、行政法规和中国证</w:t>
      </w:r>
      <w:r w:rsidRPr="006021A8">
        <w:rPr>
          <w:rFonts w:hAnsi="宋体" w:hint="eastAsia"/>
          <w:bCs/>
          <w:szCs w:val="24"/>
        </w:rPr>
        <w:t>监会规定禁止的其他活动</w:t>
      </w:r>
      <w:r w:rsidRPr="006021A8">
        <w:rPr>
          <w:rFonts w:hAnsi="宋体" w:hint="eastAsia"/>
          <w:szCs w:val="24"/>
        </w:rPr>
        <w:t>。</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15.1.10法律、行政法规或监管部门取消或调整上述禁止行为规定</w:t>
      </w:r>
      <w:r w:rsidRPr="006021A8">
        <w:rPr>
          <w:rFonts w:hAnsi="宋体" w:hint="eastAsia"/>
          <w:bCs/>
          <w:szCs w:val="24"/>
        </w:rPr>
        <w:t>，本基金可不受相关限制或以变更后的规定为准</w:t>
      </w:r>
      <w:r w:rsidRPr="006021A8">
        <w:rPr>
          <w:rFonts w:hAnsi="宋体" w:hint="eastAsia"/>
          <w:szCs w:val="24"/>
        </w:rPr>
        <w:t>。</w:t>
      </w:r>
    </w:p>
    <w:p w:rsidR="003C12F1" w:rsidRPr="006021A8">
      <w:pPr>
        <w:pStyle w:val="Heading1"/>
        <w:adjustRightInd w:val="0"/>
        <w:spacing w:line="520" w:lineRule="atLeast"/>
        <w:ind w:firstLine="480" w:firstLineChars="200"/>
        <w:rPr>
          <w:bCs/>
          <w:color w:val="auto"/>
          <w:szCs w:val="24"/>
        </w:rPr>
      </w:pPr>
      <w:bookmarkStart w:id="47" w:name="_Toc296551352"/>
      <w:bookmarkStart w:id="48" w:name="_Toc44321715"/>
      <w:r w:rsidRPr="006021A8">
        <w:rPr>
          <w:rFonts w:hint="eastAsia"/>
          <w:bCs/>
          <w:color w:val="auto"/>
          <w:szCs w:val="24"/>
        </w:rPr>
        <w:t>第十六条 本协议的变更、终止与基金财产的清算</w:t>
      </w:r>
      <w:bookmarkEnd w:id="47"/>
      <w:bookmarkEnd w:id="48"/>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16.1本协议的变更与终止</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16.1.1本协议的变更程序</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本协议双方当事人经协商一致，可以对协议的内容进行变更。变更后的托管协议，其内容不得与基金合同的规定有任何冲突。本协议的变更报中国证监会备案。</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16.1.2本协议终止的情形</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发生以下情况，本协议终止：</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（1）基金合同终止；</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（2）基金托管人解散、依法被撤销、破产或由其他基金托管人接管基金资产；</w:t>
      </w:r>
    </w:p>
    <w:p w:rsidP="00BE27F4" w:rsidR="004351DF"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（3）基金管理人解散、依法被撤销、破产或由其他基金管理人接管基金管理业务；</w:t>
      </w:r>
    </w:p>
    <w:p w:rsidP="00BE27F4" w:rsidR="004351DF"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（4）基金托管人发现基金管理人有下列情形的，经中国证监会允许，有权终止本协议，并要求基金管理人赔偿损失：</w:t>
      </w:r>
    </w:p>
    <w:p w:rsidP="00BE27F4" w:rsidR="004351DF"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①违反基金合同的投资目的，不当处分产品财产的；</w:t>
      </w:r>
    </w:p>
    <w:p w:rsidP="00BE27F4" w:rsidR="004351DF"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②未能遵守或履行基金合同及本协议约定的有关承诺、义务、陈述或保证；</w:t>
      </w:r>
    </w:p>
    <w:p w:rsidP="004351DF" w:rsidR="004351DF"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③被依法取消基金管理人资质或经营异常。</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w:t>
      </w:r>
      <w:r w:rsidRPr="006021A8">
        <w:rPr>
          <w:rFonts w:hAnsi="宋体"/>
          <w:szCs w:val="24"/>
        </w:rPr>
        <w:t>5</w:t>
      </w:r>
      <w:r w:rsidRPr="006021A8">
        <w:rPr>
          <w:rFonts w:hAnsi="宋体" w:hint="eastAsia"/>
          <w:szCs w:val="24"/>
        </w:rPr>
        <w:t>）发生法律法规或基金合同规定的终止事项。</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16.2基金财产的清算</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16.2.1基金财产清算小组</w:t>
      </w:r>
    </w:p>
    <w:p w:rsidP="00BE27F4" w:rsidR="007F6E8B"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（1）基金财产清算小组：自出现《基金合同》终止事由之日起30个工作日内成立清算小组，基金管理人组织基金财产清算小组并在中国证监会的监督下进行基金清算。</w:t>
      </w:r>
    </w:p>
    <w:p w:rsidP="00BE27F4" w:rsidR="007F6E8B"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基金财产清算小组组成：基金财产清算小组成员由基金管理人或临时基金管理人、基金托管人、符合《中华人民共和国证券法》规定的注册会计师、律师以及中国证监会指定的人员组成。基金财产清算小组可以聘用必要的工作人员。</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（3）基金财产清算小组职责：基金财产清算小组负责基金财产的保管、清理、估价、变现和分配。基金财产清算小组可以依法进行必要的民事活动。</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16.2.2基金财产清算程序</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基金合同终止，应当按法律法规和基金合同的有关规定对基金财产进行清算。基金财产清算程序主要包括：</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（1）基金财产清算小组成立后，由基金财产清算小组统一接管基金；</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（2）对基金财产和债权债务进行清理和确认；</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（3）对基金财产进行估值和变现；</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（4）制作清算报告；</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（5）聘请会计师事务所对清算报告进行外部审计，聘请律师事务所对清算报告出具法律意见书；</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（6）将清算报告报中国证监会备案并公告；</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（7）对基金剩余财产进行分配。</w:t>
      </w:r>
    </w:p>
    <w:p w:rsidR="003C12F1" w:rsidRPr="006021A8">
      <w:pPr>
        <w:pStyle w:val="BodyTextIndent2"/>
        <w:adjustRightInd w:val="0"/>
        <w:snapToGrid w:val="0"/>
        <w:spacing w:after="0" w:before="0" w:line="520" w:lineRule="atLeast"/>
        <w:ind w:firstLine="480" w:firstLineChars="200" w:left="0"/>
        <w:rPr>
          <w:rFonts w:hAnsi="宋体"/>
          <w:bCs/>
          <w:szCs w:val="24"/>
        </w:rPr>
      </w:pPr>
      <w:r w:rsidRPr="006021A8">
        <w:rPr>
          <w:rFonts w:hAnsi="宋体" w:hint="eastAsia"/>
          <w:bCs/>
          <w:szCs w:val="24"/>
        </w:rPr>
        <w:t>基金财产清算的期限为6个月，但因本基金所持证券的流动性受到限制而不能及时变现的，清算期限</w:t>
      </w:r>
      <w:r w:rsidRPr="006021A8">
        <w:rPr>
          <w:rFonts w:hint="eastAsia"/>
          <w:bCs/>
        </w:rPr>
        <w:t>可</w:t>
      </w:r>
      <w:r w:rsidRPr="006021A8">
        <w:rPr>
          <w:rFonts w:hAnsi="宋体" w:hint="eastAsia"/>
          <w:bCs/>
          <w:szCs w:val="24"/>
        </w:rPr>
        <w:t>相应顺延。</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16.2.3清算费用</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清算费用是指基金财产清算小组在进行基金清算过程中发生的所有合理费用，清算费用由基金财产清算小组优先从基金财产中支付。</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16.2.4基金财产按下列顺序清偿：</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（1）支付清算费用；</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（2）交纳所欠税款；</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（3）清偿基金债务；</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（4）按基金份额持有人持有的基金份额比例进行分配。</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基金财产未按前款（1）－（3）项规定清偿前，不分配给基金份额持有人。</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16.2.5基金财产清算的公告</w:t>
      </w:r>
    </w:p>
    <w:p w:rsidR="003C12F1" w:rsidRPr="006021A8">
      <w:pPr>
        <w:adjustRightInd w:val="0"/>
        <w:snapToGrid w:val="0"/>
        <w:spacing w:line="520" w:lineRule="atLeast"/>
        <w:ind w:firstLine="480" w:firstLineChars="200"/>
        <w:rPr>
          <w:rFonts w:ascii="宋体" w:hAnsi="宋体"/>
          <w:bCs/>
          <w:sz w:val="24"/>
          <w:szCs w:val="24"/>
        </w:rPr>
      </w:pPr>
      <w:r w:rsidRPr="006021A8">
        <w:rPr>
          <w:rFonts w:ascii="宋体" w:hAnsi="宋体" w:hint="eastAsia"/>
          <w:bCs/>
          <w:sz w:val="24"/>
          <w:szCs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16.2.6基金财产清算账册及文件的保存</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基金财产清算账册及有关文件由基金托管人保存不低于法律法规规定的最低期限。</w:t>
      </w:r>
      <w:bookmarkStart w:id="49" w:name="_Toc296551353"/>
    </w:p>
    <w:p w:rsidR="003C12F1" w:rsidRPr="006021A8">
      <w:pPr>
        <w:pStyle w:val="Heading1"/>
        <w:adjustRightInd w:val="0"/>
        <w:spacing w:line="520" w:lineRule="atLeast"/>
        <w:ind w:firstLine="480" w:firstLineChars="200"/>
        <w:rPr>
          <w:bCs/>
          <w:color w:val="auto"/>
          <w:szCs w:val="24"/>
        </w:rPr>
      </w:pPr>
      <w:bookmarkStart w:id="50" w:name="_Toc44321716"/>
      <w:r w:rsidRPr="006021A8">
        <w:rPr>
          <w:rFonts w:hint="eastAsia"/>
          <w:bCs/>
          <w:color w:val="auto"/>
          <w:szCs w:val="24"/>
        </w:rPr>
        <w:t>第十七条 违约责任</w:t>
      </w:r>
      <w:bookmarkEnd w:id="49"/>
      <w:bookmarkEnd w:id="50"/>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17.1如果基金管理人或基金托管人不履行本协议或者履行本协议不符合约定的，应当承担违约责任。</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17.2因托管协议当事人违约给基金财产或者基金份额持有人造成损害的，应当分别对各自的行为依法承担赔偿责任，因共同行为给基金财产或者基金份额持有人造成损害的，应当承担连带赔偿责任。但是发生下列情况，当事人免责：</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（1）不可抗力；</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（2）基金管理人</w:t>
      </w:r>
      <w:r w:rsidRPr="006021A8">
        <w:rPr>
          <w:rFonts w:hAnsi="宋体" w:hint="eastAsia"/>
          <w:bCs/>
          <w:szCs w:val="24"/>
        </w:rPr>
        <w:t>和/或</w:t>
      </w:r>
      <w:r w:rsidRPr="006021A8">
        <w:rPr>
          <w:rFonts w:hAnsi="宋体" w:hint="eastAsia"/>
          <w:szCs w:val="24"/>
        </w:rPr>
        <w:t>基金托管人按照</w:t>
      </w:r>
      <w:r w:rsidRPr="006021A8">
        <w:rPr>
          <w:rFonts w:asciiTheme="minorEastAsia" w:eastAsiaTheme="minorEastAsia" w:hAnsiTheme="minorEastAsia" w:hint="eastAsia"/>
          <w:bCs/>
          <w:szCs w:val="24"/>
        </w:rPr>
        <w:t>届时</w:t>
      </w:r>
      <w:r w:rsidRPr="006021A8">
        <w:rPr>
          <w:rFonts w:hAnsi="宋体" w:hint="eastAsia"/>
          <w:szCs w:val="24"/>
        </w:rPr>
        <w:t>有效的法律法规或中国证监会的规定作为或不作为而造成的损失；</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（3）基金管理人对按照基金合同约定的投资原则</w:t>
      </w:r>
      <w:r w:rsidRPr="006021A8">
        <w:rPr>
          <w:rFonts w:hAnsi="宋体" w:hint="eastAsia"/>
          <w:bCs/>
          <w:szCs w:val="24"/>
        </w:rPr>
        <w:t>行使或不行使其投资权而</w:t>
      </w:r>
      <w:r w:rsidRPr="006021A8">
        <w:rPr>
          <w:rFonts w:hAnsi="宋体" w:hint="eastAsia"/>
          <w:szCs w:val="24"/>
        </w:rPr>
        <w:t>造成的损失。</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17.3如果由于本协议一方当事人（以下简称“违约方”）的违约行为给基金财产或基金份额持有人造成损失，另一方当事人（以下简称“</w:t>
      </w:r>
      <w:r w:rsidRPr="006021A8">
        <w:rPr>
          <w:rFonts w:asciiTheme="minorEastAsia" w:eastAsiaTheme="minorEastAsia" w:hAnsiTheme="minorEastAsia" w:hint="eastAsia"/>
          <w:szCs w:val="24"/>
        </w:rPr>
        <w:t>非违约</w:t>
      </w:r>
      <w:r w:rsidRPr="006021A8">
        <w:rPr>
          <w:rFonts w:hAnsi="宋体" w:hint="eastAsia"/>
          <w:szCs w:val="24"/>
        </w:rPr>
        <w:t>方”）有权利并且有义务代表基金对违约方进行追偿；如果由于违约方的违约行为导致</w:t>
      </w:r>
      <w:r w:rsidRPr="006021A8">
        <w:rPr>
          <w:rFonts w:asciiTheme="minorEastAsia" w:eastAsiaTheme="minorEastAsia" w:hAnsiTheme="minorEastAsia" w:hint="eastAsia"/>
          <w:szCs w:val="24"/>
        </w:rPr>
        <w:t>非违约</w:t>
      </w:r>
      <w:r w:rsidRPr="006021A8">
        <w:rPr>
          <w:rFonts w:hAnsi="宋体" w:hint="eastAsia"/>
          <w:szCs w:val="24"/>
        </w:rPr>
        <w:t>方赔偿了该基金财产或基金份额持有人所遭受的损失，则</w:t>
      </w:r>
      <w:r w:rsidRPr="006021A8">
        <w:rPr>
          <w:rFonts w:asciiTheme="minorEastAsia" w:eastAsiaTheme="minorEastAsia" w:hAnsiTheme="minorEastAsia" w:hint="eastAsia"/>
          <w:szCs w:val="24"/>
        </w:rPr>
        <w:t>非违约</w:t>
      </w:r>
      <w:r w:rsidRPr="006021A8">
        <w:rPr>
          <w:rFonts w:hAnsi="宋体" w:hint="eastAsia"/>
          <w:szCs w:val="24"/>
        </w:rPr>
        <w:t>方有权向违约方追索，违约方应赔偿和补偿</w:t>
      </w:r>
      <w:r w:rsidRPr="006021A8">
        <w:rPr>
          <w:rFonts w:asciiTheme="minorEastAsia" w:eastAsiaTheme="minorEastAsia" w:hAnsiTheme="minorEastAsia" w:hint="eastAsia"/>
          <w:szCs w:val="24"/>
        </w:rPr>
        <w:t>非违约</w:t>
      </w:r>
      <w:r w:rsidRPr="006021A8">
        <w:rPr>
          <w:rFonts w:hAnsi="宋体" w:hint="eastAsia"/>
          <w:szCs w:val="24"/>
        </w:rPr>
        <w:t>方由此发生的所有成本、费用和支出，以及由此遭受的损失。</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17.4一方当事人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17.5违约行为虽已发生，但本协议能够继续履行的，在最大限度地保护基金份额持有人利益的前提下，基金管理人和基金托管人应当继续履行本协议。</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17.6由于基金管理人、基金托管人不可控制的因素导致业务出现差错，基金管理人和基金托管人虽然已经采取必要、适当、合理的措施进行检查，</w:t>
      </w:r>
      <w:r w:rsidR="00904294" w:rsidRPr="006021A8">
        <w:rPr>
          <w:rFonts w:hAnsi="宋体" w:hint="eastAsia"/>
          <w:szCs w:val="24"/>
        </w:rPr>
        <w:t>但未能发现该错误或虽发现错误但因前述原因无法及时更正的</w:t>
      </w:r>
      <w:r w:rsidRPr="006021A8">
        <w:rPr>
          <w:rFonts w:hAnsi="宋体" w:hint="eastAsia"/>
          <w:szCs w:val="24"/>
        </w:rPr>
        <w:t>，由此造成基金财产或基金份额持有人损失，基金管理人和基金托管人免除赔偿责任。但是基金管理人和基金托管人应积极采取必要的措施减轻或消除由此造成的影响。</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17.7本协议所指损失均为直接损失。</w:t>
      </w:r>
    </w:p>
    <w:p w:rsidR="003C12F1" w:rsidRPr="006021A8">
      <w:pPr>
        <w:pStyle w:val="Heading1"/>
        <w:adjustRightInd w:val="0"/>
        <w:spacing w:line="520" w:lineRule="atLeast"/>
        <w:ind w:firstLine="480" w:firstLineChars="200"/>
        <w:rPr>
          <w:bCs/>
          <w:color w:val="auto"/>
          <w:szCs w:val="24"/>
        </w:rPr>
      </w:pPr>
      <w:bookmarkStart w:id="51" w:name="_Toc296551354"/>
      <w:bookmarkStart w:id="52" w:name="_Toc44321717"/>
      <w:r w:rsidRPr="006021A8">
        <w:rPr>
          <w:rFonts w:hint="eastAsia"/>
          <w:bCs/>
          <w:color w:val="auto"/>
          <w:szCs w:val="24"/>
        </w:rPr>
        <w:t>第十八条 法律适用和争议解决</w:t>
      </w:r>
      <w:bookmarkEnd w:id="51"/>
      <w:bookmarkEnd w:id="52"/>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本协议的效力、解释、变更、执行及争议的解决等均适用中华人民共和国法律（为本协议之目的，不包括香港特别行政区、澳门特别行政区以及台湾地区法律）并从其解释，没有相关成文规定的，参照通用的商业惯例和（或）行业惯例。</w:t>
      </w:r>
    </w:p>
    <w:p w:rsidP="001440BC" w:rsidR="001440BC"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凡因本协议产生的及与本协议有关的争议，双方均应协商</w:t>
      </w:r>
      <w:r w:rsidRPr="006021A8">
        <w:rPr>
          <w:rFonts w:asciiTheme="minorEastAsia" w:eastAsiaTheme="minorEastAsia" w:hAnsiTheme="minorEastAsia" w:hint="eastAsia"/>
          <w:szCs w:val="24"/>
        </w:rPr>
        <w:t>、调解</w:t>
      </w:r>
      <w:r w:rsidRPr="006021A8">
        <w:rPr>
          <w:rFonts w:hAnsi="宋体" w:hint="eastAsia"/>
          <w:szCs w:val="24"/>
        </w:rPr>
        <w:t>解决；协商、调解不成的，双方均同意任何一方可将争议提交</w:t>
      </w:r>
      <w:r w:rsidR="003A5300" w:rsidRPr="006021A8">
        <w:rPr>
          <w:rFonts w:hAnsi="宋体" w:hint="eastAsia"/>
          <w:szCs w:val="24"/>
        </w:rPr>
        <w:t>中国国际经济贸易仲裁委员会</w:t>
      </w:r>
      <w:r w:rsidRPr="006021A8">
        <w:rPr>
          <w:rFonts w:hAnsi="宋体" w:hint="eastAsia"/>
          <w:szCs w:val="24"/>
        </w:rPr>
        <w:t>并按其仲裁规则进行仲裁，仲裁地点为</w:t>
      </w:r>
      <w:r w:rsidR="003A5300" w:rsidRPr="006021A8">
        <w:rPr>
          <w:rFonts w:hAnsi="宋体" w:hint="eastAsia"/>
          <w:szCs w:val="24"/>
        </w:rPr>
        <w:t>北京</w:t>
      </w:r>
      <w:r w:rsidRPr="006021A8">
        <w:rPr>
          <w:rFonts w:hAnsi="宋体" w:hint="eastAsia"/>
          <w:szCs w:val="24"/>
        </w:rPr>
        <w:t>市。仲裁裁决是终局的，对当事人均有约束力。除非仲裁裁决另有规定，仲裁费用由败诉方承担。</w:t>
      </w:r>
    </w:p>
    <w:p w:rsidP="001440BC"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争议处理期间，双方当事人应恪守基金管理人和基金托管人职责，继续忠实、勤勉、尽责地履行基金合同和本协议规定的义务，维护基金份额持有人的合法权益。</w:t>
      </w:r>
    </w:p>
    <w:p w:rsidR="003C12F1" w:rsidRPr="006021A8">
      <w:pPr>
        <w:pStyle w:val="Heading1"/>
        <w:adjustRightInd w:val="0"/>
        <w:spacing w:line="520" w:lineRule="atLeast"/>
        <w:ind w:firstLine="480" w:firstLineChars="200"/>
        <w:rPr>
          <w:bCs/>
          <w:color w:val="auto"/>
          <w:szCs w:val="24"/>
        </w:rPr>
      </w:pPr>
      <w:bookmarkStart w:id="53" w:name="_Toc296551355"/>
      <w:bookmarkStart w:id="54" w:name="_Toc44321718"/>
      <w:r w:rsidRPr="006021A8">
        <w:rPr>
          <w:rFonts w:hint="eastAsia"/>
          <w:bCs/>
          <w:color w:val="auto"/>
          <w:szCs w:val="24"/>
        </w:rPr>
        <w:t>第十九条 本协议的效力</w:t>
      </w:r>
      <w:bookmarkEnd w:id="53"/>
      <w:bookmarkEnd w:id="54"/>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19.1基金管理人在向中国证监会申请基金募集注册时提交的托管协议草案，应经托管协议当事人加盖公章或合同专用章以及双方法定代表人或授权代表签字或盖章，本协议当事人双方可能不时根据中国证监会的意见修改托管协议草案。本协议以中国证监会注册的最终文本为正式文本。</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19.2本协议自</w:t>
      </w:r>
      <w:r w:rsidRPr="006021A8">
        <w:rPr>
          <w:rFonts w:asciiTheme="minorEastAsia" w:eastAsiaTheme="minorEastAsia" w:hAnsiTheme="minorEastAsia" w:hint="eastAsia"/>
          <w:szCs w:val="24"/>
        </w:rPr>
        <w:t>基金合同成立之日</w:t>
      </w:r>
      <w:r w:rsidRPr="006021A8">
        <w:rPr>
          <w:rFonts w:hAnsi="宋体" w:hint="eastAsia"/>
          <w:szCs w:val="24"/>
        </w:rPr>
        <w:t>起成立，自基金合同生效之日起生效。本协议的有效期自其生效之日起至该基金财产清算结果报中国证监会备案并公告之日</w:t>
      </w:r>
      <w:r w:rsidRPr="006021A8">
        <w:rPr>
          <w:rFonts w:hAnsi="宋体" w:hint="eastAsia"/>
          <w:szCs w:val="24"/>
        </w:rPr>
        <w:t>止。</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19.3本协议自生效之日起对双方具有同等的法律约束力。</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19.4本协议正本一式三份，除上报有关监管机构一份外，基金管理人和基金托管人分别持有一份，每份具有同等的法律效力。</w:t>
      </w:r>
    </w:p>
    <w:p w:rsidR="003C12F1" w:rsidRPr="006021A8">
      <w:pPr>
        <w:pStyle w:val="Heading1"/>
        <w:adjustRightInd w:val="0"/>
        <w:spacing w:line="520" w:lineRule="atLeast"/>
        <w:ind w:firstLine="480" w:firstLineChars="200"/>
        <w:rPr>
          <w:bCs/>
          <w:color w:val="auto"/>
          <w:szCs w:val="24"/>
        </w:rPr>
      </w:pPr>
      <w:bookmarkStart w:id="55" w:name="_Toc296551356"/>
      <w:bookmarkStart w:id="56" w:name="_Toc44321719"/>
      <w:r w:rsidRPr="006021A8">
        <w:rPr>
          <w:rFonts w:hint="eastAsia"/>
          <w:bCs/>
          <w:color w:val="auto"/>
          <w:szCs w:val="24"/>
        </w:rPr>
        <w:t>第二十条 本协议的签订</w:t>
      </w:r>
      <w:bookmarkEnd w:id="55"/>
      <w:bookmarkEnd w:id="56"/>
    </w:p>
    <w:p w:rsidR="003C12F1" w:rsidRPr="006021A8">
      <w:pPr>
        <w:adjustRightInd w:val="0"/>
        <w:snapToGrid w:val="0"/>
        <w:spacing w:line="520" w:lineRule="atLeast"/>
        <w:ind w:firstLine="480" w:firstLineChars="200"/>
        <w:rPr>
          <w:rFonts w:ascii="宋体" w:hAnsi="宋体"/>
          <w:sz w:val="24"/>
          <w:szCs w:val="24"/>
        </w:rPr>
      </w:pPr>
      <w:r w:rsidRPr="006021A8">
        <w:rPr>
          <w:rFonts w:ascii="宋体" w:hAnsi="宋体" w:hint="eastAsia"/>
          <w:sz w:val="24"/>
          <w:szCs w:val="24"/>
        </w:rPr>
        <w:t>20.1本协议经基金管理人和基金托管人认可后，由双方当事人在本协议上加盖公章或合同专用章，并由各自的法定代表人或授权代表签字或盖章，并注明本托管协议的签订地点和签订日期。</w:t>
      </w:r>
    </w:p>
    <w:p w:rsidR="003C12F1" w:rsidRPr="006021A8">
      <w:pPr>
        <w:pStyle w:val="Heading1"/>
        <w:adjustRightInd w:val="0"/>
        <w:spacing w:line="520" w:lineRule="atLeast"/>
        <w:ind w:firstLine="480" w:firstLineChars="200"/>
        <w:rPr>
          <w:bCs/>
          <w:color w:val="auto"/>
          <w:szCs w:val="24"/>
        </w:rPr>
      </w:pPr>
      <w:bookmarkStart w:id="57" w:name="_Toc44321720"/>
      <w:r w:rsidRPr="006021A8">
        <w:rPr>
          <w:rFonts w:hint="eastAsia"/>
          <w:bCs/>
          <w:color w:val="auto"/>
          <w:szCs w:val="24"/>
        </w:rPr>
        <w:t>第二十一条 不可抗力</w:t>
      </w:r>
      <w:bookmarkEnd w:id="57"/>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21.1如果本协议任何一方因受不可抗力事件影响而未能履行其在本协议下的全部或部分义务，该义务的履行在不可抗力事件妨碍其履行期间应予中止。</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21.3不可抗力事件发生时，双方应立即通过友好协商决定如何执行本协议。不可抗力事件或其影响终止或消除后，双方须立即恢复履行各自在本协议项下的各项义务。</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21.4本条所述的不可抗力事件是指不能预见、不能避免并不能克服的客观情况。</w:t>
      </w:r>
    </w:p>
    <w:p w:rsidR="003C12F1" w:rsidRPr="006021A8">
      <w:pPr>
        <w:pStyle w:val="Heading1"/>
        <w:adjustRightInd w:val="0"/>
        <w:spacing w:line="520" w:lineRule="atLeast"/>
        <w:ind w:firstLine="480" w:firstLineChars="200"/>
        <w:rPr>
          <w:bCs/>
          <w:szCs w:val="24"/>
        </w:rPr>
      </w:pPr>
      <w:bookmarkStart w:id="58" w:name="_Toc132794324"/>
      <w:bookmarkStart w:id="59" w:name="_Toc132794325"/>
      <w:bookmarkStart w:id="60" w:name="_Toc132794326"/>
      <w:bookmarkStart w:id="61" w:name="_Toc132794327"/>
      <w:bookmarkStart w:id="62" w:name="_Toc132794328"/>
      <w:bookmarkStart w:id="63" w:name="_Toc132794329"/>
      <w:bookmarkStart w:id="64" w:name="_Toc132794330"/>
      <w:bookmarkStart w:id="65" w:name="_Toc44321721"/>
      <w:bookmarkEnd w:id="58"/>
      <w:bookmarkEnd w:id="59"/>
      <w:bookmarkEnd w:id="60"/>
      <w:bookmarkEnd w:id="61"/>
      <w:bookmarkEnd w:id="62"/>
      <w:bookmarkEnd w:id="63"/>
      <w:bookmarkEnd w:id="64"/>
      <w:r w:rsidRPr="006021A8">
        <w:rPr>
          <w:rFonts w:hint="eastAsia"/>
          <w:bCs/>
          <w:color w:val="auto"/>
          <w:szCs w:val="24"/>
        </w:rPr>
        <w:t>第二十二条 可分割性</w:t>
      </w:r>
      <w:bookmarkEnd w:id="65"/>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22.1如果本协议任何约定依现行法律被确定为无效或无法实施，本协议的其他条款将继续有效。此种情况下，双方将积极协商以达成有效的约定，且该有效约定应尽可能接近原规定和本协议相应的精神和宗旨。</w:t>
      </w:r>
    </w:p>
    <w:p w:rsidR="003C12F1" w:rsidRPr="006021A8">
      <w:pPr>
        <w:pStyle w:val="Heading1"/>
        <w:adjustRightInd w:val="0"/>
        <w:spacing w:line="520" w:lineRule="atLeast"/>
        <w:ind w:firstLine="480" w:firstLineChars="200"/>
        <w:rPr>
          <w:bCs/>
          <w:szCs w:val="24"/>
        </w:rPr>
      </w:pPr>
      <w:bookmarkStart w:id="66" w:name="_Toc44321722"/>
      <w:r w:rsidRPr="006021A8">
        <w:rPr>
          <w:rFonts w:hint="eastAsia"/>
          <w:bCs/>
          <w:color w:val="auto"/>
          <w:szCs w:val="24"/>
        </w:rPr>
        <w:t>第二十三条 通知与送达</w:t>
      </w:r>
      <w:bookmarkEnd w:id="66"/>
    </w:p>
    <w:p w:rsidR="003C12F1" w:rsidRPr="006021A8">
      <w:pPr>
        <w:autoSpaceDE w:val="0"/>
        <w:autoSpaceDN w:val="0"/>
        <w:adjustRightInd w:val="0"/>
        <w:snapToGrid w:val="0"/>
        <w:spacing w:line="520" w:lineRule="atLeast"/>
        <w:ind w:firstLine="480" w:firstLineChars="200"/>
        <w:rPr>
          <w:rFonts w:ascii="宋体" w:hAnsi="宋体"/>
          <w:sz w:val="24"/>
          <w:szCs w:val="24"/>
        </w:rPr>
      </w:pPr>
      <w:r w:rsidRPr="006021A8">
        <w:rPr>
          <w:rFonts w:ascii="宋体" w:hAnsi="宋体" w:hint="eastAsia"/>
          <w:sz w:val="24"/>
          <w:szCs w:val="24"/>
        </w:rPr>
        <w:t>23.1除本协议另有约定外，本协议项下的通知、要求、诉讼（仲裁）的法律文书或其他通信可交付或发送至本协议首部所约定的地址或联系方式。</w:t>
      </w:r>
    </w:p>
    <w:p w:rsidR="003C12F1" w:rsidRPr="006021A8">
      <w:pPr>
        <w:autoSpaceDE w:val="0"/>
        <w:autoSpaceDN w:val="0"/>
        <w:adjustRightInd w:val="0"/>
        <w:snapToGrid w:val="0"/>
        <w:spacing w:line="520" w:lineRule="atLeast"/>
        <w:ind w:firstLine="480" w:firstLineChars="200"/>
        <w:rPr>
          <w:rFonts w:ascii="宋体" w:hAnsi="宋体"/>
          <w:sz w:val="24"/>
          <w:szCs w:val="24"/>
        </w:rPr>
      </w:pPr>
      <w:r w:rsidRPr="006021A8">
        <w:rPr>
          <w:rFonts w:ascii="宋体" w:hAnsi="宋体" w:hint="eastAsia"/>
          <w:sz w:val="24"/>
          <w:szCs w:val="24"/>
        </w:rPr>
        <w:t>23.2就本协议项下一方给予</w:t>
      </w:r>
      <w:r w:rsidRPr="006021A8">
        <w:rPr>
          <w:rFonts w:asciiTheme="minorEastAsia" w:eastAsiaTheme="minorEastAsia" w:hAnsiTheme="minorEastAsia" w:hint="eastAsia"/>
          <w:sz w:val="24"/>
          <w:szCs w:val="24"/>
        </w:rPr>
        <w:t>另一方</w:t>
      </w:r>
      <w:r w:rsidRPr="006021A8">
        <w:rPr>
          <w:rFonts w:ascii="宋体" w:hAnsi="宋体" w:hint="eastAsia"/>
          <w:sz w:val="24"/>
          <w:szCs w:val="24"/>
        </w:rPr>
        <w:t>的任何通知、要求或其他通信，其中电传、</w:t>
      </w:r>
      <w:r w:rsidRPr="006021A8">
        <w:rPr>
          <w:rFonts w:ascii="宋体" w:hAnsi="宋体" w:hint="eastAsia"/>
          <w:sz w:val="24"/>
          <w:szCs w:val="24"/>
        </w:rPr>
        <w:t>电话、传真、电子邮件等一经发出即视为已送达</w:t>
      </w:r>
      <w:r w:rsidRPr="006021A8">
        <w:rPr>
          <w:rFonts w:asciiTheme="minorEastAsia" w:eastAsiaTheme="minorEastAsia" w:hAnsiTheme="minorEastAsia" w:hint="eastAsia"/>
          <w:sz w:val="24"/>
          <w:szCs w:val="24"/>
        </w:rPr>
        <w:t>另一方</w:t>
      </w:r>
      <w:r w:rsidRPr="006021A8">
        <w:rPr>
          <w:rFonts w:ascii="宋体" w:hAnsi="宋体" w:hint="eastAsia"/>
          <w:sz w:val="24"/>
          <w:szCs w:val="24"/>
        </w:rPr>
        <w:t>；邮政信函于投寄之日起第三日即视为已送达</w:t>
      </w:r>
      <w:r w:rsidRPr="006021A8">
        <w:rPr>
          <w:rFonts w:asciiTheme="minorEastAsia" w:eastAsiaTheme="minorEastAsia" w:hAnsiTheme="minorEastAsia" w:hint="eastAsia"/>
          <w:sz w:val="24"/>
          <w:szCs w:val="24"/>
        </w:rPr>
        <w:t>另一方</w:t>
      </w:r>
      <w:r w:rsidRPr="006021A8">
        <w:rPr>
          <w:rFonts w:ascii="宋体" w:hAnsi="宋体" w:hint="eastAsia"/>
          <w:sz w:val="24"/>
          <w:szCs w:val="24"/>
        </w:rPr>
        <w:t>；若派人专程送达，则</w:t>
      </w:r>
      <w:r w:rsidRPr="006021A8">
        <w:rPr>
          <w:rFonts w:asciiTheme="minorEastAsia" w:eastAsiaTheme="minorEastAsia" w:hAnsiTheme="minorEastAsia" w:hint="eastAsia"/>
          <w:sz w:val="24"/>
          <w:szCs w:val="24"/>
        </w:rPr>
        <w:t>另一方</w:t>
      </w:r>
      <w:r w:rsidRPr="006021A8">
        <w:rPr>
          <w:rFonts w:ascii="宋体" w:hAnsi="宋体" w:hint="eastAsia"/>
          <w:sz w:val="24"/>
          <w:szCs w:val="24"/>
        </w:rPr>
        <w:t>签收日视为送达，</w:t>
      </w:r>
      <w:r w:rsidRPr="006021A8">
        <w:rPr>
          <w:rFonts w:asciiTheme="minorEastAsia" w:eastAsiaTheme="minorEastAsia" w:hAnsiTheme="minorEastAsia" w:hint="eastAsia"/>
          <w:sz w:val="24"/>
          <w:szCs w:val="24"/>
        </w:rPr>
        <w:t>另一方</w:t>
      </w:r>
      <w:r w:rsidRPr="006021A8">
        <w:rPr>
          <w:rFonts w:ascii="宋体" w:hAnsi="宋体" w:hint="eastAsia"/>
          <w:sz w:val="24"/>
          <w:szCs w:val="24"/>
        </w:rPr>
        <w:t>拒收的，送达人可采取拍照、录像方式记录送达过程，并将文书留置，亦视为送达。</w:t>
      </w:r>
    </w:p>
    <w:p w:rsidR="003C12F1" w:rsidRPr="006021A8">
      <w:pPr>
        <w:autoSpaceDE w:val="0"/>
        <w:autoSpaceDN w:val="0"/>
        <w:adjustRightInd w:val="0"/>
        <w:snapToGrid w:val="0"/>
        <w:spacing w:line="520" w:lineRule="atLeast"/>
        <w:ind w:firstLine="480" w:firstLineChars="200"/>
        <w:rPr>
          <w:rFonts w:ascii="宋体" w:hAnsi="宋体"/>
          <w:sz w:val="24"/>
          <w:szCs w:val="24"/>
        </w:rPr>
      </w:pPr>
      <w:r w:rsidRPr="006021A8">
        <w:rPr>
          <w:rFonts w:ascii="宋体" w:hAnsi="宋体" w:hint="eastAsia"/>
          <w:sz w:val="24"/>
          <w:szCs w:val="24"/>
        </w:rPr>
        <w:t>23.3司法机关或仲裁机构亦可按本款约定的地址、联系方式向</w:t>
      </w:r>
      <w:r w:rsidRPr="006021A8">
        <w:rPr>
          <w:rFonts w:asciiTheme="minorEastAsia" w:eastAsiaTheme="minorEastAsia" w:hAnsiTheme="minorEastAsia" w:hint="eastAsia"/>
          <w:sz w:val="24"/>
          <w:szCs w:val="24"/>
        </w:rPr>
        <w:t>任一方</w:t>
      </w:r>
      <w:r w:rsidRPr="006021A8">
        <w:rPr>
          <w:rFonts w:ascii="宋体" w:hAnsi="宋体" w:hint="eastAsia"/>
          <w:sz w:val="24"/>
          <w:szCs w:val="24"/>
        </w:rPr>
        <w:t>发送相关（法律）文书，无人签收或</w:t>
      </w:r>
      <w:r w:rsidRPr="006021A8">
        <w:rPr>
          <w:rFonts w:asciiTheme="minorEastAsia" w:eastAsiaTheme="minorEastAsia" w:hAnsiTheme="minorEastAsia" w:hint="eastAsia"/>
          <w:sz w:val="24"/>
          <w:szCs w:val="24"/>
        </w:rPr>
        <w:t>该一方</w:t>
      </w:r>
      <w:r w:rsidRPr="006021A8">
        <w:rPr>
          <w:rFonts w:ascii="宋体" w:hAnsi="宋体" w:hint="eastAsia"/>
          <w:sz w:val="24"/>
          <w:szCs w:val="24"/>
        </w:rPr>
        <w:t>拒收的，则（法律）文书退回之日视为送达之日；若直接送达时</w:t>
      </w:r>
      <w:r w:rsidRPr="006021A8">
        <w:rPr>
          <w:rFonts w:asciiTheme="minorEastAsia" w:eastAsiaTheme="minorEastAsia" w:hAnsiTheme="minorEastAsia" w:hint="eastAsia"/>
          <w:sz w:val="24"/>
          <w:szCs w:val="24"/>
        </w:rPr>
        <w:t>该一方</w:t>
      </w:r>
      <w:r w:rsidRPr="006021A8">
        <w:rPr>
          <w:rFonts w:ascii="宋体" w:hAnsi="宋体" w:hint="eastAsia"/>
          <w:sz w:val="24"/>
          <w:szCs w:val="24"/>
        </w:rPr>
        <w:t>拒收的，送达人可采取拍照、录像方式记录送达过程，并将（法律）文书留置，亦视为送达。</w:t>
      </w:r>
      <w:r w:rsidRPr="006021A8">
        <w:rPr>
          <w:rFonts w:asciiTheme="minorEastAsia" w:eastAsiaTheme="minorEastAsia" w:hAnsiTheme="minorEastAsia" w:hint="eastAsia"/>
          <w:sz w:val="24"/>
          <w:szCs w:val="24"/>
        </w:rPr>
        <w:t>该一方</w:t>
      </w:r>
      <w:r w:rsidRPr="006021A8">
        <w:rPr>
          <w:rFonts w:ascii="宋体" w:hAnsi="宋体" w:hint="eastAsia"/>
          <w:sz w:val="24"/>
          <w:szCs w:val="24"/>
        </w:rPr>
        <w:t>提供错误联系方式或未及时告知变更后联系方式的，导致（法律）文书未能送达或退回的，则（法律）文书退回之日视为送达之日。</w:t>
      </w:r>
    </w:p>
    <w:p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23.4如果任一方提供的上述联系方式发生变更的，应在变更后三日内书面通知另一方；在本协议项下债务进入诉讼或仲裁阶段后，则须以书面方式告知审理机关。否则按原联系方式发出的通知或其他文书，即使变更方没有收到，仍视为送达。</w:t>
      </w:r>
    </w:p>
    <w:p w:rsidR="003C12F1" w:rsidRPr="006021A8">
      <w:pPr>
        <w:pStyle w:val="Heading1"/>
        <w:adjustRightInd w:val="0"/>
        <w:spacing w:line="520" w:lineRule="atLeast"/>
        <w:ind w:firstLine="480" w:firstLineChars="200"/>
        <w:rPr>
          <w:bCs/>
          <w:szCs w:val="24"/>
        </w:rPr>
      </w:pPr>
      <w:bookmarkStart w:id="67" w:name="_Toc44321723"/>
      <w:r w:rsidRPr="006021A8">
        <w:rPr>
          <w:rFonts w:hint="eastAsia"/>
          <w:bCs/>
          <w:color w:val="auto"/>
          <w:szCs w:val="24"/>
        </w:rPr>
        <w:t>第二十四条 其他约定事项</w:t>
      </w:r>
      <w:bookmarkEnd w:id="67"/>
    </w:p>
    <w:p w:rsidP="00BE27F4" w:rsidR="003C12F1" w:rsidRPr="006021A8">
      <w:pPr>
        <w:pStyle w:val="BodyTextIndent2"/>
        <w:adjustRightInd w:val="0"/>
        <w:snapToGrid w:val="0"/>
        <w:spacing w:after="0" w:before="0" w:line="520" w:lineRule="atLeast"/>
        <w:ind w:firstLine="480" w:firstLineChars="200" w:left="0"/>
        <w:rPr>
          <w:rFonts w:hAnsi="宋体"/>
          <w:szCs w:val="24"/>
        </w:rPr>
      </w:pPr>
      <w:r w:rsidRPr="006021A8">
        <w:rPr>
          <w:rFonts w:hAnsi="宋体" w:hint="eastAsia"/>
          <w:szCs w:val="24"/>
        </w:rPr>
        <w:t>除本协议有明确定义外，本协议的用语定义适用基金合同的约定。本协议未尽事宜，当事人依据基金合同、有关法律法规等规定协商办理。</w:t>
      </w:r>
    </w:p>
    <w:p w:rsidR="003C12F1" w:rsidRPr="006021A8">
      <w:pPr>
        <w:pStyle w:val="BodyTextIndent2"/>
        <w:adjustRightInd w:val="0"/>
        <w:snapToGrid w:val="0"/>
        <w:spacing w:after="0" w:before="0" w:line="520" w:lineRule="atLeast"/>
        <w:ind w:left="0"/>
        <w:rPr>
          <w:rFonts w:hAnsi="宋体"/>
          <w:szCs w:val="24"/>
        </w:rPr>
      </w:pPr>
      <w:r w:rsidRPr="006021A8">
        <w:rPr>
          <w:rFonts w:hAnsi="宋体" w:hint="eastAsia"/>
          <w:szCs w:val="24"/>
        </w:rPr>
        <w:t xml:space="preserve">    如本条约定与其他条款约定冲突的，应以本条约定为准。</w:t>
      </w:r>
    </w:p>
    <w:p w:rsidR="003C12F1" w:rsidRPr="006021A8">
      <w:pPr>
        <w:widowControl/>
        <w:adjustRightInd w:val="0"/>
        <w:snapToGrid w:val="0"/>
        <w:spacing w:line="520" w:lineRule="atLeast"/>
        <w:ind w:firstLine="240" w:firstLineChars="100"/>
        <w:jc w:val="left"/>
        <w:rPr>
          <w:rFonts w:ascii="宋体" w:hAnsi="宋体"/>
          <w:sz w:val="24"/>
          <w:szCs w:val="24"/>
        </w:rPr>
      </w:pPr>
      <w:r w:rsidRPr="006021A8">
        <w:rPr>
          <w:rFonts w:ascii="宋体" w:hAnsi="宋体" w:hint="eastAsia"/>
          <w:sz w:val="24"/>
          <w:szCs w:val="24"/>
        </w:rPr>
        <w:t>（以下无正文）</w:t>
      </w:r>
    </w:p>
    <w:p w:rsidR="003C12F1" w:rsidRPr="006021A8">
      <w:pPr>
        <w:pStyle w:val="BodyTextIndent2"/>
        <w:adjustRightInd w:val="0"/>
        <w:snapToGrid w:val="0"/>
        <w:spacing w:after="0" w:before="0" w:line="520" w:lineRule="atLeast"/>
        <w:ind w:left="0"/>
        <w:rPr>
          <w:rFonts w:hAnsi="宋体"/>
          <w:szCs w:val="24"/>
        </w:rPr>
      </w:pPr>
    </w:p>
    <w:p w:rsidR="003C12F1" w:rsidRPr="006021A8">
      <w:pPr>
        <w:pStyle w:val="BodyTextIndent2"/>
        <w:adjustRightInd w:val="0"/>
        <w:snapToGrid w:val="0"/>
        <w:spacing w:after="0" w:before="0" w:line="520" w:lineRule="atLeast"/>
        <w:ind w:left="0"/>
        <w:rPr>
          <w:rFonts w:hAnsi="宋体"/>
          <w:szCs w:val="24"/>
        </w:rPr>
      </w:pPr>
    </w:p>
    <w:p w:rsidR="003C12F1" w:rsidRPr="006021A8">
      <w:pPr>
        <w:pStyle w:val="BodyTextIndent2"/>
        <w:adjustRightInd w:val="0"/>
        <w:snapToGrid w:val="0"/>
        <w:spacing w:after="0" w:before="0" w:line="520" w:lineRule="atLeast"/>
        <w:ind w:left="0"/>
        <w:rPr>
          <w:rFonts w:hAnsi="宋体"/>
          <w:szCs w:val="24"/>
        </w:rPr>
      </w:pPr>
    </w:p>
    <w:p w:rsidR="003C12F1" w:rsidRPr="006021A8">
      <w:pPr>
        <w:pStyle w:val="BodyTextIndent2"/>
        <w:adjustRightInd w:val="0"/>
        <w:snapToGrid w:val="0"/>
        <w:spacing w:after="0" w:before="0" w:line="520" w:lineRule="atLeast"/>
        <w:ind w:left="0"/>
        <w:rPr>
          <w:rFonts w:hAnsi="宋体"/>
          <w:szCs w:val="24"/>
        </w:rPr>
      </w:pPr>
    </w:p>
    <w:p w:rsidR="003C12F1" w:rsidRPr="006021A8">
      <w:pPr>
        <w:pStyle w:val="BodyTextIndent2"/>
        <w:adjustRightInd w:val="0"/>
        <w:snapToGrid w:val="0"/>
        <w:spacing w:after="0" w:before="0" w:line="520" w:lineRule="atLeast"/>
        <w:ind w:left="0"/>
        <w:rPr>
          <w:rFonts w:hAnsi="宋体"/>
          <w:szCs w:val="24"/>
        </w:rPr>
      </w:pPr>
    </w:p>
    <w:p w:rsidR="003C12F1" w:rsidRPr="006021A8">
      <w:pPr>
        <w:pStyle w:val="BodyTextIndent2"/>
        <w:adjustRightInd w:val="0"/>
        <w:snapToGrid w:val="0"/>
        <w:spacing w:after="0" w:before="0" w:line="520" w:lineRule="atLeast"/>
        <w:ind w:left="0"/>
        <w:rPr>
          <w:rFonts w:hAnsi="宋体"/>
          <w:szCs w:val="24"/>
        </w:rPr>
      </w:pPr>
    </w:p>
    <w:p w:rsidP="00BE27F4" w:rsidR="003C12F1" w:rsidRPr="006021A8">
      <w:pPr>
        <w:pStyle w:val="BodyTextIndent2"/>
        <w:pageBreakBefore/>
        <w:adjustRightInd w:val="0"/>
        <w:snapToGrid w:val="0"/>
        <w:spacing w:after="0" w:before="0" w:line="520" w:lineRule="atLeast"/>
        <w:ind w:left="0"/>
        <w:rPr>
          <w:rFonts w:hAnsi="宋体"/>
          <w:szCs w:val="24"/>
        </w:rPr>
      </w:pPr>
      <w:r w:rsidRPr="006021A8">
        <w:rPr>
          <w:rFonts w:hAnsi="宋体" w:hint="eastAsia"/>
          <w:szCs w:val="24"/>
        </w:rPr>
        <w:t>（本页无正文，为编号</w:t>
      </w:r>
      <w:r w:rsidRPr="006021A8">
        <w:rPr>
          <w:rFonts w:hAnsi="宋体" w:hint="eastAsia"/>
          <w:szCs w:val="24"/>
          <w:u w:val="single"/>
        </w:rPr>
        <w:t xml:space="preserve">         </w:t>
      </w:r>
      <w:r w:rsidRPr="006021A8">
        <w:rPr>
          <w:rFonts w:hAnsi="宋体" w:hint="eastAsia"/>
          <w:szCs w:val="24"/>
        </w:rPr>
        <w:t>的《国泰君安善吾养老目标日期2045五年持有期混合型发起式基金中基金（FOF）托管协议》的签署页）</w:t>
      </w:r>
    </w:p>
    <w:p w:rsidR="003C12F1" w:rsidRPr="006021A8">
      <w:pPr>
        <w:pStyle w:val="BodyTextIndent2"/>
        <w:adjustRightInd w:val="0"/>
        <w:snapToGrid w:val="0"/>
        <w:spacing w:after="0" w:before="0" w:line="520" w:lineRule="atLeast"/>
        <w:ind w:firstLine="480" w:firstLineChars="200" w:left="0"/>
        <w:rPr>
          <w:rFonts w:hAnsi="宋体"/>
          <w:szCs w:val="24"/>
        </w:rPr>
      </w:pPr>
    </w:p>
    <w:p w:rsidR="003C12F1" w:rsidRPr="006021A8">
      <w:pPr>
        <w:pStyle w:val="BodyTextIndent2"/>
        <w:adjustRightInd w:val="0"/>
        <w:snapToGrid w:val="0"/>
        <w:spacing w:after="0" w:before="0" w:line="520" w:lineRule="atLeast"/>
        <w:ind w:left="0"/>
        <w:rPr>
          <w:rFonts w:hAnsi="宋体"/>
          <w:szCs w:val="24"/>
        </w:rPr>
      </w:pPr>
    </w:p>
    <w:p w:rsidR="003C12F1" w:rsidRPr="006021A8">
      <w:pPr>
        <w:pStyle w:val="BodyTextIndent2"/>
        <w:adjustRightInd w:val="0"/>
        <w:snapToGrid w:val="0"/>
        <w:spacing w:after="0" w:before="0" w:line="520" w:lineRule="atLeast"/>
        <w:ind w:left="0"/>
        <w:rPr>
          <w:rFonts w:hAnsi="宋体"/>
          <w:szCs w:val="24"/>
        </w:rPr>
      </w:pPr>
      <w:r w:rsidRPr="006021A8">
        <w:rPr>
          <w:rFonts w:hAnsi="宋体" w:hint="eastAsia"/>
          <w:szCs w:val="24"/>
        </w:rPr>
        <w:t>基金管理人：上海国泰君安证券资产管理有限公司（盖章）</w:t>
      </w:r>
    </w:p>
    <w:p w:rsidR="003C12F1" w:rsidRPr="006021A8">
      <w:pPr>
        <w:pStyle w:val="BodyTextIndent2"/>
        <w:adjustRightInd w:val="0"/>
        <w:snapToGrid w:val="0"/>
        <w:spacing w:after="0" w:before="0" w:line="520" w:lineRule="atLeast"/>
        <w:ind w:left="0"/>
        <w:rPr>
          <w:rFonts w:hAnsi="宋体"/>
          <w:szCs w:val="24"/>
        </w:rPr>
      </w:pPr>
    </w:p>
    <w:p w:rsidR="003C12F1" w:rsidRPr="006021A8">
      <w:pPr>
        <w:pStyle w:val="BodyTextIndent2"/>
        <w:adjustRightInd w:val="0"/>
        <w:snapToGrid w:val="0"/>
        <w:spacing w:after="0" w:before="0" w:line="520" w:lineRule="atLeast"/>
        <w:ind w:left="0"/>
        <w:rPr>
          <w:rFonts w:hAnsi="宋体"/>
          <w:szCs w:val="24"/>
        </w:rPr>
      </w:pPr>
      <w:r w:rsidRPr="006021A8">
        <w:rPr>
          <w:rFonts w:hAnsi="宋体" w:hint="eastAsia"/>
          <w:szCs w:val="24"/>
        </w:rPr>
        <w:t>法定代表人</w:t>
      </w:r>
    </w:p>
    <w:p w:rsidR="003C12F1" w:rsidRPr="006021A8">
      <w:pPr>
        <w:pStyle w:val="BodyTextIndent2"/>
        <w:adjustRightInd w:val="0"/>
        <w:snapToGrid w:val="0"/>
        <w:spacing w:after="0" w:before="0" w:line="520" w:lineRule="atLeast"/>
        <w:ind w:left="0"/>
        <w:rPr>
          <w:rFonts w:hAnsi="宋体"/>
          <w:szCs w:val="24"/>
        </w:rPr>
      </w:pPr>
      <w:r w:rsidRPr="006021A8">
        <w:rPr>
          <w:rFonts w:hAnsi="宋体" w:hint="eastAsia"/>
          <w:szCs w:val="24"/>
        </w:rPr>
        <w:t xml:space="preserve">（或授权代理人）：           </w:t>
      </w:r>
    </w:p>
    <w:p w:rsidR="003C12F1" w:rsidRPr="006021A8">
      <w:pPr>
        <w:pStyle w:val="BodyTextIndent2"/>
        <w:adjustRightInd w:val="0"/>
        <w:snapToGrid w:val="0"/>
        <w:spacing w:after="0" w:before="0" w:line="520" w:lineRule="atLeast"/>
        <w:ind w:left="0"/>
        <w:rPr>
          <w:rFonts w:hAnsi="宋体"/>
          <w:szCs w:val="24"/>
        </w:rPr>
      </w:pPr>
    </w:p>
    <w:p w:rsidR="003C12F1" w:rsidRPr="006021A8">
      <w:pPr>
        <w:pStyle w:val="BodyTextIndent2"/>
        <w:adjustRightInd w:val="0"/>
        <w:snapToGrid w:val="0"/>
        <w:spacing w:after="0" w:before="0" w:line="520" w:lineRule="atLeast"/>
        <w:ind w:left="0"/>
        <w:rPr>
          <w:rFonts w:hAnsi="宋体"/>
          <w:szCs w:val="24"/>
        </w:rPr>
      </w:pPr>
      <w:r w:rsidRPr="006021A8">
        <w:rPr>
          <w:rFonts w:hAnsi="宋体" w:hint="eastAsia"/>
          <w:szCs w:val="24"/>
        </w:rPr>
        <w:t>签署日期：</w:t>
      </w:r>
    </w:p>
    <w:p w:rsidR="003C12F1" w:rsidRPr="006021A8">
      <w:pPr>
        <w:pStyle w:val="BodyTextIndent2"/>
        <w:adjustRightInd w:val="0"/>
        <w:snapToGrid w:val="0"/>
        <w:spacing w:after="0" w:before="0" w:line="520" w:lineRule="atLeast"/>
        <w:ind w:firstLine="480" w:firstLineChars="200" w:left="0"/>
        <w:rPr>
          <w:rFonts w:hAnsi="宋体"/>
          <w:szCs w:val="24"/>
        </w:rPr>
      </w:pPr>
    </w:p>
    <w:p w:rsidR="003C12F1" w:rsidRPr="006021A8">
      <w:pPr>
        <w:pStyle w:val="BodyTextIndent2"/>
        <w:adjustRightInd w:val="0"/>
        <w:snapToGrid w:val="0"/>
        <w:spacing w:after="0" w:before="0" w:line="520" w:lineRule="atLeast"/>
        <w:ind w:firstLine="480" w:firstLineChars="200" w:left="0"/>
        <w:rPr>
          <w:rFonts w:hAnsi="宋体"/>
          <w:szCs w:val="24"/>
        </w:rPr>
      </w:pPr>
    </w:p>
    <w:p w:rsidR="003C12F1" w:rsidRPr="006021A8">
      <w:pPr>
        <w:pStyle w:val="BodyTextIndent2"/>
        <w:adjustRightInd w:val="0"/>
        <w:snapToGrid w:val="0"/>
        <w:spacing w:after="0" w:before="0" w:line="520" w:lineRule="atLeast"/>
        <w:ind w:firstLine="480" w:firstLineChars="200" w:left="0"/>
        <w:rPr>
          <w:rFonts w:hAnsi="宋体"/>
          <w:szCs w:val="24"/>
        </w:rPr>
      </w:pPr>
    </w:p>
    <w:p w:rsidR="003C12F1" w:rsidRPr="006021A8">
      <w:pPr>
        <w:pStyle w:val="BodyTextIndent2"/>
        <w:adjustRightInd w:val="0"/>
        <w:snapToGrid w:val="0"/>
        <w:spacing w:after="0" w:before="0" w:line="520" w:lineRule="atLeast"/>
        <w:ind w:left="0"/>
        <w:rPr>
          <w:rFonts w:hAnsi="宋体"/>
          <w:szCs w:val="24"/>
        </w:rPr>
      </w:pPr>
      <w:r w:rsidRPr="006021A8">
        <w:rPr>
          <w:rFonts w:hAnsi="宋体" w:hint="eastAsia"/>
          <w:szCs w:val="24"/>
        </w:rPr>
        <w:t>基金托管人：中信银行股份有限公司（盖章）</w:t>
      </w:r>
    </w:p>
    <w:p w:rsidR="003C12F1" w:rsidRPr="006021A8">
      <w:pPr>
        <w:pStyle w:val="BodyTextIndent2"/>
        <w:adjustRightInd w:val="0"/>
        <w:snapToGrid w:val="0"/>
        <w:spacing w:after="0" w:before="0" w:line="520" w:lineRule="atLeast"/>
        <w:ind w:left="0"/>
        <w:rPr>
          <w:rFonts w:hAnsi="宋体"/>
          <w:szCs w:val="24"/>
        </w:rPr>
      </w:pPr>
    </w:p>
    <w:p w:rsidR="003C12F1" w:rsidRPr="006021A8">
      <w:pPr>
        <w:pStyle w:val="BodyTextIndent2"/>
        <w:adjustRightInd w:val="0"/>
        <w:snapToGrid w:val="0"/>
        <w:spacing w:after="0" w:before="0" w:line="520" w:lineRule="atLeast"/>
        <w:ind w:left="0"/>
        <w:rPr>
          <w:rFonts w:hAnsi="宋体"/>
          <w:szCs w:val="24"/>
        </w:rPr>
      </w:pPr>
      <w:r w:rsidRPr="006021A8">
        <w:rPr>
          <w:rFonts w:hAnsi="宋体" w:hint="eastAsia"/>
          <w:szCs w:val="24"/>
        </w:rPr>
        <w:t>法定代表人/负责人</w:t>
      </w:r>
    </w:p>
    <w:p w:rsidR="003C12F1" w:rsidRPr="006021A8">
      <w:pPr>
        <w:pStyle w:val="BodyTextIndent2"/>
        <w:adjustRightInd w:val="0"/>
        <w:snapToGrid w:val="0"/>
        <w:spacing w:after="0" w:before="0" w:line="520" w:lineRule="atLeast"/>
        <w:ind w:left="0"/>
        <w:rPr>
          <w:rFonts w:hAnsi="宋体"/>
          <w:szCs w:val="24"/>
        </w:rPr>
      </w:pPr>
      <w:r w:rsidRPr="006021A8">
        <w:rPr>
          <w:rFonts w:hAnsi="宋体" w:hint="eastAsia"/>
          <w:szCs w:val="24"/>
        </w:rPr>
        <w:t>（或授权代理人）：</w:t>
      </w:r>
    </w:p>
    <w:p w:rsidR="003C12F1" w:rsidRPr="006021A8">
      <w:pPr>
        <w:pStyle w:val="BodyTextIndent2"/>
        <w:adjustRightInd w:val="0"/>
        <w:snapToGrid w:val="0"/>
        <w:spacing w:after="0" w:before="0" w:line="520" w:lineRule="atLeast"/>
        <w:ind w:left="0"/>
        <w:rPr>
          <w:rFonts w:hAnsi="宋体"/>
          <w:szCs w:val="24"/>
        </w:rPr>
      </w:pPr>
    </w:p>
    <w:p w:rsidR="003C12F1" w:rsidRPr="006021A8">
      <w:pPr>
        <w:pStyle w:val="BodyTextIndent2"/>
        <w:adjustRightInd w:val="0"/>
        <w:snapToGrid w:val="0"/>
        <w:spacing w:after="0" w:before="0" w:line="520" w:lineRule="atLeast"/>
        <w:ind w:left="0"/>
        <w:rPr>
          <w:rFonts w:hAnsi="宋体"/>
          <w:szCs w:val="24"/>
        </w:rPr>
      </w:pPr>
      <w:r w:rsidRPr="006021A8">
        <w:rPr>
          <w:rFonts w:hAnsi="宋体" w:hint="eastAsia"/>
          <w:szCs w:val="24"/>
        </w:rPr>
        <w:t xml:space="preserve">签署日期：                 </w:t>
      </w:r>
    </w:p>
    <w:p w:rsidR="003C12F1" w:rsidRPr="006021A8">
      <w:pPr>
        <w:pStyle w:val="BodyTextIndent2"/>
        <w:adjustRightInd w:val="0"/>
        <w:snapToGrid w:val="0"/>
        <w:spacing w:after="0" w:before="0" w:line="520" w:lineRule="atLeast"/>
        <w:ind w:firstLine="480" w:firstLineChars="200" w:left="0"/>
        <w:rPr>
          <w:rFonts w:hAnsi="宋体"/>
          <w:szCs w:val="24"/>
        </w:rPr>
      </w:pPr>
    </w:p>
    <w:p w:rsidR="003C12F1" w:rsidRPr="006021A8">
      <w:pPr>
        <w:pStyle w:val="BodyTextIndent2"/>
        <w:adjustRightInd w:val="0"/>
        <w:snapToGrid w:val="0"/>
        <w:spacing w:after="0" w:before="0" w:line="520" w:lineRule="atLeast"/>
        <w:ind w:left="0"/>
        <w:rPr>
          <w:rFonts w:hAnsi="宋体"/>
          <w:szCs w:val="24"/>
        </w:rPr>
      </w:pPr>
    </w:p>
    <w:p w:rsidR="003C12F1" w:rsidRPr="006021A8">
      <w:pPr>
        <w:pStyle w:val="BodyTextIndent2"/>
        <w:adjustRightInd w:val="0"/>
        <w:snapToGrid w:val="0"/>
        <w:spacing w:after="0" w:before="0" w:line="520" w:lineRule="atLeast"/>
        <w:ind w:left="0"/>
        <w:rPr>
          <w:rFonts w:hAnsi="宋体"/>
          <w:szCs w:val="24"/>
        </w:rPr>
      </w:pPr>
    </w:p>
    <w:p w:rsidR="003C12F1" w:rsidRPr="006021A8">
      <w:pPr>
        <w:pStyle w:val="BodyTextIndent2"/>
        <w:adjustRightInd w:val="0"/>
        <w:snapToGrid w:val="0"/>
        <w:spacing w:after="0" w:before="0" w:line="520" w:lineRule="atLeast"/>
        <w:ind w:left="0"/>
        <w:rPr>
          <w:rFonts w:hAnsi="宋体"/>
          <w:szCs w:val="24"/>
        </w:rPr>
      </w:pPr>
    </w:p>
    <w:p w:rsidR="003C12F1" w:rsidRPr="006021A8">
      <w:pPr>
        <w:pStyle w:val="BodyTextIndent2"/>
        <w:adjustRightInd w:val="0"/>
        <w:snapToGrid w:val="0"/>
        <w:spacing w:after="0" w:before="0" w:line="520" w:lineRule="atLeast"/>
        <w:ind w:left="0"/>
        <w:rPr>
          <w:rFonts w:hAnsi="宋体"/>
          <w:szCs w:val="24"/>
        </w:rPr>
      </w:pPr>
    </w:p>
    <w:p w:rsidR="003C12F1">
      <w:pPr>
        <w:pStyle w:val="BodyTextIndent2"/>
        <w:adjustRightInd w:val="0"/>
        <w:snapToGrid w:val="0"/>
        <w:spacing w:after="0" w:before="0" w:line="520" w:lineRule="atLeast"/>
        <w:ind w:left="0"/>
        <w:rPr>
          <w:rFonts w:hAnsi="宋体"/>
          <w:szCs w:val="24"/>
        </w:rPr>
      </w:pPr>
      <w:r w:rsidRPr="006021A8">
        <w:rPr>
          <w:rFonts w:hAnsi="宋体" w:hint="eastAsia"/>
          <w:szCs w:val="24"/>
        </w:rPr>
        <w:t>签订地：</w:t>
      </w:r>
      <w:r>
        <w:rPr>
          <w:rFonts w:hAnsi="宋体" w:hint="eastAsia"/>
          <w:szCs w:val="24"/>
        </w:rPr>
        <w:t xml:space="preserve"> </w:t>
      </w:r>
    </w:p>
    <w:p w:rsidR="003C12F1">
      <w:pPr>
        <w:pStyle w:val="BodyTextIndent2"/>
        <w:spacing w:after="0" w:before="0" w:line="520" w:lineRule="exact"/>
        <w:ind w:firstLine="480" w:firstLineChars="200" w:left="0"/>
        <w:rPr>
          <w:rFonts w:hAnsi="宋体"/>
          <w:szCs w:val="24"/>
        </w:rPr>
      </w:pPr>
    </w:p>
    <w:p w:rsidR="003C12F1">
      <w:pPr>
        <w:pStyle w:val="BodyTextIndent2"/>
        <w:spacing w:after="0" w:before="0" w:line="520" w:lineRule="exact"/>
        <w:ind w:left="0"/>
        <w:rPr>
          <w:rFonts w:hAnsi="宋体"/>
          <w:sz w:val="28"/>
          <w:szCs w:val="28"/>
        </w:rPr>
      </w:pPr>
      <w:r>
        <w:rPr>
          <w:rFonts w:hAnsi="宋体" w:hint="eastAsia"/>
          <w:szCs w:val="24"/>
        </w:rPr>
        <w:t xml:space="preserve"> </w:t>
      </w:r>
      <w:r>
        <w:rPr>
          <w:rFonts w:hAnsi="宋体" w:hint="eastAsia"/>
          <w:sz w:val="28"/>
          <w:szCs w:val="28"/>
        </w:rPr>
        <w:t xml:space="preserve">  </w:t>
      </w:r>
    </w:p>
    <w:p w:rsidR="003C12F1">
      <w:pPr>
        <w:autoSpaceDE w:val="0"/>
        <w:autoSpaceDN w:val="0"/>
        <w:adjustRightInd w:val="0"/>
        <w:spacing w:line="520" w:lineRule="exact"/>
        <w:ind w:right="23" w:rightChars="11"/>
        <w:rPr>
          <w:rFonts w:ascii="宋体" w:hAnsi="宋体"/>
          <w:sz w:val="28"/>
          <w:szCs w:val="28"/>
        </w:rPr>
      </w:pPr>
    </w:p>
    <w:sectPr>
      <w:headerReference r:id="rId8" w:type="even"/>
      <w:headerReference r:id="rId9" w:type="default"/>
      <w:footerReference r:id="rId10" w:type="even"/>
      <w:footerReference r:id="rId11" w:type="default"/>
      <w:headerReference r:id="rId12" w:type="first"/>
      <w:pgSz w:h="16840" w:w="11907"/>
      <w:pgMar w:bottom="935" w:footer="720" w:gutter="0" w:header="720" w:left="1678" w:right="1678" w:top="109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3C12F1">
    <w:pPr>
      <w:pStyle w:val="Footer"/>
      <w:framePr w:hAnchor="margin" w:vAnchor="text" w:wrap="around" w:xAlign="center" w:y="1"/>
      <w:rPr>
        <w:rStyle w:val="PageNumber"/>
      </w:rPr>
    </w:pPr>
    <w:r>
      <w:fldChar w:fldCharType="begin"/>
    </w:r>
    <w:r>
      <w:rPr>
        <w:rStyle w:val="PageNumber"/>
      </w:rPr>
      <w:instrText xml:space="preserve">PAGE  </w:instrText>
    </w:r>
    <w:r w:rsidR="00000000">
      <w:fldChar w:fldCharType="separate"/>
    </w:r>
    <w:r>
      <w:fldChar w:fldCharType="end"/>
    </w:r>
  </w:p>
  <w:p w:rsidR="003C12F1">
    <w:pPr>
      <w:pStyle w:val="Footer"/>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3C12F1">
    <w:pPr>
      <w:pStyle w:val="Footer"/>
      <w:framePr w:hAnchor="margin" w:vAnchor="text" w:wrap="around" w:xAlign="center" w:y="1"/>
      <w:rPr>
        <w:rStyle w:val="PageNumber"/>
      </w:rPr>
    </w:pPr>
    <w:r>
      <w:fldChar w:fldCharType="begin"/>
    </w:r>
    <w:r>
      <w:rPr>
        <w:rStyle w:val="PageNumber"/>
      </w:rPr>
      <w:instrText xml:space="preserve">PAGE  </w:instrText>
    </w:r>
    <w:r>
      <w:fldChar w:fldCharType="separate"/>
    </w:r>
    <w:r>
      <w:rPr>
        <w:rStyle w:val="PageNumber"/>
        <w:noProof/>
      </w:rPr>
      <w:t>39</w:t>
    </w:r>
    <w:r>
      <w:fldChar w:fldCharType="end"/>
    </w:r>
  </w:p>
  <w:p w:rsidR="003C12F1">
    <w:pPr>
      <w:pStyle w:val="Footer"/>
    </w:pPr>
  </w:p>
</w:ftr>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366B8A">
    <w: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_x0000_s2049" style="width:222.75pt;height:315.75pt;margin-top:0;margin-left:0;mso-position-horizontal:center;mso-position-horizontal-relative:page;mso-position-vertical:center;mso-position-vertical-relative:page;position:absolute;z-index:251662336" type="#_x0000_t75">
          <v:imagedata o:title="" r:id="rId1"/>
          <o:lock aspectratio="f" v:ext="edit"/>
        </v:shape>
      </w:pict>
    </w:r>
  </w:p>
  <w:p w:rsidR="00C85F29">
    <w:r>
      <w:pict>
        <v:shape id="_x0000_s2050" style="width:222.75pt;height:315.75pt;margin-top:0;margin-left:0;mso-position-horizontal:center;mso-position-horizontal-relative:page;mso-position-vertical:center;mso-position-vertical-relative:page;position:absolute;z-index:251658240" type="#_x0000_t75">
          <v:imagedata o:title="" r:id="rId1"/>
          <o:lock aspectratio="f" v:ext="edit"/>
        </v:shape>
      </w:pict>
    </w:r>
  </w:p>
  <w:p>
    <w:r>
      <w:pict>
        <v:shape id="_x0000_s2051" style="width:222.75pt;height:315.75pt;margin-top:0;margin-left:0;mso-position-horizontal:center;mso-position-horizontal-relative:page;mso-position-vertical:center;mso-position-vertical-relative:page;position:absolute;z-index:251659264" type="#_x0000_t75">
          <v:imagedata o:title="" r:id="rId1"/>
          <o:lock aspectratio="f" v:ext="edit"/>
        </v:shape>
      </w:pict>
    </w: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366B8A"/>
  <w:p w:rsidR="00C85F29"/>
  <w:p>
    <w: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_x0000_s2052" style="width:222.75pt;height:315.75pt;margin-top:0;margin-left:0;mso-position-horizontal:center;mso-position-horizontal-relative:page;mso-position-vertical:center;mso-position-vertical-relative:page;position:absolute;z-index:251660288" type="#_x0000_t75">
          <v:imagedata o:title="" r:id="rId1"/>
          <o:lock aspectratio="f" v:ext="edit"/>
        </v:shape>
      </w:pic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366B8A"/>
  <w:p w:rsidR="00C85F29"/>
  <w:p>
    <w: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_x0000_s2053" style="width:222.75pt;height:315.75pt;margin-top:0;margin-left:0;mso-position-horizontal:center;mso-position-horizontal-relative:page;mso-position-vertical:center;mso-position-vertical-relative:page;position:absolute;z-index:251661312" type="#_x0000_t75">
          <v:imagedata o:title="" r:id="rId1"/>
          <o:lock aspectratio="f" v:ext="edit"/>
        </v:shape>
      </w:pic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pPr>
      <w:widowControl w:val="0"/>
      <w:jc w:val="both"/>
    </w:pPr>
    <w:rPr>
      <w:kern w:val="2"/>
      <w:sz w:val="21"/>
    </w:rPr>
  </w:style>
  <w:style w:styleId="Heading1" w:type="paragraph">
    <w:name w:val="heading 1"/>
    <w:basedOn w:val="Normal"/>
    <w:next w:val="Normal"/>
    <w:link w:val="1"/>
    <w:uiPriority w:val="9"/>
    <w:qFormat/>
    <w:pPr>
      <w:keepNext/>
      <w:keepLines/>
      <w:snapToGrid w:val="0"/>
      <w:spacing w:line="360" w:lineRule="auto"/>
      <w:ind w:firstLine="541"/>
      <w:outlineLvl w:val="0"/>
    </w:pPr>
    <w:rPr>
      <w:rFonts w:ascii="宋体" w:hAnsi="宋体"/>
      <w:b/>
      <w:color w:val="000000"/>
      <w:sz w:val="24"/>
    </w:rPr>
  </w:style>
  <w:style w:styleId="Heading2" w:type="paragraph">
    <w:name w:val="heading 2"/>
    <w:basedOn w:val="Normal"/>
    <w:next w:val="Normal"/>
    <w:uiPriority w:val="9"/>
    <w:semiHidden/>
    <w:unhideWhenUsed/>
    <w:qFormat/>
    <w:pPr>
      <w:keepNext/>
      <w:keepLines/>
      <w:spacing w:after="260" w:before="260" w:line="416" w:lineRule="auto"/>
      <w:outlineLvl w:val="1"/>
    </w:pPr>
    <w:rPr>
      <w:rFonts w:ascii="Arial" w:eastAsia="黑体" w:hAnsi="Arial"/>
      <w:b/>
      <w:bCs/>
      <w:sz w:val="32"/>
      <w:szCs w:val="32"/>
    </w:rPr>
  </w:style>
  <w:style w:styleId="Heading3" w:type="paragraph">
    <w:name w:val="heading 3"/>
    <w:basedOn w:val="Normal"/>
    <w:next w:val="Normal"/>
    <w:uiPriority w:val="9"/>
    <w:semiHidden/>
    <w:unhideWhenUsed/>
    <w:qFormat/>
    <w:pPr>
      <w:keepNext/>
      <w:keepLines/>
      <w:spacing w:after="260" w:before="260" w:line="416" w:lineRule="auto"/>
      <w:outlineLvl w:val="2"/>
    </w:pPr>
    <w:rPr>
      <w:b/>
      <w:bCs/>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CommentSubject" w:type="paragraph">
    <w:name w:val="annotation subject"/>
    <w:basedOn w:val="CommentText"/>
    <w:next w:val="CommentText"/>
    <w:link w:val="a1"/>
    <w:uiPriority w:val="99"/>
    <w:qFormat/>
    <w:rPr>
      <w:b/>
      <w:bCs/>
    </w:rPr>
  </w:style>
  <w:style w:styleId="CommentText" w:type="paragraph">
    <w:name w:val="annotation text"/>
    <w:basedOn w:val="Normal"/>
    <w:link w:val="10"/>
    <w:uiPriority w:val="99"/>
    <w:pPr>
      <w:jc w:val="left"/>
    </w:pPr>
  </w:style>
  <w:style w:styleId="DocumentMap" w:type="paragraph">
    <w:name w:val="Document Map"/>
    <w:basedOn w:val="Normal"/>
    <w:link w:val="a2"/>
    <w:uiPriority w:val="99"/>
    <w:rPr>
      <w:rFonts w:ascii="宋体" w:hAnsi="Calibri"/>
      <w:kern w:val="0"/>
      <w:sz w:val="18"/>
      <w:szCs w:val="18"/>
    </w:rPr>
  </w:style>
  <w:style w:styleId="BodyTextIndent" w:type="paragraph">
    <w:name w:val="Body Text Indent"/>
    <w:basedOn w:val="Normal"/>
    <w:link w:val="a4"/>
    <w:pPr>
      <w:autoSpaceDE w:val="0"/>
      <w:autoSpaceDN w:val="0"/>
      <w:adjustRightInd w:val="0"/>
      <w:spacing w:line="360" w:lineRule="auto"/>
      <w:ind w:firstLine="478" w:firstLineChars="199"/>
    </w:pPr>
    <w:rPr>
      <w:rFonts w:ascii="宋体" w:hAnsi="宋体"/>
      <w:kern w:val="0"/>
      <w:sz w:val="24"/>
      <w:szCs w:val="21"/>
    </w:rPr>
  </w:style>
  <w:style w:styleId="PlainText" w:type="paragraph">
    <w:name w:val="Plain Text"/>
    <w:basedOn w:val="Normal"/>
    <w:link w:val="a0"/>
    <w:rPr>
      <w:rFonts w:ascii="宋体" w:hAnsi="Courier New"/>
      <w:szCs w:val="21"/>
    </w:rPr>
  </w:style>
  <w:style w:styleId="Date" w:type="paragraph">
    <w:name w:val="Date"/>
    <w:basedOn w:val="Normal"/>
    <w:next w:val="Normal"/>
    <w:qFormat/>
    <w:pPr>
      <w:ind w:left="100" w:leftChars="2500"/>
    </w:pPr>
    <w:rPr>
      <w:rFonts w:ascii="宋体" w:hAnsi="宋体"/>
      <w:sz w:val="24"/>
    </w:rPr>
  </w:style>
  <w:style w:styleId="BodyTextIndent2" w:type="paragraph">
    <w:name w:val="Body Text Indent 2"/>
    <w:basedOn w:val="Normal"/>
    <w:link w:val="2"/>
    <w:pPr>
      <w:spacing w:after="60" w:before="60"/>
      <w:ind w:left="479"/>
    </w:pPr>
    <w:rPr>
      <w:rFonts w:ascii="宋体"/>
      <w:sz w:val="24"/>
    </w:rPr>
  </w:style>
  <w:style w:styleId="BalloonText" w:type="paragraph">
    <w:name w:val="Balloon Text"/>
    <w:basedOn w:val="Normal"/>
    <w:link w:val="a3"/>
    <w:uiPriority w:val="99"/>
    <w:qFormat/>
    <w:rPr>
      <w:sz w:val="18"/>
      <w:szCs w:val="18"/>
    </w:rPr>
  </w:style>
  <w:style w:styleId="Footer" w:type="paragraph">
    <w:name w:val="footer"/>
    <w:basedOn w:val="Normal"/>
    <w:link w:val="a5"/>
    <w:uiPriority w:val="99"/>
    <w:qFormat/>
    <w:pPr>
      <w:tabs>
        <w:tab w:pos="4153" w:val="center"/>
        <w:tab w:pos="8306" w:val="right"/>
      </w:tabs>
      <w:snapToGrid w:val="0"/>
      <w:jc w:val="left"/>
    </w:pPr>
    <w:rPr>
      <w:sz w:val="18"/>
      <w:szCs w:val="18"/>
    </w:rPr>
  </w:style>
  <w:style w:styleId="Header" w:type="paragraph">
    <w:name w:val="header"/>
    <w:basedOn w:val="Normal"/>
    <w:link w:val="a"/>
    <w:uiPriority w:val="99"/>
    <w:qFormat/>
    <w:pPr>
      <w:pBdr>
        <w:bottom w:color="auto" w:space="1" w:sz="6" w:val="single"/>
      </w:pBdr>
      <w:tabs>
        <w:tab w:pos="4153" w:val="center"/>
        <w:tab w:pos="8306" w:val="right"/>
      </w:tabs>
      <w:snapToGrid w:val="0"/>
      <w:jc w:val="center"/>
    </w:pPr>
    <w:rPr>
      <w:sz w:val="18"/>
      <w:szCs w:val="18"/>
    </w:rPr>
  </w:style>
  <w:style w:styleId="TOC1" w:type="paragraph">
    <w:name w:val="toc 1"/>
    <w:basedOn w:val="Normal"/>
    <w:next w:val="Normal"/>
    <w:uiPriority w:val="39"/>
    <w:pPr>
      <w:tabs>
        <w:tab w:leader="hyphen" w:pos="8296" w:val="right"/>
      </w:tabs>
      <w:spacing w:line="360" w:lineRule="auto"/>
    </w:pPr>
    <w:rPr>
      <w:rFonts w:ascii="宋体" w:hAnsi="宋体"/>
      <w:sz w:val="24"/>
      <w:szCs w:val="24"/>
    </w:rPr>
  </w:style>
  <w:style w:styleId="PageNumber" w:type="character">
    <w:name w:val="page number"/>
    <w:basedOn w:val="DefaultParagraphFont"/>
  </w:style>
  <w:style w:styleId="FollowedHyperlink" w:type="character">
    <w:name w:val="FollowedHyperlink"/>
    <w:rPr>
      <w:color w:val="800080"/>
      <w:u w:val="single"/>
    </w:rPr>
  </w:style>
  <w:style w:styleId="Hyperlink" w:type="character">
    <w:name w:val="Hyperlink"/>
    <w:uiPriority w:val="99"/>
    <w:rPr>
      <w:color w:val="0000FF"/>
      <w:u w:val="single"/>
    </w:rPr>
  </w:style>
  <w:style w:styleId="CommentReference" w:type="character">
    <w:name w:val="annotation reference"/>
    <w:uiPriority w:val="99"/>
    <w:rPr>
      <w:sz w:val="21"/>
      <w:szCs w:val="21"/>
    </w:rPr>
  </w:style>
  <w:style w:customStyle="1" w:styleId="a" w:type="character">
    <w:name w:val="页眉 字符"/>
    <w:link w:val="Header"/>
    <w:uiPriority w:val="99"/>
    <w:qFormat/>
    <w:rPr>
      <w:kern w:val="2"/>
      <w:sz w:val="18"/>
      <w:szCs w:val="18"/>
    </w:rPr>
  </w:style>
  <w:style w:customStyle="1" w:styleId="DeltaViewInsertion" w:type="character">
    <w:name w:val="DeltaView Insertion"/>
    <w:rPr>
      <w:color w:val="0000FF"/>
      <w:spacing w:val="0"/>
      <w:u w:val="double"/>
    </w:rPr>
  </w:style>
  <w:style w:customStyle="1" w:styleId="2" w:type="character">
    <w:name w:val="正文文本缩进 2 字符"/>
    <w:link w:val="BodyTextIndent2"/>
    <w:rPr>
      <w:rFonts w:ascii="宋体"/>
      <w:kern w:val="2"/>
      <w:sz w:val="24"/>
    </w:rPr>
  </w:style>
  <w:style w:customStyle="1" w:styleId="a0" w:type="character">
    <w:name w:val="纯文本 字符"/>
    <w:link w:val="PlainText"/>
    <w:rPr>
      <w:rFonts w:ascii="宋体" w:cs="Courier New" w:hAnsi="Courier New"/>
      <w:kern w:val="2"/>
      <w:sz w:val="21"/>
      <w:szCs w:val="21"/>
    </w:rPr>
  </w:style>
  <w:style w:customStyle="1" w:styleId="e-arialb101" w:type="character">
    <w:name w:val="e-arialb101"/>
    <w:rPr>
      <w:rFonts w:ascii="Arial" w:cs="Arial" w:hAnsi="Arial" w:hint="default"/>
      <w:color w:val="000000"/>
      <w:sz w:val="14"/>
      <w:szCs w:val="14"/>
    </w:rPr>
  </w:style>
  <w:style w:customStyle="1" w:styleId="1" w:type="character">
    <w:name w:val="标题 1 字符"/>
    <w:link w:val="Heading1"/>
    <w:uiPriority w:val="9"/>
    <w:rPr>
      <w:rFonts w:ascii="宋体" w:hAnsi="宋体"/>
      <w:b/>
      <w:color w:val="000000"/>
      <w:kern w:val="2"/>
      <w:sz w:val="24"/>
    </w:rPr>
  </w:style>
  <w:style w:customStyle="1" w:styleId="a1" w:type="character">
    <w:name w:val="批注主题 字符"/>
    <w:link w:val="CommentSubject"/>
    <w:uiPriority w:val="99"/>
    <w:rPr>
      <w:b/>
      <w:bCs/>
      <w:kern w:val="2"/>
      <w:sz w:val="21"/>
    </w:rPr>
  </w:style>
  <w:style w:customStyle="1" w:styleId="a2" w:type="character">
    <w:name w:val="文档结构图 字符"/>
    <w:link w:val="DocumentMap"/>
    <w:uiPriority w:val="99"/>
    <w:rPr>
      <w:rFonts w:ascii="宋体" w:hAnsi="Calibri"/>
      <w:sz w:val="18"/>
      <w:szCs w:val="18"/>
    </w:rPr>
  </w:style>
  <w:style w:customStyle="1" w:styleId="a3" w:type="character">
    <w:name w:val="批注框文本 字符"/>
    <w:link w:val="BalloonText"/>
    <w:uiPriority w:val="99"/>
    <w:qFormat/>
    <w:rPr>
      <w:kern w:val="2"/>
      <w:sz w:val="18"/>
      <w:szCs w:val="18"/>
    </w:rPr>
  </w:style>
  <w:style w:customStyle="1" w:styleId="10" w:type="character">
    <w:name w:val="批注文字 字符1"/>
    <w:link w:val="CommentText"/>
    <w:uiPriority w:val="99"/>
    <w:qFormat/>
    <w:rPr>
      <w:kern w:val="2"/>
      <w:sz w:val="21"/>
    </w:rPr>
  </w:style>
  <w:style w:customStyle="1" w:styleId="a4" w:type="character">
    <w:name w:val="正文文本缩进 字符"/>
    <w:link w:val="BodyTextIndent"/>
    <w:qFormat/>
    <w:rPr>
      <w:rFonts w:ascii="宋体" w:cs="Arial" w:hAnsi="宋体"/>
      <w:sz w:val="24"/>
      <w:szCs w:val="21"/>
    </w:rPr>
  </w:style>
  <w:style w:customStyle="1" w:styleId="apple-style-span" w:type="character">
    <w:name w:val="apple-style-span"/>
  </w:style>
  <w:style w:customStyle="1" w:styleId="a5" w:type="character">
    <w:name w:val="页脚 字符"/>
    <w:link w:val="Footer"/>
    <w:uiPriority w:val="99"/>
    <w:qFormat/>
    <w:rPr>
      <w:kern w:val="2"/>
      <w:sz w:val="18"/>
      <w:szCs w:val="18"/>
    </w:rPr>
  </w:style>
  <w:style w:customStyle="1" w:styleId="11" w:type="paragraph">
    <w:name w:val="修订1"/>
    <w:uiPriority w:val="99"/>
    <w:rPr>
      <w:rFonts w:ascii="Calibri" w:hAnsi="Calibri"/>
      <w:kern w:val="2"/>
      <w:sz w:val="21"/>
      <w:szCs w:val="22"/>
    </w:rPr>
  </w:style>
  <w:style w:customStyle="1" w:styleId="NormalJustified" w:type="paragraph">
    <w:name w:val="Normal (Justified)"/>
    <w:basedOn w:val="Normal"/>
    <w:pPr>
      <w:widowControl/>
      <w:snapToGrid w:val="0"/>
    </w:pPr>
    <w:rPr>
      <w:kern w:val="28"/>
      <w:sz w:val="24"/>
    </w:rPr>
  </w:style>
  <w:style w:customStyle="1" w:styleId="CharCharCharCharCharCharCharCharCharCharCharCharChar1CharCharCharChar" w:type="paragraph">
    <w:name w:val="Char Char Char Char Char Char Char Char Char Char Char Char Char1 Char Char Char Char"/>
    <w:basedOn w:val="Normal"/>
    <w:qFormat/>
    <w:rPr>
      <w:rFonts w:ascii="Tahoma" w:hAnsi="Tahoma"/>
      <w:sz w:val="24"/>
      <w:szCs w:val="24"/>
    </w:rPr>
  </w:style>
  <w:style w:customStyle="1" w:styleId="Default" w:type="paragraph">
    <w:name w:val="Default"/>
    <w:qFormat/>
    <w:pPr>
      <w:widowControl w:val="0"/>
      <w:autoSpaceDE w:val="0"/>
      <w:autoSpaceDN w:val="0"/>
      <w:adjustRightInd w:val="0"/>
    </w:pPr>
    <w:rPr>
      <w:rFonts w:ascii="宋体" w:cs="宋体" w:hAnsi="Calibri"/>
      <w:color w:val="000000"/>
      <w:sz w:val="24"/>
      <w:szCs w:val="24"/>
    </w:rPr>
  </w:style>
  <w:style w:customStyle="1" w:styleId="Char" w:type="paragraph">
    <w:name w:val="Char"/>
    <w:basedOn w:val="Normal"/>
    <w:pPr>
      <w:widowControl/>
      <w:spacing w:after="160" w:line="240" w:lineRule="exact"/>
      <w:jc w:val="left"/>
    </w:pPr>
  </w:style>
  <w:style w:customStyle="1" w:styleId="CharCharChar" w:type="paragraph">
    <w:name w:val="Char Char Char"/>
    <w:basedOn w:val="Normal"/>
    <w:qFormat/>
    <w:rPr>
      <w:szCs w:val="24"/>
    </w:rPr>
  </w:style>
  <w:style w:customStyle="1" w:styleId="CharCharCharCharCharCharChar" w:type="paragraph">
    <w:name w:val="Char Char Char Char Char Char Char"/>
    <w:basedOn w:val="Normal"/>
    <w:qFormat/>
    <w:pPr>
      <w:tabs>
        <w:tab w:pos="360" w:val="left"/>
      </w:tabs>
      <w:adjustRightInd w:val="0"/>
      <w:textAlignment w:val="baseline"/>
    </w:pPr>
    <w:rPr>
      <w:sz w:val="24"/>
    </w:rPr>
  </w:style>
  <w:style w:customStyle="1" w:styleId="CM16" w:type="paragraph">
    <w:name w:val="CM16"/>
    <w:basedOn w:val="Default"/>
    <w:next w:val="Default"/>
    <w:qFormat/>
    <w:pPr>
      <w:spacing w:line="471" w:lineRule="atLeast"/>
    </w:pPr>
    <w:rPr>
      <w:rFonts w:ascii="黑体" w:cs="Times New Roman" w:eastAsia="黑体" w:hAnsi="Times New Roman"/>
      <w:color w:val="auto"/>
    </w:rPr>
  </w:style>
  <w:style w:customStyle="1" w:styleId="CharCharChar1CharCharCharChar" w:type="paragraph">
    <w:name w:val="Char Char Char1 Char Char Char Char"/>
    <w:basedOn w:val="Normal"/>
    <w:qFormat/>
    <w:pPr>
      <w:tabs>
        <w:tab w:pos="360" w:val="left"/>
      </w:tabs>
    </w:pPr>
    <w:rPr>
      <w:sz w:val="24"/>
      <w:szCs w:val="24"/>
    </w:rPr>
  </w:style>
  <w:style w:customStyle="1" w:styleId="4CharCharCharChar" w:type="paragraph">
    <w:name w:val="4 Char Char Char Char"/>
    <w:basedOn w:val="Normal"/>
    <w:qFormat/>
    <w:rPr>
      <w:rFonts w:ascii="Tahoma" w:hAnsi="Tahoma"/>
      <w:sz w:val="24"/>
    </w:rPr>
  </w:style>
  <w:style w:customStyle="1" w:styleId="CharCharCharCharCharChar1CharCharChar" w:type="paragraph">
    <w:name w:val="Char Char Char Char Char Char1 Char Char Char"/>
    <w:basedOn w:val="Normal"/>
    <w:qFormat/>
    <w:pPr>
      <w:autoSpaceDE w:val="0"/>
      <w:autoSpaceDN w:val="0"/>
      <w:adjustRightInd w:val="0"/>
      <w:jc w:val="left"/>
      <w:textAlignment w:val="baseline"/>
    </w:pPr>
  </w:style>
  <w:style w:customStyle="1" w:styleId="a6" w:type="character">
    <w:name w:val="批注文字 字符"/>
    <w:qFormat/>
    <w:rPr>
      <w:rFonts w:ascii="Times New Roman" w:cs="Times New Roman" w:eastAsia="宋体" w:hAnsi="Times New Roman"/>
      <w:szCs w:val="24"/>
    </w:rPr>
  </w:style>
  <w:style w:styleId="Revision" w:type="paragraph">
    <w:name w:val="Revision"/>
    <w:uiPriority w:val="9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theme/theme1.xml" Type="http://schemas.openxmlformats.org/officeDocument/2006/relationships/theme"/><Relationship Id="rId14" Target="styles.xml" Type="http://schemas.openxmlformats.org/officeDocument/2006/relationships/styles"/><Relationship Id="rId2" Target="webSettings.xml" Type="http://schemas.openxmlformats.org/officeDocument/2006/relationships/webSettings"/><Relationship Id="rId3" Target="fontTable.xml" Type="http://schemas.openxmlformats.org/officeDocument/2006/relationships/fontTable"/><Relationship Id="rId4" Target="../customXml/item1.xml" Type="http://schemas.openxmlformats.org/officeDocument/2006/relationships/customXml"/><Relationship Id="rId5" Target="../customXml/item2.xml" Type="http://schemas.openxmlformats.org/officeDocument/2006/relationships/customXml"/><Relationship Id="rId6" Target="../customXml/item3.xml" Type="http://schemas.openxmlformats.org/officeDocument/2006/relationships/customXml"/><Relationship Id="rId7" Target="media/image1.jpeg" Type="http://schemas.openxmlformats.org/officeDocument/2006/relationships/image"/><Relationship Id="rId8" Target="header1.xml" Type="http://schemas.openxmlformats.org/officeDocument/2006/relationships/header"/><Relationship Id="rId9" Target="header2.xml" Type="http://schemas.openxmlformats.org/officeDocument/2006/relationships/header"/></Relationships>
</file>

<file path=word/_rels/header1.xml.rels><?xml version="1.0" encoding="UTF-8" standalone="no"?><Relationships xmlns="http://schemas.openxmlformats.org/package/2006/relationships"><Relationship Id="rId1" Target="media/image2.png" Type="http://schemas.openxmlformats.org/officeDocument/2006/relationships/image"/></Relationships>
</file>

<file path=word/_rels/header2.xml.rels><?xml version="1.0" encoding="UTF-8" standalone="no"?><Relationships xmlns="http://schemas.openxmlformats.org/package/2006/relationships"><Relationship Id="rId1" Target="media/image2.png" Type="http://schemas.openxmlformats.org/officeDocument/2006/relationships/image"/></Relationships>
</file>

<file path=word/_rels/header3.xml.rels><?xml version="1.0" encoding="UTF-8" standalone="no"?><Relationships xmlns="http://schemas.openxmlformats.org/package/2006/relationships"><Relationship Id="rId1" Target="media/image2.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A43615-8B3A-41CB-8795-ED7C463303C6}">
  <ds:schemaRefs>
    <ds:schemaRef ds:uri="http://schemas.openxmlformats.org/officeDocument/2006/bibliography"/>
  </ds:schemaRefs>
</ds:datastoreItem>
</file>

<file path=customXml/itemProps3.xml><?xml version="1.0" encoding="utf-8"?>
<ds:datastoreItem xmlns:ds="http://schemas.openxmlformats.org/officeDocument/2006/customXml" ds:itemID="{81B96B9C-5824-45DF-A2DD-3E9DF7E38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Pages>
  <Words>5818</Words>
  <Characters>33163</Characters>
  <Application>Microsoft Office Word</Application>
  <DocSecurity>0</DocSecurity>
  <Lines>276</Lines>
  <Paragraphs>77</Paragraphs>
  <ScaleCrop>false</ScaleCrop>
  <Company/>
  <LinksUpToDate>false</LinksUpToDate>
  <CharactersWithSpaces>38904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cp:contentStatus>国泰君安证券股份有限公司*国泰君安善吾养老目标日期2045五年持有期混合型发起式基金中基金（FOF）基金合同、托管协议*liyan026022@gtjas.com*liwanyang@citicbank.com * * *2022-10-14 15:19:20;国泰君安证券股份有限公司*Re: 【2045其他合同协议外其他材料审核】Re: Re: 2.国泰君安善吾养老目标日期2045五年持有期混合型发起式基金中基金（FOF）基金合同（草案）*liyan026022@gtjas.com*zhangwenqian@yuantai.com.cn * *chenxi023840@gtjas.com,youwenyi@yuantai.com.cn,lydialiu@yuantai.com.cn,henryliao@yuantai.com.cn *2022-05-12 11:39:40;国泰君安证券股份有限公司*2.国泰君安善吾养老目标日期2045五年持有期混合型发起式基金中基金（FOF）基金合同（草案）*liyan026022@gtjas.com*zhangwenqian@yuantai.com.cn * *chenxi023840@gtjas.com *2022-05-08 22:56:44;</cp:contentStatus>
  <dcterms:created xsi:type="dcterms:W3CDTF">2020-07-21T06:16:00Z</dcterms:created>
  <dc:creator>刘斓</dc:creator>
  <cp:lastModifiedBy>liyan</cp:lastModifiedBy>
  <cp:lastPrinted>2020-07-21T06:15:00Z</cp:lastPrinted>
  <dcterms:modified xsi:type="dcterms:W3CDTF">2022-10-12T09:45:00Z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ICV" pid="2">
    <vt:lpwstr>549327a13acf414598b4785009bbfb80</vt:lpwstr>
  </property>
  <property fmtid="{D5CDD505-2E9C-101B-9397-08002B2CF9AE}" name="KSOProductBuildVer" pid="3">
    <vt:lpwstr>2052-10.8.0.5800</vt:lpwstr>
  </property>
</Properties>
</file>