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9C" w:rsidRDefault="004B70E6">
      <w:pPr>
        <w:spacing w:line="520" w:lineRule="exact"/>
        <w:jc w:val="right"/>
        <w:rPr>
          <w:rFonts w:ascii="宋体" w:hAnsi="宋体"/>
          <w:shadow/>
          <w:sz w:val="28"/>
          <w:szCs w:val="28"/>
        </w:rPr>
      </w:pPr>
      <w:r>
        <w:rPr>
          <w:rFonts w:ascii="宋体" w:hint="eastAsia"/>
          <w:sz w:val="24"/>
          <w:szCs w:val="28"/>
        </w:rPr>
        <w:t>编号：银【 】字/第【 】号</w:t>
      </w:r>
    </w:p>
    <w:p w:rsidR="0023059C" w:rsidRDefault="004B70E6">
      <w:pPr>
        <w:spacing w:line="520" w:lineRule="exact"/>
        <w:jc w:val="center"/>
        <w:rPr>
          <w:rFonts w:ascii="宋体" w:hAnsi="宋体"/>
          <w:shadow/>
          <w:sz w:val="28"/>
          <w:szCs w:val="28"/>
        </w:rPr>
      </w:pPr>
      <w:r>
        <w:rPr>
          <w:rFonts w:ascii="宋体" w:hAnsi="宋体" w:hint="eastAsia"/>
          <w:szCs w:val="28"/>
        </w:rPr>
        <w:t xml:space="preserve">                             </w:t>
      </w: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09446E" w:rsidRDefault="004B70E6">
      <w:pPr>
        <w:spacing w:line="360" w:lineRule="auto"/>
        <w:jc w:val="center"/>
        <w:rPr>
          <w:rFonts w:ascii="宋体" w:hAnsi="宋体"/>
          <w:b/>
          <w:sz w:val="48"/>
        </w:rPr>
      </w:pPr>
      <w:proofErr w:type="gramStart"/>
      <w:r>
        <w:rPr>
          <w:rFonts w:ascii="宋体" w:hAnsi="宋体" w:hint="eastAsia"/>
          <w:b/>
          <w:sz w:val="48"/>
        </w:rPr>
        <w:t>农银汇理</w:t>
      </w:r>
      <w:r w:rsidR="00BE4BED">
        <w:rPr>
          <w:rFonts w:ascii="宋体" w:hAnsi="宋体" w:hint="eastAsia"/>
          <w:b/>
          <w:sz w:val="48"/>
        </w:rPr>
        <w:t>瑞泽</w:t>
      </w:r>
      <w:proofErr w:type="gramEnd"/>
      <w:r w:rsidR="00BE4BED">
        <w:rPr>
          <w:rFonts w:ascii="宋体" w:hAnsi="宋体" w:hint="eastAsia"/>
          <w:b/>
          <w:sz w:val="48"/>
        </w:rPr>
        <w:t>添利</w:t>
      </w:r>
      <w:r>
        <w:rPr>
          <w:rFonts w:ascii="宋体" w:hAnsi="宋体" w:hint="eastAsia"/>
          <w:b/>
          <w:sz w:val="48"/>
        </w:rPr>
        <w:t>债券型证券投资基金</w:t>
      </w:r>
    </w:p>
    <w:p w:rsidR="0023059C" w:rsidRDefault="004B70E6">
      <w:pPr>
        <w:spacing w:line="360" w:lineRule="auto"/>
        <w:jc w:val="center"/>
        <w:rPr>
          <w:rFonts w:ascii="宋体" w:hAnsi="宋体"/>
          <w:b/>
          <w:sz w:val="48"/>
        </w:rPr>
      </w:pPr>
      <w:r>
        <w:rPr>
          <w:rFonts w:ascii="宋体" w:hAnsi="宋体" w:hint="eastAsia"/>
          <w:b/>
          <w:sz w:val="48"/>
        </w:rPr>
        <w:t>托管协议</w:t>
      </w:r>
      <w:bookmarkStart w:id="0" w:name="_GoBack"/>
      <w:bookmarkEnd w:id="0"/>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4B70E6">
      <w:pPr>
        <w:spacing w:line="360" w:lineRule="auto"/>
        <w:jc w:val="center"/>
        <w:rPr>
          <w:rFonts w:ascii="宋体" w:hAnsi="宋体"/>
          <w:b/>
          <w:sz w:val="36"/>
        </w:rPr>
      </w:pPr>
      <w:bookmarkStart w:id="1" w:name="_Toc123112263"/>
      <w:bookmarkStart w:id="2" w:name="_Toc139991726"/>
      <w:bookmarkStart w:id="3" w:name="_Toc123112224"/>
      <w:bookmarkStart w:id="4" w:name="_Toc123701383"/>
      <w:bookmarkStart w:id="5" w:name="_Toc139992301"/>
      <w:r>
        <w:rPr>
          <w:rFonts w:ascii="宋体" w:hAnsi="宋体"/>
          <w:b/>
          <w:sz w:val="36"/>
        </w:rPr>
        <w:t>基金管理人：</w:t>
      </w:r>
      <w:bookmarkEnd w:id="1"/>
      <w:bookmarkEnd w:id="2"/>
      <w:bookmarkEnd w:id="3"/>
      <w:bookmarkEnd w:id="4"/>
      <w:bookmarkEnd w:id="5"/>
      <w:r>
        <w:rPr>
          <w:rFonts w:ascii="宋体" w:hAnsi="宋体" w:hint="eastAsia"/>
          <w:b/>
          <w:sz w:val="36"/>
        </w:rPr>
        <w:t xml:space="preserve">农银汇理基金管理有限公司 </w:t>
      </w:r>
    </w:p>
    <w:p w:rsidR="0023059C" w:rsidRDefault="004B70E6">
      <w:pPr>
        <w:spacing w:line="360" w:lineRule="auto"/>
        <w:jc w:val="center"/>
        <w:rPr>
          <w:rFonts w:ascii="宋体" w:hAnsi="宋体"/>
          <w:b/>
          <w:sz w:val="36"/>
        </w:rPr>
      </w:pPr>
      <w:bookmarkStart w:id="6" w:name="_Toc123112264"/>
      <w:bookmarkStart w:id="7" w:name="_Toc139991727"/>
      <w:bookmarkStart w:id="8" w:name="_Toc139992302"/>
      <w:bookmarkStart w:id="9" w:name="_Toc123112225"/>
      <w:bookmarkStart w:id="10" w:name="_Toc123701384"/>
      <w:r>
        <w:rPr>
          <w:rFonts w:ascii="宋体" w:hAnsi="宋体"/>
          <w:b/>
          <w:sz w:val="36"/>
        </w:rPr>
        <w:t>基金托管人：</w:t>
      </w:r>
      <w:r>
        <w:rPr>
          <w:rFonts w:ascii="宋体" w:hAnsi="宋体" w:hint="eastAsia"/>
          <w:b/>
          <w:sz w:val="36"/>
        </w:rPr>
        <w:t>中信银行股份有限公司</w:t>
      </w:r>
      <w:bookmarkEnd w:id="6"/>
      <w:bookmarkEnd w:id="7"/>
      <w:bookmarkEnd w:id="8"/>
      <w:bookmarkEnd w:id="9"/>
      <w:bookmarkEnd w:id="10"/>
    </w:p>
    <w:p w:rsidR="0023059C" w:rsidRDefault="0023059C">
      <w:pPr>
        <w:spacing w:line="360" w:lineRule="auto"/>
        <w:jc w:val="center"/>
        <w:rPr>
          <w:rFonts w:ascii="宋体" w:hAnsi="宋体"/>
          <w:b/>
          <w:sz w:val="44"/>
          <w:szCs w:val="44"/>
        </w:rPr>
      </w:pPr>
    </w:p>
    <w:p w:rsidR="0023059C" w:rsidRDefault="0023059C">
      <w:pPr>
        <w:spacing w:line="360" w:lineRule="auto"/>
        <w:rPr>
          <w:rFonts w:ascii="宋体" w:hAnsi="宋体"/>
          <w:b/>
          <w:szCs w:val="28"/>
        </w:rPr>
      </w:pPr>
    </w:p>
    <w:p w:rsidR="0023059C" w:rsidRDefault="0023059C">
      <w:pPr>
        <w:spacing w:line="360" w:lineRule="auto"/>
        <w:ind w:firstLineChars="200" w:firstLine="562"/>
        <w:jc w:val="center"/>
        <w:rPr>
          <w:rFonts w:ascii="宋体" w:hAnsi="宋体"/>
          <w:b/>
          <w:bCs/>
          <w:sz w:val="28"/>
          <w:szCs w:val="28"/>
        </w:rPr>
      </w:pPr>
    </w:p>
    <w:p w:rsidR="0023059C" w:rsidRDefault="0023059C">
      <w:pPr>
        <w:spacing w:line="360" w:lineRule="auto"/>
        <w:ind w:firstLineChars="200" w:firstLine="562"/>
        <w:jc w:val="center"/>
        <w:rPr>
          <w:rFonts w:ascii="宋体" w:hAnsi="宋体"/>
          <w:b/>
          <w:bCs/>
          <w:sz w:val="28"/>
          <w:szCs w:val="28"/>
        </w:rPr>
      </w:pPr>
    </w:p>
    <w:p w:rsidR="0023059C" w:rsidRDefault="0023059C">
      <w:pPr>
        <w:spacing w:line="360" w:lineRule="auto"/>
        <w:rPr>
          <w:rFonts w:ascii="宋体" w:hAnsi="宋体"/>
          <w:b/>
          <w:bCs/>
          <w:sz w:val="28"/>
          <w:szCs w:val="28"/>
        </w:rPr>
      </w:pPr>
    </w:p>
    <w:p w:rsidR="0023059C" w:rsidRDefault="004B70E6">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rsidR="0023059C" w:rsidRDefault="004B70E6">
      <w:pPr>
        <w:spacing w:line="360" w:lineRule="auto"/>
        <w:jc w:val="center"/>
        <w:rPr>
          <w:rFonts w:ascii="宋体" w:hAnsi="宋体"/>
          <w:b/>
          <w:bCs/>
          <w:sz w:val="28"/>
          <w:szCs w:val="28"/>
        </w:rPr>
      </w:pPr>
      <w:r>
        <w:rPr>
          <w:rFonts w:ascii="宋体" w:hAnsi="宋体" w:hint="eastAsia"/>
          <w:b/>
          <w:bCs/>
          <w:sz w:val="28"/>
          <w:szCs w:val="28"/>
        </w:rPr>
        <w:lastRenderedPageBreak/>
        <w:t>目录</w:t>
      </w:r>
    </w:p>
    <w:p w:rsidR="0023059C" w:rsidRDefault="0023059C">
      <w:pPr>
        <w:spacing w:line="360" w:lineRule="auto"/>
        <w:ind w:firstLineChars="200" w:firstLine="562"/>
        <w:jc w:val="center"/>
        <w:rPr>
          <w:rFonts w:ascii="宋体" w:hAnsi="宋体"/>
          <w:b/>
          <w:bCs/>
          <w:sz w:val="28"/>
          <w:szCs w:val="28"/>
        </w:rPr>
      </w:pPr>
    </w:p>
    <w:p w:rsidR="0023059C" w:rsidRDefault="004B70E6">
      <w:pPr>
        <w:pStyle w:val="12"/>
        <w:rPr>
          <w:rFonts w:asciiTheme="minorHAnsi" w:eastAsiaTheme="minorEastAsia" w:hAnsiTheme="minorHAnsi" w:cstheme="minorBidi"/>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63235218" w:history="1">
        <w:r>
          <w:rPr>
            <w:rStyle w:val="af5"/>
            <w:bCs/>
          </w:rPr>
          <w:t>第一条 本协议当事人</w:t>
        </w:r>
        <w:r>
          <w:tab/>
        </w:r>
        <w:r>
          <w:fldChar w:fldCharType="begin"/>
        </w:r>
        <w:r>
          <w:instrText xml:space="preserve"> PAGEREF _Toc63235218 \h </w:instrText>
        </w:r>
        <w:r>
          <w:fldChar w:fldCharType="separate"/>
        </w:r>
        <w:r w:rsidR="00553D86">
          <w:rPr>
            <w:noProof/>
          </w:rPr>
          <w:t>2</w:t>
        </w:r>
        <w:r>
          <w:fldChar w:fldCharType="end"/>
        </w:r>
      </w:hyperlink>
    </w:p>
    <w:p w:rsidR="0023059C" w:rsidRDefault="00A34A82">
      <w:pPr>
        <w:pStyle w:val="12"/>
        <w:rPr>
          <w:rFonts w:asciiTheme="minorHAnsi" w:eastAsiaTheme="minorEastAsia" w:hAnsiTheme="minorHAnsi" w:cstheme="minorBidi"/>
          <w:sz w:val="21"/>
          <w:szCs w:val="22"/>
        </w:rPr>
      </w:pPr>
      <w:hyperlink w:anchor="_Toc63235219" w:history="1">
        <w:r w:rsidR="004B70E6">
          <w:rPr>
            <w:rStyle w:val="af5"/>
            <w:bCs/>
          </w:rPr>
          <w:t>第二条 本协议的依据、目的和原则</w:t>
        </w:r>
        <w:r w:rsidR="004B70E6">
          <w:tab/>
        </w:r>
        <w:r w:rsidR="004B70E6">
          <w:fldChar w:fldCharType="begin"/>
        </w:r>
        <w:r w:rsidR="004B70E6">
          <w:instrText xml:space="preserve"> PAGEREF _Toc63235219 \h </w:instrText>
        </w:r>
        <w:r w:rsidR="004B70E6">
          <w:fldChar w:fldCharType="separate"/>
        </w:r>
        <w:r w:rsidR="00553D86">
          <w:rPr>
            <w:noProof/>
          </w:rPr>
          <w:t>3</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0" w:history="1">
        <w:r w:rsidR="004B70E6">
          <w:rPr>
            <w:rStyle w:val="af5"/>
            <w:bCs/>
          </w:rPr>
          <w:t>第三条 基金托管人对基金管理人的业务监督和核查</w:t>
        </w:r>
        <w:r w:rsidR="004B70E6">
          <w:tab/>
        </w:r>
        <w:r w:rsidR="004B70E6">
          <w:fldChar w:fldCharType="begin"/>
        </w:r>
        <w:r w:rsidR="004B70E6">
          <w:instrText xml:space="preserve"> PAGEREF _Toc63235220 \h </w:instrText>
        </w:r>
        <w:r w:rsidR="004B70E6">
          <w:fldChar w:fldCharType="separate"/>
        </w:r>
        <w:r w:rsidR="00553D86">
          <w:rPr>
            <w:noProof/>
          </w:rPr>
          <w:t>4</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1" w:history="1">
        <w:r w:rsidR="004B70E6">
          <w:rPr>
            <w:rStyle w:val="af5"/>
            <w:bCs/>
          </w:rPr>
          <w:t>第四条 基金管理人对基金托管人的业务核查</w:t>
        </w:r>
        <w:r w:rsidR="004B70E6">
          <w:tab/>
        </w:r>
        <w:r w:rsidR="004B70E6">
          <w:fldChar w:fldCharType="begin"/>
        </w:r>
        <w:r w:rsidR="004B70E6">
          <w:instrText xml:space="preserve"> PAGEREF _Toc63235221 \h </w:instrText>
        </w:r>
        <w:r w:rsidR="004B70E6">
          <w:fldChar w:fldCharType="separate"/>
        </w:r>
        <w:r w:rsidR="00553D86">
          <w:rPr>
            <w:noProof/>
          </w:rPr>
          <w:t>12</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2" w:history="1">
        <w:r w:rsidR="004B70E6">
          <w:rPr>
            <w:rStyle w:val="af5"/>
            <w:bCs/>
          </w:rPr>
          <w:t>第五条 基金财产保管</w:t>
        </w:r>
        <w:r w:rsidR="004B70E6">
          <w:tab/>
        </w:r>
        <w:r w:rsidR="004B70E6">
          <w:fldChar w:fldCharType="begin"/>
        </w:r>
        <w:r w:rsidR="004B70E6">
          <w:instrText xml:space="preserve"> PAGEREF _Toc63235222 \h </w:instrText>
        </w:r>
        <w:r w:rsidR="004B70E6">
          <w:fldChar w:fldCharType="separate"/>
        </w:r>
        <w:r w:rsidR="00553D86">
          <w:rPr>
            <w:noProof/>
          </w:rPr>
          <w:t>13</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3" w:history="1">
        <w:r w:rsidR="004B70E6">
          <w:rPr>
            <w:rStyle w:val="af5"/>
            <w:bCs/>
          </w:rPr>
          <w:t>第六条 指令的发送、确认和执行</w:t>
        </w:r>
        <w:r w:rsidR="004B70E6">
          <w:tab/>
        </w:r>
        <w:r w:rsidR="004B70E6">
          <w:fldChar w:fldCharType="begin"/>
        </w:r>
        <w:r w:rsidR="004B70E6">
          <w:instrText xml:space="preserve"> PAGEREF _Toc63235223 \h </w:instrText>
        </w:r>
        <w:r w:rsidR="004B70E6">
          <w:fldChar w:fldCharType="separate"/>
        </w:r>
        <w:r w:rsidR="00553D86">
          <w:rPr>
            <w:noProof/>
          </w:rPr>
          <w:t>16</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4" w:history="1">
        <w:r w:rsidR="004B70E6">
          <w:rPr>
            <w:rStyle w:val="af5"/>
            <w:bCs/>
          </w:rPr>
          <w:t>第七条 交易及清算交收安排</w:t>
        </w:r>
        <w:r w:rsidR="004B70E6">
          <w:tab/>
        </w:r>
        <w:r w:rsidR="004B70E6">
          <w:fldChar w:fldCharType="begin"/>
        </w:r>
        <w:r w:rsidR="004B70E6">
          <w:instrText xml:space="preserve"> PAGEREF _Toc63235224 \h </w:instrText>
        </w:r>
        <w:r w:rsidR="004B70E6">
          <w:fldChar w:fldCharType="separate"/>
        </w:r>
        <w:r w:rsidR="00553D86">
          <w:rPr>
            <w:noProof/>
          </w:rPr>
          <w:t>19</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5" w:history="1">
        <w:r w:rsidR="004B70E6">
          <w:rPr>
            <w:rStyle w:val="af5"/>
            <w:bCs/>
          </w:rPr>
          <w:t>第八条 基金净值计算和会计核算</w:t>
        </w:r>
        <w:r w:rsidR="004B70E6">
          <w:tab/>
        </w:r>
        <w:r w:rsidR="004B70E6">
          <w:fldChar w:fldCharType="begin"/>
        </w:r>
        <w:r w:rsidR="004B70E6">
          <w:instrText xml:space="preserve"> PAGEREF _Toc63235225 \h </w:instrText>
        </w:r>
        <w:r w:rsidR="004B70E6">
          <w:fldChar w:fldCharType="separate"/>
        </w:r>
        <w:r w:rsidR="00553D86">
          <w:rPr>
            <w:noProof/>
          </w:rPr>
          <w:t>22</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6" w:history="1">
        <w:r w:rsidR="004B70E6">
          <w:rPr>
            <w:rStyle w:val="af5"/>
            <w:bCs/>
          </w:rPr>
          <w:t>第九条 基金收益分配</w:t>
        </w:r>
        <w:r w:rsidR="004B70E6">
          <w:tab/>
        </w:r>
        <w:r w:rsidR="004B70E6">
          <w:fldChar w:fldCharType="begin"/>
        </w:r>
        <w:r w:rsidR="004B70E6">
          <w:instrText xml:space="preserve"> PAGEREF _Toc63235226 \h </w:instrText>
        </w:r>
        <w:r w:rsidR="004B70E6">
          <w:fldChar w:fldCharType="separate"/>
        </w:r>
        <w:r w:rsidR="00553D86">
          <w:rPr>
            <w:noProof/>
          </w:rPr>
          <w:t>28</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7" w:history="1">
        <w:r w:rsidR="004B70E6">
          <w:rPr>
            <w:rStyle w:val="af5"/>
            <w:bCs/>
          </w:rPr>
          <w:t>第十条 信息披露</w:t>
        </w:r>
        <w:r w:rsidR="004B70E6">
          <w:tab/>
        </w:r>
        <w:r w:rsidR="004B70E6">
          <w:fldChar w:fldCharType="begin"/>
        </w:r>
        <w:r w:rsidR="004B70E6">
          <w:instrText xml:space="preserve"> PAGEREF _Toc63235227 \h </w:instrText>
        </w:r>
        <w:r w:rsidR="004B70E6">
          <w:fldChar w:fldCharType="separate"/>
        </w:r>
        <w:r w:rsidR="00553D86">
          <w:rPr>
            <w:noProof/>
          </w:rPr>
          <w:t>29</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8" w:history="1">
        <w:r w:rsidR="004B70E6">
          <w:rPr>
            <w:rStyle w:val="af5"/>
            <w:bCs/>
          </w:rPr>
          <w:t>第十一条 基金费用</w:t>
        </w:r>
        <w:r w:rsidR="004B70E6">
          <w:tab/>
        </w:r>
        <w:r w:rsidR="004B70E6">
          <w:fldChar w:fldCharType="begin"/>
        </w:r>
        <w:r w:rsidR="004B70E6">
          <w:instrText xml:space="preserve"> PAGEREF _Toc63235228 \h </w:instrText>
        </w:r>
        <w:r w:rsidR="004B70E6">
          <w:fldChar w:fldCharType="separate"/>
        </w:r>
        <w:r w:rsidR="00553D86">
          <w:rPr>
            <w:noProof/>
          </w:rPr>
          <w:t>31</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29" w:history="1">
        <w:r w:rsidR="004B70E6">
          <w:rPr>
            <w:rStyle w:val="af5"/>
            <w:bCs/>
          </w:rPr>
          <w:t>第十二条 基金份额持有人名册的保管</w:t>
        </w:r>
        <w:r w:rsidR="004B70E6">
          <w:tab/>
        </w:r>
        <w:r w:rsidR="004B70E6">
          <w:fldChar w:fldCharType="begin"/>
        </w:r>
        <w:r w:rsidR="004B70E6">
          <w:instrText xml:space="preserve"> PAGEREF _Toc63235229 \h </w:instrText>
        </w:r>
        <w:r w:rsidR="004B70E6">
          <w:fldChar w:fldCharType="separate"/>
        </w:r>
        <w:r w:rsidR="00553D86">
          <w:rPr>
            <w:noProof/>
          </w:rPr>
          <w:t>33</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0" w:history="1">
        <w:r w:rsidR="004B70E6">
          <w:rPr>
            <w:rStyle w:val="af5"/>
            <w:bCs/>
          </w:rPr>
          <w:t>第十三条 基金有关文件和档案的保存</w:t>
        </w:r>
        <w:r w:rsidR="004B70E6">
          <w:tab/>
        </w:r>
        <w:r w:rsidR="004B70E6">
          <w:fldChar w:fldCharType="begin"/>
        </w:r>
        <w:r w:rsidR="004B70E6">
          <w:instrText xml:space="preserve"> PAGEREF _Toc63235230 \h </w:instrText>
        </w:r>
        <w:r w:rsidR="004B70E6">
          <w:fldChar w:fldCharType="separate"/>
        </w:r>
        <w:r w:rsidR="00553D86">
          <w:rPr>
            <w:noProof/>
          </w:rPr>
          <w:t>34</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1" w:history="1">
        <w:r w:rsidR="004B70E6">
          <w:rPr>
            <w:rStyle w:val="af5"/>
            <w:bCs/>
          </w:rPr>
          <w:t>第十四条 基金管理人和基金托管人的更换</w:t>
        </w:r>
        <w:r w:rsidR="004B70E6">
          <w:tab/>
        </w:r>
        <w:r w:rsidR="004B70E6">
          <w:fldChar w:fldCharType="begin"/>
        </w:r>
        <w:r w:rsidR="004B70E6">
          <w:instrText xml:space="preserve"> PAGEREF _Toc63235231 \h </w:instrText>
        </w:r>
        <w:r w:rsidR="004B70E6">
          <w:fldChar w:fldCharType="separate"/>
        </w:r>
        <w:r w:rsidR="00553D86">
          <w:rPr>
            <w:noProof/>
          </w:rPr>
          <w:t>34</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2" w:history="1">
        <w:r w:rsidR="004B70E6">
          <w:rPr>
            <w:rStyle w:val="af5"/>
            <w:bCs/>
          </w:rPr>
          <w:t>第十五条 禁止行为</w:t>
        </w:r>
        <w:r w:rsidR="004B70E6">
          <w:tab/>
        </w:r>
        <w:r w:rsidR="004B70E6">
          <w:fldChar w:fldCharType="begin"/>
        </w:r>
        <w:r w:rsidR="004B70E6">
          <w:instrText xml:space="preserve"> PAGEREF _Toc63235232 \h </w:instrText>
        </w:r>
        <w:r w:rsidR="004B70E6">
          <w:fldChar w:fldCharType="separate"/>
        </w:r>
        <w:r w:rsidR="00553D86">
          <w:rPr>
            <w:noProof/>
          </w:rPr>
          <w:t>37</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3" w:history="1">
        <w:r w:rsidR="004B70E6">
          <w:rPr>
            <w:rStyle w:val="af5"/>
            <w:bCs/>
          </w:rPr>
          <w:t>第十六条 本协议的变更、终止与基金财产的清算</w:t>
        </w:r>
        <w:r w:rsidR="004B70E6">
          <w:tab/>
        </w:r>
        <w:r w:rsidR="004B70E6">
          <w:fldChar w:fldCharType="begin"/>
        </w:r>
        <w:r w:rsidR="004B70E6">
          <w:instrText xml:space="preserve"> PAGEREF _Toc63235233 \h </w:instrText>
        </w:r>
        <w:r w:rsidR="004B70E6">
          <w:fldChar w:fldCharType="separate"/>
        </w:r>
        <w:r w:rsidR="00553D86">
          <w:rPr>
            <w:noProof/>
          </w:rPr>
          <w:t>38</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4" w:history="1">
        <w:r w:rsidR="004B70E6">
          <w:rPr>
            <w:rStyle w:val="af5"/>
            <w:bCs/>
          </w:rPr>
          <w:t>第十七条 违约责任</w:t>
        </w:r>
        <w:r w:rsidR="004B70E6">
          <w:tab/>
        </w:r>
        <w:r w:rsidR="004B70E6">
          <w:fldChar w:fldCharType="begin"/>
        </w:r>
        <w:r w:rsidR="004B70E6">
          <w:instrText xml:space="preserve"> PAGEREF _Toc63235234 \h </w:instrText>
        </w:r>
        <w:r w:rsidR="004B70E6">
          <w:fldChar w:fldCharType="separate"/>
        </w:r>
        <w:r w:rsidR="00553D86">
          <w:rPr>
            <w:noProof/>
          </w:rPr>
          <w:t>40</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5" w:history="1">
        <w:r w:rsidR="004B70E6">
          <w:rPr>
            <w:rStyle w:val="af5"/>
            <w:bCs/>
          </w:rPr>
          <w:t>第十八条 法律适用和争议解决</w:t>
        </w:r>
        <w:r w:rsidR="004B70E6">
          <w:tab/>
        </w:r>
        <w:r w:rsidR="004B70E6">
          <w:fldChar w:fldCharType="begin"/>
        </w:r>
        <w:r w:rsidR="004B70E6">
          <w:instrText xml:space="preserve"> PAGEREF _Toc63235235 \h </w:instrText>
        </w:r>
        <w:r w:rsidR="004B70E6">
          <w:fldChar w:fldCharType="separate"/>
        </w:r>
        <w:r w:rsidR="00553D86">
          <w:rPr>
            <w:noProof/>
          </w:rPr>
          <w:t>41</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6" w:history="1">
        <w:r w:rsidR="004B70E6">
          <w:rPr>
            <w:rStyle w:val="af5"/>
            <w:bCs/>
          </w:rPr>
          <w:t>第十九条 本协议的效力</w:t>
        </w:r>
        <w:r w:rsidR="004B70E6">
          <w:tab/>
        </w:r>
        <w:r w:rsidR="004B70E6">
          <w:fldChar w:fldCharType="begin"/>
        </w:r>
        <w:r w:rsidR="004B70E6">
          <w:instrText xml:space="preserve"> PAGEREF _Toc63235236 \h </w:instrText>
        </w:r>
        <w:r w:rsidR="004B70E6">
          <w:fldChar w:fldCharType="separate"/>
        </w:r>
        <w:r w:rsidR="00553D86">
          <w:rPr>
            <w:noProof/>
          </w:rPr>
          <w:t>41</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7" w:history="1">
        <w:r w:rsidR="004B70E6">
          <w:rPr>
            <w:rStyle w:val="af5"/>
            <w:bCs/>
          </w:rPr>
          <w:t>第二十条 本协议的签订</w:t>
        </w:r>
        <w:r w:rsidR="004B70E6">
          <w:tab/>
        </w:r>
        <w:r w:rsidR="004B70E6">
          <w:fldChar w:fldCharType="begin"/>
        </w:r>
        <w:r w:rsidR="004B70E6">
          <w:instrText xml:space="preserve"> PAGEREF _Toc63235237 \h </w:instrText>
        </w:r>
        <w:r w:rsidR="004B70E6">
          <w:fldChar w:fldCharType="separate"/>
        </w:r>
        <w:r w:rsidR="00553D86">
          <w:rPr>
            <w:noProof/>
          </w:rPr>
          <w:t>41</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8" w:history="1">
        <w:r w:rsidR="004B70E6">
          <w:rPr>
            <w:rStyle w:val="af5"/>
            <w:bCs/>
          </w:rPr>
          <w:t>第二十一条 不可抗力</w:t>
        </w:r>
        <w:r w:rsidR="004B70E6">
          <w:tab/>
        </w:r>
        <w:r w:rsidR="004B70E6">
          <w:fldChar w:fldCharType="begin"/>
        </w:r>
        <w:r w:rsidR="004B70E6">
          <w:instrText xml:space="preserve"> PAGEREF _Toc63235238 \h </w:instrText>
        </w:r>
        <w:r w:rsidR="004B70E6">
          <w:fldChar w:fldCharType="separate"/>
        </w:r>
        <w:r w:rsidR="00553D86">
          <w:rPr>
            <w:noProof/>
          </w:rPr>
          <w:t>42</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39" w:history="1">
        <w:r w:rsidR="004B70E6">
          <w:rPr>
            <w:rStyle w:val="af5"/>
            <w:bCs/>
          </w:rPr>
          <w:t>第二十二条 可分割性</w:t>
        </w:r>
        <w:r w:rsidR="004B70E6">
          <w:tab/>
        </w:r>
        <w:r w:rsidR="004B70E6">
          <w:fldChar w:fldCharType="begin"/>
        </w:r>
        <w:r w:rsidR="004B70E6">
          <w:instrText xml:space="preserve"> PAGEREF _Toc63235239 \h </w:instrText>
        </w:r>
        <w:r w:rsidR="004B70E6">
          <w:fldChar w:fldCharType="separate"/>
        </w:r>
        <w:r w:rsidR="00553D86">
          <w:rPr>
            <w:noProof/>
          </w:rPr>
          <w:t>42</w:t>
        </w:r>
        <w:r w:rsidR="004B70E6">
          <w:fldChar w:fldCharType="end"/>
        </w:r>
      </w:hyperlink>
    </w:p>
    <w:p w:rsidR="0023059C" w:rsidRDefault="00A34A82">
      <w:pPr>
        <w:pStyle w:val="12"/>
        <w:rPr>
          <w:rFonts w:asciiTheme="minorHAnsi" w:eastAsiaTheme="minorEastAsia" w:hAnsiTheme="minorHAnsi" w:cstheme="minorBidi"/>
          <w:sz w:val="21"/>
          <w:szCs w:val="22"/>
        </w:rPr>
      </w:pPr>
      <w:hyperlink w:anchor="_Toc63235240" w:history="1">
        <w:r w:rsidR="004B70E6">
          <w:rPr>
            <w:rStyle w:val="af5"/>
            <w:bCs/>
          </w:rPr>
          <w:t>第二十三条 通知与送达</w:t>
        </w:r>
        <w:r w:rsidR="004B70E6">
          <w:tab/>
        </w:r>
        <w:r w:rsidR="004B70E6">
          <w:fldChar w:fldCharType="begin"/>
        </w:r>
        <w:r w:rsidR="004B70E6">
          <w:instrText xml:space="preserve"> PAGEREF _Toc63235240 \h </w:instrText>
        </w:r>
        <w:r w:rsidR="004B70E6">
          <w:fldChar w:fldCharType="separate"/>
        </w:r>
        <w:r w:rsidR="00553D86">
          <w:rPr>
            <w:noProof/>
          </w:rPr>
          <w:t>42</w:t>
        </w:r>
        <w:r w:rsidR="004B70E6">
          <w:fldChar w:fldCharType="end"/>
        </w:r>
      </w:hyperlink>
    </w:p>
    <w:p w:rsidR="0023059C" w:rsidRDefault="004B70E6">
      <w:pPr>
        <w:snapToGrid w:val="0"/>
        <w:spacing w:line="360" w:lineRule="auto"/>
        <w:rPr>
          <w:rFonts w:ascii="宋体" w:hAnsi="宋体"/>
          <w:b/>
          <w:sz w:val="28"/>
          <w:szCs w:val="28"/>
        </w:rPr>
      </w:pPr>
      <w:r>
        <w:rPr>
          <w:rFonts w:ascii="宋体" w:hAnsi="宋体"/>
          <w:b/>
          <w:sz w:val="28"/>
          <w:szCs w:val="28"/>
        </w:rPr>
        <w:fldChar w:fldCharType="end"/>
      </w:r>
    </w:p>
    <w:p w:rsidR="0023059C" w:rsidRDefault="004B70E6">
      <w:pPr>
        <w:adjustRightInd w:val="0"/>
        <w:snapToGrid w:val="0"/>
        <w:spacing w:line="520" w:lineRule="atLeast"/>
        <w:jc w:val="center"/>
        <w:rPr>
          <w:rFonts w:ascii="宋体" w:hAnsi="宋体"/>
          <w:b/>
          <w:sz w:val="28"/>
          <w:szCs w:val="28"/>
        </w:rPr>
      </w:pPr>
      <w:r>
        <w:rPr>
          <w:rFonts w:ascii="宋体" w:hAnsi="宋体"/>
          <w:b/>
          <w:sz w:val="28"/>
          <w:szCs w:val="28"/>
        </w:rPr>
        <w:br w:type="page"/>
      </w:r>
      <w:proofErr w:type="gramStart"/>
      <w:r>
        <w:rPr>
          <w:rFonts w:ascii="宋体" w:hAnsi="宋体" w:hint="eastAsia"/>
          <w:b/>
          <w:sz w:val="28"/>
          <w:szCs w:val="28"/>
        </w:rPr>
        <w:lastRenderedPageBreak/>
        <w:t>农银汇理</w:t>
      </w:r>
      <w:r w:rsidR="00BE4BED">
        <w:rPr>
          <w:rFonts w:ascii="宋体" w:hAnsi="宋体" w:hint="eastAsia"/>
          <w:b/>
          <w:sz w:val="28"/>
          <w:szCs w:val="28"/>
        </w:rPr>
        <w:t>瑞泽</w:t>
      </w:r>
      <w:proofErr w:type="gramEnd"/>
      <w:r w:rsidR="00BE4BED">
        <w:rPr>
          <w:rFonts w:ascii="宋体" w:hAnsi="宋体" w:hint="eastAsia"/>
          <w:b/>
          <w:sz w:val="28"/>
          <w:szCs w:val="28"/>
        </w:rPr>
        <w:t>添利</w:t>
      </w:r>
      <w:r>
        <w:rPr>
          <w:rFonts w:ascii="宋体" w:hAnsi="宋体" w:hint="eastAsia"/>
          <w:b/>
          <w:sz w:val="28"/>
          <w:szCs w:val="28"/>
        </w:rPr>
        <w:t>债券型证券投资基金托管协议</w:t>
      </w:r>
    </w:p>
    <w:p w:rsidR="0023059C" w:rsidRDefault="0023059C">
      <w:pPr>
        <w:adjustRightInd w:val="0"/>
        <w:snapToGrid w:val="0"/>
        <w:spacing w:line="520" w:lineRule="atLeast"/>
        <w:jc w:val="center"/>
        <w:rPr>
          <w:rFonts w:ascii="宋体" w:hAnsi="宋体"/>
          <w:b/>
          <w:sz w:val="28"/>
          <w:szCs w:val="28"/>
        </w:rPr>
      </w:pPr>
    </w:p>
    <w:p w:rsidR="0023059C" w:rsidRDefault="004B70E6">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 xml:space="preserve">基金管理人：农银汇理基金管理有限公司 </w:t>
      </w:r>
    </w:p>
    <w:p w:rsidR="0023059C" w:rsidRDefault="004B70E6">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Pr>
          <w:rFonts w:ascii="宋体" w:hAnsi="宋体" w:hint="eastAsia"/>
          <w:b/>
          <w:sz w:val="24"/>
          <w:szCs w:val="24"/>
        </w:rPr>
        <w:t>许金超</w:t>
      </w:r>
    </w:p>
    <w:p w:rsidR="0023059C" w:rsidRDefault="004B70E6">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w:t>
      </w:r>
      <w:r>
        <w:rPr>
          <w:rFonts w:ascii="宋体" w:hAnsi="宋体" w:hint="eastAsia"/>
          <w:b/>
          <w:sz w:val="24"/>
          <w:szCs w:val="24"/>
        </w:rPr>
        <w:t>中国（上海）自由贸易试验区银城路9号50层</w:t>
      </w:r>
    </w:p>
    <w:p w:rsidR="0023059C" w:rsidRDefault="0023059C">
      <w:pPr>
        <w:snapToGrid w:val="0"/>
        <w:spacing w:line="520" w:lineRule="atLeast"/>
        <w:rPr>
          <w:rFonts w:ascii="宋体" w:hAnsi="宋体"/>
          <w:sz w:val="24"/>
          <w:szCs w:val="24"/>
        </w:rPr>
      </w:pPr>
    </w:p>
    <w:p w:rsidR="0023059C" w:rsidRDefault="004B70E6">
      <w:pPr>
        <w:tabs>
          <w:tab w:val="left" w:pos="5940"/>
        </w:tabs>
        <w:snapToGrid w:val="0"/>
        <w:spacing w:line="520" w:lineRule="atLeast"/>
        <w:rPr>
          <w:rFonts w:ascii="宋体" w:hAnsi="宋体"/>
          <w:b/>
          <w:sz w:val="24"/>
          <w:szCs w:val="24"/>
        </w:rPr>
      </w:pPr>
      <w:r>
        <w:rPr>
          <w:rFonts w:ascii="宋体" w:hAnsi="宋体" w:hint="eastAsia"/>
          <w:b/>
          <w:sz w:val="24"/>
          <w:szCs w:val="24"/>
        </w:rPr>
        <w:t xml:space="preserve">基金托管人：中信银行股份有限公司 </w:t>
      </w:r>
    </w:p>
    <w:p w:rsidR="0023059C" w:rsidRDefault="004B70E6">
      <w:pPr>
        <w:tabs>
          <w:tab w:val="left" w:pos="5940"/>
        </w:tabs>
        <w:snapToGrid w:val="0"/>
        <w:spacing w:line="520" w:lineRule="atLeast"/>
        <w:rPr>
          <w:rFonts w:ascii="宋体" w:hAnsi="宋体"/>
          <w:sz w:val="24"/>
          <w:szCs w:val="24"/>
        </w:rPr>
      </w:pPr>
      <w:r>
        <w:rPr>
          <w:rFonts w:ascii="宋体" w:hAnsi="宋体" w:hint="eastAsia"/>
          <w:sz w:val="24"/>
          <w:szCs w:val="24"/>
        </w:rPr>
        <w:t>法定代表人：</w:t>
      </w:r>
      <w:r>
        <w:rPr>
          <w:rFonts w:ascii="宋体" w:hAnsi="宋体" w:hint="eastAsia"/>
          <w:b/>
          <w:sz w:val="24"/>
          <w:szCs w:val="24"/>
        </w:rPr>
        <w:t>朱鹤新</w:t>
      </w:r>
    </w:p>
    <w:p w:rsidR="0023059C" w:rsidRDefault="004B70E6">
      <w:pPr>
        <w:tabs>
          <w:tab w:val="left" w:pos="5940"/>
        </w:tabs>
        <w:snapToGrid w:val="0"/>
        <w:spacing w:line="520" w:lineRule="atLeast"/>
        <w:rPr>
          <w:rFonts w:ascii="宋体" w:hAnsi="宋体"/>
          <w:sz w:val="24"/>
          <w:szCs w:val="24"/>
        </w:rPr>
      </w:pPr>
      <w:r>
        <w:rPr>
          <w:rFonts w:ascii="宋体" w:hAnsi="宋体" w:hint="eastAsia"/>
          <w:sz w:val="24"/>
          <w:szCs w:val="24"/>
        </w:rPr>
        <w:t>住    所：</w:t>
      </w:r>
      <w:r>
        <w:rPr>
          <w:rFonts w:ascii="宋体" w:hAnsi="宋体" w:hint="eastAsia"/>
          <w:b/>
          <w:sz w:val="24"/>
          <w:szCs w:val="24"/>
        </w:rPr>
        <w:t>北京市朝阳区光华路10号院1号楼6-30层、32-42层</w:t>
      </w:r>
    </w:p>
    <w:p w:rsidR="0023059C" w:rsidRDefault="0023059C">
      <w:pPr>
        <w:autoSpaceDE w:val="0"/>
        <w:autoSpaceDN w:val="0"/>
        <w:adjustRightInd w:val="0"/>
        <w:spacing w:line="520" w:lineRule="atLeast"/>
        <w:rPr>
          <w:rFonts w:ascii="宋体" w:hAnsi="宋体"/>
          <w:sz w:val="24"/>
          <w:szCs w:val="24"/>
        </w:rPr>
      </w:pPr>
    </w:p>
    <w:p w:rsidR="0023059C" w:rsidRDefault="004B70E6">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1．农银汇理基金管理有限公司系一家依照中国法律合法成立并有效存续的有限责任公司，按照相关法律法规的规定具备担任基金管理人的资格和能力；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3.农银汇理基金管理有限公司拟担任</w:t>
      </w:r>
      <w:proofErr w:type="gramStart"/>
      <w:r>
        <w:rPr>
          <w:rFonts w:hAnsi="宋体" w:hint="eastAsia"/>
          <w:szCs w:val="24"/>
        </w:rPr>
        <w:t>农银汇理</w:t>
      </w:r>
      <w:r w:rsidR="00BE4BED">
        <w:rPr>
          <w:rFonts w:hAnsi="宋体" w:hint="eastAsia"/>
          <w:szCs w:val="24"/>
        </w:rPr>
        <w:t>瑞泽</w:t>
      </w:r>
      <w:proofErr w:type="gramEnd"/>
      <w:r w:rsidR="00BE4BED">
        <w:rPr>
          <w:rFonts w:hAnsi="宋体" w:hint="eastAsia"/>
          <w:szCs w:val="24"/>
        </w:rPr>
        <w:t>添利</w:t>
      </w:r>
      <w:r>
        <w:rPr>
          <w:rFonts w:hAnsi="宋体" w:hint="eastAsia"/>
          <w:szCs w:val="24"/>
        </w:rPr>
        <w:t>债券型证券投资基金的基金管理人，中信银行股份有限公司拟担任</w:t>
      </w:r>
      <w:proofErr w:type="gramStart"/>
      <w:r>
        <w:rPr>
          <w:rFonts w:hAnsi="宋体" w:hint="eastAsia"/>
          <w:szCs w:val="24"/>
        </w:rPr>
        <w:t>农银汇理</w:t>
      </w:r>
      <w:r w:rsidR="00BE4BED">
        <w:rPr>
          <w:rFonts w:hAnsi="宋体" w:hint="eastAsia"/>
          <w:szCs w:val="24"/>
        </w:rPr>
        <w:t>瑞泽</w:t>
      </w:r>
      <w:proofErr w:type="gramEnd"/>
      <w:r w:rsidR="00BE4BED">
        <w:rPr>
          <w:rFonts w:hAnsi="宋体" w:hint="eastAsia"/>
          <w:szCs w:val="24"/>
        </w:rPr>
        <w:t>添利</w:t>
      </w:r>
      <w:r>
        <w:rPr>
          <w:rFonts w:hAnsi="宋体" w:hint="eastAsia"/>
          <w:szCs w:val="24"/>
        </w:rPr>
        <w:t>债券型证券投资基金的基金托管人；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23059C" w:rsidRDefault="004B70E6">
      <w:pPr>
        <w:pStyle w:val="20"/>
        <w:spacing w:before="0" w:after="0" w:line="520" w:lineRule="atLeast"/>
        <w:ind w:left="0" w:firstLine="541"/>
        <w:rPr>
          <w:rFonts w:hAnsi="宋体"/>
          <w:b/>
          <w:bCs/>
          <w:szCs w:val="24"/>
        </w:rPr>
      </w:pPr>
      <w:r>
        <w:rPr>
          <w:rFonts w:hAnsi="宋体" w:hint="eastAsia"/>
          <w:b/>
          <w:bCs/>
          <w:szCs w:val="24"/>
        </w:rPr>
        <w:t>释义：</w:t>
      </w:r>
    </w:p>
    <w:p w:rsidR="0023059C" w:rsidRDefault="004B70E6">
      <w:pPr>
        <w:pStyle w:val="20"/>
        <w:spacing w:before="0" w:after="0" w:line="520" w:lineRule="atLeast"/>
        <w:ind w:left="0" w:firstLineChars="200" w:firstLine="480"/>
        <w:rPr>
          <w:rFonts w:hAnsi="宋体"/>
          <w:szCs w:val="24"/>
        </w:rPr>
      </w:pPr>
      <w:r>
        <w:rPr>
          <w:rFonts w:hAnsi="宋体" w:hint="eastAsia"/>
          <w:szCs w:val="24"/>
        </w:rPr>
        <w:t>除非另有约定，《农银汇理</w:t>
      </w:r>
      <w:r w:rsidR="00BE4BED">
        <w:rPr>
          <w:rFonts w:hAnsi="宋体" w:hint="eastAsia"/>
          <w:szCs w:val="24"/>
        </w:rPr>
        <w:t>瑞泽添利</w:t>
      </w:r>
      <w:r>
        <w:rPr>
          <w:rFonts w:hAnsi="宋体" w:hint="eastAsia"/>
          <w:szCs w:val="24"/>
        </w:rPr>
        <w:t xml:space="preserve">债券型证券投资基金基金合同》(以下简称“基金合同”)中定义的术语在用于本托管协议时应具有相同的含义；若有抵触，应以基金合同为准，并依其条款解释。 </w:t>
      </w:r>
    </w:p>
    <w:p w:rsidR="0023059C" w:rsidRDefault="004B70E6">
      <w:pPr>
        <w:pStyle w:val="1"/>
        <w:spacing w:line="520" w:lineRule="atLeast"/>
        <w:ind w:firstLineChars="200" w:firstLine="482"/>
        <w:rPr>
          <w:bCs/>
          <w:color w:val="auto"/>
          <w:szCs w:val="24"/>
        </w:rPr>
      </w:pPr>
      <w:bookmarkStart w:id="11" w:name="_Toc63235218"/>
      <w:bookmarkStart w:id="12" w:name="_Toc296551337"/>
      <w:r>
        <w:rPr>
          <w:rFonts w:hint="eastAsia"/>
          <w:bCs/>
          <w:color w:val="auto"/>
          <w:szCs w:val="24"/>
        </w:rPr>
        <w:t>第一条 本协议当事人</w:t>
      </w:r>
      <w:bookmarkEnd w:id="11"/>
      <w:bookmarkEnd w:id="12"/>
    </w:p>
    <w:p w:rsidR="0023059C" w:rsidRDefault="004B70E6">
      <w:pPr>
        <w:pStyle w:val="20"/>
        <w:spacing w:before="0" w:after="0" w:line="520" w:lineRule="atLeast"/>
        <w:ind w:left="0" w:firstLineChars="200" w:firstLine="480"/>
        <w:rPr>
          <w:rFonts w:hAnsi="宋体"/>
          <w:szCs w:val="24"/>
        </w:rPr>
      </w:pPr>
      <w:r>
        <w:rPr>
          <w:rFonts w:hAnsi="宋体" w:hint="eastAsia"/>
          <w:szCs w:val="24"/>
        </w:rPr>
        <w:t>1.1基金管理人：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名称：农银汇理基金管理有限公司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住所：中国（上海）自由贸易试验区银城路9号50层</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法定代表人：许金超</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成立时间：2008年3月18日 </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批准设立机关：中国证券监督管理委员会 </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批准设立文号：证监许可[2008]307号 </w:t>
      </w:r>
    </w:p>
    <w:p w:rsidR="0023059C" w:rsidRDefault="004B70E6">
      <w:pPr>
        <w:pStyle w:val="20"/>
        <w:spacing w:before="0" w:after="0" w:line="520" w:lineRule="atLeast"/>
        <w:ind w:left="0" w:firstLineChars="200" w:firstLine="480"/>
        <w:rPr>
          <w:rFonts w:hAnsi="宋体"/>
          <w:szCs w:val="24"/>
        </w:rPr>
      </w:pPr>
      <w:r>
        <w:rPr>
          <w:rFonts w:hAnsi="宋体" w:hint="eastAsia"/>
          <w:szCs w:val="24"/>
        </w:rPr>
        <w:t>组织形式：有限责任公司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注册资本：壹拾柒亿伍仟万零壹元人民币</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经营范围：基金募集、基金销售、资产管理和中国证监会许可的其他业务（涉及行政许可的凭许可证经营） </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存续期间：持续经营 </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名称：中信银行股份有限公司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住所：北京市朝阳区光华路10号院1号楼6-30层、32-42层</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法定代表人：朱鹤新</w:t>
      </w:r>
    </w:p>
    <w:p w:rsidR="0023059C" w:rsidRDefault="004B70E6">
      <w:pPr>
        <w:pStyle w:val="20"/>
        <w:spacing w:before="0" w:after="0" w:line="520" w:lineRule="atLeast"/>
        <w:ind w:left="0" w:firstLineChars="200" w:firstLine="480"/>
        <w:rPr>
          <w:rFonts w:hAnsi="宋体"/>
          <w:szCs w:val="24"/>
        </w:rPr>
      </w:pPr>
      <w:r>
        <w:rPr>
          <w:rFonts w:hAnsi="宋体" w:hint="eastAsia"/>
          <w:szCs w:val="24"/>
        </w:rPr>
        <w:t>成立时间：1987年4月20日</w:t>
      </w:r>
    </w:p>
    <w:p w:rsidR="0023059C" w:rsidRDefault="004B70E6">
      <w:pPr>
        <w:pStyle w:val="20"/>
        <w:spacing w:before="0" w:after="0" w:line="520" w:lineRule="atLeast"/>
        <w:ind w:left="0" w:firstLineChars="200" w:firstLine="480"/>
        <w:rPr>
          <w:rFonts w:hAnsi="宋体"/>
          <w:szCs w:val="24"/>
        </w:rPr>
      </w:pPr>
      <w:r>
        <w:rPr>
          <w:rFonts w:hAnsi="宋体" w:hint="eastAsia"/>
          <w:szCs w:val="24"/>
        </w:rPr>
        <w:t>批准设立文号：国办函[1987]14号</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rsidR="0023059C" w:rsidRDefault="004B70E6">
      <w:pPr>
        <w:pStyle w:val="20"/>
        <w:spacing w:before="0" w:after="0" w:line="520" w:lineRule="atLeast"/>
        <w:ind w:left="0" w:firstLineChars="200" w:firstLine="480"/>
        <w:rPr>
          <w:rFonts w:hAnsi="宋体"/>
          <w:szCs w:val="24"/>
        </w:rPr>
      </w:pPr>
      <w:r>
        <w:rPr>
          <w:rFonts w:hAnsi="宋体" w:hint="eastAsia"/>
          <w:szCs w:val="24"/>
        </w:rPr>
        <w:t>组织形式：股份有限公司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注册资本：4893479.6573万元</w:t>
      </w:r>
    </w:p>
    <w:p w:rsidR="0023059C" w:rsidRDefault="004B70E6">
      <w:pPr>
        <w:pStyle w:val="20"/>
        <w:spacing w:before="0" w:after="0" w:line="520" w:lineRule="atLeast"/>
        <w:ind w:left="0" w:firstLineChars="200" w:firstLine="480"/>
        <w:rPr>
          <w:rFonts w:hAnsi="宋体"/>
          <w:szCs w:val="24"/>
        </w:rPr>
      </w:pPr>
      <w:r>
        <w:rPr>
          <w:rFonts w:hAnsi="宋体" w:hint="eastAsia"/>
          <w:szCs w:val="24"/>
        </w:rPr>
        <w:t>存续期间：持续经营</w:t>
      </w:r>
    </w:p>
    <w:p w:rsidR="0023059C" w:rsidRDefault="004B70E6">
      <w:pPr>
        <w:pStyle w:val="1"/>
        <w:spacing w:line="520" w:lineRule="atLeast"/>
        <w:ind w:firstLineChars="200" w:firstLine="482"/>
        <w:rPr>
          <w:bCs/>
          <w:color w:val="auto"/>
          <w:szCs w:val="24"/>
        </w:rPr>
      </w:pPr>
      <w:bookmarkStart w:id="13" w:name="_Toc296551338"/>
      <w:bookmarkStart w:id="14" w:name="_Toc63235219"/>
      <w:r>
        <w:rPr>
          <w:rFonts w:hint="eastAsia"/>
          <w:bCs/>
          <w:color w:val="auto"/>
          <w:szCs w:val="24"/>
        </w:rPr>
        <w:t>第二条 本协议的依据、目的和原则</w:t>
      </w:r>
      <w:bookmarkEnd w:id="13"/>
      <w:bookmarkEnd w:id="14"/>
    </w:p>
    <w:p w:rsidR="0023059C" w:rsidRDefault="004B70E6">
      <w:pPr>
        <w:pStyle w:val="20"/>
        <w:spacing w:before="0" w:after="0" w:line="520" w:lineRule="atLeast"/>
        <w:ind w:left="0" w:firstLineChars="200" w:firstLine="480"/>
        <w:rPr>
          <w:rFonts w:hAnsi="宋体"/>
          <w:szCs w:val="24"/>
        </w:rPr>
      </w:pPr>
      <w:r>
        <w:rPr>
          <w:rFonts w:hAnsi="宋体" w:hint="eastAsia"/>
          <w:szCs w:val="24"/>
        </w:rPr>
        <w:t>2.1本协议的依据</w:t>
      </w:r>
    </w:p>
    <w:p w:rsidR="0023059C" w:rsidRDefault="004B70E6">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Pr>
          <w:rFonts w:hAnsi="宋体" w:hint="eastAsia"/>
          <w:bCs/>
        </w:rPr>
        <w:t>公开募集</w:t>
      </w:r>
      <w:r>
        <w:rPr>
          <w:rFonts w:hAnsi="宋体"/>
          <w:bCs/>
        </w:rPr>
        <w:t>证券投资基金销售</w:t>
      </w:r>
      <w:r>
        <w:rPr>
          <w:rFonts w:hAnsi="宋体" w:hint="eastAsia"/>
          <w:bCs/>
        </w:rPr>
        <w:t>机构监督</w:t>
      </w:r>
      <w:r>
        <w:rPr>
          <w:rFonts w:hAnsi="宋体"/>
          <w:bCs/>
        </w:rPr>
        <w:t>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《证券投资基金信息披露内容与格式准则第7号〈托管协议的内容与格式〉》、《公开募</w:t>
      </w:r>
      <w:r>
        <w:rPr>
          <w:rFonts w:hAnsi="宋体" w:hint="eastAsia"/>
          <w:szCs w:val="24"/>
        </w:rPr>
        <w:lastRenderedPageBreak/>
        <w:t>集证券投资基金侧袋机制指引（试行）》、《农银汇理</w:t>
      </w:r>
      <w:r w:rsidR="00BE4BED">
        <w:rPr>
          <w:rFonts w:hAnsi="宋体" w:hint="eastAsia"/>
          <w:szCs w:val="24"/>
        </w:rPr>
        <w:t>瑞泽添利</w:t>
      </w:r>
      <w:r>
        <w:rPr>
          <w:rFonts w:hAnsi="宋体" w:hint="eastAsia"/>
          <w:szCs w:val="24"/>
        </w:rPr>
        <w:t>债券型证券投资基金基金合同》（以下简称“基金合同”）及其他有关规定。</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rsidR="0023059C" w:rsidRDefault="004B70E6">
      <w:pPr>
        <w:pStyle w:val="1"/>
        <w:adjustRightInd w:val="0"/>
        <w:spacing w:line="520" w:lineRule="atLeast"/>
        <w:ind w:firstLineChars="200" w:firstLine="482"/>
        <w:rPr>
          <w:bCs/>
          <w:color w:val="auto"/>
          <w:szCs w:val="24"/>
        </w:rPr>
      </w:pPr>
      <w:bookmarkStart w:id="15" w:name="_Toc296551339"/>
      <w:bookmarkStart w:id="16" w:name="_Toc63235220"/>
      <w:r>
        <w:rPr>
          <w:rFonts w:hint="eastAsia"/>
          <w:bCs/>
          <w:color w:val="auto"/>
          <w:szCs w:val="24"/>
        </w:rPr>
        <w:t>第三条 基金托管人对基金管理人的业务监督和核查</w:t>
      </w:r>
      <w:bookmarkEnd w:id="15"/>
      <w:bookmarkEnd w:id="16"/>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w:t>
      </w:r>
    </w:p>
    <w:p w:rsidR="0023059C" w:rsidRDefault="004B70E6">
      <w:pPr>
        <w:spacing w:line="520" w:lineRule="atLeast"/>
        <w:ind w:firstLine="480"/>
        <w:rPr>
          <w:rFonts w:ascii="宋体" w:hAnsi="宋体"/>
          <w:sz w:val="24"/>
          <w:szCs w:val="24"/>
        </w:rPr>
      </w:pPr>
      <w:r>
        <w:rPr>
          <w:rFonts w:ascii="宋体" w:hAnsi="宋体"/>
          <w:sz w:val="24"/>
          <w:szCs w:val="24"/>
        </w:rPr>
        <w:t xml:space="preserve"> </w:t>
      </w:r>
      <w:bookmarkStart w:id="17" w:name="_Hlk101558636"/>
      <w:r>
        <w:rPr>
          <w:rFonts w:ascii="宋体" w:hAnsi="宋体" w:hint="eastAsia"/>
          <w:sz w:val="24"/>
          <w:szCs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及其他经中国证监会允许投资的债券）、资产支持证券、债券回购、同业存单、银行存款（包含协议存款、定期存款及其他银行存款）、货币市场工具、国债期货以及法律法规或中国证监会允许基金投资的其他金融工具（但须符合中国证监会相关规定）。</w:t>
      </w:r>
    </w:p>
    <w:p w:rsidR="0023059C" w:rsidRDefault="004B70E6">
      <w:pPr>
        <w:spacing w:line="520" w:lineRule="atLeast"/>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23059C" w:rsidRDefault="004B70E6">
      <w:pPr>
        <w:spacing w:line="520" w:lineRule="atLeast"/>
        <w:ind w:firstLine="480"/>
        <w:rPr>
          <w:rFonts w:ascii="宋体" w:hAnsi="宋体"/>
          <w:sz w:val="24"/>
          <w:szCs w:val="24"/>
        </w:rPr>
      </w:pPr>
      <w:r>
        <w:rPr>
          <w:rFonts w:ascii="宋体" w:hAnsi="宋体" w:hint="eastAsia"/>
          <w:sz w:val="24"/>
          <w:szCs w:val="24"/>
        </w:rPr>
        <w:t>基金的投资组合比例为：</w:t>
      </w:r>
      <w:r>
        <w:rPr>
          <w:rFonts w:hint="eastAsia"/>
          <w:bCs/>
          <w:sz w:val="24"/>
        </w:rPr>
        <w:t>债券资产占基金资产的比例不低于</w:t>
      </w:r>
      <w:r>
        <w:rPr>
          <w:rFonts w:hint="eastAsia"/>
          <w:bCs/>
          <w:sz w:val="24"/>
        </w:rPr>
        <w:t>80</w:t>
      </w:r>
      <w:r>
        <w:rPr>
          <w:rFonts w:hint="eastAsia"/>
          <w:bCs/>
          <w:sz w:val="24"/>
        </w:rPr>
        <w:t>％；投资于股票、可转换债券和可交换债券的比例合计不超过基金资产的</w:t>
      </w:r>
      <w:r>
        <w:rPr>
          <w:bCs/>
          <w:sz w:val="24"/>
        </w:rPr>
        <w:t>20%</w:t>
      </w:r>
      <w:r>
        <w:rPr>
          <w:rFonts w:hint="eastAsia"/>
          <w:bCs/>
          <w:sz w:val="24"/>
        </w:rPr>
        <w:t>。</w:t>
      </w:r>
      <w:r>
        <w:rPr>
          <w:rFonts w:ascii="宋体" w:hAnsi="宋体" w:hint="eastAsia"/>
          <w:sz w:val="24"/>
          <w:szCs w:val="24"/>
        </w:rPr>
        <w:t>本基金每个交易日日终在扣除国债期货合约需缴纳的交易保证金后，保持现金或者到期日在一年以内的政府债券投资比例合计不低于基金资产净值的5%，其中，现金不包括结算备付金、存出保证金、应收申购款等。</w:t>
      </w:r>
    </w:p>
    <w:p w:rsidR="0023059C" w:rsidRDefault="004B70E6">
      <w:pPr>
        <w:spacing w:line="520" w:lineRule="atLeast"/>
        <w:ind w:firstLine="480"/>
        <w:rPr>
          <w:rFonts w:ascii="宋体" w:hAnsi="宋体"/>
          <w:sz w:val="24"/>
        </w:rPr>
      </w:pPr>
      <w:r>
        <w:rPr>
          <w:rFonts w:ascii="宋体" w:hAnsi="宋体" w:hint="eastAsia"/>
          <w:sz w:val="24"/>
          <w:szCs w:val="24"/>
        </w:rPr>
        <w:lastRenderedPageBreak/>
        <w:t>如果法律法规或中国证监会变更投资品种的投资比例限制，基金管理人在履行适当程序后，可以调整上述投资品种的投资比例。</w:t>
      </w:r>
    </w:p>
    <w:p w:rsidR="0023059C" w:rsidRDefault="004B70E6">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3.1.2基金托管人根据有关法律法规的规定及基金合同的约定对下述基金投资比例进行监督：    </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hint="eastAsia"/>
          <w:bCs/>
          <w:sz w:val="24"/>
        </w:rPr>
        <w:t>本基金投资于债券资产的比例不低于基金资产的</w:t>
      </w:r>
      <w:r>
        <w:rPr>
          <w:rFonts w:hint="eastAsia"/>
          <w:bCs/>
          <w:sz w:val="24"/>
        </w:rPr>
        <w:t>80%</w:t>
      </w:r>
      <w:r>
        <w:rPr>
          <w:rFonts w:hint="eastAsia"/>
          <w:bCs/>
          <w:sz w:val="24"/>
        </w:rPr>
        <w:t>；投资于股票、可转换债券和可交换债券的比例合计不超过基金资产的</w:t>
      </w:r>
      <w:r>
        <w:rPr>
          <w:bCs/>
          <w:sz w:val="24"/>
        </w:rPr>
        <w:t>20%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）每个交易日日终在扣除国债期货合约需缴纳的交易保证金后，保持不低于基金资产净值</w:t>
      </w:r>
      <w:r>
        <w:rPr>
          <w:rFonts w:ascii="宋体" w:hAnsi="宋体"/>
          <w:sz w:val="24"/>
          <w:szCs w:val="24"/>
        </w:rPr>
        <w:t>5%</w:t>
      </w:r>
      <w:r>
        <w:rPr>
          <w:rFonts w:ascii="宋体" w:hAnsi="宋体" w:hint="eastAsia"/>
          <w:sz w:val="24"/>
          <w:szCs w:val="24"/>
        </w:rPr>
        <w:t>的现金或者到期日在一年以内的政府债券，其中，现金不包括结算备付金、存出保证金、应收申购款等；</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）本基金持有一家公司发行的证券，其市值不超过基金资产净值的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）本基金与由基金管理人管理的其他基金持有一家公司发行的证券，不超过该证券的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）本基金管理人管理的全部开放式基金（包括开放式基金以及处于开放期的采取定期开放方式运作的基金）持有一家上市公司发行的可流通股票，不得超过该上市公司可流通股票的</w:t>
      </w:r>
      <w:r>
        <w:rPr>
          <w:rFonts w:ascii="宋体" w:hAnsi="宋体"/>
          <w:sz w:val="24"/>
          <w:szCs w:val="24"/>
        </w:rPr>
        <w:t>15%</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）本基金管理人管理的全部投资组合持有一家上市公司发行的可流通股票，不得超过该上市公司可流通股票的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）本基金投资于同一原始权益人的各类资产支持证券的比例，不得超过基金资产净值的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）本基金持有的全部资产支持证券，其市值不得超过基金资产净值的</w:t>
      </w:r>
      <w:r>
        <w:rPr>
          <w:rFonts w:ascii="宋体" w:hAnsi="宋体"/>
          <w:sz w:val="24"/>
          <w:szCs w:val="24"/>
        </w:rPr>
        <w:t>20%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）本基金持有的同一</w:t>
      </w:r>
      <w:r>
        <w:rPr>
          <w:rFonts w:ascii="宋体" w:hAnsi="宋体"/>
          <w:sz w:val="24"/>
          <w:szCs w:val="24"/>
        </w:rPr>
        <w:t>(</w:t>
      </w:r>
      <w:r>
        <w:rPr>
          <w:rFonts w:ascii="宋体" w:hAnsi="宋体" w:hint="eastAsia"/>
          <w:sz w:val="24"/>
          <w:szCs w:val="24"/>
        </w:rPr>
        <w:t>指同一信用级别</w:t>
      </w:r>
      <w:r>
        <w:rPr>
          <w:rFonts w:ascii="宋体" w:hAnsi="宋体"/>
          <w:sz w:val="24"/>
          <w:szCs w:val="24"/>
        </w:rPr>
        <w:t>)</w:t>
      </w:r>
      <w:r>
        <w:rPr>
          <w:rFonts w:ascii="宋体" w:hAnsi="宋体" w:hint="eastAsia"/>
          <w:sz w:val="24"/>
          <w:szCs w:val="24"/>
        </w:rPr>
        <w:t>资产支持证券的比例，不得超过该资产支持证券规模的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）本基金管理人管理的全部基金投资于同一原始权益人的各类资产支持证券，不得超过其各类资产支持证券合计规模的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）本基金应投资于信用级别评级为AA+以上</w:t>
      </w:r>
      <w:r>
        <w:rPr>
          <w:rFonts w:ascii="宋体" w:hAnsi="宋体"/>
          <w:sz w:val="24"/>
          <w:szCs w:val="24"/>
        </w:rPr>
        <w:t>(</w:t>
      </w:r>
      <w:r>
        <w:rPr>
          <w:rFonts w:ascii="宋体" w:hAnsi="宋体" w:hint="eastAsia"/>
          <w:sz w:val="24"/>
          <w:szCs w:val="24"/>
        </w:rPr>
        <w:t>含AA+</w:t>
      </w:r>
      <w:r>
        <w:rPr>
          <w:rFonts w:ascii="宋体" w:hAnsi="宋体"/>
          <w:sz w:val="24"/>
          <w:szCs w:val="24"/>
        </w:rPr>
        <w:t>)</w:t>
      </w:r>
      <w:r>
        <w:rPr>
          <w:rFonts w:ascii="宋体" w:hAnsi="宋体" w:hint="eastAsia"/>
          <w:sz w:val="24"/>
          <w:szCs w:val="24"/>
        </w:rPr>
        <w:t>的资产支持证券。基金持有资产支持证券期间，如果其信用等级下降、不再符合投资标准，应在评级报告发布之日起</w:t>
      </w:r>
      <w:r>
        <w:rPr>
          <w:rFonts w:ascii="宋体" w:hAnsi="宋体"/>
          <w:sz w:val="24"/>
          <w:szCs w:val="24"/>
        </w:rPr>
        <w:t>3</w:t>
      </w:r>
      <w:r>
        <w:rPr>
          <w:rFonts w:ascii="宋体" w:hAnsi="宋体" w:hint="eastAsia"/>
          <w:sz w:val="24"/>
          <w:szCs w:val="24"/>
        </w:rPr>
        <w:t>个月内予以全部卖出；</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12</w:t>
      </w:r>
      <w:r>
        <w:rPr>
          <w:rFonts w:ascii="宋体" w:hAnsi="宋体" w:hint="eastAsia"/>
          <w:sz w:val="24"/>
          <w:szCs w:val="24"/>
        </w:rPr>
        <w:t>）基金财产参与股票发行申购，本基金所申报的金额不超过本基金的总资</w:t>
      </w:r>
      <w:r>
        <w:rPr>
          <w:rFonts w:ascii="宋体" w:hAnsi="宋体" w:hint="eastAsia"/>
          <w:sz w:val="24"/>
          <w:szCs w:val="24"/>
        </w:rPr>
        <w:lastRenderedPageBreak/>
        <w:t>产，本基金所申报的股票数量不超过拟发行股票公司本次发行股票的总量；</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13</w:t>
      </w:r>
      <w:r>
        <w:rPr>
          <w:rFonts w:ascii="宋体" w:hAnsi="宋体" w:hint="eastAsia"/>
          <w:sz w:val="24"/>
          <w:szCs w:val="24"/>
        </w:rPr>
        <w:t>）本基金进入全国银行间同业市场进行债券回购的资金余额不得超过基金资产净值的</w:t>
      </w:r>
      <w:r>
        <w:rPr>
          <w:rFonts w:ascii="宋体" w:hAnsi="宋体"/>
          <w:sz w:val="24"/>
          <w:szCs w:val="24"/>
        </w:rPr>
        <w:t>40%</w:t>
      </w:r>
      <w:r>
        <w:rPr>
          <w:rFonts w:ascii="宋体" w:hAnsi="宋体" w:hint="eastAsia"/>
          <w:sz w:val="24"/>
          <w:szCs w:val="24"/>
        </w:rPr>
        <w:t>；进入全国银行间同业市场进行债券回购的最长期限为</w:t>
      </w:r>
      <w:r>
        <w:rPr>
          <w:rFonts w:ascii="宋体" w:hAnsi="宋体"/>
          <w:sz w:val="24"/>
          <w:szCs w:val="24"/>
        </w:rPr>
        <w:t>1</w:t>
      </w:r>
      <w:r>
        <w:rPr>
          <w:rFonts w:ascii="宋体" w:hAnsi="宋体" w:hint="eastAsia"/>
          <w:sz w:val="24"/>
          <w:szCs w:val="24"/>
        </w:rPr>
        <w:t>年，债券回购到期后不得展期；</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14</w:t>
      </w:r>
      <w:r>
        <w:rPr>
          <w:rFonts w:ascii="宋体" w:hAnsi="宋体" w:hint="eastAsia"/>
          <w:sz w:val="24"/>
          <w:szCs w:val="24"/>
        </w:rPr>
        <w:t>）本基金的基金资产总值不得超过基金资产净值的</w:t>
      </w:r>
      <w:r>
        <w:rPr>
          <w:rFonts w:ascii="宋体" w:hAnsi="宋体"/>
          <w:sz w:val="24"/>
          <w:szCs w:val="24"/>
        </w:rPr>
        <w:t>140%</w:t>
      </w:r>
      <w:r>
        <w:rPr>
          <w:rFonts w:ascii="宋体" w:hAnsi="宋体" w:hint="eastAsia"/>
          <w:sz w:val="24"/>
          <w:szCs w:val="24"/>
        </w:rPr>
        <w:t>；</w:t>
      </w:r>
      <w:r>
        <w:rPr>
          <w:rFonts w:ascii="宋体" w:hAnsi="宋体"/>
          <w:sz w:val="24"/>
          <w:szCs w:val="24"/>
        </w:rPr>
        <w:t xml:space="preserve"> </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15</w:t>
      </w:r>
      <w:r>
        <w:rPr>
          <w:rFonts w:ascii="宋体" w:hAnsi="宋体" w:hint="eastAsia"/>
          <w:sz w:val="24"/>
          <w:szCs w:val="24"/>
        </w:rPr>
        <w:t>）本基金参与国债期货交易，需遵守下列投资比例限制：</w:t>
      </w:r>
    </w:p>
    <w:p w:rsidR="0023059C" w:rsidRDefault="004B70E6">
      <w:pPr>
        <w:spacing w:line="520" w:lineRule="atLeast"/>
        <w:ind w:firstLine="480"/>
        <w:rPr>
          <w:rFonts w:ascii="宋体" w:hAnsi="宋体"/>
          <w:sz w:val="24"/>
          <w:szCs w:val="24"/>
        </w:rPr>
      </w:pPr>
      <w:r>
        <w:rPr>
          <w:rFonts w:ascii="宋体" w:hAnsi="宋体"/>
          <w:sz w:val="24"/>
          <w:szCs w:val="24"/>
        </w:rPr>
        <w:t>1</w:t>
      </w:r>
      <w:r>
        <w:rPr>
          <w:rFonts w:ascii="宋体" w:hAnsi="宋体" w:hint="eastAsia"/>
          <w:sz w:val="24"/>
          <w:szCs w:val="24"/>
        </w:rPr>
        <w:t>）本基金在任何交易日日终，持有的买入国债期货合约价值，不得超过基金资产净值的</w:t>
      </w:r>
      <w:r>
        <w:rPr>
          <w:rFonts w:ascii="宋体" w:hAnsi="宋体"/>
          <w:sz w:val="24"/>
          <w:szCs w:val="24"/>
        </w:rPr>
        <w:t>15%</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2）本基金在任何交易日日终，持有的卖出国债期货合约价值不得超过本基金持有的债券总市值的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3）本基金所持有的债券（不含到期日在一年以内的政府债券）市值和买入、卖出国债期货合约价值，合计（轧差计算）应当符合基金合同关于债券投资比例的有关约定；</w:t>
      </w:r>
    </w:p>
    <w:p w:rsidR="0023059C" w:rsidRDefault="004B70E6">
      <w:pPr>
        <w:spacing w:line="520" w:lineRule="atLeast"/>
        <w:ind w:firstLine="480"/>
        <w:rPr>
          <w:rFonts w:ascii="宋体" w:hAnsi="宋体"/>
          <w:sz w:val="24"/>
          <w:szCs w:val="24"/>
        </w:rPr>
      </w:pPr>
      <w:r>
        <w:rPr>
          <w:rFonts w:ascii="宋体" w:hAnsi="宋体" w:hint="eastAsia"/>
          <w:sz w:val="24"/>
          <w:szCs w:val="24"/>
        </w:rPr>
        <w:t>4）本基金在任何交易日内交易（不包括平仓）的国债期货合约的成交金额不得超过上一交易日基金资产净值的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）本基金主动投资于流动性受限资产的市值合计不得超过基金资产净值的</w:t>
      </w:r>
      <w:r>
        <w:rPr>
          <w:rFonts w:ascii="宋体" w:hAnsi="宋体"/>
          <w:sz w:val="24"/>
          <w:szCs w:val="24"/>
        </w:rPr>
        <w:t>15%</w:t>
      </w:r>
      <w:r>
        <w:rPr>
          <w:rFonts w:ascii="宋体" w:hAnsi="宋体" w:hint="eastAsia"/>
          <w:sz w:val="24"/>
          <w:szCs w:val="24"/>
        </w:rPr>
        <w:t>；因证券市场波动、上市公司股票停牌、基金规模变动等基金管理人之外的因素致使基金不符合该比例限制的，基金管理人不得主动新增流动性受限资产的投资；</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17</w:t>
      </w:r>
      <w:r>
        <w:rPr>
          <w:rFonts w:ascii="宋体" w:hAnsi="宋体" w:hint="eastAsia"/>
          <w:sz w:val="24"/>
          <w:szCs w:val="24"/>
        </w:rPr>
        <w:t>）本基金与私募类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18</w:t>
      </w:r>
      <w:r>
        <w:rPr>
          <w:rFonts w:ascii="宋体" w:hAnsi="宋体" w:hint="eastAsia"/>
          <w:sz w:val="24"/>
          <w:szCs w:val="24"/>
        </w:rPr>
        <w:t>）法律法规及中国证监会规定的其他投资比例限制。</w:t>
      </w:r>
    </w:p>
    <w:p w:rsidR="0023059C" w:rsidRDefault="004B70E6">
      <w:pPr>
        <w:spacing w:line="520" w:lineRule="atLeast"/>
        <w:ind w:firstLine="480"/>
        <w:rPr>
          <w:rFonts w:ascii="宋体" w:hAnsi="宋体"/>
          <w:sz w:val="24"/>
          <w:szCs w:val="24"/>
        </w:rPr>
      </w:pPr>
      <w:r>
        <w:rPr>
          <w:rFonts w:ascii="宋体" w:hAnsi="宋体" w:hint="eastAsia"/>
          <w:sz w:val="24"/>
          <w:szCs w:val="24"/>
        </w:rPr>
        <w:t>除上述第（</w:t>
      </w:r>
      <w:r>
        <w:rPr>
          <w:rFonts w:ascii="宋体" w:hAnsi="宋体"/>
          <w:sz w:val="24"/>
          <w:szCs w:val="24"/>
        </w:rPr>
        <w:t>2</w:t>
      </w: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16</w:t>
      </w:r>
      <w:r>
        <w:rPr>
          <w:rFonts w:ascii="宋体" w:hAnsi="宋体" w:hint="eastAsia"/>
          <w:sz w:val="24"/>
          <w:szCs w:val="24"/>
        </w:rPr>
        <w:t>）、（</w:t>
      </w:r>
      <w:r>
        <w:rPr>
          <w:rFonts w:ascii="宋体" w:hAnsi="宋体"/>
          <w:sz w:val="24"/>
          <w:szCs w:val="24"/>
        </w:rPr>
        <w:t>17</w:t>
      </w:r>
      <w:r>
        <w:rPr>
          <w:rFonts w:ascii="宋体" w:hAnsi="宋体" w:hint="eastAsia"/>
          <w:sz w:val="24"/>
          <w:szCs w:val="24"/>
        </w:rPr>
        <w:t>）项之外，因证券或期货市场波动、证券发行人合并、基金规模变动等基金管理人之外的因素致使基金投资比例不符合上述规定投资比例的，基金管理人应当在</w:t>
      </w:r>
      <w:r>
        <w:rPr>
          <w:rFonts w:ascii="宋体" w:hAnsi="宋体"/>
          <w:sz w:val="24"/>
          <w:szCs w:val="24"/>
        </w:rPr>
        <w:t>10</w:t>
      </w:r>
      <w:r>
        <w:rPr>
          <w:rFonts w:ascii="宋体" w:hAnsi="宋体" w:hint="eastAsia"/>
          <w:sz w:val="24"/>
          <w:szCs w:val="24"/>
        </w:rPr>
        <w:t>个交易日内进行调整，但中国证监会规定的特殊情形除外。法律法规另有规定的，从其规定。</w:t>
      </w:r>
    </w:p>
    <w:p w:rsidR="0023059C" w:rsidRDefault="004B70E6">
      <w:pPr>
        <w:spacing w:line="520" w:lineRule="atLeast"/>
        <w:ind w:firstLineChars="200" w:firstLine="480"/>
        <w:rPr>
          <w:rFonts w:ascii="宋体" w:hAnsi="宋体"/>
          <w:color w:val="000000" w:themeColor="text1"/>
          <w:sz w:val="24"/>
          <w:szCs w:val="24"/>
        </w:rPr>
      </w:pPr>
      <w:r>
        <w:rPr>
          <w:rFonts w:ascii="宋体" w:hAnsi="宋体" w:hint="eastAsia"/>
          <w:color w:val="000000" w:themeColor="text1"/>
          <w:sz w:val="24"/>
          <w:szCs w:val="24"/>
        </w:rPr>
        <w:t>基金管理人应当自基金合同生效之日起6个月内使基金的投资组合比例符合基金合同的有关约定。在上述期间内，本基金的投资范围、投资策略应当符合基金</w:t>
      </w:r>
      <w:r>
        <w:rPr>
          <w:rFonts w:ascii="宋体" w:hAnsi="宋体" w:hint="eastAsia"/>
          <w:color w:val="000000" w:themeColor="text1"/>
          <w:sz w:val="24"/>
          <w:szCs w:val="24"/>
        </w:rPr>
        <w:lastRenderedPageBreak/>
        <w:t>合同的规定。基金托管人对基金的投资的监督与检查自基金合同生效之日起开始。</w:t>
      </w:r>
    </w:p>
    <w:p w:rsidR="0023059C" w:rsidRDefault="004B70E6">
      <w:pPr>
        <w:spacing w:line="520" w:lineRule="atLeast"/>
        <w:ind w:firstLineChars="200" w:firstLine="480"/>
        <w:rPr>
          <w:rFonts w:hAnsi="宋体"/>
          <w:szCs w:val="24"/>
        </w:rPr>
      </w:pPr>
      <w:r>
        <w:rPr>
          <w:rFonts w:ascii="宋体" w:hAnsi="宋体" w:hint="eastAsia"/>
          <w:color w:val="000000" w:themeColor="text1"/>
          <w:sz w:val="24"/>
          <w:szCs w:val="24"/>
        </w:rPr>
        <w:t>法律法规或监管部门取消或变更上述限制，如适用于本基金，基金管理人在履行适当程序后，则本基金投资不受上述规定的限制或以变更后的规定为准。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（4）</w:t>
      </w:r>
      <w:r>
        <w:rPr>
          <w:rFonts w:hint="eastAsia"/>
          <w:bCs/>
        </w:rPr>
        <w:t>买卖其他基金份额，但是中国证监会另有规定的除外；</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）向其基金管理人、基金托管人出资；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rsidR="0023059C" w:rsidRDefault="004B70E6">
      <w:pPr>
        <w:pStyle w:val="20"/>
        <w:adjustRightInd w:val="0"/>
        <w:snapToGrid w:val="0"/>
        <w:spacing w:before="0" w:after="0" w:line="520" w:lineRule="atLeast"/>
        <w:ind w:left="0" w:firstLineChars="200" w:firstLine="480"/>
        <w:rPr>
          <w:rFonts w:hAnsi="宋体"/>
        </w:rPr>
      </w:pPr>
      <w:r>
        <w:rPr>
          <w:rFonts w:hAnsi="宋体" w:hint="eastAsia"/>
          <w:szCs w:val="24"/>
        </w:rPr>
        <w:t>（</w:t>
      </w:r>
      <w:r>
        <w:rPr>
          <w:rFonts w:hAnsi="宋体"/>
          <w:szCs w:val="24"/>
        </w:rPr>
        <w:t>7</w:t>
      </w:r>
      <w:r>
        <w:rPr>
          <w:rFonts w:hAnsi="宋体" w:hint="eastAsia"/>
          <w:szCs w:val="24"/>
        </w:rPr>
        <w:t>）法律、行政法规、中国证监会或《基金合同》规定禁止的其他活动。</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bCs/>
        </w:rPr>
        <w:t>如法律法规或监管部门取消或变更上述禁止性规定，如适用于本基金，基金管理人在履行适当程序后，则本基金投资不受上述规定的限制或以变更后的规定为准</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23059C" w:rsidRDefault="004B70E6">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和基金托管人应及时发送给对方，对方于2个工作日内进行</w:t>
      </w:r>
      <w:r>
        <w:rPr>
          <w:rFonts w:hAnsi="宋体" w:hint="eastAsia"/>
          <w:szCs w:val="24"/>
        </w:rPr>
        <w:lastRenderedPageBreak/>
        <w:t>回函确认已知名单的变更。名单变更时间以对方收到回函确认的时间为准。如果基金托管人在运作中严格遵循了监督流程，基金管理人仍违规进行交易，并造成基金资产损失的，由基金管理人承担责任，基金托管人不承担任何损失和责任。</w:t>
      </w:r>
    </w:p>
    <w:p w:rsidR="0023059C" w:rsidRDefault="004B70E6">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bookmarkEnd w:id="17"/>
    <w:p w:rsidR="0023059C" w:rsidRDefault="004B70E6">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rsidR="0023059C" w:rsidRDefault="004B70E6">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w:t>
      </w:r>
      <w:r>
        <w:rPr>
          <w:rFonts w:hAnsi="宋体" w:hint="eastAsia"/>
          <w:szCs w:val="24"/>
        </w:rPr>
        <w:lastRenderedPageBreak/>
        <w:t>应及时提醒基金管理人与交易对手重新确定交易方式，</w:t>
      </w:r>
      <w:r>
        <w:rPr>
          <w:rFonts w:hAnsi="宋体" w:hint="eastAsia"/>
          <w:b/>
          <w:bCs/>
          <w:szCs w:val="24"/>
        </w:rPr>
        <w:t>经提醒后基金管理人仍未改正并造成基金资产损失的，基金托管人不承担责任。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负责向相关交易对手追偿。</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立即告知基金管理人。因拒绝执行该指令造成基金财产损失的，基金托管人不承担任何责任，并有权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23059C" w:rsidRDefault="004B70E6">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如果因基金管理</w:t>
      </w:r>
      <w:proofErr w:type="gramStart"/>
      <w:r>
        <w:rPr>
          <w:rFonts w:hAnsi="宋体" w:hint="eastAsia"/>
          <w:szCs w:val="24"/>
        </w:rPr>
        <w:t>人原因</w:t>
      </w:r>
      <w:proofErr w:type="gramEnd"/>
      <w:r>
        <w:rPr>
          <w:rFonts w:hAnsi="宋体" w:hint="eastAsia"/>
          <w:szCs w:val="24"/>
        </w:rPr>
        <w:t>导致基金出现风险，基金托管人对此风险造成的任何后果不承担责任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3.1.8基金托管人根据有关法律法规的规定及基金合同的约定，对基金管理人选择存款银行进行监督：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w:t>
      </w:r>
      <w:r>
        <w:rPr>
          <w:rFonts w:hAnsi="宋体" w:hint="eastAsia"/>
          <w:szCs w:val="21"/>
        </w:rPr>
        <w:t>各类</w:t>
      </w:r>
      <w:r>
        <w:rPr>
          <w:rFonts w:hAnsi="宋体" w:hint="eastAsia"/>
          <w:szCs w:val="24"/>
        </w:rPr>
        <w:t>基金份额净值计算、应收资金到账、基金费用开支及收入确</w:t>
      </w:r>
      <w:r>
        <w:rPr>
          <w:rFonts w:hAnsi="宋体"/>
          <w:szCs w:val="24"/>
        </w:rPr>
        <w:t>定</w:t>
      </w:r>
      <w:r>
        <w:rPr>
          <w:rFonts w:hAnsi="宋体" w:hint="eastAsia"/>
          <w:szCs w:val="24"/>
        </w:rPr>
        <w:t>、基金收益分配、相关信息披露、基金宣传推介材料中登载基金业绩表现数据等进行监督和核查。</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3.2.4基金托管人发现基金管理人的投资指令违反相关法律法规规定或者违反基金合同约定的，应当拒绝执行，立即通知基金管理人。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w:t>
      </w:r>
      <w:r>
        <w:rPr>
          <w:rFonts w:hAnsi="宋体" w:hint="eastAsia"/>
          <w:szCs w:val="24"/>
        </w:rPr>
        <w:lastRenderedPageBreak/>
        <w:t>间内答复基金托管人并改正，就基金托管人的合理疑义进行解释或举证，对基金托管人按照法规要求需向中国证监会报送基金监督报告的，基金管理人应积极配合提供相关数据资料和制度等。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Pr>
          <w:rFonts w:hAnsi="宋体" w:hint="eastAsia"/>
          <w:szCs w:val="24"/>
        </w:rPr>
        <w:t>9基金管理人应遵守中华人民共和国反洗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rsidR="0023059C" w:rsidRDefault="004B70E6">
      <w:pPr>
        <w:pStyle w:val="20"/>
        <w:spacing w:line="520" w:lineRule="atLeast"/>
        <w:ind w:left="0" w:firstLineChars="200" w:firstLine="480"/>
        <w:rPr>
          <w:rFonts w:hAnsi="宋体"/>
          <w:szCs w:val="24"/>
        </w:rPr>
      </w:pPr>
      <w:r>
        <w:rPr>
          <w:rFonts w:hAnsi="宋体" w:hint="eastAsia"/>
          <w:szCs w:val="24"/>
        </w:rPr>
        <w:t>3.2.10当基金持有特定资产且存在或潜在大额赎回申请时，根据最大限度保护基金份额持有人利益的原则，基金管理人经与基金托管人协商一致，并咨询会计师事务所意见后，可以依照法律法规及基金合同的约定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4"/>
        </w:rPr>
        <w:t>启用侧袋机制</w:t>
      </w:r>
      <w:proofErr w:type="gramEnd"/>
      <w:r>
        <w:rPr>
          <w:rFonts w:hAnsi="宋体" w:hint="eastAsia"/>
          <w:szCs w:val="24"/>
        </w:rPr>
        <w:t>，无需召开基金份额持有人大会审议。</w:t>
      </w:r>
    </w:p>
    <w:p w:rsidR="0023059C" w:rsidRDefault="004B70E6">
      <w:pPr>
        <w:pStyle w:val="20"/>
        <w:spacing w:line="520" w:lineRule="atLeast"/>
        <w:ind w:left="0" w:firstLineChars="200" w:firstLine="480"/>
        <w:rPr>
          <w:rFonts w:hAnsi="宋体"/>
          <w:szCs w:val="24"/>
        </w:rPr>
      </w:pPr>
      <w:proofErr w:type="gramStart"/>
      <w:r>
        <w:rPr>
          <w:rFonts w:hAnsi="宋体" w:hint="eastAsia"/>
          <w:szCs w:val="24"/>
        </w:rPr>
        <w:t>侧袋机制</w:t>
      </w:r>
      <w:proofErr w:type="gramEnd"/>
      <w:r>
        <w:rPr>
          <w:rFonts w:hAnsi="宋体" w:hint="eastAsia"/>
          <w:szCs w:val="24"/>
        </w:rPr>
        <w:t>实施期间，本基金的投资组合比例、投资策略、组合限制、业绩比较基准、风险收益特征等约定仅</w:t>
      </w:r>
      <w:proofErr w:type="gramStart"/>
      <w:r>
        <w:rPr>
          <w:rFonts w:hAnsi="宋体" w:hint="eastAsia"/>
          <w:szCs w:val="24"/>
        </w:rPr>
        <w:t>适用于主袋账户</w:t>
      </w:r>
      <w:proofErr w:type="gramEnd"/>
      <w:r>
        <w:rPr>
          <w:rFonts w:hAnsi="宋体" w:hint="eastAsia"/>
          <w:szCs w:val="24"/>
        </w:rPr>
        <w:t>。</w:t>
      </w:r>
    </w:p>
    <w:p w:rsidR="0023059C" w:rsidRDefault="004B70E6">
      <w:pPr>
        <w:pStyle w:val="20"/>
        <w:spacing w:line="520" w:lineRule="atLeast"/>
        <w:ind w:left="0" w:firstLineChars="200" w:firstLine="480"/>
        <w:rPr>
          <w:rFonts w:hAnsi="宋体"/>
          <w:szCs w:val="24"/>
        </w:rPr>
      </w:pPr>
      <w:proofErr w:type="gramStart"/>
      <w:r>
        <w:rPr>
          <w:rFonts w:hAnsi="宋体" w:hint="eastAsia"/>
          <w:szCs w:val="24"/>
        </w:rPr>
        <w:t>侧袋账户</w:t>
      </w:r>
      <w:proofErr w:type="gramEnd"/>
      <w:r>
        <w:rPr>
          <w:rFonts w:hAnsi="宋体" w:hint="eastAsia"/>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基金托管人依照相关法律法规的规定以及基金合同和招募说明书的约定，对侧</w:t>
      </w:r>
      <w:proofErr w:type="gramStart"/>
      <w:r>
        <w:rPr>
          <w:rFonts w:hAnsi="宋体" w:hint="eastAsia"/>
          <w:szCs w:val="24"/>
        </w:rPr>
        <w:t>袋机制</w:t>
      </w:r>
      <w:proofErr w:type="gramEnd"/>
      <w:r>
        <w:rPr>
          <w:rFonts w:hAnsi="宋体" w:hint="eastAsia"/>
          <w:szCs w:val="24"/>
        </w:rPr>
        <w:t>启用、特定资产处置和信息披露等方面进行监督。</w:t>
      </w:r>
    </w:p>
    <w:p w:rsidR="0023059C" w:rsidRDefault="004B70E6">
      <w:pPr>
        <w:pStyle w:val="1"/>
        <w:spacing w:line="520" w:lineRule="atLeast"/>
        <w:ind w:firstLineChars="200" w:firstLine="482"/>
        <w:rPr>
          <w:bCs/>
          <w:color w:val="auto"/>
          <w:szCs w:val="24"/>
        </w:rPr>
      </w:pPr>
      <w:bookmarkStart w:id="18" w:name="_Toc296551340"/>
      <w:bookmarkStart w:id="19" w:name="_Toc63235221"/>
      <w:r>
        <w:rPr>
          <w:rFonts w:hint="eastAsia"/>
          <w:bCs/>
          <w:color w:val="auto"/>
          <w:szCs w:val="24"/>
        </w:rPr>
        <w:t>第四条 基金管理人对基金托管人的业务核查</w:t>
      </w:r>
      <w:bookmarkEnd w:id="18"/>
      <w:bookmarkEnd w:id="19"/>
    </w:p>
    <w:p w:rsidR="0023059C" w:rsidRDefault="004B70E6">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4.1基金管理人对基金托管人履行托管职责情况进行核查，核查事项包括但不限于基金托管人安全保管基金财产、开设基金财产的资金账户、证券账户</w:t>
      </w:r>
      <w:r>
        <w:rPr>
          <w:rFonts w:hAnsi="宋体"/>
          <w:bCs/>
        </w:rPr>
        <w:t>、期货账户</w:t>
      </w:r>
      <w:r>
        <w:rPr>
          <w:rFonts w:hAnsi="宋体" w:hint="eastAsia"/>
          <w:szCs w:val="24"/>
        </w:rPr>
        <w:t>等投资所需的其他账户、复核基金管理人计算的基金资产净值和</w:t>
      </w:r>
      <w:r>
        <w:rPr>
          <w:rFonts w:hAnsi="宋体" w:hint="eastAsia"/>
          <w:szCs w:val="21"/>
        </w:rPr>
        <w:t>各类</w:t>
      </w:r>
      <w:r>
        <w:rPr>
          <w:rFonts w:hAnsi="宋体" w:hint="eastAsia"/>
          <w:szCs w:val="24"/>
        </w:rPr>
        <w:t>基金份额净</w:t>
      </w:r>
      <w:r>
        <w:rPr>
          <w:rFonts w:hAnsi="宋体" w:hint="eastAsia"/>
          <w:szCs w:val="24"/>
        </w:rPr>
        <w:lastRenderedPageBreak/>
        <w:t>值、根据基金管理人指令办理清算交收、相关信息披露和监督基金投资运作等行为。</w:t>
      </w:r>
    </w:p>
    <w:p w:rsidR="0023059C" w:rsidRDefault="004B70E6">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未执行或无故拒绝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以协助配合。基金托管人对基金管理人通知的违规事项未能在限期内纠正或未在合理期限内确认的，基金管理人应报告中国证监会。基金托管人应赔偿基金因此所遭受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3059C" w:rsidRDefault="004B70E6">
      <w:pPr>
        <w:pStyle w:val="1"/>
        <w:spacing w:line="520" w:lineRule="atLeast"/>
        <w:ind w:firstLineChars="200" w:firstLine="482"/>
        <w:rPr>
          <w:bCs/>
          <w:color w:val="auto"/>
          <w:szCs w:val="24"/>
        </w:rPr>
      </w:pPr>
      <w:bookmarkStart w:id="20" w:name="_Toc296551341"/>
      <w:bookmarkStart w:id="21" w:name="_Toc63235222"/>
      <w:r>
        <w:rPr>
          <w:rFonts w:hint="eastAsia"/>
          <w:bCs/>
          <w:color w:val="auto"/>
          <w:szCs w:val="24"/>
        </w:rPr>
        <w:t>第五条 基金财产保管</w:t>
      </w:r>
      <w:bookmarkEnd w:id="20"/>
      <w:bookmarkEnd w:id="21"/>
    </w:p>
    <w:p w:rsidR="0023059C" w:rsidRDefault="004B70E6">
      <w:pPr>
        <w:pStyle w:val="20"/>
        <w:spacing w:before="0" w:after="0" w:line="520" w:lineRule="atLeast"/>
        <w:ind w:left="0" w:firstLineChars="200" w:firstLine="480"/>
        <w:rPr>
          <w:rFonts w:hAnsi="宋体"/>
          <w:szCs w:val="24"/>
        </w:rPr>
      </w:pPr>
      <w:r>
        <w:rPr>
          <w:rFonts w:hAnsi="宋体" w:hint="eastAsia"/>
          <w:szCs w:val="24"/>
        </w:rPr>
        <w:t>5.1基金财产保管的原则</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5.1.3基金托管人按照规定开设基金财产的资金账户、证券账户</w:t>
      </w:r>
      <w:r>
        <w:rPr>
          <w:rFonts w:hAnsi="宋体"/>
          <w:bCs/>
        </w:rPr>
        <w:t>、期货账户</w:t>
      </w:r>
      <w:r>
        <w:rPr>
          <w:rFonts w:hAnsi="宋体" w:hint="eastAsia"/>
          <w:szCs w:val="24"/>
        </w:rPr>
        <w:t>等投资所需的其他账户。</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w:t>
      </w:r>
      <w:r>
        <w:rPr>
          <w:rFonts w:hAnsi="宋体" w:hint="eastAsia"/>
          <w:szCs w:val="24"/>
        </w:rPr>
        <w:lastRenderedPageBreak/>
        <w:t>基金财产，如有特殊情况双方可另行协商解决。</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5.2募集资金的验资</w:t>
      </w:r>
    </w:p>
    <w:p w:rsidR="0023059C" w:rsidRDefault="004B70E6">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5.2.1基金募集期间募集的资金应存于基金管理人在基金托管人的营业机构或在其他银行开立的基金募集专户，该账户由基金管理人委托的登记机构开立并管理。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《中华人民共和国证券法》规定的会计师事务所进行验资，出具验资报告，出具的验资报告应由参加验资的2名以上（含2名）中国注册会计师签字方为有效。</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募集期限届满，未能达到基金备案条件，由基金管理人按规定办理退款事宜，基金托管人应提供充分协助。</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5.5.2基金管理人和基金托管人应一起负责为基金对外签订全国银行间债券市场债券回购主协议，正本由基金托管人保管，基金管理人保存副本。</w:t>
      </w:r>
    </w:p>
    <w:p w:rsidR="0023059C" w:rsidRDefault="004B70E6">
      <w:pPr>
        <w:pStyle w:val="20"/>
        <w:spacing w:before="0" w:after="0" w:line="520" w:lineRule="atLeast"/>
        <w:ind w:left="0" w:firstLineChars="200" w:firstLine="480"/>
        <w:rPr>
          <w:rFonts w:hAnsi="宋体"/>
          <w:szCs w:val="24"/>
        </w:rPr>
      </w:pPr>
      <w:r>
        <w:rPr>
          <w:rFonts w:hAnsi="宋体" w:hint="eastAsia"/>
          <w:szCs w:val="24"/>
        </w:rPr>
        <w:t>5.6其他账户的开设和管理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5.7基金财产投资的有关实物证券、银行存款存单等有价凭证的保管</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rsidR="0023059C" w:rsidRDefault="004B70E6">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w:t>
      </w:r>
      <w:r>
        <w:rPr>
          <w:rFonts w:hAnsi="宋体" w:hint="eastAsia"/>
          <w:szCs w:val="24"/>
        </w:rPr>
        <w:lastRenderedPageBreak/>
        <w:t>金签署的与基金有关的重大合同的原件分别应由基金托管人、基金管理人保管。基金管理人在代表基金签署与基金有关的重大合同时应尽可能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保管期限不低于法律法规规定的最低期限。对于无法取得二份以上的正本的，基金管理人应向基金托管人提供加盖授权业务章的合同传真件，未经双方协商或未在合同约定范围内，合同原件不得转移，由基金管理人保管。</w:t>
      </w:r>
    </w:p>
    <w:p w:rsidR="0023059C" w:rsidRDefault="004B70E6">
      <w:pPr>
        <w:pStyle w:val="1"/>
        <w:spacing w:line="520" w:lineRule="atLeast"/>
        <w:ind w:firstLineChars="200" w:firstLine="482"/>
        <w:rPr>
          <w:bCs/>
          <w:color w:val="auto"/>
          <w:szCs w:val="24"/>
        </w:rPr>
      </w:pPr>
      <w:bookmarkStart w:id="22" w:name="_Toc63235223"/>
      <w:bookmarkStart w:id="23" w:name="_Toc296551342"/>
      <w:r>
        <w:rPr>
          <w:rFonts w:hint="eastAsia"/>
          <w:bCs/>
          <w:color w:val="auto"/>
          <w:szCs w:val="24"/>
        </w:rPr>
        <w:t>第六条 指令的发送、确认和执行</w:t>
      </w:r>
      <w:bookmarkEnd w:id="22"/>
      <w:bookmarkEnd w:id="23"/>
    </w:p>
    <w:p w:rsidR="0023059C" w:rsidRDefault="004B70E6">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6.2指令的内容</w:t>
      </w:r>
    </w:p>
    <w:p w:rsidR="0023059C" w:rsidRDefault="004B70E6">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w:t>
      </w:r>
      <w:r>
        <w:rPr>
          <w:rFonts w:hAnsi="宋体" w:hint="eastAsia"/>
          <w:szCs w:val="24"/>
        </w:rPr>
        <w:lastRenderedPageBreak/>
        <w:t>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基金管理人应在交易日15:</w:t>
      </w:r>
      <w:r w:rsidR="00C87B87">
        <w:rPr>
          <w:rFonts w:hAnsi="宋体" w:hint="eastAsia"/>
          <w:szCs w:val="24"/>
        </w:rPr>
        <w:t>0</w:t>
      </w:r>
      <w:r>
        <w:rPr>
          <w:rFonts w:hAnsi="宋体" w:hint="eastAsia"/>
          <w:szCs w:val="24"/>
        </w:rPr>
        <w:t>0前传真当日划款指令，如在15:</w:t>
      </w:r>
      <w:r w:rsidR="00C87B87">
        <w:rPr>
          <w:rFonts w:hAnsi="宋体" w:hint="eastAsia"/>
          <w:szCs w:val="24"/>
        </w:rPr>
        <w:t>0</w:t>
      </w:r>
      <w:r>
        <w:rPr>
          <w:rFonts w:hAnsi="宋体" w:hint="eastAsia"/>
          <w:szCs w:val="24"/>
        </w:rPr>
        <w:t>0后传真的指令，托管人尽量执行但不保证一定完成支付。由基金管理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w:t>
      </w:r>
      <w:r>
        <w:rPr>
          <w:rFonts w:hAnsi="宋体" w:hint="eastAsia"/>
          <w:szCs w:val="24"/>
        </w:rPr>
        <w:lastRenderedPageBreak/>
        <w:t>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23059C" w:rsidRDefault="004B70E6">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6.7更换被授权人的程序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w:t>
      </w:r>
      <w:r>
        <w:rPr>
          <w:rFonts w:hAnsi="宋体" w:hint="eastAsia"/>
          <w:szCs w:val="24"/>
        </w:rPr>
        <w:lastRenderedPageBreak/>
        <w:t>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或其他经双方书面确认方式收到的文件副本一致，若有不一致的，以基金托管人收到的副本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23059C" w:rsidRDefault="004B70E6">
      <w:pPr>
        <w:pStyle w:val="1"/>
        <w:spacing w:line="520" w:lineRule="atLeast"/>
        <w:ind w:firstLineChars="200" w:firstLine="482"/>
        <w:rPr>
          <w:bCs/>
          <w:color w:val="auto"/>
          <w:szCs w:val="24"/>
        </w:rPr>
      </w:pPr>
      <w:bookmarkStart w:id="24" w:name="_Toc63235224"/>
      <w:r>
        <w:rPr>
          <w:rFonts w:hint="eastAsia"/>
          <w:bCs/>
          <w:color w:val="auto"/>
          <w:szCs w:val="24"/>
        </w:rPr>
        <w:t>第七条 交易及清算交收安排</w:t>
      </w:r>
      <w:bookmarkEnd w:id="24"/>
      <w:r>
        <w:rPr>
          <w:rFonts w:hint="eastAsia"/>
          <w:bCs/>
          <w:color w:val="auto"/>
          <w:szCs w:val="24"/>
        </w:rPr>
        <w:t xml:space="preserve"> </w:t>
      </w:r>
    </w:p>
    <w:p w:rsidR="0023059C" w:rsidRDefault="004B70E6">
      <w:pPr>
        <w:pStyle w:val="20"/>
        <w:spacing w:before="0" w:after="0" w:line="520" w:lineRule="atLeast"/>
        <w:rPr>
          <w:rFonts w:hAnsi="宋体"/>
          <w:szCs w:val="24"/>
        </w:rPr>
      </w:pPr>
      <w:r>
        <w:rPr>
          <w:rFonts w:hAnsi="宋体" w:hint="eastAsia"/>
          <w:szCs w:val="24"/>
        </w:rPr>
        <w:t>7.1选择代理证券、期货买卖的证券、期货经营机构</w:t>
      </w:r>
    </w:p>
    <w:p w:rsidR="0023059C" w:rsidRDefault="004B70E6">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rsidR="0023059C" w:rsidRDefault="004B70E6">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rsidR="0023059C" w:rsidRDefault="004B70E6">
      <w:pPr>
        <w:pStyle w:val="20"/>
        <w:spacing w:before="0" w:after="0" w:line="520" w:lineRule="atLeast"/>
        <w:ind w:left="0" w:firstLine="480"/>
        <w:rPr>
          <w:rFonts w:hAnsi="宋体"/>
          <w:szCs w:val="24"/>
        </w:rPr>
      </w:pPr>
      <w:r>
        <w:rPr>
          <w:rFonts w:hAnsi="宋体" w:hint="eastAsia"/>
          <w:szCs w:val="24"/>
        </w:rPr>
        <w:t>7.1.3基金管理人负责选择代理本基金期货交易的期货经营机构，并与其签订期货经纪合同，其他事宜根据法律法规、《基金合同》的相关规定执行，若无明确规定的，可参照有关证券买卖、证券经营机构选择的规则执行。</w:t>
      </w:r>
    </w:p>
    <w:p w:rsidR="0023059C" w:rsidRDefault="004B70E6">
      <w:pPr>
        <w:pStyle w:val="20"/>
        <w:spacing w:before="0" w:after="0" w:line="520" w:lineRule="atLeast"/>
        <w:rPr>
          <w:rFonts w:hAnsi="宋体"/>
          <w:szCs w:val="24"/>
        </w:rPr>
      </w:pPr>
      <w:r>
        <w:rPr>
          <w:rFonts w:hAnsi="宋体" w:hint="eastAsia"/>
          <w:szCs w:val="24"/>
        </w:rPr>
        <w:t>7.2清算与交割</w:t>
      </w:r>
    </w:p>
    <w:p w:rsidR="0023059C" w:rsidRDefault="004B70E6">
      <w:pPr>
        <w:pStyle w:val="20"/>
        <w:spacing w:before="0" w:after="0" w:line="520" w:lineRule="atLeast"/>
        <w:rPr>
          <w:rFonts w:hAnsi="宋体"/>
          <w:szCs w:val="24"/>
        </w:rPr>
      </w:pPr>
      <w:r>
        <w:rPr>
          <w:rFonts w:hAnsi="宋体" w:hint="eastAsia"/>
          <w:szCs w:val="24"/>
        </w:rPr>
        <w:t>7.2.1基金投资证券后的清算交收安排</w:t>
      </w:r>
    </w:p>
    <w:p w:rsidR="0023059C" w:rsidRDefault="004B70E6">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rsidR="0023059C" w:rsidRDefault="004B70E6">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rsidR="0023059C" w:rsidRDefault="004B70E6">
      <w:pPr>
        <w:pStyle w:val="20"/>
        <w:spacing w:before="0" w:after="0" w:line="520" w:lineRule="atLeast"/>
        <w:ind w:left="0" w:firstLine="480"/>
        <w:rPr>
          <w:rFonts w:hAnsi="宋体"/>
          <w:szCs w:val="24"/>
        </w:rPr>
      </w:pPr>
      <w:r>
        <w:rPr>
          <w:rFonts w:hAnsi="宋体" w:hint="eastAsia"/>
          <w:szCs w:val="24"/>
        </w:rPr>
        <w:lastRenderedPageBreak/>
        <w:t>本基金投资于证券发生的所有场内、场外交易的资金清算交割，全部由基金托管人负责办理。</w:t>
      </w:r>
    </w:p>
    <w:p w:rsidR="0023059C" w:rsidRDefault="004B70E6">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本基金证券投资的清算交割，由基金托管人通过中登公司上海分公司/深圳分公司及清算代理银行办理。</w:t>
      </w:r>
    </w:p>
    <w:p w:rsidR="0023059C" w:rsidRDefault="004B70E6">
      <w:pPr>
        <w:pStyle w:val="20"/>
        <w:spacing w:before="0" w:after="0" w:line="520" w:lineRule="atLeast"/>
        <w:ind w:left="0" w:firstLine="480"/>
        <w:rPr>
          <w:rFonts w:hAnsi="宋体"/>
          <w:szCs w:val="24"/>
        </w:rPr>
      </w:pPr>
      <w:r>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23059C" w:rsidRDefault="004B70E6">
      <w:pPr>
        <w:pStyle w:val="20"/>
        <w:spacing w:before="0" w:after="0" w:line="520" w:lineRule="atLeast"/>
        <w:rPr>
          <w:rFonts w:hAnsi="宋体"/>
          <w:szCs w:val="24"/>
        </w:rPr>
      </w:pPr>
      <w:r>
        <w:rPr>
          <w:rFonts w:hAnsi="宋体" w:hint="eastAsia"/>
          <w:szCs w:val="24"/>
        </w:rPr>
        <w:t>7.2.2基金出现超买或超卖的责任认定及处理程序</w:t>
      </w:r>
    </w:p>
    <w:p w:rsidR="0023059C" w:rsidRDefault="004B70E6">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rsidR="0023059C" w:rsidRDefault="004B70E6">
      <w:pPr>
        <w:pStyle w:val="20"/>
        <w:spacing w:before="0" w:after="0" w:line="520" w:lineRule="atLeast"/>
        <w:rPr>
          <w:rFonts w:hAnsi="宋体"/>
          <w:szCs w:val="24"/>
        </w:rPr>
      </w:pPr>
      <w:r>
        <w:rPr>
          <w:rFonts w:hAnsi="宋体" w:hint="eastAsia"/>
          <w:szCs w:val="24"/>
        </w:rPr>
        <w:t>7.2.3基金无法按时支付证券清算款的责任认定及处理程序</w:t>
      </w:r>
    </w:p>
    <w:p w:rsidR="0023059C" w:rsidRDefault="004B70E6">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损失由基金管理人承担。</w:t>
      </w:r>
    </w:p>
    <w:p w:rsidR="0023059C" w:rsidRDefault="004B70E6">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财产、基金管理人造成的损失由基金托管人承担。</w:t>
      </w:r>
    </w:p>
    <w:p w:rsidR="0023059C" w:rsidRDefault="004B70E6">
      <w:pPr>
        <w:pStyle w:val="20"/>
        <w:spacing w:line="520" w:lineRule="atLeast"/>
        <w:ind w:left="0" w:firstLineChars="200" w:firstLine="480"/>
        <w:rPr>
          <w:rFonts w:hAnsi="宋体"/>
          <w:szCs w:val="24"/>
        </w:rPr>
      </w:pPr>
      <w:r>
        <w:rPr>
          <w:rFonts w:hAnsi="宋体" w:hint="eastAsia"/>
          <w:szCs w:val="24"/>
        </w:rPr>
        <w:t>7.2.4场外交易资金结算</w:t>
      </w:r>
    </w:p>
    <w:p w:rsidR="0023059C" w:rsidRDefault="004B70E6">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w:t>
      </w:r>
      <w:r>
        <w:rPr>
          <w:rFonts w:hAnsi="宋体" w:hint="eastAsia"/>
          <w:szCs w:val="24"/>
        </w:rPr>
        <w:lastRenderedPageBreak/>
        <w:t>回，由管理人负责协调相关资金</w:t>
      </w:r>
      <w:proofErr w:type="gramStart"/>
      <w:r>
        <w:rPr>
          <w:rFonts w:hAnsi="宋体" w:hint="eastAsia"/>
          <w:szCs w:val="24"/>
        </w:rPr>
        <w:t>划拨回产品托管户</w:t>
      </w:r>
      <w:proofErr w:type="gramEnd"/>
      <w:r>
        <w:rPr>
          <w:rFonts w:hAnsi="宋体" w:hint="eastAsia"/>
          <w:szCs w:val="24"/>
        </w:rPr>
        <w:t>事宜。</w:t>
      </w:r>
    </w:p>
    <w:p w:rsidR="0023059C" w:rsidRDefault="004B70E6">
      <w:pPr>
        <w:pStyle w:val="20"/>
        <w:spacing w:before="0" w:after="0" w:line="520" w:lineRule="atLeast"/>
        <w:rPr>
          <w:rFonts w:hAnsi="宋体"/>
          <w:szCs w:val="24"/>
        </w:rPr>
      </w:pPr>
      <w:r>
        <w:rPr>
          <w:rFonts w:hAnsi="宋体" w:hint="eastAsia"/>
          <w:szCs w:val="24"/>
        </w:rPr>
        <w:t>7.3资金、证券账目及交易记录的核对</w:t>
      </w:r>
    </w:p>
    <w:p w:rsidR="0023059C" w:rsidRDefault="004B70E6">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7.3.1基金管理人与基金托管人按日进行交易记录的核对。对外披露</w:t>
      </w:r>
      <w:r>
        <w:rPr>
          <w:rFonts w:hAnsi="宋体" w:hint="eastAsia"/>
          <w:szCs w:val="21"/>
        </w:rPr>
        <w:t>各类</w:t>
      </w:r>
      <w:r>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rsidR="0023059C" w:rsidRDefault="004B70E6">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rsidR="0023059C" w:rsidRDefault="004B70E6">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rsidR="0023059C" w:rsidRDefault="004B70E6">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rsidR="0023059C" w:rsidRDefault="004B70E6">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23059C" w:rsidRDefault="004B70E6">
      <w:pPr>
        <w:pStyle w:val="20"/>
        <w:spacing w:before="0" w:after="0" w:line="520" w:lineRule="atLeast"/>
        <w:rPr>
          <w:rFonts w:hAnsi="宋体"/>
          <w:szCs w:val="24"/>
        </w:rPr>
      </w:pPr>
      <w:r>
        <w:rPr>
          <w:rFonts w:hAnsi="宋体" w:hint="eastAsia"/>
          <w:szCs w:val="24"/>
        </w:rPr>
        <w:t>7.4.2基金的数据传递</w:t>
      </w:r>
    </w:p>
    <w:p w:rsidR="0023059C" w:rsidRDefault="004B70E6">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rsidR="0023059C" w:rsidRDefault="004B70E6">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rsidR="0023059C" w:rsidRDefault="004B70E6">
      <w:pPr>
        <w:pStyle w:val="20"/>
        <w:spacing w:before="0" w:after="0" w:line="520" w:lineRule="atLeast"/>
        <w:rPr>
          <w:rFonts w:hAnsi="宋体"/>
          <w:szCs w:val="24"/>
        </w:rPr>
      </w:pPr>
      <w:r>
        <w:rPr>
          <w:rFonts w:hAnsi="宋体" w:hint="eastAsia"/>
          <w:szCs w:val="24"/>
        </w:rPr>
        <w:t>7.4.3基金的资金清算</w:t>
      </w:r>
    </w:p>
    <w:p w:rsidR="0023059C" w:rsidRDefault="004B70E6">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w:t>
      </w:r>
      <w:proofErr w:type="gramStart"/>
      <w:r>
        <w:rPr>
          <w:rFonts w:hAnsi="宋体" w:hint="eastAsia"/>
          <w:szCs w:val="24"/>
        </w:rPr>
        <w:t>交收日</w:t>
      </w:r>
      <w:proofErr w:type="gramEnd"/>
      <w:r>
        <w:rPr>
          <w:rFonts w:hAnsi="宋体" w:hint="eastAsia"/>
          <w:szCs w:val="24"/>
        </w:rPr>
        <w:t>15:00之前查收资金是否到账，对于未准时到账的资金，基金托管人应及时通知基金管理人划付。如果当日基</w:t>
      </w:r>
      <w:r>
        <w:rPr>
          <w:rFonts w:hAnsi="宋体" w:hint="eastAsia"/>
          <w:szCs w:val="24"/>
        </w:rPr>
        <w:lastRenderedPageBreak/>
        <w:t>金为净应付款，基金托管人应根据基金管理人的指令在</w:t>
      </w:r>
      <w:proofErr w:type="gramStart"/>
      <w:r>
        <w:rPr>
          <w:rFonts w:hAnsi="宋体" w:hint="eastAsia"/>
          <w:szCs w:val="24"/>
        </w:rPr>
        <w:t>交收日中午</w:t>
      </w:r>
      <w:proofErr w:type="gramEnd"/>
      <w:r>
        <w:rPr>
          <w:rFonts w:hAnsi="宋体" w:hint="eastAsia"/>
          <w:szCs w:val="24"/>
        </w:rPr>
        <w:t>12:00前进行划付，对于未准时划付的资金，基金管理人应及时通知基金托管人划付。因基金托管专户没有足够的资金，导致基金托管人不能按时拨付，基金托管人应及时通知基金管理人。</w:t>
      </w:r>
    </w:p>
    <w:p w:rsidR="0023059C" w:rsidRDefault="004B70E6">
      <w:pPr>
        <w:pStyle w:val="1"/>
        <w:spacing w:line="520" w:lineRule="atLeast"/>
        <w:ind w:firstLineChars="200" w:firstLine="482"/>
        <w:rPr>
          <w:bCs/>
          <w:color w:val="auto"/>
          <w:szCs w:val="24"/>
        </w:rPr>
      </w:pPr>
      <w:bookmarkStart w:id="25" w:name="_Toc63235225"/>
      <w:bookmarkStart w:id="26" w:name="_Toc296551344"/>
      <w:r>
        <w:rPr>
          <w:rFonts w:hint="eastAsia"/>
          <w:bCs/>
          <w:color w:val="auto"/>
          <w:szCs w:val="24"/>
        </w:rPr>
        <w:t>第八条 基金净值计算和会计核算</w:t>
      </w:r>
      <w:bookmarkEnd w:id="25"/>
      <w:bookmarkEnd w:id="26"/>
    </w:p>
    <w:p w:rsidR="0023059C" w:rsidRDefault="004B70E6">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w:t>
      </w:r>
      <w:r>
        <w:rPr>
          <w:rFonts w:hAnsi="宋体" w:hint="eastAsia"/>
          <w:szCs w:val="21"/>
        </w:rPr>
        <w:t>各类</w:t>
      </w:r>
      <w:r>
        <w:rPr>
          <w:rFonts w:hAnsi="宋体" w:hint="eastAsia"/>
          <w:szCs w:val="24"/>
        </w:rPr>
        <w:t>基金</w:t>
      </w:r>
      <w:r>
        <w:rPr>
          <w:rFonts w:hAnsi="宋体"/>
          <w:szCs w:val="24"/>
        </w:rPr>
        <w:t>份额净值、</w:t>
      </w:r>
      <w:r>
        <w:rPr>
          <w:rFonts w:hAnsi="宋体" w:hint="eastAsia"/>
          <w:szCs w:val="21"/>
        </w:rPr>
        <w:t>各类</w:t>
      </w:r>
      <w:r>
        <w:rPr>
          <w:rFonts w:hAnsi="宋体"/>
          <w:szCs w:val="24"/>
        </w:rPr>
        <w:t>基金</w:t>
      </w:r>
      <w:r>
        <w:rPr>
          <w:rFonts w:hAnsi="宋体" w:hint="eastAsia"/>
          <w:szCs w:val="24"/>
        </w:rPr>
        <w:t>份额</w:t>
      </w:r>
      <w:r>
        <w:rPr>
          <w:rFonts w:hAnsi="宋体"/>
          <w:szCs w:val="24"/>
        </w:rPr>
        <w:t>累计净值。</w:t>
      </w:r>
      <w:r>
        <w:rPr>
          <w:rFonts w:hAnsi="宋体" w:hint="eastAsia"/>
          <w:szCs w:val="24"/>
        </w:rPr>
        <w:t>基金资产净值是指基金资产总值减去基金负债后的价值。</w:t>
      </w:r>
      <w:r>
        <w:rPr>
          <w:rFonts w:hAnsi="宋体" w:hint="eastAsia"/>
          <w:szCs w:val="21"/>
        </w:rPr>
        <w:t>各类</w:t>
      </w:r>
      <w:r>
        <w:rPr>
          <w:rFonts w:hAnsi="宋体" w:hint="eastAsia"/>
          <w:szCs w:val="24"/>
        </w:rPr>
        <w:t>基金份额净值是指计算日</w:t>
      </w:r>
      <w:r>
        <w:rPr>
          <w:rFonts w:hAnsi="宋体"/>
        </w:rPr>
        <w:t>各类</w:t>
      </w:r>
      <w:r>
        <w:rPr>
          <w:rFonts w:hAnsi="宋体" w:hint="eastAsia"/>
          <w:szCs w:val="24"/>
        </w:rPr>
        <w:t>基金资产净值除以该计算日</w:t>
      </w:r>
      <w:r>
        <w:rPr>
          <w:rFonts w:hAnsi="宋体"/>
        </w:rPr>
        <w:t>该类</w:t>
      </w:r>
      <w:r>
        <w:rPr>
          <w:rFonts w:hAnsi="宋体" w:hint="eastAsia"/>
          <w:szCs w:val="24"/>
        </w:rPr>
        <w:t>基金份额总份额后的数值。</w:t>
      </w:r>
      <w:r>
        <w:rPr>
          <w:rFonts w:hAnsi="宋体" w:hint="eastAsia"/>
          <w:szCs w:val="21"/>
        </w:rPr>
        <w:t>各类</w:t>
      </w:r>
      <w:r>
        <w:rPr>
          <w:rFonts w:hAnsi="宋体" w:hint="eastAsia"/>
          <w:szCs w:val="24"/>
        </w:rPr>
        <w:t>基金</w:t>
      </w:r>
      <w:r>
        <w:rPr>
          <w:rFonts w:hAnsi="宋体"/>
          <w:szCs w:val="24"/>
        </w:rPr>
        <w:t>份额</w:t>
      </w:r>
      <w:r>
        <w:rPr>
          <w:rFonts w:hAnsi="宋体" w:hint="eastAsia"/>
          <w:szCs w:val="24"/>
        </w:rPr>
        <w:t>累计净值是指</w:t>
      </w:r>
      <w:r>
        <w:rPr>
          <w:rFonts w:hAnsi="宋体" w:hint="eastAsia"/>
          <w:szCs w:val="21"/>
        </w:rPr>
        <w:t>各类</w:t>
      </w:r>
      <w:r>
        <w:rPr>
          <w:rFonts w:hAnsi="宋体" w:hint="eastAsia"/>
          <w:szCs w:val="24"/>
        </w:rPr>
        <w:t>基金份额净值与基金历来分红累计金额之</w:t>
      </w:r>
      <w:proofErr w:type="gramStart"/>
      <w:r>
        <w:rPr>
          <w:rFonts w:hAnsi="宋体" w:hint="eastAsia"/>
          <w:szCs w:val="24"/>
        </w:rPr>
        <w:t>和</w:t>
      </w:r>
      <w:proofErr w:type="gramEnd"/>
      <w:r>
        <w:rPr>
          <w:rFonts w:hAnsi="宋体" w:hint="eastAsia"/>
          <w:szCs w:val="24"/>
        </w:rPr>
        <w:t>。基金净值的计算保留到小数点后4位，小数点后第5位四舍五入，由此产生的误差计入基金财产。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w:t>
      </w:r>
      <w:r>
        <w:rPr>
          <w:rFonts w:hAnsi="宋体" w:hint="eastAsia"/>
        </w:rPr>
        <w:t>各类</w:t>
      </w:r>
      <w:r>
        <w:rPr>
          <w:rFonts w:hAnsi="宋体" w:hint="eastAsia"/>
          <w:szCs w:val="24"/>
        </w:rPr>
        <w:t>基金份额净值和</w:t>
      </w:r>
      <w:r>
        <w:rPr>
          <w:rFonts w:hAnsi="宋体" w:hint="eastAsia"/>
        </w:rPr>
        <w:t>各类</w:t>
      </w:r>
      <w:r>
        <w:rPr>
          <w:rFonts w:hAnsi="宋体" w:hint="eastAsia"/>
          <w:szCs w:val="24"/>
        </w:rPr>
        <w:t>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Pr>
          <w:rFonts w:hAnsi="宋体"/>
          <w:bCs/>
        </w:rPr>
        <w:t>由基金管理人按规定对外公布</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基金托管人复核、审查基金管理人计算的基金净值。因此，本基金的会计责任方是基金管理人，就与本基金有关的会计问题，如经相关各方在平等基础上充分讨论后，仍无法达成一致的意见，按照基金管理人对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8.2基金资产估值方法</w:t>
      </w:r>
    </w:p>
    <w:p w:rsidR="0023059C" w:rsidRDefault="004B70E6">
      <w:pPr>
        <w:pStyle w:val="20"/>
        <w:spacing w:before="0" w:after="0" w:line="520" w:lineRule="atLeast"/>
        <w:ind w:left="0" w:firstLineChars="200" w:firstLine="480"/>
        <w:rPr>
          <w:rFonts w:hAnsi="宋体"/>
          <w:szCs w:val="24"/>
        </w:rPr>
      </w:pPr>
      <w:bookmarkStart w:id="27" w:name="_Hlk101559430"/>
      <w:r>
        <w:rPr>
          <w:rFonts w:hAnsi="宋体" w:hint="eastAsia"/>
          <w:szCs w:val="24"/>
        </w:rPr>
        <w:t>8.2.1估值对象</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基金所拥有的股票、债券、国债期货合约和银行存款本息、应收款项、资产支持证券、其它投资等资产及负债。</w:t>
      </w:r>
    </w:p>
    <w:p w:rsidR="0023059C" w:rsidRDefault="004B70E6">
      <w:pPr>
        <w:pStyle w:val="20"/>
        <w:spacing w:before="0" w:after="0" w:line="520" w:lineRule="atLeast"/>
        <w:ind w:left="0" w:firstLineChars="200" w:firstLine="480"/>
        <w:rPr>
          <w:rFonts w:hAnsi="宋体"/>
          <w:szCs w:val="24"/>
        </w:rPr>
      </w:pPr>
      <w:r>
        <w:rPr>
          <w:rFonts w:hAnsi="宋体" w:hint="eastAsia"/>
          <w:szCs w:val="24"/>
        </w:rPr>
        <w:t>8.2.2估值方法</w:t>
      </w:r>
    </w:p>
    <w:p w:rsidR="0023059C" w:rsidRDefault="004B70E6">
      <w:pPr>
        <w:pStyle w:val="20"/>
        <w:spacing w:before="0" w:after="0" w:line="520" w:lineRule="atLeast"/>
        <w:ind w:left="0" w:firstLineChars="200" w:firstLine="480"/>
        <w:rPr>
          <w:rFonts w:hAnsi="宋体"/>
          <w:bCs/>
          <w:szCs w:val="24"/>
        </w:rPr>
      </w:pPr>
      <w:r>
        <w:rPr>
          <w:rFonts w:hAnsi="宋体" w:hint="eastAsia"/>
          <w:bCs/>
          <w:szCs w:val="24"/>
        </w:rPr>
        <w:t>本基金所持有的投资品种，按如下原则进行估值：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1</w:t>
      </w:r>
      <w:r>
        <w:rPr>
          <w:rFonts w:hAnsi="宋体"/>
          <w:szCs w:val="24"/>
        </w:rPr>
        <w:t>、证券交易所上市的权益类证券的估值</w:t>
      </w:r>
    </w:p>
    <w:p w:rsidR="0023059C" w:rsidRDefault="004B70E6">
      <w:pPr>
        <w:pStyle w:val="20"/>
        <w:spacing w:before="0" w:after="0" w:line="520" w:lineRule="atLeast"/>
        <w:ind w:left="0" w:firstLineChars="200" w:firstLine="480"/>
        <w:rPr>
          <w:rFonts w:hAnsi="宋体"/>
          <w:szCs w:val="24"/>
        </w:rPr>
      </w:pPr>
      <w:r>
        <w:rPr>
          <w:rFonts w:hAnsi="宋体"/>
          <w:szCs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3059C" w:rsidRDefault="004B70E6">
      <w:pPr>
        <w:pStyle w:val="20"/>
        <w:spacing w:before="0" w:after="0" w:line="520" w:lineRule="atLeast"/>
        <w:ind w:left="0" w:firstLineChars="200" w:firstLine="480"/>
        <w:rPr>
          <w:rFonts w:hAnsi="宋体"/>
          <w:bCs/>
          <w:szCs w:val="24"/>
        </w:rPr>
      </w:pPr>
      <w:r>
        <w:rPr>
          <w:rFonts w:hAnsi="宋体"/>
          <w:bCs/>
          <w:szCs w:val="24"/>
        </w:rPr>
        <w:t>2</w:t>
      </w:r>
      <w:r>
        <w:rPr>
          <w:rFonts w:hAnsi="宋体"/>
          <w:szCs w:val="24"/>
        </w:rPr>
        <w:t>、处于未上市期间的权益类证券应区分如下情况处理：</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1</w:t>
      </w:r>
      <w:r>
        <w:rPr>
          <w:rFonts w:hAnsi="宋体"/>
          <w:szCs w:val="24"/>
        </w:rPr>
        <w:t>）送股、转增股、配股和公开增发的新股，按估值日在证券交易所挂牌的同一股票的估值方法估值；该日无交易的，以最近一日的市价（收盘价）估值；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2</w:t>
      </w:r>
      <w:r>
        <w:rPr>
          <w:rFonts w:hAnsi="宋体"/>
          <w:szCs w:val="24"/>
        </w:rPr>
        <w:t>）首次公开发行未上市的股票等，采用估值技术确定公允价值，在估值技术难以可靠计量公允价值的情况下，按成本估值；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3</w:t>
      </w:r>
      <w:r>
        <w:rPr>
          <w:rFonts w:hAnsi="宋体"/>
          <w:szCs w:val="24"/>
        </w:rPr>
        <w:t>）首次公开发行有明确锁定期的股票，同一股票在交易所上市后，按交易所上市的同一股票的估值方法估值；</w:t>
      </w:r>
      <w:r>
        <w:rPr>
          <w:rFonts w:hAnsi="宋体" w:hint="eastAsia"/>
          <w:bCs/>
          <w:szCs w:val="24"/>
        </w:rPr>
        <w:t>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Ansi="宋体" w:hint="eastAsia"/>
          <w:bCs/>
          <w:szCs w:val="24"/>
        </w:rPr>
        <w:t>券</w:t>
      </w:r>
      <w:proofErr w:type="gramEnd"/>
      <w:r>
        <w:rPr>
          <w:rFonts w:hAnsi="宋体" w:hint="eastAsia"/>
          <w:bCs/>
          <w:szCs w:val="24"/>
        </w:rPr>
        <w:t>等流通受限股票），按监管机构或行业协会有关规定确定公允价值。</w:t>
      </w:r>
    </w:p>
    <w:p w:rsidR="0023059C" w:rsidRDefault="004B70E6">
      <w:pPr>
        <w:pStyle w:val="20"/>
        <w:spacing w:before="0" w:after="0" w:line="520" w:lineRule="atLeast"/>
        <w:ind w:left="0" w:firstLineChars="200" w:firstLine="480"/>
        <w:rPr>
          <w:rFonts w:hAnsi="宋体"/>
          <w:bCs/>
          <w:szCs w:val="24"/>
        </w:rPr>
      </w:pPr>
      <w:r>
        <w:rPr>
          <w:rFonts w:hAnsi="宋体"/>
          <w:bCs/>
          <w:szCs w:val="24"/>
        </w:rPr>
        <w:t>3</w:t>
      </w:r>
      <w:r>
        <w:rPr>
          <w:rFonts w:hAnsi="宋体"/>
          <w:szCs w:val="24"/>
        </w:rPr>
        <w:t>、交易所上市不存在活跃市场的权益类证券，采用估值技术确定公允价值。</w:t>
      </w:r>
    </w:p>
    <w:p w:rsidR="0023059C" w:rsidRDefault="004B70E6">
      <w:pPr>
        <w:pStyle w:val="20"/>
        <w:spacing w:before="0" w:after="0" w:line="520" w:lineRule="atLeast"/>
        <w:ind w:left="0" w:firstLineChars="200" w:firstLine="480"/>
        <w:rPr>
          <w:rFonts w:hAnsi="宋体"/>
          <w:bCs/>
          <w:szCs w:val="24"/>
        </w:rPr>
      </w:pPr>
      <w:r>
        <w:rPr>
          <w:rFonts w:hAnsi="宋体"/>
          <w:bCs/>
          <w:szCs w:val="24"/>
        </w:rPr>
        <w:t>4</w:t>
      </w:r>
      <w:r>
        <w:rPr>
          <w:rFonts w:hAnsi="宋体"/>
          <w:szCs w:val="24"/>
        </w:rPr>
        <w:t>、交易所市场交易的固定收益品种（固定收益品种指在银行间债券市场、上海证券交易所、深圳证券交易所及中国证监会认可的其他交易所上市交易或挂牌转让的国债、中央银行债、政策性银行债、短期融资</w:t>
      </w:r>
      <w:proofErr w:type="gramStart"/>
      <w:r>
        <w:rPr>
          <w:rFonts w:hAnsi="宋体"/>
          <w:szCs w:val="24"/>
        </w:rPr>
        <w:t>券</w:t>
      </w:r>
      <w:proofErr w:type="gramEnd"/>
      <w:r>
        <w:rPr>
          <w:rFonts w:hAnsi="宋体"/>
          <w:szCs w:val="24"/>
        </w:rPr>
        <w:t>、中期票据、企业债、公司债、商业银行金融债、可转换债券、资产支持证券、同业存单等品种，下同）的估值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1</w:t>
      </w:r>
      <w:r>
        <w:rPr>
          <w:rFonts w:hAnsi="宋体"/>
          <w:szCs w:val="24"/>
        </w:rPr>
        <w:t>）对在交易所市场上市交易或挂牌转让的实行全价交易的固定收益品种（可转债除外），选取第三方估值机构提供的相应品种当日的估值全价减去估值全价中</w:t>
      </w:r>
      <w:r>
        <w:rPr>
          <w:rFonts w:hAnsi="宋体"/>
          <w:szCs w:val="24"/>
        </w:rPr>
        <w:lastRenderedPageBreak/>
        <w:t>所含的债券应收利息（税后）得到的净价进行估值；对在交易所市场上市交易或挂牌转让的实行净价交易的固定收益品种（可转债除外），选取第三方估值机构提供的相应品种当日的估值净价进行估值；</w:t>
      </w:r>
      <w:r>
        <w:rPr>
          <w:rFonts w:hAnsi="宋体"/>
          <w:bCs/>
          <w:szCs w:val="24"/>
        </w:rPr>
        <w:t xml:space="preserve"> </w:t>
      </w:r>
      <w:r>
        <w:rPr>
          <w:rFonts w:hAnsi="宋体"/>
          <w:bCs/>
          <w:szCs w:val="24"/>
        </w:rPr>
        <w:br/>
        <w:t xml:space="preserve">    </w:t>
      </w:r>
      <w:r>
        <w:rPr>
          <w:rFonts w:hAnsi="宋体"/>
          <w:szCs w:val="24"/>
        </w:rPr>
        <w:t>（</w:t>
      </w:r>
      <w:r>
        <w:rPr>
          <w:rFonts w:hAnsi="宋体"/>
          <w:bCs/>
          <w:szCs w:val="24"/>
        </w:rPr>
        <w:t>2</w:t>
      </w:r>
      <w:r>
        <w:rPr>
          <w:rFonts w:hAnsi="宋体"/>
          <w:szCs w:val="24"/>
        </w:rPr>
        <w:t>）对在交易所市场上市交易的可转换债券，按估值日收盘价减去可转换债券收盘价中所含债券应收利息后得到的净价进行估值；</w:t>
      </w:r>
      <w:r>
        <w:rPr>
          <w:rFonts w:hAnsi="宋体"/>
          <w:bCs/>
          <w:szCs w:val="24"/>
        </w:rPr>
        <w:t xml:space="preserve"> </w:t>
      </w:r>
      <w:r>
        <w:rPr>
          <w:rFonts w:hAnsi="宋体"/>
          <w:bCs/>
          <w:szCs w:val="24"/>
        </w:rPr>
        <w:br/>
        <w:t xml:space="preserve">    </w:t>
      </w:r>
      <w:r>
        <w:rPr>
          <w:rFonts w:hAnsi="宋体"/>
          <w:szCs w:val="24"/>
        </w:rPr>
        <w:t>（</w:t>
      </w:r>
      <w:r>
        <w:rPr>
          <w:rFonts w:hAnsi="宋体"/>
          <w:bCs/>
          <w:szCs w:val="24"/>
        </w:rPr>
        <w:t>3</w:t>
      </w:r>
      <w:r>
        <w:rPr>
          <w:rFonts w:hAnsi="宋体"/>
          <w:szCs w:val="24"/>
        </w:rPr>
        <w:t>）对在交易所市场挂牌转让的资产支持证券，采用估值技术确定公允价值，在估值技术难以可靠计量公允价值的情况下，按成本估值。</w:t>
      </w:r>
      <w:r>
        <w:rPr>
          <w:rFonts w:hAnsi="宋体"/>
          <w:bCs/>
          <w:szCs w:val="24"/>
        </w:rPr>
        <w:t xml:space="preserve"> </w:t>
      </w:r>
    </w:p>
    <w:p w:rsidR="0023059C" w:rsidRDefault="004B70E6">
      <w:pPr>
        <w:pStyle w:val="20"/>
        <w:spacing w:before="0" w:after="0" w:line="520" w:lineRule="atLeast"/>
        <w:ind w:left="0" w:firstLineChars="200" w:firstLine="480"/>
        <w:rPr>
          <w:rFonts w:hAnsi="宋体"/>
          <w:bCs/>
          <w:szCs w:val="24"/>
        </w:rPr>
      </w:pPr>
      <w:r>
        <w:rPr>
          <w:rFonts w:hAnsi="宋体"/>
          <w:bCs/>
          <w:szCs w:val="24"/>
        </w:rPr>
        <w:t>5</w:t>
      </w:r>
      <w:r>
        <w:rPr>
          <w:rFonts w:hAnsi="宋体" w:hint="eastAsia"/>
          <w:bCs/>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3059C" w:rsidRDefault="004B70E6">
      <w:pPr>
        <w:pStyle w:val="20"/>
        <w:spacing w:before="0" w:after="0" w:line="520" w:lineRule="atLeast"/>
        <w:ind w:left="0" w:firstLineChars="200" w:firstLine="480"/>
        <w:rPr>
          <w:rFonts w:hAnsi="宋体"/>
          <w:szCs w:val="24"/>
        </w:rPr>
      </w:pPr>
      <w:r>
        <w:rPr>
          <w:rFonts w:hAnsi="宋体"/>
          <w:bCs/>
          <w:szCs w:val="24"/>
        </w:rPr>
        <w:t>6</w:t>
      </w:r>
      <w:r>
        <w:rPr>
          <w:rFonts w:hAnsi="宋体"/>
          <w:szCs w:val="24"/>
        </w:rPr>
        <w:t>、</w:t>
      </w:r>
      <w:r>
        <w:rPr>
          <w:rFonts w:hAnsi="宋体" w:cs="宋体"/>
          <w:szCs w:val="24"/>
        </w:rPr>
        <w:t>对全国银行间市场上不含权的固定收益品种，按照第三方估值机构提供 的相应品种当日的估值净价估值。对银行间市场上含权的固定收益品种，按照第 三方估值机构提供的相应品种当日的唯一估值净价或推荐估值净价估值。对于含 投资人回售权的固定收益品种，回售登记期截止日（含当日）后未行使回售权的 按照长待偿期所对应的价格进行估值。</w:t>
      </w:r>
      <w:r>
        <w:rPr>
          <w:rFonts w:hAnsi="宋体"/>
          <w:szCs w:val="24"/>
        </w:rPr>
        <w:t>对银行间市场未上市，且第三方估值机构未提供估值价格的债券，在发行利率与二级市场利率不存在明显差异，未上市期间市场利率没有发生大的变动的情况下，按成本估值。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7</w:t>
      </w:r>
      <w:r>
        <w:rPr>
          <w:rFonts w:hAnsi="宋体"/>
          <w:szCs w:val="24"/>
        </w:rPr>
        <w:t>、</w:t>
      </w:r>
      <w:r>
        <w:rPr>
          <w:rFonts w:hAnsi="宋体" w:hint="eastAsia"/>
          <w:szCs w:val="24"/>
        </w:rPr>
        <w:t>国债期货合约</w:t>
      </w:r>
      <w:r>
        <w:rPr>
          <w:rFonts w:hAnsi="宋体"/>
          <w:szCs w:val="24"/>
        </w:rPr>
        <w:t>以估值当日结算价进行估值，估值当日无结算价的，且最近交易日后经济环境未发生重大变化的，采用最近交易日结算价估值。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8</w:t>
      </w:r>
      <w:r>
        <w:rPr>
          <w:rFonts w:hAnsi="宋体"/>
          <w:szCs w:val="24"/>
        </w:rPr>
        <w:t>、如有确凿证据表明按上述方法进行估值不能客观反映其公允价值的，基金管理人可根据具体情况与基金托管人商定后，按最能反映公允价值的价格估值。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9</w:t>
      </w:r>
      <w:r>
        <w:rPr>
          <w:rFonts w:hAnsi="宋体"/>
          <w:szCs w:val="24"/>
        </w:rPr>
        <w:t>、当本基金发生大额申购或赎回情形时，基金管理人可以采用摆动定价机制，以确保基金估值的公平性。</w:t>
      </w:r>
    </w:p>
    <w:p w:rsidR="0023059C" w:rsidRDefault="004B70E6">
      <w:pPr>
        <w:pStyle w:val="20"/>
        <w:spacing w:before="0" w:after="0" w:line="520" w:lineRule="atLeast"/>
        <w:ind w:left="0" w:firstLineChars="200" w:firstLine="480"/>
        <w:rPr>
          <w:rFonts w:hAnsi="宋体"/>
          <w:bCs/>
          <w:szCs w:val="24"/>
        </w:rPr>
      </w:pPr>
      <w:r>
        <w:rPr>
          <w:rFonts w:hAnsi="宋体"/>
          <w:bCs/>
          <w:szCs w:val="24"/>
        </w:rPr>
        <w:t>10</w:t>
      </w:r>
      <w:r>
        <w:rPr>
          <w:rFonts w:hAnsi="宋体"/>
          <w:szCs w:val="24"/>
        </w:rPr>
        <w:t>、相关法律法规以及监管部门有强制规定的，从其规定。如有新增事项，按国家最新规定估值。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如基金管理人或基金托管人发现基金估值违反基金合同订明的估值方法、程序及相关法律法规的规定或者未能充分维护基金份额持有人利益时，应立即通知对方，</w:t>
      </w:r>
      <w:r>
        <w:rPr>
          <w:rFonts w:hAnsi="宋体" w:hint="eastAsia"/>
          <w:szCs w:val="24"/>
        </w:rPr>
        <w:lastRenderedPageBreak/>
        <w:t>共同查明原因，双方协商解决。</w:t>
      </w:r>
    </w:p>
    <w:p w:rsidR="0023059C" w:rsidRDefault="004B70E6">
      <w:pPr>
        <w:pStyle w:val="20"/>
        <w:spacing w:before="0" w:after="0" w:line="520" w:lineRule="atLeast"/>
        <w:ind w:left="0" w:firstLineChars="200" w:firstLine="480"/>
        <w:rPr>
          <w:rFonts w:hAnsi="宋体"/>
          <w:szCs w:val="24"/>
        </w:rPr>
      </w:pPr>
      <w:r>
        <w:rPr>
          <w:rFonts w:hAnsi="宋体"/>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27"/>
    <w:p w:rsidR="0023059C" w:rsidRDefault="004B70E6">
      <w:pPr>
        <w:pStyle w:val="20"/>
        <w:spacing w:before="0" w:after="0" w:line="520" w:lineRule="atLeast"/>
        <w:ind w:left="0" w:firstLineChars="200" w:firstLine="480"/>
        <w:rPr>
          <w:rFonts w:hAnsi="宋体"/>
          <w:szCs w:val="24"/>
        </w:rPr>
      </w:pPr>
      <w:r>
        <w:rPr>
          <w:rFonts w:hAnsi="宋体" w:hint="eastAsia"/>
          <w:szCs w:val="24"/>
        </w:rPr>
        <w:t>8.3估值差错处理</w:t>
      </w:r>
    </w:p>
    <w:p w:rsidR="00C87B87" w:rsidRDefault="004B70E6">
      <w:pPr>
        <w:pStyle w:val="20"/>
        <w:spacing w:before="0" w:after="0" w:line="520" w:lineRule="atLeast"/>
        <w:ind w:left="0" w:firstLineChars="200" w:firstLine="480"/>
        <w:rPr>
          <w:rFonts w:hAnsi="宋体"/>
          <w:bCs/>
        </w:rPr>
      </w:pPr>
      <w:r>
        <w:rPr>
          <w:rFonts w:hAnsi="宋体" w:hint="eastAsia"/>
          <w:szCs w:val="24"/>
        </w:rPr>
        <w:t>8.3.1</w:t>
      </w:r>
      <w:r w:rsidR="00C87B87" w:rsidRPr="00CF7E5B">
        <w:rPr>
          <w:rFonts w:hAnsi="宋体"/>
          <w:bCs/>
        </w:rPr>
        <w:t>估值错误类型</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3059C" w:rsidRDefault="00C87B87" w:rsidP="00C87B87">
      <w:pPr>
        <w:pStyle w:val="20"/>
        <w:spacing w:before="0" w:after="0" w:line="520" w:lineRule="atLeast"/>
        <w:ind w:left="0" w:firstLineChars="200" w:firstLine="480"/>
        <w:rPr>
          <w:rFonts w:hAnsi="宋体"/>
          <w:szCs w:val="24"/>
        </w:rPr>
      </w:pPr>
      <w:r w:rsidRPr="00C87B87">
        <w:rPr>
          <w:rFonts w:hAnsi="宋体" w:hint="eastAsia"/>
          <w:szCs w:val="24"/>
        </w:rPr>
        <w:t>上述估值错误的主要类型包括但不限于：资料申报差错、数据传输差错、数据计算差错、系统故障差错、下达指令差错等。</w:t>
      </w:r>
    </w:p>
    <w:p w:rsidR="00C87B87" w:rsidRDefault="004B70E6">
      <w:pPr>
        <w:pStyle w:val="20"/>
        <w:spacing w:before="0" w:after="0" w:line="520" w:lineRule="atLeast"/>
        <w:ind w:left="0" w:firstLineChars="200" w:firstLine="480"/>
        <w:rPr>
          <w:rFonts w:hAnsi="宋体"/>
          <w:szCs w:val="24"/>
        </w:rPr>
      </w:pPr>
      <w:r>
        <w:rPr>
          <w:rFonts w:hAnsi="宋体" w:hint="eastAsia"/>
          <w:szCs w:val="24"/>
        </w:rPr>
        <w:t>8.3.2</w:t>
      </w:r>
      <w:r w:rsidR="00C87B87" w:rsidRPr="00C87B87">
        <w:rPr>
          <w:rFonts w:hAnsi="宋体" w:hint="eastAsia"/>
          <w:szCs w:val="24"/>
        </w:rPr>
        <w:t>估值错误处理原则</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（2）估值错误的责任方对有关当事人的直接损失负责，不对间接损失负责，并且仅对估值错误的有关直接当事人负责，不对第三方负责。</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（3）因估值错误而获得不当得利的当事人负有及时返还不当得利的义务。但估值错误责任方仍应对估值错误负责。如果由于获得不当得利的当事人</w:t>
      </w:r>
      <w:proofErr w:type="gramStart"/>
      <w:r w:rsidRPr="00C87B87">
        <w:rPr>
          <w:rFonts w:hAnsi="宋体" w:hint="eastAsia"/>
          <w:szCs w:val="24"/>
        </w:rPr>
        <w:t>不</w:t>
      </w:r>
      <w:proofErr w:type="gramEnd"/>
      <w:r w:rsidRPr="00C87B87">
        <w:rPr>
          <w:rFonts w:hAnsi="宋体" w:hint="eastAsia"/>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sidRPr="00C87B87">
        <w:rPr>
          <w:rFonts w:hAnsi="宋体" w:hint="eastAsia"/>
          <w:szCs w:val="24"/>
        </w:rPr>
        <w:lastRenderedPageBreak/>
        <w:t>和超过其实际损失的差额部分支付给估值错误责任方。</w:t>
      </w:r>
    </w:p>
    <w:p w:rsidR="0023059C" w:rsidRDefault="00C87B87" w:rsidP="00C87B87">
      <w:pPr>
        <w:pStyle w:val="20"/>
        <w:spacing w:before="0" w:after="0" w:line="520" w:lineRule="atLeast"/>
        <w:ind w:left="0" w:firstLineChars="200" w:firstLine="480"/>
        <w:rPr>
          <w:rFonts w:hAnsi="宋体"/>
          <w:szCs w:val="24"/>
        </w:rPr>
      </w:pPr>
      <w:r w:rsidRPr="00C87B87">
        <w:rPr>
          <w:rFonts w:hAnsi="宋体" w:hint="eastAsia"/>
          <w:szCs w:val="24"/>
        </w:rPr>
        <w:t>（4）估值错误调整采用尽量恢复至假设未发生估值错误的正确情形的方式。</w:t>
      </w:r>
    </w:p>
    <w:p w:rsidR="00C87B87" w:rsidRDefault="004B70E6">
      <w:pPr>
        <w:pStyle w:val="20"/>
        <w:spacing w:before="0" w:after="0" w:line="520" w:lineRule="atLeast"/>
        <w:ind w:left="0" w:firstLineChars="200" w:firstLine="480"/>
        <w:rPr>
          <w:rFonts w:hAnsi="宋体"/>
          <w:szCs w:val="24"/>
        </w:rPr>
      </w:pPr>
      <w:r>
        <w:rPr>
          <w:rFonts w:hAnsi="宋体" w:hint="eastAsia"/>
          <w:szCs w:val="24"/>
        </w:rPr>
        <w:t>8.3.3</w:t>
      </w:r>
      <w:r w:rsidR="00C87B87" w:rsidRPr="00C87B87">
        <w:rPr>
          <w:rFonts w:hAnsi="宋体" w:hint="eastAsia"/>
          <w:szCs w:val="24"/>
        </w:rPr>
        <w:t>估值错误处理程序</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估值错误被发现后，有关的当事人应当及时进行处理，处理的程序如下：</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（1）查明估值错误发生的原因，列明所有的当事人，并根据估值错误发生的原因确定估值错误的责任方；</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（2）根据估值错误处理原则或当事人协商的方法对因估值错误造成的损失进行评估；</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（3）根据估值错误处理原则或当事人协商的方法由估值错误的责任方进行更正和赔偿损失；</w:t>
      </w:r>
    </w:p>
    <w:p w:rsidR="0023059C" w:rsidRDefault="00C87B87" w:rsidP="00C87B87">
      <w:pPr>
        <w:pStyle w:val="20"/>
        <w:spacing w:before="0" w:after="0" w:line="520" w:lineRule="atLeast"/>
        <w:ind w:left="0" w:firstLineChars="200" w:firstLine="480"/>
        <w:rPr>
          <w:rFonts w:hAnsi="宋体"/>
          <w:szCs w:val="24"/>
        </w:rPr>
      </w:pPr>
      <w:r w:rsidRPr="00C87B87">
        <w:rPr>
          <w:rFonts w:hAnsi="宋体" w:hint="eastAsia"/>
          <w:szCs w:val="24"/>
        </w:rPr>
        <w:t>（4）根据估值错误处理的方法，需要修改基金登记机构交易数据的，由基金登记机构进行更正，并就估值错误的更正向有关当事人进行确认。</w:t>
      </w:r>
    </w:p>
    <w:p w:rsidR="00C87B87" w:rsidRDefault="004B70E6">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sidR="00C87B87" w:rsidRPr="00C87B87">
        <w:rPr>
          <w:rFonts w:hAnsi="宋体" w:hint="eastAsia"/>
          <w:szCs w:val="24"/>
        </w:rPr>
        <w:t>基金份额净值估值错误处理的方法如下：</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（1）某一类基金份额净值计算出现错误时，基金管理人应当立即予以纠正，通报基金托管人，并采取合理的措施防止损失进一步扩大。</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（2）错误偏差达到该类基金份额净值的0.25%时，基金管理人应当通报基金托管人并报中国证监会备案；错误偏差达到该类基金份额净值的0.5%时，基金管理人应当公告，并报中国证监会备案。</w:t>
      </w:r>
    </w:p>
    <w:p w:rsidR="00C87B87" w:rsidRPr="00C87B87" w:rsidRDefault="00C87B87" w:rsidP="009F3D95">
      <w:pPr>
        <w:pStyle w:val="20"/>
        <w:spacing w:before="0" w:after="0" w:line="520" w:lineRule="atLeast"/>
        <w:ind w:left="0" w:firstLineChars="200" w:firstLine="480"/>
        <w:rPr>
          <w:rFonts w:hAnsi="宋体"/>
          <w:szCs w:val="24"/>
        </w:rPr>
      </w:pPr>
      <w:r w:rsidRPr="00C87B87">
        <w:rPr>
          <w:rFonts w:hAnsi="宋体" w:hint="eastAsia"/>
          <w:szCs w:val="24"/>
        </w:rPr>
        <w:t>（3）基金管理人和基金托管人由于各自技术系统设置而产生的净值计算尾差，以基金管理人计算结果为准。</w:t>
      </w:r>
    </w:p>
    <w:p w:rsidR="0023059C" w:rsidRDefault="00C87B87">
      <w:pPr>
        <w:pStyle w:val="20"/>
        <w:spacing w:before="0" w:after="0" w:line="520" w:lineRule="atLeast"/>
        <w:ind w:left="0" w:firstLineChars="200" w:firstLine="480"/>
        <w:rPr>
          <w:rFonts w:hAnsi="宋体"/>
          <w:szCs w:val="24"/>
        </w:rPr>
      </w:pPr>
      <w:r w:rsidRPr="00C87B87">
        <w:rPr>
          <w:rFonts w:hAnsi="宋体" w:hint="eastAsia"/>
          <w:szCs w:val="24"/>
        </w:rPr>
        <w:t>（4）前述内容如法律法规或监管机关另有规定的，从其规定处理。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8.4基金账册的建立</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w:t>
      </w:r>
      <w:r>
        <w:rPr>
          <w:rFonts w:hAnsi="宋体"/>
          <w:szCs w:val="24"/>
        </w:rPr>
        <w:t>登</w:t>
      </w:r>
      <w:r>
        <w:rPr>
          <w:rFonts w:hAnsi="宋体" w:hint="eastAsia"/>
          <w:szCs w:val="24"/>
        </w:rPr>
        <w:t>录和保管本基金的全套账册，对相关各方各自的账册定期进行核对，互相监督，以保证基金资产的安全。若双方对会计处理方法存在分歧，应以基金管理人的处理方法为准。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w:t>
      </w:r>
      <w:r>
        <w:rPr>
          <w:rFonts w:hAnsi="宋体" w:hint="eastAsia"/>
          <w:szCs w:val="24"/>
        </w:rPr>
        <w:lastRenderedPageBreak/>
        <w:t>符，暂时无法查找到错账的原因而影响到基金份额净值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的计算和公告的，以基金管理人的账册为准。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w:t>
      </w:r>
      <w:r>
        <w:rPr>
          <w:rFonts w:hAnsi="宋体" w:hint="eastAsia"/>
          <w:bCs/>
        </w:rPr>
        <w:t>符合《中华人民共和国证券法》规定</w:t>
      </w:r>
      <w:r>
        <w:rPr>
          <w:rFonts w:hAnsi="宋体" w:hint="eastAsia"/>
          <w:szCs w:val="24"/>
        </w:rPr>
        <w:t>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rsidR="0023059C" w:rsidRDefault="004B70E6">
      <w:pPr>
        <w:pStyle w:val="20"/>
        <w:spacing w:before="0" w:after="0" w:line="520" w:lineRule="atLeast"/>
        <w:ind w:left="0" w:firstLineChars="200" w:firstLine="480"/>
        <w:rPr>
          <w:rFonts w:hAnsi="宋体"/>
          <w:szCs w:val="24"/>
        </w:rPr>
      </w:pPr>
      <w:bookmarkStart w:id="28"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8"/>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w:t>
      </w:r>
      <w:r>
        <w:rPr>
          <w:rFonts w:hAnsi="宋体"/>
          <w:bCs/>
        </w:rPr>
        <w:t>向基金管理人</w:t>
      </w:r>
      <w:r>
        <w:rPr>
          <w:rFonts w:hAnsi="宋体" w:hint="eastAsia"/>
          <w:bCs/>
        </w:rPr>
        <w:t>进行书面</w:t>
      </w:r>
      <w:r>
        <w:rPr>
          <w:rFonts w:hAnsi="宋体"/>
          <w:bCs/>
        </w:rPr>
        <w:t>或电子确认</w:t>
      </w:r>
      <w:r>
        <w:rPr>
          <w:rFonts w:hAnsi="宋体" w:hint="eastAsia"/>
          <w:szCs w:val="24"/>
        </w:rPr>
        <w:t>，以</w:t>
      </w:r>
      <w:proofErr w:type="gramStart"/>
      <w:r>
        <w:rPr>
          <w:rFonts w:hAnsi="宋体" w:hint="eastAsia"/>
          <w:szCs w:val="24"/>
        </w:rPr>
        <w:t>备有权</w:t>
      </w:r>
      <w:proofErr w:type="gramEnd"/>
      <w:r>
        <w:rPr>
          <w:rFonts w:hAnsi="宋体" w:hint="eastAsia"/>
          <w:szCs w:val="24"/>
        </w:rPr>
        <w:t>机构对相关文件审核时提示。</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8.6暂停估值的情形</w:t>
      </w:r>
    </w:p>
    <w:p w:rsidR="0023059C" w:rsidRDefault="004B70E6">
      <w:pPr>
        <w:pStyle w:val="20"/>
        <w:spacing w:before="0" w:after="0" w:line="520" w:lineRule="atLeast"/>
        <w:ind w:left="0" w:firstLineChars="200" w:firstLine="480"/>
        <w:rPr>
          <w:rFonts w:hAnsi="宋体"/>
          <w:szCs w:val="24"/>
        </w:rPr>
      </w:pPr>
      <w:bookmarkStart w:id="29" w:name="_Hlk101559614"/>
      <w:r>
        <w:rPr>
          <w:rFonts w:hAnsi="宋体" w:hint="eastAsia"/>
          <w:szCs w:val="24"/>
        </w:rPr>
        <w:t>（1）基金投资所涉及的证券、期货交易市场遇法定节假日或因其他原因暂停营业时；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rsidR="0023059C" w:rsidRDefault="004B70E6">
      <w:pPr>
        <w:pStyle w:val="20"/>
        <w:spacing w:before="0" w:after="0" w:line="520" w:lineRule="atLeast"/>
        <w:ind w:left="0" w:firstLineChars="200" w:firstLine="480"/>
        <w:rPr>
          <w:bCs/>
        </w:rPr>
      </w:pPr>
      <w:r>
        <w:rPr>
          <w:rFonts w:hint="eastAsia"/>
          <w:bCs/>
        </w:rPr>
        <w:t>（3）当</w:t>
      </w:r>
      <w:r>
        <w:rPr>
          <w:rFonts w:hAnsi="宋体" w:hint="eastAsia"/>
          <w:bCs/>
        </w:rPr>
        <w:t>特定资产占</w:t>
      </w:r>
      <w:r>
        <w:rPr>
          <w:rFonts w:hint="eastAsia"/>
          <w:bCs/>
        </w:rPr>
        <w:t>前一估值日基金资产净值50%以上的，经与基金托管人协商确认后，基金</w:t>
      </w:r>
      <w:r>
        <w:rPr>
          <w:rFonts w:hAnsi="宋体" w:hint="eastAsia"/>
          <w:bCs/>
        </w:rPr>
        <w:t>管理人</w:t>
      </w:r>
      <w:r>
        <w:rPr>
          <w:rFonts w:hint="eastAsia"/>
          <w:bCs/>
        </w:rPr>
        <w:t>应当暂停估值；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8.7特殊情况的处理 </w:t>
      </w:r>
    </w:p>
    <w:p w:rsidR="0023059C" w:rsidRDefault="004B70E6">
      <w:pPr>
        <w:pStyle w:val="20"/>
        <w:spacing w:before="0" w:after="0" w:line="520" w:lineRule="atLeast"/>
        <w:ind w:left="0" w:firstLineChars="200" w:firstLine="480"/>
        <w:rPr>
          <w:rFonts w:hAnsi="宋体"/>
          <w:szCs w:val="24"/>
        </w:rPr>
      </w:pPr>
      <w:r>
        <w:rPr>
          <w:rFonts w:hAnsi="宋体" w:hint="eastAsia"/>
          <w:szCs w:val="24"/>
        </w:rPr>
        <w:t>（1）</w:t>
      </w:r>
      <w:r>
        <w:rPr>
          <w:rFonts w:hAnsi="宋体"/>
          <w:bCs/>
        </w:rPr>
        <w:t>基金管理人或基金托管人按估值方法的第</w:t>
      </w:r>
      <w:r>
        <w:rPr>
          <w:rFonts w:hint="eastAsia"/>
          <w:bCs/>
        </w:rPr>
        <w:t>8</w:t>
      </w:r>
      <w:r>
        <w:rPr>
          <w:rFonts w:hAnsi="宋体"/>
          <w:bCs/>
        </w:rPr>
        <w:t>项进行估值时，所造成的误差不作为基金资产估值错误处理</w:t>
      </w:r>
      <w:r>
        <w:rPr>
          <w:rFonts w:hAnsi="宋体" w:hint="eastAsia"/>
          <w:szCs w:val="24"/>
        </w:rPr>
        <w:t>。 </w:t>
      </w:r>
    </w:p>
    <w:p w:rsidR="0023059C" w:rsidRDefault="004B70E6">
      <w:pPr>
        <w:pStyle w:val="20"/>
        <w:spacing w:before="0" w:after="0" w:line="520" w:lineRule="atLeast"/>
        <w:ind w:left="0" w:firstLineChars="200" w:firstLine="480"/>
        <w:rPr>
          <w:rFonts w:hAnsi="宋体"/>
          <w:szCs w:val="24"/>
        </w:rPr>
      </w:pPr>
      <w:r>
        <w:rPr>
          <w:rFonts w:hAnsi="宋体" w:hint="eastAsia"/>
          <w:szCs w:val="24"/>
        </w:rPr>
        <w:t>（2）</w:t>
      </w:r>
      <w:r>
        <w:rPr>
          <w:rFonts w:hAnsi="宋体"/>
          <w:bCs/>
        </w:rPr>
        <w:t>由于证券、期货交易场所及登记结算公司发送的数据错误，</w:t>
      </w:r>
      <w:r>
        <w:rPr>
          <w:rFonts w:hAnsi="宋体" w:hint="eastAsia"/>
          <w:bCs/>
        </w:rPr>
        <w:t>国家会计政策变更、市场规则变更</w:t>
      </w:r>
      <w:r>
        <w:rPr>
          <w:rFonts w:hAnsi="宋体"/>
          <w:bCs/>
        </w:rPr>
        <w:t>或由于其他不可抗力原因，基金管理人和基金托管人虽然已经采取必要、适当、合理的措施进行检查，但是未能发现该错误</w:t>
      </w:r>
      <w:r>
        <w:rPr>
          <w:rFonts w:hAnsi="宋体" w:hint="eastAsia"/>
          <w:bCs/>
        </w:rPr>
        <w:t>或未能避免错误发生或</w:t>
      </w:r>
      <w:proofErr w:type="gramStart"/>
      <w:r>
        <w:rPr>
          <w:rFonts w:hAnsi="宋体" w:hint="eastAsia"/>
          <w:bCs/>
        </w:rPr>
        <w:t>虽发现</w:t>
      </w:r>
      <w:proofErr w:type="gramEnd"/>
      <w:r>
        <w:rPr>
          <w:rFonts w:hAnsi="宋体" w:hint="eastAsia"/>
          <w:bCs/>
        </w:rPr>
        <w:t>错误但因前述原因无法及时更正的，</w:t>
      </w:r>
      <w:r>
        <w:rPr>
          <w:rFonts w:hAnsi="宋体"/>
          <w:bCs/>
        </w:rPr>
        <w:t>而由此造成的基金资产估值错误，基金管理人、基金托管人免除赔偿责任。但基金管理人、基金托管人应当积极采取必要的措施消除或减轻由此造成的影响</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8.8实施</w:t>
      </w:r>
      <w:proofErr w:type="gramStart"/>
      <w:r>
        <w:rPr>
          <w:rFonts w:hAnsi="宋体" w:hint="eastAsia"/>
          <w:szCs w:val="24"/>
        </w:rPr>
        <w:t>侧袋机制</w:t>
      </w:r>
      <w:proofErr w:type="gramEnd"/>
      <w:r>
        <w:rPr>
          <w:rFonts w:hAnsi="宋体" w:hint="eastAsia"/>
          <w:szCs w:val="24"/>
        </w:rPr>
        <w:t>期间的基金资产估值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的，应根据本部分的约定</w:t>
      </w:r>
      <w:proofErr w:type="gramStart"/>
      <w:r>
        <w:rPr>
          <w:rFonts w:hAnsi="宋体" w:hint="eastAsia"/>
          <w:szCs w:val="24"/>
        </w:rPr>
        <w:t>对主袋账户</w:t>
      </w:r>
      <w:proofErr w:type="gramEnd"/>
      <w:r>
        <w:rPr>
          <w:rFonts w:hAnsi="宋体" w:hint="eastAsia"/>
          <w:szCs w:val="24"/>
        </w:rPr>
        <w:t>资产进行估值并</w:t>
      </w:r>
      <w:proofErr w:type="gramStart"/>
      <w:r>
        <w:rPr>
          <w:rFonts w:hAnsi="宋体" w:hint="eastAsia"/>
          <w:szCs w:val="24"/>
        </w:rPr>
        <w:t>披露主袋账户</w:t>
      </w:r>
      <w:proofErr w:type="gramEnd"/>
      <w:r>
        <w:rPr>
          <w:rFonts w:hAnsi="宋体" w:hint="eastAsia"/>
          <w:szCs w:val="24"/>
        </w:rPr>
        <w:t>的基金净值信息，暂停</w:t>
      </w:r>
      <w:proofErr w:type="gramStart"/>
      <w:r>
        <w:rPr>
          <w:rFonts w:hAnsi="宋体" w:hint="eastAsia"/>
          <w:szCs w:val="24"/>
        </w:rPr>
        <w:t>披露侧袋账户</w:t>
      </w:r>
      <w:proofErr w:type="gramEnd"/>
      <w:r>
        <w:rPr>
          <w:rFonts w:hAnsi="宋体" w:hint="eastAsia"/>
          <w:szCs w:val="24"/>
        </w:rPr>
        <w:t>的基金净值信息。</w:t>
      </w:r>
    </w:p>
    <w:p w:rsidR="0023059C" w:rsidRDefault="004B70E6">
      <w:pPr>
        <w:pStyle w:val="1"/>
        <w:spacing w:line="520" w:lineRule="atLeast"/>
        <w:ind w:firstLineChars="200" w:firstLine="482"/>
        <w:rPr>
          <w:bCs/>
          <w:color w:val="auto"/>
          <w:szCs w:val="24"/>
        </w:rPr>
      </w:pPr>
      <w:bookmarkStart w:id="30" w:name="_Toc63235226"/>
      <w:bookmarkStart w:id="31" w:name="_Toc296551345"/>
      <w:bookmarkEnd w:id="29"/>
      <w:r>
        <w:rPr>
          <w:rFonts w:hint="eastAsia"/>
          <w:bCs/>
          <w:color w:val="auto"/>
          <w:szCs w:val="24"/>
        </w:rPr>
        <w:t>第九条 基金收益分配</w:t>
      </w:r>
      <w:bookmarkEnd w:id="30"/>
      <w:bookmarkEnd w:id="31"/>
    </w:p>
    <w:p w:rsidR="0023059C" w:rsidRDefault="004B70E6">
      <w:pPr>
        <w:pStyle w:val="20"/>
        <w:spacing w:before="0" w:after="0" w:line="520" w:lineRule="atLeast"/>
        <w:ind w:left="0" w:firstLineChars="200" w:firstLine="480"/>
        <w:rPr>
          <w:rFonts w:hAnsi="宋体"/>
          <w:szCs w:val="24"/>
        </w:rPr>
      </w:pPr>
      <w:r>
        <w:rPr>
          <w:rFonts w:hAnsi="宋体" w:hint="eastAsia"/>
          <w:szCs w:val="24"/>
        </w:rPr>
        <w:t>9.1基金利润的构成</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9.2基金可供分配利润</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9.3收益分配原则</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1</w:t>
      </w:r>
      <w:r>
        <w:rPr>
          <w:rFonts w:hint="eastAsia"/>
          <w:bCs/>
          <w:sz w:val="24"/>
          <w:szCs w:val="24"/>
        </w:rPr>
        <w:t>）《基金合同》生效不满</w:t>
      </w:r>
      <w:r>
        <w:rPr>
          <w:rFonts w:hint="eastAsia"/>
          <w:bCs/>
          <w:sz w:val="24"/>
          <w:szCs w:val="24"/>
        </w:rPr>
        <w:t>3</w:t>
      </w:r>
      <w:r>
        <w:rPr>
          <w:rFonts w:hint="eastAsia"/>
          <w:bCs/>
          <w:sz w:val="24"/>
          <w:szCs w:val="24"/>
        </w:rPr>
        <w:t>个月可不进行收益分配；</w:t>
      </w:r>
    </w:p>
    <w:p w:rsidR="0023059C" w:rsidRDefault="004B70E6">
      <w:pPr>
        <w:spacing w:line="520" w:lineRule="atLeast"/>
        <w:ind w:firstLineChars="225" w:firstLine="54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）本基金收益分配方式分两种：现金分红与红利再投资，投资者可选择现金红利或将现金红利自动转为相应类别的基金份额进行再投资；投资者可对</w:t>
      </w:r>
      <w:r>
        <w:rPr>
          <w:rFonts w:hint="eastAsia"/>
          <w:bCs/>
          <w:sz w:val="24"/>
          <w:szCs w:val="24"/>
        </w:rPr>
        <w:t>A</w:t>
      </w:r>
      <w:r>
        <w:rPr>
          <w:rFonts w:hint="eastAsia"/>
          <w:bCs/>
          <w:sz w:val="24"/>
          <w:szCs w:val="24"/>
        </w:rPr>
        <w:t>类基金份额和</w:t>
      </w:r>
      <w:r>
        <w:rPr>
          <w:rFonts w:hint="eastAsia"/>
          <w:bCs/>
          <w:sz w:val="24"/>
          <w:szCs w:val="24"/>
        </w:rPr>
        <w:t>C</w:t>
      </w:r>
      <w:r>
        <w:rPr>
          <w:rFonts w:hint="eastAsia"/>
          <w:bCs/>
          <w:sz w:val="24"/>
          <w:szCs w:val="24"/>
        </w:rPr>
        <w:t>类基金份额分别选择不同的收益分配方式；若投资者不选择，本基金默认的收益分配方式是现金分红；</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3</w:t>
      </w:r>
      <w:r>
        <w:rPr>
          <w:rFonts w:hint="eastAsia"/>
          <w:bCs/>
          <w:sz w:val="24"/>
          <w:szCs w:val="24"/>
        </w:rPr>
        <w:t>）基金收益分配后各类基金份额净值不能低于面值；即基金收益分配基准日的各类基金份额净值减去每单位该类基金份额收益分配金额后不能低于面值；</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4</w:t>
      </w:r>
      <w:r>
        <w:rPr>
          <w:rFonts w:hint="eastAsia"/>
          <w:bCs/>
          <w:sz w:val="24"/>
          <w:szCs w:val="24"/>
        </w:rPr>
        <w:t>）由于本基金</w:t>
      </w:r>
      <w:r>
        <w:rPr>
          <w:rFonts w:hint="eastAsia"/>
          <w:bCs/>
          <w:sz w:val="24"/>
          <w:szCs w:val="24"/>
        </w:rPr>
        <w:t>C</w:t>
      </w:r>
      <w:r>
        <w:rPr>
          <w:rFonts w:hint="eastAsia"/>
          <w:bCs/>
          <w:sz w:val="24"/>
          <w:szCs w:val="24"/>
        </w:rPr>
        <w:t>类基金份额收取销售服务费，而</w:t>
      </w:r>
      <w:r>
        <w:rPr>
          <w:rFonts w:hint="eastAsia"/>
          <w:bCs/>
          <w:sz w:val="24"/>
          <w:szCs w:val="24"/>
        </w:rPr>
        <w:t>A</w:t>
      </w:r>
      <w:r>
        <w:rPr>
          <w:rFonts w:hint="eastAsia"/>
          <w:bCs/>
          <w:sz w:val="24"/>
          <w:szCs w:val="24"/>
        </w:rPr>
        <w:t>类基金份额不收取销售服务费，各基金份额类别对应的可供分配利润将有所不同。本基金同一类别每一基金份额享有同等分配权；</w:t>
      </w:r>
      <w:r>
        <w:rPr>
          <w:rFonts w:hint="eastAsia"/>
          <w:bCs/>
          <w:sz w:val="24"/>
          <w:szCs w:val="24"/>
        </w:rPr>
        <w:t xml:space="preserve"> </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5</w:t>
      </w:r>
      <w:r>
        <w:rPr>
          <w:rFonts w:hint="eastAsia"/>
          <w:bCs/>
          <w:sz w:val="24"/>
          <w:szCs w:val="24"/>
        </w:rPr>
        <w:t>）法律法规或监管机关另有规定的，从其规定。</w:t>
      </w:r>
    </w:p>
    <w:p w:rsidR="0023059C" w:rsidRDefault="004B70E6">
      <w:pPr>
        <w:spacing w:line="520" w:lineRule="atLeast"/>
        <w:ind w:firstLineChars="225" w:firstLine="540"/>
        <w:rPr>
          <w:bCs/>
          <w:sz w:val="24"/>
        </w:rPr>
      </w:pPr>
      <w:r>
        <w:rPr>
          <w:rFonts w:hint="eastAsia"/>
          <w:bCs/>
          <w:sz w:val="24"/>
          <w:szCs w:val="24"/>
        </w:rPr>
        <w:t>在对基金份额持有人利益无实质不利影响的前提下，经履行相关程序后，基金管理人可对基金收益分配原则进行调整，不需召开基金份额持有人大会。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9.4收益分配方案</w:t>
      </w:r>
    </w:p>
    <w:p w:rsidR="0023059C" w:rsidRDefault="004B70E6">
      <w:pPr>
        <w:pStyle w:val="20"/>
        <w:spacing w:before="0" w:after="0" w:line="520" w:lineRule="atLeast"/>
        <w:ind w:left="0" w:firstLineChars="200" w:firstLine="480"/>
        <w:rPr>
          <w:rFonts w:hAnsi="宋体"/>
          <w:szCs w:val="24"/>
        </w:rPr>
      </w:pPr>
      <w:r>
        <w:rPr>
          <w:bCs/>
        </w:rPr>
        <w:t>基金收益分配方案中应载明截止收益分配基准日的可供分配利润、基金收益分配对象、分配时间、分配数额及比例、分配方式等内容。</w:t>
      </w:r>
      <w:r>
        <w:rPr>
          <w:rFonts w:hint="eastAsia"/>
          <w:bCs/>
        </w:rPr>
        <w:t>由于不同基金份额类别对应的可分配收益不同，基金管理人可相应制定不同的收益分配方案。</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9.5收益分配的时间和程序</w:t>
      </w:r>
    </w:p>
    <w:p w:rsidR="0023059C" w:rsidRDefault="004B70E6">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w:t>
      </w:r>
      <w:r>
        <w:rPr>
          <w:rFonts w:hAnsi="宋体" w:hint="eastAsia"/>
          <w:bCs/>
        </w:rPr>
        <w:t>的</w:t>
      </w:r>
      <w:r>
        <w:rPr>
          <w:rFonts w:hAnsi="宋体" w:hint="eastAsia"/>
          <w:szCs w:val="24"/>
        </w:rPr>
        <w:t>有关规定在规定媒介公告。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9.5.3实施</w:t>
      </w:r>
      <w:proofErr w:type="gramStart"/>
      <w:r>
        <w:rPr>
          <w:rFonts w:hAnsi="宋体" w:hint="eastAsia"/>
          <w:szCs w:val="24"/>
        </w:rPr>
        <w:t>侧袋机制</w:t>
      </w:r>
      <w:proofErr w:type="gramEnd"/>
      <w:r>
        <w:rPr>
          <w:rFonts w:hAnsi="宋体" w:hint="eastAsia"/>
          <w:szCs w:val="24"/>
        </w:rPr>
        <w:t>期间的收益分配</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9.5.4法律法规或监管机关另有规定的，从其规定。</w:t>
      </w:r>
    </w:p>
    <w:p w:rsidR="0023059C" w:rsidRDefault="004B70E6">
      <w:pPr>
        <w:pStyle w:val="1"/>
        <w:spacing w:line="520" w:lineRule="atLeast"/>
        <w:ind w:firstLineChars="200" w:firstLine="482"/>
        <w:rPr>
          <w:bCs/>
          <w:color w:val="auto"/>
          <w:szCs w:val="24"/>
        </w:rPr>
      </w:pPr>
      <w:bookmarkStart w:id="32" w:name="_Toc296551346"/>
      <w:bookmarkStart w:id="33" w:name="_Toc63235227"/>
      <w:r>
        <w:rPr>
          <w:rFonts w:hint="eastAsia"/>
          <w:bCs/>
          <w:color w:val="auto"/>
          <w:szCs w:val="24"/>
        </w:rPr>
        <w:t>第十条 信息披露</w:t>
      </w:r>
      <w:bookmarkEnd w:id="32"/>
      <w:bookmarkEnd w:id="33"/>
    </w:p>
    <w:p w:rsidR="0023059C" w:rsidRDefault="004B70E6">
      <w:pPr>
        <w:pStyle w:val="20"/>
        <w:spacing w:before="0" w:after="0" w:line="520" w:lineRule="atLeast"/>
        <w:ind w:left="0" w:firstLineChars="200" w:firstLine="480"/>
        <w:rPr>
          <w:rFonts w:hAnsi="宋体"/>
          <w:szCs w:val="24"/>
        </w:rPr>
      </w:pPr>
      <w:r>
        <w:rPr>
          <w:rFonts w:hAnsi="宋体" w:hint="eastAsia"/>
          <w:szCs w:val="24"/>
        </w:rPr>
        <w:t>10.1保密义务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（3）基金管理人和基金托管人在要求保密的前提下对自身聘请的外部法律顾问、财务顾问、审计人员、技术顾问等做出的必要信息披露。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w:t>
      </w:r>
      <w:r>
        <w:rPr>
          <w:rFonts w:hAnsi="宋体" w:hint="eastAsia"/>
          <w:bCs/>
        </w:rPr>
        <w:t>（含资产组合季度报告）</w:t>
      </w:r>
      <w:r>
        <w:rPr>
          <w:rFonts w:hAnsi="宋体" w:hint="eastAsia"/>
          <w:szCs w:val="24"/>
        </w:rPr>
        <w:t>）、临时报告、澄清公告、</w:t>
      </w:r>
      <w:r>
        <w:rPr>
          <w:rFonts w:hint="eastAsia"/>
          <w:bCs/>
        </w:rPr>
        <w:t>清算报告、</w:t>
      </w:r>
      <w:r>
        <w:rPr>
          <w:rFonts w:hAnsi="宋体" w:hint="eastAsia"/>
          <w:szCs w:val="24"/>
        </w:rPr>
        <w:t>基金份额持有人大会决议、投资资产支持证券、</w:t>
      </w:r>
      <w:bookmarkStart w:id="34" w:name="_Hlk33381814"/>
      <w:r>
        <w:rPr>
          <w:rFonts w:hint="eastAsia"/>
          <w:bCs/>
        </w:rPr>
        <w:t>流通受限证券</w:t>
      </w:r>
      <w:bookmarkEnd w:id="34"/>
      <w:r>
        <w:rPr>
          <w:rFonts w:hint="eastAsia"/>
          <w:bCs/>
        </w:rPr>
        <w:t>、</w:t>
      </w:r>
      <w:r>
        <w:rPr>
          <w:rFonts w:hAnsi="宋体" w:hint="eastAsia"/>
          <w:szCs w:val="24"/>
        </w:rPr>
        <w:t>国债期货的信息披露、</w:t>
      </w:r>
      <w:r>
        <w:rPr>
          <w:rFonts w:hAnsi="宋体" w:hint="eastAsia"/>
          <w:bCs/>
        </w:rPr>
        <w:t>实施</w:t>
      </w:r>
      <w:proofErr w:type="gramStart"/>
      <w:r>
        <w:rPr>
          <w:rFonts w:hAnsi="宋体" w:hint="eastAsia"/>
          <w:bCs/>
        </w:rPr>
        <w:t>侧袋机制</w:t>
      </w:r>
      <w:proofErr w:type="gramEnd"/>
      <w:r>
        <w:rPr>
          <w:rFonts w:hAnsi="宋体" w:hint="eastAsia"/>
          <w:bCs/>
        </w:rPr>
        <w:t>期间的信息披露</w:t>
      </w:r>
      <w:r>
        <w:rPr>
          <w:rFonts w:hAnsi="宋体" w:hint="eastAsia"/>
          <w:szCs w:val="24"/>
        </w:rPr>
        <w:t>以及中国证监会规定的其他信息。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w:t>
      </w:r>
      <w:r>
        <w:rPr>
          <w:rFonts w:hAnsi="宋体" w:hint="eastAsia"/>
          <w:bCs/>
        </w:rPr>
        <w:t>，其中基金产品资料概要还应当登载在基金销售机构网站或营业网点</w:t>
      </w:r>
      <w:r>
        <w:rPr>
          <w:rFonts w:hAnsi="宋体" w:hint="eastAsia"/>
          <w:szCs w:val="24"/>
        </w:rPr>
        <w:t>；基金托管人应当同时将基金合同、基金托管协议登载在规定网站上。</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w:t>
      </w:r>
      <w:r>
        <w:rPr>
          <w:rFonts w:hAnsi="宋体" w:hint="eastAsia"/>
          <w:szCs w:val="24"/>
        </w:rPr>
        <w:lastRenderedPageBreak/>
        <w:t>的约定，对基金管理人编制的基金净值信息、基金份额申购赎回价格、基金定期报告、更新的招募说明书、基金产品资料概要、基金清算报告等公开披露的相关基金信息进行复核、审查，并向基金管理人</w:t>
      </w:r>
      <w:r>
        <w:rPr>
          <w:rFonts w:hAnsi="宋体" w:hint="eastAsia"/>
          <w:bCs/>
        </w:rPr>
        <w:t>进行书面</w:t>
      </w:r>
      <w:r>
        <w:rPr>
          <w:rFonts w:hAnsi="宋体"/>
          <w:bCs/>
        </w:rPr>
        <w:t>或电子</w:t>
      </w:r>
      <w:r>
        <w:rPr>
          <w:rFonts w:hAnsi="宋体" w:hint="eastAsia"/>
          <w:szCs w:val="24"/>
        </w:rPr>
        <w:t>确认。</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w:t>
      </w:r>
      <w:r>
        <w:rPr>
          <w:rFonts w:hAnsi="宋体" w:hint="eastAsia"/>
          <w:bCs/>
        </w:rPr>
        <w:t>符合</w:t>
      </w:r>
      <w:proofErr w:type="gramEnd"/>
      <w:r>
        <w:rPr>
          <w:rFonts w:hAnsi="宋体" w:hint="eastAsia"/>
          <w:bCs/>
        </w:rPr>
        <w:t>《中华人民共和国证券法》规定</w:t>
      </w:r>
      <w:r>
        <w:rPr>
          <w:rFonts w:hAnsi="宋体" w:hint="eastAsia"/>
          <w:szCs w:val="24"/>
        </w:rPr>
        <w:t>的会计师事务所审计后，方可披露。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基金管理人应当在中国证监会规定的时间内，将应予披露的基金信息通过中国证监会规定媒介披露。根据法律法规应由基金托管人公开披露的信息，基金托管人将通过中国证监会规定媒介公开披露。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bCs/>
        </w:rPr>
        <w:t>依法必须披露的信息发布后，基金管理人、基金托管人应当按照相关法律法规规定将信息置备于公司住所，供社会公众查阅、复制</w:t>
      </w:r>
      <w:r>
        <w:rPr>
          <w:rFonts w:hAnsi="宋体" w:hint="eastAsia"/>
          <w:szCs w:val="24"/>
        </w:rPr>
        <w:t>，投资人可以免费查阅。在支付工本费后可在合理时间获得上述文件的复制件或复印件。基金管理人和基金托管人应保证文本的内容与所公告的内容完全一致。</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当出现下述情况时，基金管理人和基金托管人可暂停或延迟披露基金相关信息：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（1）因不可抗力致使基金管理人、基金托管人无法准确评估基金资产价值时；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（2）基金投资所涉及的证券、期货交易市场遇法定节假日或因其他原因暂停营业时；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（3）发生基金合同约定的暂停估值的情形；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（4）法律法规、《基金合同》或中国证监会规定的其他情况。</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10.4基金托管人报告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rsidR="0023059C" w:rsidRDefault="004B70E6">
      <w:pPr>
        <w:pStyle w:val="1"/>
        <w:spacing w:line="520" w:lineRule="atLeast"/>
        <w:ind w:firstLineChars="200" w:firstLine="482"/>
        <w:rPr>
          <w:bCs/>
          <w:color w:val="auto"/>
          <w:szCs w:val="24"/>
        </w:rPr>
      </w:pPr>
      <w:bookmarkStart w:id="35" w:name="_Toc296551347"/>
      <w:bookmarkStart w:id="36" w:name="_Toc63235228"/>
      <w:r>
        <w:rPr>
          <w:rFonts w:hint="eastAsia"/>
          <w:bCs/>
          <w:color w:val="auto"/>
          <w:szCs w:val="24"/>
        </w:rPr>
        <w:t>第十一条 基金费用</w:t>
      </w:r>
      <w:bookmarkEnd w:id="35"/>
      <w:bookmarkEnd w:id="36"/>
    </w:p>
    <w:p w:rsidR="0023059C" w:rsidRDefault="004B70E6">
      <w:pPr>
        <w:pStyle w:val="20"/>
        <w:spacing w:before="0" w:after="0" w:line="520" w:lineRule="atLeast"/>
        <w:ind w:left="0" w:firstLineChars="200" w:firstLine="480"/>
        <w:rPr>
          <w:rFonts w:hAnsi="宋体"/>
          <w:szCs w:val="24"/>
        </w:rPr>
      </w:pPr>
      <w:bookmarkStart w:id="37" w:name="_Hlk101560016"/>
      <w:r>
        <w:rPr>
          <w:rFonts w:hAnsi="宋体" w:hint="eastAsia"/>
          <w:szCs w:val="24"/>
        </w:rPr>
        <w:t>11.1基金管理费的计提比例和计提方法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本基金的管理费按前一日基金资产净值的【 </w:t>
      </w:r>
      <w:r>
        <w:rPr>
          <w:rFonts w:hAnsi="宋体"/>
          <w:szCs w:val="24"/>
        </w:rPr>
        <w:t xml:space="preserve">0.60% </w:t>
      </w:r>
      <w:r>
        <w:rPr>
          <w:rFonts w:hAnsi="宋体" w:hint="eastAsia"/>
          <w:szCs w:val="24"/>
        </w:rPr>
        <w:t>】年费率计提。管理费的计算方法如下：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H＝E×</w:t>
      </w:r>
      <w:r>
        <w:rPr>
          <w:rFonts w:hAnsi="宋体" w:hint="eastAsia"/>
        </w:rPr>
        <w:t xml:space="preserve">【 </w:t>
      </w:r>
      <w:r>
        <w:rPr>
          <w:rFonts w:hAnsi="宋体"/>
        </w:rPr>
        <w:t xml:space="preserve">0.60% </w:t>
      </w:r>
      <w:r>
        <w:rPr>
          <w:rFonts w:hAnsi="宋体" w:hint="eastAsia"/>
        </w:rPr>
        <w:t>】</w:t>
      </w:r>
      <w:r>
        <w:rPr>
          <w:rFonts w:hAnsi="宋体" w:hint="eastAsia"/>
          <w:szCs w:val="24"/>
        </w:rPr>
        <w:t>÷当年天数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H为每日应计提的基金管理费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E为前一日的基金资产净值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 xml:space="preserve">本基金的托管费按前一日基金资产净值的【 </w:t>
      </w:r>
      <w:r>
        <w:rPr>
          <w:rFonts w:hAnsi="宋体"/>
          <w:szCs w:val="24"/>
        </w:rPr>
        <w:t xml:space="preserve">0.10% </w:t>
      </w:r>
      <w:r>
        <w:rPr>
          <w:rFonts w:hAnsi="宋体" w:hint="eastAsia"/>
          <w:szCs w:val="24"/>
        </w:rPr>
        <w:t>】年费率计提。托管费的计算方法如下：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H＝E×【</w:t>
      </w:r>
      <w:r>
        <w:rPr>
          <w:rFonts w:hAnsi="宋体"/>
          <w:szCs w:val="24"/>
        </w:rPr>
        <w:t>0.10%</w:t>
      </w:r>
      <w:r>
        <w:rPr>
          <w:rFonts w:hAnsi="宋体" w:hint="eastAsia"/>
          <w:szCs w:val="24"/>
        </w:rPr>
        <w:t xml:space="preserve"> 】÷当年天数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E为前一日的基金资产净值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11.3基金</w:t>
      </w:r>
      <w:r>
        <w:rPr>
          <w:rFonts w:hAnsi="宋体"/>
        </w:rPr>
        <w:t>销售服务费</w:t>
      </w:r>
      <w:r>
        <w:rPr>
          <w:rFonts w:hAnsi="宋体" w:hint="eastAsia"/>
          <w:szCs w:val="24"/>
        </w:rPr>
        <w:t>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本基金A类基金份额不收取销售服务费，C类基金份额的销售服务费按前一日C类基金份额的基金资产净值的0.</w:t>
      </w:r>
      <w:r w:rsidR="00EA0AC2">
        <w:rPr>
          <w:rFonts w:hAnsi="宋体" w:hint="eastAsia"/>
          <w:szCs w:val="24"/>
        </w:rPr>
        <w:t>4</w:t>
      </w:r>
      <w:r>
        <w:rPr>
          <w:rFonts w:hAnsi="宋体" w:hint="eastAsia"/>
          <w:szCs w:val="24"/>
        </w:rPr>
        <w:t>0%年费率计提。</w:t>
      </w:r>
    </w:p>
    <w:p w:rsidR="0023059C" w:rsidRDefault="004B70E6">
      <w:pPr>
        <w:pStyle w:val="20"/>
        <w:spacing w:before="0" w:after="0" w:line="520" w:lineRule="atLeast"/>
        <w:ind w:left="0" w:firstLineChars="200" w:firstLine="480"/>
        <w:rPr>
          <w:rFonts w:hAnsi="宋体"/>
          <w:szCs w:val="24"/>
        </w:rPr>
      </w:pPr>
      <w:r>
        <w:rPr>
          <w:rFonts w:hAnsi="宋体" w:hint="eastAsia"/>
          <w:szCs w:val="24"/>
        </w:rPr>
        <w:t>销售服务费的计算方法如下：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H＝E×0.</w:t>
      </w:r>
      <w:r w:rsidR="00EA0AC2">
        <w:rPr>
          <w:rFonts w:hAnsi="宋体" w:hint="eastAsia"/>
          <w:szCs w:val="24"/>
        </w:rPr>
        <w:t>4</w:t>
      </w:r>
      <w:r>
        <w:rPr>
          <w:rFonts w:hAnsi="宋体" w:hint="eastAsia"/>
          <w:szCs w:val="24"/>
        </w:rPr>
        <w:t>0%÷当年天数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H为C类基金份额每日应计提的销售服务费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E为前一日C类基金份额的基金资产净值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销售服务费每日计提，逐日累计至每月月末，按月支付，经基金管理人与基金托管人双方核对无误后，基金托管人按照与基金管理人协商一致的方式于次月前5个工作日内从基金财产中一次性支付给基金管理人，由基金管理人支付给基金相关销售机构，若遇法定节假日、休息日或不可抗力致使无法按时支付的，支付日期顺延。</w:t>
      </w:r>
    </w:p>
    <w:bookmarkEnd w:id="37"/>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11.4为基金财产及基金运作所开立账户的开户费和维护费、证券、期货交易费用、基金合同生效后与</w:t>
      </w:r>
      <w:r>
        <w:rPr>
          <w:rFonts w:hAnsi="宋体"/>
          <w:szCs w:val="24"/>
        </w:rPr>
        <w:t>基金相关</w:t>
      </w:r>
      <w:r>
        <w:rPr>
          <w:rFonts w:hAnsi="宋体" w:hint="eastAsia"/>
          <w:szCs w:val="24"/>
        </w:rPr>
        <w:t>的信息披露费用（法律法规、中国证监会另有规定的除外）、基金份额持有人大会费用、基金合同生效后与基金相关的会计师费、律师费</w:t>
      </w:r>
      <w:r>
        <w:rPr>
          <w:rFonts w:hint="eastAsia"/>
          <w:bCs/>
        </w:rPr>
        <w:t>、仲裁费</w:t>
      </w:r>
      <w:r>
        <w:rPr>
          <w:bCs/>
        </w:rPr>
        <w:t>和诉讼费</w:t>
      </w:r>
      <w:r>
        <w:rPr>
          <w:rFonts w:hint="eastAsia"/>
          <w:bCs/>
        </w:rPr>
        <w:t>、</w:t>
      </w:r>
      <w:r>
        <w:rPr>
          <w:bCs/>
        </w:rPr>
        <w:t>基金的银行汇划费用</w:t>
      </w:r>
      <w:r>
        <w:rPr>
          <w:rFonts w:hAnsi="宋体" w:hint="eastAsia"/>
          <w:szCs w:val="24"/>
        </w:rPr>
        <w:t>等根据有关法律法规、基金合同及相应协议的规定，由基金托管人按基金管理人的划款指令并根据费用实际支出金额支付，列入或摊入当期基金费用。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11.5不列入基金费用的项目</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与侧袋账户</w:t>
      </w:r>
      <w:proofErr w:type="gramEnd"/>
      <w:r>
        <w:rPr>
          <w:rFonts w:hAnsi="宋体" w:hint="eastAsia"/>
          <w:szCs w:val="24"/>
        </w:rPr>
        <w:t>有关的费用可以</w:t>
      </w:r>
      <w:proofErr w:type="gramStart"/>
      <w:r>
        <w:rPr>
          <w:rFonts w:hAnsi="宋体" w:hint="eastAsia"/>
          <w:szCs w:val="24"/>
        </w:rPr>
        <w:t>从侧袋账户</w:t>
      </w:r>
      <w:proofErr w:type="gramEnd"/>
      <w:r>
        <w:rPr>
          <w:rFonts w:hAnsi="宋体" w:hint="eastAsia"/>
          <w:szCs w:val="24"/>
        </w:rPr>
        <w:t>中列支，但应</w:t>
      </w:r>
      <w:proofErr w:type="gramStart"/>
      <w:r>
        <w:rPr>
          <w:rFonts w:hAnsi="宋体" w:hint="eastAsia"/>
          <w:szCs w:val="24"/>
        </w:rPr>
        <w:t>待侧袋</w:t>
      </w:r>
      <w:proofErr w:type="gramEnd"/>
      <w:r>
        <w:rPr>
          <w:rFonts w:hAnsi="宋体" w:hint="eastAsia"/>
          <w:szCs w:val="24"/>
        </w:rPr>
        <w:t>账户资产变现后方可列支，有关费用可酌情收取或减免，但不得收取管理费，其他费用详见招募说明书或相关公告的规定。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7</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23059C" w:rsidRDefault="004B70E6">
      <w:pPr>
        <w:pStyle w:val="1"/>
        <w:spacing w:line="520" w:lineRule="atLeast"/>
        <w:ind w:firstLineChars="200" w:firstLine="482"/>
        <w:rPr>
          <w:bCs/>
          <w:color w:val="auto"/>
          <w:szCs w:val="24"/>
        </w:rPr>
      </w:pPr>
      <w:bookmarkStart w:id="38" w:name="_Toc63235229"/>
      <w:bookmarkStart w:id="39" w:name="_Toc296551348"/>
      <w:r>
        <w:rPr>
          <w:rFonts w:hint="eastAsia"/>
          <w:bCs/>
          <w:color w:val="auto"/>
          <w:szCs w:val="24"/>
        </w:rPr>
        <w:t>第十二条 基金份额持有人名册的保管</w:t>
      </w:r>
      <w:bookmarkEnd w:id="38"/>
      <w:bookmarkEnd w:id="39"/>
    </w:p>
    <w:p w:rsidR="0023059C" w:rsidRDefault="004B70E6">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不低于法律法规规定的最低期限。</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rsidR="0023059C" w:rsidRDefault="004B70E6">
      <w:pPr>
        <w:pStyle w:val="1"/>
        <w:spacing w:line="520" w:lineRule="atLeast"/>
        <w:ind w:firstLineChars="200" w:firstLine="482"/>
        <w:rPr>
          <w:bCs/>
          <w:color w:val="auto"/>
          <w:szCs w:val="24"/>
        </w:rPr>
      </w:pPr>
      <w:bookmarkStart w:id="40" w:name="_Toc63235230"/>
      <w:bookmarkStart w:id="41" w:name="_Toc296551349"/>
      <w:r>
        <w:rPr>
          <w:rFonts w:hint="eastAsia"/>
          <w:bCs/>
          <w:color w:val="auto"/>
          <w:szCs w:val="24"/>
        </w:rPr>
        <w:lastRenderedPageBreak/>
        <w:t>第十三条 基金有关文件和档案的保存</w:t>
      </w:r>
      <w:bookmarkEnd w:id="40"/>
      <w:bookmarkEnd w:id="41"/>
    </w:p>
    <w:p w:rsidR="0023059C" w:rsidRDefault="004B70E6">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13.1基金管理人、基金托管人按各自职责完整保存原始凭证、记账凭证、基金账册、交易记录和重要合同等，保存期限不低于法律法规规定的最低期限，对相关信息负有保密义务，但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rsidR="0023059C" w:rsidRDefault="004B70E6">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13.3基金管理人或基金托管人变更后，未变更的一方有义务协助接任人接收基金的有关文件。</w:t>
      </w:r>
    </w:p>
    <w:p w:rsidR="0023059C" w:rsidRDefault="004B70E6">
      <w:pPr>
        <w:pStyle w:val="1"/>
        <w:spacing w:line="520" w:lineRule="atLeast"/>
        <w:ind w:firstLineChars="200" w:firstLine="482"/>
        <w:rPr>
          <w:bCs/>
          <w:color w:val="auto"/>
          <w:szCs w:val="24"/>
        </w:rPr>
      </w:pPr>
      <w:bookmarkStart w:id="42" w:name="_Toc63235231"/>
      <w:bookmarkStart w:id="43" w:name="_Toc296551350"/>
      <w:r>
        <w:rPr>
          <w:rFonts w:hint="eastAsia"/>
          <w:bCs/>
          <w:color w:val="auto"/>
          <w:szCs w:val="24"/>
        </w:rPr>
        <w:t>第十四条 基金管理人和基金托管人的更换</w:t>
      </w:r>
      <w:bookmarkEnd w:id="42"/>
      <w:bookmarkEnd w:id="43"/>
    </w:p>
    <w:p w:rsidR="0023059C" w:rsidRDefault="004B70E6">
      <w:pPr>
        <w:pStyle w:val="20"/>
        <w:spacing w:before="0" w:after="0" w:line="520" w:lineRule="atLeast"/>
        <w:ind w:left="0" w:firstLineChars="200" w:firstLine="480"/>
        <w:rPr>
          <w:rFonts w:hAnsi="宋体"/>
          <w:szCs w:val="24"/>
        </w:rPr>
      </w:pPr>
      <w:r>
        <w:rPr>
          <w:rFonts w:hAnsi="宋体" w:hint="eastAsia"/>
          <w:szCs w:val="24"/>
        </w:rPr>
        <w:t>14.1基金管理人的更换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14.1.1基金管理人的更换条件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14.1.2基金管理人的更换程序</w:t>
      </w:r>
    </w:p>
    <w:p w:rsidR="0023059C" w:rsidRDefault="004B70E6">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rsidR="0023059C" w:rsidRDefault="004B70E6">
      <w:pPr>
        <w:pStyle w:val="20"/>
        <w:spacing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roofErr w:type="gramStart"/>
      <w:r>
        <w:rPr>
          <w:rFonts w:hAnsi="宋体" w:hint="eastAsia"/>
          <w:bCs/>
        </w:rPr>
        <w:t>新任基金</w:t>
      </w:r>
      <w:proofErr w:type="gramEnd"/>
      <w:r>
        <w:rPr>
          <w:rFonts w:hAnsi="宋体" w:hint="eastAsia"/>
          <w:bCs/>
        </w:rPr>
        <w:t>管理人应当符合法律法规及中国证监会规定的资格条件；</w:t>
      </w:r>
    </w:p>
    <w:p w:rsidR="0023059C" w:rsidRDefault="004B70E6">
      <w:pPr>
        <w:pStyle w:val="20"/>
        <w:spacing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w:t>
      </w:r>
      <w:r>
        <w:rPr>
          <w:rFonts w:hAnsi="宋体" w:hint="eastAsia"/>
          <w:szCs w:val="24"/>
        </w:rPr>
        <w:lastRenderedPageBreak/>
        <w:t>金管理人；</w:t>
      </w:r>
    </w:p>
    <w:p w:rsidR="0023059C" w:rsidRDefault="004B70E6">
      <w:pPr>
        <w:pStyle w:val="20"/>
        <w:spacing w:line="520" w:lineRule="atLeast"/>
        <w:ind w:left="0" w:firstLineChars="200" w:firstLine="480"/>
        <w:rPr>
          <w:rFonts w:hAnsi="宋体"/>
          <w:szCs w:val="24"/>
        </w:rPr>
      </w:pPr>
      <w:r>
        <w:rPr>
          <w:rFonts w:hAnsi="宋体" w:hint="eastAsia"/>
          <w:szCs w:val="24"/>
        </w:rPr>
        <w:t>（4）备案：基金份额持有人大会更换基金管理人的决议须报中国证监会备案；</w:t>
      </w:r>
    </w:p>
    <w:p w:rsidR="0023059C" w:rsidRDefault="004B70E6">
      <w:pPr>
        <w:pStyle w:val="20"/>
        <w:spacing w:line="520" w:lineRule="atLeast"/>
        <w:ind w:left="0" w:firstLineChars="200" w:firstLine="480"/>
        <w:rPr>
          <w:rFonts w:hAnsi="宋体"/>
          <w:szCs w:val="24"/>
        </w:rPr>
      </w:pPr>
      <w:r>
        <w:rPr>
          <w:rFonts w:hAnsi="宋体" w:hint="eastAsia"/>
          <w:szCs w:val="24"/>
        </w:rPr>
        <w:t>（5）公告：</w:t>
      </w:r>
      <w:r>
        <w:rPr>
          <w:rFonts w:hAnsi="宋体" w:hint="eastAsia"/>
          <w:bCs/>
        </w:rPr>
        <w:t>基金管理人更换后，由基金托管人在更换基金管理人的基金份额持有人大会决议生效后依照《信息披露办法》的有关规定在规定媒介公告；</w:t>
      </w:r>
    </w:p>
    <w:p w:rsidR="0023059C" w:rsidRDefault="004B70E6">
      <w:pPr>
        <w:pStyle w:val="20"/>
        <w:spacing w:line="520" w:lineRule="atLeast"/>
        <w:ind w:left="0" w:firstLineChars="200" w:firstLine="480"/>
        <w:rPr>
          <w:rFonts w:hAnsi="宋体"/>
          <w:szCs w:val="24"/>
        </w:rPr>
      </w:pPr>
      <w:r>
        <w:rPr>
          <w:rFonts w:hAnsi="宋体" w:hint="eastAsia"/>
          <w:szCs w:val="24"/>
        </w:rPr>
        <w:t>（6）交接：基金管理人职责终止的，基金管理人应妥善保管基金管理业务资料，及时向临时基金管理人或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rsidR="0023059C" w:rsidRDefault="004B70E6">
      <w:pPr>
        <w:pStyle w:val="20"/>
        <w:spacing w:line="520" w:lineRule="atLeast"/>
        <w:ind w:left="0" w:firstLineChars="200" w:firstLine="480"/>
        <w:rPr>
          <w:rFonts w:hAnsi="宋体"/>
          <w:szCs w:val="24"/>
        </w:rPr>
      </w:pPr>
      <w:r>
        <w:rPr>
          <w:rFonts w:hAnsi="宋体" w:hint="eastAsia"/>
          <w:szCs w:val="24"/>
        </w:rPr>
        <w:t>（7）审计：基金管理人职责终止的，应当聘请符合《中华人民共和国证券法》规定的会计师事务所对基金财产进行审计，并将审计结果予以公告，同时报中国证监会备案，审计费用在基金财产中列支；</w:t>
      </w:r>
    </w:p>
    <w:p w:rsidR="0023059C" w:rsidRDefault="004B70E6">
      <w:pPr>
        <w:pStyle w:val="20"/>
        <w:spacing w:before="0" w:after="0" w:line="520" w:lineRule="atLeas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14.2基金托管人的更换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14.2.1基金托管人的更换条件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14.2.2基金托管人的更换程序</w:t>
      </w:r>
    </w:p>
    <w:p w:rsidR="0023059C" w:rsidRDefault="004B70E6">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rsidR="0023059C" w:rsidRDefault="004B70E6">
      <w:pPr>
        <w:pStyle w:val="20"/>
        <w:spacing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roofErr w:type="gramStart"/>
      <w:r>
        <w:rPr>
          <w:rFonts w:hAnsi="宋体" w:hint="eastAsia"/>
          <w:bCs/>
        </w:rPr>
        <w:t>新任基金</w:t>
      </w:r>
      <w:proofErr w:type="gramEnd"/>
      <w:r>
        <w:rPr>
          <w:rFonts w:hAnsi="宋体" w:hint="eastAsia"/>
          <w:bCs/>
        </w:rPr>
        <w:t>托管人应当符合法律法规及中国证监会规定的资格条件；</w:t>
      </w:r>
    </w:p>
    <w:p w:rsidR="0023059C" w:rsidRDefault="004B70E6">
      <w:pPr>
        <w:pStyle w:val="20"/>
        <w:spacing w:line="520" w:lineRule="atLeast"/>
        <w:ind w:left="0" w:firstLineChars="200" w:firstLine="480"/>
        <w:rPr>
          <w:rFonts w:hAnsi="宋体"/>
          <w:szCs w:val="24"/>
        </w:rPr>
      </w:pPr>
      <w:r>
        <w:rPr>
          <w:rFonts w:hAnsi="宋体" w:hint="eastAsia"/>
          <w:szCs w:val="24"/>
        </w:rPr>
        <w:lastRenderedPageBreak/>
        <w:t>（3）临时基金托管人：</w:t>
      </w:r>
      <w:proofErr w:type="gramStart"/>
      <w:r>
        <w:rPr>
          <w:rFonts w:hAnsi="宋体" w:hint="eastAsia"/>
          <w:szCs w:val="24"/>
        </w:rPr>
        <w:t>新任基金</w:t>
      </w:r>
      <w:proofErr w:type="gramEnd"/>
      <w:r>
        <w:rPr>
          <w:rFonts w:hAnsi="宋体" w:hint="eastAsia"/>
          <w:szCs w:val="24"/>
        </w:rPr>
        <w:t>托管人产生之前，由中国证监会指定临时基金托管人；</w:t>
      </w:r>
    </w:p>
    <w:p w:rsidR="0023059C" w:rsidRDefault="004B70E6">
      <w:pPr>
        <w:pStyle w:val="20"/>
        <w:spacing w:line="520" w:lineRule="atLeast"/>
        <w:ind w:left="0" w:firstLineChars="200" w:firstLine="480"/>
        <w:rPr>
          <w:rFonts w:hAnsi="宋体"/>
          <w:szCs w:val="24"/>
        </w:rPr>
      </w:pPr>
      <w:r>
        <w:rPr>
          <w:rFonts w:hAnsi="宋体" w:hint="eastAsia"/>
          <w:szCs w:val="24"/>
        </w:rPr>
        <w:t>（4）备案：基金份额持有人大会更换基金托管人的决议须报中国证监会备案；</w:t>
      </w:r>
    </w:p>
    <w:p w:rsidR="0023059C" w:rsidRDefault="004B70E6">
      <w:pPr>
        <w:pStyle w:val="20"/>
        <w:spacing w:line="520" w:lineRule="atLeast"/>
        <w:ind w:left="0" w:firstLineChars="200" w:firstLine="480"/>
        <w:rPr>
          <w:rFonts w:hAnsi="宋体"/>
          <w:szCs w:val="24"/>
        </w:rPr>
      </w:pPr>
      <w:r>
        <w:rPr>
          <w:rFonts w:hAnsi="宋体" w:hint="eastAsia"/>
          <w:szCs w:val="24"/>
        </w:rPr>
        <w:t>（5）公告：</w:t>
      </w:r>
      <w:r>
        <w:rPr>
          <w:rFonts w:hAnsi="宋体" w:hint="eastAsia"/>
          <w:bCs/>
        </w:rPr>
        <w:t>基金托管人更换后，由基金管理人在更换基金托管人的基金份额持有人大会决议生效后依照《信息披露办法》的有关规定在规定媒介公告；</w:t>
      </w:r>
    </w:p>
    <w:p w:rsidR="0023059C" w:rsidRDefault="004B70E6">
      <w:pPr>
        <w:pStyle w:val="20"/>
        <w:spacing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托管人或临时基金托管人与基金管理人核对基金资产总值和净值；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（7）审计：基金托管人职责终止的，应当聘请符合《中华人民共和国证券法》规定的会计师事务所对基金财产进行审计，并将审计结果予以公告，同时报中国证监会备案。审计费用在基金财产中列支。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rsidR="0023059C" w:rsidRDefault="004B70E6">
      <w:pPr>
        <w:pStyle w:val="20"/>
        <w:spacing w:line="520" w:lineRule="atLeast"/>
        <w:ind w:left="0" w:firstLineChars="200" w:firstLine="480"/>
        <w:rPr>
          <w:rFonts w:hAnsi="宋体"/>
          <w:szCs w:val="24"/>
        </w:rPr>
      </w:pPr>
      <w:r>
        <w:rPr>
          <w:rFonts w:hAnsi="宋体" w:hint="eastAsia"/>
          <w:szCs w:val="24"/>
        </w:rPr>
        <w:t>（1）提名：如果基金管理人和基金托管人同时更换，由单独或合计持有基金总份额10%以上（含10%）的基金份额持有人提名新的基金管理人和基金托管人；</w:t>
      </w:r>
    </w:p>
    <w:p w:rsidR="0023059C" w:rsidRDefault="004B70E6">
      <w:pPr>
        <w:pStyle w:val="20"/>
        <w:spacing w:line="520" w:lineRule="atLeast"/>
        <w:ind w:left="0" w:firstLineChars="200" w:firstLine="480"/>
        <w:rPr>
          <w:rFonts w:hAnsi="宋体"/>
          <w:szCs w:val="24"/>
        </w:rPr>
      </w:pPr>
      <w:r>
        <w:rPr>
          <w:rFonts w:hAnsi="宋体" w:hint="eastAsia"/>
          <w:szCs w:val="24"/>
        </w:rPr>
        <w:t>（2）基金管理人和基金托管人的更换分别按上述程序进行；</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（3）公告：</w:t>
      </w:r>
      <w:proofErr w:type="gramStart"/>
      <w:r>
        <w:rPr>
          <w:rFonts w:hAnsi="宋体" w:hint="eastAsia"/>
          <w:bCs/>
        </w:rPr>
        <w:t>新任基金</w:t>
      </w:r>
      <w:proofErr w:type="gramEnd"/>
      <w:r>
        <w:rPr>
          <w:rFonts w:hAnsi="宋体" w:hint="eastAsia"/>
          <w:bCs/>
        </w:rPr>
        <w:t>管理人和</w:t>
      </w:r>
      <w:proofErr w:type="gramStart"/>
      <w:r>
        <w:rPr>
          <w:rFonts w:hAnsi="宋体" w:hint="eastAsia"/>
          <w:bCs/>
        </w:rPr>
        <w:t>新任基金</w:t>
      </w:r>
      <w:proofErr w:type="gramEnd"/>
      <w:r>
        <w:rPr>
          <w:rFonts w:hAnsi="宋体" w:hint="eastAsia"/>
          <w:bCs/>
        </w:rPr>
        <w:t>托管人应在更换基金管理人和基金托管人的基金份额持有人大会决议生效后依照《信息披露办法》的有关规定在规定媒介上联合公告</w:t>
      </w:r>
      <w:r>
        <w:rPr>
          <w:rFonts w:hAnsi="宋体"/>
          <w:bCs/>
        </w:rPr>
        <w:t>。</w:t>
      </w:r>
    </w:p>
    <w:p w:rsidR="0023059C" w:rsidRDefault="004B70E6">
      <w:pPr>
        <w:pStyle w:val="20"/>
        <w:spacing w:before="0" w:after="0" w:line="520" w:lineRule="atLeast"/>
        <w:ind w:left="0" w:firstLineChars="200" w:firstLine="480"/>
        <w:rPr>
          <w:bCs/>
        </w:rPr>
      </w:pPr>
      <w:r>
        <w:rPr>
          <w:rFonts w:hAnsi="宋体" w:hint="eastAsia"/>
          <w:szCs w:val="24"/>
        </w:rPr>
        <w:t>14.4</w:t>
      </w:r>
      <w:r>
        <w:rPr>
          <w:rFonts w:hint="eastAsia"/>
          <w:bCs/>
        </w:rPr>
        <w:t>新基金管理人或临时基金管理人接收基金管理业务或新基金托管人或临时基金托管人接收基金财产和基金托管业务前，</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托管人应继续履行相关职责，并保证不做出对基金份额持有人的利益造成损害的行为。</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托管人在继续履行相关职责期间，仍有权按照基金合同的规定收取基金管理费或基金托管费。</w:t>
      </w:r>
    </w:p>
    <w:p w:rsidR="0023059C" w:rsidRDefault="004B70E6">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w:t>
      </w:r>
      <w:r>
        <w:rPr>
          <w:rFonts w:hint="eastAsia"/>
          <w:bCs/>
        </w:rPr>
        <w:lastRenderedPageBreak/>
        <w:t>容进行修改和调整，无需召开基金份额持有人大会审议。</w:t>
      </w:r>
    </w:p>
    <w:p w:rsidR="0023059C" w:rsidRDefault="004B70E6">
      <w:pPr>
        <w:pStyle w:val="1"/>
        <w:spacing w:line="520" w:lineRule="atLeast"/>
        <w:ind w:firstLineChars="200" w:firstLine="482"/>
        <w:rPr>
          <w:bCs/>
          <w:color w:val="auto"/>
          <w:szCs w:val="24"/>
        </w:rPr>
      </w:pPr>
      <w:bookmarkStart w:id="44" w:name="_Toc63235232"/>
      <w:bookmarkStart w:id="45" w:name="_Toc296551351"/>
      <w:r>
        <w:rPr>
          <w:rFonts w:hint="eastAsia"/>
          <w:bCs/>
          <w:color w:val="auto"/>
          <w:szCs w:val="24"/>
        </w:rPr>
        <w:t>第十五条 禁止行为</w:t>
      </w:r>
      <w:bookmarkEnd w:id="44"/>
      <w:bookmarkEnd w:id="45"/>
    </w:p>
    <w:p w:rsidR="0023059C" w:rsidRDefault="004B70E6">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15.1.3基金管理人、基金托管人利用基金财产或者职务之便为基金份额持有人以外的第三人牟取利益。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15.1.5基金管理人、基金托管人对他人泄露基金运作和管理过程中任何尚未按法律法规规定的方式公开披露的信息。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（1）承销证券；</w:t>
      </w:r>
    </w:p>
    <w:p w:rsidR="0023059C" w:rsidRDefault="004B70E6">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rsidR="0023059C" w:rsidRDefault="004B70E6">
      <w:pPr>
        <w:pStyle w:val="20"/>
        <w:spacing w:before="0" w:after="0" w:line="520" w:lineRule="atLeast"/>
        <w:ind w:left="0" w:firstLineChars="200" w:firstLine="480"/>
        <w:rPr>
          <w:rFonts w:hAnsi="宋体"/>
          <w:szCs w:val="24"/>
        </w:rPr>
      </w:pPr>
      <w:r>
        <w:rPr>
          <w:rFonts w:hAnsi="宋体" w:hint="eastAsia"/>
          <w:szCs w:val="24"/>
        </w:rPr>
        <w:t>（3）从事承担无限责任的投资；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t>（4）买卖其他基金份额，但中国证监会另有规定的除外；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）向其基金管理人、基金托管人出资；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rsidR="0023059C" w:rsidRDefault="004B70E6">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和中国证监会或《基金合同》规定禁止的其他活动</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w:t>
      </w:r>
      <w:r>
        <w:rPr>
          <w:rFonts w:hAnsi="宋体" w:hint="eastAsia"/>
          <w:szCs w:val="24"/>
        </w:rPr>
        <w:lastRenderedPageBreak/>
        <w:t>基金管理人在履行适当程序后，</w:t>
      </w:r>
      <w:r>
        <w:rPr>
          <w:rFonts w:hint="eastAsia"/>
          <w:bCs/>
        </w:rPr>
        <w:t>可不受上述规定的限制或按变更后的规定执行</w:t>
      </w:r>
      <w:r>
        <w:rPr>
          <w:rFonts w:hAnsi="宋体" w:hint="eastAsia"/>
          <w:szCs w:val="24"/>
        </w:rPr>
        <w:t>。</w:t>
      </w:r>
    </w:p>
    <w:p w:rsidR="0023059C" w:rsidRDefault="004B70E6">
      <w:pPr>
        <w:pStyle w:val="1"/>
        <w:spacing w:line="520" w:lineRule="atLeast"/>
        <w:ind w:firstLineChars="200" w:firstLine="482"/>
        <w:rPr>
          <w:bCs/>
          <w:color w:val="auto"/>
          <w:szCs w:val="24"/>
        </w:rPr>
      </w:pPr>
      <w:bookmarkStart w:id="46" w:name="_Toc296551352"/>
      <w:bookmarkStart w:id="47" w:name="_Toc63235233"/>
      <w:r>
        <w:rPr>
          <w:rFonts w:hint="eastAsia"/>
          <w:bCs/>
          <w:color w:val="auto"/>
          <w:szCs w:val="24"/>
        </w:rPr>
        <w:t>第十六条 本协议的变更、终止与基金财产的清算</w:t>
      </w:r>
      <w:bookmarkEnd w:id="46"/>
      <w:bookmarkEnd w:id="47"/>
    </w:p>
    <w:p w:rsidR="0023059C" w:rsidRDefault="004B70E6">
      <w:pPr>
        <w:pStyle w:val="20"/>
        <w:spacing w:before="0" w:after="0" w:line="520" w:lineRule="atLeast"/>
        <w:ind w:left="0" w:firstLineChars="200" w:firstLine="480"/>
        <w:rPr>
          <w:rFonts w:hAnsi="宋体"/>
          <w:szCs w:val="24"/>
        </w:rPr>
      </w:pPr>
      <w:r>
        <w:rPr>
          <w:rFonts w:hAnsi="宋体" w:hint="eastAsia"/>
          <w:szCs w:val="24"/>
        </w:rPr>
        <w:t>16.1本协议的变更与终止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16.1.1本协议的变更程序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本协议双方当事人经协商一致，可以对协议的内容进行变更。变更后的托管协议，其内容不得与基金合同的规定有任何冲突。本协议的变更报中国证监会备案。</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16.1.2本协议终止的情形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发生以下情况，本协议终止：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（1）基金合同终止；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（4）发生法律法规或基金合同规定的终止事项。</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16.2基金财产的清算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16.2.1基金财产清算小组</w:t>
      </w:r>
    </w:p>
    <w:p w:rsidR="0023059C" w:rsidRDefault="004B70E6">
      <w:pPr>
        <w:pStyle w:val="20"/>
        <w:spacing w:before="0" w:after="0" w:line="520" w:lineRule="atLeast"/>
        <w:ind w:left="0" w:firstLineChars="200" w:firstLine="480"/>
        <w:rPr>
          <w:rFonts w:hAnsi="宋体"/>
          <w:szCs w:val="24"/>
        </w:rPr>
      </w:pPr>
      <w:bookmarkStart w:id="48" w:name="_Hlk101560550"/>
      <w:r>
        <w:rPr>
          <w:rFonts w:hAnsi="宋体" w:hint="eastAsia"/>
          <w:szCs w:val="24"/>
        </w:rPr>
        <w:t>（1）自出现基金合同终止事由之日起30个工作日内成立基金财产清算小组，基金管理人组织基金财产清算小组并在中国证监会的监督下进行基金清算。在基金财产清算小组接管基金财产之前，基金管理人和基金托管人应按照《基金合同》和托管协议的规定继续履行保护基金资产安全的职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bookmarkStart w:id="49" w:name="_Hlk40791166"/>
      <w:r>
        <w:rPr>
          <w:rFonts w:hAnsi="宋体" w:hint="eastAsia"/>
          <w:bCs/>
        </w:rPr>
        <w:t>符合《中华人民共和国证券法》规定</w:t>
      </w:r>
      <w:bookmarkEnd w:id="49"/>
      <w:r>
        <w:rPr>
          <w:rFonts w:hAnsi="宋体" w:hint="eastAsia"/>
          <w:szCs w:val="24"/>
        </w:rPr>
        <w:t>的注册会计师、律师以及中国证监会指定的人员组成。基金财产清算小组可以聘用必要的工作人员。</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16.2.2基金财产清算程序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基金合同终止，应当按法律法规和基金合同的有关规定对基金财产进行清算。基金财产清算程序主要包括：</w:t>
      </w:r>
    </w:p>
    <w:p w:rsidR="0023059C" w:rsidRDefault="004B70E6">
      <w:pPr>
        <w:pStyle w:val="20"/>
        <w:spacing w:before="0" w:after="0" w:line="520" w:lineRule="atLeast"/>
        <w:ind w:left="0" w:firstLineChars="200" w:firstLine="480"/>
        <w:rPr>
          <w:rFonts w:hAnsi="宋体"/>
          <w:szCs w:val="24"/>
        </w:rPr>
      </w:pPr>
      <w:r>
        <w:rPr>
          <w:rFonts w:hAnsi="宋体" w:hint="eastAsia"/>
          <w:szCs w:val="24"/>
        </w:rPr>
        <w:t>（1）基金合同终止情形出现后，由基金财产清算小组统一接管基金财产；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（4）制作清算报告；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rsidR="0023059C" w:rsidRDefault="004B70E6">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（7）对基金剩余财产进行分配。</w:t>
      </w:r>
    </w:p>
    <w:p w:rsidR="0023059C" w:rsidRDefault="004B70E6">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16.2.3清算费用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rsidR="0023059C" w:rsidRDefault="004B70E6">
      <w:pPr>
        <w:pStyle w:val="20"/>
        <w:spacing w:before="0" w:after="0" w:line="520" w:lineRule="atLeast"/>
        <w:ind w:left="0" w:firstLineChars="200" w:firstLine="480"/>
        <w:rPr>
          <w:rFonts w:hAnsi="宋体"/>
          <w:szCs w:val="24"/>
        </w:rPr>
      </w:pPr>
      <w:r>
        <w:rPr>
          <w:rFonts w:hAnsi="宋体"/>
          <w:bCs/>
        </w:rPr>
        <w:t>依据基金财产清算的分配方案，将基金财产清算后的全部剩余资产扣除基金财产清算费用、交纳所欠税款并清偿基金债务后，按基金份额持有人持有的基金份额比例进行分配</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16.2.5基金财产清算的公告</w:t>
      </w:r>
    </w:p>
    <w:p w:rsidR="0023059C" w:rsidRDefault="004B70E6">
      <w:pPr>
        <w:spacing w:line="520" w:lineRule="atLeast"/>
        <w:ind w:firstLineChars="200" w:firstLine="480"/>
        <w:rPr>
          <w:bCs/>
          <w:sz w:val="24"/>
        </w:rPr>
      </w:pPr>
      <w:r>
        <w:rPr>
          <w:rFonts w:hAnsi="宋体"/>
          <w:bCs/>
          <w:sz w:val="24"/>
        </w:rPr>
        <w:t>清算过程中的有关重大事项须及时公告；基金财产清算报告</w:t>
      </w:r>
      <w:proofErr w:type="gramStart"/>
      <w:r>
        <w:rPr>
          <w:rFonts w:hAnsi="宋体"/>
          <w:bCs/>
          <w:sz w:val="24"/>
        </w:rPr>
        <w:t>经</w:t>
      </w:r>
      <w:r>
        <w:rPr>
          <w:rFonts w:hAnsi="宋体" w:hint="eastAsia"/>
          <w:bCs/>
          <w:sz w:val="24"/>
        </w:rPr>
        <w:t>符合</w:t>
      </w:r>
      <w:proofErr w:type="gramEnd"/>
      <w:r>
        <w:rPr>
          <w:rFonts w:hAnsi="宋体" w:hint="eastAsia"/>
          <w:bCs/>
          <w:sz w:val="24"/>
        </w:rPr>
        <w:t>《中华人民共和国证券法》规定的</w:t>
      </w:r>
      <w:r>
        <w:rPr>
          <w:rFonts w:hAnsi="宋体"/>
          <w:bCs/>
          <w:sz w:val="24"/>
        </w:rPr>
        <w:t>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r>
        <w:rPr>
          <w:rFonts w:hint="eastAsia"/>
          <w:bCs/>
          <w:sz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基金财产清算账册及有关文件由基金托管人保存，保存期限不得低于法律法规规定的最低期限。</w:t>
      </w:r>
      <w:bookmarkStart w:id="50" w:name="_Toc296551353"/>
    </w:p>
    <w:p w:rsidR="0023059C" w:rsidRDefault="004B70E6">
      <w:pPr>
        <w:pStyle w:val="1"/>
        <w:spacing w:line="520" w:lineRule="atLeast"/>
        <w:ind w:firstLineChars="200" w:firstLine="482"/>
        <w:rPr>
          <w:bCs/>
          <w:color w:val="auto"/>
          <w:szCs w:val="24"/>
        </w:rPr>
      </w:pPr>
      <w:bookmarkStart w:id="51" w:name="_Toc63235234"/>
      <w:bookmarkEnd w:id="48"/>
      <w:r>
        <w:rPr>
          <w:rFonts w:hint="eastAsia"/>
          <w:bCs/>
          <w:color w:val="auto"/>
          <w:szCs w:val="24"/>
        </w:rPr>
        <w:lastRenderedPageBreak/>
        <w:t>第十七条 违约责任</w:t>
      </w:r>
      <w:bookmarkEnd w:id="50"/>
      <w:bookmarkEnd w:id="51"/>
    </w:p>
    <w:p w:rsidR="0023059C" w:rsidRDefault="004B70E6">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r>
        <w:rPr>
          <w:rFonts w:hAnsi="宋体" w:hint="eastAsia"/>
          <w:szCs w:val="24"/>
        </w:rPr>
        <w:t>但是发生下列情况，当事人免责：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（1）不可抗力；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当时</w:t>
      </w:r>
      <w:r>
        <w:rPr>
          <w:rFonts w:hAnsi="宋体" w:hint="eastAsia"/>
          <w:szCs w:val="24"/>
        </w:rPr>
        <w:t>有效的法律法规或中国证监会的规定作为或不作为而造成的损失等；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（4）基金托管人对存放或存管在基金托管人以外机构的基金资产，或交由证券公司等其他机构负责清算交收的基金资产及其收益不承担任何责任。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17.6由于基金管理人、基金托管人不可控制的因素导致业务出现差错，基金管理人和基金托管人虽然已经采取必要、适当、合理的措施进行检查，但是未能发现错误或未能避免错误发生或</w:t>
      </w:r>
      <w:proofErr w:type="gramStart"/>
      <w:r>
        <w:rPr>
          <w:rFonts w:hAnsi="宋体" w:hint="eastAsia"/>
          <w:szCs w:val="24"/>
        </w:rPr>
        <w:t>虽发现</w:t>
      </w:r>
      <w:proofErr w:type="gramEnd"/>
      <w:r>
        <w:rPr>
          <w:rFonts w:hAnsi="宋体" w:hint="eastAsia"/>
          <w:szCs w:val="24"/>
        </w:rPr>
        <w:t>错误但因前述原因无法及时更正的，由此造成基金财产或基金份额持有人损失，基金管理人和基金托管人免除赔偿责任。但是基</w:t>
      </w:r>
      <w:r>
        <w:rPr>
          <w:rFonts w:hAnsi="宋体" w:hint="eastAsia"/>
          <w:szCs w:val="24"/>
        </w:rPr>
        <w:lastRenderedPageBreak/>
        <w:t>金管理人和基金托管人应积极采取必要的措施减轻或消除由此造成的影响。</w:t>
      </w:r>
    </w:p>
    <w:p w:rsidR="0023059C" w:rsidRDefault="004B70E6">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rsidR="0023059C" w:rsidRDefault="004B70E6">
      <w:pPr>
        <w:pStyle w:val="1"/>
        <w:spacing w:line="520" w:lineRule="atLeast"/>
        <w:ind w:firstLineChars="200" w:firstLine="482"/>
        <w:rPr>
          <w:bCs/>
          <w:color w:val="auto"/>
          <w:szCs w:val="24"/>
        </w:rPr>
      </w:pPr>
      <w:bookmarkStart w:id="52" w:name="_Toc296551354"/>
      <w:bookmarkStart w:id="53" w:name="_Toc63235235"/>
      <w:r>
        <w:rPr>
          <w:rFonts w:hint="eastAsia"/>
          <w:bCs/>
          <w:color w:val="auto"/>
          <w:szCs w:val="24"/>
        </w:rPr>
        <w:t>第十八条 法律</w:t>
      </w:r>
      <w:r>
        <w:rPr>
          <w:bCs/>
          <w:color w:val="auto"/>
          <w:szCs w:val="24"/>
        </w:rPr>
        <w:t>适用和</w:t>
      </w:r>
      <w:r>
        <w:rPr>
          <w:rFonts w:hint="eastAsia"/>
          <w:bCs/>
          <w:color w:val="auto"/>
          <w:szCs w:val="24"/>
        </w:rPr>
        <w:t>争议解决</w:t>
      </w:r>
      <w:bookmarkEnd w:id="52"/>
      <w:bookmarkEnd w:id="53"/>
    </w:p>
    <w:p w:rsidR="0023059C" w:rsidRDefault="004B70E6">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23059C" w:rsidRDefault="004B70E6">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w:t>
      </w:r>
      <w:r>
        <w:rPr>
          <w:rFonts w:hAnsi="宋体" w:hint="eastAsia"/>
          <w:bCs/>
          <w:sz w:val="24"/>
        </w:rPr>
        <w:t>应提交中国国际经济贸易仲裁委员会根据该会届时有效的仲裁规则进行仲裁，仲裁的地点在北京，仲裁裁决是终局性的并对双方均有约束力。除非仲裁裁决另有规定，仲裁费用由败诉方承担</w:t>
      </w:r>
    </w:p>
    <w:p w:rsidR="0023059C" w:rsidRDefault="004B70E6">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争议处理期间，双方当事人应恪守基金管理人和基金托管人职责，继续忠实、勤勉、尽责地履行基金合同和本协议规定的义务，维护基金份额持有人的合法权益。</w:t>
      </w:r>
    </w:p>
    <w:p w:rsidR="0023059C" w:rsidRDefault="004B70E6">
      <w:pPr>
        <w:pStyle w:val="1"/>
        <w:adjustRightInd w:val="0"/>
        <w:spacing w:line="520" w:lineRule="atLeast"/>
        <w:ind w:firstLineChars="200" w:firstLine="482"/>
        <w:rPr>
          <w:bCs/>
          <w:color w:val="auto"/>
          <w:szCs w:val="24"/>
        </w:rPr>
      </w:pPr>
      <w:bookmarkStart w:id="54" w:name="_Toc63235236"/>
      <w:bookmarkStart w:id="55" w:name="_Toc296551355"/>
      <w:r>
        <w:rPr>
          <w:rFonts w:hint="eastAsia"/>
          <w:bCs/>
          <w:color w:val="auto"/>
          <w:szCs w:val="24"/>
        </w:rPr>
        <w:t>第十九条 本协议的效力</w:t>
      </w:r>
      <w:bookmarkEnd w:id="54"/>
      <w:bookmarkEnd w:id="55"/>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章（签字或加盖名章），本协议当事人双方可能不时根据中国证监会的意见修改托管协议草案。本协议以中国证监会注册的最终文本为正式文本。</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19.2本协议自双方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19.4本协议正本一式三份，除上报有关监管机构一份外，基金管理人和基金托管人分别持有一份，每份具有同等的法律效力。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19.5如基金合同与托管协议对相同事项</w:t>
      </w:r>
      <w:proofErr w:type="gramStart"/>
      <w:r>
        <w:rPr>
          <w:rFonts w:hAnsi="宋体" w:hint="eastAsia"/>
          <w:szCs w:val="24"/>
        </w:rPr>
        <w:t>作出</w:t>
      </w:r>
      <w:proofErr w:type="gramEnd"/>
      <w:r>
        <w:rPr>
          <w:rFonts w:hAnsi="宋体" w:hint="eastAsia"/>
          <w:szCs w:val="24"/>
        </w:rPr>
        <w:t>不同约定的，以基金合同约定为准。</w:t>
      </w:r>
    </w:p>
    <w:p w:rsidR="0023059C" w:rsidRDefault="004B70E6">
      <w:pPr>
        <w:pStyle w:val="1"/>
        <w:spacing w:line="520" w:lineRule="atLeast"/>
        <w:ind w:firstLineChars="200" w:firstLine="482"/>
        <w:rPr>
          <w:bCs/>
          <w:color w:val="auto"/>
          <w:szCs w:val="24"/>
        </w:rPr>
      </w:pPr>
      <w:bookmarkStart w:id="56" w:name="_Toc63235237"/>
      <w:bookmarkStart w:id="57" w:name="_Toc296551356"/>
      <w:r>
        <w:rPr>
          <w:rFonts w:hint="eastAsia"/>
          <w:bCs/>
          <w:color w:val="auto"/>
          <w:szCs w:val="24"/>
        </w:rPr>
        <w:t>第二十条 本协议的签订</w:t>
      </w:r>
      <w:bookmarkEnd w:id="56"/>
      <w:bookmarkEnd w:id="57"/>
    </w:p>
    <w:p w:rsidR="0023059C" w:rsidRDefault="004B70E6">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20.1本协议经基金管理人和基金托管人认可后，由双方当事人在本协议上加盖公章或合同专用章，并由各自的法定代表人或授权代理人签章（签字或加盖名章），并注明本托管协议的签订地点和签订日期。</w:t>
      </w:r>
    </w:p>
    <w:p w:rsidR="0023059C" w:rsidRDefault="004B70E6">
      <w:pPr>
        <w:pStyle w:val="1"/>
        <w:spacing w:line="520" w:lineRule="atLeast"/>
        <w:ind w:firstLineChars="200" w:firstLine="482"/>
        <w:rPr>
          <w:bCs/>
          <w:color w:val="auto"/>
          <w:szCs w:val="24"/>
        </w:rPr>
      </w:pPr>
      <w:bookmarkStart w:id="58" w:name="_Toc63235238"/>
      <w:r>
        <w:rPr>
          <w:rFonts w:hint="eastAsia"/>
          <w:bCs/>
          <w:color w:val="auto"/>
          <w:szCs w:val="24"/>
        </w:rPr>
        <w:lastRenderedPageBreak/>
        <w:t>第二十一条 不可抗力</w:t>
      </w:r>
      <w:bookmarkEnd w:id="58"/>
    </w:p>
    <w:p w:rsidR="0023059C" w:rsidRDefault="004B70E6">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rsidR="0023059C" w:rsidRDefault="004B70E6">
      <w:pPr>
        <w:pStyle w:val="1"/>
        <w:spacing w:line="520" w:lineRule="atLeast"/>
        <w:ind w:firstLineChars="200" w:firstLine="482"/>
        <w:rPr>
          <w:bCs/>
          <w:szCs w:val="24"/>
        </w:rPr>
      </w:pPr>
      <w:bookmarkStart w:id="59" w:name="_Toc132794326"/>
      <w:bookmarkStart w:id="60" w:name="_Toc132794329"/>
      <w:bookmarkStart w:id="61" w:name="_Toc132794325"/>
      <w:bookmarkStart w:id="62" w:name="_Toc132794324"/>
      <w:bookmarkStart w:id="63" w:name="_Toc132794328"/>
      <w:bookmarkStart w:id="64" w:name="_Toc132794330"/>
      <w:bookmarkStart w:id="65" w:name="_Toc132794327"/>
      <w:bookmarkStart w:id="66" w:name="_Toc63235239"/>
      <w:bookmarkEnd w:id="59"/>
      <w:bookmarkEnd w:id="60"/>
      <w:bookmarkEnd w:id="61"/>
      <w:bookmarkEnd w:id="62"/>
      <w:bookmarkEnd w:id="63"/>
      <w:bookmarkEnd w:id="64"/>
      <w:bookmarkEnd w:id="65"/>
      <w:r>
        <w:rPr>
          <w:rFonts w:hint="eastAsia"/>
          <w:bCs/>
          <w:color w:val="auto"/>
          <w:szCs w:val="24"/>
        </w:rPr>
        <w:t>第二十二条</w:t>
      </w:r>
      <w:r>
        <w:rPr>
          <w:bCs/>
          <w:color w:val="auto"/>
          <w:szCs w:val="24"/>
        </w:rPr>
        <w:t xml:space="preserve"> </w:t>
      </w:r>
      <w:r>
        <w:rPr>
          <w:rFonts w:hint="eastAsia"/>
          <w:bCs/>
          <w:color w:val="auto"/>
          <w:szCs w:val="24"/>
        </w:rPr>
        <w:t>可分割性</w:t>
      </w:r>
      <w:bookmarkEnd w:id="66"/>
    </w:p>
    <w:p w:rsidR="0023059C" w:rsidRDefault="004B70E6">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rsidR="0023059C" w:rsidRDefault="004B70E6">
      <w:pPr>
        <w:pStyle w:val="1"/>
        <w:spacing w:line="520" w:lineRule="atLeast"/>
        <w:ind w:firstLineChars="200" w:firstLine="482"/>
        <w:rPr>
          <w:bCs/>
          <w:szCs w:val="24"/>
        </w:rPr>
      </w:pPr>
      <w:bookmarkStart w:id="67" w:name="_Toc63235240"/>
      <w:r>
        <w:rPr>
          <w:rFonts w:hint="eastAsia"/>
          <w:bCs/>
          <w:color w:val="auto"/>
          <w:szCs w:val="24"/>
        </w:rPr>
        <w:t>第二十三条</w:t>
      </w:r>
      <w:r>
        <w:rPr>
          <w:bCs/>
          <w:color w:val="auto"/>
          <w:szCs w:val="24"/>
        </w:rPr>
        <w:t xml:space="preserve"> </w:t>
      </w:r>
      <w:r>
        <w:rPr>
          <w:rFonts w:hint="eastAsia"/>
          <w:bCs/>
          <w:color w:val="auto"/>
          <w:szCs w:val="24"/>
        </w:rPr>
        <w:t>通知与送达</w:t>
      </w:r>
      <w:bookmarkEnd w:id="67"/>
    </w:p>
    <w:p w:rsidR="0023059C" w:rsidRDefault="004B70E6">
      <w:pPr>
        <w:snapToGrid w:val="0"/>
        <w:spacing w:line="520" w:lineRule="atLeast"/>
        <w:ind w:firstLineChars="200" w:firstLine="480"/>
        <w:rPr>
          <w:rFonts w:asciiTheme="minorEastAsia" w:eastAsiaTheme="minorEastAsia" w:hAnsiTheme="minorEastAsia"/>
          <w:sz w:val="24"/>
          <w:szCs w:val="24"/>
        </w:rPr>
      </w:pPr>
      <w:r>
        <w:rPr>
          <w:rFonts w:ascii="宋体" w:hAnsi="宋体"/>
          <w:sz w:val="24"/>
          <w:szCs w:val="24"/>
        </w:rPr>
        <w:t>23.1</w:t>
      </w:r>
      <w:bookmarkStart w:id="68" w:name="OLE_LINK89"/>
      <w:bookmarkStart w:id="69" w:name="OLE_LINK88"/>
      <w:r>
        <w:rPr>
          <w:rFonts w:ascii="宋体" w:hAnsi="宋体" w:hint="eastAsia"/>
          <w:sz w:val="24"/>
          <w:szCs w:val="24"/>
        </w:rPr>
        <w:t>除本协议另有约定外，双方</w:t>
      </w:r>
      <w:r>
        <w:rPr>
          <w:rFonts w:hAnsi="宋体" w:hint="eastAsia"/>
          <w:szCs w:val="24"/>
        </w:rPr>
        <w:t>将以双方认可的方式</w:t>
      </w:r>
      <w:r>
        <w:rPr>
          <w:rFonts w:ascii="宋体" w:hAnsi="宋体" w:hint="eastAsia"/>
          <w:sz w:val="24"/>
          <w:szCs w:val="24"/>
        </w:rPr>
        <w:t>就本协议中涉及各类通知、函件、附件、协议等文件以及就本协议发生纠纷</w:t>
      </w:r>
      <w:proofErr w:type="gramStart"/>
      <w:r>
        <w:rPr>
          <w:rFonts w:ascii="宋体" w:hAnsi="宋体" w:hint="eastAsia"/>
          <w:sz w:val="24"/>
          <w:szCs w:val="24"/>
        </w:rPr>
        <w:t>时相关</w:t>
      </w:r>
      <w:proofErr w:type="gramEnd"/>
      <w:r>
        <w:rPr>
          <w:rFonts w:ascii="宋体" w:hAnsi="宋体" w:hint="eastAsia"/>
          <w:sz w:val="24"/>
          <w:szCs w:val="24"/>
        </w:rPr>
        <w:t>文件和法律文书送达时的送达地址（</w:t>
      </w:r>
      <w:proofErr w:type="gramStart"/>
      <w:r>
        <w:rPr>
          <w:rFonts w:ascii="宋体" w:hAnsi="宋体" w:hint="eastAsia"/>
          <w:sz w:val="24"/>
          <w:szCs w:val="24"/>
        </w:rPr>
        <w:t>含联系</w:t>
      </w:r>
      <w:proofErr w:type="gramEnd"/>
      <w:r>
        <w:rPr>
          <w:rFonts w:ascii="宋体" w:hAnsi="宋体" w:hint="eastAsia"/>
          <w:sz w:val="24"/>
          <w:szCs w:val="24"/>
        </w:rPr>
        <w:t>方式，下同）及法律后果进行约定</w:t>
      </w:r>
      <w:bookmarkEnd w:id="68"/>
      <w:bookmarkEnd w:id="69"/>
    </w:p>
    <w:p w:rsidR="0023059C" w:rsidRDefault="004B70E6">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1双方确认的送达地址如发生变更的，应当在发生变更之日起三日内通过书面方式通知对方，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管理人。基金管理人及其分支机构通过基金管理人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信息载明生效日期的，以该载明日期为准）即视为已通知/送达基金托管人。</w:t>
      </w:r>
      <w:r>
        <w:rPr>
          <w:rFonts w:asciiTheme="minorEastAsia" w:eastAsiaTheme="minorEastAsia" w:hAnsiTheme="minorEastAsia" w:hint="eastAsia"/>
          <w:sz w:val="24"/>
          <w:szCs w:val="24"/>
        </w:rPr>
        <w:t>在涉及仲裁及民事诉讼、执行程序时，</w:t>
      </w:r>
      <w:r>
        <w:rPr>
          <w:rFonts w:asciiTheme="minorEastAsia" w:eastAsiaTheme="minorEastAsia" w:hAnsiTheme="minorEastAsia" w:hint="eastAsia"/>
          <w:sz w:val="24"/>
          <w:szCs w:val="24"/>
        </w:rPr>
        <w:lastRenderedPageBreak/>
        <w:t>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rsidR="0023059C" w:rsidRDefault="004B70E6">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2 双方在确认的送达地址适用范围包括双方在履行本协议过程中的各类通知、函件、附件、协议等文件以及就本协议发生纠纷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0" w:name="OLE_LINK99"/>
      <w:bookmarkStart w:id="71" w:name="OLE_LINK98"/>
    </w:p>
    <w:bookmarkEnd w:id="70"/>
    <w:bookmarkEnd w:id="71"/>
    <w:p w:rsidR="0023059C" w:rsidRDefault="004B70E6">
      <w:pPr>
        <w:snapToGrid w:val="0"/>
        <w:spacing w:line="520" w:lineRule="atLeast"/>
        <w:ind w:firstLineChars="200" w:firstLine="482"/>
        <w:rPr>
          <w:rFonts w:hAnsi="宋体"/>
          <w:b/>
          <w:bCs/>
          <w:szCs w:val="24"/>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w:t>
      </w:r>
      <w:r>
        <w:rPr>
          <w:rFonts w:asciiTheme="minorEastAsia" w:eastAsiaTheme="minorEastAsia" w:hAnsiTheme="minorEastAsia" w:hint="eastAsia"/>
          <w:b/>
          <w:bCs/>
          <w:sz w:val="24"/>
          <w:szCs w:val="24"/>
        </w:rPr>
        <w:t>3本条约定内容为本协议双方均明确同意的特别条款，效力独立于本协议其他条款。不论本协议其他条款因为任何原因被法院、仲裁机关或其他有权机关</w:t>
      </w:r>
      <w:r>
        <w:rPr>
          <w:rFonts w:asciiTheme="minorEastAsia" w:eastAsiaTheme="minorEastAsia" w:hAnsiTheme="minorEastAsia" w:hint="eastAsia"/>
          <w:b/>
          <w:bCs/>
          <w:sz w:val="24"/>
          <w:szCs w:val="24"/>
        </w:rPr>
        <w:lastRenderedPageBreak/>
        <w:t>认定为无效或者被撤销，本条约定内容均为有效。</w:t>
      </w:r>
    </w:p>
    <w:p w:rsidR="0023059C" w:rsidRDefault="004B70E6">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rsidR="0023059C" w:rsidRDefault="004B70E6">
      <w:pPr>
        <w:widowControl/>
        <w:spacing w:line="520" w:lineRule="atLeast"/>
        <w:ind w:firstLineChars="100" w:firstLine="240"/>
        <w:jc w:val="left"/>
      </w:pPr>
      <w:r>
        <w:rPr>
          <w:rFonts w:ascii="宋体" w:hAnsi="宋体" w:hint="eastAsia"/>
          <w:sz w:val="24"/>
          <w:szCs w:val="24"/>
        </w:rPr>
        <w:t>（以下无正文）</w:t>
      </w:r>
    </w:p>
    <w:p w:rsidR="0023059C" w:rsidRDefault="004B70E6">
      <w:pPr>
        <w:widowControl/>
        <w:spacing w:line="520" w:lineRule="atLeast"/>
        <w:jc w:val="left"/>
        <w:rPr>
          <w:rFonts w:hAnsi="宋体"/>
          <w:sz w:val="28"/>
          <w:szCs w:val="28"/>
        </w:rPr>
      </w:pPr>
      <w:r>
        <w:rPr>
          <w:rFonts w:hAnsi="宋体"/>
          <w:sz w:val="28"/>
          <w:szCs w:val="28"/>
        </w:rPr>
        <w:br w:type="page"/>
      </w:r>
    </w:p>
    <w:p w:rsidR="0023059C" w:rsidRDefault="004B70E6">
      <w:pPr>
        <w:pStyle w:val="20"/>
        <w:spacing w:before="0" w:after="0" w:line="520" w:lineRule="atLeast"/>
        <w:ind w:left="0"/>
        <w:rPr>
          <w:rFonts w:hAnsi="宋体"/>
          <w:szCs w:val="24"/>
        </w:rPr>
      </w:pPr>
      <w:r>
        <w:rPr>
          <w:rFonts w:hAnsi="宋体" w:hint="eastAsia"/>
          <w:szCs w:val="24"/>
        </w:rPr>
        <w:lastRenderedPageBreak/>
        <w:t>（本页无正文，为编号</w:t>
      </w:r>
      <w:r>
        <w:rPr>
          <w:rFonts w:hAnsi="宋体" w:hint="eastAsia"/>
          <w:szCs w:val="24"/>
          <w:u w:val="single"/>
        </w:rPr>
        <w:t>【】</w:t>
      </w:r>
      <w:r>
        <w:rPr>
          <w:rFonts w:hAnsi="宋体" w:hint="eastAsia"/>
          <w:szCs w:val="24"/>
        </w:rPr>
        <w:t>的《农银汇理</w:t>
      </w:r>
      <w:r w:rsidR="00BE4BED">
        <w:rPr>
          <w:rFonts w:hAnsi="宋体" w:hint="eastAsia"/>
          <w:szCs w:val="24"/>
        </w:rPr>
        <w:t>瑞泽添利</w:t>
      </w:r>
      <w:r>
        <w:rPr>
          <w:rFonts w:hAnsi="宋体" w:hint="eastAsia"/>
          <w:szCs w:val="24"/>
        </w:rPr>
        <w:t>债券型证券投资基金托管协议》的签字页）</w:t>
      </w: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基金管理人：农银汇理基金管理有限公司（</w:t>
      </w:r>
      <w:r>
        <w:rPr>
          <w:rFonts w:asciiTheme="minorEastAsia" w:eastAsiaTheme="minorEastAsia" w:hAnsiTheme="minorEastAsia" w:hint="eastAsia"/>
          <w:szCs w:val="24"/>
        </w:rPr>
        <w:t>公章或合同专用章</w:t>
      </w:r>
      <w:r>
        <w:rPr>
          <w:rFonts w:hAnsi="宋体" w:hint="eastAsia"/>
          <w:szCs w:val="24"/>
        </w:rPr>
        <w:t>）</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法定代表人</w:t>
      </w:r>
    </w:p>
    <w:p w:rsidR="0023059C" w:rsidRDefault="004B70E6">
      <w:pPr>
        <w:pStyle w:val="20"/>
        <w:spacing w:before="0" w:after="0" w:line="520" w:lineRule="atLeast"/>
        <w:ind w:left="0"/>
        <w:rPr>
          <w:rFonts w:hAnsi="宋体"/>
          <w:szCs w:val="24"/>
        </w:rPr>
      </w:pPr>
      <w:r>
        <w:rPr>
          <w:rFonts w:hAnsi="宋体" w:hint="eastAsia"/>
          <w:szCs w:val="24"/>
        </w:rPr>
        <w:t xml:space="preserve">（或授权代理人）：           </w:t>
      </w: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签署日期：</w:t>
      </w: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法定代表人</w:t>
      </w:r>
    </w:p>
    <w:p w:rsidR="0023059C" w:rsidRDefault="004B70E6">
      <w:pPr>
        <w:pStyle w:val="20"/>
        <w:spacing w:before="0" w:after="0" w:line="520" w:lineRule="atLeast"/>
        <w:ind w:left="0"/>
        <w:rPr>
          <w:rFonts w:hAnsi="宋体"/>
          <w:szCs w:val="24"/>
        </w:rPr>
      </w:pPr>
      <w:r>
        <w:rPr>
          <w:rFonts w:hAnsi="宋体" w:hint="eastAsia"/>
          <w:szCs w:val="24"/>
        </w:rPr>
        <w:t xml:space="preserve">（或授权代理人）：  </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签署日期：</w:t>
      </w:r>
    </w:p>
    <w:p w:rsidR="0023059C" w:rsidRDefault="004B70E6">
      <w:pPr>
        <w:pStyle w:val="20"/>
        <w:spacing w:before="0" w:after="0" w:line="520" w:lineRule="atLeast"/>
        <w:ind w:left="0"/>
        <w:rPr>
          <w:rFonts w:hAnsi="宋体"/>
          <w:sz w:val="28"/>
          <w:szCs w:val="28"/>
        </w:rPr>
      </w:pPr>
      <w:r>
        <w:rPr>
          <w:rFonts w:hAnsi="宋体" w:hint="eastAsia"/>
          <w:sz w:val="28"/>
          <w:szCs w:val="28"/>
        </w:rPr>
        <w:t xml:space="preserve">           </w:t>
      </w: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 xml:space="preserve">签订地： </w:t>
      </w: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rsidR="0023059C" w:rsidRDefault="0023059C">
      <w:pPr>
        <w:autoSpaceDE w:val="0"/>
        <w:autoSpaceDN w:val="0"/>
        <w:adjustRightInd w:val="0"/>
        <w:spacing w:line="520" w:lineRule="atLeast"/>
        <w:ind w:rightChars="11" w:right="23"/>
        <w:rPr>
          <w:rFonts w:ascii="宋体" w:hAnsi="宋体"/>
          <w:sz w:val="28"/>
          <w:szCs w:val="28"/>
        </w:rPr>
      </w:pPr>
    </w:p>
    <w:sectPr w:rsidR="0023059C">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59" w:rsidRDefault="00362E59">
      <w:r>
        <w:separator/>
      </w:r>
    </w:p>
  </w:endnote>
  <w:endnote w:type="continuationSeparator" w:id="0">
    <w:p w:rsidR="00362E59" w:rsidRDefault="0036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C" w:rsidRDefault="004B70E6">
    <w:pPr>
      <w:pStyle w:val="ad"/>
      <w:framePr w:wrap="around" w:vAnchor="text" w:hAnchor="margin" w:xAlign="center" w:y="1"/>
      <w:rPr>
        <w:rStyle w:val="af3"/>
      </w:rPr>
    </w:pPr>
    <w:r>
      <w:fldChar w:fldCharType="begin"/>
    </w:r>
    <w:r>
      <w:rPr>
        <w:rStyle w:val="af3"/>
      </w:rPr>
      <w:instrText xml:space="preserve">PAGE  </w:instrText>
    </w:r>
    <w:r>
      <w:fldChar w:fldCharType="end"/>
    </w:r>
  </w:p>
  <w:p w:rsidR="0023059C" w:rsidRDefault="002305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C" w:rsidRDefault="004B70E6">
    <w:pPr>
      <w:pStyle w:val="ad"/>
      <w:framePr w:wrap="around" w:vAnchor="text" w:hAnchor="margin" w:xAlign="center" w:y="1"/>
      <w:rPr>
        <w:rStyle w:val="af3"/>
      </w:rPr>
    </w:pPr>
    <w:r>
      <w:fldChar w:fldCharType="begin"/>
    </w:r>
    <w:r>
      <w:rPr>
        <w:rStyle w:val="af3"/>
      </w:rPr>
      <w:instrText xml:space="preserve">PAGE  </w:instrText>
    </w:r>
    <w:r>
      <w:fldChar w:fldCharType="separate"/>
    </w:r>
    <w:r w:rsidR="00A34A82">
      <w:rPr>
        <w:rStyle w:val="af3"/>
        <w:noProof/>
      </w:rPr>
      <w:t>43</w:t>
    </w:r>
    <w:r>
      <w:fldChar w:fldCharType="end"/>
    </w:r>
  </w:p>
  <w:p w:rsidR="0023059C" w:rsidRDefault="002305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59" w:rsidRDefault="00362E59">
      <w:r>
        <w:separator/>
      </w:r>
    </w:p>
  </w:footnote>
  <w:footnote w:type="continuationSeparator" w:id="0">
    <w:p w:rsidR="00362E59" w:rsidRDefault="00362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B2A"/>
    <w:rsid w:val="000559C3"/>
    <w:rsid w:val="000603A2"/>
    <w:rsid w:val="00062021"/>
    <w:rsid w:val="00062E2D"/>
    <w:rsid w:val="00066BF4"/>
    <w:rsid w:val="0006754D"/>
    <w:rsid w:val="00067A1C"/>
    <w:rsid w:val="00071F28"/>
    <w:rsid w:val="0007356D"/>
    <w:rsid w:val="00074856"/>
    <w:rsid w:val="0007750D"/>
    <w:rsid w:val="0008163D"/>
    <w:rsid w:val="00087366"/>
    <w:rsid w:val="000877E6"/>
    <w:rsid w:val="000930AA"/>
    <w:rsid w:val="00093120"/>
    <w:rsid w:val="0009446E"/>
    <w:rsid w:val="000A228B"/>
    <w:rsid w:val="000A6FC1"/>
    <w:rsid w:val="000B1E50"/>
    <w:rsid w:val="000C0905"/>
    <w:rsid w:val="000C152B"/>
    <w:rsid w:val="000C2F51"/>
    <w:rsid w:val="000C4913"/>
    <w:rsid w:val="000C7AB7"/>
    <w:rsid w:val="000D0BD5"/>
    <w:rsid w:val="000D17C9"/>
    <w:rsid w:val="000D59DE"/>
    <w:rsid w:val="000E216E"/>
    <w:rsid w:val="000E3608"/>
    <w:rsid w:val="000E69F8"/>
    <w:rsid w:val="000F6613"/>
    <w:rsid w:val="001022CC"/>
    <w:rsid w:val="0010239C"/>
    <w:rsid w:val="00102EC4"/>
    <w:rsid w:val="00102F71"/>
    <w:rsid w:val="00107051"/>
    <w:rsid w:val="00115AA2"/>
    <w:rsid w:val="001177F0"/>
    <w:rsid w:val="00130C38"/>
    <w:rsid w:val="00132302"/>
    <w:rsid w:val="00132BE4"/>
    <w:rsid w:val="00135362"/>
    <w:rsid w:val="00137C67"/>
    <w:rsid w:val="0014134F"/>
    <w:rsid w:val="0014169A"/>
    <w:rsid w:val="0014323B"/>
    <w:rsid w:val="00143504"/>
    <w:rsid w:val="00145959"/>
    <w:rsid w:val="00145C16"/>
    <w:rsid w:val="00146F90"/>
    <w:rsid w:val="001618D7"/>
    <w:rsid w:val="00161E02"/>
    <w:rsid w:val="001657D8"/>
    <w:rsid w:val="00175B0A"/>
    <w:rsid w:val="00180B60"/>
    <w:rsid w:val="00183760"/>
    <w:rsid w:val="001848CC"/>
    <w:rsid w:val="00190D40"/>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C99"/>
    <w:rsid w:val="001F5108"/>
    <w:rsid w:val="00203D12"/>
    <w:rsid w:val="002045A2"/>
    <w:rsid w:val="00205409"/>
    <w:rsid w:val="00206D81"/>
    <w:rsid w:val="00214195"/>
    <w:rsid w:val="002158ED"/>
    <w:rsid w:val="00216E66"/>
    <w:rsid w:val="00217901"/>
    <w:rsid w:val="002216DF"/>
    <w:rsid w:val="00221C8C"/>
    <w:rsid w:val="00222AE4"/>
    <w:rsid w:val="002254CA"/>
    <w:rsid w:val="00225A43"/>
    <w:rsid w:val="0023059C"/>
    <w:rsid w:val="002309FE"/>
    <w:rsid w:val="00234CB5"/>
    <w:rsid w:val="00244076"/>
    <w:rsid w:val="00244CEE"/>
    <w:rsid w:val="00244F0B"/>
    <w:rsid w:val="002464DB"/>
    <w:rsid w:val="00251308"/>
    <w:rsid w:val="00256509"/>
    <w:rsid w:val="002567AE"/>
    <w:rsid w:val="002620B5"/>
    <w:rsid w:val="0026403B"/>
    <w:rsid w:val="00270B1B"/>
    <w:rsid w:val="00271BEE"/>
    <w:rsid w:val="00273F36"/>
    <w:rsid w:val="0027511C"/>
    <w:rsid w:val="00275823"/>
    <w:rsid w:val="002771AB"/>
    <w:rsid w:val="0027792F"/>
    <w:rsid w:val="00280105"/>
    <w:rsid w:val="00281CD1"/>
    <w:rsid w:val="00282CB6"/>
    <w:rsid w:val="00283722"/>
    <w:rsid w:val="002A153D"/>
    <w:rsid w:val="002A2F96"/>
    <w:rsid w:val="002A34FB"/>
    <w:rsid w:val="002A4594"/>
    <w:rsid w:val="002A5134"/>
    <w:rsid w:val="002B0CA2"/>
    <w:rsid w:val="002B2B25"/>
    <w:rsid w:val="002B2B46"/>
    <w:rsid w:val="002C4590"/>
    <w:rsid w:val="002C7260"/>
    <w:rsid w:val="002D278E"/>
    <w:rsid w:val="002D5AC8"/>
    <w:rsid w:val="002E423B"/>
    <w:rsid w:val="002F1D9A"/>
    <w:rsid w:val="002F1FB2"/>
    <w:rsid w:val="002F7C1F"/>
    <w:rsid w:val="0030473A"/>
    <w:rsid w:val="00304E62"/>
    <w:rsid w:val="0030785F"/>
    <w:rsid w:val="00314EE7"/>
    <w:rsid w:val="00317BE9"/>
    <w:rsid w:val="00317F48"/>
    <w:rsid w:val="003229E8"/>
    <w:rsid w:val="003269BA"/>
    <w:rsid w:val="00330DBF"/>
    <w:rsid w:val="00341A5F"/>
    <w:rsid w:val="00342101"/>
    <w:rsid w:val="00343183"/>
    <w:rsid w:val="00345E38"/>
    <w:rsid w:val="0035177F"/>
    <w:rsid w:val="00362E59"/>
    <w:rsid w:val="00363BF9"/>
    <w:rsid w:val="003660FE"/>
    <w:rsid w:val="00370E6A"/>
    <w:rsid w:val="00376470"/>
    <w:rsid w:val="00376534"/>
    <w:rsid w:val="00380257"/>
    <w:rsid w:val="003820CE"/>
    <w:rsid w:val="0038599A"/>
    <w:rsid w:val="00385CF5"/>
    <w:rsid w:val="00393A4B"/>
    <w:rsid w:val="0039570A"/>
    <w:rsid w:val="0039704D"/>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E25E9"/>
    <w:rsid w:val="003E57C9"/>
    <w:rsid w:val="003E5B9D"/>
    <w:rsid w:val="003E619A"/>
    <w:rsid w:val="003E728E"/>
    <w:rsid w:val="003F26BF"/>
    <w:rsid w:val="003F32DF"/>
    <w:rsid w:val="003F38FA"/>
    <w:rsid w:val="003F4121"/>
    <w:rsid w:val="003F76F1"/>
    <w:rsid w:val="00403FA4"/>
    <w:rsid w:val="0040597D"/>
    <w:rsid w:val="00411E11"/>
    <w:rsid w:val="00411EC2"/>
    <w:rsid w:val="0041673C"/>
    <w:rsid w:val="00417D16"/>
    <w:rsid w:val="0042648F"/>
    <w:rsid w:val="00430FD3"/>
    <w:rsid w:val="004311E8"/>
    <w:rsid w:val="004339DF"/>
    <w:rsid w:val="00436366"/>
    <w:rsid w:val="0043710B"/>
    <w:rsid w:val="004412E4"/>
    <w:rsid w:val="00443EEB"/>
    <w:rsid w:val="004464B7"/>
    <w:rsid w:val="0044652B"/>
    <w:rsid w:val="00451371"/>
    <w:rsid w:val="00455161"/>
    <w:rsid w:val="004558DF"/>
    <w:rsid w:val="00456A15"/>
    <w:rsid w:val="0046023B"/>
    <w:rsid w:val="00462A74"/>
    <w:rsid w:val="00465E44"/>
    <w:rsid w:val="004670BB"/>
    <w:rsid w:val="004702E5"/>
    <w:rsid w:val="00470F6A"/>
    <w:rsid w:val="00472976"/>
    <w:rsid w:val="004734B3"/>
    <w:rsid w:val="00474712"/>
    <w:rsid w:val="0048045F"/>
    <w:rsid w:val="00490014"/>
    <w:rsid w:val="00490CC4"/>
    <w:rsid w:val="00490FFF"/>
    <w:rsid w:val="004A0749"/>
    <w:rsid w:val="004A2093"/>
    <w:rsid w:val="004A21FA"/>
    <w:rsid w:val="004A26BE"/>
    <w:rsid w:val="004A4507"/>
    <w:rsid w:val="004B0A2F"/>
    <w:rsid w:val="004B1DC5"/>
    <w:rsid w:val="004B3F78"/>
    <w:rsid w:val="004B70E6"/>
    <w:rsid w:val="004B721F"/>
    <w:rsid w:val="004B76D3"/>
    <w:rsid w:val="004C14BD"/>
    <w:rsid w:val="004C5378"/>
    <w:rsid w:val="004C7064"/>
    <w:rsid w:val="004C7BEF"/>
    <w:rsid w:val="004D7082"/>
    <w:rsid w:val="004E306E"/>
    <w:rsid w:val="004E5206"/>
    <w:rsid w:val="004E5621"/>
    <w:rsid w:val="004E7254"/>
    <w:rsid w:val="004F2CD0"/>
    <w:rsid w:val="004F4570"/>
    <w:rsid w:val="004F5507"/>
    <w:rsid w:val="004F5ED3"/>
    <w:rsid w:val="004F7098"/>
    <w:rsid w:val="00500435"/>
    <w:rsid w:val="00507836"/>
    <w:rsid w:val="005121E1"/>
    <w:rsid w:val="005147D9"/>
    <w:rsid w:val="00514ECE"/>
    <w:rsid w:val="005223A4"/>
    <w:rsid w:val="00526BD9"/>
    <w:rsid w:val="005302BD"/>
    <w:rsid w:val="00530616"/>
    <w:rsid w:val="005307DB"/>
    <w:rsid w:val="00532411"/>
    <w:rsid w:val="00533B7B"/>
    <w:rsid w:val="005366E9"/>
    <w:rsid w:val="00537FBE"/>
    <w:rsid w:val="0054036A"/>
    <w:rsid w:val="005417F4"/>
    <w:rsid w:val="00541A7B"/>
    <w:rsid w:val="00543408"/>
    <w:rsid w:val="00552ABA"/>
    <w:rsid w:val="00552CCB"/>
    <w:rsid w:val="00553D86"/>
    <w:rsid w:val="005541ED"/>
    <w:rsid w:val="005576FE"/>
    <w:rsid w:val="005662BD"/>
    <w:rsid w:val="00576571"/>
    <w:rsid w:val="00576998"/>
    <w:rsid w:val="00587AA1"/>
    <w:rsid w:val="00591580"/>
    <w:rsid w:val="00591B16"/>
    <w:rsid w:val="005A11E0"/>
    <w:rsid w:val="005A1862"/>
    <w:rsid w:val="005A1FC8"/>
    <w:rsid w:val="005A52A1"/>
    <w:rsid w:val="005A745C"/>
    <w:rsid w:val="005B05A6"/>
    <w:rsid w:val="005B0CCB"/>
    <w:rsid w:val="005B0F25"/>
    <w:rsid w:val="005B4A54"/>
    <w:rsid w:val="005B6D06"/>
    <w:rsid w:val="005B7532"/>
    <w:rsid w:val="005C1C72"/>
    <w:rsid w:val="005C3C6C"/>
    <w:rsid w:val="005C42FA"/>
    <w:rsid w:val="005C5DFC"/>
    <w:rsid w:val="005C6C82"/>
    <w:rsid w:val="005D0467"/>
    <w:rsid w:val="005D11F0"/>
    <w:rsid w:val="005D18F6"/>
    <w:rsid w:val="005D442A"/>
    <w:rsid w:val="005D4DA3"/>
    <w:rsid w:val="005E0DF0"/>
    <w:rsid w:val="005E2FF6"/>
    <w:rsid w:val="005E3419"/>
    <w:rsid w:val="005E34EA"/>
    <w:rsid w:val="005E3FB2"/>
    <w:rsid w:val="005E751A"/>
    <w:rsid w:val="005F012D"/>
    <w:rsid w:val="005F0CA6"/>
    <w:rsid w:val="005F221B"/>
    <w:rsid w:val="005F42C5"/>
    <w:rsid w:val="005F48DE"/>
    <w:rsid w:val="005F7024"/>
    <w:rsid w:val="00600102"/>
    <w:rsid w:val="00601D3D"/>
    <w:rsid w:val="0060330F"/>
    <w:rsid w:val="006039BB"/>
    <w:rsid w:val="00604C7B"/>
    <w:rsid w:val="006117E4"/>
    <w:rsid w:val="00616872"/>
    <w:rsid w:val="006204A7"/>
    <w:rsid w:val="006238E1"/>
    <w:rsid w:val="006268DB"/>
    <w:rsid w:val="00627E17"/>
    <w:rsid w:val="00630BDC"/>
    <w:rsid w:val="00630C12"/>
    <w:rsid w:val="00631068"/>
    <w:rsid w:val="006333AF"/>
    <w:rsid w:val="0063582D"/>
    <w:rsid w:val="006374EE"/>
    <w:rsid w:val="006433ED"/>
    <w:rsid w:val="00645BD9"/>
    <w:rsid w:val="00646351"/>
    <w:rsid w:val="0065050A"/>
    <w:rsid w:val="006513FE"/>
    <w:rsid w:val="0065354D"/>
    <w:rsid w:val="0065472A"/>
    <w:rsid w:val="0065631C"/>
    <w:rsid w:val="0065675D"/>
    <w:rsid w:val="0066277C"/>
    <w:rsid w:val="006631BB"/>
    <w:rsid w:val="006643B1"/>
    <w:rsid w:val="006704D3"/>
    <w:rsid w:val="00671709"/>
    <w:rsid w:val="00672EA6"/>
    <w:rsid w:val="006745D6"/>
    <w:rsid w:val="00674E25"/>
    <w:rsid w:val="0067636E"/>
    <w:rsid w:val="00676F66"/>
    <w:rsid w:val="006802F5"/>
    <w:rsid w:val="00681B36"/>
    <w:rsid w:val="00682F3F"/>
    <w:rsid w:val="0068465B"/>
    <w:rsid w:val="00686C23"/>
    <w:rsid w:val="0069476A"/>
    <w:rsid w:val="006A187B"/>
    <w:rsid w:val="006A7C46"/>
    <w:rsid w:val="006B3419"/>
    <w:rsid w:val="006B5645"/>
    <w:rsid w:val="006B567E"/>
    <w:rsid w:val="006D2941"/>
    <w:rsid w:val="006E1C21"/>
    <w:rsid w:val="006E5F66"/>
    <w:rsid w:val="006E616F"/>
    <w:rsid w:val="006E6265"/>
    <w:rsid w:val="006E691F"/>
    <w:rsid w:val="006E747F"/>
    <w:rsid w:val="006F4830"/>
    <w:rsid w:val="006F53A1"/>
    <w:rsid w:val="006F60E3"/>
    <w:rsid w:val="006F7F18"/>
    <w:rsid w:val="007041FF"/>
    <w:rsid w:val="0070432C"/>
    <w:rsid w:val="00705281"/>
    <w:rsid w:val="0070544A"/>
    <w:rsid w:val="007105D4"/>
    <w:rsid w:val="00712E45"/>
    <w:rsid w:val="00714EDA"/>
    <w:rsid w:val="00715971"/>
    <w:rsid w:val="0072239D"/>
    <w:rsid w:val="00722E92"/>
    <w:rsid w:val="00723A7F"/>
    <w:rsid w:val="00731307"/>
    <w:rsid w:val="00742138"/>
    <w:rsid w:val="0074389D"/>
    <w:rsid w:val="00744E2B"/>
    <w:rsid w:val="007451E3"/>
    <w:rsid w:val="00750A9C"/>
    <w:rsid w:val="0075595F"/>
    <w:rsid w:val="007564E2"/>
    <w:rsid w:val="00757C03"/>
    <w:rsid w:val="00757ED4"/>
    <w:rsid w:val="007622E1"/>
    <w:rsid w:val="0076590F"/>
    <w:rsid w:val="00766E51"/>
    <w:rsid w:val="00770384"/>
    <w:rsid w:val="00772F6C"/>
    <w:rsid w:val="00773CE9"/>
    <w:rsid w:val="00775161"/>
    <w:rsid w:val="00777C8C"/>
    <w:rsid w:val="0078303E"/>
    <w:rsid w:val="007865D8"/>
    <w:rsid w:val="00786DDE"/>
    <w:rsid w:val="00792ABE"/>
    <w:rsid w:val="00795FC7"/>
    <w:rsid w:val="007A101E"/>
    <w:rsid w:val="007A4FFD"/>
    <w:rsid w:val="007B0920"/>
    <w:rsid w:val="007B0D75"/>
    <w:rsid w:val="007B0DCD"/>
    <w:rsid w:val="007B40CD"/>
    <w:rsid w:val="007B5F06"/>
    <w:rsid w:val="007C3B71"/>
    <w:rsid w:val="007C56B2"/>
    <w:rsid w:val="007D1487"/>
    <w:rsid w:val="007D21F7"/>
    <w:rsid w:val="007D532B"/>
    <w:rsid w:val="007E2AA0"/>
    <w:rsid w:val="007E3074"/>
    <w:rsid w:val="007E66C2"/>
    <w:rsid w:val="007E71DD"/>
    <w:rsid w:val="007F1F13"/>
    <w:rsid w:val="007F28F2"/>
    <w:rsid w:val="007F37EC"/>
    <w:rsid w:val="007F780A"/>
    <w:rsid w:val="00806439"/>
    <w:rsid w:val="00807E8B"/>
    <w:rsid w:val="00810562"/>
    <w:rsid w:val="008138B1"/>
    <w:rsid w:val="00815E67"/>
    <w:rsid w:val="00816328"/>
    <w:rsid w:val="00816E98"/>
    <w:rsid w:val="0082011A"/>
    <w:rsid w:val="00820261"/>
    <w:rsid w:val="00823678"/>
    <w:rsid w:val="008265FB"/>
    <w:rsid w:val="0083307F"/>
    <w:rsid w:val="008402D5"/>
    <w:rsid w:val="00844028"/>
    <w:rsid w:val="0084464F"/>
    <w:rsid w:val="00844681"/>
    <w:rsid w:val="0084596D"/>
    <w:rsid w:val="00850170"/>
    <w:rsid w:val="00850A81"/>
    <w:rsid w:val="00853FDC"/>
    <w:rsid w:val="00855B9C"/>
    <w:rsid w:val="00857A81"/>
    <w:rsid w:val="0086120E"/>
    <w:rsid w:val="00867BB1"/>
    <w:rsid w:val="008723BB"/>
    <w:rsid w:val="0087434D"/>
    <w:rsid w:val="008758F6"/>
    <w:rsid w:val="0088044B"/>
    <w:rsid w:val="008815F1"/>
    <w:rsid w:val="00886001"/>
    <w:rsid w:val="0088782C"/>
    <w:rsid w:val="00887CEE"/>
    <w:rsid w:val="00895349"/>
    <w:rsid w:val="008963F5"/>
    <w:rsid w:val="008A160E"/>
    <w:rsid w:val="008A1BC0"/>
    <w:rsid w:val="008A1C89"/>
    <w:rsid w:val="008A452D"/>
    <w:rsid w:val="008A50D6"/>
    <w:rsid w:val="008A772E"/>
    <w:rsid w:val="008A77A6"/>
    <w:rsid w:val="008A7F32"/>
    <w:rsid w:val="008B7214"/>
    <w:rsid w:val="008D2524"/>
    <w:rsid w:val="008E370D"/>
    <w:rsid w:val="008E3AE4"/>
    <w:rsid w:val="008E7B24"/>
    <w:rsid w:val="008F3907"/>
    <w:rsid w:val="008F3F36"/>
    <w:rsid w:val="008F4C30"/>
    <w:rsid w:val="008F7242"/>
    <w:rsid w:val="0090034A"/>
    <w:rsid w:val="00901F55"/>
    <w:rsid w:val="00910563"/>
    <w:rsid w:val="00910BB9"/>
    <w:rsid w:val="00912E35"/>
    <w:rsid w:val="0091346D"/>
    <w:rsid w:val="00914125"/>
    <w:rsid w:val="009168DA"/>
    <w:rsid w:val="0091746B"/>
    <w:rsid w:val="00922C37"/>
    <w:rsid w:val="00922E0D"/>
    <w:rsid w:val="00922EF4"/>
    <w:rsid w:val="00923621"/>
    <w:rsid w:val="00925BAE"/>
    <w:rsid w:val="00934CFF"/>
    <w:rsid w:val="0094040B"/>
    <w:rsid w:val="00942E0B"/>
    <w:rsid w:val="00945BBC"/>
    <w:rsid w:val="00950499"/>
    <w:rsid w:val="00951D67"/>
    <w:rsid w:val="009534CD"/>
    <w:rsid w:val="00956305"/>
    <w:rsid w:val="009568E1"/>
    <w:rsid w:val="00956C59"/>
    <w:rsid w:val="009606DB"/>
    <w:rsid w:val="00961105"/>
    <w:rsid w:val="00961CF2"/>
    <w:rsid w:val="009637CC"/>
    <w:rsid w:val="00967914"/>
    <w:rsid w:val="00972E11"/>
    <w:rsid w:val="00976194"/>
    <w:rsid w:val="00980790"/>
    <w:rsid w:val="00980965"/>
    <w:rsid w:val="00983D29"/>
    <w:rsid w:val="00983EC2"/>
    <w:rsid w:val="009929CB"/>
    <w:rsid w:val="00992C48"/>
    <w:rsid w:val="00994EDA"/>
    <w:rsid w:val="00996D63"/>
    <w:rsid w:val="00997B73"/>
    <w:rsid w:val="00997B9E"/>
    <w:rsid w:val="00997CAB"/>
    <w:rsid w:val="009A3719"/>
    <w:rsid w:val="009A39CE"/>
    <w:rsid w:val="009B7AFF"/>
    <w:rsid w:val="009C05E6"/>
    <w:rsid w:val="009D3DFA"/>
    <w:rsid w:val="009D5128"/>
    <w:rsid w:val="009D5D04"/>
    <w:rsid w:val="009E0844"/>
    <w:rsid w:val="009E263C"/>
    <w:rsid w:val="009E27FC"/>
    <w:rsid w:val="009E4F5A"/>
    <w:rsid w:val="009F038B"/>
    <w:rsid w:val="009F232A"/>
    <w:rsid w:val="009F339E"/>
    <w:rsid w:val="009F37F6"/>
    <w:rsid w:val="009F3D95"/>
    <w:rsid w:val="00A03AB6"/>
    <w:rsid w:val="00A04F30"/>
    <w:rsid w:val="00A11937"/>
    <w:rsid w:val="00A11C5F"/>
    <w:rsid w:val="00A3173D"/>
    <w:rsid w:val="00A317FB"/>
    <w:rsid w:val="00A32ED7"/>
    <w:rsid w:val="00A33B45"/>
    <w:rsid w:val="00A3438F"/>
    <w:rsid w:val="00A34A82"/>
    <w:rsid w:val="00A34C6D"/>
    <w:rsid w:val="00A430CF"/>
    <w:rsid w:val="00A464EF"/>
    <w:rsid w:val="00A478F7"/>
    <w:rsid w:val="00A5325C"/>
    <w:rsid w:val="00A5593A"/>
    <w:rsid w:val="00A600C1"/>
    <w:rsid w:val="00A61E5C"/>
    <w:rsid w:val="00A72A31"/>
    <w:rsid w:val="00A76D15"/>
    <w:rsid w:val="00A80572"/>
    <w:rsid w:val="00A82BB8"/>
    <w:rsid w:val="00A872C3"/>
    <w:rsid w:val="00A90358"/>
    <w:rsid w:val="00A90A88"/>
    <w:rsid w:val="00A91212"/>
    <w:rsid w:val="00AA086B"/>
    <w:rsid w:val="00AA26EB"/>
    <w:rsid w:val="00AA3B97"/>
    <w:rsid w:val="00AA5D4A"/>
    <w:rsid w:val="00AA74F1"/>
    <w:rsid w:val="00AB08D8"/>
    <w:rsid w:val="00AB72A3"/>
    <w:rsid w:val="00AB76A9"/>
    <w:rsid w:val="00AC3B61"/>
    <w:rsid w:val="00AC7A32"/>
    <w:rsid w:val="00AD13BC"/>
    <w:rsid w:val="00AD1B3E"/>
    <w:rsid w:val="00AD38E5"/>
    <w:rsid w:val="00AD46EC"/>
    <w:rsid w:val="00AE0E99"/>
    <w:rsid w:val="00AF0E33"/>
    <w:rsid w:val="00B0046B"/>
    <w:rsid w:val="00B03495"/>
    <w:rsid w:val="00B049FA"/>
    <w:rsid w:val="00B04E35"/>
    <w:rsid w:val="00B13317"/>
    <w:rsid w:val="00B14B93"/>
    <w:rsid w:val="00B240D8"/>
    <w:rsid w:val="00B310E5"/>
    <w:rsid w:val="00B34B8F"/>
    <w:rsid w:val="00B37F3D"/>
    <w:rsid w:val="00B403F1"/>
    <w:rsid w:val="00B40ACD"/>
    <w:rsid w:val="00B41AB2"/>
    <w:rsid w:val="00B42A85"/>
    <w:rsid w:val="00B4586E"/>
    <w:rsid w:val="00B47EC6"/>
    <w:rsid w:val="00B50738"/>
    <w:rsid w:val="00B56ABC"/>
    <w:rsid w:val="00B60E44"/>
    <w:rsid w:val="00B61FF9"/>
    <w:rsid w:val="00B63751"/>
    <w:rsid w:val="00B65D3D"/>
    <w:rsid w:val="00B66879"/>
    <w:rsid w:val="00B719B1"/>
    <w:rsid w:val="00B73796"/>
    <w:rsid w:val="00B74A93"/>
    <w:rsid w:val="00B769E0"/>
    <w:rsid w:val="00B76F64"/>
    <w:rsid w:val="00B77FC9"/>
    <w:rsid w:val="00B90203"/>
    <w:rsid w:val="00B92165"/>
    <w:rsid w:val="00B9229E"/>
    <w:rsid w:val="00BA1072"/>
    <w:rsid w:val="00BA1995"/>
    <w:rsid w:val="00BA1FFA"/>
    <w:rsid w:val="00BA71B2"/>
    <w:rsid w:val="00BA7CDA"/>
    <w:rsid w:val="00BB055E"/>
    <w:rsid w:val="00BB1D20"/>
    <w:rsid w:val="00BB45C2"/>
    <w:rsid w:val="00BB6663"/>
    <w:rsid w:val="00BB6B31"/>
    <w:rsid w:val="00BC0D5D"/>
    <w:rsid w:val="00BC11DF"/>
    <w:rsid w:val="00BC397C"/>
    <w:rsid w:val="00BD1B35"/>
    <w:rsid w:val="00BD582F"/>
    <w:rsid w:val="00BD6014"/>
    <w:rsid w:val="00BE0899"/>
    <w:rsid w:val="00BE3072"/>
    <w:rsid w:val="00BE46D4"/>
    <w:rsid w:val="00BE4BED"/>
    <w:rsid w:val="00BE78A0"/>
    <w:rsid w:val="00C00B3A"/>
    <w:rsid w:val="00C01EEA"/>
    <w:rsid w:val="00C04FDD"/>
    <w:rsid w:val="00C06901"/>
    <w:rsid w:val="00C10715"/>
    <w:rsid w:val="00C118AC"/>
    <w:rsid w:val="00C14204"/>
    <w:rsid w:val="00C15064"/>
    <w:rsid w:val="00C17895"/>
    <w:rsid w:val="00C21B5A"/>
    <w:rsid w:val="00C23B46"/>
    <w:rsid w:val="00C25D19"/>
    <w:rsid w:val="00C324F8"/>
    <w:rsid w:val="00C34241"/>
    <w:rsid w:val="00C37C51"/>
    <w:rsid w:val="00C44C0D"/>
    <w:rsid w:val="00C44C75"/>
    <w:rsid w:val="00C50775"/>
    <w:rsid w:val="00C51A27"/>
    <w:rsid w:val="00C520BD"/>
    <w:rsid w:val="00C6253F"/>
    <w:rsid w:val="00C63EF2"/>
    <w:rsid w:val="00C64F5A"/>
    <w:rsid w:val="00C747D9"/>
    <w:rsid w:val="00C7729D"/>
    <w:rsid w:val="00C822D7"/>
    <w:rsid w:val="00C850FD"/>
    <w:rsid w:val="00C87B87"/>
    <w:rsid w:val="00C934E2"/>
    <w:rsid w:val="00C94574"/>
    <w:rsid w:val="00C9703A"/>
    <w:rsid w:val="00CA48B0"/>
    <w:rsid w:val="00CA7829"/>
    <w:rsid w:val="00CB1555"/>
    <w:rsid w:val="00CB1963"/>
    <w:rsid w:val="00CB1E25"/>
    <w:rsid w:val="00CB595B"/>
    <w:rsid w:val="00CB6238"/>
    <w:rsid w:val="00CC0307"/>
    <w:rsid w:val="00CD2AB3"/>
    <w:rsid w:val="00CD5447"/>
    <w:rsid w:val="00CE02C3"/>
    <w:rsid w:val="00CE187B"/>
    <w:rsid w:val="00CE1A63"/>
    <w:rsid w:val="00CF0833"/>
    <w:rsid w:val="00CF1814"/>
    <w:rsid w:val="00CF2667"/>
    <w:rsid w:val="00CF2E69"/>
    <w:rsid w:val="00CF33B4"/>
    <w:rsid w:val="00D039C5"/>
    <w:rsid w:val="00D03C31"/>
    <w:rsid w:val="00D065F9"/>
    <w:rsid w:val="00D12262"/>
    <w:rsid w:val="00D127E7"/>
    <w:rsid w:val="00D15D80"/>
    <w:rsid w:val="00D167CB"/>
    <w:rsid w:val="00D2248B"/>
    <w:rsid w:val="00D23019"/>
    <w:rsid w:val="00D23C7C"/>
    <w:rsid w:val="00D25D94"/>
    <w:rsid w:val="00D267C4"/>
    <w:rsid w:val="00D27344"/>
    <w:rsid w:val="00D348CE"/>
    <w:rsid w:val="00D40F8E"/>
    <w:rsid w:val="00D4246A"/>
    <w:rsid w:val="00D470C6"/>
    <w:rsid w:val="00D52B93"/>
    <w:rsid w:val="00D53004"/>
    <w:rsid w:val="00D70AB1"/>
    <w:rsid w:val="00D71350"/>
    <w:rsid w:val="00D736CF"/>
    <w:rsid w:val="00D836E6"/>
    <w:rsid w:val="00D872FC"/>
    <w:rsid w:val="00D91349"/>
    <w:rsid w:val="00D9729F"/>
    <w:rsid w:val="00D9774E"/>
    <w:rsid w:val="00DA1D58"/>
    <w:rsid w:val="00DA3524"/>
    <w:rsid w:val="00DA7F7F"/>
    <w:rsid w:val="00DB35A9"/>
    <w:rsid w:val="00DB3C21"/>
    <w:rsid w:val="00DB51E6"/>
    <w:rsid w:val="00DB6AC9"/>
    <w:rsid w:val="00DC33C9"/>
    <w:rsid w:val="00DC3413"/>
    <w:rsid w:val="00DD3B63"/>
    <w:rsid w:val="00DD76DE"/>
    <w:rsid w:val="00DE275A"/>
    <w:rsid w:val="00DE7037"/>
    <w:rsid w:val="00DE723D"/>
    <w:rsid w:val="00DE7D0B"/>
    <w:rsid w:val="00DE7DCF"/>
    <w:rsid w:val="00DF1530"/>
    <w:rsid w:val="00DF29C3"/>
    <w:rsid w:val="00DF447B"/>
    <w:rsid w:val="00DF5FB3"/>
    <w:rsid w:val="00E000EB"/>
    <w:rsid w:val="00E02C25"/>
    <w:rsid w:val="00E02E28"/>
    <w:rsid w:val="00E03C35"/>
    <w:rsid w:val="00E069ED"/>
    <w:rsid w:val="00E142BD"/>
    <w:rsid w:val="00E20017"/>
    <w:rsid w:val="00E20D8C"/>
    <w:rsid w:val="00E23F4C"/>
    <w:rsid w:val="00E24C6C"/>
    <w:rsid w:val="00E24F7F"/>
    <w:rsid w:val="00E2562C"/>
    <w:rsid w:val="00E25905"/>
    <w:rsid w:val="00E379DC"/>
    <w:rsid w:val="00E45E88"/>
    <w:rsid w:val="00E46345"/>
    <w:rsid w:val="00E47EEE"/>
    <w:rsid w:val="00E53F89"/>
    <w:rsid w:val="00E60EE5"/>
    <w:rsid w:val="00E65237"/>
    <w:rsid w:val="00E6545D"/>
    <w:rsid w:val="00E658FF"/>
    <w:rsid w:val="00E675F8"/>
    <w:rsid w:val="00E71B58"/>
    <w:rsid w:val="00E7429F"/>
    <w:rsid w:val="00E758C6"/>
    <w:rsid w:val="00E83608"/>
    <w:rsid w:val="00E855F4"/>
    <w:rsid w:val="00E8622A"/>
    <w:rsid w:val="00E86688"/>
    <w:rsid w:val="00E925E0"/>
    <w:rsid w:val="00E97CC8"/>
    <w:rsid w:val="00EA0AC2"/>
    <w:rsid w:val="00EA2F66"/>
    <w:rsid w:val="00EA3DF0"/>
    <w:rsid w:val="00EA45C6"/>
    <w:rsid w:val="00EA5145"/>
    <w:rsid w:val="00EA5223"/>
    <w:rsid w:val="00EA6573"/>
    <w:rsid w:val="00EB5BF5"/>
    <w:rsid w:val="00EC6164"/>
    <w:rsid w:val="00ED07E9"/>
    <w:rsid w:val="00ED799A"/>
    <w:rsid w:val="00EE13AA"/>
    <w:rsid w:val="00EE2B34"/>
    <w:rsid w:val="00EF05EA"/>
    <w:rsid w:val="00EF53BE"/>
    <w:rsid w:val="00EF5A21"/>
    <w:rsid w:val="00F00AC1"/>
    <w:rsid w:val="00F01169"/>
    <w:rsid w:val="00F02AC7"/>
    <w:rsid w:val="00F04B03"/>
    <w:rsid w:val="00F0689D"/>
    <w:rsid w:val="00F14DEF"/>
    <w:rsid w:val="00F20016"/>
    <w:rsid w:val="00F21554"/>
    <w:rsid w:val="00F21570"/>
    <w:rsid w:val="00F235B5"/>
    <w:rsid w:val="00F24AAE"/>
    <w:rsid w:val="00F27457"/>
    <w:rsid w:val="00F3012F"/>
    <w:rsid w:val="00F3208D"/>
    <w:rsid w:val="00F32FC8"/>
    <w:rsid w:val="00F37F08"/>
    <w:rsid w:val="00F4392A"/>
    <w:rsid w:val="00F5162A"/>
    <w:rsid w:val="00F51862"/>
    <w:rsid w:val="00F53C8C"/>
    <w:rsid w:val="00F55670"/>
    <w:rsid w:val="00F55DCE"/>
    <w:rsid w:val="00F55F8F"/>
    <w:rsid w:val="00F565AB"/>
    <w:rsid w:val="00F578FD"/>
    <w:rsid w:val="00F63198"/>
    <w:rsid w:val="00F711DA"/>
    <w:rsid w:val="00F71D48"/>
    <w:rsid w:val="00F744ED"/>
    <w:rsid w:val="00F778EE"/>
    <w:rsid w:val="00F821F1"/>
    <w:rsid w:val="00F8331C"/>
    <w:rsid w:val="00F91330"/>
    <w:rsid w:val="00F96366"/>
    <w:rsid w:val="00FA228E"/>
    <w:rsid w:val="00FA2A76"/>
    <w:rsid w:val="00FA4707"/>
    <w:rsid w:val="00FA600E"/>
    <w:rsid w:val="00FB2B25"/>
    <w:rsid w:val="00FB7505"/>
    <w:rsid w:val="00FC0D21"/>
    <w:rsid w:val="00FC450E"/>
    <w:rsid w:val="00FD0230"/>
    <w:rsid w:val="00FD1371"/>
    <w:rsid w:val="00FD320B"/>
    <w:rsid w:val="00FD7274"/>
    <w:rsid w:val="00FE10B3"/>
    <w:rsid w:val="00FF3396"/>
    <w:rsid w:val="00FF559D"/>
    <w:rsid w:val="00FF6FFB"/>
    <w:rsid w:val="01223B82"/>
    <w:rsid w:val="016F1D40"/>
    <w:rsid w:val="03E33DD9"/>
    <w:rsid w:val="05307A4F"/>
    <w:rsid w:val="056A4851"/>
    <w:rsid w:val="05A27B0B"/>
    <w:rsid w:val="08386613"/>
    <w:rsid w:val="08EE531A"/>
    <w:rsid w:val="0BB343FD"/>
    <w:rsid w:val="0D9919F2"/>
    <w:rsid w:val="0D997E11"/>
    <w:rsid w:val="0E6E1F70"/>
    <w:rsid w:val="0F3B481A"/>
    <w:rsid w:val="0FAD441B"/>
    <w:rsid w:val="101E6A90"/>
    <w:rsid w:val="10521825"/>
    <w:rsid w:val="10556CA5"/>
    <w:rsid w:val="12EF594B"/>
    <w:rsid w:val="13CC45E6"/>
    <w:rsid w:val="13DB59BF"/>
    <w:rsid w:val="140C50F1"/>
    <w:rsid w:val="15500EE4"/>
    <w:rsid w:val="1573688D"/>
    <w:rsid w:val="16814D35"/>
    <w:rsid w:val="16B64A88"/>
    <w:rsid w:val="176C72F7"/>
    <w:rsid w:val="17D50F45"/>
    <w:rsid w:val="18973A8F"/>
    <w:rsid w:val="18C06DCB"/>
    <w:rsid w:val="199371E9"/>
    <w:rsid w:val="1A571254"/>
    <w:rsid w:val="1AC00A95"/>
    <w:rsid w:val="1CB90B05"/>
    <w:rsid w:val="1DEC0CB4"/>
    <w:rsid w:val="1E137A05"/>
    <w:rsid w:val="1E182BC2"/>
    <w:rsid w:val="1FFA0DD0"/>
    <w:rsid w:val="216343A5"/>
    <w:rsid w:val="230D7D00"/>
    <w:rsid w:val="23622055"/>
    <w:rsid w:val="266E15AC"/>
    <w:rsid w:val="272B250C"/>
    <w:rsid w:val="278D0291"/>
    <w:rsid w:val="27A34589"/>
    <w:rsid w:val="2818783A"/>
    <w:rsid w:val="28ED1D58"/>
    <w:rsid w:val="2C655C27"/>
    <w:rsid w:val="2D2A0E3B"/>
    <w:rsid w:val="2DCF21E3"/>
    <w:rsid w:val="2E0C512A"/>
    <w:rsid w:val="2E6C583F"/>
    <w:rsid w:val="2EBD7572"/>
    <w:rsid w:val="31192C73"/>
    <w:rsid w:val="31E242B8"/>
    <w:rsid w:val="322D5BCA"/>
    <w:rsid w:val="346D7BCB"/>
    <w:rsid w:val="348D609E"/>
    <w:rsid w:val="34E42621"/>
    <w:rsid w:val="3658101D"/>
    <w:rsid w:val="36795EDE"/>
    <w:rsid w:val="39822ECD"/>
    <w:rsid w:val="3AF25BC3"/>
    <w:rsid w:val="3CB74315"/>
    <w:rsid w:val="3E98676B"/>
    <w:rsid w:val="3ECD186C"/>
    <w:rsid w:val="3EF800F4"/>
    <w:rsid w:val="41072321"/>
    <w:rsid w:val="41A45390"/>
    <w:rsid w:val="441C365B"/>
    <w:rsid w:val="46283A92"/>
    <w:rsid w:val="47983BE8"/>
    <w:rsid w:val="47FE50B0"/>
    <w:rsid w:val="48296EC5"/>
    <w:rsid w:val="483C628E"/>
    <w:rsid w:val="485C5145"/>
    <w:rsid w:val="498806C4"/>
    <w:rsid w:val="4A2C7471"/>
    <w:rsid w:val="4ABE6D15"/>
    <w:rsid w:val="4AEF160C"/>
    <w:rsid w:val="4B931DE9"/>
    <w:rsid w:val="4BD25672"/>
    <w:rsid w:val="4DB90528"/>
    <w:rsid w:val="4EA25347"/>
    <w:rsid w:val="4FF618E1"/>
    <w:rsid w:val="4FFB4AB9"/>
    <w:rsid w:val="50BE55B0"/>
    <w:rsid w:val="50FE0106"/>
    <w:rsid w:val="51E27328"/>
    <w:rsid w:val="52486423"/>
    <w:rsid w:val="5251715F"/>
    <w:rsid w:val="52C41E73"/>
    <w:rsid w:val="53097BE7"/>
    <w:rsid w:val="543E1DAD"/>
    <w:rsid w:val="548F5A95"/>
    <w:rsid w:val="563748F5"/>
    <w:rsid w:val="564D4072"/>
    <w:rsid w:val="575460A3"/>
    <w:rsid w:val="57A67CB8"/>
    <w:rsid w:val="587E53EF"/>
    <w:rsid w:val="59A61CD2"/>
    <w:rsid w:val="59B02397"/>
    <w:rsid w:val="59B404E9"/>
    <w:rsid w:val="5A672223"/>
    <w:rsid w:val="5A84289A"/>
    <w:rsid w:val="5AE8062A"/>
    <w:rsid w:val="5B1332C5"/>
    <w:rsid w:val="5BD93003"/>
    <w:rsid w:val="5E8D338B"/>
    <w:rsid w:val="5FB2527F"/>
    <w:rsid w:val="60740A84"/>
    <w:rsid w:val="63011BB9"/>
    <w:rsid w:val="653538E0"/>
    <w:rsid w:val="65D64E29"/>
    <w:rsid w:val="67413759"/>
    <w:rsid w:val="67667244"/>
    <w:rsid w:val="682417D2"/>
    <w:rsid w:val="68337853"/>
    <w:rsid w:val="687803F6"/>
    <w:rsid w:val="69252556"/>
    <w:rsid w:val="69C020E6"/>
    <w:rsid w:val="6B0C2D7F"/>
    <w:rsid w:val="6B851E3A"/>
    <w:rsid w:val="6BC40E47"/>
    <w:rsid w:val="6BEC7394"/>
    <w:rsid w:val="6C11256B"/>
    <w:rsid w:val="6E3B28BC"/>
    <w:rsid w:val="6EC90D29"/>
    <w:rsid w:val="6F26322D"/>
    <w:rsid w:val="70783D1B"/>
    <w:rsid w:val="71331A74"/>
    <w:rsid w:val="714D7E17"/>
    <w:rsid w:val="71662E0E"/>
    <w:rsid w:val="71CE7FF5"/>
    <w:rsid w:val="71FE56EF"/>
    <w:rsid w:val="724A1C37"/>
    <w:rsid w:val="726E03B5"/>
    <w:rsid w:val="74C96256"/>
    <w:rsid w:val="75113249"/>
    <w:rsid w:val="75E102D2"/>
    <w:rsid w:val="76665502"/>
    <w:rsid w:val="77CC40D6"/>
    <w:rsid w:val="78851791"/>
    <w:rsid w:val="78A432B2"/>
    <w:rsid w:val="7B77224B"/>
    <w:rsid w:val="7C373D9B"/>
    <w:rsid w:val="7C3C1BB8"/>
    <w:rsid w:val="7D8F3F69"/>
    <w:rsid w:val="7E250970"/>
    <w:rsid w:val="7F3D7670"/>
    <w:rsid w:val="7FA4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5797B7"/>
  <w15:docId w15:val="{B1099E73-1ED1-4B99-9380-588DAA25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30">
    <w:name w:val="toc 3"/>
    <w:basedOn w:val="a"/>
    <w:next w:val="a"/>
    <w:qFormat/>
    <w:pPr>
      <w:ind w:leftChars="400" w:left="840"/>
    </w:p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1">
    <w:name w:val="修订3"/>
    <w:hidden/>
    <w:uiPriority w:val="99"/>
    <w:semiHidden/>
    <w:qFormat/>
    <w:rPr>
      <w:kern w:val="2"/>
      <w:sz w:val="21"/>
    </w:rPr>
  </w:style>
  <w:style w:type="character" w:customStyle="1" w:styleId="read">
    <w:name w:val="rea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5CB1A-F47C-4A7C-B5EE-2548EDED2647}">
  <ds:schemaRefs>
    <ds:schemaRef ds:uri="http://schemas.openxmlformats.org/officeDocument/2006/bibliography"/>
  </ds:schemaRefs>
</ds:datastoreItem>
</file>

<file path=customXml/itemProps3.xml><?xml version="1.0" encoding="utf-8"?>
<ds:datastoreItem xmlns:ds="http://schemas.openxmlformats.org/officeDocument/2006/customXml" ds:itemID="{BB7EFD2C-269E-4699-8EF8-3F1C811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33009</Words>
  <Characters>3139</Characters>
  <Application>Microsoft Office Word</Application>
  <DocSecurity>0</DocSecurity>
  <Lines>26</Lines>
  <Paragraphs>72</Paragraphs>
  <ScaleCrop>false</ScaleCrop>
  <Company>神州网信技术有限公司</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赵子聪</cp:lastModifiedBy>
  <cp:revision>5</cp:revision>
  <cp:lastPrinted>2022-09-05T03:01:00Z</cp:lastPrinted>
  <dcterms:created xsi:type="dcterms:W3CDTF">2022-08-22T10:36:00Z</dcterms:created>
  <dcterms:modified xsi:type="dcterms:W3CDTF">2022-10-19T08:44:00Z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commondata">
    <vt:lpwstr>eyJoZGlkIjoiN2MxZmM0NGFjMzRmYzk2MDIyZjcyMDllY2ZlOGQ0YzIifQ==</vt:lpwstr>
  </property>
  <property fmtid="{D5CDD505-2E9C-101B-9397-08002B2CF9AE}" pid="4" name="ICV">
    <vt:lpwstr>2683BC209E6E4DEBAC9B9DDBAA504F9C</vt:lpwstr>
  </property>
</Properties>
</file>