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CBBC" w14:textId="77777777" w:rsidR="00204A30" w:rsidRDefault="007641D4">
      <w:pPr>
        <w:spacing w:line="520" w:lineRule="exact"/>
        <w:jc w:val="right"/>
        <w:rPr>
          <w:rFonts w:ascii="宋体" w:hAnsi="宋体"/>
          <w:sz w:val="28"/>
          <w:szCs w:val="28"/>
        </w:rPr>
      </w:pPr>
      <w:r>
        <w:rPr>
          <w:rFonts w:ascii="宋体" w:hint="eastAsia"/>
          <w:sz w:val="24"/>
          <w:szCs w:val="28"/>
        </w:rPr>
        <w:t>编号：银【 】字/第【 】号</w:t>
      </w:r>
    </w:p>
    <w:p w14:paraId="02B7CA76" w14:textId="77777777" w:rsidR="00204A30" w:rsidRDefault="00204A30">
      <w:pPr>
        <w:spacing w:line="520" w:lineRule="exact"/>
        <w:jc w:val="center"/>
        <w:rPr>
          <w:rFonts w:ascii="宋体" w:hAnsi="宋体"/>
          <w:sz w:val="28"/>
          <w:szCs w:val="28"/>
        </w:rPr>
      </w:pPr>
    </w:p>
    <w:p w14:paraId="5FDEB834" w14:textId="77777777" w:rsidR="00204A30" w:rsidRDefault="00204A30">
      <w:pPr>
        <w:spacing w:line="520" w:lineRule="exact"/>
        <w:jc w:val="center"/>
        <w:rPr>
          <w:rFonts w:ascii="宋体" w:hAnsi="宋体"/>
          <w:sz w:val="28"/>
          <w:szCs w:val="28"/>
        </w:rPr>
      </w:pPr>
    </w:p>
    <w:p w14:paraId="7E4D8A97" w14:textId="77777777" w:rsidR="00204A30" w:rsidRDefault="00204A30">
      <w:pPr>
        <w:spacing w:line="520" w:lineRule="exact"/>
        <w:jc w:val="center"/>
        <w:rPr>
          <w:rFonts w:ascii="宋体" w:hAnsi="宋体"/>
          <w:sz w:val="28"/>
          <w:szCs w:val="28"/>
        </w:rPr>
      </w:pPr>
    </w:p>
    <w:p w14:paraId="7FCAC2AE" w14:textId="77777777" w:rsidR="00204A30" w:rsidRDefault="00204A30">
      <w:pPr>
        <w:spacing w:line="520" w:lineRule="exact"/>
        <w:jc w:val="center"/>
        <w:rPr>
          <w:rFonts w:ascii="宋体" w:hAnsi="宋体"/>
          <w:sz w:val="28"/>
          <w:szCs w:val="28"/>
        </w:rPr>
      </w:pPr>
    </w:p>
    <w:p w14:paraId="209B88EB" w14:textId="77777777" w:rsidR="00204A30" w:rsidRDefault="00204A30">
      <w:pPr>
        <w:spacing w:line="520" w:lineRule="exact"/>
        <w:jc w:val="center"/>
        <w:rPr>
          <w:rFonts w:ascii="宋体" w:hAnsi="宋体"/>
          <w:sz w:val="28"/>
          <w:szCs w:val="28"/>
        </w:rPr>
      </w:pPr>
    </w:p>
    <w:p w14:paraId="09E07505" w14:textId="77777777" w:rsidR="00204A30" w:rsidRDefault="005E0A7E">
      <w:pPr>
        <w:spacing w:line="360" w:lineRule="auto"/>
        <w:jc w:val="center"/>
        <w:rPr>
          <w:rFonts w:ascii="宋体" w:hAnsi="宋体"/>
          <w:b/>
          <w:sz w:val="48"/>
        </w:rPr>
      </w:pPr>
      <w:bookmarkStart w:id="0" w:name="_Toc123112261"/>
      <w:bookmarkStart w:id="1" w:name="_Toc123112222"/>
      <w:bookmarkStart w:id="2" w:name="_Toc123701381"/>
      <w:bookmarkStart w:id="3" w:name="_Toc139992299"/>
      <w:bookmarkStart w:id="4" w:name="_Toc139991724"/>
      <w:bookmarkStart w:id="5" w:name="OLE_LINK101"/>
      <w:bookmarkStart w:id="6" w:name="OLE_LINK100"/>
      <w:r>
        <w:rPr>
          <w:rFonts w:ascii="宋体" w:hAnsi="宋体" w:hint="eastAsia"/>
          <w:b/>
          <w:sz w:val="48"/>
        </w:rPr>
        <w:t>中信建投中证同业存单AAA指数</w:t>
      </w:r>
      <w:r w:rsidR="007641D4">
        <w:rPr>
          <w:rFonts w:ascii="宋体" w:hAnsi="宋体" w:hint="eastAsia"/>
          <w:b/>
          <w:sz w:val="48"/>
        </w:rPr>
        <w:t>7天持有期证券投资基金</w:t>
      </w:r>
    </w:p>
    <w:bookmarkEnd w:id="0"/>
    <w:bookmarkEnd w:id="1"/>
    <w:bookmarkEnd w:id="2"/>
    <w:bookmarkEnd w:id="3"/>
    <w:bookmarkEnd w:id="4"/>
    <w:p w14:paraId="02F5E589" w14:textId="5A66F311" w:rsidR="00204A30" w:rsidRDefault="007641D4">
      <w:pPr>
        <w:spacing w:line="360" w:lineRule="auto"/>
        <w:jc w:val="center"/>
        <w:rPr>
          <w:rFonts w:ascii="宋体" w:hAnsi="宋体"/>
          <w:b/>
          <w:sz w:val="48"/>
        </w:rPr>
      </w:pPr>
      <w:r>
        <w:rPr>
          <w:rFonts w:ascii="宋体" w:hAnsi="宋体" w:hint="eastAsia"/>
          <w:b/>
          <w:sz w:val="48"/>
        </w:rPr>
        <w:t>托管协议</w:t>
      </w:r>
      <w:bookmarkEnd w:id="5"/>
      <w:bookmarkEnd w:id="6"/>
    </w:p>
    <w:p w14:paraId="2E736C66" w14:textId="77777777" w:rsidR="00204A30" w:rsidRDefault="00204A30">
      <w:pPr>
        <w:pStyle w:val="21"/>
        <w:spacing w:line="520" w:lineRule="exact"/>
        <w:ind w:left="0"/>
        <w:jc w:val="center"/>
        <w:rPr>
          <w:rFonts w:hAnsi="宋体"/>
          <w:b/>
          <w:sz w:val="48"/>
        </w:rPr>
      </w:pPr>
    </w:p>
    <w:p w14:paraId="1D123E4E" w14:textId="77777777" w:rsidR="00204A30" w:rsidRDefault="00204A30">
      <w:pPr>
        <w:pStyle w:val="21"/>
        <w:spacing w:line="520" w:lineRule="exact"/>
        <w:ind w:left="0"/>
        <w:jc w:val="center"/>
        <w:rPr>
          <w:rFonts w:hAnsi="宋体"/>
          <w:b/>
          <w:sz w:val="48"/>
        </w:rPr>
      </w:pPr>
    </w:p>
    <w:p w14:paraId="5FECF81F" w14:textId="77777777" w:rsidR="00204A30" w:rsidRDefault="00204A30">
      <w:pPr>
        <w:pStyle w:val="21"/>
        <w:spacing w:line="520" w:lineRule="exact"/>
        <w:ind w:firstLine="560"/>
        <w:rPr>
          <w:rFonts w:hAnsi="宋体"/>
          <w:sz w:val="28"/>
          <w:szCs w:val="28"/>
        </w:rPr>
      </w:pPr>
    </w:p>
    <w:p w14:paraId="20F7A989" w14:textId="77777777" w:rsidR="00204A30" w:rsidRDefault="00204A30">
      <w:pPr>
        <w:pStyle w:val="21"/>
        <w:spacing w:line="520" w:lineRule="exact"/>
        <w:ind w:firstLine="560"/>
        <w:rPr>
          <w:rFonts w:hAnsi="宋体"/>
          <w:sz w:val="28"/>
          <w:szCs w:val="28"/>
        </w:rPr>
      </w:pPr>
    </w:p>
    <w:p w14:paraId="582FB24D" w14:textId="77777777" w:rsidR="00204A30" w:rsidRDefault="00204A30">
      <w:pPr>
        <w:pStyle w:val="21"/>
        <w:spacing w:line="520" w:lineRule="exact"/>
        <w:ind w:firstLine="560"/>
        <w:rPr>
          <w:rFonts w:hAnsi="宋体"/>
          <w:sz w:val="28"/>
          <w:szCs w:val="28"/>
        </w:rPr>
      </w:pPr>
    </w:p>
    <w:p w14:paraId="38D82364" w14:textId="77777777" w:rsidR="00204A30" w:rsidRDefault="00204A30">
      <w:pPr>
        <w:pStyle w:val="21"/>
        <w:spacing w:line="520" w:lineRule="exact"/>
        <w:ind w:firstLine="560"/>
        <w:rPr>
          <w:rFonts w:hAnsi="宋体"/>
          <w:sz w:val="28"/>
          <w:szCs w:val="28"/>
        </w:rPr>
      </w:pPr>
    </w:p>
    <w:p w14:paraId="56D290FD" w14:textId="77777777" w:rsidR="00204A30" w:rsidRDefault="007641D4">
      <w:pPr>
        <w:spacing w:line="360" w:lineRule="auto"/>
        <w:jc w:val="center"/>
        <w:rPr>
          <w:rFonts w:ascii="宋体" w:hAnsi="宋体"/>
          <w:b/>
          <w:sz w:val="36"/>
        </w:rPr>
      </w:pPr>
      <w:bookmarkStart w:id="7" w:name="_Toc123112224"/>
      <w:bookmarkStart w:id="8" w:name="_Toc139992301"/>
      <w:bookmarkStart w:id="9" w:name="_Toc123701383"/>
      <w:bookmarkStart w:id="10" w:name="_Toc139991726"/>
      <w:bookmarkStart w:id="11" w:name="_Toc123112263"/>
      <w:r>
        <w:rPr>
          <w:rFonts w:ascii="宋体" w:hAnsi="宋体"/>
          <w:b/>
          <w:sz w:val="36"/>
        </w:rPr>
        <w:t>基金管理人：</w:t>
      </w:r>
      <w:bookmarkEnd w:id="7"/>
      <w:bookmarkEnd w:id="8"/>
      <w:bookmarkEnd w:id="9"/>
      <w:bookmarkEnd w:id="10"/>
      <w:bookmarkEnd w:id="11"/>
      <w:r w:rsidR="004322DA">
        <w:rPr>
          <w:rFonts w:ascii="宋体" w:hAnsi="宋体" w:hint="eastAsia"/>
          <w:b/>
          <w:sz w:val="36"/>
        </w:rPr>
        <w:t>中信</w:t>
      </w:r>
      <w:proofErr w:type="gramStart"/>
      <w:r w:rsidR="004322DA">
        <w:rPr>
          <w:rFonts w:ascii="宋体" w:hAnsi="宋体" w:hint="eastAsia"/>
          <w:b/>
          <w:sz w:val="36"/>
        </w:rPr>
        <w:t>建投基金</w:t>
      </w:r>
      <w:proofErr w:type="gramEnd"/>
      <w:r w:rsidR="004322DA">
        <w:rPr>
          <w:rFonts w:ascii="宋体" w:hAnsi="宋体" w:hint="eastAsia"/>
          <w:b/>
          <w:sz w:val="36"/>
        </w:rPr>
        <w:t>管理有限公司</w:t>
      </w:r>
    </w:p>
    <w:p w14:paraId="671115B2" w14:textId="77777777" w:rsidR="00204A30" w:rsidRDefault="007641D4">
      <w:pPr>
        <w:spacing w:line="360" w:lineRule="auto"/>
        <w:jc w:val="center"/>
        <w:rPr>
          <w:rFonts w:ascii="宋体" w:hAnsi="宋体"/>
          <w:b/>
          <w:sz w:val="36"/>
        </w:rPr>
      </w:pPr>
      <w:bookmarkStart w:id="12" w:name="_Toc123701384"/>
      <w:bookmarkStart w:id="13" w:name="_Toc139991727"/>
      <w:bookmarkStart w:id="14" w:name="_Toc139992302"/>
      <w:bookmarkStart w:id="15" w:name="_Toc123112225"/>
      <w:bookmarkStart w:id="16" w:name="_Toc123112264"/>
      <w:r>
        <w:rPr>
          <w:rFonts w:ascii="宋体" w:hAnsi="宋体"/>
          <w:b/>
          <w:sz w:val="36"/>
        </w:rPr>
        <w:t>基金托管人：</w:t>
      </w:r>
      <w:r>
        <w:rPr>
          <w:rFonts w:ascii="宋体" w:hAnsi="宋体" w:hint="eastAsia"/>
          <w:b/>
          <w:sz w:val="36"/>
        </w:rPr>
        <w:t>中信银行股份有限公司</w:t>
      </w:r>
      <w:bookmarkEnd w:id="12"/>
      <w:bookmarkEnd w:id="13"/>
      <w:bookmarkEnd w:id="14"/>
      <w:bookmarkEnd w:id="15"/>
      <w:bookmarkEnd w:id="16"/>
    </w:p>
    <w:p w14:paraId="157A3B10" w14:textId="77777777" w:rsidR="00204A30" w:rsidRDefault="00204A30">
      <w:pPr>
        <w:spacing w:line="360" w:lineRule="auto"/>
        <w:jc w:val="center"/>
        <w:rPr>
          <w:rFonts w:ascii="宋体" w:hAnsi="宋体"/>
          <w:b/>
          <w:sz w:val="44"/>
          <w:szCs w:val="44"/>
        </w:rPr>
      </w:pPr>
    </w:p>
    <w:p w14:paraId="0D388FC9" w14:textId="77777777" w:rsidR="00204A30" w:rsidRDefault="00204A30">
      <w:pPr>
        <w:spacing w:line="360" w:lineRule="auto"/>
        <w:rPr>
          <w:rFonts w:ascii="宋体" w:hAnsi="宋体"/>
          <w:b/>
          <w:szCs w:val="28"/>
        </w:rPr>
      </w:pPr>
    </w:p>
    <w:p w14:paraId="4DF0C39F" w14:textId="77777777" w:rsidR="00204A30" w:rsidRDefault="00204A30">
      <w:pPr>
        <w:spacing w:line="360" w:lineRule="auto"/>
        <w:ind w:firstLineChars="200" w:firstLine="562"/>
        <w:jc w:val="center"/>
        <w:rPr>
          <w:rFonts w:ascii="宋体" w:hAnsi="宋体"/>
          <w:b/>
          <w:bCs/>
          <w:sz w:val="28"/>
          <w:szCs w:val="28"/>
        </w:rPr>
      </w:pPr>
    </w:p>
    <w:p w14:paraId="288D8E0B" w14:textId="77777777" w:rsidR="00204A30" w:rsidRDefault="00204A30">
      <w:pPr>
        <w:spacing w:line="360" w:lineRule="auto"/>
        <w:ind w:firstLineChars="200" w:firstLine="562"/>
        <w:jc w:val="center"/>
        <w:rPr>
          <w:rFonts w:ascii="宋体" w:hAnsi="宋体"/>
          <w:b/>
          <w:bCs/>
          <w:sz w:val="28"/>
          <w:szCs w:val="28"/>
        </w:rPr>
      </w:pPr>
    </w:p>
    <w:p w14:paraId="598F0952" w14:textId="77777777" w:rsidR="00204A30" w:rsidRDefault="00204A30">
      <w:pPr>
        <w:spacing w:line="360" w:lineRule="auto"/>
        <w:rPr>
          <w:rFonts w:ascii="宋体" w:hAnsi="宋体"/>
          <w:b/>
          <w:bCs/>
          <w:sz w:val="28"/>
          <w:szCs w:val="28"/>
        </w:rPr>
      </w:pPr>
    </w:p>
    <w:p w14:paraId="5F657A03" w14:textId="77777777" w:rsidR="00204A30" w:rsidRDefault="007641D4">
      <w:pPr>
        <w:spacing w:line="360" w:lineRule="auto"/>
        <w:ind w:firstLineChars="200" w:firstLine="420"/>
        <w:jc w:val="center"/>
        <w:rPr>
          <w:rFonts w:ascii="宋体" w:hAnsi="宋体"/>
          <w:b/>
          <w:bCs/>
          <w:sz w:val="28"/>
          <w:szCs w:val="28"/>
        </w:rPr>
      </w:pPr>
      <w:r>
        <w:rPr>
          <w:rFonts w:ascii="宋体" w:hAnsi="宋体"/>
          <w:noProof/>
        </w:rPr>
        <w:drawing>
          <wp:anchor distT="0" distB="0" distL="114300" distR="114300" simplePos="0" relativeHeight="251659264" behindDoc="0" locked="0" layoutInCell="1" allowOverlap="1" wp14:anchorId="4030501E" wp14:editId="187E5974">
            <wp:simplePos x="0" y="0"/>
            <wp:positionH relativeFrom="margin">
              <wp:posOffset>1807210</wp:posOffset>
            </wp:positionH>
            <wp:positionV relativeFrom="margin">
              <wp:posOffset>8372475</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14:paraId="53069C28" w14:textId="77777777" w:rsidR="00204A30" w:rsidRPr="005E0A7E" w:rsidRDefault="00204A30">
      <w:pPr>
        <w:jc w:val="center"/>
        <w:rPr>
          <w:rFonts w:ascii="仿宋_GB2312" w:eastAsia="仿宋_GB2312" w:hAnsi="仿宋_GB2312"/>
          <w:b/>
          <w:bCs/>
          <w:sz w:val="28"/>
          <w:szCs w:val="28"/>
        </w:rPr>
      </w:pPr>
    </w:p>
    <w:p w14:paraId="3FA186EB" w14:textId="77777777" w:rsidR="00204A30" w:rsidRDefault="007641D4">
      <w:pPr>
        <w:spacing w:line="360" w:lineRule="auto"/>
        <w:jc w:val="center"/>
        <w:rPr>
          <w:rFonts w:ascii="宋体" w:hAnsi="宋体"/>
          <w:b/>
          <w:bCs/>
          <w:sz w:val="28"/>
          <w:szCs w:val="28"/>
        </w:rPr>
      </w:pPr>
      <w:r>
        <w:rPr>
          <w:rFonts w:ascii="宋体" w:hAnsi="宋体" w:hint="eastAsia"/>
          <w:b/>
          <w:bCs/>
          <w:sz w:val="28"/>
          <w:szCs w:val="28"/>
        </w:rPr>
        <w:t>目录</w:t>
      </w:r>
    </w:p>
    <w:p w14:paraId="32C1BDCA" w14:textId="77777777" w:rsidR="00204A30" w:rsidRDefault="00204A30">
      <w:pPr>
        <w:spacing w:line="360" w:lineRule="auto"/>
        <w:ind w:firstLineChars="200" w:firstLine="562"/>
        <w:jc w:val="center"/>
        <w:rPr>
          <w:rFonts w:ascii="宋体" w:hAnsi="宋体"/>
          <w:b/>
          <w:bCs/>
          <w:sz w:val="28"/>
          <w:szCs w:val="28"/>
        </w:rPr>
      </w:pPr>
    </w:p>
    <w:p w14:paraId="4D153054" w14:textId="4819B6F9" w:rsidR="00835F68" w:rsidRDefault="0000136A">
      <w:pPr>
        <w:pStyle w:val="TOC1"/>
        <w:rPr>
          <w:rFonts w:asciiTheme="minorHAnsi" w:eastAsiaTheme="minorEastAsia" w:hAnsiTheme="minorHAnsi" w:cstheme="minorBidi"/>
          <w:noProof/>
          <w:sz w:val="21"/>
          <w:szCs w:val="22"/>
        </w:rPr>
      </w:pPr>
      <w:r>
        <w:rPr>
          <w:b/>
          <w:sz w:val="28"/>
          <w:szCs w:val="28"/>
        </w:rPr>
        <w:fldChar w:fldCharType="begin"/>
      </w:r>
      <w:r w:rsidR="007641D4">
        <w:rPr>
          <w:rFonts w:hint="eastAsia"/>
          <w:b/>
          <w:sz w:val="28"/>
          <w:szCs w:val="28"/>
        </w:rPr>
        <w:instrText>TOC \o "1-1" \h \z \u</w:instrText>
      </w:r>
      <w:r>
        <w:rPr>
          <w:b/>
          <w:sz w:val="28"/>
          <w:szCs w:val="28"/>
        </w:rPr>
        <w:fldChar w:fldCharType="separate"/>
      </w:r>
      <w:hyperlink w:anchor="_Toc116889537" w:history="1">
        <w:r w:rsidR="00835F68" w:rsidRPr="00632CE0">
          <w:rPr>
            <w:rStyle w:val="af6"/>
            <w:rFonts w:asciiTheme="minorEastAsia" w:hAnsiTheme="minorEastAsia"/>
            <w:bCs/>
            <w:noProof/>
          </w:rPr>
          <w:t>第一条 本协议当事人</w:t>
        </w:r>
        <w:r w:rsidR="00835F68">
          <w:rPr>
            <w:noProof/>
            <w:webHidden/>
          </w:rPr>
          <w:tab/>
        </w:r>
        <w:r w:rsidR="00835F68">
          <w:rPr>
            <w:noProof/>
            <w:webHidden/>
          </w:rPr>
          <w:fldChar w:fldCharType="begin"/>
        </w:r>
        <w:r w:rsidR="00835F68">
          <w:rPr>
            <w:noProof/>
            <w:webHidden/>
          </w:rPr>
          <w:instrText xml:space="preserve"> PAGEREF _Toc116889537 \h </w:instrText>
        </w:r>
        <w:r w:rsidR="00835F68">
          <w:rPr>
            <w:noProof/>
            <w:webHidden/>
          </w:rPr>
        </w:r>
        <w:r w:rsidR="00835F68">
          <w:rPr>
            <w:noProof/>
            <w:webHidden/>
          </w:rPr>
          <w:fldChar w:fldCharType="separate"/>
        </w:r>
        <w:r w:rsidR="00835F68">
          <w:rPr>
            <w:noProof/>
            <w:webHidden/>
          </w:rPr>
          <w:t>2</w:t>
        </w:r>
        <w:r w:rsidR="00835F68">
          <w:rPr>
            <w:noProof/>
            <w:webHidden/>
          </w:rPr>
          <w:fldChar w:fldCharType="end"/>
        </w:r>
      </w:hyperlink>
    </w:p>
    <w:p w14:paraId="40EBE407" w14:textId="117116E6" w:rsidR="00835F68" w:rsidRDefault="00116EC3">
      <w:pPr>
        <w:pStyle w:val="TOC1"/>
        <w:rPr>
          <w:rFonts w:asciiTheme="minorHAnsi" w:eastAsiaTheme="minorEastAsia" w:hAnsiTheme="minorHAnsi" w:cstheme="minorBidi"/>
          <w:noProof/>
          <w:sz w:val="21"/>
          <w:szCs w:val="22"/>
        </w:rPr>
      </w:pPr>
      <w:hyperlink w:anchor="_Toc116889538" w:history="1">
        <w:r w:rsidR="00835F68" w:rsidRPr="00632CE0">
          <w:rPr>
            <w:rStyle w:val="af6"/>
            <w:rFonts w:asciiTheme="minorEastAsia" w:hAnsiTheme="minorEastAsia"/>
            <w:bCs/>
            <w:noProof/>
          </w:rPr>
          <w:t>第二条 本协议的依据、目的和原则</w:t>
        </w:r>
        <w:r w:rsidR="00835F68">
          <w:rPr>
            <w:noProof/>
            <w:webHidden/>
          </w:rPr>
          <w:tab/>
        </w:r>
        <w:r w:rsidR="00835F68">
          <w:rPr>
            <w:noProof/>
            <w:webHidden/>
          </w:rPr>
          <w:fldChar w:fldCharType="begin"/>
        </w:r>
        <w:r w:rsidR="00835F68">
          <w:rPr>
            <w:noProof/>
            <w:webHidden/>
          </w:rPr>
          <w:instrText xml:space="preserve"> PAGEREF _Toc116889538 \h </w:instrText>
        </w:r>
        <w:r w:rsidR="00835F68">
          <w:rPr>
            <w:noProof/>
            <w:webHidden/>
          </w:rPr>
        </w:r>
        <w:r w:rsidR="00835F68">
          <w:rPr>
            <w:noProof/>
            <w:webHidden/>
          </w:rPr>
          <w:fldChar w:fldCharType="separate"/>
        </w:r>
        <w:r w:rsidR="00835F68">
          <w:rPr>
            <w:noProof/>
            <w:webHidden/>
          </w:rPr>
          <w:t>4</w:t>
        </w:r>
        <w:r w:rsidR="00835F68">
          <w:rPr>
            <w:noProof/>
            <w:webHidden/>
          </w:rPr>
          <w:fldChar w:fldCharType="end"/>
        </w:r>
      </w:hyperlink>
    </w:p>
    <w:p w14:paraId="3497AE65" w14:textId="1580DF3C" w:rsidR="00835F68" w:rsidRDefault="00116EC3">
      <w:pPr>
        <w:pStyle w:val="TOC1"/>
        <w:rPr>
          <w:rFonts w:asciiTheme="minorHAnsi" w:eastAsiaTheme="minorEastAsia" w:hAnsiTheme="minorHAnsi" w:cstheme="minorBidi"/>
          <w:noProof/>
          <w:sz w:val="21"/>
          <w:szCs w:val="22"/>
        </w:rPr>
      </w:pPr>
      <w:hyperlink w:anchor="_Toc116889539" w:history="1">
        <w:r w:rsidR="00835F68" w:rsidRPr="00632CE0">
          <w:rPr>
            <w:rStyle w:val="af6"/>
            <w:rFonts w:asciiTheme="minorEastAsia" w:hAnsiTheme="minorEastAsia"/>
            <w:bCs/>
            <w:noProof/>
          </w:rPr>
          <w:t>第三条 基金托管人对基金管理人的业务监督和核查</w:t>
        </w:r>
        <w:r w:rsidR="00835F68">
          <w:rPr>
            <w:noProof/>
            <w:webHidden/>
          </w:rPr>
          <w:tab/>
        </w:r>
        <w:r w:rsidR="00835F68">
          <w:rPr>
            <w:noProof/>
            <w:webHidden/>
          </w:rPr>
          <w:fldChar w:fldCharType="begin"/>
        </w:r>
        <w:r w:rsidR="00835F68">
          <w:rPr>
            <w:noProof/>
            <w:webHidden/>
          </w:rPr>
          <w:instrText xml:space="preserve"> PAGEREF _Toc116889539 \h </w:instrText>
        </w:r>
        <w:r w:rsidR="00835F68">
          <w:rPr>
            <w:noProof/>
            <w:webHidden/>
          </w:rPr>
        </w:r>
        <w:r w:rsidR="00835F68">
          <w:rPr>
            <w:noProof/>
            <w:webHidden/>
          </w:rPr>
          <w:fldChar w:fldCharType="separate"/>
        </w:r>
        <w:r w:rsidR="00835F68">
          <w:rPr>
            <w:noProof/>
            <w:webHidden/>
          </w:rPr>
          <w:t>4</w:t>
        </w:r>
        <w:r w:rsidR="00835F68">
          <w:rPr>
            <w:noProof/>
            <w:webHidden/>
          </w:rPr>
          <w:fldChar w:fldCharType="end"/>
        </w:r>
      </w:hyperlink>
    </w:p>
    <w:p w14:paraId="3A0A27F7" w14:textId="145558FB" w:rsidR="00835F68" w:rsidRDefault="00116EC3">
      <w:pPr>
        <w:pStyle w:val="TOC1"/>
        <w:rPr>
          <w:rFonts w:asciiTheme="minorHAnsi" w:eastAsiaTheme="minorEastAsia" w:hAnsiTheme="minorHAnsi" w:cstheme="minorBidi"/>
          <w:noProof/>
          <w:sz w:val="21"/>
          <w:szCs w:val="22"/>
        </w:rPr>
      </w:pPr>
      <w:hyperlink w:anchor="_Toc116889540" w:history="1">
        <w:r w:rsidR="00835F68" w:rsidRPr="00632CE0">
          <w:rPr>
            <w:rStyle w:val="af6"/>
            <w:rFonts w:asciiTheme="minorEastAsia" w:hAnsiTheme="minorEastAsia"/>
            <w:bCs/>
            <w:noProof/>
          </w:rPr>
          <w:t>第四条 基金管理人对基金托管人的业务核查</w:t>
        </w:r>
        <w:r w:rsidR="00835F68">
          <w:rPr>
            <w:noProof/>
            <w:webHidden/>
          </w:rPr>
          <w:tab/>
        </w:r>
        <w:r w:rsidR="00835F68">
          <w:rPr>
            <w:noProof/>
            <w:webHidden/>
          </w:rPr>
          <w:fldChar w:fldCharType="begin"/>
        </w:r>
        <w:r w:rsidR="00835F68">
          <w:rPr>
            <w:noProof/>
            <w:webHidden/>
          </w:rPr>
          <w:instrText xml:space="preserve"> PAGEREF _Toc116889540 \h </w:instrText>
        </w:r>
        <w:r w:rsidR="00835F68">
          <w:rPr>
            <w:noProof/>
            <w:webHidden/>
          </w:rPr>
        </w:r>
        <w:r w:rsidR="00835F68">
          <w:rPr>
            <w:noProof/>
            <w:webHidden/>
          </w:rPr>
          <w:fldChar w:fldCharType="separate"/>
        </w:r>
        <w:r w:rsidR="00835F68">
          <w:rPr>
            <w:noProof/>
            <w:webHidden/>
          </w:rPr>
          <w:t>12</w:t>
        </w:r>
        <w:r w:rsidR="00835F68">
          <w:rPr>
            <w:noProof/>
            <w:webHidden/>
          </w:rPr>
          <w:fldChar w:fldCharType="end"/>
        </w:r>
      </w:hyperlink>
    </w:p>
    <w:p w14:paraId="32AC0F50" w14:textId="16F0B9EE" w:rsidR="00835F68" w:rsidRDefault="00116EC3">
      <w:pPr>
        <w:pStyle w:val="TOC1"/>
        <w:rPr>
          <w:rFonts w:asciiTheme="minorHAnsi" w:eastAsiaTheme="minorEastAsia" w:hAnsiTheme="minorHAnsi" w:cstheme="minorBidi"/>
          <w:noProof/>
          <w:sz w:val="21"/>
          <w:szCs w:val="22"/>
        </w:rPr>
      </w:pPr>
      <w:hyperlink w:anchor="_Toc116889541" w:history="1">
        <w:r w:rsidR="00835F68" w:rsidRPr="00632CE0">
          <w:rPr>
            <w:rStyle w:val="af6"/>
            <w:rFonts w:asciiTheme="minorEastAsia" w:hAnsiTheme="minorEastAsia"/>
            <w:bCs/>
            <w:noProof/>
          </w:rPr>
          <w:t>第五条 基金财产保管</w:t>
        </w:r>
        <w:r w:rsidR="00835F68">
          <w:rPr>
            <w:noProof/>
            <w:webHidden/>
          </w:rPr>
          <w:tab/>
        </w:r>
        <w:r w:rsidR="00835F68">
          <w:rPr>
            <w:noProof/>
            <w:webHidden/>
          </w:rPr>
          <w:fldChar w:fldCharType="begin"/>
        </w:r>
        <w:r w:rsidR="00835F68">
          <w:rPr>
            <w:noProof/>
            <w:webHidden/>
          </w:rPr>
          <w:instrText xml:space="preserve"> PAGEREF _Toc116889541 \h </w:instrText>
        </w:r>
        <w:r w:rsidR="00835F68">
          <w:rPr>
            <w:noProof/>
            <w:webHidden/>
          </w:rPr>
        </w:r>
        <w:r w:rsidR="00835F68">
          <w:rPr>
            <w:noProof/>
            <w:webHidden/>
          </w:rPr>
          <w:fldChar w:fldCharType="separate"/>
        </w:r>
        <w:r w:rsidR="00835F68">
          <w:rPr>
            <w:noProof/>
            <w:webHidden/>
          </w:rPr>
          <w:t>13</w:t>
        </w:r>
        <w:r w:rsidR="00835F68">
          <w:rPr>
            <w:noProof/>
            <w:webHidden/>
          </w:rPr>
          <w:fldChar w:fldCharType="end"/>
        </w:r>
      </w:hyperlink>
    </w:p>
    <w:p w14:paraId="0DD44F13" w14:textId="6CAB0CE8" w:rsidR="00835F68" w:rsidRDefault="00116EC3">
      <w:pPr>
        <w:pStyle w:val="TOC1"/>
        <w:rPr>
          <w:rFonts w:asciiTheme="minorHAnsi" w:eastAsiaTheme="minorEastAsia" w:hAnsiTheme="minorHAnsi" w:cstheme="minorBidi"/>
          <w:noProof/>
          <w:sz w:val="21"/>
          <w:szCs w:val="22"/>
        </w:rPr>
      </w:pPr>
      <w:hyperlink w:anchor="_Toc116889542" w:history="1">
        <w:r w:rsidR="00835F68" w:rsidRPr="00632CE0">
          <w:rPr>
            <w:rStyle w:val="af6"/>
            <w:rFonts w:asciiTheme="minorEastAsia" w:hAnsiTheme="minorEastAsia"/>
            <w:bCs/>
            <w:noProof/>
          </w:rPr>
          <w:t>第六条 指令的发送、确认和执行</w:t>
        </w:r>
        <w:r w:rsidR="00835F68">
          <w:rPr>
            <w:noProof/>
            <w:webHidden/>
          </w:rPr>
          <w:tab/>
        </w:r>
        <w:r w:rsidR="00835F68">
          <w:rPr>
            <w:noProof/>
            <w:webHidden/>
          </w:rPr>
          <w:fldChar w:fldCharType="begin"/>
        </w:r>
        <w:r w:rsidR="00835F68">
          <w:rPr>
            <w:noProof/>
            <w:webHidden/>
          </w:rPr>
          <w:instrText xml:space="preserve"> PAGEREF _Toc116889542 \h </w:instrText>
        </w:r>
        <w:r w:rsidR="00835F68">
          <w:rPr>
            <w:noProof/>
            <w:webHidden/>
          </w:rPr>
        </w:r>
        <w:r w:rsidR="00835F68">
          <w:rPr>
            <w:noProof/>
            <w:webHidden/>
          </w:rPr>
          <w:fldChar w:fldCharType="separate"/>
        </w:r>
        <w:r w:rsidR="00835F68">
          <w:rPr>
            <w:noProof/>
            <w:webHidden/>
          </w:rPr>
          <w:t>15</w:t>
        </w:r>
        <w:r w:rsidR="00835F68">
          <w:rPr>
            <w:noProof/>
            <w:webHidden/>
          </w:rPr>
          <w:fldChar w:fldCharType="end"/>
        </w:r>
      </w:hyperlink>
    </w:p>
    <w:p w14:paraId="24EA4BAB" w14:textId="20FF03B1" w:rsidR="00835F68" w:rsidRDefault="00116EC3">
      <w:pPr>
        <w:pStyle w:val="TOC1"/>
        <w:rPr>
          <w:rFonts w:asciiTheme="minorHAnsi" w:eastAsiaTheme="minorEastAsia" w:hAnsiTheme="minorHAnsi" w:cstheme="minorBidi"/>
          <w:noProof/>
          <w:sz w:val="21"/>
          <w:szCs w:val="22"/>
        </w:rPr>
      </w:pPr>
      <w:hyperlink w:anchor="_Toc116889543" w:history="1">
        <w:r w:rsidR="00835F68" w:rsidRPr="00632CE0">
          <w:rPr>
            <w:rStyle w:val="af6"/>
            <w:rFonts w:asciiTheme="minorEastAsia" w:hAnsiTheme="minorEastAsia"/>
            <w:bCs/>
            <w:noProof/>
          </w:rPr>
          <w:t>第七条 交易及清算交收安排</w:t>
        </w:r>
        <w:r w:rsidR="00835F68">
          <w:rPr>
            <w:noProof/>
            <w:webHidden/>
          </w:rPr>
          <w:tab/>
        </w:r>
        <w:r w:rsidR="00835F68">
          <w:rPr>
            <w:noProof/>
            <w:webHidden/>
          </w:rPr>
          <w:fldChar w:fldCharType="begin"/>
        </w:r>
        <w:r w:rsidR="00835F68">
          <w:rPr>
            <w:noProof/>
            <w:webHidden/>
          </w:rPr>
          <w:instrText xml:space="preserve"> PAGEREF _Toc116889543 \h </w:instrText>
        </w:r>
        <w:r w:rsidR="00835F68">
          <w:rPr>
            <w:noProof/>
            <w:webHidden/>
          </w:rPr>
        </w:r>
        <w:r w:rsidR="00835F68">
          <w:rPr>
            <w:noProof/>
            <w:webHidden/>
          </w:rPr>
          <w:fldChar w:fldCharType="separate"/>
        </w:r>
        <w:r w:rsidR="00835F68">
          <w:rPr>
            <w:noProof/>
            <w:webHidden/>
          </w:rPr>
          <w:t>18</w:t>
        </w:r>
        <w:r w:rsidR="00835F68">
          <w:rPr>
            <w:noProof/>
            <w:webHidden/>
          </w:rPr>
          <w:fldChar w:fldCharType="end"/>
        </w:r>
      </w:hyperlink>
    </w:p>
    <w:p w14:paraId="4B65A8B3" w14:textId="38BA8CA7" w:rsidR="00835F68" w:rsidRDefault="00116EC3">
      <w:pPr>
        <w:pStyle w:val="TOC1"/>
        <w:rPr>
          <w:rFonts w:asciiTheme="minorHAnsi" w:eastAsiaTheme="minorEastAsia" w:hAnsiTheme="minorHAnsi" w:cstheme="minorBidi"/>
          <w:noProof/>
          <w:sz w:val="21"/>
          <w:szCs w:val="22"/>
        </w:rPr>
      </w:pPr>
      <w:hyperlink w:anchor="_Toc116889544" w:history="1">
        <w:r w:rsidR="00835F68" w:rsidRPr="00632CE0">
          <w:rPr>
            <w:rStyle w:val="af6"/>
            <w:rFonts w:asciiTheme="minorEastAsia" w:hAnsiTheme="minorEastAsia"/>
            <w:bCs/>
            <w:noProof/>
          </w:rPr>
          <w:t>第八条 基金净值计算和会计核算</w:t>
        </w:r>
        <w:r w:rsidR="00835F68">
          <w:rPr>
            <w:noProof/>
            <w:webHidden/>
          </w:rPr>
          <w:tab/>
        </w:r>
        <w:r w:rsidR="00835F68">
          <w:rPr>
            <w:noProof/>
            <w:webHidden/>
          </w:rPr>
          <w:fldChar w:fldCharType="begin"/>
        </w:r>
        <w:r w:rsidR="00835F68">
          <w:rPr>
            <w:noProof/>
            <w:webHidden/>
          </w:rPr>
          <w:instrText xml:space="preserve"> PAGEREF _Toc116889544 \h </w:instrText>
        </w:r>
        <w:r w:rsidR="00835F68">
          <w:rPr>
            <w:noProof/>
            <w:webHidden/>
          </w:rPr>
        </w:r>
        <w:r w:rsidR="00835F68">
          <w:rPr>
            <w:noProof/>
            <w:webHidden/>
          </w:rPr>
          <w:fldChar w:fldCharType="separate"/>
        </w:r>
        <w:r w:rsidR="00835F68">
          <w:rPr>
            <w:noProof/>
            <w:webHidden/>
          </w:rPr>
          <w:t>21</w:t>
        </w:r>
        <w:r w:rsidR="00835F68">
          <w:rPr>
            <w:noProof/>
            <w:webHidden/>
          </w:rPr>
          <w:fldChar w:fldCharType="end"/>
        </w:r>
      </w:hyperlink>
    </w:p>
    <w:p w14:paraId="1605C31B" w14:textId="4B2544DE" w:rsidR="00835F68" w:rsidRDefault="00116EC3">
      <w:pPr>
        <w:pStyle w:val="TOC1"/>
        <w:rPr>
          <w:rFonts w:asciiTheme="minorHAnsi" w:eastAsiaTheme="minorEastAsia" w:hAnsiTheme="minorHAnsi" w:cstheme="minorBidi"/>
          <w:noProof/>
          <w:sz w:val="21"/>
          <w:szCs w:val="22"/>
        </w:rPr>
      </w:pPr>
      <w:hyperlink w:anchor="_Toc116889545" w:history="1">
        <w:r w:rsidR="00835F68" w:rsidRPr="00632CE0">
          <w:rPr>
            <w:rStyle w:val="af6"/>
            <w:rFonts w:asciiTheme="minorEastAsia" w:hAnsiTheme="minorEastAsia"/>
            <w:bCs/>
            <w:noProof/>
          </w:rPr>
          <w:t>第九条 基金收益分配</w:t>
        </w:r>
        <w:r w:rsidR="00835F68">
          <w:rPr>
            <w:noProof/>
            <w:webHidden/>
          </w:rPr>
          <w:tab/>
        </w:r>
        <w:r w:rsidR="00835F68">
          <w:rPr>
            <w:noProof/>
            <w:webHidden/>
          </w:rPr>
          <w:fldChar w:fldCharType="begin"/>
        </w:r>
        <w:r w:rsidR="00835F68">
          <w:rPr>
            <w:noProof/>
            <w:webHidden/>
          </w:rPr>
          <w:instrText xml:space="preserve"> PAGEREF _Toc116889545 \h </w:instrText>
        </w:r>
        <w:r w:rsidR="00835F68">
          <w:rPr>
            <w:noProof/>
            <w:webHidden/>
          </w:rPr>
        </w:r>
        <w:r w:rsidR="00835F68">
          <w:rPr>
            <w:noProof/>
            <w:webHidden/>
          </w:rPr>
          <w:fldChar w:fldCharType="separate"/>
        </w:r>
        <w:r w:rsidR="00835F68">
          <w:rPr>
            <w:noProof/>
            <w:webHidden/>
          </w:rPr>
          <w:t>27</w:t>
        </w:r>
        <w:r w:rsidR="00835F68">
          <w:rPr>
            <w:noProof/>
            <w:webHidden/>
          </w:rPr>
          <w:fldChar w:fldCharType="end"/>
        </w:r>
      </w:hyperlink>
    </w:p>
    <w:p w14:paraId="761AA1BF" w14:textId="15BBF534" w:rsidR="00835F68" w:rsidRDefault="00116EC3">
      <w:pPr>
        <w:pStyle w:val="TOC1"/>
        <w:rPr>
          <w:rFonts w:asciiTheme="minorHAnsi" w:eastAsiaTheme="minorEastAsia" w:hAnsiTheme="minorHAnsi" w:cstheme="minorBidi"/>
          <w:noProof/>
          <w:sz w:val="21"/>
          <w:szCs w:val="22"/>
        </w:rPr>
      </w:pPr>
      <w:hyperlink w:anchor="_Toc116889546" w:history="1">
        <w:r w:rsidR="00835F68" w:rsidRPr="00632CE0">
          <w:rPr>
            <w:rStyle w:val="af6"/>
            <w:rFonts w:asciiTheme="minorEastAsia" w:hAnsiTheme="minorEastAsia"/>
            <w:bCs/>
            <w:noProof/>
          </w:rPr>
          <w:t>第十条 信息披露</w:t>
        </w:r>
        <w:r w:rsidR="00835F68">
          <w:rPr>
            <w:noProof/>
            <w:webHidden/>
          </w:rPr>
          <w:tab/>
        </w:r>
        <w:r w:rsidR="00835F68">
          <w:rPr>
            <w:noProof/>
            <w:webHidden/>
          </w:rPr>
          <w:fldChar w:fldCharType="begin"/>
        </w:r>
        <w:r w:rsidR="00835F68">
          <w:rPr>
            <w:noProof/>
            <w:webHidden/>
          </w:rPr>
          <w:instrText xml:space="preserve"> PAGEREF _Toc116889546 \h </w:instrText>
        </w:r>
        <w:r w:rsidR="00835F68">
          <w:rPr>
            <w:noProof/>
            <w:webHidden/>
          </w:rPr>
        </w:r>
        <w:r w:rsidR="00835F68">
          <w:rPr>
            <w:noProof/>
            <w:webHidden/>
          </w:rPr>
          <w:fldChar w:fldCharType="separate"/>
        </w:r>
        <w:r w:rsidR="00835F68">
          <w:rPr>
            <w:noProof/>
            <w:webHidden/>
          </w:rPr>
          <w:t>28</w:t>
        </w:r>
        <w:r w:rsidR="00835F68">
          <w:rPr>
            <w:noProof/>
            <w:webHidden/>
          </w:rPr>
          <w:fldChar w:fldCharType="end"/>
        </w:r>
      </w:hyperlink>
    </w:p>
    <w:p w14:paraId="76BC0C67" w14:textId="1ACF152B" w:rsidR="00835F68" w:rsidRDefault="00116EC3">
      <w:pPr>
        <w:pStyle w:val="TOC1"/>
        <w:rPr>
          <w:rFonts w:asciiTheme="minorHAnsi" w:eastAsiaTheme="minorEastAsia" w:hAnsiTheme="minorHAnsi" w:cstheme="minorBidi"/>
          <w:noProof/>
          <w:sz w:val="21"/>
          <w:szCs w:val="22"/>
        </w:rPr>
      </w:pPr>
      <w:hyperlink w:anchor="_Toc116889547" w:history="1">
        <w:r w:rsidR="00835F68" w:rsidRPr="00632CE0">
          <w:rPr>
            <w:rStyle w:val="af6"/>
            <w:rFonts w:asciiTheme="minorEastAsia" w:hAnsiTheme="minorEastAsia"/>
            <w:bCs/>
            <w:noProof/>
          </w:rPr>
          <w:t>第十一条 基金费用</w:t>
        </w:r>
        <w:r w:rsidR="00835F68">
          <w:rPr>
            <w:noProof/>
            <w:webHidden/>
          </w:rPr>
          <w:tab/>
        </w:r>
        <w:r w:rsidR="00835F68">
          <w:rPr>
            <w:noProof/>
            <w:webHidden/>
          </w:rPr>
          <w:fldChar w:fldCharType="begin"/>
        </w:r>
        <w:r w:rsidR="00835F68">
          <w:rPr>
            <w:noProof/>
            <w:webHidden/>
          </w:rPr>
          <w:instrText xml:space="preserve"> PAGEREF _Toc116889547 \h </w:instrText>
        </w:r>
        <w:r w:rsidR="00835F68">
          <w:rPr>
            <w:noProof/>
            <w:webHidden/>
          </w:rPr>
        </w:r>
        <w:r w:rsidR="00835F68">
          <w:rPr>
            <w:noProof/>
            <w:webHidden/>
          </w:rPr>
          <w:fldChar w:fldCharType="separate"/>
        </w:r>
        <w:r w:rsidR="00835F68">
          <w:rPr>
            <w:noProof/>
            <w:webHidden/>
          </w:rPr>
          <w:t>30</w:t>
        </w:r>
        <w:r w:rsidR="00835F68">
          <w:rPr>
            <w:noProof/>
            <w:webHidden/>
          </w:rPr>
          <w:fldChar w:fldCharType="end"/>
        </w:r>
      </w:hyperlink>
    </w:p>
    <w:p w14:paraId="2734BA8A" w14:textId="65F41836" w:rsidR="00835F68" w:rsidRDefault="00116EC3">
      <w:pPr>
        <w:pStyle w:val="TOC1"/>
        <w:rPr>
          <w:rFonts w:asciiTheme="minorHAnsi" w:eastAsiaTheme="minorEastAsia" w:hAnsiTheme="minorHAnsi" w:cstheme="minorBidi"/>
          <w:noProof/>
          <w:sz w:val="21"/>
          <w:szCs w:val="22"/>
        </w:rPr>
      </w:pPr>
      <w:hyperlink w:anchor="_Toc116889548" w:history="1">
        <w:r w:rsidR="00835F68" w:rsidRPr="00632CE0">
          <w:rPr>
            <w:rStyle w:val="af6"/>
            <w:rFonts w:asciiTheme="minorEastAsia" w:hAnsiTheme="minorEastAsia"/>
            <w:bCs/>
            <w:noProof/>
          </w:rPr>
          <w:t>第十二条 基金份额持有人名册的保管</w:t>
        </w:r>
        <w:r w:rsidR="00835F68">
          <w:rPr>
            <w:noProof/>
            <w:webHidden/>
          </w:rPr>
          <w:tab/>
        </w:r>
        <w:r w:rsidR="00835F68">
          <w:rPr>
            <w:noProof/>
            <w:webHidden/>
          </w:rPr>
          <w:fldChar w:fldCharType="begin"/>
        </w:r>
        <w:r w:rsidR="00835F68">
          <w:rPr>
            <w:noProof/>
            <w:webHidden/>
          </w:rPr>
          <w:instrText xml:space="preserve"> PAGEREF _Toc116889548 \h </w:instrText>
        </w:r>
        <w:r w:rsidR="00835F68">
          <w:rPr>
            <w:noProof/>
            <w:webHidden/>
          </w:rPr>
        </w:r>
        <w:r w:rsidR="00835F68">
          <w:rPr>
            <w:noProof/>
            <w:webHidden/>
          </w:rPr>
          <w:fldChar w:fldCharType="separate"/>
        </w:r>
        <w:r w:rsidR="00835F68">
          <w:rPr>
            <w:noProof/>
            <w:webHidden/>
          </w:rPr>
          <w:t>31</w:t>
        </w:r>
        <w:r w:rsidR="00835F68">
          <w:rPr>
            <w:noProof/>
            <w:webHidden/>
          </w:rPr>
          <w:fldChar w:fldCharType="end"/>
        </w:r>
      </w:hyperlink>
    </w:p>
    <w:p w14:paraId="2CE501FF" w14:textId="3D7BFE83" w:rsidR="00835F68" w:rsidRDefault="00116EC3">
      <w:pPr>
        <w:pStyle w:val="TOC1"/>
        <w:rPr>
          <w:rFonts w:asciiTheme="minorHAnsi" w:eastAsiaTheme="minorEastAsia" w:hAnsiTheme="minorHAnsi" w:cstheme="minorBidi"/>
          <w:noProof/>
          <w:sz w:val="21"/>
          <w:szCs w:val="22"/>
        </w:rPr>
      </w:pPr>
      <w:hyperlink w:anchor="_Toc116889549" w:history="1">
        <w:r w:rsidR="00835F68" w:rsidRPr="00632CE0">
          <w:rPr>
            <w:rStyle w:val="af6"/>
            <w:rFonts w:asciiTheme="minorEastAsia" w:hAnsiTheme="minorEastAsia"/>
            <w:bCs/>
            <w:noProof/>
          </w:rPr>
          <w:t>第十三条 基金有关文件和档案的保存</w:t>
        </w:r>
        <w:r w:rsidR="00835F68">
          <w:rPr>
            <w:noProof/>
            <w:webHidden/>
          </w:rPr>
          <w:tab/>
        </w:r>
        <w:r w:rsidR="00835F68">
          <w:rPr>
            <w:noProof/>
            <w:webHidden/>
          </w:rPr>
          <w:fldChar w:fldCharType="begin"/>
        </w:r>
        <w:r w:rsidR="00835F68">
          <w:rPr>
            <w:noProof/>
            <w:webHidden/>
          </w:rPr>
          <w:instrText xml:space="preserve"> PAGEREF _Toc116889549 \h </w:instrText>
        </w:r>
        <w:r w:rsidR="00835F68">
          <w:rPr>
            <w:noProof/>
            <w:webHidden/>
          </w:rPr>
        </w:r>
        <w:r w:rsidR="00835F68">
          <w:rPr>
            <w:noProof/>
            <w:webHidden/>
          </w:rPr>
          <w:fldChar w:fldCharType="separate"/>
        </w:r>
        <w:r w:rsidR="00835F68">
          <w:rPr>
            <w:noProof/>
            <w:webHidden/>
          </w:rPr>
          <w:t>32</w:t>
        </w:r>
        <w:r w:rsidR="00835F68">
          <w:rPr>
            <w:noProof/>
            <w:webHidden/>
          </w:rPr>
          <w:fldChar w:fldCharType="end"/>
        </w:r>
      </w:hyperlink>
    </w:p>
    <w:p w14:paraId="688A6083" w14:textId="1CA49845" w:rsidR="00835F68" w:rsidRDefault="00116EC3">
      <w:pPr>
        <w:pStyle w:val="TOC1"/>
        <w:rPr>
          <w:rFonts w:asciiTheme="minorHAnsi" w:eastAsiaTheme="minorEastAsia" w:hAnsiTheme="minorHAnsi" w:cstheme="minorBidi"/>
          <w:noProof/>
          <w:sz w:val="21"/>
          <w:szCs w:val="22"/>
        </w:rPr>
      </w:pPr>
      <w:hyperlink w:anchor="_Toc116889550" w:history="1">
        <w:r w:rsidR="00835F68" w:rsidRPr="00632CE0">
          <w:rPr>
            <w:rStyle w:val="af6"/>
            <w:rFonts w:asciiTheme="minorEastAsia" w:hAnsiTheme="minorEastAsia"/>
            <w:bCs/>
            <w:noProof/>
          </w:rPr>
          <w:t>第十四条 基金管理人和基金托管人的更换</w:t>
        </w:r>
        <w:r w:rsidR="00835F68">
          <w:rPr>
            <w:noProof/>
            <w:webHidden/>
          </w:rPr>
          <w:tab/>
        </w:r>
        <w:r w:rsidR="00835F68">
          <w:rPr>
            <w:noProof/>
            <w:webHidden/>
          </w:rPr>
          <w:fldChar w:fldCharType="begin"/>
        </w:r>
        <w:r w:rsidR="00835F68">
          <w:rPr>
            <w:noProof/>
            <w:webHidden/>
          </w:rPr>
          <w:instrText xml:space="preserve"> PAGEREF _Toc116889550 \h </w:instrText>
        </w:r>
        <w:r w:rsidR="00835F68">
          <w:rPr>
            <w:noProof/>
            <w:webHidden/>
          </w:rPr>
        </w:r>
        <w:r w:rsidR="00835F68">
          <w:rPr>
            <w:noProof/>
            <w:webHidden/>
          </w:rPr>
          <w:fldChar w:fldCharType="separate"/>
        </w:r>
        <w:r w:rsidR="00835F68">
          <w:rPr>
            <w:noProof/>
            <w:webHidden/>
          </w:rPr>
          <w:t>32</w:t>
        </w:r>
        <w:r w:rsidR="00835F68">
          <w:rPr>
            <w:noProof/>
            <w:webHidden/>
          </w:rPr>
          <w:fldChar w:fldCharType="end"/>
        </w:r>
      </w:hyperlink>
    </w:p>
    <w:p w14:paraId="1FA5695E" w14:textId="4BA86F8B" w:rsidR="00835F68" w:rsidRDefault="00116EC3">
      <w:pPr>
        <w:pStyle w:val="TOC1"/>
        <w:rPr>
          <w:rFonts w:asciiTheme="minorHAnsi" w:eastAsiaTheme="minorEastAsia" w:hAnsiTheme="minorHAnsi" w:cstheme="minorBidi"/>
          <w:noProof/>
          <w:sz w:val="21"/>
          <w:szCs w:val="22"/>
        </w:rPr>
      </w:pPr>
      <w:hyperlink w:anchor="_Toc116889551" w:history="1">
        <w:r w:rsidR="00835F68" w:rsidRPr="00632CE0">
          <w:rPr>
            <w:rStyle w:val="af6"/>
            <w:rFonts w:asciiTheme="minorEastAsia" w:hAnsiTheme="minorEastAsia"/>
            <w:bCs/>
            <w:noProof/>
          </w:rPr>
          <w:t>第十五条 禁止行为</w:t>
        </w:r>
        <w:r w:rsidR="00835F68">
          <w:rPr>
            <w:noProof/>
            <w:webHidden/>
          </w:rPr>
          <w:tab/>
        </w:r>
        <w:r w:rsidR="00835F68">
          <w:rPr>
            <w:noProof/>
            <w:webHidden/>
          </w:rPr>
          <w:fldChar w:fldCharType="begin"/>
        </w:r>
        <w:r w:rsidR="00835F68">
          <w:rPr>
            <w:noProof/>
            <w:webHidden/>
          </w:rPr>
          <w:instrText xml:space="preserve"> PAGEREF _Toc116889551 \h </w:instrText>
        </w:r>
        <w:r w:rsidR="00835F68">
          <w:rPr>
            <w:noProof/>
            <w:webHidden/>
          </w:rPr>
        </w:r>
        <w:r w:rsidR="00835F68">
          <w:rPr>
            <w:noProof/>
            <w:webHidden/>
          </w:rPr>
          <w:fldChar w:fldCharType="separate"/>
        </w:r>
        <w:r w:rsidR="00835F68">
          <w:rPr>
            <w:noProof/>
            <w:webHidden/>
          </w:rPr>
          <w:t>34</w:t>
        </w:r>
        <w:r w:rsidR="00835F68">
          <w:rPr>
            <w:noProof/>
            <w:webHidden/>
          </w:rPr>
          <w:fldChar w:fldCharType="end"/>
        </w:r>
      </w:hyperlink>
    </w:p>
    <w:p w14:paraId="27C80494" w14:textId="0611AC4D" w:rsidR="00835F68" w:rsidRDefault="00116EC3">
      <w:pPr>
        <w:pStyle w:val="TOC1"/>
        <w:rPr>
          <w:rFonts w:asciiTheme="minorHAnsi" w:eastAsiaTheme="minorEastAsia" w:hAnsiTheme="minorHAnsi" w:cstheme="minorBidi"/>
          <w:noProof/>
          <w:sz w:val="21"/>
          <w:szCs w:val="22"/>
        </w:rPr>
      </w:pPr>
      <w:hyperlink w:anchor="_Toc116889552" w:history="1">
        <w:r w:rsidR="00835F68" w:rsidRPr="00632CE0">
          <w:rPr>
            <w:rStyle w:val="af6"/>
            <w:rFonts w:asciiTheme="minorEastAsia" w:hAnsiTheme="minorEastAsia"/>
            <w:bCs/>
            <w:noProof/>
          </w:rPr>
          <w:t>第十六条 本协议的变更、终止与基金财产的清算</w:t>
        </w:r>
        <w:r w:rsidR="00835F68">
          <w:rPr>
            <w:noProof/>
            <w:webHidden/>
          </w:rPr>
          <w:tab/>
        </w:r>
        <w:r w:rsidR="00835F68">
          <w:rPr>
            <w:noProof/>
            <w:webHidden/>
          </w:rPr>
          <w:fldChar w:fldCharType="begin"/>
        </w:r>
        <w:r w:rsidR="00835F68">
          <w:rPr>
            <w:noProof/>
            <w:webHidden/>
          </w:rPr>
          <w:instrText xml:space="preserve"> PAGEREF _Toc116889552 \h </w:instrText>
        </w:r>
        <w:r w:rsidR="00835F68">
          <w:rPr>
            <w:noProof/>
            <w:webHidden/>
          </w:rPr>
        </w:r>
        <w:r w:rsidR="00835F68">
          <w:rPr>
            <w:noProof/>
            <w:webHidden/>
          </w:rPr>
          <w:fldChar w:fldCharType="separate"/>
        </w:r>
        <w:r w:rsidR="00835F68">
          <w:rPr>
            <w:noProof/>
            <w:webHidden/>
          </w:rPr>
          <w:t>35</w:t>
        </w:r>
        <w:r w:rsidR="00835F68">
          <w:rPr>
            <w:noProof/>
            <w:webHidden/>
          </w:rPr>
          <w:fldChar w:fldCharType="end"/>
        </w:r>
      </w:hyperlink>
    </w:p>
    <w:p w14:paraId="3F647BE8" w14:textId="2F4688EB" w:rsidR="00835F68" w:rsidRDefault="00116EC3">
      <w:pPr>
        <w:pStyle w:val="TOC1"/>
        <w:rPr>
          <w:rFonts w:asciiTheme="minorHAnsi" w:eastAsiaTheme="minorEastAsia" w:hAnsiTheme="minorHAnsi" w:cstheme="minorBidi"/>
          <w:noProof/>
          <w:sz w:val="21"/>
          <w:szCs w:val="22"/>
        </w:rPr>
      </w:pPr>
      <w:hyperlink w:anchor="_Toc116889553" w:history="1">
        <w:r w:rsidR="00835F68" w:rsidRPr="00632CE0">
          <w:rPr>
            <w:rStyle w:val="af6"/>
            <w:rFonts w:asciiTheme="minorEastAsia" w:hAnsiTheme="minorEastAsia"/>
            <w:bCs/>
            <w:noProof/>
          </w:rPr>
          <w:t>第十七条 违约责任</w:t>
        </w:r>
        <w:r w:rsidR="00835F68">
          <w:rPr>
            <w:noProof/>
            <w:webHidden/>
          </w:rPr>
          <w:tab/>
        </w:r>
        <w:r w:rsidR="00835F68">
          <w:rPr>
            <w:noProof/>
            <w:webHidden/>
          </w:rPr>
          <w:fldChar w:fldCharType="begin"/>
        </w:r>
        <w:r w:rsidR="00835F68">
          <w:rPr>
            <w:noProof/>
            <w:webHidden/>
          </w:rPr>
          <w:instrText xml:space="preserve"> PAGEREF _Toc116889553 \h </w:instrText>
        </w:r>
        <w:r w:rsidR="00835F68">
          <w:rPr>
            <w:noProof/>
            <w:webHidden/>
          </w:rPr>
        </w:r>
        <w:r w:rsidR="00835F68">
          <w:rPr>
            <w:noProof/>
            <w:webHidden/>
          </w:rPr>
          <w:fldChar w:fldCharType="separate"/>
        </w:r>
        <w:r w:rsidR="00835F68">
          <w:rPr>
            <w:noProof/>
            <w:webHidden/>
          </w:rPr>
          <w:t>38</w:t>
        </w:r>
        <w:r w:rsidR="00835F68">
          <w:rPr>
            <w:noProof/>
            <w:webHidden/>
          </w:rPr>
          <w:fldChar w:fldCharType="end"/>
        </w:r>
      </w:hyperlink>
    </w:p>
    <w:p w14:paraId="0CF23A77" w14:textId="432B08B5" w:rsidR="00835F68" w:rsidRDefault="00116EC3">
      <w:pPr>
        <w:pStyle w:val="TOC1"/>
        <w:rPr>
          <w:rFonts w:asciiTheme="minorHAnsi" w:eastAsiaTheme="minorEastAsia" w:hAnsiTheme="minorHAnsi" w:cstheme="minorBidi"/>
          <w:noProof/>
          <w:sz w:val="21"/>
          <w:szCs w:val="22"/>
        </w:rPr>
      </w:pPr>
      <w:hyperlink w:anchor="_Toc116889554" w:history="1">
        <w:r w:rsidR="00835F68" w:rsidRPr="00632CE0">
          <w:rPr>
            <w:rStyle w:val="af6"/>
            <w:rFonts w:asciiTheme="minorEastAsia" w:hAnsiTheme="minorEastAsia"/>
            <w:bCs/>
            <w:noProof/>
          </w:rPr>
          <w:t>第十八条 法律适用和争议解决</w:t>
        </w:r>
        <w:r w:rsidR="00835F68">
          <w:rPr>
            <w:noProof/>
            <w:webHidden/>
          </w:rPr>
          <w:tab/>
        </w:r>
        <w:r w:rsidR="00835F68">
          <w:rPr>
            <w:noProof/>
            <w:webHidden/>
          </w:rPr>
          <w:fldChar w:fldCharType="begin"/>
        </w:r>
        <w:r w:rsidR="00835F68">
          <w:rPr>
            <w:noProof/>
            <w:webHidden/>
          </w:rPr>
          <w:instrText xml:space="preserve"> PAGEREF _Toc116889554 \h </w:instrText>
        </w:r>
        <w:r w:rsidR="00835F68">
          <w:rPr>
            <w:noProof/>
            <w:webHidden/>
          </w:rPr>
        </w:r>
        <w:r w:rsidR="00835F68">
          <w:rPr>
            <w:noProof/>
            <w:webHidden/>
          </w:rPr>
          <w:fldChar w:fldCharType="separate"/>
        </w:r>
        <w:r w:rsidR="00835F68">
          <w:rPr>
            <w:noProof/>
            <w:webHidden/>
          </w:rPr>
          <w:t>39</w:t>
        </w:r>
        <w:r w:rsidR="00835F68">
          <w:rPr>
            <w:noProof/>
            <w:webHidden/>
          </w:rPr>
          <w:fldChar w:fldCharType="end"/>
        </w:r>
      </w:hyperlink>
    </w:p>
    <w:p w14:paraId="43B9B023" w14:textId="62980725" w:rsidR="00835F68" w:rsidRDefault="00116EC3">
      <w:pPr>
        <w:pStyle w:val="TOC1"/>
        <w:rPr>
          <w:rFonts w:asciiTheme="minorHAnsi" w:eastAsiaTheme="minorEastAsia" w:hAnsiTheme="minorHAnsi" w:cstheme="minorBidi"/>
          <w:noProof/>
          <w:sz w:val="21"/>
          <w:szCs w:val="22"/>
        </w:rPr>
      </w:pPr>
      <w:hyperlink w:anchor="_Toc116889555" w:history="1">
        <w:r w:rsidR="00835F68" w:rsidRPr="00632CE0">
          <w:rPr>
            <w:rStyle w:val="af6"/>
            <w:rFonts w:asciiTheme="minorEastAsia" w:hAnsiTheme="minorEastAsia"/>
            <w:bCs/>
            <w:noProof/>
          </w:rPr>
          <w:t>第十九条 本协议的效力</w:t>
        </w:r>
        <w:r w:rsidR="00835F68">
          <w:rPr>
            <w:noProof/>
            <w:webHidden/>
          </w:rPr>
          <w:tab/>
        </w:r>
        <w:r w:rsidR="00835F68">
          <w:rPr>
            <w:noProof/>
            <w:webHidden/>
          </w:rPr>
          <w:fldChar w:fldCharType="begin"/>
        </w:r>
        <w:r w:rsidR="00835F68">
          <w:rPr>
            <w:noProof/>
            <w:webHidden/>
          </w:rPr>
          <w:instrText xml:space="preserve"> PAGEREF _Toc116889555 \h </w:instrText>
        </w:r>
        <w:r w:rsidR="00835F68">
          <w:rPr>
            <w:noProof/>
            <w:webHidden/>
          </w:rPr>
        </w:r>
        <w:r w:rsidR="00835F68">
          <w:rPr>
            <w:noProof/>
            <w:webHidden/>
          </w:rPr>
          <w:fldChar w:fldCharType="separate"/>
        </w:r>
        <w:r w:rsidR="00835F68">
          <w:rPr>
            <w:noProof/>
            <w:webHidden/>
          </w:rPr>
          <w:t>39</w:t>
        </w:r>
        <w:r w:rsidR="00835F68">
          <w:rPr>
            <w:noProof/>
            <w:webHidden/>
          </w:rPr>
          <w:fldChar w:fldCharType="end"/>
        </w:r>
      </w:hyperlink>
    </w:p>
    <w:p w14:paraId="3380401B" w14:textId="77777777" w:rsidR="00204A30" w:rsidRDefault="0000136A">
      <w:pPr>
        <w:snapToGrid w:val="0"/>
        <w:spacing w:line="360" w:lineRule="auto"/>
        <w:jc w:val="center"/>
        <w:rPr>
          <w:rFonts w:ascii="宋体" w:hAnsi="宋体"/>
          <w:b/>
          <w:sz w:val="28"/>
          <w:szCs w:val="28"/>
        </w:rPr>
      </w:pPr>
      <w:r>
        <w:rPr>
          <w:rFonts w:ascii="宋体" w:hAnsi="宋体"/>
          <w:b/>
          <w:sz w:val="28"/>
          <w:szCs w:val="28"/>
        </w:rPr>
        <w:fldChar w:fldCharType="end"/>
      </w:r>
    </w:p>
    <w:p w14:paraId="5A280E92" w14:textId="77777777" w:rsidR="00204A30" w:rsidRDefault="007641D4">
      <w:pPr>
        <w:adjustRightInd w:val="0"/>
        <w:snapToGrid w:val="0"/>
        <w:spacing w:line="520" w:lineRule="atLeast"/>
        <w:jc w:val="center"/>
        <w:rPr>
          <w:rFonts w:ascii="宋体" w:hAnsi="宋体"/>
          <w:b/>
          <w:sz w:val="28"/>
          <w:szCs w:val="28"/>
        </w:rPr>
      </w:pPr>
      <w:r>
        <w:rPr>
          <w:rFonts w:ascii="宋体" w:hAnsi="宋体"/>
          <w:b/>
          <w:sz w:val="28"/>
          <w:szCs w:val="28"/>
        </w:rPr>
        <w:br w:type="page"/>
      </w:r>
      <w:r w:rsidR="005E0A7E">
        <w:rPr>
          <w:rFonts w:ascii="宋体" w:hAnsi="宋体" w:hint="eastAsia"/>
          <w:b/>
          <w:sz w:val="28"/>
          <w:szCs w:val="28"/>
        </w:rPr>
        <w:lastRenderedPageBreak/>
        <w:t>中信建投中证同业存单AAA指数</w:t>
      </w:r>
      <w:r>
        <w:rPr>
          <w:rFonts w:ascii="宋体" w:hAnsi="宋体" w:hint="eastAsia"/>
          <w:b/>
          <w:sz w:val="28"/>
          <w:szCs w:val="28"/>
        </w:rPr>
        <w:t>7天持有期证券投资基金托管协议</w:t>
      </w:r>
    </w:p>
    <w:p w14:paraId="4DC3CACF" w14:textId="77777777" w:rsidR="00204A30" w:rsidRDefault="00204A30">
      <w:pPr>
        <w:tabs>
          <w:tab w:val="left" w:pos="5940"/>
        </w:tabs>
        <w:adjustRightInd w:val="0"/>
        <w:snapToGrid w:val="0"/>
        <w:spacing w:line="520" w:lineRule="atLeast"/>
        <w:rPr>
          <w:rFonts w:ascii="宋体" w:hAnsi="宋体"/>
          <w:b/>
          <w:sz w:val="24"/>
          <w:szCs w:val="24"/>
        </w:rPr>
      </w:pPr>
    </w:p>
    <w:p w14:paraId="6B4843E2" w14:textId="77777777" w:rsidR="00204A30" w:rsidRDefault="007641D4">
      <w:pPr>
        <w:tabs>
          <w:tab w:val="left" w:pos="5940"/>
        </w:tabs>
        <w:adjustRightInd w:val="0"/>
        <w:snapToGrid w:val="0"/>
        <w:spacing w:line="5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基金管理人：</w:t>
      </w:r>
      <w:r w:rsidR="004322DA">
        <w:rPr>
          <w:rFonts w:asciiTheme="minorEastAsia" w:eastAsiaTheme="minorEastAsia" w:hAnsiTheme="minorEastAsia" w:hint="eastAsia"/>
          <w:sz w:val="24"/>
          <w:szCs w:val="24"/>
        </w:rPr>
        <w:t>中信</w:t>
      </w:r>
      <w:proofErr w:type="gramStart"/>
      <w:r w:rsidR="004322DA">
        <w:rPr>
          <w:rFonts w:asciiTheme="minorEastAsia" w:eastAsiaTheme="minorEastAsia" w:hAnsiTheme="minorEastAsia" w:hint="eastAsia"/>
          <w:sz w:val="24"/>
          <w:szCs w:val="24"/>
        </w:rPr>
        <w:t>建投基金</w:t>
      </w:r>
      <w:proofErr w:type="gramEnd"/>
      <w:r w:rsidR="004322DA">
        <w:rPr>
          <w:rFonts w:asciiTheme="minorEastAsia" w:eastAsiaTheme="minorEastAsia" w:hAnsiTheme="minorEastAsia" w:hint="eastAsia"/>
          <w:sz w:val="24"/>
          <w:szCs w:val="24"/>
        </w:rPr>
        <w:t>管理有限公司</w:t>
      </w:r>
    </w:p>
    <w:p w14:paraId="4E612964" w14:textId="77777777" w:rsidR="00204A30" w:rsidRDefault="007641D4">
      <w:pPr>
        <w:tabs>
          <w:tab w:val="left" w:pos="5940"/>
        </w:tabs>
        <w:adjustRightInd w:val="0"/>
        <w:snapToGrid w:val="0"/>
        <w:spacing w:line="5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sidR="004322DA" w:rsidRPr="0023035B">
        <w:rPr>
          <w:rFonts w:hint="eastAsia"/>
          <w:bCs/>
          <w:sz w:val="24"/>
        </w:rPr>
        <w:t>黄凌</w:t>
      </w:r>
    </w:p>
    <w:p w14:paraId="007DB793" w14:textId="77777777" w:rsidR="00204A30" w:rsidRDefault="007641D4">
      <w:pPr>
        <w:tabs>
          <w:tab w:val="left" w:pos="5940"/>
        </w:tabs>
        <w:adjustRightInd w:val="0"/>
        <w:snapToGrid w:val="0"/>
        <w:spacing w:line="5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住    所：</w:t>
      </w:r>
      <w:r w:rsidR="004322DA" w:rsidRPr="0023035B">
        <w:rPr>
          <w:rFonts w:hint="eastAsia"/>
          <w:bCs/>
          <w:sz w:val="24"/>
        </w:rPr>
        <w:t>北京市怀柔区桥梓镇八</w:t>
      </w:r>
      <w:proofErr w:type="gramStart"/>
      <w:r w:rsidR="004322DA" w:rsidRPr="0023035B">
        <w:rPr>
          <w:rFonts w:hint="eastAsia"/>
          <w:bCs/>
          <w:sz w:val="24"/>
        </w:rPr>
        <w:t>龙桥雅苑</w:t>
      </w:r>
      <w:proofErr w:type="gramEnd"/>
      <w:r w:rsidR="004322DA" w:rsidRPr="0023035B">
        <w:rPr>
          <w:rFonts w:hint="eastAsia"/>
          <w:bCs/>
          <w:sz w:val="24"/>
        </w:rPr>
        <w:t>3</w:t>
      </w:r>
      <w:r w:rsidR="004322DA" w:rsidRPr="0023035B">
        <w:rPr>
          <w:rFonts w:hint="eastAsia"/>
          <w:bCs/>
          <w:sz w:val="24"/>
        </w:rPr>
        <w:t>号楼</w:t>
      </w:r>
      <w:r w:rsidR="004322DA" w:rsidRPr="0023035B">
        <w:rPr>
          <w:rFonts w:hint="eastAsia"/>
          <w:bCs/>
          <w:sz w:val="24"/>
        </w:rPr>
        <w:t>1</w:t>
      </w:r>
      <w:r w:rsidR="004322DA" w:rsidRPr="0023035B">
        <w:rPr>
          <w:rFonts w:hint="eastAsia"/>
          <w:bCs/>
          <w:sz w:val="24"/>
        </w:rPr>
        <w:t>室</w:t>
      </w:r>
    </w:p>
    <w:p w14:paraId="71F8387F" w14:textId="77777777" w:rsidR="00204A30" w:rsidRDefault="00204A30">
      <w:pPr>
        <w:adjustRightInd w:val="0"/>
        <w:snapToGrid w:val="0"/>
        <w:spacing w:line="520" w:lineRule="atLeast"/>
        <w:rPr>
          <w:rFonts w:asciiTheme="minorEastAsia" w:eastAsiaTheme="minorEastAsia" w:hAnsiTheme="minorEastAsia"/>
          <w:sz w:val="24"/>
          <w:szCs w:val="24"/>
        </w:rPr>
      </w:pPr>
    </w:p>
    <w:p w14:paraId="5A9C65E2" w14:textId="77777777" w:rsidR="00204A30" w:rsidRDefault="007641D4">
      <w:pPr>
        <w:tabs>
          <w:tab w:val="left" w:pos="5940"/>
        </w:tabs>
        <w:adjustRightInd w:val="0"/>
        <w:snapToGrid w:val="0"/>
        <w:spacing w:line="5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基金托管人：中信银行股份有限公司</w:t>
      </w:r>
    </w:p>
    <w:p w14:paraId="3CFD7D52" w14:textId="77777777" w:rsidR="00204A30" w:rsidRDefault="007641D4">
      <w:pPr>
        <w:tabs>
          <w:tab w:val="left" w:pos="5940"/>
        </w:tabs>
        <w:adjustRightInd w:val="0"/>
        <w:snapToGrid w:val="0"/>
        <w:spacing w:line="5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法定代表人/负责人：朱鹤新</w:t>
      </w:r>
    </w:p>
    <w:p w14:paraId="63BD940B" w14:textId="77777777" w:rsidR="00204A30" w:rsidRDefault="007641D4">
      <w:pPr>
        <w:tabs>
          <w:tab w:val="left" w:pos="5940"/>
        </w:tabs>
        <w:adjustRightInd w:val="0"/>
        <w:snapToGrid w:val="0"/>
        <w:spacing w:line="5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住    所：北京市</w:t>
      </w:r>
      <w:r>
        <w:rPr>
          <w:rFonts w:ascii="宋体" w:hAnsi="宋体" w:cs="宋体" w:hint="eastAsia"/>
          <w:bCs/>
          <w:sz w:val="24"/>
        </w:rPr>
        <w:t>朝阳区光华路10号院1号楼6-30层、32-42层</w:t>
      </w:r>
    </w:p>
    <w:p w14:paraId="7AE5615B" w14:textId="77777777" w:rsidR="00204A30" w:rsidRDefault="00204A30">
      <w:pPr>
        <w:autoSpaceDE w:val="0"/>
        <w:autoSpaceDN w:val="0"/>
        <w:adjustRightInd w:val="0"/>
        <w:snapToGrid w:val="0"/>
        <w:spacing w:line="520" w:lineRule="atLeast"/>
        <w:rPr>
          <w:rFonts w:asciiTheme="minorEastAsia" w:eastAsiaTheme="minorEastAsia" w:hAnsiTheme="minorEastAsia"/>
          <w:sz w:val="24"/>
          <w:szCs w:val="24"/>
        </w:rPr>
      </w:pPr>
    </w:p>
    <w:p w14:paraId="4CD4C776" w14:textId="77777777" w:rsidR="00204A30" w:rsidRDefault="007641D4">
      <w:pPr>
        <w:autoSpaceDE w:val="0"/>
        <w:autoSpaceDN w:val="0"/>
        <w:adjustRightInd w:val="0"/>
        <w:snapToGrid w:val="0"/>
        <w:spacing w:line="520" w:lineRule="atLeas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鉴于：</w:t>
      </w:r>
    </w:p>
    <w:p w14:paraId="19F4C6D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sidR="004322DA">
        <w:rPr>
          <w:rFonts w:asciiTheme="minorEastAsia" w:eastAsiaTheme="minorEastAsia" w:hAnsiTheme="minorEastAsia" w:hint="eastAsia"/>
          <w:szCs w:val="24"/>
        </w:rPr>
        <w:t>中信</w:t>
      </w:r>
      <w:proofErr w:type="gramStart"/>
      <w:r w:rsidR="004322DA">
        <w:rPr>
          <w:rFonts w:asciiTheme="minorEastAsia" w:eastAsiaTheme="minorEastAsia" w:hAnsiTheme="minorEastAsia" w:hint="eastAsia"/>
          <w:szCs w:val="24"/>
        </w:rPr>
        <w:t>建投基金</w:t>
      </w:r>
      <w:proofErr w:type="gramEnd"/>
      <w:r w:rsidR="004322DA">
        <w:rPr>
          <w:rFonts w:asciiTheme="minorEastAsia" w:eastAsiaTheme="minorEastAsia" w:hAnsiTheme="minorEastAsia" w:hint="eastAsia"/>
          <w:szCs w:val="24"/>
        </w:rPr>
        <w:t>管理有限公司</w:t>
      </w:r>
      <w:r>
        <w:rPr>
          <w:rFonts w:asciiTheme="minorEastAsia" w:eastAsiaTheme="minorEastAsia" w:hAnsiTheme="minorEastAsia" w:hint="eastAsia"/>
          <w:szCs w:val="24"/>
        </w:rPr>
        <w:t>系一家依照中国法律合法成立并有效存续的</w:t>
      </w:r>
      <w:r>
        <w:rPr>
          <w:rFonts w:hAnsi="宋体" w:cs="宋体" w:hint="eastAsia"/>
          <w:bCs/>
        </w:rPr>
        <w:t>有限责任公司</w:t>
      </w:r>
      <w:r>
        <w:rPr>
          <w:rFonts w:asciiTheme="minorEastAsia" w:eastAsiaTheme="minorEastAsia" w:hAnsiTheme="minorEastAsia" w:hint="eastAsia"/>
          <w:szCs w:val="24"/>
        </w:rPr>
        <w:t>，按照相关法律法规的规定具备担任基金管理人的资格和能力；</w:t>
      </w:r>
    </w:p>
    <w:p w14:paraId="5E7C2EA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2.中信银行股份有限公司系一家依照中国法律合法成立并有效存续的银行，按照相关法律法规的规定具备担任基金托管人的资格和能力；</w:t>
      </w:r>
    </w:p>
    <w:p w14:paraId="5D1741C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w:t>
      </w:r>
      <w:r w:rsidR="004322DA">
        <w:rPr>
          <w:rFonts w:asciiTheme="minorEastAsia" w:eastAsiaTheme="minorEastAsia" w:hAnsiTheme="minorEastAsia" w:hint="eastAsia"/>
          <w:szCs w:val="24"/>
        </w:rPr>
        <w:t>中信</w:t>
      </w:r>
      <w:proofErr w:type="gramStart"/>
      <w:r w:rsidR="004322DA">
        <w:rPr>
          <w:rFonts w:asciiTheme="minorEastAsia" w:eastAsiaTheme="minorEastAsia" w:hAnsiTheme="minorEastAsia" w:hint="eastAsia"/>
          <w:szCs w:val="24"/>
        </w:rPr>
        <w:t>建投基金</w:t>
      </w:r>
      <w:proofErr w:type="gramEnd"/>
      <w:r w:rsidR="004322DA">
        <w:rPr>
          <w:rFonts w:asciiTheme="minorEastAsia" w:eastAsiaTheme="minorEastAsia" w:hAnsiTheme="minorEastAsia" w:hint="eastAsia"/>
          <w:szCs w:val="24"/>
        </w:rPr>
        <w:t>管理有限公司</w:t>
      </w:r>
      <w:r>
        <w:rPr>
          <w:rFonts w:asciiTheme="minorEastAsia" w:eastAsiaTheme="minorEastAsia" w:hAnsiTheme="minorEastAsia" w:hint="eastAsia"/>
          <w:szCs w:val="24"/>
        </w:rPr>
        <w:t>拟担任</w:t>
      </w:r>
      <w:r w:rsidR="005E0A7E">
        <w:rPr>
          <w:rFonts w:asciiTheme="minorEastAsia" w:eastAsiaTheme="minorEastAsia" w:hAnsiTheme="minorEastAsia" w:hint="eastAsia"/>
          <w:szCs w:val="24"/>
        </w:rPr>
        <w:t>中信建投中证同业存单AAA指数</w:t>
      </w:r>
      <w:r>
        <w:rPr>
          <w:rFonts w:asciiTheme="minorEastAsia" w:eastAsiaTheme="minorEastAsia" w:hAnsiTheme="minorEastAsia" w:hint="eastAsia"/>
          <w:szCs w:val="24"/>
        </w:rPr>
        <w:t>7天持有期证券投资基金的基金管理人，中信银行股份有限公司拟担任</w:t>
      </w:r>
      <w:r w:rsidR="005E0A7E">
        <w:rPr>
          <w:rFonts w:asciiTheme="minorEastAsia" w:eastAsiaTheme="minorEastAsia" w:hAnsiTheme="minorEastAsia" w:hint="eastAsia"/>
          <w:szCs w:val="24"/>
        </w:rPr>
        <w:t>中信建投中证同业存单AAA指数</w:t>
      </w:r>
      <w:r>
        <w:rPr>
          <w:rFonts w:asciiTheme="minorEastAsia" w:eastAsiaTheme="minorEastAsia" w:hAnsiTheme="minorEastAsia" w:hint="eastAsia"/>
          <w:szCs w:val="24"/>
        </w:rPr>
        <w:t>7天持有期证券投资基金的基金托管人；</w:t>
      </w:r>
    </w:p>
    <w:p w14:paraId="6043E34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27724500" w14:textId="77777777" w:rsidR="00204A30" w:rsidRDefault="007641D4">
      <w:pPr>
        <w:pStyle w:val="21"/>
        <w:adjustRightInd w:val="0"/>
        <w:snapToGrid w:val="0"/>
        <w:spacing w:before="0" w:after="0" w:line="520" w:lineRule="atLeast"/>
        <w:ind w:left="0" w:firstLine="541"/>
        <w:rPr>
          <w:rFonts w:asciiTheme="minorEastAsia" w:eastAsiaTheme="minorEastAsia" w:hAnsiTheme="minorEastAsia"/>
          <w:b/>
          <w:bCs/>
          <w:szCs w:val="24"/>
        </w:rPr>
      </w:pPr>
      <w:r>
        <w:rPr>
          <w:rFonts w:asciiTheme="minorEastAsia" w:eastAsiaTheme="minorEastAsia" w:hAnsiTheme="minorEastAsia" w:hint="eastAsia"/>
          <w:b/>
          <w:bCs/>
          <w:szCs w:val="24"/>
        </w:rPr>
        <w:t>释义：</w:t>
      </w:r>
    </w:p>
    <w:p w14:paraId="65CDEBA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除非另有约定，《</w:t>
      </w:r>
      <w:r w:rsidR="005E0A7E">
        <w:rPr>
          <w:rFonts w:asciiTheme="minorEastAsia" w:eastAsiaTheme="minorEastAsia" w:hAnsiTheme="minorEastAsia" w:hint="eastAsia"/>
          <w:szCs w:val="24"/>
        </w:rPr>
        <w:t>中信建投中证同业存单AAA指数</w:t>
      </w:r>
      <w:r>
        <w:rPr>
          <w:rFonts w:asciiTheme="minorEastAsia" w:eastAsiaTheme="minorEastAsia" w:hAnsiTheme="minorEastAsia" w:hint="eastAsia"/>
          <w:szCs w:val="24"/>
        </w:rPr>
        <w:t xml:space="preserve">7天持有期证券投资基金基金合同》(以下简称“基金合同”)中定义的术语在用于本托管协议时应具有相同的含义；若有抵触，应以基金合同为准，并依其条款解释。 </w:t>
      </w:r>
    </w:p>
    <w:p w14:paraId="27D6AA5B"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p>
    <w:p w14:paraId="7152377A"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17" w:name="_Toc296551337"/>
      <w:bookmarkStart w:id="18" w:name="_Toc116889537"/>
      <w:r>
        <w:rPr>
          <w:rFonts w:asciiTheme="minorEastAsia" w:eastAsiaTheme="minorEastAsia" w:hAnsiTheme="minorEastAsia" w:hint="eastAsia"/>
          <w:bCs/>
          <w:color w:val="auto"/>
          <w:szCs w:val="24"/>
        </w:rPr>
        <w:t>第一条 本协议当事人</w:t>
      </w:r>
      <w:bookmarkEnd w:id="17"/>
      <w:bookmarkEnd w:id="18"/>
    </w:p>
    <w:p w14:paraId="7A273C0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1.1基金管理人：</w:t>
      </w:r>
    </w:p>
    <w:p w14:paraId="4E36CA5C"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lastRenderedPageBreak/>
        <w:t>名称：中信</w:t>
      </w:r>
      <w:proofErr w:type="gramStart"/>
      <w:r w:rsidRPr="003D19EE">
        <w:rPr>
          <w:rFonts w:asciiTheme="minorEastAsia" w:eastAsiaTheme="minorEastAsia" w:hAnsiTheme="minorEastAsia" w:hint="eastAsia"/>
          <w:szCs w:val="24"/>
        </w:rPr>
        <w:t>建投基金</w:t>
      </w:r>
      <w:proofErr w:type="gramEnd"/>
      <w:r w:rsidRPr="003D19EE">
        <w:rPr>
          <w:rFonts w:asciiTheme="minorEastAsia" w:eastAsiaTheme="minorEastAsia" w:hAnsiTheme="minorEastAsia" w:hint="eastAsia"/>
          <w:szCs w:val="24"/>
        </w:rPr>
        <w:t>管理有限公司</w:t>
      </w:r>
    </w:p>
    <w:p w14:paraId="26FE01F7"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注册地址：北京市怀柔区桥梓镇八</w:t>
      </w:r>
      <w:proofErr w:type="gramStart"/>
      <w:r w:rsidRPr="003D19EE">
        <w:rPr>
          <w:rFonts w:asciiTheme="minorEastAsia" w:eastAsiaTheme="minorEastAsia" w:hAnsiTheme="minorEastAsia" w:hint="eastAsia"/>
          <w:szCs w:val="24"/>
        </w:rPr>
        <w:t>龙桥雅苑</w:t>
      </w:r>
      <w:proofErr w:type="gramEnd"/>
      <w:r w:rsidRPr="003D19EE">
        <w:rPr>
          <w:rFonts w:asciiTheme="minorEastAsia" w:eastAsiaTheme="minorEastAsia" w:hAnsiTheme="minorEastAsia"/>
          <w:szCs w:val="24"/>
        </w:rPr>
        <w:t>3</w:t>
      </w:r>
      <w:r w:rsidRPr="003D19EE">
        <w:rPr>
          <w:rFonts w:asciiTheme="minorEastAsia" w:eastAsiaTheme="minorEastAsia" w:hAnsiTheme="minorEastAsia" w:hint="eastAsia"/>
          <w:szCs w:val="24"/>
        </w:rPr>
        <w:t>号楼</w:t>
      </w:r>
      <w:r w:rsidRPr="003D19EE">
        <w:rPr>
          <w:rFonts w:asciiTheme="minorEastAsia" w:eastAsiaTheme="minorEastAsia" w:hAnsiTheme="minorEastAsia"/>
          <w:szCs w:val="24"/>
        </w:rPr>
        <w:t>1</w:t>
      </w:r>
      <w:r w:rsidRPr="003D19EE">
        <w:rPr>
          <w:rFonts w:asciiTheme="minorEastAsia" w:eastAsiaTheme="minorEastAsia" w:hAnsiTheme="minorEastAsia" w:hint="eastAsia"/>
          <w:szCs w:val="24"/>
        </w:rPr>
        <w:t>室</w:t>
      </w:r>
    </w:p>
    <w:p w14:paraId="799E32B3"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办公地址：北京市东城区朝阳门内大街</w:t>
      </w:r>
      <w:r w:rsidRPr="003D19EE">
        <w:rPr>
          <w:rFonts w:asciiTheme="minorEastAsia" w:eastAsiaTheme="minorEastAsia" w:hAnsiTheme="minorEastAsia"/>
          <w:szCs w:val="24"/>
        </w:rPr>
        <w:t>2</w:t>
      </w:r>
      <w:r w:rsidRPr="003D19EE">
        <w:rPr>
          <w:rFonts w:asciiTheme="minorEastAsia" w:eastAsiaTheme="minorEastAsia" w:hAnsiTheme="minorEastAsia" w:hint="eastAsia"/>
          <w:szCs w:val="24"/>
        </w:rPr>
        <w:t>号</w:t>
      </w:r>
      <w:proofErr w:type="gramStart"/>
      <w:r w:rsidRPr="003D19EE">
        <w:rPr>
          <w:rFonts w:asciiTheme="minorEastAsia" w:eastAsiaTheme="minorEastAsia" w:hAnsiTheme="minorEastAsia" w:hint="eastAsia"/>
          <w:szCs w:val="24"/>
        </w:rPr>
        <w:t>凯恒中心</w:t>
      </w:r>
      <w:proofErr w:type="gramEnd"/>
      <w:r w:rsidRPr="003D19EE">
        <w:rPr>
          <w:rFonts w:asciiTheme="minorEastAsia" w:eastAsiaTheme="minorEastAsia" w:hAnsiTheme="minorEastAsia"/>
          <w:szCs w:val="24"/>
        </w:rPr>
        <w:t>B</w:t>
      </w:r>
      <w:r w:rsidRPr="003D19EE">
        <w:rPr>
          <w:rFonts w:asciiTheme="minorEastAsia" w:eastAsiaTheme="minorEastAsia" w:hAnsiTheme="minorEastAsia" w:hint="eastAsia"/>
          <w:szCs w:val="24"/>
        </w:rPr>
        <w:t>座</w:t>
      </w:r>
      <w:r w:rsidRPr="003D19EE">
        <w:rPr>
          <w:rFonts w:asciiTheme="minorEastAsia" w:eastAsiaTheme="minorEastAsia" w:hAnsiTheme="minorEastAsia"/>
          <w:szCs w:val="24"/>
        </w:rPr>
        <w:t>19</w:t>
      </w:r>
      <w:r w:rsidRPr="003D19EE">
        <w:rPr>
          <w:rFonts w:asciiTheme="minorEastAsia" w:eastAsiaTheme="minorEastAsia" w:hAnsiTheme="minorEastAsia" w:hint="eastAsia"/>
          <w:szCs w:val="24"/>
        </w:rPr>
        <w:t>层</w:t>
      </w:r>
    </w:p>
    <w:p w14:paraId="450BF24A"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邮政编码：</w:t>
      </w:r>
      <w:r w:rsidRPr="003D19EE">
        <w:rPr>
          <w:rFonts w:asciiTheme="minorEastAsia" w:eastAsiaTheme="minorEastAsia" w:hAnsiTheme="minorEastAsia"/>
          <w:szCs w:val="24"/>
        </w:rPr>
        <w:t>100010</w:t>
      </w:r>
    </w:p>
    <w:p w14:paraId="765AE50F"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法定代表人：黄凌</w:t>
      </w:r>
    </w:p>
    <w:p w14:paraId="18126B09"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成立日期：</w:t>
      </w:r>
      <w:r w:rsidRPr="003D19EE">
        <w:rPr>
          <w:rFonts w:asciiTheme="minorEastAsia" w:eastAsiaTheme="minorEastAsia" w:hAnsiTheme="minorEastAsia"/>
          <w:szCs w:val="24"/>
        </w:rPr>
        <w:t>2013</w:t>
      </w:r>
      <w:r w:rsidRPr="003D19EE">
        <w:rPr>
          <w:rFonts w:asciiTheme="minorEastAsia" w:eastAsiaTheme="minorEastAsia" w:hAnsiTheme="minorEastAsia" w:hint="eastAsia"/>
          <w:szCs w:val="24"/>
        </w:rPr>
        <w:t>年</w:t>
      </w:r>
      <w:r w:rsidRPr="003D19EE">
        <w:rPr>
          <w:rFonts w:asciiTheme="minorEastAsia" w:eastAsiaTheme="minorEastAsia" w:hAnsiTheme="minorEastAsia"/>
          <w:szCs w:val="24"/>
        </w:rPr>
        <w:t>9</w:t>
      </w:r>
      <w:r w:rsidRPr="003D19EE">
        <w:rPr>
          <w:rFonts w:asciiTheme="minorEastAsia" w:eastAsiaTheme="minorEastAsia" w:hAnsiTheme="minorEastAsia" w:hint="eastAsia"/>
          <w:szCs w:val="24"/>
        </w:rPr>
        <w:t>月</w:t>
      </w:r>
      <w:r w:rsidRPr="003D19EE">
        <w:rPr>
          <w:rFonts w:asciiTheme="minorEastAsia" w:eastAsiaTheme="minorEastAsia" w:hAnsiTheme="minorEastAsia"/>
          <w:szCs w:val="24"/>
        </w:rPr>
        <w:t>9</w:t>
      </w:r>
      <w:r w:rsidRPr="003D19EE">
        <w:rPr>
          <w:rFonts w:asciiTheme="minorEastAsia" w:eastAsiaTheme="minorEastAsia" w:hAnsiTheme="minorEastAsia" w:hint="eastAsia"/>
          <w:szCs w:val="24"/>
        </w:rPr>
        <w:t>日</w:t>
      </w:r>
    </w:p>
    <w:p w14:paraId="15A0F20B"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批准设立机关及批准设立文号：中国证监会证监许可〔</w:t>
      </w:r>
      <w:r w:rsidRPr="003D19EE">
        <w:rPr>
          <w:rFonts w:asciiTheme="minorEastAsia" w:eastAsiaTheme="minorEastAsia" w:hAnsiTheme="minorEastAsia"/>
          <w:szCs w:val="24"/>
        </w:rPr>
        <w:t>2013</w:t>
      </w:r>
      <w:r w:rsidRPr="003D19EE">
        <w:rPr>
          <w:rFonts w:asciiTheme="minorEastAsia" w:eastAsiaTheme="minorEastAsia" w:hAnsiTheme="minorEastAsia" w:hint="eastAsia"/>
          <w:szCs w:val="24"/>
        </w:rPr>
        <w:t>〕</w:t>
      </w:r>
      <w:r w:rsidRPr="003D19EE">
        <w:rPr>
          <w:rFonts w:asciiTheme="minorEastAsia" w:eastAsiaTheme="minorEastAsia" w:hAnsiTheme="minorEastAsia"/>
          <w:szCs w:val="24"/>
        </w:rPr>
        <w:t>1108</w:t>
      </w:r>
      <w:r w:rsidRPr="003D19EE">
        <w:rPr>
          <w:rFonts w:asciiTheme="minorEastAsia" w:eastAsiaTheme="minorEastAsia" w:hAnsiTheme="minorEastAsia" w:hint="eastAsia"/>
          <w:szCs w:val="24"/>
        </w:rPr>
        <w:t>号</w:t>
      </w:r>
    </w:p>
    <w:p w14:paraId="5A724532"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组织形式：有限责任公司</w:t>
      </w:r>
    </w:p>
    <w:p w14:paraId="6CD567A7" w14:textId="4E0C67A0"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注册资本：</w:t>
      </w:r>
      <w:r w:rsidRPr="003D19EE">
        <w:rPr>
          <w:rFonts w:asciiTheme="minorEastAsia" w:eastAsiaTheme="minorEastAsia" w:hAnsiTheme="minorEastAsia"/>
          <w:szCs w:val="24"/>
        </w:rPr>
        <w:t>30000</w:t>
      </w:r>
      <w:r w:rsidRPr="003D19EE">
        <w:rPr>
          <w:rFonts w:asciiTheme="minorEastAsia" w:eastAsiaTheme="minorEastAsia" w:hAnsiTheme="minorEastAsia" w:hint="eastAsia"/>
          <w:szCs w:val="24"/>
        </w:rPr>
        <w:t>万元</w:t>
      </w:r>
    </w:p>
    <w:p w14:paraId="51F65F5D" w14:textId="77777777" w:rsidR="00041898" w:rsidRPr="003D19EE" w:rsidRDefault="00041898" w:rsidP="003D19E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存续期间：永久存续</w:t>
      </w:r>
    </w:p>
    <w:p w14:paraId="73B549A0" w14:textId="77777777" w:rsidR="00041898" w:rsidRDefault="00041898" w:rsidP="00041898">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3D19EE">
        <w:rPr>
          <w:rFonts w:asciiTheme="minorEastAsia" w:eastAsiaTheme="minorEastAsia" w:hAnsiTheme="minorEastAsia" w:hint="eastAsia"/>
          <w:szCs w:val="24"/>
        </w:rPr>
        <w:t>经营范围：基金募集、基金销售、特定客户资产管理、资产管理和中国证监会许可的其他业务。</w:t>
      </w:r>
    </w:p>
    <w:p w14:paraId="0CD66CF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1.2基金托管人：</w:t>
      </w:r>
    </w:p>
    <w:p w14:paraId="191F4B0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名称：中信银行股份有限公司</w:t>
      </w:r>
    </w:p>
    <w:p w14:paraId="608DF25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住所：北京市</w:t>
      </w:r>
      <w:r>
        <w:rPr>
          <w:rFonts w:hAnsi="宋体" w:cs="宋体" w:hint="eastAsia"/>
          <w:bCs/>
        </w:rPr>
        <w:t>朝阳区光华路10号院1号楼6-30层、32-42层</w:t>
      </w:r>
    </w:p>
    <w:p w14:paraId="40976A5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法定代表人：朱鹤新</w:t>
      </w:r>
    </w:p>
    <w:p w14:paraId="0BD7914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成立时间：1987年4月20日</w:t>
      </w:r>
    </w:p>
    <w:p w14:paraId="67ED2C6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批准设立机关及批准设立文号：中华人民共和国国务院办公厅国办函[1987]14号</w:t>
      </w:r>
    </w:p>
    <w:p w14:paraId="10CE576C" w14:textId="324A11F3"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基金托管业务批准文号：</w:t>
      </w:r>
      <w:r w:rsidR="005F67F8" w:rsidRPr="005F67F8">
        <w:rPr>
          <w:rFonts w:asciiTheme="minorEastAsia" w:eastAsiaTheme="minorEastAsia" w:hAnsiTheme="minorEastAsia" w:hint="eastAsia"/>
          <w:szCs w:val="24"/>
        </w:rPr>
        <w:t>中国证监会</w:t>
      </w:r>
      <w:proofErr w:type="gramStart"/>
      <w:r>
        <w:rPr>
          <w:rFonts w:asciiTheme="minorEastAsia" w:eastAsiaTheme="minorEastAsia" w:hAnsiTheme="minorEastAsia" w:hint="eastAsia"/>
          <w:szCs w:val="24"/>
        </w:rPr>
        <w:t>证监基字</w:t>
      </w:r>
      <w:proofErr w:type="gramEnd"/>
      <w:r>
        <w:rPr>
          <w:rFonts w:asciiTheme="minorEastAsia" w:eastAsiaTheme="minorEastAsia" w:hAnsiTheme="minorEastAsia" w:hint="eastAsia"/>
          <w:szCs w:val="24"/>
        </w:rPr>
        <w:t>[2004]125号</w:t>
      </w:r>
    </w:p>
    <w:p w14:paraId="56FC8D7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组织形式：股份有限公司</w:t>
      </w:r>
    </w:p>
    <w:p w14:paraId="31CB25A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注册资本：</w:t>
      </w:r>
      <w:r>
        <w:rPr>
          <w:rFonts w:hAnsi="宋体" w:cs="宋体" w:hint="eastAsia"/>
          <w:bCs/>
        </w:rPr>
        <w:t>489.35亿元人民币</w:t>
      </w:r>
    </w:p>
    <w:p w14:paraId="596F7BC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存续期间：持续经营</w:t>
      </w:r>
    </w:p>
    <w:p w14:paraId="24EDAAB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w:t>
      </w:r>
      <w:r>
        <w:rPr>
          <w:rFonts w:asciiTheme="minorEastAsia" w:eastAsiaTheme="minorEastAsia" w:hAnsiTheme="minorEastAsia" w:hint="eastAsia"/>
          <w:szCs w:val="24"/>
        </w:rPr>
        <w:lastRenderedPageBreak/>
        <w:t>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4CBBD5C6"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19" w:name="_Toc296551338"/>
      <w:bookmarkStart w:id="20" w:name="_Toc116889538"/>
      <w:r>
        <w:rPr>
          <w:rFonts w:asciiTheme="minorEastAsia" w:eastAsiaTheme="minorEastAsia" w:hAnsiTheme="minorEastAsia" w:hint="eastAsia"/>
          <w:bCs/>
          <w:color w:val="auto"/>
          <w:szCs w:val="24"/>
        </w:rPr>
        <w:t>第二条 本协议的依据、目的和原则</w:t>
      </w:r>
      <w:bookmarkEnd w:id="19"/>
      <w:bookmarkEnd w:id="20"/>
    </w:p>
    <w:p w14:paraId="5D04E0D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2.1本协议的依据</w:t>
      </w:r>
    </w:p>
    <w:p w14:paraId="1F32CF7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21" w:name="_Hlk84628895"/>
      <w:r>
        <w:rPr>
          <w:rFonts w:asciiTheme="minorEastAsia" w:eastAsiaTheme="minorEastAsia" w:hAnsiTheme="minorEastAsia" w:hint="eastAsia"/>
          <w:szCs w:val="24"/>
        </w:rPr>
        <w:t>订立本协议的依据是《中华人民共和国民法典》、《中华人民共和国证券投资基金法》（以下简称“《基金法》”）、《公开募集证券投资基金运作管理办法》（以下简称“《运作办法》”）、《</w:t>
      </w:r>
      <w:r>
        <w:rPr>
          <w:rFonts w:hAnsi="宋体" w:cs="宋体" w:hint="eastAsia"/>
          <w:bCs/>
        </w:rPr>
        <w:t>公开募集证券投资基金销售机构监督管理办法</w:t>
      </w:r>
      <w:r>
        <w:rPr>
          <w:rFonts w:asciiTheme="minorEastAsia" w:eastAsiaTheme="minorEastAsia" w:hAnsiTheme="minorEastAsia" w:hint="eastAsia"/>
          <w:szCs w:val="24"/>
        </w:rPr>
        <w:t>》（以下简称“《销售办法》”）、《公开募集证券投资基金信息披露管理办法》（以下简称“《信息披露办法》”）、</w:t>
      </w:r>
      <w:r>
        <w:rPr>
          <w:rFonts w:asciiTheme="minorEastAsia" w:eastAsiaTheme="minorEastAsia" w:hAnsiTheme="minorEastAsia" w:hint="eastAsia"/>
          <w:bCs/>
          <w:szCs w:val="24"/>
        </w:rPr>
        <w:t>《公开募集开放式证券投资基金流动性风险管理规定》（以下简称“《流动性风险管理规定》”）、</w:t>
      </w:r>
      <w:r>
        <w:rPr>
          <w:rFonts w:asciiTheme="minorEastAsia" w:eastAsiaTheme="minorEastAsia" w:hAnsiTheme="minorEastAsia" w:hint="eastAsia"/>
          <w:szCs w:val="24"/>
        </w:rPr>
        <w:t>《证券投资基金信息披露内容与格式准则第7号〈托管协议的内容与格式〉》、《</w:t>
      </w:r>
      <w:r w:rsidR="005E0A7E">
        <w:rPr>
          <w:rFonts w:asciiTheme="minorEastAsia" w:eastAsiaTheme="minorEastAsia" w:hAnsiTheme="minorEastAsia" w:hint="eastAsia"/>
          <w:szCs w:val="24"/>
        </w:rPr>
        <w:t>中信建投中证同业存单AAA指数</w:t>
      </w:r>
      <w:r>
        <w:rPr>
          <w:rFonts w:asciiTheme="minorEastAsia" w:eastAsiaTheme="minorEastAsia" w:hAnsiTheme="minorEastAsia" w:hint="eastAsia"/>
          <w:szCs w:val="24"/>
        </w:rPr>
        <w:t>7天持有期证券投资基金基金合同》（以下简称“基金合同”）及其他有关规定。</w:t>
      </w:r>
    </w:p>
    <w:bookmarkEnd w:id="21"/>
    <w:p w14:paraId="7B4D812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2.2本协议的目的</w:t>
      </w:r>
    </w:p>
    <w:p w14:paraId="6761E56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1AB827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2.3本协议的原则</w:t>
      </w:r>
    </w:p>
    <w:p w14:paraId="1BB87FA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基金管理人和基金托管人本着平等自愿、诚实信用、充分保护基金份额持有人合法权益的原则，经协商一致，签订本协议。</w:t>
      </w:r>
    </w:p>
    <w:p w14:paraId="1005BF2D"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22" w:name="_Toc296551339"/>
      <w:bookmarkStart w:id="23" w:name="_Toc116889539"/>
      <w:r>
        <w:rPr>
          <w:rFonts w:asciiTheme="minorEastAsia" w:eastAsiaTheme="minorEastAsia" w:hAnsiTheme="minorEastAsia" w:hint="eastAsia"/>
          <w:bCs/>
          <w:color w:val="auto"/>
          <w:szCs w:val="24"/>
        </w:rPr>
        <w:t>第三条 基金托管人对基金管理人的业务监督和核查</w:t>
      </w:r>
      <w:bookmarkEnd w:id="22"/>
      <w:bookmarkEnd w:id="23"/>
    </w:p>
    <w:p w14:paraId="4783D9D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3.1基金托管人对基金管理人的投资行为行使监督权</w:t>
      </w:r>
    </w:p>
    <w:p w14:paraId="28490BA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3.1.1基金托管人根据有关法律法规的规定和基金合同的约定，对下述基金投资范围、投资对象进行监督。本基金将投资于以下金融工具：</w:t>
      </w:r>
    </w:p>
    <w:p w14:paraId="15512438" w14:textId="77777777" w:rsidR="00DD5AE1" w:rsidRPr="00EA16D0" w:rsidRDefault="00DD5AE1" w:rsidP="00DD5AE1">
      <w:pPr>
        <w:spacing w:line="360" w:lineRule="auto"/>
        <w:ind w:firstLineChars="200" w:firstLine="480"/>
        <w:rPr>
          <w:bCs/>
          <w:sz w:val="24"/>
        </w:rPr>
      </w:pPr>
      <w:bookmarkStart w:id="24" w:name="_Hlk84629732"/>
      <w:r w:rsidRPr="00EA16D0">
        <w:rPr>
          <w:rFonts w:hint="eastAsia"/>
          <w:bCs/>
          <w:sz w:val="24"/>
        </w:rPr>
        <w:t>本基金主要投资于标的指数成份</w:t>
      </w:r>
      <w:proofErr w:type="gramStart"/>
      <w:r w:rsidRPr="00EA16D0">
        <w:rPr>
          <w:rFonts w:hint="eastAsia"/>
          <w:bCs/>
          <w:sz w:val="24"/>
        </w:rPr>
        <w:t>券</w:t>
      </w:r>
      <w:proofErr w:type="gramEnd"/>
      <w:r w:rsidRPr="00EA16D0">
        <w:rPr>
          <w:rFonts w:hint="eastAsia"/>
          <w:bCs/>
          <w:sz w:val="24"/>
        </w:rPr>
        <w:t>及其备选成份</w:t>
      </w:r>
      <w:proofErr w:type="gramStart"/>
      <w:r w:rsidRPr="00EA16D0">
        <w:rPr>
          <w:rFonts w:hint="eastAsia"/>
          <w:bCs/>
          <w:sz w:val="24"/>
        </w:rPr>
        <w:t>券</w:t>
      </w:r>
      <w:proofErr w:type="gramEnd"/>
      <w:r w:rsidRPr="00EA16D0">
        <w:rPr>
          <w:rFonts w:hint="eastAsia"/>
          <w:bCs/>
          <w:sz w:val="24"/>
        </w:rPr>
        <w:t>。为了更好地实现投资目标，本基金还可以投资于标的指数成份</w:t>
      </w:r>
      <w:proofErr w:type="gramStart"/>
      <w:r w:rsidRPr="00EA16D0">
        <w:rPr>
          <w:rFonts w:hint="eastAsia"/>
          <w:bCs/>
          <w:sz w:val="24"/>
        </w:rPr>
        <w:t>券</w:t>
      </w:r>
      <w:proofErr w:type="gramEnd"/>
      <w:r w:rsidRPr="00EA16D0">
        <w:rPr>
          <w:rFonts w:hint="eastAsia"/>
          <w:bCs/>
          <w:sz w:val="24"/>
        </w:rPr>
        <w:t>及其备选成份</w:t>
      </w:r>
      <w:proofErr w:type="gramStart"/>
      <w:r w:rsidRPr="00EA16D0">
        <w:rPr>
          <w:rFonts w:hint="eastAsia"/>
          <w:bCs/>
          <w:sz w:val="24"/>
        </w:rPr>
        <w:t>券</w:t>
      </w:r>
      <w:proofErr w:type="gramEnd"/>
      <w:r w:rsidRPr="00EA16D0">
        <w:rPr>
          <w:rFonts w:hint="eastAsia"/>
          <w:bCs/>
          <w:sz w:val="24"/>
        </w:rPr>
        <w:t>以外的具有良好流动性的金融工具，包括国内依法发行的债券（包括国债、地方政府债券、政府机构债券、金融债券、企业债券、公司债券、次级债券等）、非金融企业债务融资工具（中期票</w:t>
      </w:r>
      <w:r w:rsidRPr="00EA16D0">
        <w:rPr>
          <w:rFonts w:hint="eastAsia"/>
          <w:bCs/>
          <w:sz w:val="24"/>
        </w:rPr>
        <w:lastRenderedPageBreak/>
        <w:t>据、短期融资</w:t>
      </w:r>
      <w:proofErr w:type="gramStart"/>
      <w:r w:rsidRPr="00EA16D0">
        <w:rPr>
          <w:rFonts w:hint="eastAsia"/>
          <w:bCs/>
          <w:sz w:val="24"/>
        </w:rPr>
        <w:t>券</w:t>
      </w:r>
      <w:proofErr w:type="gramEnd"/>
      <w:r w:rsidRPr="00EA16D0">
        <w:rPr>
          <w:rFonts w:hint="eastAsia"/>
          <w:bCs/>
          <w:sz w:val="24"/>
        </w:rPr>
        <w:t>、超短期融资</w:t>
      </w:r>
      <w:proofErr w:type="gramStart"/>
      <w:r w:rsidRPr="00EA16D0">
        <w:rPr>
          <w:rFonts w:hint="eastAsia"/>
          <w:bCs/>
          <w:sz w:val="24"/>
        </w:rPr>
        <w:t>券</w:t>
      </w:r>
      <w:proofErr w:type="gramEnd"/>
      <w:r w:rsidRPr="00EA16D0">
        <w:rPr>
          <w:rFonts w:hint="eastAsia"/>
          <w:bCs/>
          <w:sz w:val="24"/>
        </w:rPr>
        <w:t>等）、银行存款（包括定期存款、协议存款、通知存款等）、央行票据、资产支持证券、债券回购、同业存单、货币市场工具以及法律法规或中国证监会允许基金投资的其他金融工具。本基金不投资股票等权益资产，也不投资可转换债券、可交换债券。</w:t>
      </w:r>
    </w:p>
    <w:p w14:paraId="64E7394E" w14:textId="77777777" w:rsidR="00DD5AE1" w:rsidRPr="00EA16D0" w:rsidRDefault="00DD5AE1" w:rsidP="00DD5AE1">
      <w:pPr>
        <w:spacing w:line="360" w:lineRule="auto"/>
        <w:ind w:firstLineChars="200" w:firstLine="480"/>
        <w:rPr>
          <w:bCs/>
          <w:sz w:val="24"/>
        </w:rPr>
      </w:pPr>
      <w:r w:rsidRPr="00EA16D0">
        <w:rPr>
          <w:rFonts w:hint="eastAsia"/>
          <w:bCs/>
          <w:sz w:val="24"/>
        </w:rPr>
        <w:t>基金的投资组合比例为：本基金投资于同业存单的比例不低于基金资产的</w:t>
      </w:r>
      <w:r w:rsidRPr="00EA16D0">
        <w:rPr>
          <w:rFonts w:hint="eastAsia"/>
          <w:bCs/>
          <w:sz w:val="24"/>
        </w:rPr>
        <w:t>80%</w:t>
      </w:r>
      <w:r w:rsidRPr="00EA16D0">
        <w:rPr>
          <w:rFonts w:hint="eastAsia"/>
          <w:bCs/>
          <w:sz w:val="24"/>
        </w:rPr>
        <w:t>，本基金投资于标的指数成份</w:t>
      </w:r>
      <w:proofErr w:type="gramStart"/>
      <w:r w:rsidRPr="00EA16D0">
        <w:rPr>
          <w:rFonts w:hint="eastAsia"/>
          <w:bCs/>
          <w:sz w:val="24"/>
        </w:rPr>
        <w:t>券</w:t>
      </w:r>
      <w:proofErr w:type="gramEnd"/>
      <w:r w:rsidRPr="00EA16D0">
        <w:rPr>
          <w:rFonts w:hint="eastAsia"/>
          <w:bCs/>
          <w:sz w:val="24"/>
        </w:rPr>
        <w:t>及其备选成份</w:t>
      </w:r>
      <w:proofErr w:type="gramStart"/>
      <w:r w:rsidRPr="00EA16D0">
        <w:rPr>
          <w:rFonts w:hint="eastAsia"/>
          <w:bCs/>
          <w:sz w:val="24"/>
        </w:rPr>
        <w:t>券</w:t>
      </w:r>
      <w:proofErr w:type="gramEnd"/>
      <w:r w:rsidRPr="00EA16D0">
        <w:rPr>
          <w:rFonts w:hint="eastAsia"/>
          <w:bCs/>
          <w:sz w:val="24"/>
        </w:rPr>
        <w:t>的比例不低于本基金非现金基金资产的</w:t>
      </w:r>
      <w:r w:rsidRPr="00EA16D0">
        <w:rPr>
          <w:rFonts w:hint="eastAsia"/>
          <w:bCs/>
          <w:sz w:val="24"/>
        </w:rPr>
        <w:t>80%</w:t>
      </w:r>
      <w:r w:rsidRPr="00EA16D0">
        <w:rPr>
          <w:rFonts w:hint="eastAsia"/>
          <w:bCs/>
          <w:sz w:val="24"/>
        </w:rPr>
        <w:t>；本基金应当保持不低于基金资产净值</w:t>
      </w:r>
      <w:r w:rsidRPr="00EA16D0">
        <w:rPr>
          <w:rFonts w:hint="eastAsia"/>
          <w:bCs/>
          <w:sz w:val="24"/>
        </w:rPr>
        <w:t>5%</w:t>
      </w:r>
      <w:r w:rsidRPr="00EA16D0">
        <w:rPr>
          <w:rFonts w:hint="eastAsia"/>
          <w:bCs/>
          <w:sz w:val="24"/>
        </w:rPr>
        <w:t>的现金或者到期日在一年以内的政府债券，其中现金不包括结算备付金、存出保证金、应收申购款等。</w:t>
      </w:r>
    </w:p>
    <w:p w14:paraId="158E51AF" w14:textId="77777777" w:rsidR="00DD5AE1" w:rsidRPr="00EA16D0" w:rsidRDefault="00DD5AE1" w:rsidP="00DD5AE1">
      <w:pPr>
        <w:spacing w:line="360" w:lineRule="auto"/>
        <w:ind w:firstLineChars="200" w:firstLine="480"/>
        <w:rPr>
          <w:bCs/>
          <w:sz w:val="24"/>
        </w:rPr>
      </w:pPr>
      <w:r w:rsidRPr="00EA16D0">
        <w:rPr>
          <w:rFonts w:hint="eastAsia"/>
          <w:bCs/>
          <w:sz w:val="24"/>
        </w:rPr>
        <w:t>本基金的标的指数为中证同业存单</w:t>
      </w:r>
      <w:r w:rsidRPr="00EA16D0">
        <w:rPr>
          <w:rFonts w:hint="eastAsia"/>
          <w:bCs/>
          <w:sz w:val="24"/>
        </w:rPr>
        <w:t>AAA</w:t>
      </w:r>
      <w:r w:rsidRPr="00EA16D0">
        <w:rPr>
          <w:rFonts w:hint="eastAsia"/>
          <w:bCs/>
          <w:sz w:val="24"/>
        </w:rPr>
        <w:t>指数，由中证指数有限公司编制发布。</w:t>
      </w:r>
    </w:p>
    <w:p w14:paraId="30AB8B33" w14:textId="3011E8BF" w:rsidR="005F421B" w:rsidRDefault="00DD5AE1" w:rsidP="007B1DC4">
      <w:pPr>
        <w:pStyle w:val="21"/>
        <w:adjustRightInd w:val="0"/>
        <w:snapToGrid w:val="0"/>
        <w:spacing w:line="360" w:lineRule="auto"/>
        <w:ind w:left="0" w:firstLineChars="200" w:firstLine="480"/>
        <w:rPr>
          <w:rFonts w:asciiTheme="minorEastAsia" w:eastAsiaTheme="minorEastAsia" w:hAnsiTheme="minorEastAsia"/>
          <w:szCs w:val="24"/>
        </w:rPr>
      </w:pPr>
      <w:r w:rsidRPr="00FD5EC2">
        <w:rPr>
          <w:rFonts w:hint="eastAsia"/>
          <w:bCs/>
        </w:rPr>
        <w:t>如法律法规或监管机构以后允许基金投资其他品种，基金管理人在履行适当程序后，可以将其纳入投资范围，并可依据届时有效的法律法规适时合理地调整投资范围；如法律法规或监管机构变更上述投资品种的比例限制，在履行适当程序后，以变更后的比例为准，本基金的投资比例将相应调整。</w:t>
      </w:r>
    </w:p>
    <w:bookmarkEnd w:id="24"/>
    <w:p w14:paraId="497229CA" w14:textId="77777777" w:rsidR="004322DA" w:rsidRPr="004322DA" w:rsidRDefault="007641D4" w:rsidP="00EF7FA6">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 xml:space="preserve">3.1.2基金托管人根据有关法律法规的规定及基金合同的约定对下述基金投融资比例进行监督：    </w:t>
      </w:r>
    </w:p>
    <w:p w14:paraId="3BBA171B"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bookmarkStart w:id="25" w:name="_Hlk84629998"/>
      <w:r w:rsidRPr="00DD5AE1">
        <w:rPr>
          <w:rFonts w:asciiTheme="minorEastAsia" w:eastAsiaTheme="minorEastAsia" w:hAnsiTheme="minorEastAsia" w:hint="eastAsia"/>
          <w:szCs w:val="24"/>
        </w:rPr>
        <w:t>（1）本基金投资于同业存单的比例不低于基金资产的80%，本基金投资于标的指数成份</w:t>
      </w:r>
      <w:proofErr w:type="gramStart"/>
      <w:r w:rsidRPr="00DD5AE1">
        <w:rPr>
          <w:rFonts w:asciiTheme="minorEastAsia" w:eastAsiaTheme="minorEastAsia" w:hAnsiTheme="minorEastAsia" w:hint="eastAsia"/>
          <w:szCs w:val="24"/>
        </w:rPr>
        <w:t>券</w:t>
      </w:r>
      <w:proofErr w:type="gramEnd"/>
      <w:r w:rsidRPr="00DD5AE1">
        <w:rPr>
          <w:rFonts w:asciiTheme="minorEastAsia" w:eastAsiaTheme="minorEastAsia" w:hAnsiTheme="minorEastAsia" w:hint="eastAsia"/>
          <w:szCs w:val="24"/>
        </w:rPr>
        <w:t>及其备选成份</w:t>
      </w:r>
      <w:proofErr w:type="gramStart"/>
      <w:r w:rsidRPr="00DD5AE1">
        <w:rPr>
          <w:rFonts w:asciiTheme="minorEastAsia" w:eastAsiaTheme="minorEastAsia" w:hAnsiTheme="minorEastAsia" w:hint="eastAsia"/>
          <w:szCs w:val="24"/>
        </w:rPr>
        <w:t>券</w:t>
      </w:r>
      <w:proofErr w:type="gramEnd"/>
      <w:r w:rsidRPr="00DD5AE1">
        <w:rPr>
          <w:rFonts w:asciiTheme="minorEastAsia" w:eastAsiaTheme="minorEastAsia" w:hAnsiTheme="minorEastAsia" w:hint="eastAsia"/>
          <w:szCs w:val="24"/>
        </w:rPr>
        <w:t>的比例不低于本基金非现金基金资产的80%；</w:t>
      </w:r>
    </w:p>
    <w:p w14:paraId="6D153B40"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（2）本基金应当保持不低于基金资产净值5%的现金或者到期日在一年以内的政府债券，其中现金不包括结算备付金、存出保证金、应收申购款等；</w:t>
      </w:r>
    </w:p>
    <w:p w14:paraId="628EFB49"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（3）本基金投资的债券、非金融企业债务融资工具、资产支持证券的剩余期限或回售期限在397天以内（含397天）；</w:t>
      </w:r>
    </w:p>
    <w:p w14:paraId="224B153C"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（4）本基金投资的银行存款、债券回购、央行票据、同业存单的期限在1年以内（含1年）；</w:t>
      </w:r>
    </w:p>
    <w:p w14:paraId="357A5FFC"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w:t>
      </w:r>
      <w:proofErr w:type="gramStart"/>
      <w:r w:rsidRPr="00DD5AE1">
        <w:rPr>
          <w:rFonts w:asciiTheme="minorEastAsia" w:eastAsiaTheme="minorEastAsia" w:hAnsiTheme="minorEastAsia" w:hint="eastAsia"/>
          <w:szCs w:val="24"/>
        </w:rPr>
        <w:t>低原则</w:t>
      </w:r>
      <w:proofErr w:type="gramEnd"/>
      <w:r w:rsidRPr="00DD5AE1">
        <w:rPr>
          <w:rFonts w:asciiTheme="minorEastAsia" w:eastAsiaTheme="minorEastAsia" w:hAnsiTheme="minorEastAsia" w:hint="eastAsia"/>
          <w:szCs w:val="24"/>
        </w:rPr>
        <w:t>确定其评级；本基金持有上述金融工具期间，如果其信用评级下降不再符合前述标准，应在评级报告发布之日起3个月内调整至符合约定；</w:t>
      </w:r>
    </w:p>
    <w:p w14:paraId="32C12170"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（6）本基金投资于同一商业银行的银行存款及其发行的同业存单、债券、相关机构作为原始权益人的资产支持证券及中国证监会认定的其他金融工具占基金</w:t>
      </w:r>
      <w:r w:rsidRPr="00DD5AE1">
        <w:rPr>
          <w:rFonts w:asciiTheme="minorEastAsia" w:eastAsiaTheme="minorEastAsia" w:hAnsiTheme="minorEastAsia" w:hint="eastAsia"/>
          <w:szCs w:val="24"/>
        </w:rPr>
        <w:lastRenderedPageBreak/>
        <w:t>资产净值的比例合计不得超过10%；</w:t>
      </w:r>
    </w:p>
    <w:p w14:paraId="362C85D4"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（7）本基金持有一家公司发行的证券，其市值不超过基金资产净值的10%，完全按照有关指数的构成比例进行证券投资的基金品种以及中国证监会认定的特殊投资组合可不受前述比例限制；</w:t>
      </w:r>
    </w:p>
    <w:p w14:paraId="6516DC12"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（8）本基金管理人管理的全部基金持有一家公司发行的证券，不超过该证券的10%，完全按照有关指数的构成比例进行证券投资的基金品种以及中国证监会认定的特殊投资组合可不受前述比例限制；</w:t>
      </w:r>
    </w:p>
    <w:p w14:paraId="39059860"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（9）本基金投资于同一原始权益人的各类资产支持证券的比例，不得超过基金资产净值的10%；</w:t>
      </w:r>
    </w:p>
    <w:p w14:paraId="26B35BB1"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（10）本基金持有的全部资产支持证券，其市值不得超过基金资产净值的20%；</w:t>
      </w:r>
    </w:p>
    <w:p w14:paraId="49D14D59"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（11）本基金持有的同一（指同一信用级别）资产支持证券的比例，不得超过该资产支持证券规模的10%；</w:t>
      </w:r>
    </w:p>
    <w:p w14:paraId="7D912413"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（12）本基金管理人管理的全部基金投资于同一原始权益人的各类资产支持证券，不得超过其各类资产支持证券合计规模的10%；</w:t>
      </w:r>
    </w:p>
    <w:p w14:paraId="4421D773"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（13）本基金进入全国银行间同业市场进行债券回购的最长期限为1年，债券回购到期后不得展期；</w:t>
      </w:r>
    </w:p>
    <w:p w14:paraId="61533C01"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5131DB69" w14:textId="2CCCA8EA"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（15）本基金与私募类</w:t>
      </w:r>
      <w:proofErr w:type="gramStart"/>
      <w:r w:rsidRPr="00DD5AE1">
        <w:rPr>
          <w:rFonts w:asciiTheme="minorEastAsia" w:eastAsiaTheme="minorEastAsia" w:hAnsiTheme="minorEastAsia" w:hint="eastAsia"/>
          <w:szCs w:val="24"/>
        </w:rPr>
        <w:t>证券资管产品</w:t>
      </w:r>
      <w:proofErr w:type="gramEnd"/>
      <w:r w:rsidRPr="00DD5AE1">
        <w:rPr>
          <w:rFonts w:asciiTheme="minorEastAsia" w:eastAsiaTheme="minorEastAsia" w:hAnsiTheme="minorEastAsia" w:hint="eastAsia"/>
          <w:szCs w:val="24"/>
        </w:rPr>
        <w:t>及中国证监会认定的其他主体为交易对手开展逆回购交易的，可接受质押品的资质要求应当与基金合同约定的投资范围保持一致；</w:t>
      </w:r>
    </w:p>
    <w:p w14:paraId="00BB3E50"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（16）本基金资产总值不超过基金资产净值的140%；</w:t>
      </w:r>
    </w:p>
    <w:p w14:paraId="2A523D82"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（17）法律法规及中国证监会规定的和《基金合同》约定的其他投资限制。</w:t>
      </w:r>
    </w:p>
    <w:p w14:paraId="300E71C8" w14:textId="77777777"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除上述第（2）、（5）、（14）、（15）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52FC48F" w14:textId="4278E6DC" w:rsidR="005F421B" w:rsidRDefault="00DD5AE1"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C6AF346" w14:textId="4C5A2ACF" w:rsidR="00204A30" w:rsidRDefault="00DD5AE1" w:rsidP="004322DA">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DD5AE1">
        <w:rPr>
          <w:rFonts w:asciiTheme="minorEastAsia" w:eastAsiaTheme="minorEastAsia" w:hAnsiTheme="minorEastAsia" w:hint="eastAsia"/>
          <w:szCs w:val="24"/>
        </w:rPr>
        <w:lastRenderedPageBreak/>
        <w:t>如法律法规或监管部门对上述投资组合比例限制进行变更的，以变更后的规定为准。法律法规或监管部门取消上述限制，如适用于本基金，基金管理人在履行适当程序后，则本基金投资不再受相关限制。</w:t>
      </w:r>
    </w:p>
    <w:p w14:paraId="4E03832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proofErr w:type="gramStart"/>
      <w:r>
        <w:rPr>
          <w:rFonts w:asciiTheme="minorEastAsia" w:eastAsiaTheme="minorEastAsia" w:hAnsiTheme="minorEastAsia" w:hint="eastAsia"/>
          <w:szCs w:val="24"/>
        </w:rPr>
        <w:t>侧袋机制</w:t>
      </w:r>
      <w:proofErr w:type="gramEnd"/>
      <w:r>
        <w:rPr>
          <w:rFonts w:asciiTheme="minorEastAsia" w:eastAsiaTheme="minorEastAsia" w:hAnsiTheme="minorEastAsia" w:hint="eastAsia"/>
          <w:szCs w:val="24"/>
        </w:rPr>
        <w:t>实施期间，本部分约定的投资组合比例、组合限制等约定仅</w:t>
      </w:r>
      <w:proofErr w:type="gramStart"/>
      <w:r>
        <w:rPr>
          <w:rFonts w:asciiTheme="minorEastAsia" w:eastAsiaTheme="minorEastAsia" w:hAnsiTheme="minorEastAsia" w:hint="eastAsia"/>
          <w:szCs w:val="24"/>
        </w:rPr>
        <w:t>适用于主袋账户</w:t>
      </w:r>
      <w:proofErr w:type="gramEnd"/>
      <w:r>
        <w:rPr>
          <w:rFonts w:asciiTheme="minorEastAsia" w:eastAsiaTheme="minorEastAsia" w:hAnsiTheme="minorEastAsia" w:hint="eastAsia"/>
          <w:szCs w:val="24"/>
        </w:rPr>
        <w:t>。</w:t>
      </w:r>
      <w:r>
        <w:rPr>
          <w:rFonts w:hint="eastAsia"/>
        </w:rPr>
        <w:t>基金管理人应在基金产品成立后</w:t>
      </w:r>
      <w:r>
        <w:rPr>
          <w:rFonts w:ascii="Calibri" w:hAnsi="Calibri" w:cs="Calibri"/>
        </w:rPr>
        <w:t>10</w:t>
      </w:r>
      <w:r>
        <w:rPr>
          <w:rFonts w:hint="eastAsia"/>
        </w:rPr>
        <w:t>个工作日内主动向基金托管人提供基金投资标的白名单。</w:t>
      </w:r>
    </w:p>
    <w:bookmarkEnd w:id="25"/>
    <w:p w14:paraId="77CAFD8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3.1.3基金托管人根据有关法律法规的规定及基金合同的约定对下述基金投资禁止行为进行监督：</w:t>
      </w:r>
    </w:p>
    <w:p w14:paraId="416E05A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根据法律法规的规定及基金合同的约定，本基金禁止从事下列行为：</w:t>
      </w:r>
    </w:p>
    <w:p w14:paraId="34DAD19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（1）承销证券；</w:t>
      </w:r>
    </w:p>
    <w:p w14:paraId="49A89C5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（2）违反规定向他人贷款或者提供担保；</w:t>
      </w:r>
    </w:p>
    <w:p w14:paraId="6481F4A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（3）从事承担无限责任的投资；</w:t>
      </w:r>
    </w:p>
    <w:p w14:paraId="6893254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（4）买卖其他基金份额，但是中国证监会另有规定的除外；</w:t>
      </w:r>
    </w:p>
    <w:p w14:paraId="7009C54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（5）向其基金管理人、基金托管人出资；</w:t>
      </w:r>
    </w:p>
    <w:p w14:paraId="41E1D5E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（6）从事内幕交易、操纵证券交易价格及其他不正当的证券交易活动；</w:t>
      </w:r>
    </w:p>
    <w:p w14:paraId="0FD8309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（7）法律、行政法规和中国证监会规定禁止的其他活动。</w:t>
      </w:r>
    </w:p>
    <w:p w14:paraId="73CC449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法律法规或监管部门取消上述组合限制、禁止行为规定的条件和要求，本基金可不受相关限制。法律法规或监管部门对上述组合限制、禁止行为规定的条件和要求进行变更的，本基金以变更后的规定为准，但须与基金托管人协商一致后方可纳入基金托管人投资监督范围。经与基金托管人协商一致，基金管理人可依据法律法规或监管部门规定直接对基金合同进行变更。</w:t>
      </w:r>
    </w:p>
    <w:p w14:paraId="7E6FBF0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3.1.4基金托管人依据有关法律法规的规定和基金合同的约定对于</w:t>
      </w:r>
      <w:bookmarkStart w:id="26" w:name="_Hlk84630690"/>
      <w:r>
        <w:rPr>
          <w:rFonts w:asciiTheme="minorEastAsia" w:eastAsiaTheme="minorEastAsia" w:hAnsiTheme="minorEastAsia" w:hint="eastAsia"/>
          <w:szCs w:val="24"/>
        </w:rPr>
        <w:t>基金关联投资限制</w:t>
      </w:r>
      <w:bookmarkEnd w:id="26"/>
      <w:r>
        <w:rPr>
          <w:rFonts w:asciiTheme="minorEastAsia" w:eastAsiaTheme="minorEastAsia" w:hAnsiTheme="minorEastAsia" w:hint="eastAsia"/>
          <w:szCs w:val="24"/>
        </w:rPr>
        <w:t>进行监督：</w:t>
      </w:r>
    </w:p>
    <w:p w14:paraId="2001351C" w14:textId="28DD6840"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27" w:name="_Hlk84630797"/>
      <w:r>
        <w:rPr>
          <w:rFonts w:asciiTheme="minorEastAsia" w:eastAsiaTheme="minorEastAsia" w:hAnsiTheme="minorEastAsia"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w:t>
      </w:r>
      <w:r>
        <w:rPr>
          <w:rFonts w:asciiTheme="minorEastAsia" w:eastAsiaTheme="minorEastAsia" w:hAnsiTheme="minorEastAsia" w:hint="eastAsia"/>
          <w:szCs w:val="24"/>
        </w:rPr>
        <w:lastRenderedPageBreak/>
        <w:t>披露。重大关联交易应提交基金管理人董事会审议，并经过三分之二以上（含三分之二）的独立董事通过。基金管理人董事会应至少每半年对关联交易事项进行审查。</w:t>
      </w:r>
    </w:p>
    <w:bookmarkEnd w:id="27"/>
    <w:p w14:paraId="695F2F7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根据法律法规有关从事关联交易的规定，基金管理人和基金托管人应事先相互提供与本机构有控股关系的股东或与本机构有其他重大利害关系的公司名单及其更新，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03ADB0B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proofErr w:type="gramStart"/>
      <w:r>
        <w:rPr>
          <w:rFonts w:asciiTheme="minorEastAsia" w:eastAsiaTheme="minorEastAsia" w:hAnsiTheme="minorEastAsia" w:hint="eastAsia"/>
          <w:szCs w:val="24"/>
        </w:rPr>
        <w:t>若基金</w:t>
      </w:r>
      <w:proofErr w:type="gramEnd"/>
      <w:r>
        <w:rPr>
          <w:rFonts w:asciiTheme="minorEastAsia" w:eastAsiaTheme="minorEastAsia" w:hAnsiTheme="minorEastAsia" w:hint="eastAsia"/>
          <w:szCs w:val="24"/>
        </w:rPr>
        <w:t>托管人发现基金管理人与关联方进行法律法规禁止基金从事的交易时，基金托管人应及时提醒并协助基金管理人采取必要措施阻止该交易的发生，</w:t>
      </w:r>
      <w:proofErr w:type="gramStart"/>
      <w:r>
        <w:rPr>
          <w:rFonts w:asciiTheme="minorEastAsia" w:eastAsiaTheme="minorEastAsia" w:hAnsiTheme="minorEastAsia" w:hint="eastAsia"/>
          <w:szCs w:val="24"/>
        </w:rPr>
        <w:t>若基金</w:t>
      </w:r>
      <w:proofErr w:type="gramEnd"/>
      <w:r>
        <w:rPr>
          <w:rFonts w:asciiTheme="minorEastAsia" w:eastAsiaTheme="minorEastAsia" w:hAnsiTheme="minorEastAsia"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w:t>
      </w:r>
      <w:bookmarkStart w:id="28" w:name="_Hlk84661553"/>
      <w:r>
        <w:rPr>
          <w:rFonts w:asciiTheme="minorEastAsia" w:eastAsiaTheme="minorEastAsia" w:hAnsiTheme="minorEastAsia" w:hint="eastAsia"/>
          <w:szCs w:val="24"/>
        </w:rPr>
        <w:t>向中国证监会报告</w:t>
      </w:r>
      <w:bookmarkEnd w:id="28"/>
      <w:r>
        <w:rPr>
          <w:rFonts w:asciiTheme="minorEastAsia" w:eastAsiaTheme="minorEastAsia" w:hAnsiTheme="minorEastAsia" w:hint="eastAsia"/>
          <w:szCs w:val="24"/>
        </w:rPr>
        <w:t>，基金托管人不承担由此造成的损失和责任。</w:t>
      </w:r>
    </w:p>
    <w:p w14:paraId="3961424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3.1.5基金托管人依据有关法律法规的规定和基金合同的约定对基金管理人参与银行间债券市场进行监督：</w:t>
      </w:r>
    </w:p>
    <w:p w14:paraId="6339A4C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bookmarkStart w:id="29" w:name="_Hlk84661782"/>
      <w:r>
        <w:rPr>
          <w:rFonts w:asciiTheme="minorEastAsia" w:eastAsiaTheme="minorEastAsia" w:hAnsiTheme="minorEastAsia" w:hint="eastAsia"/>
          <w:szCs w:val="24"/>
        </w:rPr>
        <w:t>基金托管人对于基金管理人参与银行间债券市场交易时是否按交易对手名单进行</w:t>
      </w:r>
      <w:r>
        <w:rPr>
          <w:rFonts w:asciiTheme="minorEastAsia" w:eastAsiaTheme="minorEastAsia" w:hAnsiTheme="minorEastAsia"/>
          <w:szCs w:val="24"/>
        </w:rPr>
        <w:t>交易</w:t>
      </w:r>
      <w:r>
        <w:rPr>
          <w:rFonts w:asciiTheme="minorEastAsia" w:eastAsiaTheme="minorEastAsia" w:hAnsiTheme="minorEastAsia" w:hint="eastAsia"/>
          <w:szCs w:val="24"/>
        </w:rPr>
        <w:t>进行监督。</w:t>
      </w:r>
    </w:p>
    <w:p w14:paraId="3572EBC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w:t>
      </w:r>
      <w:proofErr w:type="gramStart"/>
      <w:r>
        <w:rPr>
          <w:rFonts w:asciiTheme="minorEastAsia" w:eastAsiaTheme="minorEastAsia" w:hAnsiTheme="minorEastAsia" w:hint="eastAsia"/>
          <w:szCs w:val="24"/>
        </w:rPr>
        <w:t>若基金</w:t>
      </w:r>
      <w:proofErr w:type="gramEnd"/>
      <w:r>
        <w:rPr>
          <w:rFonts w:asciiTheme="minorEastAsia" w:eastAsiaTheme="minorEastAsia" w:hAnsiTheme="minorEastAsia" w:hint="eastAsia"/>
          <w:szCs w:val="24"/>
        </w:rPr>
        <w:t>管理人未提供名单的情况下，交易对手为银行间债券市场的全部交易对手。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14CB7BA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如果基金托管人发现基金管理人与不在名单内的银行间债券市场交易对手进行交易，应及时提醒基金管理人撤销交易，</w:t>
      </w:r>
      <w:r>
        <w:rPr>
          <w:rFonts w:asciiTheme="minorEastAsia" w:eastAsiaTheme="minorEastAsia" w:hAnsiTheme="minorEastAsia" w:hint="eastAsia"/>
          <w:b/>
          <w:bCs/>
          <w:szCs w:val="24"/>
        </w:rPr>
        <w:t>经提醒后基金管理人仍执行交易并造成基金资产损失的，基金托管人不承担责任。</w:t>
      </w:r>
    </w:p>
    <w:bookmarkEnd w:id="29"/>
    <w:p w14:paraId="5D5340A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（2）基金托管人对于基金管理人参与银行间债券市场交易的交易方式的控制</w:t>
      </w:r>
    </w:p>
    <w:p w14:paraId="5DE547F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b/>
          <w:bCs/>
          <w:szCs w:val="24"/>
        </w:rPr>
      </w:pPr>
      <w:r>
        <w:rPr>
          <w:rFonts w:asciiTheme="minorEastAsia" w:eastAsiaTheme="minorEastAsia" w:hAnsiTheme="minorEastAsia"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asciiTheme="minorEastAsia" w:eastAsiaTheme="minorEastAsia" w:hAnsiTheme="minorEastAsia" w:hint="eastAsia"/>
          <w:b/>
          <w:bCs/>
          <w:szCs w:val="24"/>
        </w:rPr>
        <w:t>经提醒后仍未改正并造成基金资产损失的，基金托管人不承担责任。</w:t>
      </w:r>
    </w:p>
    <w:p w14:paraId="40060EF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（3）基金管理人有责任控制交易对手的资信风险。</w:t>
      </w:r>
    </w:p>
    <w:p w14:paraId="437903D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494BDA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3.1.6基金托管人对基金投资流通受限证券的监督：</w:t>
      </w:r>
    </w:p>
    <w:p w14:paraId="293C56C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eastAsiaTheme="minorEastAsia" w:hAnsiTheme="minorEastAsia" w:hint="eastAsia"/>
          <w:szCs w:val="24"/>
        </w:rPr>
        <w:t>券</w:t>
      </w:r>
      <w:proofErr w:type="gramEnd"/>
      <w:r>
        <w:rPr>
          <w:rFonts w:asciiTheme="minorEastAsia" w:eastAsiaTheme="minorEastAsia" w:hAnsiTheme="minorEastAsia" w:hint="eastAsia"/>
          <w:szCs w:val="24"/>
        </w:rPr>
        <w:t>等流通受限证券。</w:t>
      </w:r>
    </w:p>
    <w:p w14:paraId="0ADA097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69A975F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基金管理人应至少</w:t>
      </w:r>
      <w:proofErr w:type="gramStart"/>
      <w:r>
        <w:rPr>
          <w:rFonts w:asciiTheme="minorEastAsia" w:eastAsiaTheme="minorEastAsia" w:hAnsiTheme="minorEastAsia" w:hint="eastAsia"/>
          <w:szCs w:val="24"/>
        </w:rPr>
        <w:t>于首次</w:t>
      </w:r>
      <w:proofErr w:type="gramEnd"/>
      <w:r>
        <w:rPr>
          <w:rFonts w:asciiTheme="minorEastAsia" w:eastAsiaTheme="minorEastAsia" w:hAnsiTheme="minorEastAsia"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251F61D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（3）基金投资流通受限证券前，基金管理人应向基金托管人提供符合法律法规要求的有关必要书面信息。基金管理人应保证上述信息的真实、完整，并应至少</w:t>
      </w:r>
      <w:proofErr w:type="gramStart"/>
      <w:r>
        <w:rPr>
          <w:rFonts w:asciiTheme="minorEastAsia" w:eastAsiaTheme="minorEastAsia" w:hAnsiTheme="minorEastAsia" w:hint="eastAsia"/>
          <w:szCs w:val="24"/>
        </w:rPr>
        <w:t>于拟执行</w:t>
      </w:r>
      <w:proofErr w:type="gramEnd"/>
      <w:r>
        <w:rPr>
          <w:rFonts w:asciiTheme="minorEastAsia" w:eastAsiaTheme="minorEastAsia" w:hAnsiTheme="minorEastAsia" w:hint="eastAsia"/>
          <w:szCs w:val="24"/>
        </w:rPr>
        <w:t>投资指令前将上述信息书面发至基金托管人。</w:t>
      </w:r>
    </w:p>
    <w:p w14:paraId="3FFA530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w:t>
      </w:r>
      <w:r>
        <w:rPr>
          <w:rFonts w:asciiTheme="minorEastAsia" w:eastAsiaTheme="minorEastAsia" w:hAnsiTheme="minorEastAsia"/>
          <w:szCs w:val="24"/>
        </w:rPr>
        <w:t>调整</w:t>
      </w:r>
      <w:r>
        <w:rPr>
          <w:rFonts w:asciiTheme="minorEastAsia" w:eastAsiaTheme="minorEastAsia" w:hAnsiTheme="minorEastAsia" w:hint="eastAsia"/>
          <w:szCs w:val="24"/>
        </w:rPr>
        <w:t>，否则，基金托管人有权拒绝执行有关指令。</w:t>
      </w:r>
      <w:r w:rsidRPr="00696C5C">
        <w:rPr>
          <w:rFonts w:asciiTheme="minorEastAsia" w:eastAsiaTheme="minorEastAsia" w:hAnsiTheme="minorEastAsia" w:hint="eastAsia"/>
          <w:szCs w:val="24"/>
        </w:rPr>
        <w:t>因拒绝执行该指令造成基金财产损失的，基金托管人不承担任何责任，</w:t>
      </w:r>
      <w:r>
        <w:rPr>
          <w:rFonts w:asciiTheme="minorEastAsia" w:eastAsiaTheme="minorEastAsia" w:hAnsiTheme="minorEastAsia" w:hint="eastAsia"/>
          <w:szCs w:val="24"/>
        </w:rPr>
        <w:t>并有权报告中国证监会。</w:t>
      </w:r>
    </w:p>
    <w:p w14:paraId="014FCAB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D1FED5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szCs w:val="24"/>
        </w:rPr>
        <w:t>7</w:t>
      </w:r>
      <w:r>
        <w:rPr>
          <w:rFonts w:asciiTheme="minorEastAsia" w:eastAsiaTheme="minorEastAsia" w:hAnsiTheme="minorEastAsia" w:hint="eastAsia"/>
          <w:szCs w:val="24"/>
        </w:rPr>
        <w:t>基金托管人根据有关法律法规的规定及基金合同的约定，对基金管理人选择存款银行进行监督：</w:t>
      </w:r>
    </w:p>
    <w:p w14:paraId="7CE2462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FA945A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本基金投资银行存款应符合如下规定：</w:t>
      </w:r>
    </w:p>
    <w:p w14:paraId="6BE2775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（1）基金管理人、基金托管人应当与存款银行建立定期对账机制，确保基金银行存款业务账目及核算的真实、准确。</w:t>
      </w:r>
    </w:p>
    <w:p w14:paraId="6A08B2E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AC4E6A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（3）基金托管人应对基金银行存款业务进行监督与核查，审查、复核相关协议、账户资料、投资指令、存款证实书等有关文件，履行托管职责。</w:t>
      </w:r>
    </w:p>
    <w:p w14:paraId="1ED20D4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（4）基金管理人与基金托管人在开展基金存款业务时，应严格遵守《基金法》、</w:t>
      </w:r>
      <w:r>
        <w:rPr>
          <w:rFonts w:asciiTheme="minorEastAsia" w:eastAsiaTheme="minorEastAsia" w:hAnsiTheme="minorEastAsia" w:hint="eastAsia"/>
          <w:szCs w:val="24"/>
        </w:rPr>
        <w:lastRenderedPageBreak/>
        <w:t>《运作办法》等有关法律法规，以及国家有关账户管理、利率管理、支付结算等的各项规定。</w:t>
      </w:r>
    </w:p>
    <w:p w14:paraId="7B54510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30" w:name="_Hlk84664500"/>
      <w:r>
        <w:rPr>
          <w:rFonts w:asciiTheme="minorEastAsia" w:eastAsiaTheme="minorEastAsia" w:hAnsiTheme="minorEastAsia" w:hint="eastAsia"/>
          <w:szCs w:val="24"/>
        </w:rPr>
        <w:t>3.2基金托管人对基金管理人业务进行监督和核查的有关措施：</w:t>
      </w:r>
    </w:p>
    <w:p w14:paraId="6CB48900" w14:textId="0B46FC2C"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4F8A5B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1FAE3F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3.2.3在限期内，基金托管人有权随时对通知事项进行复查，督促基金管理人改正。基金管理人对基金托管人通知的违规事项未能在限期内纠正的，基金托管人应报告中国证监会。</w:t>
      </w:r>
    </w:p>
    <w:p w14:paraId="0107EC8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3.2.4基金托管人发现基金管理人的投资指令违反</w:t>
      </w:r>
      <w:r w:rsidR="00650346">
        <w:rPr>
          <w:rFonts w:asciiTheme="minorEastAsia" w:eastAsiaTheme="minorEastAsia" w:hAnsiTheme="minorEastAsia" w:hint="eastAsia"/>
          <w:szCs w:val="24"/>
        </w:rPr>
        <w:t>有</w:t>
      </w:r>
      <w:r>
        <w:rPr>
          <w:rFonts w:asciiTheme="minorEastAsia" w:eastAsiaTheme="minorEastAsia" w:hAnsiTheme="minorEastAsia" w:hint="eastAsia"/>
          <w:szCs w:val="24"/>
        </w:rPr>
        <w:t>关法律法规规定或者违反基金合同约定的，应当暂缓或拒绝执行，立即通知基金管理人。</w:t>
      </w:r>
    </w:p>
    <w:p w14:paraId="28088A5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6AB0336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04AFD45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3.2.7基金托管人发现基金管理人有重大违规行为或发现基金收益分配有违规失信行为，应立即报告中国证监会，同时通知基金管理人限期纠正。</w:t>
      </w:r>
    </w:p>
    <w:p w14:paraId="6870C88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9CA614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szCs w:val="24"/>
        </w:rPr>
        <w:lastRenderedPageBreak/>
        <w:t>3.2.9</w:t>
      </w:r>
      <w:r>
        <w:rPr>
          <w:rFonts w:asciiTheme="minorEastAsia" w:eastAsiaTheme="minorEastAsia" w:hAnsiTheme="minorEastAsia" w:hint="eastAsia"/>
          <w:szCs w:val="24"/>
        </w:rPr>
        <w:t>基金托管人对资金来源、投资收益及投资安全不承担审核责任，特别是对于本基金所投标的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后续资金使用情况无审核责任，不保证托管财产投资不受损失，不保证最低收益。</w:t>
      </w:r>
    </w:p>
    <w:p w14:paraId="7402A00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3.2.</w:t>
      </w:r>
      <w:r>
        <w:rPr>
          <w:rFonts w:asciiTheme="minorEastAsia" w:eastAsiaTheme="minorEastAsia" w:hAnsiTheme="minorEastAsia"/>
          <w:szCs w:val="24"/>
        </w:rPr>
        <w:t>10</w:t>
      </w:r>
      <w:r>
        <w:rPr>
          <w:rFonts w:asciiTheme="minorEastAsia" w:eastAsiaTheme="minorEastAsia" w:hAnsiTheme="minorEastAsia" w:hint="eastAsia"/>
          <w:szCs w:val="24"/>
        </w:rPr>
        <w:t>基金管理人应遵守中华人民共和国反洗</w:t>
      </w:r>
      <w:proofErr w:type="gramStart"/>
      <w:r>
        <w:rPr>
          <w:rFonts w:asciiTheme="minorEastAsia" w:eastAsiaTheme="minorEastAsia" w:hAnsiTheme="minorEastAsia" w:hint="eastAsia"/>
          <w:szCs w:val="24"/>
        </w:rPr>
        <w:t>钱法律</w:t>
      </w:r>
      <w:proofErr w:type="gramEnd"/>
      <w:r>
        <w:rPr>
          <w:rFonts w:asciiTheme="minorEastAsia" w:eastAsiaTheme="minorEastAsia" w:hAnsiTheme="minorEastAsia" w:hint="eastAsia"/>
          <w:szCs w:val="24"/>
        </w:rPr>
        <w:t>法规，不参与涉嫌洗钱、恐怖融资、扩散融资等违法犯罪活动；主动配合基金托管</w:t>
      </w:r>
      <w:proofErr w:type="gramStart"/>
      <w:r>
        <w:rPr>
          <w:rFonts w:asciiTheme="minorEastAsia" w:eastAsiaTheme="minorEastAsia" w:hAnsiTheme="minorEastAsia" w:hint="eastAsia"/>
          <w:szCs w:val="24"/>
        </w:rPr>
        <w:t>人客户</w:t>
      </w:r>
      <w:proofErr w:type="gramEnd"/>
      <w:r>
        <w:rPr>
          <w:rFonts w:asciiTheme="minorEastAsia" w:eastAsiaTheme="minorEastAsia" w:hAnsiTheme="minorEastAsia" w:hint="eastAsia"/>
          <w:szCs w:val="24"/>
        </w:rPr>
        <w:t>身份识别与尽职调查，</w:t>
      </w:r>
      <w:r w:rsidR="0067552F" w:rsidRPr="0067552F">
        <w:rPr>
          <w:rFonts w:asciiTheme="minorEastAsia" w:eastAsiaTheme="minorEastAsia" w:hAnsiTheme="minorEastAsia" w:hint="eastAsia"/>
          <w:szCs w:val="24"/>
        </w:rPr>
        <w:t>在法律法规强制性要求的范围内</w:t>
      </w:r>
      <w:r>
        <w:rPr>
          <w:rFonts w:asciiTheme="minorEastAsia" w:eastAsiaTheme="minorEastAsia" w:hAnsiTheme="minorEastAsia" w:hint="eastAsia"/>
          <w:szCs w:val="24"/>
        </w:rPr>
        <w:t>遵守基金托管人反洗钱与反恐怖融资相关管理规定。对具备合理理由怀疑涉嫌洗钱、恐怖融资的客户，基金托管人将按照中国人民银行反洗钱监管规定采取必要管控措施。</w:t>
      </w:r>
    </w:p>
    <w:p w14:paraId="23C23870"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31" w:name="_Toc296551340"/>
      <w:bookmarkStart w:id="32" w:name="_Toc116889540"/>
      <w:bookmarkEnd w:id="30"/>
      <w:r>
        <w:rPr>
          <w:rFonts w:asciiTheme="minorEastAsia" w:eastAsiaTheme="minorEastAsia" w:hAnsiTheme="minorEastAsia" w:hint="eastAsia"/>
          <w:bCs/>
          <w:color w:val="auto"/>
          <w:szCs w:val="24"/>
        </w:rPr>
        <w:t>第四条 基金管理人对基金托管人的业务核查</w:t>
      </w:r>
      <w:bookmarkEnd w:id="31"/>
      <w:bookmarkEnd w:id="32"/>
    </w:p>
    <w:p w14:paraId="6CFBD8F5" w14:textId="41402A6C"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14:paraId="14BF18A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2219D0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4.3基金管理人发现基金托管人有重大违规行为，应立即报告中国证监会和银行业监督管理机构，同时通知基金托管人限期纠正。</w:t>
      </w:r>
    </w:p>
    <w:p w14:paraId="5E90FD2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4.4基金托管人应积极配合基金管理人的核查行为，包括但不限于：提交相关资料以</w:t>
      </w:r>
      <w:proofErr w:type="gramStart"/>
      <w:r>
        <w:rPr>
          <w:rFonts w:asciiTheme="minorEastAsia" w:eastAsiaTheme="minorEastAsia" w:hAnsiTheme="minorEastAsia" w:hint="eastAsia"/>
          <w:szCs w:val="24"/>
        </w:rPr>
        <w:t>供基金</w:t>
      </w:r>
      <w:proofErr w:type="gramEnd"/>
      <w:r>
        <w:rPr>
          <w:rFonts w:asciiTheme="minorEastAsia" w:eastAsiaTheme="minorEastAsia" w:hAnsiTheme="minorEastAsia" w:hint="eastAsia"/>
          <w:szCs w:val="24"/>
        </w:rPr>
        <w:t>管理人核查托管财产的完整性和真实性，在规定时间内答复基金管理人并改正。</w:t>
      </w:r>
    </w:p>
    <w:p w14:paraId="7B4C166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103A94F"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33" w:name="_Toc296551341"/>
      <w:bookmarkStart w:id="34" w:name="_Toc116889541"/>
      <w:r>
        <w:rPr>
          <w:rFonts w:asciiTheme="minorEastAsia" w:eastAsiaTheme="minorEastAsia" w:hAnsiTheme="minorEastAsia" w:hint="eastAsia"/>
          <w:bCs/>
          <w:color w:val="auto"/>
          <w:szCs w:val="24"/>
        </w:rPr>
        <w:lastRenderedPageBreak/>
        <w:t>第五条 基金财产保管</w:t>
      </w:r>
      <w:bookmarkEnd w:id="33"/>
      <w:bookmarkEnd w:id="34"/>
    </w:p>
    <w:p w14:paraId="7483115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5.1基金财产保管的原则</w:t>
      </w:r>
    </w:p>
    <w:p w14:paraId="633D280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5.1.1基金财产应独立于基金管理人、基金托管人的固有财产。</w:t>
      </w:r>
    </w:p>
    <w:p w14:paraId="3C362E8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5.1.2基金托管人应安全保管基金财产。除依据法律法规规定、基金合同和本托管协议约定及基金管理人的正当指令外，不得自行运用、处分、分配基金的任何财产。</w:t>
      </w:r>
    </w:p>
    <w:p w14:paraId="05A2ABB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5.1.3基金托管人按照规定开设基金财产的资金账户和证券账户等投资所需的其他账户。</w:t>
      </w:r>
    </w:p>
    <w:p w14:paraId="4CA1217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5.1.4基金托管人对所托管的不同基金财产分别设置账户，独立核算，与基金托管人的其他业务和其他基金的托管业务实行严格的分账管理，确保基金财产的完整与独立。</w:t>
      </w:r>
    </w:p>
    <w:p w14:paraId="5C8E3B6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5.1.5基金托管人根据基金管理人的指令，按照基金合同和本协议的约定保管基金财产，如有特殊情况双方可另行协商解决。</w:t>
      </w:r>
    </w:p>
    <w:p w14:paraId="5789E8C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5.1.6除依据法律法规和基金合同的规定外，基金托管人不得委托第三人托管基金资产。</w:t>
      </w:r>
    </w:p>
    <w:p w14:paraId="60B539D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35" w:name="_Hlk84666080"/>
      <w:r>
        <w:rPr>
          <w:rFonts w:asciiTheme="minorEastAsia" w:eastAsiaTheme="minorEastAsia" w:hAnsiTheme="minorEastAsia" w:hint="eastAsia"/>
          <w:szCs w:val="24"/>
        </w:rPr>
        <w:t>5.2募集资金的验资</w:t>
      </w:r>
    </w:p>
    <w:p w14:paraId="2378FBD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5.2.1基金募集期间募集的资金应存于基金管理人在基金托管人的营业机构或在其他银行开立的“基金募集专户”，该账户由基金管理人或其委托的登记机构开立并管理。</w:t>
      </w:r>
    </w:p>
    <w:p w14:paraId="7362684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asciiTheme="minorEastAsia" w:eastAsiaTheme="minorEastAsia" w:hAnsiTheme="minorEastAsia" w:hint="eastAsia"/>
          <w:szCs w:val="24"/>
        </w:rPr>
        <w:t>请具备</w:t>
      </w:r>
      <w:proofErr w:type="gramEnd"/>
      <w:r>
        <w:rPr>
          <w:rFonts w:asciiTheme="minorEastAsia" w:eastAsiaTheme="minorEastAsia" w:hAnsiTheme="minorEastAsia" w:hint="eastAsia"/>
          <w:szCs w:val="24"/>
        </w:rPr>
        <w:t>相关业务资质的会计师事务所进行验资，出具验资报告，出具的验资报告应由参加验资的2名以上（含2名）中国注册会计师签字有效。</w:t>
      </w:r>
    </w:p>
    <w:p w14:paraId="214771B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5.2.3</w:t>
      </w:r>
      <w:proofErr w:type="gramStart"/>
      <w:r>
        <w:rPr>
          <w:rFonts w:asciiTheme="minorEastAsia" w:eastAsiaTheme="minorEastAsia" w:hAnsiTheme="minorEastAsia" w:hint="eastAsia"/>
          <w:szCs w:val="24"/>
        </w:rPr>
        <w:t>若基金</w:t>
      </w:r>
      <w:proofErr w:type="gramEnd"/>
      <w:r>
        <w:rPr>
          <w:rFonts w:asciiTheme="minorEastAsia" w:eastAsiaTheme="minorEastAsia" w:hAnsiTheme="minorEastAsia" w:hint="eastAsia"/>
          <w:szCs w:val="24"/>
        </w:rPr>
        <w:t>募集期限届满，未能达到基金备案条件，由基金管理人按规定办理退款事宜。</w:t>
      </w:r>
    </w:p>
    <w:p w14:paraId="4CE15D8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5.3基金的银行账户的开立和管理</w:t>
      </w:r>
    </w:p>
    <w:p w14:paraId="7CCEEAA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5.3.1基金托管人以本基金的名义在其营业机构开立基金的银行账户，并根据基金管理人合法合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的指令办理资金收付。本基金的银行预留印鉴由基金托管人刻制、保管和使用。</w:t>
      </w:r>
    </w:p>
    <w:p w14:paraId="290CC8E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6A83533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5.3.3基金银行账户的开立和管理应符合有关法律法规以及银行业监督管理机构的有关规定。</w:t>
      </w:r>
    </w:p>
    <w:p w14:paraId="4B1BC83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5.4基金证券账户与证券交易资金账户的开设和管理</w:t>
      </w:r>
    </w:p>
    <w:p w14:paraId="03DC7CB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5.4.1基金托管人以基金托管人和本基金联名的方式在中国证券登记结算有限责任公司（以下简称“中登公司”）上海分公司/深圳分公司开设证券账户。</w:t>
      </w:r>
    </w:p>
    <w:p w14:paraId="3CA820D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5.4.2</w:t>
      </w:r>
      <w:r>
        <w:rPr>
          <w:rFonts w:hAnsi="宋体" w:hint="eastAsia"/>
          <w:szCs w:val="24"/>
        </w:rPr>
        <w:t>基金托管人以基金托管人的名义在中登公司上海分公司/深圳分公司开立基金证券交易资金账户，用于证券清算。</w:t>
      </w:r>
    </w:p>
    <w:p w14:paraId="190094B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5.4.3</w:t>
      </w:r>
      <w:r>
        <w:rPr>
          <w:rFonts w:hAnsi="宋体" w:hint="eastAsia"/>
          <w:szCs w:val="24"/>
        </w:rPr>
        <w:t>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4656550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5.4.4基金证券账户与证券交易资金账户相关证明文件的保管由基金托管人负责，账户资产的管理和运用由基金管理人负责。</w:t>
      </w:r>
    </w:p>
    <w:p w14:paraId="79089C8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36" w:name="_Hlk84667106"/>
      <w:bookmarkEnd w:id="35"/>
      <w:r>
        <w:rPr>
          <w:rFonts w:asciiTheme="minorEastAsia" w:eastAsiaTheme="minorEastAsia" w:hAnsiTheme="minorEastAsia" w:hint="eastAsia"/>
          <w:szCs w:val="24"/>
        </w:rPr>
        <w:t>5.5债券托管账户的开立和管理</w:t>
      </w:r>
    </w:p>
    <w:p w14:paraId="5A69963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1FB5D98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5.5.2基金管理人和基金托管人应一起负责为基金对外签订全国银行间国债市场回购主协议，正本由基金管理人保存。</w:t>
      </w:r>
    </w:p>
    <w:p w14:paraId="1E663C4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5.6其他账户的开设和管理</w:t>
      </w:r>
    </w:p>
    <w:p w14:paraId="5323206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59FA4A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5.7基金财产投资的有关实物证券、银行定期存款存单等有价凭证的保管</w:t>
      </w:r>
    </w:p>
    <w:p w14:paraId="587C773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基金财产投资的有关实物证券</w:t>
      </w:r>
      <w:r w:rsidR="00C75EF1">
        <w:rPr>
          <w:rFonts w:asciiTheme="minorEastAsia" w:eastAsiaTheme="minorEastAsia" w:hAnsiTheme="minorEastAsia" w:hint="eastAsia"/>
          <w:szCs w:val="24"/>
        </w:rPr>
        <w:t>等有价凭证</w:t>
      </w:r>
      <w:r>
        <w:rPr>
          <w:rFonts w:asciiTheme="minorEastAsia" w:eastAsiaTheme="minorEastAsia" w:hAnsiTheme="minorEastAsia" w:hint="eastAsia"/>
          <w:szCs w:val="24"/>
        </w:rPr>
        <w:t>由基金托管人存放于基金托管人的保管库；其中实物证券也可存入中央国债登记结算有限责任公司、中登公司上海分公司/深圳分公司、银行间市场清算所股份有限公司或票据营业中心的代保管库。实物证券</w:t>
      </w:r>
      <w:r w:rsidR="00C75EF1">
        <w:rPr>
          <w:rFonts w:asciiTheme="minorEastAsia" w:eastAsiaTheme="minorEastAsia" w:hAnsiTheme="minorEastAsia" w:hint="eastAsia"/>
          <w:szCs w:val="24"/>
        </w:rPr>
        <w:t>等有价凭证</w:t>
      </w:r>
      <w:r>
        <w:rPr>
          <w:rFonts w:asciiTheme="minorEastAsia" w:eastAsiaTheme="minorEastAsia" w:hAnsiTheme="minorEastAsia" w:hint="eastAsia"/>
          <w:szCs w:val="24"/>
        </w:rPr>
        <w:t>的购买和转让，由基金托管人根据基金管理人的指令办理。属于基金托管人控制下的实物证券在基金托管人保管期间的损坏、灭失，因基金托管人自身的原因导致的，由此产生的责任应由基金托管人承担。基金托管人对基金托管人以外机构实际有效控制的证券不承担保管责任。</w:t>
      </w:r>
    </w:p>
    <w:p w14:paraId="39F5EC3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5.8与基金财产有关的重大合同的保管</w:t>
      </w:r>
    </w:p>
    <w:p w14:paraId="2A74E50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14:paraId="61825970"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37" w:name="_Toc296551342"/>
      <w:bookmarkStart w:id="38" w:name="_Toc116889542"/>
      <w:bookmarkEnd w:id="36"/>
      <w:r>
        <w:rPr>
          <w:rFonts w:asciiTheme="minorEastAsia" w:eastAsiaTheme="minorEastAsia" w:hAnsiTheme="minorEastAsia" w:hint="eastAsia"/>
          <w:bCs/>
          <w:color w:val="auto"/>
          <w:szCs w:val="24"/>
        </w:rPr>
        <w:t>第六条 指令的发送、确认和执行</w:t>
      </w:r>
      <w:bookmarkEnd w:id="37"/>
      <w:bookmarkEnd w:id="38"/>
    </w:p>
    <w:p w14:paraId="60AE041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6.1基金管理人对发送指令人员的书面授权</w:t>
      </w:r>
    </w:p>
    <w:p w14:paraId="0EE0B1F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基金管理人应事先向基金托管人提供书面授权通知（以下称“授权通知”），指定有权发送指令的人员（以下称“被授权人”）名单</w:t>
      </w:r>
      <w:r w:rsidR="003A32E4">
        <w:rPr>
          <w:rFonts w:asciiTheme="minorEastAsia" w:eastAsiaTheme="minorEastAsia" w:hAnsiTheme="minorEastAsia" w:hint="eastAsia"/>
          <w:szCs w:val="24"/>
        </w:rPr>
        <w:t>，</w:t>
      </w:r>
      <w:r>
        <w:rPr>
          <w:rFonts w:asciiTheme="minorEastAsia" w:eastAsiaTheme="minorEastAsia" w:hAnsiTheme="minorEastAsia" w:hint="eastAsia"/>
          <w:szCs w:val="24"/>
        </w:rPr>
        <w:t>预留印鉴和被授权人签章样本，注明相应的交易权限，并规定基金管理人向基金托管人发送指令时基金托管人确认被授权人身份的方法。授权通知应加盖基金管理人公章。基金管理人应使用传</w:t>
      </w:r>
      <w:r>
        <w:rPr>
          <w:rFonts w:asciiTheme="minorEastAsia" w:eastAsiaTheme="minorEastAsia" w:hAnsiTheme="minorEastAsia" w:hint="eastAsia"/>
          <w:szCs w:val="24"/>
        </w:rPr>
        <w:lastRenderedPageBreak/>
        <w:t>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一致，若有不一致的，以基金托管人收到的传真为准。</w:t>
      </w:r>
    </w:p>
    <w:p w14:paraId="5D190E8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基金管理人和基金托管人对授权文件负有保密义务，其内容不得向被授权人及相关操作人员以外的任何人泄露，除本协议另有约定或法律法规另有规定或有权机关另有要求的除外。</w:t>
      </w:r>
    </w:p>
    <w:p w14:paraId="254E2B4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6.2指令的内容</w:t>
      </w:r>
    </w:p>
    <w:p w14:paraId="42E00AE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280F294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6.3指令的发送、确认和执行的时间和程序</w:t>
      </w:r>
    </w:p>
    <w:p w14:paraId="68AEFE6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6.3.1指令由“授权通知”确定的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由基金管理</w:t>
      </w:r>
      <w:proofErr w:type="gramStart"/>
      <w:r>
        <w:rPr>
          <w:rFonts w:asciiTheme="minorEastAsia" w:eastAsiaTheme="minorEastAsia" w:hAnsiTheme="minorEastAsia" w:hint="eastAsia"/>
          <w:szCs w:val="24"/>
        </w:rPr>
        <w:t>人原因</w:t>
      </w:r>
      <w:proofErr w:type="gramEnd"/>
      <w:r>
        <w:rPr>
          <w:rFonts w:asciiTheme="minorEastAsia" w:eastAsiaTheme="minorEastAsia" w:hAnsiTheme="minorEastAsia" w:hint="eastAsia"/>
          <w:szCs w:val="24"/>
        </w:rPr>
        <w:t>造成的指令传输不及时、未能留出足够划款所需时间，基金托管人不承担资金未能及时到账所造成的损失。</w:t>
      </w:r>
    </w:p>
    <w:p w14:paraId="1C619F9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6.3.2</w:t>
      </w:r>
      <w:r>
        <w:rPr>
          <w:rFonts w:asciiTheme="minorEastAsia" w:eastAsiaTheme="minorEastAsia" w:hAnsiTheme="minorEastAsia" w:hint="eastAsia"/>
          <w:b/>
          <w:bCs/>
          <w:szCs w:val="24"/>
        </w:rPr>
        <w:t>基金托管人根据本协议相关约定仅履行表面一致形式审核职责，对指令的真实性不承担责任。</w:t>
      </w:r>
      <w:r>
        <w:rPr>
          <w:rFonts w:asciiTheme="minorEastAsia" w:eastAsiaTheme="minorEastAsia" w:hAnsiTheme="minorEastAsia" w:hint="eastAsia"/>
          <w:szCs w:val="24"/>
        </w:rPr>
        <w:t>如果基金管理人的指令存在事实上未经授权、欺诈、伪造、变造或未能及时提供授权通知等情形，基金托管人不承担因执行有关指令或拒绝执</w:t>
      </w:r>
      <w:r>
        <w:rPr>
          <w:rFonts w:asciiTheme="minorEastAsia" w:eastAsiaTheme="minorEastAsia" w:hAnsiTheme="minorEastAsia" w:hint="eastAsia"/>
          <w:szCs w:val="24"/>
        </w:rPr>
        <w:lastRenderedPageBreak/>
        <w:t>行有关指令而给基金管理人或基金财产或任何第三</w:t>
      </w:r>
      <w:proofErr w:type="gramStart"/>
      <w:r>
        <w:rPr>
          <w:rFonts w:asciiTheme="minorEastAsia" w:eastAsiaTheme="minorEastAsia" w:hAnsiTheme="minorEastAsia" w:hint="eastAsia"/>
          <w:szCs w:val="24"/>
        </w:rPr>
        <w:t>方带来</w:t>
      </w:r>
      <w:proofErr w:type="gramEnd"/>
      <w:r>
        <w:rPr>
          <w:rFonts w:asciiTheme="minorEastAsia" w:eastAsiaTheme="minorEastAsia" w:hAnsiTheme="minorEastAsia" w:hint="eastAsia"/>
          <w:szCs w:val="24"/>
        </w:rPr>
        <w:t>的损失，全部责任由基金管理人承担，基金托管人由此遭受的损失，由基金管理人负责赔偿，但基金托管人未按协议约定</w:t>
      </w:r>
      <w:proofErr w:type="gramStart"/>
      <w:r>
        <w:rPr>
          <w:rFonts w:asciiTheme="minorEastAsia" w:eastAsiaTheme="minorEastAsia" w:hAnsiTheme="minorEastAsia" w:hint="eastAsia"/>
          <w:szCs w:val="24"/>
        </w:rPr>
        <w:t>尽形式</w:t>
      </w:r>
      <w:proofErr w:type="gramEnd"/>
      <w:r>
        <w:rPr>
          <w:rFonts w:asciiTheme="minorEastAsia" w:eastAsiaTheme="minorEastAsia" w:hAnsiTheme="minorEastAsia" w:hint="eastAsia"/>
          <w:szCs w:val="24"/>
        </w:rPr>
        <w:t>审核义务执行指令而造成损失的情形除外。</w:t>
      </w:r>
    </w:p>
    <w:p w14:paraId="6833265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0D53897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6.3.4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asciiTheme="minorEastAsia" w:eastAsiaTheme="minorEastAsia" w:hAnsiTheme="minorEastAsia" w:hint="eastAsia"/>
          <w:szCs w:val="24"/>
        </w:rPr>
        <w:t>指令仅</w:t>
      </w:r>
      <w:proofErr w:type="gramEnd"/>
      <w:r>
        <w:rPr>
          <w:rFonts w:asciiTheme="minorEastAsia" w:eastAsiaTheme="minorEastAsia" w:hAnsiTheme="minorEastAsia"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58CD5F3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6.3.5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59CB8C2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6.4基金管理人发送错误指令的情形和处理程序</w:t>
      </w:r>
    </w:p>
    <w:p w14:paraId="70CCFB6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6.4.1基金管理人发送错误指令的情形包括指令违反相关法律法规或基金合同、指令发送人员无权或超越权限发送指令及交割信息错误，指令中重要信息模糊不清或不全等。</w:t>
      </w:r>
    </w:p>
    <w:p w14:paraId="02D5779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6.4.2基金托管人在履行监督职能时，发现基金管理人的指令错误时，有权拒绝执行，并及时通知基金管理人改正。</w:t>
      </w:r>
    </w:p>
    <w:p w14:paraId="52596EF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6.5基金托管人依照法律法规暂缓、拒绝执行指令的情形和处理程序</w:t>
      </w:r>
    </w:p>
    <w:p w14:paraId="4C02B96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14:paraId="1F903DD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6.6基金托管人未按照基金管理人指令执行的处理方法</w:t>
      </w:r>
    </w:p>
    <w:p w14:paraId="7BA190F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托管人由于自身过错原因造成未按照或者未及时按照基金管理人发送的符合法律法规规定以及基金合同、本协议约定的指令执行，给基金份额持有人或基金财产造成损失的，应承担相应的责任，但如遇到不可抗力的情况除外。</w:t>
      </w:r>
    </w:p>
    <w:p w14:paraId="0043132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6.7更换被授权人的程序</w:t>
      </w:r>
    </w:p>
    <w:p w14:paraId="2841598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6E13DAD8"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39" w:name="_Toc116889543"/>
      <w:r>
        <w:rPr>
          <w:rFonts w:asciiTheme="minorEastAsia" w:eastAsiaTheme="minorEastAsia" w:hAnsiTheme="minorEastAsia" w:hint="eastAsia"/>
          <w:bCs/>
          <w:color w:val="auto"/>
          <w:szCs w:val="24"/>
        </w:rPr>
        <w:t>第七条 交易及清算交收安排</w:t>
      </w:r>
      <w:bookmarkEnd w:id="39"/>
    </w:p>
    <w:p w14:paraId="0ABF7A0C" w14:textId="31E245C5"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7.1选择代理证券买卖的证券经纪机构</w:t>
      </w:r>
    </w:p>
    <w:p w14:paraId="6EB9CF4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7.1.1</w:t>
      </w:r>
      <w:r>
        <w:rPr>
          <w:rFonts w:hAnsi="宋体" w:hint="eastAsia"/>
          <w:szCs w:val="24"/>
        </w:rPr>
        <w:t>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w:t>
      </w:r>
      <w:r>
        <w:rPr>
          <w:rFonts w:hAnsi="宋体" w:hint="eastAsia"/>
          <w:szCs w:val="24"/>
        </w:rPr>
        <w:lastRenderedPageBreak/>
        <w:t>由被选中的证券经营机构支付。</w:t>
      </w:r>
    </w:p>
    <w:p w14:paraId="695214C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7.1.2基金管理人应及时将基金专用交易单元号、佣金费率等基本信息以及变更情况以书面形式通知基金托管人。</w:t>
      </w:r>
    </w:p>
    <w:p w14:paraId="36FCDDE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7.2清算与交割</w:t>
      </w:r>
    </w:p>
    <w:p w14:paraId="1DD91DD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7.2.1基金投资证券后的清算交收安排</w:t>
      </w:r>
    </w:p>
    <w:p w14:paraId="2D5B7D4E" w14:textId="77777777" w:rsidR="00204A30" w:rsidRDefault="007641D4">
      <w:pPr>
        <w:pStyle w:val="21"/>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29E2E0E5" w14:textId="77777777" w:rsidR="00204A30" w:rsidRDefault="007641D4">
      <w:pPr>
        <w:pStyle w:val="21"/>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对基金管理人的资金划拨指令，基金托管人在复核无误后应在规定期限内执行，不得无故延误。</w:t>
      </w:r>
    </w:p>
    <w:p w14:paraId="7FDA7692" w14:textId="77777777" w:rsidR="00204A30" w:rsidRDefault="007641D4">
      <w:pPr>
        <w:pStyle w:val="21"/>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7B03C6E1" w14:textId="77777777" w:rsidR="00204A30" w:rsidRDefault="007641D4">
      <w:pPr>
        <w:pStyle w:val="21"/>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5AF1B21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05498B5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7.2.</w:t>
      </w:r>
      <w:r>
        <w:rPr>
          <w:rFonts w:asciiTheme="minorEastAsia" w:eastAsiaTheme="minorEastAsia" w:hAnsiTheme="minorEastAsia"/>
          <w:szCs w:val="24"/>
        </w:rPr>
        <w:t>2</w:t>
      </w:r>
      <w:r>
        <w:rPr>
          <w:rFonts w:asciiTheme="minorEastAsia" w:eastAsiaTheme="minorEastAsia" w:hAnsiTheme="minorEastAsia" w:hint="eastAsia"/>
          <w:szCs w:val="24"/>
        </w:rPr>
        <w:t>基金出现超买或超卖的责任认定及处理程序</w:t>
      </w:r>
    </w:p>
    <w:p w14:paraId="7173A64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7CBDEC0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7.2.</w:t>
      </w:r>
      <w:r>
        <w:rPr>
          <w:rFonts w:asciiTheme="minorEastAsia" w:eastAsiaTheme="minorEastAsia" w:hAnsiTheme="minorEastAsia"/>
          <w:szCs w:val="24"/>
        </w:rPr>
        <w:t>3</w:t>
      </w:r>
      <w:r>
        <w:rPr>
          <w:rFonts w:asciiTheme="minorEastAsia" w:eastAsiaTheme="minorEastAsia" w:hAnsiTheme="minorEastAsia" w:hint="eastAsia"/>
          <w:szCs w:val="24"/>
        </w:rPr>
        <w:t>证券交易所证券资金结算</w:t>
      </w:r>
    </w:p>
    <w:p w14:paraId="1D155982" w14:textId="77777777" w:rsidR="00204A30" w:rsidRDefault="007641D4">
      <w:pPr>
        <w:pStyle w:val="21"/>
        <w:spacing w:before="0" w:after="0" w:line="520" w:lineRule="atLeast"/>
        <w:rPr>
          <w:rFonts w:hAnsi="宋体"/>
          <w:szCs w:val="24"/>
        </w:rPr>
      </w:pPr>
      <w:r>
        <w:rPr>
          <w:rFonts w:hAnsi="宋体" w:hint="eastAsia"/>
          <w:szCs w:val="24"/>
        </w:rPr>
        <w:t>基金无法按时支付证券清算款的责任认定及处理程序</w:t>
      </w:r>
    </w:p>
    <w:p w14:paraId="57179F46" w14:textId="77777777" w:rsidR="00204A30" w:rsidRDefault="007641D4">
      <w:pPr>
        <w:pStyle w:val="21"/>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w:t>
      </w:r>
      <w:r>
        <w:rPr>
          <w:rFonts w:hAnsi="宋体" w:hint="eastAsia"/>
          <w:szCs w:val="24"/>
        </w:rPr>
        <w:lastRenderedPageBreak/>
        <w:t>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40463279" w14:textId="77777777" w:rsidR="00204A30" w:rsidRDefault="007641D4">
      <w:pPr>
        <w:pStyle w:val="21"/>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600B10F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7.2.</w:t>
      </w:r>
      <w:r>
        <w:rPr>
          <w:rFonts w:asciiTheme="minorEastAsia" w:eastAsiaTheme="minorEastAsia" w:hAnsiTheme="minorEastAsia"/>
          <w:szCs w:val="24"/>
        </w:rPr>
        <w:t>4</w:t>
      </w:r>
      <w:r>
        <w:rPr>
          <w:rFonts w:asciiTheme="minorEastAsia" w:eastAsiaTheme="minorEastAsia" w:hAnsiTheme="minorEastAsia" w:hint="eastAsia"/>
          <w:szCs w:val="24"/>
        </w:rPr>
        <w:t>场外交易资金结算</w:t>
      </w:r>
    </w:p>
    <w:p w14:paraId="2396B8BC" w14:textId="77777777" w:rsidR="00204A30" w:rsidRDefault="007641D4">
      <w:pPr>
        <w:pStyle w:val="21"/>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本金及收益的划回，由管理人负责协调相关资金</w:t>
      </w:r>
      <w:proofErr w:type="gramStart"/>
      <w:r>
        <w:rPr>
          <w:rFonts w:hAnsi="宋体" w:hint="eastAsia"/>
          <w:szCs w:val="24"/>
        </w:rPr>
        <w:t>划拨回产品托管户</w:t>
      </w:r>
      <w:proofErr w:type="gramEnd"/>
      <w:r>
        <w:rPr>
          <w:rFonts w:hAnsi="宋体" w:hint="eastAsia"/>
          <w:szCs w:val="24"/>
        </w:rPr>
        <w:t>事宜。</w:t>
      </w:r>
    </w:p>
    <w:p w14:paraId="6839D87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7.3资金、证券账目及交易记录的核对</w:t>
      </w:r>
    </w:p>
    <w:p w14:paraId="0E31403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12795DA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7.3.2对基金的资金账目，由相关各方每日对账一次，确保相关各方账</w:t>
      </w:r>
      <w:proofErr w:type="gramStart"/>
      <w:r>
        <w:rPr>
          <w:rFonts w:asciiTheme="minorEastAsia" w:eastAsiaTheme="minorEastAsia" w:hAnsiTheme="minorEastAsia" w:hint="eastAsia"/>
          <w:szCs w:val="24"/>
        </w:rPr>
        <w:t>账</w:t>
      </w:r>
      <w:proofErr w:type="gramEnd"/>
      <w:r>
        <w:rPr>
          <w:rFonts w:asciiTheme="minorEastAsia" w:eastAsiaTheme="minorEastAsia" w:hAnsiTheme="minorEastAsia" w:hint="eastAsia"/>
          <w:szCs w:val="24"/>
        </w:rPr>
        <w:t>相符。对基金证券账目，由相关各方每日进行对账。对实物</w:t>
      </w:r>
      <w:proofErr w:type="gramStart"/>
      <w:r>
        <w:rPr>
          <w:rFonts w:asciiTheme="minorEastAsia" w:eastAsiaTheme="minorEastAsia" w:hAnsiTheme="minorEastAsia" w:hint="eastAsia"/>
          <w:szCs w:val="24"/>
        </w:rPr>
        <w:t>券</w:t>
      </w:r>
      <w:proofErr w:type="gramEnd"/>
      <w:r>
        <w:rPr>
          <w:rFonts w:asciiTheme="minorEastAsia" w:eastAsiaTheme="minorEastAsia" w:hAnsiTheme="minorEastAsia" w:hint="eastAsia"/>
          <w:szCs w:val="24"/>
        </w:rPr>
        <w:t>账目，每月月末由相关各方进行账实核对。对交易记录，由相关各方每日对账一次。</w:t>
      </w:r>
    </w:p>
    <w:p w14:paraId="550B1AD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7.4申购、赎回、转换开放式基金的资金清算、数据传递及基金管理人、基金托管人的责任</w:t>
      </w:r>
    </w:p>
    <w:p w14:paraId="2612CE3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7.4.1基金管理人和基金托管人在基金的申购赎回、转换中的责任</w:t>
      </w:r>
    </w:p>
    <w:p w14:paraId="3A7E728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基金投资人可通过基金管理人的直销中心和销售机构的代销网点进行申购和赎回</w:t>
      </w:r>
      <w:r w:rsidR="00C055C8">
        <w:rPr>
          <w:rFonts w:asciiTheme="minorEastAsia" w:eastAsiaTheme="minorEastAsia" w:hAnsiTheme="minorEastAsia" w:hint="eastAsia"/>
          <w:szCs w:val="24"/>
        </w:rPr>
        <w:t>、转换</w:t>
      </w:r>
      <w:r>
        <w:rPr>
          <w:rFonts w:asciiTheme="minorEastAsia" w:eastAsiaTheme="minorEastAsia" w:hAnsiTheme="minorEastAsia" w:hint="eastAsia"/>
          <w:szCs w:val="24"/>
        </w:rPr>
        <w:t>申请，基金份额申购、赎回</w:t>
      </w:r>
      <w:r w:rsidR="00C055C8">
        <w:rPr>
          <w:rFonts w:asciiTheme="minorEastAsia" w:eastAsiaTheme="minorEastAsia" w:hAnsiTheme="minorEastAsia" w:hint="eastAsia"/>
          <w:szCs w:val="24"/>
        </w:rPr>
        <w:t>、转换</w:t>
      </w:r>
      <w:r>
        <w:rPr>
          <w:rFonts w:asciiTheme="minorEastAsia" w:eastAsiaTheme="minorEastAsia" w:hAnsiTheme="minorEastAsia" w:hint="eastAsia"/>
          <w:szCs w:val="24"/>
        </w:rPr>
        <w:t>的确认、清算由基金管理人或其委托的登记机构负责。基金托管人负责接收并确认资金的到账情况，以及依照基金管理人的投资指令划付赎回款项。</w:t>
      </w:r>
    </w:p>
    <w:p w14:paraId="1FFC1DE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7.4.2基金的数据传递</w:t>
      </w:r>
    </w:p>
    <w:p w14:paraId="2614DD1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基金管理人应保证本基金（或本基金管理人委托）的登记机构于每个开放日</w:t>
      </w:r>
      <w:r>
        <w:rPr>
          <w:rFonts w:asciiTheme="minorEastAsia" w:eastAsiaTheme="minorEastAsia" w:hAnsiTheme="minorEastAsia" w:hint="eastAsia"/>
          <w:szCs w:val="24"/>
        </w:rPr>
        <w:lastRenderedPageBreak/>
        <w:t>15：00之前将本基金的申购、赎回、转换的数据传送给基金托管人。基金管理人应对传递的数据的真实性、准确性和完整性负责。</w:t>
      </w:r>
    </w:p>
    <w:p w14:paraId="0973C7C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登记机构应通过与基金管理人建立的系统发送有关数据，如因各种原因，该系统无法正常发送，双方可协商解决处理方式。</w:t>
      </w:r>
    </w:p>
    <w:p w14:paraId="39C4DFA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7.4.3基金的资金清算</w:t>
      </w:r>
    </w:p>
    <w:p w14:paraId="50C433B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基金托管专户与“基金清算账户”间的资金结算遵循“全额清算、净额交收”的原则，每日按照托管专户应收资金与应付资金的差额来确定托管</w:t>
      </w:r>
      <w:proofErr w:type="gramStart"/>
      <w:r>
        <w:rPr>
          <w:rFonts w:asciiTheme="minorEastAsia" w:eastAsiaTheme="minorEastAsia" w:hAnsiTheme="minorEastAsia" w:hint="eastAsia"/>
          <w:szCs w:val="24"/>
        </w:rPr>
        <w:t>专户净应收</w:t>
      </w:r>
      <w:proofErr w:type="gramEnd"/>
      <w:r>
        <w:rPr>
          <w:rFonts w:asciiTheme="minorEastAsia" w:eastAsiaTheme="minorEastAsia" w:hAnsiTheme="minorEastAsia" w:hint="eastAsia"/>
          <w:szCs w:val="24"/>
        </w:rPr>
        <w:t>额或净应付额，以此确定资金交收额。</w:t>
      </w:r>
    </w:p>
    <w:p w14:paraId="1201334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hint="eastAsia"/>
        </w:rPr>
        <w:t>如果当日基金为净应收款，基金管理人可通过</w:t>
      </w:r>
      <w:proofErr w:type="gramStart"/>
      <w:r>
        <w:rPr>
          <w:rFonts w:hint="eastAsia"/>
        </w:rPr>
        <w:t>深证通查询</w:t>
      </w:r>
      <w:proofErr w:type="gramEnd"/>
      <w:r>
        <w:rPr>
          <w:rFonts w:hint="eastAsia"/>
        </w:rPr>
        <w:t>或者咨询托管人查询资金是否到账，对于未准时到账的资金，基金管理人应及时划付</w:t>
      </w:r>
      <w:r>
        <w:rPr>
          <w:rFonts w:asciiTheme="minorEastAsia" w:eastAsiaTheme="minorEastAsia" w:hAnsiTheme="minorEastAsia" w:hint="eastAsia"/>
          <w:szCs w:val="24"/>
        </w:rPr>
        <w:t>如果当日基金为净应付款，基金托管人应根据基金管理人的指令及时进行划付，对于未准时划付的资金，基金管理人应及时通知基金托管人划付。因基金托管专户没有足够的资金，导致基金托管人不能按时拨付，基金托管人应及时通知基金管理人。</w:t>
      </w:r>
    </w:p>
    <w:p w14:paraId="5319C473"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40" w:name="_Toc296551344"/>
      <w:bookmarkStart w:id="41" w:name="_Toc116889544"/>
      <w:r>
        <w:rPr>
          <w:rFonts w:asciiTheme="minorEastAsia" w:eastAsiaTheme="minorEastAsia" w:hAnsiTheme="minorEastAsia" w:hint="eastAsia"/>
          <w:bCs/>
          <w:color w:val="auto"/>
          <w:szCs w:val="24"/>
        </w:rPr>
        <w:t>第八条 基金净值计算和会计核算</w:t>
      </w:r>
      <w:bookmarkEnd w:id="40"/>
      <w:bookmarkEnd w:id="41"/>
    </w:p>
    <w:p w14:paraId="1E92417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8.1基金净值的计算、复核的时间和程序</w:t>
      </w:r>
    </w:p>
    <w:p w14:paraId="6BE5B22A" w14:textId="67565B9E"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8.1.1</w:t>
      </w:r>
      <w:r w:rsidR="004326AC" w:rsidRPr="004326AC">
        <w:rPr>
          <w:rFonts w:asciiTheme="minorEastAsia" w:eastAsiaTheme="minorEastAsia" w:hAnsiTheme="minorEastAsia" w:hint="eastAsia"/>
          <w:szCs w:val="24"/>
        </w:rPr>
        <w:t>基金资产净值是指基金资产总值减去基金负债后的价值。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65F0E9D8" w14:textId="4CE19646"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8.1.2基金管理人</w:t>
      </w:r>
      <w:proofErr w:type="gramStart"/>
      <w:r>
        <w:rPr>
          <w:rFonts w:asciiTheme="minorEastAsia" w:eastAsiaTheme="minorEastAsia" w:hAnsiTheme="minorEastAsia" w:hint="eastAsia"/>
          <w:szCs w:val="24"/>
        </w:rPr>
        <w:t>应每个</w:t>
      </w:r>
      <w:proofErr w:type="gramEnd"/>
      <w:r>
        <w:rPr>
          <w:rFonts w:asciiTheme="minorEastAsia" w:eastAsiaTheme="minorEastAsia" w:hAnsiTheme="minorEastAsia" w:hint="eastAsia"/>
          <w:szCs w:val="24"/>
        </w:rPr>
        <w:t>工作日对基金资产估值，但基金管理人根据法律法规或基金合同的规定暂停估值时除外。估值原则应符合基金合同、《证券投资基金会计核算业务指引》及其他法律、法规的规定。基金资产净值</w:t>
      </w:r>
      <w:r>
        <w:rPr>
          <w:rFonts w:hAnsi="宋体" w:cs="宋体" w:hint="eastAsia"/>
          <w:bCs/>
        </w:rPr>
        <w:t>及</w:t>
      </w:r>
      <w:r>
        <w:rPr>
          <w:rFonts w:hAnsi="宋体" w:cs="宋体"/>
          <w:bCs/>
        </w:rPr>
        <w:t>基金份额的</w:t>
      </w:r>
      <w:r>
        <w:rPr>
          <w:rFonts w:hAnsi="宋体" w:cs="宋体" w:hint="eastAsia"/>
          <w:bCs/>
        </w:rPr>
        <w:t>基金份额净值</w:t>
      </w:r>
      <w:r>
        <w:rPr>
          <w:rFonts w:asciiTheme="minorEastAsia" w:eastAsiaTheme="minorEastAsia" w:hAnsiTheme="minorEastAsia" w:hint="eastAsia"/>
          <w:szCs w:val="24"/>
        </w:rPr>
        <w:t>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Pr>
          <w:rFonts w:asciiTheme="minorEastAsia" w:eastAsiaTheme="minorEastAsia" w:hAnsiTheme="minorEastAsia"/>
          <w:szCs w:val="24"/>
        </w:rPr>
        <w:t>。</w:t>
      </w:r>
      <w:bookmarkStart w:id="42" w:name="_Hlk84759546"/>
      <w:r>
        <w:rPr>
          <w:rFonts w:hAnsi="宋体" w:cs="宋体" w:hint="eastAsia"/>
          <w:bCs/>
        </w:rPr>
        <w:t>在开始办理基金份额申购或者赎回后，</w:t>
      </w:r>
      <w:r>
        <w:rPr>
          <w:rFonts w:asciiTheme="minorEastAsia" w:eastAsiaTheme="minorEastAsia" w:hAnsiTheme="minorEastAsia" w:hint="eastAsia"/>
          <w:szCs w:val="24"/>
        </w:rPr>
        <w:t>基金管理人在不晚于每个开放日的次日，通过</w:t>
      </w:r>
      <w:r>
        <w:rPr>
          <w:rFonts w:hAnsi="宋体" w:cs="宋体" w:hint="eastAsia"/>
          <w:bCs/>
        </w:rPr>
        <w:t>规定网站、基金销售机构网站或者营业网点，披露开放日的基金份额净值和基金份额累计净值</w:t>
      </w:r>
      <w:r>
        <w:rPr>
          <w:rFonts w:asciiTheme="minorEastAsia" w:eastAsiaTheme="minorEastAsia" w:hAnsiTheme="minorEastAsia" w:hint="eastAsia"/>
          <w:szCs w:val="24"/>
        </w:rPr>
        <w:t>，并在不晚于半年度和年度最后一日的次日，在</w:t>
      </w:r>
      <w:r>
        <w:rPr>
          <w:rFonts w:hAnsi="宋体" w:cs="宋体" w:hint="eastAsia"/>
          <w:bCs/>
        </w:rPr>
        <w:t>规定网站披露半年度和年度最后一日的基金份</w:t>
      </w:r>
      <w:r>
        <w:rPr>
          <w:rFonts w:hAnsi="宋体" w:cs="宋体" w:hint="eastAsia"/>
          <w:bCs/>
        </w:rPr>
        <w:lastRenderedPageBreak/>
        <w:t>额净值和基金份额累计净值</w:t>
      </w:r>
      <w:r>
        <w:rPr>
          <w:rFonts w:asciiTheme="minorEastAsia" w:eastAsiaTheme="minorEastAsia" w:hAnsiTheme="minorEastAsia" w:hint="eastAsia"/>
          <w:szCs w:val="24"/>
        </w:rPr>
        <w:t>。</w:t>
      </w:r>
    </w:p>
    <w:bookmarkEnd w:id="42"/>
    <w:p w14:paraId="6647F59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Pr="00696C5C">
        <w:rPr>
          <w:rFonts w:asciiTheme="minorEastAsia" w:eastAsiaTheme="minorEastAsia" w:hAnsiTheme="minorEastAsia" w:hint="eastAsia"/>
          <w:szCs w:val="24"/>
        </w:rPr>
        <w:t>，基金托管人对未达成一致意见的基金净值计算结果不承担任何责任</w:t>
      </w:r>
      <w:r>
        <w:rPr>
          <w:rFonts w:asciiTheme="minorEastAsia" w:eastAsiaTheme="minorEastAsia" w:hAnsiTheme="minorEastAsia" w:hint="eastAsia"/>
          <w:szCs w:val="24"/>
        </w:rPr>
        <w:t>。</w:t>
      </w:r>
    </w:p>
    <w:p w14:paraId="71A5477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8.2基金资产估值方法</w:t>
      </w:r>
    </w:p>
    <w:p w14:paraId="6CB3A77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43" w:name="_Hlk84759668"/>
      <w:r>
        <w:rPr>
          <w:rFonts w:asciiTheme="minorEastAsia" w:eastAsiaTheme="minorEastAsia" w:hAnsiTheme="minorEastAsia" w:hint="eastAsia"/>
          <w:szCs w:val="24"/>
        </w:rPr>
        <w:t>8.2.1估值对象</w:t>
      </w:r>
    </w:p>
    <w:p w14:paraId="432CC7EA" w14:textId="7E9E7F8C" w:rsidR="00204A30" w:rsidRDefault="004322DA">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bCs/>
        </w:rPr>
        <w:t>基金所拥有的</w:t>
      </w:r>
      <w:r w:rsidR="00DD5832" w:rsidRPr="00DD5832">
        <w:rPr>
          <w:rFonts w:hint="eastAsia"/>
          <w:bCs/>
        </w:rPr>
        <w:t>同业存单、</w:t>
      </w:r>
      <w:r>
        <w:rPr>
          <w:bCs/>
        </w:rPr>
        <w:t>债券</w:t>
      </w:r>
      <w:r>
        <w:rPr>
          <w:rFonts w:hint="eastAsia"/>
          <w:bCs/>
        </w:rPr>
        <w:t>、货币市场工具、资产支持证券</w:t>
      </w:r>
      <w:r>
        <w:rPr>
          <w:bCs/>
        </w:rPr>
        <w:t>和银行存款本息、应收款项、其它投资等资产及负债。</w:t>
      </w:r>
    </w:p>
    <w:p w14:paraId="27FE38B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8.2.2估值方法</w:t>
      </w:r>
    </w:p>
    <w:p w14:paraId="5ED1D297" w14:textId="77777777" w:rsidR="00204A30" w:rsidRDefault="007641D4">
      <w:pPr>
        <w:spacing w:line="360" w:lineRule="auto"/>
        <w:ind w:firstLineChars="200" w:firstLine="480"/>
        <w:rPr>
          <w:rFonts w:ascii="宋体" w:hAnsi="宋体" w:cs="宋体"/>
          <w:bCs/>
          <w:sz w:val="24"/>
        </w:rPr>
      </w:pPr>
      <w:r>
        <w:rPr>
          <w:rFonts w:ascii="宋体" w:hAnsi="宋体" w:cs="宋体" w:hint="eastAsia"/>
          <w:bCs/>
          <w:sz w:val="24"/>
        </w:rPr>
        <w:t>（1）证券交易所上市的有价证券的估值</w:t>
      </w:r>
    </w:p>
    <w:p w14:paraId="3288C119" w14:textId="77777777" w:rsidR="004322DA" w:rsidRPr="004322DA" w:rsidRDefault="004322DA" w:rsidP="004322DA">
      <w:pPr>
        <w:spacing w:line="360" w:lineRule="auto"/>
        <w:ind w:firstLineChars="200" w:firstLine="480"/>
        <w:rPr>
          <w:rFonts w:ascii="宋体" w:hAnsi="宋体" w:cs="宋体"/>
          <w:bCs/>
          <w:sz w:val="24"/>
        </w:rPr>
      </w:pPr>
      <w:r w:rsidRPr="004322DA">
        <w:rPr>
          <w:rFonts w:ascii="宋体" w:hAnsi="宋体" w:cs="宋体" w:hint="eastAsia"/>
          <w:bCs/>
          <w:sz w:val="24"/>
        </w:rPr>
        <w:t>1）交易所上市交易或挂牌转让的不含</w:t>
      </w:r>
      <w:proofErr w:type="gramStart"/>
      <w:r w:rsidRPr="004322DA">
        <w:rPr>
          <w:rFonts w:ascii="宋体" w:hAnsi="宋体" w:cs="宋体" w:hint="eastAsia"/>
          <w:bCs/>
          <w:sz w:val="24"/>
        </w:rPr>
        <w:t>权固定</w:t>
      </w:r>
      <w:proofErr w:type="gramEnd"/>
      <w:r w:rsidRPr="004322DA">
        <w:rPr>
          <w:rFonts w:ascii="宋体" w:hAnsi="宋体" w:cs="宋体" w:hint="eastAsia"/>
          <w:bCs/>
          <w:sz w:val="24"/>
        </w:rPr>
        <w:t>收益品种（另有规定的除外），选取估值日第三方估值机构提供的相应品种当日的估值净价进行估值；</w:t>
      </w:r>
    </w:p>
    <w:p w14:paraId="4364B88B" w14:textId="77777777" w:rsidR="004322DA" w:rsidRPr="004322DA" w:rsidRDefault="004322DA" w:rsidP="004322DA">
      <w:pPr>
        <w:spacing w:line="360" w:lineRule="auto"/>
        <w:ind w:firstLineChars="200" w:firstLine="480"/>
        <w:rPr>
          <w:rFonts w:ascii="宋体" w:hAnsi="宋体" w:cs="宋体"/>
          <w:bCs/>
          <w:sz w:val="24"/>
        </w:rPr>
      </w:pPr>
      <w:r w:rsidRPr="004322DA">
        <w:rPr>
          <w:rFonts w:ascii="宋体" w:hAnsi="宋体" w:cs="宋体" w:hint="eastAsia"/>
          <w:bCs/>
          <w:sz w:val="24"/>
        </w:rPr>
        <w:t>2）交易所上市交易或挂牌转让的含</w:t>
      </w:r>
      <w:proofErr w:type="gramStart"/>
      <w:r w:rsidRPr="004322DA">
        <w:rPr>
          <w:rFonts w:ascii="宋体" w:hAnsi="宋体" w:cs="宋体" w:hint="eastAsia"/>
          <w:bCs/>
          <w:sz w:val="24"/>
        </w:rPr>
        <w:t>权固定</w:t>
      </w:r>
      <w:proofErr w:type="gramEnd"/>
      <w:r w:rsidRPr="004322DA">
        <w:rPr>
          <w:rFonts w:ascii="宋体" w:hAnsi="宋体" w:cs="宋体" w:hint="eastAsia"/>
          <w:bCs/>
          <w:sz w:val="24"/>
        </w:rPr>
        <w:t>收益品种（另有规定的除外），选取估值日第三方估值机构提供的相应品种当日的唯一估值净价或推荐估值净价进行估值；</w:t>
      </w:r>
    </w:p>
    <w:p w14:paraId="0A088BE2" w14:textId="77777777" w:rsidR="004322DA" w:rsidRPr="004322DA" w:rsidRDefault="004322DA" w:rsidP="004322DA">
      <w:pPr>
        <w:spacing w:line="360" w:lineRule="auto"/>
        <w:ind w:firstLineChars="200" w:firstLine="480"/>
        <w:rPr>
          <w:rFonts w:ascii="宋体" w:hAnsi="宋体" w:cs="宋体"/>
          <w:bCs/>
          <w:sz w:val="24"/>
        </w:rPr>
      </w:pPr>
      <w:r w:rsidRPr="004322DA">
        <w:rPr>
          <w:rFonts w:ascii="宋体" w:hAnsi="宋体" w:cs="宋体" w:hint="eastAsia"/>
          <w:bCs/>
          <w:sz w:val="24"/>
        </w:rPr>
        <w:t xml:space="preserve">3）交易所上市不存在活跃市场的有价证券，采用估值技术确定公允价值。交易所市场挂牌转让的资产支持证券，采用估值技术确定公允价值；在估值技术难以可靠计量公允价值的情况下，按成本估值。 </w:t>
      </w:r>
    </w:p>
    <w:p w14:paraId="04EB1959" w14:textId="77777777" w:rsidR="004322DA" w:rsidRPr="004322DA" w:rsidRDefault="004322DA" w:rsidP="004322DA">
      <w:pPr>
        <w:spacing w:line="360" w:lineRule="auto"/>
        <w:ind w:firstLineChars="200" w:firstLine="480"/>
        <w:rPr>
          <w:rFonts w:ascii="宋体" w:hAnsi="宋体" w:cs="宋体"/>
          <w:bCs/>
          <w:sz w:val="24"/>
        </w:rPr>
      </w:pPr>
      <w:r>
        <w:rPr>
          <w:rFonts w:ascii="宋体" w:hAnsi="宋体" w:cs="宋体" w:hint="eastAsia"/>
          <w:bCs/>
          <w:sz w:val="24"/>
        </w:rPr>
        <w:t>（2）</w:t>
      </w:r>
      <w:r w:rsidRPr="004322DA">
        <w:rPr>
          <w:rFonts w:ascii="宋体" w:hAnsi="宋体" w:cs="宋体" w:hint="eastAsia"/>
          <w:bCs/>
          <w:sz w:val="24"/>
        </w:rPr>
        <w:t>首次公开发行未上市的债券，采用估值技术确定公允价值，在估值技术难以可靠计量公允价值的情况下，按成本估值。</w:t>
      </w:r>
    </w:p>
    <w:p w14:paraId="4A38204E" w14:textId="77777777" w:rsidR="004322DA" w:rsidRPr="004322DA" w:rsidRDefault="004322DA" w:rsidP="004322DA">
      <w:pPr>
        <w:spacing w:line="360" w:lineRule="auto"/>
        <w:ind w:firstLineChars="200" w:firstLine="480"/>
        <w:rPr>
          <w:rFonts w:ascii="宋体" w:hAnsi="宋体" w:cs="宋体"/>
          <w:bCs/>
          <w:sz w:val="24"/>
        </w:rPr>
      </w:pPr>
      <w:r>
        <w:rPr>
          <w:rFonts w:ascii="宋体" w:hAnsi="宋体" w:cs="宋体" w:hint="eastAsia"/>
          <w:bCs/>
          <w:sz w:val="24"/>
        </w:rPr>
        <w:t>（3）</w:t>
      </w:r>
      <w:r w:rsidRPr="004322DA">
        <w:rPr>
          <w:rFonts w:ascii="宋体" w:hAnsi="宋体" w:cs="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94D637" w14:textId="514330C4" w:rsidR="004322DA" w:rsidRPr="004322DA" w:rsidRDefault="004322DA" w:rsidP="004322DA">
      <w:pPr>
        <w:spacing w:line="360" w:lineRule="auto"/>
        <w:ind w:firstLineChars="200" w:firstLine="480"/>
        <w:rPr>
          <w:rFonts w:ascii="宋体" w:hAnsi="宋体" w:cs="宋体"/>
          <w:bCs/>
          <w:sz w:val="24"/>
        </w:rPr>
      </w:pPr>
      <w:r>
        <w:rPr>
          <w:rFonts w:ascii="宋体" w:hAnsi="宋体" w:cs="宋体" w:hint="eastAsia"/>
          <w:bCs/>
          <w:sz w:val="24"/>
        </w:rPr>
        <w:t>（</w:t>
      </w:r>
      <w:r w:rsidR="005F421B">
        <w:rPr>
          <w:rFonts w:ascii="宋体" w:hAnsi="宋体" w:cs="宋体" w:hint="eastAsia"/>
          <w:bCs/>
          <w:sz w:val="24"/>
        </w:rPr>
        <w:t>4</w:t>
      </w:r>
      <w:r>
        <w:rPr>
          <w:rFonts w:ascii="宋体" w:hAnsi="宋体" w:cs="宋体" w:hint="eastAsia"/>
          <w:bCs/>
          <w:sz w:val="24"/>
        </w:rPr>
        <w:t>）</w:t>
      </w:r>
      <w:r w:rsidRPr="004322DA">
        <w:rPr>
          <w:rFonts w:ascii="宋体" w:hAnsi="宋体" w:cs="宋体" w:hint="eastAsia"/>
          <w:bCs/>
          <w:sz w:val="24"/>
        </w:rPr>
        <w:t>同一债券同时在两个或两个以上市场交易的，按债券所处的市场分别估</w:t>
      </w:r>
      <w:r w:rsidRPr="004322DA">
        <w:rPr>
          <w:rFonts w:ascii="宋体" w:hAnsi="宋体" w:cs="宋体" w:hint="eastAsia"/>
          <w:bCs/>
          <w:sz w:val="24"/>
        </w:rPr>
        <w:lastRenderedPageBreak/>
        <w:t>值。</w:t>
      </w:r>
    </w:p>
    <w:p w14:paraId="7A7B9212" w14:textId="61FEEF4D" w:rsidR="00DD5832" w:rsidRPr="004322DA" w:rsidRDefault="00DD5832" w:rsidP="004322DA">
      <w:pPr>
        <w:spacing w:line="360" w:lineRule="auto"/>
        <w:ind w:firstLineChars="200" w:firstLine="480"/>
        <w:rPr>
          <w:rFonts w:ascii="宋体" w:hAnsi="宋体" w:cs="宋体"/>
          <w:bCs/>
          <w:sz w:val="24"/>
        </w:rPr>
      </w:pPr>
      <w:r>
        <w:rPr>
          <w:rFonts w:ascii="宋体" w:hAnsi="宋体" w:cs="宋体" w:hint="eastAsia"/>
          <w:bCs/>
          <w:sz w:val="24"/>
        </w:rPr>
        <w:t>（</w:t>
      </w:r>
      <w:r w:rsidR="005F421B">
        <w:rPr>
          <w:rFonts w:ascii="宋体" w:hAnsi="宋体" w:cs="宋体" w:hint="eastAsia"/>
          <w:bCs/>
          <w:sz w:val="24"/>
        </w:rPr>
        <w:t>5</w:t>
      </w:r>
      <w:r>
        <w:rPr>
          <w:rFonts w:ascii="宋体" w:hAnsi="宋体" w:cs="宋体" w:hint="eastAsia"/>
          <w:bCs/>
          <w:sz w:val="24"/>
        </w:rPr>
        <w:t>）</w:t>
      </w:r>
      <w:r w:rsidRPr="00DD5832">
        <w:rPr>
          <w:rFonts w:ascii="宋体" w:hAnsi="宋体" w:cs="宋体" w:hint="eastAsia"/>
          <w:bCs/>
          <w:sz w:val="24"/>
        </w:rPr>
        <w:t>对同业存单，按估值日第三方估值机构提供的估值净价估值；选定的第三方估值机构未提供估值价格的，按成本估值。</w:t>
      </w:r>
    </w:p>
    <w:p w14:paraId="719FB8D8" w14:textId="0C2F5A7B" w:rsidR="004322DA" w:rsidRPr="004322DA" w:rsidRDefault="004322DA" w:rsidP="004322DA">
      <w:pPr>
        <w:spacing w:line="360" w:lineRule="auto"/>
        <w:ind w:firstLineChars="200" w:firstLine="480"/>
        <w:rPr>
          <w:rFonts w:ascii="宋体" w:hAnsi="宋体" w:cs="宋体"/>
          <w:bCs/>
          <w:sz w:val="24"/>
        </w:rPr>
      </w:pPr>
      <w:r>
        <w:rPr>
          <w:rFonts w:ascii="宋体" w:hAnsi="宋体" w:cs="宋体" w:hint="eastAsia"/>
          <w:bCs/>
          <w:sz w:val="24"/>
        </w:rPr>
        <w:t>（</w:t>
      </w:r>
      <w:r w:rsidR="005F421B">
        <w:rPr>
          <w:rFonts w:ascii="宋体" w:hAnsi="宋体" w:cs="宋体" w:hint="eastAsia"/>
          <w:bCs/>
          <w:sz w:val="24"/>
        </w:rPr>
        <w:t>6</w:t>
      </w:r>
      <w:r>
        <w:rPr>
          <w:rFonts w:ascii="宋体" w:hAnsi="宋体" w:cs="宋体" w:hint="eastAsia"/>
          <w:bCs/>
          <w:sz w:val="24"/>
        </w:rPr>
        <w:t>）</w:t>
      </w:r>
      <w:r w:rsidRPr="004322DA">
        <w:rPr>
          <w:rFonts w:ascii="宋体" w:hAnsi="宋体" w:cs="宋体" w:hint="eastAsia"/>
          <w:bCs/>
          <w:sz w:val="24"/>
        </w:rPr>
        <w:t>如有确凿证据表明按上述方法进行估值不能客观反映其公允价值的，基金管理人可根据具体情况与基金托管人商定后，按最能反映公允价值的价格估值。</w:t>
      </w:r>
    </w:p>
    <w:p w14:paraId="17831D7F" w14:textId="0FAEDDAE" w:rsidR="004322DA" w:rsidRPr="004322DA" w:rsidRDefault="004322DA" w:rsidP="004322DA">
      <w:pPr>
        <w:spacing w:line="360" w:lineRule="auto"/>
        <w:ind w:firstLineChars="200" w:firstLine="480"/>
        <w:rPr>
          <w:rFonts w:ascii="宋体" w:hAnsi="宋体" w:cs="宋体"/>
          <w:bCs/>
          <w:sz w:val="24"/>
        </w:rPr>
      </w:pPr>
      <w:r>
        <w:rPr>
          <w:rFonts w:ascii="宋体" w:hAnsi="宋体" w:cs="宋体" w:hint="eastAsia"/>
          <w:bCs/>
          <w:sz w:val="24"/>
        </w:rPr>
        <w:t>（</w:t>
      </w:r>
      <w:r w:rsidR="005F421B">
        <w:rPr>
          <w:rFonts w:ascii="宋体" w:hAnsi="宋体" w:cs="宋体" w:hint="eastAsia"/>
          <w:bCs/>
          <w:sz w:val="24"/>
        </w:rPr>
        <w:t>7</w:t>
      </w:r>
      <w:r>
        <w:rPr>
          <w:rFonts w:ascii="宋体" w:hAnsi="宋体" w:cs="宋体" w:hint="eastAsia"/>
          <w:bCs/>
          <w:sz w:val="24"/>
        </w:rPr>
        <w:t>）</w:t>
      </w:r>
      <w:r w:rsidRPr="004322DA">
        <w:rPr>
          <w:rFonts w:ascii="宋体" w:hAnsi="宋体" w:cs="宋体" w:hint="eastAsia"/>
          <w:bCs/>
          <w:sz w:val="24"/>
        </w:rPr>
        <w:t>当发生大额申购或赎回情形时，基金管理人可以采用摆动定价机制，以确保基金估值的公平性。</w:t>
      </w:r>
    </w:p>
    <w:p w14:paraId="1C0F61B0" w14:textId="427B0A24" w:rsidR="004322DA" w:rsidRPr="004322DA" w:rsidRDefault="004322DA" w:rsidP="004322DA">
      <w:pPr>
        <w:spacing w:line="360" w:lineRule="auto"/>
        <w:ind w:firstLineChars="200" w:firstLine="480"/>
        <w:rPr>
          <w:rFonts w:ascii="宋体" w:hAnsi="宋体" w:cs="宋体"/>
          <w:bCs/>
          <w:sz w:val="24"/>
        </w:rPr>
      </w:pPr>
      <w:r>
        <w:rPr>
          <w:rFonts w:ascii="宋体" w:hAnsi="宋体" w:cs="宋体" w:hint="eastAsia"/>
          <w:bCs/>
          <w:sz w:val="24"/>
        </w:rPr>
        <w:t>（</w:t>
      </w:r>
      <w:r w:rsidR="005F421B">
        <w:rPr>
          <w:rFonts w:ascii="宋体" w:hAnsi="宋体" w:cs="宋体" w:hint="eastAsia"/>
          <w:bCs/>
          <w:sz w:val="24"/>
        </w:rPr>
        <w:t>8</w:t>
      </w:r>
      <w:r>
        <w:rPr>
          <w:rFonts w:ascii="宋体" w:hAnsi="宋体" w:cs="宋体" w:hint="eastAsia"/>
          <w:bCs/>
          <w:sz w:val="24"/>
        </w:rPr>
        <w:t>）</w:t>
      </w:r>
      <w:r w:rsidRPr="004322DA">
        <w:rPr>
          <w:rFonts w:ascii="宋体" w:hAnsi="宋体" w:cs="宋体" w:hint="eastAsia"/>
          <w:bCs/>
          <w:sz w:val="24"/>
        </w:rPr>
        <w:t>相关法律法规以及监管部门有强制规定的，从其规定。如有新增事项，按国家最新规定估值。</w:t>
      </w:r>
    </w:p>
    <w:p w14:paraId="15235A88" w14:textId="77777777" w:rsidR="004322DA" w:rsidRPr="004322DA" w:rsidRDefault="004322DA" w:rsidP="003D19EE">
      <w:pPr>
        <w:spacing w:before="100" w:beforeAutospacing="1" w:after="100" w:afterAutospacing="1" w:line="360" w:lineRule="auto"/>
        <w:ind w:firstLineChars="200" w:firstLine="480"/>
        <w:rPr>
          <w:rFonts w:ascii="宋体" w:hAnsi="宋体" w:cs="宋体"/>
          <w:bCs/>
          <w:sz w:val="24"/>
        </w:rPr>
      </w:pPr>
      <w:r w:rsidRPr="004322DA">
        <w:rPr>
          <w:rFonts w:ascii="宋体" w:hAnsi="宋体" w:cs="宋体"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bookmarkEnd w:id="43"/>
    <w:p w14:paraId="0854D2B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8.3估值差错处理</w:t>
      </w:r>
    </w:p>
    <w:p w14:paraId="3924C957" w14:textId="77777777" w:rsidR="00204A30" w:rsidRDefault="007641D4">
      <w:pPr>
        <w:pStyle w:val="21"/>
        <w:adjustRightInd w:val="0"/>
        <w:snapToGrid w:val="0"/>
        <w:spacing w:line="520" w:lineRule="atLeast"/>
        <w:rPr>
          <w:rFonts w:asciiTheme="minorEastAsia" w:eastAsiaTheme="minorEastAsia" w:hAnsiTheme="minorEastAsia"/>
          <w:szCs w:val="24"/>
        </w:rPr>
      </w:pPr>
      <w:bookmarkStart w:id="44" w:name="_Hlk84678703"/>
      <w:r>
        <w:rPr>
          <w:rFonts w:asciiTheme="minorEastAsia" w:eastAsiaTheme="minorEastAsia" w:hAnsiTheme="minorEastAsia"/>
          <w:szCs w:val="24"/>
        </w:rPr>
        <w:t>8.3.1</w:t>
      </w:r>
      <w:r>
        <w:rPr>
          <w:rFonts w:asciiTheme="minorEastAsia" w:eastAsiaTheme="minorEastAsia" w:hAnsiTheme="minorEastAsia" w:hint="eastAsia"/>
          <w:szCs w:val="24"/>
        </w:rPr>
        <w:t>估值错误类型</w:t>
      </w:r>
    </w:p>
    <w:p w14:paraId="534CE90B" w14:textId="77777777" w:rsidR="004322DA"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8952E0D" w14:textId="0988EF38"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对于因技术原因引起的差错，若系同行业现有技术水平不能预见、不能避免、不能克服，则属不可抗力。</w:t>
      </w:r>
    </w:p>
    <w:p w14:paraId="1E148782"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上述估值错误的主要类型包括但不限于：资料申报差错、数据传输差错、数据计算差错、系统故障差错、下达指令差错等。</w:t>
      </w:r>
    </w:p>
    <w:p w14:paraId="149F5774" w14:textId="77777777" w:rsidR="00204A30" w:rsidRDefault="007641D4">
      <w:pPr>
        <w:pStyle w:val="21"/>
        <w:adjustRightInd w:val="0"/>
        <w:snapToGrid w:val="0"/>
        <w:spacing w:line="520" w:lineRule="atLeast"/>
        <w:rPr>
          <w:rFonts w:asciiTheme="minorEastAsia" w:eastAsiaTheme="minorEastAsia" w:hAnsiTheme="minorEastAsia"/>
          <w:szCs w:val="24"/>
        </w:rPr>
      </w:pPr>
      <w:r>
        <w:rPr>
          <w:rFonts w:asciiTheme="minorEastAsia" w:eastAsiaTheme="minorEastAsia" w:hAnsiTheme="minorEastAsia"/>
          <w:szCs w:val="24"/>
        </w:rPr>
        <w:t>8.3.2</w:t>
      </w:r>
      <w:r>
        <w:rPr>
          <w:rFonts w:asciiTheme="minorEastAsia" w:eastAsiaTheme="minorEastAsia" w:hAnsiTheme="minorEastAsia" w:hint="eastAsia"/>
          <w:szCs w:val="24"/>
        </w:rPr>
        <w:t>估值错误处理原则</w:t>
      </w:r>
    </w:p>
    <w:p w14:paraId="3FEAACB8"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bookmarkStart w:id="45" w:name="_Hlk84588989"/>
      <w:r>
        <w:rPr>
          <w:rFonts w:asciiTheme="minorEastAsia" w:eastAsiaTheme="minorEastAsia" w:hAnsiTheme="minorEastAsia" w:hint="eastAsia"/>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w:t>
      </w:r>
      <w:r>
        <w:rPr>
          <w:rFonts w:asciiTheme="minorEastAsia" w:eastAsiaTheme="minorEastAsia" w:hAnsiTheme="minorEastAsia" w:hint="eastAsia"/>
          <w:szCs w:val="24"/>
        </w:rPr>
        <w:lastRenderedPageBreak/>
        <w:t>义务的当事人有足够的时间进行更正而未更正，则其应当承担相应赔偿责任。估值错误责任方应对更正的情况向有关当事人进行确认，确保估值错误已得到更正。</w:t>
      </w:r>
    </w:p>
    <w:p w14:paraId="28F0F5CC"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（2）估值错误的责任方对有关当事人的直接损失负责，不对间接损失负责，并且仅对估值错误的有关直接当事人负责，不对第三方负责。</w:t>
      </w:r>
    </w:p>
    <w:p w14:paraId="3F125C9D"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（3）因估值错误而获得不当得利的当事人负有及时返还不当得利的义务。但估值错误责任方仍应对估值错误负责。如果由于获得不当得利的当事人</w:t>
      </w:r>
      <w:proofErr w:type="gramStart"/>
      <w:r>
        <w:rPr>
          <w:rFonts w:asciiTheme="minorEastAsia" w:eastAsiaTheme="minorEastAsia" w:hAnsiTheme="minorEastAsia" w:hint="eastAsia"/>
          <w:szCs w:val="24"/>
        </w:rPr>
        <w:t>不</w:t>
      </w:r>
      <w:proofErr w:type="gramEnd"/>
      <w:r>
        <w:rPr>
          <w:rFonts w:asciiTheme="minorEastAsia" w:eastAsiaTheme="minorEastAsia" w:hAnsiTheme="minorEastAsia" w:hint="eastAsia"/>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77D425"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（4）估值错误调整采用尽量恢复至假设未发生估值错误的正确情形的方式。</w:t>
      </w:r>
    </w:p>
    <w:p w14:paraId="16125281"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（5）按法律法规规定的其他原则处理估值错误。</w:t>
      </w:r>
      <w:bookmarkEnd w:id="45"/>
    </w:p>
    <w:p w14:paraId="57F3E824"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szCs w:val="24"/>
        </w:rPr>
        <w:t>8.3.3</w:t>
      </w:r>
      <w:r>
        <w:rPr>
          <w:rFonts w:asciiTheme="minorEastAsia" w:eastAsiaTheme="minorEastAsia" w:hAnsiTheme="minorEastAsia" w:hint="eastAsia"/>
          <w:szCs w:val="24"/>
        </w:rPr>
        <w:t>估值错误处理程序</w:t>
      </w:r>
    </w:p>
    <w:p w14:paraId="431D9FA5"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估值错误被发现后，有关的当事人应当及时进行处理，处理的程序如下：</w:t>
      </w:r>
    </w:p>
    <w:p w14:paraId="62824C5D"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bookmarkStart w:id="46" w:name="_Hlk84589015"/>
      <w:r>
        <w:rPr>
          <w:rFonts w:asciiTheme="minorEastAsia" w:eastAsiaTheme="minorEastAsia" w:hAnsiTheme="minorEastAsia" w:hint="eastAsia"/>
          <w:szCs w:val="24"/>
        </w:rPr>
        <w:t>（1）查明估值错误发生的原因，列明所有的当事人，并根据估值错误发生的原因确定估值错误的责任方；</w:t>
      </w:r>
    </w:p>
    <w:p w14:paraId="3BB87A4E"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（2）根据估值错误处理原则或当事人协商的方法对因估值错误造成的损失进行评估；</w:t>
      </w:r>
    </w:p>
    <w:p w14:paraId="2F38D91B"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（3）根据估值错误处理原则或当事人协商的方法由估值错误的责任方进行更正和赔偿损失；</w:t>
      </w:r>
    </w:p>
    <w:p w14:paraId="32EDA153"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（4）根据估值错误处理的方法，需要修改基金登记机构交易数据的，由基金登记机构进行更正，并就估值错误的更正向有关当事人进行确认。</w:t>
      </w:r>
      <w:bookmarkEnd w:id="46"/>
    </w:p>
    <w:p w14:paraId="6152AFB0"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szCs w:val="24"/>
        </w:rPr>
        <w:t>8.3.4</w:t>
      </w:r>
      <w:r>
        <w:rPr>
          <w:rFonts w:asciiTheme="minorEastAsia" w:eastAsiaTheme="minorEastAsia" w:hAnsiTheme="minorEastAsia" w:hint="eastAsia"/>
          <w:szCs w:val="24"/>
        </w:rPr>
        <w:t>基金份额净值估值错误处理的方法如下：</w:t>
      </w:r>
    </w:p>
    <w:p w14:paraId="3C2AD82B"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bookmarkStart w:id="47" w:name="_Hlk84589053"/>
      <w:r>
        <w:rPr>
          <w:rFonts w:asciiTheme="minorEastAsia" w:eastAsiaTheme="minorEastAsia" w:hAnsiTheme="minorEastAsia" w:hint="eastAsia"/>
          <w:szCs w:val="24"/>
        </w:rPr>
        <w:t>（1）基金份额净值计算出现错误时，基金管理人应当立即予以纠正，通报基金托管人，并采取合理的措施防止损失进一步扩大。</w:t>
      </w:r>
    </w:p>
    <w:p w14:paraId="52B3AC4E" w14:textId="34DF63DE"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（2）错误偏差达到基金份额净值的0.25%时，基金管理人应当通报基金托管人并报中国证监会备案；错误偏差达到基金份额净值的0.5%时，基金管理人应当公告，并报中国证监会备案。</w:t>
      </w:r>
    </w:p>
    <w:p w14:paraId="51E61F80" w14:textId="77777777" w:rsidR="00204A30" w:rsidRDefault="007641D4">
      <w:pPr>
        <w:pStyle w:val="21"/>
        <w:adjustRightInd w:val="0"/>
        <w:snapToGrid w:val="0"/>
        <w:spacing w:line="520" w:lineRule="atLeast"/>
        <w:ind w:left="0" w:firstLine="420"/>
        <w:rPr>
          <w:rFonts w:asciiTheme="minorEastAsia" w:eastAsiaTheme="minorEastAsia" w:hAnsiTheme="minorEastAsia"/>
          <w:szCs w:val="24"/>
        </w:rPr>
      </w:pPr>
      <w:r>
        <w:rPr>
          <w:rFonts w:asciiTheme="minorEastAsia" w:eastAsiaTheme="minorEastAsia" w:hAnsiTheme="minorEastAsia" w:hint="eastAsia"/>
          <w:szCs w:val="24"/>
        </w:rPr>
        <w:t>（3）前述内容如法律法规或监管机关另有规定的，从其规定处理。如果行业另有通行做法，基金管理人和基金托管人应本着平等和保护基金份额持有人利益的原则进行协商。</w:t>
      </w:r>
      <w:bookmarkEnd w:id="47"/>
    </w:p>
    <w:bookmarkEnd w:id="44"/>
    <w:p w14:paraId="0453525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8.4基金账册的建立</w:t>
      </w:r>
    </w:p>
    <w:p w14:paraId="0B896E4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257670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5E17CF2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8.5基金定期报告的编制和复核</w:t>
      </w:r>
    </w:p>
    <w:p w14:paraId="52730F0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8.5.1基金财务报告由基金管理人编制，基金托管人复核。月度报告的编制，应于每月终了后5个工作日内完成。</w:t>
      </w:r>
    </w:p>
    <w:p w14:paraId="2314E6D9" w14:textId="55201E58"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8.5.2基金管理人应当在每年结束之日起三个月内，编制完成基金年度报告，将年度报告登载在</w:t>
      </w:r>
      <w:r w:rsidR="00A347BA">
        <w:rPr>
          <w:rFonts w:asciiTheme="minorEastAsia" w:eastAsiaTheme="minorEastAsia" w:hAnsiTheme="minorEastAsia" w:hint="eastAsia"/>
          <w:szCs w:val="24"/>
        </w:rPr>
        <w:t>规定</w:t>
      </w:r>
      <w:r>
        <w:rPr>
          <w:rFonts w:asciiTheme="minorEastAsia" w:eastAsiaTheme="minorEastAsia" w:hAnsiTheme="minorEastAsia" w:hint="eastAsia"/>
          <w:szCs w:val="24"/>
        </w:rPr>
        <w:t>网站上，并将年度报告提示性公告登载在</w:t>
      </w:r>
      <w:r w:rsidR="00A347BA">
        <w:rPr>
          <w:rFonts w:asciiTheme="minorEastAsia" w:eastAsiaTheme="minorEastAsia" w:hAnsiTheme="minorEastAsia" w:hint="eastAsia"/>
          <w:szCs w:val="24"/>
        </w:rPr>
        <w:t>规定</w:t>
      </w:r>
      <w:r>
        <w:rPr>
          <w:rFonts w:asciiTheme="minorEastAsia" w:eastAsiaTheme="minorEastAsia" w:hAnsiTheme="minorEastAsia" w:hint="eastAsia"/>
          <w:szCs w:val="24"/>
        </w:rPr>
        <w:t>报刊上。基金年度报告中的财务会计报告应当经过</w:t>
      </w:r>
      <w:r w:rsidR="00B12FB4" w:rsidRPr="00B12FB4">
        <w:rPr>
          <w:rFonts w:asciiTheme="minorEastAsia" w:eastAsiaTheme="minorEastAsia" w:hAnsiTheme="minorEastAsia" w:hint="eastAsia"/>
          <w:szCs w:val="24"/>
        </w:rPr>
        <w:t>符合《中华人民共和国证券法》规定</w:t>
      </w:r>
      <w:r>
        <w:rPr>
          <w:rFonts w:asciiTheme="minorEastAsia" w:eastAsiaTheme="minorEastAsia" w:hAnsiTheme="minorEastAsia" w:hint="eastAsia"/>
          <w:szCs w:val="24"/>
        </w:rPr>
        <w:t>的会计师事务所审计。基金管理人应当在上半年结束之日起两个月内，编制完成基金中期报告，将中期报告登载在</w:t>
      </w:r>
      <w:r w:rsidR="00BB20E8">
        <w:rPr>
          <w:rFonts w:asciiTheme="minorEastAsia" w:eastAsiaTheme="minorEastAsia" w:hAnsiTheme="minorEastAsia" w:hint="eastAsia"/>
          <w:szCs w:val="24"/>
        </w:rPr>
        <w:t>规</w:t>
      </w:r>
      <w:r>
        <w:rPr>
          <w:rFonts w:asciiTheme="minorEastAsia" w:eastAsiaTheme="minorEastAsia" w:hAnsiTheme="minorEastAsia" w:hint="eastAsia"/>
          <w:szCs w:val="24"/>
        </w:rPr>
        <w:t>定网站上，并将中期报告提示性公告登载在</w:t>
      </w:r>
      <w:r w:rsidR="00BB20E8">
        <w:rPr>
          <w:rFonts w:asciiTheme="minorEastAsia" w:eastAsiaTheme="minorEastAsia" w:hAnsiTheme="minorEastAsia" w:hint="eastAsia"/>
          <w:szCs w:val="24"/>
        </w:rPr>
        <w:t>规</w:t>
      </w:r>
      <w:r>
        <w:rPr>
          <w:rFonts w:asciiTheme="minorEastAsia" w:eastAsiaTheme="minorEastAsia" w:hAnsiTheme="minorEastAsia" w:hint="eastAsia"/>
          <w:szCs w:val="24"/>
        </w:rPr>
        <w:t>定报刊上。基金管理人应当在季度结束之日起15个工作日内，编制完成基金季度报告，将季度报告登载在</w:t>
      </w:r>
      <w:r w:rsidR="00BB20E8">
        <w:rPr>
          <w:rFonts w:asciiTheme="minorEastAsia" w:eastAsiaTheme="minorEastAsia" w:hAnsiTheme="minorEastAsia" w:hint="eastAsia"/>
          <w:szCs w:val="24"/>
        </w:rPr>
        <w:t>规</w:t>
      </w:r>
      <w:r>
        <w:rPr>
          <w:rFonts w:asciiTheme="minorEastAsia" w:eastAsiaTheme="minorEastAsia" w:hAnsiTheme="minorEastAsia" w:hint="eastAsia"/>
          <w:szCs w:val="24"/>
        </w:rPr>
        <w:t>定网站上，并将季度报告提示性公告登载在</w:t>
      </w:r>
      <w:r w:rsidR="00B12FB4">
        <w:rPr>
          <w:rFonts w:asciiTheme="minorEastAsia" w:eastAsiaTheme="minorEastAsia" w:hAnsiTheme="minorEastAsia" w:hint="eastAsia"/>
          <w:szCs w:val="24"/>
        </w:rPr>
        <w:t>规定</w:t>
      </w:r>
      <w:r>
        <w:rPr>
          <w:rFonts w:asciiTheme="minorEastAsia" w:eastAsiaTheme="minorEastAsia" w:hAnsiTheme="minorEastAsia" w:hint="eastAsia"/>
          <w:szCs w:val="24"/>
        </w:rPr>
        <w:t>报刊上。《基金合同》生效不足2个月的，基金管理人可以不编制当期季度报告、中期报告或者年度报告。</w:t>
      </w:r>
    </w:p>
    <w:p w14:paraId="73E8E21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8.5.3《基金合同》生效后，基金招募说明书、基金产品资料概要的信息发生</w:t>
      </w:r>
      <w:r>
        <w:rPr>
          <w:rFonts w:asciiTheme="minorEastAsia" w:eastAsiaTheme="minorEastAsia" w:hAnsiTheme="minorEastAsia" w:hint="eastAsia"/>
          <w:szCs w:val="24"/>
        </w:rPr>
        <w:lastRenderedPageBreak/>
        <w:t>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基金终止运作的，基金管理人不再更新基金招募说明书、基金产品资料概要。</w:t>
      </w:r>
    </w:p>
    <w:p w14:paraId="4837066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48" w:name="_DV_C270"/>
      <w:r>
        <w:rPr>
          <w:rFonts w:asciiTheme="minorEastAsia" w:eastAsiaTheme="minorEastAsia" w:hAnsiTheme="minorEastAsia" w:hint="eastAsia"/>
          <w:szCs w:val="24"/>
        </w:rPr>
        <w:t>8.5.4</w:t>
      </w:r>
      <w:bookmarkEnd w:id="48"/>
      <w:r>
        <w:rPr>
          <w:rFonts w:asciiTheme="minorEastAsia" w:eastAsiaTheme="minorEastAsia" w:hAnsiTheme="minorEastAsia" w:hint="eastAsia"/>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1FD096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基金管理人应留足充分的时间，便于基金托管人复核相关报表及报告。</w:t>
      </w:r>
    </w:p>
    <w:p w14:paraId="635EEE3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8.5.5基金托管人在对财务会计报告、季度、中期报告或年度报告复核完毕后，需盖章确认或出具相应的复核确认书，以</w:t>
      </w:r>
      <w:proofErr w:type="gramStart"/>
      <w:r>
        <w:rPr>
          <w:rFonts w:asciiTheme="minorEastAsia" w:eastAsiaTheme="minorEastAsia" w:hAnsiTheme="minorEastAsia" w:hint="eastAsia"/>
          <w:szCs w:val="24"/>
        </w:rPr>
        <w:t>备有权</w:t>
      </w:r>
      <w:proofErr w:type="gramEnd"/>
      <w:r>
        <w:rPr>
          <w:rFonts w:asciiTheme="minorEastAsia" w:eastAsiaTheme="minorEastAsia" w:hAnsiTheme="minorEastAsia" w:hint="eastAsia"/>
          <w:szCs w:val="24"/>
        </w:rPr>
        <w:t>机构对相关文件审核时提示。</w:t>
      </w:r>
    </w:p>
    <w:p w14:paraId="4BE685F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49" w:name="_Hlk84759802"/>
      <w:r>
        <w:rPr>
          <w:rFonts w:asciiTheme="minorEastAsia" w:eastAsiaTheme="minorEastAsia" w:hAnsiTheme="minorEastAsia" w:hint="eastAsia"/>
          <w:szCs w:val="24"/>
        </w:rPr>
        <w:t>8.6暂停估值的情形</w:t>
      </w:r>
    </w:p>
    <w:p w14:paraId="65AEEDA2" w14:textId="3F26ABF1"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（1）基金投资所涉及的证券交易市场遇法定节假日或因其他原因暂停营业时；</w:t>
      </w:r>
    </w:p>
    <w:p w14:paraId="02DF5EE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（2）因不可抗力</w:t>
      </w:r>
      <w:r w:rsidR="002B76F3">
        <w:rPr>
          <w:rFonts w:asciiTheme="minorEastAsia" w:eastAsiaTheme="minorEastAsia" w:hAnsiTheme="minorEastAsia" w:hint="eastAsia"/>
          <w:szCs w:val="24"/>
        </w:rPr>
        <w:t>或其他情形</w:t>
      </w:r>
      <w:r>
        <w:rPr>
          <w:rFonts w:asciiTheme="minorEastAsia" w:eastAsiaTheme="minorEastAsia" w:hAnsiTheme="minorEastAsia" w:hint="eastAsia"/>
          <w:szCs w:val="24"/>
        </w:rPr>
        <w:t>致使基金管理人、基金托管人无法准确评估基金资产价值时；</w:t>
      </w:r>
    </w:p>
    <w:p w14:paraId="4E49ACB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bCs/>
          <w:szCs w:val="24"/>
        </w:rPr>
      </w:pPr>
      <w:r>
        <w:rPr>
          <w:rFonts w:asciiTheme="minorEastAsia" w:eastAsiaTheme="minorEastAsia" w:hAnsiTheme="minorEastAsia" w:hint="eastAsia"/>
          <w:bCs/>
          <w:szCs w:val="24"/>
        </w:rPr>
        <w:t>（3）</w:t>
      </w:r>
      <w:r w:rsidR="004322DA" w:rsidRPr="004322DA">
        <w:rPr>
          <w:rFonts w:asciiTheme="minorEastAsia" w:eastAsiaTheme="minorEastAsia" w:hAnsiTheme="minorEastAsia" w:hint="eastAsia"/>
          <w:bCs/>
          <w:szCs w:val="24"/>
        </w:rPr>
        <w:t>当特定资产占前一估值日基金资产净值50%以上的，经与基金托管人协商确认后，基金管理人应当暂停估值；</w:t>
      </w:r>
    </w:p>
    <w:p w14:paraId="7B73198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w:t>
      </w:r>
      <w:r w:rsidR="002B76F3">
        <w:rPr>
          <w:rFonts w:asciiTheme="minorEastAsia" w:eastAsiaTheme="minorEastAsia" w:hAnsiTheme="minorEastAsia" w:hint="eastAsia"/>
          <w:szCs w:val="24"/>
        </w:rPr>
        <w:t>法律法规、</w:t>
      </w:r>
      <w:r>
        <w:rPr>
          <w:rFonts w:asciiTheme="minorEastAsia" w:eastAsiaTheme="minorEastAsia" w:hAnsiTheme="minorEastAsia" w:hint="eastAsia"/>
          <w:szCs w:val="24"/>
        </w:rPr>
        <w:t>中国证监会和基金合同认定的其它情形。</w:t>
      </w:r>
    </w:p>
    <w:p w14:paraId="09A66FD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8.7特殊情况的处理</w:t>
      </w:r>
      <w:r>
        <w:rPr>
          <w:rFonts w:asciiTheme="minorEastAsia" w:eastAsiaTheme="minorEastAsia" w:hAnsiTheme="minorEastAsia" w:cs="Calibri" w:hint="eastAsia"/>
          <w:szCs w:val="24"/>
        </w:rPr>
        <w:t> </w:t>
      </w:r>
    </w:p>
    <w:p w14:paraId="511D35E4" w14:textId="499F0B26"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（1）基金管理人或基金托管人按《基金合同》规定估值方法的第（</w:t>
      </w:r>
      <w:r w:rsidR="005F421B">
        <w:rPr>
          <w:rFonts w:asciiTheme="minorEastAsia" w:eastAsiaTheme="minorEastAsia" w:hAnsiTheme="minorEastAsia" w:hint="eastAsia"/>
          <w:szCs w:val="24"/>
        </w:rPr>
        <w:t>6</w:t>
      </w:r>
      <w:r>
        <w:rPr>
          <w:rFonts w:asciiTheme="minorEastAsia" w:eastAsiaTheme="minorEastAsia" w:hAnsiTheme="minorEastAsia" w:hint="eastAsia"/>
          <w:szCs w:val="24"/>
        </w:rPr>
        <w:t>）</w:t>
      </w:r>
      <w:r w:rsidR="00DD5832">
        <w:rPr>
          <w:rFonts w:asciiTheme="minorEastAsia" w:eastAsiaTheme="minorEastAsia" w:hAnsiTheme="minorEastAsia" w:hint="eastAsia"/>
          <w:szCs w:val="24"/>
        </w:rPr>
        <w:t>项</w:t>
      </w:r>
      <w:r>
        <w:rPr>
          <w:rFonts w:asciiTheme="minorEastAsia" w:eastAsiaTheme="minorEastAsia" w:hAnsiTheme="minorEastAsia" w:hint="eastAsia"/>
          <w:szCs w:val="24"/>
        </w:rPr>
        <w:t>进行估值时，所造成的误差不作为基金</w:t>
      </w:r>
      <w:r w:rsidR="002B76F3">
        <w:rPr>
          <w:rFonts w:asciiTheme="minorEastAsia" w:eastAsiaTheme="minorEastAsia" w:hAnsiTheme="minorEastAsia" w:hint="eastAsia"/>
          <w:szCs w:val="24"/>
        </w:rPr>
        <w:t>资产</w:t>
      </w:r>
      <w:r>
        <w:rPr>
          <w:rFonts w:asciiTheme="minorEastAsia" w:eastAsiaTheme="minorEastAsia" w:hAnsiTheme="minorEastAsia" w:hint="eastAsia"/>
          <w:szCs w:val="24"/>
        </w:rPr>
        <w:t>估值错误处理。</w:t>
      </w:r>
      <w:r>
        <w:rPr>
          <w:rFonts w:asciiTheme="minorEastAsia" w:eastAsiaTheme="minorEastAsia" w:hAnsiTheme="minorEastAsia" w:cs="Calibri" w:hint="eastAsia"/>
          <w:szCs w:val="24"/>
        </w:rPr>
        <w:t> </w:t>
      </w:r>
    </w:p>
    <w:p w14:paraId="68A93ACD" w14:textId="229EE9CB"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sidR="0020132B" w:rsidRPr="0020132B">
        <w:rPr>
          <w:rFonts w:asciiTheme="minorEastAsia" w:eastAsiaTheme="minorEastAsia" w:hAnsiTheme="minorEastAsia" w:hint="eastAsia"/>
          <w:szCs w:val="24"/>
        </w:rPr>
        <w:t>由于不可抗力原因，或由于证券交易所、证券经纪机构、第三方估值机构或登记结算公司发送的数据错误，或国家会计政策变更、市场规则变更等原因，基金管理人和基金托管人虽然已经采取必要、适当、合理的措施进行检查，但是未能发现该错误或即使发现错误但因前述原因无法及时更正的，由此造成的基金资产估值错误，基金管理人和基金托管人应当免除赔偿责任。但基金管理人和基金托管人应当积极采取必要的措施消除或减轻由此造成的影响</w:t>
      </w:r>
      <w:r>
        <w:rPr>
          <w:rFonts w:asciiTheme="minorEastAsia" w:eastAsiaTheme="minorEastAsia" w:hAnsiTheme="minorEastAsia" w:hint="eastAsia"/>
          <w:szCs w:val="24"/>
        </w:rPr>
        <w:t>。</w:t>
      </w:r>
    </w:p>
    <w:bookmarkEnd w:id="49"/>
    <w:p w14:paraId="3F41B58C" w14:textId="77777777" w:rsidR="00204A30" w:rsidRDefault="007641D4">
      <w:pPr>
        <w:pStyle w:val="21"/>
        <w:adjustRightInd w:val="0"/>
        <w:snapToGrid w:val="0"/>
        <w:spacing w:line="520" w:lineRule="atLeast"/>
        <w:rPr>
          <w:rFonts w:asciiTheme="minorEastAsia" w:eastAsiaTheme="minorEastAsia" w:hAnsiTheme="minorEastAsia"/>
          <w:szCs w:val="24"/>
        </w:rPr>
      </w:pPr>
      <w:r>
        <w:rPr>
          <w:rFonts w:asciiTheme="minorEastAsia" w:eastAsiaTheme="minorEastAsia" w:hAnsiTheme="minorEastAsia" w:hint="eastAsia"/>
          <w:szCs w:val="24"/>
        </w:rPr>
        <w:t>8</w:t>
      </w:r>
      <w:r>
        <w:rPr>
          <w:rFonts w:asciiTheme="minorEastAsia" w:eastAsiaTheme="minorEastAsia" w:hAnsiTheme="minorEastAsia"/>
          <w:szCs w:val="24"/>
        </w:rPr>
        <w:t>.8</w:t>
      </w:r>
      <w:r>
        <w:rPr>
          <w:rFonts w:asciiTheme="minorEastAsia" w:eastAsiaTheme="minorEastAsia" w:hAnsiTheme="minorEastAsia" w:hint="eastAsia"/>
          <w:szCs w:val="24"/>
        </w:rPr>
        <w:t>实施</w:t>
      </w:r>
      <w:proofErr w:type="gramStart"/>
      <w:r>
        <w:rPr>
          <w:rFonts w:asciiTheme="minorEastAsia" w:eastAsiaTheme="minorEastAsia" w:hAnsiTheme="minorEastAsia" w:hint="eastAsia"/>
          <w:szCs w:val="24"/>
        </w:rPr>
        <w:t>侧袋机制</w:t>
      </w:r>
      <w:proofErr w:type="gramEnd"/>
      <w:r>
        <w:rPr>
          <w:rFonts w:asciiTheme="minorEastAsia" w:eastAsiaTheme="minorEastAsia" w:hAnsiTheme="minorEastAsia" w:hint="eastAsia"/>
          <w:szCs w:val="24"/>
        </w:rPr>
        <w:t>期间的基金资产估值</w:t>
      </w:r>
    </w:p>
    <w:p w14:paraId="56DE84FD" w14:textId="188E0F09"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本基金实施</w:t>
      </w:r>
      <w:proofErr w:type="gramStart"/>
      <w:r>
        <w:rPr>
          <w:rFonts w:asciiTheme="minorEastAsia" w:eastAsiaTheme="minorEastAsia" w:hAnsiTheme="minorEastAsia" w:hint="eastAsia"/>
          <w:szCs w:val="24"/>
        </w:rPr>
        <w:t>侧袋机制</w:t>
      </w:r>
      <w:proofErr w:type="gramEnd"/>
      <w:r>
        <w:rPr>
          <w:rFonts w:asciiTheme="minorEastAsia" w:eastAsiaTheme="minorEastAsia" w:hAnsiTheme="minorEastAsia" w:hint="eastAsia"/>
          <w:szCs w:val="24"/>
        </w:rPr>
        <w:t>的，应根据本部分的约定</w:t>
      </w:r>
      <w:proofErr w:type="gramStart"/>
      <w:r>
        <w:rPr>
          <w:rFonts w:asciiTheme="minorEastAsia" w:eastAsiaTheme="minorEastAsia" w:hAnsiTheme="minorEastAsia" w:hint="eastAsia"/>
          <w:szCs w:val="24"/>
        </w:rPr>
        <w:t>对主袋账户</w:t>
      </w:r>
      <w:proofErr w:type="gramEnd"/>
      <w:r>
        <w:rPr>
          <w:rFonts w:asciiTheme="minorEastAsia" w:eastAsiaTheme="minorEastAsia" w:hAnsiTheme="minorEastAsia" w:hint="eastAsia"/>
          <w:szCs w:val="24"/>
        </w:rPr>
        <w:t>资产进行估值并</w:t>
      </w:r>
      <w:proofErr w:type="gramStart"/>
      <w:r>
        <w:rPr>
          <w:rFonts w:asciiTheme="minorEastAsia" w:eastAsiaTheme="minorEastAsia" w:hAnsiTheme="minorEastAsia" w:hint="eastAsia"/>
          <w:szCs w:val="24"/>
        </w:rPr>
        <w:t>披露主袋账户</w:t>
      </w:r>
      <w:proofErr w:type="gramEnd"/>
      <w:r>
        <w:rPr>
          <w:rFonts w:asciiTheme="minorEastAsia" w:eastAsiaTheme="minorEastAsia" w:hAnsiTheme="minorEastAsia" w:hint="eastAsia"/>
          <w:szCs w:val="24"/>
        </w:rPr>
        <w:t>的基金净值信息，暂停</w:t>
      </w:r>
      <w:proofErr w:type="gramStart"/>
      <w:r>
        <w:rPr>
          <w:rFonts w:asciiTheme="minorEastAsia" w:eastAsiaTheme="minorEastAsia" w:hAnsiTheme="minorEastAsia" w:hint="eastAsia"/>
          <w:szCs w:val="24"/>
        </w:rPr>
        <w:t>披露侧袋账户</w:t>
      </w:r>
      <w:proofErr w:type="gramEnd"/>
      <w:r>
        <w:rPr>
          <w:rFonts w:asciiTheme="minorEastAsia" w:eastAsiaTheme="minorEastAsia" w:hAnsiTheme="minorEastAsia" w:hint="eastAsia"/>
          <w:szCs w:val="24"/>
        </w:rPr>
        <w:t>份额净值。</w:t>
      </w:r>
    </w:p>
    <w:p w14:paraId="31A0C28A"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50" w:name="_Toc296551345"/>
      <w:bookmarkStart w:id="51" w:name="_Toc116889545"/>
      <w:r>
        <w:rPr>
          <w:rFonts w:asciiTheme="minorEastAsia" w:eastAsiaTheme="minorEastAsia" w:hAnsiTheme="minorEastAsia" w:hint="eastAsia"/>
          <w:bCs/>
          <w:color w:val="auto"/>
          <w:szCs w:val="24"/>
        </w:rPr>
        <w:t>第九条 基金收益分配</w:t>
      </w:r>
      <w:bookmarkEnd w:id="50"/>
      <w:bookmarkEnd w:id="51"/>
    </w:p>
    <w:p w14:paraId="7F53FFC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52" w:name="_Hlk84759911"/>
      <w:r>
        <w:rPr>
          <w:rFonts w:asciiTheme="minorEastAsia" w:eastAsiaTheme="minorEastAsia" w:hAnsiTheme="minorEastAsia" w:hint="eastAsia"/>
          <w:szCs w:val="24"/>
        </w:rPr>
        <w:t>9.1基金利润的构成</w:t>
      </w:r>
    </w:p>
    <w:p w14:paraId="548922E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基金利润指基金利息收入、投资收益、公允价值变动收益和其他收入扣除相关费用后的余额，基金已实现收益指基金利润减去公允价值变动收益后的余额。</w:t>
      </w:r>
    </w:p>
    <w:p w14:paraId="2C0BEFA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9.2基金可供分配利润</w:t>
      </w:r>
    </w:p>
    <w:p w14:paraId="60F4977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基金可供分配利润指截至收益分配基准日基金未分配利润与未分配利润中已实现收益的孰低数。</w:t>
      </w:r>
    </w:p>
    <w:p w14:paraId="22631E2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53" w:name="_Hlk84680785"/>
      <w:r>
        <w:rPr>
          <w:rFonts w:asciiTheme="minorEastAsia" w:eastAsiaTheme="minorEastAsia" w:hAnsiTheme="minorEastAsia" w:hint="eastAsia"/>
          <w:szCs w:val="24"/>
        </w:rPr>
        <w:t>9.3收益分配原则</w:t>
      </w:r>
    </w:p>
    <w:p w14:paraId="4F896071" w14:textId="77777777" w:rsidR="004322DA" w:rsidRPr="004322DA" w:rsidRDefault="004322DA" w:rsidP="004322DA">
      <w:pPr>
        <w:pStyle w:val="21"/>
        <w:adjustRightInd w:val="0"/>
        <w:snapToGrid w:val="0"/>
        <w:spacing w:line="520" w:lineRule="atLeast"/>
        <w:ind w:firstLineChars="200" w:firstLine="480"/>
        <w:rPr>
          <w:rFonts w:asciiTheme="minorEastAsia" w:eastAsiaTheme="minorEastAsia" w:hAnsiTheme="minorEastAsia"/>
          <w:bCs/>
          <w:szCs w:val="24"/>
        </w:rPr>
      </w:pPr>
      <w:r>
        <w:rPr>
          <w:rFonts w:asciiTheme="minorEastAsia" w:eastAsiaTheme="minorEastAsia" w:hAnsiTheme="minorEastAsia" w:hint="eastAsia"/>
          <w:bCs/>
          <w:szCs w:val="24"/>
        </w:rPr>
        <w:t>（1）</w:t>
      </w:r>
      <w:r w:rsidRPr="004322DA">
        <w:rPr>
          <w:rFonts w:asciiTheme="minorEastAsia" w:eastAsiaTheme="minorEastAsia" w:hAnsiTheme="minorEastAsia" w:hint="eastAsia"/>
          <w:bCs/>
          <w:szCs w:val="24"/>
        </w:rPr>
        <w:t>在符合有关基金分红条件的前提下，基金管理人可以根据实际情况进行收益分配，具体分配方案以公告为准，若《基金合同》生效不满3个月可不进行收益分配；</w:t>
      </w:r>
    </w:p>
    <w:p w14:paraId="64459C73" w14:textId="3D576483" w:rsidR="004322DA" w:rsidRPr="004322DA" w:rsidRDefault="004322DA" w:rsidP="004322DA">
      <w:pPr>
        <w:pStyle w:val="21"/>
        <w:adjustRightInd w:val="0"/>
        <w:snapToGrid w:val="0"/>
        <w:spacing w:line="520" w:lineRule="atLeast"/>
        <w:ind w:firstLineChars="200" w:firstLine="480"/>
        <w:rPr>
          <w:rFonts w:asciiTheme="minorEastAsia" w:eastAsiaTheme="minorEastAsia" w:hAnsiTheme="minorEastAsia"/>
          <w:bCs/>
          <w:szCs w:val="24"/>
        </w:rPr>
      </w:pPr>
      <w:r>
        <w:rPr>
          <w:rFonts w:asciiTheme="minorEastAsia" w:eastAsiaTheme="minorEastAsia" w:hAnsiTheme="minorEastAsia" w:hint="eastAsia"/>
          <w:bCs/>
          <w:szCs w:val="24"/>
        </w:rPr>
        <w:t>（2）</w:t>
      </w:r>
      <w:r w:rsidRPr="004322DA">
        <w:rPr>
          <w:rFonts w:asciiTheme="minorEastAsia" w:eastAsiaTheme="minorEastAsia" w:hAnsiTheme="minorEastAsia" w:hint="eastAsia"/>
          <w:bCs/>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收益的计算以除权日当日收市后计算的基金份额净值为基准转为基金份额进行再投资，投资人选择红利再投资方式取得的基金份额按</w:t>
      </w:r>
      <w:proofErr w:type="gramStart"/>
      <w:r w:rsidRPr="004322DA">
        <w:rPr>
          <w:rFonts w:asciiTheme="minorEastAsia" w:eastAsiaTheme="minorEastAsia" w:hAnsiTheme="minorEastAsia" w:hint="eastAsia"/>
          <w:bCs/>
          <w:szCs w:val="24"/>
        </w:rPr>
        <w:t>原基金</w:t>
      </w:r>
      <w:proofErr w:type="gramEnd"/>
      <w:r w:rsidRPr="004322DA">
        <w:rPr>
          <w:rFonts w:asciiTheme="minorEastAsia" w:eastAsiaTheme="minorEastAsia" w:hAnsiTheme="minorEastAsia" w:hint="eastAsia"/>
          <w:bCs/>
          <w:szCs w:val="24"/>
        </w:rPr>
        <w:t>份额锁定；</w:t>
      </w:r>
    </w:p>
    <w:p w14:paraId="5D8FD9F7" w14:textId="13AE945A" w:rsidR="004322DA" w:rsidRPr="004322DA" w:rsidRDefault="004322DA" w:rsidP="004322DA">
      <w:pPr>
        <w:pStyle w:val="21"/>
        <w:adjustRightInd w:val="0"/>
        <w:snapToGrid w:val="0"/>
        <w:spacing w:line="520" w:lineRule="atLeast"/>
        <w:ind w:firstLineChars="200" w:firstLine="480"/>
        <w:rPr>
          <w:rFonts w:asciiTheme="minorEastAsia" w:eastAsiaTheme="minorEastAsia" w:hAnsiTheme="minorEastAsia"/>
          <w:bCs/>
          <w:szCs w:val="24"/>
        </w:rPr>
      </w:pPr>
      <w:r>
        <w:rPr>
          <w:rFonts w:asciiTheme="minorEastAsia" w:eastAsiaTheme="minorEastAsia" w:hAnsiTheme="minorEastAsia" w:hint="eastAsia"/>
          <w:bCs/>
          <w:szCs w:val="24"/>
        </w:rPr>
        <w:t>（3）</w:t>
      </w:r>
      <w:r w:rsidR="00FD5EC2" w:rsidRPr="00FD5EC2">
        <w:rPr>
          <w:rFonts w:asciiTheme="minorEastAsia" w:eastAsiaTheme="minorEastAsia" w:hAnsiTheme="minorEastAsia" w:hint="eastAsia"/>
          <w:bCs/>
          <w:szCs w:val="24"/>
        </w:rPr>
        <w:t>基金收益分配后基金份额净值不能低于面值，即基金收益分配基准日的基金份额净值减去每单位基金份额收益分配金额后不能低于面值；</w:t>
      </w:r>
    </w:p>
    <w:p w14:paraId="72A9D209" w14:textId="2B7DEBDB" w:rsidR="004322DA" w:rsidRPr="004322DA" w:rsidRDefault="004322DA" w:rsidP="004322DA">
      <w:pPr>
        <w:pStyle w:val="21"/>
        <w:adjustRightInd w:val="0"/>
        <w:snapToGrid w:val="0"/>
        <w:spacing w:line="520" w:lineRule="atLeast"/>
        <w:ind w:firstLineChars="200" w:firstLine="480"/>
        <w:rPr>
          <w:rFonts w:asciiTheme="minorEastAsia" w:eastAsiaTheme="minorEastAsia" w:hAnsiTheme="minorEastAsia"/>
          <w:bCs/>
          <w:szCs w:val="24"/>
        </w:rPr>
      </w:pPr>
      <w:r>
        <w:rPr>
          <w:rFonts w:asciiTheme="minorEastAsia" w:eastAsiaTheme="minorEastAsia" w:hAnsiTheme="minorEastAsia" w:hint="eastAsia"/>
          <w:bCs/>
          <w:szCs w:val="24"/>
        </w:rPr>
        <w:t>（</w:t>
      </w:r>
      <w:r w:rsidR="008672C0">
        <w:rPr>
          <w:rFonts w:asciiTheme="minorEastAsia" w:eastAsiaTheme="minorEastAsia" w:hAnsiTheme="minorEastAsia"/>
          <w:bCs/>
          <w:szCs w:val="24"/>
        </w:rPr>
        <w:t>4</w:t>
      </w:r>
      <w:r>
        <w:rPr>
          <w:rFonts w:asciiTheme="minorEastAsia" w:eastAsiaTheme="minorEastAsia" w:hAnsiTheme="minorEastAsia" w:hint="eastAsia"/>
          <w:bCs/>
          <w:szCs w:val="24"/>
        </w:rPr>
        <w:t>）</w:t>
      </w:r>
      <w:r w:rsidR="00FD5EC2" w:rsidRPr="00FD5EC2">
        <w:rPr>
          <w:rFonts w:asciiTheme="minorEastAsia" w:eastAsiaTheme="minorEastAsia" w:hAnsiTheme="minorEastAsia" w:hint="eastAsia"/>
          <w:bCs/>
          <w:szCs w:val="24"/>
        </w:rPr>
        <w:t>除法律法规另有规定或《基金合同》另有约定外，本基金每一基金份额享有同等分配权；</w:t>
      </w:r>
    </w:p>
    <w:p w14:paraId="77EBA664" w14:textId="77777777" w:rsidR="004322DA" w:rsidRPr="004322DA" w:rsidRDefault="004322DA" w:rsidP="004322DA">
      <w:pPr>
        <w:pStyle w:val="21"/>
        <w:adjustRightInd w:val="0"/>
        <w:snapToGrid w:val="0"/>
        <w:spacing w:line="520" w:lineRule="atLeast"/>
        <w:ind w:firstLineChars="200" w:firstLine="480"/>
        <w:rPr>
          <w:rFonts w:asciiTheme="minorEastAsia" w:eastAsiaTheme="minorEastAsia" w:hAnsiTheme="minorEastAsia"/>
          <w:bCs/>
          <w:szCs w:val="24"/>
        </w:rPr>
      </w:pPr>
      <w:r>
        <w:rPr>
          <w:rFonts w:asciiTheme="minorEastAsia" w:eastAsiaTheme="minorEastAsia" w:hAnsiTheme="minorEastAsia" w:hint="eastAsia"/>
          <w:bCs/>
          <w:szCs w:val="24"/>
        </w:rPr>
        <w:t>（5）</w:t>
      </w:r>
      <w:r w:rsidRPr="004322DA">
        <w:rPr>
          <w:rFonts w:asciiTheme="minorEastAsia" w:eastAsiaTheme="minorEastAsia" w:hAnsiTheme="minorEastAsia" w:hint="eastAsia"/>
          <w:bCs/>
          <w:szCs w:val="24"/>
        </w:rPr>
        <w:t>法律法规或监管机关另有规定的，从其规定。</w:t>
      </w:r>
    </w:p>
    <w:p w14:paraId="265B45BD" w14:textId="77777777" w:rsidR="00204A30" w:rsidRPr="009E7223" w:rsidRDefault="004322DA" w:rsidP="001E49DE">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9E7223">
        <w:rPr>
          <w:rFonts w:asciiTheme="minorEastAsia" w:eastAsiaTheme="minorEastAsia" w:hAnsiTheme="minorEastAsia" w:hint="eastAsia"/>
          <w:szCs w:val="24"/>
        </w:rPr>
        <w:t>本基金每次收益分配比例详见届时基金管理人发布的公告。在不违反法律法规且对基金份额持有人利益无实质性不利影响的情况下，基金管理人、登记机构可对基金收益分配原则进行调整，不需召开基金份额持有人大会。</w:t>
      </w:r>
    </w:p>
    <w:p w14:paraId="168F1D6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9.4收益分配方案</w:t>
      </w:r>
    </w:p>
    <w:p w14:paraId="0B68E08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基金收益分配方案中应载明截止收益分配基准日的可供分配利润、基金收益分配对象、分配时间、分配数额及比例、分配方式等内容。</w:t>
      </w:r>
    </w:p>
    <w:p w14:paraId="517A4D2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9.5</w:t>
      </w:r>
      <w:r w:rsidR="004322DA">
        <w:rPr>
          <w:bCs/>
        </w:rPr>
        <w:t>收益分配方案的确定、公告与实施</w:t>
      </w:r>
    </w:p>
    <w:p w14:paraId="5BEF5851" w14:textId="272C895F"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bCs/>
          <w:szCs w:val="24"/>
        </w:rPr>
      </w:pPr>
      <w:r>
        <w:rPr>
          <w:rFonts w:asciiTheme="minorEastAsia" w:eastAsiaTheme="minorEastAsia" w:hAnsiTheme="minorEastAsia" w:hint="eastAsia"/>
          <w:szCs w:val="24"/>
        </w:rPr>
        <w:t>本基金收益分配方案由基金管理人拟定，并由基金托管人复核，按照《信息披露办法》的有关规定在规定媒介公告。</w:t>
      </w:r>
    </w:p>
    <w:p w14:paraId="081BF245" w14:textId="77777777" w:rsidR="00204A30" w:rsidRDefault="007641D4" w:rsidP="004322DA">
      <w:pPr>
        <w:pStyle w:val="21"/>
        <w:adjustRightInd w:val="0"/>
        <w:snapToGrid w:val="0"/>
        <w:spacing w:before="0" w:after="0" w:line="520" w:lineRule="atLeast"/>
        <w:ind w:left="0" w:firstLineChars="200" w:firstLine="480"/>
        <w:rPr>
          <w:bCs/>
        </w:rPr>
      </w:pPr>
      <w:r>
        <w:rPr>
          <w:rFonts w:asciiTheme="minorEastAsia" w:eastAsiaTheme="minorEastAsia" w:hAnsiTheme="minorEastAsia" w:hint="eastAsia"/>
          <w:szCs w:val="24"/>
        </w:rPr>
        <w:t>9.</w:t>
      </w:r>
      <w:r w:rsidR="004322DA">
        <w:rPr>
          <w:rFonts w:asciiTheme="minorEastAsia" w:eastAsiaTheme="minorEastAsia" w:hAnsiTheme="minorEastAsia"/>
          <w:szCs w:val="24"/>
        </w:rPr>
        <w:t>6</w:t>
      </w:r>
      <w:r w:rsidR="004322DA">
        <w:rPr>
          <w:bCs/>
        </w:rPr>
        <w:t>基金收益分配中发生的费用</w:t>
      </w:r>
    </w:p>
    <w:p w14:paraId="332A088D" w14:textId="18CDFC04" w:rsidR="004322DA" w:rsidRPr="004322DA" w:rsidRDefault="004322DA" w:rsidP="004322DA">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4322DA">
        <w:rPr>
          <w:rFonts w:asciiTheme="minorEastAsia" w:eastAsiaTheme="minorEastAsia" w:hAnsiTheme="minorEastAsia" w:hint="eastAsia"/>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6E96C7A3" w14:textId="77777777" w:rsidR="00204A30" w:rsidRDefault="007641D4">
      <w:pPr>
        <w:pStyle w:val="21"/>
        <w:adjustRightInd w:val="0"/>
        <w:snapToGrid w:val="0"/>
        <w:spacing w:line="520" w:lineRule="atLeast"/>
        <w:rPr>
          <w:rFonts w:asciiTheme="minorEastAsia" w:eastAsiaTheme="minorEastAsia" w:hAnsiTheme="minorEastAsia"/>
          <w:szCs w:val="24"/>
        </w:rPr>
      </w:pPr>
      <w:r>
        <w:rPr>
          <w:rFonts w:asciiTheme="minorEastAsia" w:eastAsiaTheme="minorEastAsia" w:hAnsiTheme="minorEastAsia" w:hint="eastAsia"/>
          <w:szCs w:val="24"/>
        </w:rPr>
        <w:t>9</w:t>
      </w:r>
      <w:r>
        <w:rPr>
          <w:rFonts w:asciiTheme="minorEastAsia" w:eastAsiaTheme="minorEastAsia" w:hAnsiTheme="minorEastAsia"/>
          <w:szCs w:val="24"/>
        </w:rPr>
        <w:t>.</w:t>
      </w:r>
      <w:r w:rsidR="004322DA">
        <w:rPr>
          <w:rFonts w:asciiTheme="minorEastAsia" w:eastAsiaTheme="minorEastAsia" w:hAnsiTheme="minorEastAsia"/>
          <w:szCs w:val="24"/>
        </w:rPr>
        <w:t>7</w:t>
      </w:r>
      <w:r>
        <w:rPr>
          <w:rFonts w:asciiTheme="minorEastAsia" w:eastAsiaTheme="minorEastAsia" w:hAnsiTheme="minorEastAsia" w:hint="eastAsia"/>
          <w:szCs w:val="24"/>
        </w:rPr>
        <w:t>实施</w:t>
      </w:r>
      <w:proofErr w:type="gramStart"/>
      <w:r>
        <w:rPr>
          <w:rFonts w:asciiTheme="minorEastAsia" w:eastAsiaTheme="minorEastAsia" w:hAnsiTheme="minorEastAsia" w:hint="eastAsia"/>
          <w:szCs w:val="24"/>
        </w:rPr>
        <w:t>侧袋机制</w:t>
      </w:r>
      <w:proofErr w:type="gramEnd"/>
      <w:r>
        <w:rPr>
          <w:rFonts w:asciiTheme="minorEastAsia" w:eastAsiaTheme="minorEastAsia" w:hAnsiTheme="minorEastAsia" w:hint="eastAsia"/>
          <w:szCs w:val="24"/>
        </w:rPr>
        <w:t>期间的收益分配</w:t>
      </w:r>
    </w:p>
    <w:p w14:paraId="29759DD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本基金实施</w:t>
      </w:r>
      <w:proofErr w:type="gramStart"/>
      <w:r>
        <w:rPr>
          <w:rFonts w:asciiTheme="minorEastAsia" w:eastAsiaTheme="minorEastAsia" w:hAnsiTheme="minorEastAsia" w:hint="eastAsia"/>
          <w:szCs w:val="24"/>
        </w:rPr>
        <w:t>侧袋机制</w:t>
      </w:r>
      <w:proofErr w:type="gramEnd"/>
      <w:r>
        <w:rPr>
          <w:rFonts w:asciiTheme="minorEastAsia" w:eastAsiaTheme="minorEastAsia" w:hAnsiTheme="minorEastAsia" w:hint="eastAsia"/>
          <w:szCs w:val="24"/>
        </w:rPr>
        <w:t>的，</w:t>
      </w:r>
      <w:proofErr w:type="gramStart"/>
      <w:r>
        <w:rPr>
          <w:rFonts w:asciiTheme="minorEastAsia" w:eastAsiaTheme="minorEastAsia" w:hAnsiTheme="minorEastAsia" w:hint="eastAsia"/>
          <w:szCs w:val="24"/>
        </w:rPr>
        <w:t>侧袋账户</w:t>
      </w:r>
      <w:proofErr w:type="gramEnd"/>
      <w:r>
        <w:rPr>
          <w:rFonts w:asciiTheme="minorEastAsia" w:eastAsiaTheme="minorEastAsia" w:hAnsiTheme="minorEastAsia" w:hint="eastAsia"/>
          <w:szCs w:val="24"/>
        </w:rPr>
        <w:t>不进行收益分配，详见招募说明书的规定。</w:t>
      </w:r>
    </w:p>
    <w:p w14:paraId="20344075"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54" w:name="_Toc296551346"/>
      <w:bookmarkStart w:id="55" w:name="_Toc116889546"/>
      <w:bookmarkEnd w:id="52"/>
      <w:bookmarkEnd w:id="53"/>
      <w:r>
        <w:rPr>
          <w:rFonts w:asciiTheme="minorEastAsia" w:eastAsiaTheme="minorEastAsia" w:hAnsiTheme="minorEastAsia" w:hint="eastAsia"/>
          <w:bCs/>
          <w:color w:val="auto"/>
          <w:szCs w:val="24"/>
        </w:rPr>
        <w:t>第十条 信息披露</w:t>
      </w:r>
      <w:bookmarkEnd w:id="54"/>
      <w:bookmarkEnd w:id="55"/>
    </w:p>
    <w:p w14:paraId="0F9980B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10.1保密义务</w:t>
      </w:r>
    </w:p>
    <w:p w14:paraId="0EEB35B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除按照《基金法》、《信息披露办法》、</w:t>
      </w:r>
      <w:r>
        <w:rPr>
          <w:rFonts w:hAnsi="宋体" w:cs="宋体" w:hint="eastAsia"/>
          <w:bCs/>
        </w:rPr>
        <w:t>《运作办法》、</w:t>
      </w:r>
      <w:r>
        <w:rPr>
          <w:rFonts w:asciiTheme="minorEastAsia" w:eastAsiaTheme="minorEastAsia" w:hAnsiTheme="minorEastAsia" w:hint="eastAsia"/>
          <w:szCs w:val="24"/>
        </w:rPr>
        <w:t>《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078430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（1）非因基金管理人和基金托管人的原因导致保密信息被披露、泄露或公开；</w:t>
      </w:r>
    </w:p>
    <w:p w14:paraId="50B17C4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（2）基金管理人和基金托管人为遵守和服从法院判决或裁定、仲裁裁决或中国证监会等监管机构的命令、决定所做出的信息披露或公开。</w:t>
      </w:r>
    </w:p>
    <w:p w14:paraId="43F983F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10.2基金管理人和基金托管人在信息披露中的职责和信息披露程序</w:t>
      </w:r>
    </w:p>
    <w:p w14:paraId="5647675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C54C762" w14:textId="4E604F66"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10.2.2本基金信息披露的文件主要包括基金招募说明书、基金产品资料概要、</w:t>
      </w:r>
      <w:r>
        <w:rPr>
          <w:rFonts w:asciiTheme="minorEastAsia" w:eastAsiaTheme="minorEastAsia" w:hAnsiTheme="minorEastAsia" w:hint="eastAsia"/>
          <w:szCs w:val="24"/>
        </w:rPr>
        <w:lastRenderedPageBreak/>
        <w:t>基金合同、托管协议、基金份额发售公告、基金合同生效公告、基金净值信息、基金份额申购赎回价格、基金定期报告（包括基金年度报告、基金中期报告和基金季度报告）、临时报告、清算报告、澄清公告、基金份额持有人大会决议、</w:t>
      </w:r>
      <w:r w:rsidR="004A3115">
        <w:rPr>
          <w:rFonts w:hint="eastAsia"/>
          <w:bCs/>
        </w:rPr>
        <w:t>投资资产支持证券的信息</w:t>
      </w:r>
      <w:r w:rsidR="00B50F5D">
        <w:rPr>
          <w:rFonts w:hint="eastAsia"/>
          <w:bCs/>
        </w:rPr>
        <w:t>披露、</w:t>
      </w:r>
      <w:r>
        <w:rPr>
          <w:rFonts w:asciiTheme="minorEastAsia" w:eastAsiaTheme="minorEastAsia" w:hAnsiTheme="minorEastAsia" w:hint="eastAsia"/>
          <w:szCs w:val="24"/>
        </w:rPr>
        <w:t>实施</w:t>
      </w:r>
      <w:proofErr w:type="gramStart"/>
      <w:r>
        <w:rPr>
          <w:rFonts w:asciiTheme="minorEastAsia" w:eastAsiaTheme="minorEastAsia" w:hAnsiTheme="minorEastAsia" w:hint="eastAsia"/>
          <w:szCs w:val="24"/>
        </w:rPr>
        <w:t>侧袋机制</w:t>
      </w:r>
      <w:proofErr w:type="gramEnd"/>
      <w:r>
        <w:rPr>
          <w:rFonts w:asciiTheme="minorEastAsia" w:eastAsiaTheme="minorEastAsia" w:hAnsiTheme="minorEastAsia" w:hint="eastAsia"/>
          <w:szCs w:val="24"/>
        </w:rPr>
        <w:t>期间的信息披露以及中国证监会规定的其他信息。</w:t>
      </w:r>
    </w:p>
    <w:p w14:paraId="2B71AC5B" w14:textId="0E860838"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基金托管人应当同时将基金合同、基金托管协议登载在网站上。</w:t>
      </w:r>
    </w:p>
    <w:p w14:paraId="42EDE9E9" w14:textId="5FD2CE8D"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10.2.4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者电子确认。</w:t>
      </w:r>
    </w:p>
    <w:p w14:paraId="3C337B18" w14:textId="240E1C62"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10.2.5基金年度报告中的财务报告部分，</w:t>
      </w:r>
      <w:proofErr w:type="gramStart"/>
      <w:r>
        <w:rPr>
          <w:rFonts w:asciiTheme="minorEastAsia" w:eastAsiaTheme="minorEastAsia" w:hAnsiTheme="minorEastAsia" w:hint="eastAsia"/>
          <w:szCs w:val="24"/>
        </w:rPr>
        <w:t>经符合</w:t>
      </w:r>
      <w:proofErr w:type="gramEnd"/>
      <w:r>
        <w:rPr>
          <w:rFonts w:asciiTheme="minorEastAsia" w:eastAsiaTheme="minorEastAsia" w:hAnsiTheme="minorEastAsia" w:hint="eastAsia"/>
          <w:szCs w:val="24"/>
        </w:rPr>
        <w:t>《中华人民共和国证券法》规定的会计师事务所审计后，方可披露。</w:t>
      </w:r>
    </w:p>
    <w:p w14:paraId="1E060D5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10.2.6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14:paraId="693A1F89" w14:textId="7C67AAD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10.2.7</w:t>
      </w:r>
      <w:r>
        <w:rPr>
          <w:rFonts w:hAnsi="宋体" w:cs="宋体" w:hint="eastAsia"/>
          <w:bCs/>
        </w:rPr>
        <w:t>依法必须披露的信息发布后，基金管理人、基金托管人应当按照相关法律法规规定将信息置备于各自住所，供社会公众查阅、复制。</w:t>
      </w:r>
      <w:r w:rsidR="00AB50FF">
        <w:rPr>
          <w:rFonts w:hAnsi="宋体" w:cs="宋体" w:hint="eastAsia"/>
          <w:bCs/>
        </w:rPr>
        <w:t>投资者</w:t>
      </w:r>
      <w:r>
        <w:rPr>
          <w:rFonts w:asciiTheme="minorEastAsia" w:eastAsiaTheme="minorEastAsia" w:hAnsiTheme="minorEastAsia" w:hint="eastAsia"/>
          <w:szCs w:val="24"/>
        </w:rPr>
        <w:t>在支付工本费后可在合理时间获得上述文件的复制件或复印件。基金管理人和基金托管人应保证文本的内容与所公告的内容完全一致。</w:t>
      </w:r>
    </w:p>
    <w:p w14:paraId="75D8CAA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56" w:name="_Hlk84759946"/>
      <w:r>
        <w:rPr>
          <w:rFonts w:asciiTheme="minorEastAsia" w:eastAsiaTheme="minorEastAsia" w:hAnsiTheme="minorEastAsia" w:hint="eastAsia"/>
          <w:szCs w:val="24"/>
        </w:rPr>
        <w:t>10.3暂停或延迟信息披露的情形</w:t>
      </w:r>
    </w:p>
    <w:p w14:paraId="18E404A6" w14:textId="77777777" w:rsidR="0020132B" w:rsidRDefault="0020132B">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20132B">
        <w:rPr>
          <w:rFonts w:asciiTheme="minorEastAsia" w:eastAsiaTheme="minorEastAsia" w:hAnsiTheme="minorEastAsia" w:hint="eastAsia"/>
          <w:szCs w:val="24"/>
        </w:rPr>
        <w:t>当出现下述情况时，基金管理人和基金托管人可暂停或延迟披露基金信息：</w:t>
      </w:r>
    </w:p>
    <w:p w14:paraId="7E9317F6" w14:textId="122F0565"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（1）基金投资所涉及的证券</w:t>
      </w:r>
      <w:r w:rsidR="0020132B" w:rsidRPr="0020132B">
        <w:rPr>
          <w:rFonts w:asciiTheme="minorEastAsia" w:eastAsiaTheme="minorEastAsia" w:hAnsiTheme="minorEastAsia" w:hint="eastAsia"/>
          <w:szCs w:val="24"/>
        </w:rPr>
        <w:t>交易</w:t>
      </w:r>
      <w:r>
        <w:rPr>
          <w:rFonts w:asciiTheme="minorEastAsia" w:eastAsiaTheme="minorEastAsia" w:hAnsiTheme="minorEastAsia" w:hint="eastAsia"/>
          <w:szCs w:val="24"/>
        </w:rPr>
        <w:t>市场遇法定节假日或因其他原因暂停营业时；</w:t>
      </w:r>
    </w:p>
    <w:p w14:paraId="6C0B396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hAnsi="宋体" w:cs="宋体" w:hint="eastAsia"/>
          <w:bCs/>
        </w:rPr>
        <w:t>因不可抗力致使基金管理人、基金托管人无法准确评估基金资产价值时</w:t>
      </w:r>
      <w:r>
        <w:rPr>
          <w:rFonts w:asciiTheme="minorEastAsia" w:eastAsiaTheme="minorEastAsia" w:hAnsiTheme="minorEastAsia" w:hint="eastAsia"/>
          <w:szCs w:val="24"/>
        </w:rPr>
        <w:t>；</w:t>
      </w:r>
    </w:p>
    <w:p w14:paraId="05A5A971" w14:textId="62EF3665"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hAnsi="宋体" w:cs="宋体"/>
          <w:bCs/>
        </w:rPr>
        <w:t>法律法规规定、中国证监会</w:t>
      </w:r>
      <w:r>
        <w:rPr>
          <w:rFonts w:hAnsi="宋体" w:cs="宋体" w:hint="eastAsia"/>
          <w:bCs/>
        </w:rPr>
        <w:t>或《基金合同》</w:t>
      </w:r>
      <w:r>
        <w:rPr>
          <w:rFonts w:hAnsi="宋体" w:cs="宋体"/>
          <w:bCs/>
        </w:rPr>
        <w:t>认定的</w:t>
      </w:r>
      <w:r>
        <w:rPr>
          <w:rFonts w:hAnsi="宋体" w:cs="宋体" w:hint="eastAsia"/>
          <w:bCs/>
        </w:rPr>
        <w:t>其他</w:t>
      </w:r>
      <w:r>
        <w:rPr>
          <w:rFonts w:hAnsi="宋体" w:cs="宋体"/>
          <w:bCs/>
        </w:rPr>
        <w:t>情形</w:t>
      </w:r>
      <w:r>
        <w:rPr>
          <w:rFonts w:asciiTheme="minorEastAsia" w:eastAsiaTheme="minorEastAsia" w:hAnsiTheme="minorEastAsia" w:hint="eastAsia"/>
          <w:szCs w:val="24"/>
        </w:rPr>
        <w:t>。</w:t>
      </w:r>
    </w:p>
    <w:bookmarkEnd w:id="56"/>
    <w:p w14:paraId="3F620E1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10.4基金托管人报告</w:t>
      </w:r>
    </w:p>
    <w:p w14:paraId="2FC48C5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基金托管人应按《基金法》、《运作办法》、《信息披露办法》和其他有关法律法规的规定于每个上半年度结束后两个月内、每个会计年度结束后三个月</w:t>
      </w:r>
      <w:proofErr w:type="gramStart"/>
      <w:r>
        <w:rPr>
          <w:rFonts w:asciiTheme="minorEastAsia" w:eastAsiaTheme="minorEastAsia" w:hAnsiTheme="minorEastAsia" w:hint="eastAsia"/>
          <w:szCs w:val="24"/>
        </w:rPr>
        <w:t>内在基金</w:t>
      </w:r>
      <w:proofErr w:type="gramEnd"/>
      <w:r>
        <w:rPr>
          <w:rFonts w:asciiTheme="minorEastAsia" w:eastAsiaTheme="minorEastAsia" w:hAnsiTheme="minorEastAsia" w:hint="eastAsia"/>
          <w:szCs w:val="24"/>
        </w:rPr>
        <w:t>中期报告及年度报告中分别出具基金托管人报告，并提交给基金管理人。</w:t>
      </w:r>
    </w:p>
    <w:p w14:paraId="22488740"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57" w:name="_Toc296551347"/>
      <w:bookmarkStart w:id="58" w:name="_Toc116889547"/>
      <w:r>
        <w:rPr>
          <w:rFonts w:asciiTheme="minorEastAsia" w:eastAsiaTheme="minorEastAsia" w:hAnsiTheme="minorEastAsia" w:hint="eastAsia"/>
          <w:bCs/>
          <w:color w:val="auto"/>
          <w:szCs w:val="24"/>
        </w:rPr>
        <w:t>第十一条 基金费用</w:t>
      </w:r>
      <w:bookmarkEnd w:id="57"/>
      <w:bookmarkEnd w:id="58"/>
    </w:p>
    <w:p w14:paraId="53796B1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59" w:name="_Hlk84760163"/>
      <w:bookmarkStart w:id="60" w:name="_Hlk84760053"/>
      <w:r>
        <w:rPr>
          <w:rFonts w:asciiTheme="minorEastAsia" w:eastAsiaTheme="minorEastAsia" w:hAnsiTheme="minorEastAsia" w:hint="eastAsia"/>
          <w:szCs w:val="24"/>
        </w:rPr>
        <w:t>11.1基金管理费的计提比例和计提方法</w:t>
      </w:r>
    </w:p>
    <w:p w14:paraId="740DCD62" w14:textId="533B6C79"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本基金的管理费按前一日基金资产净值的</w:t>
      </w:r>
      <w:r>
        <w:rPr>
          <w:rFonts w:asciiTheme="minorEastAsia" w:eastAsiaTheme="minorEastAsia" w:hAnsiTheme="minorEastAsia"/>
          <w:szCs w:val="24"/>
        </w:rPr>
        <w:t>0.</w:t>
      </w:r>
      <w:r w:rsidR="00FD5EC2">
        <w:rPr>
          <w:rFonts w:asciiTheme="minorEastAsia" w:eastAsiaTheme="minorEastAsia" w:hAnsiTheme="minorEastAsia"/>
          <w:szCs w:val="24"/>
        </w:rPr>
        <w:t>20</w:t>
      </w:r>
      <w:r>
        <w:rPr>
          <w:rFonts w:asciiTheme="minorEastAsia" w:eastAsiaTheme="minorEastAsia" w:hAnsiTheme="minorEastAsia" w:hint="eastAsia"/>
          <w:szCs w:val="24"/>
        </w:rPr>
        <w:t>%年费率计提。管理费的计算方法如下：</w:t>
      </w:r>
    </w:p>
    <w:p w14:paraId="508D10C0" w14:textId="29BD31BB"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H＝E×</w:t>
      </w:r>
      <w:r>
        <w:rPr>
          <w:rFonts w:asciiTheme="minorEastAsia" w:eastAsiaTheme="minorEastAsia" w:hAnsiTheme="minorEastAsia"/>
          <w:szCs w:val="24"/>
        </w:rPr>
        <w:t>0.</w:t>
      </w:r>
      <w:r w:rsidR="00FD5EC2">
        <w:rPr>
          <w:rFonts w:asciiTheme="minorEastAsia" w:eastAsiaTheme="minorEastAsia" w:hAnsiTheme="minorEastAsia"/>
          <w:szCs w:val="24"/>
        </w:rPr>
        <w:t>20</w:t>
      </w:r>
      <w:r>
        <w:rPr>
          <w:rFonts w:asciiTheme="minorEastAsia" w:eastAsiaTheme="minorEastAsia" w:hAnsiTheme="minorEastAsia" w:hint="eastAsia"/>
          <w:szCs w:val="24"/>
        </w:rPr>
        <w:t>%÷当年天数</w:t>
      </w:r>
    </w:p>
    <w:p w14:paraId="4EC8822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H为每日应计提的基金管理费</w:t>
      </w:r>
    </w:p>
    <w:p w14:paraId="7D36A57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E为前一日的基金资产净值</w:t>
      </w:r>
    </w:p>
    <w:p w14:paraId="34763A51" w14:textId="0E4EF95E"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基金管理费每日</w:t>
      </w:r>
      <w:r w:rsidR="0020132B" w:rsidRPr="0020132B">
        <w:rPr>
          <w:rFonts w:asciiTheme="minorEastAsia" w:eastAsiaTheme="minorEastAsia" w:hAnsiTheme="minorEastAsia" w:hint="eastAsia"/>
          <w:szCs w:val="24"/>
        </w:rPr>
        <w:t>计提</w:t>
      </w:r>
      <w:r>
        <w:rPr>
          <w:rFonts w:asciiTheme="minorEastAsia" w:eastAsiaTheme="minorEastAsia" w:hAnsiTheme="minorEastAsia" w:hint="eastAsia"/>
          <w:szCs w:val="24"/>
        </w:rPr>
        <w:t>，逐日累计至每月月末，按月支付。</w:t>
      </w:r>
      <w:r w:rsidR="00AB50FF">
        <w:rPr>
          <w:rFonts w:hint="eastAsia"/>
          <w:bCs/>
        </w:rPr>
        <w:t>由基金管理人于次月前</w:t>
      </w:r>
      <w:r w:rsidR="00AB50FF">
        <w:rPr>
          <w:bCs/>
        </w:rPr>
        <w:t>5</w:t>
      </w:r>
      <w:r w:rsidR="00AB50FF">
        <w:rPr>
          <w:rFonts w:hint="eastAsia"/>
          <w:bCs/>
        </w:rPr>
        <w:t>个工作日内向基金托管人发送基金管理费划款指令，基金托管人复核后从基金财产中一次性支付给基金管理人</w:t>
      </w:r>
      <w:r>
        <w:rPr>
          <w:rFonts w:asciiTheme="minorEastAsia" w:eastAsiaTheme="minorEastAsia" w:hAnsiTheme="minorEastAsia" w:hint="eastAsia"/>
          <w:szCs w:val="24"/>
        </w:rPr>
        <w:t>。若遇法定节假日、公休日</w:t>
      </w:r>
      <w:r w:rsidR="00AB50FF">
        <w:rPr>
          <w:rFonts w:asciiTheme="minorEastAsia" w:eastAsiaTheme="minorEastAsia" w:hAnsiTheme="minorEastAsia" w:hint="eastAsia"/>
          <w:szCs w:val="24"/>
        </w:rPr>
        <w:t>或不可抗力</w:t>
      </w:r>
      <w:r>
        <w:rPr>
          <w:rFonts w:asciiTheme="minorEastAsia" w:eastAsiaTheme="minorEastAsia" w:hAnsiTheme="minorEastAsia" w:hint="eastAsia"/>
          <w:szCs w:val="24"/>
        </w:rPr>
        <w:t>等，支付日期顺延。</w:t>
      </w:r>
    </w:p>
    <w:p w14:paraId="36A813E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11.2基金托管费的计提比例和计提方法</w:t>
      </w:r>
    </w:p>
    <w:p w14:paraId="6910AD5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本基金的托管费按前一日基金资产净值的0</w:t>
      </w:r>
      <w:r>
        <w:rPr>
          <w:rFonts w:asciiTheme="minorEastAsia" w:eastAsiaTheme="minorEastAsia" w:hAnsiTheme="minorEastAsia"/>
          <w:szCs w:val="24"/>
        </w:rPr>
        <w:t>.05</w:t>
      </w:r>
      <w:r>
        <w:rPr>
          <w:rFonts w:asciiTheme="minorEastAsia" w:eastAsiaTheme="minorEastAsia" w:hAnsiTheme="minorEastAsia" w:hint="eastAsia"/>
          <w:szCs w:val="24"/>
        </w:rPr>
        <w:t>%的年费率计提。托管费的计算方法如下：</w:t>
      </w:r>
    </w:p>
    <w:p w14:paraId="3FD7627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H＝E×0</w:t>
      </w:r>
      <w:r>
        <w:rPr>
          <w:rFonts w:asciiTheme="minorEastAsia" w:eastAsiaTheme="minorEastAsia" w:hAnsiTheme="minorEastAsia"/>
          <w:szCs w:val="24"/>
        </w:rPr>
        <w:t>.05</w:t>
      </w:r>
      <w:r>
        <w:rPr>
          <w:rFonts w:asciiTheme="minorEastAsia" w:eastAsiaTheme="minorEastAsia" w:hAnsiTheme="minorEastAsia" w:hint="eastAsia"/>
          <w:szCs w:val="24"/>
        </w:rPr>
        <w:t>%÷当年天数</w:t>
      </w:r>
    </w:p>
    <w:p w14:paraId="44EA148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H为每日应计提的基金托管费</w:t>
      </w:r>
    </w:p>
    <w:p w14:paraId="63214A1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E为前一日的基金资产净值</w:t>
      </w:r>
    </w:p>
    <w:p w14:paraId="0F243B29" w14:textId="0709586A"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基金托管费每日</w:t>
      </w:r>
      <w:r w:rsidR="0020132B" w:rsidRPr="0020132B">
        <w:rPr>
          <w:rFonts w:asciiTheme="minorEastAsia" w:eastAsiaTheme="minorEastAsia" w:hAnsiTheme="minorEastAsia" w:hint="eastAsia"/>
          <w:szCs w:val="24"/>
        </w:rPr>
        <w:t>计提</w:t>
      </w:r>
      <w:r>
        <w:rPr>
          <w:rFonts w:asciiTheme="minorEastAsia" w:eastAsiaTheme="minorEastAsia" w:hAnsiTheme="minorEastAsia" w:hint="eastAsia"/>
          <w:szCs w:val="24"/>
        </w:rPr>
        <w:t>，逐日累计至每月月末，按月支付。</w:t>
      </w:r>
      <w:r w:rsidR="00AB50FF">
        <w:rPr>
          <w:rFonts w:hint="eastAsia"/>
          <w:bCs/>
        </w:rPr>
        <w:t>由基金管理人</w:t>
      </w:r>
      <w:bookmarkStart w:id="61" w:name="_Hlk36050285"/>
      <w:r w:rsidR="00AB50FF">
        <w:rPr>
          <w:rFonts w:hint="eastAsia"/>
          <w:bCs/>
        </w:rPr>
        <w:t>于次月前</w:t>
      </w:r>
      <w:r w:rsidR="00AB50FF">
        <w:rPr>
          <w:bCs/>
        </w:rPr>
        <w:t>5</w:t>
      </w:r>
      <w:r w:rsidR="00AB50FF">
        <w:rPr>
          <w:rFonts w:hint="eastAsia"/>
          <w:bCs/>
        </w:rPr>
        <w:t>个工作日内向基金托管人发送基金托管费划款指令</w:t>
      </w:r>
      <w:bookmarkEnd w:id="61"/>
      <w:r w:rsidR="00AB50FF">
        <w:rPr>
          <w:rFonts w:hint="eastAsia"/>
          <w:bCs/>
        </w:rPr>
        <w:t>，基金托管人复核后从基金财产中一次性支取。</w:t>
      </w:r>
      <w:r>
        <w:rPr>
          <w:rFonts w:asciiTheme="minorEastAsia" w:eastAsiaTheme="minorEastAsia" w:hAnsiTheme="minorEastAsia" w:hint="eastAsia"/>
          <w:szCs w:val="24"/>
        </w:rPr>
        <w:t>若遇法定节假日、公休日</w:t>
      </w:r>
      <w:r w:rsidR="00AB50FF">
        <w:rPr>
          <w:rFonts w:asciiTheme="minorEastAsia" w:eastAsiaTheme="minorEastAsia" w:hAnsiTheme="minorEastAsia" w:hint="eastAsia"/>
          <w:szCs w:val="24"/>
        </w:rPr>
        <w:t>或不可抗力</w:t>
      </w:r>
      <w:r>
        <w:rPr>
          <w:rFonts w:asciiTheme="minorEastAsia" w:eastAsiaTheme="minorEastAsia" w:hAnsiTheme="minorEastAsia" w:hint="eastAsia"/>
          <w:szCs w:val="24"/>
        </w:rPr>
        <w:t>等，支付日期顺延。</w:t>
      </w:r>
    </w:p>
    <w:p w14:paraId="7BFE4F76" w14:textId="77777777" w:rsidR="005F421B" w:rsidRDefault="007641D4" w:rsidP="007B1DC4">
      <w:pPr>
        <w:pStyle w:val="21"/>
        <w:adjustRightInd w:val="0"/>
        <w:snapToGrid w:val="0"/>
        <w:spacing w:before="100" w:beforeAutospacing="1" w:after="100" w:afterAutospacing="1"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11.3</w:t>
      </w:r>
      <w:r w:rsidR="00FD5EC2" w:rsidRPr="00FD5EC2">
        <w:rPr>
          <w:rFonts w:asciiTheme="minorEastAsia" w:eastAsiaTheme="minorEastAsia" w:hAnsiTheme="minorEastAsia" w:hint="eastAsia"/>
          <w:szCs w:val="24"/>
        </w:rPr>
        <w:t>基金销售服务费</w:t>
      </w:r>
    </w:p>
    <w:p w14:paraId="663B4B37" w14:textId="77777777" w:rsidR="005F421B" w:rsidRDefault="00FD5EC2"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FD5EC2">
        <w:rPr>
          <w:rFonts w:asciiTheme="minorEastAsia" w:eastAsiaTheme="minorEastAsia" w:hAnsiTheme="minorEastAsia" w:hint="eastAsia"/>
          <w:szCs w:val="24"/>
        </w:rPr>
        <w:t>本基金的销售服务费按前一日基金资产净值的0.20%年费率计提。计算方法如下：</w:t>
      </w:r>
    </w:p>
    <w:p w14:paraId="0BC165CF" w14:textId="77777777" w:rsidR="005F421B" w:rsidRDefault="00FD5EC2"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FD5EC2">
        <w:rPr>
          <w:rFonts w:asciiTheme="minorEastAsia" w:eastAsiaTheme="minorEastAsia" w:hAnsiTheme="minorEastAsia" w:hint="eastAsia"/>
          <w:szCs w:val="24"/>
        </w:rPr>
        <w:t>H＝E×0.20%÷当年天数</w:t>
      </w:r>
    </w:p>
    <w:p w14:paraId="156B6E19" w14:textId="77777777" w:rsidR="005F421B" w:rsidRDefault="00FD5EC2"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FD5EC2">
        <w:rPr>
          <w:rFonts w:asciiTheme="minorEastAsia" w:eastAsiaTheme="minorEastAsia" w:hAnsiTheme="minorEastAsia" w:hint="eastAsia"/>
          <w:szCs w:val="24"/>
        </w:rPr>
        <w:lastRenderedPageBreak/>
        <w:t>H为每日应计提的基金销售服务费</w:t>
      </w:r>
    </w:p>
    <w:p w14:paraId="038F41A6" w14:textId="008D5E9B" w:rsidR="005F421B" w:rsidRDefault="00FD5EC2" w:rsidP="007B1DC4">
      <w:pPr>
        <w:pStyle w:val="21"/>
        <w:adjustRightInd w:val="0"/>
        <w:snapToGrid w:val="0"/>
        <w:spacing w:before="0" w:after="0" w:line="360" w:lineRule="auto"/>
        <w:ind w:left="0" w:firstLineChars="200" w:firstLine="480"/>
        <w:rPr>
          <w:rFonts w:asciiTheme="minorEastAsia" w:eastAsiaTheme="minorEastAsia" w:hAnsiTheme="minorEastAsia"/>
          <w:szCs w:val="24"/>
        </w:rPr>
      </w:pPr>
      <w:r w:rsidRPr="00FD5EC2">
        <w:rPr>
          <w:rFonts w:asciiTheme="minorEastAsia" w:eastAsiaTheme="minorEastAsia" w:hAnsiTheme="minorEastAsia" w:hint="eastAsia"/>
          <w:szCs w:val="24"/>
        </w:rPr>
        <w:t>E为前一日基金资产净值</w:t>
      </w:r>
    </w:p>
    <w:p w14:paraId="29D63341" w14:textId="77777777" w:rsidR="00204A30" w:rsidRDefault="0020132B" w:rsidP="009F47ED">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20132B">
        <w:rPr>
          <w:rFonts w:asciiTheme="minorEastAsia" w:eastAsiaTheme="minorEastAsia" w:hAnsiTheme="minorEastAsia" w:hint="eastAsia"/>
          <w:szCs w:val="24"/>
        </w:rPr>
        <w:t>基金销售服务费每日计提，逐日累计至每个月月末，按月支付。由基金管理人于次月前5个工作日内向基金托管人发送基金销售服务费划款指令，基金托管人复核后从基金财产中一次性支付给登记机构，由登记机构代付给销售机构。若遇法定节假日、公休日或不可抗力等，支付日期顺延。</w:t>
      </w:r>
      <w:bookmarkEnd w:id="59"/>
      <w:bookmarkEnd w:id="60"/>
    </w:p>
    <w:p w14:paraId="19791610" w14:textId="1B35FA9E"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11.4基金相关的账户开户费用和账户维护费用、证券交易费用、基金合同生效后与基金相关的信息披露费用，但法律法规、中国证监会另有规定的除外、基金份额持有人大会费用、基金合同生效后与基金相关的会计师费、律师费</w:t>
      </w:r>
      <w:r>
        <w:rPr>
          <w:rFonts w:asciiTheme="minorEastAsia" w:eastAsiaTheme="minorEastAsia" w:hAnsiTheme="minorEastAsia" w:hint="eastAsia"/>
          <w:bCs/>
          <w:szCs w:val="24"/>
        </w:rPr>
        <w:t>、仲裁费和诉讼费、基金的银行划款费用</w:t>
      </w:r>
      <w:r>
        <w:rPr>
          <w:rFonts w:asciiTheme="minorEastAsia" w:eastAsiaTheme="minorEastAsia" w:hAnsiTheme="minorEastAsia" w:hint="eastAsia"/>
          <w:szCs w:val="24"/>
        </w:rPr>
        <w:t>等根据有关法律法规、基金合同及相应协议的规定</w:t>
      </w:r>
      <w:r w:rsidR="00F043E7">
        <w:rPr>
          <w:rFonts w:hint="eastAsia"/>
          <w:bCs/>
        </w:rPr>
        <w:t>可以在基金财产中列支的其他费用，</w:t>
      </w:r>
      <w:r>
        <w:rPr>
          <w:rFonts w:asciiTheme="minorEastAsia" w:eastAsiaTheme="minorEastAsia" w:hAnsiTheme="minorEastAsia" w:hint="eastAsia"/>
          <w:szCs w:val="24"/>
        </w:rPr>
        <w:t>由基金托管人按基金管理人的划款指令并根据费用实际支出金额支付，列入或摊入当期基金费用。</w:t>
      </w:r>
    </w:p>
    <w:p w14:paraId="5550284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11.5不列入基金费用的项目</w:t>
      </w:r>
    </w:p>
    <w:p w14:paraId="7F26C63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基金管理人与基金托管人因未履行或未完全履行义务导致的费用支出或基金财产的损失，以及处理与基金运作无关的事项发生的费用等不列入基金费用。基金合同生效前</w:t>
      </w:r>
      <w:r>
        <w:rPr>
          <w:rFonts w:hAnsi="宋体" w:cs="宋体"/>
          <w:bCs/>
        </w:rPr>
        <w:t>的相关</w:t>
      </w:r>
      <w:r>
        <w:rPr>
          <w:rFonts w:asciiTheme="minorEastAsia" w:eastAsiaTheme="minorEastAsia" w:hAnsiTheme="minorEastAsia" w:hint="eastAsia"/>
          <w:szCs w:val="24"/>
        </w:rPr>
        <w:t>费用</w:t>
      </w:r>
      <w:r w:rsidR="00F043E7">
        <w:rPr>
          <w:rFonts w:asciiTheme="minorEastAsia" w:eastAsiaTheme="minorEastAsia" w:hAnsiTheme="minorEastAsia" w:hint="eastAsia"/>
          <w:szCs w:val="24"/>
        </w:rPr>
        <w:t>、指数许可使用费</w:t>
      </w:r>
      <w:r>
        <w:rPr>
          <w:rFonts w:asciiTheme="minorEastAsia" w:eastAsiaTheme="minorEastAsia" w:hAnsiTheme="minorEastAsia" w:hint="eastAsia"/>
          <w:szCs w:val="24"/>
        </w:rPr>
        <w:t>不从基金财产中支付。其他根据相关法律法规及中国证监会的有关规定不得列入基金费用的项目也不列入基金费用。</w:t>
      </w:r>
    </w:p>
    <w:p w14:paraId="0D8E5D2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11.6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9989E13"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62" w:name="_Toc296551348"/>
      <w:bookmarkStart w:id="63" w:name="_Toc116889548"/>
      <w:r>
        <w:rPr>
          <w:rFonts w:asciiTheme="minorEastAsia" w:eastAsiaTheme="minorEastAsia" w:hAnsiTheme="minorEastAsia" w:hint="eastAsia"/>
          <w:bCs/>
          <w:color w:val="auto"/>
          <w:szCs w:val="24"/>
        </w:rPr>
        <w:t>第十二条 基金份额持有人名册的保管</w:t>
      </w:r>
      <w:bookmarkEnd w:id="62"/>
      <w:bookmarkEnd w:id="63"/>
    </w:p>
    <w:p w14:paraId="5EF510D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12.1基金管理人和基金托管人须分别妥善保管基金份额持有人名册，基金份额持有人名册的内容必须包括基金份额持有人的名称和持有的基金份额。</w:t>
      </w:r>
    </w:p>
    <w:p w14:paraId="7A95304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Pr>
          <w:rFonts w:hAnsi="宋体" w:cs="宋体" w:hint="eastAsia"/>
          <w:bCs/>
        </w:rPr>
        <w:t>不低于法律法规规定的最低期限</w:t>
      </w:r>
      <w:r>
        <w:rPr>
          <w:rFonts w:asciiTheme="minorEastAsia" w:eastAsiaTheme="minorEastAsia" w:hAnsiTheme="minorEastAsia" w:hint="eastAsia"/>
          <w:szCs w:val="24"/>
        </w:rPr>
        <w:t>。</w:t>
      </w:r>
    </w:p>
    <w:p w14:paraId="4869D18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12.3</w:t>
      </w:r>
      <w:proofErr w:type="gramStart"/>
      <w:r>
        <w:rPr>
          <w:rFonts w:asciiTheme="minorEastAsia" w:eastAsiaTheme="minorEastAsia" w:hAnsiTheme="minorEastAsia" w:hint="eastAsia"/>
          <w:szCs w:val="24"/>
        </w:rPr>
        <w:t>若基金</w:t>
      </w:r>
      <w:proofErr w:type="gramEnd"/>
      <w:r>
        <w:rPr>
          <w:rFonts w:asciiTheme="minorEastAsia" w:eastAsiaTheme="minorEastAsia" w:hAnsiTheme="minorEastAsia" w:hint="eastAsia"/>
          <w:szCs w:val="24"/>
        </w:rPr>
        <w:t>管理人或基金托管人由于自身原因无法妥善保管基金份额持有人</w:t>
      </w:r>
      <w:r>
        <w:rPr>
          <w:rFonts w:asciiTheme="minorEastAsia" w:eastAsiaTheme="minorEastAsia" w:hAnsiTheme="minorEastAsia" w:hint="eastAsia"/>
          <w:szCs w:val="24"/>
        </w:rPr>
        <w:lastRenderedPageBreak/>
        <w:t>名册，应按有关法规规定各自承担相应的责任。</w:t>
      </w:r>
    </w:p>
    <w:p w14:paraId="1E984206"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64" w:name="_Toc296551349"/>
      <w:bookmarkStart w:id="65" w:name="_Toc116889549"/>
      <w:r>
        <w:rPr>
          <w:rFonts w:asciiTheme="minorEastAsia" w:eastAsiaTheme="minorEastAsia" w:hAnsiTheme="minorEastAsia" w:hint="eastAsia"/>
          <w:bCs/>
          <w:color w:val="auto"/>
          <w:szCs w:val="24"/>
        </w:rPr>
        <w:t>第十三条 基金有关文件和档案的保存</w:t>
      </w:r>
      <w:bookmarkEnd w:id="64"/>
      <w:bookmarkEnd w:id="65"/>
    </w:p>
    <w:p w14:paraId="52299E1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13.1基金管理人、基金托管人按各自职责完整保存原始凭证、记账凭证、基金账册、交易记录和重要合同等，保存期限</w:t>
      </w:r>
      <w:r>
        <w:rPr>
          <w:rFonts w:hAnsi="宋体" w:cs="宋体" w:hint="eastAsia"/>
          <w:bCs/>
        </w:rPr>
        <w:t>不低于法律法规规定的最低期限</w:t>
      </w:r>
      <w:r>
        <w:rPr>
          <w:rFonts w:asciiTheme="minorEastAsia" w:eastAsiaTheme="minorEastAsia" w:hAnsiTheme="minorEastAsia" w:hint="eastAsia"/>
          <w:szCs w:val="24"/>
        </w:rPr>
        <w:t>，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14:paraId="21A1F3B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13.2基金管理人签署重大合同文本后，应及时将合同文本正本送达基金托管人处。基金管理人应及时将与本基金账务处理、资金划拨等有关的合同、协议传真给基金托管人。</w:t>
      </w:r>
    </w:p>
    <w:p w14:paraId="5D10029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13.3基金管理人或基金托管人变更后，未变更的一方有义务协助接任人接受基金的有关文件。</w:t>
      </w:r>
    </w:p>
    <w:p w14:paraId="4A3FEA11"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66" w:name="_Toc296551350"/>
      <w:bookmarkStart w:id="67" w:name="_Toc116889550"/>
      <w:bookmarkStart w:id="68" w:name="_Hlk84760344"/>
      <w:r>
        <w:rPr>
          <w:rFonts w:asciiTheme="minorEastAsia" w:eastAsiaTheme="minorEastAsia" w:hAnsiTheme="minorEastAsia" w:hint="eastAsia"/>
          <w:bCs/>
          <w:color w:val="auto"/>
          <w:szCs w:val="24"/>
        </w:rPr>
        <w:t>第十四条 基金管理人和基金托管人的更换</w:t>
      </w:r>
      <w:bookmarkEnd w:id="66"/>
      <w:bookmarkEnd w:id="67"/>
    </w:p>
    <w:p w14:paraId="1103632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69" w:name="_Hlk84760205"/>
      <w:r>
        <w:rPr>
          <w:rFonts w:asciiTheme="minorEastAsia" w:eastAsiaTheme="minorEastAsia" w:hAnsiTheme="minorEastAsia" w:hint="eastAsia"/>
          <w:szCs w:val="24"/>
        </w:rPr>
        <w:t>14.1基金管理人的更换</w:t>
      </w:r>
    </w:p>
    <w:p w14:paraId="49FF5B8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14.1.1基金管理人的更换条件</w:t>
      </w:r>
    </w:p>
    <w:p w14:paraId="6467491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有下列情形之一的，基金管理人职责终止：</w:t>
      </w:r>
    </w:p>
    <w:p w14:paraId="696D067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（1）基金管理人被依法取消基金管理资格；</w:t>
      </w:r>
    </w:p>
    <w:p w14:paraId="169F26F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（2）基金管理人依法解散、被依法撤销或者被依法宣告破产；</w:t>
      </w:r>
    </w:p>
    <w:p w14:paraId="72A733C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（3）基金管理人被基金份额持有人大会解任；</w:t>
      </w:r>
    </w:p>
    <w:p w14:paraId="137AA69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（4）法律法规</w:t>
      </w:r>
      <w:r>
        <w:rPr>
          <w:rFonts w:asciiTheme="minorEastAsia" w:eastAsiaTheme="minorEastAsia" w:hAnsiTheme="minorEastAsia" w:hint="eastAsia"/>
          <w:bCs/>
          <w:szCs w:val="24"/>
        </w:rPr>
        <w:t>及中国证监会规定的</w:t>
      </w:r>
      <w:r>
        <w:rPr>
          <w:rFonts w:asciiTheme="minorEastAsia" w:eastAsiaTheme="minorEastAsia" w:hAnsiTheme="minorEastAsia" w:hint="eastAsia"/>
          <w:szCs w:val="24"/>
        </w:rPr>
        <w:t>和基金合同约定的其他情形。</w:t>
      </w:r>
    </w:p>
    <w:p w14:paraId="635609B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14.1.2基金管理人的更换程序</w:t>
      </w:r>
    </w:p>
    <w:p w14:paraId="76C0361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更换基金管理人必须依照如下程序进行：</w:t>
      </w:r>
    </w:p>
    <w:p w14:paraId="46E793BA" w14:textId="77777777" w:rsidR="007976C5" w:rsidRPr="00696C5C" w:rsidRDefault="007976C5" w:rsidP="007976C5">
      <w:pPr>
        <w:spacing w:line="360" w:lineRule="auto"/>
        <w:ind w:firstLineChars="200" w:firstLine="480"/>
        <w:rPr>
          <w:rFonts w:asciiTheme="minorEastAsia" w:eastAsiaTheme="minorEastAsia" w:hAnsiTheme="minorEastAsia"/>
          <w:sz w:val="24"/>
          <w:szCs w:val="24"/>
        </w:rPr>
      </w:pPr>
      <w:bookmarkStart w:id="70" w:name="_Hlk14784909"/>
      <w:r w:rsidRPr="00696C5C">
        <w:rPr>
          <w:rFonts w:asciiTheme="minorEastAsia" w:eastAsiaTheme="minorEastAsia" w:hAnsiTheme="minorEastAsia" w:hint="eastAsia"/>
          <w:sz w:val="24"/>
          <w:szCs w:val="24"/>
        </w:rPr>
        <w:t>（</w:t>
      </w:r>
      <w:r w:rsidRPr="00696C5C">
        <w:rPr>
          <w:rFonts w:asciiTheme="minorEastAsia" w:eastAsiaTheme="minorEastAsia" w:hAnsiTheme="minorEastAsia"/>
          <w:sz w:val="24"/>
          <w:szCs w:val="24"/>
        </w:rPr>
        <w:t>1</w:t>
      </w:r>
      <w:r w:rsidRPr="00696C5C">
        <w:rPr>
          <w:rFonts w:asciiTheme="minorEastAsia" w:eastAsiaTheme="minorEastAsia" w:hAnsiTheme="minorEastAsia" w:hint="eastAsia"/>
          <w:sz w:val="24"/>
          <w:szCs w:val="24"/>
        </w:rPr>
        <w:t>）提名：</w:t>
      </w:r>
      <w:proofErr w:type="gramStart"/>
      <w:r w:rsidRPr="00696C5C">
        <w:rPr>
          <w:rFonts w:asciiTheme="minorEastAsia" w:eastAsiaTheme="minorEastAsia" w:hAnsiTheme="minorEastAsia" w:hint="eastAsia"/>
          <w:sz w:val="24"/>
          <w:szCs w:val="24"/>
        </w:rPr>
        <w:t>新任基金</w:t>
      </w:r>
      <w:proofErr w:type="gramEnd"/>
      <w:r w:rsidRPr="00696C5C">
        <w:rPr>
          <w:rFonts w:asciiTheme="minorEastAsia" w:eastAsiaTheme="minorEastAsia" w:hAnsiTheme="minorEastAsia" w:hint="eastAsia"/>
          <w:sz w:val="24"/>
          <w:szCs w:val="24"/>
        </w:rPr>
        <w:t>管理人由基金托管人或由单独或合计持有</w:t>
      </w:r>
      <w:r w:rsidRPr="00696C5C">
        <w:rPr>
          <w:rFonts w:asciiTheme="minorEastAsia" w:eastAsiaTheme="minorEastAsia" w:hAnsiTheme="minorEastAsia"/>
          <w:sz w:val="24"/>
          <w:szCs w:val="24"/>
        </w:rPr>
        <w:t>10%</w:t>
      </w:r>
      <w:r w:rsidRPr="00696C5C">
        <w:rPr>
          <w:rFonts w:asciiTheme="minorEastAsia" w:eastAsiaTheme="minorEastAsia" w:hAnsiTheme="minorEastAsia" w:hint="eastAsia"/>
          <w:sz w:val="24"/>
          <w:szCs w:val="24"/>
        </w:rPr>
        <w:t>以上（含</w:t>
      </w:r>
      <w:r w:rsidRPr="00696C5C">
        <w:rPr>
          <w:rFonts w:asciiTheme="minorEastAsia" w:eastAsiaTheme="minorEastAsia" w:hAnsiTheme="minorEastAsia"/>
          <w:sz w:val="24"/>
          <w:szCs w:val="24"/>
        </w:rPr>
        <w:t>10%</w:t>
      </w:r>
      <w:r w:rsidRPr="00696C5C">
        <w:rPr>
          <w:rFonts w:asciiTheme="minorEastAsia" w:eastAsiaTheme="minorEastAsia" w:hAnsiTheme="minorEastAsia" w:hint="eastAsia"/>
          <w:sz w:val="24"/>
          <w:szCs w:val="24"/>
        </w:rPr>
        <w:t>）基金份额的基金份额持有人提名；</w:t>
      </w:r>
    </w:p>
    <w:bookmarkEnd w:id="70"/>
    <w:p w14:paraId="3D1B2727" w14:textId="77777777" w:rsidR="007976C5" w:rsidRPr="00696C5C" w:rsidRDefault="007976C5" w:rsidP="007976C5">
      <w:pPr>
        <w:spacing w:line="360" w:lineRule="auto"/>
        <w:ind w:firstLineChars="200" w:firstLine="480"/>
        <w:rPr>
          <w:rFonts w:asciiTheme="minorEastAsia" w:eastAsiaTheme="minorEastAsia" w:hAnsiTheme="minorEastAsia"/>
          <w:sz w:val="24"/>
          <w:szCs w:val="24"/>
        </w:rPr>
      </w:pPr>
      <w:r w:rsidRPr="00696C5C">
        <w:rPr>
          <w:rFonts w:asciiTheme="minorEastAsia" w:eastAsiaTheme="minorEastAsia" w:hAnsiTheme="minorEastAsia" w:hint="eastAsia"/>
          <w:sz w:val="24"/>
          <w:szCs w:val="24"/>
        </w:rPr>
        <w:t>（</w:t>
      </w:r>
      <w:r w:rsidRPr="00696C5C">
        <w:rPr>
          <w:rFonts w:asciiTheme="minorEastAsia" w:eastAsiaTheme="minorEastAsia" w:hAnsiTheme="minorEastAsia"/>
          <w:sz w:val="24"/>
          <w:szCs w:val="24"/>
        </w:rPr>
        <w:t>2</w:t>
      </w:r>
      <w:r w:rsidRPr="00696C5C">
        <w:rPr>
          <w:rFonts w:asciiTheme="minorEastAsia" w:eastAsiaTheme="minorEastAsia" w:hAnsiTheme="minorEastAsia" w:hint="eastAsia"/>
          <w:sz w:val="24"/>
          <w:szCs w:val="24"/>
        </w:rPr>
        <w:t>）决议：基金份额持有人大会在基金管理人职责终止后</w:t>
      </w:r>
      <w:r w:rsidRPr="00696C5C">
        <w:rPr>
          <w:rFonts w:asciiTheme="minorEastAsia" w:eastAsiaTheme="minorEastAsia" w:hAnsiTheme="minorEastAsia"/>
          <w:sz w:val="24"/>
          <w:szCs w:val="24"/>
        </w:rPr>
        <w:t>6</w:t>
      </w:r>
      <w:r w:rsidRPr="00696C5C">
        <w:rPr>
          <w:rFonts w:asciiTheme="minorEastAsia" w:eastAsiaTheme="minorEastAsia" w:hAnsiTheme="minorEastAsia" w:hint="eastAsia"/>
          <w:sz w:val="24"/>
          <w:szCs w:val="24"/>
        </w:rPr>
        <w:t>个月内对被提名的基金管理人形成决议，该决议需经参加大会的基金份额持有人所持表决权的三分之二以上（含三分之二）表决通过，决议自表决通过之日起生效；</w:t>
      </w:r>
    </w:p>
    <w:p w14:paraId="55B9E22D" w14:textId="77777777" w:rsidR="007976C5" w:rsidRPr="00696C5C" w:rsidRDefault="007976C5" w:rsidP="007976C5">
      <w:pPr>
        <w:spacing w:line="360" w:lineRule="auto"/>
        <w:ind w:firstLineChars="200" w:firstLine="480"/>
        <w:rPr>
          <w:rFonts w:asciiTheme="minorEastAsia" w:eastAsiaTheme="minorEastAsia" w:hAnsiTheme="minorEastAsia"/>
          <w:sz w:val="24"/>
          <w:szCs w:val="24"/>
        </w:rPr>
      </w:pPr>
      <w:bookmarkStart w:id="71" w:name="_Hlk14784941"/>
      <w:bookmarkStart w:id="72" w:name="_Hlk14784965"/>
      <w:r w:rsidRPr="00696C5C">
        <w:rPr>
          <w:rFonts w:asciiTheme="minorEastAsia" w:eastAsiaTheme="minorEastAsia" w:hAnsiTheme="minorEastAsia" w:hint="eastAsia"/>
          <w:sz w:val="24"/>
          <w:szCs w:val="24"/>
        </w:rPr>
        <w:t>（</w:t>
      </w:r>
      <w:r w:rsidRPr="00696C5C">
        <w:rPr>
          <w:rFonts w:asciiTheme="minorEastAsia" w:eastAsiaTheme="minorEastAsia" w:hAnsiTheme="minorEastAsia"/>
          <w:sz w:val="24"/>
          <w:szCs w:val="24"/>
        </w:rPr>
        <w:t>3</w:t>
      </w:r>
      <w:r w:rsidRPr="00696C5C">
        <w:rPr>
          <w:rFonts w:asciiTheme="minorEastAsia" w:eastAsiaTheme="minorEastAsia" w:hAnsiTheme="minorEastAsia" w:hint="eastAsia"/>
          <w:sz w:val="24"/>
          <w:szCs w:val="24"/>
        </w:rPr>
        <w:t>）临时基金管理人：</w:t>
      </w:r>
      <w:proofErr w:type="gramStart"/>
      <w:r w:rsidRPr="00696C5C">
        <w:rPr>
          <w:rFonts w:asciiTheme="minorEastAsia" w:eastAsiaTheme="minorEastAsia" w:hAnsiTheme="minorEastAsia" w:hint="eastAsia"/>
          <w:sz w:val="24"/>
          <w:szCs w:val="24"/>
        </w:rPr>
        <w:t>新任基金</w:t>
      </w:r>
      <w:proofErr w:type="gramEnd"/>
      <w:r w:rsidRPr="00696C5C">
        <w:rPr>
          <w:rFonts w:asciiTheme="minorEastAsia" w:eastAsiaTheme="minorEastAsia" w:hAnsiTheme="minorEastAsia" w:hint="eastAsia"/>
          <w:sz w:val="24"/>
          <w:szCs w:val="24"/>
        </w:rPr>
        <w:t>管理人产生之前</w:t>
      </w:r>
      <w:bookmarkStart w:id="73" w:name="_Hlk14784951"/>
      <w:bookmarkEnd w:id="71"/>
      <w:r w:rsidRPr="00696C5C">
        <w:rPr>
          <w:rFonts w:asciiTheme="minorEastAsia" w:eastAsiaTheme="minorEastAsia" w:hAnsiTheme="minorEastAsia" w:hint="eastAsia"/>
          <w:sz w:val="24"/>
          <w:szCs w:val="24"/>
        </w:rPr>
        <w:t>由中国证监会指定临时基金</w:t>
      </w:r>
      <w:r w:rsidRPr="00696C5C">
        <w:rPr>
          <w:rFonts w:asciiTheme="minorEastAsia" w:eastAsiaTheme="minorEastAsia" w:hAnsiTheme="minorEastAsia" w:hint="eastAsia"/>
          <w:sz w:val="24"/>
          <w:szCs w:val="24"/>
        </w:rPr>
        <w:lastRenderedPageBreak/>
        <w:t>管理人；</w:t>
      </w:r>
      <w:bookmarkEnd w:id="72"/>
      <w:bookmarkEnd w:id="73"/>
    </w:p>
    <w:p w14:paraId="5726BE79" w14:textId="77777777" w:rsidR="007976C5" w:rsidRPr="00696C5C" w:rsidRDefault="007976C5" w:rsidP="007976C5">
      <w:pPr>
        <w:spacing w:line="360" w:lineRule="auto"/>
        <w:ind w:firstLineChars="200" w:firstLine="480"/>
        <w:rPr>
          <w:rFonts w:asciiTheme="minorEastAsia" w:eastAsiaTheme="minorEastAsia" w:hAnsiTheme="minorEastAsia"/>
          <w:sz w:val="24"/>
          <w:szCs w:val="24"/>
        </w:rPr>
      </w:pPr>
      <w:r w:rsidRPr="00696C5C">
        <w:rPr>
          <w:rFonts w:asciiTheme="minorEastAsia" w:eastAsiaTheme="minorEastAsia" w:hAnsiTheme="minorEastAsia" w:hint="eastAsia"/>
          <w:sz w:val="24"/>
          <w:szCs w:val="24"/>
        </w:rPr>
        <w:t>（</w:t>
      </w:r>
      <w:r w:rsidRPr="00696C5C">
        <w:rPr>
          <w:rFonts w:asciiTheme="minorEastAsia" w:eastAsiaTheme="minorEastAsia" w:hAnsiTheme="minorEastAsia"/>
          <w:sz w:val="24"/>
          <w:szCs w:val="24"/>
        </w:rPr>
        <w:t>4</w:t>
      </w:r>
      <w:r w:rsidRPr="00696C5C">
        <w:rPr>
          <w:rFonts w:asciiTheme="minorEastAsia" w:eastAsiaTheme="minorEastAsia" w:hAnsiTheme="minorEastAsia" w:hint="eastAsia"/>
          <w:sz w:val="24"/>
          <w:szCs w:val="24"/>
        </w:rPr>
        <w:t>）备案：基金份额持有人大会更换基金管理人的决议须报中国证监会备案；</w:t>
      </w:r>
    </w:p>
    <w:p w14:paraId="046617E7" w14:textId="77777777" w:rsidR="007976C5" w:rsidRPr="00696C5C" w:rsidRDefault="007976C5" w:rsidP="007976C5">
      <w:pPr>
        <w:spacing w:line="360" w:lineRule="auto"/>
        <w:ind w:firstLineChars="200" w:firstLine="480"/>
        <w:rPr>
          <w:rFonts w:asciiTheme="minorEastAsia" w:eastAsiaTheme="minorEastAsia" w:hAnsiTheme="minorEastAsia"/>
          <w:sz w:val="24"/>
          <w:szCs w:val="24"/>
        </w:rPr>
      </w:pPr>
      <w:r w:rsidRPr="00696C5C">
        <w:rPr>
          <w:rFonts w:asciiTheme="minorEastAsia" w:eastAsiaTheme="minorEastAsia" w:hAnsiTheme="minorEastAsia" w:hint="eastAsia"/>
          <w:sz w:val="24"/>
          <w:szCs w:val="24"/>
        </w:rPr>
        <w:t>（</w:t>
      </w:r>
      <w:r w:rsidRPr="00696C5C">
        <w:rPr>
          <w:rFonts w:asciiTheme="minorEastAsia" w:eastAsiaTheme="minorEastAsia" w:hAnsiTheme="minorEastAsia"/>
          <w:sz w:val="24"/>
          <w:szCs w:val="24"/>
        </w:rPr>
        <w:t>5</w:t>
      </w:r>
      <w:r w:rsidRPr="00696C5C">
        <w:rPr>
          <w:rFonts w:asciiTheme="minorEastAsia" w:eastAsiaTheme="minorEastAsia" w:hAnsiTheme="minorEastAsia" w:hint="eastAsia"/>
          <w:sz w:val="24"/>
          <w:szCs w:val="24"/>
        </w:rPr>
        <w:t>）公告：基金管理人更换后，由基金托管人在更换基金管理人的基金份额持有人大会决议生效后</w:t>
      </w:r>
      <w:bookmarkStart w:id="74" w:name="_Hlk36050813"/>
      <w:r w:rsidRPr="00696C5C">
        <w:rPr>
          <w:rFonts w:asciiTheme="minorEastAsia" w:eastAsiaTheme="minorEastAsia" w:hAnsiTheme="minorEastAsia" w:hint="eastAsia"/>
          <w:sz w:val="24"/>
          <w:szCs w:val="24"/>
        </w:rPr>
        <w:t>依照《信息披露办法》</w:t>
      </w:r>
      <w:bookmarkEnd w:id="74"/>
      <w:r w:rsidRPr="00696C5C">
        <w:rPr>
          <w:rFonts w:asciiTheme="minorEastAsia" w:eastAsiaTheme="minorEastAsia" w:hAnsiTheme="minorEastAsia" w:hint="eastAsia"/>
          <w:sz w:val="24"/>
          <w:szCs w:val="24"/>
        </w:rPr>
        <w:t>在规定媒介公告；</w:t>
      </w:r>
    </w:p>
    <w:p w14:paraId="5BAFBAA1" w14:textId="77777777" w:rsidR="00204A30" w:rsidRDefault="007976C5">
      <w:pPr>
        <w:pStyle w:val="21"/>
        <w:adjustRightInd w:val="0"/>
        <w:snapToGrid w:val="0"/>
        <w:spacing w:before="0" w:after="0" w:line="520" w:lineRule="atLeast"/>
        <w:ind w:left="0" w:firstLineChars="200" w:firstLine="480"/>
        <w:rPr>
          <w:rFonts w:asciiTheme="minorEastAsia" w:eastAsiaTheme="minorEastAsia" w:hAnsiTheme="minorEastAsia"/>
          <w:szCs w:val="24"/>
        </w:rPr>
      </w:pPr>
      <w:r w:rsidRPr="00696C5C">
        <w:rPr>
          <w:rFonts w:asciiTheme="minorEastAsia" w:eastAsiaTheme="minorEastAsia" w:hAnsiTheme="minorEastAsia" w:hint="eastAsia"/>
          <w:szCs w:val="24"/>
        </w:rPr>
        <w:t>（6）交接：基金管理人职责终止的，基金管理人应妥善保管基金管理业务资料，及时向临时基金管理人或</w:t>
      </w:r>
      <w:proofErr w:type="gramStart"/>
      <w:r w:rsidRPr="00696C5C">
        <w:rPr>
          <w:rFonts w:asciiTheme="minorEastAsia" w:eastAsiaTheme="minorEastAsia" w:hAnsiTheme="minorEastAsia" w:hint="eastAsia"/>
          <w:szCs w:val="24"/>
        </w:rPr>
        <w:t>新任基金</w:t>
      </w:r>
      <w:proofErr w:type="gramEnd"/>
      <w:r w:rsidRPr="00696C5C">
        <w:rPr>
          <w:rFonts w:asciiTheme="minorEastAsia" w:eastAsiaTheme="minorEastAsia" w:hAnsiTheme="minorEastAsia" w:hint="eastAsia"/>
          <w:szCs w:val="24"/>
        </w:rPr>
        <w:t>管理人办理基金管理业务的移交手续，临时基金管理人或</w:t>
      </w:r>
      <w:proofErr w:type="gramStart"/>
      <w:r w:rsidRPr="00696C5C">
        <w:rPr>
          <w:rFonts w:asciiTheme="minorEastAsia" w:eastAsiaTheme="minorEastAsia" w:hAnsiTheme="minorEastAsia" w:hint="eastAsia"/>
          <w:szCs w:val="24"/>
        </w:rPr>
        <w:t>新任基金</w:t>
      </w:r>
      <w:proofErr w:type="gramEnd"/>
      <w:r w:rsidRPr="00696C5C">
        <w:rPr>
          <w:rFonts w:asciiTheme="minorEastAsia" w:eastAsiaTheme="minorEastAsia" w:hAnsiTheme="minorEastAsia" w:hint="eastAsia"/>
          <w:szCs w:val="24"/>
        </w:rPr>
        <w:t>管理人应及时接收。临时基金管理人或</w:t>
      </w:r>
      <w:proofErr w:type="gramStart"/>
      <w:r w:rsidRPr="00696C5C">
        <w:rPr>
          <w:rFonts w:asciiTheme="minorEastAsia" w:eastAsiaTheme="minorEastAsia" w:hAnsiTheme="minorEastAsia" w:hint="eastAsia"/>
          <w:szCs w:val="24"/>
        </w:rPr>
        <w:t>新任基金</w:t>
      </w:r>
      <w:proofErr w:type="gramEnd"/>
      <w:r w:rsidRPr="00696C5C">
        <w:rPr>
          <w:rFonts w:asciiTheme="minorEastAsia" w:eastAsiaTheme="minorEastAsia" w:hAnsiTheme="minorEastAsia" w:hint="eastAsia"/>
          <w:szCs w:val="24"/>
        </w:rPr>
        <w:t>管理人应与基金托管人核对基金资产总值和净值。</w:t>
      </w:r>
    </w:p>
    <w:p w14:paraId="7F9797C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（7）审计：基金管理人职责终止的，应当按照法律法规规定聘请会计师事务所对基金财产进行审计，并将审计结果予以公告，同时报中国证监会备案，审计费用从基金财产中列支；</w:t>
      </w:r>
    </w:p>
    <w:p w14:paraId="75A71066" w14:textId="7D86F442"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（8）基金名称变更：基金管理人更换后，如果原任或</w:t>
      </w:r>
      <w:proofErr w:type="gramStart"/>
      <w:r>
        <w:rPr>
          <w:rFonts w:asciiTheme="minorEastAsia" w:eastAsiaTheme="minorEastAsia" w:hAnsiTheme="minorEastAsia" w:hint="eastAsia"/>
          <w:szCs w:val="24"/>
        </w:rPr>
        <w:t>新任基金</w:t>
      </w:r>
      <w:proofErr w:type="gramEnd"/>
      <w:r>
        <w:rPr>
          <w:rFonts w:asciiTheme="minorEastAsia" w:eastAsiaTheme="minorEastAsia" w:hAnsiTheme="minorEastAsia" w:hint="eastAsia"/>
          <w:szCs w:val="24"/>
        </w:rPr>
        <w:t>管理人要求，应按其要求替换或删除基金名称中与原任基金管理人有关的名称字样。</w:t>
      </w:r>
    </w:p>
    <w:p w14:paraId="252D082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14.2基金托管人的更换</w:t>
      </w:r>
    </w:p>
    <w:p w14:paraId="4B9F683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14.2.1基金托管人的更换条件</w:t>
      </w:r>
    </w:p>
    <w:p w14:paraId="3D6DAC7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有下列情形之一的，基金托管人职责终止：</w:t>
      </w:r>
    </w:p>
    <w:p w14:paraId="337F458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（1）基金托管人被依法取消基金托管资格；</w:t>
      </w:r>
    </w:p>
    <w:p w14:paraId="349BFBA7" w14:textId="3C739362"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（2）基金托管人依法解散、被依法撤销或者被依法宣布破产；</w:t>
      </w:r>
    </w:p>
    <w:p w14:paraId="5F120FC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（3）基金托管人被基金份额持有人大会解任；</w:t>
      </w:r>
    </w:p>
    <w:p w14:paraId="52F53F6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（4）法律法规</w:t>
      </w:r>
      <w:r>
        <w:rPr>
          <w:rFonts w:asciiTheme="minorEastAsia" w:eastAsiaTheme="minorEastAsia" w:hAnsiTheme="minorEastAsia" w:hint="eastAsia"/>
          <w:bCs/>
          <w:szCs w:val="24"/>
        </w:rPr>
        <w:t>及中国证监会规定的</w:t>
      </w:r>
      <w:r>
        <w:rPr>
          <w:rFonts w:asciiTheme="minorEastAsia" w:eastAsiaTheme="minorEastAsia" w:hAnsiTheme="minorEastAsia" w:hint="eastAsia"/>
          <w:szCs w:val="24"/>
        </w:rPr>
        <w:t>和基金合同规定的其他情形。</w:t>
      </w:r>
    </w:p>
    <w:p w14:paraId="258D5B8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14.2.2基金托管人的更换程序</w:t>
      </w:r>
    </w:p>
    <w:p w14:paraId="3AFC59F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（1）提名：</w:t>
      </w:r>
      <w:proofErr w:type="gramStart"/>
      <w:r>
        <w:rPr>
          <w:rFonts w:asciiTheme="minorEastAsia" w:eastAsiaTheme="minorEastAsia" w:hAnsiTheme="minorEastAsia" w:hint="eastAsia"/>
          <w:szCs w:val="24"/>
        </w:rPr>
        <w:t>新任基金</w:t>
      </w:r>
      <w:proofErr w:type="gramEnd"/>
      <w:r>
        <w:rPr>
          <w:rFonts w:asciiTheme="minorEastAsia" w:eastAsiaTheme="minorEastAsia" w:hAnsiTheme="minorEastAsia" w:hint="eastAsia"/>
          <w:szCs w:val="24"/>
        </w:rPr>
        <w:t>托管人由基金管理人或由单独或合计持有10%以上（含10%）基金份额的基金份额持有人提名；</w:t>
      </w:r>
    </w:p>
    <w:p w14:paraId="7E13A34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（2）决议：基金份额持有人大会在基金托管人职责终止后6个月内对被提名的基金托管人形成决议，该决议需经参加大会的基金份额持有人所持表决权的2/3以上（含2/3）表决通过，决议自表决通过之日起生效；</w:t>
      </w:r>
    </w:p>
    <w:p w14:paraId="526CD3F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（3）临时基金托管人：</w:t>
      </w:r>
      <w:proofErr w:type="gramStart"/>
      <w:r>
        <w:rPr>
          <w:rFonts w:asciiTheme="minorEastAsia" w:eastAsiaTheme="minorEastAsia" w:hAnsiTheme="minorEastAsia" w:hint="eastAsia"/>
          <w:szCs w:val="24"/>
        </w:rPr>
        <w:t>新任基金</w:t>
      </w:r>
      <w:proofErr w:type="gramEnd"/>
      <w:r>
        <w:rPr>
          <w:rFonts w:asciiTheme="minorEastAsia" w:eastAsiaTheme="minorEastAsia" w:hAnsiTheme="minorEastAsia" w:hint="eastAsia"/>
          <w:szCs w:val="24"/>
        </w:rPr>
        <w:t>托管人产生之前，由中国证监会指定临时基金托管人；</w:t>
      </w:r>
    </w:p>
    <w:p w14:paraId="340D2CB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（4）</w:t>
      </w:r>
      <w:r>
        <w:rPr>
          <w:rFonts w:asciiTheme="minorEastAsia" w:eastAsiaTheme="minorEastAsia" w:hAnsiTheme="minorEastAsia" w:hint="eastAsia"/>
          <w:bCs/>
          <w:szCs w:val="24"/>
        </w:rPr>
        <w:t xml:space="preserve">备案：基金份额持有人大会更换基金托管人的决议须报中国证监会备案；   </w:t>
      </w:r>
    </w:p>
    <w:p w14:paraId="7879048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（5）公告：基金托管人更换后，由基金管理人在</w:t>
      </w:r>
      <w:r>
        <w:rPr>
          <w:rFonts w:asciiTheme="minorEastAsia" w:eastAsiaTheme="minorEastAsia" w:hAnsiTheme="minorEastAsia" w:hint="eastAsia"/>
          <w:bCs/>
          <w:szCs w:val="24"/>
        </w:rPr>
        <w:t>更换基金托管人的基金份额持有人大会决议生效后</w:t>
      </w:r>
      <w:bookmarkStart w:id="75" w:name="_Hlk36050922"/>
      <w:r w:rsidR="000D13F2">
        <w:rPr>
          <w:rFonts w:hint="eastAsia"/>
          <w:bCs/>
        </w:rPr>
        <w:t>依照《信息披露办法》</w:t>
      </w:r>
      <w:bookmarkEnd w:id="75"/>
      <w:r>
        <w:rPr>
          <w:rFonts w:asciiTheme="minorEastAsia" w:eastAsiaTheme="minorEastAsia" w:hAnsiTheme="minorEastAsia" w:hint="eastAsia"/>
          <w:bCs/>
          <w:szCs w:val="24"/>
        </w:rPr>
        <w:t>在规定媒介公告</w:t>
      </w:r>
      <w:r>
        <w:rPr>
          <w:rFonts w:asciiTheme="minorEastAsia" w:eastAsiaTheme="minorEastAsia" w:hAnsiTheme="minorEastAsia" w:hint="eastAsia"/>
          <w:szCs w:val="24"/>
        </w:rPr>
        <w:t>；</w:t>
      </w:r>
    </w:p>
    <w:p w14:paraId="55AEA02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（6）交接：基金托管人职责终止的，应当妥善保管基金财产和基金托管业务资料，及时办理基金财产和基金托管业务的移交手续，</w:t>
      </w:r>
      <w:proofErr w:type="gramStart"/>
      <w:r w:rsidR="009F47ED">
        <w:rPr>
          <w:bCs/>
        </w:rPr>
        <w:t>新任基金</w:t>
      </w:r>
      <w:proofErr w:type="gramEnd"/>
      <w:r w:rsidR="009F47ED">
        <w:rPr>
          <w:bCs/>
        </w:rPr>
        <w:t>托管人或者</w:t>
      </w:r>
      <w:r w:rsidR="009F47ED" w:rsidRPr="00AF14DF">
        <w:t>临时基金托管人应当及时接收</w:t>
      </w:r>
      <w:r w:rsidR="009F47ED">
        <w:rPr>
          <w:bCs/>
        </w:rPr>
        <w:t>。</w:t>
      </w:r>
      <w:proofErr w:type="gramStart"/>
      <w:r w:rsidR="009F47ED">
        <w:rPr>
          <w:bCs/>
        </w:rPr>
        <w:t>新任基金</w:t>
      </w:r>
      <w:proofErr w:type="gramEnd"/>
      <w:r w:rsidR="009F47ED">
        <w:rPr>
          <w:bCs/>
        </w:rPr>
        <w:t>托管人</w:t>
      </w:r>
      <w:r w:rsidR="009F47ED">
        <w:rPr>
          <w:rFonts w:hint="eastAsia"/>
          <w:bCs/>
        </w:rPr>
        <w:t>或者</w:t>
      </w:r>
      <w:r w:rsidR="009F47ED" w:rsidRPr="00AF14DF">
        <w:rPr>
          <w:rFonts w:hint="eastAsia"/>
        </w:rPr>
        <w:t>临时基金托管人</w:t>
      </w:r>
      <w:r w:rsidR="009F47ED" w:rsidRPr="00AF14DF">
        <w:t>与基金管理人核对基金资产总值</w:t>
      </w:r>
      <w:r w:rsidR="009F47ED" w:rsidRPr="00AF14DF">
        <w:rPr>
          <w:rFonts w:hint="eastAsia"/>
        </w:rPr>
        <w:t>和净值</w:t>
      </w:r>
      <w:r>
        <w:rPr>
          <w:rFonts w:asciiTheme="minorEastAsia" w:eastAsiaTheme="minorEastAsia" w:hAnsiTheme="minorEastAsia" w:hint="eastAsia"/>
          <w:szCs w:val="24"/>
        </w:rPr>
        <w:t>；</w:t>
      </w:r>
    </w:p>
    <w:p w14:paraId="2742E989" w14:textId="322A0922"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（7）审计：基金托管人职责终止的，应当按照法律法规规定聘请会计师事务所对基金财产进行审计，并将审计结果予以公告，同时报中国证监会备案</w:t>
      </w:r>
      <w:r>
        <w:rPr>
          <w:rFonts w:asciiTheme="minorEastAsia" w:eastAsiaTheme="minorEastAsia" w:hAnsiTheme="minorEastAsia"/>
          <w:szCs w:val="24"/>
        </w:rPr>
        <w:t>，</w:t>
      </w:r>
      <w:r>
        <w:rPr>
          <w:rFonts w:asciiTheme="minorEastAsia" w:eastAsiaTheme="minorEastAsia" w:hAnsiTheme="minorEastAsia" w:hint="eastAsia"/>
          <w:szCs w:val="24"/>
        </w:rPr>
        <w:t>审计费用从基金财产中列支。</w:t>
      </w:r>
    </w:p>
    <w:p w14:paraId="4D05FFC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14.3基金管理人与基金托管人同时更换</w:t>
      </w:r>
    </w:p>
    <w:p w14:paraId="7A32CC1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14.3.1提名：如果基金管理人和基金托管人同时更换，由单独或合计持有基金总份额10%以上</w:t>
      </w:r>
      <w:r>
        <w:rPr>
          <w:rFonts w:asciiTheme="minorEastAsia" w:eastAsiaTheme="minorEastAsia" w:hAnsiTheme="minorEastAsia" w:hint="eastAsia"/>
          <w:bCs/>
          <w:szCs w:val="24"/>
        </w:rPr>
        <w:t>（含10%）</w:t>
      </w:r>
      <w:r>
        <w:rPr>
          <w:rFonts w:asciiTheme="minorEastAsia" w:eastAsiaTheme="minorEastAsia" w:hAnsiTheme="minorEastAsia" w:hint="eastAsia"/>
          <w:szCs w:val="24"/>
        </w:rPr>
        <w:t>的基金份额持有人提名新的基金管理人和基金托管人。</w:t>
      </w:r>
    </w:p>
    <w:p w14:paraId="09CD455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14.3.2基金管理人和基金托管人的更换分别按上述程序进行。</w:t>
      </w:r>
    </w:p>
    <w:p w14:paraId="22E8BA5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14.3.3公告：</w:t>
      </w:r>
      <w:proofErr w:type="gramStart"/>
      <w:r>
        <w:rPr>
          <w:rFonts w:asciiTheme="minorEastAsia" w:eastAsiaTheme="minorEastAsia" w:hAnsiTheme="minorEastAsia" w:hint="eastAsia"/>
          <w:szCs w:val="24"/>
        </w:rPr>
        <w:t>新任基金</w:t>
      </w:r>
      <w:proofErr w:type="gramEnd"/>
      <w:r>
        <w:rPr>
          <w:rFonts w:asciiTheme="minorEastAsia" w:eastAsiaTheme="minorEastAsia" w:hAnsiTheme="minorEastAsia" w:hint="eastAsia"/>
          <w:szCs w:val="24"/>
        </w:rPr>
        <w:t>管理人和</w:t>
      </w:r>
      <w:proofErr w:type="gramStart"/>
      <w:r>
        <w:rPr>
          <w:rFonts w:asciiTheme="minorEastAsia" w:eastAsiaTheme="minorEastAsia" w:hAnsiTheme="minorEastAsia" w:hint="eastAsia"/>
          <w:szCs w:val="24"/>
        </w:rPr>
        <w:t>新任基金</w:t>
      </w:r>
      <w:proofErr w:type="gramEnd"/>
      <w:r>
        <w:rPr>
          <w:rFonts w:asciiTheme="minorEastAsia" w:eastAsiaTheme="minorEastAsia" w:hAnsiTheme="minorEastAsia" w:hint="eastAsia"/>
          <w:szCs w:val="24"/>
        </w:rPr>
        <w:t>托管人应在更换基金管理人和基金托管人的基金份额持有人大会决议生效后</w:t>
      </w:r>
      <w:r w:rsidR="000D13F2">
        <w:rPr>
          <w:rFonts w:hint="eastAsia"/>
          <w:bCs/>
        </w:rPr>
        <w:t>依照《信息披露办法》</w:t>
      </w:r>
      <w:r>
        <w:rPr>
          <w:rFonts w:asciiTheme="minorEastAsia" w:eastAsiaTheme="minorEastAsia" w:hAnsiTheme="minorEastAsia" w:hint="eastAsia"/>
          <w:szCs w:val="24"/>
        </w:rPr>
        <w:t>在规定媒介上联合公告。</w:t>
      </w:r>
    </w:p>
    <w:p w14:paraId="5541A938" w14:textId="08BF57FD"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bCs/>
          <w:szCs w:val="24"/>
        </w:rPr>
      </w:pPr>
      <w:r>
        <w:rPr>
          <w:rFonts w:asciiTheme="minorEastAsia" w:eastAsiaTheme="minorEastAsia" w:hAnsiTheme="minorEastAsia" w:hint="eastAsia"/>
          <w:szCs w:val="24"/>
        </w:rPr>
        <w:t>14.4新任或临时基金管理人</w:t>
      </w:r>
      <w:r>
        <w:rPr>
          <w:rFonts w:asciiTheme="minorEastAsia" w:eastAsiaTheme="minorEastAsia" w:hAnsiTheme="minorEastAsia" w:hint="eastAsia"/>
          <w:bCs/>
          <w:szCs w:val="24"/>
        </w:rPr>
        <w:t>接收</w:t>
      </w:r>
      <w:r>
        <w:rPr>
          <w:rFonts w:asciiTheme="minorEastAsia" w:eastAsiaTheme="minorEastAsia" w:hAnsiTheme="minorEastAsia" w:hint="eastAsia"/>
          <w:szCs w:val="24"/>
        </w:rPr>
        <w:t>基金管理业务或新任或临时基金托管人</w:t>
      </w:r>
      <w:r>
        <w:rPr>
          <w:rFonts w:asciiTheme="minorEastAsia" w:eastAsiaTheme="minorEastAsia" w:hAnsiTheme="minorEastAsia" w:hint="eastAsia"/>
          <w:bCs/>
          <w:szCs w:val="24"/>
        </w:rPr>
        <w:t>接收</w:t>
      </w:r>
      <w:r>
        <w:rPr>
          <w:rFonts w:asciiTheme="minorEastAsia" w:eastAsiaTheme="minorEastAsia" w:hAnsiTheme="minorEastAsia" w:hint="eastAsia"/>
          <w:szCs w:val="24"/>
        </w:rPr>
        <w:t>基金财产和基金托管业务前，</w:t>
      </w:r>
      <w:proofErr w:type="gramStart"/>
      <w:r>
        <w:rPr>
          <w:rFonts w:asciiTheme="minorEastAsia" w:eastAsiaTheme="minorEastAsia" w:hAnsiTheme="minorEastAsia" w:hint="eastAsia"/>
          <w:szCs w:val="24"/>
        </w:rPr>
        <w:t>原基金</w:t>
      </w:r>
      <w:proofErr w:type="gramEnd"/>
      <w:r>
        <w:rPr>
          <w:rFonts w:asciiTheme="minorEastAsia" w:eastAsiaTheme="minorEastAsia" w:hAnsiTheme="minorEastAsia" w:hint="eastAsia"/>
          <w:szCs w:val="24"/>
        </w:rPr>
        <w:t>管理人或</w:t>
      </w:r>
      <w:proofErr w:type="gramStart"/>
      <w:r>
        <w:rPr>
          <w:rFonts w:asciiTheme="minorEastAsia" w:eastAsiaTheme="minorEastAsia" w:hAnsiTheme="minorEastAsia" w:hint="eastAsia"/>
          <w:szCs w:val="24"/>
        </w:rPr>
        <w:t>原基金</w:t>
      </w:r>
      <w:proofErr w:type="gramEnd"/>
      <w:r>
        <w:rPr>
          <w:rFonts w:asciiTheme="minorEastAsia" w:eastAsiaTheme="minorEastAsia" w:hAnsiTheme="minorEastAsia" w:hint="eastAsia"/>
          <w:szCs w:val="24"/>
        </w:rPr>
        <w:t>托管人应</w:t>
      </w:r>
      <w:r>
        <w:rPr>
          <w:rFonts w:asciiTheme="minorEastAsia" w:eastAsiaTheme="minorEastAsia" w:hAnsiTheme="minorEastAsia" w:hint="eastAsia"/>
          <w:bCs/>
          <w:szCs w:val="24"/>
        </w:rPr>
        <w:t>依据法律法规和基金合同的规定</w:t>
      </w:r>
      <w:r>
        <w:rPr>
          <w:rFonts w:asciiTheme="minorEastAsia" w:eastAsiaTheme="minorEastAsia" w:hAnsiTheme="minorEastAsia" w:hint="eastAsia"/>
          <w:szCs w:val="24"/>
        </w:rPr>
        <w:t>继续履行相关职责，并保证不对基金份额持有人的利益造成损害。</w:t>
      </w:r>
      <w:proofErr w:type="gramStart"/>
      <w:r>
        <w:rPr>
          <w:rFonts w:asciiTheme="minorEastAsia" w:eastAsiaTheme="minorEastAsia" w:hAnsiTheme="minorEastAsia" w:hint="eastAsia"/>
          <w:bCs/>
          <w:szCs w:val="24"/>
        </w:rPr>
        <w:t>原基金</w:t>
      </w:r>
      <w:proofErr w:type="gramEnd"/>
      <w:r>
        <w:rPr>
          <w:rFonts w:asciiTheme="minorEastAsia" w:eastAsiaTheme="minorEastAsia" w:hAnsiTheme="minorEastAsia" w:hint="eastAsia"/>
          <w:bCs/>
          <w:szCs w:val="24"/>
        </w:rPr>
        <w:t>管理人或</w:t>
      </w:r>
      <w:proofErr w:type="gramStart"/>
      <w:r>
        <w:rPr>
          <w:rFonts w:asciiTheme="minorEastAsia" w:eastAsiaTheme="minorEastAsia" w:hAnsiTheme="minorEastAsia" w:hint="eastAsia"/>
          <w:bCs/>
          <w:szCs w:val="24"/>
        </w:rPr>
        <w:t>原基金</w:t>
      </w:r>
      <w:proofErr w:type="gramEnd"/>
      <w:r>
        <w:rPr>
          <w:rFonts w:asciiTheme="minorEastAsia" w:eastAsiaTheme="minorEastAsia" w:hAnsiTheme="minorEastAsia" w:hint="eastAsia"/>
          <w:bCs/>
          <w:szCs w:val="24"/>
        </w:rPr>
        <w:t>托管人在继续履行相关职责期间，仍有权按照基金合同的规定收取基金管理费或基金托管费。</w:t>
      </w:r>
    </w:p>
    <w:p w14:paraId="5305AEB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14.5本部</w:t>
      </w:r>
      <w:proofErr w:type="gramStart"/>
      <w:r>
        <w:rPr>
          <w:rFonts w:asciiTheme="minorEastAsia" w:eastAsiaTheme="minorEastAsia" w:hAnsiTheme="minorEastAsia" w:hint="eastAsia"/>
          <w:szCs w:val="24"/>
        </w:rPr>
        <w:t>分关于</w:t>
      </w:r>
      <w:proofErr w:type="gramEnd"/>
      <w:r>
        <w:rPr>
          <w:rFonts w:asciiTheme="minorEastAsia" w:eastAsiaTheme="minorEastAsia" w:hAnsiTheme="minorEastAsia" w:hint="eastAsia"/>
          <w:szCs w:val="24"/>
        </w:rPr>
        <w:t>基金管理人、基金托管人更换条件和程序的约定，凡是直接引用法律法规</w:t>
      </w:r>
      <w:r w:rsidR="000D13F2">
        <w:rPr>
          <w:rFonts w:asciiTheme="minorEastAsia" w:eastAsiaTheme="minorEastAsia" w:hAnsiTheme="minorEastAsia" w:hint="eastAsia"/>
          <w:szCs w:val="24"/>
        </w:rPr>
        <w:t>或监管规则</w:t>
      </w:r>
      <w:r>
        <w:rPr>
          <w:rFonts w:asciiTheme="minorEastAsia" w:eastAsiaTheme="minorEastAsia" w:hAnsiTheme="minorEastAsia" w:hint="eastAsia"/>
          <w:szCs w:val="24"/>
        </w:rPr>
        <w:t>的部分，如将来法律法规</w:t>
      </w:r>
      <w:r w:rsidR="000D13F2">
        <w:rPr>
          <w:rFonts w:asciiTheme="minorEastAsia" w:eastAsiaTheme="minorEastAsia" w:hAnsiTheme="minorEastAsia" w:hint="eastAsia"/>
          <w:szCs w:val="24"/>
        </w:rPr>
        <w:t>或监管规则</w:t>
      </w:r>
      <w:r>
        <w:rPr>
          <w:rFonts w:asciiTheme="minorEastAsia" w:eastAsiaTheme="minorEastAsia" w:hAnsiTheme="minorEastAsia" w:hint="eastAsia"/>
          <w:szCs w:val="24"/>
        </w:rPr>
        <w:t>修改导致相关内容被取消或变更的，基金管理人与基金托管人协商一致并</w:t>
      </w:r>
      <w:r w:rsidR="000D13F2">
        <w:rPr>
          <w:rFonts w:asciiTheme="minorEastAsia" w:eastAsiaTheme="minorEastAsia" w:hAnsiTheme="minorEastAsia" w:hint="eastAsia"/>
          <w:szCs w:val="24"/>
        </w:rPr>
        <w:t>履行适当程序</w:t>
      </w:r>
      <w:r>
        <w:rPr>
          <w:rFonts w:asciiTheme="minorEastAsia" w:eastAsiaTheme="minorEastAsia" w:hAnsiTheme="minorEastAsia" w:hint="eastAsia"/>
          <w:szCs w:val="24"/>
        </w:rPr>
        <w:t>后，可直接对相应内容进行修改和调整，无需召开基金份额持有人大会审议。</w:t>
      </w:r>
    </w:p>
    <w:p w14:paraId="1C0CBFD5"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76" w:name="_Toc296551351"/>
      <w:bookmarkStart w:id="77" w:name="_Toc116889551"/>
      <w:bookmarkEnd w:id="68"/>
      <w:bookmarkEnd w:id="69"/>
      <w:r>
        <w:rPr>
          <w:rFonts w:asciiTheme="minorEastAsia" w:eastAsiaTheme="minorEastAsia" w:hAnsiTheme="minorEastAsia" w:hint="eastAsia"/>
          <w:bCs/>
          <w:color w:val="auto"/>
          <w:szCs w:val="24"/>
        </w:rPr>
        <w:t>第十五条 禁止行为</w:t>
      </w:r>
      <w:bookmarkEnd w:id="76"/>
      <w:bookmarkEnd w:id="77"/>
    </w:p>
    <w:p w14:paraId="302812F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15.1基金管理人、基金托管人禁止从事的行为，包括但不限于：</w:t>
      </w:r>
    </w:p>
    <w:p w14:paraId="0C6B62B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15.1.1基金管理人、基金托管人将其固有财产或者他人财产混同于基金财产从事证券投资。</w:t>
      </w:r>
    </w:p>
    <w:p w14:paraId="0EB7FFE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15.1.2基金管理人不公平地对待其管理的不同基金财产，基金托管人不公平地对待其托管的不同基金财产。</w:t>
      </w:r>
    </w:p>
    <w:p w14:paraId="43E0CB1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15.1.3基金管理人、基金托管人利用基金财产为基金份额持有人以外的第三人牟取利益。</w:t>
      </w:r>
    </w:p>
    <w:p w14:paraId="21DCBFA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15.1.4基金管理人、基金托管人向基金份额持有人违规承诺收益或者承担损失。</w:t>
      </w:r>
    </w:p>
    <w:p w14:paraId="2CB0176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15.1.5基金管理人、基金托管人对他人泄漏基金运作和管理过程中任何尚未按法律法规规定的方式公开披露的信息。</w:t>
      </w:r>
    </w:p>
    <w:p w14:paraId="7A7F49D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15.1.6基金管理人在没有充足资金的情况下向基金托管人发出投资指令和赎回、分红资金的划拨指令，或违规向基金托管人发出指令。</w:t>
      </w:r>
    </w:p>
    <w:p w14:paraId="0040EBD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15.1.7基金管理人、基金托管人在行政上、财务上不独立，其高级管理人员和其他从业人员相互兼职。</w:t>
      </w:r>
    </w:p>
    <w:p w14:paraId="55A4610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15.1.8基金托管人私自动用或处分基金财产，根据基金管理人的合法指令、基金合同或本协议的规定进行处分的除外。</w:t>
      </w:r>
    </w:p>
    <w:p w14:paraId="1E2C610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78" w:name="_Hlk84760453"/>
      <w:r>
        <w:rPr>
          <w:rFonts w:asciiTheme="minorEastAsia" w:eastAsiaTheme="minorEastAsia" w:hAnsiTheme="minorEastAsia" w:hint="eastAsia"/>
          <w:szCs w:val="24"/>
        </w:rPr>
        <w:t>15.1.9基金财产用于下列投资或者活动：</w:t>
      </w:r>
    </w:p>
    <w:p w14:paraId="2792427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（1）承销证券；</w:t>
      </w:r>
    </w:p>
    <w:p w14:paraId="310BFC8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bCs/>
          <w:szCs w:val="24"/>
        </w:rPr>
        <w:t>违反规定</w:t>
      </w:r>
      <w:r>
        <w:rPr>
          <w:rFonts w:asciiTheme="minorEastAsia" w:eastAsiaTheme="minorEastAsia" w:hAnsiTheme="minorEastAsia" w:hint="eastAsia"/>
          <w:szCs w:val="24"/>
        </w:rPr>
        <w:t>向他人贷款或者提供担保；</w:t>
      </w:r>
    </w:p>
    <w:p w14:paraId="33E2F30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（3）从事承担无限责任的投资；</w:t>
      </w:r>
    </w:p>
    <w:p w14:paraId="2492FBD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（4）买卖其他基金份额，但是中国证监会另有规定的除外；</w:t>
      </w:r>
    </w:p>
    <w:p w14:paraId="35D315F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（5）向其基金管理人、基金托管人出资；</w:t>
      </w:r>
    </w:p>
    <w:p w14:paraId="7DFF199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（6）从事内幕交易、操纵证券交易价格及其他不正当的证券交易活动；</w:t>
      </w:r>
    </w:p>
    <w:p w14:paraId="3E85CD2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bCs/>
          <w:szCs w:val="24"/>
        </w:rPr>
        <w:t>（7）法律、行政法规和中国证监会规定禁止的其他活动</w:t>
      </w:r>
      <w:r>
        <w:rPr>
          <w:rFonts w:asciiTheme="minorEastAsia" w:eastAsiaTheme="minorEastAsia" w:hAnsiTheme="minorEastAsia" w:hint="eastAsia"/>
          <w:szCs w:val="24"/>
        </w:rPr>
        <w:t>。</w:t>
      </w:r>
      <w:bookmarkEnd w:id="78"/>
    </w:p>
    <w:p w14:paraId="2E1B875D" w14:textId="585CC3EC"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15.1.10法律法规或监管部门取消</w:t>
      </w:r>
      <w:r>
        <w:rPr>
          <w:rFonts w:asciiTheme="minorEastAsia" w:eastAsiaTheme="minorEastAsia" w:hAnsiTheme="minorEastAsia" w:hint="eastAsia"/>
          <w:bCs/>
          <w:szCs w:val="24"/>
        </w:rPr>
        <w:t>或变更上述禁止性规定，如适用于本基金</w:t>
      </w:r>
      <w:r>
        <w:rPr>
          <w:rFonts w:asciiTheme="minorEastAsia" w:eastAsiaTheme="minorEastAsia" w:hAnsiTheme="minorEastAsia" w:hint="eastAsia"/>
          <w:szCs w:val="24"/>
        </w:rPr>
        <w:t>，基金管理人在履行适当程序后，</w:t>
      </w:r>
      <w:r>
        <w:rPr>
          <w:rFonts w:asciiTheme="minorEastAsia" w:eastAsiaTheme="minorEastAsia" w:hAnsiTheme="minorEastAsia" w:hint="eastAsia"/>
          <w:bCs/>
          <w:szCs w:val="24"/>
        </w:rPr>
        <w:t>可不受上述规定的限制或按变更后的规定执行</w:t>
      </w:r>
      <w:r>
        <w:rPr>
          <w:rFonts w:asciiTheme="minorEastAsia" w:eastAsiaTheme="minorEastAsia" w:hAnsiTheme="minorEastAsia" w:hint="eastAsia"/>
          <w:szCs w:val="24"/>
        </w:rPr>
        <w:t>。</w:t>
      </w:r>
    </w:p>
    <w:p w14:paraId="7124D7D8"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79" w:name="_Toc296551352"/>
      <w:bookmarkStart w:id="80" w:name="_Toc116889552"/>
      <w:r>
        <w:rPr>
          <w:rFonts w:asciiTheme="minorEastAsia" w:eastAsiaTheme="minorEastAsia" w:hAnsiTheme="minorEastAsia" w:hint="eastAsia"/>
          <w:bCs/>
          <w:color w:val="auto"/>
          <w:szCs w:val="24"/>
        </w:rPr>
        <w:t>第十六条 本协议的变更、终止与基金财产的清算</w:t>
      </w:r>
      <w:bookmarkEnd w:id="79"/>
      <w:bookmarkEnd w:id="80"/>
    </w:p>
    <w:p w14:paraId="2D796A3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16.1本协议的变更与终止</w:t>
      </w:r>
    </w:p>
    <w:p w14:paraId="25ED67E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16.1.1本协议的变更程序</w:t>
      </w:r>
    </w:p>
    <w:p w14:paraId="1FB6BB5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本协议双方当事人经协商一致，可以对协议的内容进行变更，并另行签署书面协议予以明确。变更后的托管协议，其内容不得与基金合同的规定有任何冲突。本协议的变更报中国证监会注册或备案。</w:t>
      </w:r>
    </w:p>
    <w:p w14:paraId="403CDC1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16.1.2本协议终止的情形</w:t>
      </w:r>
    </w:p>
    <w:p w14:paraId="79D3DA4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发生以下情况，本协议终止：</w:t>
      </w:r>
    </w:p>
    <w:p w14:paraId="4F6AE9E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（1）基金合同终止；</w:t>
      </w:r>
    </w:p>
    <w:p w14:paraId="539B4D34" w14:textId="3D21F48B"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（2）基金托管人解散、依法被撤销、破产或由其他基金托管人接管基金资产；</w:t>
      </w:r>
    </w:p>
    <w:p w14:paraId="07EDB663" w14:textId="0DA2B4E6"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（3）基金管理人解散、依法被撤销、破产或由其他基金管理人接管基金管理权；</w:t>
      </w:r>
    </w:p>
    <w:p w14:paraId="457A960F"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（4）发生法律法规或基金合同规定的终止事项。</w:t>
      </w:r>
    </w:p>
    <w:p w14:paraId="0ADB89BB"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81" w:name="_Hlk84760495"/>
      <w:r>
        <w:rPr>
          <w:rFonts w:asciiTheme="minorEastAsia" w:eastAsiaTheme="minorEastAsia" w:hAnsiTheme="minorEastAsia" w:hint="eastAsia"/>
          <w:szCs w:val="24"/>
        </w:rPr>
        <w:t>16.2基金财产的清算</w:t>
      </w:r>
    </w:p>
    <w:p w14:paraId="233F7AF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16.2.1基金财产清算小组</w:t>
      </w:r>
    </w:p>
    <w:p w14:paraId="555D19C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（1）自出现基金合同终止事由之日起30个工作日内成立基金财产清算小组，基金管理人</w:t>
      </w:r>
      <w:r w:rsidR="006A2A14">
        <w:rPr>
          <w:rFonts w:hint="eastAsia"/>
          <w:bCs/>
        </w:rPr>
        <w:t>或临时基金管理人</w:t>
      </w:r>
      <w:r>
        <w:rPr>
          <w:rFonts w:asciiTheme="minorEastAsia" w:eastAsiaTheme="minorEastAsia" w:hAnsiTheme="minorEastAsia" w:hint="eastAsia"/>
          <w:szCs w:val="24"/>
        </w:rPr>
        <w:t>组织基金财产清算小组并在中国证监会的监督下进行基金清算。</w:t>
      </w:r>
    </w:p>
    <w:p w14:paraId="6FB24B5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（2）基金财产清算小组成员由基金管理人</w:t>
      </w:r>
      <w:r w:rsidR="006A2A14">
        <w:rPr>
          <w:rFonts w:hint="eastAsia"/>
          <w:bCs/>
        </w:rPr>
        <w:t>或临时基金管理人</w:t>
      </w:r>
      <w:r>
        <w:rPr>
          <w:rFonts w:asciiTheme="minorEastAsia" w:eastAsiaTheme="minorEastAsia" w:hAnsiTheme="minorEastAsia" w:hint="eastAsia"/>
          <w:szCs w:val="24"/>
        </w:rPr>
        <w:t>、基金托管人、符合《中华人民共和国证券法》规定的注册会计师、律师以及中国证监会指定的人员组成。基金财产清算小组可以聘用必要的工作人员。</w:t>
      </w:r>
    </w:p>
    <w:p w14:paraId="2601525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（3）在基金财产清算过程中，基金管理人和基金托管人应各自履行职责，继续忠实、勤勉、尽责地履行基金合同和本协议规定的义务，维护基金份额持有人的合法权益。</w:t>
      </w:r>
    </w:p>
    <w:p w14:paraId="1BC00E9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（4）基金财产清算小组负责基金财产的保管、清理、估价、变现和分配。基金财产清算小组可以依法进行必要的民事活动。</w:t>
      </w:r>
    </w:p>
    <w:p w14:paraId="31FCD24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16.2.2基金财产清算程序</w:t>
      </w:r>
    </w:p>
    <w:p w14:paraId="4B1AFD2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基金合同终止情形出现时，应当按法律法规和基金合同的有关规定对基金财产进行清算。基金财产清算程序主要包括：</w:t>
      </w:r>
    </w:p>
    <w:p w14:paraId="656F80F6" w14:textId="31E968A9"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t>（1）《基金合同》终止情形出现时，由基金财产清算小组统一接管基金财产；</w:t>
      </w:r>
    </w:p>
    <w:p w14:paraId="01B34080" w14:textId="77777777"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lastRenderedPageBreak/>
        <w:t>（2）对基金财产和债权债务进行清理和确认；</w:t>
      </w:r>
    </w:p>
    <w:p w14:paraId="54BE2DE3" w14:textId="77777777"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t>（3）对基金财产进行估值和变现；</w:t>
      </w:r>
    </w:p>
    <w:p w14:paraId="1EF350EF" w14:textId="77777777"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t>（4）制作清算报告；</w:t>
      </w:r>
    </w:p>
    <w:p w14:paraId="7774A7C7" w14:textId="77777777"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t>（5）聘请会计师事务所对清算报告进行外部审计，聘请律师事务所对清算报告出具法律意见书；</w:t>
      </w:r>
    </w:p>
    <w:p w14:paraId="51557E05" w14:textId="77777777"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t>（6）将清算报告报中国证监会备案并公告；</w:t>
      </w:r>
    </w:p>
    <w:p w14:paraId="57D0620D" w14:textId="77777777" w:rsidR="00204A30" w:rsidRDefault="007641D4">
      <w:pPr>
        <w:pStyle w:val="21"/>
        <w:adjustRightInd w:val="0"/>
        <w:snapToGrid w:val="0"/>
        <w:spacing w:line="520" w:lineRule="atLeast"/>
        <w:rPr>
          <w:rFonts w:asciiTheme="minorEastAsia" w:eastAsiaTheme="minorEastAsia" w:hAnsiTheme="minorEastAsia"/>
          <w:bCs/>
          <w:szCs w:val="24"/>
        </w:rPr>
      </w:pPr>
      <w:r>
        <w:rPr>
          <w:rFonts w:asciiTheme="minorEastAsia" w:eastAsiaTheme="minorEastAsia" w:hAnsiTheme="minorEastAsia" w:hint="eastAsia"/>
          <w:bCs/>
          <w:szCs w:val="24"/>
        </w:rPr>
        <w:t>（7）对基金剩余财产进行分配。</w:t>
      </w:r>
    </w:p>
    <w:p w14:paraId="704E7D90" w14:textId="77777777" w:rsidR="00204A30" w:rsidRDefault="00A467BB">
      <w:pPr>
        <w:pStyle w:val="21"/>
        <w:adjustRightInd w:val="0"/>
        <w:snapToGrid w:val="0"/>
        <w:spacing w:before="0" w:after="0" w:line="520" w:lineRule="atLeast"/>
        <w:ind w:left="0" w:firstLine="420"/>
        <w:rPr>
          <w:rFonts w:asciiTheme="minorEastAsia" w:eastAsiaTheme="minorEastAsia" w:hAnsiTheme="minorEastAsia"/>
          <w:bCs/>
          <w:szCs w:val="24"/>
        </w:rPr>
      </w:pPr>
      <w:r>
        <w:rPr>
          <w:bCs/>
        </w:rPr>
        <w:t>基金财产清算的期限为</w:t>
      </w:r>
      <w:r>
        <w:rPr>
          <w:rFonts w:hint="eastAsia"/>
          <w:bCs/>
        </w:rPr>
        <w:t>6</w:t>
      </w:r>
      <w:r>
        <w:rPr>
          <w:bCs/>
        </w:rPr>
        <w:t>个月，但因本基金所持证券的流动性受到限制而不能及时变现的，清算期限相应顺延</w:t>
      </w:r>
      <w:r w:rsidR="007641D4">
        <w:rPr>
          <w:rFonts w:asciiTheme="minorEastAsia" w:eastAsiaTheme="minorEastAsia" w:hAnsiTheme="minorEastAsia" w:hint="eastAsia"/>
          <w:bCs/>
          <w:szCs w:val="24"/>
        </w:rPr>
        <w:t>。</w:t>
      </w:r>
    </w:p>
    <w:p w14:paraId="0E33EC4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16.2.3清算费用</w:t>
      </w:r>
    </w:p>
    <w:p w14:paraId="78FC607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清算费用是指基金财产清算小组在进行基金清算过程中发生的所有合理费用，清算费用由基金财产清算小组优先从基金财产中支付。</w:t>
      </w:r>
    </w:p>
    <w:p w14:paraId="050CCA8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16.2.4基金财产按下列顺序清偿：</w:t>
      </w:r>
    </w:p>
    <w:p w14:paraId="56C2AA6E"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（1）支付清算费用；</w:t>
      </w:r>
    </w:p>
    <w:p w14:paraId="051134C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（2）交纳所欠税款；</w:t>
      </w:r>
    </w:p>
    <w:p w14:paraId="0023531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（3）清偿基金债务；</w:t>
      </w:r>
    </w:p>
    <w:p w14:paraId="6637A98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（4）按基金份额持有人持有的基金份额比例进行分配。</w:t>
      </w:r>
    </w:p>
    <w:p w14:paraId="006F191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基金财产未按前款（1）－（3）项规定清偿前，不分配给基金份额持有人。</w:t>
      </w:r>
    </w:p>
    <w:p w14:paraId="4121DA4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16.2.5基金财产清算的公告</w:t>
      </w:r>
    </w:p>
    <w:p w14:paraId="4ABE95C1" w14:textId="1C4543EF" w:rsidR="00204A30" w:rsidRDefault="007641D4">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清算过程中的有关重大事项须及时公告；基金财产清算报告</w:t>
      </w:r>
      <w:proofErr w:type="gramStart"/>
      <w:r>
        <w:rPr>
          <w:rFonts w:asciiTheme="minorEastAsia" w:eastAsiaTheme="minorEastAsia" w:hAnsiTheme="minorEastAsia" w:hint="eastAsia"/>
          <w:bCs/>
          <w:sz w:val="24"/>
          <w:szCs w:val="24"/>
        </w:rPr>
        <w:t>经符合</w:t>
      </w:r>
      <w:proofErr w:type="gramEnd"/>
      <w:r>
        <w:rPr>
          <w:rFonts w:asciiTheme="minorEastAsia" w:eastAsiaTheme="minorEastAsia" w:hAnsiTheme="minorEastAsia" w:hint="eastAsia"/>
          <w:bCs/>
          <w:sz w:val="24"/>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C83DD8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16.2.6基金财产清算账册及文件的保存</w:t>
      </w:r>
    </w:p>
    <w:p w14:paraId="39D5C09C" w14:textId="0FBDA5ED"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基金财产清算账册及有关文件由基金托管人保存</w:t>
      </w:r>
      <w:r>
        <w:rPr>
          <w:rFonts w:hAnsi="宋体" w:cs="宋体" w:hint="eastAsia"/>
          <w:bCs/>
        </w:rPr>
        <w:t>不低于法律法规规定的最低期限</w:t>
      </w:r>
      <w:r>
        <w:rPr>
          <w:rFonts w:asciiTheme="minorEastAsia" w:eastAsiaTheme="minorEastAsia" w:hAnsiTheme="minorEastAsia" w:hint="eastAsia"/>
          <w:szCs w:val="24"/>
        </w:rPr>
        <w:t>。</w:t>
      </w:r>
      <w:bookmarkStart w:id="82" w:name="_Toc296551353"/>
    </w:p>
    <w:p w14:paraId="584AE83A"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83" w:name="_Toc116889553"/>
      <w:bookmarkEnd w:id="81"/>
      <w:r>
        <w:rPr>
          <w:rFonts w:asciiTheme="minorEastAsia" w:eastAsiaTheme="minorEastAsia" w:hAnsiTheme="minorEastAsia" w:hint="eastAsia"/>
          <w:bCs/>
          <w:color w:val="auto"/>
          <w:szCs w:val="24"/>
        </w:rPr>
        <w:lastRenderedPageBreak/>
        <w:t>第十七条 违约责任</w:t>
      </w:r>
      <w:bookmarkEnd w:id="82"/>
      <w:bookmarkEnd w:id="83"/>
    </w:p>
    <w:p w14:paraId="4CBBE4D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17.1如果基金管理人或基金托管人不履行本协议或者履行本协议不符合约定的，应当承担违约责任。</w:t>
      </w:r>
    </w:p>
    <w:p w14:paraId="5F460768"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1C9706B0"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84" w:name="_Hlk84760572"/>
      <w:r>
        <w:rPr>
          <w:rFonts w:asciiTheme="minorEastAsia" w:eastAsiaTheme="minorEastAsia" w:hAnsiTheme="minorEastAsia" w:hint="eastAsia"/>
          <w:szCs w:val="24"/>
        </w:rPr>
        <w:t>（1）不可抗力；</w:t>
      </w:r>
    </w:p>
    <w:p w14:paraId="68E8429C" w14:textId="5CDC54A0"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（2）基金管理人</w:t>
      </w:r>
      <w:r>
        <w:rPr>
          <w:rFonts w:asciiTheme="minorEastAsia" w:eastAsiaTheme="minorEastAsia" w:hAnsiTheme="minorEastAsia" w:hint="eastAsia"/>
          <w:bCs/>
          <w:szCs w:val="24"/>
        </w:rPr>
        <w:t>和/或</w:t>
      </w:r>
      <w:r>
        <w:rPr>
          <w:rFonts w:asciiTheme="minorEastAsia" w:eastAsiaTheme="minorEastAsia" w:hAnsiTheme="minorEastAsia" w:hint="eastAsia"/>
          <w:szCs w:val="24"/>
        </w:rPr>
        <w:t>基金托管人按照</w:t>
      </w:r>
      <w:r>
        <w:rPr>
          <w:rFonts w:asciiTheme="minorEastAsia" w:eastAsiaTheme="minorEastAsia" w:hAnsiTheme="minorEastAsia" w:hint="eastAsia"/>
          <w:bCs/>
          <w:szCs w:val="24"/>
        </w:rPr>
        <w:t>届时</w:t>
      </w:r>
      <w:r>
        <w:rPr>
          <w:rFonts w:asciiTheme="minorEastAsia" w:eastAsiaTheme="minorEastAsia" w:hAnsiTheme="minorEastAsia" w:hint="eastAsia"/>
          <w:szCs w:val="24"/>
        </w:rPr>
        <w:t>有效的法律法规或中国证监会的规定作为或不作为而造成的损失等；</w:t>
      </w:r>
    </w:p>
    <w:p w14:paraId="31504F1D"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（3）基金管理人由于按照基金合同规定的投资原则</w:t>
      </w:r>
      <w:r>
        <w:rPr>
          <w:rFonts w:hint="eastAsia"/>
        </w:rPr>
        <w:t>行使或不行使其投资权</w:t>
      </w:r>
      <w:r>
        <w:rPr>
          <w:rFonts w:asciiTheme="minorEastAsia" w:eastAsiaTheme="minorEastAsia" w:hAnsiTheme="minorEastAsia" w:hint="eastAsia"/>
          <w:szCs w:val="24"/>
        </w:rPr>
        <w:t>而造成的损失等。</w:t>
      </w:r>
    </w:p>
    <w:bookmarkEnd w:id="84"/>
    <w:p w14:paraId="70F7C959"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6CF455EA"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490D223"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17.5违约行为虽已发生，但本协议能够继续履行的，在最大限度地保护基金份额持有人利益的前提下，基金管理人和基金托管人应当继续履行本协议。</w:t>
      </w:r>
    </w:p>
    <w:p w14:paraId="72DA8AB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17.6</w:t>
      </w:r>
      <w:bookmarkStart w:id="85" w:name="_Hlk84760742"/>
      <w:r>
        <w:rPr>
          <w:rFonts w:asciiTheme="minorEastAsia" w:eastAsiaTheme="minorEastAsia" w:hAnsiTheme="minorEastAsia" w:hint="eastAsia"/>
          <w:szCs w:val="24"/>
        </w:rPr>
        <w:t>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bookmarkEnd w:id="85"/>
      <w:r>
        <w:rPr>
          <w:rFonts w:asciiTheme="minorEastAsia" w:eastAsiaTheme="minorEastAsia" w:hAnsiTheme="minorEastAsia" w:hint="eastAsia"/>
          <w:szCs w:val="24"/>
        </w:rPr>
        <w:t>。</w:t>
      </w:r>
    </w:p>
    <w:p w14:paraId="45086E04"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17.7本协议所指损失均为直接损失。</w:t>
      </w:r>
    </w:p>
    <w:p w14:paraId="6F7159B4"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86" w:name="_Toc296551354"/>
      <w:bookmarkStart w:id="87" w:name="_Toc116889554"/>
      <w:r>
        <w:rPr>
          <w:rFonts w:asciiTheme="minorEastAsia" w:eastAsiaTheme="minorEastAsia" w:hAnsiTheme="minorEastAsia" w:hint="eastAsia"/>
          <w:bCs/>
          <w:color w:val="auto"/>
          <w:szCs w:val="24"/>
        </w:rPr>
        <w:lastRenderedPageBreak/>
        <w:t>第十八条 法律适用和争议解决</w:t>
      </w:r>
      <w:bookmarkEnd w:id="86"/>
      <w:bookmarkEnd w:id="87"/>
    </w:p>
    <w:p w14:paraId="6A8B4ED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本协议的效力、解释、变更、执行及争议的解决等均适用中华人民共和国法律（为本协议之目的，不包括香港特别行政区、澳门特别行政区以及台湾地区法律），并按照中华人民共和国法律解释。</w:t>
      </w:r>
    </w:p>
    <w:p w14:paraId="7D5B8EA6"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凡因本协议产生的及与本协议有关的争议，双方当事人均应协商解决；协商不成的，</w:t>
      </w:r>
      <w:r w:rsidR="007976C5" w:rsidRPr="007976C5">
        <w:rPr>
          <w:rFonts w:asciiTheme="minorEastAsia" w:eastAsiaTheme="minorEastAsia" w:hAnsiTheme="minorEastAsia" w:hint="eastAsia"/>
          <w:szCs w:val="24"/>
        </w:rPr>
        <w:t>应提交中国国际经济贸易仲裁委员会，按照该会届时有效的仲裁规则进行仲裁，仲裁地点为北京市</w:t>
      </w:r>
      <w:r>
        <w:rPr>
          <w:rFonts w:asciiTheme="minorEastAsia" w:eastAsiaTheme="minorEastAsia" w:hAnsiTheme="minorEastAsia" w:hint="eastAsia"/>
          <w:szCs w:val="24"/>
        </w:rPr>
        <w:t>，仲裁裁决是终局性的并对双方均有约束力，除非仲裁裁决另有规定，仲裁费用由败诉方承担。</w:t>
      </w:r>
    </w:p>
    <w:p w14:paraId="3C7C77A2"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争议处理期间，双方当事人应恪守基金管理人和基金托管人职责，继续忠实、勤勉、尽责地履行基金合同和本协议规定的义务，维护基金份额持有人的合法权益。</w:t>
      </w:r>
    </w:p>
    <w:p w14:paraId="0E06491D" w14:textId="77777777" w:rsidR="00204A30" w:rsidRDefault="007641D4">
      <w:pPr>
        <w:pStyle w:val="1"/>
        <w:adjustRightInd w:val="0"/>
        <w:spacing w:line="520" w:lineRule="atLeast"/>
        <w:ind w:firstLineChars="200" w:firstLine="482"/>
        <w:rPr>
          <w:rFonts w:asciiTheme="minorEastAsia" w:eastAsiaTheme="minorEastAsia" w:hAnsiTheme="minorEastAsia"/>
          <w:bCs/>
          <w:color w:val="auto"/>
          <w:szCs w:val="24"/>
        </w:rPr>
      </w:pPr>
      <w:bookmarkStart w:id="88" w:name="_Toc296551355"/>
      <w:bookmarkStart w:id="89" w:name="_Toc116889555"/>
      <w:r>
        <w:rPr>
          <w:rFonts w:asciiTheme="minorEastAsia" w:eastAsiaTheme="minorEastAsia" w:hAnsiTheme="minorEastAsia" w:hint="eastAsia"/>
          <w:bCs/>
          <w:color w:val="auto"/>
          <w:szCs w:val="24"/>
        </w:rPr>
        <w:t>第十九条 本协议的效力</w:t>
      </w:r>
      <w:bookmarkEnd w:id="88"/>
      <w:bookmarkEnd w:id="89"/>
    </w:p>
    <w:p w14:paraId="222F870C"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19.1基金管理人在向中国证监会申请</w:t>
      </w:r>
      <w:r w:rsidR="00183300">
        <w:rPr>
          <w:rFonts w:asciiTheme="minorEastAsia" w:eastAsiaTheme="minorEastAsia" w:hAnsiTheme="minorEastAsia" w:hint="eastAsia"/>
          <w:szCs w:val="24"/>
        </w:rPr>
        <w:t>募集注册本</w:t>
      </w:r>
      <w:r>
        <w:rPr>
          <w:rFonts w:asciiTheme="minorEastAsia" w:eastAsiaTheme="minorEastAsia" w:hAnsiTheme="minorEastAsia" w:hint="eastAsia"/>
          <w:szCs w:val="24"/>
        </w:rPr>
        <w:t>基金时提交的托管协议草案，应经托管协议当事人加盖公章或合同专用章以及双方法定代表人或授权代理人签字或签章，本协议当事人双方可能不时根据中国证监会的意见修改托管协议草案。本协议以中国证监会注册的最终文本为正式文本。</w:t>
      </w:r>
    </w:p>
    <w:p w14:paraId="145CA2F7"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19.2本协议自基金合同成立之日起成立，自基金合同生效之日起生效。除本协议另有约定外，本协议的有效期自其生效之日起至该基金财产清算结果报中国证监会备案并公告之日止。</w:t>
      </w:r>
    </w:p>
    <w:p w14:paraId="40E49BC5"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19.3本协议自生效之日起对双方具有同等的法律约束力。</w:t>
      </w:r>
    </w:p>
    <w:p w14:paraId="1D38BDB1" w14:textId="77777777" w:rsidR="00204A30" w:rsidRDefault="007641D4">
      <w:pPr>
        <w:pStyle w:val="21"/>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19.4本协议正本一式叁份，除上报有关监管机构壹份外，基金管理人和基金托管人分别持有壹份，每份具有同等的法律效力。</w:t>
      </w:r>
    </w:p>
    <w:p w14:paraId="24D20313"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bookmarkStart w:id="90" w:name="_Toc132794324"/>
      <w:bookmarkStart w:id="91" w:name="_Toc132794326"/>
      <w:bookmarkStart w:id="92" w:name="_Toc132794327"/>
      <w:bookmarkStart w:id="93" w:name="_Toc132794328"/>
      <w:bookmarkStart w:id="94" w:name="_Toc132794325"/>
      <w:bookmarkStart w:id="95" w:name="_Toc132794329"/>
      <w:bookmarkStart w:id="96" w:name="_Toc132794330"/>
      <w:bookmarkEnd w:id="90"/>
      <w:bookmarkEnd w:id="91"/>
      <w:bookmarkEnd w:id="92"/>
      <w:bookmarkEnd w:id="93"/>
      <w:bookmarkEnd w:id="94"/>
      <w:bookmarkEnd w:id="95"/>
      <w:bookmarkEnd w:id="96"/>
    </w:p>
    <w:p w14:paraId="27CCA63A" w14:textId="77777777" w:rsidR="00204A30" w:rsidRDefault="007641D4">
      <w:pPr>
        <w:widowControl/>
        <w:jc w:val="left"/>
        <w:rPr>
          <w:rFonts w:asciiTheme="minorEastAsia" w:eastAsiaTheme="minorEastAsia" w:hAnsiTheme="minorEastAsia"/>
          <w:sz w:val="24"/>
          <w:szCs w:val="24"/>
        </w:rPr>
      </w:pPr>
      <w:r>
        <w:rPr>
          <w:rFonts w:asciiTheme="minorEastAsia" w:eastAsiaTheme="minorEastAsia" w:hAnsiTheme="minorEastAsia"/>
          <w:szCs w:val="24"/>
        </w:rPr>
        <w:br w:type="page"/>
      </w:r>
    </w:p>
    <w:p w14:paraId="7111CCFE" w14:textId="3A87BC3A"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lastRenderedPageBreak/>
        <w:t>（本页无正文，为《</w:t>
      </w:r>
      <w:r w:rsidR="005E0A7E">
        <w:rPr>
          <w:rFonts w:asciiTheme="minorEastAsia" w:eastAsiaTheme="minorEastAsia" w:hAnsiTheme="minorEastAsia" w:hint="eastAsia"/>
          <w:szCs w:val="24"/>
        </w:rPr>
        <w:t>中信建投中证同业存单AAA指数</w:t>
      </w:r>
      <w:r>
        <w:rPr>
          <w:rFonts w:asciiTheme="minorEastAsia" w:eastAsiaTheme="minorEastAsia" w:hAnsiTheme="minorEastAsia" w:hint="eastAsia"/>
          <w:szCs w:val="24"/>
        </w:rPr>
        <w:t>7天持有期证券投资基金托管协议》的签字页）</w:t>
      </w:r>
    </w:p>
    <w:p w14:paraId="52F228E1"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p>
    <w:p w14:paraId="2F171C47"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24A48FC9"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基金管理人：</w:t>
      </w:r>
      <w:r w:rsidR="004322DA">
        <w:rPr>
          <w:rFonts w:asciiTheme="minorEastAsia" w:eastAsiaTheme="minorEastAsia" w:hAnsiTheme="minorEastAsia" w:hint="eastAsia"/>
          <w:szCs w:val="24"/>
        </w:rPr>
        <w:t>中信</w:t>
      </w:r>
      <w:proofErr w:type="gramStart"/>
      <w:r w:rsidR="004322DA">
        <w:rPr>
          <w:rFonts w:asciiTheme="minorEastAsia" w:eastAsiaTheme="minorEastAsia" w:hAnsiTheme="minorEastAsia" w:hint="eastAsia"/>
          <w:szCs w:val="24"/>
        </w:rPr>
        <w:t>建投基金</w:t>
      </w:r>
      <w:proofErr w:type="gramEnd"/>
      <w:r w:rsidR="004322DA">
        <w:rPr>
          <w:rFonts w:asciiTheme="minorEastAsia" w:eastAsiaTheme="minorEastAsia" w:hAnsiTheme="minorEastAsia" w:hint="eastAsia"/>
          <w:szCs w:val="24"/>
        </w:rPr>
        <w:t>管理有限公司</w:t>
      </w:r>
      <w:r>
        <w:rPr>
          <w:rFonts w:asciiTheme="minorEastAsia" w:eastAsiaTheme="minorEastAsia" w:hAnsiTheme="minorEastAsia" w:hint="eastAsia"/>
          <w:szCs w:val="24"/>
        </w:rPr>
        <w:t>（盖章）</w:t>
      </w:r>
    </w:p>
    <w:p w14:paraId="582CCA24"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4953A2CA"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法定代表人或授权代表（签字或盖章）：</w:t>
      </w:r>
    </w:p>
    <w:p w14:paraId="289905D0"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1180BBA8"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12ABCD43"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签署日期：</w:t>
      </w:r>
    </w:p>
    <w:p w14:paraId="63EE43C7"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p>
    <w:p w14:paraId="46AB0B39"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p>
    <w:p w14:paraId="2ADA730F"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p>
    <w:p w14:paraId="197CC8C3"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基金托管人：中信银行股份有限公司（盖章）</w:t>
      </w:r>
    </w:p>
    <w:p w14:paraId="632EB129"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114F674F"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法定代表人或授权代表（签字或盖章）：</w:t>
      </w:r>
    </w:p>
    <w:p w14:paraId="2E3B0D61"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2A7D0740"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198BE0E5"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 xml:space="preserve">签署日期：                 </w:t>
      </w:r>
    </w:p>
    <w:p w14:paraId="263F5EF9" w14:textId="77777777" w:rsidR="00204A30" w:rsidRDefault="00204A30">
      <w:pPr>
        <w:pStyle w:val="21"/>
        <w:adjustRightInd w:val="0"/>
        <w:snapToGrid w:val="0"/>
        <w:spacing w:before="0" w:after="0" w:line="520" w:lineRule="atLeast"/>
        <w:ind w:left="0" w:firstLineChars="200" w:firstLine="480"/>
        <w:rPr>
          <w:rFonts w:asciiTheme="minorEastAsia" w:eastAsiaTheme="minorEastAsia" w:hAnsiTheme="minorEastAsia"/>
          <w:szCs w:val="24"/>
        </w:rPr>
      </w:pPr>
    </w:p>
    <w:p w14:paraId="682B4F9F"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609A6672"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1E58FB88"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56B65B42" w14:textId="77777777" w:rsidR="00204A30" w:rsidRDefault="00204A30">
      <w:pPr>
        <w:pStyle w:val="21"/>
        <w:adjustRightInd w:val="0"/>
        <w:snapToGrid w:val="0"/>
        <w:spacing w:before="0" w:after="0" w:line="520" w:lineRule="atLeast"/>
        <w:ind w:left="0"/>
        <w:rPr>
          <w:rFonts w:asciiTheme="minorEastAsia" w:eastAsiaTheme="minorEastAsia" w:hAnsiTheme="minorEastAsia"/>
          <w:szCs w:val="24"/>
        </w:rPr>
      </w:pPr>
    </w:p>
    <w:p w14:paraId="2CD7DE6D" w14:textId="77777777" w:rsidR="00204A30" w:rsidRDefault="007641D4">
      <w:pPr>
        <w:pStyle w:val="21"/>
        <w:adjustRightInd w:val="0"/>
        <w:snapToGrid w:val="0"/>
        <w:spacing w:before="0" w:after="0" w:line="520" w:lineRule="atLeast"/>
        <w:ind w:left="0"/>
        <w:rPr>
          <w:rFonts w:asciiTheme="minorEastAsia" w:eastAsiaTheme="minorEastAsia" w:hAnsiTheme="minorEastAsia"/>
          <w:szCs w:val="24"/>
        </w:rPr>
      </w:pPr>
      <w:r>
        <w:rPr>
          <w:rFonts w:asciiTheme="minorEastAsia" w:eastAsiaTheme="minorEastAsia" w:hAnsiTheme="minorEastAsia" w:hint="eastAsia"/>
          <w:szCs w:val="24"/>
        </w:rPr>
        <w:t xml:space="preserve">签订地： </w:t>
      </w:r>
    </w:p>
    <w:p w14:paraId="707CC134" w14:textId="77777777" w:rsidR="00204A30" w:rsidRDefault="00204A30">
      <w:pPr>
        <w:pStyle w:val="21"/>
        <w:spacing w:before="0" w:after="0" w:line="520" w:lineRule="exact"/>
        <w:ind w:left="0" w:firstLineChars="200" w:firstLine="480"/>
        <w:rPr>
          <w:rFonts w:hAnsi="宋体"/>
          <w:szCs w:val="24"/>
        </w:rPr>
      </w:pPr>
    </w:p>
    <w:p w14:paraId="7D0CDE46" w14:textId="77777777" w:rsidR="00204A30" w:rsidRDefault="00204A30">
      <w:pPr>
        <w:pStyle w:val="21"/>
        <w:autoSpaceDE w:val="0"/>
        <w:autoSpaceDN w:val="0"/>
        <w:adjustRightInd w:val="0"/>
        <w:spacing w:before="0" w:after="0" w:line="520" w:lineRule="exact"/>
        <w:ind w:left="0" w:rightChars="11" w:right="23"/>
      </w:pPr>
    </w:p>
    <w:p w14:paraId="71B82354" w14:textId="77777777" w:rsidR="00204A30" w:rsidRDefault="00204A30"/>
    <w:sectPr w:rsidR="00204A30" w:rsidSect="0000136A">
      <w:headerReference w:type="default" r:id="rId9"/>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09EC" w14:textId="77777777" w:rsidR="00DD3D81" w:rsidRDefault="00DD3D81">
      <w:r>
        <w:separator/>
      </w:r>
    </w:p>
  </w:endnote>
  <w:endnote w:type="continuationSeparator" w:id="0">
    <w:p w14:paraId="1A34AA0C" w14:textId="77777777" w:rsidR="00DD3D81" w:rsidRDefault="00DD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B756" w14:textId="77777777" w:rsidR="00A347BA" w:rsidRDefault="00A347BA">
    <w:pPr>
      <w:pStyle w:val="ae"/>
      <w:framePr w:wrap="around" w:vAnchor="text" w:hAnchor="margin" w:xAlign="center" w:y="1"/>
      <w:rPr>
        <w:rStyle w:val="af4"/>
      </w:rPr>
    </w:pPr>
    <w:r>
      <w:fldChar w:fldCharType="begin"/>
    </w:r>
    <w:r>
      <w:rPr>
        <w:rStyle w:val="af4"/>
      </w:rPr>
      <w:instrText xml:space="preserve">PAGE  </w:instrText>
    </w:r>
    <w:r>
      <w:fldChar w:fldCharType="end"/>
    </w:r>
  </w:p>
  <w:p w14:paraId="0F4C5468" w14:textId="77777777" w:rsidR="00A347BA" w:rsidRDefault="00A347B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109" w14:textId="3E367E12" w:rsidR="00A347BA" w:rsidRDefault="00A347BA">
    <w:pPr>
      <w:pStyle w:val="ae"/>
      <w:framePr w:wrap="around" w:vAnchor="text" w:hAnchor="margin" w:xAlign="center" w:y="1"/>
      <w:rPr>
        <w:rStyle w:val="af4"/>
      </w:rPr>
    </w:pPr>
    <w:r>
      <w:fldChar w:fldCharType="begin"/>
    </w:r>
    <w:r>
      <w:rPr>
        <w:rStyle w:val="af4"/>
      </w:rPr>
      <w:instrText xml:space="preserve">PAGE  </w:instrText>
    </w:r>
    <w:r>
      <w:fldChar w:fldCharType="separate"/>
    </w:r>
    <w:r w:rsidR="002A2E76">
      <w:rPr>
        <w:rStyle w:val="af4"/>
        <w:noProof/>
      </w:rPr>
      <w:t>40</w:t>
    </w:r>
    <w:r>
      <w:fldChar w:fldCharType="end"/>
    </w:r>
  </w:p>
  <w:p w14:paraId="427828BB" w14:textId="77777777" w:rsidR="00A347BA" w:rsidRDefault="00A347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6C64" w14:textId="77777777" w:rsidR="00DD3D81" w:rsidRDefault="00DD3D81">
      <w:r>
        <w:separator/>
      </w:r>
    </w:p>
  </w:footnote>
  <w:footnote w:type="continuationSeparator" w:id="0">
    <w:p w14:paraId="31C94ECA" w14:textId="77777777" w:rsidR="00DD3D81" w:rsidRDefault="00DD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60F2" w14:textId="30E3BA20" w:rsidR="00A347BA" w:rsidRPr="00E80D00" w:rsidRDefault="00A347BA" w:rsidP="00E80D00">
    <w:pPr>
      <w:pStyle w:val="af0"/>
      <w:jc w:val="left"/>
    </w:pPr>
    <w:r>
      <w:rPr>
        <w:rFonts w:asciiTheme="minorEastAsia" w:eastAsiaTheme="minorEastAsia" w:hAnsiTheme="minorEastAsia" w:hint="eastAsia"/>
        <w:szCs w:val="24"/>
      </w:rPr>
      <w:t xml:space="preserve">中信建投中证同业存单AAA指数7天持有期证券投资基金       </w:t>
    </w:r>
    <w:r w:rsidR="00835F68">
      <w:rPr>
        <w:rFonts w:asciiTheme="minorEastAsia" w:eastAsiaTheme="minorEastAsia" w:hAnsiTheme="minorEastAsia"/>
        <w:szCs w:val="24"/>
      </w:rPr>
      <w:t xml:space="preserve">                    </w:t>
    </w:r>
    <w:r w:rsidR="00116EC3">
      <w:rPr>
        <w:rFonts w:asciiTheme="minorEastAsia" w:eastAsiaTheme="minorEastAsia" w:hAnsiTheme="minorEastAsia"/>
        <w:szCs w:val="24"/>
      </w:rPr>
      <w:t xml:space="preserve">       </w:t>
    </w:r>
    <w:r w:rsidR="00835F68">
      <w:rPr>
        <w:rFonts w:asciiTheme="minorEastAsia" w:eastAsiaTheme="minorEastAsia" w:hAnsiTheme="minorEastAsia"/>
        <w:szCs w:val="24"/>
      </w:rPr>
      <w:t xml:space="preserve">  </w:t>
    </w:r>
    <w:r>
      <w:rPr>
        <w:rFonts w:asciiTheme="minorEastAsia" w:eastAsiaTheme="minorEastAsia" w:hAnsiTheme="minorEastAsia" w:hint="eastAsia"/>
        <w:szCs w:val="24"/>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1C3F"/>
    <w:rsid w:val="0000136A"/>
    <w:rsid w:val="000117E9"/>
    <w:rsid w:val="000352AC"/>
    <w:rsid w:val="00041898"/>
    <w:rsid w:val="0004448C"/>
    <w:rsid w:val="000678A9"/>
    <w:rsid w:val="0007299D"/>
    <w:rsid w:val="000924D3"/>
    <w:rsid w:val="000B18F0"/>
    <w:rsid w:val="000D13F2"/>
    <w:rsid w:val="00116EC3"/>
    <w:rsid w:val="0012479E"/>
    <w:rsid w:val="00172BA1"/>
    <w:rsid w:val="001735A7"/>
    <w:rsid w:val="001826A2"/>
    <w:rsid w:val="00183300"/>
    <w:rsid w:val="00185160"/>
    <w:rsid w:val="00192B68"/>
    <w:rsid w:val="001A1856"/>
    <w:rsid w:val="001E49DE"/>
    <w:rsid w:val="001F1F2D"/>
    <w:rsid w:val="001F6EB1"/>
    <w:rsid w:val="0020132B"/>
    <w:rsid w:val="00204A30"/>
    <w:rsid w:val="00221CE6"/>
    <w:rsid w:val="00230650"/>
    <w:rsid w:val="002368E3"/>
    <w:rsid w:val="00237041"/>
    <w:rsid w:val="00237EB9"/>
    <w:rsid w:val="00240FF8"/>
    <w:rsid w:val="00243700"/>
    <w:rsid w:val="002450BB"/>
    <w:rsid w:val="00247B18"/>
    <w:rsid w:val="0026243F"/>
    <w:rsid w:val="002700F2"/>
    <w:rsid w:val="0027266A"/>
    <w:rsid w:val="00277DD7"/>
    <w:rsid w:val="002A2E76"/>
    <w:rsid w:val="002B76F3"/>
    <w:rsid w:val="002B78AB"/>
    <w:rsid w:val="002C0254"/>
    <w:rsid w:val="002E6FF8"/>
    <w:rsid w:val="002F3C95"/>
    <w:rsid w:val="002F5E82"/>
    <w:rsid w:val="003008CD"/>
    <w:rsid w:val="003045F5"/>
    <w:rsid w:val="0032232D"/>
    <w:rsid w:val="00324E18"/>
    <w:rsid w:val="00355E74"/>
    <w:rsid w:val="00387611"/>
    <w:rsid w:val="00392B31"/>
    <w:rsid w:val="003A32E4"/>
    <w:rsid w:val="003A762A"/>
    <w:rsid w:val="003B1267"/>
    <w:rsid w:val="003B57F1"/>
    <w:rsid w:val="003D1535"/>
    <w:rsid w:val="003D16D0"/>
    <w:rsid w:val="003D19EE"/>
    <w:rsid w:val="003E2EF4"/>
    <w:rsid w:val="00421897"/>
    <w:rsid w:val="004322DA"/>
    <w:rsid w:val="004326AC"/>
    <w:rsid w:val="00436490"/>
    <w:rsid w:val="004664F3"/>
    <w:rsid w:val="00470692"/>
    <w:rsid w:val="00476C90"/>
    <w:rsid w:val="00482790"/>
    <w:rsid w:val="00482F86"/>
    <w:rsid w:val="004A3115"/>
    <w:rsid w:val="004A66DE"/>
    <w:rsid w:val="004B70F8"/>
    <w:rsid w:val="004C33F9"/>
    <w:rsid w:val="004D6C2D"/>
    <w:rsid w:val="00511B7B"/>
    <w:rsid w:val="00521184"/>
    <w:rsid w:val="00535D2D"/>
    <w:rsid w:val="0056071B"/>
    <w:rsid w:val="00562D49"/>
    <w:rsid w:val="005731CC"/>
    <w:rsid w:val="005916DB"/>
    <w:rsid w:val="005A2524"/>
    <w:rsid w:val="005B1754"/>
    <w:rsid w:val="005E0A7E"/>
    <w:rsid w:val="005E5B31"/>
    <w:rsid w:val="005F4207"/>
    <w:rsid w:val="005F421B"/>
    <w:rsid w:val="005F4A4B"/>
    <w:rsid w:val="005F67F8"/>
    <w:rsid w:val="00603518"/>
    <w:rsid w:val="00641E10"/>
    <w:rsid w:val="00650346"/>
    <w:rsid w:val="00651D6F"/>
    <w:rsid w:val="006573EA"/>
    <w:rsid w:val="0067552F"/>
    <w:rsid w:val="006821F9"/>
    <w:rsid w:val="006863B8"/>
    <w:rsid w:val="00696C5C"/>
    <w:rsid w:val="006A0065"/>
    <w:rsid w:val="006A2A14"/>
    <w:rsid w:val="006B0530"/>
    <w:rsid w:val="006C0D21"/>
    <w:rsid w:val="006D7F10"/>
    <w:rsid w:val="006E51BB"/>
    <w:rsid w:val="006E76C5"/>
    <w:rsid w:val="0070579A"/>
    <w:rsid w:val="007065FF"/>
    <w:rsid w:val="00710EDA"/>
    <w:rsid w:val="00723E80"/>
    <w:rsid w:val="00731CDB"/>
    <w:rsid w:val="00737427"/>
    <w:rsid w:val="00755AFB"/>
    <w:rsid w:val="007641D4"/>
    <w:rsid w:val="00772C33"/>
    <w:rsid w:val="00783044"/>
    <w:rsid w:val="00795374"/>
    <w:rsid w:val="007976C5"/>
    <w:rsid w:val="007A32A3"/>
    <w:rsid w:val="007A6EA4"/>
    <w:rsid w:val="007B099C"/>
    <w:rsid w:val="007B1DC4"/>
    <w:rsid w:val="007D2DBF"/>
    <w:rsid w:val="007F63C8"/>
    <w:rsid w:val="008025E7"/>
    <w:rsid w:val="00806DB2"/>
    <w:rsid w:val="00825840"/>
    <w:rsid w:val="00833D73"/>
    <w:rsid w:val="00835F68"/>
    <w:rsid w:val="00841C3F"/>
    <w:rsid w:val="00851CD9"/>
    <w:rsid w:val="00865041"/>
    <w:rsid w:val="008672C0"/>
    <w:rsid w:val="00886B9B"/>
    <w:rsid w:val="008931BE"/>
    <w:rsid w:val="009122D0"/>
    <w:rsid w:val="00913072"/>
    <w:rsid w:val="00930E53"/>
    <w:rsid w:val="009361E0"/>
    <w:rsid w:val="00937D5F"/>
    <w:rsid w:val="00960C1F"/>
    <w:rsid w:val="00974E42"/>
    <w:rsid w:val="00975BD7"/>
    <w:rsid w:val="00981188"/>
    <w:rsid w:val="00986B9C"/>
    <w:rsid w:val="009961B8"/>
    <w:rsid w:val="009A06E9"/>
    <w:rsid w:val="009B38C3"/>
    <w:rsid w:val="009C06E1"/>
    <w:rsid w:val="009C55DC"/>
    <w:rsid w:val="009E490C"/>
    <w:rsid w:val="009E7223"/>
    <w:rsid w:val="009F47ED"/>
    <w:rsid w:val="009F64E6"/>
    <w:rsid w:val="00A13C1C"/>
    <w:rsid w:val="00A21314"/>
    <w:rsid w:val="00A326CF"/>
    <w:rsid w:val="00A347BA"/>
    <w:rsid w:val="00A467BB"/>
    <w:rsid w:val="00A50285"/>
    <w:rsid w:val="00A6771E"/>
    <w:rsid w:val="00A8262B"/>
    <w:rsid w:val="00A85A46"/>
    <w:rsid w:val="00A97606"/>
    <w:rsid w:val="00AA49F7"/>
    <w:rsid w:val="00AB50FF"/>
    <w:rsid w:val="00AB52A8"/>
    <w:rsid w:val="00AB5C09"/>
    <w:rsid w:val="00AB6BF3"/>
    <w:rsid w:val="00AB7249"/>
    <w:rsid w:val="00AE3EE0"/>
    <w:rsid w:val="00AF1F6A"/>
    <w:rsid w:val="00AF4FDE"/>
    <w:rsid w:val="00B12FB4"/>
    <w:rsid w:val="00B23AC0"/>
    <w:rsid w:val="00B50F5D"/>
    <w:rsid w:val="00B61539"/>
    <w:rsid w:val="00B913C7"/>
    <w:rsid w:val="00B930C6"/>
    <w:rsid w:val="00BA0814"/>
    <w:rsid w:val="00BB20E8"/>
    <w:rsid w:val="00BB300E"/>
    <w:rsid w:val="00BB5A74"/>
    <w:rsid w:val="00BE231A"/>
    <w:rsid w:val="00BE766E"/>
    <w:rsid w:val="00BF3D1D"/>
    <w:rsid w:val="00C055C8"/>
    <w:rsid w:val="00C20685"/>
    <w:rsid w:val="00C2463B"/>
    <w:rsid w:val="00C47DC9"/>
    <w:rsid w:val="00C651C8"/>
    <w:rsid w:val="00C73D61"/>
    <w:rsid w:val="00C75EF1"/>
    <w:rsid w:val="00C76E26"/>
    <w:rsid w:val="00C95C2F"/>
    <w:rsid w:val="00CA0F63"/>
    <w:rsid w:val="00CA6B0D"/>
    <w:rsid w:val="00CA71EB"/>
    <w:rsid w:val="00CB15A2"/>
    <w:rsid w:val="00CB7669"/>
    <w:rsid w:val="00CD2A71"/>
    <w:rsid w:val="00CD47D3"/>
    <w:rsid w:val="00CE48B4"/>
    <w:rsid w:val="00CF149A"/>
    <w:rsid w:val="00CF1C3F"/>
    <w:rsid w:val="00CF44B4"/>
    <w:rsid w:val="00D04F7E"/>
    <w:rsid w:val="00D1438E"/>
    <w:rsid w:val="00D21846"/>
    <w:rsid w:val="00D4276B"/>
    <w:rsid w:val="00D70141"/>
    <w:rsid w:val="00D72659"/>
    <w:rsid w:val="00D77FD4"/>
    <w:rsid w:val="00D93E22"/>
    <w:rsid w:val="00DA431D"/>
    <w:rsid w:val="00DA52A0"/>
    <w:rsid w:val="00DB59DB"/>
    <w:rsid w:val="00DD24EC"/>
    <w:rsid w:val="00DD3D81"/>
    <w:rsid w:val="00DD5832"/>
    <w:rsid w:val="00DD5AE1"/>
    <w:rsid w:val="00DE6BBF"/>
    <w:rsid w:val="00DF2438"/>
    <w:rsid w:val="00DF3018"/>
    <w:rsid w:val="00E1346B"/>
    <w:rsid w:val="00E54057"/>
    <w:rsid w:val="00E5595B"/>
    <w:rsid w:val="00E56D5A"/>
    <w:rsid w:val="00E80D00"/>
    <w:rsid w:val="00EC08EE"/>
    <w:rsid w:val="00ED1D43"/>
    <w:rsid w:val="00ED6C7D"/>
    <w:rsid w:val="00EE519A"/>
    <w:rsid w:val="00EF2F0E"/>
    <w:rsid w:val="00EF7FA6"/>
    <w:rsid w:val="00F043E7"/>
    <w:rsid w:val="00F132A3"/>
    <w:rsid w:val="00F345A0"/>
    <w:rsid w:val="00F451D0"/>
    <w:rsid w:val="00F4676E"/>
    <w:rsid w:val="00F6197D"/>
    <w:rsid w:val="00F9221A"/>
    <w:rsid w:val="00FA4E4D"/>
    <w:rsid w:val="00FB3218"/>
    <w:rsid w:val="00FC26E3"/>
    <w:rsid w:val="00FC3F78"/>
    <w:rsid w:val="00FC3FA6"/>
    <w:rsid w:val="00FC7A66"/>
    <w:rsid w:val="00FD1797"/>
    <w:rsid w:val="00FD5EC2"/>
    <w:rsid w:val="00FE3196"/>
    <w:rsid w:val="30F74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63C56E6E"/>
  <w15:docId w15:val="{34467D01-8309-4876-BDCF-788BE9AD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FollowedHyperlink" w:uiPriority="0" w:qFormat="1"/>
    <w:lsdException w:name="Strong" w:uiPriority="22" w:qFormat="1"/>
    <w:lsdException w:name="Emphasis" w:uiPriority="2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36A"/>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00136A"/>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0"/>
    <w:qFormat/>
    <w:rsid w:val="0000136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0013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00136A"/>
    <w:rPr>
      <w:rFonts w:ascii="宋体" w:hAnsi="Calibri"/>
      <w:kern w:val="0"/>
      <w:sz w:val="18"/>
      <w:szCs w:val="18"/>
    </w:rPr>
  </w:style>
  <w:style w:type="paragraph" w:styleId="a5">
    <w:name w:val="annotation text"/>
    <w:basedOn w:val="a"/>
    <w:link w:val="11"/>
    <w:unhideWhenUsed/>
    <w:qFormat/>
    <w:rsid w:val="0000136A"/>
    <w:pPr>
      <w:jc w:val="left"/>
    </w:pPr>
  </w:style>
  <w:style w:type="paragraph" w:styleId="a6">
    <w:name w:val="Body Text Indent"/>
    <w:basedOn w:val="a"/>
    <w:link w:val="a7"/>
    <w:qFormat/>
    <w:rsid w:val="0000136A"/>
    <w:pPr>
      <w:autoSpaceDE w:val="0"/>
      <w:autoSpaceDN w:val="0"/>
      <w:adjustRightInd w:val="0"/>
      <w:spacing w:line="360" w:lineRule="auto"/>
      <w:ind w:firstLineChars="199" w:firstLine="478"/>
    </w:pPr>
    <w:rPr>
      <w:rFonts w:ascii="宋体" w:hAnsi="宋体"/>
      <w:kern w:val="0"/>
      <w:sz w:val="24"/>
      <w:szCs w:val="21"/>
    </w:rPr>
  </w:style>
  <w:style w:type="paragraph" w:styleId="a8">
    <w:name w:val="Plain Text"/>
    <w:basedOn w:val="a"/>
    <w:link w:val="a9"/>
    <w:rsid w:val="0000136A"/>
    <w:rPr>
      <w:rFonts w:ascii="宋体" w:hAnsi="Courier New"/>
      <w:szCs w:val="21"/>
    </w:rPr>
  </w:style>
  <w:style w:type="paragraph" w:styleId="aa">
    <w:name w:val="Date"/>
    <w:basedOn w:val="a"/>
    <w:next w:val="a"/>
    <w:link w:val="ab"/>
    <w:qFormat/>
    <w:rsid w:val="0000136A"/>
    <w:pPr>
      <w:ind w:leftChars="2500" w:left="100"/>
    </w:pPr>
    <w:rPr>
      <w:rFonts w:ascii="宋体" w:hAnsi="宋体"/>
      <w:sz w:val="24"/>
    </w:rPr>
  </w:style>
  <w:style w:type="paragraph" w:styleId="21">
    <w:name w:val="Body Text Indent 2"/>
    <w:basedOn w:val="a"/>
    <w:link w:val="22"/>
    <w:qFormat/>
    <w:rsid w:val="0000136A"/>
    <w:pPr>
      <w:spacing w:before="60" w:after="60"/>
      <w:ind w:left="479"/>
    </w:pPr>
    <w:rPr>
      <w:rFonts w:ascii="宋体"/>
      <w:sz w:val="24"/>
    </w:rPr>
  </w:style>
  <w:style w:type="paragraph" w:styleId="ac">
    <w:name w:val="Balloon Text"/>
    <w:basedOn w:val="a"/>
    <w:link w:val="ad"/>
    <w:uiPriority w:val="99"/>
    <w:semiHidden/>
    <w:qFormat/>
    <w:rsid w:val="0000136A"/>
    <w:rPr>
      <w:sz w:val="18"/>
      <w:szCs w:val="18"/>
    </w:rPr>
  </w:style>
  <w:style w:type="paragraph" w:styleId="ae">
    <w:name w:val="footer"/>
    <w:basedOn w:val="a"/>
    <w:link w:val="af"/>
    <w:qFormat/>
    <w:rsid w:val="0000136A"/>
    <w:pPr>
      <w:tabs>
        <w:tab w:val="center" w:pos="4153"/>
        <w:tab w:val="right" w:pos="8306"/>
      </w:tabs>
      <w:snapToGrid w:val="0"/>
      <w:jc w:val="left"/>
    </w:pPr>
    <w:rPr>
      <w:sz w:val="18"/>
      <w:szCs w:val="18"/>
    </w:rPr>
  </w:style>
  <w:style w:type="paragraph" w:styleId="af0">
    <w:name w:val="header"/>
    <w:basedOn w:val="a"/>
    <w:link w:val="af1"/>
    <w:uiPriority w:val="99"/>
    <w:qFormat/>
    <w:rsid w:val="0000136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00136A"/>
    <w:pPr>
      <w:tabs>
        <w:tab w:val="right" w:leader="hyphen" w:pos="8296"/>
      </w:tabs>
      <w:spacing w:line="360" w:lineRule="auto"/>
    </w:pPr>
    <w:rPr>
      <w:rFonts w:ascii="宋体" w:hAnsi="宋体"/>
      <w:sz w:val="24"/>
      <w:szCs w:val="24"/>
    </w:rPr>
  </w:style>
  <w:style w:type="paragraph" w:styleId="af2">
    <w:name w:val="annotation subject"/>
    <w:basedOn w:val="a5"/>
    <w:next w:val="a5"/>
    <w:link w:val="af3"/>
    <w:uiPriority w:val="99"/>
    <w:semiHidden/>
    <w:qFormat/>
    <w:rsid w:val="0000136A"/>
    <w:rPr>
      <w:b/>
      <w:bCs/>
    </w:rPr>
  </w:style>
  <w:style w:type="character" w:styleId="af4">
    <w:name w:val="page number"/>
    <w:basedOn w:val="a0"/>
    <w:rsid w:val="0000136A"/>
  </w:style>
  <w:style w:type="character" w:styleId="af5">
    <w:name w:val="FollowedHyperlink"/>
    <w:qFormat/>
    <w:rsid w:val="0000136A"/>
    <w:rPr>
      <w:color w:val="800080"/>
      <w:u w:val="single"/>
    </w:rPr>
  </w:style>
  <w:style w:type="character" w:styleId="af6">
    <w:name w:val="Hyperlink"/>
    <w:uiPriority w:val="99"/>
    <w:rsid w:val="0000136A"/>
    <w:rPr>
      <w:color w:val="0000FF"/>
      <w:u w:val="single"/>
    </w:rPr>
  </w:style>
  <w:style w:type="character" w:styleId="af7">
    <w:name w:val="annotation reference"/>
    <w:semiHidden/>
    <w:qFormat/>
    <w:rsid w:val="0000136A"/>
    <w:rPr>
      <w:sz w:val="21"/>
      <w:szCs w:val="21"/>
    </w:rPr>
  </w:style>
  <w:style w:type="character" w:customStyle="1" w:styleId="10">
    <w:name w:val="标题 1 字符"/>
    <w:basedOn w:val="a0"/>
    <w:link w:val="1"/>
    <w:uiPriority w:val="9"/>
    <w:rsid w:val="0000136A"/>
    <w:rPr>
      <w:rFonts w:ascii="宋体" w:eastAsia="宋体" w:hAnsi="宋体" w:cs="Times New Roman"/>
      <w:b/>
      <w:color w:val="000000"/>
      <w:sz w:val="24"/>
      <w:szCs w:val="20"/>
    </w:rPr>
  </w:style>
  <w:style w:type="character" w:customStyle="1" w:styleId="20">
    <w:name w:val="标题 2 字符"/>
    <w:basedOn w:val="a0"/>
    <w:link w:val="2"/>
    <w:rsid w:val="0000136A"/>
    <w:rPr>
      <w:rFonts w:ascii="Arial" w:eastAsia="黑体" w:hAnsi="Arial" w:cs="Times New Roman"/>
      <w:b/>
      <w:bCs/>
      <w:sz w:val="32"/>
      <w:szCs w:val="32"/>
    </w:rPr>
  </w:style>
  <w:style w:type="character" w:customStyle="1" w:styleId="30">
    <w:name w:val="标题 3 字符"/>
    <w:basedOn w:val="a0"/>
    <w:link w:val="3"/>
    <w:rsid w:val="0000136A"/>
    <w:rPr>
      <w:rFonts w:ascii="Times New Roman" w:eastAsia="宋体" w:hAnsi="Times New Roman" w:cs="Times New Roman"/>
      <w:b/>
      <w:bCs/>
      <w:sz w:val="32"/>
      <w:szCs w:val="32"/>
    </w:rPr>
  </w:style>
  <w:style w:type="character" w:customStyle="1" w:styleId="11">
    <w:name w:val="批注文字 字符1"/>
    <w:basedOn w:val="a0"/>
    <w:link w:val="a5"/>
    <w:rsid w:val="0000136A"/>
    <w:rPr>
      <w:rFonts w:ascii="Times New Roman" w:eastAsia="宋体" w:hAnsi="Times New Roman" w:cs="Times New Roman"/>
      <w:szCs w:val="20"/>
    </w:rPr>
  </w:style>
  <w:style w:type="character" w:customStyle="1" w:styleId="af3">
    <w:name w:val="批注主题 字符"/>
    <w:basedOn w:val="11"/>
    <w:link w:val="af2"/>
    <w:uiPriority w:val="99"/>
    <w:semiHidden/>
    <w:rsid w:val="0000136A"/>
    <w:rPr>
      <w:rFonts w:ascii="Times New Roman" w:eastAsia="宋体" w:hAnsi="Times New Roman" w:cs="Times New Roman"/>
      <w:b/>
      <w:bCs/>
      <w:szCs w:val="20"/>
    </w:rPr>
  </w:style>
  <w:style w:type="character" w:customStyle="1" w:styleId="a4">
    <w:name w:val="文档结构图 字符"/>
    <w:basedOn w:val="a0"/>
    <w:link w:val="a3"/>
    <w:uiPriority w:val="99"/>
    <w:qFormat/>
    <w:rsid w:val="0000136A"/>
    <w:rPr>
      <w:rFonts w:ascii="宋体" w:eastAsia="宋体" w:hAnsi="Calibri" w:cs="Times New Roman"/>
      <w:kern w:val="0"/>
      <w:sz w:val="18"/>
      <w:szCs w:val="18"/>
    </w:rPr>
  </w:style>
  <w:style w:type="character" w:customStyle="1" w:styleId="a7">
    <w:name w:val="正文文本缩进 字符"/>
    <w:basedOn w:val="a0"/>
    <w:link w:val="a6"/>
    <w:qFormat/>
    <w:rsid w:val="0000136A"/>
    <w:rPr>
      <w:rFonts w:ascii="宋体" w:eastAsia="宋体" w:hAnsi="宋体" w:cs="Times New Roman"/>
      <w:kern w:val="0"/>
      <w:sz w:val="24"/>
      <w:szCs w:val="21"/>
    </w:rPr>
  </w:style>
  <w:style w:type="character" w:customStyle="1" w:styleId="a9">
    <w:name w:val="纯文本 字符"/>
    <w:basedOn w:val="a0"/>
    <w:link w:val="a8"/>
    <w:qFormat/>
    <w:rsid w:val="0000136A"/>
    <w:rPr>
      <w:rFonts w:ascii="宋体" w:eastAsia="宋体" w:hAnsi="Courier New" w:cs="Times New Roman"/>
      <w:szCs w:val="21"/>
    </w:rPr>
  </w:style>
  <w:style w:type="character" w:customStyle="1" w:styleId="ab">
    <w:name w:val="日期 字符"/>
    <w:basedOn w:val="a0"/>
    <w:link w:val="aa"/>
    <w:rsid w:val="0000136A"/>
    <w:rPr>
      <w:rFonts w:ascii="宋体" w:eastAsia="宋体" w:hAnsi="宋体" w:cs="Times New Roman"/>
      <w:sz w:val="24"/>
      <w:szCs w:val="20"/>
    </w:rPr>
  </w:style>
  <w:style w:type="character" w:customStyle="1" w:styleId="22">
    <w:name w:val="正文文本缩进 2 字符"/>
    <w:basedOn w:val="a0"/>
    <w:link w:val="21"/>
    <w:rsid w:val="0000136A"/>
    <w:rPr>
      <w:rFonts w:ascii="宋体" w:eastAsia="宋体" w:hAnsi="Times New Roman" w:cs="Times New Roman"/>
      <w:sz w:val="24"/>
      <w:szCs w:val="20"/>
    </w:rPr>
  </w:style>
  <w:style w:type="character" w:customStyle="1" w:styleId="ad">
    <w:name w:val="批注框文本 字符"/>
    <w:basedOn w:val="a0"/>
    <w:link w:val="ac"/>
    <w:uiPriority w:val="99"/>
    <w:semiHidden/>
    <w:qFormat/>
    <w:rsid w:val="0000136A"/>
    <w:rPr>
      <w:rFonts w:ascii="Times New Roman" w:eastAsia="宋体" w:hAnsi="Times New Roman" w:cs="Times New Roman"/>
      <w:sz w:val="18"/>
      <w:szCs w:val="18"/>
    </w:rPr>
  </w:style>
  <w:style w:type="character" w:customStyle="1" w:styleId="Char">
    <w:name w:val="页脚 Char"/>
    <w:basedOn w:val="a0"/>
    <w:qFormat/>
    <w:rsid w:val="0000136A"/>
    <w:rPr>
      <w:rFonts w:ascii="Times New Roman" w:eastAsia="宋体" w:hAnsi="Times New Roman" w:cs="Times New Roman"/>
      <w:sz w:val="18"/>
      <w:szCs w:val="18"/>
    </w:rPr>
  </w:style>
  <w:style w:type="character" w:customStyle="1" w:styleId="af1">
    <w:name w:val="页眉 字符"/>
    <w:basedOn w:val="a0"/>
    <w:link w:val="af0"/>
    <w:uiPriority w:val="99"/>
    <w:qFormat/>
    <w:rsid w:val="0000136A"/>
    <w:rPr>
      <w:rFonts w:ascii="Times New Roman" w:eastAsia="宋体" w:hAnsi="Times New Roman" w:cs="Times New Roman"/>
      <w:sz w:val="18"/>
      <w:szCs w:val="18"/>
    </w:rPr>
  </w:style>
  <w:style w:type="character" w:customStyle="1" w:styleId="DeltaViewInsertion">
    <w:name w:val="DeltaView Insertion"/>
    <w:rsid w:val="0000136A"/>
    <w:rPr>
      <w:color w:val="0000FF"/>
      <w:spacing w:val="0"/>
      <w:u w:val="double"/>
    </w:rPr>
  </w:style>
  <w:style w:type="character" w:customStyle="1" w:styleId="e-arialb101">
    <w:name w:val="e-arialb101"/>
    <w:qFormat/>
    <w:rsid w:val="0000136A"/>
    <w:rPr>
      <w:rFonts w:ascii="Arial" w:hAnsi="Arial" w:cs="Arial" w:hint="default"/>
      <w:color w:val="000000"/>
      <w:sz w:val="14"/>
      <w:szCs w:val="14"/>
    </w:rPr>
  </w:style>
  <w:style w:type="character" w:customStyle="1" w:styleId="Char1">
    <w:name w:val="批注文字 Char1"/>
    <w:qFormat/>
    <w:rsid w:val="0000136A"/>
    <w:rPr>
      <w:kern w:val="2"/>
      <w:sz w:val="21"/>
    </w:rPr>
  </w:style>
  <w:style w:type="character" w:customStyle="1" w:styleId="apple-style-span">
    <w:name w:val="apple-style-span"/>
    <w:rsid w:val="0000136A"/>
  </w:style>
  <w:style w:type="character" w:customStyle="1" w:styleId="af">
    <w:name w:val="页脚 字符"/>
    <w:link w:val="ae"/>
    <w:qFormat/>
    <w:rsid w:val="0000136A"/>
    <w:rPr>
      <w:rFonts w:ascii="Times New Roman" w:eastAsia="宋体" w:hAnsi="Times New Roman" w:cs="Times New Roman"/>
      <w:sz w:val="18"/>
      <w:szCs w:val="18"/>
    </w:rPr>
  </w:style>
  <w:style w:type="paragraph" w:customStyle="1" w:styleId="12">
    <w:name w:val="修订1"/>
    <w:uiPriority w:val="99"/>
    <w:semiHidden/>
    <w:rsid w:val="0000136A"/>
    <w:rPr>
      <w:rFonts w:ascii="Calibri" w:eastAsia="宋体" w:hAnsi="Calibri" w:cs="Times New Roman"/>
      <w:kern w:val="2"/>
      <w:sz w:val="21"/>
      <w:szCs w:val="22"/>
    </w:rPr>
  </w:style>
  <w:style w:type="paragraph" w:customStyle="1" w:styleId="NormalJustified">
    <w:name w:val="Normal (Justified)"/>
    <w:basedOn w:val="a"/>
    <w:semiHidden/>
    <w:qFormat/>
    <w:rsid w:val="0000136A"/>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00136A"/>
    <w:rPr>
      <w:rFonts w:ascii="Tahoma" w:hAnsi="Tahoma"/>
      <w:sz w:val="24"/>
      <w:szCs w:val="24"/>
    </w:rPr>
  </w:style>
  <w:style w:type="paragraph" w:customStyle="1" w:styleId="Default">
    <w:name w:val="Default"/>
    <w:qFormat/>
    <w:rsid w:val="0000136A"/>
    <w:pPr>
      <w:widowControl w:val="0"/>
      <w:autoSpaceDE w:val="0"/>
      <w:autoSpaceDN w:val="0"/>
      <w:adjustRightInd w:val="0"/>
    </w:pPr>
    <w:rPr>
      <w:rFonts w:ascii="宋体" w:eastAsia="宋体" w:hAnsi="Calibri" w:cs="宋体"/>
      <w:color w:val="000000"/>
      <w:sz w:val="24"/>
      <w:szCs w:val="24"/>
    </w:rPr>
  </w:style>
  <w:style w:type="paragraph" w:customStyle="1" w:styleId="Char0">
    <w:name w:val="Char"/>
    <w:basedOn w:val="a"/>
    <w:qFormat/>
    <w:rsid w:val="0000136A"/>
    <w:pPr>
      <w:widowControl/>
      <w:spacing w:after="160" w:line="240" w:lineRule="exact"/>
      <w:jc w:val="left"/>
    </w:pPr>
  </w:style>
  <w:style w:type="paragraph" w:customStyle="1" w:styleId="CharCharChar">
    <w:name w:val="Char Char Char"/>
    <w:basedOn w:val="a"/>
    <w:qFormat/>
    <w:rsid w:val="0000136A"/>
    <w:rPr>
      <w:szCs w:val="24"/>
    </w:rPr>
  </w:style>
  <w:style w:type="paragraph" w:customStyle="1" w:styleId="CharCharCharCharCharCharChar">
    <w:name w:val="Char Char Char Char Char Char Char"/>
    <w:basedOn w:val="a"/>
    <w:qFormat/>
    <w:rsid w:val="0000136A"/>
    <w:pPr>
      <w:tabs>
        <w:tab w:val="left" w:pos="360"/>
      </w:tabs>
      <w:adjustRightInd w:val="0"/>
      <w:textAlignment w:val="baseline"/>
    </w:pPr>
    <w:rPr>
      <w:sz w:val="24"/>
    </w:rPr>
  </w:style>
  <w:style w:type="paragraph" w:customStyle="1" w:styleId="CM16">
    <w:name w:val="CM16"/>
    <w:basedOn w:val="Default"/>
    <w:next w:val="Default"/>
    <w:qFormat/>
    <w:rsid w:val="0000136A"/>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00136A"/>
    <w:pPr>
      <w:tabs>
        <w:tab w:val="left" w:pos="360"/>
      </w:tabs>
    </w:pPr>
    <w:rPr>
      <w:sz w:val="24"/>
      <w:szCs w:val="24"/>
    </w:rPr>
  </w:style>
  <w:style w:type="paragraph" w:customStyle="1" w:styleId="4CharCharCharChar">
    <w:name w:val="4 Char Char Char Char"/>
    <w:basedOn w:val="a"/>
    <w:qFormat/>
    <w:rsid w:val="0000136A"/>
    <w:rPr>
      <w:rFonts w:ascii="Tahoma" w:hAnsi="Tahoma"/>
      <w:sz w:val="24"/>
    </w:rPr>
  </w:style>
  <w:style w:type="paragraph" w:customStyle="1" w:styleId="CharCharCharCharCharChar1CharCharChar">
    <w:name w:val="Char Char Char Char Char Char1 Char Char Char"/>
    <w:basedOn w:val="a"/>
    <w:qFormat/>
    <w:rsid w:val="0000136A"/>
    <w:pPr>
      <w:autoSpaceDE w:val="0"/>
      <w:autoSpaceDN w:val="0"/>
      <w:adjustRightInd w:val="0"/>
      <w:jc w:val="left"/>
      <w:textAlignment w:val="baseline"/>
    </w:pPr>
  </w:style>
  <w:style w:type="character" w:customStyle="1" w:styleId="af8">
    <w:name w:val="批注文字 字符"/>
    <w:qFormat/>
    <w:rsid w:val="0000136A"/>
    <w:rPr>
      <w:rFonts w:ascii="Times New Roman" w:eastAsia="宋体" w:hAnsi="Times New Roman" w:cs="Times New Roman"/>
      <w:szCs w:val="24"/>
    </w:rPr>
  </w:style>
  <w:style w:type="paragraph" w:customStyle="1" w:styleId="23">
    <w:name w:val="修订2"/>
    <w:hidden/>
    <w:uiPriority w:val="99"/>
    <w:semiHidden/>
    <w:rsid w:val="0000136A"/>
    <w:rPr>
      <w:rFonts w:ascii="Times New Roman" w:eastAsia="宋体" w:hAnsi="Times New Roman" w:cs="Times New Roman"/>
      <w:kern w:val="2"/>
      <w:sz w:val="21"/>
    </w:rPr>
  </w:style>
  <w:style w:type="paragraph" w:styleId="af9">
    <w:name w:val="Revision"/>
    <w:hidden/>
    <w:uiPriority w:val="99"/>
    <w:semiHidden/>
    <w:rsid w:val="003E2EF4"/>
    <w:rPr>
      <w:rFonts w:ascii="Times New Roman" w:eastAsia="宋体" w:hAnsi="Times New Roman" w:cs="Times New Roman"/>
      <w:kern w:val="2"/>
      <w:sz w:val="21"/>
    </w:rPr>
  </w:style>
  <w:style w:type="paragraph" w:styleId="TOC3">
    <w:name w:val="toc 3"/>
    <w:basedOn w:val="a"/>
    <w:next w:val="a"/>
    <w:qFormat/>
    <w:rsid w:val="00DD5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FAC17-CA37-4FFF-A086-EBA7BF6F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41</Pages>
  <Words>4768</Words>
  <Characters>27183</Characters>
  <Application>Microsoft Office Word</Application>
  <DocSecurity>0</DocSecurity>
  <Lines>226</Lines>
  <Paragraphs>63</Paragraphs>
  <ScaleCrop>false</ScaleCrop>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刘志韬</dc:creator>
  <cp:lastModifiedBy>李 鹏飞</cp:lastModifiedBy>
  <cp:revision>157</cp:revision>
  <cp:lastPrinted>2022-10-17T00:59:00Z</cp:lastPrinted>
  <dcterms:created xsi:type="dcterms:W3CDTF">2021-01-28T06:46:00Z</dcterms:created>
  <dcterms:modified xsi:type="dcterms:W3CDTF">2022-11-03T06:09:00Z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3901CA8AEF8C4A1CA015736A2A6A055F</vt:lpwstr>
  </property>
</Properties>
</file>