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FC" w:rsidRDefault="004A33FC">
      <w:pPr>
        <w:spacing w:line="520" w:lineRule="exact"/>
        <w:jc w:val="right"/>
        <w:rPr>
          <w:rFonts w:ascii="宋体" w:hAnsi="宋体"/>
          <w:shadow/>
          <w:sz w:val="28"/>
          <w:szCs w:val="28"/>
        </w:rPr>
      </w:pPr>
    </w:p>
    <w:p w:rsidR="004A33FC" w:rsidRDefault="00F25005">
      <w:pPr>
        <w:spacing w:line="520" w:lineRule="exact"/>
        <w:jc w:val="center"/>
        <w:rPr>
          <w:rFonts w:ascii="宋体" w:hAnsi="宋体"/>
          <w:shadow/>
          <w:sz w:val="28"/>
          <w:szCs w:val="28"/>
        </w:rPr>
      </w:pPr>
      <w:r>
        <w:rPr>
          <w:rFonts w:ascii="宋体" w:hAnsi="宋体" w:hint="eastAsia"/>
          <w:szCs w:val="28"/>
        </w:rPr>
        <w:t xml:space="preserve">                             </w:t>
      </w:r>
    </w:p>
    <w:p w:rsidR="004A33FC" w:rsidRDefault="004A33FC">
      <w:pPr>
        <w:spacing w:line="520" w:lineRule="exact"/>
        <w:jc w:val="center"/>
        <w:rPr>
          <w:rFonts w:ascii="宋体" w:hAnsi="宋体"/>
          <w:shadow/>
          <w:sz w:val="28"/>
          <w:szCs w:val="28"/>
        </w:rPr>
      </w:pPr>
    </w:p>
    <w:p w:rsidR="004A33FC" w:rsidRDefault="004A33FC">
      <w:pPr>
        <w:spacing w:line="520" w:lineRule="exact"/>
        <w:jc w:val="center"/>
        <w:rPr>
          <w:rFonts w:ascii="宋体" w:hAnsi="宋体"/>
          <w:shadow/>
          <w:sz w:val="28"/>
          <w:szCs w:val="28"/>
        </w:rPr>
      </w:pPr>
    </w:p>
    <w:p w:rsidR="004A33FC" w:rsidRDefault="004A33FC">
      <w:pPr>
        <w:spacing w:line="520" w:lineRule="exact"/>
        <w:jc w:val="center"/>
        <w:rPr>
          <w:rFonts w:ascii="宋体" w:hAnsi="宋体"/>
          <w:shadow/>
          <w:sz w:val="28"/>
          <w:szCs w:val="28"/>
        </w:rPr>
      </w:pPr>
    </w:p>
    <w:p w:rsidR="004A33FC" w:rsidRDefault="004A33FC">
      <w:pPr>
        <w:spacing w:line="520" w:lineRule="exact"/>
        <w:jc w:val="center"/>
        <w:rPr>
          <w:rFonts w:ascii="宋体" w:hAnsi="宋体"/>
          <w:shadow/>
          <w:sz w:val="28"/>
          <w:szCs w:val="28"/>
        </w:rPr>
      </w:pPr>
    </w:p>
    <w:p w:rsidR="004A33FC" w:rsidRDefault="00F25005">
      <w:pPr>
        <w:spacing w:line="360" w:lineRule="auto"/>
        <w:jc w:val="center"/>
        <w:rPr>
          <w:rFonts w:ascii="宋体" w:hAnsi="宋体"/>
          <w:b/>
          <w:sz w:val="48"/>
        </w:rPr>
      </w:pPr>
      <w:bookmarkStart w:id="0" w:name="_Toc123701381"/>
      <w:bookmarkStart w:id="1" w:name="_Toc139992299"/>
      <w:bookmarkStart w:id="2" w:name="_Toc139991724"/>
      <w:bookmarkStart w:id="3" w:name="_Toc123112222"/>
      <w:bookmarkStart w:id="4" w:name="_Toc123112261"/>
      <w:r>
        <w:rPr>
          <w:rFonts w:ascii="宋体" w:hAnsi="宋体" w:hint="eastAsia"/>
          <w:b/>
          <w:sz w:val="48"/>
        </w:rPr>
        <w:t>富国周期精选三年持有期</w:t>
      </w:r>
    </w:p>
    <w:p w:rsidR="004A33FC" w:rsidRDefault="00F25005">
      <w:pPr>
        <w:spacing w:line="360" w:lineRule="auto"/>
        <w:jc w:val="center"/>
        <w:rPr>
          <w:rFonts w:ascii="宋体" w:hAnsi="宋体"/>
          <w:b/>
          <w:sz w:val="48"/>
        </w:rPr>
      </w:pPr>
      <w:r>
        <w:rPr>
          <w:rFonts w:ascii="宋体" w:hAnsi="宋体" w:hint="eastAsia"/>
          <w:b/>
          <w:sz w:val="48"/>
        </w:rPr>
        <w:t>混合型证券投资基金</w:t>
      </w:r>
    </w:p>
    <w:bookmarkEnd w:id="0"/>
    <w:bookmarkEnd w:id="1"/>
    <w:bookmarkEnd w:id="2"/>
    <w:bookmarkEnd w:id="3"/>
    <w:bookmarkEnd w:id="4"/>
    <w:p w:rsidR="004A33FC" w:rsidRDefault="00F25005">
      <w:pPr>
        <w:pStyle w:val="20"/>
        <w:spacing w:line="520" w:lineRule="exact"/>
        <w:ind w:left="0"/>
        <w:jc w:val="center"/>
        <w:rPr>
          <w:rFonts w:hAnsi="宋体"/>
          <w:b/>
          <w:sz w:val="48"/>
        </w:rPr>
      </w:pPr>
      <w:r>
        <w:rPr>
          <w:rFonts w:hAnsi="宋体" w:hint="eastAsia"/>
          <w:b/>
          <w:sz w:val="48"/>
        </w:rPr>
        <w:t>托管协议</w:t>
      </w:r>
    </w:p>
    <w:p w:rsidR="004A33FC" w:rsidRDefault="004A33FC">
      <w:pPr>
        <w:pStyle w:val="20"/>
        <w:spacing w:line="520" w:lineRule="exact"/>
        <w:ind w:firstLine="560"/>
        <w:rPr>
          <w:rFonts w:hAnsi="宋体"/>
          <w:sz w:val="28"/>
          <w:szCs w:val="28"/>
        </w:rPr>
      </w:pPr>
    </w:p>
    <w:p w:rsidR="004A33FC" w:rsidRDefault="004A33FC">
      <w:pPr>
        <w:pStyle w:val="20"/>
        <w:spacing w:line="520" w:lineRule="exact"/>
        <w:ind w:firstLine="560"/>
        <w:rPr>
          <w:rFonts w:hAnsi="宋体"/>
          <w:sz w:val="28"/>
          <w:szCs w:val="28"/>
        </w:rPr>
      </w:pPr>
    </w:p>
    <w:p w:rsidR="004A33FC" w:rsidRDefault="004A33FC">
      <w:pPr>
        <w:pStyle w:val="20"/>
        <w:spacing w:line="520" w:lineRule="exact"/>
        <w:ind w:firstLine="560"/>
        <w:rPr>
          <w:rFonts w:hAnsi="宋体"/>
          <w:sz w:val="28"/>
          <w:szCs w:val="28"/>
        </w:rPr>
      </w:pPr>
    </w:p>
    <w:p w:rsidR="004A33FC" w:rsidRDefault="004A33FC">
      <w:pPr>
        <w:pStyle w:val="20"/>
        <w:spacing w:line="520" w:lineRule="exact"/>
        <w:ind w:firstLine="560"/>
        <w:rPr>
          <w:rFonts w:hAnsi="宋体"/>
          <w:sz w:val="28"/>
          <w:szCs w:val="28"/>
        </w:rPr>
      </w:pPr>
    </w:p>
    <w:p w:rsidR="004A33FC" w:rsidRDefault="004A33FC">
      <w:pPr>
        <w:pStyle w:val="20"/>
        <w:spacing w:line="520" w:lineRule="exact"/>
        <w:ind w:firstLine="560"/>
        <w:rPr>
          <w:rFonts w:hAnsi="宋体"/>
          <w:sz w:val="28"/>
          <w:szCs w:val="28"/>
        </w:rPr>
      </w:pPr>
    </w:p>
    <w:p w:rsidR="004A33FC" w:rsidRDefault="00F25005">
      <w:pPr>
        <w:spacing w:line="360" w:lineRule="auto"/>
        <w:jc w:val="center"/>
        <w:rPr>
          <w:rFonts w:ascii="宋体" w:hAnsi="宋体"/>
          <w:b/>
          <w:sz w:val="36"/>
        </w:rPr>
      </w:pPr>
      <w:bookmarkStart w:id="5" w:name="_Toc123701383"/>
      <w:bookmarkStart w:id="6" w:name="_Toc139992301"/>
      <w:bookmarkStart w:id="7" w:name="_Toc123112224"/>
      <w:bookmarkStart w:id="8" w:name="_Toc139991726"/>
      <w:bookmarkStart w:id="9" w:name="_Toc123112263"/>
      <w:r>
        <w:rPr>
          <w:rFonts w:ascii="宋体" w:hAnsi="宋体"/>
          <w:b/>
          <w:sz w:val="36"/>
        </w:rPr>
        <w:t>基金管理人：</w:t>
      </w:r>
      <w:bookmarkEnd w:id="5"/>
      <w:bookmarkEnd w:id="6"/>
      <w:bookmarkEnd w:id="7"/>
      <w:bookmarkEnd w:id="8"/>
      <w:bookmarkEnd w:id="9"/>
      <w:r>
        <w:rPr>
          <w:rFonts w:ascii="宋体" w:hAnsi="宋体" w:hint="eastAsia"/>
          <w:b/>
          <w:sz w:val="36"/>
        </w:rPr>
        <w:t xml:space="preserve">富国基金管理有限公司 </w:t>
      </w:r>
    </w:p>
    <w:p w:rsidR="004A33FC" w:rsidRDefault="00F25005">
      <w:pPr>
        <w:spacing w:line="360" w:lineRule="auto"/>
        <w:jc w:val="center"/>
        <w:rPr>
          <w:rFonts w:ascii="宋体" w:hAnsi="宋体"/>
          <w:b/>
          <w:sz w:val="44"/>
          <w:szCs w:val="44"/>
        </w:rPr>
      </w:pPr>
      <w:bookmarkStart w:id="10" w:name="_Toc123112264"/>
      <w:bookmarkStart w:id="11" w:name="_Toc139991727"/>
      <w:bookmarkStart w:id="12" w:name="_Toc123701384"/>
      <w:bookmarkStart w:id="13" w:name="_Toc123112225"/>
      <w:bookmarkStart w:id="14" w:name="_Toc139992302"/>
      <w:r>
        <w:rPr>
          <w:rFonts w:ascii="宋体" w:hAnsi="宋体"/>
          <w:b/>
          <w:sz w:val="36"/>
        </w:rPr>
        <w:t>基金托管人：</w:t>
      </w:r>
      <w:r>
        <w:rPr>
          <w:rFonts w:ascii="宋体" w:hAnsi="宋体" w:hint="eastAsia"/>
          <w:b/>
          <w:sz w:val="36"/>
        </w:rPr>
        <w:t>中信银行股份有限公司</w:t>
      </w:r>
      <w:bookmarkEnd w:id="10"/>
      <w:bookmarkEnd w:id="11"/>
      <w:bookmarkEnd w:id="12"/>
      <w:bookmarkEnd w:id="13"/>
      <w:bookmarkEnd w:id="14"/>
    </w:p>
    <w:p w:rsidR="004A33FC" w:rsidRDefault="004A33FC">
      <w:pPr>
        <w:spacing w:line="360" w:lineRule="auto"/>
        <w:rPr>
          <w:rFonts w:ascii="宋体" w:hAnsi="宋体"/>
          <w:b/>
          <w:szCs w:val="28"/>
        </w:rPr>
      </w:pPr>
    </w:p>
    <w:p w:rsidR="004A33FC" w:rsidRDefault="004A33FC">
      <w:pPr>
        <w:spacing w:line="360" w:lineRule="auto"/>
        <w:ind w:firstLineChars="200" w:firstLine="562"/>
        <w:jc w:val="center"/>
        <w:rPr>
          <w:rFonts w:ascii="宋体" w:hAnsi="宋体"/>
          <w:b/>
          <w:bCs/>
          <w:sz w:val="28"/>
          <w:szCs w:val="28"/>
        </w:rPr>
      </w:pPr>
    </w:p>
    <w:p w:rsidR="004A33FC" w:rsidRDefault="004A33FC">
      <w:pPr>
        <w:spacing w:line="360" w:lineRule="auto"/>
        <w:ind w:firstLineChars="200" w:firstLine="562"/>
        <w:jc w:val="center"/>
        <w:rPr>
          <w:rFonts w:ascii="宋体" w:hAnsi="宋体"/>
          <w:b/>
          <w:bCs/>
          <w:sz w:val="28"/>
          <w:szCs w:val="28"/>
        </w:rPr>
      </w:pPr>
    </w:p>
    <w:p w:rsidR="004A33FC" w:rsidRDefault="004A33FC">
      <w:pPr>
        <w:spacing w:line="360" w:lineRule="auto"/>
        <w:rPr>
          <w:rFonts w:ascii="宋体" w:hAnsi="宋体"/>
          <w:b/>
          <w:bCs/>
          <w:sz w:val="28"/>
          <w:szCs w:val="28"/>
        </w:rPr>
      </w:pPr>
    </w:p>
    <w:p w:rsidR="004A33FC" w:rsidRDefault="00F25005">
      <w:pPr>
        <w:spacing w:line="360" w:lineRule="auto"/>
        <w:ind w:firstLineChars="200" w:firstLine="562"/>
        <w:jc w:val="center"/>
        <w:rPr>
          <w:rFonts w:ascii="宋体" w:hAnsi="宋体"/>
          <w:b/>
          <w:bCs/>
          <w:sz w:val="28"/>
          <w:szCs w:val="28"/>
        </w:rPr>
      </w:pPr>
      <w:r>
        <w:rPr>
          <w:rFonts w:ascii="宋体" w:hAnsi="宋体"/>
          <w:b/>
          <w:bCs/>
          <w:noProof/>
          <w:sz w:val="28"/>
          <w:szCs w:val="28"/>
        </w:rPr>
        <w:drawing>
          <wp:anchor distT="0" distB="0" distL="114300" distR="114300" simplePos="0" relativeHeight="251659264" behindDoc="0" locked="0" layoutInCell="1" allowOverlap="1" wp14:anchorId="620673BA" wp14:editId="2C929E15">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Pr>
          <w:rFonts w:ascii="宋体" w:hAnsi="宋体" w:hint="eastAsia"/>
          <w:b/>
          <w:bCs/>
          <w:sz w:val="28"/>
          <w:szCs w:val="28"/>
        </w:rPr>
        <w:br w:type="page"/>
      </w:r>
    </w:p>
    <w:p w:rsidR="004A33FC" w:rsidRDefault="004A33FC">
      <w:pPr>
        <w:spacing w:line="360" w:lineRule="auto"/>
        <w:jc w:val="center"/>
        <w:rPr>
          <w:rFonts w:ascii="宋体" w:hAnsi="宋体"/>
          <w:b/>
          <w:bCs/>
          <w:sz w:val="28"/>
          <w:szCs w:val="28"/>
        </w:rPr>
      </w:pPr>
    </w:p>
    <w:p w:rsidR="004A33FC" w:rsidRDefault="004A33FC">
      <w:pPr>
        <w:spacing w:line="360" w:lineRule="auto"/>
        <w:jc w:val="center"/>
        <w:rPr>
          <w:rFonts w:ascii="宋体" w:hAnsi="宋体"/>
          <w:b/>
          <w:bCs/>
          <w:sz w:val="28"/>
          <w:szCs w:val="28"/>
        </w:rPr>
      </w:pPr>
    </w:p>
    <w:p w:rsidR="004A33FC" w:rsidRDefault="004A33FC">
      <w:pPr>
        <w:spacing w:line="360" w:lineRule="auto"/>
        <w:jc w:val="center"/>
        <w:rPr>
          <w:rFonts w:ascii="宋体" w:hAnsi="宋体"/>
          <w:b/>
          <w:bCs/>
          <w:sz w:val="28"/>
          <w:szCs w:val="28"/>
        </w:rPr>
      </w:pPr>
    </w:p>
    <w:p w:rsidR="004A33FC" w:rsidRDefault="00F25005">
      <w:pPr>
        <w:spacing w:line="360" w:lineRule="auto"/>
        <w:jc w:val="center"/>
        <w:rPr>
          <w:rFonts w:ascii="宋体" w:hAnsi="宋体"/>
          <w:b/>
          <w:bCs/>
          <w:sz w:val="28"/>
          <w:szCs w:val="28"/>
        </w:rPr>
      </w:pPr>
      <w:r>
        <w:rPr>
          <w:rFonts w:ascii="宋体" w:hAnsi="宋体" w:hint="eastAsia"/>
          <w:b/>
          <w:bCs/>
          <w:sz w:val="28"/>
          <w:szCs w:val="28"/>
        </w:rPr>
        <w:t>目录</w:t>
      </w:r>
    </w:p>
    <w:p w:rsidR="004A33FC" w:rsidRDefault="004A33FC">
      <w:pPr>
        <w:spacing w:line="360" w:lineRule="auto"/>
        <w:ind w:firstLineChars="200" w:firstLine="562"/>
        <w:jc w:val="center"/>
        <w:rPr>
          <w:rFonts w:ascii="宋体" w:hAnsi="宋体"/>
          <w:b/>
          <w:bCs/>
          <w:sz w:val="28"/>
          <w:szCs w:val="28"/>
        </w:rPr>
      </w:pPr>
    </w:p>
    <w:p w:rsidR="004A33FC" w:rsidRDefault="00F25005">
      <w:pPr>
        <w:pStyle w:val="10"/>
        <w:rPr>
          <w:rFonts w:asciiTheme="minorHAnsi" w:eastAsiaTheme="minorEastAsia" w:hAnsiTheme="minorHAnsi" w:cstheme="minorBidi"/>
          <w:noProof/>
          <w:sz w:val="21"/>
          <w:szCs w:val="22"/>
        </w:rPr>
      </w:pPr>
      <w:r>
        <w:rPr>
          <w:b/>
          <w:sz w:val="28"/>
          <w:szCs w:val="28"/>
        </w:rPr>
        <w:fldChar w:fldCharType="begin"/>
      </w:r>
      <w:r>
        <w:rPr>
          <w:b/>
          <w:sz w:val="28"/>
          <w:szCs w:val="28"/>
        </w:rPr>
        <w:instrText xml:space="preserve"> </w:instrText>
      </w:r>
      <w:r>
        <w:rPr>
          <w:rFonts w:hint="eastAsia"/>
          <w:b/>
          <w:sz w:val="28"/>
          <w:szCs w:val="28"/>
        </w:rPr>
        <w:instrText>TOC \o "1-1" \h \z \u</w:instrText>
      </w:r>
      <w:r>
        <w:rPr>
          <w:b/>
          <w:sz w:val="28"/>
          <w:szCs w:val="28"/>
        </w:rPr>
        <w:instrText xml:space="preserve"> </w:instrText>
      </w:r>
      <w:r>
        <w:rPr>
          <w:b/>
          <w:sz w:val="28"/>
          <w:szCs w:val="28"/>
        </w:rPr>
        <w:fldChar w:fldCharType="separate"/>
      </w:r>
      <w:hyperlink w:anchor="_Toc44321724" w:history="1">
        <w:r>
          <w:rPr>
            <w:rStyle w:val="ae"/>
            <w:rFonts w:hint="eastAsia"/>
            <w:bCs/>
            <w:noProof/>
          </w:rPr>
          <w:t>第一条</w:t>
        </w:r>
        <w:r>
          <w:rPr>
            <w:rStyle w:val="ae"/>
            <w:bCs/>
            <w:noProof/>
          </w:rPr>
          <w:t xml:space="preserve"> </w:t>
        </w:r>
        <w:r>
          <w:rPr>
            <w:rStyle w:val="ae"/>
            <w:rFonts w:hint="eastAsia"/>
            <w:bCs/>
            <w:noProof/>
          </w:rPr>
          <w:t>本协议当事人</w:t>
        </w:r>
        <w:r>
          <w:rPr>
            <w:noProof/>
          </w:rPr>
          <w:tab/>
        </w:r>
        <w:r>
          <w:rPr>
            <w:noProof/>
          </w:rPr>
          <w:fldChar w:fldCharType="begin"/>
        </w:r>
        <w:r>
          <w:rPr>
            <w:noProof/>
          </w:rPr>
          <w:instrText xml:space="preserve"> PAGEREF _Toc44321724 \h </w:instrText>
        </w:r>
        <w:r>
          <w:rPr>
            <w:noProof/>
          </w:rPr>
        </w:r>
        <w:r>
          <w:rPr>
            <w:noProof/>
          </w:rPr>
          <w:fldChar w:fldCharType="separate"/>
        </w:r>
        <w:r w:rsidR="00420933">
          <w:rPr>
            <w:noProof/>
          </w:rPr>
          <w:t>3</w:t>
        </w:r>
        <w:r>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25" w:history="1">
        <w:r w:rsidR="00F25005">
          <w:rPr>
            <w:rStyle w:val="ae"/>
            <w:rFonts w:hint="eastAsia"/>
            <w:bCs/>
            <w:noProof/>
          </w:rPr>
          <w:t>第二条</w:t>
        </w:r>
        <w:r w:rsidR="00F25005">
          <w:rPr>
            <w:rStyle w:val="ae"/>
            <w:bCs/>
            <w:noProof/>
          </w:rPr>
          <w:t xml:space="preserve"> </w:t>
        </w:r>
        <w:r w:rsidR="00F25005">
          <w:rPr>
            <w:rStyle w:val="ae"/>
            <w:rFonts w:hint="eastAsia"/>
            <w:bCs/>
            <w:noProof/>
          </w:rPr>
          <w:t>本协议的依据、目的和原则</w:t>
        </w:r>
        <w:r w:rsidR="00F25005">
          <w:rPr>
            <w:noProof/>
          </w:rPr>
          <w:tab/>
        </w:r>
        <w:r w:rsidR="00F25005">
          <w:rPr>
            <w:noProof/>
          </w:rPr>
          <w:fldChar w:fldCharType="begin"/>
        </w:r>
        <w:r w:rsidR="00F25005">
          <w:rPr>
            <w:noProof/>
          </w:rPr>
          <w:instrText xml:space="preserve"> PAGEREF _Toc44321725 \h </w:instrText>
        </w:r>
        <w:r w:rsidR="00F25005">
          <w:rPr>
            <w:noProof/>
          </w:rPr>
        </w:r>
        <w:r w:rsidR="00F25005">
          <w:rPr>
            <w:noProof/>
          </w:rPr>
          <w:fldChar w:fldCharType="separate"/>
        </w:r>
        <w:r w:rsidR="00420933">
          <w:rPr>
            <w:noProof/>
          </w:rPr>
          <w:t>3</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26" w:history="1">
        <w:r w:rsidR="00F25005">
          <w:rPr>
            <w:rStyle w:val="ae"/>
            <w:rFonts w:hint="eastAsia"/>
            <w:bCs/>
            <w:noProof/>
          </w:rPr>
          <w:t>第三条</w:t>
        </w:r>
        <w:r w:rsidR="00F25005">
          <w:rPr>
            <w:rStyle w:val="ae"/>
            <w:bCs/>
            <w:noProof/>
          </w:rPr>
          <w:t xml:space="preserve"> </w:t>
        </w:r>
        <w:r w:rsidR="00F25005">
          <w:rPr>
            <w:rStyle w:val="ae"/>
            <w:rFonts w:hint="eastAsia"/>
            <w:bCs/>
            <w:noProof/>
          </w:rPr>
          <w:t>基金托管人对基金管理人的业务监督和核查</w:t>
        </w:r>
        <w:r w:rsidR="00F25005">
          <w:rPr>
            <w:noProof/>
          </w:rPr>
          <w:tab/>
        </w:r>
        <w:r w:rsidR="00F25005">
          <w:rPr>
            <w:noProof/>
          </w:rPr>
          <w:fldChar w:fldCharType="begin"/>
        </w:r>
        <w:r w:rsidR="00F25005">
          <w:rPr>
            <w:noProof/>
          </w:rPr>
          <w:instrText xml:space="preserve"> PAGEREF _Toc44321726 \h </w:instrText>
        </w:r>
        <w:r w:rsidR="00F25005">
          <w:rPr>
            <w:noProof/>
          </w:rPr>
        </w:r>
        <w:r w:rsidR="00F25005">
          <w:rPr>
            <w:noProof/>
          </w:rPr>
          <w:fldChar w:fldCharType="separate"/>
        </w:r>
        <w:r w:rsidR="00420933">
          <w:rPr>
            <w:noProof/>
          </w:rPr>
          <w:t>4</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27" w:history="1">
        <w:r w:rsidR="00F25005">
          <w:rPr>
            <w:rStyle w:val="ae"/>
            <w:rFonts w:hint="eastAsia"/>
            <w:bCs/>
            <w:noProof/>
          </w:rPr>
          <w:t>第四条</w:t>
        </w:r>
        <w:r w:rsidR="00F25005">
          <w:rPr>
            <w:rStyle w:val="ae"/>
            <w:bCs/>
            <w:noProof/>
          </w:rPr>
          <w:t xml:space="preserve"> </w:t>
        </w:r>
        <w:r w:rsidR="00F25005">
          <w:rPr>
            <w:rStyle w:val="ae"/>
            <w:rFonts w:hint="eastAsia"/>
            <w:bCs/>
            <w:noProof/>
          </w:rPr>
          <w:t>基金管理人对基金托管人的业务核查</w:t>
        </w:r>
        <w:r w:rsidR="00F25005">
          <w:rPr>
            <w:noProof/>
          </w:rPr>
          <w:tab/>
        </w:r>
        <w:r w:rsidR="00F25005">
          <w:rPr>
            <w:noProof/>
          </w:rPr>
          <w:fldChar w:fldCharType="begin"/>
        </w:r>
        <w:r w:rsidR="00F25005">
          <w:rPr>
            <w:noProof/>
          </w:rPr>
          <w:instrText xml:space="preserve"> PAGEREF _Toc44321727 \h </w:instrText>
        </w:r>
        <w:r w:rsidR="00F25005">
          <w:rPr>
            <w:noProof/>
          </w:rPr>
        </w:r>
        <w:r w:rsidR="00F25005">
          <w:rPr>
            <w:noProof/>
          </w:rPr>
          <w:fldChar w:fldCharType="separate"/>
        </w:r>
        <w:r w:rsidR="00420933">
          <w:rPr>
            <w:noProof/>
          </w:rPr>
          <w:t>14</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28" w:history="1">
        <w:r w:rsidR="00F25005">
          <w:rPr>
            <w:rStyle w:val="ae"/>
            <w:rFonts w:hint="eastAsia"/>
            <w:bCs/>
            <w:noProof/>
          </w:rPr>
          <w:t>第五条</w:t>
        </w:r>
        <w:r w:rsidR="00F25005">
          <w:rPr>
            <w:rStyle w:val="ae"/>
            <w:bCs/>
            <w:noProof/>
          </w:rPr>
          <w:t xml:space="preserve"> </w:t>
        </w:r>
        <w:r w:rsidR="00F25005">
          <w:rPr>
            <w:rStyle w:val="ae"/>
            <w:rFonts w:hint="eastAsia"/>
            <w:bCs/>
            <w:noProof/>
          </w:rPr>
          <w:t>基金财产保</w:t>
        </w:r>
        <w:bookmarkStart w:id="15" w:name="_GoBack"/>
        <w:bookmarkEnd w:id="15"/>
        <w:r w:rsidR="00F25005">
          <w:rPr>
            <w:rStyle w:val="ae"/>
            <w:rFonts w:hint="eastAsia"/>
            <w:bCs/>
            <w:noProof/>
          </w:rPr>
          <w:t>管</w:t>
        </w:r>
        <w:r w:rsidR="00F25005">
          <w:rPr>
            <w:noProof/>
          </w:rPr>
          <w:tab/>
        </w:r>
        <w:r w:rsidR="00F25005">
          <w:rPr>
            <w:noProof/>
          </w:rPr>
          <w:fldChar w:fldCharType="begin"/>
        </w:r>
        <w:r w:rsidR="00F25005">
          <w:rPr>
            <w:noProof/>
          </w:rPr>
          <w:instrText xml:space="preserve"> PAGEREF _Toc44321728 \h </w:instrText>
        </w:r>
        <w:r w:rsidR="00F25005">
          <w:rPr>
            <w:noProof/>
          </w:rPr>
        </w:r>
        <w:r w:rsidR="00F25005">
          <w:rPr>
            <w:noProof/>
          </w:rPr>
          <w:fldChar w:fldCharType="separate"/>
        </w:r>
        <w:r w:rsidR="00420933">
          <w:rPr>
            <w:noProof/>
          </w:rPr>
          <w:t>15</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29" w:history="1">
        <w:r w:rsidR="00F25005">
          <w:rPr>
            <w:rStyle w:val="ae"/>
            <w:rFonts w:hint="eastAsia"/>
            <w:bCs/>
            <w:noProof/>
          </w:rPr>
          <w:t>第六条</w:t>
        </w:r>
        <w:r w:rsidR="00F25005">
          <w:rPr>
            <w:rStyle w:val="ae"/>
            <w:bCs/>
            <w:noProof/>
          </w:rPr>
          <w:t xml:space="preserve"> </w:t>
        </w:r>
        <w:r w:rsidR="00F25005">
          <w:rPr>
            <w:rStyle w:val="ae"/>
            <w:rFonts w:hint="eastAsia"/>
            <w:bCs/>
            <w:noProof/>
          </w:rPr>
          <w:t>指令的发送、确认和执行</w:t>
        </w:r>
        <w:r w:rsidR="00F25005">
          <w:rPr>
            <w:noProof/>
          </w:rPr>
          <w:tab/>
        </w:r>
        <w:r w:rsidR="00F25005">
          <w:rPr>
            <w:noProof/>
          </w:rPr>
          <w:fldChar w:fldCharType="begin"/>
        </w:r>
        <w:r w:rsidR="00F25005">
          <w:rPr>
            <w:noProof/>
          </w:rPr>
          <w:instrText xml:space="preserve"> PAGEREF _Toc44321729 \h </w:instrText>
        </w:r>
        <w:r w:rsidR="00F25005">
          <w:rPr>
            <w:noProof/>
          </w:rPr>
        </w:r>
        <w:r w:rsidR="00F25005">
          <w:rPr>
            <w:noProof/>
          </w:rPr>
          <w:fldChar w:fldCharType="separate"/>
        </w:r>
        <w:r w:rsidR="00420933">
          <w:rPr>
            <w:noProof/>
          </w:rPr>
          <w:t>17</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0" w:history="1">
        <w:r w:rsidR="00F25005">
          <w:rPr>
            <w:rStyle w:val="ae"/>
            <w:rFonts w:hint="eastAsia"/>
            <w:bCs/>
            <w:noProof/>
          </w:rPr>
          <w:t>第七条</w:t>
        </w:r>
        <w:r w:rsidR="00F25005">
          <w:rPr>
            <w:rStyle w:val="ae"/>
            <w:bCs/>
            <w:noProof/>
          </w:rPr>
          <w:t xml:space="preserve"> </w:t>
        </w:r>
        <w:r w:rsidR="00F25005">
          <w:rPr>
            <w:rStyle w:val="ae"/>
            <w:rFonts w:hint="eastAsia"/>
            <w:bCs/>
            <w:noProof/>
          </w:rPr>
          <w:t>交易及清算交收安排</w:t>
        </w:r>
        <w:r w:rsidR="00F25005">
          <w:rPr>
            <w:noProof/>
          </w:rPr>
          <w:tab/>
        </w:r>
        <w:r w:rsidR="00F25005">
          <w:rPr>
            <w:noProof/>
          </w:rPr>
          <w:fldChar w:fldCharType="begin"/>
        </w:r>
        <w:r w:rsidR="00F25005">
          <w:rPr>
            <w:noProof/>
          </w:rPr>
          <w:instrText xml:space="preserve"> PAGEREF _Toc44321730 \h </w:instrText>
        </w:r>
        <w:r w:rsidR="00F25005">
          <w:rPr>
            <w:noProof/>
          </w:rPr>
        </w:r>
        <w:r w:rsidR="00F25005">
          <w:rPr>
            <w:noProof/>
          </w:rPr>
          <w:fldChar w:fldCharType="separate"/>
        </w:r>
        <w:r w:rsidR="00420933">
          <w:rPr>
            <w:noProof/>
          </w:rPr>
          <w:t>21</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1" w:history="1">
        <w:r w:rsidR="00F25005">
          <w:rPr>
            <w:rStyle w:val="ae"/>
            <w:rFonts w:hint="eastAsia"/>
            <w:bCs/>
            <w:noProof/>
          </w:rPr>
          <w:t>第八条</w:t>
        </w:r>
        <w:r w:rsidR="00F25005">
          <w:rPr>
            <w:rStyle w:val="ae"/>
            <w:bCs/>
            <w:noProof/>
          </w:rPr>
          <w:t xml:space="preserve"> </w:t>
        </w:r>
        <w:r w:rsidR="00F25005">
          <w:rPr>
            <w:rStyle w:val="ae"/>
            <w:rFonts w:hint="eastAsia"/>
            <w:bCs/>
            <w:noProof/>
          </w:rPr>
          <w:t>基金净值计算和会计核算</w:t>
        </w:r>
        <w:r w:rsidR="00F25005">
          <w:rPr>
            <w:noProof/>
          </w:rPr>
          <w:tab/>
        </w:r>
        <w:r w:rsidR="00F25005">
          <w:rPr>
            <w:noProof/>
          </w:rPr>
          <w:fldChar w:fldCharType="begin"/>
        </w:r>
        <w:r w:rsidR="00F25005">
          <w:rPr>
            <w:noProof/>
          </w:rPr>
          <w:instrText xml:space="preserve"> PAGEREF _Toc44321731 \h </w:instrText>
        </w:r>
        <w:r w:rsidR="00F25005">
          <w:rPr>
            <w:noProof/>
          </w:rPr>
        </w:r>
        <w:r w:rsidR="00F25005">
          <w:rPr>
            <w:noProof/>
          </w:rPr>
          <w:fldChar w:fldCharType="separate"/>
        </w:r>
        <w:r w:rsidR="00420933">
          <w:rPr>
            <w:noProof/>
          </w:rPr>
          <w:t>23</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2" w:history="1">
        <w:r w:rsidR="00F25005">
          <w:rPr>
            <w:rStyle w:val="ae"/>
            <w:rFonts w:hint="eastAsia"/>
            <w:bCs/>
            <w:noProof/>
          </w:rPr>
          <w:t>第九条</w:t>
        </w:r>
        <w:r w:rsidR="00F25005">
          <w:rPr>
            <w:rStyle w:val="ae"/>
            <w:bCs/>
            <w:noProof/>
          </w:rPr>
          <w:t xml:space="preserve"> </w:t>
        </w:r>
        <w:r w:rsidR="00F25005">
          <w:rPr>
            <w:rStyle w:val="ae"/>
            <w:rFonts w:hint="eastAsia"/>
            <w:bCs/>
            <w:noProof/>
          </w:rPr>
          <w:t>基金收益分配</w:t>
        </w:r>
        <w:r w:rsidR="00F25005">
          <w:rPr>
            <w:noProof/>
          </w:rPr>
          <w:tab/>
        </w:r>
        <w:r w:rsidR="00F25005">
          <w:rPr>
            <w:noProof/>
          </w:rPr>
          <w:fldChar w:fldCharType="begin"/>
        </w:r>
        <w:r w:rsidR="00F25005">
          <w:rPr>
            <w:noProof/>
          </w:rPr>
          <w:instrText xml:space="preserve"> PAGEREF _Toc44321732 \h </w:instrText>
        </w:r>
        <w:r w:rsidR="00F25005">
          <w:rPr>
            <w:noProof/>
          </w:rPr>
        </w:r>
        <w:r w:rsidR="00F25005">
          <w:rPr>
            <w:noProof/>
          </w:rPr>
          <w:fldChar w:fldCharType="separate"/>
        </w:r>
        <w:r w:rsidR="00420933">
          <w:rPr>
            <w:noProof/>
          </w:rPr>
          <w:t>29</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3" w:history="1">
        <w:r w:rsidR="00F25005">
          <w:rPr>
            <w:rStyle w:val="ae"/>
            <w:rFonts w:hint="eastAsia"/>
            <w:bCs/>
            <w:noProof/>
          </w:rPr>
          <w:t>第十条</w:t>
        </w:r>
        <w:r w:rsidR="00F25005">
          <w:rPr>
            <w:rStyle w:val="ae"/>
            <w:bCs/>
            <w:noProof/>
          </w:rPr>
          <w:t xml:space="preserve"> </w:t>
        </w:r>
        <w:r w:rsidR="00F25005">
          <w:rPr>
            <w:rStyle w:val="ae"/>
            <w:rFonts w:hint="eastAsia"/>
            <w:bCs/>
            <w:noProof/>
          </w:rPr>
          <w:t>信息披露</w:t>
        </w:r>
        <w:r w:rsidR="00F25005">
          <w:rPr>
            <w:noProof/>
          </w:rPr>
          <w:tab/>
        </w:r>
        <w:r w:rsidR="00F25005">
          <w:rPr>
            <w:noProof/>
          </w:rPr>
          <w:fldChar w:fldCharType="begin"/>
        </w:r>
        <w:r w:rsidR="00F25005">
          <w:rPr>
            <w:noProof/>
          </w:rPr>
          <w:instrText xml:space="preserve"> PAGEREF _Toc44321733 \h </w:instrText>
        </w:r>
        <w:r w:rsidR="00F25005">
          <w:rPr>
            <w:noProof/>
          </w:rPr>
        </w:r>
        <w:r w:rsidR="00F25005">
          <w:rPr>
            <w:noProof/>
          </w:rPr>
          <w:fldChar w:fldCharType="separate"/>
        </w:r>
        <w:r w:rsidR="00420933">
          <w:rPr>
            <w:noProof/>
          </w:rPr>
          <w:t>30</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4" w:history="1">
        <w:r w:rsidR="00F25005">
          <w:rPr>
            <w:rStyle w:val="ae"/>
            <w:rFonts w:hint="eastAsia"/>
            <w:bCs/>
            <w:noProof/>
          </w:rPr>
          <w:t>第十一条</w:t>
        </w:r>
        <w:r w:rsidR="00F25005">
          <w:rPr>
            <w:rStyle w:val="ae"/>
            <w:bCs/>
            <w:noProof/>
          </w:rPr>
          <w:t xml:space="preserve"> </w:t>
        </w:r>
        <w:r w:rsidR="00F25005">
          <w:rPr>
            <w:rStyle w:val="ae"/>
            <w:rFonts w:hint="eastAsia"/>
            <w:bCs/>
            <w:noProof/>
          </w:rPr>
          <w:t>基金费用</w:t>
        </w:r>
        <w:r w:rsidR="00F25005">
          <w:rPr>
            <w:noProof/>
          </w:rPr>
          <w:tab/>
        </w:r>
        <w:r w:rsidR="00F25005">
          <w:rPr>
            <w:noProof/>
          </w:rPr>
          <w:fldChar w:fldCharType="begin"/>
        </w:r>
        <w:r w:rsidR="00F25005">
          <w:rPr>
            <w:noProof/>
          </w:rPr>
          <w:instrText xml:space="preserve"> PAGEREF _Toc44321734 \h </w:instrText>
        </w:r>
        <w:r w:rsidR="00F25005">
          <w:rPr>
            <w:noProof/>
          </w:rPr>
        </w:r>
        <w:r w:rsidR="00F25005">
          <w:rPr>
            <w:noProof/>
          </w:rPr>
          <w:fldChar w:fldCharType="separate"/>
        </w:r>
        <w:r w:rsidR="00420933">
          <w:rPr>
            <w:noProof/>
          </w:rPr>
          <w:t>32</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5" w:history="1">
        <w:r w:rsidR="00F25005">
          <w:rPr>
            <w:rStyle w:val="ae"/>
            <w:rFonts w:hint="eastAsia"/>
            <w:bCs/>
            <w:noProof/>
          </w:rPr>
          <w:t>第十二条</w:t>
        </w:r>
        <w:r w:rsidR="00F25005">
          <w:rPr>
            <w:rStyle w:val="ae"/>
            <w:bCs/>
            <w:noProof/>
          </w:rPr>
          <w:t xml:space="preserve"> </w:t>
        </w:r>
        <w:r w:rsidR="00F25005">
          <w:rPr>
            <w:rStyle w:val="ae"/>
            <w:rFonts w:hint="eastAsia"/>
            <w:bCs/>
            <w:noProof/>
          </w:rPr>
          <w:t>基金份额持有人名册的保管</w:t>
        </w:r>
        <w:r w:rsidR="00F25005">
          <w:rPr>
            <w:noProof/>
          </w:rPr>
          <w:tab/>
        </w:r>
        <w:r w:rsidR="00F25005">
          <w:rPr>
            <w:noProof/>
          </w:rPr>
          <w:fldChar w:fldCharType="begin"/>
        </w:r>
        <w:r w:rsidR="00F25005">
          <w:rPr>
            <w:noProof/>
          </w:rPr>
          <w:instrText xml:space="preserve"> PAGEREF _Toc44321735 \h </w:instrText>
        </w:r>
        <w:r w:rsidR="00F25005">
          <w:rPr>
            <w:noProof/>
          </w:rPr>
        </w:r>
        <w:r w:rsidR="00F25005">
          <w:rPr>
            <w:noProof/>
          </w:rPr>
          <w:fldChar w:fldCharType="separate"/>
        </w:r>
        <w:r w:rsidR="00420933">
          <w:rPr>
            <w:noProof/>
          </w:rPr>
          <w:t>34</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6" w:history="1">
        <w:r w:rsidR="00F25005">
          <w:rPr>
            <w:rStyle w:val="ae"/>
            <w:rFonts w:hint="eastAsia"/>
            <w:bCs/>
            <w:noProof/>
          </w:rPr>
          <w:t>第十三条</w:t>
        </w:r>
        <w:r w:rsidR="00F25005">
          <w:rPr>
            <w:rStyle w:val="ae"/>
            <w:bCs/>
            <w:noProof/>
          </w:rPr>
          <w:t xml:space="preserve"> </w:t>
        </w:r>
        <w:r w:rsidR="00F25005">
          <w:rPr>
            <w:rStyle w:val="ae"/>
            <w:rFonts w:hint="eastAsia"/>
            <w:bCs/>
            <w:noProof/>
          </w:rPr>
          <w:t>基金有关文件和档案的保存</w:t>
        </w:r>
        <w:r w:rsidR="00F25005">
          <w:rPr>
            <w:noProof/>
          </w:rPr>
          <w:tab/>
        </w:r>
        <w:r w:rsidR="00F25005">
          <w:rPr>
            <w:noProof/>
          </w:rPr>
          <w:fldChar w:fldCharType="begin"/>
        </w:r>
        <w:r w:rsidR="00F25005">
          <w:rPr>
            <w:noProof/>
          </w:rPr>
          <w:instrText xml:space="preserve"> PAGEREF _Toc44321736 \h </w:instrText>
        </w:r>
        <w:r w:rsidR="00F25005">
          <w:rPr>
            <w:noProof/>
          </w:rPr>
        </w:r>
        <w:r w:rsidR="00F25005">
          <w:rPr>
            <w:noProof/>
          </w:rPr>
          <w:fldChar w:fldCharType="separate"/>
        </w:r>
        <w:r w:rsidR="00420933">
          <w:rPr>
            <w:noProof/>
          </w:rPr>
          <w:t>34</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7" w:history="1">
        <w:r w:rsidR="00F25005">
          <w:rPr>
            <w:rStyle w:val="ae"/>
            <w:rFonts w:hint="eastAsia"/>
            <w:bCs/>
            <w:noProof/>
          </w:rPr>
          <w:t>第十四条</w:t>
        </w:r>
        <w:r w:rsidR="00F25005">
          <w:rPr>
            <w:rStyle w:val="ae"/>
            <w:bCs/>
            <w:noProof/>
          </w:rPr>
          <w:t xml:space="preserve"> </w:t>
        </w:r>
        <w:r w:rsidR="00F25005">
          <w:rPr>
            <w:rStyle w:val="ae"/>
            <w:rFonts w:hint="eastAsia"/>
            <w:bCs/>
            <w:noProof/>
          </w:rPr>
          <w:t>基金管理人和基金托管人的更换</w:t>
        </w:r>
        <w:r w:rsidR="00F25005">
          <w:rPr>
            <w:noProof/>
          </w:rPr>
          <w:tab/>
        </w:r>
        <w:r w:rsidR="00F25005">
          <w:rPr>
            <w:noProof/>
          </w:rPr>
          <w:fldChar w:fldCharType="begin"/>
        </w:r>
        <w:r w:rsidR="00F25005">
          <w:rPr>
            <w:noProof/>
          </w:rPr>
          <w:instrText xml:space="preserve"> PAGEREF _Toc44321737 \h </w:instrText>
        </w:r>
        <w:r w:rsidR="00F25005">
          <w:rPr>
            <w:noProof/>
          </w:rPr>
        </w:r>
        <w:r w:rsidR="00F25005">
          <w:rPr>
            <w:noProof/>
          </w:rPr>
          <w:fldChar w:fldCharType="separate"/>
        </w:r>
        <w:r w:rsidR="00420933">
          <w:rPr>
            <w:noProof/>
          </w:rPr>
          <w:t>34</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8" w:history="1">
        <w:r w:rsidR="00F25005">
          <w:rPr>
            <w:rStyle w:val="ae"/>
            <w:rFonts w:hint="eastAsia"/>
            <w:bCs/>
            <w:noProof/>
          </w:rPr>
          <w:t>第十五条</w:t>
        </w:r>
        <w:r w:rsidR="00F25005">
          <w:rPr>
            <w:rStyle w:val="ae"/>
            <w:bCs/>
            <w:noProof/>
          </w:rPr>
          <w:t xml:space="preserve"> </w:t>
        </w:r>
        <w:r w:rsidR="00F25005">
          <w:rPr>
            <w:rStyle w:val="ae"/>
            <w:rFonts w:hint="eastAsia"/>
            <w:bCs/>
            <w:noProof/>
          </w:rPr>
          <w:t>禁止行为</w:t>
        </w:r>
        <w:r w:rsidR="00F25005">
          <w:rPr>
            <w:noProof/>
          </w:rPr>
          <w:tab/>
        </w:r>
        <w:r w:rsidR="00F25005">
          <w:rPr>
            <w:noProof/>
          </w:rPr>
          <w:fldChar w:fldCharType="begin"/>
        </w:r>
        <w:r w:rsidR="00F25005">
          <w:rPr>
            <w:noProof/>
          </w:rPr>
          <w:instrText xml:space="preserve"> PAGEREF _Toc44321738 \h </w:instrText>
        </w:r>
        <w:r w:rsidR="00F25005">
          <w:rPr>
            <w:noProof/>
          </w:rPr>
        </w:r>
        <w:r w:rsidR="00F25005">
          <w:rPr>
            <w:noProof/>
          </w:rPr>
          <w:fldChar w:fldCharType="separate"/>
        </w:r>
        <w:r w:rsidR="00420933">
          <w:rPr>
            <w:noProof/>
          </w:rPr>
          <w:t>37</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39" w:history="1">
        <w:r w:rsidR="00F25005">
          <w:rPr>
            <w:rStyle w:val="ae"/>
            <w:rFonts w:hint="eastAsia"/>
            <w:bCs/>
            <w:noProof/>
          </w:rPr>
          <w:t>第十六条</w:t>
        </w:r>
        <w:r w:rsidR="00F25005">
          <w:rPr>
            <w:rStyle w:val="ae"/>
            <w:bCs/>
            <w:noProof/>
          </w:rPr>
          <w:t xml:space="preserve"> </w:t>
        </w:r>
        <w:r w:rsidR="00F25005">
          <w:rPr>
            <w:rStyle w:val="ae"/>
            <w:rFonts w:hint="eastAsia"/>
            <w:bCs/>
            <w:noProof/>
          </w:rPr>
          <w:t>本协议的变更、终止与基金财产的清算</w:t>
        </w:r>
        <w:r w:rsidR="00F25005">
          <w:rPr>
            <w:noProof/>
          </w:rPr>
          <w:tab/>
        </w:r>
        <w:r w:rsidR="00F25005">
          <w:rPr>
            <w:noProof/>
          </w:rPr>
          <w:fldChar w:fldCharType="begin"/>
        </w:r>
        <w:r w:rsidR="00F25005">
          <w:rPr>
            <w:noProof/>
          </w:rPr>
          <w:instrText xml:space="preserve"> PAGEREF _Toc44321739 \h </w:instrText>
        </w:r>
        <w:r w:rsidR="00F25005">
          <w:rPr>
            <w:noProof/>
          </w:rPr>
        </w:r>
        <w:r w:rsidR="00F25005">
          <w:rPr>
            <w:noProof/>
          </w:rPr>
          <w:fldChar w:fldCharType="separate"/>
        </w:r>
        <w:r w:rsidR="00420933">
          <w:rPr>
            <w:noProof/>
          </w:rPr>
          <w:t>38</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0" w:history="1">
        <w:r w:rsidR="00F25005">
          <w:rPr>
            <w:rStyle w:val="ae"/>
            <w:rFonts w:hint="eastAsia"/>
            <w:bCs/>
            <w:noProof/>
          </w:rPr>
          <w:t>第十七条</w:t>
        </w:r>
        <w:r w:rsidR="00F25005">
          <w:rPr>
            <w:rStyle w:val="ae"/>
            <w:bCs/>
            <w:noProof/>
          </w:rPr>
          <w:t xml:space="preserve"> </w:t>
        </w:r>
        <w:r w:rsidR="00F25005">
          <w:rPr>
            <w:rStyle w:val="ae"/>
            <w:rFonts w:hint="eastAsia"/>
            <w:bCs/>
            <w:noProof/>
          </w:rPr>
          <w:t>违约责任</w:t>
        </w:r>
        <w:r w:rsidR="00F25005">
          <w:rPr>
            <w:noProof/>
          </w:rPr>
          <w:tab/>
        </w:r>
        <w:r w:rsidR="00F25005">
          <w:rPr>
            <w:noProof/>
          </w:rPr>
          <w:fldChar w:fldCharType="begin"/>
        </w:r>
        <w:r w:rsidR="00F25005">
          <w:rPr>
            <w:noProof/>
          </w:rPr>
          <w:instrText xml:space="preserve"> PAGEREF _Toc44321740 \h </w:instrText>
        </w:r>
        <w:r w:rsidR="00F25005">
          <w:rPr>
            <w:noProof/>
          </w:rPr>
        </w:r>
        <w:r w:rsidR="00F25005">
          <w:rPr>
            <w:noProof/>
          </w:rPr>
          <w:fldChar w:fldCharType="separate"/>
        </w:r>
        <w:r w:rsidR="00420933">
          <w:rPr>
            <w:noProof/>
          </w:rPr>
          <w:t>40</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1" w:history="1">
        <w:r w:rsidR="00F25005">
          <w:rPr>
            <w:rStyle w:val="ae"/>
            <w:rFonts w:hint="eastAsia"/>
            <w:bCs/>
            <w:noProof/>
          </w:rPr>
          <w:t>第十八条</w:t>
        </w:r>
        <w:r w:rsidR="00F25005">
          <w:rPr>
            <w:rStyle w:val="ae"/>
            <w:bCs/>
            <w:noProof/>
          </w:rPr>
          <w:t xml:space="preserve"> </w:t>
        </w:r>
        <w:r w:rsidR="00F25005">
          <w:rPr>
            <w:rStyle w:val="ae"/>
            <w:rFonts w:hint="eastAsia"/>
            <w:bCs/>
            <w:noProof/>
          </w:rPr>
          <w:t>法律适用和争议解决</w:t>
        </w:r>
        <w:r w:rsidR="00F25005">
          <w:rPr>
            <w:noProof/>
          </w:rPr>
          <w:tab/>
        </w:r>
        <w:r w:rsidR="00F25005">
          <w:rPr>
            <w:noProof/>
          </w:rPr>
          <w:fldChar w:fldCharType="begin"/>
        </w:r>
        <w:r w:rsidR="00F25005">
          <w:rPr>
            <w:noProof/>
          </w:rPr>
          <w:instrText xml:space="preserve"> PAGEREF _Toc44321741 \h </w:instrText>
        </w:r>
        <w:r w:rsidR="00F25005">
          <w:rPr>
            <w:noProof/>
          </w:rPr>
        </w:r>
        <w:r w:rsidR="00F25005">
          <w:rPr>
            <w:noProof/>
          </w:rPr>
          <w:fldChar w:fldCharType="separate"/>
        </w:r>
        <w:r w:rsidR="00420933">
          <w:rPr>
            <w:noProof/>
          </w:rPr>
          <w:t>41</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2" w:history="1">
        <w:r w:rsidR="00F25005">
          <w:rPr>
            <w:rStyle w:val="ae"/>
            <w:rFonts w:hint="eastAsia"/>
            <w:bCs/>
            <w:noProof/>
          </w:rPr>
          <w:t>第十九条</w:t>
        </w:r>
        <w:r w:rsidR="00F25005">
          <w:rPr>
            <w:rStyle w:val="ae"/>
            <w:bCs/>
            <w:noProof/>
          </w:rPr>
          <w:t xml:space="preserve"> </w:t>
        </w:r>
        <w:r w:rsidR="00F25005">
          <w:rPr>
            <w:rStyle w:val="ae"/>
            <w:rFonts w:hint="eastAsia"/>
            <w:bCs/>
            <w:noProof/>
          </w:rPr>
          <w:t>本协议的效力</w:t>
        </w:r>
        <w:r w:rsidR="00F25005">
          <w:rPr>
            <w:noProof/>
          </w:rPr>
          <w:tab/>
        </w:r>
        <w:r w:rsidR="00F25005">
          <w:rPr>
            <w:noProof/>
          </w:rPr>
          <w:fldChar w:fldCharType="begin"/>
        </w:r>
        <w:r w:rsidR="00F25005">
          <w:rPr>
            <w:noProof/>
          </w:rPr>
          <w:instrText xml:space="preserve"> PAGEREF _Toc44321742 \h </w:instrText>
        </w:r>
        <w:r w:rsidR="00F25005">
          <w:rPr>
            <w:noProof/>
          </w:rPr>
        </w:r>
        <w:r w:rsidR="00F25005">
          <w:rPr>
            <w:noProof/>
          </w:rPr>
          <w:fldChar w:fldCharType="separate"/>
        </w:r>
        <w:r w:rsidR="00420933">
          <w:rPr>
            <w:noProof/>
          </w:rPr>
          <w:t>41</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3" w:history="1">
        <w:r w:rsidR="00F25005">
          <w:rPr>
            <w:rStyle w:val="ae"/>
            <w:rFonts w:hint="eastAsia"/>
            <w:bCs/>
            <w:noProof/>
          </w:rPr>
          <w:t>第二十条</w:t>
        </w:r>
        <w:r w:rsidR="00F25005">
          <w:rPr>
            <w:rStyle w:val="ae"/>
            <w:bCs/>
            <w:noProof/>
          </w:rPr>
          <w:t xml:space="preserve"> </w:t>
        </w:r>
        <w:r w:rsidR="00F25005">
          <w:rPr>
            <w:rStyle w:val="ae"/>
            <w:rFonts w:hint="eastAsia"/>
            <w:bCs/>
            <w:noProof/>
          </w:rPr>
          <w:t>本协议的签订</w:t>
        </w:r>
        <w:r w:rsidR="00F25005">
          <w:rPr>
            <w:noProof/>
          </w:rPr>
          <w:tab/>
        </w:r>
        <w:r w:rsidR="00F25005">
          <w:rPr>
            <w:noProof/>
          </w:rPr>
          <w:fldChar w:fldCharType="begin"/>
        </w:r>
        <w:r w:rsidR="00F25005">
          <w:rPr>
            <w:noProof/>
          </w:rPr>
          <w:instrText xml:space="preserve"> PAGEREF _Toc44321743 \h </w:instrText>
        </w:r>
        <w:r w:rsidR="00F25005">
          <w:rPr>
            <w:noProof/>
          </w:rPr>
        </w:r>
        <w:r w:rsidR="00F25005">
          <w:rPr>
            <w:noProof/>
          </w:rPr>
          <w:fldChar w:fldCharType="separate"/>
        </w:r>
        <w:r w:rsidR="00420933">
          <w:rPr>
            <w:noProof/>
          </w:rPr>
          <w:t>42</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4" w:history="1">
        <w:r w:rsidR="00F25005">
          <w:rPr>
            <w:rStyle w:val="ae"/>
            <w:rFonts w:hint="eastAsia"/>
            <w:bCs/>
            <w:noProof/>
          </w:rPr>
          <w:t>第二十一条</w:t>
        </w:r>
        <w:r w:rsidR="00F25005">
          <w:rPr>
            <w:rStyle w:val="ae"/>
            <w:bCs/>
            <w:noProof/>
          </w:rPr>
          <w:t xml:space="preserve"> </w:t>
        </w:r>
        <w:r w:rsidR="00F25005">
          <w:rPr>
            <w:rStyle w:val="ae"/>
            <w:rFonts w:hint="eastAsia"/>
            <w:bCs/>
            <w:noProof/>
          </w:rPr>
          <w:t>不可抗力</w:t>
        </w:r>
        <w:r w:rsidR="00F25005">
          <w:rPr>
            <w:noProof/>
          </w:rPr>
          <w:tab/>
        </w:r>
        <w:r w:rsidR="00F25005">
          <w:rPr>
            <w:noProof/>
          </w:rPr>
          <w:fldChar w:fldCharType="begin"/>
        </w:r>
        <w:r w:rsidR="00F25005">
          <w:rPr>
            <w:noProof/>
          </w:rPr>
          <w:instrText xml:space="preserve"> PAGEREF _Toc44321744 \h </w:instrText>
        </w:r>
        <w:r w:rsidR="00F25005">
          <w:rPr>
            <w:noProof/>
          </w:rPr>
        </w:r>
        <w:r w:rsidR="00F25005">
          <w:rPr>
            <w:noProof/>
          </w:rPr>
          <w:fldChar w:fldCharType="separate"/>
        </w:r>
        <w:r w:rsidR="00420933">
          <w:rPr>
            <w:noProof/>
          </w:rPr>
          <w:t>42</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5" w:history="1">
        <w:r w:rsidR="00F25005">
          <w:rPr>
            <w:rStyle w:val="ae"/>
            <w:rFonts w:hint="eastAsia"/>
            <w:bCs/>
            <w:noProof/>
          </w:rPr>
          <w:t>第二十二条</w:t>
        </w:r>
        <w:r w:rsidR="00F25005">
          <w:rPr>
            <w:rStyle w:val="ae"/>
            <w:bCs/>
            <w:noProof/>
          </w:rPr>
          <w:t xml:space="preserve"> </w:t>
        </w:r>
        <w:r w:rsidR="00F25005">
          <w:rPr>
            <w:rStyle w:val="ae"/>
            <w:rFonts w:hint="eastAsia"/>
            <w:bCs/>
            <w:noProof/>
          </w:rPr>
          <w:t>可分割性</w:t>
        </w:r>
        <w:r w:rsidR="00F25005">
          <w:rPr>
            <w:noProof/>
          </w:rPr>
          <w:tab/>
        </w:r>
        <w:r w:rsidR="00F25005">
          <w:rPr>
            <w:noProof/>
          </w:rPr>
          <w:fldChar w:fldCharType="begin"/>
        </w:r>
        <w:r w:rsidR="00F25005">
          <w:rPr>
            <w:noProof/>
          </w:rPr>
          <w:instrText xml:space="preserve"> PAGEREF _Toc44321745 \h </w:instrText>
        </w:r>
        <w:r w:rsidR="00F25005">
          <w:rPr>
            <w:noProof/>
          </w:rPr>
        </w:r>
        <w:r w:rsidR="00F25005">
          <w:rPr>
            <w:noProof/>
          </w:rPr>
          <w:fldChar w:fldCharType="separate"/>
        </w:r>
        <w:r w:rsidR="00420933">
          <w:rPr>
            <w:noProof/>
          </w:rPr>
          <w:t>42</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6" w:history="1">
        <w:r w:rsidR="00F25005">
          <w:rPr>
            <w:rStyle w:val="ae"/>
            <w:rFonts w:hint="eastAsia"/>
            <w:bCs/>
            <w:noProof/>
          </w:rPr>
          <w:t>第二十三条</w:t>
        </w:r>
        <w:r w:rsidR="00F25005">
          <w:rPr>
            <w:rStyle w:val="ae"/>
            <w:bCs/>
            <w:noProof/>
          </w:rPr>
          <w:t xml:space="preserve"> </w:t>
        </w:r>
        <w:r w:rsidR="00F25005">
          <w:rPr>
            <w:rStyle w:val="ae"/>
            <w:rFonts w:hint="eastAsia"/>
            <w:bCs/>
            <w:noProof/>
          </w:rPr>
          <w:t>通知与送达</w:t>
        </w:r>
        <w:r w:rsidR="00F25005">
          <w:rPr>
            <w:noProof/>
          </w:rPr>
          <w:tab/>
        </w:r>
        <w:r w:rsidR="00F25005">
          <w:rPr>
            <w:noProof/>
          </w:rPr>
          <w:fldChar w:fldCharType="begin"/>
        </w:r>
        <w:r w:rsidR="00F25005">
          <w:rPr>
            <w:noProof/>
          </w:rPr>
          <w:instrText xml:space="preserve"> PAGEREF _Toc44321746 \h </w:instrText>
        </w:r>
        <w:r w:rsidR="00F25005">
          <w:rPr>
            <w:noProof/>
          </w:rPr>
        </w:r>
        <w:r w:rsidR="00F25005">
          <w:rPr>
            <w:noProof/>
          </w:rPr>
          <w:fldChar w:fldCharType="separate"/>
        </w:r>
        <w:r w:rsidR="00420933">
          <w:rPr>
            <w:noProof/>
          </w:rPr>
          <w:t>42</w:t>
        </w:r>
        <w:r w:rsidR="00F25005">
          <w:rPr>
            <w:noProof/>
          </w:rPr>
          <w:fldChar w:fldCharType="end"/>
        </w:r>
      </w:hyperlink>
    </w:p>
    <w:p w:rsidR="004A33FC" w:rsidRDefault="00AE2526">
      <w:pPr>
        <w:pStyle w:val="10"/>
        <w:rPr>
          <w:rFonts w:asciiTheme="minorHAnsi" w:eastAsiaTheme="minorEastAsia" w:hAnsiTheme="minorHAnsi" w:cstheme="minorBidi"/>
          <w:noProof/>
          <w:sz w:val="21"/>
          <w:szCs w:val="22"/>
        </w:rPr>
      </w:pPr>
      <w:hyperlink w:anchor="_Toc44321747" w:history="1">
        <w:r w:rsidR="00F25005">
          <w:rPr>
            <w:rStyle w:val="ae"/>
            <w:rFonts w:hint="eastAsia"/>
            <w:bCs/>
            <w:noProof/>
          </w:rPr>
          <w:t>第二十四条</w:t>
        </w:r>
        <w:r w:rsidR="00F25005">
          <w:rPr>
            <w:rStyle w:val="ae"/>
            <w:bCs/>
            <w:noProof/>
          </w:rPr>
          <w:t xml:space="preserve"> </w:t>
        </w:r>
        <w:r w:rsidR="00F25005">
          <w:rPr>
            <w:rStyle w:val="ae"/>
            <w:rFonts w:hint="eastAsia"/>
            <w:bCs/>
            <w:noProof/>
          </w:rPr>
          <w:t>其他约定事项</w:t>
        </w:r>
        <w:r w:rsidR="00F25005">
          <w:rPr>
            <w:noProof/>
          </w:rPr>
          <w:tab/>
        </w:r>
        <w:r w:rsidR="00F25005">
          <w:rPr>
            <w:noProof/>
          </w:rPr>
          <w:fldChar w:fldCharType="begin"/>
        </w:r>
        <w:r w:rsidR="00F25005">
          <w:rPr>
            <w:noProof/>
          </w:rPr>
          <w:instrText xml:space="preserve"> PAGEREF _Toc44321747 \h </w:instrText>
        </w:r>
        <w:r w:rsidR="00F25005">
          <w:rPr>
            <w:noProof/>
          </w:rPr>
        </w:r>
        <w:r w:rsidR="00F25005">
          <w:rPr>
            <w:noProof/>
          </w:rPr>
          <w:fldChar w:fldCharType="separate"/>
        </w:r>
        <w:r w:rsidR="00420933">
          <w:rPr>
            <w:noProof/>
          </w:rPr>
          <w:t>44</w:t>
        </w:r>
        <w:r w:rsidR="00F25005">
          <w:rPr>
            <w:noProof/>
          </w:rPr>
          <w:fldChar w:fldCharType="end"/>
        </w:r>
      </w:hyperlink>
    </w:p>
    <w:p w:rsidR="004A33FC" w:rsidRDefault="00F25005">
      <w:pPr>
        <w:snapToGrid w:val="0"/>
        <w:spacing w:line="360" w:lineRule="auto"/>
        <w:jc w:val="center"/>
        <w:rPr>
          <w:rFonts w:ascii="宋体" w:hAnsi="宋体"/>
          <w:b/>
          <w:sz w:val="28"/>
          <w:szCs w:val="28"/>
        </w:rPr>
      </w:pPr>
      <w:r>
        <w:rPr>
          <w:rFonts w:ascii="宋体" w:hAnsi="宋体"/>
          <w:b/>
          <w:sz w:val="28"/>
          <w:szCs w:val="28"/>
        </w:rPr>
        <w:fldChar w:fldCharType="end"/>
      </w:r>
    </w:p>
    <w:p w:rsidR="004A33FC" w:rsidRDefault="00F25005">
      <w:pPr>
        <w:adjustRightInd w:val="0"/>
        <w:snapToGrid w:val="0"/>
        <w:spacing w:line="520" w:lineRule="atLeast"/>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富国周期精选三年持有期混合型证券投资基金托管协议</w:t>
      </w:r>
    </w:p>
    <w:p w:rsidR="004A33FC" w:rsidRDefault="004A33FC">
      <w:pPr>
        <w:adjustRightInd w:val="0"/>
        <w:snapToGrid w:val="0"/>
        <w:spacing w:line="520" w:lineRule="atLeast"/>
        <w:jc w:val="center"/>
        <w:rPr>
          <w:rFonts w:ascii="宋体" w:hAnsi="宋体"/>
          <w:b/>
          <w:sz w:val="28"/>
          <w:szCs w:val="28"/>
        </w:rPr>
      </w:pPr>
    </w:p>
    <w:p w:rsidR="004A33FC" w:rsidRDefault="004A33FC">
      <w:pPr>
        <w:adjustRightInd w:val="0"/>
        <w:snapToGrid w:val="0"/>
        <w:spacing w:line="520" w:lineRule="atLeast"/>
        <w:jc w:val="center"/>
        <w:rPr>
          <w:rFonts w:ascii="宋体" w:hAnsi="宋体"/>
          <w:b/>
          <w:sz w:val="28"/>
          <w:szCs w:val="28"/>
        </w:rPr>
      </w:pPr>
    </w:p>
    <w:p w:rsidR="004A33FC" w:rsidRDefault="00F25005">
      <w:pPr>
        <w:tabs>
          <w:tab w:val="left" w:pos="5940"/>
        </w:tabs>
        <w:adjustRightInd w:val="0"/>
        <w:snapToGrid w:val="0"/>
        <w:spacing w:line="520" w:lineRule="atLeast"/>
        <w:rPr>
          <w:rFonts w:ascii="宋体" w:hAnsi="宋体"/>
          <w:b/>
          <w:sz w:val="24"/>
          <w:szCs w:val="24"/>
        </w:rPr>
      </w:pPr>
      <w:r>
        <w:rPr>
          <w:rFonts w:ascii="宋体" w:hAnsi="宋体" w:hint="eastAsia"/>
          <w:b/>
          <w:sz w:val="24"/>
          <w:szCs w:val="24"/>
        </w:rPr>
        <w:t>基金管理人：富国基金管理有限公司</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住所：中国（上海）自由贸易试验区世纪大道1196号世纪汇办公楼二座27-30层</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法定代表人：裴长江</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设立日期：1999年4月13日</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批准设立机关及批准设立文号：中国证券监督管理委员会证</w:t>
      </w:r>
      <w:proofErr w:type="gramStart"/>
      <w:r>
        <w:rPr>
          <w:rFonts w:ascii="宋体" w:hAnsi="宋体" w:hint="eastAsia"/>
          <w:sz w:val="24"/>
          <w:szCs w:val="24"/>
        </w:rPr>
        <w:t>监基金字</w:t>
      </w:r>
      <w:proofErr w:type="gramEnd"/>
      <w:r>
        <w:rPr>
          <w:rFonts w:ascii="宋体" w:hAnsi="宋体" w:hint="eastAsia"/>
          <w:sz w:val="24"/>
          <w:szCs w:val="24"/>
        </w:rPr>
        <w:t>【1999】11号</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组织形式：有限责任公司</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注册资本：人民币5.2亿元</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存续期限：持续经营</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联系电话：021-20361818</w:t>
      </w:r>
    </w:p>
    <w:p w:rsidR="004A33FC" w:rsidRDefault="004A33FC">
      <w:pPr>
        <w:snapToGrid w:val="0"/>
        <w:spacing w:line="520" w:lineRule="atLeast"/>
        <w:rPr>
          <w:rFonts w:ascii="宋体" w:hAnsi="宋体"/>
          <w:sz w:val="24"/>
          <w:szCs w:val="24"/>
        </w:rPr>
      </w:pPr>
    </w:p>
    <w:p w:rsidR="004A33FC" w:rsidRDefault="00F25005">
      <w:pPr>
        <w:tabs>
          <w:tab w:val="left" w:pos="5940"/>
        </w:tabs>
        <w:snapToGrid w:val="0"/>
        <w:spacing w:line="360" w:lineRule="auto"/>
        <w:rPr>
          <w:rFonts w:ascii="宋体" w:hAnsi="宋体"/>
          <w:b/>
          <w:sz w:val="24"/>
          <w:szCs w:val="24"/>
        </w:rPr>
      </w:pPr>
      <w:r>
        <w:rPr>
          <w:rFonts w:ascii="宋体" w:hAnsi="宋体" w:hint="eastAsia"/>
          <w:b/>
          <w:sz w:val="24"/>
          <w:szCs w:val="24"/>
        </w:rPr>
        <w:t xml:space="preserve">基金托管人：中信银行股份有限公司 </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住所：北京市朝阳区光华路10号院1号楼6-30层、32-42层</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法定代表人：朱鹤新</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成立时间：1987年4月20日</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批准设立文号：国办函[1987]14号</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基金托管业务批准文号：证</w:t>
      </w:r>
      <w:proofErr w:type="gramStart"/>
      <w:r>
        <w:rPr>
          <w:rFonts w:ascii="宋体" w:hAnsi="宋体" w:hint="eastAsia"/>
          <w:sz w:val="24"/>
          <w:szCs w:val="24"/>
        </w:rPr>
        <w:t>监基金字</w:t>
      </w:r>
      <w:proofErr w:type="gramEnd"/>
      <w:r>
        <w:rPr>
          <w:rFonts w:ascii="宋体" w:hAnsi="宋体" w:hint="eastAsia"/>
          <w:sz w:val="24"/>
          <w:szCs w:val="24"/>
        </w:rPr>
        <w:t>[2004]125号</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组织形式：股份有限公司</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注册资本：4893479.6573万元</w:t>
      </w:r>
    </w:p>
    <w:p w:rsidR="004A33FC" w:rsidRDefault="00F25005">
      <w:pPr>
        <w:tabs>
          <w:tab w:val="left" w:pos="5940"/>
        </w:tabs>
        <w:adjustRightInd w:val="0"/>
        <w:snapToGrid w:val="0"/>
        <w:spacing w:line="520" w:lineRule="atLeast"/>
        <w:rPr>
          <w:rFonts w:ascii="宋体" w:hAnsi="宋体"/>
          <w:sz w:val="24"/>
          <w:szCs w:val="24"/>
        </w:rPr>
      </w:pPr>
      <w:r>
        <w:rPr>
          <w:rFonts w:ascii="宋体" w:hAnsi="宋体" w:hint="eastAsia"/>
          <w:sz w:val="24"/>
          <w:szCs w:val="24"/>
        </w:rPr>
        <w:t>存续期间：持续经营</w:t>
      </w:r>
    </w:p>
    <w:p w:rsidR="004A33FC" w:rsidRDefault="004A33FC">
      <w:pPr>
        <w:autoSpaceDE w:val="0"/>
        <w:autoSpaceDN w:val="0"/>
        <w:adjustRightInd w:val="0"/>
        <w:spacing w:line="520" w:lineRule="atLeast"/>
        <w:rPr>
          <w:rFonts w:ascii="宋体" w:hAnsi="宋体"/>
          <w:sz w:val="24"/>
          <w:szCs w:val="24"/>
        </w:rPr>
      </w:pPr>
    </w:p>
    <w:p w:rsidR="004A33FC" w:rsidRDefault="00F25005">
      <w:pPr>
        <w:autoSpaceDE w:val="0"/>
        <w:autoSpaceDN w:val="0"/>
        <w:adjustRightInd w:val="0"/>
        <w:spacing w:line="520" w:lineRule="atLeast"/>
        <w:ind w:firstLineChars="200" w:firstLine="482"/>
        <w:rPr>
          <w:rFonts w:ascii="宋体" w:hAnsi="宋体"/>
          <w:b/>
          <w:sz w:val="24"/>
          <w:szCs w:val="24"/>
        </w:rPr>
      </w:pPr>
      <w:r>
        <w:rPr>
          <w:rFonts w:ascii="宋体" w:hAnsi="宋体" w:hint="eastAsia"/>
          <w:b/>
          <w:sz w:val="24"/>
          <w:szCs w:val="24"/>
        </w:rPr>
        <w:t>鉴于：</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1．富国基金管理有限公司系一家依照中国法律合法成立并有效存续的法人，按照相关法律法规的规定具备担任基金管理人的资格和能力；</w:t>
      </w:r>
    </w:p>
    <w:p w:rsidR="004A33FC" w:rsidRDefault="00F25005">
      <w:pPr>
        <w:pStyle w:val="20"/>
        <w:spacing w:before="0" w:after="0" w:line="520" w:lineRule="atLeast"/>
        <w:ind w:left="0" w:firstLineChars="200" w:firstLine="480"/>
        <w:rPr>
          <w:rFonts w:hAnsi="宋体"/>
          <w:szCs w:val="24"/>
        </w:rPr>
      </w:pPr>
      <w:r>
        <w:rPr>
          <w:rFonts w:hAnsi="宋体" w:hint="eastAsia"/>
          <w:szCs w:val="24"/>
        </w:rPr>
        <w:t>2.中信银行股份有限公司系一家依照中国法律合法成立并有效存续的银行，按照相关法律法规的规定具备担任基金托管人的资格和能力；</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3.富国基金管理有限公司拟担任富国周期精选三年持有期混合型证券投资基金的基金管理人，中信银行股份有限公司拟担任富国周期精选三年持有期混合型证券投资基金的基金托管人；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为明确双方在基金托管中的权利、义务及责任，确保基金财产的安全，保护基金份额持有人的合法权益，依据相关法律法规和监管规定，双方本着平等自愿、诚实守信的原则特签订本协议。</w:t>
      </w:r>
    </w:p>
    <w:p w:rsidR="004A33FC" w:rsidRDefault="00F25005">
      <w:pPr>
        <w:pStyle w:val="20"/>
        <w:spacing w:before="0" w:after="0" w:line="520" w:lineRule="atLeast"/>
        <w:ind w:left="0" w:firstLine="541"/>
        <w:rPr>
          <w:rFonts w:hAnsi="宋体"/>
          <w:b/>
          <w:bCs/>
          <w:szCs w:val="24"/>
        </w:rPr>
      </w:pPr>
      <w:r>
        <w:rPr>
          <w:rFonts w:hAnsi="宋体" w:hint="eastAsia"/>
          <w:b/>
          <w:bCs/>
          <w:szCs w:val="24"/>
        </w:rPr>
        <w:t>释义：</w:t>
      </w:r>
    </w:p>
    <w:p w:rsidR="004A33FC" w:rsidRDefault="00F25005">
      <w:pPr>
        <w:pStyle w:val="20"/>
        <w:spacing w:before="0" w:after="0" w:line="520" w:lineRule="atLeast"/>
        <w:ind w:left="0" w:firstLineChars="200" w:firstLine="480"/>
        <w:rPr>
          <w:rFonts w:hAnsi="宋体"/>
          <w:szCs w:val="24"/>
        </w:rPr>
      </w:pPr>
      <w:r>
        <w:rPr>
          <w:rFonts w:hAnsi="宋体" w:hint="eastAsia"/>
          <w:szCs w:val="24"/>
        </w:rPr>
        <w:t xml:space="preserve">除非另有约定，《富国周期精选三年持有期混合型证券投资基金基金合同》(以下简称“基金合同”)中定义的术语在用于本托管协议时应具有相同的含义；若有抵触，应以基金合同为准，并依其条款解释。 </w:t>
      </w:r>
    </w:p>
    <w:p w:rsidR="004A33FC" w:rsidRDefault="00F25005">
      <w:pPr>
        <w:pStyle w:val="1"/>
        <w:spacing w:line="520" w:lineRule="atLeast"/>
        <w:ind w:firstLineChars="200" w:firstLine="482"/>
        <w:rPr>
          <w:bCs/>
          <w:color w:val="auto"/>
          <w:szCs w:val="24"/>
        </w:rPr>
      </w:pPr>
      <w:bookmarkStart w:id="16" w:name="_Toc44321724"/>
      <w:bookmarkStart w:id="17" w:name="_Toc296551337"/>
      <w:r>
        <w:rPr>
          <w:rFonts w:hint="eastAsia"/>
          <w:bCs/>
          <w:color w:val="auto"/>
          <w:szCs w:val="24"/>
        </w:rPr>
        <w:t>第一条 本协议当事人</w:t>
      </w:r>
      <w:bookmarkEnd w:id="16"/>
      <w:bookmarkEnd w:id="17"/>
    </w:p>
    <w:p w:rsidR="004A33FC" w:rsidRDefault="00F25005">
      <w:pPr>
        <w:pStyle w:val="20"/>
        <w:spacing w:before="0" w:after="0" w:line="520" w:lineRule="atLeast"/>
        <w:ind w:left="0" w:firstLineChars="200" w:firstLine="480"/>
        <w:rPr>
          <w:rFonts w:hAnsi="宋体"/>
          <w:szCs w:val="24"/>
        </w:rPr>
      </w:pPr>
      <w:r>
        <w:rPr>
          <w:rFonts w:hAnsi="宋体" w:hint="eastAsia"/>
          <w:szCs w:val="24"/>
        </w:rPr>
        <w:t>1.1基金管理人：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名称：富国基金管理有限公司</w:t>
      </w:r>
    </w:p>
    <w:p w:rsidR="004A33FC" w:rsidRDefault="00F25005">
      <w:pPr>
        <w:pStyle w:val="20"/>
        <w:spacing w:before="0" w:after="0" w:line="520" w:lineRule="atLeast"/>
        <w:ind w:left="0" w:firstLineChars="200" w:firstLine="480"/>
        <w:rPr>
          <w:rFonts w:hAnsi="宋体"/>
          <w:szCs w:val="24"/>
        </w:rPr>
      </w:pPr>
      <w:r>
        <w:rPr>
          <w:rFonts w:hAnsi="宋体" w:hint="eastAsia"/>
          <w:szCs w:val="24"/>
        </w:rPr>
        <w:t>住所：中国（上海）自由贸易试验区世纪大道1196号世纪汇办公楼二座27-30层</w:t>
      </w:r>
    </w:p>
    <w:p w:rsidR="004A33FC" w:rsidRDefault="00F25005">
      <w:pPr>
        <w:pStyle w:val="20"/>
        <w:spacing w:before="0" w:after="0" w:line="520" w:lineRule="atLeast"/>
        <w:ind w:left="0" w:firstLineChars="200" w:firstLine="480"/>
        <w:rPr>
          <w:rFonts w:hAnsi="宋体"/>
          <w:szCs w:val="24"/>
        </w:rPr>
      </w:pPr>
      <w:r>
        <w:rPr>
          <w:rFonts w:hAnsi="宋体" w:hint="eastAsia"/>
          <w:szCs w:val="24"/>
        </w:rPr>
        <w:t>法定代表人：裴长江</w:t>
      </w:r>
    </w:p>
    <w:p w:rsidR="004A33FC" w:rsidRDefault="00F25005">
      <w:pPr>
        <w:pStyle w:val="20"/>
        <w:spacing w:before="0" w:after="0" w:line="520" w:lineRule="atLeast"/>
        <w:ind w:left="0" w:firstLineChars="200" w:firstLine="480"/>
        <w:rPr>
          <w:rFonts w:hAnsi="宋体"/>
          <w:szCs w:val="24"/>
        </w:rPr>
      </w:pPr>
      <w:r>
        <w:rPr>
          <w:rFonts w:hAnsi="宋体" w:hint="eastAsia"/>
          <w:szCs w:val="24"/>
        </w:rPr>
        <w:t>设立日期：1999年4月13日</w:t>
      </w:r>
    </w:p>
    <w:p w:rsidR="004A33FC" w:rsidRDefault="00F25005">
      <w:pPr>
        <w:pStyle w:val="20"/>
        <w:spacing w:before="0" w:after="0" w:line="520" w:lineRule="atLeast"/>
        <w:ind w:left="0" w:firstLineChars="200" w:firstLine="480"/>
        <w:rPr>
          <w:rFonts w:hAnsi="宋体"/>
          <w:szCs w:val="24"/>
        </w:rPr>
      </w:pPr>
      <w:r>
        <w:rPr>
          <w:rFonts w:hAnsi="宋体" w:hint="eastAsia"/>
          <w:szCs w:val="24"/>
        </w:rPr>
        <w:t>批准设立机关及批准设立文号：中国证券监督管理委员会证</w:t>
      </w:r>
      <w:proofErr w:type="gramStart"/>
      <w:r>
        <w:rPr>
          <w:rFonts w:hAnsi="宋体" w:hint="eastAsia"/>
          <w:szCs w:val="24"/>
        </w:rPr>
        <w:t>监基金字</w:t>
      </w:r>
      <w:proofErr w:type="gramEnd"/>
      <w:r>
        <w:rPr>
          <w:rFonts w:hAnsi="宋体" w:hint="eastAsia"/>
          <w:szCs w:val="24"/>
        </w:rPr>
        <w:t>【1999】11号</w:t>
      </w:r>
    </w:p>
    <w:p w:rsidR="004A33FC" w:rsidRDefault="00F25005">
      <w:pPr>
        <w:pStyle w:val="20"/>
        <w:spacing w:before="0" w:after="0" w:line="520" w:lineRule="atLeast"/>
        <w:ind w:left="0" w:firstLineChars="200" w:firstLine="480"/>
        <w:rPr>
          <w:rFonts w:hAnsi="宋体"/>
          <w:szCs w:val="24"/>
        </w:rPr>
      </w:pPr>
      <w:r>
        <w:rPr>
          <w:rFonts w:hAnsi="宋体" w:hint="eastAsia"/>
          <w:szCs w:val="24"/>
        </w:rPr>
        <w:t>组织形式：有限责任公司</w:t>
      </w:r>
    </w:p>
    <w:p w:rsidR="004A33FC" w:rsidRDefault="00F25005">
      <w:pPr>
        <w:pStyle w:val="20"/>
        <w:spacing w:line="520" w:lineRule="atLeast"/>
        <w:rPr>
          <w:rFonts w:hAnsi="宋体"/>
          <w:szCs w:val="24"/>
        </w:rPr>
      </w:pPr>
      <w:r>
        <w:rPr>
          <w:rFonts w:hAnsi="宋体" w:hint="eastAsia"/>
          <w:szCs w:val="24"/>
        </w:rPr>
        <w:t>注册资本：人民币5.2亿元</w:t>
      </w:r>
    </w:p>
    <w:p w:rsidR="004A33FC" w:rsidRDefault="00F25005">
      <w:pPr>
        <w:pStyle w:val="20"/>
        <w:spacing w:line="520" w:lineRule="atLeast"/>
        <w:rPr>
          <w:rFonts w:hAnsi="宋体"/>
          <w:szCs w:val="24"/>
        </w:rPr>
      </w:pPr>
      <w:r>
        <w:rPr>
          <w:rFonts w:hAnsi="宋体" w:hint="eastAsia"/>
          <w:szCs w:val="24"/>
        </w:rPr>
        <w:t>存续期限：持续经营</w:t>
      </w:r>
    </w:p>
    <w:p w:rsidR="004A33FC" w:rsidRDefault="00F25005">
      <w:pPr>
        <w:pStyle w:val="20"/>
        <w:spacing w:before="0" w:after="0" w:line="520" w:lineRule="atLeast"/>
        <w:ind w:left="0" w:firstLineChars="200" w:firstLine="480"/>
        <w:rPr>
          <w:rFonts w:hAnsi="宋体"/>
          <w:szCs w:val="24"/>
        </w:rPr>
      </w:pPr>
      <w:r>
        <w:rPr>
          <w:rFonts w:hAnsi="宋体" w:hint="eastAsia"/>
          <w:szCs w:val="24"/>
        </w:rPr>
        <w:t>联系电话：021-20361818</w:t>
      </w:r>
    </w:p>
    <w:p w:rsidR="004A33FC" w:rsidRDefault="00F25005">
      <w:pPr>
        <w:pStyle w:val="20"/>
        <w:spacing w:before="0" w:after="0" w:line="520" w:lineRule="atLeast"/>
        <w:ind w:left="0" w:firstLineChars="200" w:firstLine="480"/>
        <w:rPr>
          <w:rFonts w:hAnsi="宋体"/>
          <w:szCs w:val="24"/>
        </w:rPr>
      </w:pPr>
      <w:r>
        <w:rPr>
          <w:rFonts w:hAnsi="宋体" w:hint="eastAsia"/>
          <w:szCs w:val="24"/>
        </w:rPr>
        <w:t>1.2基金托管人：</w:t>
      </w:r>
    </w:p>
    <w:p w:rsidR="004A33FC" w:rsidRDefault="00F25005">
      <w:pPr>
        <w:pStyle w:val="20"/>
        <w:spacing w:before="0" w:after="0" w:line="520" w:lineRule="exact"/>
        <w:ind w:left="0" w:firstLineChars="200" w:firstLine="480"/>
        <w:rPr>
          <w:rFonts w:hAnsi="宋体"/>
          <w:szCs w:val="24"/>
        </w:rPr>
      </w:pPr>
      <w:bookmarkStart w:id="18" w:name="_Toc296551338"/>
      <w:bookmarkStart w:id="19" w:name="_Toc44321725"/>
      <w:r>
        <w:rPr>
          <w:rFonts w:hAnsi="宋体" w:hint="eastAsia"/>
          <w:szCs w:val="24"/>
        </w:rPr>
        <w:t>名称：中信银行股份有限公司</w:t>
      </w:r>
    </w:p>
    <w:p w:rsidR="004A33FC" w:rsidRDefault="00F25005">
      <w:pPr>
        <w:pStyle w:val="20"/>
        <w:spacing w:before="0" w:after="0" w:line="520" w:lineRule="exact"/>
        <w:ind w:left="0" w:firstLineChars="200" w:firstLine="480"/>
        <w:rPr>
          <w:rFonts w:hAnsi="宋体"/>
          <w:szCs w:val="24"/>
        </w:rPr>
      </w:pPr>
      <w:r>
        <w:rPr>
          <w:rFonts w:hAnsi="宋体" w:hint="eastAsia"/>
          <w:szCs w:val="24"/>
        </w:rPr>
        <w:t>住所：北京市朝阳区光华路10号院1号楼6-30层、32-42层</w:t>
      </w:r>
    </w:p>
    <w:p w:rsidR="004A33FC" w:rsidRDefault="00F25005">
      <w:pPr>
        <w:pStyle w:val="20"/>
        <w:spacing w:before="0" w:after="0" w:line="520" w:lineRule="exact"/>
        <w:ind w:left="0" w:firstLineChars="200" w:firstLine="480"/>
        <w:rPr>
          <w:rFonts w:hAnsi="宋体"/>
          <w:szCs w:val="24"/>
        </w:rPr>
      </w:pPr>
      <w:r>
        <w:rPr>
          <w:rFonts w:hAnsi="宋体" w:hint="eastAsia"/>
          <w:szCs w:val="24"/>
        </w:rPr>
        <w:t>法定代表人：朱鹤新</w:t>
      </w:r>
    </w:p>
    <w:p w:rsidR="004A33FC" w:rsidRDefault="00F25005">
      <w:pPr>
        <w:pStyle w:val="20"/>
        <w:spacing w:before="0" w:after="0" w:line="520" w:lineRule="exact"/>
        <w:ind w:left="0" w:firstLineChars="200" w:firstLine="480"/>
        <w:rPr>
          <w:rFonts w:hAnsi="宋体"/>
          <w:szCs w:val="24"/>
        </w:rPr>
      </w:pPr>
      <w:r>
        <w:rPr>
          <w:rFonts w:hAnsi="宋体" w:hint="eastAsia"/>
          <w:szCs w:val="24"/>
        </w:rPr>
        <w:t>成立时间：1987年4月20日</w:t>
      </w:r>
    </w:p>
    <w:p w:rsidR="004A33FC" w:rsidRDefault="00F25005">
      <w:pPr>
        <w:pStyle w:val="20"/>
        <w:spacing w:before="0" w:after="0" w:line="520" w:lineRule="exact"/>
        <w:ind w:left="0" w:firstLineChars="200" w:firstLine="480"/>
        <w:rPr>
          <w:rFonts w:hAnsi="宋体"/>
          <w:szCs w:val="24"/>
        </w:rPr>
      </w:pPr>
      <w:r>
        <w:rPr>
          <w:rFonts w:hAnsi="宋体" w:hint="eastAsia"/>
          <w:szCs w:val="24"/>
        </w:rPr>
        <w:lastRenderedPageBreak/>
        <w:t>批准设立文号：国办函[1987]14号</w:t>
      </w:r>
    </w:p>
    <w:p w:rsidR="004A33FC" w:rsidRDefault="00F25005">
      <w:pPr>
        <w:pStyle w:val="20"/>
        <w:spacing w:before="0" w:after="0" w:line="520" w:lineRule="exact"/>
        <w:ind w:left="0" w:firstLineChars="200" w:firstLine="480"/>
        <w:rPr>
          <w:rFonts w:hAnsi="宋体"/>
          <w:szCs w:val="24"/>
        </w:rPr>
      </w:pPr>
      <w:r>
        <w:rPr>
          <w:rFonts w:hAnsi="宋体" w:hint="eastAsia"/>
          <w:szCs w:val="24"/>
        </w:rPr>
        <w:t>基金托管业务批准文号：证</w:t>
      </w:r>
      <w:proofErr w:type="gramStart"/>
      <w:r>
        <w:rPr>
          <w:rFonts w:hAnsi="宋体" w:hint="eastAsia"/>
          <w:szCs w:val="24"/>
        </w:rPr>
        <w:t>监基金字</w:t>
      </w:r>
      <w:proofErr w:type="gramEnd"/>
      <w:r>
        <w:rPr>
          <w:rFonts w:hAnsi="宋体" w:hint="eastAsia"/>
          <w:szCs w:val="24"/>
        </w:rPr>
        <w:t>[2004]125号</w:t>
      </w:r>
    </w:p>
    <w:p w:rsidR="004A33FC" w:rsidRDefault="00F25005">
      <w:pPr>
        <w:pStyle w:val="20"/>
        <w:spacing w:before="0" w:after="0" w:line="520" w:lineRule="exact"/>
        <w:ind w:left="0" w:firstLineChars="200" w:firstLine="480"/>
        <w:rPr>
          <w:rFonts w:hAnsi="宋体"/>
          <w:szCs w:val="24"/>
        </w:rPr>
      </w:pPr>
      <w:r>
        <w:rPr>
          <w:rFonts w:hAnsi="宋体" w:hint="eastAsia"/>
          <w:szCs w:val="24"/>
        </w:rPr>
        <w:t>组织形式：股份有限公司</w:t>
      </w:r>
    </w:p>
    <w:p w:rsidR="004A33FC" w:rsidRDefault="00F25005">
      <w:pPr>
        <w:pStyle w:val="20"/>
        <w:spacing w:before="0" w:after="0" w:line="520" w:lineRule="exact"/>
        <w:ind w:left="0" w:firstLineChars="200" w:firstLine="480"/>
        <w:rPr>
          <w:rFonts w:hAnsi="宋体"/>
          <w:szCs w:val="24"/>
        </w:rPr>
      </w:pPr>
      <w:r>
        <w:rPr>
          <w:rFonts w:hAnsi="宋体" w:hint="eastAsia"/>
          <w:szCs w:val="24"/>
        </w:rPr>
        <w:t>注册资本：4893479.6573万元</w:t>
      </w:r>
    </w:p>
    <w:p w:rsidR="004A33FC" w:rsidRDefault="00F25005">
      <w:pPr>
        <w:pStyle w:val="20"/>
        <w:spacing w:before="0" w:after="0" w:line="520" w:lineRule="exact"/>
        <w:ind w:left="0" w:firstLineChars="200" w:firstLine="480"/>
        <w:rPr>
          <w:rFonts w:hAnsi="宋体"/>
          <w:szCs w:val="24"/>
        </w:rPr>
      </w:pPr>
      <w:r>
        <w:rPr>
          <w:rFonts w:hAnsi="宋体" w:hint="eastAsia"/>
          <w:szCs w:val="24"/>
        </w:rPr>
        <w:t>存续期间：持续经营</w:t>
      </w:r>
    </w:p>
    <w:p w:rsidR="004A33FC" w:rsidRDefault="00F25005">
      <w:pPr>
        <w:pStyle w:val="1"/>
        <w:spacing w:line="520" w:lineRule="atLeast"/>
        <w:ind w:firstLineChars="200" w:firstLine="482"/>
        <w:rPr>
          <w:bCs/>
          <w:color w:val="auto"/>
          <w:szCs w:val="24"/>
        </w:rPr>
      </w:pPr>
      <w:r>
        <w:rPr>
          <w:rFonts w:hint="eastAsia"/>
          <w:bCs/>
          <w:color w:val="auto"/>
          <w:szCs w:val="24"/>
        </w:rPr>
        <w:t>第二条 本协议的依据、目的和原则</w:t>
      </w:r>
      <w:bookmarkEnd w:id="18"/>
      <w:bookmarkEnd w:id="19"/>
    </w:p>
    <w:p w:rsidR="004A33FC" w:rsidRDefault="00F25005">
      <w:pPr>
        <w:pStyle w:val="20"/>
        <w:spacing w:before="0" w:after="0" w:line="520" w:lineRule="atLeast"/>
        <w:ind w:left="0" w:firstLineChars="200" w:firstLine="480"/>
        <w:rPr>
          <w:rFonts w:hAnsi="宋体"/>
          <w:szCs w:val="24"/>
        </w:rPr>
      </w:pPr>
      <w:r>
        <w:rPr>
          <w:rFonts w:hAnsi="宋体" w:hint="eastAsia"/>
          <w:szCs w:val="24"/>
        </w:rPr>
        <w:t>2.1本协议的依据</w:t>
      </w:r>
    </w:p>
    <w:p w:rsidR="004A33FC" w:rsidRDefault="00F25005">
      <w:pPr>
        <w:pStyle w:val="20"/>
        <w:spacing w:before="0" w:after="0" w:line="520" w:lineRule="atLeast"/>
        <w:ind w:left="0" w:firstLineChars="200" w:firstLine="480"/>
        <w:rPr>
          <w:rFonts w:hAnsi="宋体"/>
          <w:szCs w:val="24"/>
        </w:rPr>
      </w:pPr>
      <w:r>
        <w:rPr>
          <w:rFonts w:hAnsi="宋体" w:hint="eastAsia"/>
          <w:szCs w:val="24"/>
        </w:rPr>
        <w:t>订立本协议的依据是《中华人民共和国证券投资基金法》（以下简称“《基金法》”）、《公开募集证券投资基金运作管理办法》（以下简称“《运作办法》”）、《公开募集证券投资基金销售机构监督管理办法》（以下简称“《销售办法》”）、《公开</w:t>
      </w:r>
      <w:r>
        <w:rPr>
          <w:rFonts w:hAnsi="宋体"/>
          <w:szCs w:val="24"/>
        </w:rPr>
        <w:t>募集</w:t>
      </w:r>
      <w:r>
        <w:rPr>
          <w:rFonts w:hAnsi="宋体" w:hint="eastAsia"/>
          <w:szCs w:val="24"/>
        </w:rPr>
        <w:t>证券投资基金信息披露管理办法》（以下简称“《信息披露办法》”）、</w:t>
      </w:r>
      <w:r>
        <w:rPr>
          <w:rFonts w:hint="eastAsia"/>
          <w:bCs/>
        </w:rPr>
        <w:t>《公开募集开放式证券投资基金流动性风险管理规定》（以下简称“《流动性风险管理规定》”）、</w:t>
      </w:r>
      <w:r>
        <w:rPr>
          <w:rFonts w:hAnsi="宋体" w:hint="eastAsia"/>
          <w:szCs w:val="24"/>
        </w:rPr>
        <w:t>《证券投资基金信息披露内容与格式准则第7号〈托管协议的内容与格式〉》、《富国周期精选三年持有期混合型证券投资基金基金合同》（以下简称“基金合同”）及其他有关规定。</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2.2本协议的目的</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2.3本协议的原则</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基金管理人和基金托管人本着平等自愿、诚实信用、充分保护基金份额持有人合法权益的原则，经协商一致，签订本协议。</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2.4若本基金实施</w:t>
      </w:r>
      <w:proofErr w:type="gramStart"/>
      <w:r>
        <w:rPr>
          <w:rFonts w:hAnsi="宋体" w:hint="eastAsia"/>
          <w:szCs w:val="24"/>
        </w:rPr>
        <w:t>侧袋机制</w:t>
      </w:r>
      <w:proofErr w:type="gramEnd"/>
      <w:r>
        <w:rPr>
          <w:rFonts w:hAnsi="宋体" w:hint="eastAsia"/>
          <w:szCs w:val="24"/>
        </w:rPr>
        <w:t>的，</w:t>
      </w:r>
      <w:proofErr w:type="gramStart"/>
      <w:r>
        <w:rPr>
          <w:rFonts w:hAnsi="宋体" w:hint="eastAsia"/>
          <w:szCs w:val="24"/>
        </w:rPr>
        <w:t>侧袋机制</w:t>
      </w:r>
      <w:proofErr w:type="gramEnd"/>
      <w:r>
        <w:rPr>
          <w:rFonts w:hAnsi="宋体" w:hint="eastAsia"/>
          <w:szCs w:val="24"/>
        </w:rPr>
        <w:t>实施期间的相关安排</w:t>
      </w:r>
      <w:proofErr w:type="gramStart"/>
      <w:r>
        <w:rPr>
          <w:rFonts w:hAnsi="宋体" w:hint="eastAsia"/>
          <w:szCs w:val="24"/>
        </w:rPr>
        <w:t>见基金</w:t>
      </w:r>
      <w:proofErr w:type="gramEnd"/>
      <w:r>
        <w:rPr>
          <w:rFonts w:hAnsi="宋体" w:hint="eastAsia"/>
          <w:szCs w:val="24"/>
        </w:rPr>
        <w:t>合同和招募说明书的规定。</w:t>
      </w:r>
    </w:p>
    <w:p w:rsidR="004A33FC" w:rsidRDefault="00F25005">
      <w:pPr>
        <w:pStyle w:val="1"/>
        <w:adjustRightInd w:val="0"/>
        <w:spacing w:line="520" w:lineRule="atLeast"/>
        <w:ind w:firstLineChars="200" w:firstLine="482"/>
        <w:rPr>
          <w:bCs/>
          <w:color w:val="auto"/>
          <w:szCs w:val="24"/>
        </w:rPr>
      </w:pPr>
      <w:bookmarkStart w:id="20" w:name="_Toc44321726"/>
      <w:bookmarkStart w:id="21" w:name="_Toc296551339"/>
      <w:r>
        <w:rPr>
          <w:rFonts w:hint="eastAsia"/>
          <w:bCs/>
          <w:color w:val="auto"/>
          <w:szCs w:val="24"/>
        </w:rPr>
        <w:t>第三条 基金托管人对基金管理人的业务监督和核查</w:t>
      </w:r>
      <w:bookmarkEnd w:id="20"/>
      <w:bookmarkEnd w:id="21"/>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3.1基金托管人对基金管理人的投资行为行使监督权</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3.1.1基金托管人根据有关法律法规的规定和基金合同的约定，对下述基金投资范围、投资对象进行监督。本基金将投资于以下金融工具：</w:t>
      </w:r>
    </w:p>
    <w:p w:rsidR="004A33FC" w:rsidRDefault="00F25005">
      <w:pPr>
        <w:adjustRightInd w:val="0"/>
        <w:snapToGrid w:val="0"/>
        <w:spacing w:line="520" w:lineRule="atLeast"/>
        <w:ind w:firstLine="480"/>
        <w:rPr>
          <w:rFonts w:ascii="宋体" w:hAnsi="宋体"/>
          <w:sz w:val="24"/>
          <w:szCs w:val="24"/>
        </w:rPr>
      </w:pPr>
      <w:r>
        <w:rPr>
          <w:rFonts w:ascii="宋体" w:hAnsi="宋体" w:hint="eastAsia"/>
          <w:sz w:val="24"/>
          <w:szCs w:val="24"/>
        </w:rPr>
        <w:lastRenderedPageBreak/>
        <w:t>本基金的投资范围为具有良好流动性的金融工具，包括国内依法发行上市的股票（包括主板、</w:t>
      </w:r>
      <w:proofErr w:type="gramStart"/>
      <w:r>
        <w:rPr>
          <w:rFonts w:ascii="宋体" w:hAnsi="宋体" w:hint="eastAsia"/>
          <w:sz w:val="24"/>
          <w:szCs w:val="24"/>
        </w:rPr>
        <w:t>科创板</w:t>
      </w:r>
      <w:proofErr w:type="gramEnd"/>
      <w:r>
        <w:rPr>
          <w:rFonts w:ascii="宋体" w:hAnsi="宋体" w:hint="eastAsia"/>
          <w:sz w:val="24"/>
          <w:szCs w:val="24"/>
        </w:rPr>
        <w:t>、创业板以及其他经中国证监会允许发行的股票）、存托凭证、港股通标的股票、债券（包括国债、地方政府债、金融债、企业债、公司债、政府支持债券、政府支持机构债、次级债、可转换债券、分离交易可转债、央行票据、中期票据、短期融资</w:t>
      </w:r>
      <w:proofErr w:type="gramStart"/>
      <w:r>
        <w:rPr>
          <w:rFonts w:ascii="宋体" w:hAnsi="宋体" w:hint="eastAsia"/>
          <w:sz w:val="24"/>
          <w:szCs w:val="24"/>
        </w:rPr>
        <w:t>券</w:t>
      </w:r>
      <w:proofErr w:type="gramEnd"/>
      <w:r>
        <w:rPr>
          <w:rFonts w:ascii="宋体" w:hAnsi="宋体" w:hint="eastAsia"/>
          <w:sz w:val="24"/>
          <w:szCs w:val="24"/>
        </w:rPr>
        <w:t>（</w:t>
      </w:r>
      <w:proofErr w:type="gramStart"/>
      <w:r>
        <w:rPr>
          <w:rFonts w:ascii="宋体" w:hAnsi="宋体" w:hint="eastAsia"/>
          <w:sz w:val="24"/>
          <w:szCs w:val="24"/>
        </w:rPr>
        <w:t>含超短期</w:t>
      </w:r>
      <w:proofErr w:type="gramEnd"/>
      <w:r>
        <w:rPr>
          <w:rFonts w:ascii="宋体" w:hAnsi="宋体" w:hint="eastAsia"/>
          <w:sz w:val="24"/>
          <w:szCs w:val="24"/>
        </w:rPr>
        <w:t>融资</w:t>
      </w:r>
      <w:proofErr w:type="gramStart"/>
      <w:r>
        <w:rPr>
          <w:rFonts w:ascii="宋体" w:hAnsi="宋体" w:hint="eastAsia"/>
          <w:sz w:val="24"/>
          <w:szCs w:val="24"/>
        </w:rPr>
        <w:t>券</w:t>
      </w:r>
      <w:proofErr w:type="gramEnd"/>
      <w:r>
        <w:rPr>
          <w:rFonts w:ascii="宋体" w:hAnsi="宋体" w:hint="eastAsia"/>
          <w:sz w:val="24"/>
          <w:szCs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r>
        <w:rPr>
          <w:rFonts w:ascii="宋体" w:hAnsi="宋体"/>
          <w:sz w:val="24"/>
          <w:szCs w:val="24"/>
        </w:rPr>
        <w:t xml:space="preserve">                                                                                                                         </w:t>
      </w:r>
    </w:p>
    <w:p w:rsidR="004A33FC" w:rsidRDefault="00F25005">
      <w:pPr>
        <w:spacing w:line="520" w:lineRule="atLeast"/>
        <w:ind w:firstLine="480"/>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rsidR="004A33FC" w:rsidRDefault="00F25005">
      <w:pPr>
        <w:spacing w:line="520" w:lineRule="atLeast"/>
        <w:ind w:firstLine="480"/>
        <w:rPr>
          <w:rFonts w:ascii="宋体" w:hAnsi="宋体"/>
          <w:sz w:val="24"/>
          <w:szCs w:val="24"/>
        </w:rPr>
      </w:pPr>
      <w:r>
        <w:rPr>
          <w:rFonts w:ascii="宋体" w:hAnsi="宋体" w:hint="eastAsia"/>
          <w:sz w:val="24"/>
          <w:szCs w:val="24"/>
        </w:rPr>
        <w:t>本基金各类资产的投资比例范围为：</w:t>
      </w:r>
    </w:p>
    <w:p w:rsidR="004A33FC" w:rsidRDefault="00F25005">
      <w:pPr>
        <w:spacing w:line="520" w:lineRule="atLeast"/>
        <w:ind w:firstLine="480"/>
        <w:rPr>
          <w:rFonts w:ascii="宋体" w:hAnsi="宋体"/>
          <w:sz w:val="24"/>
          <w:szCs w:val="24"/>
        </w:rPr>
      </w:pPr>
      <w:r>
        <w:rPr>
          <w:rFonts w:ascii="宋体" w:hAnsi="宋体" w:hint="eastAsia"/>
          <w:sz w:val="24"/>
          <w:szCs w:val="24"/>
        </w:rPr>
        <w:t>股票及存托凭证投资占基金资产的比例为60%-95%（其中，港股通标的股票占股票资产的比例为0%-50%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rsidR="004A33FC" w:rsidRDefault="00F25005">
      <w:pPr>
        <w:spacing w:line="520" w:lineRule="atLeast"/>
        <w:ind w:firstLine="480"/>
        <w:rPr>
          <w:rFonts w:ascii="宋体" w:hAnsi="宋体"/>
          <w:sz w:val="24"/>
          <w:szCs w:val="24"/>
        </w:rPr>
      </w:pPr>
      <w:r>
        <w:rPr>
          <w:rFonts w:ascii="宋体" w:hAnsi="宋体" w:hint="eastAsia"/>
          <w:sz w:val="24"/>
          <w:szCs w:val="24"/>
        </w:rPr>
        <w:t>如果法律法规对该比例要求有变更的，在履行适当程序后，以变更后的比例为准，本基金的投资比例会做相应调整。</w:t>
      </w:r>
      <w:r>
        <w:rPr>
          <w:rFonts w:ascii="宋体" w:hAnsi="宋体"/>
          <w:sz w:val="24"/>
          <w:szCs w:val="24"/>
        </w:rPr>
        <w:t xml:space="preserve">                                                                                                                                 </w:t>
      </w:r>
    </w:p>
    <w:p w:rsidR="004A33FC" w:rsidRDefault="00F25005">
      <w:pPr>
        <w:spacing w:line="520" w:lineRule="atLeast"/>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r>
        <w:rPr>
          <w:rFonts w:ascii="宋体" w:hAnsi="宋体" w:hint="eastAsia"/>
          <w:sz w:val="24"/>
          <w:szCs w:val="24"/>
        </w:rPr>
        <w:t>，并可依据届时有效的法律法规适时合理地调整投资</w:t>
      </w:r>
      <w:r>
        <w:rPr>
          <w:rFonts w:ascii="宋体" w:hAnsi="宋体" w:hint="eastAsia"/>
          <w:sz w:val="24"/>
        </w:rPr>
        <w:t>范围。</w:t>
      </w:r>
    </w:p>
    <w:p w:rsidR="004A33FC" w:rsidRDefault="00F25005">
      <w:pPr>
        <w:spacing w:line="520" w:lineRule="atLeast"/>
        <w:jc w:val="left"/>
        <w:rPr>
          <w:rFonts w:ascii="宋体" w:hAnsi="宋体"/>
          <w:sz w:val="24"/>
          <w:szCs w:val="24"/>
        </w:rPr>
      </w:pPr>
      <w:r>
        <w:rPr>
          <w:rFonts w:ascii="宋体" w:hAnsi="宋体" w:hint="eastAsia"/>
          <w:sz w:val="24"/>
        </w:rPr>
        <w:t xml:space="preserve">    3.1.2基金托管人根据有关法律法规的规定及基金合同的约定对下述基金投融资比例进行监督：    </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（1）本基金股票及存托凭证资产的投资比例占基金资产的60%-95%（其中，投资于港股通标的股票的比例占股票资产的0-50%）；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lastRenderedPageBreak/>
        <w:t>（</w:t>
      </w:r>
      <w:r>
        <w:rPr>
          <w:rFonts w:ascii="宋体" w:hAnsi="宋体"/>
          <w:sz w:val="24"/>
          <w:szCs w:val="24"/>
        </w:rPr>
        <w:t>3</w:t>
      </w:r>
      <w:r>
        <w:rPr>
          <w:rFonts w:ascii="宋体" w:hAnsi="宋体" w:hint="eastAsia"/>
          <w:sz w:val="24"/>
          <w:szCs w:val="24"/>
        </w:rPr>
        <w:t>）本基金持有一家公司发行的证券（同一家公司在内地和香港同时上市的A+H股合计计算），其市值不超过基金资产净值的10%；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 xml:space="preserve">（4）本基金管理人管理的全部基金持有一家公司发行的证券（同一家公司在内地和香港同时上市的A+H股合计计算），不超过该证券的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基金品种以及中国证监会认定的特殊投资组合可以不受此条款规定的比例限制； </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（5）本基金投资于同一原始权益人的各类资产支持证券的比例，不得超过基金资产净值的10%；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（6）本基金持有的全部资产支持证券，其市值不得超过基金资产净值的20%；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）本基金持有的同一（指同一信用级别）资产支持证券的比例，不得超过该资产支持证券规模的10%；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（8）本基金管理人管理的全部基金投资于同一原始权益人的各类资产支持证券，不得超过其各类资产支持证券合计规模的10%；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）基金财产参与股票发行申购，本基金所申报的金额不超过本基金的总资产，本基金所申报的股票数量不超过拟发行股票公司本次发行股票的总量；</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1</w:t>
      </w:r>
      <w:r>
        <w:rPr>
          <w:rFonts w:ascii="宋体" w:hAnsi="宋体" w:hint="eastAsia"/>
          <w:sz w:val="24"/>
          <w:szCs w:val="24"/>
        </w:rPr>
        <w:t>）本基金进入全国银行间同业市场进行债券回购的最长期限为1年，债券回购到期后不得展期；</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2</w:t>
      </w:r>
      <w:r>
        <w:rPr>
          <w:rFonts w:ascii="宋体" w:hAnsi="宋体" w:hint="eastAsia"/>
          <w:sz w:val="24"/>
          <w:szCs w:val="24"/>
        </w:rPr>
        <w:t>）本基金参与股指期货、国债期货交易，应当遵守下列要求：</w:t>
      </w:r>
    </w:p>
    <w:p w:rsidR="004A33FC" w:rsidRDefault="00F25005">
      <w:pPr>
        <w:spacing w:line="52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）本基金在任何交易日日终，持有的买入股指期货合约价值，不得超过基金资产净值的10%；本基金在任何交易日日终，持有的买入国债期货合约价值，不得超过基金资产净值的15%；</w:t>
      </w:r>
    </w:p>
    <w:p w:rsidR="004A33FC" w:rsidRDefault="00F25005">
      <w:pPr>
        <w:spacing w:line="520" w:lineRule="atLeas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）本基金在任何交易日日终，持有的买入股指期货、国债期货合约价值与有</w:t>
      </w:r>
      <w:r>
        <w:rPr>
          <w:rFonts w:ascii="宋体" w:hAnsi="宋体" w:hint="eastAsia"/>
          <w:sz w:val="24"/>
          <w:szCs w:val="24"/>
        </w:rPr>
        <w:lastRenderedPageBreak/>
        <w:t>价证券市值之和，不得超过基金资产净值的95%；其中，有价证券指股票、债券（不含到期日在一年以内的政府债券）、资产支持证券、买入返售金融资产（不含质押式回购）等；</w:t>
      </w:r>
    </w:p>
    <w:p w:rsidR="004A33FC" w:rsidRDefault="00F25005">
      <w:pPr>
        <w:spacing w:line="520" w:lineRule="atLeas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）本基金在任何交易日日终，持有的卖出股指期货合约价值不得超过本基金持有的股票总市值的20%；本基金在任何交易日日终，持有的卖出国债期货合约价值不得超过基金持有的债券总市值的30%；</w:t>
      </w:r>
    </w:p>
    <w:p w:rsidR="004A33FC" w:rsidRDefault="00F25005">
      <w:pPr>
        <w:spacing w:line="520" w:lineRule="atLeas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rsidR="004A33FC" w:rsidRDefault="00F25005">
      <w:pPr>
        <w:spacing w:line="520" w:lineRule="atLeas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3</w:t>
      </w:r>
      <w:r>
        <w:rPr>
          <w:rFonts w:ascii="宋体" w:hAnsi="宋体" w:hint="eastAsia"/>
          <w:sz w:val="24"/>
          <w:szCs w:val="24"/>
        </w:rPr>
        <w:t>）本基金参与股票期权交易，应当遵守下列要求：</w:t>
      </w:r>
    </w:p>
    <w:p w:rsidR="004A33FC" w:rsidRDefault="00F25005">
      <w:pPr>
        <w:spacing w:line="520" w:lineRule="atLeast"/>
        <w:ind w:firstLineChars="200" w:firstLine="480"/>
        <w:rPr>
          <w:rFonts w:ascii="宋体" w:hAnsi="宋体"/>
          <w:sz w:val="24"/>
          <w:szCs w:val="24"/>
        </w:rPr>
      </w:pPr>
      <w:r>
        <w:rPr>
          <w:rFonts w:ascii="宋体" w:hAnsi="宋体"/>
          <w:sz w:val="24"/>
          <w:szCs w:val="24"/>
        </w:rPr>
        <w:t>1</w:t>
      </w:r>
      <w:r>
        <w:rPr>
          <w:rFonts w:ascii="宋体" w:hAnsi="宋体" w:hint="eastAsia"/>
          <w:sz w:val="24"/>
          <w:szCs w:val="24"/>
        </w:rPr>
        <w:t>）因未平仓的期权合约支付和收取的权利金总额不得超过基金资产净值的10%；</w:t>
      </w:r>
    </w:p>
    <w:p w:rsidR="004A33FC" w:rsidRDefault="00F25005">
      <w:pPr>
        <w:spacing w:line="520" w:lineRule="atLeas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）开仓卖出认购期权的，应持有足额标的证券；开仓卖出认沽期权的，应持有合约行权所需的全额现金或交易所规则认可的可冲抵期权保证金的现金等价物；</w:t>
      </w:r>
    </w:p>
    <w:p w:rsidR="004A33FC" w:rsidRDefault="00F25005">
      <w:pPr>
        <w:spacing w:line="520" w:lineRule="atLeas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）未平仓的期权合约面值不得超过基金资产净值的20%。其中，合约面值按照行权价乘以合约乘数计算；</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4</w:t>
      </w:r>
      <w:r>
        <w:rPr>
          <w:rFonts w:ascii="宋体" w:hAnsi="宋体" w:hint="eastAsia"/>
          <w:sz w:val="24"/>
          <w:szCs w:val="24"/>
        </w:rPr>
        <w:t>）本基金资产总值不得超过基金资产净值的140%；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5</w:t>
      </w:r>
      <w:r>
        <w:rPr>
          <w:rFonts w:ascii="宋体" w:hAnsi="宋体" w:hint="eastAsia"/>
          <w:sz w:val="24"/>
          <w:szCs w:val="24"/>
        </w:rPr>
        <w:t>）本基金不得持有信用保护卖方属性的信用衍生品，不得持有合约类信用衍生品；</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6</w:t>
      </w:r>
      <w:r>
        <w:rPr>
          <w:rFonts w:ascii="宋体" w:hAnsi="宋体" w:hint="eastAsia"/>
          <w:sz w:val="24"/>
          <w:szCs w:val="24"/>
        </w:rPr>
        <w:t>）本基金持有的信用衍生品的名义本金不得超过本基金对应受保护债券面值的100%；投资于同一信用保护卖方的各类信用衍生品的名义本金合计不得超过基金资产净值的10%；</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因证券、期货市场波动、证券发行人合并、基金规模变动等基金管理人之外的因素致使基金不符合前述（16）所规定比例限制的，基金管理人应在3个月之内进行调整；</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lastRenderedPageBreak/>
        <w:t>（1</w:t>
      </w:r>
      <w:r>
        <w:rPr>
          <w:rFonts w:ascii="宋体" w:hAnsi="宋体"/>
          <w:sz w:val="24"/>
          <w:szCs w:val="24"/>
        </w:rPr>
        <w:t>7</w:t>
      </w:r>
      <w:r>
        <w:rPr>
          <w:rFonts w:ascii="宋体" w:hAnsi="宋体" w:hint="eastAsia"/>
          <w:sz w:val="24"/>
          <w:szCs w:val="24"/>
        </w:rPr>
        <w:t>）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8</w:t>
      </w:r>
      <w:r>
        <w:rPr>
          <w:rFonts w:ascii="宋体" w:hAnsi="宋体" w:hint="eastAsia"/>
          <w:sz w:val="24"/>
          <w:szCs w:val="24"/>
        </w:rPr>
        <w:t>）本基金与私募类</w:t>
      </w:r>
      <w:proofErr w:type="gramStart"/>
      <w:r>
        <w:rPr>
          <w:rFonts w:ascii="宋体" w:hAnsi="宋体" w:hint="eastAsia"/>
          <w:sz w:val="24"/>
          <w:szCs w:val="24"/>
        </w:rPr>
        <w:t>证券资管产品</w:t>
      </w:r>
      <w:proofErr w:type="gramEnd"/>
      <w:r>
        <w:rPr>
          <w:rFonts w:ascii="宋体" w:hAnsi="宋体" w:hint="eastAsia"/>
          <w:sz w:val="24"/>
          <w:szCs w:val="24"/>
        </w:rPr>
        <w:t>及中国证监会认定的其他主体为交易对手开展逆回购交易的，可接受质押品的资质要求应当与基金合同约定的投资范围保持一致；</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sz w:val="24"/>
          <w:szCs w:val="24"/>
        </w:rPr>
        <w:t>9</w:t>
      </w:r>
      <w:r>
        <w:rPr>
          <w:rFonts w:ascii="宋体" w:hAnsi="宋体" w:hint="eastAsia"/>
          <w:sz w:val="24"/>
          <w:szCs w:val="24"/>
        </w:rPr>
        <w:t>）本基金投资存托凭证的比例限制依照境内上市交易的股票执行；</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0</w:t>
      </w:r>
      <w:r>
        <w:rPr>
          <w:rFonts w:ascii="宋体" w:hAnsi="宋体" w:hint="eastAsia"/>
          <w:sz w:val="24"/>
          <w:szCs w:val="24"/>
        </w:rPr>
        <w:t>）法律法规及中国证监会规定的和基金合同约定的其他投资限制。</w:t>
      </w:r>
    </w:p>
    <w:p w:rsidR="004A33FC" w:rsidRDefault="00F25005">
      <w:pPr>
        <w:spacing w:line="520" w:lineRule="atLeast"/>
        <w:rPr>
          <w:rFonts w:ascii="宋体" w:hAnsi="宋体"/>
          <w:sz w:val="24"/>
          <w:szCs w:val="24"/>
        </w:rPr>
      </w:pPr>
      <w:r>
        <w:rPr>
          <w:rFonts w:ascii="宋体" w:hAnsi="宋体" w:hint="eastAsia"/>
          <w:sz w:val="24"/>
          <w:szCs w:val="24"/>
        </w:rPr>
        <w:t>除上述第（2）、（9）、（15）、（16）、（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w:t>
      </w:r>
    </w:p>
    <w:p w:rsidR="004A33FC" w:rsidRDefault="00F25005">
      <w:pPr>
        <w:spacing w:line="520" w:lineRule="atLeast"/>
        <w:ind w:firstLineChars="200" w:firstLine="480"/>
        <w:rPr>
          <w:rFonts w:ascii="宋体" w:hAnsi="宋体"/>
          <w:sz w:val="24"/>
          <w:szCs w:val="24"/>
        </w:rPr>
      </w:pPr>
      <w:r>
        <w:rPr>
          <w:rFonts w:ascii="宋体" w:hAnsi="宋体" w:hint="eastAsia"/>
          <w:sz w:val="24"/>
          <w:szCs w:val="24"/>
        </w:rPr>
        <w:t>基金托管人对基金的投资的监督与检查自基金合同生效之日起开始。</w:t>
      </w:r>
    </w:p>
    <w:p w:rsidR="004A33FC" w:rsidRDefault="00F25005">
      <w:pPr>
        <w:spacing w:line="520" w:lineRule="atLeast"/>
        <w:ind w:firstLineChars="200" w:firstLine="480"/>
        <w:rPr>
          <w:rFonts w:hAnsi="宋体"/>
          <w:szCs w:val="24"/>
        </w:rPr>
      </w:pPr>
      <w:r>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3.1.3基金托管人根据有关法律法规的规定及基金合同的约定对下述基金投资禁止行为进行监督：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根据法律法规的规定及基金合同的约定，本基金禁止从事下列行为：</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（1）承销证券；</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（2）违反规定向他人贷款或者提供担保；</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（3）从事承担无限责任的投资；</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（4）买卖其他基金份额，但是中国证监会另有规定的除外；</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（5）向其基金管理人、基金托管人出资；</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（6）从事内幕交易、操纵证券交易价格及其他不正当的证券交易活动；</w:t>
      </w:r>
    </w:p>
    <w:p w:rsidR="004A33FC" w:rsidRDefault="00F25005">
      <w:pPr>
        <w:pStyle w:val="20"/>
        <w:adjustRightInd w:val="0"/>
        <w:snapToGrid w:val="0"/>
        <w:spacing w:before="0" w:after="0" w:line="520" w:lineRule="atLeast"/>
        <w:ind w:left="0" w:firstLineChars="200" w:firstLine="480"/>
        <w:rPr>
          <w:rFonts w:hAnsi="宋体"/>
        </w:rPr>
      </w:pPr>
      <w:r>
        <w:rPr>
          <w:rFonts w:hAnsi="宋体" w:hint="eastAsia"/>
          <w:szCs w:val="24"/>
        </w:rPr>
        <w:lastRenderedPageBreak/>
        <w:t>（7）法律、行政法规和中国证监会规定禁止的其他活动。</w:t>
      </w:r>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如法律法规或监管部门取消或调整上述禁止性规定，基金管理人在履行适当程序后，本基金可不受上述规定的限制或按调整后的规定执行，但须提前公告。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3.1.4基金托管人依据有关法律法规的规定和基金合同的约定对于基金关联投资限制进行监督：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A33FC" w:rsidRDefault="00F25005">
      <w:pPr>
        <w:pStyle w:val="20"/>
        <w:spacing w:before="0" w:after="0" w:line="520" w:lineRule="atLeast"/>
        <w:ind w:left="0" w:firstLineChars="200" w:firstLine="480"/>
        <w:rPr>
          <w:rFonts w:hAnsi="宋体"/>
          <w:szCs w:val="24"/>
        </w:rPr>
      </w:pPr>
      <w:r>
        <w:rPr>
          <w:rFonts w:hAnsi="宋体" w:hint="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一方名单变更后应及时发送另一方，另一方于</w:t>
      </w:r>
      <w:r>
        <w:rPr>
          <w:rFonts w:hAnsi="宋体"/>
          <w:szCs w:val="24"/>
        </w:rPr>
        <w:t>2个工作日</w:t>
      </w:r>
      <w:r>
        <w:rPr>
          <w:rFonts w:hAnsi="宋体" w:hint="eastAsia"/>
          <w:szCs w:val="24"/>
        </w:rPr>
        <w:t>内进行回函确认已知名单的变更。名单变更时间以变更</w:t>
      </w:r>
      <w:proofErr w:type="gramStart"/>
      <w:r>
        <w:rPr>
          <w:rFonts w:hAnsi="宋体" w:hint="eastAsia"/>
          <w:szCs w:val="24"/>
        </w:rPr>
        <w:t>方收到</w:t>
      </w:r>
      <w:proofErr w:type="gramEnd"/>
      <w:r>
        <w:rPr>
          <w:rFonts w:hAnsi="宋体" w:hint="eastAsia"/>
          <w:szCs w:val="24"/>
        </w:rPr>
        <w:t>对方回函确认的时间为准。如果基金托管人在运作中严格遵循了监督流程，基金管理人仍违规进行交易，并造成基金资产损失的，由基金管理人承担责任，基金托管人不承担任何损失和责任。</w:t>
      </w:r>
    </w:p>
    <w:p w:rsidR="004A33FC" w:rsidRDefault="00F25005">
      <w:pPr>
        <w:pStyle w:val="20"/>
        <w:spacing w:before="0" w:after="0" w:line="520" w:lineRule="atLeast"/>
        <w:ind w:left="0" w:firstLineChars="200" w:firstLine="480"/>
        <w:rPr>
          <w:rFonts w:hAnsi="宋体"/>
          <w:szCs w:val="24"/>
        </w:rPr>
      </w:pPr>
      <w:proofErr w:type="gramStart"/>
      <w:r>
        <w:rPr>
          <w:rFonts w:hAnsi="宋体" w:hint="eastAsia"/>
          <w:szCs w:val="24"/>
        </w:rPr>
        <w:t>若基金</w:t>
      </w:r>
      <w:proofErr w:type="gramEnd"/>
      <w:r>
        <w:rPr>
          <w:rFonts w:hAnsi="宋体" w:hint="eastAsia"/>
          <w:szCs w:val="24"/>
        </w:rPr>
        <w:t>托管人发现基金管理人与关联方进行法律法规禁止基金从事的交易时，基金托管人应及时提醒并协助基金管理人采取必要措施阻止该交易的发生，</w:t>
      </w:r>
      <w:proofErr w:type="gramStart"/>
      <w:r>
        <w:rPr>
          <w:rFonts w:hAnsi="宋体" w:hint="eastAsia"/>
          <w:szCs w:val="24"/>
        </w:rPr>
        <w:t>若基金</w:t>
      </w:r>
      <w:proofErr w:type="gramEnd"/>
      <w:r>
        <w:rPr>
          <w:rFonts w:hAnsi="宋体" w:hint="eastAsia"/>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3.1.5基金托管人依据有关法律法规的规定和基金合同的约定对基金管理人参与银行间债券市场进行监督：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（1）基金托管人对于基金管理人参与银行间债券市场交易时是否按交易对手</w:t>
      </w:r>
      <w:r>
        <w:rPr>
          <w:rFonts w:hAnsi="宋体" w:hint="eastAsia"/>
          <w:szCs w:val="24"/>
        </w:rPr>
        <w:lastRenderedPageBreak/>
        <w:t>名单进行交易进行监督。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如果基金托管人发现基金管理人与不在名单内的银行间债券市场交易对手进行交易，应及时提醒基金管理人撤销交易，</w:t>
      </w:r>
      <w:r>
        <w:rPr>
          <w:rFonts w:hAnsi="宋体" w:hint="eastAsia"/>
          <w:b/>
          <w:bCs/>
          <w:szCs w:val="24"/>
        </w:rPr>
        <w:t>经提醒后基金管理人仍执行交易并造成基金资产损失的，基金托管人不承担责任。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（2）基金托管人对于基金管理人参与银行间债券市场交易的交易方式的控制</w:t>
      </w:r>
    </w:p>
    <w:p w:rsidR="004A33FC" w:rsidRDefault="00F25005">
      <w:pPr>
        <w:pStyle w:val="20"/>
        <w:spacing w:before="0" w:after="0" w:line="520" w:lineRule="atLeast"/>
        <w:ind w:left="0" w:firstLineChars="200" w:firstLine="480"/>
        <w:rPr>
          <w:rFonts w:hAnsi="宋体"/>
          <w:b/>
          <w:bCs/>
          <w:szCs w:val="24"/>
        </w:rPr>
      </w:pPr>
      <w:r>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Pr>
          <w:rFonts w:hAnsi="宋体" w:hint="eastAsia"/>
          <w:b/>
          <w:bCs/>
          <w:szCs w:val="24"/>
        </w:rPr>
        <w:t>经提醒后仍未改正并造成基金资产损失的，基金托管人不承担责任。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（3）基金管理人有责任控制交易对手的资信风险。</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w:t>
      </w:r>
      <w:r>
        <w:rPr>
          <w:rFonts w:hAnsi="宋体"/>
          <w:szCs w:val="24"/>
        </w:rPr>
        <w:t>管理人</w:t>
      </w:r>
      <w:r>
        <w:rPr>
          <w:rFonts w:hAnsi="宋体" w:hint="eastAsia"/>
          <w:szCs w:val="24"/>
        </w:rPr>
        <w:t>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rsidR="004A33FC" w:rsidRDefault="00F25005">
      <w:pPr>
        <w:pStyle w:val="20"/>
        <w:spacing w:before="0" w:after="0" w:line="520" w:lineRule="atLeast"/>
        <w:ind w:left="0" w:firstLineChars="200" w:firstLine="480"/>
        <w:rPr>
          <w:rFonts w:hAnsi="宋体"/>
          <w:szCs w:val="24"/>
        </w:rPr>
      </w:pPr>
      <w:r>
        <w:rPr>
          <w:rFonts w:hAnsi="宋体" w:hint="eastAsia"/>
          <w:szCs w:val="24"/>
        </w:rPr>
        <w:t>3.1.6基金托管人对基金投资流通受限证券的监督：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投资流通受限证券，应遵守有关法律法规规定。此处的流通受限证券与上文提及的流动性受限资产并不完全一致，指由《上市公司证券发行管理办法》规范的非公开发行股票、公开发行股票网下配售部分等在发行时明确一定期限锁定期的可交易证券，不包括由于发布重大消息或其他原因而临时停牌的证券、已发行</w:t>
      </w:r>
      <w:r>
        <w:rPr>
          <w:rFonts w:hAnsi="宋体" w:hint="eastAsia"/>
          <w:szCs w:val="24"/>
        </w:rPr>
        <w:lastRenderedPageBreak/>
        <w:t>未上市证券、回购交易中的质押</w:t>
      </w:r>
      <w:proofErr w:type="gramStart"/>
      <w:r>
        <w:rPr>
          <w:rFonts w:hAnsi="宋体" w:hint="eastAsia"/>
          <w:szCs w:val="24"/>
        </w:rPr>
        <w:t>券</w:t>
      </w:r>
      <w:proofErr w:type="gramEnd"/>
      <w:r>
        <w:rPr>
          <w:rFonts w:hAnsi="宋体" w:hint="eastAsia"/>
          <w:szCs w:val="24"/>
        </w:rPr>
        <w:t>等流通受限证券。</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基金管理人应至少</w:t>
      </w:r>
      <w:proofErr w:type="gramStart"/>
      <w:r>
        <w:rPr>
          <w:rFonts w:hAnsi="宋体" w:hint="eastAsia"/>
          <w:szCs w:val="24"/>
        </w:rPr>
        <w:t>于首次</w:t>
      </w:r>
      <w:proofErr w:type="gramEnd"/>
      <w:r>
        <w:rPr>
          <w:rFonts w:hAnsi="宋体" w:hint="eastAsia"/>
          <w:szCs w:val="24"/>
        </w:rPr>
        <w:t>执行投资指令之前2个工作日将上述资料书面发至基金托管人，保证基金托管人有足够的时间进行审核。基金托管人应在收到上述资料后2个工作日内，以书面或其他双方认可的方式确认收到上述资料。</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（3）基金投资流通受限证券前，基金管理人应向基金托管人提供符合法律法规要求的有关必要书面信息。基金管理人应保证上述信息的真实、完整，并应至少</w:t>
      </w:r>
      <w:proofErr w:type="gramStart"/>
      <w:r>
        <w:rPr>
          <w:rFonts w:hAnsi="宋体" w:hint="eastAsia"/>
          <w:szCs w:val="24"/>
        </w:rPr>
        <w:t>于拟执行</w:t>
      </w:r>
      <w:proofErr w:type="gramEnd"/>
      <w:r>
        <w:rPr>
          <w:rFonts w:hAnsi="宋体" w:hint="eastAsia"/>
          <w:szCs w:val="24"/>
        </w:rPr>
        <w:t>投资指令前将上述信息书面发至基金托管人。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任何责任，并有权报告中国证监会。</w:t>
      </w:r>
    </w:p>
    <w:p w:rsidR="004A33FC" w:rsidRDefault="00F25005">
      <w:pPr>
        <w:pStyle w:val="20"/>
        <w:spacing w:before="0" w:after="0" w:line="520" w:lineRule="atLeast"/>
        <w:ind w:left="0" w:firstLineChars="200" w:firstLine="480"/>
        <w:rPr>
          <w:rFonts w:hAnsi="宋体"/>
          <w:szCs w:val="24"/>
        </w:rPr>
      </w:pPr>
      <w:r>
        <w:rPr>
          <w:rFonts w:hAnsi="宋体"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rsidR="004A33FC" w:rsidRDefault="00F25005">
      <w:pPr>
        <w:pStyle w:val="20"/>
        <w:spacing w:before="0" w:after="0" w:line="520" w:lineRule="atLeast"/>
        <w:rPr>
          <w:rFonts w:hAnsi="宋体"/>
          <w:szCs w:val="24"/>
        </w:rPr>
      </w:pPr>
      <w:r>
        <w:rPr>
          <w:rFonts w:hAnsi="宋体" w:hint="eastAsia"/>
          <w:szCs w:val="24"/>
        </w:rPr>
        <w:t>3.1.</w:t>
      </w:r>
      <w:r>
        <w:rPr>
          <w:rFonts w:hAnsi="宋体"/>
          <w:szCs w:val="24"/>
        </w:rPr>
        <w:t>7</w:t>
      </w:r>
      <w:r>
        <w:rPr>
          <w:rFonts w:hAnsi="宋体" w:hint="eastAsia"/>
          <w:szCs w:val="24"/>
        </w:rPr>
        <w:t>基金托管人对基金投资中期票据的监督：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（2）如未来有关监管部门发布的法律法规对证券投资基金投资中期票据另有规定的，从其规定。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w:t>
      </w:r>
      <w:r>
        <w:rPr>
          <w:rFonts w:hAnsi="宋体"/>
          <w:szCs w:val="24"/>
        </w:rPr>
        <w:t>规定</w:t>
      </w:r>
      <w:r>
        <w:rPr>
          <w:rFonts w:hAnsi="宋体" w:hint="eastAsia"/>
          <w:szCs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3.1.</w:t>
      </w:r>
      <w:r>
        <w:rPr>
          <w:rFonts w:hAnsi="宋体"/>
          <w:szCs w:val="24"/>
        </w:rPr>
        <w:t>8</w:t>
      </w:r>
      <w:r>
        <w:rPr>
          <w:rFonts w:hAnsi="宋体" w:hint="eastAsia"/>
          <w:szCs w:val="24"/>
        </w:rPr>
        <w:t>基金托管人根据有关法律法规的规定及基金合同的约定，对基金管理人选择存款银行进行监督：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本基金投资银行存款应符合如下规定：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（1）基金管理人、基金托管人应当与存款银行建立定期对账机制，确保基金银行存款业务账目及核算的真实、准确。</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（3）基金托管人应对基金银行存款业务进行监督与核查，审查、复核相关协议、账户资料、投资指令、存款证实书等有关文件，履行托管职责。</w:t>
      </w:r>
    </w:p>
    <w:p w:rsidR="004A33FC" w:rsidRDefault="00F25005">
      <w:pPr>
        <w:pStyle w:val="20"/>
        <w:spacing w:before="0" w:after="0" w:line="520" w:lineRule="atLeast"/>
        <w:ind w:left="0" w:firstLineChars="200" w:firstLine="480"/>
        <w:rPr>
          <w:rFonts w:hAnsi="宋体"/>
          <w:szCs w:val="24"/>
        </w:rPr>
      </w:pPr>
      <w:r>
        <w:rPr>
          <w:rFonts w:hAnsi="宋体" w:hint="eastAsia"/>
          <w:szCs w:val="24"/>
        </w:rPr>
        <w:t>（4）基金管理人与基金托管人在开展基金存款业务时，应严格遵守《基金法》、《运作办法》等有关法律法规，以及国家有关账户管理、利率管理、支付结算等的各项规定。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t>3</w:t>
      </w:r>
      <w:r>
        <w:rPr>
          <w:rFonts w:hAnsi="宋体"/>
          <w:szCs w:val="24"/>
        </w:rPr>
        <w:t>.1.9</w:t>
      </w:r>
      <w:r>
        <w:rPr>
          <w:rFonts w:hAnsi="宋体" w:hint="eastAsia"/>
          <w:szCs w:val="24"/>
        </w:rPr>
        <w:t>基金托管人依照相关法律法规的规定和基金合同的约定，对侧</w:t>
      </w:r>
      <w:proofErr w:type="gramStart"/>
      <w:r>
        <w:rPr>
          <w:rFonts w:hAnsi="宋体" w:hint="eastAsia"/>
          <w:szCs w:val="24"/>
        </w:rPr>
        <w:t>袋机制</w:t>
      </w:r>
      <w:proofErr w:type="gramEnd"/>
      <w:r>
        <w:rPr>
          <w:rFonts w:hAnsi="宋体" w:hint="eastAsia"/>
          <w:szCs w:val="24"/>
        </w:rPr>
        <w:t>启用、特定资产处置和信息披露等方面进行复核和监督。</w:t>
      </w:r>
      <w:proofErr w:type="gramStart"/>
      <w:r>
        <w:rPr>
          <w:rFonts w:hAnsi="宋体" w:hint="eastAsia"/>
          <w:szCs w:val="24"/>
        </w:rPr>
        <w:t>侧袋机制</w:t>
      </w:r>
      <w:proofErr w:type="gramEnd"/>
      <w:r>
        <w:rPr>
          <w:rFonts w:hAnsi="宋体" w:hint="eastAsia"/>
          <w:szCs w:val="24"/>
        </w:rPr>
        <w:t>实施期间的具体规</w:t>
      </w:r>
      <w:r>
        <w:rPr>
          <w:rFonts w:hAnsi="宋体" w:hint="eastAsia"/>
          <w:szCs w:val="24"/>
        </w:rPr>
        <w:lastRenderedPageBreak/>
        <w:t>则依照相关法律法规的规定和基金合同的约定执行。</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3.2基金托管人对基金管理人业务进行监督和核查的有关措施：</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3.2.3在限期内，基金托管人有权随时对通知事项进行复查，督促基金管理人改正。基金管理人对基金托管人通知的违规事项未能在限期内纠正的，基金托管人应报告中国证监会。</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3.2.4基金托管人发现基金管理人的投资指令违反有关法律法规规定或者违反基金合同约定的，应当拒绝执行，立即通知基金管理人。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3.2.7基金托管人发现基金管理人有重大违规行为，应立即报告中国证监会，同时通知基金管理人限期纠正。</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4A33FC" w:rsidRDefault="00F25005">
      <w:pPr>
        <w:pStyle w:val="20"/>
        <w:spacing w:before="0" w:after="0" w:line="520" w:lineRule="atLeast"/>
        <w:ind w:left="0" w:firstLineChars="200" w:firstLine="480"/>
        <w:rPr>
          <w:rFonts w:hAnsi="宋体"/>
          <w:szCs w:val="24"/>
        </w:rPr>
      </w:pPr>
      <w:r>
        <w:rPr>
          <w:rFonts w:hAnsi="宋体" w:hint="eastAsia"/>
          <w:szCs w:val="24"/>
        </w:rPr>
        <w:t>3.2.9基金托管人对资金来源、投资收益及投资安全不承担审核责任，特别是</w:t>
      </w:r>
      <w:r>
        <w:rPr>
          <w:rFonts w:hAnsi="宋体" w:hint="eastAsia"/>
          <w:szCs w:val="24"/>
        </w:rPr>
        <w:lastRenderedPageBreak/>
        <w:t>对于本基金所投标的</w:t>
      </w:r>
      <w:proofErr w:type="gramStart"/>
      <w:r>
        <w:rPr>
          <w:rFonts w:hAnsi="宋体" w:hint="eastAsia"/>
          <w:szCs w:val="24"/>
        </w:rPr>
        <w:t>的</w:t>
      </w:r>
      <w:proofErr w:type="gramEnd"/>
      <w:r>
        <w:rPr>
          <w:rFonts w:hAnsi="宋体" w:hint="eastAsia"/>
          <w:szCs w:val="24"/>
        </w:rPr>
        <w:t>后续资金使用情况无审核责任，不保证托管财产投资不受损失，不保证最低收益。</w:t>
      </w:r>
    </w:p>
    <w:p w:rsidR="004A33FC" w:rsidRDefault="00F25005">
      <w:pPr>
        <w:pStyle w:val="20"/>
        <w:spacing w:before="0" w:after="0" w:line="520" w:lineRule="atLeast"/>
        <w:ind w:left="0" w:firstLineChars="200" w:firstLine="480"/>
        <w:rPr>
          <w:rFonts w:hAnsi="宋体"/>
          <w:szCs w:val="24"/>
        </w:rPr>
      </w:pPr>
      <w:r>
        <w:rPr>
          <w:rFonts w:hAnsi="宋体"/>
          <w:szCs w:val="24"/>
        </w:rPr>
        <w:t>3.2.10</w:t>
      </w:r>
      <w:r>
        <w:rPr>
          <w:rFonts w:hAnsi="宋体" w:hint="eastAsia"/>
          <w:szCs w:val="24"/>
        </w:rPr>
        <w:t>基金管理人应遵守中华人民共和国反洗</w:t>
      </w:r>
      <w:proofErr w:type="gramStart"/>
      <w:r>
        <w:rPr>
          <w:rFonts w:hAnsi="宋体" w:hint="eastAsia"/>
          <w:szCs w:val="24"/>
        </w:rPr>
        <w:t>钱法律</w:t>
      </w:r>
      <w:proofErr w:type="gramEnd"/>
      <w:r>
        <w:rPr>
          <w:rFonts w:hAnsi="宋体" w:hint="eastAsia"/>
          <w:szCs w:val="24"/>
        </w:rPr>
        <w:t>法规，不参与涉嫌洗钱、恐怖融资、扩散融资等违法犯罪活动；为履行反洗钱法定义务之目的，主动配合基金托管</w:t>
      </w:r>
      <w:proofErr w:type="gramStart"/>
      <w:r>
        <w:rPr>
          <w:rFonts w:hAnsi="宋体" w:hint="eastAsia"/>
          <w:szCs w:val="24"/>
        </w:rPr>
        <w:t>人客户</w:t>
      </w:r>
      <w:proofErr w:type="gramEnd"/>
      <w:r>
        <w:rPr>
          <w:rFonts w:hAnsi="宋体" w:hint="eastAsia"/>
          <w:szCs w:val="24"/>
        </w:rPr>
        <w:t>身份识别与尽职调查，在基金托管人受到反洗钱监管检查等必要情形时提供真实、准确、完整客户资料，遵守基金托管人反洗钱与反恐怖融资相关管理规定。对具备合理理由怀疑涉嫌洗钱、恐怖融资的客户，基金托管人将按照中国人民银行反洗钱监管规定采取必要管控措施。</w:t>
      </w:r>
    </w:p>
    <w:p w:rsidR="004A33FC" w:rsidRDefault="00F25005">
      <w:pPr>
        <w:pStyle w:val="1"/>
        <w:spacing w:line="520" w:lineRule="atLeast"/>
        <w:ind w:firstLineChars="200" w:firstLine="482"/>
        <w:rPr>
          <w:bCs/>
          <w:color w:val="auto"/>
          <w:szCs w:val="24"/>
        </w:rPr>
      </w:pPr>
      <w:bookmarkStart w:id="22" w:name="_Toc296551340"/>
      <w:bookmarkStart w:id="23" w:name="_Toc44321727"/>
      <w:r>
        <w:rPr>
          <w:rFonts w:hint="eastAsia"/>
          <w:bCs/>
          <w:color w:val="auto"/>
          <w:szCs w:val="24"/>
        </w:rPr>
        <w:t>第四条 基金管理人对基金托管人的业务核查</w:t>
      </w:r>
      <w:bookmarkEnd w:id="22"/>
      <w:bookmarkEnd w:id="23"/>
    </w:p>
    <w:p w:rsidR="004A33FC" w:rsidRDefault="00F25005">
      <w:pPr>
        <w:pStyle w:val="20"/>
        <w:spacing w:before="0" w:after="0" w:line="520" w:lineRule="atLeast"/>
        <w:ind w:left="0" w:firstLineChars="200" w:firstLine="480"/>
        <w:rPr>
          <w:rFonts w:hAnsi="宋体"/>
          <w:szCs w:val="24"/>
        </w:rPr>
      </w:pPr>
      <w:r>
        <w:rPr>
          <w:rFonts w:hAnsi="宋体" w:hint="eastAsia"/>
          <w:szCs w:val="24"/>
        </w:rPr>
        <w:t>4.1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rsidR="004A33FC" w:rsidRDefault="00F25005">
      <w:pPr>
        <w:pStyle w:val="20"/>
        <w:spacing w:before="0" w:after="0" w:line="520" w:lineRule="atLeast"/>
        <w:ind w:left="0" w:firstLineChars="200" w:firstLine="480"/>
        <w:rPr>
          <w:rFonts w:hAnsi="宋体"/>
          <w:szCs w:val="24"/>
        </w:rPr>
      </w:pPr>
      <w:r>
        <w:rPr>
          <w:rFonts w:hAnsi="宋体" w:hint="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w:t>
      </w:r>
    </w:p>
    <w:p w:rsidR="004A33FC" w:rsidRDefault="00F25005">
      <w:pPr>
        <w:pStyle w:val="20"/>
        <w:spacing w:before="0" w:after="0" w:line="520" w:lineRule="atLeast"/>
        <w:ind w:left="0" w:firstLineChars="200" w:firstLine="480"/>
        <w:rPr>
          <w:rFonts w:hAnsi="宋体"/>
          <w:szCs w:val="24"/>
        </w:rPr>
      </w:pPr>
      <w:r>
        <w:rPr>
          <w:rFonts w:hAnsi="宋体" w:hint="eastAsia"/>
          <w:szCs w:val="24"/>
        </w:rPr>
        <w:t>4.3基金管理人发现基金托管人有重大违规行为，应立即报告中国证监会和银行业监督管理机构，同时通知基金托管人限期纠正。</w:t>
      </w:r>
    </w:p>
    <w:p w:rsidR="004A33FC" w:rsidRDefault="00F25005">
      <w:pPr>
        <w:pStyle w:val="20"/>
        <w:spacing w:before="0" w:after="0" w:line="520" w:lineRule="atLeast"/>
        <w:ind w:left="0" w:firstLineChars="200" w:firstLine="480"/>
        <w:rPr>
          <w:rFonts w:hAnsi="宋体"/>
          <w:szCs w:val="24"/>
        </w:rPr>
      </w:pPr>
      <w:r>
        <w:rPr>
          <w:rFonts w:hAnsi="宋体" w:hint="eastAsia"/>
          <w:szCs w:val="24"/>
        </w:rPr>
        <w:t>4.4基金托管人应积极配合基金管理人的核查行为，包括但不限于：提交相关资料以</w:t>
      </w:r>
      <w:proofErr w:type="gramStart"/>
      <w:r>
        <w:rPr>
          <w:rFonts w:hAnsi="宋体" w:hint="eastAsia"/>
          <w:szCs w:val="24"/>
        </w:rPr>
        <w:t>供基金</w:t>
      </w:r>
      <w:proofErr w:type="gramEnd"/>
      <w:r>
        <w:rPr>
          <w:rFonts w:hAnsi="宋体" w:hint="eastAsia"/>
          <w:szCs w:val="24"/>
        </w:rPr>
        <w:t>管理人核查托管财产的完整性和真实性，在规定时间内答复基金管理人并改正。</w:t>
      </w:r>
    </w:p>
    <w:p w:rsidR="004A33FC" w:rsidRDefault="00F25005">
      <w:pPr>
        <w:pStyle w:val="20"/>
        <w:spacing w:before="0" w:after="0" w:line="520" w:lineRule="atLeast"/>
        <w:ind w:left="0" w:firstLineChars="200" w:firstLine="480"/>
        <w:rPr>
          <w:rFonts w:hAnsi="宋体"/>
          <w:szCs w:val="24"/>
        </w:rPr>
      </w:pPr>
      <w:r>
        <w:rPr>
          <w:rFonts w:hAnsi="宋体" w:hint="eastAsia"/>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rsidR="004A33FC" w:rsidRDefault="00F25005">
      <w:pPr>
        <w:pStyle w:val="1"/>
        <w:spacing w:line="520" w:lineRule="atLeast"/>
        <w:ind w:firstLineChars="200" w:firstLine="482"/>
        <w:rPr>
          <w:bCs/>
          <w:color w:val="auto"/>
          <w:szCs w:val="24"/>
        </w:rPr>
      </w:pPr>
      <w:bookmarkStart w:id="24" w:name="_Toc296551341"/>
      <w:bookmarkStart w:id="25" w:name="_Toc44321728"/>
      <w:r>
        <w:rPr>
          <w:rFonts w:hint="eastAsia"/>
          <w:bCs/>
          <w:color w:val="auto"/>
          <w:szCs w:val="24"/>
        </w:rPr>
        <w:lastRenderedPageBreak/>
        <w:t>第五条 基金财产保管</w:t>
      </w:r>
      <w:bookmarkEnd w:id="24"/>
      <w:bookmarkEnd w:id="25"/>
    </w:p>
    <w:p w:rsidR="004A33FC" w:rsidRDefault="00F25005">
      <w:pPr>
        <w:pStyle w:val="20"/>
        <w:spacing w:before="0" w:after="0" w:line="520" w:lineRule="atLeast"/>
        <w:ind w:left="0" w:firstLineChars="200" w:firstLine="480"/>
        <w:rPr>
          <w:rFonts w:hAnsi="宋体"/>
          <w:szCs w:val="24"/>
        </w:rPr>
      </w:pPr>
      <w:r>
        <w:rPr>
          <w:rFonts w:hAnsi="宋体" w:hint="eastAsia"/>
          <w:szCs w:val="24"/>
        </w:rPr>
        <w:t>5.1基金财产保管的原则</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5.1.1基金财产应独立于基金管理人、基金托管人和证券经纪机构的固有财产。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5.1.2基金托管人应安全保管基金财产。除依据法律法规规定、基金合同和本托管协议约定及基金管理人的正当指令外，不得自行运用、处分、分配基金的任何财产。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5.1.3基金托管人按照规定开设基金财产的资金账户和证券账户等投资所需的其他账户。</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5.1.4基金托管人对所托管的不同基金财产分别设置账户，与基金托管人的其他业务和其他基金的托管业务实行严格的分账管理，确保基金财产的完整与独立。</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5.1.5基金托管人根据基金管理人的指令，按照基金合同和本协议的约定保管基金财产，如有特殊情况双方可另行协商解决。</w:t>
      </w:r>
    </w:p>
    <w:p w:rsidR="004A33FC" w:rsidRDefault="00F25005">
      <w:pPr>
        <w:pStyle w:val="20"/>
        <w:spacing w:before="0" w:after="0" w:line="520" w:lineRule="atLeast"/>
        <w:ind w:left="0" w:firstLineChars="200" w:firstLine="480"/>
        <w:rPr>
          <w:rFonts w:hAnsi="宋体"/>
          <w:szCs w:val="24"/>
        </w:rPr>
      </w:pPr>
      <w:r>
        <w:rPr>
          <w:rFonts w:hAnsi="宋体" w:hint="eastAsia"/>
          <w:szCs w:val="24"/>
        </w:rPr>
        <w:t>5.1.6除依据法律法规和基金合同的规定外，基金托管人不得委托第三人托管基金资产。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5.2募集资金的验资</w:t>
      </w:r>
    </w:p>
    <w:p w:rsidR="004A33FC" w:rsidRDefault="00F25005">
      <w:pPr>
        <w:pStyle w:val="CharCharCharCharCharCharChar"/>
        <w:adjustRightInd/>
        <w:spacing w:line="520" w:lineRule="atLeast"/>
        <w:ind w:firstLineChars="200" w:firstLine="480"/>
        <w:rPr>
          <w:rFonts w:hAnsi="宋体"/>
          <w:szCs w:val="24"/>
        </w:rPr>
      </w:pPr>
      <w:r>
        <w:rPr>
          <w:rFonts w:ascii="宋体" w:hAnsi="宋体" w:hint="eastAsia"/>
          <w:szCs w:val="24"/>
        </w:rPr>
        <w:t>5.2.1基金募集期间募集的资金应存于基金管理人在基金托管人的营业机构或在其他银行开立的基金募集专户，该账户由基金管理人委托的登记机构开立并管理。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Pr>
          <w:rFonts w:hAnsi="宋体" w:hint="eastAsia"/>
          <w:szCs w:val="24"/>
        </w:rPr>
        <w:t>请符合</w:t>
      </w:r>
      <w:proofErr w:type="gramEnd"/>
      <w:r>
        <w:rPr>
          <w:rFonts w:hAnsi="宋体" w:hint="eastAsia"/>
          <w:szCs w:val="24"/>
        </w:rPr>
        <w:t>《中华人民共和国证券法》规定的会计师事务所进行验资，出具验资报告，出具的验资报告应由参加验资的2名以上（含2名）中国注册会计师签字有效。</w:t>
      </w:r>
    </w:p>
    <w:p w:rsidR="004A33FC" w:rsidRDefault="00F25005">
      <w:pPr>
        <w:pStyle w:val="20"/>
        <w:spacing w:before="0" w:after="0" w:line="520" w:lineRule="atLeast"/>
        <w:ind w:left="0" w:firstLineChars="200" w:firstLine="480"/>
        <w:rPr>
          <w:rFonts w:hAnsi="宋体"/>
          <w:szCs w:val="24"/>
        </w:rPr>
      </w:pPr>
      <w:r>
        <w:rPr>
          <w:rFonts w:hAnsi="宋体" w:hint="eastAsia"/>
          <w:szCs w:val="24"/>
        </w:rPr>
        <w:t>5.2.3</w:t>
      </w:r>
      <w:proofErr w:type="gramStart"/>
      <w:r>
        <w:rPr>
          <w:rFonts w:hAnsi="宋体" w:hint="eastAsia"/>
          <w:szCs w:val="24"/>
        </w:rPr>
        <w:t>若基金</w:t>
      </w:r>
      <w:proofErr w:type="gramEnd"/>
      <w:r>
        <w:rPr>
          <w:rFonts w:hAnsi="宋体" w:hint="eastAsia"/>
          <w:szCs w:val="24"/>
        </w:rPr>
        <w:t>募集期限届满，未能达到基金备案条件，由基金管理人按规定办理退款事宜。</w:t>
      </w:r>
    </w:p>
    <w:p w:rsidR="004A33FC" w:rsidRDefault="00F25005">
      <w:pPr>
        <w:pStyle w:val="20"/>
        <w:spacing w:before="0" w:after="0" w:line="520" w:lineRule="atLeast"/>
        <w:ind w:left="0" w:firstLineChars="200" w:firstLine="480"/>
        <w:rPr>
          <w:rFonts w:hAnsi="宋体"/>
          <w:szCs w:val="24"/>
        </w:rPr>
      </w:pPr>
      <w:r>
        <w:rPr>
          <w:rFonts w:hAnsi="宋体" w:hint="eastAsia"/>
          <w:szCs w:val="24"/>
        </w:rPr>
        <w:t>5.3基金的银行账户的开立和管理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5.3.1基金托管人以本基金的名义在其营业机构开立基金的银行账户，并根据基金管理人合法合</w:t>
      </w:r>
      <w:proofErr w:type="gramStart"/>
      <w:r>
        <w:rPr>
          <w:rFonts w:hAnsi="宋体" w:hint="eastAsia"/>
          <w:szCs w:val="24"/>
        </w:rPr>
        <w:t>规</w:t>
      </w:r>
      <w:proofErr w:type="gramEnd"/>
      <w:r>
        <w:rPr>
          <w:rFonts w:hAnsi="宋体" w:hint="eastAsia"/>
          <w:szCs w:val="24"/>
        </w:rPr>
        <w:t>的指令办理资金收付。本基金的银行预留印鉴由基金托管人刻</w:t>
      </w:r>
      <w:r>
        <w:rPr>
          <w:rFonts w:hAnsi="宋体" w:hint="eastAsia"/>
          <w:szCs w:val="24"/>
        </w:rPr>
        <w:lastRenderedPageBreak/>
        <w:t>制、保管和使用。</w:t>
      </w:r>
    </w:p>
    <w:p w:rsidR="004A33FC" w:rsidRDefault="00F25005">
      <w:pPr>
        <w:pStyle w:val="20"/>
        <w:spacing w:before="0" w:after="0" w:line="520" w:lineRule="atLeast"/>
        <w:ind w:left="0" w:firstLineChars="200" w:firstLine="480"/>
        <w:rPr>
          <w:rFonts w:hAnsi="宋体"/>
          <w:szCs w:val="24"/>
        </w:rPr>
      </w:pPr>
      <w:r>
        <w:rPr>
          <w:rFonts w:hAnsi="宋体" w:hint="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rsidR="004A33FC" w:rsidRDefault="00F25005">
      <w:pPr>
        <w:pStyle w:val="20"/>
        <w:spacing w:before="0" w:after="0" w:line="520" w:lineRule="atLeast"/>
        <w:ind w:left="0" w:firstLineChars="200" w:firstLine="480"/>
        <w:rPr>
          <w:rFonts w:hAnsi="宋体"/>
          <w:szCs w:val="24"/>
        </w:rPr>
      </w:pPr>
      <w:r>
        <w:rPr>
          <w:rFonts w:hAnsi="宋体" w:hint="eastAsia"/>
          <w:szCs w:val="24"/>
        </w:rPr>
        <w:t>5.3.3基金银行账户的开立和管理应符合有关法律法规以及银行业监督管理机构的有关规定。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t>5.4基金证券账户与证券交易资金账户的开设和管理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5.4.1基金托管人以基金托管人和本基金联名的方式在中国证券登记结算有限责任公司（以下简称“中登公司”）上海分公司/深圳分公司开设证券账户。</w:t>
      </w:r>
    </w:p>
    <w:p w:rsidR="004A33FC" w:rsidRDefault="00F25005">
      <w:pPr>
        <w:pStyle w:val="20"/>
        <w:spacing w:line="520" w:lineRule="atLeast"/>
        <w:ind w:left="0" w:firstLineChars="200" w:firstLine="480"/>
        <w:rPr>
          <w:rFonts w:hAnsi="宋体"/>
          <w:szCs w:val="24"/>
        </w:rPr>
      </w:pPr>
      <w:r>
        <w:rPr>
          <w:rFonts w:hAnsi="宋体" w:hint="eastAsia"/>
          <w:szCs w:val="24"/>
        </w:rPr>
        <w:t>5.4.2基金管理人以基金名义在基金管理人选择的证券经营机构开立证券资金 账户。证券经营机构根据相关法律法规、规范性文件为本基金开立相关资金账户并按照该证券经营机构开户的流程和要求与基金管理人签订相关协议。</w:t>
      </w:r>
    </w:p>
    <w:p w:rsidR="004A33FC" w:rsidRDefault="00F25005">
      <w:pPr>
        <w:pStyle w:val="20"/>
        <w:spacing w:before="0" w:after="0" w:line="520" w:lineRule="atLeast"/>
        <w:ind w:left="0" w:firstLineChars="200" w:firstLine="480"/>
        <w:rPr>
          <w:rFonts w:hAnsi="宋体"/>
          <w:szCs w:val="24"/>
        </w:rPr>
      </w:pPr>
      <w:r>
        <w:rPr>
          <w:rFonts w:hAnsi="宋体" w:hint="eastAsia"/>
          <w:szCs w:val="24"/>
        </w:rPr>
        <w:t>交易所证券交易资金采用第三方存管模式，即用于证券交易结算的资金全额存 放在基金管理人为基金开设的证券资金账户中，场内的证券交易资金清算由基金管理人所选择的证券公司负责。</w:t>
      </w:r>
    </w:p>
    <w:p w:rsidR="004A33FC" w:rsidRDefault="00F25005">
      <w:pPr>
        <w:pStyle w:val="20"/>
        <w:spacing w:before="0" w:after="0" w:line="520" w:lineRule="atLeast"/>
        <w:ind w:left="0" w:firstLineChars="200" w:firstLine="480"/>
        <w:rPr>
          <w:rFonts w:hAnsi="宋体"/>
          <w:szCs w:val="24"/>
        </w:rPr>
      </w:pPr>
      <w:r>
        <w:rPr>
          <w:rFonts w:hAnsi="宋体" w:hint="eastAsia"/>
          <w:szCs w:val="24"/>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本基金通过证券经纪机构进行的交易由证券经纪机构作为结算参与人代理本基金进行结算。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5.4.4基金证券账户与证券交易资金账户相关证明文件的保管由基金托管人负责，账户资产的管理和运用由基金管理人负责。</w:t>
      </w:r>
    </w:p>
    <w:p w:rsidR="004A33FC" w:rsidRDefault="00F25005">
      <w:pPr>
        <w:pStyle w:val="20"/>
        <w:spacing w:before="0" w:after="0" w:line="520" w:lineRule="atLeast"/>
        <w:ind w:left="0" w:firstLineChars="200" w:firstLine="480"/>
        <w:rPr>
          <w:rFonts w:hAnsi="宋体"/>
          <w:szCs w:val="24"/>
        </w:rPr>
      </w:pPr>
      <w:r>
        <w:rPr>
          <w:rFonts w:hAnsi="宋体" w:hint="eastAsia"/>
          <w:szCs w:val="24"/>
        </w:rPr>
        <w:t>5.5债券托管账户的开立和管理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w:t>
      </w:r>
      <w:r>
        <w:rPr>
          <w:rFonts w:hAnsi="宋体" w:hint="eastAsia"/>
          <w:szCs w:val="24"/>
        </w:rPr>
        <w:lastRenderedPageBreak/>
        <w:t>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5.5.2基金管理人和基金托管人应一起负责为基金对外签订全国银行间国债市场回购主协议，正本由基金管理人保存。</w:t>
      </w:r>
    </w:p>
    <w:p w:rsidR="004A33FC" w:rsidRDefault="00F25005">
      <w:pPr>
        <w:pStyle w:val="20"/>
        <w:spacing w:before="0" w:after="0" w:line="520" w:lineRule="atLeast"/>
        <w:ind w:left="0" w:firstLineChars="200" w:firstLine="480"/>
        <w:rPr>
          <w:rFonts w:hAnsi="宋体"/>
          <w:szCs w:val="24"/>
        </w:rPr>
      </w:pPr>
      <w:r>
        <w:rPr>
          <w:rFonts w:hAnsi="宋体" w:hint="eastAsia"/>
          <w:szCs w:val="24"/>
        </w:rPr>
        <w:t>5.6其他账户的开设和管理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5.7基金财产投资的有关实物证券、银行定期存款存单等有价凭证的保管</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财产投资的有关实物证券由基金托管人存放于基金托管人的保管库；其中实物证券也可存入中央国债登记结算有限责任公司、中登公司上海分公司/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5.8与基金财产有关的重大合同的保管</w:t>
      </w:r>
    </w:p>
    <w:p w:rsidR="004A33FC" w:rsidRDefault="00F25005">
      <w:pPr>
        <w:pStyle w:val="20"/>
        <w:spacing w:before="0" w:after="0" w:line="520" w:lineRule="atLeast"/>
        <w:ind w:left="0" w:firstLineChars="200" w:firstLine="480"/>
        <w:rPr>
          <w:rFonts w:hAnsi="宋体"/>
          <w:szCs w:val="24"/>
        </w:rPr>
      </w:pPr>
      <w:r>
        <w:rPr>
          <w:rFonts w:hAnsi="宋体"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保管期限不低于法律法规的规定。对于无法取得二份以上的正本的，基金管理人应向基金托管人提供加盖授权业务章的合同传真件，未经双方协商或未在合同约定范围内，合同原件不得转移，由基金管理人保管。</w:t>
      </w:r>
    </w:p>
    <w:p w:rsidR="004A33FC" w:rsidRDefault="00F25005">
      <w:pPr>
        <w:pStyle w:val="1"/>
        <w:spacing w:line="520" w:lineRule="atLeast"/>
        <w:ind w:firstLineChars="200" w:firstLine="482"/>
        <w:rPr>
          <w:bCs/>
          <w:color w:val="auto"/>
          <w:szCs w:val="24"/>
        </w:rPr>
      </w:pPr>
      <w:bookmarkStart w:id="26" w:name="_Toc44321729"/>
      <w:bookmarkStart w:id="27" w:name="_Toc296551342"/>
      <w:r>
        <w:rPr>
          <w:rFonts w:hint="eastAsia"/>
          <w:bCs/>
          <w:color w:val="auto"/>
          <w:szCs w:val="24"/>
        </w:rPr>
        <w:t>第六条 指令的发送、确认和执行</w:t>
      </w:r>
      <w:bookmarkEnd w:id="26"/>
      <w:bookmarkEnd w:id="27"/>
    </w:p>
    <w:p w:rsidR="004A33FC" w:rsidRDefault="00F25005">
      <w:pPr>
        <w:pStyle w:val="20"/>
        <w:spacing w:before="0" w:after="0" w:line="520" w:lineRule="atLeast"/>
        <w:ind w:left="0" w:firstLineChars="200" w:firstLine="480"/>
        <w:rPr>
          <w:rFonts w:hAnsi="宋体"/>
          <w:szCs w:val="24"/>
        </w:rPr>
      </w:pPr>
      <w:r>
        <w:rPr>
          <w:rFonts w:hAnsi="宋体" w:hint="eastAsia"/>
          <w:szCs w:val="24"/>
        </w:rPr>
        <w:t>6.1基金管理人对发送指令人员的书面授权</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基金管理人应事先向基金托管人提供书面授权通知（以下称“授权通知”），指</w:t>
      </w:r>
      <w:r>
        <w:rPr>
          <w:rFonts w:hAnsi="宋体" w:hint="eastAsia"/>
          <w:szCs w:val="24"/>
        </w:rPr>
        <w:lastRenderedPageBreak/>
        <w:t>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3个工作日内将授权通知的正本送交基金托管人。授权通知正本内容应与基金托管人收到的传真内容</w:t>
      </w:r>
      <w:r>
        <w:rPr>
          <w:rFonts w:hAnsi="宋体"/>
          <w:szCs w:val="24"/>
        </w:rPr>
        <w:t>一致，若有</w:t>
      </w:r>
      <w:r>
        <w:rPr>
          <w:rFonts w:hAnsi="宋体" w:hint="eastAsia"/>
          <w:szCs w:val="24"/>
        </w:rPr>
        <w:t>不一致的，以基金托管人收到的传真为准。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基金管理人和基金托管人对授权文件负有保密义务，其内容不得向被授权人及相关操作人员以外的任何人泄露，</w:t>
      </w:r>
      <w:r>
        <w:rPr>
          <w:rFonts w:asciiTheme="minorEastAsia" w:eastAsiaTheme="minorEastAsia" w:hAnsiTheme="minorEastAsia" w:hint="eastAsia"/>
          <w:szCs w:val="24"/>
        </w:rPr>
        <w:t>除本协议另有约定或</w:t>
      </w:r>
      <w:r>
        <w:rPr>
          <w:rFonts w:hAnsi="宋体"/>
          <w:szCs w:val="24"/>
        </w:rPr>
        <w:t>法律法规另有规定</w:t>
      </w:r>
      <w:r>
        <w:rPr>
          <w:rFonts w:hAnsi="宋体" w:hint="eastAsia"/>
          <w:szCs w:val="24"/>
        </w:rPr>
        <w:t>或</w:t>
      </w:r>
      <w:r>
        <w:rPr>
          <w:rFonts w:hAnsi="宋体"/>
          <w:szCs w:val="24"/>
        </w:rPr>
        <w:t>有权机关另有要求的除外</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6.2指令的内容</w:t>
      </w:r>
    </w:p>
    <w:p w:rsidR="004A33FC" w:rsidRDefault="00F25005">
      <w:pPr>
        <w:pStyle w:val="20"/>
        <w:spacing w:before="0" w:after="0" w:line="520" w:lineRule="atLeast"/>
        <w:ind w:left="0" w:firstLineChars="200" w:firstLine="480"/>
        <w:rPr>
          <w:rFonts w:hAnsi="宋体"/>
          <w:szCs w:val="24"/>
        </w:rPr>
      </w:pPr>
      <w:r>
        <w:rPr>
          <w:rFonts w:hAnsi="宋体"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rsidR="004A33FC" w:rsidRDefault="00F25005">
      <w:pPr>
        <w:pStyle w:val="20"/>
        <w:spacing w:before="0" w:after="0" w:line="520" w:lineRule="atLeast"/>
        <w:ind w:left="0" w:firstLineChars="200" w:firstLine="480"/>
        <w:rPr>
          <w:rFonts w:hAnsi="宋体"/>
          <w:szCs w:val="24"/>
        </w:rPr>
      </w:pPr>
      <w:r>
        <w:rPr>
          <w:rFonts w:hAnsi="宋体" w:hint="eastAsia"/>
          <w:szCs w:val="24"/>
        </w:rPr>
        <w:t>6.3指令的发送、确认和执行的时间和程序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6.3.1指令由“授权通知”确定的被授权人代表基金管理人用传真的方式或其他基金托管人和基金管理人书面确认过的方式向基金托管人发送。基金管理人有义务在发送指令后及时与托管人进行确认，因基金管理人未能及时与基金托管人进行指令确认，致使资金未能及时到账所造成的损失，基金托管人不承担任何形式的责任。基金托管人依照“授权通知”规定的方法确认指令有效后，方可执行指令。对于被授权人发出的指令，基金管理人不得否认其效力。基金托管人正确执行基金管理人发送的有效指令，基金份额持有人或基金财产发生损失的，基金托管人不承担任何形式的责任。基金管理人应按照《基金法》、有关法律法规和基金合同的规定，在其合法的经营权限和交易权限内发送划款指令，被授权人应按照其授权权限发送划款指令。基金管理人在发送指令时，应为基金托管人留出2小时</w:t>
      </w:r>
      <w:r>
        <w:rPr>
          <w:rFonts w:hAnsi="宋体"/>
          <w:szCs w:val="24"/>
        </w:rPr>
        <w:t>，作为</w:t>
      </w:r>
      <w:r>
        <w:rPr>
          <w:rFonts w:hAnsi="宋体" w:hint="eastAsia"/>
          <w:szCs w:val="24"/>
        </w:rPr>
        <w:t>执行指令所必需的时间。由基金管理</w:t>
      </w:r>
      <w:proofErr w:type="gramStart"/>
      <w:r>
        <w:rPr>
          <w:rFonts w:hAnsi="宋体" w:hint="eastAsia"/>
          <w:szCs w:val="24"/>
        </w:rPr>
        <w:t>人原因</w:t>
      </w:r>
      <w:proofErr w:type="gramEnd"/>
      <w:r>
        <w:rPr>
          <w:rFonts w:hAnsi="宋体" w:hint="eastAsia"/>
          <w:szCs w:val="24"/>
        </w:rPr>
        <w:t>造成的指令传输不及时、未能留出足够划款所需时间，基金托管人不承担资金未能及时到账所造成的损失。</w:t>
      </w:r>
    </w:p>
    <w:p w:rsidR="004A33FC" w:rsidRDefault="00F25005">
      <w:pPr>
        <w:pStyle w:val="20"/>
        <w:spacing w:before="0" w:after="0" w:line="520" w:lineRule="atLeast"/>
        <w:ind w:left="0" w:firstLineChars="200" w:firstLine="480"/>
        <w:rPr>
          <w:rFonts w:hAnsi="宋体"/>
          <w:szCs w:val="24"/>
        </w:rPr>
      </w:pPr>
      <w:r>
        <w:rPr>
          <w:rFonts w:hAnsi="宋体"/>
          <w:szCs w:val="24"/>
        </w:rPr>
        <w:lastRenderedPageBreak/>
        <w:t>6.3.2</w:t>
      </w:r>
      <w:r>
        <w:rPr>
          <w:rFonts w:hAnsi="宋体" w:hint="eastAsia"/>
          <w:b/>
          <w:bCs/>
          <w:szCs w:val="24"/>
        </w:rPr>
        <w:t>基金托管人根据本协议相关约定仅履行表面一致形式审核职责，对指令的真实性不承担责任。</w:t>
      </w:r>
      <w:r>
        <w:rPr>
          <w:rFonts w:hAnsi="宋体" w:hint="eastAsia"/>
          <w:szCs w:val="24"/>
        </w:rPr>
        <w:t>如果基金管理人的指令存在事实上未经授权、欺诈、伪造、变造或未能及时提供授权通知等情形，基金托管人不承担因执行有关指令或拒绝执行有关指令而给基金管理人或基金财产或任何第三</w:t>
      </w:r>
      <w:proofErr w:type="gramStart"/>
      <w:r>
        <w:rPr>
          <w:rFonts w:hAnsi="宋体" w:hint="eastAsia"/>
          <w:szCs w:val="24"/>
        </w:rPr>
        <w:t>方带来</w:t>
      </w:r>
      <w:proofErr w:type="gramEnd"/>
      <w:r>
        <w:rPr>
          <w:rFonts w:hAnsi="宋体" w:hint="eastAsia"/>
          <w:szCs w:val="24"/>
        </w:rPr>
        <w:t>的损失，基金托管人由此遭受的损失，由基金管理人负责相应赔偿，但基金托管人未按协议约定尽审核义务执行指令而造成损失的情形除外。</w:t>
      </w:r>
    </w:p>
    <w:p w:rsidR="004A33FC" w:rsidRDefault="00F25005">
      <w:pPr>
        <w:pStyle w:val="20"/>
        <w:spacing w:before="0" w:after="0" w:line="520" w:lineRule="atLeast"/>
        <w:ind w:left="0" w:firstLineChars="200" w:firstLine="480"/>
        <w:rPr>
          <w:rFonts w:hAnsi="宋体"/>
          <w:szCs w:val="24"/>
        </w:rPr>
      </w:pPr>
      <w:r>
        <w:rPr>
          <w:rFonts w:hAnsi="宋体"/>
          <w:szCs w:val="24"/>
        </w:rPr>
        <w:t>6.3.3</w:t>
      </w:r>
      <w:r>
        <w:rPr>
          <w:rFonts w:hAnsi="宋体" w:hint="eastAsia"/>
          <w:szCs w:val="24"/>
        </w:rPr>
        <w:t>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基金托管人</w:t>
      </w:r>
      <w:r>
        <w:rPr>
          <w:rFonts w:hAnsi="宋体"/>
          <w:szCs w:val="24"/>
        </w:rPr>
        <w:t>由此</w:t>
      </w:r>
      <w:r>
        <w:rPr>
          <w:rFonts w:hAnsi="宋体" w:hint="eastAsia"/>
          <w:szCs w:val="24"/>
        </w:rPr>
        <w:t>遭受</w:t>
      </w:r>
      <w:r>
        <w:rPr>
          <w:rFonts w:hAnsi="宋体"/>
          <w:szCs w:val="24"/>
        </w:rPr>
        <w:t>的损失，由基金管理人负责</w:t>
      </w:r>
      <w:r>
        <w:rPr>
          <w:rFonts w:hAnsi="宋体" w:hint="eastAsia"/>
          <w:szCs w:val="24"/>
        </w:rPr>
        <w:t>相应</w:t>
      </w:r>
      <w:r>
        <w:rPr>
          <w:rFonts w:hAnsi="宋体"/>
          <w:szCs w:val="24"/>
        </w:rPr>
        <w:t>赔偿。</w:t>
      </w:r>
    </w:p>
    <w:p w:rsidR="004A33FC" w:rsidRDefault="00F25005">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4</w:t>
      </w:r>
      <w:r>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Pr>
          <w:rFonts w:hAnsi="宋体" w:hint="eastAsia"/>
          <w:szCs w:val="24"/>
        </w:rPr>
        <w:t>指令仅</w:t>
      </w:r>
      <w:proofErr w:type="gramEnd"/>
      <w:r>
        <w:rPr>
          <w:rFonts w:hAnsi="宋体" w:hint="eastAsia"/>
          <w:szCs w:val="24"/>
        </w:rPr>
        <w:t>对划款指令的印鉴及被授权人签章等通过肉眼辨识的方式与预留印鉴和签章样本进行比对，形式上不存在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5</w:t>
      </w:r>
      <w:r>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6</w:t>
      </w:r>
      <w:r>
        <w:rPr>
          <w:rFonts w:hAnsi="宋体" w:hint="eastAsia"/>
          <w:szCs w:val="24"/>
        </w:rPr>
        <w:t>基金管理人应将同业市场国债交易通知单加盖预留印鉴后传真给基金托</w:t>
      </w:r>
      <w:r>
        <w:rPr>
          <w:rFonts w:hAnsi="宋体" w:hint="eastAsia"/>
          <w:szCs w:val="24"/>
        </w:rPr>
        <w:lastRenderedPageBreak/>
        <w:t>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6.4基金管理人发送错误指令的情形和处理程序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6.4.1基金管理人发送错误指令的情形包括指令违反相关法律法规或基金合同、指令发送人员无权或超越权限发送指令及交割信息错误，指令中重要信息模糊不清或不全等。</w:t>
      </w:r>
    </w:p>
    <w:p w:rsidR="004A33FC" w:rsidRDefault="00F25005">
      <w:pPr>
        <w:pStyle w:val="20"/>
        <w:spacing w:before="0" w:after="0" w:line="520" w:lineRule="atLeast"/>
        <w:ind w:left="0" w:firstLineChars="200" w:firstLine="480"/>
        <w:rPr>
          <w:rFonts w:hAnsi="宋体"/>
          <w:szCs w:val="24"/>
        </w:rPr>
      </w:pPr>
      <w:r>
        <w:rPr>
          <w:rFonts w:hAnsi="宋体" w:hint="eastAsia"/>
          <w:szCs w:val="24"/>
        </w:rPr>
        <w:t>6.4.2基金托管人在履行监督职能时，发现基金管理人的指令错误时，有权拒绝执行，并及时通知基金管理人改正。</w:t>
      </w:r>
    </w:p>
    <w:p w:rsidR="004A33FC" w:rsidRDefault="00F25005">
      <w:pPr>
        <w:pStyle w:val="20"/>
        <w:spacing w:before="0" w:after="0" w:line="520" w:lineRule="atLeast"/>
        <w:ind w:left="0" w:firstLineChars="200" w:firstLine="480"/>
        <w:rPr>
          <w:rFonts w:hAnsi="宋体"/>
          <w:szCs w:val="24"/>
        </w:rPr>
      </w:pPr>
      <w:r>
        <w:rPr>
          <w:rFonts w:hAnsi="宋体" w:hint="eastAsia"/>
          <w:szCs w:val="24"/>
        </w:rPr>
        <w:t>6.5基金托管人依照法律法规暂缓、拒绝执行指令的情形和处理程序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托管人发现基金管理人发送的指令违反《基金法》、基金合同、本协议或有关基金法规的有关规定，有权视情况暂缓执行或不予执行，并应及时通知基金管理人纠正，基金托管人不承担任何损失和责任。对基金管理人更正并重新发送后的指令经基金托管人核对确认后方能执行。</w:t>
      </w:r>
    </w:p>
    <w:p w:rsidR="004A33FC" w:rsidRDefault="00F25005">
      <w:pPr>
        <w:pStyle w:val="20"/>
        <w:spacing w:before="0" w:after="0" w:line="520" w:lineRule="atLeast"/>
        <w:ind w:left="0" w:firstLineChars="200" w:firstLine="480"/>
        <w:rPr>
          <w:rFonts w:hAnsi="宋体"/>
          <w:szCs w:val="24"/>
        </w:rPr>
      </w:pPr>
      <w:r>
        <w:rPr>
          <w:rFonts w:hAnsi="宋体" w:hint="eastAsia"/>
          <w:szCs w:val="24"/>
        </w:rPr>
        <w:t>6.6基金托管人未按照基金管理人指令执行的处理方法</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基金托管人由于自身过错原因造成未按照或者未及时按照基金管理人发送的符合法律法规规定以及基金合同、本协议约定的指令执行，给基金份额持有人或</w:t>
      </w:r>
      <w:r>
        <w:rPr>
          <w:rFonts w:hAnsi="宋体"/>
          <w:szCs w:val="24"/>
        </w:rPr>
        <w:t>基金财产</w:t>
      </w:r>
      <w:r>
        <w:rPr>
          <w:rFonts w:hAnsi="宋体" w:hint="eastAsia"/>
          <w:szCs w:val="24"/>
        </w:rPr>
        <w:t>造成损失的，应承担相应的责任，但如遇到不可抗力的情况除外。</w:t>
      </w:r>
    </w:p>
    <w:p w:rsidR="004A33FC" w:rsidRDefault="00F25005">
      <w:pPr>
        <w:pStyle w:val="20"/>
        <w:spacing w:before="0" w:after="0" w:line="520" w:lineRule="atLeast"/>
        <w:ind w:left="0" w:firstLineChars="200" w:firstLine="480"/>
        <w:rPr>
          <w:rFonts w:hAnsi="宋体"/>
          <w:szCs w:val="24"/>
        </w:rPr>
      </w:pPr>
      <w:r>
        <w:rPr>
          <w:rFonts w:hAnsi="宋体" w:hint="eastAsia"/>
          <w:szCs w:val="24"/>
        </w:rPr>
        <w:t>6.7更换被授权人的程序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rsidR="004A33FC" w:rsidRDefault="00F25005">
      <w:pPr>
        <w:pStyle w:val="1"/>
        <w:spacing w:line="520" w:lineRule="atLeast"/>
        <w:ind w:firstLineChars="200" w:firstLine="482"/>
        <w:rPr>
          <w:bCs/>
          <w:color w:val="auto"/>
          <w:szCs w:val="24"/>
        </w:rPr>
      </w:pPr>
      <w:bookmarkStart w:id="28" w:name="_Toc44321730"/>
      <w:r>
        <w:rPr>
          <w:rFonts w:hint="eastAsia"/>
          <w:bCs/>
          <w:color w:val="auto"/>
          <w:szCs w:val="24"/>
        </w:rPr>
        <w:lastRenderedPageBreak/>
        <w:t>第七条 交易及清算交收安排</w:t>
      </w:r>
      <w:bookmarkEnd w:id="28"/>
      <w:r>
        <w:rPr>
          <w:rFonts w:hint="eastAsia"/>
          <w:bCs/>
          <w:color w:val="auto"/>
          <w:szCs w:val="24"/>
        </w:rPr>
        <w:t xml:space="preserve"> </w:t>
      </w:r>
    </w:p>
    <w:p w:rsidR="004A33FC" w:rsidRDefault="00F25005">
      <w:pPr>
        <w:pStyle w:val="20"/>
        <w:spacing w:before="0" w:after="0" w:line="520" w:lineRule="atLeast"/>
        <w:rPr>
          <w:rFonts w:hAnsi="宋体"/>
          <w:szCs w:val="24"/>
        </w:rPr>
      </w:pPr>
      <w:r>
        <w:rPr>
          <w:rFonts w:hAnsi="宋体" w:hint="eastAsia"/>
          <w:szCs w:val="24"/>
        </w:rPr>
        <w:t>7.1选择代理证券、期货买卖的证券、期货经营机构</w:t>
      </w:r>
    </w:p>
    <w:p w:rsidR="004A33FC" w:rsidRDefault="00F25005">
      <w:pPr>
        <w:pStyle w:val="20"/>
        <w:spacing w:before="0" w:after="0" w:line="520" w:lineRule="atLeast"/>
        <w:ind w:left="0"/>
        <w:rPr>
          <w:rFonts w:hAnsi="宋体"/>
          <w:szCs w:val="24"/>
        </w:rPr>
      </w:pPr>
      <w:r>
        <w:rPr>
          <w:rFonts w:hAnsi="宋体" w:hint="eastAsia"/>
          <w:szCs w:val="24"/>
        </w:rPr>
        <w:t xml:space="preserve">    7.1.1基金管理人负责选择代理本基金证券买卖的证券经纪机构，并与其签订证券经纪合同，基金管理人、基金托管人和证券经纪机构就基金参与证券交易的具体事项另行签订协议，明确</w:t>
      </w:r>
      <w:r>
        <w:rPr>
          <w:rFonts w:hAnsi="宋体"/>
          <w:szCs w:val="24"/>
        </w:rPr>
        <w:t>各</w:t>
      </w:r>
      <w:r>
        <w:rPr>
          <w:rFonts w:hAnsi="宋体" w:hint="eastAsia"/>
          <w:szCs w:val="24"/>
        </w:rPr>
        <w:t>方在本基金参与场内证券买卖中各类证券交易、证券交收及相关资金交</w:t>
      </w:r>
      <w:proofErr w:type="gramStart"/>
      <w:r>
        <w:rPr>
          <w:rFonts w:hAnsi="宋体" w:hint="eastAsia"/>
          <w:szCs w:val="24"/>
        </w:rPr>
        <w:t>收过程</w:t>
      </w:r>
      <w:proofErr w:type="gramEnd"/>
      <w:r>
        <w:rPr>
          <w:rFonts w:hAnsi="宋体" w:hint="eastAsia"/>
          <w:szCs w:val="24"/>
        </w:rPr>
        <w:t>中的职责和义务。</w:t>
      </w:r>
    </w:p>
    <w:p w:rsidR="004A33FC" w:rsidRDefault="00F25005">
      <w:pPr>
        <w:pStyle w:val="20"/>
        <w:spacing w:before="0" w:after="0" w:line="520" w:lineRule="atLeast"/>
        <w:ind w:left="0" w:firstLine="480"/>
        <w:rPr>
          <w:rFonts w:hAnsi="宋体"/>
          <w:szCs w:val="24"/>
        </w:rPr>
      </w:pPr>
      <w:r>
        <w:rPr>
          <w:rFonts w:hAnsi="宋体" w:hint="eastAsia"/>
          <w:szCs w:val="24"/>
        </w:rPr>
        <w:t>7.1.2基金管理人应及时将本基金财产的佣金费率等基本信息以及变更情况以书面形式通知基金托管人，以便基金托管人估值核算使用。</w:t>
      </w:r>
    </w:p>
    <w:p w:rsidR="004A33FC" w:rsidRDefault="00F25005">
      <w:pPr>
        <w:pStyle w:val="20"/>
        <w:spacing w:before="0" w:after="0" w:line="520" w:lineRule="atLeast"/>
        <w:ind w:left="0" w:firstLine="480"/>
        <w:rPr>
          <w:rFonts w:hAnsi="宋体"/>
          <w:szCs w:val="24"/>
        </w:rPr>
      </w:pPr>
      <w:r>
        <w:rPr>
          <w:rFonts w:hAnsi="宋体" w:hint="eastAsia"/>
          <w:szCs w:val="24"/>
        </w:rPr>
        <w:t>7.1.3基金管理人负责根据相关标准以及内部管理制度选择代理本基金国债期货、股指期货和股票期权交易的期货经纪机构，并与其签订期货经纪合同，其他事宜根据法律法规、基金合同的相关规定执行，若无明确规定的，可参照有关证券买卖、证券经纪机构选择的规则执行。</w:t>
      </w:r>
    </w:p>
    <w:p w:rsidR="004A33FC" w:rsidRDefault="00F25005">
      <w:pPr>
        <w:pStyle w:val="20"/>
        <w:spacing w:before="0" w:after="0" w:line="520" w:lineRule="atLeast"/>
        <w:rPr>
          <w:rFonts w:hAnsi="宋体"/>
          <w:szCs w:val="24"/>
        </w:rPr>
      </w:pPr>
      <w:r>
        <w:rPr>
          <w:rFonts w:hAnsi="宋体" w:hint="eastAsia"/>
          <w:szCs w:val="24"/>
        </w:rPr>
        <w:t>7.2清算与交割</w:t>
      </w:r>
    </w:p>
    <w:p w:rsidR="004A33FC" w:rsidRDefault="00F25005">
      <w:pPr>
        <w:pStyle w:val="20"/>
        <w:spacing w:before="0" w:after="0" w:line="520" w:lineRule="atLeast"/>
        <w:rPr>
          <w:rFonts w:hAnsi="宋体"/>
          <w:szCs w:val="24"/>
        </w:rPr>
      </w:pPr>
      <w:r>
        <w:rPr>
          <w:rFonts w:hAnsi="宋体" w:hint="eastAsia"/>
          <w:szCs w:val="24"/>
        </w:rPr>
        <w:t>7.2.1基金投资证券后的清算交收安排</w:t>
      </w:r>
    </w:p>
    <w:p w:rsidR="004A33FC" w:rsidRDefault="00F25005">
      <w:pPr>
        <w:pStyle w:val="20"/>
        <w:spacing w:before="0" w:after="0" w:line="520" w:lineRule="atLeast"/>
        <w:ind w:left="0"/>
        <w:rPr>
          <w:rFonts w:hAnsi="宋体"/>
          <w:szCs w:val="24"/>
        </w:rPr>
      </w:pPr>
      <w:r>
        <w:rPr>
          <w:rFonts w:hAnsi="宋体" w:hint="eastAsia"/>
          <w:szCs w:val="24"/>
        </w:rPr>
        <w:t xml:space="preserve">    本基金通过证券经纪机构进行的交易由证券经纪机构作为结算参与人代理本基金进行结算；本基金其它证券交易由基金托管人或相关机构负责结算。基金清算交</w:t>
      </w:r>
      <w:proofErr w:type="gramStart"/>
      <w:r>
        <w:rPr>
          <w:rFonts w:hAnsi="宋体" w:hint="eastAsia"/>
          <w:szCs w:val="24"/>
        </w:rPr>
        <w:t>收过程</w:t>
      </w:r>
      <w:proofErr w:type="gramEnd"/>
      <w:r>
        <w:rPr>
          <w:rFonts w:hAnsi="宋体" w:hint="eastAsia"/>
          <w:szCs w:val="24"/>
        </w:rPr>
        <w:t>中，出现基金财产中资金或证券不足以交收的，基金托管人应当及时通知基金管理人，督促基金管理人积极采取措施、最大程度控制违约交收风险与相关损失，并报告中国证监会。</w:t>
      </w:r>
    </w:p>
    <w:p w:rsidR="004A33FC" w:rsidRDefault="00F25005">
      <w:pPr>
        <w:pStyle w:val="20"/>
        <w:spacing w:before="0" w:after="0" w:line="520" w:lineRule="atLeast"/>
        <w:rPr>
          <w:rFonts w:hAnsi="宋体"/>
          <w:szCs w:val="24"/>
        </w:rPr>
      </w:pPr>
      <w:r>
        <w:rPr>
          <w:rFonts w:hAnsi="宋体" w:hint="eastAsia"/>
          <w:szCs w:val="24"/>
        </w:rPr>
        <w:t>7.2.2证券交易所证券资金结算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基金托管人、基金管理人应共同遵守中登公司制定的相关业务规则和规定，该等规则和规定自动成为本条款约定内容。</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基金管理人在投资前，应充分知晓与理解中登公司针对各类交易品种制定的结算业务规则和规定。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t>证券经纪机构代理本基金与中登公司完成证券交易所证券交易及</w:t>
      </w:r>
      <w:proofErr w:type="gramStart"/>
      <w:r>
        <w:rPr>
          <w:rFonts w:hAnsi="宋体" w:hint="eastAsia"/>
          <w:szCs w:val="24"/>
        </w:rPr>
        <w:t>非交易</w:t>
      </w:r>
      <w:proofErr w:type="gramEnd"/>
      <w:r>
        <w:rPr>
          <w:rFonts w:hAnsi="宋体" w:hint="eastAsia"/>
          <w:szCs w:val="24"/>
        </w:rPr>
        <w:t>涉及的证券资金结算业务，并承担由证券经纪机构原因造成的正常结算、交收业务无法完成的责任；若由于基金管理</w:t>
      </w:r>
      <w:proofErr w:type="gramStart"/>
      <w:r>
        <w:rPr>
          <w:rFonts w:hAnsi="宋体" w:hint="eastAsia"/>
          <w:szCs w:val="24"/>
        </w:rPr>
        <w:t>人原因</w:t>
      </w:r>
      <w:proofErr w:type="gramEnd"/>
      <w:r>
        <w:rPr>
          <w:rFonts w:hAnsi="宋体" w:hint="eastAsia"/>
          <w:szCs w:val="24"/>
        </w:rPr>
        <w:t>造成的正常结算业务无法完成，责任由基金管理人承担。</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对于任何原因发生的证券资金交收违约事件，相关各方应当及时协商解决。</w:t>
      </w:r>
    </w:p>
    <w:p w:rsidR="004A33FC" w:rsidRDefault="00F25005">
      <w:pPr>
        <w:pStyle w:val="20"/>
        <w:spacing w:before="0" w:after="0" w:line="520" w:lineRule="atLeast"/>
        <w:rPr>
          <w:rFonts w:hAnsi="宋体"/>
          <w:szCs w:val="24"/>
        </w:rPr>
      </w:pPr>
      <w:r>
        <w:rPr>
          <w:rFonts w:hAnsi="宋体" w:hint="eastAsia"/>
          <w:szCs w:val="24"/>
        </w:rPr>
        <w:t>7.2.3场外交易资金结算</w:t>
      </w:r>
    </w:p>
    <w:p w:rsidR="004A33FC" w:rsidRDefault="00F25005">
      <w:pPr>
        <w:pStyle w:val="20"/>
        <w:spacing w:before="0" w:after="0" w:line="520" w:lineRule="atLeast"/>
        <w:ind w:left="0" w:firstLine="480"/>
        <w:rPr>
          <w:rFonts w:hAnsi="宋体"/>
          <w:szCs w:val="24"/>
        </w:rPr>
      </w:pPr>
      <w:r>
        <w:rPr>
          <w:rFonts w:hAnsi="宋体" w:hint="eastAsia"/>
          <w:szCs w:val="24"/>
        </w:rPr>
        <w:t>场外资金对外投资划款由基金托管人</w:t>
      </w:r>
      <w:proofErr w:type="gramStart"/>
      <w:r>
        <w:rPr>
          <w:rFonts w:hAnsi="宋体" w:hint="eastAsia"/>
          <w:szCs w:val="24"/>
        </w:rPr>
        <w:t>凭基金</w:t>
      </w:r>
      <w:proofErr w:type="gramEnd"/>
      <w:r>
        <w:rPr>
          <w:rFonts w:hAnsi="宋体" w:hint="eastAsia"/>
          <w:szCs w:val="24"/>
        </w:rPr>
        <w:t>管理人符合本托管协议约定的有效资金划拨指令和相关投资合同（如有）进行资金划拨；</w:t>
      </w:r>
      <w:proofErr w:type="gramStart"/>
      <w:r>
        <w:rPr>
          <w:rFonts w:hAnsi="宋体" w:hint="eastAsia"/>
          <w:szCs w:val="24"/>
        </w:rPr>
        <w:t>场外投资</w:t>
      </w:r>
      <w:proofErr w:type="gramEnd"/>
      <w:r>
        <w:rPr>
          <w:rFonts w:hAnsi="宋体" w:hint="eastAsia"/>
          <w:szCs w:val="24"/>
        </w:rPr>
        <w:t>本金及收益的划回，由管理人负责协调相关资金</w:t>
      </w:r>
      <w:proofErr w:type="gramStart"/>
      <w:r>
        <w:rPr>
          <w:rFonts w:hAnsi="宋体" w:hint="eastAsia"/>
          <w:szCs w:val="24"/>
        </w:rPr>
        <w:t>划拨回产品托管户</w:t>
      </w:r>
      <w:proofErr w:type="gramEnd"/>
      <w:r>
        <w:rPr>
          <w:rFonts w:hAnsi="宋体" w:hint="eastAsia"/>
          <w:szCs w:val="24"/>
        </w:rPr>
        <w:t>事宜。</w:t>
      </w:r>
    </w:p>
    <w:p w:rsidR="004A33FC" w:rsidRDefault="00F25005">
      <w:pPr>
        <w:pStyle w:val="20"/>
        <w:spacing w:before="0" w:after="0" w:line="520" w:lineRule="atLeast"/>
        <w:rPr>
          <w:rFonts w:hAnsi="宋体"/>
          <w:szCs w:val="24"/>
        </w:rPr>
      </w:pPr>
      <w:r>
        <w:rPr>
          <w:rFonts w:hAnsi="宋体" w:hint="eastAsia"/>
          <w:szCs w:val="24"/>
        </w:rPr>
        <w:t>7.3资金、证券账目及交易记录的核对</w:t>
      </w:r>
    </w:p>
    <w:p w:rsidR="004A33FC" w:rsidRDefault="00F25005">
      <w:pPr>
        <w:pStyle w:val="20"/>
        <w:spacing w:before="0" w:after="0" w:line="520" w:lineRule="atLeast"/>
        <w:ind w:left="0"/>
        <w:rPr>
          <w:rFonts w:hAnsi="宋体"/>
          <w:szCs w:val="24"/>
        </w:rPr>
      </w:pPr>
      <w:r>
        <w:rPr>
          <w:rFonts w:hAnsi="宋体" w:hint="eastAsia"/>
          <w:szCs w:val="24"/>
        </w:rPr>
        <w:t xml:space="preserve">    7.3.1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rsidR="004A33FC" w:rsidRDefault="00F25005">
      <w:pPr>
        <w:pStyle w:val="20"/>
        <w:spacing w:before="0" w:after="0" w:line="520" w:lineRule="atLeast"/>
        <w:ind w:left="0"/>
        <w:rPr>
          <w:rFonts w:hAnsi="宋体"/>
          <w:szCs w:val="24"/>
        </w:rPr>
      </w:pPr>
      <w:r>
        <w:rPr>
          <w:rFonts w:hAnsi="宋体" w:hint="eastAsia"/>
          <w:szCs w:val="24"/>
        </w:rPr>
        <w:t xml:space="preserve">    7.3.2对基金的资金账目，由相关各方每日对账一次，确保相关各方账</w:t>
      </w:r>
      <w:proofErr w:type="gramStart"/>
      <w:r>
        <w:rPr>
          <w:rFonts w:hAnsi="宋体" w:hint="eastAsia"/>
          <w:szCs w:val="24"/>
        </w:rPr>
        <w:t>账</w:t>
      </w:r>
      <w:proofErr w:type="gramEnd"/>
      <w:r>
        <w:rPr>
          <w:rFonts w:hAnsi="宋体" w:hint="eastAsia"/>
          <w:szCs w:val="24"/>
        </w:rPr>
        <w:t>相符。对基金证券账目，由相关各方每日进行对账。对实物</w:t>
      </w:r>
      <w:proofErr w:type="gramStart"/>
      <w:r>
        <w:rPr>
          <w:rFonts w:hAnsi="宋体" w:hint="eastAsia"/>
          <w:szCs w:val="24"/>
        </w:rPr>
        <w:t>券</w:t>
      </w:r>
      <w:proofErr w:type="gramEnd"/>
      <w:r>
        <w:rPr>
          <w:rFonts w:hAnsi="宋体" w:hint="eastAsia"/>
          <w:szCs w:val="24"/>
        </w:rPr>
        <w:t>账目，每月月末由相关各方进行账实核对。对交易记录，由相关各方每日对账一次。</w:t>
      </w:r>
    </w:p>
    <w:p w:rsidR="004A33FC" w:rsidRDefault="00F25005">
      <w:pPr>
        <w:pStyle w:val="20"/>
        <w:spacing w:before="0" w:after="0" w:line="520" w:lineRule="atLeast"/>
        <w:ind w:left="0"/>
        <w:rPr>
          <w:rFonts w:hAnsi="宋体"/>
          <w:szCs w:val="24"/>
        </w:rPr>
      </w:pPr>
      <w:r>
        <w:rPr>
          <w:rFonts w:hAnsi="宋体" w:hint="eastAsia"/>
          <w:szCs w:val="24"/>
        </w:rPr>
        <w:t xml:space="preserve">    7.4申购、赎回、转换开放式基金的资金清算、数据传递及基金管理人、基金托管人的责任</w:t>
      </w:r>
    </w:p>
    <w:p w:rsidR="004A33FC" w:rsidRDefault="00F25005">
      <w:pPr>
        <w:pStyle w:val="20"/>
        <w:spacing w:before="0" w:after="0" w:line="520" w:lineRule="atLeast"/>
        <w:ind w:left="0"/>
        <w:rPr>
          <w:rFonts w:hAnsi="宋体"/>
          <w:szCs w:val="24"/>
        </w:rPr>
      </w:pPr>
      <w:r>
        <w:rPr>
          <w:rFonts w:hAnsi="宋体" w:hint="eastAsia"/>
          <w:szCs w:val="24"/>
        </w:rPr>
        <w:t xml:space="preserve">    7.4.1基金管理人和基金托管人在基金的申购赎回、转换中的责任</w:t>
      </w:r>
    </w:p>
    <w:p w:rsidR="004A33FC" w:rsidRDefault="00F25005">
      <w:pPr>
        <w:pStyle w:val="20"/>
        <w:spacing w:before="0" w:after="0" w:line="520" w:lineRule="atLeast"/>
        <w:ind w:left="0"/>
        <w:rPr>
          <w:rFonts w:hAnsi="宋体"/>
          <w:szCs w:val="24"/>
        </w:rPr>
      </w:pPr>
      <w:r>
        <w:rPr>
          <w:rFonts w:hAnsi="宋体" w:hint="eastAsia"/>
          <w:szCs w:val="24"/>
        </w:rPr>
        <w:t xml:space="preserve">    基金投资人可通过基金管理人的直销中心和销售机构的</w:t>
      </w:r>
      <w:r>
        <w:rPr>
          <w:rFonts w:hAnsi="宋体"/>
          <w:szCs w:val="24"/>
        </w:rPr>
        <w:t>销售</w:t>
      </w:r>
      <w:r>
        <w:rPr>
          <w:rFonts w:hAnsi="宋体" w:hint="eastAsia"/>
          <w:szCs w:val="24"/>
        </w:rPr>
        <w:t>网点进行申购和赎回申请，基金份额申购、赎回的确认、清算由基金管理人或其委托的登记机构负责。基金托管人负责接收并确认资金的到账情况，以及依照基金管理人的投资指令划付赎回款项。</w:t>
      </w:r>
    </w:p>
    <w:p w:rsidR="004A33FC" w:rsidRDefault="00F25005">
      <w:pPr>
        <w:pStyle w:val="20"/>
        <w:spacing w:before="0" w:after="0" w:line="520" w:lineRule="atLeast"/>
        <w:rPr>
          <w:rFonts w:hAnsi="宋体"/>
          <w:szCs w:val="24"/>
        </w:rPr>
      </w:pPr>
      <w:r>
        <w:rPr>
          <w:rFonts w:hAnsi="宋体" w:hint="eastAsia"/>
          <w:szCs w:val="24"/>
        </w:rPr>
        <w:t>7.4.2基金的数据传递</w:t>
      </w:r>
    </w:p>
    <w:p w:rsidR="004A33FC" w:rsidRDefault="00F25005">
      <w:pPr>
        <w:pStyle w:val="20"/>
        <w:spacing w:before="0" w:after="0" w:line="520" w:lineRule="atLeast"/>
        <w:ind w:left="0"/>
        <w:rPr>
          <w:rFonts w:hAnsi="宋体"/>
          <w:szCs w:val="24"/>
        </w:rPr>
      </w:pPr>
      <w:r>
        <w:rPr>
          <w:rFonts w:hAnsi="宋体" w:hint="eastAsia"/>
          <w:szCs w:val="24"/>
        </w:rPr>
        <w:t xml:space="preserve">    基金管理人应保证本基金（或本基金管理人委托）的登记机构于每个开放日15：00之前将本基金的申购、赎回、转换的数据传送给基金托管人。基金管理人应对传递的数据的真实性、准确性和完整性负责。</w:t>
      </w:r>
    </w:p>
    <w:p w:rsidR="004A33FC" w:rsidRDefault="00F25005">
      <w:pPr>
        <w:pStyle w:val="20"/>
        <w:spacing w:before="0" w:after="0" w:line="520" w:lineRule="atLeast"/>
        <w:ind w:left="0"/>
        <w:rPr>
          <w:rFonts w:hAnsi="宋体"/>
          <w:szCs w:val="24"/>
        </w:rPr>
      </w:pPr>
      <w:r>
        <w:rPr>
          <w:rFonts w:hAnsi="宋体" w:hint="eastAsia"/>
          <w:szCs w:val="24"/>
        </w:rPr>
        <w:t xml:space="preserve">    登记机构应通过与基金管理人建立的系统发送有关数据，如因各种原因，该系统无法正常发送，双方可协商解决处理方式。</w:t>
      </w:r>
    </w:p>
    <w:p w:rsidR="004A33FC" w:rsidRDefault="00F25005">
      <w:pPr>
        <w:pStyle w:val="20"/>
        <w:spacing w:before="0" w:after="0" w:line="520" w:lineRule="atLeast"/>
        <w:rPr>
          <w:rFonts w:hAnsi="宋体"/>
          <w:szCs w:val="24"/>
        </w:rPr>
      </w:pPr>
      <w:r>
        <w:rPr>
          <w:rFonts w:hAnsi="宋体" w:hint="eastAsia"/>
          <w:szCs w:val="24"/>
        </w:rPr>
        <w:t>7.4.3基金的资金清算</w:t>
      </w:r>
    </w:p>
    <w:p w:rsidR="004A33FC" w:rsidRDefault="00F25005">
      <w:pPr>
        <w:pStyle w:val="20"/>
        <w:spacing w:before="0" w:after="0" w:line="520" w:lineRule="atLeast"/>
        <w:ind w:left="0"/>
        <w:rPr>
          <w:rFonts w:hAnsi="宋体"/>
          <w:szCs w:val="24"/>
        </w:rPr>
      </w:pPr>
      <w:r>
        <w:rPr>
          <w:rFonts w:hAnsi="宋体" w:hint="eastAsia"/>
          <w:szCs w:val="24"/>
        </w:rPr>
        <w:t xml:space="preserve">    基金托管专户与“基金清算账户”间的资金结算遵循“全额清算、净额交收”</w:t>
      </w:r>
      <w:r>
        <w:rPr>
          <w:rFonts w:hAnsi="宋体" w:hint="eastAsia"/>
          <w:szCs w:val="24"/>
        </w:rPr>
        <w:lastRenderedPageBreak/>
        <w:t>的原则，每日按照托管专户应收资金与应付资金的差额来确定托管</w:t>
      </w:r>
      <w:proofErr w:type="gramStart"/>
      <w:r>
        <w:rPr>
          <w:rFonts w:hAnsi="宋体" w:hint="eastAsia"/>
          <w:szCs w:val="24"/>
        </w:rPr>
        <w:t>专户净应收</w:t>
      </w:r>
      <w:proofErr w:type="gramEnd"/>
      <w:r>
        <w:rPr>
          <w:rFonts w:hAnsi="宋体" w:hint="eastAsia"/>
          <w:szCs w:val="24"/>
        </w:rPr>
        <w:t>额或净应付额，以此确定资金交收额。</w:t>
      </w:r>
    </w:p>
    <w:p w:rsidR="004A33FC" w:rsidRDefault="00F25005">
      <w:pPr>
        <w:pStyle w:val="20"/>
        <w:spacing w:before="0" w:after="0" w:line="520" w:lineRule="atLeast"/>
        <w:ind w:left="0" w:firstLineChars="200" w:firstLine="480"/>
        <w:rPr>
          <w:rFonts w:hAnsi="宋体"/>
          <w:szCs w:val="24"/>
        </w:rPr>
      </w:pPr>
      <w:r>
        <w:rPr>
          <w:rFonts w:hAnsi="宋体" w:hint="eastAsia"/>
          <w:szCs w:val="24"/>
        </w:rPr>
        <w:t>如果当日基金为净应付款，基金托管人应根据基金管理人的指令在T+2日中午12:00前进行划付，对于未准时划付的资金，基金管理人应及时通知基金托管人划付。因基金托管专户没有足够的资金，导致基金托管人不能按时拨付，基金托管人应及时通知基金管理人。</w:t>
      </w:r>
    </w:p>
    <w:p w:rsidR="004A33FC" w:rsidRDefault="00F25005">
      <w:pPr>
        <w:pStyle w:val="1"/>
        <w:spacing w:line="520" w:lineRule="atLeast"/>
        <w:ind w:firstLineChars="200" w:firstLine="482"/>
        <w:rPr>
          <w:bCs/>
          <w:color w:val="auto"/>
          <w:szCs w:val="24"/>
        </w:rPr>
      </w:pPr>
      <w:bookmarkStart w:id="29" w:name="_Toc296551344"/>
      <w:bookmarkStart w:id="30" w:name="_Toc44321731"/>
      <w:r>
        <w:rPr>
          <w:rFonts w:hint="eastAsia"/>
          <w:bCs/>
          <w:color w:val="auto"/>
          <w:szCs w:val="24"/>
        </w:rPr>
        <w:t>第八条 基金净值计算和会计核算</w:t>
      </w:r>
      <w:bookmarkEnd w:id="29"/>
      <w:bookmarkEnd w:id="30"/>
    </w:p>
    <w:p w:rsidR="004A33FC" w:rsidRDefault="00F25005">
      <w:pPr>
        <w:pStyle w:val="20"/>
        <w:spacing w:before="0" w:after="0" w:line="520" w:lineRule="atLeast"/>
        <w:ind w:left="0" w:firstLineChars="200" w:firstLine="480"/>
        <w:rPr>
          <w:rFonts w:hAnsi="宋体"/>
          <w:szCs w:val="24"/>
        </w:rPr>
      </w:pPr>
      <w:r>
        <w:rPr>
          <w:rFonts w:hAnsi="宋体" w:hint="eastAsia"/>
          <w:szCs w:val="24"/>
        </w:rPr>
        <w:t>8.1基金净值的计算、复核的时间和程序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8.1.1基金</w:t>
      </w:r>
      <w:r>
        <w:rPr>
          <w:rFonts w:hAnsi="宋体"/>
          <w:szCs w:val="24"/>
        </w:rPr>
        <w:t>净值包括基金资产净值</w:t>
      </w:r>
      <w:r>
        <w:rPr>
          <w:rFonts w:hAnsi="宋体" w:hint="eastAsia"/>
          <w:szCs w:val="24"/>
        </w:rPr>
        <w:t>、基金</w:t>
      </w:r>
      <w:r>
        <w:rPr>
          <w:rFonts w:hAnsi="宋体"/>
          <w:szCs w:val="24"/>
        </w:rPr>
        <w:t>份额净值、基金</w:t>
      </w:r>
      <w:r>
        <w:rPr>
          <w:rFonts w:hAnsi="宋体" w:hint="eastAsia"/>
          <w:szCs w:val="24"/>
        </w:rPr>
        <w:t>份额</w:t>
      </w:r>
      <w:r>
        <w:rPr>
          <w:rFonts w:hAnsi="宋体"/>
          <w:szCs w:val="24"/>
        </w:rPr>
        <w:t>累计净值。</w:t>
      </w:r>
      <w:r>
        <w:rPr>
          <w:rFonts w:hAnsi="宋体" w:hint="eastAsia"/>
          <w:szCs w:val="24"/>
        </w:rPr>
        <w:t>基金资产净值是指基金资产总值减去负债后的净资产值。各类基金份额净值是指计算日该类基金资产净值除以该计算日该类基金份额总份额后的数值。基金</w:t>
      </w:r>
      <w:r>
        <w:rPr>
          <w:rFonts w:hAnsi="宋体"/>
          <w:szCs w:val="24"/>
        </w:rPr>
        <w:t>份额</w:t>
      </w:r>
      <w:r>
        <w:rPr>
          <w:rFonts w:hAnsi="宋体" w:hint="eastAsia"/>
          <w:szCs w:val="24"/>
        </w:rPr>
        <w:t>累计净值是指基金份额净值与基金历来分红累计金额之</w:t>
      </w:r>
      <w:proofErr w:type="gramStart"/>
      <w:r>
        <w:rPr>
          <w:rFonts w:hAnsi="宋体" w:hint="eastAsia"/>
          <w:szCs w:val="24"/>
        </w:rPr>
        <w:t>和</w:t>
      </w:r>
      <w:proofErr w:type="gramEnd"/>
      <w:r>
        <w:rPr>
          <w:rFonts w:hAnsi="宋体" w:hint="eastAsia"/>
          <w:szCs w:val="24"/>
        </w:rPr>
        <w:t>。基金净值的计算保留到小数点后4位，小数点后第5位四舍五入，由此产生的误差计入基金财产。</w:t>
      </w:r>
      <w:r>
        <w:rPr>
          <w:rFonts w:hAnsi="宋体"/>
          <w:szCs w:val="24"/>
        </w:rPr>
        <w:t>基金管理人可以设立大额赎回情形下的净值精度应急调整机制。国家另有规定</w:t>
      </w:r>
      <w:r>
        <w:rPr>
          <w:rFonts w:hAnsi="宋体" w:hint="eastAsia"/>
          <w:szCs w:val="24"/>
        </w:rPr>
        <w:t>或基金合同另有约定</w:t>
      </w:r>
      <w:r>
        <w:rPr>
          <w:rFonts w:hAnsi="宋体"/>
          <w:szCs w:val="24"/>
        </w:rPr>
        <w:t>的，从其规定。</w:t>
      </w:r>
    </w:p>
    <w:p w:rsidR="004A33FC" w:rsidRDefault="00F25005">
      <w:pPr>
        <w:pStyle w:val="20"/>
        <w:spacing w:before="0" w:after="0" w:line="520" w:lineRule="atLeast"/>
        <w:ind w:left="0" w:firstLineChars="200" w:firstLine="480"/>
        <w:rPr>
          <w:rFonts w:hAnsi="宋体"/>
          <w:szCs w:val="24"/>
        </w:rPr>
      </w:pPr>
      <w:r>
        <w:rPr>
          <w:rFonts w:hAnsi="宋体" w:hint="eastAsia"/>
          <w:szCs w:val="24"/>
        </w:rPr>
        <w:t>8.1.2基金管理人应在每工作日对基金资产估值，但基金管理人根据法律法规或基金合同的规定暂停估值时除外。估值原则应符合基金合同、《证券投资基金会计核算业务指引》及其他法律、法规的规定。基金资产净值、各类基金份额净值和基金份额累计净值由基金管理人负责计算，基金托管人复核。基金管理人应于每个工作日交易结束后计算当日的基金净值并以双方认可的方式发送给基金托管人。基金托管人对净值计算结果复核后以双方认可的方式发送给基金管理人，基金管理人在不晚于</w:t>
      </w:r>
      <w:r>
        <w:rPr>
          <w:rFonts w:hAnsi="宋体"/>
          <w:szCs w:val="24"/>
        </w:rPr>
        <w:t>每个开放日的次日，</w:t>
      </w:r>
      <w:r>
        <w:rPr>
          <w:rFonts w:hAnsi="宋体" w:hint="eastAsia"/>
          <w:szCs w:val="24"/>
        </w:rPr>
        <w:t>通过规定网站、基金销售机构网站或营业网点披露开放日的各类基金份额净值和各类基金份额累计净值，并在不晚于半年度和年度最后一日的次日，在规定网站披露半年度和年度最后一日的各类基金份额净值和各类基金份额累计净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w:t>
      </w:r>
      <w:r>
        <w:rPr>
          <w:rFonts w:hAnsi="宋体" w:hint="eastAsia"/>
          <w:szCs w:val="24"/>
        </w:rPr>
        <w:lastRenderedPageBreak/>
        <w:t>意见，按照基金管理人对基金净值的计算结果对外予以公布，</w:t>
      </w:r>
      <w:r>
        <w:rPr>
          <w:rFonts w:hAnsi="宋体"/>
          <w:szCs w:val="24"/>
        </w:rPr>
        <w:t>基金托管人对未达成一致意见的</w:t>
      </w:r>
      <w:r>
        <w:rPr>
          <w:rFonts w:hAnsi="宋体" w:hint="eastAsia"/>
          <w:szCs w:val="24"/>
        </w:rPr>
        <w:t>基金净值计算结果不承担任何</w:t>
      </w:r>
      <w:r>
        <w:rPr>
          <w:rFonts w:hAnsi="宋体"/>
          <w:szCs w:val="24"/>
        </w:rPr>
        <w:t>责任</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8.2基金资产估值方法</w:t>
      </w:r>
    </w:p>
    <w:p w:rsidR="004A33FC" w:rsidRDefault="00F25005">
      <w:pPr>
        <w:pStyle w:val="20"/>
        <w:spacing w:before="0" w:after="0" w:line="520" w:lineRule="atLeast"/>
        <w:ind w:left="0" w:firstLineChars="200" w:firstLine="480"/>
        <w:rPr>
          <w:rFonts w:hAnsi="宋体"/>
          <w:szCs w:val="24"/>
        </w:rPr>
      </w:pPr>
      <w:r>
        <w:rPr>
          <w:rFonts w:hAnsi="宋体" w:hint="eastAsia"/>
          <w:szCs w:val="24"/>
        </w:rPr>
        <w:t>8.2.1估值对象</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基金所拥有的股票、存托凭证、股指期货合约、国债期货合约、股票期权合约、信用衍生品、资产支持证券、债券和银行存款本息、应收款项、其它投资等资产及负债。</w:t>
      </w:r>
    </w:p>
    <w:p w:rsidR="004A33FC" w:rsidRDefault="00F25005">
      <w:pPr>
        <w:pStyle w:val="20"/>
        <w:spacing w:before="0" w:after="0" w:line="520" w:lineRule="atLeast"/>
        <w:ind w:left="0" w:firstLineChars="200" w:firstLine="480"/>
        <w:rPr>
          <w:rFonts w:hAnsi="宋体"/>
          <w:szCs w:val="24"/>
        </w:rPr>
      </w:pPr>
      <w:r>
        <w:rPr>
          <w:rFonts w:hAnsi="宋体" w:hint="eastAsia"/>
          <w:szCs w:val="24"/>
        </w:rPr>
        <w:t>8.2.2估值方法</w:t>
      </w:r>
    </w:p>
    <w:p w:rsidR="004A33FC" w:rsidRDefault="00F25005">
      <w:pPr>
        <w:spacing w:line="520" w:lineRule="atLeast"/>
        <w:rPr>
          <w:bCs/>
          <w:sz w:val="24"/>
        </w:rPr>
      </w:pPr>
      <w:r>
        <w:rPr>
          <w:rFonts w:ascii="宋体" w:hint="eastAsia"/>
          <w:bCs/>
          <w:sz w:val="24"/>
        </w:rPr>
        <w:t xml:space="preserve">    </w:t>
      </w:r>
      <w:r>
        <w:rPr>
          <w:rFonts w:hint="eastAsia"/>
          <w:bCs/>
          <w:sz w:val="24"/>
        </w:rPr>
        <w:t>（</w:t>
      </w:r>
      <w:r>
        <w:rPr>
          <w:rFonts w:hint="eastAsia"/>
          <w:bCs/>
          <w:sz w:val="24"/>
        </w:rPr>
        <w:t>1</w:t>
      </w:r>
      <w:r>
        <w:rPr>
          <w:rFonts w:hint="eastAsia"/>
          <w:bCs/>
          <w:sz w:val="24"/>
        </w:rPr>
        <w:t>）证券交易所上市的有价证券的估值：</w:t>
      </w:r>
    </w:p>
    <w:p w:rsidR="004A33FC" w:rsidRDefault="00F25005">
      <w:pPr>
        <w:spacing w:line="520" w:lineRule="atLeast"/>
        <w:ind w:firstLineChars="200" w:firstLine="480"/>
        <w:rPr>
          <w:bCs/>
          <w:sz w:val="24"/>
        </w:rPr>
      </w:pPr>
      <w:r>
        <w:rPr>
          <w:rFonts w:hint="eastAsia"/>
          <w:bCs/>
          <w:sz w:val="24"/>
        </w:rPr>
        <w:t>①除本部分另有约定的品种外，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A33FC" w:rsidRDefault="00F25005">
      <w:pPr>
        <w:spacing w:line="520" w:lineRule="atLeast"/>
        <w:ind w:firstLineChars="200" w:firstLine="480"/>
        <w:rPr>
          <w:bCs/>
          <w:sz w:val="24"/>
        </w:rPr>
      </w:pPr>
      <w:r>
        <w:rPr>
          <w:rFonts w:hint="eastAsia"/>
          <w:bCs/>
          <w:sz w:val="24"/>
        </w:rPr>
        <w:t>②交易所上市交易或挂牌转让的不含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收益品种，选取估值日第三方估值机构提供的相应品种当日的估值净价进行估值；</w:t>
      </w:r>
    </w:p>
    <w:p w:rsidR="004A33FC" w:rsidRDefault="00F25005">
      <w:pPr>
        <w:spacing w:line="520" w:lineRule="atLeast"/>
        <w:ind w:firstLineChars="200" w:firstLine="480"/>
        <w:rPr>
          <w:bCs/>
          <w:sz w:val="24"/>
        </w:rPr>
      </w:pPr>
      <w:r>
        <w:rPr>
          <w:rFonts w:hint="eastAsia"/>
          <w:bCs/>
          <w:sz w:val="24"/>
        </w:rPr>
        <w:t>③交易所上市交易或挂牌转让的含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收益品种，选取估值日第三方估值机构提供的相应品种当日的唯一估值净价或推荐估值净价进行估值；</w:t>
      </w:r>
    </w:p>
    <w:p w:rsidR="004A33FC" w:rsidRDefault="00F25005">
      <w:pPr>
        <w:spacing w:line="520" w:lineRule="atLeast"/>
        <w:ind w:firstLineChars="200" w:firstLine="480"/>
        <w:rPr>
          <w:bCs/>
          <w:sz w:val="24"/>
        </w:rPr>
      </w:pPr>
      <w:r>
        <w:rPr>
          <w:rFonts w:hint="eastAsia"/>
          <w:bCs/>
          <w:sz w:val="24"/>
        </w:rPr>
        <w:t>④交易所上市交易的可转换债券以估值日收盘价作为估值全价；</w:t>
      </w:r>
    </w:p>
    <w:p w:rsidR="004A33FC" w:rsidRDefault="00F25005">
      <w:pPr>
        <w:spacing w:line="520" w:lineRule="atLeast"/>
        <w:ind w:firstLineChars="200" w:firstLine="480"/>
        <w:rPr>
          <w:bCs/>
          <w:sz w:val="24"/>
        </w:rPr>
      </w:pPr>
      <w:r>
        <w:rPr>
          <w:bCs/>
          <w:sz w:val="24"/>
        </w:rPr>
        <w:fldChar w:fldCharType="begin"/>
      </w:r>
      <w:r>
        <w:rPr>
          <w:bCs/>
          <w:sz w:val="24"/>
        </w:rPr>
        <w:instrText xml:space="preserve"> </w:instrText>
      </w:r>
      <w:r>
        <w:rPr>
          <w:rFonts w:hint="eastAsia"/>
          <w:bCs/>
          <w:sz w:val="24"/>
        </w:rPr>
        <w:instrText>= 5 \* GB3</w:instrText>
      </w:r>
      <w:r>
        <w:rPr>
          <w:bCs/>
          <w:sz w:val="24"/>
        </w:rPr>
        <w:instrText xml:space="preserve"> </w:instrText>
      </w:r>
      <w:r>
        <w:rPr>
          <w:bCs/>
          <w:sz w:val="24"/>
        </w:rPr>
        <w:fldChar w:fldCharType="separate"/>
      </w:r>
      <w:r>
        <w:rPr>
          <w:rFonts w:hint="eastAsia"/>
          <w:bCs/>
          <w:sz w:val="24"/>
        </w:rPr>
        <w:t>⑤</w:t>
      </w:r>
      <w:r>
        <w:rPr>
          <w:bCs/>
          <w:sz w:val="24"/>
        </w:rPr>
        <w:fldChar w:fldCharType="end"/>
      </w:r>
      <w:r>
        <w:rPr>
          <w:rFonts w:hint="eastAsia"/>
          <w:bCs/>
          <w:sz w:val="24"/>
        </w:rPr>
        <w:t>交易所上市不存在活跃市场的有价证券，采用估值技术确定公允价值。交易所市场挂牌转让的资产支持证券，采用估值技术确定公允价值。</w:t>
      </w:r>
    </w:p>
    <w:p w:rsidR="004A33FC" w:rsidRDefault="00F25005">
      <w:pPr>
        <w:spacing w:line="520" w:lineRule="atLeast"/>
        <w:ind w:firstLineChars="200" w:firstLine="480"/>
        <w:rPr>
          <w:bCs/>
          <w:sz w:val="24"/>
        </w:rPr>
      </w:pPr>
      <w:r>
        <w:rPr>
          <w:rFonts w:hint="eastAsia"/>
          <w:bCs/>
          <w:sz w:val="24"/>
        </w:rPr>
        <w:t>（</w:t>
      </w:r>
      <w:r>
        <w:rPr>
          <w:rFonts w:hint="eastAsia"/>
          <w:bCs/>
          <w:sz w:val="24"/>
        </w:rPr>
        <w:t>2</w:t>
      </w:r>
      <w:r>
        <w:rPr>
          <w:rFonts w:hint="eastAsia"/>
          <w:bCs/>
          <w:sz w:val="24"/>
        </w:rPr>
        <w:t>）处于未上市期间的有价证券应区分如下情况处理：</w:t>
      </w:r>
    </w:p>
    <w:p w:rsidR="004A33FC" w:rsidRDefault="00F25005">
      <w:pPr>
        <w:spacing w:line="520" w:lineRule="atLeast"/>
        <w:ind w:firstLineChars="200" w:firstLine="480"/>
        <w:rPr>
          <w:bCs/>
          <w:sz w:val="24"/>
        </w:rPr>
      </w:pPr>
      <w:r>
        <w:rPr>
          <w:rFonts w:hint="eastAsia"/>
          <w:bCs/>
          <w:sz w:val="24"/>
        </w:rPr>
        <w:t>①送股、转增股、配股和公开增发的新股，按估值日在证券交易所挂牌的同一股票的估值方法估值；该日无交易的，以最近一日的市价（收盘价）估值；</w:t>
      </w:r>
    </w:p>
    <w:p w:rsidR="004A33FC" w:rsidRDefault="00F25005">
      <w:pPr>
        <w:spacing w:line="520" w:lineRule="atLeast"/>
        <w:ind w:firstLineChars="200" w:firstLine="480"/>
        <w:rPr>
          <w:bCs/>
          <w:sz w:val="24"/>
        </w:rPr>
      </w:pPr>
      <w:r>
        <w:rPr>
          <w:rFonts w:hint="eastAsia"/>
          <w:bCs/>
          <w:sz w:val="24"/>
        </w:rPr>
        <w:t>②首次公开发行未上市的股票、债券，采用估值技术确定公允价值；</w:t>
      </w:r>
    </w:p>
    <w:p w:rsidR="004A33FC" w:rsidRDefault="00F25005">
      <w:pPr>
        <w:spacing w:line="520" w:lineRule="atLeast"/>
        <w:ind w:firstLineChars="200" w:firstLine="480"/>
        <w:rPr>
          <w:bCs/>
          <w:sz w:val="24"/>
        </w:rPr>
      </w:pPr>
      <w:r>
        <w:rPr>
          <w:rFonts w:hint="eastAsia"/>
          <w:bCs/>
          <w:sz w:val="24"/>
        </w:rPr>
        <w:t>③在发行时明确一定期限限售期的股票，包括但不限于非公开发行股票、首次公开发行股票时公司股东公开发售股份、通过大宗交易取得的带限售期的股票等，</w:t>
      </w:r>
      <w:r>
        <w:rPr>
          <w:rFonts w:hint="eastAsia"/>
          <w:bCs/>
          <w:sz w:val="24"/>
        </w:rPr>
        <w:lastRenderedPageBreak/>
        <w:t>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rsidR="004A33FC" w:rsidRDefault="00F25005">
      <w:pPr>
        <w:spacing w:line="520" w:lineRule="atLeast"/>
        <w:ind w:firstLineChars="200" w:firstLine="480"/>
        <w:rPr>
          <w:bCs/>
          <w:sz w:val="24"/>
        </w:rPr>
      </w:pPr>
      <w:r>
        <w:rPr>
          <w:bCs/>
          <w:sz w:val="24"/>
        </w:rPr>
        <w:fldChar w:fldCharType="begin"/>
      </w:r>
      <w:r>
        <w:rPr>
          <w:bCs/>
          <w:sz w:val="24"/>
        </w:rPr>
        <w:instrText xml:space="preserve"> </w:instrText>
      </w:r>
      <w:r>
        <w:rPr>
          <w:rFonts w:hint="eastAsia"/>
          <w:bCs/>
          <w:sz w:val="24"/>
        </w:rPr>
        <w:instrText>= 4 \* GB3</w:instrText>
      </w:r>
      <w:r>
        <w:rPr>
          <w:bCs/>
          <w:sz w:val="24"/>
        </w:rPr>
        <w:instrText xml:space="preserve"> </w:instrText>
      </w:r>
      <w:r>
        <w:rPr>
          <w:bCs/>
          <w:sz w:val="24"/>
        </w:rPr>
        <w:fldChar w:fldCharType="separate"/>
      </w:r>
      <w:r>
        <w:rPr>
          <w:rFonts w:hint="eastAsia"/>
          <w:bCs/>
          <w:sz w:val="24"/>
        </w:rPr>
        <w:t>④</w:t>
      </w:r>
      <w:r>
        <w:rPr>
          <w:bCs/>
          <w:sz w:val="24"/>
        </w:rPr>
        <w:fldChar w:fldCharType="end"/>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A33FC" w:rsidRDefault="00F25005">
      <w:pPr>
        <w:spacing w:line="520" w:lineRule="atLeast"/>
        <w:ind w:firstLineChars="200" w:firstLine="480"/>
        <w:rPr>
          <w:bCs/>
          <w:sz w:val="24"/>
        </w:rPr>
      </w:pPr>
      <w:r>
        <w:rPr>
          <w:rFonts w:hint="eastAsia"/>
          <w:bCs/>
          <w:sz w:val="24"/>
        </w:rPr>
        <w:t>（</w:t>
      </w: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A33FC" w:rsidRDefault="00F25005">
      <w:pPr>
        <w:spacing w:line="520" w:lineRule="atLeast"/>
        <w:ind w:firstLineChars="200" w:firstLine="480"/>
        <w:rPr>
          <w:bCs/>
          <w:sz w:val="24"/>
        </w:rPr>
      </w:pPr>
      <w:r>
        <w:rPr>
          <w:rFonts w:hint="eastAsia"/>
          <w:bCs/>
          <w:sz w:val="24"/>
        </w:rPr>
        <w:t>（</w:t>
      </w:r>
      <w:r>
        <w:rPr>
          <w:rFonts w:hint="eastAsia"/>
          <w:bCs/>
          <w:sz w:val="24"/>
        </w:rPr>
        <w:t>4</w:t>
      </w:r>
      <w:r>
        <w:rPr>
          <w:rFonts w:hint="eastAsia"/>
          <w:bCs/>
          <w:sz w:val="24"/>
        </w:rPr>
        <w:t>）同一证券同时在两个或两个以上市场交易的，按证券所处的市场分别估值。</w:t>
      </w:r>
    </w:p>
    <w:p w:rsidR="004A33FC" w:rsidRDefault="00F25005">
      <w:pPr>
        <w:spacing w:line="520" w:lineRule="atLeast"/>
        <w:ind w:firstLineChars="200" w:firstLine="480"/>
        <w:rPr>
          <w:bCs/>
          <w:sz w:val="24"/>
        </w:rPr>
      </w:pPr>
      <w:r>
        <w:rPr>
          <w:rFonts w:hint="eastAsia"/>
          <w:bCs/>
          <w:sz w:val="24"/>
        </w:rPr>
        <w:t>（</w:t>
      </w:r>
      <w:r>
        <w:rPr>
          <w:rFonts w:hint="eastAsia"/>
          <w:bCs/>
          <w:sz w:val="24"/>
        </w:rPr>
        <w:t>5</w:t>
      </w:r>
      <w:r>
        <w:rPr>
          <w:rFonts w:hint="eastAsia"/>
          <w:bCs/>
          <w:sz w:val="24"/>
        </w:rPr>
        <w:t>）本基金投资同业存单，按估值日第三方估值机构提供的价格数据估值；选定的第三方估值机构未提供估值价格的，采用估值技术确定公允价值。</w:t>
      </w:r>
    </w:p>
    <w:p w:rsidR="004A33FC" w:rsidRDefault="00F25005">
      <w:pPr>
        <w:spacing w:line="520" w:lineRule="atLeast"/>
        <w:ind w:firstLineChars="200" w:firstLine="480"/>
        <w:rPr>
          <w:bCs/>
          <w:sz w:val="24"/>
        </w:rPr>
      </w:pPr>
      <w:r>
        <w:rPr>
          <w:rFonts w:hint="eastAsia"/>
          <w:bCs/>
          <w:sz w:val="24"/>
        </w:rPr>
        <w:t>（</w:t>
      </w:r>
      <w:r>
        <w:rPr>
          <w:bCs/>
          <w:sz w:val="24"/>
        </w:rPr>
        <w:t>6</w:t>
      </w:r>
      <w:r>
        <w:rPr>
          <w:rFonts w:hint="eastAsia"/>
          <w:bCs/>
          <w:sz w:val="24"/>
        </w:rPr>
        <w:t>）本基金投资股指期货合约、国债期货合约和股票期权合约，一般以估值当日结算价进行估值，估值当日无结算价的，且最近交易日后经济环境未发生重大变化的，采用最近交易日结算价估值。</w:t>
      </w:r>
    </w:p>
    <w:p w:rsidR="004A33FC" w:rsidRDefault="00F25005">
      <w:pPr>
        <w:spacing w:line="520" w:lineRule="atLeast"/>
        <w:ind w:firstLineChars="200" w:firstLine="480"/>
        <w:rPr>
          <w:bCs/>
          <w:sz w:val="24"/>
        </w:rPr>
      </w:pPr>
      <w:r>
        <w:rPr>
          <w:rFonts w:hint="eastAsia"/>
          <w:bCs/>
          <w:sz w:val="24"/>
        </w:rPr>
        <w:t>（</w:t>
      </w:r>
      <w:r>
        <w:rPr>
          <w:rFonts w:hint="eastAsia"/>
          <w:bCs/>
          <w:sz w:val="24"/>
        </w:rPr>
        <w:t>7</w:t>
      </w:r>
      <w:r>
        <w:rPr>
          <w:rFonts w:hint="eastAsia"/>
          <w:bCs/>
          <w:sz w:val="24"/>
        </w:rPr>
        <w:t>）本基金投资存托凭证的估值核算依照境内上市交易的股票执行。</w:t>
      </w:r>
    </w:p>
    <w:p w:rsidR="004A33FC" w:rsidRDefault="00F25005">
      <w:pPr>
        <w:spacing w:line="520" w:lineRule="atLeast"/>
        <w:ind w:firstLineChars="200" w:firstLine="480"/>
        <w:rPr>
          <w:bCs/>
          <w:sz w:val="24"/>
        </w:rPr>
      </w:pPr>
      <w:r>
        <w:rPr>
          <w:rFonts w:hint="eastAsia"/>
          <w:bCs/>
          <w:sz w:val="24"/>
        </w:rPr>
        <w:t>（</w:t>
      </w:r>
      <w:r>
        <w:rPr>
          <w:rFonts w:hint="eastAsia"/>
          <w:bCs/>
          <w:sz w:val="24"/>
        </w:rPr>
        <w:t>8</w:t>
      </w:r>
      <w:r>
        <w:rPr>
          <w:rFonts w:hint="eastAsia"/>
          <w:bCs/>
          <w:sz w:val="24"/>
        </w:rPr>
        <w:t>）信用衍生品按第三方估值机构提供的当日估值价格进行估值，但基金管理人依法应当承担的估值责任不</w:t>
      </w:r>
      <w:r>
        <w:rPr>
          <w:bCs/>
          <w:sz w:val="24"/>
        </w:rPr>
        <w:t>因</w:t>
      </w:r>
      <w:r>
        <w:rPr>
          <w:rFonts w:hint="eastAsia"/>
          <w:bCs/>
          <w:sz w:val="24"/>
        </w:rPr>
        <w:t>委托而免除；选定的第三方估值机构未提供估值价格的，依照有关法律法规及《企业会计准则》要求采用合理估值技术确定公允价值。</w:t>
      </w:r>
    </w:p>
    <w:p w:rsidR="004A33FC" w:rsidRDefault="00F25005">
      <w:pPr>
        <w:spacing w:line="520" w:lineRule="atLeast"/>
        <w:ind w:firstLineChars="200" w:firstLine="480"/>
        <w:rPr>
          <w:bCs/>
          <w:sz w:val="24"/>
        </w:rPr>
      </w:pPr>
      <w:r>
        <w:rPr>
          <w:rFonts w:hint="eastAsia"/>
          <w:bCs/>
          <w:sz w:val="24"/>
        </w:rPr>
        <w:t>（</w:t>
      </w:r>
      <w:r>
        <w:rPr>
          <w:bCs/>
          <w:sz w:val="24"/>
        </w:rPr>
        <w:t>9</w:t>
      </w:r>
      <w:r>
        <w:rPr>
          <w:rFonts w:hint="eastAsia"/>
          <w:bCs/>
          <w:sz w:val="24"/>
        </w:rPr>
        <w:t>）如有确凿证据表明按上述方法进行估值不能客观反映其公允价值的，基金管理人可根据具体情况与基金托管人商定后，按最能反映公允价值的价格估值。</w:t>
      </w:r>
    </w:p>
    <w:p w:rsidR="004A33FC" w:rsidRDefault="00F25005">
      <w:pPr>
        <w:spacing w:line="520" w:lineRule="atLeast"/>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）当发生大额申购或赎回情形时，基金管理人可以采用摆动定价机制，以</w:t>
      </w:r>
      <w:r>
        <w:rPr>
          <w:rFonts w:hint="eastAsia"/>
          <w:bCs/>
          <w:sz w:val="24"/>
        </w:rPr>
        <w:lastRenderedPageBreak/>
        <w:t>确保基金估值的公平性。</w:t>
      </w:r>
    </w:p>
    <w:p w:rsidR="004A33FC" w:rsidRDefault="00F25005">
      <w:pPr>
        <w:spacing w:line="520" w:lineRule="atLeast"/>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）估值计算中涉及港币对人民币汇率的，将依据下列信息提供机构所提供的汇率为基准：当日中国人民银行公布的人民币与港币的中间价。</w:t>
      </w:r>
    </w:p>
    <w:p w:rsidR="004A33FC" w:rsidRDefault="00F25005">
      <w:pPr>
        <w:spacing w:line="520" w:lineRule="atLeast"/>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A33FC" w:rsidRDefault="00F25005">
      <w:pPr>
        <w:spacing w:line="520" w:lineRule="atLeast"/>
        <w:ind w:firstLineChars="200" w:firstLine="480"/>
        <w:rPr>
          <w:bCs/>
          <w:sz w:val="24"/>
        </w:rPr>
      </w:pPr>
      <w:r>
        <w:rPr>
          <w:rFonts w:hint="eastAsia"/>
          <w:bCs/>
          <w:sz w:val="24"/>
        </w:rPr>
        <w:t>（</w:t>
      </w:r>
      <w:r>
        <w:rPr>
          <w:bCs/>
          <w:sz w:val="24"/>
        </w:rPr>
        <w:t>13</w:t>
      </w:r>
      <w:r>
        <w:rPr>
          <w:rFonts w:hint="eastAsia"/>
          <w:bCs/>
          <w:sz w:val="24"/>
        </w:rPr>
        <w:t>）相关法律法规以及监管部门有强制规定的，从其规定。如有新增事项，按国家最新规定估值。</w:t>
      </w:r>
    </w:p>
    <w:p w:rsidR="004A33FC" w:rsidRDefault="00F25005">
      <w:pPr>
        <w:spacing w:line="520" w:lineRule="atLeast"/>
        <w:ind w:firstLineChars="200" w:firstLine="480"/>
      </w:pPr>
      <w:r>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A33FC" w:rsidRDefault="00F25005">
      <w:pPr>
        <w:pStyle w:val="20"/>
        <w:spacing w:before="0" w:after="0" w:line="520" w:lineRule="atLeast"/>
        <w:ind w:left="0" w:firstLineChars="200" w:firstLine="480"/>
        <w:rPr>
          <w:rFonts w:hAnsi="宋体"/>
          <w:szCs w:val="24"/>
        </w:rPr>
      </w:pPr>
      <w:r>
        <w:rPr>
          <w:rFonts w:hint="eastAsia"/>
          <w:bCs/>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8.3估值差错处理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8.3.1</w:t>
      </w:r>
      <w:r>
        <w:rPr>
          <w:rFonts w:hAnsi="宋体" w:hint="eastAsia"/>
          <w:b/>
          <w:bCs/>
          <w:szCs w:val="24"/>
        </w:rPr>
        <w:t>因基金估值错误给投资人造成损失的应先由基金管理人承担，基金管理人对不应由其承担的责任，有权向过错人追偿。</w:t>
      </w:r>
    </w:p>
    <w:p w:rsidR="004A33FC" w:rsidRDefault="00F25005">
      <w:pPr>
        <w:pStyle w:val="20"/>
        <w:spacing w:before="0" w:after="0" w:line="520" w:lineRule="atLeast"/>
        <w:ind w:left="0" w:firstLineChars="200" w:firstLine="480"/>
        <w:rPr>
          <w:rFonts w:hAnsi="宋体"/>
          <w:szCs w:val="24"/>
        </w:rPr>
      </w:pPr>
      <w:r>
        <w:rPr>
          <w:rFonts w:hAnsi="宋体" w:hint="eastAsia"/>
          <w:szCs w:val="24"/>
        </w:rPr>
        <w:t>8.3.2当基金管理人计算的基金净值信息已由基金托管人复核确认后公告的，由此造成的投资人或基金的损失，应根据法律法规的规定对投资人或基金支付赔偿金，就实际向投资人或基金支付的赔偿金额，由基金管理人与基金托管人按照管理费率和托管费率的比例各自承担相应的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8.3.3由于一方当事人提供的信息错误，另一方当事人在采取了必要合理的措施后仍不能发现该错误，进而导致基金净值计算错误造成投资人或基金的损失，以及由此造成以后交易日基金净值计算顺延错误而引起的投资人或基金的损失，由提供错误信息的当事人一方负责赔偿。</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8.3.</w:t>
      </w:r>
      <w:r>
        <w:rPr>
          <w:rFonts w:hAnsi="宋体"/>
          <w:szCs w:val="24"/>
        </w:rPr>
        <w:t>4</w:t>
      </w:r>
      <w:r>
        <w:rPr>
          <w:rFonts w:hAnsi="宋体" w:hint="eastAsia"/>
          <w:szCs w:val="24"/>
        </w:rPr>
        <w:t>当基金管理人计算的基金净值与基金托管人的计算结果不一致时，相关各方应本着勤勉尽责的态度重新计算核对，</w:t>
      </w:r>
      <w:r>
        <w:rPr>
          <w:rFonts w:hAnsi="宋体" w:hint="eastAsia"/>
          <w:b/>
          <w:bCs/>
          <w:szCs w:val="24"/>
        </w:rPr>
        <w:t>如果最后仍无法达成一致，应以基金管理人的计算结果为准对外公布，由此造成的损失由基金管理人承担赔偿责任，基金托管人不负赔偿责任。</w:t>
      </w:r>
    </w:p>
    <w:p w:rsidR="004A33FC" w:rsidRDefault="00F25005">
      <w:pPr>
        <w:pStyle w:val="20"/>
        <w:spacing w:before="0" w:after="0" w:line="520" w:lineRule="atLeast"/>
        <w:ind w:left="0" w:firstLineChars="200" w:firstLine="480"/>
        <w:rPr>
          <w:rFonts w:hAnsi="宋体"/>
          <w:szCs w:val="24"/>
        </w:rPr>
      </w:pPr>
      <w:r>
        <w:rPr>
          <w:rFonts w:hAnsi="宋体"/>
          <w:szCs w:val="24"/>
        </w:rPr>
        <w:t>8.3.5</w:t>
      </w:r>
      <w:r>
        <w:rPr>
          <w:rFonts w:hAnsi="宋体" w:hint="eastAsia"/>
          <w:szCs w:val="24"/>
        </w:rPr>
        <w:t>基金管理人及基金托管人基金份额净值计算错误偏差达到该类基金份额净值的</w:t>
      </w:r>
      <w:r>
        <w:rPr>
          <w:rFonts w:hAnsi="宋体"/>
          <w:szCs w:val="24"/>
        </w:rPr>
        <w:t>0.25%时，基金管理人应当</w:t>
      </w:r>
      <w:r>
        <w:rPr>
          <w:rFonts w:hAnsi="宋体" w:hint="eastAsia"/>
          <w:szCs w:val="24"/>
        </w:rPr>
        <w:t>通报基金托管人并报中国证监会备案；错误偏差达到该类基金份额净值的0.5%时，基金管理人应当公告，并报中国证监会备案。</w:t>
      </w:r>
    </w:p>
    <w:p w:rsidR="004A33FC" w:rsidRDefault="00F25005">
      <w:pPr>
        <w:pStyle w:val="20"/>
        <w:spacing w:before="0" w:after="0" w:line="520" w:lineRule="atLeast"/>
        <w:ind w:left="0" w:firstLineChars="200" w:firstLine="480"/>
        <w:rPr>
          <w:rFonts w:hAnsi="宋体"/>
          <w:szCs w:val="24"/>
        </w:rPr>
      </w:pPr>
      <w:r>
        <w:rPr>
          <w:rFonts w:hAnsi="宋体" w:hint="eastAsia"/>
          <w:szCs w:val="24"/>
        </w:rPr>
        <w:t>8.4基金账册的建立</w:t>
      </w:r>
    </w:p>
    <w:p w:rsidR="004A33FC" w:rsidRDefault="00F25005">
      <w:pPr>
        <w:pStyle w:val="20"/>
        <w:spacing w:before="0" w:after="0" w:line="520" w:lineRule="atLeast"/>
        <w:ind w:left="0" w:firstLineChars="200" w:firstLine="480"/>
        <w:rPr>
          <w:rFonts w:hAnsi="宋体"/>
          <w:szCs w:val="24"/>
        </w:rPr>
      </w:pPr>
      <w:r>
        <w:rPr>
          <w:rFonts w:hAnsi="宋体" w:hint="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8.5基金定期报告的编制和复核</w:t>
      </w:r>
    </w:p>
    <w:p w:rsidR="004A33FC" w:rsidRDefault="00F25005">
      <w:pPr>
        <w:pStyle w:val="20"/>
        <w:spacing w:before="0" w:after="0" w:line="520" w:lineRule="atLeast"/>
        <w:ind w:left="0" w:firstLineChars="200" w:firstLine="480"/>
        <w:rPr>
          <w:rFonts w:hAnsi="宋体"/>
          <w:szCs w:val="24"/>
        </w:rPr>
      </w:pPr>
      <w:r>
        <w:rPr>
          <w:rFonts w:hAnsi="宋体" w:hint="eastAsia"/>
          <w:szCs w:val="24"/>
        </w:rPr>
        <w:t>8.5.1基金财务报告由基金管理人编制，</w:t>
      </w:r>
      <w:r>
        <w:rPr>
          <w:rFonts w:hAnsi="宋体"/>
          <w:szCs w:val="24"/>
        </w:rPr>
        <w:t>基金托管人</w:t>
      </w:r>
      <w:r>
        <w:rPr>
          <w:rFonts w:hAnsi="宋体" w:hint="eastAsia"/>
          <w:szCs w:val="24"/>
        </w:rPr>
        <w:t>复核。月度报告的编制，应于每月终了后5个工作日内完成。</w:t>
      </w:r>
    </w:p>
    <w:p w:rsidR="004A33FC" w:rsidRDefault="00F25005">
      <w:pPr>
        <w:pStyle w:val="20"/>
        <w:spacing w:before="0" w:after="0" w:line="520" w:lineRule="atLeast"/>
        <w:ind w:left="0" w:firstLineChars="200" w:firstLine="480"/>
        <w:rPr>
          <w:rFonts w:hAnsi="宋体"/>
          <w:szCs w:val="24"/>
        </w:rPr>
      </w:pPr>
      <w:r>
        <w:rPr>
          <w:rFonts w:hAnsi="宋体" w:hint="eastAsia"/>
          <w:szCs w:val="24"/>
        </w:rPr>
        <w:t>8.5.2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rsidR="004A33FC" w:rsidRDefault="00F25005">
      <w:pPr>
        <w:pStyle w:val="20"/>
        <w:spacing w:before="0" w:after="0" w:line="520" w:lineRule="atLeast"/>
        <w:ind w:left="0" w:firstLineChars="200" w:firstLine="480"/>
        <w:rPr>
          <w:rFonts w:hAnsi="宋体"/>
          <w:szCs w:val="24"/>
        </w:rPr>
      </w:pPr>
      <w:bookmarkStart w:id="31" w:name="_DV_C270"/>
      <w:r>
        <w:rPr>
          <w:rFonts w:hAnsi="宋体" w:hint="eastAsia"/>
          <w:szCs w:val="24"/>
        </w:rPr>
        <w:t>8.5.</w:t>
      </w:r>
      <w:r>
        <w:rPr>
          <w:rFonts w:hAnsi="宋体"/>
          <w:szCs w:val="24"/>
        </w:rPr>
        <w:t>4</w:t>
      </w:r>
      <w:r>
        <w:rPr>
          <w:rFonts w:hAnsi="宋体" w:hint="eastAsia"/>
          <w:szCs w:val="24"/>
        </w:rPr>
        <w:t>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31"/>
      <w:r>
        <w:rPr>
          <w:rFonts w:hAnsi="宋体" w:hint="eastAsia"/>
          <w:szCs w:val="24"/>
        </w:rPr>
        <w:t>复核。基金托管人在复核过程中，发现双方的数据、</w:t>
      </w:r>
      <w:r>
        <w:rPr>
          <w:rFonts w:hAnsi="宋体"/>
          <w:szCs w:val="24"/>
        </w:rPr>
        <w:t>信息</w:t>
      </w:r>
      <w:r>
        <w:rPr>
          <w:rFonts w:hAnsi="宋体" w:hint="eastAsia"/>
          <w:szCs w:val="24"/>
        </w:rPr>
        <w:t>存在不符时，基金管理人和基金托管人应共同查明原因，进行调整，调整以国家有关规定为准。</w:t>
      </w:r>
    </w:p>
    <w:p w:rsidR="004A33FC" w:rsidRDefault="00F25005">
      <w:pPr>
        <w:pStyle w:val="20"/>
        <w:spacing w:before="0" w:after="0" w:line="520" w:lineRule="atLeast"/>
        <w:ind w:left="0" w:firstLineChars="200" w:firstLine="480"/>
        <w:rPr>
          <w:rFonts w:hAnsi="宋体"/>
          <w:szCs w:val="24"/>
        </w:rPr>
      </w:pPr>
      <w:r>
        <w:rPr>
          <w:rFonts w:hAnsi="宋体" w:hint="eastAsia"/>
          <w:szCs w:val="24"/>
        </w:rPr>
        <w:t>8.5.</w:t>
      </w:r>
      <w:r>
        <w:rPr>
          <w:rFonts w:hAnsi="宋体"/>
          <w:szCs w:val="24"/>
        </w:rPr>
        <w:t>5</w:t>
      </w:r>
      <w:r>
        <w:rPr>
          <w:rFonts w:hAnsi="宋体" w:hint="eastAsia"/>
          <w:szCs w:val="24"/>
        </w:rPr>
        <w:t>基金托管人在对财务会计报告、季度报告、中期报告或年度报告复核完毕后，需盖章确认或出具相应的复核确认书或进行电子确认，以</w:t>
      </w:r>
      <w:proofErr w:type="gramStart"/>
      <w:r>
        <w:rPr>
          <w:rFonts w:hAnsi="宋体" w:hint="eastAsia"/>
          <w:szCs w:val="24"/>
        </w:rPr>
        <w:t>备有权</w:t>
      </w:r>
      <w:proofErr w:type="gramEnd"/>
      <w:r>
        <w:rPr>
          <w:rFonts w:hAnsi="宋体" w:hint="eastAsia"/>
          <w:szCs w:val="24"/>
        </w:rPr>
        <w:t>机构对相关文件审核时提示。</w:t>
      </w:r>
    </w:p>
    <w:p w:rsidR="004A33FC" w:rsidRDefault="00F25005">
      <w:pPr>
        <w:pStyle w:val="20"/>
        <w:spacing w:before="0" w:after="0" w:line="520" w:lineRule="atLeast"/>
        <w:ind w:left="0" w:firstLineChars="200" w:firstLine="480"/>
        <w:rPr>
          <w:rFonts w:hAnsi="宋体"/>
          <w:szCs w:val="24"/>
        </w:rPr>
      </w:pPr>
      <w:r>
        <w:rPr>
          <w:rFonts w:hAnsi="宋体" w:hint="eastAsia"/>
          <w:szCs w:val="24"/>
        </w:rPr>
        <w:t>8.6暂停估值的情形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（1）基金投资所涉及的证券、期货交易市场或外汇市场遇法定节假日或因其他原因暂停营业时；</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（2）因不可抗力致使基金管理人、基金托管人无法准确评估基金资产价值时；</w:t>
      </w:r>
    </w:p>
    <w:p w:rsidR="004A33FC" w:rsidRDefault="00F25005">
      <w:pPr>
        <w:pStyle w:val="20"/>
        <w:spacing w:before="0" w:after="0" w:line="520" w:lineRule="atLeast"/>
        <w:ind w:left="0" w:firstLineChars="200" w:firstLine="480"/>
        <w:rPr>
          <w:bCs/>
        </w:rPr>
      </w:pPr>
      <w:r>
        <w:rPr>
          <w:rFonts w:hint="eastAsia"/>
          <w:bCs/>
        </w:rPr>
        <w:t>（3）当特定资产占前一估值日基金资产净值50%以上的，经与基金托管人协商确认后，基金管理人应当暂停估值；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（4）法律法规规定、中国证监会和基金合同认定的其他情形。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8.7特殊情况的处理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（1）基金管理人或基金托管人按估值方法的第（9）项进行估值时，所造成的误差不作为基金资产估值错误处理。</w:t>
      </w:r>
    </w:p>
    <w:p w:rsidR="004A33FC" w:rsidRDefault="00F25005">
      <w:pPr>
        <w:pStyle w:val="20"/>
        <w:spacing w:before="0" w:after="0" w:line="520" w:lineRule="atLeast"/>
        <w:ind w:left="0" w:firstLineChars="200" w:firstLine="480"/>
        <w:rPr>
          <w:rFonts w:hAnsi="宋体"/>
          <w:szCs w:val="24"/>
        </w:rPr>
      </w:pPr>
      <w:r>
        <w:rPr>
          <w:rFonts w:hAnsi="宋体" w:hint="eastAsia"/>
          <w:szCs w:val="24"/>
        </w:rPr>
        <w:t>（2）由于不可抗力，或证券交易所、期货交易所、登记结算机构、存款银行及证券经纪机构等第三方机构发送的数据错误等</w:t>
      </w:r>
      <w:proofErr w:type="gramStart"/>
      <w:r>
        <w:rPr>
          <w:rFonts w:hAnsi="宋体" w:hint="eastAsia"/>
          <w:szCs w:val="24"/>
        </w:rPr>
        <w:t>非基金</w:t>
      </w:r>
      <w:proofErr w:type="gramEnd"/>
      <w:r>
        <w:rPr>
          <w:rFonts w:hAnsi="宋体" w:hint="eastAsia"/>
          <w:szCs w:val="24"/>
        </w:rPr>
        <w:t>管理人与基金托管人原因，基金管理人和基金托管人虽然已经采取必要、适当、合理的措施进行检查，但未能发现该错误的，由此造成的基金资产估值错误，基金管理人和基金托管人免除赔偿</w:t>
      </w:r>
      <w:r>
        <w:rPr>
          <w:rFonts w:hAnsi="宋体" w:hint="eastAsia"/>
          <w:szCs w:val="24"/>
        </w:rPr>
        <w:lastRenderedPageBreak/>
        <w:t>责任。但基金管理人、基金托管人应当积极采取必要的措施减轻或消除由此造成的影响。</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（3）对于因税收规定调整或其他原因导致基金实际交纳税金与基金按照权责发生制进行估值的应交税金有差异的，相关估值调整不作为基金资产估值错误处理。</w:t>
      </w:r>
    </w:p>
    <w:p w:rsidR="004A33FC" w:rsidRDefault="00F25005">
      <w:pPr>
        <w:pStyle w:val="1"/>
        <w:spacing w:line="520" w:lineRule="atLeast"/>
        <w:ind w:firstLineChars="200" w:firstLine="482"/>
        <w:rPr>
          <w:bCs/>
          <w:color w:val="auto"/>
          <w:szCs w:val="24"/>
        </w:rPr>
      </w:pPr>
      <w:bookmarkStart w:id="32" w:name="_Toc44321732"/>
      <w:bookmarkStart w:id="33" w:name="_Toc296551345"/>
      <w:r>
        <w:rPr>
          <w:rFonts w:hint="eastAsia"/>
          <w:bCs/>
          <w:color w:val="auto"/>
          <w:szCs w:val="24"/>
        </w:rPr>
        <w:t>第九条 基金收益分配</w:t>
      </w:r>
      <w:bookmarkEnd w:id="32"/>
      <w:bookmarkEnd w:id="33"/>
    </w:p>
    <w:p w:rsidR="004A33FC" w:rsidRDefault="00F25005">
      <w:pPr>
        <w:pStyle w:val="20"/>
        <w:spacing w:before="0" w:after="0" w:line="520" w:lineRule="atLeast"/>
        <w:ind w:left="0" w:firstLineChars="200" w:firstLine="480"/>
        <w:rPr>
          <w:rFonts w:hAnsi="宋体"/>
          <w:szCs w:val="24"/>
        </w:rPr>
      </w:pPr>
      <w:r>
        <w:rPr>
          <w:rFonts w:hAnsi="宋体" w:hint="eastAsia"/>
          <w:szCs w:val="24"/>
        </w:rPr>
        <w:t>9.1基金利润的构成</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基金利润指基金利息收入、投资收益、公允价值变动收益和其他收入扣除相关费用后的余额；基金已实现收益指基金利润减去公允价值变动收益后的余额。</w:t>
      </w:r>
    </w:p>
    <w:p w:rsidR="004A33FC" w:rsidRDefault="00F25005">
      <w:pPr>
        <w:pStyle w:val="20"/>
        <w:spacing w:before="0" w:after="0" w:line="520" w:lineRule="atLeast"/>
        <w:ind w:left="0" w:firstLineChars="200" w:firstLine="480"/>
        <w:rPr>
          <w:rFonts w:hAnsi="宋体"/>
          <w:szCs w:val="24"/>
        </w:rPr>
      </w:pPr>
      <w:r>
        <w:rPr>
          <w:rFonts w:hAnsi="宋体" w:hint="eastAsia"/>
          <w:szCs w:val="24"/>
        </w:rPr>
        <w:t>9.2基金可供分配利润</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基金可供分配利润指截至收益分配基准日基金未分配利润与未分配利润中已实现收益的孰低数。</w:t>
      </w:r>
    </w:p>
    <w:p w:rsidR="004A33FC" w:rsidRDefault="00F25005">
      <w:pPr>
        <w:pStyle w:val="20"/>
        <w:spacing w:before="0" w:after="0" w:line="520" w:lineRule="atLeast"/>
        <w:ind w:left="0" w:firstLineChars="200" w:firstLine="480"/>
        <w:rPr>
          <w:rFonts w:hAnsi="宋体"/>
          <w:szCs w:val="24"/>
        </w:rPr>
      </w:pPr>
      <w:r>
        <w:rPr>
          <w:rFonts w:hAnsi="宋体" w:hint="eastAsia"/>
          <w:szCs w:val="24"/>
        </w:rPr>
        <w:t>9.3收益分配原则</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1</w:t>
      </w:r>
      <w:r>
        <w:rPr>
          <w:rFonts w:hint="eastAsia"/>
          <w:bCs/>
          <w:sz w:val="24"/>
          <w:szCs w:val="24"/>
        </w:rPr>
        <w:t>）在符合有关基金分红条件的前提下，基金管理人可对本基金进行基金分红；</w:t>
      </w:r>
      <w:proofErr w:type="gramStart"/>
      <w:r>
        <w:rPr>
          <w:rFonts w:hint="eastAsia"/>
          <w:bCs/>
          <w:sz w:val="24"/>
          <w:szCs w:val="24"/>
        </w:rPr>
        <w:t>若基金</w:t>
      </w:r>
      <w:proofErr w:type="gramEnd"/>
      <w:r>
        <w:rPr>
          <w:rFonts w:hint="eastAsia"/>
          <w:bCs/>
          <w:sz w:val="24"/>
          <w:szCs w:val="24"/>
        </w:rPr>
        <w:t>合同生效不满</w:t>
      </w:r>
      <w:r>
        <w:rPr>
          <w:rFonts w:hint="eastAsia"/>
          <w:bCs/>
          <w:sz w:val="24"/>
          <w:szCs w:val="24"/>
        </w:rPr>
        <w:t>3</w:t>
      </w:r>
      <w:r>
        <w:rPr>
          <w:rFonts w:hint="eastAsia"/>
          <w:bCs/>
          <w:sz w:val="24"/>
          <w:szCs w:val="24"/>
        </w:rPr>
        <w:t>个月，本基金可不进行收益分配；</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2</w:t>
      </w:r>
      <w:r>
        <w:rPr>
          <w:rFonts w:hint="eastAsia"/>
          <w:bCs/>
          <w:sz w:val="24"/>
          <w:szCs w:val="24"/>
        </w:rPr>
        <w:t>）本基金收益分配方式分两种：现金分红与红利再投资，投资者可选择现金红利或将现金红利自动转为相应类别的基金份额进行再投资；若投资者不选择，本基金默认的收益分配方式是现金分红；</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3</w:t>
      </w:r>
      <w:r>
        <w:rPr>
          <w:rFonts w:hint="eastAsia"/>
          <w:bCs/>
          <w:sz w:val="24"/>
          <w:szCs w:val="24"/>
        </w:rPr>
        <w:t>）基金收益分配后各类基金份额净值不能低于面值；即基金收益分配基准日的各类基金份额净值减去每单位该类基金份额收益分配金额后不能低于面值；</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4</w:t>
      </w:r>
      <w:r>
        <w:rPr>
          <w:rFonts w:hint="eastAsia"/>
          <w:bCs/>
          <w:sz w:val="24"/>
          <w:szCs w:val="24"/>
        </w:rPr>
        <w:t>）本基金同一类别的每一基金份额享有同等分配权，由于本基金</w:t>
      </w:r>
      <w:r>
        <w:rPr>
          <w:rFonts w:hint="eastAsia"/>
          <w:bCs/>
          <w:sz w:val="24"/>
          <w:szCs w:val="24"/>
        </w:rPr>
        <w:t>A</w:t>
      </w:r>
      <w:r>
        <w:rPr>
          <w:rFonts w:hint="eastAsia"/>
          <w:bCs/>
          <w:sz w:val="24"/>
          <w:szCs w:val="24"/>
        </w:rPr>
        <w:t>类基金份额不收取销售服务费，</w:t>
      </w:r>
      <w:r>
        <w:rPr>
          <w:rFonts w:hint="eastAsia"/>
          <w:bCs/>
          <w:sz w:val="24"/>
          <w:szCs w:val="24"/>
        </w:rPr>
        <w:t>C</w:t>
      </w:r>
      <w:r>
        <w:rPr>
          <w:rFonts w:hint="eastAsia"/>
          <w:bCs/>
          <w:sz w:val="24"/>
          <w:szCs w:val="24"/>
        </w:rPr>
        <w:t>类基金份额收取销售服务费，各基金份额类别对应的可供分配利润将有所不同；</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5</w:t>
      </w:r>
      <w:r>
        <w:rPr>
          <w:rFonts w:hint="eastAsia"/>
          <w:bCs/>
          <w:sz w:val="24"/>
          <w:szCs w:val="24"/>
        </w:rPr>
        <w:t>）对于收益分配方式为红利再投资的基金份额，每份基金份额（原份额）所获得的红利再投资份额的持有期限，</w:t>
      </w:r>
      <w:proofErr w:type="gramStart"/>
      <w:r>
        <w:rPr>
          <w:rFonts w:hint="eastAsia"/>
          <w:bCs/>
          <w:sz w:val="24"/>
          <w:szCs w:val="24"/>
        </w:rPr>
        <w:t>按该原份额</w:t>
      </w:r>
      <w:proofErr w:type="gramEnd"/>
      <w:r>
        <w:rPr>
          <w:rFonts w:hint="eastAsia"/>
          <w:bCs/>
          <w:sz w:val="24"/>
          <w:szCs w:val="24"/>
        </w:rPr>
        <w:t>的持有期限计算，即与原份额最短持有期到期日相同；</w:t>
      </w:r>
    </w:p>
    <w:p w:rsidR="004A33FC" w:rsidRDefault="00F25005">
      <w:pPr>
        <w:spacing w:line="520" w:lineRule="atLeast"/>
        <w:ind w:firstLineChars="225" w:firstLine="540"/>
        <w:rPr>
          <w:bCs/>
          <w:sz w:val="24"/>
          <w:szCs w:val="24"/>
        </w:rPr>
      </w:pPr>
      <w:r>
        <w:rPr>
          <w:rFonts w:hint="eastAsia"/>
          <w:bCs/>
          <w:sz w:val="24"/>
          <w:szCs w:val="24"/>
        </w:rPr>
        <w:t>（</w:t>
      </w:r>
      <w:r>
        <w:rPr>
          <w:rFonts w:hint="eastAsia"/>
          <w:bCs/>
          <w:sz w:val="24"/>
          <w:szCs w:val="24"/>
        </w:rPr>
        <w:t>6</w:t>
      </w:r>
      <w:r>
        <w:rPr>
          <w:rFonts w:hint="eastAsia"/>
          <w:bCs/>
          <w:sz w:val="24"/>
          <w:szCs w:val="24"/>
        </w:rPr>
        <w:t>）法律法规或监管机关另有规定的，从其规定。</w:t>
      </w:r>
    </w:p>
    <w:p w:rsidR="004A33FC" w:rsidRDefault="00F25005">
      <w:pPr>
        <w:spacing w:line="520" w:lineRule="atLeast"/>
        <w:ind w:firstLineChars="225" w:firstLine="540"/>
        <w:rPr>
          <w:bCs/>
          <w:sz w:val="24"/>
          <w:szCs w:val="24"/>
        </w:rPr>
      </w:pPr>
      <w:r>
        <w:rPr>
          <w:rFonts w:hint="eastAsia"/>
          <w:bCs/>
          <w:sz w:val="24"/>
          <w:szCs w:val="24"/>
        </w:rPr>
        <w:t>在遵守法律法规和监管部门的规定，且对基金份额持有人利益无实质性不利影响的前提下，基金管理人在与基金托管人协商一致并按照监管部门要求履行适当</w:t>
      </w:r>
      <w:r>
        <w:rPr>
          <w:rFonts w:hint="eastAsia"/>
          <w:bCs/>
          <w:sz w:val="24"/>
          <w:szCs w:val="24"/>
        </w:rPr>
        <w:lastRenderedPageBreak/>
        <w:t>程序后可对基金收益分配原则和支付方式进行调整，不需召开基金份额持有人大会，但应于变更实施日前在规定媒介公告。</w:t>
      </w:r>
    </w:p>
    <w:p w:rsidR="004A33FC" w:rsidRDefault="00F25005">
      <w:pPr>
        <w:spacing w:line="520" w:lineRule="atLeast"/>
        <w:ind w:firstLineChars="225" w:firstLine="540"/>
        <w:rPr>
          <w:bCs/>
          <w:sz w:val="24"/>
        </w:rPr>
      </w:pPr>
      <w:r>
        <w:rPr>
          <w:rFonts w:hint="eastAsia"/>
          <w:bCs/>
          <w:sz w:val="24"/>
          <w:szCs w:val="24"/>
        </w:rPr>
        <w:t>本基金每次收益分配比例详见届时基金管理人发布的公告。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9.4收益分配方案</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基金收益分配方案中应载明截止收益分配基准日的可供分配利润、基金收益分配对象、分配时间、分配数额及比例、分配方式等内容。</w:t>
      </w:r>
    </w:p>
    <w:p w:rsidR="004A33FC" w:rsidRDefault="00F25005">
      <w:pPr>
        <w:pStyle w:val="20"/>
        <w:spacing w:before="0" w:after="0" w:line="520" w:lineRule="atLeast"/>
        <w:ind w:left="0" w:firstLineChars="200" w:firstLine="480"/>
        <w:rPr>
          <w:rFonts w:hAnsi="宋体"/>
          <w:szCs w:val="24"/>
        </w:rPr>
      </w:pPr>
      <w:r>
        <w:rPr>
          <w:rFonts w:hAnsi="宋体" w:hint="eastAsia"/>
          <w:szCs w:val="24"/>
        </w:rPr>
        <w:t>9.5收益分配的时间和程序</w:t>
      </w:r>
    </w:p>
    <w:p w:rsidR="004A33FC" w:rsidRDefault="00F25005">
      <w:pPr>
        <w:pStyle w:val="20"/>
        <w:spacing w:before="0" w:after="0" w:line="520" w:lineRule="atLeast"/>
        <w:ind w:left="0" w:firstLineChars="200" w:firstLine="480"/>
        <w:rPr>
          <w:bCs/>
        </w:rPr>
      </w:pPr>
      <w:r>
        <w:rPr>
          <w:rFonts w:hAnsi="宋体" w:hint="eastAsia"/>
          <w:szCs w:val="24"/>
        </w:rPr>
        <w:t>9.5.1本基金收益分配方案由基金管理人拟定，并由基金托管人复核，按照《信息披露办法》的有关规定在规定媒介公告。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9.5.2在收益分配方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rsidR="004A33FC" w:rsidRDefault="00F25005">
      <w:pPr>
        <w:pStyle w:val="20"/>
        <w:spacing w:before="0" w:after="0" w:line="520" w:lineRule="atLeast"/>
        <w:ind w:left="0" w:firstLineChars="200" w:firstLine="480"/>
        <w:rPr>
          <w:rFonts w:hAnsi="宋体"/>
          <w:szCs w:val="24"/>
        </w:rPr>
      </w:pPr>
      <w:r>
        <w:rPr>
          <w:rFonts w:hAnsi="宋体" w:hint="eastAsia"/>
          <w:szCs w:val="24"/>
        </w:rPr>
        <w:t>9.5.3法律法规或监管机关另有规定的，从其规定。</w:t>
      </w:r>
    </w:p>
    <w:p w:rsidR="004A33FC" w:rsidRDefault="00F25005">
      <w:pPr>
        <w:pStyle w:val="1"/>
        <w:spacing w:line="520" w:lineRule="atLeast"/>
        <w:ind w:firstLineChars="200" w:firstLine="482"/>
        <w:rPr>
          <w:bCs/>
          <w:color w:val="auto"/>
          <w:szCs w:val="24"/>
        </w:rPr>
      </w:pPr>
      <w:bookmarkStart w:id="34" w:name="_Toc44321733"/>
      <w:bookmarkStart w:id="35" w:name="_Toc296551346"/>
      <w:r>
        <w:rPr>
          <w:rFonts w:hint="eastAsia"/>
          <w:bCs/>
          <w:color w:val="auto"/>
          <w:szCs w:val="24"/>
        </w:rPr>
        <w:t>第十条 信息披露</w:t>
      </w:r>
      <w:bookmarkEnd w:id="34"/>
      <w:bookmarkEnd w:id="35"/>
    </w:p>
    <w:p w:rsidR="004A33FC" w:rsidRDefault="00F25005">
      <w:pPr>
        <w:pStyle w:val="20"/>
        <w:spacing w:before="0" w:after="0" w:line="520" w:lineRule="atLeast"/>
        <w:ind w:left="0" w:firstLineChars="200" w:firstLine="480"/>
        <w:rPr>
          <w:rFonts w:hAnsi="宋体"/>
          <w:szCs w:val="24"/>
        </w:rPr>
      </w:pPr>
      <w:r>
        <w:rPr>
          <w:rFonts w:hAnsi="宋体" w:hint="eastAsia"/>
          <w:szCs w:val="24"/>
        </w:rPr>
        <w:t>10.1保密义务</w:t>
      </w:r>
    </w:p>
    <w:p w:rsidR="004A33FC" w:rsidRDefault="00F25005">
      <w:pPr>
        <w:pStyle w:val="20"/>
        <w:spacing w:before="0" w:after="0" w:line="520" w:lineRule="atLeast"/>
        <w:ind w:left="0" w:firstLineChars="200" w:firstLine="480"/>
        <w:rPr>
          <w:rFonts w:hAnsi="宋体"/>
          <w:szCs w:val="24"/>
        </w:rPr>
      </w:pPr>
      <w:r>
        <w:rPr>
          <w:rFonts w:hAnsi="宋体" w:hint="eastAsia"/>
          <w:szCs w:val="24"/>
        </w:rPr>
        <w:t>除按照《基金法》、《信息披露办法》、《流动性</w:t>
      </w:r>
      <w:r>
        <w:rPr>
          <w:rFonts w:hAnsi="宋体"/>
          <w:szCs w:val="24"/>
        </w:rPr>
        <w:t>风险管理规定</w:t>
      </w:r>
      <w:r>
        <w:rPr>
          <w:rFonts w:hAnsi="宋体" w:hint="eastAsia"/>
          <w:szCs w:val="24"/>
        </w:rPr>
        <w:t>》、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4A33FC" w:rsidRDefault="00F25005">
      <w:pPr>
        <w:pStyle w:val="20"/>
        <w:spacing w:before="0" w:after="0" w:line="520" w:lineRule="atLeast"/>
        <w:ind w:left="0" w:firstLineChars="200" w:firstLine="480"/>
        <w:rPr>
          <w:rFonts w:hAnsi="宋体"/>
          <w:szCs w:val="24"/>
        </w:rPr>
      </w:pPr>
      <w:r>
        <w:rPr>
          <w:rFonts w:hAnsi="宋体" w:hint="eastAsia"/>
          <w:szCs w:val="24"/>
        </w:rPr>
        <w:t>（1）非因基金管理人和基金托管人的原因导致保密信息被披露、泄露或公开；</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（2）基金管理人和基金托管人为遵守和服从法院判决或裁定、仲裁裁决或中国证监会等监管机构的命令、决定所做出的信息披露或公开。</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10.2基金管理人和基金托管人在信息披露中的职责和信息披露程序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10.2.1基金管理人和基金托管人应根据相关法律法规、基金合同的规定各自承担相应的信息披露职责。基金管理人和基金托管人负有积极配合、互相督促、彼</w:t>
      </w:r>
      <w:r>
        <w:rPr>
          <w:rFonts w:hAnsi="宋体" w:hint="eastAsia"/>
          <w:szCs w:val="24"/>
        </w:rPr>
        <w:lastRenderedPageBreak/>
        <w:t>此监督、保证其履行按照法定方式和时限披露的义务。</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10.2.2本基金信息披露的文件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清算报告、基金份额持有人大会决议、实施</w:t>
      </w:r>
      <w:proofErr w:type="gramStart"/>
      <w:r>
        <w:rPr>
          <w:rFonts w:hAnsi="宋体" w:hint="eastAsia"/>
          <w:szCs w:val="24"/>
        </w:rPr>
        <w:t>侧袋机制</w:t>
      </w:r>
      <w:proofErr w:type="gramEnd"/>
      <w:r>
        <w:rPr>
          <w:rFonts w:hAnsi="宋体" w:hint="eastAsia"/>
          <w:szCs w:val="24"/>
        </w:rPr>
        <w:t>期间的信息披露、投资资产支持证券、股指期货、国债期货和股票期权的信息披露、参与港股</w:t>
      </w:r>
      <w:proofErr w:type="gramStart"/>
      <w:r>
        <w:rPr>
          <w:rFonts w:hAnsi="宋体" w:hint="eastAsia"/>
          <w:szCs w:val="24"/>
        </w:rPr>
        <w:t>通交易</w:t>
      </w:r>
      <w:proofErr w:type="gramEnd"/>
      <w:r>
        <w:rPr>
          <w:rFonts w:hAnsi="宋体" w:hint="eastAsia"/>
          <w:szCs w:val="24"/>
        </w:rPr>
        <w:t>的信息披露、投资存托凭证的信息披露、投资信用衍生品的信息披露以及中国证监会规定的其他信息。</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10.2.3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基金托管人应当同时将基金合同、基金托管协议登载在规定网站上。</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4</w:t>
      </w:r>
      <w:r>
        <w:rPr>
          <w:rFonts w:hAnsi="宋体" w:hint="eastAsia"/>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rsidR="004A33FC" w:rsidRDefault="00F25005">
      <w:pPr>
        <w:pStyle w:val="20"/>
        <w:spacing w:before="0" w:after="0" w:line="520" w:lineRule="atLeast"/>
        <w:ind w:left="0" w:firstLineChars="200" w:firstLine="480"/>
        <w:rPr>
          <w:rFonts w:hAnsi="宋体"/>
          <w:szCs w:val="24"/>
        </w:rPr>
      </w:pPr>
      <w:r>
        <w:rPr>
          <w:rFonts w:hAnsi="宋体"/>
          <w:szCs w:val="24"/>
        </w:rPr>
        <w:t>10.2.5</w:t>
      </w:r>
      <w:r>
        <w:rPr>
          <w:rFonts w:hAnsi="宋体" w:hint="eastAsia"/>
          <w:szCs w:val="24"/>
        </w:rPr>
        <w:t>基金年度</w:t>
      </w:r>
      <w:r>
        <w:rPr>
          <w:rFonts w:hAnsi="宋体"/>
          <w:szCs w:val="24"/>
        </w:rPr>
        <w:t>报</w:t>
      </w:r>
      <w:r>
        <w:rPr>
          <w:rFonts w:hAnsi="宋体" w:hint="eastAsia"/>
          <w:szCs w:val="24"/>
        </w:rPr>
        <w:t>告中的财务报告部分，</w:t>
      </w:r>
      <w:proofErr w:type="gramStart"/>
      <w:r>
        <w:rPr>
          <w:rFonts w:hAnsi="宋体" w:hint="eastAsia"/>
          <w:szCs w:val="24"/>
        </w:rPr>
        <w:t>经符合</w:t>
      </w:r>
      <w:proofErr w:type="gramEnd"/>
      <w:r>
        <w:rPr>
          <w:rFonts w:hAnsi="宋体" w:hint="eastAsia"/>
          <w:szCs w:val="24"/>
        </w:rPr>
        <w:t>《中华人民共和国证券法》规定的会计师事务所审计后，方可披露。</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6</w:t>
      </w:r>
      <w:r>
        <w:rPr>
          <w:rFonts w:hAnsi="宋体" w:hint="eastAsia"/>
          <w:szCs w:val="24"/>
        </w:rPr>
        <w:t>基金管理人应当在中国证监会规定的时间内，将应予披露的基金信息通过基金管理人网站和中国证监会规定媒介披露。根据法律法规应由基金托管人公开披露的信息，基金托管人将通过中国证监会规定媒介公开披露。</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7</w:t>
      </w:r>
      <w:r>
        <w:rPr>
          <w:rFonts w:hAnsi="宋体" w:hint="eastAsia"/>
          <w:szCs w:val="24"/>
        </w:rPr>
        <w:t>予以披露的信息文本，存放在基金管理人和基金托管人处，投资人可以免费查阅。在支付工本费后可在合理时间获得上述文件的复制件或复印件。基金管理人和基金托管人应保证文本的内容与所公告的内容完全一致。</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10.3暂停或延迟信息披露的情形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（1）基金投资所涉及的证券、期货交易市场或外汇市场遇法定节假日或因其他原因暂停交易时；</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（2）因不可抗力致使基金管理人、基金托管人无法准确评估基金资产价值或无法进行信息披露时；</w:t>
      </w:r>
    </w:p>
    <w:p w:rsidR="004A33FC" w:rsidRDefault="00F25005">
      <w:pPr>
        <w:pStyle w:val="20"/>
        <w:spacing w:before="0" w:after="0" w:line="520" w:lineRule="atLeast"/>
        <w:ind w:left="0" w:firstLineChars="200" w:firstLine="480"/>
        <w:rPr>
          <w:rFonts w:hAnsi="宋体"/>
          <w:szCs w:val="24"/>
        </w:rPr>
      </w:pPr>
      <w:r>
        <w:rPr>
          <w:rFonts w:hAnsi="宋体" w:hint="eastAsia"/>
          <w:szCs w:val="24"/>
        </w:rPr>
        <w:t>（3）</w:t>
      </w:r>
      <w:r>
        <w:rPr>
          <w:rFonts w:hint="eastAsia"/>
          <w:bCs/>
        </w:rPr>
        <w:t>当特定资产占前一估值日基金资产净值50%以上的，经与基金托管人协商确认后暂停估值的；</w:t>
      </w:r>
    </w:p>
    <w:p w:rsidR="004A33FC" w:rsidRDefault="00F25005">
      <w:pPr>
        <w:pStyle w:val="20"/>
        <w:spacing w:before="0" w:after="0" w:line="520" w:lineRule="atLeast"/>
        <w:ind w:left="0" w:firstLineChars="200" w:firstLine="480"/>
        <w:rPr>
          <w:rFonts w:hAnsi="宋体"/>
          <w:szCs w:val="24"/>
        </w:rPr>
      </w:pPr>
      <w:r>
        <w:rPr>
          <w:rFonts w:hAnsi="宋体" w:hint="eastAsia"/>
          <w:szCs w:val="24"/>
        </w:rPr>
        <w:t>（4）法律法规、</w:t>
      </w:r>
      <w:r>
        <w:rPr>
          <w:rFonts w:hAnsi="宋体" w:hint="eastAsia"/>
        </w:rPr>
        <w:t>基金合同或</w:t>
      </w:r>
      <w:r>
        <w:rPr>
          <w:rFonts w:hAnsi="宋体" w:hint="eastAsia"/>
          <w:szCs w:val="24"/>
        </w:rPr>
        <w:t>中国证监会规定的情况。</w:t>
      </w:r>
    </w:p>
    <w:p w:rsidR="004A33FC" w:rsidRDefault="00F25005">
      <w:pPr>
        <w:pStyle w:val="20"/>
        <w:spacing w:before="0" w:after="0" w:line="520" w:lineRule="atLeast"/>
        <w:ind w:left="0" w:firstLineChars="200" w:firstLine="480"/>
        <w:rPr>
          <w:rFonts w:hAnsi="宋体"/>
          <w:szCs w:val="24"/>
        </w:rPr>
      </w:pPr>
      <w:r>
        <w:rPr>
          <w:rFonts w:hAnsi="宋体" w:hint="eastAsia"/>
          <w:szCs w:val="24"/>
        </w:rPr>
        <w:t>10.4基金托管人报告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基金托管人应按《基金法》、《运作办法》、《信息披露办法》和其他有关法律法规的规定于每个上半年度结束后两个</w:t>
      </w:r>
      <w:r>
        <w:rPr>
          <w:rFonts w:hAnsi="宋体"/>
          <w:szCs w:val="24"/>
        </w:rPr>
        <w:t>月</w:t>
      </w:r>
      <w:r>
        <w:rPr>
          <w:rFonts w:hAnsi="宋体" w:hint="eastAsia"/>
          <w:szCs w:val="24"/>
        </w:rPr>
        <w:t>内、每个会计年度结束后三个</w:t>
      </w:r>
      <w:r>
        <w:rPr>
          <w:rFonts w:hAnsi="宋体"/>
          <w:szCs w:val="24"/>
        </w:rPr>
        <w:t>月</w:t>
      </w:r>
      <w:proofErr w:type="gramStart"/>
      <w:r>
        <w:rPr>
          <w:rFonts w:hAnsi="宋体" w:hint="eastAsia"/>
          <w:szCs w:val="24"/>
        </w:rPr>
        <w:t>内在基金</w:t>
      </w:r>
      <w:proofErr w:type="gramEnd"/>
      <w:r>
        <w:rPr>
          <w:rFonts w:hAnsi="宋体" w:hint="eastAsia"/>
          <w:szCs w:val="24"/>
        </w:rPr>
        <w:t>中期报告及年度报告中分别出具基金托管人报告，</w:t>
      </w:r>
      <w:r>
        <w:rPr>
          <w:rFonts w:hAnsi="宋体"/>
          <w:szCs w:val="24"/>
        </w:rPr>
        <w:t>并提交给基金管理人</w:t>
      </w:r>
      <w:r>
        <w:rPr>
          <w:rFonts w:hAnsi="宋体" w:hint="eastAsia"/>
          <w:szCs w:val="24"/>
        </w:rPr>
        <w:t>。</w:t>
      </w:r>
    </w:p>
    <w:p w:rsidR="004A33FC" w:rsidRDefault="00F25005">
      <w:pPr>
        <w:pStyle w:val="1"/>
        <w:spacing w:line="520" w:lineRule="atLeast"/>
        <w:ind w:firstLineChars="200" w:firstLine="482"/>
        <w:rPr>
          <w:bCs/>
          <w:color w:val="auto"/>
          <w:szCs w:val="24"/>
        </w:rPr>
      </w:pPr>
      <w:bookmarkStart w:id="36" w:name="_Toc296551347"/>
      <w:bookmarkStart w:id="37" w:name="_Toc44321734"/>
      <w:r>
        <w:rPr>
          <w:rFonts w:hint="eastAsia"/>
          <w:bCs/>
          <w:color w:val="auto"/>
          <w:szCs w:val="24"/>
        </w:rPr>
        <w:t>第十一条 基金费用</w:t>
      </w:r>
      <w:bookmarkEnd w:id="36"/>
      <w:bookmarkEnd w:id="37"/>
    </w:p>
    <w:p w:rsidR="004A33FC" w:rsidRDefault="00F25005">
      <w:pPr>
        <w:pStyle w:val="20"/>
        <w:spacing w:before="0" w:after="0" w:line="520" w:lineRule="atLeast"/>
        <w:ind w:left="0" w:firstLineChars="200" w:firstLine="480"/>
        <w:rPr>
          <w:rFonts w:hAnsi="宋体"/>
          <w:szCs w:val="24"/>
        </w:rPr>
      </w:pPr>
      <w:r>
        <w:rPr>
          <w:rFonts w:hAnsi="宋体" w:hint="eastAsia"/>
          <w:szCs w:val="24"/>
        </w:rPr>
        <w:t>11.1基金管理费的计提比例和计提方法</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本基金的管理费按前一日基金资产净值的</w:t>
      </w:r>
      <w:r>
        <w:rPr>
          <w:rFonts w:hAnsi="宋体"/>
          <w:szCs w:val="24"/>
        </w:rPr>
        <w:t>1.50</w:t>
      </w:r>
      <w:r>
        <w:rPr>
          <w:rFonts w:hAnsi="宋体" w:hint="eastAsia"/>
          <w:szCs w:val="24"/>
        </w:rPr>
        <w:t>%年费率计提。管理费的计算方法如下：</w:t>
      </w:r>
    </w:p>
    <w:p w:rsidR="004A33FC" w:rsidRDefault="00F25005">
      <w:pPr>
        <w:pStyle w:val="20"/>
        <w:spacing w:before="0" w:after="0" w:line="520" w:lineRule="atLeast"/>
        <w:ind w:left="0" w:firstLineChars="200" w:firstLine="480"/>
        <w:rPr>
          <w:rFonts w:hAnsi="宋体"/>
          <w:szCs w:val="24"/>
        </w:rPr>
      </w:pPr>
      <w:r>
        <w:rPr>
          <w:rFonts w:hAnsi="宋体" w:hint="eastAsia"/>
          <w:szCs w:val="24"/>
        </w:rPr>
        <w:t>H＝E×</w:t>
      </w:r>
      <w:r>
        <w:rPr>
          <w:rFonts w:hAnsi="宋体"/>
        </w:rPr>
        <w:t>1.50</w:t>
      </w:r>
      <w:r>
        <w:rPr>
          <w:rFonts w:hAnsi="宋体" w:hint="eastAsia"/>
        </w:rPr>
        <w:t>%</w:t>
      </w:r>
      <w:r>
        <w:rPr>
          <w:rFonts w:hAnsi="宋体" w:hint="eastAsia"/>
          <w:szCs w:val="24"/>
        </w:rPr>
        <w:t>÷当年天数</w:t>
      </w:r>
    </w:p>
    <w:p w:rsidR="004A33FC" w:rsidRDefault="00F25005">
      <w:pPr>
        <w:pStyle w:val="20"/>
        <w:spacing w:before="0" w:after="0" w:line="520" w:lineRule="atLeast"/>
        <w:ind w:left="0" w:firstLineChars="200" w:firstLine="480"/>
        <w:rPr>
          <w:rFonts w:hAnsi="宋体"/>
          <w:szCs w:val="24"/>
        </w:rPr>
      </w:pPr>
      <w:r>
        <w:rPr>
          <w:rFonts w:hAnsi="宋体" w:hint="eastAsia"/>
          <w:szCs w:val="24"/>
        </w:rPr>
        <w:t>H为每日应计提的基金管理费</w:t>
      </w:r>
    </w:p>
    <w:p w:rsidR="004A33FC" w:rsidRDefault="00F25005">
      <w:pPr>
        <w:pStyle w:val="20"/>
        <w:spacing w:before="0" w:after="0" w:line="520" w:lineRule="atLeast"/>
        <w:ind w:left="0" w:firstLineChars="200" w:firstLine="480"/>
        <w:rPr>
          <w:rFonts w:hAnsi="宋体"/>
          <w:szCs w:val="24"/>
        </w:rPr>
      </w:pPr>
      <w:r>
        <w:rPr>
          <w:rFonts w:hAnsi="宋体" w:hint="eastAsia"/>
          <w:szCs w:val="24"/>
        </w:rPr>
        <w:t>E为前一日的基金资产净值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费每日计算，逐日累计至每月月末，按月支付，由基金管理人与基金托管人核对一致后，基金托管人按照与基金管理人协商一致的方式于次月前5个工作日内从基金财产中一次性支付给基金管理人。若遇法定节假日、休息日或不可抗力致使无法按时支付的，支付日期顺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11.2基金托管费的计提比例和计提方法</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本基金的托管费按前一日基金资产净值的</w:t>
      </w:r>
      <w:r>
        <w:rPr>
          <w:rFonts w:hAnsi="宋体"/>
          <w:szCs w:val="24"/>
        </w:rPr>
        <w:t>0.25</w:t>
      </w:r>
      <w:r>
        <w:rPr>
          <w:rFonts w:hAnsi="宋体" w:hint="eastAsia"/>
          <w:szCs w:val="24"/>
        </w:rPr>
        <w:t>%的年费率计提。托管费的计算方法如下：</w:t>
      </w:r>
    </w:p>
    <w:p w:rsidR="004A33FC" w:rsidRDefault="00F25005">
      <w:pPr>
        <w:pStyle w:val="20"/>
        <w:spacing w:before="0" w:after="0" w:line="520" w:lineRule="atLeast"/>
        <w:ind w:left="0" w:firstLineChars="200" w:firstLine="480"/>
        <w:rPr>
          <w:rFonts w:hAnsi="宋体"/>
          <w:szCs w:val="24"/>
        </w:rPr>
      </w:pPr>
      <w:r>
        <w:rPr>
          <w:rFonts w:hAnsi="宋体" w:hint="eastAsia"/>
          <w:szCs w:val="24"/>
        </w:rPr>
        <w:t>H＝E×</w:t>
      </w:r>
      <w:r>
        <w:rPr>
          <w:rFonts w:hAnsi="宋体"/>
          <w:szCs w:val="24"/>
        </w:rPr>
        <w:t>0.25</w:t>
      </w:r>
      <w:r>
        <w:rPr>
          <w:rFonts w:hAnsi="宋体" w:hint="eastAsia"/>
          <w:szCs w:val="24"/>
        </w:rPr>
        <w:t>%÷当年天数</w:t>
      </w:r>
    </w:p>
    <w:p w:rsidR="004A33FC" w:rsidRDefault="00F25005">
      <w:pPr>
        <w:pStyle w:val="20"/>
        <w:spacing w:before="0" w:after="0" w:line="520" w:lineRule="atLeast"/>
        <w:ind w:left="0" w:firstLineChars="200" w:firstLine="480"/>
        <w:rPr>
          <w:rFonts w:hAnsi="宋体"/>
          <w:szCs w:val="24"/>
        </w:rPr>
      </w:pPr>
      <w:r>
        <w:rPr>
          <w:rFonts w:hAnsi="宋体" w:hint="eastAsia"/>
          <w:szCs w:val="24"/>
        </w:rPr>
        <w:t>H为每日应计提的基金托管费</w:t>
      </w:r>
    </w:p>
    <w:p w:rsidR="004A33FC" w:rsidRDefault="00F25005">
      <w:pPr>
        <w:pStyle w:val="20"/>
        <w:spacing w:before="0" w:after="0" w:line="520" w:lineRule="atLeast"/>
        <w:ind w:left="0" w:firstLineChars="200" w:firstLine="480"/>
        <w:rPr>
          <w:rFonts w:hAnsi="宋体"/>
          <w:szCs w:val="24"/>
        </w:rPr>
      </w:pPr>
      <w:r>
        <w:rPr>
          <w:rFonts w:hAnsi="宋体" w:hint="eastAsia"/>
          <w:szCs w:val="24"/>
        </w:rPr>
        <w:t>E为前一日的基金资产净值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基金托管费每日计算，逐日累计至每月月末，按月支付，由基金管理人与基金托管人核对一致后，基金托管人按照与基金管理人协商一致的方式于次月前5个工</w:t>
      </w:r>
      <w:r>
        <w:rPr>
          <w:rFonts w:hAnsi="宋体" w:hint="eastAsia"/>
          <w:szCs w:val="24"/>
        </w:rPr>
        <w:lastRenderedPageBreak/>
        <w:t>作日内从基金财产中一次性支取。若遇法定节假日、休息日或不可抗力致使无法按时支付的，支付日期顺延。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11.3销售服务费的计提比例和计提方法</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本基金A类基金份额不收取销售服务费，本基金C类基金份额的销售服务费按前一日C类基金份额的基金资产净值的0</w:t>
      </w:r>
      <w:r>
        <w:rPr>
          <w:rFonts w:hAnsi="宋体"/>
          <w:szCs w:val="24"/>
        </w:rPr>
        <w:t>.40</w:t>
      </w:r>
      <w:r>
        <w:rPr>
          <w:rFonts w:hAnsi="宋体" w:hint="eastAsia"/>
          <w:szCs w:val="24"/>
        </w:rPr>
        <w:t xml:space="preserve">%年费率计提。销售服务费的计算方法如下： </w:t>
      </w:r>
    </w:p>
    <w:p w:rsidR="004A33FC" w:rsidRDefault="00F25005">
      <w:pPr>
        <w:pStyle w:val="20"/>
        <w:spacing w:before="0" w:after="0" w:line="520" w:lineRule="atLeast"/>
        <w:ind w:left="0" w:firstLineChars="200" w:firstLine="480"/>
        <w:rPr>
          <w:rFonts w:hAnsi="宋体"/>
          <w:szCs w:val="24"/>
        </w:rPr>
      </w:pPr>
      <w:r>
        <w:rPr>
          <w:rFonts w:hAnsi="宋体" w:hint="eastAsia"/>
          <w:szCs w:val="24"/>
        </w:rPr>
        <w:t>H＝E×0</w:t>
      </w:r>
      <w:r>
        <w:rPr>
          <w:rFonts w:hAnsi="宋体"/>
          <w:szCs w:val="24"/>
        </w:rPr>
        <w:t>.40</w:t>
      </w:r>
      <w:r>
        <w:rPr>
          <w:rFonts w:hAnsi="宋体" w:hint="eastAsia"/>
          <w:szCs w:val="24"/>
        </w:rPr>
        <w:t xml:space="preserve">%÷当年天数 </w:t>
      </w:r>
    </w:p>
    <w:p w:rsidR="004A33FC" w:rsidRDefault="00F25005">
      <w:pPr>
        <w:pStyle w:val="20"/>
        <w:spacing w:before="0" w:after="0" w:line="520" w:lineRule="atLeast"/>
        <w:ind w:left="0" w:firstLineChars="200" w:firstLine="480"/>
        <w:rPr>
          <w:rFonts w:hAnsi="宋体"/>
          <w:szCs w:val="24"/>
        </w:rPr>
      </w:pPr>
      <w:r>
        <w:rPr>
          <w:rFonts w:hAnsi="宋体" w:hint="eastAsia"/>
          <w:szCs w:val="24"/>
        </w:rPr>
        <w:t xml:space="preserve">H为C类基金份额每日应计提的销售服务费 </w:t>
      </w:r>
    </w:p>
    <w:p w:rsidR="004A33FC" w:rsidRDefault="00F25005">
      <w:pPr>
        <w:pStyle w:val="20"/>
        <w:spacing w:before="0" w:after="0" w:line="520" w:lineRule="atLeast"/>
        <w:ind w:left="0" w:firstLineChars="200" w:firstLine="480"/>
        <w:rPr>
          <w:rFonts w:hAnsi="宋体"/>
          <w:szCs w:val="24"/>
        </w:rPr>
      </w:pPr>
      <w:r>
        <w:rPr>
          <w:rFonts w:hAnsi="宋体" w:hint="eastAsia"/>
          <w:szCs w:val="24"/>
        </w:rPr>
        <w:t xml:space="preserve">E为C类基金份额前一日的基金资产净值 </w:t>
      </w:r>
    </w:p>
    <w:p w:rsidR="004A33FC" w:rsidRDefault="00F25005">
      <w:pPr>
        <w:pStyle w:val="20"/>
        <w:spacing w:before="0" w:after="0" w:line="520" w:lineRule="atLeast"/>
        <w:ind w:left="0" w:firstLineChars="200" w:firstLine="480"/>
        <w:rPr>
          <w:rFonts w:hAnsi="宋体"/>
          <w:szCs w:val="24"/>
        </w:rPr>
      </w:pPr>
      <w:r>
        <w:rPr>
          <w:rFonts w:hAnsi="宋体" w:hint="eastAsia"/>
          <w:szCs w:val="24"/>
        </w:rPr>
        <w:t>C类基金份额的销售服务费每日计提，逐日累计至每月月末，按月支付。由基金管理人与基金托管人核对一致后，基金托管人按照与基金管理人协商一致的方式于次月前5个工作日内按照指定的账户路径进行资金支付，基金管理人无需再出具资金划款指令。若遇法定节假日、休息日或不可抗力致使无法按时支付的，支付日期顺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11.4基金合同生效后与基金相关的信息披露费用、基金合同生效后与基金相关的会计师费、律师费</w:t>
      </w:r>
      <w:r>
        <w:rPr>
          <w:rFonts w:hint="eastAsia"/>
          <w:bCs/>
        </w:rPr>
        <w:t>、</w:t>
      </w:r>
      <w:r>
        <w:rPr>
          <w:bCs/>
        </w:rPr>
        <w:t>诉讼费</w:t>
      </w:r>
      <w:r>
        <w:rPr>
          <w:rFonts w:hint="eastAsia"/>
          <w:bCs/>
        </w:rPr>
        <w:t>和仲裁费、</w:t>
      </w:r>
      <w:r>
        <w:rPr>
          <w:rFonts w:hAnsi="宋体" w:hint="eastAsia"/>
          <w:szCs w:val="24"/>
        </w:rPr>
        <w:t>基金份额持有人大会费用、基金的证券、期货、股票期权等交易、结算费用、</w:t>
      </w:r>
      <w:r>
        <w:rPr>
          <w:bCs/>
        </w:rPr>
        <w:t>基金的银行</w:t>
      </w:r>
      <w:r>
        <w:rPr>
          <w:rFonts w:hint="eastAsia"/>
          <w:bCs/>
        </w:rPr>
        <w:t>汇划</w:t>
      </w:r>
      <w:r>
        <w:rPr>
          <w:bCs/>
        </w:rPr>
        <w:t>费用</w:t>
      </w:r>
      <w:r>
        <w:rPr>
          <w:rFonts w:asciiTheme="minorEastAsia" w:eastAsiaTheme="minorEastAsia" w:hAnsiTheme="minorEastAsia" w:hint="eastAsia"/>
          <w:bCs/>
          <w:szCs w:val="24"/>
        </w:rPr>
        <w:t>、基金相关账户的开户和维护费用、因投资港股通标的股票而产生的各项费用</w:t>
      </w:r>
      <w:r>
        <w:rPr>
          <w:rFonts w:hAnsi="宋体" w:hint="eastAsia"/>
          <w:szCs w:val="24"/>
        </w:rPr>
        <w:t>等根据有关法律法规、基金合同及相应协议的规定，由基金托管人按基金管理人的划款指令并根据费用实际支出金额支付，列入或摊入当期基金费用。</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w:t>
      </w:r>
      <w:r>
        <w:rPr>
          <w:rFonts w:hAnsi="宋体"/>
          <w:szCs w:val="24"/>
        </w:rPr>
        <w:t>5</w:t>
      </w:r>
      <w:r>
        <w:rPr>
          <w:rFonts w:hAnsi="宋体" w:hint="eastAsia"/>
          <w:szCs w:val="24"/>
        </w:rPr>
        <w:t>不列入基金费用的项目</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w:t>
      </w:r>
      <w:r>
        <w:rPr>
          <w:rFonts w:hAnsi="宋体"/>
          <w:szCs w:val="24"/>
        </w:rPr>
        <w:t>6</w:t>
      </w:r>
      <w:r>
        <w:rPr>
          <w:rFonts w:hAnsi="宋体" w:hint="eastAsia"/>
          <w:szCs w:val="24"/>
        </w:rPr>
        <w:t>基金管理费、基金托管费和销售服务费的调整</w:t>
      </w:r>
    </w:p>
    <w:p w:rsidR="004A33FC" w:rsidRDefault="00F25005">
      <w:pPr>
        <w:spacing w:line="520" w:lineRule="atLeast"/>
        <w:ind w:firstLineChars="200" w:firstLine="480"/>
        <w:rPr>
          <w:bCs/>
          <w:sz w:val="24"/>
        </w:rPr>
      </w:pPr>
      <w:r>
        <w:rPr>
          <w:rFonts w:hint="eastAsia"/>
          <w:bCs/>
          <w:sz w:val="24"/>
        </w:rPr>
        <w:t xml:space="preserve"> </w:t>
      </w:r>
      <w:r>
        <w:rPr>
          <w:rFonts w:hint="eastAsia"/>
          <w:bCs/>
          <w:sz w:val="24"/>
        </w:rPr>
        <w:t>在遵守相关的法律法规并履行了必要的程序的前提下，基金管理人和基金托</w:t>
      </w:r>
      <w:r>
        <w:rPr>
          <w:rFonts w:hint="eastAsia"/>
          <w:bCs/>
          <w:sz w:val="24"/>
        </w:rPr>
        <w:lastRenderedPageBreak/>
        <w:t>管人协商一致后可酌情调整基金管理费、基金托管费和销售服务费。基金管理人必须于新的费率实施日前按照《信息披露办法》的规定在规定媒介上刊登公告。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11.</w:t>
      </w:r>
      <w:r>
        <w:rPr>
          <w:rFonts w:hAnsi="宋体"/>
          <w:szCs w:val="24"/>
        </w:rPr>
        <w:t>7</w:t>
      </w:r>
      <w:r>
        <w:rPr>
          <w:rFonts w:hAnsi="宋体" w:hint="eastAsia"/>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rsidR="004A33FC" w:rsidRDefault="00F25005">
      <w:pPr>
        <w:pStyle w:val="1"/>
        <w:spacing w:line="520" w:lineRule="atLeast"/>
        <w:ind w:firstLineChars="200" w:firstLine="482"/>
        <w:rPr>
          <w:bCs/>
          <w:color w:val="auto"/>
          <w:szCs w:val="24"/>
        </w:rPr>
      </w:pPr>
      <w:bookmarkStart w:id="38" w:name="_Toc296551348"/>
      <w:bookmarkStart w:id="39" w:name="_Toc44321735"/>
      <w:r>
        <w:rPr>
          <w:rFonts w:hint="eastAsia"/>
          <w:bCs/>
          <w:color w:val="auto"/>
          <w:szCs w:val="24"/>
        </w:rPr>
        <w:t>第十二条 基金份额持有人名册的保管</w:t>
      </w:r>
      <w:bookmarkEnd w:id="38"/>
      <w:bookmarkEnd w:id="39"/>
    </w:p>
    <w:p w:rsidR="004A33FC" w:rsidRDefault="00F25005">
      <w:pPr>
        <w:pStyle w:val="20"/>
        <w:spacing w:before="0" w:after="0" w:line="520" w:lineRule="atLeast"/>
        <w:ind w:left="0" w:firstLineChars="200" w:firstLine="480"/>
        <w:rPr>
          <w:rFonts w:hAnsi="宋体"/>
          <w:szCs w:val="24"/>
        </w:rPr>
      </w:pPr>
      <w:r>
        <w:rPr>
          <w:rFonts w:hAnsi="宋体" w:hint="eastAsia"/>
          <w:szCs w:val="24"/>
        </w:rPr>
        <w:t>12.1基金管理人和基金托管人须分别妥善保管基金份额持有人名册，基金份额持有人名册的内容必须包括基金份额持有人的名称和持有的基金份额。</w:t>
      </w:r>
    </w:p>
    <w:p w:rsidR="004A33FC" w:rsidRDefault="00F25005">
      <w:pPr>
        <w:pStyle w:val="20"/>
        <w:spacing w:before="0" w:after="0" w:line="520" w:lineRule="atLeast"/>
        <w:ind w:left="0" w:firstLineChars="200" w:firstLine="480"/>
        <w:rPr>
          <w:rFonts w:hAnsi="宋体"/>
          <w:szCs w:val="24"/>
        </w:rPr>
      </w:pPr>
      <w:r>
        <w:rPr>
          <w:rFonts w:hAnsi="宋体"/>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w:t>
      </w:r>
      <w:r>
        <w:rPr>
          <w:rFonts w:hAnsi="宋体" w:hint="eastAsia"/>
          <w:szCs w:val="24"/>
        </w:rPr>
        <w:t>不少于</w:t>
      </w:r>
      <w:r>
        <w:rPr>
          <w:rFonts w:hAnsi="宋体"/>
          <w:szCs w:val="24"/>
        </w:rPr>
        <w:t>法律法规或监管规则</w:t>
      </w:r>
      <w:r>
        <w:rPr>
          <w:rFonts w:hAnsi="宋体" w:hint="eastAsia"/>
          <w:szCs w:val="24"/>
        </w:rPr>
        <w:t>规定</w:t>
      </w:r>
      <w:r>
        <w:rPr>
          <w:rFonts w:hAnsi="宋体"/>
          <w:szCs w:val="24"/>
        </w:rPr>
        <w:t>的</w:t>
      </w:r>
      <w:r>
        <w:rPr>
          <w:rFonts w:hAnsi="宋体" w:hint="eastAsia"/>
          <w:szCs w:val="24"/>
        </w:rPr>
        <w:t>最低期限。</w:t>
      </w:r>
    </w:p>
    <w:p w:rsidR="004A33FC" w:rsidRDefault="00F25005">
      <w:pPr>
        <w:pStyle w:val="20"/>
        <w:spacing w:before="0" w:after="0" w:line="520" w:lineRule="atLeast"/>
        <w:ind w:left="0" w:firstLineChars="200" w:firstLine="480"/>
        <w:rPr>
          <w:rFonts w:hAnsi="宋体"/>
          <w:szCs w:val="24"/>
        </w:rPr>
      </w:pPr>
      <w:r>
        <w:rPr>
          <w:rFonts w:hAnsi="宋体" w:hint="eastAsia"/>
          <w:szCs w:val="24"/>
        </w:rPr>
        <w:t>12.</w:t>
      </w:r>
      <w:r>
        <w:rPr>
          <w:rFonts w:hAnsi="宋体"/>
          <w:szCs w:val="24"/>
        </w:rPr>
        <w:t>3</w:t>
      </w:r>
      <w:proofErr w:type="gramStart"/>
      <w:r>
        <w:rPr>
          <w:rFonts w:hAnsi="宋体" w:hint="eastAsia"/>
          <w:szCs w:val="24"/>
        </w:rPr>
        <w:t>若基金</w:t>
      </w:r>
      <w:proofErr w:type="gramEnd"/>
      <w:r>
        <w:rPr>
          <w:rFonts w:hAnsi="宋体" w:hint="eastAsia"/>
          <w:szCs w:val="24"/>
        </w:rPr>
        <w:t>管理人或基金托管人由于自身原因无法妥善保管基金份额持有人名册，应按有关法规规定各自承担相应的责任。</w:t>
      </w:r>
    </w:p>
    <w:p w:rsidR="004A33FC" w:rsidRDefault="00F25005">
      <w:pPr>
        <w:pStyle w:val="1"/>
        <w:spacing w:line="520" w:lineRule="atLeast"/>
        <w:ind w:firstLineChars="200" w:firstLine="482"/>
        <w:rPr>
          <w:bCs/>
          <w:color w:val="auto"/>
          <w:szCs w:val="24"/>
        </w:rPr>
      </w:pPr>
      <w:bookmarkStart w:id="40" w:name="_Toc296551349"/>
      <w:bookmarkStart w:id="41" w:name="_Toc44321736"/>
      <w:r>
        <w:rPr>
          <w:rFonts w:hint="eastAsia"/>
          <w:bCs/>
          <w:color w:val="auto"/>
          <w:szCs w:val="24"/>
        </w:rPr>
        <w:t>第十三条 基金有关文件和档案的保存</w:t>
      </w:r>
      <w:bookmarkEnd w:id="40"/>
      <w:bookmarkEnd w:id="41"/>
    </w:p>
    <w:p w:rsidR="004A33FC" w:rsidRDefault="00F25005">
      <w:pPr>
        <w:pStyle w:val="20"/>
        <w:spacing w:before="0" w:after="0" w:line="520" w:lineRule="atLeast"/>
        <w:ind w:left="0" w:firstLineChars="200" w:firstLine="480"/>
        <w:rPr>
          <w:rFonts w:hAnsi="宋体"/>
          <w:szCs w:val="24"/>
        </w:rPr>
      </w:pPr>
      <w:r>
        <w:rPr>
          <w:rFonts w:hAnsi="宋体"/>
          <w:szCs w:val="24"/>
        </w:rPr>
        <w:t>13.1基金管理人、基金托管人按各自职责完整保存原始凭证、记账凭证、基金账册、交易记录和重要合同等，保存期限不少于</w:t>
      </w:r>
      <w:r>
        <w:rPr>
          <w:rFonts w:hAnsi="宋体" w:hint="eastAsia"/>
          <w:szCs w:val="24"/>
        </w:rPr>
        <w:t>法律法规或监管规则规定的最低期限，对相关信息负有保密义务，但</w:t>
      </w:r>
      <w:r>
        <w:rPr>
          <w:rFonts w:asciiTheme="minorEastAsia" w:eastAsiaTheme="minorEastAsia" w:hAnsiTheme="minorEastAsia" w:hint="eastAsia"/>
          <w:szCs w:val="24"/>
        </w:rPr>
        <w:t>本协议另有约定或</w:t>
      </w:r>
      <w:r>
        <w:rPr>
          <w:rFonts w:hAnsi="宋体" w:hint="eastAsia"/>
          <w:szCs w:val="24"/>
        </w:rPr>
        <w:t>根据有关法律法规规定或有权机关要求披露的除外。其中，基金管理人应保存基金财产管理业务活动的记录、账册、报表和其他相关资料，基金托管人应保存基金托管业务活动的记录、账册、报表和其他相关资料。</w:t>
      </w:r>
    </w:p>
    <w:p w:rsidR="004A33FC" w:rsidRDefault="00F25005">
      <w:pPr>
        <w:pStyle w:val="20"/>
        <w:spacing w:before="0" w:after="0" w:line="520" w:lineRule="atLeast"/>
        <w:ind w:left="0" w:firstLineChars="200" w:firstLine="480"/>
        <w:rPr>
          <w:rFonts w:hAnsi="宋体"/>
          <w:szCs w:val="24"/>
        </w:rPr>
      </w:pPr>
      <w:r>
        <w:rPr>
          <w:rFonts w:hAnsi="宋体" w:hint="eastAsia"/>
          <w:szCs w:val="24"/>
        </w:rPr>
        <w:t>13.2基金管理人签署重大合同文本后，应及时将合同文本正本送达基金托管人处。基金管理人应及时将与本基金账务处理、资金划拨等有关的合同、协议传真给基金托管人。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13.3基金管理人或基金托管人变更后，未变更的一方有义务协助接任人接受基金的有关文件。</w:t>
      </w:r>
    </w:p>
    <w:p w:rsidR="004A33FC" w:rsidRDefault="00F25005">
      <w:pPr>
        <w:pStyle w:val="1"/>
        <w:spacing w:line="520" w:lineRule="atLeast"/>
        <w:ind w:firstLineChars="200" w:firstLine="482"/>
        <w:rPr>
          <w:bCs/>
          <w:color w:val="auto"/>
          <w:szCs w:val="24"/>
        </w:rPr>
      </w:pPr>
      <w:bookmarkStart w:id="42" w:name="_Toc296551350"/>
      <w:bookmarkStart w:id="43" w:name="_Toc44321737"/>
      <w:r>
        <w:rPr>
          <w:rFonts w:hint="eastAsia"/>
          <w:bCs/>
          <w:color w:val="auto"/>
          <w:szCs w:val="24"/>
        </w:rPr>
        <w:t>第十四条 基金管理人和基金托管人的更换</w:t>
      </w:r>
      <w:bookmarkEnd w:id="42"/>
      <w:bookmarkEnd w:id="43"/>
    </w:p>
    <w:p w:rsidR="004A33FC" w:rsidRDefault="00F25005">
      <w:pPr>
        <w:pStyle w:val="20"/>
        <w:spacing w:before="0" w:after="0" w:line="520" w:lineRule="atLeast"/>
        <w:ind w:left="0" w:firstLineChars="200" w:firstLine="480"/>
        <w:rPr>
          <w:rFonts w:hAnsi="宋体"/>
          <w:szCs w:val="24"/>
        </w:rPr>
      </w:pPr>
      <w:r>
        <w:rPr>
          <w:rFonts w:hAnsi="宋体" w:hint="eastAsia"/>
          <w:szCs w:val="24"/>
        </w:rPr>
        <w:t>14.1基金管理人的更换</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14.1.1基金管理人的更换条件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有下列情形之一的，基金管理人职责终止：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（1）基金管理人被依法取消基金管理资格；</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（2）基金管理人依法解散、被依法撤销或者被依法宣告破产；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（3）基金管理人被基金份额持有人大会解任；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（4）法律法规</w:t>
      </w:r>
      <w:r>
        <w:rPr>
          <w:rFonts w:hint="eastAsia"/>
          <w:bCs/>
        </w:rPr>
        <w:t>及中国证监会规定的</w:t>
      </w:r>
      <w:r>
        <w:rPr>
          <w:rFonts w:hAnsi="宋体" w:hint="eastAsia"/>
          <w:szCs w:val="24"/>
        </w:rPr>
        <w:t>和基金合同规定的其他情形。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14.1.2基金管理人的更换程序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更换基金管理人必须依照如下程序进行：</w:t>
      </w:r>
    </w:p>
    <w:p w:rsidR="004A33FC" w:rsidRDefault="00F25005">
      <w:pPr>
        <w:pStyle w:val="20"/>
        <w:spacing w:before="0" w:after="0" w:line="520" w:lineRule="atLeast"/>
        <w:ind w:left="0" w:firstLineChars="200" w:firstLine="480"/>
        <w:rPr>
          <w:rFonts w:hAnsi="宋体"/>
          <w:szCs w:val="24"/>
        </w:rPr>
      </w:pPr>
      <w:r>
        <w:rPr>
          <w:rFonts w:hAnsi="宋体" w:hint="eastAsia"/>
          <w:szCs w:val="24"/>
        </w:rPr>
        <w:t>（1）提名：</w:t>
      </w:r>
      <w:proofErr w:type="gramStart"/>
      <w:r>
        <w:rPr>
          <w:rFonts w:hAnsi="宋体" w:hint="eastAsia"/>
          <w:szCs w:val="24"/>
        </w:rPr>
        <w:t>新任基金</w:t>
      </w:r>
      <w:proofErr w:type="gramEnd"/>
      <w:r>
        <w:rPr>
          <w:rFonts w:hAnsi="宋体" w:hint="eastAsia"/>
          <w:szCs w:val="24"/>
        </w:rPr>
        <w:t>管理人由基金托管人或由单独或合计持有10%以上（含10%）基金份额的基金份额持有人提名；</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（2）决议：基金份额持有人大会在基金管理人职责终止后6个月内对被提名的基金管理人形成决议，</w:t>
      </w:r>
      <w:r>
        <w:rPr>
          <w:bCs/>
        </w:rPr>
        <w:t>该决议需经参加大会的基金份额持有人所持表决权的</w:t>
      </w:r>
      <w:r>
        <w:rPr>
          <w:rFonts w:hint="eastAsia"/>
          <w:bCs/>
        </w:rPr>
        <w:t>三分之二</w:t>
      </w:r>
      <w:r>
        <w:rPr>
          <w:bCs/>
        </w:rPr>
        <w:t>以上（含</w:t>
      </w:r>
      <w:r>
        <w:rPr>
          <w:rFonts w:hint="eastAsia"/>
          <w:bCs/>
        </w:rPr>
        <w:t>三分之二</w:t>
      </w:r>
      <w:r>
        <w:rPr>
          <w:bCs/>
        </w:rPr>
        <w:t>）表决通过</w:t>
      </w:r>
      <w:r>
        <w:rPr>
          <w:rFonts w:hint="eastAsia"/>
          <w:bCs/>
        </w:rPr>
        <w:t>，决议自表决通过之日起生效</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（3）临时基金管理人：</w:t>
      </w:r>
      <w:proofErr w:type="gramStart"/>
      <w:r>
        <w:rPr>
          <w:rFonts w:hAnsi="宋体" w:hint="eastAsia"/>
          <w:szCs w:val="24"/>
        </w:rPr>
        <w:t>新任基金</w:t>
      </w:r>
      <w:proofErr w:type="gramEnd"/>
      <w:r>
        <w:rPr>
          <w:rFonts w:hAnsi="宋体" w:hint="eastAsia"/>
          <w:szCs w:val="24"/>
        </w:rPr>
        <w:t>管理人产生之前，由中国证监会指定临时基金管理人；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 xml:space="preserve">（4）备案：基金份额持有人大会更换基金管理人的决议须报中国证监会备案；  </w:t>
      </w:r>
    </w:p>
    <w:p w:rsidR="004A33FC" w:rsidRDefault="00F25005">
      <w:pPr>
        <w:pStyle w:val="20"/>
        <w:spacing w:before="0" w:after="0" w:line="520" w:lineRule="atLeast"/>
        <w:ind w:left="0"/>
        <w:rPr>
          <w:rFonts w:hAnsi="宋体"/>
          <w:szCs w:val="24"/>
        </w:rPr>
      </w:pPr>
      <w:r>
        <w:rPr>
          <w:rFonts w:hint="eastAsia"/>
          <w:bCs/>
        </w:rPr>
        <w:t xml:space="preserve">  </w:t>
      </w:r>
      <w:r>
        <w:rPr>
          <w:bCs/>
        </w:rPr>
        <w:t xml:space="preserve">  </w:t>
      </w:r>
      <w:r>
        <w:rPr>
          <w:rFonts w:hAnsi="宋体" w:hint="eastAsia"/>
          <w:szCs w:val="24"/>
        </w:rPr>
        <w:t>（5）公告：基金管理人更换后，由基金托管人在</w:t>
      </w:r>
      <w:r>
        <w:rPr>
          <w:rFonts w:hint="eastAsia"/>
          <w:bCs/>
        </w:rPr>
        <w:t>更换</w:t>
      </w:r>
      <w:r>
        <w:rPr>
          <w:bCs/>
        </w:rPr>
        <w:t>基金管理人的</w:t>
      </w:r>
      <w:r>
        <w:rPr>
          <w:rFonts w:hint="eastAsia"/>
          <w:bCs/>
        </w:rPr>
        <w:t>基金</w:t>
      </w:r>
      <w:r>
        <w:rPr>
          <w:bCs/>
        </w:rPr>
        <w:t>份额持有人大会</w:t>
      </w:r>
      <w:r>
        <w:rPr>
          <w:rFonts w:hint="eastAsia"/>
          <w:bCs/>
        </w:rPr>
        <w:t>决议生效后2日内</w:t>
      </w:r>
      <w:r>
        <w:rPr>
          <w:bCs/>
        </w:rPr>
        <w:t>在</w:t>
      </w:r>
      <w:r>
        <w:rPr>
          <w:rFonts w:hint="eastAsia"/>
          <w:bCs/>
        </w:rPr>
        <w:t>规定媒介</w:t>
      </w:r>
      <w:r>
        <w:rPr>
          <w:bCs/>
        </w:rPr>
        <w:t>公告</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6</w:t>
      </w:r>
      <w:r>
        <w:rPr>
          <w:rFonts w:hAnsi="宋体" w:hint="eastAsia"/>
          <w:szCs w:val="24"/>
        </w:rPr>
        <w:t>）交接：基金管理人职责终止的，基金管理人应妥善保管基金管理业务资料，及时向</w:t>
      </w:r>
      <w:proofErr w:type="gramStart"/>
      <w:r>
        <w:rPr>
          <w:rFonts w:hAnsi="宋体"/>
          <w:szCs w:val="24"/>
        </w:rPr>
        <w:t>新任</w:t>
      </w:r>
      <w:r>
        <w:rPr>
          <w:rFonts w:hAnsi="宋体" w:hint="eastAsia"/>
          <w:szCs w:val="24"/>
        </w:rPr>
        <w:t>基金</w:t>
      </w:r>
      <w:proofErr w:type="gramEnd"/>
      <w:r>
        <w:rPr>
          <w:rFonts w:hAnsi="宋体" w:hint="eastAsia"/>
          <w:szCs w:val="24"/>
        </w:rPr>
        <w:t>管理人或</w:t>
      </w:r>
      <w:r>
        <w:rPr>
          <w:rFonts w:hAnsi="宋体"/>
          <w:szCs w:val="24"/>
        </w:rPr>
        <w:t>临时</w:t>
      </w:r>
      <w:r>
        <w:rPr>
          <w:rFonts w:hAnsi="宋体" w:hint="eastAsia"/>
          <w:szCs w:val="24"/>
        </w:rPr>
        <w:t>基金管理人办理基金管理业务的移交手续，</w:t>
      </w:r>
      <w:proofErr w:type="gramStart"/>
      <w:r>
        <w:rPr>
          <w:rFonts w:hAnsi="宋体"/>
          <w:szCs w:val="24"/>
        </w:rPr>
        <w:t>新任</w:t>
      </w:r>
      <w:r>
        <w:rPr>
          <w:rFonts w:hAnsi="宋体" w:hint="eastAsia"/>
          <w:szCs w:val="24"/>
        </w:rPr>
        <w:t>基金</w:t>
      </w:r>
      <w:proofErr w:type="gramEnd"/>
      <w:r>
        <w:rPr>
          <w:rFonts w:hAnsi="宋体" w:hint="eastAsia"/>
          <w:szCs w:val="24"/>
        </w:rPr>
        <w:t>管理人或</w:t>
      </w:r>
      <w:r>
        <w:rPr>
          <w:rFonts w:hAnsi="宋体"/>
          <w:szCs w:val="24"/>
        </w:rPr>
        <w:t>临时</w:t>
      </w:r>
      <w:r>
        <w:rPr>
          <w:rFonts w:hAnsi="宋体" w:hint="eastAsia"/>
          <w:szCs w:val="24"/>
        </w:rPr>
        <w:t>基金管理人应及时接收。</w:t>
      </w:r>
      <w:proofErr w:type="gramStart"/>
      <w:r>
        <w:rPr>
          <w:rFonts w:hAnsi="宋体" w:hint="eastAsia"/>
          <w:szCs w:val="24"/>
        </w:rPr>
        <w:t>新任基金</w:t>
      </w:r>
      <w:proofErr w:type="gramEnd"/>
      <w:r>
        <w:rPr>
          <w:rFonts w:hAnsi="宋体" w:hint="eastAsia"/>
          <w:szCs w:val="24"/>
        </w:rPr>
        <w:t>管理人或临时基金管理人应与基金托管人核对基金资产总值和净值；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7</w:t>
      </w:r>
      <w:r>
        <w:rPr>
          <w:rFonts w:hAnsi="宋体" w:hint="eastAsia"/>
          <w:szCs w:val="24"/>
        </w:rPr>
        <w:t>）审计：基金管理人职责终止的，应当按照法律法规规定聘请会计师事务所对基金财产进行审计，并将审计结果予以公告，同时报中国证监会备案，审计费用从基金财产中列支；</w:t>
      </w:r>
    </w:p>
    <w:p w:rsidR="004A33FC" w:rsidRDefault="00F25005">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8</w:t>
      </w:r>
      <w:r>
        <w:rPr>
          <w:rFonts w:hAnsi="宋体" w:hint="eastAsia"/>
          <w:szCs w:val="24"/>
        </w:rPr>
        <w:t>）基金名称变更：基金管理人更换后，如果原任或</w:t>
      </w:r>
      <w:proofErr w:type="gramStart"/>
      <w:r>
        <w:rPr>
          <w:rFonts w:hAnsi="宋体" w:hint="eastAsia"/>
          <w:szCs w:val="24"/>
        </w:rPr>
        <w:t>新任基金</w:t>
      </w:r>
      <w:proofErr w:type="gramEnd"/>
      <w:r>
        <w:rPr>
          <w:rFonts w:hAnsi="宋体" w:hint="eastAsia"/>
          <w:szCs w:val="24"/>
        </w:rPr>
        <w:t>管理人要求，应按其要求替换或删除基金名称中与原任基金管理人有关的名称字样。</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14.2基金托管人的更换</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14.2.1基金托管人的更换条件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有下列情形之一的，基金托管人职责终止：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（1）基金托管人被依法取消基金托管资格；</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（2）基金托管人依法解散、被依法撤销或者被依法宣布破产；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（3）基金托管人被基金份额持有人大会解任；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（4）法律法规</w:t>
      </w:r>
      <w:r>
        <w:rPr>
          <w:rFonts w:hint="eastAsia"/>
          <w:bCs/>
        </w:rPr>
        <w:t>及中国证监会规定的</w:t>
      </w:r>
      <w:r>
        <w:rPr>
          <w:rFonts w:hAnsi="宋体" w:hint="eastAsia"/>
          <w:szCs w:val="24"/>
        </w:rPr>
        <w:t>和基金合同规定的其他情形。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14.2.2基金托管人的更换程序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（1）提名：</w:t>
      </w:r>
      <w:proofErr w:type="gramStart"/>
      <w:r>
        <w:rPr>
          <w:rFonts w:hAnsi="宋体" w:hint="eastAsia"/>
          <w:szCs w:val="24"/>
        </w:rPr>
        <w:t>新任基金</w:t>
      </w:r>
      <w:proofErr w:type="gramEnd"/>
      <w:r>
        <w:rPr>
          <w:rFonts w:hAnsi="宋体" w:hint="eastAsia"/>
          <w:szCs w:val="24"/>
        </w:rPr>
        <w:t>托管人由基金管理人或由单独或合计持有10%以上（含10%）基金份额的基金份额持有人提名；</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（2）决议：基金份额持有人大会在基金托管人职责终止后6个月内对被提名的基金托管人形成决议，</w:t>
      </w:r>
      <w:r>
        <w:rPr>
          <w:rFonts w:hAnsi="宋体"/>
          <w:szCs w:val="24"/>
        </w:rPr>
        <w:t>该决议需经参加大会的基金份额持有人所持表决权的</w:t>
      </w:r>
      <w:r>
        <w:rPr>
          <w:rFonts w:hAnsi="宋体" w:hint="eastAsia"/>
          <w:szCs w:val="24"/>
        </w:rPr>
        <w:t>三分之二</w:t>
      </w:r>
      <w:r>
        <w:rPr>
          <w:rFonts w:hAnsi="宋体"/>
          <w:szCs w:val="24"/>
        </w:rPr>
        <w:t>以上（含</w:t>
      </w:r>
      <w:r>
        <w:rPr>
          <w:rFonts w:hAnsi="宋体" w:hint="eastAsia"/>
          <w:szCs w:val="24"/>
        </w:rPr>
        <w:t>三分之二</w:t>
      </w:r>
      <w:r>
        <w:rPr>
          <w:rFonts w:hAnsi="宋体"/>
          <w:szCs w:val="24"/>
        </w:rPr>
        <w:t>）表决通过</w:t>
      </w:r>
      <w:r>
        <w:rPr>
          <w:rFonts w:hAnsi="宋体" w:hint="eastAsia"/>
          <w:szCs w:val="24"/>
        </w:rPr>
        <w:t>，决议自表决通过之日起生效；</w:t>
      </w:r>
    </w:p>
    <w:p w:rsidR="004A33FC" w:rsidRDefault="00F25005">
      <w:pPr>
        <w:pStyle w:val="20"/>
        <w:spacing w:before="0" w:after="0" w:line="520" w:lineRule="atLeast"/>
        <w:ind w:left="0" w:firstLineChars="200" w:firstLine="480"/>
        <w:rPr>
          <w:rFonts w:hAnsi="宋体"/>
          <w:szCs w:val="24"/>
        </w:rPr>
      </w:pPr>
      <w:r>
        <w:rPr>
          <w:rFonts w:hAnsi="宋体" w:hint="eastAsia"/>
          <w:szCs w:val="24"/>
        </w:rPr>
        <w:t>（3）</w:t>
      </w:r>
      <w:r>
        <w:rPr>
          <w:rFonts w:hAnsi="宋体"/>
          <w:szCs w:val="24"/>
        </w:rPr>
        <w:t>临时基金托管人：</w:t>
      </w:r>
      <w:proofErr w:type="gramStart"/>
      <w:r>
        <w:rPr>
          <w:rFonts w:hAnsi="宋体"/>
          <w:szCs w:val="24"/>
        </w:rPr>
        <w:t>新任基金</w:t>
      </w:r>
      <w:proofErr w:type="gramEnd"/>
      <w:r>
        <w:rPr>
          <w:rFonts w:hAnsi="宋体"/>
          <w:szCs w:val="24"/>
        </w:rPr>
        <w:t>托管人产生之前，由中国证监会指定临时基金托管人；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（4）</w:t>
      </w:r>
      <w:r>
        <w:rPr>
          <w:rFonts w:hint="eastAsia"/>
          <w:bCs/>
        </w:rPr>
        <w:t>备案</w:t>
      </w:r>
      <w:r>
        <w:rPr>
          <w:bCs/>
        </w:rPr>
        <w:t>：</w:t>
      </w:r>
      <w:r>
        <w:rPr>
          <w:rFonts w:hint="eastAsia"/>
          <w:bCs/>
        </w:rPr>
        <w:t xml:space="preserve">基金份额持有人大会更换基金托管人的决议须报中国证监会备案；  </w:t>
      </w:r>
      <w:r>
        <w:rPr>
          <w:bCs/>
        </w:rPr>
        <w:t xml:space="preserve"> </w:t>
      </w:r>
    </w:p>
    <w:p w:rsidR="004A33FC" w:rsidRDefault="00F25005">
      <w:pPr>
        <w:pStyle w:val="20"/>
        <w:spacing w:before="0" w:after="0" w:line="520" w:lineRule="atLeast"/>
        <w:ind w:left="0" w:firstLineChars="200" w:firstLine="480"/>
        <w:rPr>
          <w:rFonts w:hAnsi="宋体"/>
          <w:szCs w:val="24"/>
        </w:rPr>
      </w:pPr>
      <w:r>
        <w:rPr>
          <w:rFonts w:hAnsi="宋体" w:hint="eastAsia"/>
          <w:szCs w:val="24"/>
        </w:rPr>
        <w:t>（5）公告：基金托管人更换后，由基金管理人在</w:t>
      </w:r>
      <w:r>
        <w:rPr>
          <w:rFonts w:hint="eastAsia"/>
          <w:bCs/>
        </w:rPr>
        <w:t>更换</w:t>
      </w:r>
      <w:r>
        <w:rPr>
          <w:bCs/>
        </w:rPr>
        <w:t>基金托管人的基金</w:t>
      </w:r>
      <w:r>
        <w:rPr>
          <w:rFonts w:hint="eastAsia"/>
          <w:bCs/>
        </w:rPr>
        <w:t>份额</w:t>
      </w:r>
      <w:r>
        <w:rPr>
          <w:bCs/>
        </w:rPr>
        <w:t>持有人大会</w:t>
      </w:r>
      <w:r>
        <w:rPr>
          <w:rFonts w:hint="eastAsia"/>
          <w:bCs/>
        </w:rPr>
        <w:t>决议生效</w:t>
      </w:r>
      <w:r>
        <w:rPr>
          <w:bCs/>
        </w:rPr>
        <w:t>后</w:t>
      </w:r>
      <w:r>
        <w:rPr>
          <w:rFonts w:hint="eastAsia"/>
          <w:bCs/>
        </w:rPr>
        <w:t>2日内</w:t>
      </w:r>
      <w:r>
        <w:rPr>
          <w:bCs/>
        </w:rPr>
        <w:t>在</w:t>
      </w:r>
      <w:r>
        <w:rPr>
          <w:rFonts w:hint="eastAsia"/>
          <w:bCs/>
        </w:rPr>
        <w:t>规定媒介</w:t>
      </w:r>
      <w:r>
        <w:rPr>
          <w:bCs/>
        </w:rPr>
        <w:t>公告</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（6）交接：基金托管人职责终止的，应当妥善保管基金财产和基金托管业务资料，及时办理基金财产和基金托管业务的移交手续，</w:t>
      </w:r>
      <w:proofErr w:type="gramStart"/>
      <w:r>
        <w:rPr>
          <w:rFonts w:hAnsi="宋体" w:hint="eastAsia"/>
          <w:szCs w:val="24"/>
        </w:rPr>
        <w:t>新任基金</w:t>
      </w:r>
      <w:proofErr w:type="gramEnd"/>
      <w:r>
        <w:rPr>
          <w:rFonts w:hAnsi="宋体" w:hint="eastAsia"/>
          <w:szCs w:val="24"/>
        </w:rPr>
        <w:t>托管人或者临时基金托管人应当及时接收。</w:t>
      </w:r>
      <w:proofErr w:type="gramStart"/>
      <w:r>
        <w:rPr>
          <w:rFonts w:hAnsi="宋体" w:hint="eastAsia"/>
          <w:szCs w:val="24"/>
        </w:rPr>
        <w:t>新任基金</w:t>
      </w:r>
      <w:proofErr w:type="gramEnd"/>
      <w:r>
        <w:rPr>
          <w:rFonts w:hAnsi="宋体" w:hint="eastAsia"/>
          <w:szCs w:val="24"/>
        </w:rPr>
        <w:t>托管人或临时基金托管人与基金管理人核对基金资产总值和净值；</w:t>
      </w:r>
    </w:p>
    <w:p w:rsidR="004A33FC" w:rsidRDefault="00F25005">
      <w:pPr>
        <w:pStyle w:val="20"/>
        <w:spacing w:before="0" w:after="0" w:line="520" w:lineRule="atLeast"/>
        <w:ind w:left="0" w:firstLineChars="200" w:firstLine="480"/>
        <w:rPr>
          <w:rFonts w:hAnsi="宋体"/>
          <w:szCs w:val="24"/>
        </w:rPr>
      </w:pPr>
      <w:r>
        <w:rPr>
          <w:rFonts w:hAnsi="宋体" w:hint="eastAsia"/>
          <w:szCs w:val="24"/>
        </w:rPr>
        <w:t>（7）审计：基金托管人职责终止的，应当按照法律法规规定聘请会计师事务所对基金财产进行审计，并将审计结果予以公告，同时报中国证监会备案，审计费用从基金财产中列支。</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14.3基金管理人与基金托管人同时更换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14.3.1提名：如果基金管理人和基金托管人同时更换，由单独或合计持有基金总份额10%以上</w:t>
      </w:r>
      <w:r>
        <w:rPr>
          <w:bCs/>
        </w:rPr>
        <w:t>（含</w:t>
      </w:r>
      <w:r>
        <w:rPr>
          <w:rFonts w:hint="eastAsia"/>
          <w:bCs/>
        </w:rPr>
        <w:t>10%</w:t>
      </w:r>
      <w:r>
        <w:rPr>
          <w:bCs/>
        </w:rPr>
        <w:t>）</w:t>
      </w:r>
      <w:r>
        <w:rPr>
          <w:rFonts w:hAnsi="宋体" w:hint="eastAsia"/>
          <w:szCs w:val="24"/>
        </w:rPr>
        <w:t>的基金份额持有人提名新的基金管理人和基金托管人；</w:t>
      </w:r>
    </w:p>
    <w:p w:rsidR="004A33FC" w:rsidRDefault="00F25005">
      <w:pPr>
        <w:pStyle w:val="20"/>
        <w:spacing w:before="0" w:after="0" w:line="520" w:lineRule="atLeast"/>
        <w:ind w:left="0" w:firstLineChars="200" w:firstLine="480"/>
        <w:rPr>
          <w:rFonts w:hAnsi="宋体"/>
          <w:szCs w:val="24"/>
        </w:rPr>
      </w:pPr>
      <w:r>
        <w:rPr>
          <w:rFonts w:hAnsi="宋体" w:hint="eastAsia"/>
          <w:szCs w:val="24"/>
        </w:rPr>
        <w:t>14.3.2基金管理人和基金托管人的更换分别按上述程序进行；</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14.3.3公告：</w:t>
      </w:r>
      <w:proofErr w:type="gramStart"/>
      <w:r>
        <w:rPr>
          <w:rFonts w:hAnsi="宋体" w:hint="eastAsia"/>
          <w:szCs w:val="24"/>
        </w:rPr>
        <w:t>新任基金</w:t>
      </w:r>
      <w:proofErr w:type="gramEnd"/>
      <w:r>
        <w:rPr>
          <w:rFonts w:hAnsi="宋体" w:hint="eastAsia"/>
          <w:szCs w:val="24"/>
        </w:rPr>
        <w:t>管理人和</w:t>
      </w:r>
      <w:proofErr w:type="gramStart"/>
      <w:r>
        <w:rPr>
          <w:rFonts w:hAnsi="宋体" w:hint="eastAsia"/>
          <w:szCs w:val="24"/>
        </w:rPr>
        <w:t>新任基金</w:t>
      </w:r>
      <w:proofErr w:type="gramEnd"/>
      <w:r>
        <w:rPr>
          <w:rFonts w:hAnsi="宋体" w:hint="eastAsia"/>
          <w:szCs w:val="24"/>
        </w:rPr>
        <w:t>托管人应在更换基金管理人和基金托管人的基金份额持有人大会决议生效后2日内在规定媒介上联合公告。</w:t>
      </w:r>
    </w:p>
    <w:p w:rsidR="004A33FC" w:rsidRDefault="00F25005">
      <w:pPr>
        <w:pStyle w:val="20"/>
        <w:spacing w:before="0" w:after="0" w:line="520" w:lineRule="atLeast"/>
        <w:ind w:left="0" w:firstLineChars="200" w:firstLine="480"/>
        <w:rPr>
          <w:bCs/>
        </w:rPr>
      </w:pPr>
      <w:r>
        <w:rPr>
          <w:rFonts w:hAnsi="宋体" w:hint="eastAsia"/>
          <w:szCs w:val="24"/>
        </w:rPr>
        <w:t>14.4新任或临时基金管理人</w:t>
      </w:r>
      <w:r>
        <w:rPr>
          <w:rFonts w:hint="eastAsia"/>
          <w:bCs/>
        </w:rPr>
        <w:t>接收</w:t>
      </w:r>
      <w:r>
        <w:rPr>
          <w:rFonts w:hAnsi="宋体" w:hint="eastAsia"/>
          <w:szCs w:val="24"/>
        </w:rPr>
        <w:t>基金管理业务或新任或临时基金托管人</w:t>
      </w:r>
      <w:r>
        <w:rPr>
          <w:rFonts w:hint="eastAsia"/>
          <w:bCs/>
        </w:rPr>
        <w:t>接收</w:t>
      </w:r>
      <w:r>
        <w:rPr>
          <w:rFonts w:hAnsi="宋体" w:hint="eastAsia"/>
          <w:szCs w:val="24"/>
        </w:rPr>
        <w:t>基金财产和基金托管业务前，原任基金管理人或原任基金托管人应</w:t>
      </w:r>
      <w:r>
        <w:rPr>
          <w:rFonts w:hint="eastAsia"/>
          <w:bCs/>
        </w:rPr>
        <w:t>依据法律法规和基金合同的规定</w:t>
      </w:r>
      <w:r>
        <w:rPr>
          <w:rFonts w:hAnsi="宋体" w:hint="eastAsia"/>
          <w:szCs w:val="24"/>
        </w:rPr>
        <w:t>继续履行相关职责，并保证不对基金份额持有人的利益造成损害。原任</w:t>
      </w:r>
      <w:r>
        <w:rPr>
          <w:rFonts w:hint="eastAsia"/>
          <w:bCs/>
        </w:rPr>
        <w:t>基金管理人或</w:t>
      </w:r>
      <w:r>
        <w:rPr>
          <w:rFonts w:hAnsi="宋体" w:hint="eastAsia"/>
          <w:szCs w:val="24"/>
        </w:rPr>
        <w:t>原任</w:t>
      </w:r>
      <w:r>
        <w:rPr>
          <w:rFonts w:hint="eastAsia"/>
          <w:bCs/>
        </w:rPr>
        <w:t>基金托管人在继续履行相关职责期间，仍有权按照</w:t>
      </w:r>
      <w:r>
        <w:rPr>
          <w:bCs/>
        </w:rPr>
        <w:t>基金</w:t>
      </w:r>
      <w:r>
        <w:rPr>
          <w:rFonts w:hint="eastAsia"/>
          <w:bCs/>
        </w:rPr>
        <w:t>合同的规定收取基金管理费或基金托管费。</w:t>
      </w:r>
    </w:p>
    <w:p w:rsidR="004A33FC" w:rsidRDefault="00F25005">
      <w:pPr>
        <w:pStyle w:val="20"/>
        <w:spacing w:before="0" w:after="0" w:line="520" w:lineRule="atLeast"/>
        <w:ind w:left="0" w:firstLineChars="200" w:firstLine="480"/>
        <w:rPr>
          <w:rFonts w:hAnsi="宋体"/>
          <w:szCs w:val="24"/>
        </w:rPr>
      </w:pPr>
      <w:r>
        <w:rPr>
          <w:rFonts w:hint="eastAsia"/>
          <w:bCs/>
        </w:rPr>
        <w:t>14.5本部</w:t>
      </w:r>
      <w:proofErr w:type="gramStart"/>
      <w:r>
        <w:rPr>
          <w:rFonts w:hint="eastAsia"/>
          <w:bCs/>
        </w:rPr>
        <w:t>分关于</w:t>
      </w:r>
      <w:proofErr w:type="gramEnd"/>
      <w:r>
        <w:rPr>
          <w:rFonts w:hint="eastAsia"/>
          <w:bCs/>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A33FC" w:rsidRDefault="00F25005">
      <w:pPr>
        <w:pStyle w:val="1"/>
        <w:spacing w:line="520" w:lineRule="atLeast"/>
        <w:ind w:firstLineChars="200" w:firstLine="482"/>
        <w:rPr>
          <w:bCs/>
          <w:color w:val="auto"/>
          <w:szCs w:val="24"/>
        </w:rPr>
      </w:pPr>
      <w:bookmarkStart w:id="44" w:name="_Toc44321738"/>
      <w:bookmarkStart w:id="45" w:name="_Toc296551351"/>
      <w:r>
        <w:rPr>
          <w:rFonts w:hint="eastAsia"/>
          <w:bCs/>
          <w:color w:val="auto"/>
          <w:szCs w:val="24"/>
        </w:rPr>
        <w:t>第十五条 禁止行为</w:t>
      </w:r>
      <w:bookmarkEnd w:id="44"/>
      <w:bookmarkEnd w:id="45"/>
    </w:p>
    <w:p w:rsidR="004A33FC" w:rsidRDefault="00F25005">
      <w:pPr>
        <w:pStyle w:val="20"/>
        <w:spacing w:before="0" w:after="0" w:line="520" w:lineRule="atLeast"/>
        <w:ind w:left="0" w:firstLineChars="200" w:firstLine="480"/>
        <w:rPr>
          <w:rFonts w:hAnsi="宋体"/>
          <w:szCs w:val="24"/>
        </w:rPr>
      </w:pPr>
      <w:r>
        <w:rPr>
          <w:rFonts w:hAnsi="宋体" w:hint="eastAsia"/>
          <w:szCs w:val="24"/>
        </w:rPr>
        <w:t>15.1基金管理人、基金托管人禁止从事的行为，包括但不限于：</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15.1.1基金管理人、基金托管人将其固有财产或者他人财产混同于基金财产从事证券投资。</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15.1.2基金管理人不公平地对待其管理的不同基金财产，基金托管人不公平地对待其托管的不同基金财产。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15.1.3基金管理人、基金托管人利用基金财产为基金份额持有人以外的第三人牟取利益。</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15.1.4基金管理人、基金托管人向基金份额持有人违规承诺收益或者承担损失。</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15.1.5基金管理人、基金托管人对他人泄漏基金运作和管理过程中任何尚未按法律法规规定的方式公开披露的信息。</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15.1.6基金管理人在没有充足资金的情况下向基金托管人发出投资指令和赎回、分红资金的划拨指令，或违规向基金托管人发出指令。</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15.1.7基金管理人、基金托管人在行政上、财务上不独立，其高级管理人员和其他从业人员相互兼职。</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15.1.8基金托管人私自动用或处分基金财产，根据基金管理人的合法指令、</w:t>
      </w:r>
      <w:r>
        <w:rPr>
          <w:rFonts w:hAnsi="宋体" w:hint="eastAsia"/>
          <w:szCs w:val="24"/>
        </w:rPr>
        <w:lastRenderedPageBreak/>
        <w:t>基金合同或本协议的规定进行处分的除外。</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15.1.9基金财产用于下列投资或者活动：</w:t>
      </w:r>
    </w:p>
    <w:p w:rsidR="004A33FC" w:rsidRDefault="00F25005">
      <w:pPr>
        <w:pStyle w:val="20"/>
        <w:spacing w:before="0" w:after="0" w:line="520" w:lineRule="atLeast"/>
        <w:ind w:left="0" w:firstLineChars="200" w:firstLine="480"/>
        <w:rPr>
          <w:rFonts w:hAnsi="宋体"/>
          <w:szCs w:val="24"/>
        </w:rPr>
      </w:pPr>
      <w:r>
        <w:rPr>
          <w:rFonts w:hAnsi="宋体" w:hint="eastAsia"/>
          <w:szCs w:val="24"/>
        </w:rPr>
        <w:t>（1）承销证券；</w:t>
      </w:r>
    </w:p>
    <w:p w:rsidR="004A33FC" w:rsidRDefault="00F25005">
      <w:pPr>
        <w:pStyle w:val="20"/>
        <w:spacing w:before="0" w:after="0" w:line="520" w:lineRule="atLeast"/>
        <w:ind w:left="0" w:firstLineChars="200" w:firstLine="480"/>
        <w:rPr>
          <w:rFonts w:hAnsi="宋体"/>
          <w:szCs w:val="24"/>
        </w:rPr>
      </w:pPr>
      <w:r>
        <w:rPr>
          <w:rFonts w:hAnsi="宋体" w:hint="eastAsia"/>
          <w:szCs w:val="24"/>
        </w:rPr>
        <w:t>（2）</w:t>
      </w:r>
      <w:r>
        <w:rPr>
          <w:rFonts w:hint="eastAsia"/>
          <w:bCs/>
        </w:rPr>
        <w:t>违反规定</w:t>
      </w:r>
      <w:r>
        <w:rPr>
          <w:rFonts w:hAnsi="宋体" w:hint="eastAsia"/>
          <w:szCs w:val="24"/>
        </w:rPr>
        <w:t>向他人贷款或者提供担保；</w:t>
      </w:r>
    </w:p>
    <w:p w:rsidR="004A33FC" w:rsidRDefault="00F25005">
      <w:pPr>
        <w:pStyle w:val="20"/>
        <w:spacing w:before="0" w:after="0" w:line="520" w:lineRule="atLeast"/>
        <w:ind w:left="0" w:firstLineChars="200" w:firstLine="480"/>
        <w:rPr>
          <w:rFonts w:hAnsi="宋体"/>
          <w:szCs w:val="24"/>
        </w:rPr>
      </w:pPr>
      <w:r>
        <w:rPr>
          <w:rFonts w:hAnsi="宋体" w:hint="eastAsia"/>
          <w:szCs w:val="24"/>
        </w:rPr>
        <w:t>（3）从事承担无限责任的投资；</w:t>
      </w:r>
    </w:p>
    <w:p w:rsidR="004A33FC" w:rsidRDefault="00F25005">
      <w:pPr>
        <w:pStyle w:val="20"/>
        <w:spacing w:before="0" w:after="0" w:line="520" w:lineRule="atLeast"/>
        <w:ind w:left="0" w:firstLineChars="200" w:firstLine="480"/>
        <w:rPr>
          <w:rFonts w:hAnsi="宋体"/>
          <w:szCs w:val="24"/>
        </w:rPr>
      </w:pPr>
      <w:r>
        <w:rPr>
          <w:rFonts w:hAnsi="宋体" w:hint="eastAsia"/>
          <w:szCs w:val="24"/>
        </w:rPr>
        <w:t>（4）买卖其他基金份额，但是中国证监会另有规定的除外；</w:t>
      </w:r>
    </w:p>
    <w:p w:rsidR="004A33FC" w:rsidRDefault="00F25005">
      <w:pPr>
        <w:pStyle w:val="20"/>
        <w:spacing w:before="0" w:after="0" w:line="520" w:lineRule="atLeast"/>
        <w:ind w:left="0" w:firstLineChars="200" w:firstLine="480"/>
        <w:rPr>
          <w:rFonts w:hAnsi="宋体"/>
          <w:szCs w:val="24"/>
        </w:rPr>
      </w:pPr>
      <w:r>
        <w:rPr>
          <w:rFonts w:hAnsi="宋体" w:hint="eastAsia"/>
          <w:szCs w:val="24"/>
        </w:rPr>
        <w:t>（5）向其基金管理人、基金托管人出资；</w:t>
      </w:r>
    </w:p>
    <w:p w:rsidR="004A33FC" w:rsidRDefault="00F25005">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6</w:t>
      </w:r>
      <w:r>
        <w:rPr>
          <w:rFonts w:hAnsi="宋体" w:hint="eastAsia"/>
          <w:szCs w:val="24"/>
        </w:rPr>
        <w:t>）从事内幕交易、操纵证券交易价格及其他不正当的证券交易活动；</w:t>
      </w:r>
    </w:p>
    <w:p w:rsidR="004A33FC" w:rsidRDefault="00F25005">
      <w:pPr>
        <w:pStyle w:val="20"/>
        <w:spacing w:before="0" w:after="0" w:line="520" w:lineRule="atLeast"/>
        <w:ind w:left="0" w:firstLineChars="200" w:firstLine="480"/>
        <w:rPr>
          <w:rFonts w:hAnsi="宋体"/>
          <w:szCs w:val="24"/>
        </w:rPr>
      </w:pPr>
      <w:r>
        <w:rPr>
          <w:rFonts w:hint="eastAsia"/>
          <w:bCs/>
        </w:rPr>
        <w:t>（</w:t>
      </w:r>
      <w:r>
        <w:rPr>
          <w:bCs/>
        </w:rPr>
        <w:t>7</w:t>
      </w:r>
      <w:r>
        <w:rPr>
          <w:rFonts w:hint="eastAsia"/>
          <w:bCs/>
        </w:rPr>
        <w:t>）</w:t>
      </w:r>
      <w:r>
        <w:rPr>
          <w:bCs/>
        </w:rPr>
        <w:t>法律</w:t>
      </w:r>
      <w:r>
        <w:rPr>
          <w:rFonts w:hint="eastAsia"/>
          <w:bCs/>
        </w:rPr>
        <w:t>、</w:t>
      </w:r>
      <w:r>
        <w:rPr>
          <w:bCs/>
        </w:rPr>
        <w:t>行政法规</w:t>
      </w:r>
      <w:r>
        <w:rPr>
          <w:rFonts w:hint="eastAsia"/>
          <w:bCs/>
        </w:rPr>
        <w:t>和中国证监会规定禁止的其他活动</w:t>
      </w:r>
      <w:r>
        <w:rPr>
          <w:rFonts w:hAnsi="宋体" w:hint="eastAsia"/>
          <w:szCs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15.1.10法律法规或监管部门取消</w:t>
      </w:r>
      <w:r>
        <w:rPr>
          <w:rFonts w:hint="eastAsia"/>
          <w:bCs/>
        </w:rPr>
        <w:t>或调整上述禁止性规定</w:t>
      </w:r>
      <w:r>
        <w:rPr>
          <w:bCs/>
        </w:rPr>
        <w:t>，</w:t>
      </w:r>
      <w:r>
        <w:rPr>
          <w:rFonts w:hint="eastAsia"/>
          <w:bCs/>
        </w:rPr>
        <w:t>如适用于本基金</w:t>
      </w:r>
      <w:r>
        <w:rPr>
          <w:rFonts w:hAnsi="宋体" w:hint="eastAsia"/>
          <w:szCs w:val="24"/>
        </w:rPr>
        <w:t>，基金管理人在履行适当程序后，本基金</w:t>
      </w:r>
      <w:r>
        <w:rPr>
          <w:rFonts w:hint="eastAsia"/>
          <w:bCs/>
        </w:rPr>
        <w:t>可不受上述规定的限制或按</w:t>
      </w:r>
      <w:r>
        <w:rPr>
          <w:bCs/>
        </w:rPr>
        <w:t>调整</w:t>
      </w:r>
      <w:r>
        <w:rPr>
          <w:rFonts w:hint="eastAsia"/>
          <w:bCs/>
        </w:rPr>
        <w:t>后的规定执行，不需经基金份额持有人大会审议，但须提前公告</w:t>
      </w:r>
      <w:r>
        <w:rPr>
          <w:rFonts w:hAnsi="宋体" w:hint="eastAsia"/>
          <w:szCs w:val="24"/>
        </w:rPr>
        <w:t>。</w:t>
      </w:r>
    </w:p>
    <w:p w:rsidR="004A33FC" w:rsidRDefault="00F25005">
      <w:pPr>
        <w:pStyle w:val="1"/>
        <w:spacing w:line="520" w:lineRule="atLeast"/>
        <w:ind w:firstLineChars="200" w:firstLine="482"/>
        <w:rPr>
          <w:bCs/>
          <w:color w:val="auto"/>
          <w:szCs w:val="24"/>
        </w:rPr>
      </w:pPr>
      <w:bookmarkStart w:id="46" w:name="_Toc296551352"/>
      <w:bookmarkStart w:id="47" w:name="_Toc44321739"/>
      <w:r>
        <w:rPr>
          <w:rFonts w:hint="eastAsia"/>
          <w:bCs/>
          <w:color w:val="auto"/>
          <w:szCs w:val="24"/>
        </w:rPr>
        <w:t>第十六条 本协议的变更、终止与基金财产的清算</w:t>
      </w:r>
      <w:bookmarkEnd w:id="46"/>
      <w:bookmarkEnd w:id="47"/>
    </w:p>
    <w:p w:rsidR="004A33FC" w:rsidRDefault="00F25005">
      <w:pPr>
        <w:pStyle w:val="20"/>
        <w:spacing w:before="0" w:after="0" w:line="520" w:lineRule="atLeast"/>
        <w:ind w:left="0" w:firstLineChars="200" w:firstLine="480"/>
        <w:rPr>
          <w:rFonts w:hAnsi="宋体"/>
          <w:szCs w:val="24"/>
        </w:rPr>
      </w:pPr>
      <w:r>
        <w:rPr>
          <w:rFonts w:hAnsi="宋体" w:hint="eastAsia"/>
          <w:szCs w:val="24"/>
        </w:rPr>
        <w:t>16.1本协议的变更与终止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16.1.1本协议的变更程序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本协议双方当事人经协商一致，可以对协议的内容进行变更</w:t>
      </w:r>
      <w:r>
        <w:rPr>
          <w:rFonts w:asciiTheme="minorEastAsia" w:eastAsiaTheme="minorEastAsia" w:hAnsiTheme="minorEastAsia" w:hint="eastAsia"/>
          <w:szCs w:val="24"/>
        </w:rPr>
        <w:t>，并另行签署书面协议予以明确</w:t>
      </w:r>
      <w:r>
        <w:rPr>
          <w:rFonts w:hAnsi="宋体" w:hint="eastAsia"/>
          <w:szCs w:val="24"/>
        </w:rPr>
        <w:t>。变更后的托管协议，其内容不得与基金合同的规定有任何冲突。本协议的变更报中国证监会注册或备案。</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16.1.2本协议终止的情形</w:t>
      </w:r>
    </w:p>
    <w:p w:rsidR="004A33FC" w:rsidRDefault="00F25005">
      <w:pPr>
        <w:pStyle w:val="20"/>
        <w:spacing w:before="0" w:after="0" w:line="520" w:lineRule="atLeast"/>
        <w:ind w:left="0" w:firstLineChars="200" w:firstLine="480"/>
        <w:rPr>
          <w:rFonts w:hAnsi="宋体"/>
          <w:szCs w:val="24"/>
        </w:rPr>
      </w:pPr>
      <w:r>
        <w:rPr>
          <w:rFonts w:hAnsi="宋体" w:hint="eastAsia"/>
          <w:szCs w:val="24"/>
        </w:rPr>
        <w:t>发生以下情况，本协议终止：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（1）基金合同终止；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（2）基金托管人解散、依法被撤销、破产或由其他基金托管人接管基金资产；</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（3）基金管理人解散、依法被撤销、破产或由其他基金管理人接管基金管理权；</w:t>
      </w:r>
    </w:p>
    <w:p w:rsidR="004A33FC" w:rsidRDefault="00F25005">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4）</w:t>
      </w:r>
      <w:r>
        <w:rPr>
          <w:rFonts w:hAnsi="宋体" w:hint="eastAsia"/>
          <w:szCs w:val="24"/>
        </w:rPr>
        <w:t>发生法律法规或基金合同规定的终止事项。</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16.2基金财产的清算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16.2.1基金财产清算小组</w:t>
      </w:r>
    </w:p>
    <w:p w:rsidR="004A33FC" w:rsidRDefault="00F25005">
      <w:pPr>
        <w:pStyle w:val="20"/>
        <w:spacing w:before="0" w:after="0" w:line="520" w:lineRule="atLeast"/>
        <w:ind w:left="0" w:firstLineChars="200" w:firstLine="480"/>
        <w:rPr>
          <w:rFonts w:hAnsi="宋体"/>
          <w:szCs w:val="24"/>
        </w:rPr>
      </w:pPr>
      <w:r>
        <w:rPr>
          <w:rFonts w:hAnsi="宋体" w:hint="eastAsia"/>
          <w:szCs w:val="24"/>
        </w:rPr>
        <w:t>（1）自出现基金合同终止事由之日起30个工作日内成立清算小组，基金管理</w:t>
      </w:r>
      <w:r>
        <w:rPr>
          <w:rFonts w:hAnsi="宋体" w:hint="eastAsia"/>
          <w:szCs w:val="24"/>
        </w:rPr>
        <w:lastRenderedPageBreak/>
        <w:t>人组织基金财产清算小组并在中国证监会的监督下进行基金清算。</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（2）基金财产清算小组成员由基金管理人、基金托管人、符合《中华人民共和国证券法》规定的注册会计师、律师以及中国证监会指定的人员组成。基金财产清算小组可以聘用必要的工作人员。</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（3）在基金财产清算过程中，基金管理人和基金托管人应各自履行职责，继续忠实、勤勉、尽责地履行基金合同和本协议规定的义务，维护基金份额持有人的合法权益。</w:t>
      </w:r>
    </w:p>
    <w:p w:rsidR="004A33FC" w:rsidRDefault="00F25005">
      <w:pPr>
        <w:pStyle w:val="20"/>
        <w:spacing w:before="0" w:after="0" w:line="520" w:lineRule="atLeast"/>
        <w:ind w:left="0" w:firstLineChars="200" w:firstLine="480"/>
        <w:rPr>
          <w:rFonts w:hAnsi="宋体"/>
          <w:szCs w:val="24"/>
        </w:rPr>
      </w:pPr>
      <w:r>
        <w:rPr>
          <w:rFonts w:hAnsi="宋体" w:hint="eastAsia"/>
          <w:szCs w:val="24"/>
        </w:rPr>
        <w:t>（4）基金财产清算小组负责基金财产的保管、清理、估价、变现和分配。基金财产清算小组可以依法进行必要的民事活动。</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16.2.2基金财产清算程序</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基金合同终止，应当按法律法规和基金合同的有关规定对基金财产进行清算。基金财产清算程序主要包括：</w:t>
      </w:r>
    </w:p>
    <w:p w:rsidR="004A33FC" w:rsidRDefault="00F25005">
      <w:pPr>
        <w:pStyle w:val="20"/>
        <w:spacing w:before="0" w:after="0" w:line="520" w:lineRule="atLeast"/>
        <w:ind w:left="0" w:firstLineChars="200" w:firstLine="480"/>
        <w:rPr>
          <w:rFonts w:hAnsi="宋体"/>
          <w:szCs w:val="24"/>
        </w:rPr>
      </w:pPr>
      <w:r>
        <w:rPr>
          <w:rFonts w:hAnsi="宋体" w:hint="eastAsia"/>
          <w:szCs w:val="24"/>
        </w:rPr>
        <w:t>（1）基金合同终止情形出现时，由基金财产清算小组统一接管基金；</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（2）对基金财产和债权债务进行清理和确认；</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（3）对基金财产进行估值和变现；</w:t>
      </w:r>
    </w:p>
    <w:p w:rsidR="004A33FC" w:rsidRDefault="00F25005">
      <w:pPr>
        <w:pStyle w:val="20"/>
        <w:spacing w:before="0" w:after="0" w:line="520" w:lineRule="atLeast"/>
        <w:ind w:left="0" w:firstLineChars="200" w:firstLine="480"/>
        <w:rPr>
          <w:rFonts w:hAnsi="宋体"/>
          <w:szCs w:val="24"/>
        </w:rPr>
      </w:pPr>
      <w:r>
        <w:rPr>
          <w:rFonts w:hAnsi="宋体" w:hint="eastAsia"/>
          <w:szCs w:val="24"/>
        </w:rPr>
        <w:t>（4）制作清算报告；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（5）聘请会计师事务所对清算报告进行外部审计，聘请律师事务所对清算报告出具法律意见书；</w:t>
      </w:r>
    </w:p>
    <w:p w:rsidR="004A33FC" w:rsidRDefault="00F25005">
      <w:pPr>
        <w:pStyle w:val="20"/>
        <w:spacing w:before="0" w:after="0" w:line="520" w:lineRule="atLeast"/>
        <w:ind w:left="0" w:firstLineChars="200" w:firstLine="480"/>
        <w:rPr>
          <w:rFonts w:hAnsi="宋体"/>
          <w:szCs w:val="24"/>
        </w:rPr>
      </w:pPr>
      <w:r>
        <w:rPr>
          <w:rFonts w:hAnsi="宋体" w:hint="eastAsia"/>
          <w:szCs w:val="24"/>
        </w:rPr>
        <w:t>（6）将清算报告报中国证监会备案并公告；</w:t>
      </w:r>
    </w:p>
    <w:p w:rsidR="004A33FC" w:rsidRDefault="00F25005">
      <w:pPr>
        <w:pStyle w:val="20"/>
        <w:spacing w:before="0" w:after="0" w:line="520" w:lineRule="atLeast"/>
        <w:ind w:left="0" w:firstLineChars="200" w:firstLine="480"/>
        <w:rPr>
          <w:rFonts w:hAnsi="宋体"/>
          <w:szCs w:val="24"/>
        </w:rPr>
      </w:pPr>
      <w:r>
        <w:rPr>
          <w:rFonts w:hAnsi="宋体" w:hint="eastAsia"/>
          <w:szCs w:val="24"/>
        </w:rPr>
        <w:t>（7）对基金剩余财产进行分配。</w:t>
      </w:r>
    </w:p>
    <w:p w:rsidR="004A33FC" w:rsidRDefault="00F25005">
      <w:pPr>
        <w:pStyle w:val="20"/>
        <w:spacing w:before="0" w:after="0" w:line="520" w:lineRule="atLeast"/>
        <w:ind w:left="0" w:firstLineChars="200" w:firstLine="480"/>
        <w:rPr>
          <w:bCs/>
          <w:szCs w:val="24"/>
        </w:rPr>
      </w:pPr>
      <w:r>
        <w:rPr>
          <w:bCs/>
        </w:rPr>
        <w:t>基金财产清算的期限为</w:t>
      </w:r>
      <w:r>
        <w:rPr>
          <w:rFonts w:hint="eastAsia"/>
          <w:bCs/>
        </w:rPr>
        <w:t>6</w:t>
      </w:r>
      <w:r>
        <w:rPr>
          <w:bCs/>
        </w:rPr>
        <w:t>个月</w:t>
      </w:r>
      <w:r>
        <w:rPr>
          <w:rFonts w:hint="eastAsia"/>
          <w:bCs/>
          <w:szCs w:val="24"/>
        </w:rPr>
        <w:t>，但因本基金所持证券的流动性受到限制而不能及时变现的，清算期限相应顺延。</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16.2.3清算费用</w:t>
      </w:r>
    </w:p>
    <w:p w:rsidR="004A33FC" w:rsidRDefault="00F25005">
      <w:pPr>
        <w:pStyle w:val="20"/>
        <w:spacing w:before="0" w:after="0" w:line="520" w:lineRule="atLeast"/>
        <w:ind w:left="0" w:firstLineChars="200" w:firstLine="480"/>
        <w:rPr>
          <w:rFonts w:hAnsi="宋体"/>
          <w:szCs w:val="24"/>
        </w:rPr>
      </w:pPr>
      <w:r>
        <w:rPr>
          <w:rFonts w:hAnsi="宋体" w:hint="eastAsia"/>
          <w:szCs w:val="24"/>
        </w:rPr>
        <w:t>清算费用是指基金财产清算小组在进行基金财产清算过程中发生的所有合理费用，清算费用由基金财产清算小组优先从基金剩余财产中支付。</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16.2.4依据基金财产清算的分配方案，将基金财产清算后的全部剩余资产扣除基金财产清算费用、交纳所欠税款并清偿基金债务后，按基金份额持有人持有的基金份额比例进行分配。</w:t>
      </w:r>
    </w:p>
    <w:p w:rsidR="004A33FC" w:rsidRDefault="00F25005">
      <w:pPr>
        <w:pStyle w:val="20"/>
        <w:spacing w:before="0" w:after="0" w:line="520" w:lineRule="atLeast"/>
        <w:ind w:left="0" w:firstLineChars="200" w:firstLine="480"/>
        <w:rPr>
          <w:rFonts w:hAnsi="宋体"/>
          <w:szCs w:val="24"/>
        </w:rPr>
      </w:pPr>
      <w:r>
        <w:rPr>
          <w:rFonts w:hAnsi="宋体" w:hint="eastAsia"/>
          <w:szCs w:val="24"/>
        </w:rPr>
        <w:lastRenderedPageBreak/>
        <w:t>16.2.5基金财产清算的公告</w:t>
      </w:r>
    </w:p>
    <w:p w:rsidR="004A33FC" w:rsidRDefault="00F25005">
      <w:pPr>
        <w:spacing w:line="520" w:lineRule="atLeast"/>
        <w:ind w:firstLineChars="200" w:firstLine="480"/>
        <w:rPr>
          <w:bCs/>
          <w:sz w:val="24"/>
        </w:rPr>
      </w:pPr>
      <w:r>
        <w:rPr>
          <w:rFonts w:ascii="宋体" w:hAnsi="宋体" w:hint="eastAsia"/>
          <w:bCs/>
          <w:sz w:val="24"/>
        </w:rPr>
        <w:t>清算过程中的有关重大事项须及时公告；基金财产清算报告</w:t>
      </w:r>
      <w:proofErr w:type="gramStart"/>
      <w:r>
        <w:rPr>
          <w:rFonts w:ascii="宋体" w:hAnsi="宋体" w:hint="eastAsia"/>
          <w:bCs/>
          <w:sz w:val="24"/>
        </w:rPr>
        <w:t>经符合</w:t>
      </w:r>
      <w:proofErr w:type="gramEnd"/>
      <w:r>
        <w:rPr>
          <w:rFonts w:ascii="宋体" w:hAnsi="宋体" w:hint="eastAsia"/>
          <w:bCs/>
          <w:sz w:val="24"/>
        </w:rPr>
        <w:t>《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r>
        <w:rPr>
          <w:rFonts w:hint="eastAsia"/>
          <w:bCs/>
          <w:sz w:val="24"/>
        </w:rPr>
        <w:t>。</w:t>
      </w:r>
    </w:p>
    <w:p w:rsidR="004A33FC" w:rsidRDefault="00F25005">
      <w:pPr>
        <w:pStyle w:val="20"/>
        <w:spacing w:before="0" w:after="0" w:line="520" w:lineRule="atLeast"/>
        <w:ind w:left="0" w:firstLineChars="200" w:firstLine="480"/>
        <w:rPr>
          <w:rFonts w:hAnsi="宋体"/>
          <w:szCs w:val="24"/>
        </w:rPr>
      </w:pPr>
      <w:r>
        <w:rPr>
          <w:rFonts w:hAnsi="宋体" w:hint="eastAsia"/>
          <w:szCs w:val="24"/>
        </w:rPr>
        <w:t>16.2.6基金财产清算账册及文件的保存</w:t>
      </w:r>
    </w:p>
    <w:p w:rsidR="004A33FC" w:rsidRDefault="00F25005">
      <w:pPr>
        <w:pStyle w:val="20"/>
        <w:spacing w:before="0" w:after="0" w:line="520" w:lineRule="atLeast"/>
        <w:ind w:left="0" w:firstLineChars="200" w:firstLine="480"/>
        <w:rPr>
          <w:rFonts w:hAnsi="宋体"/>
          <w:szCs w:val="24"/>
        </w:rPr>
      </w:pPr>
      <w:r>
        <w:rPr>
          <w:rFonts w:hAnsi="宋体" w:hint="eastAsia"/>
          <w:szCs w:val="24"/>
        </w:rPr>
        <w:t>基金财产清算账册及有关文件由基金托管人保存，保存期限不低于法律法规规定的期限。</w:t>
      </w:r>
      <w:bookmarkStart w:id="48" w:name="_Toc296551353"/>
    </w:p>
    <w:p w:rsidR="004A33FC" w:rsidRDefault="00F25005">
      <w:pPr>
        <w:pStyle w:val="1"/>
        <w:spacing w:line="520" w:lineRule="atLeast"/>
        <w:ind w:firstLineChars="200" w:firstLine="482"/>
        <w:rPr>
          <w:bCs/>
          <w:color w:val="auto"/>
          <w:szCs w:val="24"/>
        </w:rPr>
      </w:pPr>
      <w:bookmarkStart w:id="49" w:name="_Toc44321740"/>
      <w:r>
        <w:rPr>
          <w:rFonts w:hint="eastAsia"/>
          <w:bCs/>
          <w:color w:val="auto"/>
          <w:szCs w:val="24"/>
        </w:rPr>
        <w:t>第十七条 违约责任</w:t>
      </w:r>
      <w:bookmarkEnd w:id="48"/>
      <w:bookmarkEnd w:id="49"/>
    </w:p>
    <w:p w:rsidR="004A33FC" w:rsidRDefault="00F25005">
      <w:pPr>
        <w:pStyle w:val="20"/>
        <w:spacing w:before="0" w:after="0" w:line="520" w:lineRule="atLeast"/>
        <w:ind w:left="0" w:firstLineChars="200" w:firstLine="480"/>
        <w:rPr>
          <w:rFonts w:hAnsi="宋体"/>
          <w:szCs w:val="24"/>
        </w:rPr>
      </w:pPr>
      <w:r>
        <w:rPr>
          <w:rFonts w:hAnsi="宋体" w:hint="eastAsia"/>
          <w:szCs w:val="24"/>
        </w:rPr>
        <w:t>17.1如果基金管理人或基金托管人不履行本协议或者履行本协议不符合约定的，应当承担违约责任。</w:t>
      </w:r>
    </w:p>
    <w:p w:rsidR="004A33FC" w:rsidRDefault="00F25005">
      <w:pPr>
        <w:pStyle w:val="20"/>
        <w:spacing w:before="0" w:after="0" w:line="520" w:lineRule="atLeast"/>
        <w:ind w:left="0" w:firstLineChars="200" w:firstLine="480"/>
        <w:rPr>
          <w:rFonts w:hAnsi="宋体"/>
          <w:szCs w:val="24"/>
        </w:rPr>
      </w:pPr>
      <w:r>
        <w:rPr>
          <w:rFonts w:hAnsi="宋体" w:hint="eastAsia"/>
          <w:szCs w:val="24"/>
        </w:rPr>
        <w:t>17.2</w:t>
      </w:r>
      <w:r>
        <w:rPr>
          <w:rFonts w:hAnsi="宋体" w:hint="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Pr>
          <w:rFonts w:hAnsi="宋体" w:hint="eastAsia"/>
          <w:szCs w:val="24"/>
        </w:rPr>
        <w:t>但是发生下列情况，当事人可以免责：</w:t>
      </w:r>
    </w:p>
    <w:p w:rsidR="004A33FC" w:rsidRDefault="00F25005">
      <w:pPr>
        <w:pStyle w:val="20"/>
        <w:spacing w:before="0" w:after="0" w:line="520" w:lineRule="atLeast"/>
        <w:ind w:left="0" w:firstLineChars="200" w:firstLine="480"/>
        <w:rPr>
          <w:rFonts w:hAnsi="宋体"/>
          <w:szCs w:val="24"/>
        </w:rPr>
      </w:pPr>
      <w:r>
        <w:rPr>
          <w:rFonts w:hAnsi="宋体" w:hint="eastAsia"/>
          <w:szCs w:val="24"/>
        </w:rPr>
        <w:t>（1）不可抗力；</w:t>
      </w:r>
    </w:p>
    <w:p w:rsidR="004A33FC" w:rsidRDefault="00F25005">
      <w:pPr>
        <w:pStyle w:val="20"/>
        <w:spacing w:before="0" w:after="0" w:line="520" w:lineRule="atLeast"/>
        <w:ind w:left="0" w:firstLineChars="200" w:firstLine="480"/>
        <w:rPr>
          <w:rFonts w:hAnsi="宋体"/>
          <w:szCs w:val="24"/>
        </w:rPr>
      </w:pPr>
      <w:r>
        <w:rPr>
          <w:rFonts w:hAnsi="宋体" w:hint="eastAsia"/>
          <w:szCs w:val="24"/>
        </w:rPr>
        <w:t>（2）基金管理人</w:t>
      </w:r>
      <w:r>
        <w:rPr>
          <w:rFonts w:hint="eastAsia"/>
          <w:bCs/>
        </w:rPr>
        <w:t>和/或</w:t>
      </w:r>
      <w:r>
        <w:rPr>
          <w:rFonts w:hAnsi="宋体" w:hint="eastAsia"/>
          <w:szCs w:val="24"/>
        </w:rPr>
        <w:t>基金托管人按照</w:t>
      </w:r>
      <w:r>
        <w:rPr>
          <w:rFonts w:hint="eastAsia"/>
          <w:bCs/>
        </w:rPr>
        <w:t>届时</w:t>
      </w:r>
      <w:r>
        <w:rPr>
          <w:rFonts w:hAnsi="宋体" w:hint="eastAsia"/>
          <w:szCs w:val="24"/>
        </w:rPr>
        <w:t>有效的法律法规或中国证监会的规定作为或不作为而造成的损失等；</w:t>
      </w:r>
    </w:p>
    <w:p w:rsidR="004A33FC" w:rsidRDefault="00F25005">
      <w:pPr>
        <w:pStyle w:val="20"/>
        <w:spacing w:before="0" w:after="0" w:line="520" w:lineRule="atLeast"/>
        <w:ind w:left="0" w:firstLineChars="200" w:firstLine="480"/>
        <w:rPr>
          <w:rFonts w:hAnsi="宋体"/>
          <w:szCs w:val="24"/>
        </w:rPr>
      </w:pPr>
      <w:r>
        <w:rPr>
          <w:rFonts w:hAnsi="宋体" w:hint="eastAsia"/>
          <w:szCs w:val="24"/>
        </w:rPr>
        <w:t>（3）基金管理人由于按照基金合同规定的投资原则</w:t>
      </w:r>
      <w:r>
        <w:rPr>
          <w:rFonts w:hint="eastAsia"/>
          <w:bCs/>
        </w:rPr>
        <w:t>而行使或不行使其投资权</w:t>
      </w:r>
      <w:r>
        <w:rPr>
          <w:rFonts w:hAnsi="宋体" w:hint="eastAsia"/>
          <w:szCs w:val="24"/>
        </w:rPr>
        <w:t>而造成的损失等。</w:t>
      </w:r>
    </w:p>
    <w:p w:rsidR="004A33FC" w:rsidRDefault="00F25005">
      <w:pPr>
        <w:pStyle w:val="20"/>
        <w:spacing w:before="0" w:after="0" w:line="520" w:lineRule="atLeast"/>
        <w:ind w:left="0" w:firstLineChars="200" w:firstLine="480"/>
        <w:rPr>
          <w:rFonts w:hAnsi="宋体"/>
          <w:szCs w:val="24"/>
        </w:rPr>
      </w:pPr>
      <w:r>
        <w:rPr>
          <w:rFonts w:hAnsi="宋体" w:hint="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合理的成本、费用和支出，以及由此遭受的损失。</w:t>
      </w:r>
    </w:p>
    <w:p w:rsidR="004A33FC" w:rsidRDefault="00F25005">
      <w:pPr>
        <w:pStyle w:val="20"/>
        <w:spacing w:before="0" w:after="0" w:line="520" w:lineRule="atLeast"/>
        <w:ind w:left="0" w:firstLineChars="200" w:firstLine="480"/>
        <w:rPr>
          <w:rFonts w:hAnsi="宋体"/>
          <w:szCs w:val="24"/>
        </w:rPr>
      </w:pPr>
      <w:r>
        <w:rPr>
          <w:rFonts w:hAnsi="宋体" w:hint="eastAsia"/>
          <w:szCs w:val="24"/>
        </w:rPr>
        <w:t>17.4当事人一方违约，非违约方当事人在职责范围内有义务及时采取必要的措施，防止损失的扩大。没有采取适当措施致使损失进一步扩大的，不得就扩大的</w:t>
      </w:r>
      <w:r>
        <w:rPr>
          <w:rFonts w:hAnsi="宋体" w:hint="eastAsia"/>
          <w:szCs w:val="24"/>
        </w:rPr>
        <w:lastRenderedPageBreak/>
        <w:t>损失要求赔偿。非违约方因防止损失扩大而支出的合理费用由违约方承担。</w:t>
      </w:r>
    </w:p>
    <w:p w:rsidR="004A33FC" w:rsidRDefault="00F25005">
      <w:pPr>
        <w:pStyle w:val="20"/>
        <w:spacing w:before="0" w:after="0" w:line="520" w:lineRule="atLeast"/>
        <w:ind w:left="0" w:firstLineChars="200" w:firstLine="480"/>
        <w:rPr>
          <w:rFonts w:hAnsi="宋体"/>
          <w:szCs w:val="24"/>
        </w:rPr>
      </w:pPr>
      <w:r>
        <w:rPr>
          <w:rFonts w:hAnsi="宋体" w:hint="eastAsia"/>
          <w:szCs w:val="24"/>
        </w:rPr>
        <w:t>17.5违约行为虽已发生，但本协议能够继续履行的，在最大限度地保护基金份额持有人利益的前提下，基金管理人和基金托管人应当继续履行本协议。</w:t>
      </w:r>
    </w:p>
    <w:p w:rsidR="004A33FC" w:rsidRDefault="00F25005">
      <w:pPr>
        <w:pStyle w:val="20"/>
        <w:spacing w:before="0" w:after="0" w:line="520" w:lineRule="atLeast"/>
        <w:ind w:left="0" w:firstLineChars="200" w:firstLine="480"/>
        <w:rPr>
          <w:rFonts w:hAnsi="宋体"/>
          <w:szCs w:val="24"/>
        </w:rPr>
      </w:pPr>
      <w:r>
        <w:rPr>
          <w:rFonts w:hAnsi="宋体" w:hint="eastAsia"/>
          <w:szCs w:val="24"/>
        </w:rPr>
        <w:t>17.6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减轻或消除由此造成的影响。</w:t>
      </w:r>
    </w:p>
    <w:p w:rsidR="004A33FC" w:rsidRDefault="00F25005">
      <w:pPr>
        <w:pStyle w:val="20"/>
        <w:snapToGrid w:val="0"/>
        <w:spacing w:before="0" w:after="0" w:line="520" w:lineRule="atLeast"/>
        <w:ind w:left="0" w:firstLineChars="200" w:firstLine="480"/>
        <w:rPr>
          <w:rFonts w:hAnsi="宋体"/>
          <w:szCs w:val="24"/>
        </w:rPr>
      </w:pPr>
      <w:r>
        <w:rPr>
          <w:rFonts w:hAnsi="宋体" w:hint="eastAsia"/>
          <w:szCs w:val="24"/>
        </w:rPr>
        <w:t>17.7本协议所指损失均为直接损失。</w:t>
      </w:r>
    </w:p>
    <w:p w:rsidR="004A33FC" w:rsidRDefault="00F25005">
      <w:pPr>
        <w:pStyle w:val="1"/>
        <w:spacing w:line="520" w:lineRule="atLeast"/>
        <w:ind w:firstLineChars="200" w:firstLine="482"/>
        <w:rPr>
          <w:bCs/>
          <w:color w:val="auto"/>
          <w:szCs w:val="24"/>
        </w:rPr>
      </w:pPr>
      <w:bookmarkStart w:id="50" w:name="_Toc44321741"/>
      <w:bookmarkStart w:id="51" w:name="_Toc296551354"/>
      <w:r>
        <w:rPr>
          <w:rFonts w:hint="eastAsia"/>
          <w:bCs/>
          <w:color w:val="auto"/>
          <w:szCs w:val="24"/>
        </w:rPr>
        <w:t>第十八条 法律</w:t>
      </w:r>
      <w:r>
        <w:rPr>
          <w:bCs/>
          <w:color w:val="auto"/>
          <w:szCs w:val="24"/>
        </w:rPr>
        <w:t>适用和</w:t>
      </w:r>
      <w:r>
        <w:rPr>
          <w:rFonts w:hint="eastAsia"/>
          <w:bCs/>
          <w:color w:val="auto"/>
          <w:szCs w:val="24"/>
        </w:rPr>
        <w:t>争议解决</w:t>
      </w:r>
      <w:bookmarkEnd w:id="50"/>
      <w:bookmarkEnd w:id="51"/>
    </w:p>
    <w:p w:rsidR="004A33FC" w:rsidRDefault="00F25005">
      <w:pPr>
        <w:adjustRightInd w:val="0"/>
        <w:snapToGrid w:val="0"/>
        <w:spacing w:line="520" w:lineRule="atLeast"/>
        <w:ind w:firstLineChars="200" w:firstLine="480"/>
        <w:rPr>
          <w:bCs/>
          <w:sz w:val="24"/>
        </w:rPr>
      </w:pPr>
      <w:r>
        <w:rPr>
          <w:rFonts w:hint="eastAsia"/>
          <w:bCs/>
          <w:sz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rsidR="004A33FC" w:rsidRDefault="00F25005">
      <w:pPr>
        <w:adjustRightInd w:val="0"/>
        <w:snapToGrid w:val="0"/>
        <w:spacing w:line="520" w:lineRule="atLeast"/>
        <w:ind w:firstLineChars="200" w:firstLine="482"/>
        <w:rPr>
          <w:b/>
          <w:sz w:val="24"/>
        </w:rPr>
      </w:pPr>
      <w:r>
        <w:rPr>
          <w:rFonts w:hint="eastAsia"/>
          <w:b/>
          <w:sz w:val="24"/>
        </w:rPr>
        <w:t>凡因本协议产生的及与本协议有关的争议，如经友好协商未能解决的，均应提交中国国际经济贸易仲裁委员会按照申请仲裁时该会届时有效的仲裁规则进行仲裁，仲裁地点为北京市。仲裁裁决是终局的，并对双方当事人具有约束力。除非仲裁裁决另有规定，仲裁费用和律师费用由败诉方承担。</w:t>
      </w:r>
    </w:p>
    <w:p w:rsidR="004A33FC" w:rsidRDefault="00F25005">
      <w:pPr>
        <w:adjustRightInd w:val="0"/>
        <w:snapToGrid w:val="0"/>
        <w:spacing w:line="520" w:lineRule="atLeast"/>
        <w:ind w:firstLineChars="200" w:firstLine="480"/>
        <w:rPr>
          <w:bCs/>
          <w:sz w:val="24"/>
        </w:rPr>
      </w:pPr>
      <w:r>
        <w:rPr>
          <w:rFonts w:hint="eastAsia"/>
          <w:bCs/>
          <w:sz w:val="24"/>
        </w:rPr>
        <w:t>争议处理期间，双方当事人应恪守基金管理人和基金托管人职责，继续忠实、勤勉、尽责地履行基金合同和本协议规定的义务，维护基金份额持有人的合法权益。</w:t>
      </w:r>
    </w:p>
    <w:p w:rsidR="004A33FC" w:rsidRDefault="00F25005">
      <w:pPr>
        <w:pStyle w:val="1"/>
        <w:adjustRightInd w:val="0"/>
        <w:spacing w:line="520" w:lineRule="atLeast"/>
        <w:ind w:firstLineChars="200" w:firstLine="482"/>
        <w:rPr>
          <w:bCs/>
          <w:color w:val="auto"/>
          <w:szCs w:val="24"/>
        </w:rPr>
      </w:pPr>
      <w:bookmarkStart w:id="52" w:name="_Toc296551355"/>
      <w:bookmarkStart w:id="53" w:name="_Toc44321742"/>
      <w:r>
        <w:rPr>
          <w:rFonts w:hint="eastAsia"/>
          <w:bCs/>
          <w:color w:val="auto"/>
          <w:szCs w:val="24"/>
        </w:rPr>
        <w:t>第十九条 本协议的效力</w:t>
      </w:r>
      <w:bookmarkEnd w:id="52"/>
      <w:bookmarkEnd w:id="53"/>
    </w:p>
    <w:p w:rsidR="004A33FC" w:rsidRDefault="00F25005">
      <w:pPr>
        <w:pStyle w:val="20"/>
        <w:adjustRightInd w:val="0"/>
        <w:snapToGrid w:val="0"/>
        <w:spacing w:before="0" w:after="0" w:line="520" w:lineRule="atLeast"/>
        <w:ind w:left="0" w:firstLineChars="200" w:firstLine="480"/>
        <w:rPr>
          <w:rFonts w:hAnsi="宋体"/>
          <w:szCs w:val="24"/>
        </w:rPr>
      </w:pPr>
      <w:r>
        <w:rPr>
          <w:rFonts w:hAnsi="宋体" w:hint="eastAsia"/>
          <w:szCs w:val="24"/>
        </w:rPr>
        <w:t>19.1基金管理人在向中国证监会申请发售基金份额时提交的托管协议草案，应经托管协议当事人加盖公章或合同专用章以及双方法定代表人</w:t>
      </w:r>
      <w:r>
        <w:rPr>
          <w:rFonts w:hAnsi="宋体"/>
          <w:szCs w:val="24"/>
        </w:rPr>
        <w:t>/负责人</w:t>
      </w:r>
      <w:r>
        <w:rPr>
          <w:rFonts w:hAnsi="宋体" w:hint="eastAsia"/>
          <w:szCs w:val="24"/>
        </w:rPr>
        <w:t>或授权代理人签章（签字或加盖名章），本协议当事人双方可能不时根据中国证监会的意见修改托管协议草案。本协议以中国证监会注册的最终文本为正式文本。</w:t>
      </w:r>
    </w:p>
    <w:p w:rsidR="004A33FC" w:rsidRDefault="00F25005">
      <w:pPr>
        <w:pStyle w:val="20"/>
        <w:spacing w:before="0" w:after="0" w:line="520" w:lineRule="atLeast"/>
        <w:ind w:left="0" w:firstLineChars="200" w:firstLine="480"/>
        <w:rPr>
          <w:rFonts w:hAnsi="宋体"/>
          <w:szCs w:val="24"/>
        </w:rPr>
      </w:pPr>
      <w:r>
        <w:rPr>
          <w:rFonts w:hAnsi="宋体" w:hint="eastAsia"/>
          <w:szCs w:val="24"/>
        </w:rPr>
        <w:t>19.2本协议自双方</w:t>
      </w:r>
      <w:r>
        <w:rPr>
          <w:rFonts w:hAnsi="宋体"/>
          <w:szCs w:val="24"/>
        </w:rPr>
        <w:t>签订</w:t>
      </w:r>
      <w:r>
        <w:rPr>
          <w:rFonts w:hAnsi="宋体" w:hint="eastAsia"/>
          <w:szCs w:val="24"/>
        </w:rPr>
        <w:t>之日起成立，自基金合同生效之日起生效。本协议的有效期自其生效之日起至该基金财产清算结果报中国证监会备案并公告之日止。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19.3本协议自生效之日起对双方具有同等的法律约束力。</w:t>
      </w:r>
    </w:p>
    <w:p w:rsidR="004A33FC" w:rsidRDefault="00F25005">
      <w:pPr>
        <w:pStyle w:val="20"/>
        <w:spacing w:before="0" w:after="0" w:line="520" w:lineRule="atLeast"/>
        <w:ind w:left="0" w:firstLineChars="200" w:firstLine="480"/>
        <w:rPr>
          <w:rFonts w:hAnsi="宋体"/>
          <w:szCs w:val="24"/>
        </w:rPr>
      </w:pPr>
      <w:r>
        <w:rPr>
          <w:rFonts w:hAnsi="宋体" w:hint="eastAsia"/>
          <w:szCs w:val="24"/>
        </w:rPr>
        <w:t>19.4本协议正本一式三份，除上报有关监管机构一份外，基金管理人和基金</w:t>
      </w:r>
      <w:r>
        <w:rPr>
          <w:rFonts w:hAnsi="宋体" w:hint="eastAsia"/>
          <w:szCs w:val="24"/>
        </w:rPr>
        <w:lastRenderedPageBreak/>
        <w:t>托管人分别持有一份，每份具有同等的法律效力。</w:t>
      </w:r>
    </w:p>
    <w:p w:rsidR="004A33FC" w:rsidRDefault="00F25005">
      <w:pPr>
        <w:pStyle w:val="1"/>
        <w:spacing w:line="520" w:lineRule="atLeast"/>
        <w:ind w:firstLineChars="200" w:firstLine="482"/>
        <w:rPr>
          <w:bCs/>
          <w:color w:val="auto"/>
          <w:szCs w:val="24"/>
        </w:rPr>
      </w:pPr>
      <w:bookmarkStart w:id="54" w:name="_Toc296551356"/>
      <w:bookmarkStart w:id="55" w:name="_Toc44321743"/>
      <w:r>
        <w:rPr>
          <w:rFonts w:hint="eastAsia"/>
          <w:bCs/>
          <w:color w:val="auto"/>
          <w:szCs w:val="24"/>
        </w:rPr>
        <w:t>第二十条 本协议的签订</w:t>
      </w:r>
      <w:bookmarkEnd w:id="54"/>
      <w:bookmarkEnd w:id="55"/>
    </w:p>
    <w:p w:rsidR="004A33FC" w:rsidRDefault="00F25005">
      <w:pPr>
        <w:snapToGrid w:val="0"/>
        <w:spacing w:line="520" w:lineRule="atLeast"/>
        <w:ind w:firstLineChars="200" w:firstLine="480"/>
        <w:rPr>
          <w:rFonts w:ascii="宋体" w:hAnsi="宋体"/>
          <w:sz w:val="24"/>
          <w:szCs w:val="24"/>
        </w:rPr>
      </w:pPr>
      <w:r>
        <w:rPr>
          <w:rFonts w:ascii="宋体" w:hAnsi="宋体" w:hint="eastAsia"/>
          <w:sz w:val="24"/>
          <w:szCs w:val="24"/>
        </w:rPr>
        <w:t>20.1本协议经基金管理人和基金托管人认可后，由双方当事人在本协议上加盖公章或合同专用章，并由各自的法定代表人</w:t>
      </w:r>
      <w:r>
        <w:rPr>
          <w:rFonts w:ascii="宋体" w:hAnsi="宋体"/>
          <w:sz w:val="24"/>
          <w:szCs w:val="24"/>
        </w:rPr>
        <w:t>/负责人</w:t>
      </w:r>
      <w:r>
        <w:rPr>
          <w:rFonts w:ascii="宋体" w:hAnsi="宋体" w:hint="eastAsia"/>
          <w:sz w:val="24"/>
          <w:szCs w:val="24"/>
        </w:rPr>
        <w:t>或授权代理人签章（签字或加盖名章），并注明本托管协议的签订地点和签订日期。</w:t>
      </w:r>
    </w:p>
    <w:p w:rsidR="004A33FC" w:rsidRDefault="00F25005">
      <w:pPr>
        <w:pStyle w:val="1"/>
        <w:spacing w:line="520" w:lineRule="atLeast"/>
        <w:ind w:firstLineChars="200" w:firstLine="482"/>
        <w:rPr>
          <w:bCs/>
          <w:color w:val="auto"/>
          <w:szCs w:val="24"/>
        </w:rPr>
      </w:pPr>
      <w:bookmarkStart w:id="56" w:name="_Toc44321744"/>
      <w:r>
        <w:rPr>
          <w:rFonts w:hint="eastAsia"/>
          <w:bCs/>
          <w:color w:val="auto"/>
          <w:szCs w:val="24"/>
        </w:rPr>
        <w:t>第二十一条 不可抗力</w:t>
      </w:r>
      <w:bookmarkEnd w:id="56"/>
    </w:p>
    <w:p w:rsidR="004A33FC" w:rsidRDefault="00F25005">
      <w:pPr>
        <w:pStyle w:val="20"/>
        <w:spacing w:before="0" w:after="0" w:line="520" w:lineRule="atLeast"/>
        <w:ind w:left="0" w:firstLineChars="200" w:firstLine="480"/>
        <w:rPr>
          <w:rFonts w:hAnsi="宋体"/>
          <w:szCs w:val="24"/>
        </w:rPr>
      </w:pPr>
      <w:r>
        <w:rPr>
          <w:rFonts w:hAnsi="宋体" w:hint="eastAsia"/>
          <w:szCs w:val="24"/>
        </w:rPr>
        <w:t>21.1如果本协议任何一方因受不可抗力事件影响而未能履行其在本协议下的全部或部分义务，该义务的履行在不可抗力事件妨碍其履行期间应予中止。</w:t>
      </w:r>
    </w:p>
    <w:p w:rsidR="004A33FC" w:rsidRDefault="00F25005">
      <w:pPr>
        <w:pStyle w:val="20"/>
        <w:spacing w:before="0" w:after="0" w:line="520" w:lineRule="atLeast"/>
        <w:ind w:left="0" w:firstLineChars="200" w:firstLine="480"/>
        <w:rPr>
          <w:rFonts w:hAnsi="宋体"/>
          <w:szCs w:val="24"/>
        </w:rPr>
      </w:pPr>
      <w:r>
        <w:rPr>
          <w:rFonts w:hAnsi="宋体" w:hint="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rsidR="004A33FC" w:rsidRDefault="00F25005">
      <w:pPr>
        <w:pStyle w:val="20"/>
        <w:spacing w:before="0" w:after="0" w:line="520" w:lineRule="atLeast"/>
        <w:ind w:left="0" w:firstLineChars="200" w:firstLine="480"/>
        <w:rPr>
          <w:rFonts w:hAnsi="宋体"/>
          <w:szCs w:val="24"/>
        </w:rPr>
      </w:pPr>
      <w:r>
        <w:rPr>
          <w:rFonts w:hAnsi="宋体" w:hint="eastAsia"/>
          <w:szCs w:val="24"/>
        </w:rPr>
        <w:t>21.3不可抗力事件发生时，双方应立即通过友好协商决定如何执行本协议。不可抗力事件或其影响终止或消除后，双方须立即恢复履行各自在本协议项下的各项义务。</w:t>
      </w:r>
    </w:p>
    <w:p w:rsidR="004A33FC" w:rsidRDefault="00F25005">
      <w:pPr>
        <w:pStyle w:val="20"/>
        <w:spacing w:before="0" w:after="0" w:line="520" w:lineRule="atLeast"/>
        <w:ind w:left="0" w:firstLineChars="200" w:firstLine="480"/>
        <w:rPr>
          <w:rFonts w:hAnsi="宋体"/>
          <w:szCs w:val="24"/>
        </w:rPr>
      </w:pPr>
      <w:r>
        <w:rPr>
          <w:rFonts w:hAnsi="宋体" w:hint="eastAsia"/>
          <w:szCs w:val="24"/>
        </w:rPr>
        <w:t>21.4本条所述的不可抗力事件是指不能预见、不能避免并不能克服的客观情况。</w:t>
      </w:r>
    </w:p>
    <w:p w:rsidR="004A33FC" w:rsidRDefault="00F25005">
      <w:pPr>
        <w:pStyle w:val="1"/>
        <w:spacing w:line="520" w:lineRule="atLeast"/>
        <w:ind w:firstLineChars="200" w:firstLine="482"/>
        <w:rPr>
          <w:bCs/>
          <w:szCs w:val="24"/>
        </w:rPr>
      </w:pPr>
      <w:bookmarkStart w:id="57" w:name="_Toc132794329"/>
      <w:bookmarkStart w:id="58" w:name="_Toc132794327"/>
      <w:bookmarkStart w:id="59" w:name="_Toc132794330"/>
      <w:bookmarkStart w:id="60" w:name="_Toc132794325"/>
      <w:bookmarkStart w:id="61" w:name="_Toc132794326"/>
      <w:bookmarkStart w:id="62" w:name="_Toc132794328"/>
      <w:bookmarkStart w:id="63" w:name="_Toc132794324"/>
      <w:bookmarkStart w:id="64" w:name="_Toc44321745"/>
      <w:bookmarkEnd w:id="57"/>
      <w:bookmarkEnd w:id="58"/>
      <w:bookmarkEnd w:id="59"/>
      <w:bookmarkEnd w:id="60"/>
      <w:bookmarkEnd w:id="61"/>
      <w:bookmarkEnd w:id="62"/>
      <w:bookmarkEnd w:id="63"/>
      <w:r>
        <w:rPr>
          <w:rFonts w:hint="eastAsia"/>
          <w:bCs/>
          <w:color w:val="auto"/>
          <w:szCs w:val="24"/>
        </w:rPr>
        <w:t>第二十二条</w:t>
      </w:r>
      <w:r>
        <w:rPr>
          <w:bCs/>
          <w:color w:val="auto"/>
          <w:szCs w:val="24"/>
        </w:rPr>
        <w:t xml:space="preserve"> </w:t>
      </w:r>
      <w:r>
        <w:rPr>
          <w:rFonts w:hint="eastAsia"/>
          <w:bCs/>
          <w:color w:val="auto"/>
          <w:szCs w:val="24"/>
        </w:rPr>
        <w:t>可分割性</w:t>
      </w:r>
      <w:bookmarkEnd w:id="64"/>
    </w:p>
    <w:p w:rsidR="004A33FC" w:rsidRDefault="00F25005">
      <w:pPr>
        <w:pStyle w:val="20"/>
        <w:spacing w:before="0" w:after="0" w:line="520" w:lineRule="atLeast"/>
        <w:ind w:left="0" w:firstLineChars="200" w:firstLine="480"/>
        <w:rPr>
          <w:rFonts w:hAnsi="宋体"/>
          <w:szCs w:val="24"/>
        </w:rPr>
      </w:pPr>
      <w:r>
        <w:rPr>
          <w:rFonts w:hAnsi="宋体"/>
          <w:szCs w:val="24"/>
        </w:rPr>
        <w:t>22.1如果本协议任何约定依现行法律被确定为无效或无法实施，本协议的其他条款将继续有效。此种情况下，</w:t>
      </w:r>
      <w:r>
        <w:rPr>
          <w:rFonts w:hAnsi="宋体" w:hint="eastAsia"/>
          <w:szCs w:val="24"/>
        </w:rPr>
        <w:t>双</w:t>
      </w:r>
      <w:r>
        <w:rPr>
          <w:rFonts w:hAnsi="宋体"/>
          <w:szCs w:val="24"/>
        </w:rPr>
        <w:t>方将积极协商</w:t>
      </w:r>
      <w:r>
        <w:rPr>
          <w:rFonts w:asciiTheme="minorEastAsia" w:eastAsiaTheme="minorEastAsia" w:hAnsiTheme="minorEastAsia" w:hint="eastAsia"/>
          <w:szCs w:val="24"/>
        </w:rPr>
        <w:t>解决并另行签署书面协议予以明确</w:t>
      </w:r>
      <w:r>
        <w:rPr>
          <w:rFonts w:hAnsi="宋体"/>
          <w:szCs w:val="24"/>
        </w:rPr>
        <w:t>，且该</w:t>
      </w:r>
      <w:r>
        <w:rPr>
          <w:rFonts w:hAnsi="宋体" w:hint="eastAsia"/>
          <w:szCs w:val="24"/>
        </w:rPr>
        <w:t>协议</w:t>
      </w:r>
      <w:r>
        <w:rPr>
          <w:rFonts w:asciiTheme="minorEastAsia" w:eastAsiaTheme="minorEastAsia" w:hAnsiTheme="minorEastAsia" w:hint="eastAsia"/>
          <w:szCs w:val="24"/>
        </w:rPr>
        <w:t>应</w:t>
      </w:r>
      <w:r>
        <w:rPr>
          <w:rFonts w:hAnsi="宋体"/>
          <w:szCs w:val="24"/>
        </w:rPr>
        <w:t>尽可能接近原规定和本协议相应的精神和宗旨。</w:t>
      </w:r>
    </w:p>
    <w:p w:rsidR="004A33FC" w:rsidRDefault="00F25005">
      <w:pPr>
        <w:pStyle w:val="1"/>
        <w:spacing w:line="520" w:lineRule="atLeast"/>
        <w:ind w:firstLineChars="200" w:firstLine="482"/>
        <w:rPr>
          <w:bCs/>
          <w:szCs w:val="24"/>
        </w:rPr>
      </w:pPr>
      <w:bookmarkStart w:id="65" w:name="_Toc44321746"/>
      <w:r>
        <w:rPr>
          <w:rFonts w:hint="eastAsia"/>
          <w:bCs/>
          <w:color w:val="auto"/>
          <w:szCs w:val="24"/>
        </w:rPr>
        <w:t>第二十三条</w:t>
      </w:r>
      <w:r>
        <w:rPr>
          <w:bCs/>
          <w:color w:val="auto"/>
          <w:szCs w:val="24"/>
        </w:rPr>
        <w:t xml:space="preserve"> </w:t>
      </w:r>
      <w:r>
        <w:rPr>
          <w:rFonts w:hint="eastAsia"/>
          <w:bCs/>
          <w:color w:val="auto"/>
          <w:szCs w:val="24"/>
        </w:rPr>
        <w:t>通知与送达</w:t>
      </w:r>
      <w:bookmarkEnd w:id="65"/>
    </w:p>
    <w:p w:rsidR="004A33FC" w:rsidRDefault="00F25005">
      <w:pPr>
        <w:pStyle w:val="20"/>
        <w:adjustRightInd w:val="0"/>
        <w:snapToGrid w:val="0"/>
        <w:spacing w:before="0" w:after="0" w:line="520" w:lineRule="atLeast"/>
        <w:ind w:left="0" w:firstLineChars="200" w:firstLine="480"/>
        <w:rPr>
          <w:rFonts w:asciiTheme="minorEastAsia" w:eastAsiaTheme="minorEastAsia" w:hAnsiTheme="minorEastAsia"/>
          <w:szCs w:val="24"/>
        </w:rPr>
      </w:pPr>
      <w:r>
        <w:rPr>
          <w:rFonts w:asciiTheme="minorEastAsia" w:eastAsiaTheme="minorEastAsia" w:hAnsiTheme="minorEastAsia" w:hint="eastAsia"/>
          <w:szCs w:val="24"/>
        </w:rPr>
        <w:t>23.1</w:t>
      </w:r>
      <w:bookmarkStart w:id="66" w:name="OLE_LINK88"/>
      <w:bookmarkStart w:id="67" w:name="OLE_LINK89"/>
      <w:r>
        <w:rPr>
          <w:rFonts w:asciiTheme="minorEastAsia" w:eastAsiaTheme="minorEastAsia" w:hAnsiTheme="minorEastAsia" w:hint="eastAsia"/>
          <w:szCs w:val="24"/>
        </w:rPr>
        <w:t>除本协议另有约定外，双方就本协议中涉及各类通知、函件、附件、协议等文件以及就本协议发生纠纷</w:t>
      </w:r>
      <w:proofErr w:type="gramStart"/>
      <w:r>
        <w:rPr>
          <w:rFonts w:asciiTheme="minorEastAsia" w:eastAsiaTheme="minorEastAsia" w:hAnsiTheme="minorEastAsia" w:hint="eastAsia"/>
          <w:szCs w:val="24"/>
        </w:rPr>
        <w:t>时相关</w:t>
      </w:r>
      <w:proofErr w:type="gramEnd"/>
      <w:r>
        <w:rPr>
          <w:rFonts w:asciiTheme="minorEastAsia" w:eastAsiaTheme="minorEastAsia" w:hAnsiTheme="minorEastAsia" w:hint="eastAsia"/>
          <w:szCs w:val="24"/>
        </w:rPr>
        <w:t>文件和法律文书送达时的送达地址（</w:t>
      </w:r>
      <w:proofErr w:type="gramStart"/>
      <w:r>
        <w:rPr>
          <w:rFonts w:asciiTheme="minorEastAsia" w:eastAsiaTheme="minorEastAsia" w:hAnsiTheme="minorEastAsia" w:hint="eastAsia"/>
          <w:szCs w:val="24"/>
        </w:rPr>
        <w:t>含联系</w:t>
      </w:r>
      <w:proofErr w:type="gramEnd"/>
      <w:r>
        <w:rPr>
          <w:rFonts w:asciiTheme="minorEastAsia" w:eastAsiaTheme="minorEastAsia" w:hAnsiTheme="minorEastAsia" w:hint="eastAsia"/>
          <w:szCs w:val="24"/>
        </w:rPr>
        <w:t>方式，下同）及法律后果作如下约定：</w:t>
      </w:r>
      <w:bookmarkEnd w:id="66"/>
      <w:bookmarkEnd w:id="67"/>
    </w:p>
    <w:p w:rsidR="004A33FC" w:rsidRDefault="00F25005">
      <w:pPr>
        <w:pStyle w:val="20"/>
        <w:adjustRightInd w:val="0"/>
        <w:snapToGrid w:val="0"/>
        <w:spacing w:before="0" w:after="0" w:line="520" w:lineRule="atLeast"/>
        <w:ind w:left="0" w:firstLineChars="200" w:firstLine="480"/>
        <w:rPr>
          <w:rFonts w:asciiTheme="minorEastAsia" w:eastAsiaTheme="minorEastAsia" w:hAnsiTheme="minorEastAsia"/>
          <w:szCs w:val="24"/>
        </w:rPr>
      </w:pPr>
      <w:bookmarkStart w:id="68" w:name="_Hlk51256270"/>
      <w:r>
        <w:rPr>
          <w:rFonts w:asciiTheme="minorEastAsia" w:eastAsiaTheme="minorEastAsia" w:hAnsiTheme="minorEastAsia" w:hint="eastAsia"/>
          <w:szCs w:val="24"/>
        </w:rPr>
        <w:t>2</w:t>
      </w:r>
      <w:r>
        <w:rPr>
          <w:rFonts w:asciiTheme="minorEastAsia" w:eastAsiaTheme="minorEastAsia" w:hAnsiTheme="minorEastAsia"/>
          <w:szCs w:val="24"/>
        </w:rPr>
        <w:t>3.1.1</w:t>
      </w:r>
      <w:bookmarkStart w:id="69" w:name="OLE_LINK92"/>
      <w:bookmarkStart w:id="70" w:name="OLE_LINK93"/>
      <w:r>
        <w:rPr>
          <w:rFonts w:asciiTheme="minorEastAsia" w:eastAsiaTheme="minorEastAsia" w:hAnsiTheme="minorEastAsia" w:hint="eastAsia"/>
          <w:szCs w:val="24"/>
        </w:rPr>
        <w:t>基金管理人与基金托管人</w:t>
      </w:r>
      <w:bookmarkEnd w:id="69"/>
      <w:bookmarkEnd w:id="70"/>
      <w:r>
        <w:rPr>
          <w:rFonts w:asciiTheme="minorEastAsia" w:eastAsiaTheme="minorEastAsia" w:hAnsiTheme="minorEastAsia" w:hint="eastAsia"/>
          <w:szCs w:val="24"/>
        </w:rPr>
        <w:t>确认的有效送达地址</w:t>
      </w:r>
      <w:bookmarkEnd w:id="68"/>
      <w:r>
        <w:rPr>
          <w:rFonts w:asciiTheme="minorEastAsia" w:eastAsiaTheme="minorEastAsia" w:hAnsiTheme="minorEastAsia" w:hint="eastAsia"/>
          <w:szCs w:val="24"/>
        </w:rPr>
        <w:t>：</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46"/>
        <w:gridCol w:w="6135"/>
      </w:tblGrid>
      <w:tr w:rsidR="004A33FC">
        <w:trPr>
          <w:jc w:val="center"/>
        </w:trPr>
        <w:tc>
          <w:tcPr>
            <w:tcW w:w="8541" w:type="dxa"/>
            <w:gridSpan w:val="3"/>
            <w:shd w:val="clear" w:color="auto" w:fill="auto"/>
            <w:vAlign w:val="center"/>
          </w:tcPr>
          <w:p w:rsidR="004A33FC" w:rsidRDefault="00F25005">
            <w:pPr>
              <w:adjustRightInd w:val="0"/>
              <w:snapToGrid w:val="0"/>
              <w:spacing w:line="560" w:lineRule="atLeast"/>
              <w:jc w:val="left"/>
              <w:rPr>
                <w:rFonts w:asciiTheme="minorEastAsia" w:eastAsiaTheme="minorEastAsia" w:hAnsiTheme="minorEastAsia"/>
                <w:b/>
                <w:bCs/>
                <w:sz w:val="24"/>
                <w:szCs w:val="24"/>
              </w:rPr>
            </w:pPr>
            <w:bookmarkStart w:id="71" w:name="_Hlk51256282"/>
            <w:r>
              <w:rPr>
                <w:rFonts w:asciiTheme="minorEastAsia" w:eastAsiaTheme="minorEastAsia" w:hAnsiTheme="minorEastAsia" w:hint="eastAsia"/>
                <w:b/>
                <w:bCs/>
                <w:sz w:val="24"/>
                <w:szCs w:val="24"/>
              </w:rPr>
              <w:t>基金管理人确认其有效送达地址如下</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联系地址</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上海市浦东</w:t>
            </w:r>
            <w:proofErr w:type="gramStart"/>
            <w:r>
              <w:rPr>
                <w:rFonts w:asciiTheme="minorEastAsia" w:eastAsiaTheme="minorEastAsia" w:hAnsiTheme="minorEastAsia" w:hint="eastAsia"/>
                <w:b/>
                <w:bCs/>
                <w:sz w:val="24"/>
                <w:szCs w:val="24"/>
              </w:rPr>
              <w:t>新区世纪</w:t>
            </w:r>
            <w:proofErr w:type="gramEnd"/>
            <w:r>
              <w:rPr>
                <w:rFonts w:asciiTheme="minorEastAsia" w:eastAsiaTheme="minorEastAsia" w:hAnsiTheme="minorEastAsia" w:hint="eastAsia"/>
                <w:b/>
                <w:bCs/>
                <w:sz w:val="24"/>
                <w:szCs w:val="24"/>
              </w:rPr>
              <w:t>大道1196号世纪汇二座27层</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邮政编码</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w:t>
            </w:r>
            <w:r>
              <w:rPr>
                <w:rFonts w:asciiTheme="minorEastAsia" w:eastAsiaTheme="minorEastAsia" w:hAnsiTheme="minorEastAsia"/>
                <w:b/>
                <w:bCs/>
                <w:sz w:val="24"/>
                <w:szCs w:val="24"/>
              </w:rPr>
              <w:t>00122</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联系人</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孙迪</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联系电话</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95105686、4008880688（全国统一，免长途话费）</w:t>
            </w:r>
          </w:p>
        </w:tc>
      </w:tr>
      <w:tr w:rsidR="004A33FC">
        <w:trPr>
          <w:jc w:val="center"/>
        </w:trPr>
        <w:tc>
          <w:tcPr>
            <w:tcW w:w="660" w:type="dxa"/>
            <w:vMerge w:val="restart"/>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电子送达</w:t>
            </w: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电子邮箱</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s</w:t>
            </w:r>
            <w:r>
              <w:rPr>
                <w:rFonts w:asciiTheme="minorEastAsia" w:eastAsiaTheme="minorEastAsia" w:hAnsiTheme="minorEastAsia"/>
                <w:b/>
                <w:bCs/>
                <w:sz w:val="24"/>
                <w:szCs w:val="24"/>
              </w:rPr>
              <w:t>undi@fullgoal.com.cn</w:t>
            </w: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传真</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b/>
                <w:bCs/>
                <w:sz w:val="24"/>
                <w:szCs w:val="24"/>
              </w:rPr>
              <w:t>021-20513177</w:t>
            </w: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手机号码</w:t>
            </w:r>
          </w:p>
        </w:tc>
        <w:tc>
          <w:tcPr>
            <w:tcW w:w="6135" w:type="dxa"/>
            <w:shd w:val="clear" w:color="auto" w:fill="auto"/>
            <w:vAlign w:val="center"/>
          </w:tcPr>
          <w:p w:rsidR="004A33FC" w:rsidRDefault="004A33FC">
            <w:pPr>
              <w:adjustRightInd w:val="0"/>
              <w:snapToGrid w:val="0"/>
              <w:spacing w:line="560" w:lineRule="atLeast"/>
              <w:rPr>
                <w:rFonts w:asciiTheme="minorEastAsia" w:eastAsiaTheme="minorEastAsia" w:hAnsiTheme="minorEastAsia"/>
                <w:b/>
                <w:bCs/>
                <w:sz w:val="24"/>
                <w:szCs w:val="24"/>
              </w:rPr>
            </w:pP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微信号</w:t>
            </w:r>
          </w:p>
        </w:tc>
        <w:tc>
          <w:tcPr>
            <w:tcW w:w="6135" w:type="dxa"/>
            <w:shd w:val="clear" w:color="auto" w:fill="auto"/>
            <w:vAlign w:val="center"/>
          </w:tcPr>
          <w:p w:rsidR="004A33FC" w:rsidRDefault="004A33FC">
            <w:pPr>
              <w:adjustRightInd w:val="0"/>
              <w:snapToGrid w:val="0"/>
              <w:spacing w:line="560" w:lineRule="atLeast"/>
              <w:rPr>
                <w:rFonts w:asciiTheme="minorEastAsia" w:eastAsiaTheme="minorEastAsia" w:hAnsiTheme="minorEastAsia"/>
                <w:b/>
                <w:bCs/>
                <w:sz w:val="24"/>
                <w:szCs w:val="24"/>
              </w:rPr>
            </w:pPr>
          </w:p>
        </w:tc>
      </w:tr>
      <w:tr w:rsidR="004A33FC">
        <w:trPr>
          <w:jc w:val="center"/>
        </w:trPr>
        <w:tc>
          <w:tcPr>
            <w:tcW w:w="8541" w:type="dxa"/>
            <w:gridSpan w:val="3"/>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基金托管人确认其有效送达地址如下</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联系地址</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北京市朝阳区光华路10号院1号楼中信大厦</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邮政编码</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w:t>
            </w:r>
            <w:r>
              <w:rPr>
                <w:rFonts w:asciiTheme="minorEastAsia" w:eastAsiaTheme="minorEastAsia" w:hAnsiTheme="minorEastAsia"/>
                <w:b/>
                <w:bCs/>
                <w:sz w:val="24"/>
                <w:szCs w:val="24"/>
              </w:rPr>
              <w:t>00020</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联系人</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李婉扬</w:t>
            </w:r>
          </w:p>
        </w:tc>
      </w:tr>
      <w:tr w:rsidR="004A33FC">
        <w:trPr>
          <w:jc w:val="center"/>
        </w:trPr>
        <w:tc>
          <w:tcPr>
            <w:tcW w:w="2406" w:type="dxa"/>
            <w:gridSpan w:val="2"/>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联系电话</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0</w:t>
            </w:r>
            <w:r>
              <w:rPr>
                <w:rFonts w:asciiTheme="minorEastAsia" w:eastAsiaTheme="minorEastAsia" w:hAnsiTheme="minorEastAsia"/>
                <w:b/>
                <w:bCs/>
                <w:sz w:val="24"/>
                <w:szCs w:val="24"/>
              </w:rPr>
              <w:t>10</w:t>
            </w:r>
            <w:r>
              <w:rPr>
                <w:rFonts w:asciiTheme="minorEastAsia" w:eastAsiaTheme="minorEastAsia" w:hAnsiTheme="minorEastAsia" w:hint="eastAsia"/>
                <w:b/>
                <w:bCs/>
                <w:sz w:val="24"/>
                <w:szCs w:val="24"/>
              </w:rPr>
              <w:t>-</w:t>
            </w:r>
            <w:r>
              <w:rPr>
                <w:rFonts w:asciiTheme="minorEastAsia" w:eastAsiaTheme="minorEastAsia" w:hAnsiTheme="minorEastAsia"/>
                <w:b/>
                <w:bCs/>
                <w:sz w:val="24"/>
                <w:szCs w:val="24"/>
              </w:rPr>
              <w:t>66636390</w:t>
            </w:r>
          </w:p>
        </w:tc>
      </w:tr>
      <w:tr w:rsidR="004A33FC">
        <w:trPr>
          <w:jc w:val="center"/>
        </w:trPr>
        <w:tc>
          <w:tcPr>
            <w:tcW w:w="660" w:type="dxa"/>
            <w:vMerge w:val="restart"/>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电子送达</w:t>
            </w: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电子邮箱</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b/>
                <w:bCs/>
                <w:sz w:val="24"/>
                <w:szCs w:val="24"/>
              </w:rPr>
              <w:t>Liwanyang@citicbank.com</w:t>
            </w: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传真</w:t>
            </w:r>
          </w:p>
        </w:tc>
        <w:tc>
          <w:tcPr>
            <w:tcW w:w="6135" w:type="dxa"/>
            <w:shd w:val="clear" w:color="auto" w:fill="auto"/>
            <w:vAlign w:val="center"/>
          </w:tcPr>
          <w:p w:rsidR="004A33FC" w:rsidRDefault="00F25005">
            <w:pPr>
              <w:adjustRightInd w:val="0"/>
              <w:snapToGrid w:val="0"/>
              <w:spacing w:line="560" w:lineRule="atLeast"/>
              <w:rPr>
                <w:rFonts w:asciiTheme="minorEastAsia" w:eastAsiaTheme="minorEastAsia" w:hAnsiTheme="minorEastAsia"/>
                <w:b/>
                <w:bCs/>
                <w:sz w:val="24"/>
                <w:szCs w:val="24"/>
              </w:rPr>
            </w:pPr>
            <w:r>
              <w:rPr>
                <w:rFonts w:asciiTheme="minorEastAsia" w:eastAsiaTheme="minorEastAsia" w:hAnsiTheme="minorEastAsia"/>
                <w:b/>
                <w:bCs/>
                <w:sz w:val="24"/>
                <w:szCs w:val="24"/>
              </w:rPr>
              <w:t>010-65559281</w:t>
            </w: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手机号码</w:t>
            </w:r>
          </w:p>
        </w:tc>
        <w:tc>
          <w:tcPr>
            <w:tcW w:w="6135" w:type="dxa"/>
            <w:shd w:val="clear" w:color="auto" w:fill="auto"/>
            <w:vAlign w:val="center"/>
          </w:tcPr>
          <w:p w:rsidR="004A33FC" w:rsidRDefault="004A33FC">
            <w:pPr>
              <w:adjustRightInd w:val="0"/>
              <w:snapToGrid w:val="0"/>
              <w:spacing w:line="560" w:lineRule="atLeast"/>
              <w:rPr>
                <w:rFonts w:asciiTheme="minorEastAsia" w:eastAsiaTheme="minorEastAsia" w:hAnsiTheme="minorEastAsia"/>
                <w:b/>
                <w:bCs/>
                <w:sz w:val="24"/>
                <w:szCs w:val="24"/>
              </w:rPr>
            </w:pPr>
          </w:p>
        </w:tc>
      </w:tr>
      <w:tr w:rsidR="004A33FC">
        <w:trPr>
          <w:jc w:val="center"/>
        </w:trPr>
        <w:tc>
          <w:tcPr>
            <w:tcW w:w="660" w:type="dxa"/>
            <w:vMerge/>
            <w:shd w:val="clear" w:color="auto" w:fill="auto"/>
            <w:vAlign w:val="center"/>
          </w:tcPr>
          <w:p w:rsidR="004A33FC" w:rsidRDefault="004A33FC">
            <w:pPr>
              <w:adjustRightInd w:val="0"/>
              <w:snapToGrid w:val="0"/>
              <w:spacing w:line="560" w:lineRule="atLeast"/>
              <w:jc w:val="center"/>
              <w:rPr>
                <w:rFonts w:asciiTheme="minorEastAsia" w:eastAsiaTheme="minorEastAsia" w:hAnsiTheme="minorEastAsia"/>
                <w:b/>
                <w:bCs/>
                <w:sz w:val="24"/>
                <w:szCs w:val="24"/>
              </w:rPr>
            </w:pPr>
          </w:p>
        </w:tc>
        <w:tc>
          <w:tcPr>
            <w:tcW w:w="1746" w:type="dxa"/>
            <w:shd w:val="clear" w:color="auto" w:fill="auto"/>
            <w:vAlign w:val="center"/>
          </w:tcPr>
          <w:p w:rsidR="004A33FC" w:rsidRDefault="00F25005">
            <w:pPr>
              <w:adjustRightInd w:val="0"/>
              <w:snapToGrid w:val="0"/>
              <w:spacing w:line="560" w:lineRule="atLeast"/>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微信号</w:t>
            </w:r>
          </w:p>
        </w:tc>
        <w:tc>
          <w:tcPr>
            <w:tcW w:w="6135" w:type="dxa"/>
            <w:shd w:val="clear" w:color="auto" w:fill="auto"/>
            <w:vAlign w:val="center"/>
          </w:tcPr>
          <w:p w:rsidR="004A33FC" w:rsidRDefault="004A33FC">
            <w:pPr>
              <w:adjustRightInd w:val="0"/>
              <w:snapToGrid w:val="0"/>
              <w:spacing w:line="560" w:lineRule="atLeast"/>
              <w:rPr>
                <w:rFonts w:asciiTheme="minorEastAsia" w:eastAsiaTheme="minorEastAsia" w:hAnsiTheme="minorEastAsia"/>
                <w:b/>
                <w:bCs/>
                <w:sz w:val="24"/>
                <w:szCs w:val="24"/>
              </w:rPr>
            </w:pPr>
          </w:p>
        </w:tc>
      </w:tr>
    </w:tbl>
    <w:bookmarkEnd w:id="71"/>
    <w:p w:rsidR="004A33FC" w:rsidRDefault="00F25005">
      <w:pPr>
        <w:snapToGrid w:val="0"/>
        <w:spacing w:line="520" w:lineRule="atLeas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3.1.2</w:t>
      </w:r>
      <w:r>
        <w:rPr>
          <w:rFonts w:asciiTheme="minorEastAsia" w:eastAsiaTheme="minorEastAsia" w:hAnsiTheme="minorEastAsia" w:hint="eastAsia"/>
          <w:sz w:val="24"/>
          <w:szCs w:val="24"/>
        </w:rPr>
        <w:t>本条款中双方确认的送达地址如发生变更的，应当在发生变更之日起三日内通过书面方式通知对方</w:t>
      </w:r>
      <w:r>
        <w:rPr>
          <w:rFonts w:asciiTheme="minorEastAsia" w:eastAsiaTheme="minorEastAsia" w:hAnsiTheme="minorEastAsia" w:hint="eastAsia"/>
          <w:b/>
          <w:bCs/>
          <w:sz w:val="24"/>
          <w:szCs w:val="24"/>
        </w:rPr>
        <w:t>。</w:t>
      </w:r>
      <w:r>
        <w:rPr>
          <w:rFonts w:asciiTheme="minorEastAsia" w:eastAsiaTheme="minorEastAsia" w:hAnsiTheme="minorEastAsia" w:hint="eastAsia"/>
          <w:sz w:val="24"/>
          <w:szCs w:val="24"/>
        </w:rPr>
        <w:t>在涉及仲裁及民事诉讼、执行程序时，任何一方送达地址发生变更的，应当在发生变更当日通过书面方式告知仲裁机构、法院。</w:t>
      </w:r>
      <w:r>
        <w:rPr>
          <w:rFonts w:asciiTheme="minorEastAsia" w:eastAsiaTheme="minorEastAsia" w:hAnsiTheme="minorEastAsia" w:hint="eastAsia"/>
          <w:b/>
          <w:bCs/>
          <w:sz w:val="24"/>
          <w:szCs w:val="24"/>
        </w:rPr>
        <w:t>任何一方未按前述方式履行通知、告知义务的，该方所确认的送达地址仍视为有效送达地址。</w:t>
      </w:r>
    </w:p>
    <w:p w:rsidR="004A33FC" w:rsidRDefault="00F25005">
      <w:pPr>
        <w:snapToGrid w:val="0"/>
        <w:spacing w:line="520" w:lineRule="atLeast"/>
        <w:ind w:firstLineChars="200" w:firstLine="480"/>
        <w:rPr>
          <w:rFonts w:asciiTheme="minorEastAsia" w:eastAsiaTheme="minorEastAsia" w:hAnsiTheme="minorEastAsia"/>
          <w:b/>
          <w:bCs/>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3.1.3</w:t>
      </w:r>
      <w:r>
        <w:rPr>
          <w:rFonts w:asciiTheme="minorEastAsia" w:eastAsiaTheme="minorEastAsia" w:hAnsiTheme="minorEastAsia" w:hint="eastAsia"/>
          <w:sz w:val="24"/>
          <w:szCs w:val="24"/>
        </w:rPr>
        <w:t xml:space="preserve"> 双方在本条款确认的送达地址适用范围包括双方在履行本协议过程中的各类通知、函件、附件、协议等文件以及就本协议发生纠纷</w:t>
      </w:r>
      <w:proofErr w:type="gramStart"/>
      <w:r>
        <w:rPr>
          <w:rFonts w:asciiTheme="minorEastAsia" w:eastAsiaTheme="minorEastAsia" w:hAnsiTheme="minorEastAsia" w:hint="eastAsia"/>
          <w:sz w:val="24"/>
          <w:szCs w:val="24"/>
        </w:rPr>
        <w:t>时相关</w:t>
      </w:r>
      <w:proofErr w:type="gramEnd"/>
      <w:r>
        <w:rPr>
          <w:rFonts w:asciiTheme="minorEastAsia" w:eastAsiaTheme="minorEastAsia" w:hAnsiTheme="minorEastAsia" w:hint="eastAsia"/>
          <w:sz w:val="24"/>
          <w:szCs w:val="24"/>
        </w:rPr>
        <w:t>文件和法律文书向双方的送达，包括在争议进入公证、仲裁、民事诉讼程序后的一审、二审、重审、再审和执行程序（含处置抵押物等）等各个阶段相关案件材料和法律文书（包括但不限于：各类程序性文书，如起诉状、仲裁申请书、受理案件通知书、应诉通</w:t>
      </w:r>
      <w:r>
        <w:rPr>
          <w:rFonts w:asciiTheme="minorEastAsia" w:eastAsiaTheme="minorEastAsia" w:hAnsiTheme="minorEastAsia" w:hint="eastAsia"/>
          <w:sz w:val="24"/>
          <w:szCs w:val="24"/>
        </w:rPr>
        <w:lastRenderedPageBreak/>
        <w:t>知书、传票、举证通知书、缴费通知书等；各类法律文书，如仲裁裁决书、判决书、裁定书、调解书等）向双方的送达。</w:t>
      </w:r>
      <w:r>
        <w:rPr>
          <w:rFonts w:asciiTheme="minorEastAsia" w:eastAsiaTheme="minorEastAsia" w:hAnsiTheme="minorEastAsia" w:hint="eastAsia"/>
          <w:b/>
          <w:bCs/>
          <w:sz w:val="24"/>
          <w:szCs w:val="24"/>
        </w:rPr>
        <w:t>除第23.1.2条另有约定外，一方按照送达地址发送上述文件，即应视作在下列日期被送达：</w:t>
      </w:r>
    </w:p>
    <w:p w:rsidR="004A33FC" w:rsidRDefault="00F25005">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（1）邮递（包括特快专递、平信邮寄、挂号邮寄），以投递之日后的第三日视为送达日；</w:t>
      </w:r>
    </w:p>
    <w:p w:rsidR="004A33FC" w:rsidRDefault="00F25005">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（2）电话、传真、电子邮箱、</w:t>
      </w:r>
      <w:proofErr w:type="gramStart"/>
      <w:r>
        <w:rPr>
          <w:rFonts w:asciiTheme="minorEastAsia" w:eastAsiaTheme="minorEastAsia" w:hAnsiTheme="minorEastAsia" w:hint="eastAsia"/>
          <w:b/>
          <w:bCs/>
          <w:sz w:val="24"/>
          <w:szCs w:val="24"/>
        </w:rPr>
        <w:t>微信或</w:t>
      </w:r>
      <w:proofErr w:type="gramEnd"/>
      <w:r>
        <w:rPr>
          <w:rFonts w:asciiTheme="minorEastAsia" w:eastAsiaTheme="minorEastAsia" w:hAnsiTheme="minorEastAsia" w:hint="eastAsia"/>
          <w:b/>
          <w:bCs/>
          <w:sz w:val="24"/>
          <w:szCs w:val="24"/>
        </w:rPr>
        <w:t>其他电子通讯方式，以发送之日视为送达日；</w:t>
      </w:r>
    </w:p>
    <w:p w:rsidR="004A33FC" w:rsidRDefault="00F25005">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（3）专人送达，以收件人签收之日视为送达日；收件人拒收或无人接收的，送达人可采取拍照、录像方式记录送达过程，并将文书留置，亦视为送达；</w:t>
      </w:r>
    </w:p>
    <w:p w:rsidR="004A33FC" w:rsidRDefault="00F25005">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（4）同时采用上述几种方式的，以其中最快达到对方者为准。</w:t>
      </w:r>
    </w:p>
    <w:p w:rsidR="004A33FC" w:rsidRDefault="00F25005">
      <w:pPr>
        <w:snapToGrid w:val="0"/>
        <w:spacing w:line="520" w:lineRule="atLeast"/>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因任何一方提供或者确认的送达地址不准确、送达地址变更后未及时依程序通知或告知对方、法院、仲裁机关或公证机关的，或任何一方或其指定的接收人拒绝签收等原因，导致法律文书、执行文书、仲裁裁决或公证机关执行证书等各项法律文书或有关文件无法送达、未及时送达或未能被该方实际接收的，对方、法院、仲裁机关或公证机关按照上述有效送达规则进行送达即视为有效送达，该方将自行承担由此可能产生的一切法律后果。双方同意法院、仲裁机关或公证机关可以采取一种或多种送达方式送达法律文书，送达时间以上述送达方式中最先到达的为准。</w:t>
      </w:r>
      <w:bookmarkStart w:id="72" w:name="OLE_LINK99"/>
      <w:bookmarkStart w:id="73" w:name="OLE_LINK98"/>
    </w:p>
    <w:bookmarkEnd w:id="72"/>
    <w:bookmarkEnd w:id="73"/>
    <w:p w:rsidR="004A33FC" w:rsidRDefault="00F25005">
      <w:pPr>
        <w:snapToGrid w:val="0"/>
        <w:spacing w:line="520" w:lineRule="atLeast"/>
        <w:ind w:firstLineChars="200" w:firstLine="482"/>
        <w:rPr>
          <w:rFonts w:asciiTheme="minorEastAsia" w:eastAsiaTheme="minorEastAsia" w:hAnsiTheme="minorEastAsia"/>
          <w:b/>
          <w:bCs/>
          <w:sz w:val="28"/>
          <w:szCs w:val="28"/>
        </w:rPr>
      </w:pPr>
      <w:r>
        <w:rPr>
          <w:rFonts w:asciiTheme="minorEastAsia" w:eastAsiaTheme="minorEastAsia" w:hAnsiTheme="minorEastAsia" w:hint="eastAsia"/>
          <w:b/>
          <w:bCs/>
          <w:sz w:val="24"/>
          <w:szCs w:val="24"/>
        </w:rPr>
        <w:t>2</w:t>
      </w:r>
      <w:r>
        <w:rPr>
          <w:rFonts w:asciiTheme="minorEastAsia" w:eastAsiaTheme="minorEastAsia" w:hAnsiTheme="minorEastAsia"/>
          <w:b/>
          <w:bCs/>
          <w:sz w:val="24"/>
          <w:szCs w:val="24"/>
        </w:rPr>
        <w:t>3.1.4</w:t>
      </w:r>
      <w:r>
        <w:rPr>
          <w:rFonts w:asciiTheme="minorEastAsia" w:eastAsiaTheme="minorEastAsia" w:hAnsiTheme="minorEastAsia" w:hint="eastAsia"/>
          <w:b/>
          <w:bCs/>
          <w:sz w:val="24"/>
          <w:szCs w:val="24"/>
        </w:rPr>
        <w:t>本条约定内容为本协议双方均明确同意的特别条款，效力独立于本协议其他条款。不论本协议其他条款因为任何原因被法院、仲裁机关或其他有权机关认定为无效或者被撤销，本条约定内容均为有效。</w:t>
      </w:r>
    </w:p>
    <w:p w:rsidR="004A33FC" w:rsidRDefault="00F25005">
      <w:pPr>
        <w:pStyle w:val="1"/>
        <w:snapToGrid/>
        <w:spacing w:line="520" w:lineRule="atLeast"/>
        <w:ind w:firstLineChars="200" w:firstLine="482"/>
        <w:rPr>
          <w:bCs/>
          <w:color w:val="auto"/>
          <w:szCs w:val="24"/>
        </w:rPr>
      </w:pPr>
      <w:bookmarkStart w:id="74" w:name="_Toc44321747"/>
      <w:r>
        <w:rPr>
          <w:rFonts w:hint="eastAsia"/>
          <w:bCs/>
          <w:color w:val="auto"/>
          <w:szCs w:val="24"/>
        </w:rPr>
        <w:t>第二十四条 其他约定</w:t>
      </w:r>
      <w:r>
        <w:rPr>
          <w:bCs/>
          <w:color w:val="auto"/>
          <w:szCs w:val="24"/>
        </w:rPr>
        <w:t>事项</w:t>
      </w:r>
      <w:bookmarkEnd w:id="74"/>
    </w:p>
    <w:p w:rsidR="004A33FC" w:rsidRDefault="00F25005">
      <w:pPr>
        <w:pStyle w:val="20"/>
        <w:spacing w:before="0" w:after="0" w:line="520" w:lineRule="atLeast"/>
        <w:ind w:left="0" w:firstLine="480"/>
        <w:rPr>
          <w:rFonts w:hAnsi="宋体"/>
          <w:b/>
          <w:bCs/>
          <w:szCs w:val="24"/>
        </w:rPr>
      </w:pPr>
      <w:r>
        <w:rPr>
          <w:rFonts w:hAnsi="宋体" w:hint="eastAsia"/>
          <w:b/>
          <w:bCs/>
          <w:szCs w:val="24"/>
        </w:rPr>
        <w:t>无</w:t>
      </w:r>
    </w:p>
    <w:p w:rsidR="004A33FC" w:rsidRDefault="00F25005">
      <w:pPr>
        <w:pStyle w:val="20"/>
        <w:spacing w:before="0" w:after="0" w:line="520" w:lineRule="atLeast"/>
        <w:ind w:left="0" w:firstLine="480"/>
        <w:rPr>
          <w:rFonts w:hAnsi="宋体"/>
          <w:b/>
          <w:bCs/>
          <w:szCs w:val="24"/>
        </w:rPr>
      </w:pPr>
      <w:r>
        <w:rPr>
          <w:rFonts w:hAnsi="宋体" w:hint="eastAsia"/>
          <w:b/>
          <w:bCs/>
          <w:szCs w:val="24"/>
        </w:rPr>
        <w:t>如本条约定与其他条款约定冲突的，应以本条约定为准。</w:t>
      </w:r>
    </w:p>
    <w:p w:rsidR="004A33FC" w:rsidRDefault="00F25005">
      <w:pPr>
        <w:pStyle w:val="20"/>
        <w:adjustRightInd w:val="0"/>
        <w:snapToGrid w:val="0"/>
        <w:spacing w:before="0" w:after="0" w:line="520" w:lineRule="atLeast"/>
        <w:ind w:left="0" w:firstLine="480"/>
        <w:rPr>
          <w:rFonts w:asciiTheme="minorEastAsia" w:eastAsiaTheme="minorEastAsia" w:hAnsiTheme="minorEastAsia"/>
          <w:b/>
          <w:bCs/>
          <w:szCs w:val="24"/>
        </w:rPr>
      </w:pPr>
      <w:r>
        <w:rPr>
          <w:rFonts w:asciiTheme="minorEastAsia" w:eastAsiaTheme="minorEastAsia" w:hAnsiTheme="minorEastAsia" w:hint="eastAsia"/>
          <w:b/>
          <w:bCs/>
          <w:szCs w:val="24"/>
        </w:rPr>
        <w:t>基金托管人已采取文字加粗、加黑、突出显示等合理方式提请基金管理人注意本协议项下免除或限制其责任的条款，并按基金管理人要求对有关条款予以充分说明。基金管理人已阅读本协议所有条款，对本协议条款的含义及相应的法律后果已全部通晓并充分理解，同意遵守以上条款。双方对本协议所有条款内容的理解不</w:t>
      </w:r>
      <w:r>
        <w:rPr>
          <w:rFonts w:asciiTheme="minorEastAsia" w:eastAsiaTheme="minorEastAsia" w:hAnsiTheme="minorEastAsia" w:hint="eastAsia"/>
          <w:b/>
          <w:bCs/>
          <w:szCs w:val="24"/>
        </w:rPr>
        <w:lastRenderedPageBreak/>
        <w:t>存在异议。</w:t>
      </w:r>
    </w:p>
    <w:p w:rsidR="004A33FC" w:rsidRDefault="00F25005">
      <w:pPr>
        <w:widowControl/>
        <w:spacing w:line="520" w:lineRule="atLeast"/>
        <w:ind w:firstLineChars="100" w:firstLine="240"/>
        <w:jc w:val="left"/>
      </w:pPr>
      <w:r>
        <w:rPr>
          <w:rFonts w:ascii="宋体" w:hAnsi="宋体" w:hint="eastAsia"/>
          <w:sz w:val="24"/>
          <w:szCs w:val="24"/>
        </w:rPr>
        <w:t>（以下无正文）</w:t>
      </w:r>
    </w:p>
    <w:p w:rsidR="004A33FC" w:rsidRDefault="00F25005">
      <w:pPr>
        <w:widowControl/>
        <w:spacing w:line="520" w:lineRule="atLeast"/>
        <w:jc w:val="left"/>
        <w:rPr>
          <w:rFonts w:hAnsi="宋体"/>
          <w:sz w:val="28"/>
          <w:szCs w:val="28"/>
        </w:rPr>
      </w:pPr>
      <w:r>
        <w:rPr>
          <w:rFonts w:hAnsi="宋体"/>
          <w:sz w:val="28"/>
          <w:szCs w:val="28"/>
        </w:rPr>
        <w:br w:type="page"/>
      </w:r>
    </w:p>
    <w:p w:rsidR="004A33FC" w:rsidRDefault="00F25005">
      <w:pPr>
        <w:pStyle w:val="20"/>
        <w:spacing w:before="0" w:after="0" w:line="520" w:lineRule="atLeast"/>
        <w:ind w:left="0"/>
        <w:rPr>
          <w:rFonts w:hAnsi="宋体"/>
          <w:szCs w:val="24"/>
        </w:rPr>
      </w:pPr>
      <w:r>
        <w:rPr>
          <w:rFonts w:hAnsi="宋体" w:hint="eastAsia"/>
          <w:szCs w:val="24"/>
        </w:rPr>
        <w:lastRenderedPageBreak/>
        <w:t>（本页无正文，为《富国周期精选三年持有期混合型证券投资基金托管协议》的签字盖章页）</w:t>
      </w:r>
    </w:p>
    <w:p w:rsidR="004A33FC" w:rsidRDefault="004A33FC">
      <w:pPr>
        <w:pStyle w:val="20"/>
        <w:spacing w:before="0" w:after="0" w:line="520" w:lineRule="atLeast"/>
        <w:ind w:left="0" w:firstLineChars="200" w:firstLine="480"/>
        <w:rPr>
          <w:rFonts w:hAnsi="宋体"/>
          <w:szCs w:val="24"/>
        </w:rPr>
      </w:pPr>
    </w:p>
    <w:p w:rsidR="004A33FC" w:rsidRDefault="004A33FC">
      <w:pPr>
        <w:pStyle w:val="20"/>
        <w:spacing w:before="0" w:after="0" w:line="520" w:lineRule="atLeast"/>
        <w:ind w:left="0" w:firstLineChars="200" w:firstLine="48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基金管理人：富国基金管理有限公司（</w:t>
      </w:r>
      <w:r>
        <w:rPr>
          <w:rFonts w:asciiTheme="minorEastAsia" w:eastAsiaTheme="minorEastAsia" w:hAnsiTheme="minorEastAsia" w:hint="eastAsia"/>
          <w:szCs w:val="24"/>
        </w:rPr>
        <w:t>公章或合同专用章</w:t>
      </w:r>
      <w:r>
        <w:rPr>
          <w:rFonts w:hAnsi="宋体" w:hint="eastAsia"/>
          <w:szCs w:val="24"/>
        </w:rPr>
        <w:t>）</w:t>
      </w:r>
    </w:p>
    <w:p w:rsidR="004A33FC" w:rsidRDefault="004A33FC">
      <w:pPr>
        <w:pStyle w:val="20"/>
        <w:spacing w:before="0" w:after="0" w:line="520" w:lineRule="atLeast"/>
        <w:ind w:left="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法定代表人</w:t>
      </w:r>
    </w:p>
    <w:p w:rsidR="004A33FC" w:rsidRDefault="00F25005">
      <w:pPr>
        <w:pStyle w:val="20"/>
        <w:spacing w:before="0" w:after="0" w:line="520" w:lineRule="atLeast"/>
        <w:ind w:left="0"/>
        <w:rPr>
          <w:rFonts w:hAnsi="宋体"/>
          <w:szCs w:val="24"/>
        </w:rPr>
      </w:pPr>
      <w:r>
        <w:rPr>
          <w:rFonts w:hAnsi="宋体" w:hint="eastAsia"/>
          <w:szCs w:val="24"/>
        </w:rPr>
        <w:t xml:space="preserve">（或授权代理人）：           </w:t>
      </w:r>
    </w:p>
    <w:p w:rsidR="004A33FC" w:rsidRDefault="004A33FC">
      <w:pPr>
        <w:pStyle w:val="20"/>
        <w:spacing w:before="0" w:after="0" w:line="520" w:lineRule="atLeast"/>
        <w:ind w:left="0" w:firstLineChars="200" w:firstLine="48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签署日期：</w:t>
      </w:r>
    </w:p>
    <w:p w:rsidR="004A33FC" w:rsidRDefault="004A33FC">
      <w:pPr>
        <w:pStyle w:val="20"/>
        <w:spacing w:before="0" w:after="0" w:line="520" w:lineRule="atLeast"/>
        <w:ind w:left="0" w:firstLineChars="200" w:firstLine="480"/>
        <w:rPr>
          <w:rFonts w:hAnsi="宋体"/>
          <w:szCs w:val="24"/>
        </w:rPr>
      </w:pPr>
    </w:p>
    <w:p w:rsidR="004A33FC" w:rsidRDefault="004A33FC">
      <w:pPr>
        <w:pStyle w:val="20"/>
        <w:spacing w:before="0" w:after="0" w:line="520" w:lineRule="atLeast"/>
        <w:ind w:left="0" w:firstLineChars="200" w:firstLine="480"/>
        <w:rPr>
          <w:rFonts w:hAnsi="宋体"/>
          <w:szCs w:val="24"/>
        </w:rPr>
      </w:pPr>
    </w:p>
    <w:p w:rsidR="004A33FC" w:rsidRDefault="004A33FC">
      <w:pPr>
        <w:pStyle w:val="20"/>
        <w:spacing w:before="0" w:after="0" w:line="520" w:lineRule="atLeast"/>
        <w:ind w:left="0" w:firstLineChars="200" w:firstLine="48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基金托管人：中信银行股份有限公司（</w:t>
      </w:r>
      <w:r>
        <w:rPr>
          <w:rFonts w:asciiTheme="minorEastAsia" w:eastAsiaTheme="minorEastAsia" w:hAnsiTheme="minorEastAsia" w:hint="eastAsia"/>
          <w:szCs w:val="24"/>
        </w:rPr>
        <w:t>公章或合同专用章</w:t>
      </w:r>
      <w:r>
        <w:rPr>
          <w:rFonts w:hAnsi="宋体" w:hint="eastAsia"/>
          <w:szCs w:val="24"/>
        </w:rPr>
        <w:t>）</w:t>
      </w:r>
    </w:p>
    <w:p w:rsidR="004A33FC" w:rsidRDefault="004A33FC">
      <w:pPr>
        <w:pStyle w:val="20"/>
        <w:spacing w:before="0" w:after="0" w:line="520" w:lineRule="atLeast"/>
        <w:ind w:left="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法定代表人/负责人</w:t>
      </w:r>
    </w:p>
    <w:p w:rsidR="004A33FC" w:rsidRDefault="00F25005">
      <w:pPr>
        <w:pStyle w:val="20"/>
        <w:spacing w:before="0" w:after="0" w:line="520" w:lineRule="atLeast"/>
        <w:ind w:left="0"/>
        <w:rPr>
          <w:rFonts w:hAnsi="宋体"/>
          <w:szCs w:val="24"/>
        </w:rPr>
      </w:pPr>
      <w:r>
        <w:rPr>
          <w:rFonts w:hAnsi="宋体" w:hint="eastAsia"/>
          <w:szCs w:val="24"/>
        </w:rPr>
        <w:t xml:space="preserve">（或授权代理人）：  </w:t>
      </w:r>
    </w:p>
    <w:p w:rsidR="004A33FC" w:rsidRDefault="004A33FC">
      <w:pPr>
        <w:pStyle w:val="20"/>
        <w:spacing w:before="0" w:after="0" w:line="520" w:lineRule="atLeast"/>
        <w:ind w:left="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签署日期：</w:t>
      </w:r>
    </w:p>
    <w:p w:rsidR="004A33FC" w:rsidRDefault="00F25005">
      <w:pPr>
        <w:pStyle w:val="20"/>
        <w:spacing w:before="0" w:after="0" w:line="520" w:lineRule="atLeast"/>
        <w:ind w:left="0"/>
        <w:rPr>
          <w:rFonts w:hAnsi="宋体"/>
          <w:sz w:val="28"/>
          <w:szCs w:val="28"/>
        </w:rPr>
      </w:pPr>
      <w:r>
        <w:rPr>
          <w:rFonts w:hAnsi="宋体" w:hint="eastAsia"/>
          <w:sz w:val="28"/>
          <w:szCs w:val="28"/>
        </w:rPr>
        <w:t xml:space="preserve">           </w:t>
      </w:r>
    </w:p>
    <w:p w:rsidR="004A33FC" w:rsidRDefault="004A33FC">
      <w:pPr>
        <w:pStyle w:val="20"/>
        <w:spacing w:before="0" w:after="0" w:line="520" w:lineRule="atLeast"/>
        <w:ind w:left="0" w:firstLineChars="200" w:firstLine="560"/>
        <w:rPr>
          <w:rFonts w:hAnsi="宋体"/>
          <w:sz w:val="28"/>
          <w:szCs w:val="28"/>
        </w:rPr>
      </w:pPr>
    </w:p>
    <w:p w:rsidR="004A33FC" w:rsidRDefault="004A33FC">
      <w:pPr>
        <w:pStyle w:val="20"/>
        <w:spacing w:before="0" w:after="0" w:line="520" w:lineRule="atLeast"/>
        <w:ind w:left="0" w:firstLineChars="200" w:firstLine="560"/>
        <w:rPr>
          <w:rFonts w:hAnsi="宋体"/>
          <w:sz w:val="28"/>
          <w:szCs w:val="28"/>
        </w:rPr>
      </w:pPr>
    </w:p>
    <w:p w:rsidR="004A33FC" w:rsidRDefault="004A33FC">
      <w:pPr>
        <w:pStyle w:val="20"/>
        <w:spacing w:before="0" w:after="0" w:line="520" w:lineRule="atLeast"/>
        <w:ind w:left="0" w:firstLineChars="200" w:firstLine="560"/>
        <w:rPr>
          <w:rFonts w:hAnsi="宋体"/>
          <w:sz w:val="28"/>
          <w:szCs w:val="28"/>
        </w:rPr>
      </w:pPr>
    </w:p>
    <w:p w:rsidR="004A33FC" w:rsidRDefault="004A33FC">
      <w:pPr>
        <w:pStyle w:val="20"/>
        <w:spacing w:before="0" w:after="0" w:line="520" w:lineRule="atLeast"/>
        <w:ind w:left="0"/>
        <w:rPr>
          <w:rFonts w:hAnsi="宋体"/>
          <w:szCs w:val="24"/>
        </w:rPr>
      </w:pPr>
    </w:p>
    <w:p w:rsidR="004A33FC" w:rsidRDefault="00F25005">
      <w:pPr>
        <w:pStyle w:val="20"/>
        <w:spacing w:before="0" w:after="0" w:line="520" w:lineRule="atLeast"/>
        <w:ind w:left="0"/>
        <w:rPr>
          <w:rFonts w:hAnsi="宋体"/>
          <w:szCs w:val="24"/>
        </w:rPr>
      </w:pPr>
      <w:r>
        <w:rPr>
          <w:rFonts w:hAnsi="宋体" w:hint="eastAsia"/>
          <w:szCs w:val="24"/>
        </w:rPr>
        <w:t xml:space="preserve">签订地：北京 </w:t>
      </w:r>
    </w:p>
    <w:p w:rsidR="004A33FC" w:rsidRDefault="004A33FC">
      <w:pPr>
        <w:pStyle w:val="20"/>
        <w:spacing w:before="0" w:after="0" w:line="520" w:lineRule="atLeast"/>
        <w:ind w:left="0" w:firstLineChars="200" w:firstLine="480"/>
        <w:rPr>
          <w:rFonts w:hAnsi="宋体"/>
          <w:szCs w:val="24"/>
        </w:rPr>
      </w:pPr>
    </w:p>
    <w:p w:rsidR="004A33FC" w:rsidRDefault="00F25005">
      <w:pPr>
        <w:pStyle w:val="20"/>
        <w:spacing w:before="0" w:after="0" w:line="520" w:lineRule="atLeast"/>
        <w:ind w:left="0"/>
        <w:rPr>
          <w:rFonts w:hAnsi="宋体"/>
          <w:sz w:val="28"/>
          <w:szCs w:val="28"/>
        </w:rPr>
      </w:pPr>
      <w:r>
        <w:rPr>
          <w:rFonts w:hAnsi="宋体" w:hint="eastAsia"/>
          <w:szCs w:val="24"/>
        </w:rPr>
        <w:t xml:space="preserve"> </w:t>
      </w:r>
      <w:r>
        <w:rPr>
          <w:rFonts w:hAnsi="宋体" w:hint="eastAsia"/>
          <w:sz w:val="28"/>
          <w:szCs w:val="28"/>
        </w:rPr>
        <w:t xml:space="preserve">  </w:t>
      </w:r>
    </w:p>
    <w:p w:rsidR="004A33FC" w:rsidRDefault="004A33FC">
      <w:pPr>
        <w:autoSpaceDE w:val="0"/>
        <w:autoSpaceDN w:val="0"/>
        <w:adjustRightInd w:val="0"/>
        <w:spacing w:line="520" w:lineRule="atLeast"/>
        <w:ind w:rightChars="11" w:right="23"/>
        <w:rPr>
          <w:rFonts w:ascii="宋体" w:hAnsi="宋体"/>
          <w:sz w:val="28"/>
          <w:szCs w:val="28"/>
        </w:rPr>
      </w:pPr>
    </w:p>
    <w:sectPr w:rsidR="004A33FC">
      <w:footerReference w:type="even" r:id="rId9"/>
      <w:footerReference w:type="default" r:id="rId10"/>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26" w:rsidRDefault="00AE2526">
      <w:r>
        <w:separator/>
      </w:r>
    </w:p>
  </w:endnote>
  <w:endnote w:type="continuationSeparator" w:id="0">
    <w:p w:rsidR="00AE2526" w:rsidRDefault="00AE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3FC" w:rsidRDefault="00F25005">
    <w:pPr>
      <w:pStyle w:val="a9"/>
      <w:framePr w:wrap="around" w:vAnchor="text" w:hAnchor="margin" w:xAlign="center" w:y="1"/>
      <w:rPr>
        <w:rStyle w:val="ac"/>
      </w:rPr>
    </w:pPr>
    <w:r>
      <w:fldChar w:fldCharType="begin"/>
    </w:r>
    <w:r>
      <w:rPr>
        <w:rStyle w:val="ac"/>
      </w:rPr>
      <w:instrText xml:space="preserve">PAGE  </w:instrText>
    </w:r>
    <w:r>
      <w:fldChar w:fldCharType="end"/>
    </w:r>
  </w:p>
  <w:p w:rsidR="004A33FC" w:rsidRDefault="004A33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3FC" w:rsidRDefault="00F25005">
    <w:pPr>
      <w:pStyle w:val="a9"/>
      <w:framePr w:wrap="around" w:vAnchor="text" w:hAnchor="margin" w:xAlign="center" w:y="1"/>
      <w:rPr>
        <w:rStyle w:val="ac"/>
      </w:rPr>
    </w:pPr>
    <w:r>
      <w:fldChar w:fldCharType="begin"/>
    </w:r>
    <w:r>
      <w:rPr>
        <w:rStyle w:val="ac"/>
      </w:rPr>
      <w:instrText xml:space="preserve">PAGE  </w:instrText>
    </w:r>
    <w:r>
      <w:fldChar w:fldCharType="separate"/>
    </w:r>
    <w:r w:rsidR="00420933">
      <w:rPr>
        <w:rStyle w:val="ac"/>
        <w:noProof/>
      </w:rPr>
      <w:t>21</w:t>
    </w:r>
    <w:r>
      <w:fldChar w:fldCharType="end"/>
    </w:r>
  </w:p>
  <w:p w:rsidR="004A33FC" w:rsidRDefault="004A33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26" w:rsidRDefault="00AE2526">
      <w:r>
        <w:separator/>
      </w:r>
    </w:p>
  </w:footnote>
  <w:footnote w:type="continuationSeparator" w:id="0">
    <w:p w:rsidR="00AE2526" w:rsidRDefault="00AE2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yMjA0YWUwOTNiZmM4OWIyNjhiMzllYTBjYTRlZWUifQ=="/>
  </w:docVars>
  <w:rsids>
    <w:rsidRoot w:val="00552CCB"/>
    <w:rsid w:val="00005F02"/>
    <w:rsid w:val="00006A92"/>
    <w:rsid w:val="00006EF5"/>
    <w:rsid w:val="00007EEE"/>
    <w:rsid w:val="000107EC"/>
    <w:rsid w:val="00014405"/>
    <w:rsid w:val="00014C75"/>
    <w:rsid w:val="00014D0C"/>
    <w:rsid w:val="000156D9"/>
    <w:rsid w:val="0001713B"/>
    <w:rsid w:val="00017F23"/>
    <w:rsid w:val="000217E4"/>
    <w:rsid w:val="00023A92"/>
    <w:rsid w:val="00027285"/>
    <w:rsid w:val="0003190B"/>
    <w:rsid w:val="00033A7B"/>
    <w:rsid w:val="00035920"/>
    <w:rsid w:val="00037404"/>
    <w:rsid w:val="00037818"/>
    <w:rsid w:val="00037980"/>
    <w:rsid w:val="00041592"/>
    <w:rsid w:val="00042A25"/>
    <w:rsid w:val="00042EEE"/>
    <w:rsid w:val="00043FB7"/>
    <w:rsid w:val="00046B2A"/>
    <w:rsid w:val="00052412"/>
    <w:rsid w:val="00053C75"/>
    <w:rsid w:val="0005413C"/>
    <w:rsid w:val="000559C3"/>
    <w:rsid w:val="000603A2"/>
    <w:rsid w:val="00062021"/>
    <w:rsid w:val="00062E2D"/>
    <w:rsid w:val="00066BF4"/>
    <w:rsid w:val="0006754D"/>
    <w:rsid w:val="00071F28"/>
    <w:rsid w:val="0007356D"/>
    <w:rsid w:val="0007445B"/>
    <w:rsid w:val="00074856"/>
    <w:rsid w:val="0007750D"/>
    <w:rsid w:val="0008163D"/>
    <w:rsid w:val="000877E6"/>
    <w:rsid w:val="000906E8"/>
    <w:rsid w:val="00093120"/>
    <w:rsid w:val="000A228B"/>
    <w:rsid w:val="000A6FC1"/>
    <w:rsid w:val="000B1E50"/>
    <w:rsid w:val="000B3513"/>
    <w:rsid w:val="000B3FF9"/>
    <w:rsid w:val="000C0905"/>
    <w:rsid w:val="000C152B"/>
    <w:rsid w:val="000C1C70"/>
    <w:rsid w:val="000C2F51"/>
    <w:rsid w:val="000C4913"/>
    <w:rsid w:val="000C59CA"/>
    <w:rsid w:val="000C7AB7"/>
    <w:rsid w:val="000D0BD5"/>
    <w:rsid w:val="000D17C9"/>
    <w:rsid w:val="000D59DE"/>
    <w:rsid w:val="000E216E"/>
    <w:rsid w:val="000E3608"/>
    <w:rsid w:val="000E5F2A"/>
    <w:rsid w:val="000E69F8"/>
    <w:rsid w:val="000F54D1"/>
    <w:rsid w:val="000F6613"/>
    <w:rsid w:val="001022CC"/>
    <w:rsid w:val="0010239C"/>
    <w:rsid w:val="00102F71"/>
    <w:rsid w:val="00107051"/>
    <w:rsid w:val="00112B48"/>
    <w:rsid w:val="00115AA2"/>
    <w:rsid w:val="001177F0"/>
    <w:rsid w:val="00123ACD"/>
    <w:rsid w:val="00130C38"/>
    <w:rsid w:val="00132302"/>
    <w:rsid w:val="00132BE4"/>
    <w:rsid w:val="00133FC6"/>
    <w:rsid w:val="00135362"/>
    <w:rsid w:val="00137C67"/>
    <w:rsid w:val="0014134F"/>
    <w:rsid w:val="0014169A"/>
    <w:rsid w:val="0014323B"/>
    <w:rsid w:val="00143504"/>
    <w:rsid w:val="00145C16"/>
    <w:rsid w:val="001469A3"/>
    <w:rsid w:val="00146F90"/>
    <w:rsid w:val="001618D7"/>
    <w:rsid w:val="00161E02"/>
    <w:rsid w:val="001657D8"/>
    <w:rsid w:val="00175B0A"/>
    <w:rsid w:val="00180B60"/>
    <w:rsid w:val="0018204A"/>
    <w:rsid w:val="00183760"/>
    <w:rsid w:val="001848CC"/>
    <w:rsid w:val="00186FC9"/>
    <w:rsid w:val="00190D40"/>
    <w:rsid w:val="00195984"/>
    <w:rsid w:val="001A3986"/>
    <w:rsid w:val="001B0A60"/>
    <w:rsid w:val="001B0F1A"/>
    <w:rsid w:val="001B2546"/>
    <w:rsid w:val="001B2959"/>
    <w:rsid w:val="001B2AF0"/>
    <w:rsid w:val="001B2E1D"/>
    <w:rsid w:val="001B3ED3"/>
    <w:rsid w:val="001B687D"/>
    <w:rsid w:val="001B7022"/>
    <w:rsid w:val="001C2ACF"/>
    <w:rsid w:val="001C545B"/>
    <w:rsid w:val="001C66BC"/>
    <w:rsid w:val="001C779A"/>
    <w:rsid w:val="001D03D4"/>
    <w:rsid w:val="001D09A0"/>
    <w:rsid w:val="001D3E64"/>
    <w:rsid w:val="001D444B"/>
    <w:rsid w:val="001D5EB2"/>
    <w:rsid w:val="001E176E"/>
    <w:rsid w:val="001E33B7"/>
    <w:rsid w:val="001E5516"/>
    <w:rsid w:val="001E6A6C"/>
    <w:rsid w:val="001E6B63"/>
    <w:rsid w:val="001E7C1A"/>
    <w:rsid w:val="001F13FB"/>
    <w:rsid w:val="001F1C99"/>
    <w:rsid w:val="001F450F"/>
    <w:rsid w:val="001F5108"/>
    <w:rsid w:val="00203D12"/>
    <w:rsid w:val="002045A2"/>
    <w:rsid w:val="00205409"/>
    <w:rsid w:val="00206D81"/>
    <w:rsid w:val="00214195"/>
    <w:rsid w:val="002158ED"/>
    <w:rsid w:val="00216E66"/>
    <w:rsid w:val="00217901"/>
    <w:rsid w:val="002216DF"/>
    <w:rsid w:val="00221C8C"/>
    <w:rsid w:val="00222AE4"/>
    <w:rsid w:val="00223848"/>
    <w:rsid w:val="00224352"/>
    <w:rsid w:val="002254CA"/>
    <w:rsid w:val="00225A43"/>
    <w:rsid w:val="002309FE"/>
    <w:rsid w:val="00232715"/>
    <w:rsid w:val="00234CB5"/>
    <w:rsid w:val="0024243F"/>
    <w:rsid w:val="00244076"/>
    <w:rsid w:val="00244CEE"/>
    <w:rsid w:val="00244F0B"/>
    <w:rsid w:val="002464DB"/>
    <w:rsid w:val="00251308"/>
    <w:rsid w:val="00256509"/>
    <w:rsid w:val="002567AE"/>
    <w:rsid w:val="002620B5"/>
    <w:rsid w:val="0026403B"/>
    <w:rsid w:val="00270B1B"/>
    <w:rsid w:val="00271BEE"/>
    <w:rsid w:val="00273F36"/>
    <w:rsid w:val="0027511C"/>
    <w:rsid w:val="00275823"/>
    <w:rsid w:val="002771AB"/>
    <w:rsid w:val="00280105"/>
    <w:rsid w:val="00282CB6"/>
    <w:rsid w:val="00283722"/>
    <w:rsid w:val="002964FD"/>
    <w:rsid w:val="002A153D"/>
    <w:rsid w:val="002A34FB"/>
    <w:rsid w:val="002A3C08"/>
    <w:rsid w:val="002A4055"/>
    <w:rsid w:val="002A4594"/>
    <w:rsid w:val="002A5134"/>
    <w:rsid w:val="002B0CA2"/>
    <w:rsid w:val="002B2B25"/>
    <w:rsid w:val="002B2B46"/>
    <w:rsid w:val="002C1390"/>
    <w:rsid w:val="002C4590"/>
    <w:rsid w:val="002C6708"/>
    <w:rsid w:val="002C7260"/>
    <w:rsid w:val="002D278E"/>
    <w:rsid w:val="002D5AC8"/>
    <w:rsid w:val="002E423B"/>
    <w:rsid w:val="002F1D9A"/>
    <w:rsid w:val="002F1FB2"/>
    <w:rsid w:val="002F492E"/>
    <w:rsid w:val="002F7C1F"/>
    <w:rsid w:val="0030473A"/>
    <w:rsid w:val="0030785F"/>
    <w:rsid w:val="003103C3"/>
    <w:rsid w:val="0031296D"/>
    <w:rsid w:val="00314EE7"/>
    <w:rsid w:val="00317BE9"/>
    <w:rsid w:val="0032081A"/>
    <w:rsid w:val="003229E8"/>
    <w:rsid w:val="00330DBF"/>
    <w:rsid w:val="00342101"/>
    <w:rsid w:val="00343183"/>
    <w:rsid w:val="00344AF2"/>
    <w:rsid w:val="00345E38"/>
    <w:rsid w:val="0035177F"/>
    <w:rsid w:val="00363BF9"/>
    <w:rsid w:val="00364747"/>
    <w:rsid w:val="003660FE"/>
    <w:rsid w:val="00370E6A"/>
    <w:rsid w:val="00376470"/>
    <w:rsid w:val="00376534"/>
    <w:rsid w:val="00380257"/>
    <w:rsid w:val="003820CE"/>
    <w:rsid w:val="0038599A"/>
    <w:rsid w:val="00385CF5"/>
    <w:rsid w:val="00385F7B"/>
    <w:rsid w:val="00393A4B"/>
    <w:rsid w:val="0039570A"/>
    <w:rsid w:val="0039704D"/>
    <w:rsid w:val="00397F84"/>
    <w:rsid w:val="003A21D3"/>
    <w:rsid w:val="003A4C9D"/>
    <w:rsid w:val="003A64E9"/>
    <w:rsid w:val="003A7609"/>
    <w:rsid w:val="003B0F07"/>
    <w:rsid w:val="003B11C4"/>
    <w:rsid w:val="003B240A"/>
    <w:rsid w:val="003B7C32"/>
    <w:rsid w:val="003C20E6"/>
    <w:rsid w:val="003C235D"/>
    <w:rsid w:val="003C2DEB"/>
    <w:rsid w:val="003C306C"/>
    <w:rsid w:val="003C3C90"/>
    <w:rsid w:val="003C5533"/>
    <w:rsid w:val="003C5A81"/>
    <w:rsid w:val="003C67A3"/>
    <w:rsid w:val="003C6E19"/>
    <w:rsid w:val="003D0785"/>
    <w:rsid w:val="003D24E0"/>
    <w:rsid w:val="003D2A81"/>
    <w:rsid w:val="003D48C9"/>
    <w:rsid w:val="003D6E5F"/>
    <w:rsid w:val="003D7086"/>
    <w:rsid w:val="003D778D"/>
    <w:rsid w:val="003E25E9"/>
    <w:rsid w:val="003E57C9"/>
    <w:rsid w:val="003E5B9D"/>
    <w:rsid w:val="003E619A"/>
    <w:rsid w:val="003E728E"/>
    <w:rsid w:val="003F26BF"/>
    <w:rsid w:val="003F2B1B"/>
    <w:rsid w:val="003F32DF"/>
    <w:rsid w:val="003F38FA"/>
    <w:rsid w:val="003F4121"/>
    <w:rsid w:val="003F76F1"/>
    <w:rsid w:val="00403FA4"/>
    <w:rsid w:val="00411E11"/>
    <w:rsid w:val="00411EC2"/>
    <w:rsid w:val="0041673C"/>
    <w:rsid w:val="00417D16"/>
    <w:rsid w:val="00420933"/>
    <w:rsid w:val="0042648F"/>
    <w:rsid w:val="00430FD3"/>
    <w:rsid w:val="004311E8"/>
    <w:rsid w:val="004339DF"/>
    <w:rsid w:val="00435A51"/>
    <w:rsid w:val="00436366"/>
    <w:rsid w:val="0043710B"/>
    <w:rsid w:val="004412E4"/>
    <w:rsid w:val="00443EEB"/>
    <w:rsid w:val="00445A0C"/>
    <w:rsid w:val="004464B7"/>
    <w:rsid w:val="0044652B"/>
    <w:rsid w:val="00451371"/>
    <w:rsid w:val="00455161"/>
    <w:rsid w:val="004558DF"/>
    <w:rsid w:val="00456A15"/>
    <w:rsid w:val="0046023B"/>
    <w:rsid w:val="00462A74"/>
    <w:rsid w:val="004670BB"/>
    <w:rsid w:val="004702E5"/>
    <w:rsid w:val="00470F6A"/>
    <w:rsid w:val="00472976"/>
    <w:rsid w:val="004734B3"/>
    <w:rsid w:val="00474712"/>
    <w:rsid w:val="00477C89"/>
    <w:rsid w:val="0048045F"/>
    <w:rsid w:val="00486135"/>
    <w:rsid w:val="00490CC4"/>
    <w:rsid w:val="004A0749"/>
    <w:rsid w:val="004A2093"/>
    <w:rsid w:val="004A21FA"/>
    <w:rsid w:val="004A26BE"/>
    <w:rsid w:val="004A33FC"/>
    <w:rsid w:val="004A4507"/>
    <w:rsid w:val="004B0A2F"/>
    <w:rsid w:val="004B3F78"/>
    <w:rsid w:val="004B4499"/>
    <w:rsid w:val="004B64C7"/>
    <w:rsid w:val="004B76D3"/>
    <w:rsid w:val="004C14BD"/>
    <w:rsid w:val="004C5378"/>
    <w:rsid w:val="004C7064"/>
    <w:rsid w:val="004C7BEF"/>
    <w:rsid w:val="004D467F"/>
    <w:rsid w:val="004D5244"/>
    <w:rsid w:val="004D7082"/>
    <w:rsid w:val="004E306E"/>
    <w:rsid w:val="004E3B8C"/>
    <w:rsid w:val="004E5206"/>
    <w:rsid w:val="004E5621"/>
    <w:rsid w:val="004E7254"/>
    <w:rsid w:val="004F2CD0"/>
    <w:rsid w:val="004F4570"/>
    <w:rsid w:val="004F5507"/>
    <w:rsid w:val="004F5ED3"/>
    <w:rsid w:val="004F7098"/>
    <w:rsid w:val="00500435"/>
    <w:rsid w:val="00501B80"/>
    <w:rsid w:val="0050611F"/>
    <w:rsid w:val="00507836"/>
    <w:rsid w:val="005121E1"/>
    <w:rsid w:val="005147D9"/>
    <w:rsid w:val="00514ECE"/>
    <w:rsid w:val="0051584C"/>
    <w:rsid w:val="0051648E"/>
    <w:rsid w:val="005223A4"/>
    <w:rsid w:val="00526BD9"/>
    <w:rsid w:val="005302BD"/>
    <w:rsid w:val="00530616"/>
    <w:rsid w:val="005307DB"/>
    <w:rsid w:val="00532411"/>
    <w:rsid w:val="00533B7B"/>
    <w:rsid w:val="00534344"/>
    <w:rsid w:val="005366E9"/>
    <w:rsid w:val="0054036A"/>
    <w:rsid w:val="005417F4"/>
    <w:rsid w:val="00541A7B"/>
    <w:rsid w:val="00543408"/>
    <w:rsid w:val="00552CCB"/>
    <w:rsid w:val="005541ED"/>
    <w:rsid w:val="005568C2"/>
    <w:rsid w:val="005576FE"/>
    <w:rsid w:val="00560BC1"/>
    <w:rsid w:val="00565D50"/>
    <w:rsid w:val="005662BD"/>
    <w:rsid w:val="00566678"/>
    <w:rsid w:val="00582CA5"/>
    <w:rsid w:val="0058531A"/>
    <w:rsid w:val="00587AA1"/>
    <w:rsid w:val="00591580"/>
    <w:rsid w:val="00591B16"/>
    <w:rsid w:val="005A11E0"/>
    <w:rsid w:val="005A1862"/>
    <w:rsid w:val="005A1FC8"/>
    <w:rsid w:val="005A52A1"/>
    <w:rsid w:val="005A5D2C"/>
    <w:rsid w:val="005A745C"/>
    <w:rsid w:val="005B05A6"/>
    <w:rsid w:val="005B0CCB"/>
    <w:rsid w:val="005B0F25"/>
    <w:rsid w:val="005B1338"/>
    <w:rsid w:val="005B4A54"/>
    <w:rsid w:val="005B6D06"/>
    <w:rsid w:val="005B7532"/>
    <w:rsid w:val="005C1C72"/>
    <w:rsid w:val="005C5DFC"/>
    <w:rsid w:val="005D0467"/>
    <w:rsid w:val="005D11F0"/>
    <w:rsid w:val="005D18F6"/>
    <w:rsid w:val="005D442A"/>
    <w:rsid w:val="005D4DA3"/>
    <w:rsid w:val="005E0DF0"/>
    <w:rsid w:val="005E2FF6"/>
    <w:rsid w:val="005E3419"/>
    <w:rsid w:val="005E3FB2"/>
    <w:rsid w:val="005E5229"/>
    <w:rsid w:val="005E751A"/>
    <w:rsid w:val="005F012D"/>
    <w:rsid w:val="005F0CA6"/>
    <w:rsid w:val="005F221B"/>
    <w:rsid w:val="005F42C5"/>
    <w:rsid w:val="005F48DE"/>
    <w:rsid w:val="005F4C72"/>
    <w:rsid w:val="005F7024"/>
    <w:rsid w:val="00601D3D"/>
    <w:rsid w:val="00601ED8"/>
    <w:rsid w:val="0060330F"/>
    <w:rsid w:val="006039BB"/>
    <w:rsid w:val="00604C7B"/>
    <w:rsid w:val="006117E4"/>
    <w:rsid w:val="00616872"/>
    <w:rsid w:val="006238E1"/>
    <w:rsid w:val="00624E66"/>
    <w:rsid w:val="00627E17"/>
    <w:rsid w:val="00630C12"/>
    <w:rsid w:val="00631068"/>
    <w:rsid w:val="006333AF"/>
    <w:rsid w:val="0063582D"/>
    <w:rsid w:val="006374EE"/>
    <w:rsid w:val="0064184D"/>
    <w:rsid w:val="006433ED"/>
    <w:rsid w:val="00645BD9"/>
    <w:rsid w:val="00646351"/>
    <w:rsid w:val="00646768"/>
    <w:rsid w:val="0065050A"/>
    <w:rsid w:val="006513FE"/>
    <w:rsid w:val="00653620"/>
    <w:rsid w:val="0065472A"/>
    <w:rsid w:val="0065631C"/>
    <w:rsid w:val="0065675D"/>
    <w:rsid w:val="0066277C"/>
    <w:rsid w:val="006631BB"/>
    <w:rsid w:val="006643B1"/>
    <w:rsid w:val="006704D3"/>
    <w:rsid w:val="00671709"/>
    <w:rsid w:val="00672EA6"/>
    <w:rsid w:val="006745D6"/>
    <w:rsid w:val="00674E25"/>
    <w:rsid w:val="0067636E"/>
    <w:rsid w:val="00676F66"/>
    <w:rsid w:val="00681B36"/>
    <w:rsid w:val="00682F3F"/>
    <w:rsid w:val="006840E4"/>
    <w:rsid w:val="0068465B"/>
    <w:rsid w:val="00686DB0"/>
    <w:rsid w:val="0069476A"/>
    <w:rsid w:val="006A187B"/>
    <w:rsid w:val="006A7C46"/>
    <w:rsid w:val="006B3419"/>
    <w:rsid w:val="006B5645"/>
    <w:rsid w:val="006B567E"/>
    <w:rsid w:val="006C4750"/>
    <w:rsid w:val="006D53E5"/>
    <w:rsid w:val="006D6149"/>
    <w:rsid w:val="006E1C21"/>
    <w:rsid w:val="006E28C1"/>
    <w:rsid w:val="006E4DF7"/>
    <w:rsid w:val="006E5F66"/>
    <w:rsid w:val="006E616F"/>
    <w:rsid w:val="006E6265"/>
    <w:rsid w:val="006E747F"/>
    <w:rsid w:val="006F0AA0"/>
    <w:rsid w:val="006F4830"/>
    <w:rsid w:val="006F60E3"/>
    <w:rsid w:val="006F7F18"/>
    <w:rsid w:val="007041FF"/>
    <w:rsid w:val="0070432C"/>
    <w:rsid w:val="00705281"/>
    <w:rsid w:val="0070544A"/>
    <w:rsid w:val="0070746D"/>
    <w:rsid w:val="007078CE"/>
    <w:rsid w:val="007105D4"/>
    <w:rsid w:val="00712E45"/>
    <w:rsid w:val="00714EDA"/>
    <w:rsid w:val="00715971"/>
    <w:rsid w:val="0072239D"/>
    <w:rsid w:val="00722E92"/>
    <w:rsid w:val="00723A7F"/>
    <w:rsid w:val="00724D22"/>
    <w:rsid w:val="00731307"/>
    <w:rsid w:val="00742138"/>
    <w:rsid w:val="00743726"/>
    <w:rsid w:val="0074389D"/>
    <w:rsid w:val="007451E3"/>
    <w:rsid w:val="0074526E"/>
    <w:rsid w:val="00750A9C"/>
    <w:rsid w:val="0075595F"/>
    <w:rsid w:val="007564E2"/>
    <w:rsid w:val="00757C03"/>
    <w:rsid w:val="00757ED4"/>
    <w:rsid w:val="00770384"/>
    <w:rsid w:val="00772F6C"/>
    <w:rsid w:val="00773CE9"/>
    <w:rsid w:val="00775161"/>
    <w:rsid w:val="00777C8C"/>
    <w:rsid w:val="0078303E"/>
    <w:rsid w:val="007865D8"/>
    <w:rsid w:val="00786DDE"/>
    <w:rsid w:val="00792ABE"/>
    <w:rsid w:val="00795FC7"/>
    <w:rsid w:val="007A4FFD"/>
    <w:rsid w:val="007A7E9E"/>
    <w:rsid w:val="007B0920"/>
    <w:rsid w:val="007B0DCD"/>
    <w:rsid w:val="007B1E58"/>
    <w:rsid w:val="007B40CD"/>
    <w:rsid w:val="007C3B71"/>
    <w:rsid w:val="007C56B2"/>
    <w:rsid w:val="007D21F7"/>
    <w:rsid w:val="007D532B"/>
    <w:rsid w:val="007E2AA0"/>
    <w:rsid w:val="007E306A"/>
    <w:rsid w:val="007E3074"/>
    <w:rsid w:val="007E30D4"/>
    <w:rsid w:val="007E66C2"/>
    <w:rsid w:val="007F28F2"/>
    <w:rsid w:val="007F37EC"/>
    <w:rsid w:val="007F780A"/>
    <w:rsid w:val="00806439"/>
    <w:rsid w:val="00810562"/>
    <w:rsid w:val="008138B1"/>
    <w:rsid w:val="00815E67"/>
    <w:rsid w:val="00816328"/>
    <w:rsid w:val="00816E98"/>
    <w:rsid w:val="0082011A"/>
    <w:rsid w:val="00820261"/>
    <w:rsid w:val="008265FB"/>
    <w:rsid w:val="00826C46"/>
    <w:rsid w:val="0083307F"/>
    <w:rsid w:val="008402D5"/>
    <w:rsid w:val="00844028"/>
    <w:rsid w:val="0084464F"/>
    <w:rsid w:val="00844681"/>
    <w:rsid w:val="0084596D"/>
    <w:rsid w:val="00846C38"/>
    <w:rsid w:val="00850170"/>
    <w:rsid w:val="00850A81"/>
    <w:rsid w:val="00853FDC"/>
    <w:rsid w:val="00855B9C"/>
    <w:rsid w:val="00855C44"/>
    <w:rsid w:val="00857A81"/>
    <w:rsid w:val="0086120E"/>
    <w:rsid w:val="008723BB"/>
    <w:rsid w:val="0087434D"/>
    <w:rsid w:val="008758F6"/>
    <w:rsid w:val="00875C15"/>
    <w:rsid w:val="0088044B"/>
    <w:rsid w:val="008815F1"/>
    <w:rsid w:val="00883AB7"/>
    <w:rsid w:val="00883B69"/>
    <w:rsid w:val="00885993"/>
    <w:rsid w:val="00886001"/>
    <w:rsid w:val="0088782C"/>
    <w:rsid w:val="00887CEE"/>
    <w:rsid w:val="00895349"/>
    <w:rsid w:val="008963F5"/>
    <w:rsid w:val="00897367"/>
    <w:rsid w:val="008A160E"/>
    <w:rsid w:val="008A1BC0"/>
    <w:rsid w:val="008A1C89"/>
    <w:rsid w:val="008A2038"/>
    <w:rsid w:val="008A452D"/>
    <w:rsid w:val="008A50D6"/>
    <w:rsid w:val="008A772E"/>
    <w:rsid w:val="008A77A6"/>
    <w:rsid w:val="008A7F32"/>
    <w:rsid w:val="008B2F71"/>
    <w:rsid w:val="008B7214"/>
    <w:rsid w:val="008C66D8"/>
    <w:rsid w:val="008D2524"/>
    <w:rsid w:val="008D5347"/>
    <w:rsid w:val="008E3AE4"/>
    <w:rsid w:val="008E7B24"/>
    <w:rsid w:val="008F3907"/>
    <w:rsid w:val="008F3F36"/>
    <w:rsid w:val="008F4C30"/>
    <w:rsid w:val="008F7242"/>
    <w:rsid w:val="0090034A"/>
    <w:rsid w:val="00901F55"/>
    <w:rsid w:val="00910563"/>
    <w:rsid w:val="00910BB9"/>
    <w:rsid w:val="00911DDB"/>
    <w:rsid w:val="00912E35"/>
    <w:rsid w:val="0091346D"/>
    <w:rsid w:val="009168DA"/>
    <w:rsid w:val="0091746B"/>
    <w:rsid w:val="00922C37"/>
    <w:rsid w:val="00922E0D"/>
    <w:rsid w:val="00922EF4"/>
    <w:rsid w:val="00923621"/>
    <w:rsid w:val="00923821"/>
    <w:rsid w:val="00925BAE"/>
    <w:rsid w:val="0092657A"/>
    <w:rsid w:val="00934CFF"/>
    <w:rsid w:val="0094040B"/>
    <w:rsid w:val="00942E0B"/>
    <w:rsid w:val="00950499"/>
    <w:rsid w:val="00951D67"/>
    <w:rsid w:val="009534CD"/>
    <w:rsid w:val="00956305"/>
    <w:rsid w:val="009568E1"/>
    <w:rsid w:val="00956992"/>
    <w:rsid w:val="00956C59"/>
    <w:rsid w:val="009602AC"/>
    <w:rsid w:val="00961105"/>
    <w:rsid w:val="00961CF2"/>
    <w:rsid w:val="009637CC"/>
    <w:rsid w:val="0096628D"/>
    <w:rsid w:val="00967455"/>
    <w:rsid w:val="00967914"/>
    <w:rsid w:val="00972E11"/>
    <w:rsid w:val="00976194"/>
    <w:rsid w:val="009805C9"/>
    <w:rsid w:val="00980790"/>
    <w:rsid w:val="00980965"/>
    <w:rsid w:val="009838F2"/>
    <w:rsid w:val="00983D29"/>
    <w:rsid w:val="00983EC2"/>
    <w:rsid w:val="00984003"/>
    <w:rsid w:val="009929CB"/>
    <w:rsid w:val="00992C48"/>
    <w:rsid w:val="00994EDA"/>
    <w:rsid w:val="00996D63"/>
    <w:rsid w:val="00997B73"/>
    <w:rsid w:val="00997B9E"/>
    <w:rsid w:val="00997CAB"/>
    <w:rsid w:val="009A3719"/>
    <w:rsid w:val="009A39CE"/>
    <w:rsid w:val="009B3C84"/>
    <w:rsid w:val="009B4DFA"/>
    <w:rsid w:val="009B7AFF"/>
    <w:rsid w:val="009C05E6"/>
    <w:rsid w:val="009C3962"/>
    <w:rsid w:val="009D38A5"/>
    <w:rsid w:val="009D39A3"/>
    <w:rsid w:val="009D3DFA"/>
    <w:rsid w:val="009D5128"/>
    <w:rsid w:val="009D5D04"/>
    <w:rsid w:val="009E0844"/>
    <w:rsid w:val="009E263C"/>
    <w:rsid w:val="009E4F5A"/>
    <w:rsid w:val="009E688B"/>
    <w:rsid w:val="009F038B"/>
    <w:rsid w:val="009F232A"/>
    <w:rsid w:val="009F37F6"/>
    <w:rsid w:val="00A03A3C"/>
    <w:rsid w:val="00A04B7B"/>
    <w:rsid w:val="00A0529F"/>
    <w:rsid w:val="00A11937"/>
    <w:rsid w:val="00A11C5F"/>
    <w:rsid w:val="00A13652"/>
    <w:rsid w:val="00A3173D"/>
    <w:rsid w:val="00A317FB"/>
    <w:rsid w:val="00A32ED7"/>
    <w:rsid w:val="00A33B45"/>
    <w:rsid w:val="00A34C6D"/>
    <w:rsid w:val="00A430CF"/>
    <w:rsid w:val="00A464EF"/>
    <w:rsid w:val="00A478F7"/>
    <w:rsid w:val="00A5325C"/>
    <w:rsid w:val="00A5593A"/>
    <w:rsid w:val="00A57899"/>
    <w:rsid w:val="00A600C1"/>
    <w:rsid w:val="00A61E5C"/>
    <w:rsid w:val="00A71394"/>
    <w:rsid w:val="00A72A31"/>
    <w:rsid w:val="00A76D15"/>
    <w:rsid w:val="00A80572"/>
    <w:rsid w:val="00A82BB8"/>
    <w:rsid w:val="00A86AB6"/>
    <w:rsid w:val="00A872C3"/>
    <w:rsid w:val="00A90358"/>
    <w:rsid w:val="00A90A88"/>
    <w:rsid w:val="00A91212"/>
    <w:rsid w:val="00A93C4F"/>
    <w:rsid w:val="00A97F7D"/>
    <w:rsid w:val="00AA086B"/>
    <w:rsid w:val="00AA26EB"/>
    <w:rsid w:val="00AA3B97"/>
    <w:rsid w:val="00AA5D4A"/>
    <w:rsid w:val="00AA74F1"/>
    <w:rsid w:val="00AB08D8"/>
    <w:rsid w:val="00AB1BBB"/>
    <w:rsid w:val="00AB43B9"/>
    <w:rsid w:val="00AB76A9"/>
    <w:rsid w:val="00AC2B6B"/>
    <w:rsid w:val="00AC2F09"/>
    <w:rsid w:val="00AC7A32"/>
    <w:rsid w:val="00AD13BC"/>
    <w:rsid w:val="00AD1B3E"/>
    <w:rsid w:val="00AD25A3"/>
    <w:rsid w:val="00AD38E5"/>
    <w:rsid w:val="00AD46EC"/>
    <w:rsid w:val="00AE2526"/>
    <w:rsid w:val="00AE73C1"/>
    <w:rsid w:val="00B0046B"/>
    <w:rsid w:val="00B02C08"/>
    <w:rsid w:val="00B03495"/>
    <w:rsid w:val="00B049FA"/>
    <w:rsid w:val="00B04E35"/>
    <w:rsid w:val="00B13317"/>
    <w:rsid w:val="00B14B93"/>
    <w:rsid w:val="00B16B5E"/>
    <w:rsid w:val="00B22BF2"/>
    <w:rsid w:val="00B240D8"/>
    <w:rsid w:val="00B30712"/>
    <w:rsid w:val="00B310E5"/>
    <w:rsid w:val="00B34B8F"/>
    <w:rsid w:val="00B35BDB"/>
    <w:rsid w:val="00B369F2"/>
    <w:rsid w:val="00B37F3D"/>
    <w:rsid w:val="00B41AB2"/>
    <w:rsid w:val="00B427B8"/>
    <w:rsid w:val="00B42A85"/>
    <w:rsid w:val="00B4586E"/>
    <w:rsid w:val="00B47EC6"/>
    <w:rsid w:val="00B50738"/>
    <w:rsid w:val="00B5296D"/>
    <w:rsid w:val="00B56ABC"/>
    <w:rsid w:val="00B60E44"/>
    <w:rsid w:val="00B61FF9"/>
    <w:rsid w:val="00B63751"/>
    <w:rsid w:val="00B65D3D"/>
    <w:rsid w:val="00B66879"/>
    <w:rsid w:val="00B70804"/>
    <w:rsid w:val="00B719B1"/>
    <w:rsid w:val="00B73796"/>
    <w:rsid w:val="00B74A93"/>
    <w:rsid w:val="00B76F64"/>
    <w:rsid w:val="00B770E3"/>
    <w:rsid w:val="00B77FC9"/>
    <w:rsid w:val="00B85929"/>
    <w:rsid w:val="00B90203"/>
    <w:rsid w:val="00B92165"/>
    <w:rsid w:val="00B9229E"/>
    <w:rsid w:val="00B9620D"/>
    <w:rsid w:val="00BA1072"/>
    <w:rsid w:val="00BA1995"/>
    <w:rsid w:val="00BA1FFA"/>
    <w:rsid w:val="00BA4A6F"/>
    <w:rsid w:val="00BA71B2"/>
    <w:rsid w:val="00BA7CDA"/>
    <w:rsid w:val="00BB055E"/>
    <w:rsid w:val="00BB1D20"/>
    <w:rsid w:val="00BB45C2"/>
    <w:rsid w:val="00BB6B31"/>
    <w:rsid w:val="00BC0D5D"/>
    <w:rsid w:val="00BC11DF"/>
    <w:rsid w:val="00BC397C"/>
    <w:rsid w:val="00BC7CE3"/>
    <w:rsid w:val="00BD1B35"/>
    <w:rsid w:val="00BD582F"/>
    <w:rsid w:val="00BD6014"/>
    <w:rsid w:val="00BE3072"/>
    <w:rsid w:val="00BE3201"/>
    <w:rsid w:val="00BE46D4"/>
    <w:rsid w:val="00BE78A0"/>
    <w:rsid w:val="00BF673D"/>
    <w:rsid w:val="00C00B3A"/>
    <w:rsid w:val="00C01EEA"/>
    <w:rsid w:val="00C0299E"/>
    <w:rsid w:val="00C04FDD"/>
    <w:rsid w:val="00C06901"/>
    <w:rsid w:val="00C118AC"/>
    <w:rsid w:val="00C14204"/>
    <w:rsid w:val="00C15064"/>
    <w:rsid w:val="00C157CA"/>
    <w:rsid w:val="00C17895"/>
    <w:rsid w:val="00C21B5A"/>
    <w:rsid w:val="00C25D19"/>
    <w:rsid w:val="00C324F8"/>
    <w:rsid w:val="00C34241"/>
    <w:rsid w:val="00C37C51"/>
    <w:rsid w:val="00C44C0D"/>
    <w:rsid w:val="00C44C75"/>
    <w:rsid w:val="00C51A27"/>
    <w:rsid w:val="00C520BD"/>
    <w:rsid w:val="00C53372"/>
    <w:rsid w:val="00C63EF2"/>
    <w:rsid w:val="00C747D9"/>
    <w:rsid w:val="00C7729D"/>
    <w:rsid w:val="00C822D7"/>
    <w:rsid w:val="00C850FD"/>
    <w:rsid w:val="00C90549"/>
    <w:rsid w:val="00C91EE9"/>
    <w:rsid w:val="00C934A8"/>
    <w:rsid w:val="00C934E2"/>
    <w:rsid w:val="00C94574"/>
    <w:rsid w:val="00C96708"/>
    <w:rsid w:val="00C9703A"/>
    <w:rsid w:val="00CA48B0"/>
    <w:rsid w:val="00CA4D51"/>
    <w:rsid w:val="00CA7829"/>
    <w:rsid w:val="00CB0089"/>
    <w:rsid w:val="00CB1555"/>
    <w:rsid w:val="00CB1963"/>
    <w:rsid w:val="00CB1E25"/>
    <w:rsid w:val="00CB595B"/>
    <w:rsid w:val="00CB6238"/>
    <w:rsid w:val="00CC0307"/>
    <w:rsid w:val="00CC49AC"/>
    <w:rsid w:val="00CD2AB3"/>
    <w:rsid w:val="00CD424F"/>
    <w:rsid w:val="00CD5447"/>
    <w:rsid w:val="00CE187B"/>
    <w:rsid w:val="00CE1A63"/>
    <w:rsid w:val="00CF0833"/>
    <w:rsid w:val="00CF17D0"/>
    <w:rsid w:val="00CF1814"/>
    <w:rsid w:val="00CF2667"/>
    <w:rsid w:val="00CF2E69"/>
    <w:rsid w:val="00CF33B4"/>
    <w:rsid w:val="00D039C5"/>
    <w:rsid w:val="00D03C31"/>
    <w:rsid w:val="00D10BAF"/>
    <w:rsid w:val="00D12262"/>
    <w:rsid w:val="00D127E7"/>
    <w:rsid w:val="00D15D80"/>
    <w:rsid w:val="00D167CB"/>
    <w:rsid w:val="00D2248B"/>
    <w:rsid w:val="00D23019"/>
    <w:rsid w:val="00D23C7C"/>
    <w:rsid w:val="00D25D94"/>
    <w:rsid w:val="00D267C4"/>
    <w:rsid w:val="00D27344"/>
    <w:rsid w:val="00D314A9"/>
    <w:rsid w:val="00D327E8"/>
    <w:rsid w:val="00D348CE"/>
    <w:rsid w:val="00D34C61"/>
    <w:rsid w:val="00D40F8E"/>
    <w:rsid w:val="00D4246A"/>
    <w:rsid w:val="00D4455A"/>
    <w:rsid w:val="00D470C6"/>
    <w:rsid w:val="00D4724E"/>
    <w:rsid w:val="00D52B93"/>
    <w:rsid w:val="00D53004"/>
    <w:rsid w:val="00D70AB1"/>
    <w:rsid w:val="00D71350"/>
    <w:rsid w:val="00D736CF"/>
    <w:rsid w:val="00D75944"/>
    <w:rsid w:val="00D836E6"/>
    <w:rsid w:val="00D86CBE"/>
    <w:rsid w:val="00D872FC"/>
    <w:rsid w:val="00D91349"/>
    <w:rsid w:val="00D9729F"/>
    <w:rsid w:val="00D9774E"/>
    <w:rsid w:val="00DA1D58"/>
    <w:rsid w:val="00DA3524"/>
    <w:rsid w:val="00DA7F7F"/>
    <w:rsid w:val="00DB35A9"/>
    <w:rsid w:val="00DB3C21"/>
    <w:rsid w:val="00DB6AC9"/>
    <w:rsid w:val="00DC33C9"/>
    <w:rsid w:val="00DC3413"/>
    <w:rsid w:val="00DD3B63"/>
    <w:rsid w:val="00DD76DE"/>
    <w:rsid w:val="00DE275A"/>
    <w:rsid w:val="00DE6813"/>
    <w:rsid w:val="00DE7037"/>
    <w:rsid w:val="00DE723D"/>
    <w:rsid w:val="00DE7D0B"/>
    <w:rsid w:val="00DE7DCF"/>
    <w:rsid w:val="00DF1530"/>
    <w:rsid w:val="00DF29C3"/>
    <w:rsid w:val="00DF447B"/>
    <w:rsid w:val="00DF57B8"/>
    <w:rsid w:val="00DF5FB3"/>
    <w:rsid w:val="00E000EB"/>
    <w:rsid w:val="00E02E28"/>
    <w:rsid w:val="00E03C35"/>
    <w:rsid w:val="00E069ED"/>
    <w:rsid w:val="00E07E42"/>
    <w:rsid w:val="00E142BD"/>
    <w:rsid w:val="00E20017"/>
    <w:rsid w:val="00E23F4C"/>
    <w:rsid w:val="00E24C6C"/>
    <w:rsid w:val="00E2562C"/>
    <w:rsid w:val="00E25905"/>
    <w:rsid w:val="00E379DC"/>
    <w:rsid w:val="00E45E88"/>
    <w:rsid w:val="00E46345"/>
    <w:rsid w:val="00E47EEE"/>
    <w:rsid w:val="00E53F89"/>
    <w:rsid w:val="00E60EE5"/>
    <w:rsid w:val="00E619BC"/>
    <w:rsid w:val="00E65237"/>
    <w:rsid w:val="00E658FF"/>
    <w:rsid w:val="00E67783"/>
    <w:rsid w:val="00E71B58"/>
    <w:rsid w:val="00E726B2"/>
    <w:rsid w:val="00E7429F"/>
    <w:rsid w:val="00E758C6"/>
    <w:rsid w:val="00E83608"/>
    <w:rsid w:val="00E83E59"/>
    <w:rsid w:val="00E855F4"/>
    <w:rsid w:val="00E8622A"/>
    <w:rsid w:val="00E86688"/>
    <w:rsid w:val="00E86BCB"/>
    <w:rsid w:val="00E901E8"/>
    <w:rsid w:val="00E925E0"/>
    <w:rsid w:val="00E97CC8"/>
    <w:rsid w:val="00EA2F66"/>
    <w:rsid w:val="00EA3DF0"/>
    <w:rsid w:val="00EA45C6"/>
    <w:rsid w:val="00EA5145"/>
    <w:rsid w:val="00EA5223"/>
    <w:rsid w:val="00EB5BF5"/>
    <w:rsid w:val="00EC6164"/>
    <w:rsid w:val="00ED07E9"/>
    <w:rsid w:val="00ED799A"/>
    <w:rsid w:val="00EE13AA"/>
    <w:rsid w:val="00EE2B34"/>
    <w:rsid w:val="00EE3657"/>
    <w:rsid w:val="00EE78AC"/>
    <w:rsid w:val="00EF05EA"/>
    <w:rsid w:val="00EF53BE"/>
    <w:rsid w:val="00EF5A21"/>
    <w:rsid w:val="00F02AC7"/>
    <w:rsid w:val="00F04B03"/>
    <w:rsid w:val="00F0501E"/>
    <w:rsid w:val="00F114BA"/>
    <w:rsid w:val="00F14DEF"/>
    <w:rsid w:val="00F21554"/>
    <w:rsid w:val="00F21570"/>
    <w:rsid w:val="00F24AAE"/>
    <w:rsid w:val="00F25005"/>
    <w:rsid w:val="00F27457"/>
    <w:rsid w:val="00F3012F"/>
    <w:rsid w:val="00F3208D"/>
    <w:rsid w:val="00F32FC8"/>
    <w:rsid w:val="00F376EA"/>
    <w:rsid w:val="00F4392A"/>
    <w:rsid w:val="00F51862"/>
    <w:rsid w:val="00F52A81"/>
    <w:rsid w:val="00F53C8C"/>
    <w:rsid w:val="00F55670"/>
    <w:rsid w:val="00F55DCE"/>
    <w:rsid w:val="00F55F8F"/>
    <w:rsid w:val="00F565AB"/>
    <w:rsid w:val="00F578FD"/>
    <w:rsid w:val="00F63198"/>
    <w:rsid w:val="00F63698"/>
    <w:rsid w:val="00F7036F"/>
    <w:rsid w:val="00F711DA"/>
    <w:rsid w:val="00F71653"/>
    <w:rsid w:val="00F744ED"/>
    <w:rsid w:val="00F778EE"/>
    <w:rsid w:val="00F821F1"/>
    <w:rsid w:val="00F91330"/>
    <w:rsid w:val="00F96366"/>
    <w:rsid w:val="00FA228E"/>
    <w:rsid w:val="00FA4707"/>
    <w:rsid w:val="00FA58C0"/>
    <w:rsid w:val="00FA600E"/>
    <w:rsid w:val="00FB2B25"/>
    <w:rsid w:val="00FB7505"/>
    <w:rsid w:val="00FC0D21"/>
    <w:rsid w:val="00FC1A24"/>
    <w:rsid w:val="00FC450E"/>
    <w:rsid w:val="00FD0230"/>
    <w:rsid w:val="00FD1371"/>
    <w:rsid w:val="00FD320B"/>
    <w:rsid w:val="00FE10B3"/>
    <w:rsid w:val="00FE67D3"/>
    <w:rsid w:val="00FF3396"/>
    <w:rsid w:val="00FF559D"/>
    <w:rsid w:val="00FF5FAB"/>
    <w:rsid w:val="00FF6FFB"/>
    <w:rsid w:val="01223B82"/>
    <w:rsid w:val="016F1D40"/>
    <w:rsid w:val="03E33DD9"/>
    <w:rsid w:val="0FAD441B"/>
    <w:rsid w:val="15500EE4"/>
    <w:rsid w:val="16814D35"/>
    <w:rsid w:val="176C72F7"/>
    <w:rsid w:val="17D50F45"/>
    <w:rsid w:val="18973A8F"/>
    <w:rsid w:val="272B250C"/>
    <w:rsid w:val="2DCF21E3"/>
    <w:rsid w:val="31E242B8"/>
    <w:rsid w:val="346D7BCB"/>
    <w:rsid w:val="348D609E"/>
    <w:rsid w:val="3658101D"/>
    <w:rsid w:val="36795EDE"/>
    <w:rsid w:val="3E98676B"/>
    <w:rsid w:val="47983BE8"/>
    <w:rsid w:val="48D312FF"/>
    <w:rsid w:val="4B931DE9"/>
    <w:rsid w:val="50BE55B0"/>
    <w:rsid w:val="59A61CD2"/>
    <w:rsid w:val="5B1332C5"/>
    <w:rsid w:val="5FB2527F"/>
    <w:rsid w:val="63011BB9"/>
    <w:rsid w:val="67667244"/>
    <w:rsid w:val="6B0C2D7F"/>
    <w:rsid w:val="6BC40E47"/>
    <w:rsid w:val="6EC90D29"/>
    <w:rsid w:val="724A1C37"/>
    <w:rsid w:val="77CC40D6"/>
    <w:rsid w:val="78A43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7E65F0B-D2F7-49BE-9C05-62851D93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annotation text" w:qFormat="1"/>
    <w:lsdException w:name="header" w:uiPriority="99" w:qFormat="1"/>
    <w:lsdException w:name="footer" w:uiPriority="99" w:qFormat="1"/>
    <w:lsdException w:name="caption" w:semiHidden="1" w:unhideWhenUsed="1" w:qFormat="1"/>
    <w:lsdException w:name="annotation reference" w:semiHidden="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Hyperlink" w:uiPriority="99"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hAnsi="Calibri"/>
      <w:kern w:val="0"/>
      <w:sz w:val="18"/>
      <w:szCs w:val="18"/>
    </w:rPr>
  </w:style>
  <w:style w:type="paragraph" w:styleId="a4">
    <w:name w:val="annotation text"/>
    <w:basedOn w:val="a"/>
    <w:link w:val="Char0"/>
    <w:qFormat/>
    <w:pPr>
      <w:jc w:val="left"/>
    </w:pPr>
  </w:style>
  <w:style w:type="paragraph" w:styleId="a5">
    <w:name w:val="Body Text Indent"/>
    <w:basedOn w:val="a"/>
    <w:link w:val="Char1"/>
    <w:qFormat/>
    <w:pPr>
      <w:autoSpaceDE w:val="0"/>
      <w:autoSpaceDN w:val="0"/>
      <w:adjustRightInd w:val="0"/>
      <w:spacing w:line="360" w:lineRule="auto"/>
      <w:ind w:firstLineChars="199" w:firstLine="478"/>
    </w:pPr>
    <w:rPr>
      <w:rFonts w:ascii="宋体" w:hAnsi="宋体"/>
      <w:kern w:val="0"/>
      <w:sz w:val="24"/>
      <w:szCs w:val="21"/>
    </w:rPr>
  </w:style>
  <w:style w:type="paragraph" w:styleId="a6">
    <w:name w:val="Plain Text"/>
    <w:basedOn w:val="a"/>
    <w:link w:val="Char2"/>
    <w:qFormat/>
    <w:rPr>
      <w:rFonts w:ascii="宋体" w:hAnsi="Courier New"/>
      <w:szCs w:val="21"/>
    </w:rPr>
  </w:style>
  <w:style w:type="paragraph" w:styleId="a7">
    <w:name w:val="Date"/>
    <w:basedOn w:val="a"/>
    <w:next w:val="a"/>
    <w:qFormat/>
    <w:pPr>
      <w:ind w:leftChars="2500" w:left="100"/>
    </w:pPr>
    <w:rPr>
      <w:rFonts w:ascii="宋体" w:hAnsi="宋体"/>
      <w:sz w:val="24"/>
    </w:rPr>
  </w:style>
  <w:style w:type="paragraph" w:styleId="20">
    <w:name w:val="Body Text Indent 2"/>
    <w:basedOn w:val="a"/>
    <w:link w:val="2Char"/>
    <w:qFormat/>
    <w:pPr>
      <w:spacing w:before="60" w:after="60"/>
      <w:ind w:left="479"/>
    </w:pPr>
    <w:rPr>
      <w:rFonts w:ascii="宋体"/>
      <w:sz w:val="24"/>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tabs>
        <w:tab w:val="right" w:leader="hyphen" w:pos="8296"/>
      </w:tabs>
      <w:spacing w:line="360" w:lineRule="auto"/>
    </w:pPr>
    <w:rPr>
      <w:rFonts w:ascii="宋体" w:hAnsi="宋体"/>
      <w:sz w:val="24"/>
      <w:szCs w:val="24"/>
    </w:rPr>
  </w:style>
  <w:style w:type="paragraph" w:styleId="ab">
    <w:name w:val="annotation subject"/>
    <w:basedOn w:val="a4"/>
    <w:next w:val="a4"/>
    <w:link w:val="Char6"/>
    <w:uiPriority w:val="99"/>
    <w:semiHidden/>
    <w:qFormat/>
    <w:rPr>
      <w:b/>
      <w:bCs/>
    </w:rPr>
  </w:style>
  <w:style w:type="character" w:styleId="ac">
    <w:name w:val="page number"/>
    <w:basedOn w:val="a0"/>
  </w:style>
  <w:style w:type="character" w:styleId="ad">
    <w:name w:val="FollowedHyperlink"/>
    <w:rPr>
      <w:color w:val="800080"/>
      <w:u w:val="single"/>
    </w:rPr>
  </w:style>
  <w:style w:type="character" w:styleId="ae">
    <w:name w:val="Hyperlink"/>
    <w:uiPriority w:val="99"/>
    <w:qFormat/>
    <w:rPr>
      <w:color w:val="0000FF"/>
      <w:u w:val="single"/>
    </w:rPr>
  </w:style>
  <w:style w:type="character" w:styleId="af">
    <w:name w:val="annotation reference"/>
    <w:semiHidden/>
    <w:rPr>
      <w:sz w:val="21"/>
      <w:szCs w:val="21"/>
    </w:rPr>
  </w:style>
  <w:style w:type="character" w:customStyle="1" w:styleId="Char5">
    <w:name w:val="页眉 Char"/>
    <w:link w:val="aa"/>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Char">
    <w:name w:val="正文文本缩进 2 Char"/>
    <w:link w:val="20"/>
    <w:qFormat/>
    <w:rPr>
      <w:rFonts w:ascii="宋体"/>
      <w:kern w:val="2"/>
      <w:sz w:val="24"/>
    </w:rPr>
  </w:style>
  <w:style w:type="character" w:customStyle="1" w:styleId="Char2">
    <w:name w:val="纯文本 Char"/>
    <w:link w:val="a6"/>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Char">
    <w:name w:val="标题 1 Char"/>
    <w:link w:val="1"/>
    <w:uiPriority w:val="9"/>
    <w:qFormat/>
    <w:rPr>
      <w:rFonts w:ascii="宋体" w:hAnsi="宋体"/>
      <w:b/>
      <w:color w:val="000000"/>
      <w:kern w:val="2"/>
      <w:sz w:val="24"/>
    </w:rPr>
  </w:style>
  <w:style w:type="character" w:customStyle="1" w:styleId="Char6">
    <w:name w:val="批注主题 Char"/>
    <w:link w:val="ab"/>
    <w:uiPriority w:val="99"/>
    <w:semiHidden/>
    <w:rPr>
      <w:b/>
      <w:bCs/>
      <w:kern w:val="2"/>
      <w:sz w:val="21"/>
    </w:rPr>
  </w:style>
  <w:style w:type="character" w:customStyle="1" w:styleId="Char">
    <w:name w:val="文档结构图 Char"/>
    <w:link w:val="a3"/>
    <w:uiPriority w:val="99"/>
    <w:qFormat/>
    <w:rPr>
      <w:rFonts w:ascii="宋体" w:hAnsi="Calibri"/>
      <w:sz w:val="18"/>
      <w:szCs w:val="18"/>
    </w:rPr>
  </w:style>
  <w:style w:type="character" w:customStyle="1" w:styleId="Char3">
    <w:name w:val="批注框文本 Char"/>
    <w:link w:val="a8"/>
    <w:uiPriority w:val="99"/>
    <w:semiHidden/>
    <w:qFormat/>
    <w:rPr>
      <w:kern w:val="2"/>
      <w:sz w:val="18"/>
      <w:szCs w:val="18"/>
    </w:rPr>
  </w:style>
  <w:style w:type="character" w:customStyle="1" w:styleId="Char0">
    <w:name w:val="批注文字 Char"/>
    <w:link w:val="a4"/>
    <w:qFormat/>
    <w:rPr>
      <w:kern w:val="2"/>
      <w:sz w:val="21"/>
    </w:rPr>
  </w:style>
  <w:style w:type="character" w:customStyle="1" w:styleId="Char1">
    <w:name w:val="正文文本缩进 Char"/>
    <w:link w:val="a5"/>
    <w:qFormat/>
    <w:rPr>
      <w:rFonts w:ascii="宋体" w:hAnsi="宋体" w:cs="Arial"/>
      <w:sz w:val="24"/>
      <w:szCs w:val="21"/>
    </w:rPr>
  </w:style>
  <w:style w:type="character" w:customStyle="1" w:styleId="apple-style-span">
    <w:name w:val="apple-style-span"/>
    <w:qFormat/>
  </w:style>
  <w:style w:type="character" w:customStyle="1" w:styleId="Char4">
    <w:name w:val="页脚 Char"/>
    <w:link w:val="a9"/>
    <w:uiPriority w:val="99"/>
    <w:qFormat/>
    <w:rPr>
      <w:kern w:val="2"/>
      <w:sz w:val="18"/>
      <w:szCs w:val="18"/>
    </w:rPr>
  </w:style>
  <w:style w:type="paragraph" w:customStyle="1" w:styleId="11">
    <w:name w:val="修订1"/>
    <w:uiPriority w:val="99"/>
    <w:semiHidden/>
    <w:rPr>
      <w:rFonts w:ascii="Calibri" w:hAnsi="Calibri"/>
      <w:kern w:val="2"/>
      <w:sz w:val="21"/>
      <w:szCs w:val="22"/>
    </w:rPr>
  </w:style>
  <w:style w:type="paragraph" w:customStyle="1" w:styleId="NormalJustified">
    <w:name w:val="Normal (Justified)"/>
    <w:basedOn w:val="a"/>
    <w:semiHidden/>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7">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0">
    <w:name w:val="批注文字 字符"/>
    <w:qFormat/>
    <w:rPr>
      <w:rFonts w:ascii="Times New Roman" w:eastAsia="宋体" w:hAnsi="Times New Roman" w:cs="Times New Roman"/>
      <w:szCs w:val="24"/>
    </w:rPr>
  </w:style>
  <w:style w:type="paragraph" w:customStyle="1" w:styleId="21">
    <w:name w:val="修订2"/>
    <w:hidden/>
    <w:uiPriority w:val="99"/>
    <w:semiHidden/>
    <w:qFormat/>
    <w:rPr>
      <w:kern w:val="2"/>
      <w:sz w:val="21"/>
    </w:rPr>
  </w:style>
  <w:style w:type="paragraph" w:customStyle="1" w:styleId="30">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EBE69-5718-44E1-A580-DE923167E7DA}">
  <ds:schemaRefs>
    <ds:schemaRef ds:uri="http://schemas.openxmlformats.org/officeDocument/2006/bibliography"/>
  </ds:schemaRefs>
</ds:datastoreItem>
</file>

<file path=customXml/itemProps2.xml><?xml version="1.0" encoding="utf-8"?>
<ds:datastoreItem xmlns:ds="http://schemas.openxmlformats.org/officeDocument/2006/customXml" ds:itemID="{CA89AFE0-A421-4014-B6D9-0DEDAAE3F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47</Pages>
  <Words>5459</Words>
  <Characters>31119</Characters>
  <Application>Microsoft Office Word</Application>
  <DocSecurity>0</DocSecurity>
  <Lines>259</Lines>
  <Paragraphs>73</Paragraphs>
  <ScaleCrop>false</ScaleCrop>
  <Company/>
  <LinksUpToDate>false</LinksUpToDate>
  <CharactersWithSpaces>36505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刘斓</dc:creator>
  <cp:lastModifiedBy>汪梦嘉</cp:lastModifiedBy>
  <cp:revision>55</cp:revision>
  <cp:lastPrinted>2022-11-02T02:26:00Z</cp:lastPrinted>
  <dcterms:created xsi:type="dcterms:W3CDTF">2021-08-04T06:14:00Z</dcterms:created>
  <dcterms:modified xsi:type="dcterms:W3CDTF">2022-12-14T12:17:00Z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8ADC7DBF05E447DA8751B1FCD7C8DFE5</vt:lpwstr>
  </property>
</Properties>
</file>