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BC56" w14:textId="77777777" w:rsidR="000E48ED" w:rsidRDefault="000E48ED">
      <w:pPr>
        <w:spacing w:line="520" w:lineRule="exact"/>
        <w:jc w:val="center"/>
        <w:rPr>
          <w:rFonts w:ascii="宋体" w:hAnsi="宋体"/>
          <w:sz w:val="28"/>
          <w:szCs w:val="28"/>
        </w:rPr>
      </w:pPr>
    </w:p>
    <w:p w14:paraId="407206E9" w14:textId="77777777" w:rsidR="000E48ED" w:rsidRDefault="000E48ED">
      <w:pPr>
        <w:spacing w:line="520" w:lineRule="exact"/>
        <w:jc w:val="center"/>
        <w:rPr>
          <w:rFonts w:ascii="宋体" w:hAnsi="宋体"/>
          <w:sz w:val="28"/>
          <w:szCs w:val="28"/>
        </w:rPr>
      </w:pPr>
    </w:p>
    <w:p w14:paraId="717FE00C" w14:textId="77777777" w:rsidR="000E48ED" w:rsidRDefault="000E48ED">
      <w:pPr>
        <w:spacing w:line="520" w:lineRule="exact"/>
        <w:jc w:val="center"/>
        <w:rPr>
          <w:rFonts w:ascii="宋体" w:hAnsi="宋体"/>
          <w:sz w:val="28"/>
          <w:szCs w:val="28"/>
        </w:rPr>
      </w:pPr>
    </w:p>
    <w:p w14:paraId="51C33088" w14:textId="77777777" w:rsidR="000E48ED" w:rsidRDefault="000E48ED">
      <w:pPr>
        <w:spacing w:line="520" w:lineRule="exact"/>
        <w:jc w:val="center"/>
        <w:rPr>
          <w:rFonts w:ascii="宋体" w:hAnsi="宋体"/>
          <w:sz w:val="28"/>
          <w:szCs w:val="28"/>
        </w:rPr>
      </w:pPr>
    </w:p>
    <w:p w14:paraId="4829BB21" w14:textId="77777777" w:rsidR="000E48ED" w:rsidRDefault="000E48ED">
      <w:pPr>
        <w:spacing w:line="520" w:lineRule="exact"/>
        <w:jc w:val="center"/>
        <w:rPr>
          <w:rFonts w:ascii="宋体" w:hAnsi="宋体"/>
          <w:sz w:val="28"/>
          <w:szCs w:val="28"/>
        </w:rPr>
      </w:pPr>
    </w:p>
    <w:p w14:paraId="03FCC625" w14:textId="77777777" w:rsidR="000E48ED" w:rsidRDefault="000E48ED">
      <w:pPr>
        <w:spacing w:line="520" w:lineRule="exact"/>
        <w:jc w:val="center"/>
        <w:rPr>
          <w:rFonts w:ascii="宋体" w:hAnsi="宋体"/>
          <w:sz w:val="28"/>
          <w:szCs w:val="28"/>
        </w:rPr>
      </w:pPr>
    </w:p>
    <w:p w14:paraId="134A352A" w14:textId="7DBBA217" w:rsidR="000E48ED" w:rsidRDefault="003A7B23">
      <w:pPr>
        <w:spacing w:line="360" w:lineRule="auto"/>
        <w:jc w:val="center"/>
        <w:rPr>
          <w:rFonts w:ascii="宋体" w:hAnsi="宋体"/>
          <w:b/>
          <w:sz w:val="48"/>
        </w:rPr>
      </w:pPr>
      <w:r>
        <w:rPr>
          <w:rFonts w:ascii="宋体" w:hAnsi="宋体" w:hint="eastAsia"/>
          <w:b/>
          <w:sz w:val="48"/>
        </w:rPr>
        <w:t>中信</w:t>
      </w:r>
      <w:proofErr w:type="gramStart"/>
      <w:r>
        <w:rPr>
          <w:rFonts w:ascii="宋体" w:hAnsi="宋体" w:hint="eastAsia"/>
          <w:b/>
          <w:sz w:val="48"/>
        </w:rPr>
        <w:t>建投</w:t>
      </w:r>
      <w:r w:rsidR="00A514E3">
        <w:rPr>
          <w:rFonts w:ascii="宋体" w:hAnsi="宋体" w:hint="eastAsia"/>
          <w:b/>
          <w:sz w:val="48"/>
        </w:rPr>
        <w:t>景益</w:t>
      </w:r>
      <w:proofErr w:type="gramEnd"/>
      <w:r>
        <w:rPr>
          <w:rFonts w:ascii="宋体" w:hAnsi="宋体" w:hint="eastAsia"/>
          <w:b/>
          <w:sz w:val="48"/>
        </w:rPr>
        <w:t>债券型证券投资基金</w:t>
      </w:r>
    </w:p>
    <w:p w14:paraId="20E636D2" w14:textId="77777777" w:rsidR="000E48ED" w:rsidRDefault="003A7B23">
      <w:pPr>
        <w:spacing w:line="360" w:lineRule="auto"/>
        <w:jc w:val="center"/>
        <w:rPr>
          <w:rFonts w:ascii="宋体" w:hAnsi="宋体"/>
          <w:b/>
          <w:sz w:val="48"/>
        </w:rPr>
      </w:pPr>
      <w:r>
        <w:rPr>
          <w:rFonts w:ascii="宋体" w:hAnsi="宋体" w:hint="eastAsia"/>
          <w:b/>
          <w:sz w:val="48"/>
        </w:rPr>
        <w:t>托管协议</w:t>
      </w:r>
    </w:p>
    <w:p w14:paraId="3AD1D05C" w14:textId="42C64529" w:rsidR="00A514E3" w:rsidRDefault="00A514E3">
      <w:pPr>
        <w:spacing w:line="360" w:lineRule="auto"/>
        <w:jc w:val="center"/>
        <w:rPr>
          <w:rFonts w:ascii="宋体" w:hAnsi="宋体"/>
          <w:b/>
          <w:sz w:val="48"/>
        </w:rPr>
      </w:pPr>
    </w:p>
    <w:p w14:paraId="1E332A7F" w14:textId="77777777" w:rsidR="000E48ED" w:rsidRDefault="000E48ED">
      <w:pPr>
        <w:pStyle w:val="20"/>
        <w:spacing w:line="520" w:lineRule="exact"/>
        <w:ind w:left="0"/>
        <w:rPr>
          <w:rFonts w:hAnsi="宋体"/>
          <w:sz w:val="44"/>
          <w:szCs w:val="44"/>
        </w:rPr>
      </w:pPr>
    </w:p>
    <w:p w14:paraId="2BF21225" w14:textId="77777777" w:rsidR="000E48ED" w:rsidRDefault="000E48ED">
      <w:pPr>
        <w:pStyle w:val="20"/>
        <w:spacing w:line="520" w:lineRule="exact"/>
        <w:ind w:firstLine="560"/>
        <w:rPr>
          <w:rFonts w:hAnsi="宋体"/>
          <w:sz w:val="28"/>
          <w:szCs w:val="28"/>
        </w:rPr>
      </w:pPr>
    </w:p>
    <w:p w14:paraId="00AEDE47" w14:textId="77777777" w:rsidR="000E48ED" w:rsidRDefault="000E48ED">
      <w:pPr>
        <w:pStyle w:val="20"/>
        <w:spacing w:line="520" w:lineRule="exact"/>
        <w:ind w:firstLine="560"/>
        <w:rPr>
          <w:rFonts w:hAnsi="宋体"/>
          <w:sz w:val="28"/>
          <w:szCs w:val="28"/>
        </w:rPr>
      </w:pPr>
    </w:p>
    <w:p w14:paraId="4F91EC2F" w14:textId="77777777" w:rsidR="000E48ED" w:rsidRDefault="000E48ED">
      <w:pPr>
        <w:pStyle w:val="20"/>
        <w:spacing w:line="520" w:lineRule="exact"/>
        <w:ind w:firstLine="560"/>
        <w:rPr>
          <w:rFonts w:hAnsi="宋体"/>
          <w:sz w:val="28"/>
          <w:szCs w:val="28"/>
        </w:rPr>
      </w:pPr>
    </w:p>
    <w:p w14:paraId="2C1EAF3A" w14:textId="77777777" w:rsidR="000E48ED" w:rsidRDefault="000E48ED">
      <w:pPr>
        <w:pStyle w:val="20"/>
        <w:spacing w:line="520" w:lineRule="exact"/>
        <w:ind w:firstLine="560"/>
        <w:rPr>
          <w:rFonts w:hAnsi="宋体"/>
          <w:sz w:val="28"/>
          <w:szCs w:val="28"/>
        </w:rPr>
      </w:pPr>
    </w:p>
    <w:p w14:paraId="30351572" w14:textId="77777777" w:rsidR="000E48ED" w:rsidRDefault="003A7B23">
      <w:pPr>
        <w:spacing w:line="360" w:lineRule="auto"/>
        <w:jc w:val="center"/>
        <w:rPr>
          <w:rFonts w:ascii="宋体" w:hAnsi="宋体"/>
          <w:b/>
          <w:sz w:val="36"/>
        </w:rPr>
      </w:pPr>
      <w:r>
        <w:rPr>
          <w:rFonts w:ascii="宋体" w:hAnsi="宋体"/>
          <w:b/>
          <w:sz w:val="36"/>
        </w:rPr>
        <w:t>基金管理人：</w:t>
      </w:r>
      <w:bookmarkStart w:id="0" w:name="_Toc139992301"/>
      <w:bookmarkStart w:id="1" w:name="_Toc123112224"/>
      <w:bookmarkStart w:id="2" w:name="_Toc139991726"/>
      <w:bookmarkStart w:id="3" w:name="_Toc123701383"/>
      <w:bookmarkStart w:id="4" w:name="_Toc123112263"/>
      <w:r>
        <w:rPr>
          <w:rFonts w:ascii="宋体" w:hAnsi="宋体" w:hint="eastAsia"/>
          <w:b/>
          <w:sz w:val="36"/>
        </w:rPr>
        <w:t>中信</w:t>
      </w:r>
      <w:proofErr w:type="gramStart"/>
      <w:r>
        <w:rPr>
          <w:rFonts w:ascii="宋体" w:hAnsi="宋体" w:hint="eastAsia"/>
          <w:b/>
          <w:sz w:val="36"/>
        </w:rPr>
        <w:t>建投基金</w:t>
      </w:r>
      <w:bookmarkEnd w:id="0"/>
      <w:bookmarkEnd w:id="1"/>
      <w:bookmarkEnd w:id="2"/>
      <w:bookmarkEnd w:id="3"/>
      <w:bookmarkEnd w:id="4"/>
      <w:proofErr w:type="gramEnd"/>
      <w:r>
        <w:rPr>
          <w:rFonts w:ascii="宋体" w:hAnsi="宋体" w:hint="eastAsia"/>
          <w:b/>
          <w:sz w:val="36"/>
        </w:rPr>
        <w:t>管理有限公司</w:t>
      </w:r>
    </w:p>
    <w:p w14:paraId="7F8473ED" w14:textId="77777777" w:rsidR="000E48ED" w:rsidRDefault="003A7B23">
      <w:pPr>
        <w:spacing w:line="360" w:lineRule="auto"/>
        <w:jc w:val="center"/>
        <w:rPr>
          <w:rFonts w:ascii="宋体" w:hAnsi="宋体"/>
          <w:b/>
          <w:sz w:val="36"/>
        </w:rPr>
      </w:pPr>
      <w:r>
        <w:rPr>
          <w:rFonts w:ascii="宋体" w:hAnsi="宋体"/>
          <w:b/>
          <w:sz w:val="36"/>
        </w:rPr>
        <w:t>基金托管人：</w:t>
      </w:r>
      <w:bookmarkStart w:id="5" w:name="_Toc139991727"/>
      <w:bookmarkStart w:id="6" w:name="_Toc123701384"/>
      <w:bookmarkStart w:id="7" w:name="_Toc123112264"/>
      <w:bookmarkStart w:id="8" w:name="_Toc123112225"/>
      <w:bookmarkStart w:id="9" w:name="_Toc139992302"/>
      <w:r>
        <w:rPr>
          <w:rFonts w:ascii="宋体" w:hAnsi="宋体" w:hint="eastAsia"/>
          <w:b/>
          <w:sz w:val="36"/>
        </w:rPr>
        <w:t>中信银行股份有限公司</w:t>
      </w:r>
    </w:p>
    <w:p w14:paraId="1760502C" w14:textId="77777777" w:rsidR="000E48ED" w:rsidRDefault="000E48ED">
      <w:pPr>
        <w:spacing w:line="360" w:lineRule="auto"/>
        <w:jc w:val="center"/>
        <w:rPr>
          <w:rFonts w:ascii="宋体" w:hAnsi="宋体"/>
          <w:b/>
          <w:sz w:val="44"/>
          <w:szCs w:val="44"/>
        </w:rPr>
      </w:pPr>
    </w:p>
    <w:p w14:paraId="64F0723D" w14:textId="77777777" w:rsidR="000E48ED" w:rsidRDefault="000E48ED">
      <w:pPr>
        <w:spacing w:line="360" w:lineRule="auto"/>
        <w:rPr>
          <w:rFonts w:ascii="宋体" w:hAnsi="宋体"/>
          <w:b/>
          <w:szCs w:val="28"/>
        </w:rPr>
      </w:pPr>
    </w:p>
    <w:p w14:paraId="775B6839" w14:textId="77777777" w:rsidR="000E48ED" w:rsidRDefault="000E48ED">
      <w:pPr>
        <w:spacing w:line="360" w:lineRule="auto"/>
        <w:ind w:firstLineChars="200" w:firstLine="562"/>
        <w:jc w:val="center"/>
        <w:rPr>
          <w:rFonts w:ascii="宋体" w:hAnsi="宋体"/>
          <w:b/>
          <w:bCs/>
          <w:sz w:val="28"/>
          <w:szCs w:val="28"/>
        </w:rPr>
      </w:pPr>
    </w:p>
    <w:bookmarkEnd w:id="5"/>
    <w:bookmarkEnd w:id="6"/>
    <w:bookmarkEnd w:id="7"/>
    <w:bookmarkEnd w:id="8"/>
    <w:bookmarkEnd w:id="9"/>
    <w:p w14:paraId="08BA394A" w14:textId="70BACEF3" w:rsidR="000E48ED" w:rsidRDefault="00A514E3">
      <w:pPr>
        <w:spacing w:line="360" w:lineRule="auto"/>
        <w:ind w:firstLineChars="200" w:firstLine="602"/>
        <w:jc w:val="center"/>
        <w:rPr>
          <w:rFonts w:ascii="宋体" w:hAnsi="宋体"/>
          <w:b/>
          <w:bCs/>
          <w:sz w:val="28"/>
          <w:szCs w:val="28"/>
        </w:rPr>
      </w:pPr>
      <w:r>
        <w:rPr>
          <w:rFonts w:ascii="宋体" w:hint="eastAsia"/>
          <w:b/>
          <w:bCs/>
          <w:sz w:val="30"/>
        </w:rPr>
        <w:t>二零二</w:t>
      </w:r>
      <w:r w:rsidR="00A47C85">
        <w:rPr>
          <w:rFonts w:ascii="宋体" w:hint="eastAsia"/>
          <w:b/>
          <w:bCs/>
          <w:sz w:val="30"/>
        </w:rPr>
        <w:t>三</w:t>
      </w:r>
      <w:r>
        <w:rPr>
          <w:rFonts w:ascii="宋体" w:hint="eastAsia"/>
          <w:b/>
          <w:bCs/>
          <w:sz w:val="30"/>
        </w:rPr>
        <w:t>年</w:t>
      </w:r>
      <w:r w:rsidR="00A47C85">
        <w:rPr>
          <w:rFonts w:ascii="宋体" w:hint="eastAsia"/>
          <w:b/>
          <w:bCs/>
          <w:sz w:val="30"/>
        </w:rPr>
        <w:t>一</w:t>
      </w:r>
      <w:r>
        <w:rPr>
          <w:rFonts w:ascii="宋体" w:hint="eastAsia"/>
          <w:b/>
          <w:bCs/>
          <w:sz w:val="30"/>
        </w:rPr>
        <w:t>月</w:t>
      </w:r>
    </w:p>
    <w:p w14:paraId="6B34729E" w14:textId="77777777" w:rsidR="000E48ED" w:rsidRDefault="000E48ED">
      <w:pPr>
        <w:spacing w:line="360" w:lineRule="auto"/>
        <w:ind w:firstLineChars="200" w:firstLine="562"/>
        <w:jc w:val="center"/>
        <w:rPr>
          <w:rFonts w:ascii="宋体" w:hAnsi="宋体"/>
          <w:b/>
          <w:bCs/>
          <w:sz w:val="28"/>
          <w:szCs w:val="28"/>
        </w:rPr>
      </w:pPr>
    </w:p>
    <w:p w14:paraId="561E1414" w14:textId="77777777" w:rsidR="000E48ED" w:rsidRDefault="000E48ED">
      <w:pPr>
        <w:spacing w:line="360" w:lineRule="auto"/>
        <w:ind w:firstLineChars="200" w:firstLine="562"/>
        <w:jc w:val="center"/>
        <w:rPr>
          <w:rFonts w:ascii="宋体" w:hAnsi="宋体"/>
          <w:b/>
          <w:bCs/>
          <w:sz w:val="28"/>
          <w:szCs w:val="28"/>
        </w:rPr>
      </w:pPr>
    </w:p>
    <w:p w14:paraId="5AF526B2" w14:textId="77777777" w:rsidR="000E48ED" w:rsidRDefault="000E48ED">
      <w:pPr>
        <w:spacing w:line="360" w:lineRule="auto"/>
        <w:ind w:firstLineChars="200" w:firstLine="562"/>
        <w:jc w:val="center"/>
        <w:rPr>
          <w:rFonts w:ascii="宋体" w:hAnsi="宋体"/>
          <w:b/>
          <w:bCs/>
          <w:sz w:val="28"/>
          <w:szCs w:val="28"/>
        </w:rPr>
      </w:pPr>
    </w:p>
    <w:p w14:paraId="09DA55EE" w14:textId="77777777" w:rsidR="000E48ED" w:rsidRDefault="003A7B23">
      <w:pPr>
        <w:spacing w:line="360" w:lineRule="auto"/>
        <w:ind w:firstLineChars="200" w:firstLine="562"/>
        <w:jc w:val="center"/>
        <w:rPr>
          <w:rFonts w:ascii="宋体" w:hAnsi="宋体"/>
          <w:b/>
          <w:bCs/>
          <w:sz w:val="28"/>
          <w:szCs w:val="28"/>
        </w:rPr>
      </w:pPr>
      <w:r>
        <w:rPr>
          <w:rFonts w:ascii="宋体" w:hAnsi="宋体" w:hint="eastAsia"/>
          <w:b/>
          <w:bCs/>
          <w:sz w:val="28"/>
          <w:szCs w:val="28"/>
        </w:rPr>
        <w:br w:type="page"/>
      </w:r>
      <w:r>
        <w:rPr>
          <w:rFonts w:ascii="宋体" w:hAnsi="宋体" w:hint="eastAsia"/>
          <w:b/>
          <w:bCs/>
          <w:sz w:val="28"/>
          <w:szCs w:val="28"/>
        </w:rPr>
        <w:lastRenderedPageBreak/>
        <w:t>目录</w:t>
      </w:r>
    </w:p>
    <w:p w14:paraId="181F4815" w14:textId="77777777" w:rsidR="000E48ED" w:rsidRDefault="000E48ED">
      <w:pPr>
        <w:spacing w:line="360" w:lineRule="auto"/>
        <w:ind w:firstLineChars="200" w:firstLine="562"/>
        <w:jc w:val="center"/>
        <w:rPr>
          <w:rFonts w:ascii="宋体" w:hAnsi="宋体"/>
          <w:b/>
          <w:bCs/>
          <w:sz w:val="28"/>
          <w:szCs w:val="28"/>
        </w:rPr>
      </w:pPr>
    </w:p>
    <w:p w14:paraId="031CFF16" w14:textId="6D023EC2" w:rsidR="000E48ED" w:rsidRDefault="00F87A74">
      <w:pPr>
        <w:pStyle w:val="TOC1"/>
        <w:rPr>
          <w:rFonts w:asciiTheme="minorHAnsi" w:eastAsiaTheme="minorEastAsia" w:hAnsiTheme="minorHAnsi" w:cstheme="minorBidi"/>
          <w:noProof/>
          <w:sz w:val="21"/>
          <w:szCs w:val="22"/>
        </w:rPr>
      </w:pPr>
      <w:r>
        <w:rPr>
          <w:b/>
          <w:sz w:val="28"/>
          <w:szCs w:val="28"/>
        </w:rPr>
        <w:fldChar w:fldCharType="begin"/>
      </w:r>
      <w:r w:rsidR="003A7B23">
        <w:rPr>
          <w:rFonts w:hint="eastAsia"/>
          <w:b/>
          <w:sz w:val="28"/>
          <w:szCs w:val="28"/>
        </w:rPr>
        <w:instrText>TOC \o "1-1" \h \z \u</w:instrText>
      </w:r>
      <w:r>
        <w:rPr>
          <w:b/>
          <w:sz w:val="28"/>
          <w:szCs w:val="28"/>
        </w:rPr>
        <w:fldChar w:fldCharType="separate"/>
      </w:r>
      <w:hyperlink w:anchor="_Toc84945733" w:history="1">
        <w:r w:rsidR="003A7B23">
          <w:rPr>
            <w:rStyle w:val="af7"/>
            <w:bCs/>
            <w:noProof/>
          </w:rPr>
          <w:t>第一条  基金托管协议当事人</w:t>
        </w:r>
        <w:r w:rsidR="003A7B23">
          <w:rPr>
            <w:noProof/>
          </w:rPr>
          <w:tab/>
        </w:r>
        <w:r>
          <w:rPr>
            <w:noProof/>
          </w:rPr>
          <w:fldChar w:fldCharType="begin"/>
        </w:r>
        <w:r w:rsidR="003A7B23">
          <w:rPr>
            <w:noProof/>
          </w:rPr>
          <w:instrText xml:space="preserve"> PAGEREF _Toc84945733 \h </w:instrText>
        </w:r>
        <w:r>
          <w:rPr>
            <w:noProof/>
          </w:rPr>
        </w:r>
        <w:r>
          <w:rPr>
            <w:noProof/>
          </w:rPr>
          <w:fldChar w:fldCharType="separate"/>
        </w:r>
        <w:r w:rsidR="00BA4371">
          <w:rPr>
            <w:noProof/>
          </w:rPr>
          <w:t>3</w:t>
        </w:r>
        <w:r>
          <w:rPr>
            <w:noProof/>
          </w:rPr>
          <w:fldChar w:fldCharType="end"/>
        </w:r>
      </w:hyperlink>
    </w:p>
    <w:p w14:paraId="0A729DFA" w14:textId="6FFFADDD" w:rsidR="000E48ED" w:rsidRDefault="00A315E6">
      <w:pPr>
        <w:pStyle w:val="TOC1"/>
        <w:rPr>
          <w:rFonts w:asciiTheme="minorHAnsi" w:eastAsiaTheme="minorEastAsia" w:hAnsiTheme="minorHAnsi" w:cstheme="minorBidi"/>
          <w:noProof/>
          <w:sz w:val="21"/>
          <w:szCs w:val="22"/>
        </w:rPr>
      </w:pPr>
      <w:hyperlink w:anchor="_Toc84945734" w:history="1">
        <w:r w:rsidR="003A7B23">
          <w:rPr>
            <w:rStyle w:val="af7"/>
            <w:bCs/>
            <w:noProof/>
          </w:rPr>
          <w:t>第二条  基金托管协议的依据、目的和原则</w:t>
        </w:r>
        <w:r w:rsidR="003A7B23">
          <w:rPr>
            <w:noProof/>
          </w:rPr>
          <w:tab/>
        </w:r>
        <w:r w:rsidR="00F87A74">
          <w:rPr>
            <w:noProof/>
          </w:rPr>
          <w:fldChar w:fldCharType="begin"/>
        </w:r>
        <w:r w:rsidR="003A7B23">
          <w:rPr>
            <w:noProof/>
          </w:rPr>
          <w:instrText xml:space="preserve"> PAGEREF _Toc84945734 \h </w:instrText>
        </w:r>
        <w:r w:rsidR="00F87A74">
          <w:rPr>
            <w:noProof/>
          </w:rPr>
        </w:r>
        <w:r w:rsidR="00F87A74">
          <w:rPr>
            <w:noProof/>
          </w:rPr>
          <w:fldChar w:fldCharType="separate"/>
        </w:r>
        <w:r w:rsidR="00BA4371">
          <w:rPr>
            <w:noProof/>
          </w:rPr>
          <w:t>4</w:t>
        </w:r>
        <w:r w:rsidR="00F87A74">
          <w:rPr>
            <w:noProof/>
          </w:rPr>
          <w:fldChar w:fldCharType="end"/>
        </w:r>
      </w:hyperlink>
    </w:p>
    <w:p w14:paraId="6A232F06" w14:textId="1989FFA0" w:rsidR="000E48ED" w:rsidRDefault="00A315E6">
      <w:pPr>
        <w:pStyle w:val="TOC1"/>
        <w:rPr>
          <w:rFonts w:asciiTheme="minorHAnsi" w:eastAsiaTheme="minorEastAsia" w:hAnsiTheme="minorHAnsi" w:cstheme="minorBidi"/>
          <w:noProof/>
          <w:sz w:val="21"/>
          <w:szCs w:val="22"/>
        </w:rPr>
      </w:pPr>
      <w:hyperlink w:anchor="_Toc84945735" w:history="1">
        <w:r w:rsidR="003A7B23">
          <w:rPr>
            <w:rStyle w:val="af7"/>
            <w:bCs/>
            <w:noProof/>
          </w:rPr>
          <w:t>第三条  基金托管人对基金管理人的业务监督和核查</w:t>
        </w:r>
        <w:r w:rsidR="003A7B23">
          <w:rPr>
            <w:noProof/>
          </w:rPr>
          <w:tab/>
        </w:r>
        <w:r w:rsidR="00F87A74">
          <w:rPr>
            <w:noProof/>
          </w:rPr>
          <w:fldChar w:fldCharType="begin"/>
        </w:r>
        <w:r w:rsidR="003A7B23">
          <w:rPr>
            <w:noProof/>
          </w:rPr>
          <w:instrText xml:space="preserve"> PAGEREF _Toc84945735 \h </w:instrText>
        </w:r>
        <w:r w:rsidR="00F87A74">
          <w:rPr>
            <w:noProof/>
          </w:rPr>
        </w:r>
        <w:r w:rsidR="00F87A74">
          <w:rPr>
            <w:noProof/>
          </w:rPr>
          <w:fldChar w:fldCharType="separate"/>
        </w:r>
        <w:r w:rsidR="00BA4371">
          <w:rPr>
            <w:noProof/>
          </w:rPr>
          <w:t>5</w:t>
        </w:r>
        <w:r w:rsidR="00F87A74">
          <w:rPr>
            <w:noProof/>
          </w:rPr>
          <w:fldChar w:fldCharType="end"/>
        </w:r>
      </w:hyperlink>
    </w:p>
    <w:p w14:paraId="62CFFAA5" w14:textId="1936D051" w:rsidR="000E48ED" w:rsidRDefault="00A315E6">
      <w:pPr>
        <w:pStyle w:val="TOC1"/>
        <w:rPr>
          <w:rFonts w:asciiTheme="minorHAnsi" w:eastAsiaTheme="minorEastAsia" w:hAnsiTheme="minorHAnsi" w:cstheme="minorBidi"/>
          <w:noProof/>
          <w:sz w:val="21"/>
          <w:szCs w:val="22"/>
        </w:rPr>
      </w:pPr>
      <w:hyperlink w:anchor="_Toc84945736" w:history="1">
        <w:r w:rsidR="003A7B23">
          <w:rPr>
            <w:rStyle w:val="af7"/>
            <w:bCs/>
            <w:noProof/>
          </w:rPr>
          <w:t>第四条  基金管理人对基金托管人的业务核查</w:t>
        </w:r>
        <w:r w:rsidR="003A7B23">
          <w:rPr>
            <w:noProof/>
          </w:rPr>
          <w:tab/>
        </w:r>
        <w:r w:rsidR="00F87A74">
          <w:rPr>
            <w:noProof/>
          </w:rPr>
          <w:fldChar w:fldCharType="begin"/>
        </w:r>
        <w:r w:rsidR="003A7B23">
          <w:rPr>
            <w:noProof/>
          </w:rPr>
          <w:instrText xml:space="preserve"> PAGEREF _Toc84945736 \h </w:instrText>
        </w:r>
        <w:r w:rsidR="00F87A74">
          <w:rPr>
            <w:noProof/>
          </w:rPr>
        </w:r>
        <w:r w:rsidR="00F87A74">
          <w:rPr>
            <w:noProof/>
          </w:rPr>
          <w:fldChar w:fldCharType="separate"/>
        </w:r>
        <w:r w:rsidR="00BA4371">
          <w:rPr>
            <w:noProof/>
          </w:rPr>
          <w:t>11</w:t>
        </w:r>
        <w:r w:rsidR="00F87A74">
          <w:rPr>
            <w:noProof/>
          </w:rPr>
          <w:fldChar w:fldCharType="end"/>
        </w:r>
      </w:hyperlink>
    </w:p>
    <w:p w14:paraId="5FCF7810" w14:textId="19EDF6ED" w:rsidR="000E48ED" w:rsidRDefault="00A315E6">
      <w:pPr>
        <w:pStyle w:val="TOC1"/>
        <w:rPr>
          <w:rFonts w:asciiTheme="minorHAnsi" w:eastAsiaTheme="minorEastAsia" w:hAnsiTheme="minorHAnsi" w:cstheme="minorBidi"/>
          <w:noProof/>
          <w:sz w:val="21"/>
          <w:szCs w:val="22"/>
        </w:rPr>
      </w:pPr>
      <w:hyperlink w:anchor="_Toc84945737" w:history="1">
        <w:r w:rsidR="003A7B23">
          <w:rPr>
            <w:rStyle w:val="af7"/>
            <w:bCs/>
            <w:noProof/>
          </w:rPr>
          <w:t>第五条  基金财产保管</w:t>
        </w:r>
        <w:r w:rsidR="003A7B23">
          <w:rPr>
            <w:noProof/>
          </w:rPr>
          <w:tab/>
        </w:r>
        <w:r w:rsidR="00F87A74">
          <w:rPr>
            <w:noProof/>
          </w:rPr>
          <w:fldChar w:fldCharType="begin"/>
        </w:r>
        <w:r w:rsidR="003A7B23">
          <w:rPr>
            <w:noProof/>
          </w:rPr>
          <w:instrText xml:space="preserve"> PAGEREF _Toc84945737 \h </w:instrText>
        </w:r>
        <w:r w:rsidR="00F87A74">
          <w:rPr>
            <w:noProof/>
          </w:rPr>
        </w:r>
        <w:r w:rsidR="00F87A74">
          <w:rPr>
            <w:noProof/>
          </w:rPr>
          <w:fldChar w:fldCharType="separate"/>
        </w:r>
        <w:r w:rsidR="00BA4371">
          <w:rPr>
            <w:noProof/>
          </w:rPr>
          <w:t>12</w:t>
        </w:r>
        <w:r w:rsidR="00F87A74">
          <w:rPr>
            <w:noProof/>
          </w:rPr>
          <w:fldChar w:fldCharType="end"/>
        </w:r>
      </w:hyperlink>
    </w:p>
    <w:p w14:paraId="353DDBC6" w14:textId="378462BD" w:rsidR="000E48ED" w:rsidRDefault="00A315E6">
      <w:pPr>
        <w:pStyle w:val="TOC1"/>
        <w:rPr>
          <w:rFonts w:asciiTheme="minorHAnsi" w:eastAsiaTheme="minorEastAsia" w:hAnsiTheme="minorHAnsi" w:cstheme="minorBidi"/>
          <w:noProof/>
          <w:sz w:val="21"/>
          <w:szCs w:val="22"/>
        </w:rPr>
      </w:pPr>
      <w:hyperlink w:anchor="_Toc84945738" w:history="1">
        <w:r w:rsidR="003A7B23">
          <w:rPr>
            <w:rStyle w:val="af7"/>
            <w:bCs/>
            <w:noProof/>
          </w:rPr>
          <w:t>第六条  指令的发送、确认和执行</w:t>
        </w:r>
        <w:r w:rsidR="003A7B23">
          <w:rPr>
            <w:noProof/>
          </w:rPr>
          <w:tab/>
        </w:r>
        <w:r w:rsidR="00F87A74">
          <w:rPr>
            <w:noProof/>
          </w:rPr>
          <w:fldChar w:fldCharType="begin"/>
        </w:r>
        <w:r w:rsidR="003A7B23">
          <w:rPr>
            <w:noProof/>
          </w:rPr>
          <w:instrText xml:space="preserve"> PAGEREF _Toc84945738 \h </w:instrText>
        </w:r>
        <w:r w:rsidR="00F87A74">
          <w:rPr>
            <w:noProof/>
          </w:rPr>
        </w:r>
        <w:r w:rsidR="00F87A74">
          <w:rPr>
            <w:noProof/>
          </w:rPr>
          <w:fldChar w:fldCharType="separate"/>
        </w:r>
        <w:r w:rsidR="00BA4371">
          <w:rPr>
            <w:noProof/>
          </w:rPr>
          <w:t>15</w:t>
        </w:r>
        <w:r w:rsidR="00F87A74">
          <w:rPr>
            <w:noProof/>
          </w:rPr>
          <w:fldChar w:fldCharType="end"/>
        </w:r>
      </w:hyperlink>
    </w:p>
    <w:p w14:paraId="21250C3B" w14:textId="07F901E4" w:rsidR="000E48ED" w:rsidRDefault="00A315E6">
      <w:pPr>
        <w:pStyle w:val="TOC1"/>
        <w:rPr>
          <w:rFonts w:asciiTheme="minorHAnsi" w:eastAsiaTheme="minorEastAsia" w:hAnsiTheme="minorHAnsi" w:cstheme="minorBidi"/>
          <w:noProof/>
          <w:sz w:val="21"/>
          <w:szCs w:val="22"/>
        </w:rPr>
      </w:pPr>
      <w:hyperlink w:anchor="_Toc84945739" w:history="1">
        <w:r w:rsidR="003A7B23">
          <w:rPr>
            <w:rStyle w:val="af7"/>
            <w:bCs/>
            <w:noProof/>
          </w:rPr>
          <w:t>第七条  交易及清算交收安排</w:t>
        </w:r>
        <w:r w:rsidR="003A7B23">
          <w:rPr>
            <w:noProof/>
          </w:rPr>
          <w:tab/>
        </w:r>
        <w:r w:rsidR="00F87A74">
          <w:rPr>
            <w:noProof/>
          </w:rPr>
          <w:fldChar w:fldCharType="begin"/>
        </w:r>
        <w:r w:rsidR="003A7B23">
          <w:rPr>
            <w:noProof/>
          </w:rPr>
          <w:instrText xml:space="preserve"> PAGEREF _Toc84945739 \h </w:instrText>
        </w:r>
        <w:r w:rsidR="00F87A74">
          <w:rPr>
            <w:noProof/>
          </w:rPr>
        </w:r>
        <w:r w:rsidR="00F87A74">
          <w:rPr>
            <w:noProof/>
          </w:rPr>
          <w:fldChar w:fldCharType="separate"/>
        </w:r>
        <w:r w:rsidR="00BA4371">
          <w:rPr>
            <w:noProof/>
          </w:rPr>
          <w:t>17</w:t>
        </w:r>
        <w:r w:rsidR="00F87A74">
          <w:rPr>
            <w:noProof/>
          </w:rPr>
          <w:fldChar w:fldCharType="end"/>
        </w:r>
      </w:hyperlink>
    </w:p>
    <w:p w14:paraId="2552E9FC" w14:textId="4615BF3C" w:rsidR="000E48ED" w:rsidRDefault="00A315E6">
      <w:pPr>
        <w:pStyle w:val="TOC1"/>
        <w:rPr>
          <w:rFonts w:asciiTheme="minorHAnsi" w:eastAsiaTheme="minorEastAsia" w:hAnsiTheme="minorHAnsi" w:cstheme="minorBidi"/>
          <w:noProof/>
          <w:sz w:val="21"/>
          <w:szCs w:val="22"/>
        </w:rPr>
      </w:pPr>
      <w:hyperlink w:anchor="_Toc84945740" w:history="1">
        <w:r w:rsidR="003A7B23">
          <w:rPr>
            <w:rStyle w:val="af7"/>
            <w:bCs/>
            <w:noProof/>
          </w:rPr>
          <w:t>第八条  基金资产净值计算和会计核算</w:t>
        </w:r>
        <w:r w:rsidR="003A7B23">
          <w:rPr>
            <w:noProof/>
          </w:rPr>
          <w:tab/>
        </w:r>
        <w:r w:rsidR="00F87A74">
          <w:rPr>
            <w:noProof/>
          </w:rPr>
          <w:fldChar w:fldCharType="begin"/>
        </w:r>
        <w:r w:rsidR="003A7B23">
          <w:rPr>
            <w:noProof/>
          </w:rPr>
          <w:instrText xml:space="preserve"> PAGEREF _Toc84945740 \h </w:instrText>
        </w:r>
        <w:r w:rsidR="00F87A74">
          <w:rPr>
            <w:noProof/>
          </w:rPr>
        </w:r>
        <w:r w:rsidR="00F87A74">
          <w:rPr>
            <w:noProof/>
          </w:rPr>
          <w:fldChar w:fldCharType="separate"/>
        </w:r>
        <w:r w:rsidR="00BA4371">
          <w:rPr>
            <w:noProof/>
          </w:rPr>
          <w:t>20</w:t>
        </w:r>
        <w:r w:rsidR="00F87A74">
          <w:rPr>
            <w:noProof/>
          </w:rPr>
          <w:fldChar w:fldCharType="end"/>
        </w:r>
      </w:hyperlink>
    </w:p>
    <w:p w14:paraId="78E72503" w14:textId="44F4DDD2" w:rsidR="000E48ED" w:rsidRDefault="00A315E6">
      <w:pPr>
        <w:pStyle w:val="TOC1"/>
        <w:rPr>
          <w:rFonts w:asciiTheme="minorHAnsi" w:eastAsiaTheme="minorEastAsia" w:hAnsiTheme="minorHAnsi" w:cstheme="minorBidi"/>
          <w:noProof/>
          <w:sz w:val="21"/>
          <w:szCs w:val="22"/>
        </w:rPr>
      </w:pPr>
      <w:hyperlink w:anchor="_Toc84945741" w:history="1">
        <w:r w:rsidR="003A7B23">
          <w:rPr>
            <w:rStyle w:val="af7"/>
            <w:bCs/>
            <w:noProof/>
          </w:rPr>
          <w:t>第九条  基金收益分配</w:t>
        </w:r>
        <w:r w:rsidR="003A7B23">
          <w:rPr>
            <w:noProof/>
          </w:rPr>
          <w:tab/>
        </w:r>
        <w:r w:rsidR="00F87A74">
          <w:rPr>
            <w:noProof/>
          </w:rPr>
          <w:fldChar w:fldCharType="begin"/>
        </w:r>
        <w:r w:rsidR="003A7B23">
          <w:rPr>
            <w:noProof/>
          </w:rPr>
          <w:instrText xml:space="preserve"> PAGEREF _Toc84945741 \h </w:instrText>
        </w:r>
        <w:r w:rsidR="00F87A74">
          <w:rPr>
            <w:noProof/>
          </w:rPr>
        </w:r>
        <w:r w:rsidR="00F87A74">
          <w:rPr>
            <w:noProof/>
          </w:rPr>
          <w:fldChar w:fldCharType="separate"/>
        </w:r>
        <w:r w:rsidR="00BA4371">
          <w:rPr>
            <w:noProof/>
          </w:rPr>
          <w:t>26</w:t>
        </w:r>
        <w:r w:rsidR="00F87A74">
          <w:rPr>
            <w:noProof/>
          </w:rPr>
          <w:fldChar w:fldCharType="end"/>
        </w:r>
      </w:hyperlink>
    </w:p>
    <w:p w14:paraId="5683D455" w14:textId="5B356481" w:rsidR="000E48ED" w:rsidRDefault="00A315E6">
      <w:pPr>
        <w:pStyle w:val="TOC1"/>
        <w:rPr>
          <w:rFonts w:asciiTheme="minorHAnsi" w:eastAsiaTheme="minorEastAsia" w:hAnsiTheme="minorHAnsi" w:cstheme="minorBidi"/>
          <w:noProof/>
          <w:sz w:val="21"/>
          <w:szCs w:val="22"/>
        </w:rPr>
      </w:pPr>
      <w:hyperlink w:anchor="_Toc84945742" w:history="1">
        <w:r w:rsidR="003A7B23">
          <w:rPr>
            <w:rStyle w:val="af7"/>
            <w:bCs/>
            <w:noProof/>
          </w:rPr>
          <w:t>第十条  信息披露</w:t>
        </w:r>
        <w:r w:rsidR="003A7B23">
          <w:rPr>
            <w:noProof/>
          </w:rPr>
          <w:tab/>
        </w:r>
        <w:r w:rsidR="00F87A74">
          <w:rPr>
            <w:noProof/>
          </w:rPr>
          <w:fldChar w:fldCharType="begin"/>
        </w:r>
        <w:r w:rsidR="003A7B23">
          <w:rPr>
            <w:noProof/>
          </w:rPr>
          <w:instrText xml:space="preserve"> PAGEREF _Toc84945742 \h </w:instrText>
        </w:r>
        <w:r w:rsidR="00F87A74">
          <w:rPr>
            <w:noProof/>
          </w:rPr>
        </w:r>
        <w:r w:rsidR="00F87A74">
          <w:rPr>
            <w:noProof/>
          </w:rPr>
          <w:fldChar w:fldCharType="separate"/>
        </w:r>
        <w:r w:rsidR="00BA4371">
          <w:rPr>
            <w:noProof/>
          </w:rPr>
          <w:t>28</w:t>
        </w:r>
        <w:r w:rsidR="00F87A74">
          <w:rPr>
            <w:noProof/>
          </w:rPr>
          <w:fldChar w:fldCharType="end"/>
        </w:r>
      </w:hyperlink>
    </w:p>
    <w:p w14:paraId="1A759E9E" w14:textId="6517DABA" w:rsidR="000E48ED" w:rsidRDefault="00A315E6">
      <w:pPr>
        <w:pStyle w:val="TOC1"/>
        <w:rPr>
          <w:rFonts w:asciiTheme="minorHAnsi" w:eastAsiaTheme="minorEastAsia" w:hAnsiTheme="minorHAnsi" w:cstheme="minorBidi"/>
          <w:noProof/>
          <w:sz w:val="21"/>
          <w:szCs w:val="22"/>
        </w:rPr>
      </w:pPr>
      <w:hyperlink w:anchor="_Toc84945743" w:history="1">
        <w:r w:rsidR="003A7B23">
          <w:rPr>
            <w:rStyle w:val="af7"/>
            <w:bCs/>
            <w:noProof/>
          </w:rPr>
          <w:t>第十一条  基金费用</w:t>
        </w:r>
        <w:r w:rsidR="003A7B23">
          <w:rPr>
            <w:noProof/>
          </w:rPr>
          <w:tab/>
        </w:r>
        <w:r w:rsidR="00F87A74">
          <w:rPr>
            <w:noProof/>
          </w:rPr>
          <w:fldChar w:fldCharType="begin"/>
        </w:r>
        <w:r w:rsidR="003A7B23">
          <w:rPr>
            <w:noProof/>
          </w:rPr>
          <w:instrText xml:space="preserve"> PAGEREF _Toc84945743 \h </w:instrText>
        </w:r>
        <w:r w:rsidR="00F87A74">
          <w:rPr>
            <w:noProof/>
          </w:rPr>
        </w:r>
        <w:r w:rsidR="00F87A74">
          <w:rPr>
            <w:noProof/>
          </w:rPr>
          <w:fldChar w:fldCharType="separate"/>
        </w:r>
        <w:r w:rsidR="00BA4371">
          <w:rPr>
            <w:noProof/>
          </w:rPr>
          <w:t>29</w:t>
        </w:r>
        <w:r w:rsidR="00F87A74">
          <w:rPr>
            <w:noProof/>
          </w:rPr>
          <w:fldChar w:fldCharType="end"/>
        </w:r>
      </w:hyperlink>
    </w:p>
    <w:p w14:paraId="2D52CFCB" w14:textId="269106BD" w:rsidR="000E48ED" w:rsidRDefault="00A315E6">
      <w:pPr>
        <w:pStyle w:val="TOC1"/>
        <w:rPr>
          <w:rFonts w:asciiTheme="minorHAnsi" w:eastAsiaTheme="minorEastAsia" w:hAnsiTheme="minorHAnsi" w:cstheme="minorBidi"/>
          <w:noProof/>
          <w:sz w:val="21"/>
          <w:szCs w:val="22"/>
        </w:rPr>
      </w:pPr>
      <w:hyperlink w:anchor="_Toc84945744" w:history="1">
        <w:r w:rsidR="003A7B23">
          <w:rPr>
            <w:rStyle w:val="af7"/>
            <w:bCs/>
            <w:noProof/>
          </w:rPr>
          <w:t>第十二条  基金份额持有人名册的保管</w:t>
        </w:r>
        <w:r w:rsidR="003A7B23">
          <w:rPr>
            <w:noProof/>
          </w:rPr>
          <w:tab/>
        </w:r>
        <w:r w:rsidR="00F87A74">
          <w:rPr>
            <w:noProof/>
          </w:rPr>
          <w:fldChar w:fldCharType="begin"/>
        </w:r>
        <w:r w:rsidR="003A7B23">
          <w:rPr>
            <w:noProof/>
          </w:rPr>
          <w:instrText xml:space="preserve"> PAGEREF _Toc84945744 \h </w:instrText>
        </w:r>
        <w:r w:rsidR="00F87A74">
          <w:rPr>
            <w:noProof/>
          </w:rPr>
        </w:r>
        <w:r w:rsidR="00F87A74">
          <w:rPr>
            <w:noProof/>
          </w:rPr>
          <w:fldChar w:fldCharType="separate"/>
        </w:r>
        <w:r w:rsidR="00BA4371">
          <w:rPr>
            <w:noProof/>
          </w:rPr>
          <w:t>31</w:t>
        </w:r>
        <w:r w:rsidR="00F87A74">
          <w:rPr>
            <w:noProof/>
          </w:rPr>
          <w:fldChar w:fldCharType="end"/>
        </w:r>
      </w:hyperlink>
    </w:p>
    <w:p w14:paraId="5CFA61A8" w14:textId="688F962E" w:rsidR="000E48ED" w:rsidRDefault="00A315E6">
      <w:pPr>
        <w:pStyle w:val="TOC1"/>
        <w:rPr>
          <w:rFonts w:asciiTheme="minorHAnsi" w:eastAsiaTheme="minorEastAsia" w:hAnsiTheme="minorHAnsi" w:cstheme="minorBidi"/>
          <w:noProof/>
          <w:sz w:val="21"/>
          <w:szCs w:val="22"/>
        </w:rPr>
      </w:pPr>
      <w:hyperlink w:anchor="_Toc84945745" w:history="1">
        <w:r w:rsidR="003A7B23">
          <w:rPr>
            <w:rStyle w:val="af7"/>
            <w:bCs/>
            <w:noProof/>
          </w:rPr>
          <w:t>第十三条  基金有关文件和档案的保存</w:t>
        </w:r>
        <w:r w:rsidR="003A7B23">
          <w:rPr>
            <w:noProof/>
          </w:rPr>
          <w:tab/>
        </w:r>
        <w:r w:rsidR="00F87A74">
          <w:rPr>
            <w:noProof/>
          </w:rPr>
          <w:fldChar w:fldCharType="begin"/>
        </w:r>
        <w:r w:rsidR="003A7B23">
          <w:rPr>
            <w:noProof/>
          </w:rPr>
          <w:instrText xml:space="preserve"> PAGEREF _Toc84945745 \h </w:instrText>
        </w:r>
        <w:r w:rsidR="00F87A74">
          <w:rPr>
            <w:noProof/>
          </w:rPr>
        </w:r>
        <w:r w:rsidR="00F87A74">
          <w:rPr>
            <w:noProof/>
          </w:rPr>
          <w:fldChar w:fldCharType="separate"/>
        </w:r>
        <w:r w:rsidR="00BA4371">
          <w:rPr>
            <w:noProof/>
          </w:rPr>
          <w:t>32</w:t>
        </w:r>
        <w:r w:rsidR="00F87A74">
          <w:rPr>
            <w:noProof/>
          </w:rPr>
          <w:fldChar w:fldCharType="end"/>
        </w:r>
      </w:hyperlink>
    </w:p>
    <w:p w14:paraId="0C814BBE" w14:textId="65D149D0" w:rsidR="000E48ED" w:rsidRDefault="00A315E6">
      <w:pPr>
        <w:pStyle w:val="TOC1"/>
        <w:rPr>
          <w:rFonts w:asciiTheme="minorHAnsi" w:eastAsiaTheme="minorEastAsia" w:hAnsiTheme="minorHAnsi" w:cstheme="minorBidi"/>
          <w:noProof/>
          <w:sz w:val="21"/>
          <w:szCs w:val="22"/>
        </w:rPr>
      </w:pPr>
      <w:hyperlink w:anchor="_Toc84945746" w:history="1">
        <w:r w:rsidR="003A7B23">
          <w:rPr>
            <w:rStyle w:val="af7"/>
            <w:bCs/>
            <w:noProof/>
          </w:rPr>
          <w:t>第十四条  基金管理人和基金托管人的更换</w:t>
        </w:r>
        <w:r w:rsidR="003A7B23">
          <w:rPr>
            <w:noProof/>
          </w:rPr>
          <w:tab/>
        </w:r>
        <w:r w:rsidR="00F87A74">
          <w:rPr>
            <w:noProof/>
          </w:rPr>
          <w:fldChar w:fldCharType="begin"/>
        </w:r>
        <w:r w:rsidR="003A7B23">
          <w:rPr>
            <w:noProof/>
          </w:rPr>
          <w:instrText xml:space="preserve"> PAGEREF _Toc84945746 \h </w:instrText>
        </w:r>
        <w:r w:rsidR="00F87A74">
          <w:rPr>
            <w:noProof/>
          </w:rPr>
        </w:r>
        <w:r w:rsidR="00F87A74">
          <w:rPr>
            <w:noProof/>
          </w:rPr>
          <w:fldChar w:fldCharType="separate"/>
        </w:r>
        <w:r w:rsidR="00BA4371">
          <w:rPr>
            <w:noProof/>
          </w:rPr>
          <w:t>32</w:t>
        </w:r>
        <w:r w:rsidR="00F87A74">
          <w:rPr>
            <w:noProof/>
          </w:rPr>
          <w:fldChar w:fldCharType="end"/>
        </w:r>
      </w:hyperlink>
    </w:p>
    <w:p w14:paraId="5743661A" w14:textId="70CFA367" w:rsidR="000E48ED" w:rsidRDefault="00A315E6">
      <w:pPr>
        <w:pStyle w:val="TOC1"/>
        <w:rPr>
          <w:rFonts w:asciiTheme="minorHAnsi" w:eastAsiaTheme="minorEastAsia" w:hAnsiTheme="minorHAnsi" w:cstheme="minorBidi"/>
          <w:noProof/>
          <w:sz w:val="21"/>
          <w:szCs w:val="22"/>
        </w:rPr>
      </w:pPr>
      <w:hyperlink w:anchor="_Toc84945747" w:history="1">
        <w:r w:rsidR="003A7B23">
          <w:rPr>
            <w:rStyle w:val="af7"/>
            <w:bCs/>
            <w:noProof/>
          </w:rPr>
          <w:t>第十五条  禁止行为</w:t>
        </w:r>
        <w:r w:rsidR="003A7B23">
          <w:rPr>
            <w:noProof/>
          </w:rPr>
          <w:tab/>
        </w:r>
        <w:r w:rsidR="00F87A74">
          <w:rPr>
            <w:noProof/>
          </w:rPr>
          <w:fldChar w:fldCharType="begin"/>
        </w:r>
        <w:r w:rsidR="003A7B23">
          <w:rPr>
            <w:noProof/>
          </w:rPr>
          <w:instrText xml:space="preserve"> PAGEREF _Toc84945747 \h </w:instrText>
        </w:r>
        <w:r w:rsidR="00F87A74">
          <w:rPr>
            <w:noProof/>
          </w:rPr>
        </w:r>
        <w:r w:rsidR="00F87A74">
          <w:rPr>
            <w:noProof/>
          </w:rPr>
          <w:fldChar w:fldCharType="separate"/>
        </w:r>
        <w:r w:rsidR="00BA4371">
          <w:rPr>
            <w:noProof/>
          </w:rPr>
          <w:t>35</w:t>
        </w:r>
        <w:r w:rsidR="00F87A74">
          <w:rPr>
            <w:noProof/>
          </w:rPr>
          <w:fldChar w:fldCharType="end"/>
        </w:r>
      </w:hyperlink>
    </w:p>
    <w:p w14:paraId="4FB0E87C" w14:textId="266B2971" w:rsidR="000E48ED" w:rsidRDefault="00A315E6">
      <w:pPr>
        <w:pStyle w:val="TOC1"/>
        <w:rPr>
          <w:rFonts w:asciiTheme="minorHAnsi" w:eastAsiaTheme="minorEastAsia" w:hAnsiTheme="minorHAnsi" w:cstheme="minorBidi"/>
          <w:noProof/>
          <w:sz w:val="21"/>
          <w:szCs w:val="22"/>
        </w:rPr>
      </w:pPr>
      <w:hyperlink w:anchor="_Toc84945748" w:history="1">
        <w:r w:rsidR="003A7B23">
          <w:rPr>
            <w:rStyle w:val="af7"/>
            <w:bCs/>
            <w:noProof/>
          </w:rPr>
          <w:t>第十六条  基金托管协议的变更、终止与基金财产的清算</w:t>
        </w:r>
        <w:r w:rsidR="003A7B23">
          <w:rPr>
            <w:noProof/>
          </w:rPr>
          <w:tab/>
        </w:r>
        <w:r w:rsidR="00F87A74">
          <w:rPr>
            <w:noProof/>
          </w:rPr>
          <w:fldChar w:fldCharType="begin"/>
        </w:r>
        <w:r w:rsidR="003A7B23">
          <w:rPr>
            <w:noProof/>
          </w:rPr>
          <w:instrText xml:space="preserve"> PAGEREF _Toc84945748 \h </w:instrText>
        </w:r>
        <w:r w:rsidR="00F87A74">
          <w:rPr>
            <w:noProof/>
          </w:rPr>
        </w:r>
        <w:r w:rsidR="00F87A74">
          <w:rPr>
            <w:noProof/>
          </w:rPr>
          <w:fldChar w:fldCharType="separate"/>
        </w:r>
        <w:r w:rsidR="00BA4371">
          <w:rPr>
            <w:noProof/>
          </w:rPr>
          <w:t>36</w:t>
        </w:r>
        <w:r w:rsidR="00F87A74">
          <w:rPr>
            <w:noProof/>
          </w:rPr>
          <w:fldChar w:fldCharType="end"/>
        </w:r>
      </w:hyperlink>
    </w:p>
    <w:p w14:paraId="50D3AC3F" w14:textId="3C419638" w:rsidR="000E48ED" w:rsidRDefault="00A315E6">
      <w:pPr>
        <w:pStyle w:val="TOC1"/>
        <w:rPr>
          <w:rFonts w:asciiTheme="minorHAnsi" w:eastAsiaTheme="minorEastAsia" w:hAnsiTheme="minorHAnsi" w:cstheme="minorBidi"/>
          <w:noProof/>
          <w:sz w:val="21"/>
          <w:szCs w:val="22"/>
        </w:rPr>
      </w:pPr>
      <w:hyperlink w:anchor="_Toc84945749" w:history="1">
        <w:r w:rsidR="003A7B23">
          <w:rPr>
            <w:rStyle w:val="af7"/>
            <w:bCs/>
            <w:noProof/>
          </w:rPr>
          <w:t>第十七条  违约责任</w:t>
        </w:r>
        <w:r w:rsidR="003A7B23">
          <w:rPr>
            <w:noProof/>
          </w:rPr>
          <w:tab/>
        </w:r>
        <w:r w:rsidR="00F87A74">
          <w:rPr>
            <w:noProof/>
          </w:rPr>
          <w:fldChar w:fldCharType="begin"/>
        </w:r>
        <w:r w:rsidR="003A7B23">
          <w:rPr>
            <w:noProof/>
          </w:rPr>
          <w:instrText xml:space="preserve"> PAGEREF _Toc84945749 \h </w:instrText>
        </w:r>
        <w:r w:rsidR="00F87A74">
          <w:rPr>
            <w:noProof/>
          </w:rPr>
        </w:r>
        <w:r w:rsidR="00F87A74">
          <w:rPr>
            <w:noProof/>
          </w:rPr>
          <w:fldChar w:fldCharType="separate"/>
        </w:r>
        <w:r w:rsidR="00BA4371">
          <w:rPr>
            <w:noProof/>
          </w:rPr>
          <w:t>38</w:t>
        </w:r>
        <w:r w:rsidR="00F87A74">
          <w:rPr>
            <w:noProof/>
          </w:rPr>
          <w:fldChar w:fldCharType="end"/>
        </w:r>
      </w:hyperlink>
    </w:p>
    <w:p w14:paraId="6383C680" w14:textId="3F335DA0" w:rsidR="000E48ED" w:rsidRDefault="00A315E6">
      <w:pPr>
        <w:pStyle w:val="TOC1"/>
        <w:rPr>
          <w:rFonts w:asciiTheme="minorHAnsi" w:eastAsiaTheme="minorEastAsia" w:hAnsiTheme="minorHAnsi" w:cstheme="minorBidi"/>
          <w:noProof/>
          <w:sz w:val="21"/>
          <w:szCs w:val="22"/>
        </w:rPr>
      </w:pPr>
      <w:hyperlink w:anchor="_Toc84945750" w:history="1">
        <w:r w:rsidR="003A7B23">
          <w:rPr>
            <w:rStyle w:val="af7"/>
            <w:bCs/>
            <w:noProof/>
          </w:rPr>
          <w:t>第十八条  争议解决方式</w:t>
        </w:r>
        <w:r w:rsidR="003A7B23">
          <w:rPr>
            <w:noProof/>
          </w:rPr>
          <w:tab/>
        </w:r>
        <w:r w:rsidR="00F87A74">
          <w:rPr>
            <w:noProof/>
          </w:rPr>
          <w:fldChar w:fldCharType="begin"/>
        </w:r>
        <w:r w:rsidR="003A7B23">
          <w:rPr>
            <w:noProof/>
          </w:rPr>
          <w:instrText xml:space="preserve"> PAGEREF _Toc84945750 \h </w:instrText>
        </w:r>
        <w:r w:rsidR="00F87A74">
          <w:rPr>
            <w:noProof/>
          </w:rPr>
        </w:r>
        <w:r w:rsidR="00F87A74">
          <w:rPr>
            <w:noProof/>
          </w:rPr>
          <w:fldChar w:fldCharType="separate"/>
        </w:r>
        <w:r w:rsidR="00BA4371">
          <w:rPr>
            <w:noProof/>
          </w:rPr>
          <w:t>39</w:t>
        </w:r>
        <w:r w:rsidR="00F87A74">
          <w:rPr>
            <w:noProof/>
          </w:rPr>
          <w:fldChar w:fldCharType="end"/>
        </w:r>
      </w:hyperlink>
    </w:p>
    <w:p w14:paraId="5162FFA1" w14:textId="5B7191F4" w:rsidR="000E48ED" w:rsidRDefault="00A315E6">
      <w:pPr>
        <w:pStyle w:val="TOC1"/>
        <w:rPr>
          <w:rFonts w:asciiTheme="minorHAnsi" w:eastAsiaTheme="minorEastAsia" w:hAnsiTheme="minorHAnsi" w:cstheme="minorBidi"/>
          <w:noProof/>
          <w:sz w:val="21"/>
          <w:szCs w:val="22"/>
        </w:rPr>
      </w:pPr>
      <w:hyperlink w:anchor="_Toc84945751" w:history="1">
        <w:r w:rsidR="003A7B23">
          <w:rPr>
            <w:rStyle w:val="af7"/>
            <w:bCs/>
            <w:noProof/>
          </w:rPr>
          <w:t>第十九条  基金托管协议的效力</w:t>
        </w:r>
        <w:r w:rsidR="003A7B23">
          <w:rPr>
            <w:noProof/>
          </w:rPr>
          <w:tab/>
        </w:r>
        <w:r w:rsidR="00F87A74">
          <w:rPr>
            <w:noProof/>
          </w:rPr>
          <w:fldChar w:fldCharType="begin"/>
        </w:r>
        <w:r w:rsidR="003A7B23">
          <w:rPr>
            <w:noProof/>
          </w:rPr>
          <w:instrText xml:space="preserve"> PAGEREF _Toc84945751 \h </w:instrText>
        </w:r>
        <w:r w:rsidR="00F87A74">
          <w:rPr>
            <w:noProof/>
          </w:rPr>
        </w:r>
        <w:r w:rsidR="00F87A74">
          <w:rPr>
            <w:noProof/>
          </w:rPr>
          <w:fldChar w:fldCharType="separate"/>
        </w:r>
        <w:r w:rsidR="00BA4371">
          <w:rPr>
            <w:noProof/>
          </w:rPr>
          <w:t>39</w:t>
        </w:r>
        <w:r w:rsidR="00F87A74">
          <w:rPr>
            <w:noProof/>
          </w:rPr>
          <w:fldChar w:fldCharType="end"/>
        </w:r>
      </w:hyperlink>
    </w:p>
    <w:p w14:paraId="5DF5A93D" w14:textId="29452A79" w:rsidR="000E48ED" w:rsidRDefault="00A315E6">
      <w:pPr>
        <w:pStyle w:val="TOC1"/>
        <w:rPr>
          <w:rFonts w:asciiTheme="minorHAnsi" w:eastAsiaTheme="minorEastAsia" w:hAnsiTheme="minorHAnsi" w:cstheme="minorBidi"/>
          <w:noProof/>
          <w:sz w:val="21"/>
          <w:szCs w:val="22"/>
        </w:rPr>
      </w:pPr>
      <w:hyperlink w:anchor="_Toc84945752" w:history="1">
        <w:r w:rsidR="003A7B23">
          <w:rPr>
            <w:rStyle w:val="af7"/>
            <w:bCs/>
            <w:noProof/>
          </w:rPr>
          <w:t>第二十条  基金托管协议的签订</w:t>
        </w:r>
        <w:r w:rsidR="003A7B23">
          <w:rPr>
            <w:noProof/>
          </w:rPr>
          <w:tab/>
        </w:r>
        <w:r w:rsidR="00F87A74">
          <w:rPr>
            <w:noProof/>
          </w:rPr>
          <w:fldChar w:fldCharType="begin"/>
        </w:r>
        <w:r w:rsidR="003A7B23">
          <w:rPr>
            <w:noProof/>
          </w:rPr>
          <w:instrText xml:space="preserve"> PAGEREF _Toc84945752 \h </w:instrText>
        </w:r>
        <w:r w:rsidR="00F87A74">
          <w:rPr>
            <w:noProof/>
          </w:rPr>
        </w:r>
        <w:r w:rsidR="00F87A74">
          <w:rPr>
            <w:noProof/>
          </w:rPr>
          <w:fldChar w:fldCharType="separate"/>
        </w:r>
        <w:r w:rsidR="00BA4371">
          <w:rPr>
            <w:noProof/>
          </w:rPr>
          <w:t>39</w:t>
        </w:r>
        <w:r w:rsidR="00F87A74">
          <w:rPr>
            <w:noProof/>
          </w:rPr>
          <w:fldChar w:fldCharType="end"/>
        </w:r>
      </w:hyperlink>
    </w:p>
    <w:p w14:paraId="346A7CA0" w14:textId="587235A6" w:rsidR="000E48ED" w:rsidRDefault="00A315E6">
      <w:pPr>
        <w:pStyle w:val="TOC1"/>
        <w:rPr>
          <w:rFonts w:asciiTheme="minorHAnsi" w:eastAsiaTheme="minorEastAsia" w:hAnsiTheme="minorHAnsi" w:cstheme="minorBidi"/>
          <w:noProof/>
          <w:sz w:val="21"/>
          <w:szCs w:val="22"/>
        </w:rPr>
      </w:pPr>
      <w:hyperlink w:anchor="_Toc84945753" w:history="1">
        <w:r w:rsidR="003A7B23">
          <w:rPr>
            <w:rStyle w:val="af7"/>
            <w:bCs/>
            <w:noProof/>
          </w:rPr>
          <w:t>第二十一条  不可抗力</w:t>
        </w:r>
        <w:r w:rsidR="003A7B23">
          <w:rPr>
            <w:noProof/>
          </w:rPr>
          <w:tab/>
        </w:r>
        <w:r w:rsidR="00F87A74">
          <w:rPr>
            <w:noProof/>
          </w:rPr>
          <w:fldChar w:fldCharType="begin"/>
        </w:r>
        <w:r w:rsidR="003A7B23">
          <w:rPr>
            <w:noProof/>
          </w:rPr>
          <w:instrText xml:space="preserve"> PAGEREF _Toc84945753 \h </w:instrText>
        </w:r>
        <w:r w:rsidR="00F87A74">
          <w:rPr>
            <w:noProof/>
          </w:rPr>
        </w:r>
        <w:r w:rsidR="00F87A74">
          <w:rPr>
            <w:noProof/>
          </w:rPr>
          <w:fldChar w:fldCharType="separate"/>
        </w:r>
        <w:r w:rsidR="00BA4371">
          <w:rPr>
            <w:noProof/>
          </w:rPr>
          <w:t>40</w:t>
        </w:r>
        <w:r w:rsidR="00F87A74">
          <w:rPr>
            <w:noProof/>
          </w:rPr>
          <w:fldChar w:fldCharType="end"/>
        </w:r>
      </w:hyperlink>
    </w:p>
    <w:p w14:paraId="743BDC71" w14:textId="77777777" w:rsidR="000E48ED" w:rsidRDefault="00F87A74">
      <w:pPr>
        <w:snapToGrid w:val="0"/>
        <w:spacing w:line="360" w:lineRule="auto"/>
        <w:jc w:val="center"/>
        <w:rPr>
          <w:rFonts w:ascii="宋体" w:hAnsi="宋体"/>
          <w:b/>
          <w:sz w:val="28"/>
          <w:szCs w:val="28"/>
        </w:rPr>
      </w:pPr>
      <w:r>
        <w:rPr>
          <w:rFonts w:ascii="宋体" w:hAnsi="宋体"/>
          <w:b/>
          <w:sz w:val="28"/>
          <w:szCs w:val="28"/>
        </w:rPr>
        <w:fldChar w:fldCharType="end"/>
      </w:r>
    </w:p>
    <w:p w14:paraId="3784BE7B" w14:textId="2A0B8A4F" w:rsidR="000E48ED" w:rsidRDefault="003A7B23">
      <w:pPr>
        <w:snapToGrid w:val="0"/>
        <w:spacing w:line="360" w:lineRule="auto"/>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中信</w:t>
      </w:r>
      <w:proofErr w:type="gramStart"/>
      <w:r>
        <w:rPr>
          <w:rFonts w:ascii="宋体" w:hAnsi="宋体" w:hint="eastAsia"/>
          <w:b/>
          <w:sz w:val="28"/>
          <w:szCs w:val="28"/>
        </w:rPr>
        <w:t>建投</w:t>
      </w:r>
      <w:r w:rsidR="00A514E3">
        <w:rPr>
          <w:rFonts w:ascii="宋体" w:hAnsi="宋体" w:hint="eastAsia"/>
          <w:b/>
          <w:sz w:val="28"/>
          <w:szCs w:val="28"/>
        </w:rPr>
        <w:t>景益</w:t>
      </w:r>
      <w:proofErr w:type="gramEnd"/>
      <w:r>
        <w:rPr>
          <w:rFonts w:ascii="宋体" w:hAnsi="宋体" w:hint="eastAsia"/>
          <w:b/>
          <w:sz w:val="28"/>
          <w:szCs w:val="28"/>
        </w:rPr>
        <w:t>债券型证券投资基金托管协议</w:t>
      </w:r>
    </w:p>
    <w:p w14:paraId="7A8C5005" w14:textId="77777777" w:rsidR="000E48ED" w:rsidRDefault="000E48ED">
      <w:pPr>
        <w:snapToGrid w:val="0"/>
        <w:spacing w:line="360" w:lineRule="auto"/>
        <w:jc w:val="center"/>
        <w:rPr>
          <w:rFonts w:ascii="宋体" w:hAnsi="宋体"/>
          <w:b/>
          <w:sz w:val="28"/>
          <w:szCs w:val="28"/>
        </w:rPr>
      </w:pPr>
    </w:p>
    <w:p w14:paraId="73E6B9C3" w14:textId="77777777" w:rsidR="000E48ED" w:rsidRDefault="003A7B23">
      <w:pPr>
        <w:tabs>
          <w:tab w:val="left" w:pos="5940"/>
        </w:tabs>
        <w:snapToGrid w:val="0"/>
        <w:spacing w:line="360" w:lineRule="auto"/>
        <w:rPr>
          <w:rFonts w:ascii="宋体" w:hAnsi="宋体"/>
          <w:b/>
          <w:sz w:val="24"/>
          <w:szCs w:val="24"/>
        </w:rPr>
      </w:pPr>
      <w:r>
        <w:rPr>
          <w:rFonts w:ascii="宋体" w:hAnsi="宋体" w:hint="eastAsia"/>
          <w:b/>
          <w:sz w:val="24"/>
          <w:szCs w:val="24"/>
        </w:rPr>
        <w:t>基金管理人：中信</w:t>
      </w:r>
      <w:proofErr w:type="gramStart"/>
      <w:r>
        <w:rPr>
          <w:rFonts w:ascii="宋体" w:hAnsi="宋体" w:hint="eastAsia"/>
          <w:b/>
          <w:sz w:val="24"/>
          <w:szCs w:val="24"/>
        </w:rPr>
        <w:t>建投基金</w:t>
      </w:r>
      <w:proofErr w:type="gramEnd"/>
      <w:r>
        <w:rPr>
          <w:rFonts w:ascii="宋体" w:hAnsi="宋体" w:hint="eastAsia"/>
          <w:b/>
          <w:sz w:val="24"/>
          <w:szCs w:val="24"/>
        </w:rPr>
        <w:t>管理有限公司</w:t>
      </w:r>
    </w:p>
    <w:p w14:paraId="7571680C" w14:textId="77777777" w:rsidR="000E48ED" w:rsidRDefault="003A7B23">
      <w:pPr>
        <w:snapToGrid w:val="0"/>
        <w:spacing w:line="360" w:lineRule="auto"/>
        <w:rPr>
          <w:rFonts w:ascii="宋体" w:hAnsi="宋体"/>
          <w:sz w:val="24"/>
          <w:szCs w:val="24"/>
        </w:rPr>
      </w:pPr>
      <w:r>
        <w:rPr>
          <w:rFonts w:ascii="宋体" w:hAnsi="宋体" w:hint="eastAsia"/>
          <w:sz w:val="24"/>
          <w:szCs w:val="24"/>
        </w:rPr>
        <w:t>住所：北京市怀柔区桥梓镇八</w:t>
      </w:r>
      <w:proofErr w:type="gramStart"/>
      <w:r>
        <w:rPr>
          <w:rFonts w:ascii="宋体" w:hAnsi="宋体" w:hint="eastAsia"/>
          <w:sz w:val="24"/>
          <w:szCs w:val="24"/>
        </w:rPr>
        <w:t>龙桥雅苑</w:t>
      </w:r>
      <w:proofErr w:type="gramEnd"/>
      <w:r>
        <w:rPr>
          <w:rFonts w:ascii="宋体" w:hAnsi="宋体" w:hint="eastAsia"/>
          <w:sz w:val="24"/>
          <w:szCs w:val="24"/>
        </w:rPr>
        <w:t>3号楼1室</w:t>
      </w:r>
    </w:p>
    <w:p w14:paraId="1AB17817" w14:textId="77777777" w:rsidR="000E48ED" w:rsidRDefault="003A7B23">
      <w:pPr>
        <w:snapToGrid w:val="0"/>
        <w:spacing w:line="360" w:lineRule="auto"/>
        <w:rPr>
          <w:rFonts w:ascii="宋体" w:hAnsi="宋体"/>
          <w:sz w:val="24"/>
          <w:szCs w:val="24"/>
        </w:rPr>
      </w:pPr>
      <w:r>
        <w:rPr>
          <w:rFonts w:ascii="宋体" w:hAnsi="宋体" w:hint="eastAsia"/>
          <w:sz w:val="24"/>
          <w:szCs w:val="24"/>
        </w:rPr>
        <w:t>邮政编码：101402</w:t>
      </w:r>
    </w:p>
    <w:p w14:paraId="2558DB34" w14:textId="77777777" w:rsidR="000E48ED" w:rsidRDefault="003A7B23">
      <w:pPr>
        <w:snapToGrid w:val="0"/>
        <w:spacing w:line="360" w:lineRule="auto"/>
        <w:rPr>
          <w:rFonts w:ascii="宋体" w:hAnsi="宋体"/>
          <w:sz w:val="24"/>
          <w:szCs w:val="24"/>
        </w:rPr>
      </w:pPr>
      <w:r>
        <w:rPr>
          <w:rFonts w:ascii="宋体" w:hAnsi="宋体" w:hint="eastAsia"/>
          <w:sz w:val="24"/>
          <w:szCs w:val="24"/>
        </w:rPr>
        <w:t>电话：</w:t>
      </w:r>
      <w:r>
        <w:rPr>
          <w:rFonts w:ascii="宋体" w:hAnsi="宋体"/>
          <w:sz w:val="24"/>
          <w:szCs w:val="24"/>
        </w:rPr>
        <w:t>4009-108-108</w:t>
      </w:r>
    </w:p>
    <w:p w14:paraId="5CDE335B" w14:textId="77777777" w:rsidR="000E48ED" w:rsidRDefault="003A7B23">
      <w:pPr>
        <w:snapToGrid w:val="0"/>
        <w:spacing w:line="360" w:lineRule="auto"/>
        <w:rPr>
          <w:rFonts w:ascii="宋体" w:hAnsi="宋体"/>
          <w:sz w:val="24"/>
          <w:szCs w:val="24"/>
        </w:rPr>
      </w:pPr>
      <w:r>
        <w:rPr>
          <w:rFonts w:ascii="宋体" w:hAnsi="宋体" w:hint="eastAsia"/>
          <w:sz w:val="24"/>
          <w:szCs w:val="24"/>
        </w:rPr>
        <w:t>传真：010-59100298</w:t>
      </w:r>
    </w:p>
    <w:p w14:paraId="5364FF40" w14:textId="77777777" w:rsidR="000E48ED" w:rsidRDefault="003A7B23">
      <w:pPr>
        <w:snapToGrid w:val="0"/>
        <w:spacing w:line="360" w:lineRule="auto"/>
        <w:rPr>
          <w:rFonts w:ascii="宋体" w:hAnsi="宋体"/>
          <w:sz w:val="24"/>
          <w:szCs w:val="24"/>
        </w:rPr>
      </w:pPr>
      <w:r>
        <w:rPr>
          <w:rFonts w:ascii="宋体" w:hAnsi="宋体" w:hint="eastAsia"/>
          <w:sz w:val="24"/>
          <w:szCs w:val="24"/>
        </w:rPr>
        <w:t>法定代表人：黄凌</w:t>
      </w:r>
    </w:p>
    <w:p w14:paraId="64A1283E" w14:textId="77777777" w:rsidR="000E48ED" w:rsidRDefault="000E48ED">
      <w:pPr>
        <w:snapToGrid w:val="0"/>
        <w:spacing w:line="360" w:lineRule="auto"/>
        <w:rPr>
          <w:rFonts w:ascii="宋体" w:hAnsi="宋体"/>
          <w:sz w:val="24"/>
          <w:szCs w:val="24"/>
        </w:rPr>
      </w:pPr>
    </w:p>
    <w:p w14:paraId="1591C53E" w14:textId="77777777" w:rsidR="000E48ED" w:rsidRDefault="000E48ED">
      <w:pPr>
        <w:snapToGrid w:val="0"/>
        <w:spacing w:line="360" w:lineRule="auto"/>
        <w:rPr>
          <w:rFonts w:ascii="宋体" w:hAnsi="宋体"/>
          <w:sz w:val="24"/>
          <w:szCs w:val="24"/>
        </w:rPr>
      </w:pPr>
    </w:p>
    <w:p w14:paraId="14489286" w14:textId="77777777" w:rsidR="000E48ED" w:rsidRDefault="003A7B23">
      <w:pPr>
        <w:tabs>
          <w:tab w:val="left" w:pos="5940"/>
        </w:tabs>
        <w:snapToGrid w:val="0"/>
        <w:spacing w:line="360" w:lineRule="auto"/>
        <w:rPr>
          <w:rFonts w:ascii="宋体" w:hAnsi="宋体"/>
          <w:b/>
          <w:sz w:val="24"/>
          <w:szCs w:val="24"/>
        </w:rPr>
      </w:pPr>
      <w:r>
        <w:rPr>
          <w:rFonts w:ascii="宋体" w:hAnsi="宋体" w:hint="eastAsia"/>
          <w:b/>
          <w:sz w:val="24"/>
          <w:szCs w:val="24"/>
        </w:rPr>
        <w:t xml:space="preserve">基金托管人：中信银行股份有限公司 </w:t>
      </w:r>
    </w:p>
    <w:p w14:paraId="3F29DE98" w14:textId="77777777" w:rsidR="000E48ED" w:rsidRDefault="003A7B23">
      <w:pPr>
        <w:spacing w:line="360" w:lineRule="auto"/>
        <w:rPr>
          <w:bCs/>
          <w:sz w:val="24"/>
        </w:rPr>
      </w:pPr>
      <w:r>
        <w:rPr>
          <w:rFonts w:ascii="宋体" w:hAnsi="宋体" w:hint="eastAsia"/>
          <w:sz w:val="24"/>
          <w:szCs w:val="24"/>
        </w:rPr>
        <w:t>住所：</w:t>
      </w:r>
      <w:r>
        <w:rPr>
          <w:rFonts w:hint="eastAsia"/>
          <w:bCs/>
          <w:sz w:val="24"/>
        </w:rPr>
        <w:t>北京市朝阳区光华路</w:t>
      </w:r>
      <w:r>
        <w:rPr>
          <w:rFonts w:hint="eastAsia"/>
          <w:bCs/>
          <w:sz w:val="24"/>
        </w:rPr>
        <w:t>10</w:t>
      </w:r>
      <w:r>
        <w:rPr>
          <w:rFonts w:hint="eastAsia"/>
          <w:bCs/>
          <w:sz w:val="24"/>
        </w:rPr>
        <w:t>号院</w:t>
      </w:r>
      <w:r>
        <w:rPr>
          <w:rFonts w:hint="eastAsia"/>
          <w:bCs/>
          <w:sz w:val="24"/>
        </w:rPr>
        <w:t>1</w:t>
      </w:r>
      <w:r>
        <w:rPr>
          <w:rFonts w:hint="eastAsia"/>
          <w:bCs/>
          <w:sz w:val="24"/>
        </w:rPr>
        <w:t>号楼</w:t>
      </w:r>
      <w:r>
        <w:rPr>
          <w:rFonts w:hint="eastAsia"/>
          <w:bCs/>
          <w:sz w:val="24"/>
        </w:rPr>
        <w:t>6-30</w:t>
      </w:r>
      <w:r>
        <w:rPr>
          <w:rFonts w:hint="eastAsia"/>
          <w:bCs/>
          <w:sz w:val="24"/>
        </w:rPr>
        <w:t>层、</w:t>
      </w:r>
      <w:r>
        <w:rPr>
          <w:rFonts w:hint="eastAsia"/>
          <w:bCs/>
          <w:sz w:val="24"/>
        </w:rPr>
        <w:t>32-42</w:t>
      </w:r>
      <w:r>
        <w:rPr>
          <w:rFonts w:hint="eastAsia"/>
          <w:bCs/>
          <w:sz w:val="24"/>
        </w:rPr>
        <w:t>层</w:t>
      </w:r>
    </w:p>
    <w:p w14:paraId="444D44BC" w14:textId="77777777" w:rsidR="000E48ED" w:rsidRDefault="003A7B23">
      <w:pPr>
        <w:snapToGrid w:val="0"/>
        <w:spacing w:line="360" w:lineRule="auto"/>
        <w:rPr>
          <w:rFonts w:ascii="宋体" w:hAnsi="宋体"/>
          <w:sz w:val="24"/>
          <w:szCs w:val="24"/>
        </w:rPr>
      </w:pPr>
      <w:r>
        <w:rPr>
          <w:rFonts w:ascii="宋体" w:hAnsi="宋体" w:hint="eastAsia"/>
          <w:sz w:val="24"/>
          <w:szCs w:val="24"/>
        </w:rPr>
        <w:t>邮政编码：</w:t>
      </w:r>
      <w:r>
        <w:rPr>
          <w:rFonts w:ascii="宋体" w:hAnsi="宋体"/>
          <w:sz w:val="24"/>
          <w:szCs w:val="24"/>
        </w:rPr>
        <w:t>100020</w:t>
      </w:r>
    </w:p>
    <w:p w14:paraId="6352C021" w14:textId="77777777" w:rsidR="000E48ED" w:rsidRDefault="003A7B23">
      <w:pPr>
        <w:snapToGrid w:val="0"/>
        <w:spacing w:line="360" w:lineRule="auto"/>
        <w:rPr>
          <w:rFonts w:ascii="宋体" w:hAnsi="宋体"/>
          <w:sz w:val="24"/>
          <w:szCs w:val="24"/>
        </w:rPr>
      </w:pPr>
      <w:r>
        <w:rPr>
          <w:rFonts w:ascii="宋体" w:hAnsi="宋体" w:hint="eastAsia"/>
          <w:sz w:val="24"/>
          <w:szCs w:val="24"/>
        </w:rPr>
        <w:t>电话：</w:t>
      </w:r>
      <w:r>
        <w:rPr>
          <w:rFonts w:ascii="宋体" w:hAnsi="宋体"/>
          <w:sz w:val="24"/>
          <w:szCs w:val="24"/>
        </w:rPr>
        <w:t>4006800000</w:t>
      </w:r>
    </w:p>
    <w:p w14:paraId="78A1980A" w14:textId="77777777" w:rsidR="000E48ED" w:rsidRDefault="003A7B23">
      <w:pPr>
        <w:snapToGrid w:val="0"/>
        <w:spacing w:line="360" w:lineRule="auto"/>
        <w:rPr>
          <w:rFonts w:ascii="宋体" w:hAnsi="宋体"/>
          <w:sz w:val="24"/>
          <w:szCs w:val="24"/>
        </w:rPr>
      </w:pPr>
      <w:r>
        <w:rPr>
          <w:rFonts w:ascii="宋体" w:hAnsi="宋体" w:hint="eastAsia"/>
          <w:sz w:val="24"/>
          <w:szCs w:val="24"/>
        </w:rPr>
        <w:t>传真：010-66639282</w:t>
      </w:r>
    </w:p>
    <w:p w14:paraId="6A52A09B" w14:textId="77777777" w:rsidR="000E48ED" w:rsidRDefault="003A7B23">
      <w:pPr>
        <w:snapToGrid w:val="0"/>
        <w:spacing w:line="360" w:lineRule="auto"/>
        <w:rPr>
          <w:rFonts w:ascii="宋体" w:hAnsi="宋体"/>
          <w:sz w:val="24"/>
          <w:szCs w:val="24"/>
        </w:rPr>
      </w:pPr>
      <w:r>
        <w:rPr>
          <w:rFonts w:ascii="宋体" w:hAnsi="宋体" w:hint="eastAsia"/>
          <w:sz w:val="24"/>
          <w:szCs w:val="24"/>
        </w:rPr>
        <w:t>法定代表人：</w:t>
      </w:r>
      <w:bookmarkStart w:id="10" w:name="_Hlk86416074"/>
      <w:r>
        <w:rPr>
          <w:rFonts w:hint="eastAsia"/>
          <w:bCs/>
          <w:sz w:val="24"/>
        </w:rPr>
        <w:t>朱鹤新</w:t>
      </w:r>
      <w:bookmarkEnd w:id="10"/>
    </w:p>
    <w:p w14:paraId="7EE84694" w14:textId="77777777" w:rsidR="000E48ED" w:rsidRDefault="000E48ED">
      <w:pPr>
        <w:snapToGrid w:val="0"/>
        <w:spacing w:line="360" w:lineRule="auto"/>
        <w:rPr>
          <w:rFonts w:ascii="宋体" w:hAnsi="宋体"/>
          <w:sz w:val="24"/>
          <w:szCs w:val="24"/>
        </w:rPr>
      </w:pPr>
    </w:p>
    <w:p w14:paraId="2FE887AA" w14:textId="77777777" w:rsidR="000E48ED" w:rsidRDefault="000E48ED">
      <w:pPr>
        <w:autoSpaceDE w:val="0"/>
        <w:autoSpaceDN w:val="0"/>
        <w:adjustRightInd w:val="0"/>
        <w:spacing w:line="520" w:lineRule="exact"/>
        <w:rPr>
          <w:rFonts w:ascii="宋体" w:hAnsi="宋体"/>
          <w:sz w:val="24"/>
          <w:szCs w:val="24"/>
        </w:rPr>
      </w:pPr>
    </w:p>
    <w:p w14:paraId="06A94DD1" w14:textId="77777777" w:rsidR="000E48ED" w:rsidRDefault="003A7B23">
      <w:pPr>
        <w:autoSpaceDE w:val="0"/>
        <w:autoSpaceDN w:val="0"/>
        <w:adjustRightInd w:val="0"/>
        <w:spacing w:line="520" w:lineRule="exact"/>
        <w:ind w:firstLineChars="200" w:firstLine="482"/>
        <w:rPr>
          <w:rFonts w:ascii="宋体" w:hAnsi="宋体"/>
          <w:b/>
          <w:sz w:val="24"/>
          <w:szCs w:val="24"/>
        </w:rPr>
      </w:pPr>
      <w:r>
        <w:rPr>
          <w:rFonts w:ascii="宋体" w:hAnsi="宋体" w:hint="eastAsia"/>
          <w:b/>
          <w:sz w:val="24"/>
          <w:szCs w:val="24"/>
        </w:rPr>
        <w:t>鉴于：</w:t>
      </w:r>
    </w:p>
    <w:p w14:paraId="281B023A"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1．中信</w:t>
      </w:r>
      <w:proofErr w:type="gramStart"/>
      <w:r>
        <w:rPr>
          <w:rFonts w:hAnsi="宋体" w:hint="eastAsia"/>
          <w:szCs w:val="24"/>
        </w:rPr>
        <w:t>建投基金</w:t>
      </w:r>
      <w:proofErr w:type="gramEnd"/>
      <w:r>
        <w:rPr>
          <w:rFonts w:hAnsi="宋体" w:hint="eastAsia"/>
          <w:szCs w:val="24"/>
        </w:rPr>
        <w:t>管理有限公司系一家依照中国法律合法成立并有效存续的有限责任公司，按照相关法律法规的规定具备担任基金管理人的资格和能力；</w:t>
      </w:r>
    </w:p>
    <w:p w14:paraId="2F31207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0AB86F2C" w14:textId="58DC9B0C" w:rsidR="000E48ED" w:rsidRDefault="003A7B23">
      <w:pPr>
        <w:pStyle w:val="20"/>
        <w:spacing w:before="0" w:after="0" w:line="520" w:lineRule="exact"/>
        <w:ind w:left="0" w:firstLineChars="200" w:firstLine="480"/>
        <w:rPr>
          <w:rFonts w:hAnsi="宋体"/>
          <w:szCs w:val="24"/>
        </w:rPr>
      </w:pPr>
      <w:r>
        <w:rPr>
          <w:rFonts w:hAnsi="宋体" w:hint="eastAsia"/>
          <w:szCs w:val="24"/>
        </w:rPr>
        <w:t>3.中信</w:t>
      </w:r>
      <w:proofErr w:type="gramStart"/>
      <w:r>
        <w:rPr>
          <w:rFonts w:hAnsi="宋体" w:hint="eastAsia"/>
          <w:szCs w:val="24"/>
        </w:rPr>
        <w:t>建投基金</w:t>
      </w:r>
      <w:proofErr w:type="gramEnd"/>
      <w:r>
        <w:rPr>
          <w:rFonts w:hAnsi="宋体" w:hint="eastAsia"/>
          <w:szCs w:val="24"/>
        </w:rPr>
        <w:t>管理有限公司拟担任中信</w:t>
      </w:r>
      <w:proofErr w:type="gramStart"/>
      <w:r>
        <w:rPr>
          <w:rFonts w:hAnsi="宋体" w:hint="eastAsia"/>
          <w:szCs w:val="24"/>
        </w:rPr>
        <w:t>建投</w:t>
      </w:r>
      <w:r w:rsidR="00A514E3">
        <w:rPr>
          <w:rFonts w:hAnsi="宋体" w:hint="eastAsia"/>
          <w:szCs w:val="24"/>
        </w:rPr>
        <w:t>景益</w:t>
      </w:r>
      <w:proofErr w:type="gramEnd"/>
      <w:r>
        <w:rPr>
          <w:rFonts w:hAnsi="宋体" w:hint="eastAsia"/>
          <w:szCs w:val="24"/>
        </w:rPr>
        <w:t>债券型证券投资基金的基金管理人，中信银行股份有限公司拟担任中信</w:t>
      </w:r>
      <w:proofErr w:type="gramStart"/>
      <w:r>
        <w:rPr>
          <w:rFonts w:hAnsi="宋体" w:hint="eastAsia"/>
          <w:szCs w:val="24"/>
        </w:rPr>
        <w:t>建投</w:t>
      </w:r>
      <w:r w:rsidR="00A514E3">
        <w:rPr>
          <w:rFonts w:hAnsi="宋体" w:hint="eastAsia"/>
          <w:szCs w:val="24"/>
        </w:rPr>
        <w:t>景益</w:t>
      </w:r>
      <w:proofErr w:type="gramEnd"/>
      <w:r>
        <w:rPr>
          <w:rFonts w:hAnsi="宋体" w:hint="eastAsia"/>
          <w:szCs w:val="24"/>
        </w:rPr>
        <w:t>债券型证券投资基金的基金托管人；</w:t>
      </w:r>
    </w:p>
    <w:p w14:paraId="608DA5F4"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中华人民共和国民法典》等法律法规以及相关规定，双方本着平等自愿、诚实守信的原则特签订本协议。</w:t>
      </w:r>
    </w:p>
    <w:p w14:paraId="3524599C"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若本基金实施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侧袋机制</w:t>
      </w:r>
      <w:proofErr w:type="gramEnd"/>
      <w:r>
        <w:rPr>
          <w:rFonts w:hAnsi="宋体" w:hint="eastAsia"/>
          <w:szCs w:val="24"/>
        </w:rPr>
        <w:t>实施期间的相关安排</w:t>
      </w:r>
      <w:proofErr w:type="gramStart"/>
      <w:r>
        <w:rPr>
          <w:rFonts w:hAnsi="宋体" w:hint="eastAsia"/>
          <w:szCs w:val="24"/>
        </w:rPr>
        <w:t>见基金</w:t>
      </w:r>
      <w:proofErr w:type="gramEnd"/>
      <w:r>
        <w:rPr>
          <w:rFonts w:hAnsi="宋体" w:hint="eastAsia"/>
          <w:szCs w:val="24"/>
        </w:rPr>
        <w:t>合同和招募说明书的规定。</w:t>
      </w:r>
    </w:p>
    <w:p w14:paraId="4E8E7297" w14:textId="77777777" w:rsidR="000E48ED" w:rsidRDefault="003A7B23">
      <w:pPr>
        <w:pStyle w:val="20"/>
        <w:spacing w:before="0" w:after="0" w:line="520" w:lineRule="exact"/>
        <w:ind w:left="0" w:firstLine="541"/>
        <w:rPr>
          <w:rFonts w:hAnsi="宋体"/>
          <w:b/>
          <w:bCs/>
          <w:szCs w:val="24"/>
        </w:rPr>
      </w:pPr>
      <w:r>
        <w:rPr>
          <w:rFonts w:hAnsi="宋体" w:hint="eastAsia"/>
          <w:b/>
          <w:bCs/>
          <w:szCs w:val="24"/>
        </w:rPr>
        <w:t>释义：</w:t>
      </w:r>
    </w:p>
    <w:p w14:paraId="49CED82E" w14:textId="4878409F" w:rsidR="000E48ED" w:rsidRDefault="003A7B23">
      <w:pPr>
        <w:pStyle w:val="20"/>
        <w:spacing w:before="0" w:after="0" w:line="520" w:lineRule="exact"/>
        <w:ind w:left="0" w:firstLineChars="200" w:firstLine="480"/>
        <w:rPr>
          <w:rFonts w:hAnsi="宋体"/>
          <w:szCs w:val="24"/>
        </w:rPr>
      </w:pPr>
      <w:r>
        <w:rPr>
          <w:rFonts w:hAnsi="宋体" w:hint="eastAsia"/>
          <w:szCs w:val="24"/>
        </w:rPr>
        <w:t>除非另有约定，《中信建投</w:t>
      </w:r>
      <w:r w:rsidR="00A514E3">
        <w:rPr>
          <w:rFonts w:hAnsi="宋体" w:hint="eastAsia"/>
          <w:szCs w:val="24"/>
        </w:rPr>
        <w:t>景益</w:t>
      </w:r>
      <w:r>
        <w:rPr>
          <w:rFonts w:hAnsi="宋体" w:hint="eastAsia"/>
          <w:szCs w:val="24"/>
        </w:rPr>
        <w:t>债券型证券投资基金基金合同》(以下简称“基金合同”)中定义的术语在用于本托管协议时应具有相同的含义；若有抵触应以基金合同为准，并依其条款解释。</w:t>
      </w:r>
    </w:p>
    <w:p w14:paraId="1F4847F0" w14:textId="77777777" w:rsidR="000E48ED" w:rsidRDefault="000E48ED">
      <w:pPr>
        <w:pStyle w:val="20"/>
        <w:spacing w:before="0" w:after="0" w:line="520" w:lineRule="exact"/>
        <w:ind w:left="0" w:firstLineChars="200" w:firstLine="480"/>
        <w:rPr>
          <w:rFonts w:hAnsi="宋体"/>
          <w:szCs w:val="24"/>
        </w:rPr>
      </w:pPr>
    </w:p>
    <w:p w14:paraId="32FC72E4" w14:textId="77777777" w:rsidR="000E48ED" w:rsidRDefault="003A7B23">
      <w:pPr>
        <w:pStyle w:val="1"/>
        <w:spacing w:line="520" w:lineRule="exact"/>
        <w:ind w:firstLineChars="200" w:firstLine="482"/>
        <w:rPr>
          <w:bCs/>
          <w:color w:val="auto"/>
          <w:szCs w:val="24"/>
        </w:rPr>
      </w:pPr>
      <w:bookmarkStart w:id="11" w:name="_Toc84945733"/>
      <w:r>
        <w:rPr>
          <w:rFonts w:hint="eastAsia"/>
          <w:bCs/>
          <w:color w:val="auto"/>
          <w:szCs w:val="24"/>
        </w:rPr>
        <w:t>第一条  基金</w:t>
      </w:r>
      <w:bookmarkStart w:id="12" w:name="_Toc296551337"/>
      <w:r>
        <w:rPr>
          <w:rFonts w:hint="eastAsia"/>
          <w:bCs/>
          <w:color w:val="auto"/>
          <w:szCs w:val="24"/>
        </w:rPr>
        <w:t>托管协议当事人</w:t>
      </w:r>
      <w:bookmarkEnd w:id="11"/>
    </w:p>
    <w:p w14:paraId="19D07138"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1.1基金</w:t>
      </w:r>
      <w:bookmarkEnd w:id="12"/>
      <w:r>
        <w:rPr>
          <w:rFonts w:hAnsi="宋体" w:hint="eastAsia"/>
          <w:szCs w:val="24"/>
        </w:rPr>
        <w:t>管理人：</w:t>
      </w:r>
    </w:p>
    <w:p w14:paraId="6C94236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名称：中信</w:t>
      </w:r>
      <w:proofErr w:type="gramStart"/>
      <w:r>
        <w:rPr>
          <w:rFonts w:hAnsi="宋体" w:hint="eastAsia"/>
          <w:szCs w:val="24"/>
        </w:rPr>
        <w:t>建投基金</w:t>
      </w:r>
      <w:proofErr w:type="gramEnd"/>
      <w:r>
        <w:rPr>
          <w:rFonts w:hAnsi="宋体" w:hint="eastAsia"/>
          <w:szCs w:val="24"/>
        </w:rPr>
        <w:t>管理有限公司</w:t>
      </w:r>
    </w:p>
    <w:p w14:paraId="0A1EC06C"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住所：</w:t>
      </w:r>
      <w:r>
        <w:rPr>
          <w:rFonts w:hint="eastAsia"/>
          <w:bCs/>
        </w:rPr>
        <w:t>北京市怀柔区桥梓镇八</w:t>
      </w:r>
      <w:proofErr w:type="gramStart"/>
      <w:r>
        <w:rPr>
          <w:rFonts w:hint="eastAsia"/>
          <w:bCs/>
        </w:rPr>
        <w:t>龙桥雅苑</w:t>
      </w:r>
      <w:proofErr w:type="gramEnd"/>
      <w:r>
        <w:rPr>
          <w:bCs/>
        </w:rPr>
        <w:t>3</w:t>
      </w:r>
      <w:r>
        <w:rPr>
          <w:rFonts w:hint="eastAsia"/>
          <w:bCs/>
        </w:rPr>
        <w:t>号楼</w:t>
      </w:r>
      <w:r>
        <w:rPr>
          <w:bCs/>
        </w:rPr>
        <w:t>1</w:t>
      </w:r>
      <w:r>
        <w:rPr>
          <w:rFonts w:hint="eastAsia"/>
          <w:bCs/>
        </w:rPr>
        <w:t>室</w:t>
      </w:r>
    </w:p>
    <w:p w14:paraId="58C8A3E8"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法定代表人：</w:t>
      </w:r>
      <w:r>
        <w:rPr>
          <w:rFonts w:hint="eastAsia"/>
          <w:bCs/>
        </w:rPr>
        <w:t>黄凌</w:t>
      </w:r>
    </w:p>
    <w:p w14:paraId="2444EFB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成立时间：</w:t>
      </w:r>
      <w:r>
        <w:rPr>
          <w:bCs/>
        </w:rPr>
        <w:t>2013</w:t>
      </w:r>
      <w:r>
        <w:rPr>
          <w:rFonts w:hint="eastAsia"/>
          <w:bCs/>
        </w:rPr>
        <w:t>年</w:t>
      </w:r>
      <w:r>
        <w:rPr>
          <w:bCs/>
        </w:rPr>
        <w:t>9</w:t>
      </w:r>
      <w:r>
        <w:rPr>
          <w:rFonts w:hint="eastAsia"/>
          <w:bCs/>
        </w:rPr>
        <w:t>月</w:t>
      </w:r>
      <w:r>
        <w:rPr>
          <w:bCs/>
        </w:rPr>
        <w:t>9</w:t>
      </w:r>
      <w:r>
        <w:rPr>
          <w:rFonts w:hint="eastAsia"/>
          <w:bCs/>
        </w:rPr>
        <w:t>日</w:t>
      </w:r>
    </w:p>
    <w:p w14:paraId="03AD4A0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批准设立机关：</w:t>
      </w:r>
      <w:r>
        <w:rPr>
          <w:rFonts w:hint="eastAsia"/>
          <w:bCs/>
        </w:rPr>
        <w:t>中国证监会</w:t>
      </w:r>
    </w:p>
    <w:p w14:paraId="29FD9C6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批准设立文号：</w:t>
      </w:r>
      <w:r>
        <w:rPr>
          <w:rFonts w:hint="eastAsia"/>
          <w:bCs/>
        </w:rPr>
        <w:t>证监许可〔</w:t>
      </w:r>
      <w:r>
        <w:rPr>
          <w:bCs/>
        </w:rPr>
        <w:t>2013</w:t>
      </w:r>
      <w:r>
        <w:rPr>
          <w:rFonts w:hint="eastAsia"/>
          <w:bCs/>
        </w:rPr>
        <w:t>〕</w:t>
      </w:r>
      <w:r>
        <w:rPr>
          <w:bCs/>
        </w:rPr>
        <w:t>1108</w:t>
      </w:r>
      <w:r>
        <w:rPr>
          <w:rFonts w:hint="eastAsia"/>
          <w:bCs/>
        </w:rPr>
        <w:t>号</w:t>
      </w:r>
    </w:p>
    <w:p w14:paraId="0165D53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组织形式：</w:t>
      </w:r>
      <w:r>
        <w:rPr>
          <w:rFonts w:hint="eastAsia"/>
          <w:bCs/>
        </w:rPr>
        <w:t>有限责任公司</w:t>
      </w:r>
    </w:p>
    <w:p w14:paraId="3AB06E0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注册资本：</w:t>
      </w:r>
      <w:r>
        <w:rPr>
          <w:rFonts w:hint="eastAsia"/>
          <w:bCs/>
        </w:rPr>
        <w:t>30</w:t>
      </w:r>
      <w:r>
        <w:rPr>
          <w:bCs/>
        </w:rPr>
        <w:t>000</w:t>
      </w:r>
      <w:r>
        <w:rPr>
          <w:rFonts w:hint="eastAsia"/>
          <w:bCs/>
        </w:rPr>
        <w:t>万元人民币</w:t>
      </w:r>
    </w:p>
    <w:p w14:paraId="1D78CE7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经营范围：基金募集、基金销售、特定客户资产管理、资产管理和中国证监会许可的其他业务</w:t>
      </w:r>
    </w:p>
    <w:p w14:paraId="3E968A9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存续期间：</w:t>
      </w:r>
      <w:r>
        <w:rPr>
          <w:rFonts w:hint="eastAsia"/>
          <w:bCs/>
        </w:rPr>
        <w:t>永久存续</w:t>
      </w:r>
    </w:p>
    <w:p w14:paraId="304ED1DD"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1.2基金托管人：</w:t>
      </w:r>
    </w:p>
    <w:p w14:paraId="5AD5E86B" w14:textId="77777777" w:rsidR="000E48ED" w:rsidRDefault="003A7B23">
      <w:pPr>
        <w:pStyle w:val="20"/>
        <w:spacing w:before="0" w:after="0" w:line="520" w:lineRule="exact"/>
        <w:ind w:left="0" w:firstLineChars="200" w:firstLine="480"/>
        <w:rPr>
          <w:rFonts w:hAnsi="宋体"/>
          <w:szCs w:val="24"/>
        </w:rPr>
      </w:pPr>
      <w:bookmarkStart w:id="13" w:name="_Hlk86416144"/>
      <w:r>
        <w:rPr>
          <w:rFonts w:hAnsi="宋体" w:hint="eastAsia"/>
          <w:szCs w:val="24"/>
        </w:rPr>
        <w:t>名称：中信银行股份有限公司</w:t>
      </w:r>
    </w:p>
    <w:p w14:paraId="5B42489B"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住所：</w:t>
      </w:r>
      <w:r>
        <w:rPr>
          <w:rFonts w:hint="eastAsia"/>
          <w:bCs/>
        </w:rPr>
        <w:t>北京市朝阳区光华路10号院1号楼6-30层、32-42层</w:t>
      </w:r>
    </w:p>
    <w:p w14:paraId="18E8463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法定代表人：</w:t>
      </w:r>
      <w:r>
        <w:rPr>
          <w:rFonts w:hint="eastAsia"/>
          <w:bCs/>
        </w:rPr>
        <w:t>朱鹤新</w:t>
      </w:r>
    </w:p>
    <w:p w14:paraId="21D97E2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2FC9420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批准设立机关和批准设立文号：中华人民共和国国务院办公厅国办函[1987]14号</w:t>
      </w:r>
    </w:p>
    <w:p w14:paraId="56F8138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基金托管业务批准文号：</w:t>
      </w:r>
      <w:proofErr w:type="gramStart"/>
      <w:r>
        <w:rPr>
          <w:rFonts w:hAnsi="宋体" w:hint="eastAsia"/>
          <w:szCs w:val="24"/>
        </w:rPr>
        <w:t>证监基字</w:t>
      </w:r>
      <w:proofErr w:type="gramEnd"/>
      <w:r>
        <w:rPr>
          <w:rFonts w:hAnsi="宋体" w:hint="eastAsia"/>
          <w:szCs w:val="24"/>
        </w:rPr>
        <w:t>[2004]125号</w:t>
      </w:r>
    </w:p>
    <w:p w14:paraId="06116F2C"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组织形式：股份有限公司</w:t>
      </w:r>
    </w:p>
    <w:p w14:paraId="65E291A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注册资本：489.35亿元人民币</w:t>
      </w:r>
    </w:p>
    <w:p w14:paraId="3FFA5CA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存续期间：持续经营</w:t>
      </w:r>
    </w:p>
    <w:p w14:paraId="02C15A3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bookmarkEnd w:id="13"/>
    <w:p w14:paraId="4EAEF13B" w14:textId="77777777" w:rsidR="000E48ED" w:rsidRDefault="000E48ED">
      <w:pPr>
        <w:pStyle w:val="20"/>
        <w:spacing w:before="0" w:after="0" w:line="520" w:lineRule="exact"/>
        <w:ind w:left="0" w:firstLineChars="200" w:firstLine="480"/>
        <w:rPr>
          <w:rFonts w:hAnsi="宋体"/>
          <w:szCs w:val="24"/>
        </w:rPr>
      </w:pPr>
    </w:p>
    <w:p w14:paraId="28694AF1" w14:textId="77777777" w:rsidR="000E48ED" w:rsidRDefault="003A7B23">
      <w:pPr>
        <w:pStyle w:val="1"/>
        <w:spacing w:line="520" w:lineRule="exact"/>
        <w:ind w:firstLineChars="200" w:firstLine="482"/>
        <w:rPr>
          <w:bCs/>
          <w:color w:val="auto"/>
          <w:szCs w:val="24"/>
        </w:rPr>
      </w:pPr>
      <w:bookmarkStart w:id="14" w:name="_Toc84945734"/>
      <w:r>
        <w:rPr>
          <w:rFonts w:hint="eastAsia"/>
          <w:bCs/>
          <w:color w:val="auto"/>
          <w:szCs w:val="24"/>
        </w:rPr>
        <w:t>第二条  基金</w:t>
      </w:r>
      <w:bookmarkStart w:id="15" w:name="_Toc296551338"/>
      <w:r>
        <w:rPr>
          <w:rFonts w:hint="eastAsia"/>
          <w:bCs/>
          <w:color w:val="auto"/>
          <w:szCs w:val="24"/>
        </w:rPr>
        <w:t>托管协议的依据、目的和原则</w:t>
      </w:r>
      <w:bookmarkEnd w:id="14"/>
    </w:p>
    <w:p w14:paraId="6A6CB63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2.1基金</w:t>
      </w:r>
      <w:bookmarkEnd w:id="15"/>
      <w:r>
        <w:rPr>
          <w:rFonts w:hAnsi="宋体" w:hint="eastAsia"/>
          <w:szCs w:val="24"/>
        </w:rPr>
        <w:t>托管协议的依据</w:t>
      </w:r>
    </w:p>
    <w:p w14:paraId="67987FA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订立本协议的依据是《中华人民共和国民法典》、《中华人民共和国证券投资基金法》（以下简称“《基金法》”）、《公开募集证券投资基金运作管理办法》（以下简称“《运作办法》”）、《</w:t>
      </w:r>
      <w:r>
        <w:rPr>
          <w:rFonts w:hint="eastAsia"/>
          <w:bCs/>
        </w:rPr>
        <w:t>公开募集证券投资基金销售机构监督管理办法</w:t>
      </w:r>
      <w:r>
        <w:rPr>
          <w:rFonts w:hAnsi="宋体" w:hint="eastAsia"/>
          <w:szCs w:val="24"/>
        </w:rPr>
        <w:t>》（以下简称“《销售办法》”）、《公开募集证券投资基金信息披露管理办法》（以下简称“《信息披露办法》”）、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《证券投资基金信息披露内容与格式准则第7号〈托管协议的内容与格式〉》基金合同及其他有关规定。</w:t>
      </w:r>
    </w:p>
    <w:p w14:paraId="606611AB"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2.2基金托管协议的目的</w:t>
      </w:r>
    </w:p>
    <w:p w14:paraId="46C0AB7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87E754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2.3基金托管协议的原则</w:t>
      </w:r>
    </w:p>
    <w:p w14:paraId="5666137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基金管理人和基金托管人本着平等自愿、诚实信用、充分保护基金份额持有人</w:t>
      </w:r>
      <w:r>
        <w:rPr>
          <w:rFonts w:hAnsi="宋体" w:hint="eastAsia"/>
          <w:szCs w:val="24"/>
        </w:rPr>
        <w:lastRenderedPageBreak/>
        <w:t>合法权益的原则，经协商一致，签订本协议。</w:t>
      </w:r>
    </w:p>
    <w:p w14:paraId="25057A93" w14:textId="77777777" w:rsidR="000E48ED" w:rsidRDefault="000E48ED">
      <w:pPr>
        <w:pStyle w:val="20"/>
        <w:spacing w:before="0" w:after="0" w:line="360" w:lineRule="auto"/>
        <w:ind w:left="0" w:firstLineChars="200" w:firstLine="480"/>
        <w:rPr>
          <w:rFonts w:hAnsi="宋体"/>
          <w:szCs w:val="24"/>
        </w:rPr>
      </w:pPr>
    </w:p>
    <w:p w14:paraId="5E3C11AC" w14:textId="77777777" w:rsidR="000E48ED" w:rsidRDefault="003A7B23">
      <w:pPr>
        <w:pStyle w:val="1"/>
        <w:ind w:firstLineChars="200" w:firstLine="482"/>
        <w:rPr>
          <w:bCs/>
          <w:color w:val="auto"/>
          <w:szCs w:val="24"/>
        </w:rPr>
      </w:pPr>
      <w:bookmarkStart w:id="16" w:name="_Toc84945735"/>
      <w:r>
        <w:rPr>
          <w:rFonts w:hint="eastAsia"/>
          <w:bCs/>
          <w:color w:val="auto"/>
          <w:szCs w:val="24"/>
        </w:rPr>
        <w:t>第三条  基金</w:t>
      </w:r>
      <w:bookmarkStart w:id="17" w:name="_Toc296551339"/>
      <w:r>
        <w:rPr>
          <w:rFonts w:hint="eastAsia"/>
          <w:bCs/>
          <w:color w:val="auto"/>
          <w:szCs w:val="24"/>
        </w:rPr>
        <w:t>托管人对基金管理人的业务监督和核查</w:t>
      </w:r>
      <w:bookmarkEnd w:id="16"/>
    </w:p>
    <w:p w14:paraId="417EDD22"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3.1基金</w:t>
      </w:r>
      <w:bookmarkEnd w:id="17"/>
      <w:r>
        <w:rPr>
          <w:rFonts w:hAnsi="宋体" w:hint="eastAsia"/>
          <w:szCs w:val="24"/>
        </w:rPr>
        <w:t>托管人对基金管理人的投资行为行使监督权</w:t>
      </w:r>
    </w:p>
    <w:p w14:paraId="3AF63F89"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3.1.1</w:t>
      </w:r>
      <w:bookmarkStart w:id="18" w:name="_Hlk86416217"/>
      <w:r>
        <w:rPr>
          <w:rFonts w:hAnsi="宋体" w:hint="eastAsia"/>
          <w:szCs w:val="24"/>
        </w:rPr>
        <w:t>基金托管人根据有关法律法规的规定和基金合同的约定，对下述基金投资范围、投资对象进行监督。本基金将投资于以下金融工具：</w:t>
      </w:r>
    </w:p>
    <w:p w14:paraId="13F050FA" w14:textId="77777777" w:rsidR="00A514E3" w:rsidRPr="00A514E3" w:rsidRDefault="00A514E3" w:rsidP="006E54F2">
      <w:pPr>
        <w:pStyle w:val="20"/>
        <w:spacing w:line="360" w:lineRule="auto"/>
        <w:ind w:left="0" w:firstLineChars="200" w:firstLine="480"/>
        <w:rPr>
          <w:rFonts w:ascii="Times New Roman"/>
          <w:bCs/>
          <w:color w:val="000000"/>
        </w:rPr>
      </w:pPr>
      <w:bookmarkStart w:id="19" w:name="_Hlk57800864"/>
      <w:r w:rsidRPr="00A514E3">
        <w:rPr>
          <w:rFonts w:ascii="Times New Roman" w:hint="eastAsia"/>
          <w:bCs/>
          <w:color w:val="000000"/>
        </w:rPr>
        <w:t>本基金的投资范围主要为具有良好流动性的金融工具，包括债券（国债、央行票据、金融债、地方政府债、政府支持债券、政府支持机构债券、企业债、公司债、中期票据、短期融资</w:t>
      </w:r>
      <w:proofErr w:type="gramStart"/>
      <w:r w:rsidRPr="00A514E3">
        <w:rPr>
          <w:rFonts w:ascii="Times New Roman" w:hint="eastAsia"/>
          <w:bCs/>
          <w:color w:val="000000"/>
        </w:rPr>
        <w:t>券</w:t>
      </w:r>
      <w:proofErr w:type="gramEnd"/>
      <w:r w:rsidRPr="00A514E3">
        <w:rPr>
          <w:rFonts w:ascii="Times New Roman" w:hint="eastAsia"/>
          <w:bCs/>
          <w:color w:val="000000"/>
        </w:rPr>
        <w:t>、超短期融资</w:t>
      </w:r>
      <w:proofErr w:type="gramStart"/>
      <w:r w:rsidRPr="00A514E3">
        <w:rPr>
          <w:rFonts w:ascii="Times New Roman" w:hint="eastAsia"/>
          <w:bCs/>
          <w:color w:val="000000"/>
        </w:rPr>
        <w:t>券</w:t>
      </w:r>
      <w:proofErr w:type="gramEnd"/>
      <w:r w:rsidRPr="00A514E3">
        <w:rPr>
          <w:rFonts w:ascii="Times New Roman" w:hint="eastAsia"/>
          <w:bCs/>
          <w:color w:val="000000"/>
        </w:rPr>
        <w:t>、</w:t>
      </w:r>
      <w:r w:rsidR="00AD25DC">
        <w:rPr>
          <w:rFonts w:ascii="Times New Roman" w:hint="eastAsia"/>
          <w:bCs/>
          <w:color w:val="000000"/>
        </w:rPr>
        <w:t>公开发行的</w:t>
      </w:r>
      <w:r w:rsidRPr="00A514E3">
        <w:rPr>
          <w:rFonts w:ascii="Times New Roman" w:hint="eastAsia"/>
          <w:bCs/>
          <w:color w:val="000000"/>
        </w:rPr>
        <w:t>次级债券、可分离交易可转债</w:t>
      </w:r>
      <w:proofErr w:type="gramStart"/>
      <w:r w:rsidRPr="00A514E3">
        <w:rPr>
          <w:rFonts w:ascii="Times New Roman" w:hint="eastAsia"/>
          <w:bCs/>
          <w:color w:val="000000"/>
        </w:rPr>
        <w:t>的纯债部分</w:t>
      </w:r>
      <w:proofErr w:type="gramEnd"/>
      <w:r w:rsidRPr="00A514E3">
        <w:rPr>
          <w:rFonts w:ascii="Times New Roman" w:hint="eastAsia"/>
          <w:bCs/>
          <w:color w:val="000000"/>
        </w:rPr>
        <w:t>、证券公司短期公司债券及其他经中国证监会允许投资的债券）、资产支持证券、债券回购、银行存款（包括协议存款、定期存款以及其他银行存款）、货币市场工具、同业存单、国债期货以及法律法规或中国证监会允许基金投资的其他金融工具（但须符合中国证监会相关规定）。</w:t>
      </w:r>
    </w:p>
    <w:p w14:paraId="055F3102" w14:textId="77777777" w:rsidR="00A514E3" w:rsidRPr="00A514E3" w:rsidRDefault="00A514E3" w:rsidP="006E54F2">
      <w:pPr>
        <w:pStyle w:val="20"/>
        <w:spacing w:line="360" w:lineRule="auto"/>
        <w:ind w:left="0" w:firstLineChars="200" w:firstLine="480"/>
        <w:rPr>
          <w:rFonts w:ascii="Times New Roman"/>
          <w:bCs/>
          <w:color w:val="000000"/>
        </w:rPr>
      </w:pPr>
      <w:r w:rsidRPr="00A514E3">
        <w:rPr>
          <w:rFonts w:ascii="Times New Roman" w:hint="eastAsia"/>
          <w:bCs/>
          <w:color w:val="000000"/>
        </w:rPr>
        <w:t>本基金不投资股票、可转换债券（可分离交易可转债的</w:t>
      </w:r>
      <w:proofErr w:type="gramStart"/>
      <w:r w:rsidRPr="00A514E3">
        <w:rPr>
          <w:rFonts w:ascii="Times New Roman" w:hint="eastAsia"/>
          <w:bCs/>
          <w:color w:val="000000"/>
        </w:rPr>
        <w:t>纯债部分</w:t>
      </w:r>
      <w:proofErr w:type="gramEnd"/>
      <w:r w:rsidRPr="00A514E3">
        <w:rPr>
          <w:rFonts w:ascii="Times New Roman" w:hint="eastAsia"/>
          <w:bCs/>
          <w:color w:val="000000"/>
        </w:rPr>
        <w:t>除外）和可交换债券。</w:t>
      </w:r>
    </w:p>
    <w:p w14:paraId="2FE7D752" w14:textId="41D2973E" w:rsidR="00A514E3" w:rsidRPr="00A514E3" w:rsidRDefault="00A514E3" w:rsidP="006E54F2">
      <w:pPr>
        <w:pStyle w:val="20"/>
        <w:spacing w:line="360" w:lineRule="auto"/>
        <w:ind w:left="0" w:firstLineChars="200" w:firstLine="480"/>
        <w:rPr>
          <w:rFonts w:ascii="Times New Roman"/>
          <w:bCs/>
          <w:color w:val="000000"/>
        </w:rPr>
      </w:pPr>
      <w:r w:rsidRPr="00A514E3">
        <w:rPr>
          <w:rFonts w:ascii="Times New Roman" w:hint="eastAsia"/>
          <w:bCs/>
          <w:color w:val="000000"/>
        </w:rPr>
        <w:t>本基金主动投资的信用债</w:t>
      </w:r>
      <w:r w:rsidR="00AD25DC">
        <w:rPr>
          <w:rFonts w:ascii="Times New Roman" w:hint="eastAsia"/>
          <w:bCs/>
          <w:color w:val="000000"/>
        </w:rPr>
        <w:t>及资产支持证券</w:t>
      </w:r>
      <w:r w:rsidRPr="00A514E3">
        <w:rPr>
          <w:rFonts w:ascii="Times New Roman" w:hint="eastAsia"/>
          <w:bCs/>
          <w:color w:val="000000"/>
        </w:rPr>
        <w:t>的信用评级为</w:t>
      </w:r>
      <w:r w:rsidRPr="00A514E3">
        <w:rPr>
          <w:rFonts w:ascii="Times New Roman" w:hint="eastAsia"/>
          <w:bCs/>
          <w:color w:val="000000"/>
        </w:rPr>
        <w:t>AA+</w:t>
      </w:r>
      <w:r w:rsidRPr="00A514E3">
        <w:rPr>
          <w:rFonts w:ascii="Times New Roman" w:hint="eastAsia"/>
          <w:bCs/>
          <w:color w:val="000000"/>
        </w:rPr>
        <w:t>（含）及以上，本基金投资信用债将遵循以下比例限制</w:t>
      </w:r>
      <w:r w:rsidR="004E7EE8" w:rsidRPr="009B7F0B">
        <w:rPr>
          <w:rFonts w:hint="eastAsia"/>
          <w:bCs/>
          <w:color w:val="000000"/>
        </w:rPr>
        <w:t>（亦适用于资产支持证券）</w:t>
      </w:r>
      <w:r w:rsidRPr="00A514E3">
        <w:rPr>
          <w:rFonts w:ascii="Times New Roman" w:hint="eastAsia"/>
          <w:bCs/>
          <w:color w:val="000000"/>
        </w:rPr>
        <w:t>：</w:t>
      </w:r>
    </w:p>
    <w:p w14:paraId="6C3C241A" w14:textId="77777777" w:rsidR="00A514E3" w:rsidRPr="00A514E3" w:rsidRDefault="00A514E3" w:rsidP="006E54F2">
      <w:pPr>
        <w:pStyle w:val="20"/>
        <w:spacing w:line="360" w:lineRule="auto"/>
        <w:ind w:left="0" w:firstLineChars="200" w:firstLine="480"/>
        <w:rPr>
          <w:rFonts w:ascii="Times New Roman"/>
          <w:bCs/>
          <w:color w:val="000000"/>
        </w:rPr>
      </w:pPr>
      <w:r w:rsidRPr="00A514E3">
        <w:rPr>
          <w:rFonts w:ascii="Times New Roman" w:hint="eastAsia"/>
          <w:bCs/>
          <w:color w:val="000000"/>
        </w:rPr>
        <w:t>①本基金投资于</w:t>
      </w:r>
      <w:r w:rsidRPr="00A514E3">
        <w:rPr>
          <w:rFonts w:ascii="Times New Roman" w:hint="eastAsia"/>
          <w:bCs/>
          <w:color w:val="000000"/>
        </w:rPr>
        <w:t>AA+</w:t>
      </w:r>
      <w:r w:rsidRPr="00A514E3">
        <w:rPr>
          <w:rFonts w:ascii="Times New Roman" w:hint="eastAsia"/>
          <w:bCs/>
          <w:color w:val="000000"/>
        </w:rPr>
        <w:t>评级信用债的比例不高于信用债持仓的</w:t>
      </w:r>
      <w:r w:rsidRPr="00A514E3">
        <w:rPr>
          <w:rFonts w:ascii="Times New Roman" w:hint="eastAsia"/>
          <w:bCs/>
          <w:color w:val="000000"/>
        </w:rPr>
        <w:t>50%</w:t>
      </w:r>
      <w:r w:rsidRPr="00A514E3">
        <w:rPr>
          <w:rFonts w:ascii="Times New Roman" w:hint="eastAsia"/>
          <w:bCs/>
          <w:color w:val="000000"/>
        </w:rPr>
        <w:t>；②本基金投资于</w:t>
      </w:r>
      <w:r w:rsidRPr="00A514E3">
        <w:rPr>
          <w:rFonts w:ascii="Times New Roman" w:hint="eastAsia"/>
          <w:bCs/>
          <w:color w:val="000000"/>
        </w:rPr>
        <w:t>AAA</w:t>
      </w:r>
      <w:r w:rsidRPr="00A514E3">
        <w:rPr>
          <w:rFonts w:ascii="Times New Roman" w:hint="eastAsia"/>
          <w:bCs/>
          <w:color w:val="000000"/>
        </w:rPr>
        <w:t>评级信用债的比例不低于信用债持仓的</w:t>
      </w:r>
      <w:r w:rsidRPr="00A514E3">
        <w:rPr>
          <w:rFonts w:ascii="Times New Roman" w:hint="eastAsia"/>
          <w:bCs/>
          <w:color w:val="000000"/>
        </w:rPr>
        <w:t>50%</w:t>
      </w:r>
      <w:r w:rsidRPr="00A514E3">
        <w:rPr>
          <w:rFonts w:ascii="Times New Roman" w:hint="eastAsia"/>
          <w:bCs/>
          <w:color w:val="000000"/>
        </w:rPr>
        <w:t>。</w:t>
      </w:r>
    </w:p>
    <w:p w14:paraId="5A41E5F1" w14:textId="1BFEF68B" w:rsidR="00A514E3" w:rsidRPr="00A514E3" w:rsidRDefault="00A514E3" w:rsidP="006E54F2">
      <w:pPr>
        <w:pStyle w:val="20"/>
        <w:spacing w:line="360" w:lineRule="auto"/>
        <w:ind w:left="0" w:firstLineChars="200" w:firstLine="480"/>
        <w:rPr>
          <w:rFonts w:ascii="Times New Roman"/>
          <w:bCs/>
          <w:color w:val="000000"/>
        </w:rPr>
      </w:pPr>
      <w:r w:rsidRPr="00A514E3">
        <w:rPr>
          <w:rFonts w:ascii="Times New Roman" w:hint="eastAsia"/>
          <w:bCs/>
          <w:color w:val="000000"/>
        </w:rPr>
        <w:t>本基金持有信用债券期间，如果其评级下降、基金规模变动、变现信用</w:t>
      </w:r>
      <w:proofErr w:type="gramStart"/>
      <w:r w:rsidRPr="00A514E3">
        <w:rPr>
          <w:rFonts w:ascii="Times New Roman" w:hint="eastAsia"/>
          <w:bCs/>
          <w:color w:val="000000"/>
        </w:rPr>
        <w:t>债支付</w:t>
      </w:r>
      <w:proofErr w:type="gramEnd"/>
      <w:r w:rsidRPr="00A514E3">
        <w:rPr>
          <w:rFonts w:ascii="Times New Roman" w:hint="eastAsia"/>
          <w:bCs/>
          <w:color w:val="000000"/>
        </w:rPr>
        <w:t>赎回款项、出现信用风险调整持仓等使得信用债投资不再符合上述约定，应在</w:t>
      </w:r>
      <w:r w:rsidRPr="00A514E3">
        <w:rPr>
          <w:rFonts w:ascii="Times New Roman" w:hint="eastAsia"/>
          <w:bCs/>
          <w:color w:val="000000"/>
        </w:rPr>
        <w:t>3</w:t>
      </w:r>
      <w:r w:rsidRPr="00A514E3">
        <w:rPr>
          <w:rFonts w:ascii="Times New Roman" w:hint="eastAsia"/>
          <w:bCs/>
          <w:color w:val="000000"/>
        </w:rPr>
        <w:t>个月内调整至符合约定。本基金对信用债券评级的认定参照基金管理人选定的评级机构出具的债券信用评级。</w:t>
      </w:r>
      <w:r w:rsidR="001116EB" w:rsidRPr="001116EB">
        <w:rPr>
          <w:rFonts w:ascii="Times New Roman" w:hint="eastAsia"/>
          <w:bCs/>
          <w:color w:val="000000"/>
        </w:rPr>
        <w:t>本基金投资的短期融资</w:t>
      </w:r>
      <w:proofErr w:type="gramStart"/>
      <w:r w:rsidR="001116EB" w:rsidRPr="001116EB">
        <w:rPr>
          <w:rFonts w:ascii="Times New Roman" w:hint="eastAsia"/>
          <w:bCs/>
          <w:color w:val="000000"/>
        </w:rPr>
        <w:t>券</w:t>
      </w:r>
      <w:proofErr w:type="gramEnd"/>
      <w:r w:rsidR="001116EB" w:rsidRPr="001116EB">
        <w:rPr>
          <w:rFonts w:ascii="Times New Roman" w:hint="eastAsia"/>
          <w:bCs/>
          <w:color w:val="000000"/>
        </w:rPr>
        <w:t>、超短期融资</w:t>
      </w:r>
      <w:proofErr w:type="gramStart"/>
      <w:r w:rsidR="001116EB" w:rsidRPr="001116EB">
        <w:rPr>
          <w:rFonts w:ascii="Times New Roman" w:hint="eastAsia"/>
          <w:bCs/>
          <w:color w:val="000000"/>
        </w:rPr>
        <w:t>券</w:t>
      </w:r>
      <w:proofErr w:type="gramEnd"/>
      <w:r w:rsidR="001116EB" w:rsidRPr="001116EB">
        <w:rPr>
          <w:rFonts w:ascii="Times New Roman" w:hint="eastAsia"/>
          <w:bCs/>
          <w:color w:val="000000"/>
        </w:rPr>
        <w:t>的信用评级采用主体评级；其他信用债的信用评级采用债项评级，无债项评级的参照主体信用评级</w:t>
      </w:r>
      <w:r w:rsidRPr="00A514E3">
        <w:rPr>
          <w:rFonts w:ascii="Times New Roman" w:hint="eastAsia"/>
          <w:bCs/>
          <w:color w:val="000000"/>
        </w:rPr>
        <w:t>。</w:t>
      </w:r>
      <w:r w:rsidR="00AD25DC">
        <w:rPr>
          <w:rFonts w:ascii="Times New Roman" w:hint="eastAsia"/>
          <w:bCs/>
          <w:color w:val="000000"/>
        </w:rPr>
        <w:t>前述安排亦适用于资产支持证券。</w:t>
      </w:r>
    </w:p>
    <w:p w14:paraId="2D1F28FE" w14:textId="77777777" w:rsidR="00A514E3" w:rsidRPr="00A514E3" w:rsidRDefault="00A514E3" w:rsidP="006E54F2">
      <w:pPr>
        <w:pStyle w:val="20"/>
        <w:spacing w:line="360" w:lineRule="auto"/>
        <w:ind w:left="0" w:firstLineChars="200" w:firstLine="480"/>
        <w:rPr>
          <w:rFonts w:ascii="Times New Roman"/>
          <w:bCs/>
          <w:color w:val="000000"/>
        </w:rPr>
      </w:pPr>
      <w:r w:rsidRPr="00A514E3">
        <w:rPr>
          <w:rFonts w:ascii="Times New Roman" w:hint="eastAsia"/>
          <w:bCs/>
          <w:color w:val="000000"/>
        </w:rPr>
        <w:t>本基金所指信用</w:t>
      </w:r>
      <w:proofErr w:type="gramStart"/>
      <w:r w:rsidRPr="00A514E3">
        <w:rPr>
          <w:rFonts w:ascii="Times New Roman" w:hint="eastAsia"/>
          <w:bCs/>
          <w:color w:val="000000"/>
        </w:rPr>
        <w:t>债一般</w:t>
      </w:r>
      <w:proofErr w:type="gramEnd"/>
      <w:r w:rsidRPr="00A514E3">
        <w:rPr>
          <w:rFonts w:ascii="Times New Roman" w:hint="eastAsia"/>
          <w:bCs/>
          <w:color w:val="000000"/>
        </w:rPr>
        <w:t>是指除国债、央行票据和政策性金融债之外的非国家信用的固定收益类金融工具。</w:t>
      </w:r>
    </w:p>
    <w:p w14:paraId="1F7454F8" w14:textId="77777777" w:rsidR="00A514E3" w:rsidRPr="00A514E3" w:rsidRDefault="00A514E3" w:rsidP="006E54F2">
      <w:pPr>
        <w:pStyle w:val="20"/>
        <w:spacing w:line="360" w:lineRule="auto"/>
        <w:ind w:left="0" w:firstLineChars="200" w:firstLine="480"/>
        <w:rPr>
          <w:rFonts w:ascii="Times New Roman"/>
          <w:bCs/>
          <w:color w:val="000000"/>
        </w:rPr>
      </w:pPr>
      <w:r w:rsidRPr="00A514E3">
        <w:rPr>
          <w:rFonts w:ascii="Times New Roman" w:hint="eastAsia"/>
          <w:bCs/>
          <w:color w:val="000000"/>
        </w:rPr>
        <w:t>如法律法规或监管机构以后允许基金投资其他品种，基金管理人在履行适当程序后，可以将其纳入投资范围。</w:t>
      </w:r>
    </w:p>
    <w:p w14:paraId="4CEC6684" w14:textId="77777777" w:rsidR="006E54F2" w:rsidRDefault="00A514E3" w:rsidP="006E54F2">
      <w:pPr>
        <w:pStyle w:val="20"/>
        <w:spacing w:before="0" w:after="0" w:line="360" w:lineRule="auto"/>
        <w:ind w:left="0" w:firstLineChars="200" w:firstLine="480"/>
        <w:rPr>
          <w:rFonts w:ascii="Times New Roman"/>
          <w:bCs/>
          <w:color w:val="000000"/>
        </w:rPr>
      </w:pPr>
      <w:r w:rsidRPr="00A514E3">
        <w:rPr>
          <w:rFonts w:ascii="Times New Roman" w:hint="eastAsia"/>
          <w:bCs/>
          <w:color w:val="000000"/>
        </w:rPr>
        <w:t>基金的投资组合比例为：本基金投资于债券的比例不低于基金资产的</w:t>
      </w:r>
      <w:r w:rsidRPr="00A514E3">
        <w:rPr>
          <w:rFonts w:ascii="Times New Roman" w:hint="eastAsia"/>
          <w:bCs/>
          <w:color w:val="000000"/>
        </w:rPr>
        <w:t>80%</w:t>
      </w:r>
      <w:r w:rsidRPr="00A514E3">
        <w:rPr>
          <w:rFonts w:ascii="Times New Roman" w:hint="eastAsia"/>
          <w:bCs/>
          <w:color w:val="000000"/>
        </w:rPr>
        <w:t>，本</w:t>
      </w:r>
      <w:r w:rsidRPr="00A514E3">
        <w:rPr>
          <w:rFonts w:ascii="Times New Roman" w:hint="eastAsia"/>
          <w:bCs/>
          <w:color w:val="000000"/>
        </w:rPr>
        <w:lastRenderedPageBreak/>
        <w:t>基金每个交易日日终在扣除国债期货合约需缴纳的交易保证金后，持有现金或者到期日在一年以内的政府债券的比例不低于基金资产净值的</w:t>
      </w:r>
      <w:r w:rsidRPr="00A514E3">
        <w:rPr>
          <w:rFonts w:ascii="Times New Roman" w:hint="eastAsia"/>
          <w:bCs/>
          <w:color w:val="000000"/>
        </w:rPr>
        <w:t>5%</w:t>
      </w:r>
      <w:r w:rsidRPr="00A514E3">
        <w:rPr>
          <w:rFonts w:ascii="Times New Roman" w:hint="eastAsia"/>
          <w:bCs/>
          <w:color w:val="000000"/>
        </w:rPr>
        <w:t>，其中，现金不包括结算备付金、存出保证金、应收申购款等。</w:t>
      </w:r>
    </w:p>
    <w:p w14:paraId="36E97759" w14:textId="15730F9C" w:rsidR="000E48ED" w:rsidRDefault="00A514E3" w:rsidP="006E54F2">
      <w:pPr>
        <w:pStyle w:val="20"/>
        <w:spacing w:before="0" w:after="0" w:line="360" w:lineRule="auto"/>
        <w:ind w:left="0" w:firstLineChars="200" w:firstLine="480"/>
        <w:rPr>
          <w:bCs/>
        </w:rPr>
      </w:pPr>
      <w:r w:rsidRPr="00A514E3">
        <w:rPr>
          <w:rFonts w:hint="eastAsia"/>
          <w:bCs/>
          <w:color w:val="000000"/>
        </w:rPr>
        <w:t>如法律法规或中国证监会变更投资品种的投资比例限制，基金管理人在履行适当程序后，可以调整上述投资品种的投资比例。</w:t>
      </w:r>
      <w:bookmarkEnd w:id="18"/>
    </w:p>
    <w:p w14:paraId="3594506C" w14:textId="77777777" w:rsidR="000E48ED" w:rsidRDefault="003A7B23">
      <w:pPr>
        <w:pStyle w:val="20"/>
        <w:spacing w:before="0" w:after="0" w:line="360" w:lineRule="auto"/>
        <w:ind w:left="0" w:firstLineChars="200" w:firstLine="480"/>
        <w:rPr>
          <w:rFonts w:hAnsi="宋体"/>
          <w:szCs w:val="24"/>
        </w:rPr>
      </w:pPr>
      <w:bookmarkStart w:id="20" w:name="_Hlk49417447"/>
      <w:bookmarkEnd w:id="19"/>
      <w:r>
        <w:rPr>
          <w:rFonts w:hAnsi="宋体" w:hint="eastAsia"/>
          <w:szCs w:val="24"/>
        </w:rPr>
        <w:t>3.1.2</w:t>
      </w:r>
      <w:bookmarkStart w:id="21" w:name="_Hlk86416305"/>
      <w:r>
        <w:rPr>
          <w:rFonts w:hAnsi="宋体" w:hint="eastAsia"/>
          <w:szCs w:val="24"/>
        </w:rPr>
        <w:t>基金托管人根据有关法律法规的规定及基金合同的约定对下述基金投资比例进行监督：</w:t>
      </w:r>
    </w:p>
    <w:p w14:paraId="15DE16D4" w14:textId="77777777"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w:t>
      </w:r>
      <w:r w:rsidRPr="00CE584E">
        <w:rPr>
          <w:rFonts w:ascii="Times New Roman" w:hint="eastAsia"/>
          <w:bCs/>
        </w:rPr>
        <w:t>1</w:t>
      </w:r>
      <w:r w:rsidRPr="00CE584E">
        <w:rPr>
          <w:rFonts w:ascii="Times New Roman" w:hint="eastAsia"/>
          <w:bCs/>
        </w:rPr>
        <w:t>）本基金投资于债券的比例不低于基金资产的</w:t>
      </w:r>
      <w:r w:rsidRPr="00CE584E">
        <w:rPr>
          <w:rFonts w:ascii="Times New Roman" w:hint="eastAsia"/>
          <w:bCs/>
        </w:rPr>
        <w:t>80%</w:t>
      </w:r>
      <w:r w:rsidRPr="00CE584E">
        <w:rPr>
          <w:rFonts w:ascii="Times New Roman" w:hint="eastAsia"/>
          <w:bCs/>
        </w:rPr>
        <w:t>；</w:t>
      </w:r>
    </w:p>
    <w:p w14:paraId="041E8375" w14:textId="77777777"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w:t>
      </w:r>
      <w:r w:rsidRPr="00CE584E">
        <w:rPr>
          <w:rFonts w:ascii="Times New Roman" w:hint="eastAsia"/>
          <w:bCs/>
        </w:rPr>
        <w:t>2</w:t>
      </w:r>
      <w:r w:rsidRPr="00CE584E">
        <w:rPr>
          <w:rFonts w:ascii="Times New Roman" w:hint="eastAsia"/>
          <w:bCs/>
        </w:rPr>
        <w:t>）本基金每个交易日日终在扣除国债期货合约需缴纳的交易保证金后，持有现金或者到期日在一年以内的政府债券的比例不低于基金资产净值的</w:t>
      </w:r>
      <w:r w:rsidRPr="00CE584E">
        <w:rPr>
          <w:rFonts w:ascii="Times New Roman" w:hint="eastAsia"/>
          <w:bCs/>
        </w:rPr>
        <w:t>5%</w:t>
      </w:r>
      <w:r w:rsidRPr="00CE584E">
        <w:rPr>
          <w:rFonts w:ascii="Times New Roman" w:hint="eastAsia"/>
          <w:bCs/>
        </w:rPr>
        <w:t>，其中，现金不包括结算备付金、存出保证金、应收申购款等；</w:t>
      </w:r>
    </w:p>
    <w:p w14:paraId="21A5DB13" w14:textId="77777777"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w:t>
      </w:r>
      <w:r w:rsidRPr="00CE584E">
        <w:rPr>
          <w:rFonts w:ascii="Times New Roman" w:hint="eastAsia"/>
          <w:bCs/>
        </w:rPr>
        <w:t>3</w:t>
      </w:r>
      <w:r w:rsidRPr="00CE584E">
        <w:rPr>
          <w:rFonts w:ascii="Times New Roman" w:hint="eastAsia"/>
          <w:bCs/>
        </w:rPr>
        <w:t>）本基金持有一家公司发行的证券，其市值不超过基金资产净值的</w:t>
      </w:r>
      <w:r w:rsidRPr="00CE584E">
        <w:rPr>
          <w:rFonts w:ascii="Times New Roman" w:hint="eastAsia"/>
          <w:bCs/>
        </w:rPr>
        <w:t>10</w:t>
      </w:r>
      <w:r w:rsidRPr="00CE584E">
        <w:rPr>
          <w:rFonts w:ascii="Times New Roman" w:hint="eastAsia"/>
          <w:bCs/>
        </w:rPr>
        <w:t>％；</w:t>
      </w:r>
    </w:p>
    <w:p w14:paraId="72D22AE3" w14:textId="77777777"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w:t>
      </w:r>
      <w:r w:rsidRPr="00CE584E">
        <w:rPr>
          <w:rFonts w:ascii="Times New Roman" w:hint="eastAsia"/>
          <w:bCs/>
        </w:rPr>
        <w:t>4</w:t>
      </w:r>
      <w:r w:rsidRPr="00CE584E">
        <w:rPr>
          <w:rFonts w:ascii="Times New Roman" w:hint="eastAsia"/>
          <w:bCs/>
        </w:rPr>
        <w:t>）本基金管理人管理的全部基金持有一家公司发行的证券，不超过该证券的</w:t>
      </w:r>
      <w:r w:rsidRPr="00CE584E">
        <w:rPr>
          <w:rFonts w:ascii="Times New Roman" w:hint="eastAsia"/>
          <w:bCs/>
        </w:rPr>
        <w:t>10</w:t>
      </w:r>
      <w:r w:rsidRPr="00CE584E">
        <w:rPr>
          <w:rFonts w:ascii="Times New Roman" w:hint="eastAsia"/>
          <w:bCs/>
        </w:rPr>
        <w:t>％；</w:t>
      </w:r>
    </w:p>
    <w:p w14:paraId="03C42F25" w14:textId="77777777"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在实际投资过程中可将政策性金融债作为国债、央行票据相同性质的债券品种不受（</w:t>
      </w:r>
      <w:r w:rsidRPr="00CE584E">
        <w:rPr>
          <w:rFonts w:ascii="Times New Roman" w:hint="eastAsia"/>
          <w:bCs/>
        </w:rPr>
        <w:t>3</w:t>
      </w:r>
      <w:r w:rsidRPr="00CE584E">
        <w:rPr>
          <w:rFonts w:ascii="Times New Roman" w:hint="eastAsia"/>
          <w:bCs/>
        </w:rPr>
        <w:t>）、（</w:t>
      </w:r>
      <w:r w:rsidRPr="00CE584E">
        <w:rPr>
          <w:rFonts w:ascii="Times New Roman" w:hint="eastAsia"/>
          <w:bCs/>
        </w:rPr>
        <w:t>4</w:t>
      </w:r>
      <w:r w:rsidRPr="00CE584E">
        <w:rPr>
          <w:rFonts w:ascii="Times New Roman" w:hint="eastAsia"/>
          <w:bCs/>
        </w:rPr>
        <w:t>）投资比例限制。</w:t>
      </w:r>
    </w:p>
    <w:p w14:paraId="1851487B" w14:textId="77777777"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w:t>
      </w:r>
      <w:r w:rsidRPr="00CE584E">
        <w:rPr>
          <w:rFonts w:ascii="Times New Roman" w:hint="eastAsia"/>
          <w:bCs/>
        </w:rPr>
        <w:t>5</w:t>
      </w:r>
      <w:r w:rsidRPr="00CE584E">
        <w:rPr>
          <w:rFonts w:ascii="Times New Roman" w:hint="eastAsia"/>
          <w:bCs/>
        </w:rPr>
        <w:t>）本基金投资于同一原始权益人的各类资产支持证券的比例，不得超过基金资产净值的</w:t>
      </w:r>
      <w:r w:rsidRPr="00CE584E">
        <w:rPr>
          <w:rFonts w:ascii="Times New Roman" w:hint="eastAsia"/>
          <w:bCs/>
        </w:rPr>
        <w:t>10%</w:t>
      </w:r>
      <w:r w:rsidRPr="00CE584E">
        <w:rPr>
          <w:rFonts w:ascii="Times New Roman" w:hint="eastAsia"/>
          <w:bCs/>
        </w:rPr>
        <w:t>；</w:t>
      </w:r>
    </w:p>
    <w:p w14:paraId="01564658" w14:textId="77777777"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w:t>
      </w:r>
      <w:r w:rsidRPr="00CE584E">
        <w:rPr>
          <w:rFonts w:ascii="Times New Roman" w:hint="eastAsia"/>
          <w:bCs/>
        </w:rPr>
        <w:t>6</w:t>
      </w:r>
      <w:r w:rsidRPr="00CE584E">
        <w:rPr>
          <w:rFonts w:ascii="Times New Roman" w:hint="eastAsia"/>
          <w:bCs/>
        </w:rPr>
        <w:t>）本基金持有的全部资产支持证券，其市值不得超过基金资产净值的</w:t>
      </w:r>
      <w:r w:rsidRPr="00CE584E">
        <w:rPr>
          <w:rFonts w:ascii="Times New Roman" w:hint="eastAsia"/>
          <w:bCs/>
        </w:rPr>
        <w:t>20%</w:t>
      </w:r>
      <w:r w:rsidRPr="00CE584E">
        <w:rPr>
          <w:rFonts w:ascii="Times New Roman" w:hint="eastAsia"/>
          <w:bCs/>
        </w:rPr>
        <w:t>；</w:t>
      </w:r>
    </w:p>
    <w:p w14:paraId="65D53F29" w14:textId="77777777"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w:t>
      </w:r>
      <w:r w:rsidRPr="00CE584E">
        <w:rPr>
          <w:rFonts w:ascii="Times New Roman" w:hint="eastAsia"/>
          <w:bCs/>
        </w:rPr>
        <w:t>7</w:t>
      </w:r>
      <w:r w:rsidRPr="00CE584E">
        <w:rPr>
          <w:rFonts w:ascii="Times New Roman" w:hint="eastAsia"/>
          <w:bCs/>
        </w:rPr>
        <w:t>）本基金持有的同一</w:t>
      </w:r>
      <w:r w:rsidRPr="00CE584E">
        <w:rPr>
          <w:rFonts w:ascii="Times New Roman" w:hint="eastAsia"/>
          <w:bCs/>
        </w:rPr>
        <w:t>(</w:t>
      </w:r>
      <w:r w:rsidRPr="00CE584E">
        <w:rPr>
          <w:rFonts w:ascii="Times New Roman" w:hint="eastAsia"/>
          <w:bCs/>
        </w:rPr>
        <w:t>指同一信用级别</w:t>
      </w:r>
      <w:r w:rsidRPr="00CE584E">
        <w:rPr>
          <w:rFonts w:ascii="Times New Roman" w:hint="eastAsia"/>
          <w:bCs/>
        </w:rPr>
        <w:t>)</w:t>
      </w:r>
      <w:r w:rsidRPr="00CE584E">
        <w:rPr>
          <w:rFonts w:ascii="Times New Roman" w:hint="eastAsia"/>
          <w:bCs/>
        </w:rPr>
        <w:t>资产支持证券的比例，不得超过该资产支持证券规模的</w:t>
      </w:r>
      <w:r w:rsidRPr="00CE584E">
        <w:rPr>
          <w:rFonts w:ascii="Times New Roman" w:hint="eastAsia"/>
          <w:bCs/>
        </w:rPr>
        <w:t>10%</w:t>
      </w:r>
      <w:r w:rsidRPr="00CE584E">
        <w:rPr>
          <w:rFonts w:ascii="Times New Roman" w:hint="eastAsia"/>
          <w:bCs/>
        </w:rPr>
        <w:t>；</w:t>
      </w:r>
    </w:p>
    <w:p w14:paraId="40E4F3A5" w14:textId="77777777"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w:t>
      </w:r>
      <w:r w:rsidRPr="00CE584E">
        <w:rPr>
          <w:rFonts w:ascii="Times New Roman" w:hint="eastAsia"/>
          <w:bCs/>
        </w:rPr>
        <w:t>8</w:t>
      </w:r>
      <w:r w:rsidRPr="00CE584E">
        <w:rPr>
          <w:rFonts w:ascii="Times New Roman" w:hint="eastAsia"/>
          <w:bCs/>
        </w:rPr>
        <w:t>）本基金管理人管理的全部基金投资于同一原始权益人的各类资产支持证券，不得超过其各类资产支持证券合计规模的</w:t>
      </w:r>
      <w:r w:rsidRPr="00CE584E">
        <w:rPr>
          <w:rFonts w:ascii="Times New Roman" w:hint="eastAsia"/>
          <w:bCs/>
        </w:rPr>
        <w:t>10%</w:t>
      </w:r>
      <w:r w:rsidRPr="00CE584E">
        <w:rPr>
          <w:rFonts w:ascii="Times New Roman" w:hint="eastAsia"/>
          <w:bCs/>
        </w:rPr>
        <w:t>；</w:t>
      </w:r>
    </w:p>
    <w:p w14:paraId="50EA3D90" w14:textId="75F5E7B5"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w:t>
      </w:r>
      <w:r w:rsidR="00AD25DC">
        <w:rPr>
          <w:rFonts w:ascii="Times New Roman" w:hint="eastAsia"/>
          <w:bCs/>
        </w:rPr>
        <w:t>9</w:t>
      </w:r>
      <w:r w:rsidRPr="00CE584E">
        <w:rPr>
          <w:rFonts w:ascii="Times New Roman" w:hint="eastAsia"/>
          <w:bCs/>
        </w:rPr>
        <w:t>）本基金参与国债期货交易，需遵守下列投资比例限制：</w:t>
      </w:r>
    </w:p>
    <w:p w14:paraId="4548AE01" w14:textId="77777777"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1</w:t>
      </w:r>
      <w:r w:rsidRPr="00CE584E">
        <w:rPr>
          <w:rFonts w:ascii="Times New Roman" w:hint="eastAsia"/>
          <w:bCs/>
        </w:rPr>
        <w:t>）在任何交易日日终，持有的买入国债期货合约价值，不得超过基金资产净值的</w:t>
      </w:r>
      <w:r w:rsidRPr="00CE584E">
        <w:rPr>
          <w:rFonts w:ascii="Times New Roman" w:hint="eastAsia"/>
          <w:bCs/>
        </w:rPr>
        <w:t>15%</w:t>
      </w:r>
      <w:r w:rsidRPr="00CE584E">
        <w:rPr>
          <w:rFonts w:ascii="Times New Roman" w:hint="eastAsia"/>
          <w:bCs/>
        </w:rPr>
        <w:t>，持有的卖出国债期货合约价值不得超过基金持有的债券总市值的</w:t>
      </w:r>
      <w:r w:rsidRPr="00CE584E">
        <w:rPr>
          <w:rFonts w:ascii="Times New Roman" w:hint="eastAsia"/>
          <w:bCs/>
        </w:rPr>
        <w:t>30%</w:t>
      </w:r>
      <w:r w:rsidRPr="00CE584E">
        <w:rPr>
          <w:rFonts w:ascii="Times New Roman" w:hint="eastAsia"/>
          <w:bCs/>
        </w:rPr>
        <w:t>；</w:t>
      </w:r>
    </w:p>
    <w:p w14:paraId="10483D66" w14:textId="77777777"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2</w:t>
      </w:r>
      <w:r w:rsidRPr="00CE584E">
        <w:rPr>
          <w:rFonts w:ascii="Times New Roman" w:hint="eastAsia"/>
          <w:bCs/>
        </w:rPr>
        <w:t>）在任何交易日内交易（不包括平仓）的国债期货合约的成交金额不得超过上一交易日基金资产净值的</w:t>
      </w:r>
      <w:r w:rsidRPr="00CE584E">
        <w:rPr>
          <w:rFonts w:ascii="Times New Roman" w:hint="eastAsia"/>
          <w:bCs/>
        </w:rPr>
        <w:t>30%</w:t>
      </w:r>
      <w:r w:rsidRPr="00CE584E">
        <w:rPr>
          <w:rFonts w:ascii="Times New Roman" w:hint="eastAsia"/>
          <w:bCs/>
        </w:rPr>
        <w:t>；</w:t>
      </w:r>
    </w:p>
    <w:p w14:paraId="3E682E26" w14:textId="77777777"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3</w:t>
      </w:r>
      <w:r w:rsidRPr="00CE584E">
        <w:rPr>
          <w:rFonts w:ascii="Times New Roman" w:hint="eastAsia"/>
          <w:bCs/>
        </w:rPr>
        <w:t>）本基金所持有的债券（不含到期日在一年以内的政府债券）市值和买入、卖出国债期货合约价值，合计（轧差计算）不低于基金资产的</w:t>
      </w:r>
      <w:r w:rsidRPr="00CE584E">
        <w:rPr>
          <w:rFonts w:ascii="Times New Roman" w:hint="eastAsia"/>
          <w:bCs/>
        </w:rPr>
        <w:t>80%</w:t>
      </w:r>
      <w:r w:rsidRPr="00CE584E">
        <w:rPr>
          <w:rFonts w:ascii="Times New Roman" w:hint="eastAsia"/>
          <w:bCs/>
        </w:rPr>
        <w:t>；</w:t>
      </w:r>
    </w:p>
    <w:p w14:paraId="3DBF3535" w14:textId="1B0AF3F9"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lastRenderedPageBreak/>
        <w:t>（</w:t>
      </w:r>
      <w:r w:rsidRPr="00CE584E">
        <w:rPr>
          <w:rFonts w:ascii="Times New Roman" w:hint="eastAsia"/>
          <w:bCs/>
        </w:rPr>
        <w:t>1</w:t>
      </w:r>
      <w:r w:rsidR="00AD25DC">
        <w:rPr>
          <w:rFonts w:ascii="Times New Roman" w:hint="eastAsia"/>
          <w:bCs/>
        </w:rPr>
        <w:t>0</w:t>
      </w:r>
      <w:r w:rsidRPr="00CE584E">
        <w:rPr>
          <w:rFonts w:ascii="Times New Roman" w:hint="eastAsia"/>
          <w:bCs/>
        </w:rPr>
        <w:t>）本基金主动投资于流动性受限资产的市值合计不得超过该基金资产净值的</w:t>
      </w:r>
      <w:r w:rsidRPr="00CE584E">
        <w:rPr>
          <w:rFonts w:ascii="Times New Roman" w:hint="eastAsia"/>
          <w:bCs/>
        </w:rPr>
        <w:t>15%</w:t>
      </w:r>
      <w:r w:rsidRPr="00CE584E">
        <w:rPr>
          <w:rFonts w:ascii="Times New Roman" w:hint="eastAsia"/>
          <w:bCs/>
        </w:rPr>
        <w:t>；因证券市场波动、证券停牌、基金规模变动等基金管理人之外的因素致使基金不符合该比例限制的，基金管理人不得主动新增流动性受限资产的投资；</w:t>
      </w:r>
    </w:p>
    <w:p w14:paraId="6B68FE14" w14:textId="2FCAA2B3"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w:t>
      </w:r>
      <w:r w:rsidRPr="00CE584E">
        <w:rPr>
          <w:rFonts w:ascii="Times New Roman" w:hint="eastAsia"/>
          <w:bCs/>
        </w:rPr>
        <w:t>1</w:t>
      </w:r>
      <w:r w:rsidR="00AD25DC">
        <w:rPr>
          <w:rFonts w:ascii="Times New Roman" w:hint="eastAsia"/>
          <w:bCs/>
        </w:rPr>
        <w:t>1</w:t>
      </w:r>
      <w:r w:rsidRPr="00CE584E">
        <w:rPr>
          <w:rFonts w:ascii="Times New Roman" w:hint="eastAsia"/>
          <w:bCs/>
        </w:rPr>
        <w:t>）本基金与私募类</w:t>
      </w:r>
      <w:proofErr w:type="gramStart"/>
      <w:r w:rsidRPr="00CE584E">
        <w:rPr>
          <w:rFonts w:ascii="Times New Roman" w:hint="eastAsia"/>
          <w:bCs/>
        </w:rPr>
        <w:t>证券资管产品</w:t>
      </w:r>
      <w:proofErr w:type="gramEnd"/>
      <w:r w:rsidRPr="00CE584E">
        <w:rPr>
          <w:rFonts w:ascii="Times New Roman" w:hint="eastAsia"/>
          <w:bCs/>
        </w:rPr>
        <w:t>及中国证监会认定的其他主体为交易对手开展逆回购交易的，可接受质押品的资质要求应当与基金合同约定的投资范围保持一致；</w:t>
      </w:r>
    </w:p>
    <w:p w14:paraId="35E83E93" w14:textId="42C7DB90"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w:t>
      </w:r>
      <w:r w:rsidRPr="00CE584E">
        <w:rPr>
          <w:rFonts w:ascii="Times New Roman" w:hint="eastAsia"/>
          <w:bCs/>
        </w:rPr>
        <w:t>1</w:t>
      </w:r>
      <w:r w:rsidR="00AD25DC">
        <w:rPr>
          <w:rFonts w:ascii="Times New Roman" w:hint="eastAsia"/>
          <w:bCs/>
        </w:rPr>
        <w:t>2</w:t>
      </w:r>
      <w:r w:rsidRPr="00CE584E">
        <w:rPr>
          <w:rFonts w:ascii="Times New Roman" w:hint="eastAsia"/>
          <w:bCs/>
        </w:rPr>
        <w:t>）本基金的基金资产总值不超过基金资产净值的</w:t>
      </w:r>
      <w:r w:rsidRPr="00CE584E">
        <w:rPr>
          <w:rFonts w:ascii="Times New Roman" w:hint="eastAsia"/>
          <w:bCs/>
        </w:rPr>
        <w:t>140%</w:t>
      </w:r>
      <w:r w:rsidRPr="00CE584E">
        <w:rPr>
          <w:rFonts w:ascii="Times New Roman" w:hint="eastAsia"/>
          <w:bCs/>
        </w:rPr>
        <w:t>；</w:t>
      </w:r>
    </w:p>
    <w:p w14:paraId="29B56A3D" w14:textId="056A9503" w:rsidR="00CE584E" w:rsidRPr="00CE584E" w:rsidRDefault="00CE584E" w:rsidP="00CE584E">
      <w:pPr>
        <w:pStyle w:val="20"/>
        <w:spacing w:line="360" w:lineRule="auto"/>
        <w:ind w:left="0" w:firstLineChars="200" w:firstLine="480"/>
        <w:rPr>
          <w:rFonts w:ascii="Times New Roman"/>
          <w:bCs/>
        </w:rPr>
      </w:pPr>
      <w:r w:rsidRPr="00CE584E">
        <w:rPr>
          <w:rFonts w:ascii="Times New Roman" w:hint="eastAsia"/>
          <w:bCs/>
        </w:rPr>
        <w:t>（</w:t>
      </w:r>
      <w:r w:rsidRPr="00CE584E">
        <w:rPr>
          <w:rFonts w:ascii="Times New Roman" w:hint="eastAsia"/>
          <w:bCs/>
        </w:rPr>
        <w:t>1</w:t>
      </w:r>
      <w:r w:rsidR="00AD25DC">
        <w:rPr>
          <w:rFonts w:ascii="Times New Roman" w:hint="eastAsia"/>
          <w:bCs/>
        </w:rPr>
        <w:t>3</w:t>
      </w:r>
      <w:r w:rsidRPr="00CE584E">
        <w:rPr>
          <w:rFonts w:ascii="Times New Roman" w:hint="eastAsia"/>
          <w:bCs/>
        </w:rPr>
        <w:t>）法律法规及中国证监会规定的和《基金合同》约定的其他投资限制。</w:t>
      </w:r>
    </w:p>
    <w:p w14:paraId="2FB98206" w14:textId="6673B1E4" w:rsidR="00CE584E" w:rsidRPr="00CE584E" w:rsidRDefault="00CE584E" w:rsidP="00CE584E">
      <w:pPr>
        <w:pStyle w:val="20"/>
        <w:spacing w:line="360" w:lineRule="auto"/>
        <w:ind w:left="0" w:firstLineChars="200" w:firstLine="480"/>
        <w:rPr>
          <w:rFonts w:hAnsi="宋体"/>
          <w:szCs w:val="24"/>
        </w:rPr>
      </w:pPr>
      <w:r w:rsidRPr="00CE584E">
        <w:rPr>
          <w:rFonts w:hAnsi="宋体" w:hint="eastAsia"/>
          <w:szCs w:val="24"/>
        </w:rPr>
        <w:t>除上述（2）、（1</w:t>
      </w:r>
      <w:r w:rsidR="00AD25DC">
        <w:rPr>
          <w:rFonts w:hAnsi="宋体" w:hint="eastAsia"/>
          <w:szCs w:val="24"/>
        </w:rPr>
        <w:t>0</w:t>
      </w:r>
      <w:r w:rsidRPr="00CE584E">
        <w:rPr>
          <w:rFonts w:hAnsi="宋体" w:hint="eastAsia"/>
          <w:szCs w:val="24"/>
        </w:rPr>
        <w:t>）、（1</w:t>
      </w:r>
      <w:r w:rsidR="00AD25DC">
        <w:rPr>
          <w:rFonts w:hAnsi="宋体" w:hint="eastAsia"/>
          <w:szCs w:val="24"/>
        </w:rPr>
        <w:t>1</w:t>
      </w:r>
      <w:r w:rsidRPr="00CE584E">
        <w:rPr>
          <w:rFonts w:hAnsi="宋体" w:hint="eastAsia"/>
          <w:szCs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14:paraId="7ABDEE2D" w14:textId="4772A5A9" w:rsidR="00CE584E" w:rsidRPr="00CE584E" w:rsidRDefault="00CE584E" w:rsidP="00CE584E">
      <w:pPr>
        <w:pStyle w:val="20"/>
        <w:spacing w:line="360" w:lineRule="auto"/>
        <w:ind w:left="0" w:firstLineChars="200" w:firstLine="480"/>
        <w:rPr>
          <w:rFonts w:hAnsi="宋体"/>
          <w:szCs w:val="24"/>
        </w:rPr>
      </w:pPr>
      <w:r w:rsidRPr="00CE584E">
        <w:rPr>
          <w:rFonts w:hAnsi="宋体" w:hint="eastAsia"/>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8B0D829" w14:textId="30517F19" w:rsidR="000E48ED" w:rsidRDefault="00CE584E" w:rsidP="00CE584E">
      <w:pPr>
        <w:spacing w:line="360" w:lineRule="auto"/>
        <w:ind w:firstLineChars="200" w:firstLine="480"/>
        <w:rPr>
          <w:bCs/>
          <w:sz w:val="24"/>
        </w:rPr>
      </w:pPr>
      <w:r w:rsidRPr="00CE584E">
        <w:rPr>
          <w:rFonts w:ascii="宋体" w:hAnsi="宋体" w:hint="eastAsia"/>
          <w:sz w:val="24"/>
          <w:szCs w:val="24"/>
        </w:rPr>
        <w:t>法律法规或监管部门取消或变更上述限制，如适用于本基金，基金管理人在履行适当程序后，则本基金投资不再受相关限制或以变更后的规定为准。</w:t>
      </w:r>
      <w:bookmarkStart w:id="22" w:name="_Hlk85139012"/>
      <w:bookmarkEnd w:id="21"/>
    </w:p>
    <w:bookmarkEnd w:id="22"/>
    <w:p w14:paraId="53615730"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3.1.3</w:t>
      </w:r>
      <w:bookmarkStart w:id="23" w:name="_Hlk86416377"/>
      <w:r>
        <w:rPr>
          <w:rFonts w:hAnsi="宋体" w:hint="eastAsia"/>
          <w:szCs w:val="24"/>
        </w:rPr>
        <w:t>基金托管人根据有关法律法规的规定及基金合同的约定对下述基金投资禁止行为进行监督：</w:t>
      </w:r>
    </w:p>
    <w:p w14:paraId="585AB26A"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根据法律法规的规定及基金合同的约定，本基金禁止从事下列行为：</w:t>
      </w:r>
    </w:p>
    <w:p w14:paraId="2A7B6E84"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（1）承销证券；</w:t>
      </w:r>
    </w:p>
    <w:p w14:paraId="5C4B87E8"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（2）违反规定向他人贷款或者提供担保；</w:t>
      </w:r>
    </w:p>
    <w:p w14:paraId="58A9B3D5"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（3）从事承担无限责任的投资；</w:t>
      </w:r>
    </w:p>
    <w:p w14:paraId="0164E972"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（4）买卖其他基金份额，但是中国证监会另有规定的除外；</w:t>
      </w:r>
    </w:p>
    <w:p w14:paraId="175C5F95"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（5）向其基金管理人、基金托管人出资；</w:t>
      </w:r>
    </w:p>
    <w:p w14:paraId="4DCB8E34"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（6）从事内幕交易、操纵证券交易价格及其他不正当的证券交易活动；</w:t>
      </w:r>
    </w:p>
    <w:p w14:paraId="151B3347"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（7）法律、行政法规和中国证监会规定禁止的其他活动。</w:t>
      </w:r>
    </w:p>
    <w:p w14:paraId="4F8AE66F"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法律、行政法规或监管部门取消或变更上述限制的，基金管理人在履行适当程序后，则本基金投资不再受相关限制或以变更后的规定为准。</w:t>
      </w:r>
      <w:bookmarkEnd w:id="23"/>
    </w:p>
    <w:p w14:paraId="1EB720A5"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3.1</w:t>
      </w:r>
      <w:bookmarkStart w:id="24" w:name="_Hlk86416787"/>
      <w:r>
        <w:rPr>
          <w:rFonts w:hAnsi="宋体" w:hint="eastAsia"/>
          <w:szCs w:val="24"/>
        </w:rPr>
        <w:t>.4基金托管人依据有关法律法规的规定和基金合同的约定对于基金关联投资限制进行监督：</w:t>
      </w:r>
    </w:p>
    <w:p w14:paraId="726C1821" w14:textId="77777777" w:rsidR="000E48ED" w:rsidRDefault="003A7B23">
      <w:pPr>
        <w:spacing w:line="348" w:lineRule="auto"/>
        <w:ind w:firstLineChars="200" w:firstLine="480"/>
        <w:rPr>
          <w:bCs/>
          <w:sz w:val="24"/>
        </w:rPr>
      </w:pPr>
      <w:r>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7E6A10D"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实际控制人或与本机构有其他重大利害关系的公司名单及其更新，并确保所提供名单的真实性、完整性、全面性。名单变更后基金管理人/基金托管人应及时发送基金托管人/基金管理人，基金托管人/基金管理人于2个工作日内进行回函确认已知名单的变更。名单变更时间以基金管理人/基金托管人收到基金托管人/基金管理人回函确认的时间为准。</w:t>
      </w:r>
      <w:r>
        <w:rPr>
          <w:rFonts w:hAnsi="宋体" w:hint="eastAsia"/>
          <w:bCs/>
          <w:szCs w:val="24"/>
        </w:rPr>
        <w:t>如果基金托管人在运作</w:t>
      </w:r>
      <w:r>
        <w:rPr>
          <w:rFonts w:hAnsi="宋体" w:hint="eastAsia"/>
          <w:szCs w:val="24"/>
        </w:rPr>
        <w:t>中遵循了监督流程，基金管理人仍违规进行交易，并造成基金资产损失的，由基金管理人承担责任，基金托管人不承担任何损失和责任。</w:t>
      </w:r>
      <w:bookmarkEnd w:id="24"/>
    </w:p>
    <w:p w14:paraId="25BD3B54"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3.1</w:t>
      </w:r>
      <w:bookmarkStart w:id="25" w:name="_Hlk86416842"/>
      <w:r>
        <w:rPr>
          <w:rFonts w:hAnsi="宋体" w:hint="eastAsia"/>
          <w:szCs w:val="24"/>
        </w:rPr>
        <w:t>.</w:t>
      </w:r>
      <w:bookmarkStart w:id="26" w:name="_Hlk88049072"/>
      <w:r>
        <w:rPr>
          <w:rFonts w:hAnsi="宋体" w:hint="eastAsia"/>
          <w:szCs w:val="24"/>
        </w:rPr>
        <w:t>5基</w:t>
      </w:r>
      <w:bookmarkEnd w:id="20"/>
      <w:r>
        <w:rPr>
          <w:rFonts w:hAnsi="宋体" w:hint="eastAsia"/>
          <w:szCs w:val="24"/>
        </w:rPr>
        <w:t>金托管人依据有关法律法规的规定和基金合同的约定对基金管理人参与银行间债券市场进行监督：</w:t>
      </w:r>
      <w:bookmarkEnd w:id="26"/>
    </w:p>
    <w:p w14:paraId="6799C38E" w14:textId="77777777" w:rsidR="000E48ED" w:rsidRDefault="003A7B23">
      <w:pPr>
        <w:pStyle w:val="20"/>
        <w:spacing w:before="0" w:after="0" w:line="360" w:lineRule="auto"/>
        <w:ind w:left="0" w:firstLineChars="200" w:firstLine="480"/>
        <w:rPr>
          <w:rFonts w:hAnsi="宋体"/>
          <w:szCs w:val="24"/>
        </w:rPr>
      </w:pPr>
      <w:bookmarkStart w:id="27" w:name="_Hlk88049097"/>
      <w:r>
        <w:rPr>
          <w:rFonts w:hAnsi="宋体" w:hint="eastAsia"/>
          <w:szCs w:val="24"/>
        </w:rPr>
        <w:t>（1）基金托管人依据有关法律法规的规定和基金合同的约定对于基金管理人参与银行间债券市场交易时面临的交易对手资信风险进行监督。</w:t>
      </w:r>
    </w:p>
    <w:p w14:paraId="10F007B7"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364A4E3"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若给基金托管人造成损失，基金托管人有权向基金管理人追偿由此造成的全部损失。</w:t>
      </w:r>
    </w:p>
    <w:p w14:paraId="27167527"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（2）基金托管人对于基金管理人参与银行间债券市场交易的交易方式的控制</w:t>
      </w:r>
    </w:p>
    <w:p w14:paraId="23992718"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lastRenderedPageBreak/>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457D99F6"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（3）基金管理人有责任控制交易对手的资信风险</w:t>
      </w:r>
    </w:p>
    <w:p w14:paraId="7E884ED3"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基金管理人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bookmarkEnd w:id="27"/>
    </w:p>
    <w:p w14:paraId="4E44FA66"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3.1.6</w:t>
      </w:r>
      <w:bookmarkStart w:id="28" w:name="_Hlk88049136"/>
      <w:r>
        <w:rPr>
          <w:rFonts w:hAnsi="宋体" w:hint="eastAsia"/>
          <w:szCs w:val="24"/>
        </w:rPr>
        <w:t>基金托管人根据有关法律法规的规定及基金合同的约定，对基金管理人选择存款银行进行监督：</w:t>
      </w:r>
    </w:p>
    <w:p w14:paraId="4746FDBC" w14:textId="77777777" w:rsidR="000E48ED" w:rsidRDefault="003A7B23" w:rsidP="00DE2AFE">
      <w:pPr>
        <w:pStyle w:val="20"/>
        <w:spacing w:before="0" w:after="0" w:line="360" w:lineRule="auto"/>
        <w:ind w:left="0" w:firstLineChars="200" w:firstLine="480"/>
        <w:rPr>
          <w:rFonts w:hAnsi="宋体"/>
          <w:szCs w:val="24"/>
        </w:rPr>
      </w:pPr>
      <w:r>
        <w:rPr>
          <w:rFonts w:hAnsi="宋体" w:hint="eastAsia"/>
          <w:szCs w:val="24"/>
        </w:rPr>
        <w:t>基金投资银行定期存款的，基金管理人应根据法律法规的规定及基金合同的约定选择符合条件的存款银行，</w:t>
      </w:r>
      <w:r w:rsidRPr="00DE2AFE">
        <w:rPr>
          <w:rFonts w:hAnsi="宋体"/>
          <w:szCs w:val="24"/>
        </w:rPr>
        <w:t>基金托管人根据托管协议的约定对基金投资银行存款是否符合有关规定进行监督</w:t>
      </w:r>
      <w:r>
        <w:rPr>
          <w:rFonts w:hAnsi="宋体" w:hint="eastAsia"/>
          <w:szCs w:val="24"/>
        </w:rPr>
        <w:t>。</w:t>
      </w:r>
    </w:p>
    <w:p w14:paraId="0980F79B" w14:textId="77777777" w:rsidR="000E48ED" w:rsidRDefault="003A7B23" w:rsidP="00DE2AFE">
      <w:pPr>
        <w:pStyle w:val="20"/>
        <w:spacing w:before="0" w:after="0" w:line="360" w:lineRule="auto"/>
        <w:ind w:left="0" w:firstLineChars="200" w:firstLine="480"/>
        <w:rPr>
          <w:rFonts w:hAnsi="宋体"/>
          <w:szCs w:val="24"/>
        </w:rPr>
      </w:pPr>
      <w:r>
        <w:rPr>
          <w:rFonts w:hAnsi="宋体" w:hint="eastAsia"/>
          <w:szCs w:val="24"/>
        </w:rPr>
        <w:t>本基金投资银行存款应符合如下规定：</w:t>
      </w:r>
    </w:p>
    <w:p w14:paraId="33A7B4C6" w14:textId="77777777" w:rsidR="000E48ED" w:rsidRDefault="003A7B23" w:rsidP="00DE2AFE">
      <w:pPr>
        <w:pStyle w:val="20"/>
        <w:spacing w:before="0" w:after="0" w:line="360" w:lineRule="auto"/>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43CEE40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30DA63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（3）基金托管人应加强对基金银行存款业务的监督与核查，严格审查、复核相关协议、账户资料、投资指令、存款证实书等有关文件，履行托管职责。</w:t>
      </w:r>
    </w:p>
    <w:p w14:paraId="6DADAFF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w:t>
      </w:r>
      <w:r>
        <w:rPr>
          <w:rFonts w:hAnsi="宋体" w:hint="eastAsia"/>
          <w:szCs w:val="24"/>
        </w:rPr>
        <w:lastRenderedPageBreak/>
        <w:t>各项规定。</w:t>
      </w:r>
    </w:p>
    <w:p w14:paraId="3B4494D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2个工作日将新名单发送给基金托管人。如果因基金管理人未按时或未将新名单发送给基金托管人，造成基金资产损失的，基金托管人不承担责任。</w:t>
      </w:r>
      <w:bookmarkEnd w:id="28"/>
    </w:p>
    <w:p w14:paraId="510EA43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3.2</w:t>
      </w:r>
      <w:bookmarkStart w:id="29" w:name="_Hlk88049201"/>
      <w:r>
        <w:rPr>
          <w:rFonts w:hAnsi="宋体" w:hint="eastAsia"/>
          <w:szCs w:val="24"/>
        </w:rPr>
        <w:t>基金托管人对基金管理人业务进行监督和核查的有关措施：</w:t>
      </w:r>
    </w:p>
    <w:p w14:paraId="39BDCC7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3.2.1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41598A7B"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232272B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7B96BA4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3.2.4基金托管人发现基金管理人的投资指令违反有关法律法规规定或者违反基金合同约定的，应当拒绝执行，立即通知基金管理人。</w:t>
      </w:r>
    </w:p>
    <w:p w14:paraId="6074342A"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6502267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1E8AA30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3.2.7基金托管人发现基金管理人有重大违规行为，应立即报告中国证监会，同时通知基金管理人限期纠正。</w:t>
      </w:r>
    </w:p>
    <w:p w14:paraId="479E4BA4"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EC8C09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3.2.9基金管理人应遵守中华人民共和国反洗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法规，不参与涉嫌洗钱、恐怖融资、扩散融资等违法犯罪活动；主动配合基金托管</w:t>
      </w:r>
      <w:proofErr w:type="gramStart"/>
      <w:r>
        <w:rPr>
          <w:rFonts w:hAnsi="宋体" w:hint="eastAsia"/>
          <w:szCs w:val="24"/>
        </w:rPr>
        <w:t>人客户</w:t>
      </w:r>
      <w:proofErr w:type="gramEnd"/>
      <w:r>
        <w:rPr>
          <w:rFonts w:hAnsi="宋体" w:hint="eastAsia"/>
          <w:szCs w:val="24"/>
        </w:rPr>
        <w:t>身份识别与尽职调查。对具备合理理由怀疑涉嫌洗钱、恐怖融资的客户，基金托管人将按照中国人民银行反洗钱监管规定采取必要管控措施。</w:t>
      </w:r>
      <w:bookmarkEnd w:id="25"/>
    </w:p>
    <w:p w14:paraId="169093C2" w14:textId="77777777" w:rsidR="000E48ED" w:rsidRDefault="003A7B23" w:rsidP="006F2018">
      <w:pPr>
        <w:pStyle w:val="20"/>
        <w:spacing w:before="0" w:after="0" w:line="520" w:lineRule="exact"/>
        <w:ind w:left="0" w:firstLineChars="200" w:firstLine="480"/>
        <w:rPr>
          <w:rFonts w:hAnsi="宋体"/>
          <w:szCs w:val="24"/>
        </w:rPr>
      </w:pPr>
      <w:r>
        <w:rPr>
          <w:rFonts w:hAnsi="宋体" w:hint="eastAsia"/>
          <w:szCs w:val="24"/>
        </w:rPr>
        <w:t>3</w:t>
      </w:r>
      <w:r>
        <w:rPr>
          <w:rFonts w:hAnsi="宋体"/>
          <w:szCs w:val="24"/>
        </w:rPr>
        <w:t>.2.10</w:t>
      </w:r>
      <w:r>
        <w:rPr>
          <w:rFonts w:hAnsi="宋体" w:hint="eastAsia"/>
          <w:szCs w:val="24"/>
        </w:rPr>
        <w:t>基金托管人对侧</w:t>
      </w:r>
      <w:proofErr w:type="gramStart"/>
      <w:r>
        <w:rPr>
          <w:rFonts w:hAnsi="宋体" w:hint="eastAsia"/>
          <w:szCs w:val="24"/>
        </w:rPr>
        <w:t>袋机制</w:t>
      </w:r>
      <w:proofErr w:type="gramEnd"/>
      <w:r>
        <w:rPr>
          <w:rFonts w:hAnsi="宋体" w:hint="eastAsia"/>
          <w:szCs w:val="24"/>
        </w:rPr>
        <w:t>的复核和监督</w:t>
      </w:r>
    </w:p>
    <w:p w14:paraId="43813079" w14:textId="738D80A0" w:rsidR="000E48ED" w:rsidRDefault="003A7B23" w:rsidP="006F2018">
      <w:pPr>
        <w:pStyle w:val="20"/>
        <w:spacing w:before="0" w:after="0" w:line="520" w:lineRule="exact"/>
        <w:ind w:left="0" w:firstLineChars="200" w:firstLine="480"/>
        <w:rPr>
          <w:rFonts w:hAnsi="宋体"/>
          <w:szCs w:val="24"/>
        </w:rPr>
      </w:pPr>
      <w:r>
        <w:rPr>
          <w:rFonts w:hAnsi="宋体" w:hint="eastAsia"/>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Ansi="宋体" w:hint="eastAsia"/>
          <w:szCs w:val="24"/>
        </w:rPr>
        <w:t>启用侧袋机制</w:t>
      </w:r>
      <w:proofErr w:type="gramEnd"/>
      <w:r>
        <w:rPr>
          <w:rFonts w:hAnsi="宋体" w:hint="eastAsia"/>
          <w:szCs w:val="24"/>
        </w:rPr>
        <w:t>，无需召开基金份额持有人大会审议。</w:t>
      </w:r>
    </w:p>
    <w:p w14:paraId="4E2D783C"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基金托管人依照相关法律法规的规定和基金合同的约定，对侧</w:t>
      </w:r>
      <w:proofErr w:type="gramStart"/>
      <w:r>
        <w:rPr>
          <w:rFonts w:hAnsi="宋体" w:hint="eastAsia"/>
          <w:szCs w:val="24"/>
        </w:rPr>
        <w:t>袋机制</w:t>
      </w:r>
      <w:proofErr w:type="gramEnd"/>
      <w:r>
        <w:rPr>
          <w:rFonts w:hAnsi="宋体" w:hint="eastAsia"/>
          <w:szCs w:val="24"/>
        </w:rPr>
        <w:t>启用、特定资产处置和信息披露等方面进行复核和监督。不满足中国证监会规定和基金合同约定实施条件的，不得</w:t>
      </w:r>
      <w:proofErr w:type="gramStart"/>
      <w:r>
        <w:rPr>
          <w:rFonts w:hAnsi="宋体" w:hint="eastAsia"/>
          <w:szCs w:val="24"/>
        </w:rPr>
        <w:t>启用侧袋机制</w:t>
      </w:r>
      <w:proofErr w:type="gramEnd"/>
      <w:r>
        <w:rPr>
          <w:rFonts w:hAnsi="宋体" w:hint="eastAsia"/>
          <w:szCs w:val="24"/>
        </w:rPr>
        <w:t>。</w:t>
      </w:r>
      <w:proofErr w:type="gramStart"/>
      <w:r>
        <w:rPr>
          <w:rFonts w:hAnsi="宋体" w:hint="eastAsia"/>
          <w:szCs w:val="24"/>
        </w:rPr>
        <w:t>侧袋机制</w:t>
      </w:r>
      <w:proofErr w:type="gramEnd"/>
      <w:r>
        <w:rPr>
          <w:rFonts w:hAnsi="宋体" w:hint="eastAsia"/>
          <w:szCs w:val="24"/>
        </w:rPr>
        <w:t>实施期间的具体规则依照相关法律法规的规定和基金合同的约定执行。</w:t>
      </w:r>
      <w:bookmarkEnd w:id="29"/>
    </w:p>
    <w:p w14:paraId="416A6D50" w14:textId="77777777" w:rsidR="000E48ED" w:rsidRDefault="000E48ED">
      <w:pPr>
        <w:pStyle w:val="20"/>
        <w:spacing w:before="0" w:after="0" w:line="520" w:lineRule="exact"/>
        <w:ind w:left="0" w:firstLineChars="200" w:firstLine="480"/>
        <w:rPr>
          <w:rFonts w:hAnsi="宋体"/>
          <w:szCs w:val="24"/>
        </w:rPr>
      </w:pPr>
    </w:p>
    <w:p w14:paraId="2AF075E6" w14:textId="77777777" w:rsidR="000E48ED" w:rsidRDefault="003A7B23">
      <w:pPr>
        <w:pStyle w:val="1"/>
        <w:spacing w:line="520" w:lineRule="exact"/>
        <w:ind w:firstLineChars="200" w:firstLine="482"/>
        <w:rPr>
          <w:bCs/>
          <w:color w:val="auto"/>
          <w:szCs w:val="24"/>
        </w:rPr>
      </w:pPr>
      <w:bookmarkStart w:id="30" w:name="_Toc84945736"/>
      <w:r>
        <w:rPr>
          <w:rFonts w:hint="eastAsia"/>
          <w:bCs/>
          <w:color w:val="auto"/>
          <w:szCs w:val="24"/>
        </w:rPr>
        <w:t>第四条  基金</w:t>
      </w:r>
      <w:bookmarkStart w:id="31" w:name="_Toc296551340"/>
      <w:r>
        <w:rPr>
          <w:rFonts w:hint="eastAsia"/>
          <w:bCs/>
          <w:color w:val="auto"/>
          <w:szCs w:val="24"/>
        </w:rPr>
        <w:t>管理人对基金托管人的业务核查</w:t>
      </w:r>
      <w:bookmarkEnd w:id="30"/>
    </w:p>
    <w:p w14:paraId="65E7B83E" w14:textId="77777777" w:rsidR="000E48ED" w:rsidRDefault="003A7B23">
      <w:pPr>
        <w:pStyle w:val="20"/>
        <w:spacing w:before="0" w:after="0" w:line="520" w:lineRule="exact"/>
        <w:ind w:left="0" w:firstLineChars="200" w:firstLine="480"/>
        <w:rPr>
          <w:rFonts w:hAnsi="宋体"/>
          <w:szCs w:val="24"/>
        </w:rPr>
      </w:pPr>
      <w:bookmarkStart w:id="32" w:name="_Hlk86417540"/>
      <w:r>
        <w:rPr>
          <w:rFonts w:hAnsi="宋体" w:hint="eastAsia"/>
          <w:szCs w:val="24"/>
        </w:rPr>
        <w:t>4.1基金</w:t>
      </w:r>
      <w:bookmarkEnd w:id="31"/>
      <w:r>
        <w:rPr>
          <w:rFonts w:hAnsi="宋体" w:hint="eastAsia"/>
          <w:szCs w:val="24"/>
        </w:rPr>
        <w:t>管理人对基金托管人履行托管职责情况进行核查，核查事项包括但不限于基金托管人安全保管基金财产、开设基金财产的资金账户、证券账户、期货结算账户等投资所需的其他账户、复核基金管理人计算的基金资产净值和各类基金份额净值、根据基金管理人指令办理清算交收、相关信息披露和监督基金投资运作等行为。</w:t>
      </w:r>
    </w:p>
    <w:p w14:paraId="05940B8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w:t>
      </w:r>
      <w:r>
        <w:rPr>
          <w:rFonts w:hAnsi="宋体" w:hint="eastAsia"/>
          <w:szCs w:val="24"/>
        </w:rPr>
        <w:lastRenderedPageBreak/>
        <w:t>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14:paraId="1B89F35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1648E8C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14:paraId="06181A6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32"/>
    </w:p>
    <w:p w14:paraId="65B8B229" w14:textId="77777777" w:rsidR="000E48ED" w:rsidRDefault="000E48ED">
      <w:pPr>
        <w:pStyle w:val="20"/>
        <w:spacing w:before="0" w:after="0" w:line="520" w:lineRule="exact"/>
        <w:ind w:left="0" w:firstLineChars="200" w:firstLine="480"/>
        <w:rPr>
          <w:rFonts w:hAnsi="宋体"/>
          <w:szCs w:val="24"/>
        </w:rPr>
      </w:pPr>
    </w:p>
    <w:p w14:paraId="7997AE33" w14:textId="77777777" w:rsidR="000E48ED" w:rsidRDefault="003A7B23">
      <w:pPr>
        <w:pStyle w:val="1"/>
        <w:spacing w:line="520" w:lineRule="exact"/>
        <w:ind w:firstLineChars="200" w:firstLine="482"/>
        <w:rPr>
          <w:bCs/>
          <w:color w:val="auto"/>
          <w:szCs w:val="24"/>
        </w:rPr>
      </w:pPr>
      <w:bookmarkStart w:id="33" w:name="_Toc84945737"/>
      <w:r>
        <w:rPr>
          <w:rFonts w:hint="eastAsia"/>
          <w:bCs/>
          <w:color w:val="auto"/>
          <w:szCs w:val="24"/>
        </w:rPr>
        <w:t>第五条  基金</w:t>
      </w:r>
      <w:bookmarkStart w:id="34" w:name="_Toc296551341"/>
      <w:r>
        <w:rPr>
          <w:rFonts w:hint="eastAsia"/>
          <w:bCs/>
          <w:color w:val="auto"/>
          <w:szCs w:val="24"/>
        </w:rPr>
        <w:t>财产保管</w:t>
      </w:r>
      <w:bookmarkEnd w:id="33"/>
    </w:p>
    <w:p w14:paraId="4B02DC87" w14:textId="77777777" w:rsidR="000E48ED" w:rsidRDefault="003A7B23">
      <w:pPr>
        <w:pStyle w:val="20"/>
        <w:spacing w:before="0" w:after="0" w:line="520" w:lineRule="exact"/>
        <w:ind w:left="0" w:firstLineChars="200" w:firstLine="480"/>
        <w:rPr>
          <w:rFonts w:hAnsi="宋体"/>
          <w:szCs w:val="24"/>
        </w:rPr>
      </w:pPr>
      <w:bookmarkStart w:id="35" w:name="_Hlk88049391"/>
      <w:r>
        <w:rPr>
          <w:rFonts w:hAnsi="宋体" w:hint="eastAsia"/>
          <w:szCs w:val="24"/>
        </w:rPr>
        <w:t>5.1基金</w:t>
      </w:r>
      <w:bookmarkEnd w:id="34"/>
      <w:r>
        <w:rPr>
          <w:rFonts w:hAnsi="宋体" w:hint="eastAsia"/>
          <w:szCs w:val="24"/>
        </w:rPr>
        <w:t>财产保管的原则</w:t>
      </w:r>
    </w:p>
    <w:p w14:paraId="47D30694" w14:textId="77777777" w:rsidR="000E48ED" w:rsidRDefault="003A7B23">
      <w:pPr>
        <w:pStyle w:val="20"/>
        <w:spacing w:before="0" w:after="0" w:line="520" w:lineRule="exact"/>
        <w:ind w:left="0" w:firstLineChars="200" w:firstLine="480"/>
        <w:rPr>
          <w:rFonts w:hAnsi="宋体"/>
          <w:szCs w:val="24"/>
        </w:rPr>
      </w:pPr>
      <w:bookmarkStart w:id="36" w:name="_Hlk86417649"/>
      <w:r>
        <w:rPr>
          <w:rFonts w:hAnsi="宋体" w:hint="eastAsia"/>
          <w:szCs w:val="24"/>
        </w:rPr>
        <w:t>5.1.1基金财产应独立于基金管理人、基金托管人的固有财产。</w:t>
      </w:r>
    </w:p>
    <w:p w14:paraId="05B025F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51AC880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5.1.3基金托管人按照规定开设基金财产的资金账户、证券账户、期货结算账户等投资所需的其他账户。</w:t>
      </w:r>
    </w:p>
    <w:p w14:paraId="62EA9F6C"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5DF2E53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4A519B1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37B8CA0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5.2募集资金的验资</w:t>
      </w:r>
    </w:p>
    <w:p w14:paraId="472C541A"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5.2.1基金募集期间募集的资金应存于基金管理人在基金托管人的营业机构或在其他银行开立的基金募集专户，该账户由基金管理人委托的登记机构开立并管理。</w:t>
      </w:r>
    </w:p>
    <w:p w14:paraId="0AA33B3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法定验资机构验资，出具验资报告，出具的验资报告应由参加验资的2名以上（含2名）中国注册会计师签字方为有效。</w:t>
      </w:r>
    </w:p>
    <w:p w14:paraId="3322A72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w:t>
      </w:r>
      <w:r>
        <w:rPr>
          <w:rFonts w:hAnsi="宋体"/>
          <w:szCs w:val="24"/>
        </w:rPr>
        <w:t>基金托管人应当予以必要的协助和配合</w:t>
      </w:r>
      <w:r>
        <w:rPr>
          <w:rFonts w:hAnsi="宋体" w:hint="eastAsia"/>
          <w:szCs w:val="24"/>
        </w:rPr>
        <w:t>。</w:t>
      </w:r>
    </w:p>
    <w:p w14:paraId="537399F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5.3基金的银行账户的开立和管理</w:t>
      </w:r>
    </w:p>
    <w:p w14:paraId="14E7BE2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14:paraId="1975C07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5564A1B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109BD9B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5.4基金证券账户与证券资金账户的开设和管理：</w:t>
      </w:r>
    </w:p>
    <w:p w14:paraId="45FB45B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5.4.1基金托管人以基金托管人和本基金联名的方式在中国证券登记结算有限责任公司上海分公司/深圳分公司开设证券账户。</w:t>
      </w:r>
    </w:p>
    <w:p w14:paraId="53ADBB2B"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5.4.2基金托管人以基金托管人的名义在中国证券登记结算有限责任公司上海分公司/深圳分公司开立基金证券交易资金账户，用于证券交易资金的清算。</w:t>
      </w:r>
    </w:p>
    <w:p w14:paraId="4AF243FA"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5.4.3基金证券账户的开立和使用，限于满足开展本基金业务的需要。基金托管人和基金管理人不得出借和未经对方同意擅自转让基金的任何证券账户；亦不得使用基金的任何账户进行本基金业务以外的活动。</w:t>
      </w:r>
    </w:p>
    <w:p w14:paraId="4B26A21D"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5.5债券托管账户的开立和管理</w:t>
      </w:r>
    </w:p>
    <w:p w14:paraId="242619A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64B259A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5.5.2基金管理人负责为基金对外签订全国银行间国债市场回购主协议，协议正本由基金管理人保管。</w:t>
      </w:r>
    </w:p>
    <w:p w14:paraId="29265AE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5.6其他账户的开设和管理</w:t>
      </w:r>
    </w:p>
    <w:p w14:paraId="3F79ED5D" w14:textId="28483B58" w:rsidR="000E48ED" w:rsidRDefault="003A7B23">
      <w:pPr>
        <w:pStyle w:val="20"/>
        <w:spacing w:before="0" w:after="0" w:line="520" w:lineRule="exac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w:t>
      </w:r>
      <w:r w:rsidR="00900DB1">
        <w:rPr>
          <w:rFonts w:hAnsi="宋体" w:hint="eastAsia"/>
          <w:szCs w:val="24"/>
        </w:rPr>
        <w:t>基金</w:t>
      </w:r>
      <w:r>
        <w:rPr>
          <w:rFonts w:hAnsi="宋体" w:hint="eastAsia"/>
          <w:szCs w:val="24"/>
        </w:rPr>
        <w:t>托管人根据有关法律法规的规定和基金合同的约定，开立有关账户。该账户按有关规则使用并管理。</w:t>
      </w:r>
    </w:p>
    <w:p w14:paraId="4393F16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5.7基金财产投资的有关实物证券等有价凭证的保管</w:t>
      </w:r>
    </w:p>
    <w:p w14:paraId="1DA02C52" w14:textId="6A653316" w:rsidR="000E48ED" w:rsidRDefault="003A7B23">
      <w:pPr>
        <w:pStyle w:val="20"/>
        <w:spacing w:before="0" w:after="0" w:line="520" w:lineRule="exact"/>
        <w:ind w:left="0" w:firstLineChars="200" w:firstLine="480"/>
        <w:rPr>
          <w:rFonts w:hAnsi="宋体"/>
          <w:szCs w:val="24"/>
        </w:rPr>
      </w:pPr>
      <w:r>
        <w:rPr>
          <w:rFonts w:hAnsi="宋体" w:hint="eastAsia"/>
          <w:szCs w:val="24"/>
        </w:rPr>
        <w:t>基金财产投资的有关实物证券等有价凭证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等有价凭证的购买和转让，由基金托管人根据基金管理人的指令办理。属于基金托管人控制下的实物证券在基金托管人保管期间因</w:t>
      </w:r>
      <w:r w:rsidR="00F717E1">
        <w:rPr>
          <w:rFonts w:hAnsi="宋体" w:hint="eastAsia"/>
          <w:szCs w:val="24"/>
        </w:rPr>
        <w:t>基金</w:t>
      </w:r>
      <w:r>
        <w:rPr>
          <w:rFonts w:hAnsi="宋体" w:hint="eastAsia"/>
          <w:szCs w:val="24"/>
        </w:rPr>
        <w:t>托管人自身的过错导致的损坏、灭失，由此产生的责任应由基金托管人承担，</w:t>
      </w:r>
      <w:r>
        <w:rPr>
          <w:rFonts w:hint="eastAsia"/>
        </w:rPr>
        <w:t>法律法规另有规定的除外</w:t>
      </w:r>
      <w:r>
        <w:rPr>
          <w:rFonts w:hAnsi="宋体" w:hint="eastAsia"/>
          <w:szCs w:val="24"/>
        </w:rPr>
        <w:t>。基金托管人对基金托管人以外机构实际有效控制的证券不承担保管责任。</w:t>
      </w:r>
    </w:p>
    <w:p w14:paraId="24D118F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5.8与基金财产有关的重大合同的保管</w:t>
      </w:r>
    </w:p>
    <w:p w14:paraId="04B760AD"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尽量保证基金一方持有两份以上的正本原件，以便基金管理人和基金托管人至少各持有一份正本的原件。基金管理人在合同签署后30个工作日内通过专人送达、挂号邮寄等安全方式将合同送</w:t>
      </w:r>
      <w:r>
        <w:rPr>
          <w:rFonts w:hAnsi="宋体" w:hint="eastAsia"/>
          <w:szCs w:val="24"/>
        </w:rPr>
        <w:lastRenderedPageBreak/>
        <w:t>达基金托管人处。合同应存放于基金管理人和基金托管人各自文件保管部门，保存期限不少于20年，</w:t>
      </w:r>
      <w:r>
        <w:rPr>
          <w:rFonts w:hAnsi="宋体"/>
          <w:szCs w:val="24"/>
        </w:rPr>
        <w:t>法律法规另有规定</w:t>
      </w:r>
      <w:r>
        <w:rPr>
          <w:rFonts w:hAnsi="宋体" w:hint="eastAsia"/>
          <w:szCs w:val="24"/>
        </w:rPr>
        <w:t>的</w:t>
      </w:r>
      <w:r>
        <w:rPr>
          <w:rFonts w:hAnsi="宋体"/>
          <w:szCs w:val="24"/>
        </w:rPr>
        <w:t>，从其规定</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bookmarkEnd w:id="35"/>
      <w:bookmarkEnd w:id="36"/>
    </w:p>
    <w:p w14:paraId="0A046F05" w14:textId="77777777" w:rsidR="000E48ED" w:rsidRDefault="000E48ED">
      <w:pPr>
        <w:pStyle w:val="20"/>
        <w:spacing w:before="0" w:after="0" w:line="520" w:lineRule="exact"/>
        <w:ind w:left="0" w:firstLineChars="200" w:firstLine="480"/>
        <w:rPr>
          <w:rFonts w:hAnsi="宋体"/>
          <w:szCs w:val="24"/>
        </w:rPr>
      </w:pPr>
    </w:p>
    <w:p w14:paraId="6723BFB2" w14:textId="77777777" w:rsidR="000E48ED" w:rsidRDefault="003A7B23">
      <w:pPr>
        <w:pStyle w:val="1"/>
        <w:spacing w:line="520" w:lineRule="exact"/>
        <w:ind w:firstLineChars="200" w:firstLine="482"/>
        <w:rPr>
          <w:bCs/>
          <w:color w:val="auto"/>
          <w:szCs w:val="24"/>
        </w:rPr>
      </w:pPr>
      <w:bookmarkStart w:id="37" w:name="_Toc84945738"/>
      <w:r>
        <w:rPr>
          <w:rFonts w:hint="eastAsia"/>
          <w:bCs/>
          <w:color w:val="auto"/>
          <w:szCs w:val="24"/>
        </w:rPr>
        <w:t>第六条  指令</w:t>
      </w:r>
      <w:bookmarkStart w:id="38" w:name="_Toc296551342"/>
      <w:r>
        <w:rPr>
          <w:rFonts w:hint="eastAsia"/>
          <w:bCs/>
          <w:color w:val="auto"/>
          <w:szCs w:val="24"/>
        </w:rPr>
        <w:t>的发送、确认和执行</w:t>
      </w:r>
      <w:bookmarkEnd w:id="37"/>
    </w:p>
    <w:p w14:paraId="617E084C"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6.1基金管理人对发送指令人员的书面授权</w:t>
      </w:r>
    </w:p>
    <w:p w14:paraId="3B11366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基金托管人在发出确认回函之日授权通知生效。基金管理人和基金托管人对授权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1E60213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6.2指令的内容</w:t>
      </w:r>
    </w:p>
    <w:p w14:paraId="68E75674"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0DEC9CAD"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6.3指令的发送、确认和执行的时间和程序</w:t>
      </w:r>
    </w:p>
    <w:p w14:paraId="494347FA"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6.3.1指令由“授权通知”确定的有权发送人（以下简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为2小时。由基金管理</w:t>
      </w:r>
      <w:proofErr w:type="gramStart"/>
      <w:r>
        <w:rPr>
          <w:rFonts w:hAnsi="宋体" w:hint="eastAsia"/>
          <w:szCs w:val="24"/>
        </w:rPr>
        <w:t>人</w:t>
      </w:r>
      <w:r>
        <w:rPr>
          <w:rFonts w:hAnsi="宋体" w:hint="eastAsia"/>
          <w:szCs w:val="24"/>
        </w:rPr>
        <w:lastRenderedPageBreak/>
        <w:t>原因</w:t>
      </w:r>
      <w:proofErr w:type="gramEnd"/>
      <w:r>
        <w:rPr>
          <w:rFonts w:hAnsi="宋体" w:hint="eastAsia"/>
          <w:szCs w:val="24"/>
        </w:rPr>
        <w:t>造成的指令传输不及时、未能留出足够划款所需时间，基金托管人不承担资金未能及时到账所造成的损失。</w:t>
      </w:r>
    </w:p>
    <w:p w14:paraId="352D255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6.3.2基金托管人对基金管理人发出的划款指令进行形式审核，基金托管人不对任何文件承担实质性审查义务，不负责审查划款指令的真实性，不负责审查相关交易依据的真实性、合法性和合理性，即审核以下内容：仅对划款指令书的印鉴及被授权人签字等通过肉眼辨识的方式与预留印鉴及签字样本进行比对，包括是否相符、资金用途说明是否与所提供的交易依据一致、是否符合国家法律法规的规定、基金合同及本协议的约定、划款指令书面内容是否完整等，形式上不存在重大差异的，即视为通过表面审查。基金管理人出具的划款指令中的编号不属于指令要素，属于基金管理人内部业务信息，基金托管人不对指令编号承担任何审核职责；基金管理人应确保其在划款指令通知书中填写的内容真实、准确、完整，划款指令编号不存在重复、遗漏、错误、不连续。基金托管人不负责审查划款指令书的真实性，不负责审查相关交易依据的真实性、合法性和合理性。</w:t>
      </w:r>
      <w:r>
        <w:rPr>
          <w:rFonts w:hAnsi="宋体" w:hint="eastAsia"/>
          <w:b/>
          <w:szCs w:val="24"/>
        </w:rPr>
        <w:t>如因基金管理人提供的上述文件不合法、不真实、不完整或失去效力而影响基金托管人的审核或给任何第三人带来损失，基金托管人不承担任何形式的责任。</w:t>
      </w:r>
    </w:p>
    <w:p w14:paraId="1FFDC36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6.3.3基金托管人应指定专人接收基金管理人的指令，预先通知基金管理人其名单，并与基金管理人商定指令发送和接收方式。基金托管人收到基金管理人发送的指令后，应立即审慎验证有关内容及印鉴和签名，复核无误后应在规定期限内执行，不得延误。</w:t>
      </w:r>
    </w:p>
    <w:p w14:paraId="653D657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6.3.4基金管理人向基金托管人下达指令时，应确保基金银行账户有足够的资金余额，对基金管理人在没有充足资金的情况下向基金托管人发出的指令，基金托管人可不予执行，并立即通知基金管理人，</w:t>
      </w:r>
      <w:r>
        <w:rPr>
          <w:rFonts w:hAnsi="宋体" w:hint="eastAsia"/>
          <w:b/>
          <w:szCs w:val="24"/>
        </w:rPr>
        <w:t>基金托管人不承担因为不执行该指令而造成损失的责任。基金托管人有权督促基金管理人积极采取措施、最大程度控制违约交收风险与相关损失，并报告中国证监会。</w:t>
      </w:r>
    </w:p>
    <w:p w14:paraId="7F6A380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6.3.5基金管理人应将同业市场国债交易通知单加盖预留印鉴后传真给基金托管人。</w:t>
      </w:r>
    </w:p>
    <w:p w14:paraId="28F5694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6.4基金管理人发送错误指令的情形和处理程序</w:t>
      </w:r>
    </w:p>
    <w:p w14:paraId="69D46364"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6.4.1基金管理人发送错误指令的情形包括指令违反相关法律法规或基金合同</w:t>
      </w:r>
      <w:r>
        <w:rPr>
          <w:rFonts w:hAnsi="宋体" w:hint="eastAsia"/>
          <w:szCs w:val="24"/>
        </w:rPr>
        <w:lastRenderedPageBreak/>
        <w:t>的规定、指令发送人员无权或超越权限发送指令及交割信息错误，指令中重要信息模糊不清或不全等。</w:t>
      </w:r>
    </w:p>
    <w:p w14:paraId="13F5DFAD"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5A92BC5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6.5基金托管人依照法律法规暂缓、拒绝执行指令的情形和处理程序</w:t>
      </w:r>
    </w:p>
    <w:p w14:paraId="4A508DA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或不予执行，并应及时以书面形式通知基金管理人纠正，基金托管人不承担任何损失和责任。对基金管理人更正并重新发送后的指令经基金托管人核对确认后方能执行。</w:t>
      </w:r>
    </w:p>
    <w:p w14:paraId="0F56378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6.6基金托管人未按照基金管理人指令执行的处理方法</w:t>
      </w:r>
    </w:p>
    <w:p w14:paraId="799CE7F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基金托管人由于自身原因造成未按照或者未及时按照基金管理人发送的符合法律法规规定以及基金合同约定的指令执行，给基金份额持有人或</w:t>
      </w:r>
      <w:r>
        <w:rPr>
          <w:rFonts w:hAnsi="宋体"/>
          <w:szCs w:val="24"/>
        </w:rPr>
        <w:t>基金财产</w:t>
      </w:r>
      <w:r>
        <w:rPr>
          <w:rFonts w:hAnsi="宋体" w:hint="eastAsia"/>
          <w:szCs w:val="24"/>
        </w:rPr>
        <w:t>造成损失的，应负赔偿责任。</w:t>
      </w:r>
    </w:p>
    <w:p w14:paraId="137B07B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6.7更换被授权人的程序</w:t>
      </w:r>
    </w:p>
    <w:p w14:paraId="71E367AB"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管理人撤换被授权人员或改变被授权人员的权限，必须提前至少1个交易日，使用传真向基金托管人发出由基金管理人签字和盖章的被授权人变更通知，同时电话通知基金托管人，基金托管人收到变更通知当日将回函书面传真基金管理人并通过电话向基金管理人确认。被授权人变更通知，自基金管理人收到基金托管人以传真形式发出的回函确认时开始生效。基金管理人在此后5日内将被授权人变更通知的正本送交基金托管人。被授权人变更通知的正本应与传真内容一致，若有不一致的，以基金托管人收到的传真件为准。</w:t>
      </w:r>
      <w:r>
        <w:rPr>
          <w:rFonts w:hAnsi="宋体" w:hint="eastAsia"/>
          <w:b/>
          <w:szCs w:val="24"/>
        </w:rPr>
        <w:t>基金管理人更换被授权人通知生效后，对于已被撤换的人员无权发送的指令，或被改变授权人员超权限发送的指令，基金管理人不承担责任</w:t>
      </w:r>
      <w:r>
        <w:rPr>
          <w:rFonts w:hAnsi="宋体" w:hint="eastAsia"/>
          <w:szCs w:val="24"/>
        </w:rPr>
        <w:t>。</w:t>
      </w:r>
      <w:bookmarkEnd w:id="38"/>
    </w:p>
    <w:p w14:paraId="3C0CFED0" w14:textId="77777777" w:rsidR="000E48ED" w:rsidRDefault="000E48ED">
      <w:pPr>
        <w:pStyle w:val="20"/>
        <w:spacing w:before="0" w:after="0" w:line="520" w:lineRule="exact"/>
        <w:ind w:left="0" w:firstLineChars="200" w:firstLine="480"/>
        <w:rPr>
          <w:rFonts w:hAnsi="宋体"/>
          <w:szCs w:val="24"/>
        </w:rPr>
      </w:pPr>
    </w:p>
    <w:p w14:paraId="5998366C" w14:textId="77777777" w:rsidR="000E48ED" w:rsidRDefault="003A7B23">
      <w:pPr>
        <w:pStyle w:val="1"/>
        <w:spacing w:line="560" w:lineRule="exact"/>
        <w:ind w:firstLineChars="200" w:firstLine="482"/>
        <w:rPr>
          <w:bCs/>
          <w:color w:val="auto"/>
          <w:szCs w:val="24"/>
        </w:rPr>
      </w:pPr>
      <w:bookmarkStart w:id="39" w:name="_Toc84945739"/>
      <w:r>
        <w:rPr>
          <w:rFonts w:hint="eastAsia"/>
          <w:bCs/>
          <w:color w:val="auto"/>
          <w:szCs w:val="24"/>
        </w:rPr>
        <w:t>第七条  交易</w:t>
      </w:r>
      <w:bookmarkStart w:id="40" w:name="_Toc296551343"/>
      <w:r>
        <w:rPr>
          <w:rFonts w:hint="eastAsia"/>
          <w:bCs/>
          <w:color w:val="auto"/>
          <w:szCs w:val="24"/>
        </w:rPr>
        <w:t>及清算交收安排</w:t>
      </w:r>
      <w:bookmarkEnd w:id="39"/>
    </w:p>
    <w:p w14:paraId="3F6CA44D"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7.1选择代理证券、期货买卖的证券、期货经纪机构</w:t>
      </w:r>
    </w:p>
    <w:p w14:paraId="45E7FA5C"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7.1.1基金管理人应制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w:t>
      </w:r>
      <w:r>
        <w:rPr>
          <w:rFonts w:hAnsi="宋体" w:hint="eastAsia"/>
          <w:szCs w:val="24"/>
        </w:rPr>
        <w:lastRenderedPageBreak/>
        <w:t>的专用交易单元。基金管理人和被选中的证券经营机构签订交易单元租用协议，由基金管理人提前通知基金托管人，并在法定信息披露公告中披露有关内容。</w:t>
      </w:r>
    </w:p>
    <w:p w14:paraId="6F7C73D6"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7.1.2基金管理人应及时将基金专用交易单元号、佣金费率等基本信息以及变更情况及时以书面形式通知基金托管人。</w:t>
      </w:r>
    </w:p>
    <w:p w14:paraId="1474BF79"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w:t>
      </w:r>
      <w:r>
        <w:rPr>
          <w:rFonts w:hAnsi="宋体"/>
          <w:szCs w:val="24"/>
        </w:rPr>
        <w:t>.1.3</w:t>
      </w:r>
      <w:r>
        <w:rPr>
          <w:rFonts w:hAnsi="宋体" w:hint="eastAsia"/>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DE239A1"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7.2基金投资证券后的清算交收安排</w:t>
      </w:r>
    </w:p>
    <w:p w14:paraId="4AC9C9ED"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7.2.1基金管理人和基金托管人在基金清算和交收中的责任</w:t>
      </w:r>
    </w:p>
    <w:p w14:paraId="3A546D47"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基金管理人与基金托管人应根据有关法律法规及相关业务规则，签订《证券交易资金结算协议》，用以具体明确基金管理人与基金托管人在证券交易资金结算业务中的责任。</w:t>
      </w:r>
    </w:p>
    <w:p w14:paraId="53F11103"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基金</w:t>
      </w:r>
      <w:r>
        <w:rPr>
          <w:rFonts w:hAnsi="宋体"/>
          <w:szCs w:val="24"/>
        </w:rPr>
        <w:t>托管人、基金管理人应共同遵守</w:t>
      </w:r>
      <w:r>
        <w:rPr>
          <w:rFonts w:hAnsi="宋体" w:hint="eastAsia"/>
          <w:szCs w:val="24"/>
        </w:rPr>
        <w:t>中国证券</w:t>
      </w:r>
      <w:r>
        <w:rPr>
          <w:rFonts w:hAnsi="宋体"/>
          <w:szCs w:val="24"/>
        </w:rPr>
        <w:t>登记结算有限责任公司</w:t>
      </w:r>
      <w:r>
        <w:rPr>
          <w:rFonts w:hAnsi="宋体" w:hint="eastAsia"/>
          <w:szCs w:val="24"/>
        </w:rPr>
        <w:t>制定</w:t>
      </w:r>
      <w:r>
        <w:rPr>
          <w:rFonts w:hAnsi="宋体"/>
          <w:szCs w:val="24"/>
        </w:rPr>
        <w:t>的相关业务规则和规定，该等规则和规定自动成为</w:t>
      </w:r>
      <w:r>
        <w:rPr>
          <w:rFonts w:hAnsi="宋体" w:hint="eastAsia"/>
          <w:szCs w:val="24"/>
        </w:rPr>
        <w:t>本</w:t>
      </w:r>
      <w:r>
        <w:rPr>
          <w:rFonts w:hAnsi="宋体"/>
          <w:szCs w:val="24"/>
        </w:rPr>
        <w:t>条款约定内容。</w:t>
      </w:r>
      <w:r>
        <w:rPr>
          <w:rFonts w:hAnsi="宋体" w:hint="eastAsia"/>
          <w:szCs w:val="24"/>
        </w:rPr>
        <w:t>基金</w:t>
      </w:r>
      <w:r>
        <w:rPr>
          <w:rFonts w:hAnsi="宋体"/>
          <w:szCs w:val="24"/>
        </w:rPr>
        <w:t>管理人在</w:t>
      </w:r>
      <w:r>
        <w:rPr>
          <w:rFonts w:hAnsi="宋体" w:hint="eastAsia"/>
          <w:szCs w:val="24"/>
        </w:rPr>
        <w:t>投资前</w:t>
      </w:r>
      <w:r>
        <w:rPr>
          <w:rFonts w:hAnsi="宋体"/>
          <w:szCs w:val="24"/>
        </w:rPr>
        <w:t>，应充分知晓与理解</w:t>
      </w:r>
      <w:r>
        <w:rPr>
          <w:rFonts w:hAnsi="宋体" w:hint="eastAsia"/>
          <w:szCs w:val="24"/>
        </w:rPr>
        <w:t>中国证券</w:t>
      </w:r>
      <w:r>
        <w:rPr>
          <w:rFonts w:hAnsi="宋体"/>
          <w:szCs w:val="24"/>
        </w:rPr>
        <w:t>登记结算有限责任公司针对各类交易品种制定的结算业务规则和规定。</w:t>
      </w:r>
      <w:r>
        <w:rPr>
          <w:rFonts w:hAnsi="宋体" w:hint="eastAsia"/>
          <w:szCs w:val="24"/>
        </w:rPr>
        <w:t>对于</w:t>
      </w:r>
      <w:r>
        <w:rPr>
          <w:rFonts w:hAnsi="宋体"/>
          <w:szCs w:val="24"/>
        </w:rPr>
        <w:t>任何原因发生的证券资金交收违约事件，相关各方应当及时协商解决。</w:t>
      </w:r>
    </w:p>
    <w:p w14:paraId="62268039"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对基金管理人的资金划拨指令，基金托管人在复核无误后应在规定期限内执行，不得延误。本基金投资于证券发生的所有场内、场外交易的资金清算交割，全部由基金托管人负责办理。本基金证券投资的清算交割，由基金托管人通过中国证券登记结算有限责任公司上海分公司/深圳分公司及清算代理银行办理。</w:t>
      </w:r>
    </w:p>
    <w:p w14:paraId="7A11E644"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如果因基金托管</w:t>
      </w:r>
      <w:proofErr w:type="gramStart"/>
      <w:r>
        <w:rPr>
          <w:rFonts w:hAnsi="宋体" w:hint="eastAsia"/>
          <w:szCs w:val="24"/>
        </w:rPr>
        <w:t>人原因</w:t>
      </w:r>
      <w:proofErr w:type="gramEnd"/>
      <w:r>
        <w:rPr>
          <w:rFonts w:hAnsi="宋体" w:hint="eastAsia"/>
          <w:szCs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1BBBBD8F"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lastRenderedPageBreak/>
        <w:t>7.2.2基金出现超买或超卖的责任认定及处理程序</w:t>
      </w:r>
    </w:p>
    <w:p w14:paraId="0C63DE5C"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基金托管人在履行监督职能时，如果发现基金投资证券过程中出现超买或超卖现象，应立即提醒基金管理人，由基金管理人负责解决，由此给基金造成的损失由基金管理人承担。</w:t>
      </w:r>
    </w:p>
    <w:p w14:paraId="6E5626DE"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7.2.3基金无法按时支付证券清算款的责任认定及处理程序</w:t>
      </w:r>
    </w:p>
    <w:p w14:paraId="7A1DFC5E"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基金管理人应确保基金托管人在执行基金管理人发送的指令时，有足够的头寸进行交收。基金的资金头寸不足时，基金托管人有权拒绝基金管理人发送的划款指令，并及时通知基金管理人，督促基金管理人积极采取措施、最大程度控制违约交收风险与相关损失，并报告中国证监会。基金管理人在发送划款指令时应充分考虑基金托管人的划款处理所需的合理时间。如由于基金管理人的原因导致无法按时支付证券清算款，由此给基金造成的损失由基金管理人承担。</w:t>
      </w:r>
    </w:p>
    <w:p w14:paraId="6B67ADBD"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在基金资金头寸充足的情况下，基金托管人对基金管理人符合法律法规、基金合同、本托管协议的指令不得拖延或拒绝执行。如由于基金托管人的原因导致基金无法按时支付证券清算款，由此给基金造成的损失由基金托管人承担。</w:t>
      </w:r>
    </w:p>
    <w:p w14:paraId="038114CA"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7.3资金、证券账目及交易记录的核对</w:t>
      </w:r>
    </w:p>
    <w:p w14:paraId="0A0736DE"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7.3.1基金管理人与基金托管人按日进行交易记录的核对。对外披露各类基金份额净值之前，必须保证当天所有实际交易记录与基金会计账簿上的交易记录完全一致。如果实际交易记录与会计账簿记录不一致，造成基金会计核算不完整或不真实，由此导致的损失由责任方承担。</w:t>
      </w:r>
    </w:p>
    <w:p w14:paraId="51D09FF0"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7.3.2对基金的资金账目，由相关</w:t>
      </w:r>
      <w:proofErr w:type="gramStart"/>
      <w:r>
        <w:rPr>
          <w:rFonts w:hAnsi="宋体" w:hint="eastAsia"/>
          <w:szCs w:val="24"/>
        </w:rPr>
        <w:t>各方每</w:t>
      </w:r>
      <w:proofErr w:type="gramEnd"/>
      <w:r>
        <w:rPr>
          <w:rFonts w:hAnsi="宋体" w:hint="eastAsia"/>
          <w:szCs w:val="24"/>
        </w:rPr>
        <w:t>交易日对账一次，确保相关各方账</w:t>
      </w:r>
      <w:proofErr w:type="gramStart"/>
      <w:r>
        <w:rPr>
          <w:rFonts w:hAnsi="宋体" w:hint="eastAsia"/>
          <w:szCs w:val="24"/>
        </w:rPr>
        <w:t>账</w:t>
      </w:r>
      <w:proofErr w:type="gramEnd"/>
      <w:r>
        <w:rPr>
          <w:rFonts w:hAnsi="宋体" w:hint="eastAsia"/>
          <w:szCs w:val="24"/>
        </w:rPr>
        <w:t>相符。对基金证券账目，由相关</w:t>
      </w:r>
      <w:proofErr w:type="gramStart"/>
      <w:r>
        <w:rPr>
          <w:rFonts w:hAnsi="宋体" w:hint="eastAsia"/>
          <w:szCs w:val="24"/>
        </w:rPr>
        <w:t>各方每</w:t>
      </w:r>
      <w:proofErr w:type="gramEnd"/>
      <w:r>
        <w:rPr>
          <w:rFonts w:hAnsi="宋体" w:hint="eastAsia"/>
          <w:szCs w:val="24"/>
        </w:rPr>
        <w:t>交易日进行对账。对实物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14:paraId="4B94AA5B"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7.4申购、赎回、转换开放式基金的资金清算、数据传递及托管协议当事人的责任</w:t>
      </w:r>
    </w:p>
    <w:p w14:paraId="21583BAE"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7.4.1托管协议当事人在基金的申购赎回、转换中的责任</w:t>
      </w:r>
    </w:p>
    <w:p w14:paraId="50F634C9"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基金投资人可通过基金管理人的直销中心和其他销售机构的销售网点进行申</w:t>
      </w:r>
      <w:r>
        <w:rPr>
          <w:rFonts w:hAnsi="宋体" w:hint="eastAsia"/>
          <w:szCs w:val="24"/>
        </w:rPr>
        <w:lastRenderedPageBreak/>
        <w:t>购和赎回、转换申请，基金份额申购、赎回、转换的确认、清算由基金管理人或其委托的登记机构负责。基金托管人负责接收并确认资金的到账情况，以及依照基金管理人的投资指令来划付赎回款项。</w:t>
      </w:r>
    </w:p>
    <w:p w14:paraId="1053F42A"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7.4.2基金的数据传递</w:t>
      </w:r>
    </w:p>
    <w:p w14:paraId="7FCAAD5F"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基金管理人应保证本基金的登记机构于每个工作日15：00之前将本基金上一工作日的申购、赎回、转换的数据传送给基金托管人。基金管理人应对传递的数据的真实性、准确性和完整性负责。</w:t>
      </w:r>
    </w:p>
    <w:p w14:paraId="1D6A059B"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0765DAF6"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7.4.3基金的资金清算</w:t>
      </w:r>
    </w:p>
    <w:p w14:paraId="698DC610" w14:textId="77777777" w:rsidR="000E48ED" w:rsidRDefault="003A7B23">
      <w:pPr>
        <w:pStyle w:val="20"/>
        <w:spacing w:before="0" w:after="0" w:line="560" w:lineRule="exact"/>
        <w:ind w:left="0" w:firstLineChars="200" w:firstLine="480"/>
        <w:rPr>
          <w:rFonts w:hAnsi="宋体"/>
          <w:szCs w:val="24"/>
        </w:rPr>
      </w:pPr>
      <w:r>
        <w:rPr>
          <w:rFonts w:hAnsi="宋体" w:hint="eastAsia"/>
          <w:szCs w:val="24"/>
        </w:rPr>
        <w:t>基金托管账户与注册登记账户间的资金结算遵循“全额清算、净额交收”的原则，每日按照托管账户应收资金与应付资金的差额来确定托管账户净应收额或净应付额，以此确定资金交收额。</w:t>
      </w:r>
    </w:p>
    <w:p w14:paraId="7EF44493" w14:textId="0ACA93A4" w:rsidR="000E48ED" w:rsidRDefault="003A7B23">
      <w:pPr>
        <w:pStyle w:val="20"/>
        <w:spacing w:before="0" w:after="0" w:line="560" w:lineRule="exact"/>
        <w:ind w:left="0" w:firstLineChars="200" w:firstLine="480"/>
        <w:rPr>
          <w:rFonts w:hAnsi="宋体"/>
          <w:szCs w:val="24"/>
        </w:rPr>
      </w:pPr>
      <w:r>
        <w:rPr>
          <w:rFonts w:hAnsi="宋体" w:hint="eastAsia"/>
          <w:szCs w:val="24"/>
        </w:rPr>
        <w:t>如果当日基金为净应收款，基金管理人负责将托管账户净应收额在</w:t>
      </w:r>
      <w:proofErr w:type="gramStart"/>
      <w:r>
        <w:rPr>
          <w:rFonts w:hAnsi="宋体" w:hint="eastAsia"/>
          <w:szCs w:val="24"/>
        </w:rPr>
        <w:t>交收日</w:t>
      </w:r>
      <w:proofErr w:type="gramEnd"/>
      <w:r>
        <w:rPr>
          <w:rFonts w:hAnsi="宋体" w:hint="eastAsia"/>
          <w:szCs w:val="24"/>
        </w:rPr>
        <w:t>15:00前从注册登记账户划到基金托管账户，基金管理人应在15:00之前查询或者咨询</w:t>
      </w:r>
      <w:r w:rsidR="00225878">
        <w:rPr>
          <w:rFonts w:hAnsi="宋体" w:hint="eastAsia"/>
          <w:szCs w:val="24"/>
        </w:rPr>
        <w:t>基金</w:t>
      </w:r>
      <w:r>
        <w:rPr>
          <w:rFonts w:hAnsi="宋体" w:hint="eastAsia"/>
          <w:szCs w:val="24"/>
        </w:rPr>
        <w:t>托管人查询资金是否到账。如果当日基金为净应付款，基金托管人按基金管理人的划款指令将托管账户净应付额在</w:t>
      </w:r>
      <w:proofErr w:type="gramStart"/>
      <w:r>
        <w:rPr>
          <w:rFonts w:hAnsi="宋体" w:hint="eastAsia"/>
          <w:szCs w:val="24"/>
        </w:rPr>
        <w:t>交收日</w:t>
      </w:r>
      <w:proofErr w:type="gramEnd"/>
      <w:r>
        <w:rPr>
          <w:rFonts w:hAnsi="宋体" w:hint="eastAsia"/>
          <w:szCs w:val="24"/>
        </w:rPr>
        <w:t>12:00前</w:t>
      </w:r>
      <w:proofErr w:type="gramStart"/>
      <w:r>
        <w:rPr>
          <w:rFonts w:hAnsi="宋体" w:hint="eastAsia"/>
          <w:szCs w:val="24"/>
        </w:rPr>
        <w:t>划往注册</w:t>
      </w:r>
      <w:proofErr w:type="gramEnd"/>
      <w:r>
        <w:rPr>
          <w:rFonts w:hAnsi="宋体" w:hint="eastAsia"/>
          <w:szCs w:val="24"/>
        </w:rPr>
        <w:t>登记账户，对于未准时划付的资金，基金管理人应及时通知基金托管人划付，因基金托管</w:t>
      </w:r>
      <w:proofErr w:type="gramStart"/>
      <w:r>
        <w:rPr>
          <w:rFonts w:hAnsi="宋体" w:hint="eastAsia"/>
          <w:szCs w:val="24"/>
        </w:rPr>
        <w:t>人原因</w:t>
      </w:r>
      <w:proofErr w:type="gramEnd"/>
      <w:r>
        <w:rPr>
          <w:rFonts w:hAnsi="宋体" w:hint="eastAsia"/>
          <w:szCs w:val="24"/>
        </w:rPr>
        <w:t>导致延迟划付造成的损失由基金托管人承担。因基金托管专户没有足够的资金，导致基金托管人不能按时拨付，基金托管人应及时通知基金管理人。</w:t>
      </w:r>
      <w:bookmarkEnd w:id="40"/>
    </w:p>
    <w:p w14:paraId="7BF7C9C3" w14:textId="77777777" w:rsidR="000E48ED" w:rsidRDefault="000E48ED">
      <w:pPr>
        <w:pStyle w:val="20"/>
        <w:spacing w:before="0" w:after="0" w:line="520" w:lineRule="exact"/>
        <w:ind w:left="0" w:firstLineChars="200" w:firstLine="480"/>
        <w:rPr>
          <w:rFonts w:hAnsi="宋体"/>
          <w:szCs w:val="24"/>
        </w:rPr>
      </w:pPr>
    </w:p>
    <w:p w14:paraId="6C044289" w14:textId="77777777" w:rsidR="000E48ED" w:rsidRDefault="003A7B23">
      <w:pPr>
        <w:pStyle w:val="1"/>
        <w:spacing w:line="520" w:lineRule="exact"/>
        <w:ind w:firstLineChars="200" w:firstLine="482"/>
        <w:rPr>
          <w:bCs/>
          <w:color w:val="auto"/>
          <w:szCs w:val="24"/>
        </w:rPr>
      </w:pPr>
      <w:bookmarkStart w:id="41" w:name="_Toc84945740"/>
      <w:r>
        <w:rPr>
          <w:rFonts w:hint="eastAsia"/>
          <w:bCs/>
          <w:color w:val="auto"/>
          <w:szCs w:val="24"/>
        </w:rPr>
        <w:t>第八条  基金</w:t>
      </w:r>
      <w:bookmarkStart w:id="42" w:name="_Toc296551344"/>
      <w:r>
        <w:rPr>
          <w:rFonts w:hint="eastAsia"/>
          <w:bCs/>
          <w:color w:val="auto"/>
          <w:szCs w:val="24"/>
        </w:rPr>
        <w:t>资产净值计算和会计核算</w:t>
      </w:r>
      <w:bookmarkEnd w:id="41"/>
    </w:p>
    <w:p w14:paraId="7A7975FB" w14:textId="77777777" w:rsidR="000E48ED" w:rsidRDefault="003A7B23">
      <w:pPr>
        <w:pStyle w:val="20"/>
        <w:spacing w:before="0" w:after="0" w:line="520" w:lineRule="exact"/>
        <w:ind w:left="0" w:firstLineChars="200" w:firstLine="480"/>
        <w:rPr>
          <w:rFonts w:hAnsi="宋体"/>
          <w:szCs w:val="24"/>
        </w:rPr>
      </w:pPr>
      <w:bookmarkStart w:id="43" w:name="_Hlk86417832"/>
      <w:r>
        <w:rPr>
          <w:rFonts w:hAnsi="宋体" w:hint="eastAsia"/>
          <w:szCs w:val="24"/>
        </w:rPr>
        <w:t>8.1基金</w:t>
      </w:r>
      <w:bookmarkEnd w:id="42"/>
      <w:r>
        <w:rPr>
          <w:rFonts w:hAnsi="宋体" w:hint="eastAsia"/>
          <w:szCs w:val="24"/>
        </w:rPr>
        <w:t>资产净值的计算、复核的时间和程序</w:t>
      </w:r>
    </w:p>
    <w:p w14:paraId="20B013E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8.1.1基金资产净值是指基金资产总值减去基金负债后的价值。各类基金份额净值是按照每个工作日闭市后，该类基金资产净值除以当日该类基金份额的余额数</w:t>
      </w:r>
      <w:r>
        <w:rPr>
          <w:rFonts w:hAnsi="宋体" w:hint="eastAsia"/>
          <w:szCs w:val="24"/>
        </w:rPr>
        <w:lastRenderedPageBreak/>
        <w:t>量计算，精确到0.0001元，小数点后第5位四舍五入，由此产生的收益或损失由基金财产承担。</w:t>
      </w:r>
      <w:r>
        <w:rPr>
          <w:rFonts w:hAnsi="宋体"/>
          <w:szCs w:val="24"/>
        </w:rPr>
        <w:t>基金管理人可以设立大额赎回情形下的净值精度应急调整机制</w:t>
      </w:r>
      <w:r>
        <w:rPr>
          <w:rFonts w:hAnsi="宋体" w:hint="eastAsia"/>
          <w:szCs w:val="24"/>
        </w:rPr>
        <w:t>，具体可参见基金管理人届时的相关公告。国家法律法规另有规定的，从其规定。</w:t>
      </w:r>
    </w:p>
    <w:p w14:paraId="1DF81FD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8.1.2基金管理人</w:t>
      </w:r>
      <w:proofErr w:type="gramStart"/>
      <w:r>
        <w:rPr>
          <w:rFonts w:hAnsi="宋体" w:hint="eastAsia"/>
          <w:szCs w:val="24"/>
        </w:rPr>
        <w:t>应每个</w:t>
      </w:r>
      <w:proofErr w:type="gramEnd"/>
      <w:r>
        <w:rPr>
          <w:rFonts w:hAnsi="宋体" w:hint="eastAsia"/>
          <w:szCs w:val="24"/>
        </w:rPr>
        <w:t>工作日对基金资产估值，但基金管理人根据法律法规或基金合同的规定暂停估值时除外。估值原则应符合基金合同、《证券投资基金会计核算业务指引》及其他法律、法规的规定。</w:t>
      </w:r>
      <w:r>
        <w:rPr>
          <w:rFonts w:hAnsi="宋体" w:hint="eastAsia"/>
        </w:rPr>
        <w:t>基金资产净值和两类基金份额净值</w:t>
      </w:r>
      <w:r>
        <w:rPr>
          <w:rFonts w:hAnsi="宋体" w:hint="eastAsia"/>
          <w:szCs w:val="24"/>
        </w:rPr>
        <w:t>由基金管理人负责计算，基金托管人负责进行复核。基金管理人应于每个工作日交易结束后计算当日的基金资产净值和两类基金份额净值并以双方认可的方式发送给基金托管人。基金托管人对净值计算结果复核确认后以双方认可的方式发送给基金管理人，由基金管理人按约定对基金净值予以公布。</w:t>
      </w:r>
    </w:p>
    <w:p w14:paraId="52E976C8"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8.1.3根据《基金法》，基金管理人计算并公告基金净值信息，基金托管人复核、审查基金管理人计算的基金资产净值。</w:t>
      </w:r>
    </w:p>
    <w:p w14:paraId="617EB90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8.2基金资产估值方法</w:t>
      </w:r>
    </w:p>
    <w:p w14:paraId="558D7B10" w14:textId="77777777" w:rsidR="000E48ED" w:rsidRDefault="003A7B23">
      <w:pPr>
        <w:pStyle w:val="20"/>
        <w:spacing w:before="0" w:after="0" w:line="520" w:lineRule="exact"/>
        <w:ind w:left="0" w:firstLineChars="200" w:firstLine="480"/>
        <w:rPr>
          <w:rFonts w:hAnsi="宋体"/>
          <w:szCs w:val="24"/>
        </w:rPr>
      </w:pPr>
      <w:bookmarkStart w:id="44" w:name="_Hlk57804161"/>
      <w:r>
        <w:rPr>
          <w:rFonts w:hAnsi="宋体" w:hint="eastAsia"/>
          <w:szCs w:val="24"/>
        </w:rPr>
        <w:t>8.2.1估值对象</w:t>
      </w:r>
    </w:p>
    <w:p w14:paraId="2FB70B2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基金所拥有的债券、银行存款本息、应收款项、国债期货合约、其它投资等资产及负债。</w:t>
      </w:r>
    </w:p>
    <w:p w14:paraId="1C329D3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8.2.2估值方法</w:t>
      </w:r>
    </w:p>
    <w:p w14:paraId="5CC56772" w14:textId="77777777" w:rsidR="000E48ED" w:rsidRPr="001116EB" w:rsidRDefault="003A7B23" w:rsidP="001116EB">
      <w:pPr>
        <w:pStyle w:val="20"/>
        <w:spacing w:before="0" w:after="0" w:line="520" w:lineRule="exact"/>
        <w:ind w:left="0" w:firstLineChars="200" w:firstLine="480"/>
        <w:rPr>
          <w:rFonts w:hAnsi="宋体"/>
          <w:szCs w:val="24"/>
        </w:rPr>
      </w:pPr>
      <w:bookmarkStart w:id="45" w:name="_Hlk84944956"/>
      <w:bookmarkStart w:id="46" w:name="_Hlk85171707"/>
      <w:r w:rsidRPr="001116EB">
        <w:rPr>
          <w:rFonts w:hAnsi="宋体" w:hint="eastAsia"/>
          <w:szCs w:val="24"/>
        </w:rPr>
        <w:t>（</w:t>
      </w:r>
      <w:r w:rsidRPr="001116EB">
        <w:rPr>
          <w:rFonts w:hAnsi="宋体"/>
          <w:szCs w:val="24"/>
        </w:rPr>
        <w:t>1</w:t>
      </w:r>
      <w:r w:rsidRPr="001116EB">
        <w:rPr>
          <w:rFonts w:hAnsi="宋体" w:hint="eastAsia"/>
          <w:szCs w:val="24"/>
        </w:rPr>
        <w:t>）</w:t>
      </w:r>
      <w:r w:rsidRPr="001116EB">
        <w:rPr>
          <w:rFonts w:hAnsi="宋体"/>
          <w:szCs w:val="24"/>
        </w:rPr>
        <w:t>证券交易所上市的有价证券的估值</w:t>
      </w:r>
    </w:p>
    <w:bookmarkEnd w:id="45"/>
    <w:p w14:paraId="1C1E69EA" w14:textId="77777777" w:rsidR="000E48ED" w:rsidRDefault="003A7B23">
      <w:pPr>
        <w:spacing w:line="360" w:lineRule="auto"/>
        <w:ind w:firstLineChars="200" w:firstLine="480"/>
        <w:rPr>
          <w:bCs/>
          <w:sz w:val="24"/>
        </w:rPr>
      </w:pPr>
      <w:r>
        <w:rPr>
          <w:rFonts w:hint="eastAsia"/>
          <w:bCs/>
          <w:sz w:val="24"/>
        </w:rPr>
        <w:t>1</w:t>
      </w:r>
      <w:r>
        <w:rPr>
          <w:rFonts w:hint="eastAsia"/>
          <w:bCs/>
          <w:sz w:val="24"/>
        </w:rPr>
        <w:t>）对在交易所市场上市交易或挂牌转让的不含</w:t>
      </w:r>
      <w:proofErr w:type="gramStart"/>
      <w:r>
        <w:rPr>
          <w:rFonts w:hint="eastAsia"/>
          <w:bCs/>
          <w:sz w:val="24"/>
        </w:rPr>
        <w:t>权固定</w:t>
      </w:r>
      <w:proofErr w:type="gramEnd"/>
      <w:r>
        <w:rPr>
          <w:rFonts w:hint="eastAsia"/>
          <w:bCs/>
          <w:sz w:val="24"/>
        </w:rPr>
        <w:t>收益品种（基金合同另有规定的除外），选取第三方估值机构提供的相应品种当日的估值净价估值。</w:t>
      </w:r>
    </w:p>
    <w:p w14:paraId="55D20641" w14:textId="77777777" w:rsidR="000E48ED" w:rsidRDefault="003A7B23">
      <w:pPr>
        <w:spacing w:line="360" w:lineRule="auto"/>
        <w:ind w:firstLineChars="200" w:firstLine="480"/>
        <w:rPr>
          <w:bCs/>
          <w:sz w:val="24"/>
        </w:rPr>
      </w:pPr>
      <w:r>
        <w:rPr>
          <w:rFonts w:hint="eastAsia"/>
          <w:bCs/>
          <w:sz w:val="24"/>
        </w:rPr>
        <w:t>2</w:t>
      </w:r>
      <w:r>
        <w:rPr>
          <w:rFonts w:hint="eastAsia"/>
          <w:bCs/>
          <w:sz w:val="24"/>
        </w:rPr>
        <w:t>）对在交易所市场上市交易或挂牌转让的含</w:t>
      </w:r>
      <w:proofErr w:type="gramStart"/>
      <w:r>
        <w:rPr>
          <w:rFonts w:hint="eastAsia"/>
          <w:bCs/>
          <w:sz w:val="24"/>
        </w:rPr>
        <w:t>权固定</w:t>
      </w:r>
      <w:proofErr w:type="gramEnd"/>
      <w:r>
        <w:rPr>
          <w:rFonts w:hint="eastAsia"/>
          <w:bCs/>
          <w:sz w:val="24"/>
        </w:rPr>
        <w:t>收益品种（基金合同另有规定的除外），选取第三方估值机构提供的相应品种当日的唯一估值净价或推荐估值净价估值。</w:t>
      </w:r>
    </w:p>
    <w:p w14:paraId="7546DA0E" w14:textId="77777777" w:rsidR="000E48ED" w:rsidRDefault="003A7B23">
      <w:pPr>
        <w:spacing w:line="360" w:lineRule="auto"/>
        <w:ind w:firstLineChars="200" w:firstLine="480"/>
        <w:rPr>
          <w:bCs/>
          <w:sz w:val="24"/>
        </w:rPr>
      </w:pPr>
      <w:r>
        <w:rPr>
          <w:rFonts w:hint="eastAsia"/>
          <w:bCs/>
          <w:sz w:val="24"/>
        </w:rPr>
        <w:t>3</w:t>
      </w:r>
      <w:r>
        <w:rPr>
          <w:rFonts w:hint="eastAsia"/>
          <w:bCs/>
          <w:sz w:val="24"/>
        </w:rPr>
        <w:t>）交易所上市未实行净价交易的债券按估值日收盘价或第三方估值机构提供的相应品种当日的估值全价减去债券收盘价或估值全价中所含的债券应收利息得到的净价进行估值；估值日没有交易的，且最近交易日后经济环境未发生重大变化，按最近交易日债券收盘价或第三方估值机构提供的相应品种当日的估值全价减去债券收盘价或估值全价中所含的债券应收利息得到的净价进行估值。如最近交易日后经济环境发生了重大变化的，可参考类似投资品种的现行市价及重大变化因素，调整最近交易市价，确定公允价值。</w:t>
      </w:r>
    </w:p>
    <w:p w14:paraId="355BF8F6" w14:textId="1C8FC623" w:rsidR="000E48ED" w:rsidRPr="001A6638" w:rsidRDefault="003A7B23" w:rsidP="001116EB">
      <w:pPr>
        <w:spacing w:line="360" w:lineRule="auto"/>
        <w:ind w:firstLineChars="200" w:firstLine="480"/>
        <w:rPr>
          <w:bCs/>
          <w:sz w:val="24"/>
        </w:rPr>
      </w:pPr>
      <w:r w:rsidRPr="001A6638">
        <w:rPr>
          <w:rFonts w:hint="eastAsia"/>
          <w:bCs/>
          <w:sz w:val="24"/>
        </w:rPr>
        <w:lastRenderedPageBreak/>
        <w:t>4</w:t>
      </w:r>
      <w:r w:rsidRPr="001A6638">
        <w:rPr>
          <w:rFonts w:hint="eastAsia"/>
          <w:bCs/>
          <w:sz w:val="24"/>
        </w:rPr>
        <w:t>）交易所上市不存在活跃市场的有价证券，采用估值技术确定公允价值。</w:t>
      </w:r>
      <w:r w:rsidR="001A6638" w:rsidRPr="00AD0963">
        <w:rPr>
          <w:rFonts w:hint="eastAsia"/>
          <w:bCs/>
          <w:sz w:val="24"/>
        </w:rPr>
        <w:t>交易所上市的资产支持证券，采用估值技术确定公允价值。</w:t>
      </w:r>
    </w:p>
    <w:p w14:paraId="246ABE80" w14:textId="77777777" w:rsidR="000E48ED" w:rsidRDefault="003A7B2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在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采用估值技术确定其公允价值。</w:t>
      </w:r>
    </w:p>
    <w:p w14:paraId="2E1AF2C4" w14:textId="77777777" w:rsidR="000E48ED" w:rsidRDefault="003A7B2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AE020DE" w14:textId="77777777" w:rsidR="000E48ED" w:rsidRDefault="003A7B2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）同一证券同时在两个或两个以上市场交易的，按证券所处的市场分别估值。</w:t>
      </w:r>
    </w:p>
    <w:p w14:paraId="6359D26B" w14:textId="77777777" w:rsidR="000E48ED" w:rsidRDefault="003A7B2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）本基金投资国债期货合约，一般以估值当日结算价进行估值，估值日无结算价的，且最近交易日后经济环境未发生重大变化的，采用最近交易日结算价估值。</w:t>
      </w:r>
    </w:p>
    <w:p w14:paraId="07EA30AF" w14:textId="77777777" w:rsidR="000E48ED" w:rsidRDefault="003A7B2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）本基金投资同业存单，按估值日第三方估值机构提供的估值净价估值；选定的第三方估值机构未提供估值价格的，按成本估值。</w:t>
      </w:r>
    </w:p>
    <w:p w14:paraId="3E5A6CEF" w14:textId="77777777" w:rsidR="000E48ED" w:rsidRDefault="003A7B2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）本基金持有的银行存款和备付金余额以本金列示，按相应利率逐日计提利息。</w:t>
      </w:r>
    </w:p>
    <w:p w14:paraId="2E11F1FB" w14:textId="77777777" w:rsidR="000E48ED" w:rsidRDefault="003A7B2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）其他资产按法律法规或监管机构有关规定进行估值。</w:t>
      </w:r>
    </w:p>
    <w:p w14:paraId="017CE5E8" w14:textId="77777777" w:rsidR="000E48ED" w:rsidRDefault="003A7B23">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）如有确凿证据表明按上述方法进行估值不能客观反映其公允价值的，基金管理人可根据具体情况与基金托管人商定后，按最能反映公允价值的价格估值。</w:t>
      </w:r>
    </w:p>
    <w:p w14:paraId="2F8C9FD8" w14:textId="77777777" w:rsidR="000E48ED" w:rsidRDefault="003A7B23">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40DCDB8A" w14:textId="77777777" w:rsidR="000E48ED" w:rsidRDefault="003A7B23">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）相关法律法规以及监管部门有强制规定的，从其规定。如有新增事项，按国家最新规定估值。</w:t>
      </w:r>
    </w:p>
    <w:p w14:paraId="73DF19B4" w14:textId="77777777" w:rsidR="000E48ED" w:rsidRDefault="003A7B23">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w:t>
      </w:r>
      <w:r>
        <w:rPr>
          <w:rFonts w:hint="eastAsia"/>
          <w:bCs/>
          <w:sz w:val="24"/>
        </w:rPr>
        <w:lastRenderedPageBreak/>
        <w:t>共同查明原因，双方协商解决。</w:t>
      </w:r>
    </w:p>
    <w:p w14:paraId="50EA0B5F" w14:textId="77777777" w:rsidR="000E48ED" w:rsidRDefault="003A7B23">
      <w:pPr>
        <w:pStyle w:val="20"/>
        <w:spacing w:before="0" w:after="0" w:line="360" w:lineRule="auto"/>
        <w:ind w:left="0" w:firstLineChars="200" w:firstLine="480"/>
        <w:rPr>
          <w:rFonts w:hAnsi="宋体"/>
          <w:szCs w:val="24"/>
        </w:rPr>
      </w:pPr>
      <w:r>
        <w:rPr>
          <w:rFonts w:hint="eastAsia"/>
          <w:bCs/>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bookmarkStart w:id="47" w:name="_Hlk49420791"/>
      <w:bookmarkEnd w:id="46"/>
    </w:p>
    <w:p w14:paraId="3DC31474"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8.3估值差</w:t>
      </w:r>
      <w:bookmarkEnd w:id="47"/>
      <w:r>
        <w:rPr>
          <w:rFonts w:hAnsi="宋体" w:hint="eastAsia"/>
          <w:szCs w:val="24"/>
        </w:rPr>
        <w:t>错处理</w:t>
      </w:r>
    </w:p>
    <w:p w14:paraId="7FF470EA" w14:textId="77777777" w:rsidR="000E48ED" w:rsidRDefault="003A7B23">
      <w:pPr>
        <w:pStyle w:val="20"/>
        <w:spacing w:before="0" w:after="0" w:line="520" w:lineRule="exact"/>
        <w:ind w:left="0" w:firstLineChars="200" w:firstLine="480"/>
        <w:rPr>
          <w:rFonts w:hAnsi="宋体"/>
          <w:szCs w:val="24"/>
        </w:rPr>
      </w:pPr>
      <w:r>
        <w:rPr>
          <w:rFonts w:hAnsi="宋体"/>
          <w:szCs w:val="24"/>
        </w:rPr>
        <w:t>基金管理人和基金托管人将采取必要、适当、合理的措施确保基金资产估值的准确性、及时性。当本基金A类或C类基金份额净值小数点后</w:t>
      </w:r>
      <w:r>
        <w:rPr>
          <w:rFonts w:hAnsi="宋体" w:hint="eastAsia"/>
          <w:szCs w:val="24"/>
        </w:rPr>
        <w:t>4</w:t>
      </w:r>
      <w:r>
        <w:rPr>
          <w:rFonts w:hAnsi="宋体"/>
          <w:szCs w:val="24"/>
        </w:rPr>
        <w:t>位以内（含第</w:t>
      </w:r>
      <w:r>
        <w:rPr>
          <w:rFonts w:hAnsi="宋体" w:hint="eastAsia"/>
          <w:szCs w:val="24"/>
        </w:rPr>
        <w:t>4</w:t>
      </w:r>
      <w:r>
        <w:rPr>
          <w:rFonts w:hAnsi="宋体"/>
          <w:szCs w:val="24"/>
        </w:rPr>
        <w:t>位）发生估值错误时，视为基金份额净值错误。</w:t>
      </w:r>
    </w:p>
    <w:p w14:paraId="5F9CCBD9" w14:textId="77777777" w:rsidR="000E48ED" w:rsidRDefault="003A7B23">
      <w:pPr>
        <w:pStyle w:val="20"/>
        <w:spacing w:before="0" w:after="0" w:line="520" w:lineRule="exact"/>
        <w:ind w:left="0" w:firstLineChars="200" w:firstLine="480"/>
        <w:rPr>
          <w:rFonts w:hAnsi="宋体"/>
          <w:szCs w:val="24"/>
        </w:rPr>
      </w:pPr>
      <w:bookmarkStart w:id="48" w:name="_Hlk85172287"/>
      <w:r>
        <w:rPr>
          <w:rFonts w:hAnsi="宋体"/>
          <w:szCs w:val="24"/>
        </w:rPr>
        <w:t>基金合同的当事人应按照以下约定处理：</w:t>
      </w:r>
    </w:p>
    <w:p w14:paraId="1D453401" w14:textId="77777777" w:rsidR="000E48ED" w:rsidRDefault="003A7B23">
      <w:pPr>
        <w:pStyle w:val="20"/>
        <w:spacing w:before="0" w:after="0" w:line="520" w:lineRule="exact"/>
        <w:ind w:left="0" w:firstLineChars="200" w:firstLine="480"/>
        <w:rPr>
          <w:rFonts w:hAnsi="宋体"/>
          <w:szCs w:val="24"/>
        </w:rPr>
      </w:pPr>
      <w:r>
        <w:rPr>
          <w:rFonts w:hAnsi="宋体"/>
          <w:szCs w:val="24"/>
        </w:rPr>
        <w:t>8.3.1估值错误类型</w:t>
      </w:r>
    </w:p>
    <w:p w14:paraId="02E8BA9F" w14:textId="77777777" w:rsidR="000E48ED" w:rsidRDefault="003A7B23">
      <w:pPr>
        <w:pStyle w:val="20"/>
        <w:spacing w:before="0" w:after="0" w:line="520" w:lineRule="exact"/>
        <w:ind w:left="0" w:firstLineChars="200" w:firstLine="480"/>
        <w:rPr>
          <w:rFonts w:hAnsi="宋体"/>
          <w:szCs w:val="24"/>
        </w:rPr>
      </w:pPr>
      <w:r>
        <w:rPr>
          <w:rFonts w:hAnsi="宋体"/>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Ansi="宋体" w:hint="eastAsia"/>
          <w:szCs w:val="24"/>
        </w:rPr>
        <w:t>“</w:t>
      </w:r>
      <w:r>
        <w:rPr>
          <w:rFonts w:hAnsi="宋体"/>
          <w:szCs w:val="24"/>
        </w:rPr>
        <w:t>受损方</w:t>
      </w:r>
      <w:r>
        <w:rPr>
          <w:rFonts w:hAnsi="宋体" w:hint="eastAsia"/>
          <w:szCs w:val="24"/>
        </w:rPr>
        <w:t>”</w:t>
      </w:r>
      <w:r>
        <w:rPr>
          <w:rFonts w:hAnsi="宋体"/>
          <w:szCs w:val="24"/>
        </w:rPr>
        <w:t>）的直接损失按下述</w:t>
      </w:r>
      <w:r>
        <w:rPr>
          <w:rFonts w:hAnsi="宋体" w:hint="eastAsia"/>
          <w:szCs w:val="24"/>
        </w:rPr>
        <w:t>“</w:t>
      </w:r>
      <w:r>
        <w:rPr>
          <w:rFonts w:hAnsi="宋体"/>
          <w:szCs w:val="24"/>
        </w:rPr>
        <w:t>估值错误处理原则</w:t>
      </w:r>
      <w:r>
        <w:rPr>
          <w:rFonts w:hAnsi="宋体" w:hint="eastAsia"/>
          <w:szCs w:val="24"/>
        </w:rPr>
        <w:t>”</w:t>
      </w:r>
      <w:r>
        <w:rPr>
          <w:rFonts w:hAnsi="宋体"/>
          <w:szCs w:val="24"/>
        </w:rPr>
        <w:t>给予赔偿，承担赔偿责任。</w:t>
      </w:r>
    </w:p>
    <w:p w14:paraId="354C1857" w14:textId="77777777" w:rsidR="000E48ED" w:rsidRDefault="003A7B23">
      <w:pPr>
        <w:pStyle w:val="20"/>
        <w:spacing w:before="0" w:after="0" w:line="520" w:lineRule="exact"/>
        <w:ind w:left="0" w:firstLineChars="200" w:firstLine="480"/>
        <w:rPr>
          <w:rFonts w:hAnsi="宋体"/>
          <w:szCs w:val="24"/>
        </w:rPr>
      </w:pPr>
      <w:r>
        <w:rPr>
          <w:rFonts w:hAnsi="宋体"/>
          <w:szCs w:val="24"/>
        </w:rPr>
        <w:t>上述估值错误的主要类型包括但不限于：资料申报差错、数据传输差错、数据计算差错、系统故障差错、下达指令差错等。</w:t>
      </w:r>
    </w:p>
    <w:p w14:paraId="434E8C63" w14:textId="77777777" w:rsidR="000E48ED" w:rsidRDefault="003A7B23">
      <w:pPr>
        <w:pStyle w:val="20"/>
        <w:spacing w:before="0" w:after="0" w:line="520" w:lineRule="exact"/>
        <w:ind w:left="0" w:firstLineChars="200" w:firstLine="480"/>
        <w:rPr>
          <w:rFonts w:hAnsi="宋体"/>
          <w:szCs w:val="24"/>
        </w:rPr>
      </w:pPr>
      <w:bookmarkStart w:id="49" w:name="_Hlk86334802"/>
      <w:r>
        <w:rPr>
          <w:rFonts w:hAnsi="宋体" w:hint="eastAsia"/>
          <w:szCs w:val="24"/>
        </w:rPr>
        <w:t>基金托管人发现基金份额净值计价出现错误的，应提示基金管理人立即纠正，并采取合理措施防止损失进一步扩大。基金托管人发现基金份额净值计价出现重大错误或者估值出现重大偏离的，应当提示基金管理人依法履行披露和报告义务。</w:t>
      </w:r>
    </w:p>
    <w:bookmarkEnd w:id="49"/>
    <w:p w14:paraId="376C8716" w14:textId="77777777" w:rsidR="000E48ED" w:rsidRDefault="003A7B23">
      <w:pPr>
        <w:pStyle w:val="20"/>
        <w:spacing w:before="0" w:after="0" w:line="520" w:lineRule="exact"/>
        <w:ind w:left="0" w:firstLineChars="200" w:firstLine="480"/>
        <w:rPr>
          <w:rFonts w:hAnsi="宋体"/>
          <w:szCs w:val="24"/>
        </w:rPr>
      </w:pPr>
      <w:r>
        <w:rPr>
          <w:rFonts w:hAnsi="宋体"/>
          <w:szCs w:val="24"/>
        </w:rPr>
        <w:t>8.3.2估值错误处理原则</w:t>
      </w:r>
    </w:p>
    <w:p w14:paraId="598717A7" w14:textId="77777777" w:rsidR="000E48ED" w:rsidRDefault="003A7B23">
      <w:pPr>
        <w:pStyle w:val="20"/>
        <w:spacing w:before="0" w:after="0" w:line="520" w:lineRule="exact"/>
        <w:ind w:left="0" w:firstLineChars="200" w:firstLine="480"/>
        <w:rPr>
          <w:rFonts w:hAnsi="宋体"/>
          <w:szCs w:val="24"/>
        </w:rPr>
      </w:pPr>
      <w:r>
        <w:rPr>
          <w:rFonts w:hAnsi="宋体"/>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A35881" w14:textId="77777777"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hint="eastAsia"/>
          <w:szCs w:val="24"/>
        </w:rPr>
        <w:t>2</w:t>
      </w:r>
      <w:r>
        <w:rPr>
          <w:rFonts w:hAnsi="宋体"/>
          <w:szCs w:val="24"/>
        </w:rPr>
        <w:t>）估值错误的责任方对有关当事人的直接损失负责，不对间接损失负责，并且仅对估值错误的有关直接当事人负责，不对第三方负责。</w:t>
      </w:r>
    </w:p>
    <w:p w14:paraId="4B8729D9" w14:textId="77777777" w:rsidR="000E48ED" w:rsidRDefault="003A7B23">
      <w:pPr>
        <w:pStyle w:val="20"/>
        <w:spacing w:before="0" w:after="0" w:line="520" w:lineRule="exact"/>
        <w:ind w:left="0" w:firstLineChars="200" w:firstLine="480"/>
        <w:rPr>
          <w:rFonts w:hAnsi="宋体"/>
          <w:szCs w:val="24"/>
        </w:rPr>
      </w:pPr>
      <w:r>
        <w:rPr>
          <w:rFonts w:hAnsi="宋体"/>
          <w:szCs w:val="24"/>
        </w:rPr>
        <w:lastRenderedPageBreak/>
        <w:t>（</w:t>
      </w:r>
      <w:r>
        <w:rPr>
          <w:rFonts w:hAnsi="宋体" w:hint="eastAsia"/>
          <w:szCs w:val="24"/>
        </w:rPr>
        <w:t>3</w:t>
      </w:r>
      <w:r>
        <w:rPr>
          <w:rFonts w:hAnsi="宋体"/>
          <w:szCs w:val="24"/>
        </w:rPr>
        <w:t>）因估值错误而获得不当得利的当事人负有及时返还不当得利的义务。但估值错误责任方仍应对估值错误负责。如果由于获得不当得利的当事人</w:t>
      </w:r>
      <w:proofErr w:type="gramStart"/>
      <w:r>
        <w:rPr>
          <w:rFonts w:hAnsi="宋体"/>
          <w:szCs w:val="24"/>
        </w:rPr>
        <w:t>不</w:t>
      </w:r>
      <w:proofErr w:type="gramEnd"/>
      <w:r>
        <w:rPr>
          <w:rFonts w:hAnsi="宋体"/>
          <w:szCs w:val="24"/>
        </w:rPr>
        <w:t>返还或不全部返还不当得利造成其他当事人的利益损失（</w:t>
      </w:r>
      <w:r>
        <w:rPr>
          <w:rFonts w:hAnsi="宋体" w:hint="eastAsia"/>
          <w:szCs w:val="24"/>
        </w:rPr>
        <w:t>“</w:t>
      </w:r>
      <w:r>
        <w:rPr>
          <w:rFonts w:hAnsi="宋体"/>
          <w:szCs w:val="24"/>
        </w:rPr>
        <w:t>受损方</w:t>
      </w:r>
      <w:r>
        <w:rPr>
          <w:rFonts w:hAnsi="宋体" w:hint="eastAsia"/>
          <w:szCs w:val="24"/>
        </w:rPr>
        <w:t>”</w:t>
      </w:r>
      <w:r>
        <w:rPr>
          <w:rFonts w:hAnsi="宋体"/>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B5D53A2" w14:textId="77777777"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hint="eastAsia"/>
          <w:szCs w:val="24"/>
        </w:rPr>
        <w:t>4</w:t>
      </w:r>
      <w:r>
        <w:rPr>
          <w:rFonts w:hAnsi="宋体"/>
          <w:szCs w:val="24"/>
        </w:rPr>
        <w:t>）估值错误调整采用尽量恢复至假设未发生估值错误的正确情形的方式。</w:t>
      </w:r>
    </w:p>
    <w:p w14:paraId="665E339C" w14:textId="77777777" w:rsidR="000E48ED" w:rsidRDefault="003A7B23">
      <w:pPr>
        <w:pStyle w:val="20"/>
        <w:spacing w:before="0" w:after="0" w:line="520" w:lineRule="exact"/>
        <w:ind w:left="0" w:firstLineChars="200" w:firstLine="480"/>
        <w:rPr>
          <w:rFonts w:hAnsi="宋体"/>
          <w:szCs w:val="24"/>
        </w:rPr>
      </w:pPr>
      <w:r>
        <w:rPr>
          <w:rFonts w:hAnsi="宋体"/>
          <w:szCs w:val="24"/>
        </w:rPr>
        <w:t>8.3.3估值错误处理程序</w:t>
      </w:r>
    </w:p>
    <w:p w14:paraId="46EEC5A2" w14:textId="77777777" w:rsidR="000E48ED" w:rsidRDefault="003A7B23">
      <w:pPr>
        <w:pStyle w:val="20"/>
        <w:spacing w:before="0" w:after="0" w:line="520" w:lineRule="exact"/>
        <w:ind w:left="0" w:firstLineChars="200" w:firstLine="480"/>
        <w:rPr>
          <w:rFonts w:hAnsi="宋体"/>
          <w:szCs w:val="24"/>
        </w:rPr>
      </w:pPr>
      <w:r>
        <w:rPr>
          <w:rFonts w:hAnsi="宋体"/>
          <w:szCs w:val="24"/>
        </w:rPr>
        <w:t>估值错误被发现后，有关的当事人应当及时进行处理，处理的程序如下：</w:t>
      </w:r>
    </w:p>
    <w:p w14:paraId="5120A926" w14:textId="77777777" w:rsidR="000E48ED" w:rsidRDefault="003A7B23">
      <w:pPr>
        <w:pStyle w:val="20"/>
        <w:spacing w:before="0" w:after="0" w:line="520" w:lineRule="exact"/>
        <w:ind w:left="0" w:firstLineChars="200" w:firstLine="480"/>
        <w:rPr>
          <w:rFonts w:hAnsi="宋体"/>
          <w:szCs w:val="24"/>
        </w:rPr>
      </w:pPr>
      <w:r>
        <w:rPr>
          <w:rFonts w:hAnsi="宋体"/>
          <w:szCs w:val="24"/>
        </w:rPr>
        <w:t>（1）查明估值错误发生的原因，列明所有的当事人，并根据估值错误发生的原因确定估值错误的责任方；</w:t>
      </w:r>
    </w:p>
    <w:p w14:paraId="6D05F3B7" w14:textId="77777777"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hint="eastAsia"/>
          <w:szCs w:val="24"/>
        </w:rPr>
        <w:t>2</w:t>
      </w:r>
      <w:r>
        <w:rPr>
          <w:rFonts w:hAnsi="宋体"/>
          <w:szCs w:val="24"/>
        </w:rPr>
        <w:t>）根据估值错误处理原则或当事人协商的方法对因估值错误造成的损失进行评估；</w:t>
      </w:r>
    </w:p>
    <w:p w14:paraId="18639650" w14:textId="77777777"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hint="eastAsia"/>
          <w:szCs w:val="24"/>
        </w:rPr>
        <w:t>3</w:t>
      </w:r>
      <w:r>
        <w:rPr>
          <w:rFonts w:hAnsi="宋体"/>
          <w:szCs w:val="24"/>
        </w:rPr>
        <w:t>）根据估值错误处理原则或当事人协商的方法由估值错误的责任方进行更正和赔偿损失；</w:t>
      </w:r>
    </w:p>
    <w:p w14:paraId="3F8A4504" w14:textId="77777777"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hint="eastAsia"/>
          <w:szCs w:val="24"/>
        </w:rPr>
        <w:t>4</w:t>
      </w:r>
      <w:r>
        <w:rPr>
          <w:rFonts w:hAnsi="宋体"/>
          <w:szCs w:val="24"/>
        </w:rPr>
        <w:t>）根据估值错误处理的方法，需要修改基金登记机构交易数据的，由基金登记机构进行更正，并就估值错误的更正向有关当事人进行确认。</w:t>
      </w:r>
    </w:p>
    <w:p w14:paraId="36868F02" w14:textId="77777777" w:rsidR="000E48ED" w:rsidRDefault="003A7B23">
      <w:pPr>
        <w:pStyle w:val="20"/>
        <w:spacing w:before="0" w:after="0" w:line="520" w:lineRule="exact"/>
        <w:ind w:left="0" w:firstLineChars="200" w:firstLine="480"/>
        <w:rPr>
          <w:rFonts w:hAnsi="宋体"/>
          <w:szCs w:val="24"/>
        </w:rPr>
      </w:pPr>
      <w:r>
        <w:rPr>
          <w:rFonts w:hAnsi="宋体"/>
          <w:szCs w:val="24"/>
        </w:rPr>
        <w:t>8.3.4基金份额净值估值错误处理的方法如下：</w:t>
      </w:r>
    </w:p>
    <w:p w14:paraId="6329106C" w14:textId="77777777" w:rsidR="000E48ED" w:rsidRDefault="003A7B23">
      <w:pPr>
        <w:pStyle w:val="20"/>
        <w:spacing w:before="0" w:after="0" w:line="520" w:lineRule="exact"/>
        <w:ind w:left="0" w:firstLineChars="200" w:firstLine="480"/>
        <w:rPr>
          <w:rFonts w:hAnsi="宋体"/>
          <w:szCs w:val="24"/>
        </w:rPr>
      </w:pPr>
      <w:r>
        <w:rPr>
          <w:rFonts w:hAnsi="宋体"/>
          <w:szCs w:val="24"/>
        </w:rPr>
        <w:t>（1）基金份额净值计算出现错误时，基金管理人应当立即予以纠正，通报基金托管人，并采取合理的措施防止损失进一步扩大。</w:t>
      </w:r>
    </w:p>
    <w:p w14:paraId="3967F120" w14:textId="77777777"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hint="eastAsia"/>
          <w:szCs w:val="24"/>
        </w:rPr>
        <w:t>2</w:t>
      </w:r>
      <w:r>
        <w:rPr>
          <w:rFonts w:hAnsi="宋体"/>
          <w:szCs w:val="24"/>
        </w:rPr>
        <w:t>）错误偏差达到基金份额净值的0.25%时，基金管理人应当通报基金托管人并报中国证监会备案；错误偏差达到基金份额净值的0.5%时，基金管理人应当公告</w:t>
      </w:r>
      <w:r>
        <w:rPr>
          <w:rFonts w:hAnsi="宋体" w:hint="eastAsia"/>
          <w:szCs w:val="24"/>
        </w:rPr>
        <w:t>，并报中国证监会备案</w:t>
      </w:r>
      <w:r>
        <w:rPr>
          <w:rFonts w:hAnsi="宋体"/>
          <w:szCs w:val="24"/>
        </w:rPr>
        <w:t>。</w:t>
      </w:r>
    </w:p>
    <w:p w14:paraId="639A360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3</w:t>
      </w:r>
      <w:r>
        <w:rPr>
          <w:rFonts w:hAnsi="宋体" w:hint="eastAsia"/>
          <w:szCs w:val="24"/>
        </w:rPr>
        <w:t>）</w:t>
      </w:r>
      <w:r>
        <w:rPr>
          <w:rFonts w:hAnsi="宋体"/>
          <w:szCs w:val="24"/>
        </w:rPr>
        <w:t>前述内容如法律法规或监管机关另有规定的，从其规定处理。</w:t>
      </w:r>
      <w:r>
        <w:rPr>
          <w:rFonts w:hAnsi="宋体" w:hint="eastAsia"/>
          <w:szCs w:val="24"/>
        </w:rPr>
        <w:t>如果行业另有通行做法，基金管理人及基金托管人应本着平等和保护基金份额持有人利益的原则进行协商。</w:t>
      </w:r>
    </w:p>
    <w:bookmarkEnd w:id="48"/>
    <w:p w14:paraId="2E18CAB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8.3.</w:t>
      </w:r>
      <w:r>
        <w:rPr>
          <w:rFonts w:hAnsi="宋体"/>
          <w:szCs w:val="24"/>
        </w:rPr>
        <w:t>5</w:t>
      </w:r>
      <w:r>
        <w:rPr>
          <w:rFonts w:hAnsi="宋体" w:hint="eastAsia"/>
          <w:szCs w:val="24"/>
        </w:rPr>
        <w:t>特殊情况的处理</w:t>
      </w:r>
    </w:p>
    <w:p w14:paraId="0824E21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基金管理人或基金托管人按上述估值方法第（9）项进行估值时，所造成的误差不作为基金资产估值错误处理。</w:t>
      </w:r>
    </w:p>
    <w:p w14:paraId="0A0139A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由于不可抗力原因，或由于证券/期货交易所、登记结算机构、存款银行等机构发送的数据错误等原因，基金管理人和基金托管人虽然已经采取必要、适当、合理的措施进行检查，但是未能发现该错误或</w:t>
      </w:r>
      <w:proofErr w:type="gramStart"/>
      <w:r>
        <w:rPr>
          <w:rFonts w:hAnsi="宋体" w:hint="eastAsia"/>
          <w:szCs w:val="24"/>
        </w:rPr>
        <w:t>虽发现</w:t>
      </w:r>
      <w:proofErr w:type="gramEnd"/>
      <w:r>
        <w:rPr>
          <w:rFonts w:hAnsi="宋体" w:hint="eastAsia"/>
          <w:szCs w:val="24"/>
        </w:rPr>
        <w:t>错误但因前述原因无法及时更正的，由此造成的基金份额净值计算错误，基金管理人和基金托管人免除赔偿责任，但基金管理人、基金托管人应当积极采取必要的措施减轻或消除由此造成的影响。</w:t>
      </w:r>
    </w:p>
    <w:bookmarkEnd w:id="44"/>
    <w:p w14:paraId="6C0DC48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8.4基金账册的建立</w:t>
      </w:r>
    </w:p>
    <w:p w14:paraId="673A9CA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4E99AD6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789F363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8.5基金定期报告的编制和复核</w:t>
      </w:r>
    </w:p>
    <w:p w14:paraId="0EEFD358"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8.5.1基金财务报表由基金管理人和基金托管人每</w:t>
      </w:r>
      <w:proofErr w:type="gramStart"/>
      <w:r>
        <w:rPr>
          <w:rFonts w:hAnsi="宋体" w:hint="eastAsia"/>
          <w:szCs w:val="24"/>
        </w:rPr>
        <w:t>月分别独立</w:t>
      </w:r>
      <w:proofErr w:type="gramEnd"/>
      <w:r>
        <w:rPr>
          <w:rFonts w:hAnsi="宋体" w:hint="eastAsia"/>
          <w:szCs w:val="24"/>
        </w:rPr>
        <w:t>编制。月度报表的编制，应于每月终了后5个工作日内完成。</w:t>
      </w:r>
    </w:p>
    <w:p w14:paraId="218B981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8.5.2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356318D"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CB7B27C"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基金管理人在每个季度结束之日起15个工作日内完成季度报告编制并公告；</w:t>
      </w:r>
      <w:r>
        <w:rPr>
          <w:rFonts w:hAnsi="宋体" w:hint="eastAsia"/>
          <w:szCs w:val="24"/>
        </w:rPr>
        <w:lastRenderedPageBreak/>
        <w:t>在</w:t>
      </w:r>
      <w:r>
        <w:rPr>
          <w:bCs/>
        </w:rPr>
        <w:t>上半年结束之日起</w:t>
      </w:r>
      <w:r>
        <w:rPr>
          <w:rFonts w:hAnsi="宋体" w:hint="eastAsia"/>
          <w:szCs w:val="24"/>
        </w:rPr>
        <w:t>两个月内完成中期报告编制并公告；在</w:t>
      </w:r>
      <w:r>
        <w:rPr>
          <w:bCs/>
        </w:rPr>
        <w:t>每年结束之日起</w:t>
      </w:r>
      <w:r>
        <w:rPr>
          <w:rFonts w:hAnsi="宋体" w:hint="eastAsia"/>
          <w:szCs w:val="24"/>
        </w:rPr>
        <w:t>三个月内完成年度报告编制并公告。</w:t>
      </w:r>
      <w:r>
        <w:rPr>
          <w:rFonts w:hint="eastAsia"/>
          <w:color w:val="000000"/>
          <w:szCs w:val="24"/>
        </w:rPr>
        <w:t>基金合同生效不足</w:t>
      </w:r>
      <w:r>
        <w:rPr>
          <w:color w:val="000000"/>
          <w:szCs w:val="24"/>
        </w:rPr>
        <w:t>2</w:t>
      </w:r>
      <w:r>
        <w:rPr>
          <w:rFonts w:hint="eastAsia"/>
          <w:color w:val="000000"/>
          <w:szCs w:val="24"/>
        </w:rPr>
        <w:t>个月的，基金管理人可以不编制当期季度报告、</w:t>
      </w:r>
      <w:r>
        <w:rPr>
          <w:rFonts w:hAnsi="宋体" w:hint="eastAsia"/>
          <w:szCs w:val="24"/>
        </w:rPr>
        <w:t>中期报告</w:t>
      </w:r>
      <w:r>
        <w:rPr>
          <w:rFonts w:hint="eastAsia"/>
          <w:color w:val="000000"/>
          <w:szCs w:val="24"/>
        </w:rPr>
        <w:t>或者年度报告。</w:t>
      </w:r>
    </w:p>
    <w:p w14:paraId="4E4704BB"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8.5.3基</w:t>
      </w:r>
      <w:bookmarkStart w:id="50" w:name="_DV_C270"/>
      <w:r>
        <w:rPr>
          <w:rFonts w:hAnsi="宋体" w:hint="eastAsia"/>
          <w:szCs w:val="24"/>
        </w:rPr>
        <w:t>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w:t>
      </w:r>
      <w:bookmarkEnd w:id="50"/>
      <w:r>
        <w:rPr>
          <w:rFonts w:hAnsi="宋体" w:hint="eastAsia"/>
          <w:szCs w:val="24"/>
        </w:rPr>
        <w:t>管人在复核过程中，发现双方的报表存在不符时，基金管理人和基金托管人应共同查明原因，进行调整，调整以国家有关规定为准。</w:t>
      </w:r>
    </w:p>
    <w:p w14:paraId="158D50E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8.5.4核对无误后，基金托管人在基金管理人提供的报告上加盖业务印鉴或者出具加盖托管业务部门公章的复核意见书，相关各方各自留存一份。</w:t>
      </w:r>
    </w:p>
    <w:p w14:paraId="69666984"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8.5.5基金托管人在对财务会计报告、季度报告、中期报告或年度报告复核完毕后，需盖章确认或出具相应的复核确认书，以</w:t>
      </w:r>
      <w:proofErr w:type="gramStart"/>
      <w:r>
        <w:rPr>
          <w:rFonts w:hAnsi="宋体" w:hint="eastAsia"/>
          <w:szCs w:val="24"/>
        </w:rPr>
        <w:t>备有权</w:t>
      </w:r>
      <w:proofErr w:type="gramEnd"/>
      <w:r>
        <w:rPr>
          <w:rFonts w:hAnsi="宋体" w:hint="eastAsia"/>
          <w:szCs w:val="24"/>
        </w:rPr>
        <w:t>机构对相关文件审核时提示。</w:t>
      </w:r>
    </w:p>
    <w:p w14:paraId="18EAC97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8.6暂停估值的情形</w:t>
      </w:r>
    </w:p>
    <w:p w14:paraId="0240A6C4" w14:textId="77777777" w:rsidR="000E48ED" w:rsidRDefault="003A7B23">
      <w:pPr>
        <w:pStyle w:val="20"/>
        <w:spacing w:before="0" w:after="0" w:line="520" w:lineRule="exact"/>
        <w:ind w:left="0" w:firstLineChars="200" w:firstLine="480"/>
        <w:rPr>
          <w:rFonts w:hAnsi="宋体"/>
          <w:szCs w:val="24"/>
        </w:rPr>
      </w:pPr>
      <w:r>
        <w:rPr>
          <w:rFonts w:hAnsi="宋体"/>
          <w:szCs w:val="24"/>
        </w:rPr>
        <w:t>8.6.1</w:t>
      </w:r>
      <w:r>
        <w:rPr>
          <w:rFonts w:hAnsi="宋体" w:hint="eastAsia"/>
          <w:szCs w:val="24"/>
        </w:rPr>
        <w:t>基金投资所涉及的证券/期货交易市场遇法定节假日或因其他原因暂停营业时；</w:t>
      </w:r>
    </w:p>
    <w:p w14:paraId="054A6554" w14:textId="77777777" w:rsidR="000E48ED" w:rsidRDefault="003A7B23">
      <w:pPr>
        <w:pStyle w:val="20"/>
        <w:spacing w:before="0" w:after="0" w:line="520" w:lineRule="exact"/>
        <w:ind w:left="0" w:firstLineChars="200" w:firstLine="480"/>
        <w:rPr>
          <w:rFonts w:hAnsi="宋体"/>
          <w:szCs w:val="24"/>
        </w:rPr>
      </w:pPr>
      <w:r>
        <w:rPr>
          <w:rFonts w:hAnsi="宋体"/>
          <w:szCs w:val="24"/>
        </w:rPr>
        <w:t>8.6.2</w:t>
      </w:r>
      <w:r>
        <w:rPr>
          <w:rFonts w:hAnsi="宋体" w:hint="eastAsia"/>
          <w:szCs w:val="24"/>
        </w:rPr>
        <w:t>因不可抗力致使基金管理人、基金托管人无法准确评估基金资产价值时；</w:t>
      </w:r>
    </w:p>
    <w:p w14:paraId="121DFCDF" w14:textId="77777777" w:rsidR="000E48ED" w:rsidRDefault="003A7B23">
      <w:pPr>
        <w:pStyle w:val="20"/>
        <w:spacing w:before="0" w:after="0" w:line="520" w:lineRule="exact"/>
        <w:ind w:left="0" w:firstLineChars="200" w:firstLine="480"/>
        <w:rPr>
          <w:rFonts w:hAnsi="宋体"/>
          <w:szCs w:val="24"/>
        </w:rPr>
      </w:pPr>
      <w:r>
        <w:rPr>
          <w:rFonts w:hAnsi="宋体"/>
          <w:szCs w:val="24"/>
        </w:rPr>
        <w:t>8.6.3</w:t>
      </w:r>
      <w:r>
        <w:rPr>
          <w:rFonts w:hAnsi="宋体" w:hint="eastAsia"/>
          <w:szCs w:val="24"/>
        </w:rPr>
        <w:t>当特定资产占前一估值日基金资产净值50%以上的，经与基金托管人协商确认后，基金管理人应当暂停估值；</w:t>
      </w:r>
    </w:p>
    <w:p w14:paraId="237AA7B5" w14:textId="77777777" w:rsidR="000E48ED" w:rsidRDefault="003A7B23">
      <w:pPr>
        <w:pStyle w:val="20"/>
        <w:spacing w:before="0" w:after="0" w:line="520" w:lineRule="exact"/>
        <w:ind w:left="0" w:firstLineChars="200" w:firstLine="480"/>
        <w:rPr>
          <w:rFonts w:hAnsi="宋体"/>
          <w:szCs w:val="24"/>
        </w:rPr>
      </w:pPr>
      <w:r>
        <w:rPr>
          <w:rFonts w:hAnsi="宋体"/>
          <w:szCs w:val="24"/>
        </w:rPr>
        <w:t>8.6.4</w:t>
      </w:r>
      <w:r>
        <w:rPr>
          <w:rFonts w:hAnsi="宋体" w:hint="eastAsia"/>
          <w:szCs w:val="24"/>
        </w:rPr>
        <w:t>中国证监会和基金合同认定的其它情形。</w:t>
      </w:r>
      <w:bookmarkEnd w:id="43"/>
    </w:p>
    <w:p w14:paraId="338097E5" w14:textId="77777777" w:rsidR="000E48ED" w:rsidRDefault="000E48ED">
      <w:pPr>
        <w:pStyle w:val="20"/>
        <w:spacing w:before="0" w:after="0" w:line="520" w:lineRule="exact"/>
        <w:ind w:left="0" w:firstLineChars="200" w:firstLine="480"/>
        <w:rPr>
          <w:rFonts w:hAnsi="宋体"/>
          <w:szCs w:val="24"/>
        </w:rPr>
      </w:pPr>
    </w:p>
    <w:p w14:paraId="674FF2CF" w14:textId="77777777" w:rsidR="000E48ED" w:rsidRDefault="003A7B23">
      <w:pPr>
        <w:pStyle w:val="1"/>
        <w:spacing w:line="520" w:lineRule="exact"/>
        <w:ind w:firstLineChars="200" w:firstLine="482"/>
        <w:rPr>
          <w:bCs/>
          <w:color w:val="auto"/>
          <w:szCs w:val="24"/>
        </w:rPr>
      </w:pPr>
      <w:bookmarkStart w:id="51" w:name="_Toc84945741"/>
      <w:r>
        <w:rPr>
          <w:rFonts w:hint="eastAsia"/>
          <w:bCs/>
          <w:color w:val="auto"/>
          <w:szCs w:val="24"/>
        </w:rPr>
        <w:t>第九条  基金</w:t>
      </w:r>
      <w:bookmarkStart w:id="52" w:name="_Toc296551345"/>
      <w:r>
        <w:rPr>
          <w:rFonts w:hint="eastAsia"/>
          <w:bCs/>
          <w:color w:val="auto"/>
          <w:szCs w:val="24"/>
        </w:rPr>
        <w:t>收益分配</w:t>
      </w:r>
      <w:bookmarkEnd w:id="51"/>
    </w:p>
    <w:p w14:paraId="0122E3C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9.1基金</w:t>
      </w:r>
      <w:bookmarkEnd w:id="52"/>
      <w:r>
        <w:rPr>
          <w:rFonts w:hAnsi="宋体" w:hint="eastAsia"/>
          <w:szCs w:val="24"/>
        </w:rPr>
        <w:t>利润的构成</w:t>
      </w:r>
    </w:p>
    <w:p w14:paraId="3288182A"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14:paraId="2A13CDD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9.2基金可供分配利润</w:t>
      </w:r>
    </w:p>
    <w:p w14:paraId="54CB7FA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14:paraId="1DEC74F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9.3收益分配原则</w:t>
      </w:r>
    </w:p>
    <w:p w14:paraId="134FA9FB"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(1)在符合有关基金分红条件的前提下，本基金管理人可以根据实际情况进行收益分配，具体分配方案以公告为准，</w:t>
      </w:r>
      <w:proofErr w:type="gramStart"/>
      <w:r>
        <w:rPr>
          <w:rFonts w:hAnsi="宋体" w:hint="eastAsia"/>
          <w:szCs w:val="24"/>
        </w:rPr>
        <w:t>若基金</w:t>
      </w:r>
      <w:proofErr w:type="gramEnd"/>
      <w:r>
        <w:rPr>
          <w:rFonts w:hAnsi="宋体" w:hint="eastAsia"/>
          <w:szCs w:val="24"/>
        </w:rPr>
        <w:t>合同生效不满3个月可不进行收益分配；</w:t>
      </w:r>
    </w:p>
    <w:p w14:paraId="7238C6E4"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(2)本基金收益分配方式分两种：现金分红与红利再投资，投资者可选择现金红利或将现金红利自动转为相应类别的基金份额进行再投资；若投资者不选择，本基金默认的收益分配方式是现金分红；</w:t>
      </w:r>
    </w:p>
    <w:p w14:paraId="0733085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(3)基金收益分配后两类基金份额净值不能低于面值，即基金收益分配基准日的两类基金份额净值各自减去对应每单位基金份额收益分配金额后均不能低于面值；</w:t>
      </w:r>
    </w:p>
    <w:p w14:paraId="4BD3166B"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(4)本基金两类基金份额在费用收取上不同，其对应的可分配收益可能有所不同。本基金同一类别的每一基金份额享有同等收益分配权；</w:t>
      </w:r>
    </w:p>
    <w:p w14:paraId="7C0FDE8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5</w:t>
      </w:r>
      <w:r>
        <w:rPr>
          <w:rFonts w:hAnsi="宋体" w:hint="eastAsia"/>
          <w:szCs w:val="24"/>
        </w:rPr>
        <w:t>)法律法规或监管机关另有规定的，从其规定。</w:t>
      </w:r>
    </w:p>
    <w:p w14:paraId="07D91B8B"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在不违反法律法规且对基金份额持有人利益无实质性不利影响的前提下，基金管理人经与基金托管人协商一致，可对基金收益分配的有关业务规则进行调整，并及时公告。</w:t>
      </w:r>
    </w:p>
    <w:p w14:paraId="2F025B0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9.4收益分配方案</w:t>
      </w:r>
    </w:p>
    <w:p w14:paraId="086A992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基金收益分配方案中应载明截至收益分配基准日的可供分配利润、基金收益分配对象、分配时间、分配数额及比例、分配方式等内容。</w:t>
      </w:r>
    </w:p>
    <w:p w14:paraId="7C820178"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9.5收益分配的时间和程序</w:t>
      </w:r>
    </w:p>
    <w:p w14:paraId="227F616A"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9.5.1本基金收益分配方案由基金管理人拟定，并由基金托管人复核，在2日内在规定媒介公告。</w:t>
      </w:r>
    </w:p>
    <w:p w14:paraId="0BC8ED1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w:t>
      </w:r>
    </w:p>
    <w:p w14:paraId="363B323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9.5.3法律法规或监管机关另有规定的，从其规定。</w:t>
      </w:r>
    </w:p>
    <w:p w14:paraId="180232B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9.6实施</w:t>
      </w:r>
      <w:proofErr w:type="gramStart"/>
      <w:r>
        <w:rPr>
          <w:rFonts w:hAnsi="宋体" w:hint="eastAsia"/>
          <w:szCs w:val="24"/>
        </w:rPr>
        <w:t>侧袋机制</w:t>
      </w:r>
      <w:proofErr w:type="gramEnd"/>
      <w:r>
        <w:rPr>
          <w:rFonts w:hAnsi="宋体" w:hint="eastAsia"/>
          <w:szCs w:val="24"/>
        </w:rPr>
        <w:t>期间的收益分配</w:t>
      </w:r>
    </w:p>
    <w:p w14:paraId="275F411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侧袋账户</w:t>
      </w:r>
      <w:proofErr w:type="gramEnd"/>
      <w:r>
        <w:rPr>
          <w:rFonts w:hAnsi="宋体" w:hint="eastAsia"/>
          <w:szCs w:val="24"/>
        </w:rPr>
        <w:t>不进行收益分配，详见招募说明书的规定。</w:t>
      </w:r>
    </w:p>
    <w:p w14:paraId="0C50B6D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9</w:t>
      </w:r>
      <w:r>
        <w:rPr>
          <w:rFonts w:hAnsi="宋体"/>
          <w:szCs w:val="24"/>
        </w:rPr>
        <w:t>.7</w:t>
      </w:r>
      <w:r>
        <w:rPr>
          <w:rFonts w:hAnsi="宋体" w:hint="eastAsia"/>
          <w:szCs w:val="24"/>
        </w:rPr>
        <w:t xml:space="preserve">基金托管人的复核 </w:t>
      </w:r>
    </w:p>
    <w:p w14:paraId="0F834BB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基金托管人应当对本基金履行法律法规、基金合同有关收益分配约定情况进行定期复核，发现基金收益分配有违规失信行为的，应当及时通知基金管理人，并报告中国证监会。</w:t>
      </w:r>
    </w:p>
    <w:p w14:paraId="3AFD989B" w14:textId="77777777" w:rsidR="000E48ED" w:rsidRDefault="000E48ED">
      <w:pPr>
        <w:pStyle w:val="20"/>
        <w:spacing w:before="0" w:after="0" w:line="520" w:lineRule="exact"/>
        <w:ind w:left="0" w:firstLineChars="200" w:firstLine="480"/>
        <w:rPr>
          <w:rFonts w:hAnsi="宋体"/>
          <w:szCs w:val="24"/>
        </w:rPr>
      </w:pPr>
    </w:p>
    <w:p w14:paraId="2DD45152" w14:textId="77777777" w:rsidR="000E48ED" w:rsidRDefault="003A7B23">
      <w:pPr>
        <w:pStyle w:val="1"/>
        <w:spacing w:line="520" w:lineRule="exact"/>
        <w:ind w:firstLineChars="200" w:firstLine="482"/>
        <w:rPr>
          <w:bCs/>
          <w:color w:val="auto"/>
          <w:szCs w:val="24"/>
        </w:rPr>
      </w:pPr>
      <w:bookmarkStart w:id="53" w:name="_Toc84945742"/>
      <w:r>
        <w:rPr>
          <w:rFonts w:hint="eastAsia"/>
          <w:bCs/>
          <w:color w:val="auto"/>
          <w:szCs w:val="24"/>
        </w:rPr>
        <w:t>第十条  信息</w:t>
      </w:r>
      <w:bookmarkStart w:id="54" w:name="_Toc296551346"/>
      <w:r>
        <w:rPr>
          <w:rFonts w:hint="eastAsia"/>
          <w:bCs/>
          <w:color w:val="auto"/>
          <w:szCs w:val="24"/>
        </w:rPr>
        <w:t>披露</w:t>
      </w:r>
      <w:bookmarkEnd w:id="53"/>
    </w:p>
    <w:p w14:paraId="4540768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10.1保</w:t>
      </w:r>
      <w:bookmarkEnd w:id="54"/>
      <w:r>
        <w:rPr>
          <w:rFonts w:hAnsi="宋体" w:hint="eastAsia"/>
          <w:szCs w:val="24"/>
        </w:rPr>
        <w:t>密义务</w:t>
      </w:r>
    </w:p>
    <w:p w14:paraId="5510EF2A"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10.1.1除按照《基金法》、《信息披露办法》、《流动性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监管机构及审计要求外，不得在其公开披露之前，先行对任何第三方披露。但是，如下情况不应视为基金管理人或基金托管人违反保密义务：</w:t>
      </w:r>
    </w:p>
    <w:p w14:paraId="05B4065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（1）非因基金管理人和基金托管人的原因导致保密信息被披露、泄露或公开；</w:t>
      </w:r>
    </w:p>
    <w:p w14:paraId="6663D02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1E3664BB" w14:textId="77777777" w:rsidR="000E48ED" w:rsidRDefault="003A7B23">
      <w:pPr>
        <w:pStyle w:val="20"/>
        <w:spacing w:before="0" w:after="0" w:line="520" w:lineRule="exact"/>
        <w:ind w:left="0" w:firstLineChars="200" w:firstLine="480"/>
        <w:rPr>
          <w:rFonts w:hAnsi="宋体"/>
          <w:szCs w:val="24"/>
        </w:rPr>
      </w:pPr>
      <w:r>
        <w:rPr>
          <w:rFonts w:hAnsi="宋体"/>
          <w:szCs w:val="24"/>
        </w:rPr>
        <w:t>（3）</w:t>
      </w:r>
      <w:r>
        <w:rPr>
          <w:rFonts w:hAnsi="宋体" w:hint="eastAsia"/>
          <w:szCs w:val="24"/>
        </w:rPr>
        <w:t>基金管理人和基金托管人在要求保密的前提下对自身聘请的外部法律顾问、财务顾问、审计人员、技术顾问等外部专业顾问做出的必要信息披露。</w:t>
      </w:r>
    </w:p>
    <w:p w14:paraId="27C3229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10.2基金管理人和基金托管人在信息披露中的职责和信息披露程序</w:t>
      </w:r>
    </w:p>
    <w:p w14:paraId="0413C23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050EA860" w14:textId="32154D2A" w:rsidR="000E48ED" w:rsidRDefault="003A7B23">
      <w:pPr>
        <w:pStyle w:val="20"/>
        <w:spacing w:before="0" w:after="0" w:line="520" w:lineRule="exact"/>
        <w:ind w:left="0" w:firstLineChars="200" w:firstLine="480"/>
        <w:rPr>
          <w:rFonts w:hAnsi="宋体"/>
          <w:szCs w:val="24"/>
        </w:rPr>
      </w:pPr>
      <w:r>
        <w:rPr>
          <w:rFonts w:hAnsi="宋体" w:hint="eastAsia"/>
          <w:szCs w:val="24"/>
        </w:rPr>
        <w:t>10.2.2本基金信息披露的文件主要包括招募说明书、基金合同、托管协议、基金产品资料概要、基金份额发售公告、基金合同生效公告和定期报告</w:t>
      </w:r>
      <w:r w:rsidR="006F5285">
        <w:rPr>
          <w:rFonts w:hAnsi="宋体" w:hint="eastAsia"/>
          <w:szCs w:val="24"/>
        </w:rPr>
        <w:t>（</w:t>
      </w:r>
      <w:r w:rsidR="006F5285" w:rsidRPr="006F5285">
        <w:rPr>
          <w:rFonts w:hAnsi="宋体" w:hint="eastAsia"/>
          <w:szCs w:val="24"/>
        </w:rPr>
        <w:t>包括基金年度报告、基金中期报告和基金季度报告</w:t>
      </w:r>
      <w:r w:rsidR="006F5285">
        <w:rPr>
          <w:rFonts w:hAnsi="宋体" w:hint="eastAsia"/>
          <w:szCs w:val="24"/>
        </w:rPr>
        <w:t>）</w:t>
      </w:r>
      <w:r>
        <w:rPr>
          <w:rFonts w:hAnsi="宋体" w:hint="eastAsia"/>
          <w:szCs w:val="24"/>
        </w:rPr>
        <w:t>、临时报告、基金净值信息、基金份额申购赎回价格、澄清公告、基金份额持有人大会决议、清算报告、投资</w:t>
      </w:r>
      <w:r w:rsidR="006F5285" w:rsidRPr="006F5285">
        <w:rPr>
          <w:rFonts w:hAnsi="宋体" w:hint="eastAsia"/>
          <w:szCs w:val="24"/>
        </w:rPr>
        <w:t>资产支持证券、</w:t>
      </w:r>
      <w:r>
        <w:rPr>
          <w:rFonts w:hAnsi="宋体" w:hint="eastAsia"/>
          <w:szCs w:val="24"/>
        </w:rPr>
        <w:t>国债期货</w:t>
      </w:r>
      <w:r>
        <w:rPr>
          <w:rFonts w:hint="eastAsia"/>
        </w:rPr>
        <w:t>、</w:t>
      </w:r>
      <w:r>
        <w:rPr>
          <w:rFonts w:hAnsi="宋体" w:hint="eastAsia"/>
          <w:szCs w:val="24"/>
        </w:rPr>
        <w:t>实施</w:t>
      </w:r>
      <w:proofErr w:type="gramStart"/>
      <w:r>
        <w:rPr>
          <w:rFonts w:hAnsi="宋体" w:hint="eastAsia"/>
          <w:szCs w:val="24"/>
        </w:rPr>
        <w:t>侧袋机制</w:t>
      </w:r>
      <w:proofErr w:type="gramEnd"/>
      <w:r>
        <w:rPr>
          <w:rFonts w:hAnsi="宋体" w:hint="eastAsia"/>
          <w:szCs w:val="24"/>
        </w:rPr>
        <w:t>期间的信息及中国证监会规定的其他信息，由基金管理人和基金托管人按照有关法律法规的规定予以公布。</w:t>
      </w:r>
    </w:p>
    <w:p w14:paraId="1E5E300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10.2.3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1E6595D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10.2.4基金年度报告中的财务会计报告部分，</w:t>
      </w:r>
      <w:proofErr w:type="gramStart"/>
      <w:r>
        <w:rPr>
          <w:rFonts w:hAnsi="宋体" w:hint="eastAsia"/>
          <w:szCs w:val="24"/>
        </w:rPr>
        <w:t>经</w:t>
      </w:r>
      <w:r>
        <w:rPr>
          <w:rFonts w:hint="eastAsia"/>
        </w:rPr>
        <w:t>符合</w:t>
      </w:r>
      <w:proofErr w:type="gramEnd"/>
      <w:r>
        <w:rPr>
          <w:rFonts w:hint="eastAsia"/>
        </w:rPr>
        <w:t>《中华人民共和国证券法》规定的</w:t>
      </w:r>
      <w:r>
        <w:rPr>
          <w:rFonts w:hAnsi="宋体" w:hint="eastAsia"/>
          <w:szCs w:val="24"/>
        </w:rPr>
        <w:t>会计师事务所审计后，方可披露。</w:t>
      </w:r>
    </w:p>
    <w:p w14:paraId="3A3271BC"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10.2.5基金管理人和基金托管人应当在中国证监会规定时间内，将应予披露的基金信息通过</w:t>
      </w:r>
      <w:r>
        <w:rPr>
          <w:rFonts w:hint="eastAsia"/>
          <w:bCs/>
        </w:rPr>
        <w:t>符合中国证监会规定条件的用以进行信息披露的全国性报刊及《信息披露办法》规定的互联网网站</w:t>
      </w:r>
      <w:r>
        <w:rPr>
          <w:rFonts w:hAnsi="宋体" w:hint="eastAsia"/>
          <w:szCs w:val="24"/>
        </w:rPr>
        <w:t>等媒介披露，并保证基金投资者能够按照基金合同约定的时间和方式查阅或者复制公开披露的信息资料。</w:t>
      </w:r>
    </w:p>
    <w:p w14:paraId="3C421336" w14:textId="6CB4999A" w:rsidR="000E48ED" w:rsidRDefault="003A7B23">
      <w:pPr>
        <w:pStyle w:val="20"/>
        <w:spacing w:before="0" w:after="0" w:line="520" w:lineRule="exact"/>
        <w:ind w:left="0" w:firstLineChars="200" w:firstLine="480"/>
        <w:rPr>
          <w:rFonts w:hAnsi="宋体"/>
          <w:szCs w:val="24"/>
        </w:rPr>
      </w:pPr>
      <w:r>
        <w:rPr>
          <w:rFonts w:hAnsi="宋体" w:hint="eastAsia"/>
          <w:szCs w:val="24"/>
        </w:rPr>
        <w:t>10.2.6依法必须披露的信息发布后，基金管理人、基金托管人应当按照相关法律法规规定将信息置备于</w:t>
      </w:r>
      <w:r w:rsidR="00E41839" w:rsidRPr="00E41839">
        <w:rPr>
          <w:rFonts w:hAnsi="宋体" w:hint="eastAsia"/>
          <w:szCs w:val="24"/>
        </w:rPr>
        <w:t>各自</w:t>
      </w:r>
      <w:r>
        <w:rPr>
          <w:rFonts w:hAnsi="宋体" w:hint="eastAsia"/>
          <w:szCs w:val="24"/>
        </w:rPr>
        <w:t>住所，供社会公众查阅、复制。投资者在支付工本费后可在合理时间获得上述文件的复制件或复印件。基金管理人和基金托管人应保证文本的内容与所公告的内容完全一致。</w:t>
      </w:r>
    </w:p>
    <w:p w14:paraId="4DE7D74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10.3暂停或延迟信息披露的情形</w:t>
      </w:r>
    </w:p>
    <w:p w14:paraId="5239D43F" w14:textId="77777777" w:rsidR="000E48ED" w:rsidRDefault="003A7B23">
      <w:pPr>
        <w:pStyle w:val="20"/>
        <w:spacing w:before="0" w:after="0" w:line="520" w:lineRule="exact"/>
        <w:ind w:left="0" w:firstLineChars="200" w:firstLine="480"/>
        <w:rPr>
          <w:rFonts w:hAnsi="宋体"/>
          <w:szCs w:val="24"/>
        </w:rPr>
      </w:pPr>
      <w:bookmarkStart w:id="55" w:name="_Hlk68601174"/>
      <w:r>
        <w:rPr>
          <w:rFonts w:hAnsi="宋体" w:hint="eastAsia"/>
          <w:szCs w:val="24"/>
        </w:rPr>
        <w:t>当出现下述情况时，基金管理人和基金托管人可暂停或延迟披露基金相关信息：</w:t>
      </w:r>
    </w:p>
    <w:p w14:paraId="0F90437D"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（1）不可抗力；</w:t>
      </w:r>
    </w:p>
    <w:p w14:paraId="2C79DAA4"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（2）发生暂停估值的情形；</w:t>
      </w:r>
    </w:p>
    <w:p w14:paraId="59C5A350" w14:textId="77777777" w:rsidR="000E48ED" w:rsidRDefault="003A7B23">
      <w:pPr>
        <w:pStyle w:val="20"/>
        <w:spacing w:before="0" w:after="0" w:line="520" w:lineRule="exact"/>
        <w:rPr>
          <w:rFonts w:hAnsi="宋体"/>
          <w:szCs w:val="24"/>
        </w:rPr>
      </w:pPr>
      <w:r>
        <w:rPr>
          <w:rFonts w:hAnsi="宋体" w:hint="eastAsia"/>
          <w:szCs w:val="24"/>
        </w:rPr>
        <w:t>（3）法律法规规定、中国证监会或基金合同认定的其他情形。</w:t>
      </w:r>
    </w:p>
    <w:bookmarkEnd w:id="55"/>
    <w:p w14:paraId="0E1716D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10.4基金托管人报告</w:t>
      </w:r>
    </w:p>
    <w:p w14:paraId="26D33934"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基金托管人应按《基金法》、《运作办法》、《信息披露办法》和其他有关法律法规的规定于每个上半年度结束后两个月内、每个会计年度结束后三个月</w:t>
      </w:r>
      <w:proofErr w:type="gramStart"/>
      <w:r>
        <w:rPr>
          <w:rFonts w:hAnsi="宋体" w:hint="eastAsia"/>
          <w:szCs w:val="24"/>
        </w:rPr>
        <w:t>内在基金</w:t>
      </w:r>
      <w:proofErr w:type="gramEnd"/>
      <w:r>
        <w:rPr>
          <w:rFonts w:hAnsi="宋体" w:hint="eastAsia"/>
          <w:szCs w:val="24"/>
        </w:rPr>
        <w:t>中期报告及年度报告中分别出具基金托管人报告。</w:t>
      </w:r>
    </w:p>
    <w:p w14:paraId="10463B3D" w14:textId="77777777" w:rsidR="000E48ED" w:rsidRDefault="000E48ED">
      <w:pPr>
        <w:pStyle w:val="20"/>
        <w:spacing w:before="0" w:after="0" w:line="520" w:lineRule="exact"/>
        <w:ind w:left="0" w:firstLineChars="200" w:firstLine="480"/>
        <w:rPr>
          <w:rFonts w:hAnsi="宋体"/>
          <w:szCs w:val="24"/>
        </w:rPr>
      </w:pPr>
    </w:p>
    <w:p w14:paraId="715B413D" w14:textId="77777777" w:rsidR="000E48ED" w:rsidRDefault="003A7B23">
      <w:pPr>
        <w:pStyle w:val="1"/>
        <w:spacing w:line="520" w:lineRule="exact"/>
        <w:ind w:firstLineChars="200" w:firstLine="482"/>
        <w:rPr>
          <w:bCs/>
          <w:color w:val="auto"/>
          <w:szCs w:val="24"/>
        </w:rPr>
      </w:pPr>
      <w:bookmarkStart w:id="56" w:name="_Toc84945743"/>
      <w:r>
        <w:rPr>
          <w:rFonts w:hint="eastAsia"/>
          <w:bCs/>
          <w:color w:val="auto"/>
          <w:szCs w:val="24"/>
        </w:rPr>
        <w:t>第十一条  基</w:t>
      </w:r>
      <w:bookmarkStart w:id="57" w:name="_Toc296551347"/>
      <w:r>
        <w:rPr>
          <w:rFonts w:hint="eastAsia"/>
          <w:bCs/>
          <w:color w:val="auto"/>
          <w:szCs w:val="24"/>
        </w:rPr>
        <w:t>金费用</w:t>
      </w:r>
      <w:bookmarkEnd w:id="56"/>
    </w:p>
    <w:p w14:paraId="54E2B632" w14:textId="77777777" w:rsidR="000E48ED" w:rsidRDefault="003A7B23">
      <w:pPr>
        <w:pStyle w:val="20"/>
        <w:spacing w:before="0" w:after="0" w:line="520" w:lineRule="exact"/>
        <w:ind w:left="0" w:firstLineChars="200" w:firstLine="480"/>
        <w:rPr>
          <w:rFonts w:hAnsi="宋体"/>
          <w:szCs w:val="24"/>
        </w:rPr>
      </w:pPr>
      <w:bookmarkStart w:id="58" w:name="_Hlk57805296"/>
      <w:r>
        <w:rPr>
          <w:rFonts w:hAnsi="宋体" w:hint="eastAsia"/>
          <w:szCs w:val="24"/>
        </w:rPr>
        <w:t>11.</w:t>
      </w:r>
      <w:bookmarkEnd w:id="57"/>
      <w:r>
        <w:rPr>
          <w:rFonts w:hAnsi="宋体" w:hint="eastAsia"/>
          <w:szCs w:val="24"/>
        </w:rPr>
        <w:t xml:space="preserve">1基金管理人的管理费 </w:t>
      </w:r>
    </w:p>
    <w:p w14:paraId="187491E1" w14:textId="77777777" w:rsidR="000E48ED" w:rsidRDefault="003A7B23">
      <w:pPr>
        <w:pStyle w:val="20"/>
        <w:spacing w:line="520" w:lineRule="exact"/>
        <w:ind w:left="0" w:firstLineChars="177" w:firstLine="425"/>
        <w:rPr>
          <w:rFonts w:hAnsi="宋体"/>
          <w:szCs w:val="24"/>
        </w:rPr>
      </w:pPr>
      <w:bookmarkStart w:id="59" w:name="_Hlk68601205"/>
      <w:r>
        <w:rPr>
          <w:rFonts w:hAnsi="宋体" w:hint="eastAsia"/>
          <w:szCs w:val="24"/>
        </w:rPr>
        <w:t>本基金的管理费按前一日基金资产净值的</w:t>
      </w:r>
      <w:r>
        <w:rPr>
          <w:rFonts w:hAnsi="宋体"/>
          <w:szCs w:val="24"/>
        </w:rPr>
        <w:t>0.30</w:t>
      </w:r>
      <w:r>
        <w:rPr>
          <w:rFonts w:hAnsi="宋体" w:hint="eastAsia"/>
          <w:szCs w:val="24"/>
        </w:rPr>
        <w:t>%年费率计提。管理费的计算方法如下：</w:t>
      </w:r>
    </w:p>
    <w:p w14:paraId="4B0D25ED" w14:textId="77777777" w:rsidR="000E48ED" w:rsidRDefault="003A7B23">
      <w:pPr>
        <w:pStyle w:val="20"/>
        <w:spacing w:line="520" w:lineRule="exact"/>
        <w:ind w:left="0" w:firstLineChars="177" w:firstLine="425"/>
        <w:rPr>
          <w:rFonts w:ascii="Times New Roman"/>
          <w:bCs/>
        </w:rPr>
      </w:pPr>
      <w:r>
        <w:rPr>
          <w:rFonts w:ascii="Times New Roman" w:hint="eastAsia"/>
          <w:bCs/>
        </w:rPr>
        <w:lastRenderedPageBreak/>
        <w:t>H1</w:t>
      </w:r>
      <w:r>
        <w:rPr>
          <w:rFonts w:ascii="Times New Roman" w:hint="eastAsia"/>
          <w:bCs/>
        </w:rPr>
        <w:t>＝</w:t>
      </w:r>
      <w:r>
        <w:rPr>
          <w:rFonts w:ascii="Times New Roman" w:hint="eastAsia"/>
          <w:bCs/>
        </w:rPr>
        <w:t>E</w:t>
      </w:r>
      <w:r>
        <w:rPr>
          <w:rFonts w:ascii="Times New Roman" w:hint="eastAsia"/>
          <w:bCs/>
        </w:rPr>
        <w:t>×</w:t>
      </w:r>
      <w:r>
        <w:rPr>
          <w:rFonts w:ascii="Times New Roman"/>
          <w:bCs/>
        </w:rPr>
        <w:t>0.30</w:t>
      </w:r>
      <w:r>
        <w:rPr>
          <w:rFonts w:ascii="Times New Roman" w:hint="eastAsia"/>
          <w:bCs/>
        </w:rPr>
        <w:t>%</w:t>
      </w:r>
      <w:r>
        <w:rPr>
          <w:rFonts w:ascii="Times New Roman" w:hint="eastAsia"/>
          <w:bCs/>
        </w:rPr>
        <w:t>÷当年天数</w:t>
      </w:r>
    </w:p>
    <w:p w14:paraId="5274CFFC" w14:textId="77777777" w:rsidR="000E48ED" w:rsidRDefault="003A7B23">
      <w:pPr>
        <w:pStyle w:val="20"/>
        <w:spacing w:line="520" w:lineRule="exact"/>
        <w:ind w:left="0" w:firstLineChars="177" w:firstLine="425"/>
        <w:rPr>
          <w:rFonts w:ascii="Times New Roman"/>
          <w:bCs/>
        </w:rPr>
      </w:pPr>
      <w:r>
        <w:rPr>
          <w:rFonts w:ascii="Times New Roman" w:hint="eastAsia"/>
          <w:bCs/>
        </w:rPr>
        <w:t>H1</w:t>
      </w:r>
      <w:r>
        <w:rPr>
          <w:rFonts w:ascii="Times New Roman" w:hint="eastAsia"/>
          <w:bCs/>
        </w:rPr>
        <w:t>为每日应计提的基金管理费</w:t>
      </w:r>
    </w:p>
    <w:p w14:paraId="665BDD0C" w14:textId="77777777" w:rsidR="000E48ED" w:rsidRDefault="003A7B23">
      <w:pPr>
        <w:pStyle w:val="20"/>
        <w:spacing w:line="520" w:lineRule="exact"/>
        <w:ind w:left="0" w:firstLineChars="177" w:firstLine="425"/>
        <w:rPr>
          <w:rFonts w:ascii="Times New Roman"/>
          <w:bCs/>
        </w:rPr>
      </w:pPr>
      <w:r>
        <w:rPr>
          <w:rFonts w:ascii="Times New Roman" w:hint="eastAsia"/>
          <w:bCs/>
        </w:rPr>
        <w:t>E</w:t>
      </w:r>
      <w:r>
        <w:rPr>
          <w:rFonts w:ascii="Times New Roman" w:hint="eastAsia"/>
          <w:bCs/>
        </w:rPr>
        <w:t>为前一日的基金资产净值</w:t>
      </w:r>
    </w:p>
    <w:p w14:paraId="6D3C01C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管理费每日计算，逐日累计至每月月末，按月支付，经基金管理人与基金托管人双方核对无误后，基金托管人按照与基金管理人协商一致的方式于次月前3个工作日内从基金财产中一次性支付给基金管理人。若遇法定节假日、公休假等，支付日期顺延。</w:t>
      </w:r>
    </w:p>
    <w:p w14:paraId="321D292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11.2基金托管人的托管费</w:t>
      </w:r>
    </w:p>
    <w:p w14:paraId="23BF97F4" w14:textId="77777777" w:rsidR="000E48ED" w:rsidRDefault="003A7B23">
      <w:pPr>
        <w:pStyle w:val="20"/>
        <w:spacing w:before="0" w:after="0" w:line="520" w:lineRule="exact"/>
        <w:ind w:left="0" w:firstLineChars="200" w:firstLine="480"/>
        <w:rPr>
          <w:bCs/>
        </w:rPr>
      </w:pPr>
      <w:r>
        <w:rPr>
          <w:bCs/>
        </w:rPr>
        <w:t>本基金的托管费按前一日基金资产净值的0.10%的年费率计提。托管费的计算方法如下：</w:t>
      </w:r>
    </w:p>
    <w:p w14:paraId="083531A1" w14:textId="77777777" w:rsidR="000E48ED" w:rsidRDefault="003A7B23">
      <w:pPr>
        <w:pStyle w:val="20"/>
        <w:spacing w:before="0" w:after="0" w:line="520" w:lineRule="exact"/>
        <w:ind w:left="0" w:firstLineChars="200" w:firstLine="480"/>
        <w:rPr>
          <w:rFonts w:ascii="Times New Roman"/>
          <w:bCs/>
        </w:rPr>
      </w:pPr>
      <w:r>
        <w:rPr>
          <w:rFonts w:ascii="Times New Roman"/>
          <w:bCs/>
        </w:rPr>
        <w:t>H</w:t>
      </w:r>
      <w:r>
        <w:rPr>
          <w:rFonts w:ascii="Times New Roman" w:hint="eastAsia"/>
          <w:bCs/>
        </w:rPr>
        <w:t>2</w:t>
      </w:r>
      <w:r>
        <w:rPr>
          <w:rFonts w:ascii="Times New Roman"/>
          <w:bCs/>
        </w:rPr>
        <w:t>＝</w:t>
      </w:r>
      <w:r>
        <w:rPr>
          <w:rFonts w:ascii="Times New Roman"/>
          <w:bCs/>
        </w:rPr>
        <w:t>E×0.10%</w:t>
      </w:r>
      <w:r>
        <w:rPr>
          <w:rFonts w:ascii="Times New Roman" w:hint="eastAsia"/>
          <w:bCs/>
        </w:rPr>
        <w:t>÷</w:t>
      </w:r>
      <w:r>
        <w:rPr>
          <w:rFonts w:ascii="Times New Roman"/>
          <w:bCs/>
        </w:rPr>
        <w:t>当年天数</w:t>
      </w:r>
    </w:p>
    <w:p w14:paraId="7BBD93A0" w14:textId="77777777" w:rsidR="000E48ED" w:rsidRDefault="003A7B23">
      <w:pPr>
        <w:pStyle w:val="20"/>
        <w:spacing w:before="0" w:after="0" w:line="520" w:lineRule="exact"/>
        <w:ind w:left="0" w:firstLineChars="200" w:firstLine="480"/>
        <w:rPr>
          <w:rFonts w:ascii="Times New Roman"/>
          <w:bCs/>
        </w:rPr>
      </w:pPr>
      <w:r>
        <w:rPr>
          <w:rFonts w:ascii="Times New Roman"/>
          <w:bCs/>
        </w:rPr>
        <w:t>H</w:t>
      </w:r>
      <w:r>
        <w:rPr>
          <w:rFonts w:ascii="Times New Roman" w:hint="eastAsia"/>
          <w:bCs/>
        </w:rPr>
        <w:t>2</w:t>
      </w:r>
      <w:r>
        <w:rPr>
          <w:rFonts w:ascii="Times New Roman"/>
          <w:bCs/>
        </w:rPr>
        <w:t>为每日应计提的基金托管费</w:t>
      </w:r>
    </w:p>
    <w:p w14:paraId="32D54C6C" w14:textId="77777777" w:rsidR="000E48ED" w:rsidRDefault="003A7B23">
      <w:pPr>
        <w:pStyle w:val="20"/>
        <w:spacing w:before="0" w:after="0" w:line="520" w:lineRule="exact"/>
        <w:ind w:left="0" w:firstLineChars="200" w:firstLine="480"/>
        <w:rPr>
          <w:rFonts w:ascii="Times New Roman"/>
          <w:bCs/>
        </w:rPr>
      </w:pPr>
      <w:r>
        <w:rPr>
          <w:rFonts w:ascii="Times New Roman"/>
          <w:bCs/>
        </w:rPr>
        <w:t>E</w:t>
      </w:r>
      <w:r>
        <w:rPr>
          <w:rFonts w:ascii="Times New Roman"/>
          <w:bCs/>
        </w:rPr>
        <w:t>为前一日的基金资产净值</w:t>
      </w:r>
    </w:p>
    <w:p w14:paraId="3BE1A945" w14:textId="77777777" w:rsidR="000E48ED" w:rsidRDefault="003A7B23">
      <w:pPr>
        <w:pStyle w:val="20"/>
        <w:spacing w:before="0" w:after="0" w:line="520" w:lineRule="exact"/>
        <w:ind w:left="0" w:firstLineChars="200" w:firstLine="480"/>
        <w:rPr>
          <w:rFonts w:hAnsi="宋体"/>
          <w:szCs w:val="24"/>
        </w:rPr>
      </w:pPr>
      <w:r>
        <w:rPr>
          <w:bCs/>
        </w:rPr>
        <w:t>基金</w:t>
      </w:r>
      <w:r>
        <w:rPr>
          <w:rFonts w:hint="eastAsia"/>
          <w:bCs/>
        </w:rPr>
        <w:t>托管</w:t>
      </w:r>
      <w:r>
        <w:rPr>
          <w:bCs/>
        </w:rPr>
        <w:t>费每日计算，逐日累计至每月月末，按月支付，</w:t>
      </w:r>
      <w:r>
        <w:rPr>
          <w:rFonts w:hint="eastAsia"/>
          <w:bCs/>
        </w:rPr>
        <w:t>经基金管理人与基金托管人双方核对无误后，</w:t>
      </w:r>
      <w:r>
        <w:rPr>
          <w:bCs/>
        </w:rPr>
        <w:t>基金托管人</w:t>
      </w:r>
      <w:r>
        <w:rPr>
          <w:rFonts w:hint="eastAsia"/>
          <w:bCs/>
          <w:szCs w:val="24"/>
        </w:rPr>
        <w:t>按照</w:t>
      </w:r>
      <w:r>
        <w:rPr>
          <w:rFonts w:hAnsi="宋体" w:hint="eastAsia"/>
          <w:szCs w:val="24"/>
        </w:rPr>
        <w:t>与基金管理人协商一致的方式</w:t>
      </w:r>
      <w:r>
        <w:rPr>
          <w:bCs/>
        </w:rPr>
        <w:t>于次月前</w:t>
      </w:r>
      <w:r>
        <w:rPr>
          <w:rFonts w:hint="eastAsia"/>
          <w:bCs/>
        </w:rPr>
        <w:t>3</w:t>
      </w:r>
      <w:r>
        <w:rPr>
          <w:bCs/>
        </w:rPr>
        <w:t>个工作日内从基金财产中一次性</w:t>
      </w:r>
      <w:r>
        <w:rPr>
          <w:rFonts w:hint="eastAsia"/>
          <w:bCs/>
        </w:rPr>
        <w:t>支取</w:t>
      </w:r>
      <w:r>
        <w:rPr>
          <w:bCs/>
        </w:rPr>
        <w:t>。若遇法定节假日、公休假等</w:t>
      </w:r>
      <w:r>
        <w:rPr>
          <w:rFonts w:hint="eastAsia"/>
          <w:bCs/>
        </w:rPr>
        <w:t>，</w:t>
      </w:r>
      <w:r>
        <w:rPr>
          <w:bCs/>
        </w:rPr>
        <w:t>支付日期顺延。</w:t>
      </w:r>
    </w:p>
    <w:p w14:paraId="5B279455" w14:textId="77777777" w:rsidR="000E48ED" w:rsidRDefault="003A7B23">
      <w:pPr>
        <w:pStyle w:val="20"/>
        <w:spacing w:before="0" w:after="0" w:line="520" w:lineRule="exact"/>
        <w:ind w:left="0" w:firstLineChars="200" w:firstLine="480"/>
        <w:rPr>
          <w:rFonts w:ascii="Times New Roman"/>
          <w:bCs/>
        </w:rPr>
      </w:pPr>
      <w:r>
        <w:rPr>
          <w:rFonts w:ascii="Times New Roman" w:hint="eastAsia"/>
          <w:bCs/>
        </w:rPr>
        <w:t>11.3</w:t>
      </w:r>
      <w:r>
        <w:rPr>
          <w:rFonts w:ascii="Times New Roman" w:hint="eastAsia"/>
          <w:bCs/>
        </w:rPr>
        <w:t>基金的销售服务费</w:t>
      </w:r>
    </w:p>
    <w:p w14:paraId="187259AC" w14:textId="77777777" w:rsidR="000E48ED" w:rsidRDefault="003A7B23">
      <w:pPr>
        <w:pStyle w:val="20"/>
        <w:spacing w:before="0" w:after="0" w:line="520" w:lineRule="exact"/>
        <w:ind w:left="0" w:firstLineChars="200" w:firstLine="480"/>
        <w:rPr>
          <w:rFonts w:ascii="Times New Roman"/>
          <w:bCs/>
        </w:rPr>
      </w:pPr>
      <w:r>
        <w:rPr>
          <w:rFonts w:ascii="Times New Roman" w:hint="eastAsia"/>
          <w:bCs/>
        </w:rPr>
        <w:t>本基金</w:t>
      </w:r>
      <w:r>
        <w:rPr>
          <w:rFonts w:ascii="Times New Roman" w:hint="eastAsia"/>
          <w:bCs/>
        </w:rPr>
        <w:t>A</w:t>
      </w:r>
      <w:r>
        <w:rPr>
          <w:rFonts w:ascii="Times New Roman" w:hint="eastAsia"/>
          <w:bCs/>
        </w:rPr>
        <w:t>类基金份额不收取销售服务费，</w:t>
      </w:r>
      <w:r>
        <w:rPr>
          <w:rFonts w:ascii="Times New Roman" w:hint="eastAsia"/>
          <w:bCs/>
        </w:rPr>
        <w:t>C</w:t>
      </w:r>
      <w:r>
        <w:rPr>
          <w:rFonts w:ascii="Times New Roman" w:hint="eastAsia"/>
          <w:bCs/>
        </w:rPr>
        <w:t>类基金份额的销售服务费年费率为</w:t>
      </w:r>
      <w:r>
        <w:rPr>
          <w:rFonts w:ascii="Times New Roman" w:hint="eastAsia"/>
          <w:bCs/>
        </w:rPr>
        <w:t>0.</w:t>
      </w:r>
      <w:r>
        <w:rPr>
          <w:rFonts w:ascii="Times New Roman"/>
          <w:bCs/>
        </w:rPr>
        <w:t>30</w:t>
      </w:r>
      <w:r>
        <w:rPr>
          <w:rFonts w:ascii="Times New Roman" w:hint="eastAsia"/>
          <w:bCs/>
        </w:rPr>
        <w:t>%</w:t>
      </w:r>
      <w:r>
        <w:rPr>
          <w:rFonts w:ascii="Times New Roman" w:hint="eastAsia"/>
          <w:bCs/>
        </w:rPr>
        <w:t>。本基金销售服务费将专门用于本基金的销售与基金份额持有人服务。</w:t>
      </w:r>
    </w:p>
    <w:p w14:paraId="75E6D853" w14:textId="77777777" w:rsidR="000E48ED" w:rsidRDefault="003A7B23">
      <w:pPr>
        <w:pStyle w:val="20"/>
        <w:spacing w:before="0" w:after="0" w:line="520" w:lineRule="exact"/>
        <w:ind w:left="0" w:firstLineChars="200" w:firstLine="480"/>
        <w:rPr>
          <w:rFonts w:ascii="Times New Roman"/>
          <w:bCs/>
        </w:rPr>
      </w:pPr>
      <w:r>
        <w:rPr>
          <w:rFonts w:ascii="Times New Roman" w:hint="eastAsia"/>
          <w:bCs/>
        </w:rPr>
        <w:t>C</w:t>
      </w:r>
      <w:r>
        <w:rPr>
          <w:rFonts w:ascii="Times New Roman" w:hint="eastAsia"/>
          <w:bCs/>
        </w:rPr>
        <w:t>类基金份额的销售服务费按前一日</w:t>
      </w:r>
      <w:r>
        <w:rPr>
          <w:rFonts w:ascii="Times New Roman" w:hint="eastAsia"/>
          <w:bCs/>
        </w:rPr>
        <w:t>C</w:t>
      </w:r>
      <w:r>
        <w:rPr>
          <w:rFonts w:ascii="Times New Roman" w:hint="eastAsia"/>
          <w:bCs/>
        </w:rPr>
        <w:t>类基金资产净值的</w:t>
      </w:r>
      <w:r>
        <w:rPr>
          <w:rFonts w:ascii="Times New Roman" w:hint="eastAsia"/>
          <w:bCs/>
        </w:rPr>
        <w:t>0.</w:t>
      </w:r>
      <w:r>
        <w:rPr>
          <w:rFonts w:ascii="Times New Roman"/>
          <w:bCs/>
        </w:rPr>
        <w:t>30</w:t>
      </w:r>
      <w:r>
        <w:rPr>
          <w:rFonts w:ascii="Times New Roman" w:hint="eastAsia"/>
          <w:bCs/>
        </w:rPr>
        <w:t>%</w:t>
      </w:r>
      <w:r>
        <w:rPr>
          <w:rFonts w:ascii="Times New Roman" w:hint="eastAsia"/>
          <w:bCs/>
        </w:rPr>
        <w:t>年费率计提。计算方法如下：</w:t>
      </w:r>
    </w:p>
    <w:p w14:paraId="3405D4E0" w14:textId="77777777" w:rsidR="000E48ED" w:rsidRDefault="003A7B23">
      <w:pPr>
        <w:pStyle w:val="20"/>
        <w:spacing w:before="0" w:after="0" w:line="520" w:lineRule="exact"/>
        <w:ind w:left="0" w:firstLineChars="200" w:firstLine="480"/>
        <w:rPr>
          <w:rFonts w:ascii="Times New Roman"/>
          <w:bCs/>
        </w:rPr>
      </w:pPr>
      <w:r>
        <w:rPr>
          <w:rFonts w:ascii="Times New Roman" w:hint="eastAsia"/>
          <w:bCs/>
        </w:rPr>
        <w:t>H3</w:t>
      </w:r>
      <w:r>
        <w:rPr>
          <w:rFonts w:ascii="Times New Roman" w:hint="eastAsia"/>
          <w:bCs/>
        </w:rPr>
        <w:t>＝</w:t>
      </w:r>
      <w:proofErr w:type="spellStart"/>
      <w:r>
        <w:rPr>
          <w:rFonts w:ascii="Times New Roman" w:hint="eastAsia"/>
          <w:bCs/>
        </w:rPr>
        <w:t>Ec</w:t>
      </w:r>
      <w:proofErr w:type="spellEnd"/>
      <w:r>
        <w:rPr>
          <w:rFonts w:ascii="Times New Roman" w:hint="eastAsia"/>
          <w:bCs/>
        </w:rPr>
        <w:t>×</w:t>
      </w:r>
      <w:r>
        <w:rPr>
          <w:rFonts w:ascii="Times New Roman" w:hint="eastAsia"/>
          <w:bCs/>
        </w:rPr>
        <w:t>0.</w:t>
      </w:r>
      <w:r>
        <w:rPr>
          <w:rFonts w:ascii="Times New Roman"/>
          <w:bCs/>
        </w:rPr>
        <w:t>30</w:t>
      </w:r>
      <w:r>
        <w:rPr>
          <w:rFonts w:ascii="Times New Roman" w:hint="eastAsia"/>
          <w:bCs/>
        </w:rPr>
        <w:t>%</w:t>
      </w:r>
      <w:r>
        <w:rPr>
          <w:rFonts w:ascii="Times New Roman" w:hint="eastAsia"/>
          <w:bCs/>
        </w:rPr>
        <w:t>÷当年天数</w:t>
      </w:r>
    </w:p>
    <w:p w14:paraId="5EC45E6E" w14:textId="77777777" w:rsidR="000E48ED" w:rsidRDefault="003A7B23">
      <w:pPr>
        <w:pStyle w:val="20"/>
        <w:spacing w:before="0" w:after="0" w:line="520" w:lineRule="exact"/>
        <w:ind w:left="0" w:firstLineChars="200" w:firstLine="480"/>
        <w:rPr>
          <w:rFonts w:ascii="Times New Roman"/>
          <w:bCs/>
        </w:rPr>
      </w:pPr>
      <w:r>
        <w:rPr>
          <w:rFonts w:ascii="Times New Roman" w:hint="eastAsia"/>
          <w:bCs/>
        </w:rPr>
        <w:t>H3</w:t>
      </w:r>
      <w:r>
        <w:rPr>
          <w:rFonts w:ascii="Times New Roman" w:hint="eastAsia"/>
          <w:bCs/>
        </w:rPr>
        <w:t>为</w:t>
      </w:r>
      <w:r>
        <w:rPr>
          <w:rFonts w:ascii="Times New Roman" w:hint="eastAsia"/>
          <w:bCs/>
        </w:rPr>
        <w:t>C</w:t>
      </w:r>
      <w:r>
        <w:rPr>
          <w:rFonts w:ascii="Times New Roman" w:hint="eastAsia"/>
          <w:bCs/>
        </w:rPr>
        <w:t>类基金份额每日应计提的销售服务费</w:t>
      </w:r>
    </w:p>
    <w:p w14:paraId="2E677F9F" w14:textId="77777777" w:rsidR="000E48ED" w:rsidRDefault="003A7B23">
      <w:pPr>
        <w:pStyle w:val="20"/>
        <w:spacing w:before="0" w:after="0" w:line="520" w:lineRule="exact"/>
        <w:ind w:left="0" w:firstLineChars="200" w:firstLine="480"/>
        <w:rPr>
          <w:rFonts w:ascii="Times New Roman"/>
          <w:bCs/>
        </w:rPr>
      </w:pPr>
      <w:proofErr w:type="spellStart"/>
      <w:r>
        <w:rPr>
          <w:rFonts w:ascii="Times New Roman" w:hint="eastAsia"/>
          <w:bCs/>
        </w:rPr>
        <w:t>Ec</w:t>
      </w:r>
      <w:proofErr w:type="spellEnd"/>
      <w:r>
        <w:rPr>
          <w:rFonts w:ascii="Times New Roman" w:hint="eastAsia"/>
          <w:bCs/>
        </w:rPr>
        <w:t>为</w:t>
      </w:r>
      <w:r>
        <w:rPr>
          <w:rFonts w:ascii="Times New Roman" w:hint="eastAsia"/>
          <w:bCs/>
        </w:rPr>
        <w:t>C</w:t>
      </w:r>
      <w:r>
        <w:rPr>
          <w:rFonts w:ascii="Times New Roman" w:hint="eastAsia"/>
          <w:bCs/>
        </w:rPr>
        <w:t>类基金份额前一日基金资产净值</w:t>
      </w:r>
    </w:p>
    <w:p w14:paraId="5397D28C" w14:textId="77777777" w:rsidR="000E48ED" w:rsidRDefault="003A7B23">
      <w:pPr>
        <w:pStyle w:val="20"/>
        <w:spacing w:before="0" w:after="0" w:line="520" w:lineRule="exact"/>
        <w:ind w:left="0" w:firstLineChars="200" w:firstLine="480"/>
        <w:rPr>
          <w:rFonts w:hAnsi="宋体"/>
          <w:szCs w:val="24"/>
        </w:rPr>
      </w:pPr>
      <w:r>
        <w:rPr>
          <w:rFonts w:hint="eastAsia"/>
          <w:bCs/>
        </w:rPr>
        <w:t>销售服务费每日计算，逐日累计至每月月末，按月支付，经基金管理人与基金托管人双方核对无误后，</w:t>
      </w:r>
      <w:r>
        <w:rPr>
          <w:bCs/>
        </w:rPr>
        <w:t>基金托管人</w:t>
      </w:r>
      <w:r>
        <w:rPr>
          <w:rFonts w:hint="eastAsia"/>
          <w:bCs/>
          <w:szCs w:val="24"/>
        </w:rPr>
        <w:t>按照</w:t>
      </w:r>
      <w:r>
        <w:rPr>
          <w:rFonts w:hAnsi="宋体" w:hint="eastAsia"/>
          <w:szCs w:val="24"/>
        </w:rPr>
        <w:t>与基金</w:t>
      </w:r>
      <w:r>
        <w:rPr>
          <w:rFonts w:hint="eastAsia"/>
          <w:bCs/>
        </w:rPr>
        <w:t>管理人</w:t>
      </w:r>
      <w:r>
        <w:rPr>
          <w:rFonts w:hAnsi="宋体" w:hint="eastAsia"/>
          <w:szCs w:val="24"/>
        </w:rPr>
        <w:t>协商一致的方式</w:t>
      </w:r>
      <w:r>
        <w:rPr>
          <w:rFonts w:hint="eastAsia"/>
          <w:bCs/>
        </w:rPr>
        <w:t>于次月前3个工作日内从基金财产中一次性支付给登记机构。销售服务费由登记机构代收并按照相关合同规定支付给基金销售机构。若遇法定节假日、公休</w:t>
      </w:r>
      <w:r>
        <w:rPr>
          <w:bCs/>
        </w:rPr>
        <w:t>假</w:t>
      </w:r>
      <w:r>
        <w:rPr>
          <w:rFonts w:hint="eastAsia"/>
          <w:bCs/>
        </w:rPr>
        <w:t>等，支付日期顺延。</w:t>
      </w:r>
    </w:p>
    <w:bookmarkEnd w:id="58"/>
    <w:bookmarkEnd w:id="59"/>
    <w:p w14:paraId="0275324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11.4为基金财产及基金运作所开立账户的开户费和账户维护费、证券/期货交易费用、基金合同生效后与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的信息披露费用、基金份额持有人大会费用、基金合同生效后与基金相关的会计师费、律师费、仲裁费</w:t>
      </w:r>
      <w:r>
        <w:rPr>
          <w:rFonts w:hAnsi="宋体"/>
          <w:szCs w:val="24"/>
        </w:rPr>
        <w:t>和诉讼费</w:t>
      </w:r>
      <w:r>
        <w:rPr>
          <w:rFonts w:hAnsi="宋体" w:hint="eastAsia"/>
          <w:szCs w:val="24"/>
        </w:rPr>
        <w:t>、</w:t>
      </w:r>
      <w:r>
        <w:rPr>
          <w:rFonts w:hAnsi="宋体"/>
          <w:szCs w:val="24"/>
        </w:rPr>
        <w:t>基金的银行</w:t>
      </w:r>
      <w:r>
        <w:rPr>
          <w:rFonts w:hAnsi="宋体" w:hint="eastAsia"/>
          <w:szCs w:val="24"/>
        </w:rPr>
        <w:t>汇划</w:t>
      </w:r>
      <w:r>
        <w:rPr>
          <w:rFonts w:hAnsi="宋体"/>
          <w:szCs w:val="24"/>
        </w:rPr>
        <w:t>费用</w:t>
      </w:r>
      <w:r>
        <w:rPr>
          <w:rFonts w:hAnsi="宋体" w:hint="eastAsia"/>
          <w:szCs w:val="24"/>
        </w:rPr>
        <w:t>等根据有关法律法规、基金合同及相应协议的规定，由基金托管人按基金管理人的划款指令或双方协商一致的方式支付，并根据费用实际支出金额支付，列入当期基金费用。</w:t>
      </w:r>
    </w:p>
    <w:p w14:paraId="6515C8F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11.5不列入基金费用的项目：</w:t>
      </w:r>
    </w:p>
    <w:p w14:paraId="0FCAC3E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的相关费用不从基金财产中支付。其他根据相关法律法规及中国证监会的有关规定不得列入基金费用的项目也不列入基金费用。</w:t>
      </w:r>
    </w:p>
    <w:p w14:paraId="70C9890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11.6如果基金托管人发现基金管理人违反有关法律法规的有关规定和基金合同、托管协议的约定，从基金财产中列支费用，有权要求基金管理人做出书面解释，如果基金托管人认为基金管理人无正当或合理的理由，可以拒绝支付。</w:t>
      </w:r>
    </w:p>
    <w:p w14:paraId="7E9A6F70" w14:textId="77777777" w:rsidR="000E48ED" w:rsidRDefault="000E48ED">
      <w:pPr>
        <w:pStyle w:val="20"/>
        <w:spacing w:before="0" w:after="0" w:line="520" w:lineRule="exact"/>
        <w:ind w:left="0" w:firstLineChars="200" w:firstLine="480"/>
        <w:rPr>
          <w:rFonts w:hAnsi="宋体"/>
          <w:szCs w:val="24"/>
        </w:rPr>
      </w:pPr>
    </w:p>
    <w:p w14:paraId="05B207D0" w14:textId="77777777" w:rsidR="000E48ED" w:rsidRDefault="003A7B23">
      <w:pPr>
        <w:pStyle w:val="1"/>
        <w:spacing w:line="520" w:lineRule="exact"/>
        <w:ind w:firstLineChars="200" w:firstLine="482"/>
        <w:rPr>
          <w:bCs/>
          <w:color w:val="auto"/>
          <w:szCs w:val="24"/>
        </w:rPr>
      </w:pPr>
      <w:bookmarkStart w:id="60" w:name="_Toc84945744"/>
      <w:r>
        <w:rPr>
          <w:rFonts w:hint="eastAsia"/>
          <w:bCs/>
          <w:color w:val="auto"/>
          <w:szCs w:val="24"/>
        </w:rPr>
        <w:t>第十二条  基</w:t>
      </w:r>
      <w:bookmarkStart w:id="61" w:name="_Toc296551348"/>
      <w:r>
        <w:rPr>
          <w:rFonts w:hint="eastAsia"/>
          <w:bCs/>
          <w:color w:val="auto"/>
          <w:szCs w:val="24"/>
        </w:rPr>
        <w:t>金份额持有人名册的保管</w:t>
      </w:r>
      <w:bookmarkEnd w:id="60"/>
    </w:p>
    <w:p w14:paraId="19E26E3D" w14:textId="77777777" w:rsidR="000E48ED" w:rsidRDefault="003A7B23">
      <w:pPr>
        <w:pStyle w:val="20"/>
        <w:spacing w:before="0" w:after="0" w:line="520" w:lineRule="exact"/>
        <w:ind w:left="0" w:firstLineChars="200" w:firstLine="480"/>
        <w:rPr>
          <w:rFonts w:hAnsi="宋体"/>
          <w:szCs w:val="24"/>
        </w:rPr>
      </w:pPr>
      <w:bookmarkStart w:id="62" w:name="_Hlk86418108"/>
      <w:bookmarkStart w:id="63" w:name="_Hlk88050206"/>
      <w:r>
        <w:rPr>
          <w:rFonts w:hAnsi="宋体" w:hint="eastAsia"/>
          <w:szCs w:val="24"/>
        </w:rPr>
        <w:t>12.1基</w:t>
      </w:r>
      <w:bookmarkEnd w:id="61"/>
      <w:r>
        <w:rPr>
          <w:rFonts w:hAnsi="宋体" w:hint="eastAsia"/>
          <w:szCs w:val="24"/>
        </w:rPr>
        <w:t>金管理人和基金托管人须分别妥善保管基金份额持有人名册，基金份额持有人名册的内容必须包括基金份额持有人的名称和持有的基金份额。</w:t>
      </w:r>
    </w:p>
    <w:p w14:paraId="1EABCC1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12.2基金份额持有人名册由基金的登记机构根据基金管理人的指令编制和保管，基金管理人和基金托管人应按照目前相关规则分别保管基金份额持有人名册。保管方式可以采用电子或文档的形式。登记机构对于基金份额持有人名册的保管期限不得少于20年，法律法规另有规定的，从其规定。</w:t>
      </w:r>
    </w:p>
    <w:p w14:paraId="3FC05A9A" w14:textId="6775A759" w:rsidR="000E48ED" w:rsidRDefault="003A7B23">
      <w:pPr>
        <w:pStyle w:val="20"/>
        <w:spacing w:before="0" w:after="0" w:line="520" w:lineRule="exact"/>
        <w:ind w:left="0" w:firstLineChars="200" w:firstLine="480"/>
        <w:rPr>
          <w:rFonts w:hAnsi="宋体"/>
          <w:szCs w:val="24"/>
        </w:rPr>
      </w:pPr>
      <w:r>
        <w:rPr>
          <w:rFonts w:hAnsi="宋体" w:hint="eastAsia"/>
          <w:szCs w:val="24"/>
        </w:rPr>
        <w:t>12.3基金管理人应当及时向基金托管人定期或不定期提交基金份额持有人名册。对于每半年度最后一个工作日的基金份额持有人名册，基金管理人应在每半年度结束后5个工作日内定期向基金托管人提供。对于基金募集期结束时的基金份额持有人名册、收益分配基准日的基金份额持有人名册以及基金份额持有人大会权益登记日的基金份额持有人名册，基金管理人应在相关的名册生成后5个工作日内向基金托管人提供。基金托管人不得将所保管的基金份额持有人名册用于基金托管业</w:t>
      </w:r>
      <w:r>
        <w:rPr>
          <w:rFonts w:hAnsi="宋体" w:hint="eastAsia"/>
          <w:szCs w:val="24"/>
        </w:rPr>
        <w:lastRenderedPageBreak/>
        <w:t>务以外的其他用途，并应遵守保密义务。</w:t>
      </w:r>
      <w:r>
        <w:rPr>
          <w:rFonts w:hAnsi="宋体"/>
          <w:szCs w:val="24"/>
        </w:rPr>
        <w:t>法律法规另有</w:t>
      </w:r>
      <w:r>
        <w:rPr>
          <w:rFonts w:hAnsi="宋体" w:hint="eastAsia"/>
          <w:szCs w:val="24"/>
        </w:rPr>
        <w:t>规定</w:t>
      </w:r>
      <w:r>
        <w:rPr>
          <w:rFonts w:hAnsi="宋体"/>
          <w:szCs w:val="24"/>
        </w:rPr>
        <w:t>的，从其规定</w:t>
      </w:r>
      <w:r>
        <w:rPr>
          <w:rFonts w:hAnsi="宋体" w:hint="eastAsia"/>
          <w:szCs w:val="24"/>
        </w:rPr>
        <w:t>。</w:t>
      </w:r>
    </w:p>
    <w:p w14:paraId="5160A92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12.4</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bookmarkEnd w:id="62"/>
    </w:p>
    <w:bookmarkEnd w:id="63"/>
    <w:p w14:paraId="04460388" w14:textId="77777777" w:rsidR="000E48ED" w:rsidRDefault="000E48ED">
      <w:pPr>
        <w:pStyle w:val="20"/>
        <w:spacing w:before="0" w:after="0" w:line="520" w:lineRule="exact"/>
        <w:ind w:left="0" w:firstLineChars="200" w:firstLine="480"/>
        <w:rPr>
          <w:rFonts w:hAnsi="宋体"/>
          <w:szCs w:val="24"/>
        </w:rPr>
      </w:pPr>
    </w:p>
    <w:p w14:paraId="0D021B07" w14:textId="77777777" w:rsidR="000E48ED" w:rsidRDefault="003A7B23">
      <w:pPr>
        <w:pStyle w:val="1"/>
        <w:spacing w:line="520" w:lineRule="exact"/>
        <w:ind w:firstLineChars="200" w:firstLine="482"/>
        <w:rPr>
          <w:bCs/>
          <w:color w:val="auto"/>
          <w:szCs w:val="24"/>
        </w:rPr>
      </w:pPr>
      <w:bookmarkStart w:id="64" w:name="_Toc84945745"/>
      <w:r>
        <w:rPr>
          <w:rFonts w:hint="eastAsia"/>
          <w:bCs/>
          <w:color w:val="auto"/>
          <w:szCs w:val="24"/>
        </w:rPr>
        <w:t>第十三条  基</w:t>
      </w:r>
      <w:bookmarkStart w:id="65" w:name="_Toc296551349"/>
      <w:r>
        <w:rPr>
          <w:rFonts w:hint="eastAsia"/>
          <w:bCs/>
          <w:color w:val="auto"/>
          <w:szCs w:val="24"/>
        </w:rPr>
        <w:t>金有关文件和档案的保存</w:t>
      </w:r>
      <w:bookmarkEnd w:id="64"/>
    </w:p>
    <w:p w14:paraId="24D38BE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13.1基</w:t>
      </w:r>
      <w:bookmarkEnd w:id="65"/>
      <w:r>
        <w:rPr>
          <w:rFonts w:hAnsi="宋体" w:hint="eastAsia"/>
          <w:szCs w:val="24"/>
        </w:rPr>
        <w:t>金管理人、基金托管人按各自职责完整保存原始凭证、记账凭证、基金账册、交易记录和重要合同等，</w:t>
      </w:r>
      <w:r>
        <w:rPr>
          <w:rFonts w:hint="eastAsia"/>
          <w:bCs/>
        </w:rPr>
        <w:t>保存期限不少于20年，法律法规另有规定的，从其规定</w:t>
      </w:r>
      <w:r>
        <w:rPr>
          <w:rFonts w:hAnsi="宋体" w:hint="eastAsia"/>
          <w:szCs w:val="24"/>
        </w:rPr>
        <w:t>，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62A9C9EB"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26B4296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13.3基金管理人或基金托管人变更后，未变更的一方有义务协助接任人接收基金的有关文件。</w:t>
      </w:r>
    </w:p>
    <w:p w14:paraId="68A4C62E" w14:textId="77777777" w:rsidR="000E48ED" w:rsidRDefault="000E48ED">
      <w:pPr>
        <w:pStyle w:val="20"/>
        <w:spacing w:before="0" w:after="0" w:line="520" w:lineRule="exact"/>
        <w:ind w:left="0" w:firstLineChars="200" w:firstLine="480"/>
        <w:rPr>
          <w:rFonts w:hAnsi="宋体"/>
          <w:szCs w:val="24"/>
        </w:rPr>
      </w:pPr>
    </w:p>
    <w:p w14:paraId="1453BF49" w14:textId="77777777" w:rsidR="000E48ED" w:rsidRDefault="003A7B23">
      <w:pPr>
        <w:pStyle w:val="1"/>
        <w:spacing w:line="520" w:lineRule="exact"/>
        <w:ind w:firstLineChars="200" w:firstLine="482"/>
        <w:rPr>
          <w:bCs/>
          <w:color w:val="auto"/>
          <w:szCs w:val="24"/>
        </w:rPr>
      </w:pPr>
      <w:bookmarkStart w:id="66" w:name="_Toc84945746"/>
      <w:r>
        <w:rPr>
          <w:rFonts w:hint="eastAsia"/>
          <w:bCs/>
          <w:color w:val="auto"/>
          <w:szCs w:val="24"/>
        </w:rPr>
        <w:t>第十四条  基</w:t>
      </w:r>
      <w:bookmarkStart w:id="67" w:name="_Toc296551350"/>
      <w:r>
        <w:rPr>
          <w:rFonts w:hint="eastAsia"/>
          <w:bCs/>
          <w:color w:val="auto"/>
          <w:szCs w:val="24"/>
        </w:rPr>
        <w:t>金管理人和基金托管人的更换</w:t>
      </w:r>
      <w:bookmarkEnd w:id="66"/>
    </w:p>
    <w:p w14:paraId="6BDE0E9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14.1基</w:t>
      </w:r>
      <w:bookmarkEnd w:id="67"/>
      <w:r>
        <w:rPr>
          <w:rFonts w:hAnsi="宋体" w:hint="eastAsia"/>
          <w:szCs w:val="24"/>
        </w:rPr>
        <w:t>金管理人的更换</w:t>
      </w:r>
    </w:p>
    <w:p w14:paraId="40E1893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14.1.1</w:t>
      </w:r>
      <w:bookmarkStart w:id="68" w:name="_Hlk49422028"/>
      <w:r>
        <w:rPr>
          <w:rFonts w:hAnsi="宋体" w:hint="eastAsia"/>
          <w:szCs w:val="24"/>
        </w:rPr>
        <w:t>基金管理人的更换条件</w:t>
      </w:r>
    </w:p>
    <w:p w14:paraId="275B151F" w14:textId="77777777" w:rsidR="000E48ED" w:rsidRDefault="003A7B23">
      <w:pPr>
        <w:pStyle w:val="20"/>
        <w:spacing w:before="0" w:after="0" w:line="520" w:lineRule="exact"/>
        <w:ind w:left="0" w:firstLineChars="200" w:firstLine="480"/>
        <w:rPr>
          <w:rFonts w:hAnsi="宋体"/>
          <w:szCs w:val="24"/>
        </w:rPr>
      </w:pPr>
      <w:bookmarkStart w:id="69" w:name="_Hlk68601436"/>
      <w:r>
        <w:rPr>
          <w:rFonts w:hAnsi="宋体" w:hint="eastAsia"/>
          <w:szCs w:val="24"/>
        </w:rPr>
        <w:t>有下列情形之一的，基金管理人职责终止：</w:t>
      </w:r>
    </w:p>
    <w:p w14:paraId="6C461AE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（1）被依法取消基金管理资格；</w:t>
      </w:r>
    </w:p>
    <w:p w14:paraId="5884000A"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（2）被基金份额持有人大会解任；</w:t>
      </w:r>
    </w:p>
    <w:p w14:paraId="5B0268E8"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（3）依法解散、被依法撤销或被依法宣告破产；</w:t>
      </w:r>
    </w:p>
    <w:p w14:paraId="067F6DF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（4）法律法规及中国证监会规定的和基金合同约定的其他情形。</w:t>
      </w:r>
    </w:p>
    <w:p w14:paraId="61AB575A"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14.1.2基金管理人的更换程序</w:t>
      </w:r>
    </w:p>
    <w:p w14:paraId="05430CBD"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更换基金管理人必须依照如下程序进行：</w:t>
      </w:r>
    </w:p>
    <w:p w14:paraId="784C577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管理人由基金托管人或由单独或合计持有10%以上（含</w:t>
      </w:r>
      <w:r>
        <w:rPr>
          <w:rFonts w:hAnsi="宋体" w:hint="eastAsia"/>
          <w:szCs w:val="24"/>
        </w:rPr>
        <w:lastRenderedPageBreak/>
        <w:t>10%）基金份额的基金份额持有人提名；</w:t>
      </w:r>
    </w:p>
    <w:p w14:paraId="23C57CC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（2）决议：基金份额持有人大会在基金管理人职责终止后6个月内对被提名的基金管理人形成决议，</w:t>
      </w:r>
      <w:r>
        <w:rPr>
          <w:bCs/>
        </w:rPr>
        <w:t>该决议需经参加大会的基金份额持有人所持表决权的</w:t>
      </w:r>
      <w:r>
        <w:rPr>
          <w:rFonts w:hint="eastAsia"/>
          <w:bCs/>
        </w:rPr>
        <w:t>三分之二</w:t>
      </w:r>
      <w:r>
        <w:rPr>
          <w:bCs/>
        </w:rPr>
        <w:t>以上（含</w:t>
      </w:r>
      <w:r>
        <w:rPr>
          <w:rFonts w:hint="eastAsia"/>
          <w:bCs/>
        </w:rPr>
        <w:t>三分之二</w:t>
      </w:r>
      <w:r>
        <w:rPr>
          <w:bCs/>
        </w:rPr>
        <w:t>）表决通过</w:t>
      </w:r>
      <w:r>
        <w:rPr>
          <w:rFonts w:hint="eastAsia"/>
          <w:bCs/>
        </w:rPr>
        <w:t>，决议自表决通过之日起生效</w:t>
      </w:r>
      <w:r>
        <w:rPr>
          <w:rFonts w:hAnsi="宋体" w:hint="eastAsia"/>
          <w:szCs w:val="24"/>
        </w:rPr>
        <w:t>；</w:t>
      </w:r>
    </w:p>
    <w:p w14:paraId="6A4FB4E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（3）临时基金管理人：</w:t>
      </w:r>
      <w:proofErr w:type="gramStart"/>
      <w:r>
        <w:rPr>
          <w:rFonts w:hAnsi="宋体" w:hint="eastAsia"/>
          <w:szCs w:val="24"/>
        </w:rPr>
        <w:t>新任基金</w:t>
      </w:r>
      <w:proofErr w:type="gramEnd"/>
      <w:r>
        <w:rPr>
          <w:rFonts w:hAnsi="宋体" w:hint="eastAsia"/>
          <w:szCs w:val="24"/>
        </w:rPr>
        <w:t>管理人产生之前，由中国证监会指定临时基金管理人；</w:t>
      </w:r>
    </w:p>
    <w:p w14:paraId="0EDB017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（4）备案：</w:t>
      </w:r>
      <w:r>
        <w:rPr>
          <w:bCs/>
        </w:rPr>
        <w:t>基金份额持有人大会</w:t>
      </w:r>
      <w:r>
        <w:rPr>
          <w:rFonts w:hint="eastAsia"/>
          <w:bCs/>
        </w:rPr>
        <w:t>更换</w:t>
      </w:r>
      <w:r>
        <w:rPr>
          <w:bCs/>
        </w:rPr>
        <w:t>基金管理人的决议须</w:t>
      </w:r>
      <w:r>
        <w:rPr>
          <w:rFonts w:hint="eastAsia"/>
          <w:bCs/>
        </w:rPr>
        <w:t>报</w:t>
      </w:r>
      <w:r>
        <w:rPr>
          <w:bCs/>
        </w:rPr>
        <w:t>中国证监会</w:t>
      </w:r>
      <w:r>
        <w:rPr>
          <w:rFonts w:hint="eastAsia"/>
          <w:bCs/>
        </w:rPr>
        <w:t>备案</w:t>
      </w:r>
      <w:r>
        <w:rPr>
          <w:rFonts w:hAnsi="宋体" w:hint="eastAsia"/>
          <w:szCs w:val="24"/>
        </w:rPr>
        <w:t>；</w:t>
      </w:r>
    </w:p>
    <w:p w14:paraId="02D50BE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（5）公告：基金管理人更换后，由基金托管人在</w:t>
      </w:r>
      <w:r>
        <w:rPr>
          <w:rFonts w:hint="eastAsia"/>
          <w:bCs/>
        </w:rPr>
        <w:t>更换</w:t>
      </w:r>
      <w:r>
        <w:rPr>
          <w:bCs/>
        </w:rPr>
        <w:t>基金管理人的</w:t>
      </w:r>
      <w:r>
        <w:rPr>
          <w:rFonts w:hint="eastAsia"/>
          <w:bCs/>
        </w:rPr>
        <w:t>基金</w:t>
      </w:r>
      <w:r>
        <w:rPr>
          <w:bCs/>
        </w:rPr>
        <w:t>份额持有人大会</w:t>
      </w:r>
      <w:r>
        <w:rPr>
          <w:rFonts w:hint="eastAsia"/>
          <w:bCs/>
        </w:rPr>
        <w:t>决议生效后2日内</w:t>
      </w:r>
      <w:r>
        <w:rPr>
          <w:bCs/>
        </w:rPr>
        <w:t>在</w:t>
      </w:r>
      <w:r>
        <w:rPr>
          <w:rFonts w:hint="eastAsia"/>
          <w:bCs/>
        </w:rPr>
        <w:t>规定媒介</w:t>
      </w:r>
      <w:r>
        <w:rPr>
          <w:bCs/>
        </w:rPr>
        <w:t>公告</w:t>
      </w:r>
      <w:r>
        <w:rPr>
          <w:rFonts w:hAnsi="宋体" w:hint="eastAsia"/>
          <w:szCs w:val="24"/>
        </w:rPr>
        <w:t>；</w:t>
      </w:r>
    </w:p>
    <w:p w14:paraId="423566B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）交接：基金管理人职责终止的，</w:t>
      </w:r>
      <w:r>
        <w:rPr>
          <w:bCs/>
        </w:rPr>
        <w:t>基金管理人</w:t>
      </w:r>
      <w:r>
        <w:rPr>
          <w:rFonts w:hAnsi="宋体" w:hint="eastAsia"/>
          <w:szCs w:val="24"/>
        </w:rPr>
        <w:t>应妥善保管基金管理业务资料，及时</w:t>
      </w:r>
      <w:r>
        <w:rPr>
          <w:bCs/>
        </w:rPr>
        <w:t>向临时基金管理人或</w:t>
      </w:r>
      <w:proofErr w:type="gramStart"/>
      <w:r>
        <w:rPr>
          <w:bCs/>
        </w:rPr>
        <w:t>新任基金</w:t>
      </w:r>
      <w:proofErr w:type="gramEnd"/>
      <w:r>
        <w:rPr>
          <w:bCs/>
        </w:rPr>
        <w:t>管理人</w:t>
      </w:r>
      <w:r>
        <w:rPr>
          <w:rFonts w:hAnsi="宋体" w:hint="eastAsia"/>
          <w:szCs w:val="24"/>
        </w:rPr>
        <w:t>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管理人应及时接收。临时基金管理人或</w:t>
      </w:r>
      <w:proofErr w:type="gramStart"/>
      <w:r>
        <w:rPr>
          <w:rFonts w:hAnsi="宋体" w:hint="eastAsia"/>
          <w:szCs w:val="24"/>
        </w:rPr>
        <w:t>新任基金</w:t>
      </w:r>
      <w:proofErr w:type="gramEnd"/>
      <w:r>
        <w:rPr>
          <w:rFonts w:hAnsi="宋体" w:hint="eastAsia"/>
          <w:szCs w:val="24"/>
        </w:rPr>
        <w:t>管理人应与基金托管人核对基金资产总值；</w:t>
      </w:r>
    </w:p>
    <w:p w14:paraId="15B177BC"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7</w:t>
      </w:r>
      <w:r>
        <w:rPr>
          <w:rFonts w:hAnsi="宋体" w:hint="eastAsia"/>
          <w:szCs w:val="24"/>
        </w:rPr>
        <w:t>）审计：基金管理人职责终止的，应当按照法律法规规定聘请会计师事务所对基金财产进行审计，并将审计结果予以公告，同时报中国证监会备案；审计费用在基金资产中列支；</w:t>
      </w:r>
    </w:p>
    <w:p w14:paraId="544B333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8</w:t>
      </w:r>
      <w:r>
        <w:rPr>
          <w:rFonts w:hAnsi="宋体" w:hint="eastAsia"/>
          <w:szCs w:val="24"/>
        </w:rPr>
        <w:t>）基金名称变更：基金管理人更换后，如果原任或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w:t>
      </w:r>
      <w:proofErr w:type="gramStart"/>
      <w:r>
        <w:rPr>
          <w:rFonts w:hAnsi="宋体" w:hint="eastAsia"/>
          <w:szCs w:val="24"/>
        </w:rPr>
        <w:t>原基金</w:t>
      </w:r>
      <w:proofErr w:type="gramEnd"/>
      <w:r>
        <w:rPr>
          <w:rFonts w:hAnsi="宋体" w:hint="eastAsia"/>
          <w:szCs w:val="24"/>
        </w:rPr>
        <w:t>管理人有关的名称字样。</w:t>
      </w:r>
    </w:p>
    <w:p w14:paraId="63F8057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14.2基金托管人的更换</w:t>
      </w:r>
    </w:p>
    <w:p w14:paraId="3CF598B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14.2.1基金托管人的更换条件：</w:t>
      </w:r>
    </w:p>
    <w:p w14:paraId="34EF939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有下列情形之一的，基金托管人职责终止：</w:t>
      </w:r>
    </w:p>
    <w:p w14:paraId="65FD16A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（1）被依法取消基金托管资格；</w:t>
      </w:r>
    </w:p>
    <w:p w14:paraId="395A59C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（2）被基金份额持有人大会解任；</w:t>
      </w:r>
    </w:p>
    <w:p w14:paraId="5A3437E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（3）依法解散、被依法撤销或被依法宣告破产；</w:t>
      </w:r>
    </w:p>
    <w:p w14:paraId="2052AE9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（4）法律法规及中国证监会规定的和基金合同约定的其他情形。</w:t>
      </w:r>
    </w:p>
    <w:p w14:paraId="1F004D0B"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14.2.2基金托管人的更换程序</w:t>
      </w:r>
    </w:p>
    <w:p w14:paraId="69985A5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托管人由基金管理人或由单独或合计持有10%以上（含10%）基金份额的基金份额持有人提名；</w:t>
      </w:r>
    </w:p>
    <w:p w14:paraId="14CE900D"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（2）决议：基金份额持有人大会在基金托管人职责终止后6个月内对被提名的基金托管人形成决议，</w:t>
      </w:r>
      <w:r>
        <w:rPr>
          <w:rFonts w:hAnsi="宋体"/>
          <w:szCs w:val="24"/>
        </w:rPr>
        <w:t>该决议需经参加大会的基金份额持有人所持表决权的</w:t>
      </w:r>
      <w:r>
        <w:rPr>
          <w:rFonts w:hAnsi="宋体" w:hint="eastAsia"/>
          <w:szCs w:val="24"/>
        </w:rPr>
        <w:t>三分之二</w:t>
      </w:r>
      <w:r>
        <w:rPr>
          <w:rFonts w:hAnsi="宋体"/>
          <w:szCs w:val="24"/>
        </w:rPr>
        <w:t>以上（含</w:t>
      </w:r>
      <w:r>
        <w:rPr>
          <w:rFonts w:hAnsi="宋体" w:hint="eastAsia"/>
          <w:szCs w:val="24"/>
        </w:rPr>
        <w:t>三分之二</w:t>
      </w:r>
      <w:r>
        <w:rPr>
          <w:rFonts w:hAnsi="宋体"/>
          <w:szCs w:val="24"/>
        </w:rPr>
        <w:t>）表决通过</w:t>
      </w:r>
      <w:r>
        <w:rPr>
          <w:rFonts w:hAnsi="宋体" w:hint="eastAsia"/>
          <w:szCs w:val="24"/>
        </w:rPr>
        <w:t>，决议自表决通过之日起生效；</w:t>
      </w:r>
    </w:p>
    <w:p w14:paraId="5379116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w:t>
      </w:r>
      <w:r>
        <w:rPr>
          <w:rFonts w:hAnsi="宋体"/>
          <w:szCs w:val="24"/>
        </w:rPr>
        <w:t>临时基金托管人：</w:t>
      </w:r>
      <w:proofErr w:type="gramStart"/>
      <w:r>
        <w:rPr>
          <w:rFonts w:hAnsi="宋体"/>
          <w:szCs w:val="24"/>
        </w:rPr>
        <w:t>新任基金</w:t>
      </w:r>
      <w:proofErr w:type="gramEnd"/>
      <w:r>
        <w:rPr>
          <w:rFonts w:hAnsi="宋体"/>
          <w:szCs w:val="24"/>
        </w:rPr>
        <w:t>托管人产生之前，由中国证监会指定临时基金托管人；</w:t>
      </w:r>
    </w:p>
    <w:p w14:paraId="669D454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w:t>
      </w:r>
      <w:r>
        <w:rPr>
          <w:rFonts w:hint="eastAsia"/>
          <w:bCs/>
        </w:rPr>
        <w:t>备案</w:t>
      </w:r>
      <w:r>
        <w:rPr>
          <w:bCs/>
        </w:rPr>
        <w:t>：基金份额持有人大会更换基金托管人的决议须</w:t>
      </w:r>
      <w:r>
        <w:rPr>
          <w:rFonts w:hint="eastAsia"/>
          <w:bCs/>
        </w:rPr>
        <w:t>报</w:t>
      </w:r>
      <w:r>
        <w:rPr>
          <w:bCs/>
        </w:rPr>
        <w:t>中国证监会</w:t>
      </w:r>
      <w:r>
        <w:rPr>
          <w:rFonts w:hint="eastAsia"/>
          <w:bCs/>
        </w:rPr>
        <w:t>备案；</w:t>
      </w:r>
    </w:p>
    <w:p w14:paraId="3A76A83A"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Pr>
          <w:rFonts w:hint="eastAsia"/>
          <w:bCs/>
        </w:rPr>
        <w:t>2日内</w:t>
      </w:r>
      <w:r>
        <w:rPr>
          <w:bCs/>
        </w:rPr>
        <w:t>在</w:t>
      </w:r>
      <w:r>
        <w:rPr>
          <w:rFonts w:hint="eastAsia"/>
          <w:bCs/>
        </w:rPr>
        <w:t>规定媒介</w:t>
      </w:r>
      <w:r>
        <w:rPr>
          <w:bCs/>
        </w:rPr>
        <w:t>公告</w:t>
      </w:r>
      <w:r>
        <w:rPr>
          <w:rFonts w:hAnsi="宋体" w:hint="eastAsia"/>
          <w:szCs w:val="24"/>
        </w:rPr>
        <w:t>；</w:t>
      </w:r>
    </w:p>
    <w:p w14:paraId="75209C3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w:t>
      </w:r>
      <w:proofErr w:type="gramStart"/>
      <w:r>
        <w:rPr>
          <w:rFonts w:hAnsi="宋体" w:hint="eastAsia"/>
          <w:szCs w:val="24"/>
        </w:rPr>
        <w:t>新任基金</w:t>
      </w:r>
      <w:proofErr w:type="gramEnd"/>
      <w:r>
        <w:rPr>
          <w:rFonts w:hAnsi="宋体" w:hint="eastAsia"/>
          <w:szCs w:val="24"/>
        </w:rPr>
        <w:t>托管人或者临时基金托管人应当及时接收。</w:t>
      </w:r>
      <w:proofErr w:type="gramStart"/>
      <w:r>
        <w:rPr>
          <w:rFonts w:hAnsi="宋体" w:hint="eastAsia"/>
          <w:szCs w:val="24"/>
        </w:rPr>
        <w:t>新任基金</w:t>
      </w:r>
      <w:proofErr w:type="gramEnd"/>
      <w:r>
        <w:rPr>
          <w:rFonts w:hAnsi="宋体" w:hint="eastAsia"/>
          <w:szCs w:val="24"/>
        </w:rPr>
        <w:t>托管人或者临时基金托管人应与基金管理人核对基金资产总值；</w:t>
      </w:r>
    </w:p>
    <w:p w14:paraId="7F15364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（7）审计：基金托管人职责终止的，应当按照法律法规规定聘请会计师事务所对基金财产进行审计，并将审计结果予以公告，同时报中国证监会备案。审计费用在基金资产中列支。</w:t>
      </w:r>
    </w:p>
    <w:p w14:paraId="6BD03568"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14.3基金管理人与基金托管人同时更换</w:t>
      </w:r>
    </w:p>
    <w:p w14:paraId="2D9DBB1D"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17200368"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14.3.2基金管理人和基金托管人的更换分别按上述程序进行。</w:t>
      </w:r>
    </w:p>
    <w:p w14:paraId="422F654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14.3.3公告：新任</w:t>
      </w:r>
      <w:r>
        <w:rPr>
          <w:rFonts w:hint="eastAsia"/>
          <w:bCs/>
        </w:rPr>
        <w:t>或临时</w:t>
      </w:r>
      <w:r>
        <w:rPr>
          <w:rFonts w:hAnsi="宋体" w:hint="eastAsia"/>
          <w:szCs w:val="24"/>
        </w:rPr>
        <w:t>基金管理人和新任</w:t>
      </w:r>
      <w:r>
        <w:rPr>
          <w:rFonts w:hint="eastAsia"/>
          <w:bCs/>
        </w:rPr>
        <w:t>或临时</w:t>
      </w:r>
      <w:r>
        <w:rPr>
          <w:rFonts w:hAnsi="宋体" w:hint="eastAsia"/>
          <w:szCs w:val="24"/>
        </w:rPr>
        <w:t>基金托管人应在更换基金管理人和基金托管人的基金份额持有人大会决议生效</w:t>
      </w:r>
      <w:r>
        <w:rPr>
          <w:bCs/>
        </w:rPr>
        <w:t>后</w:t>
      </w:r>
      <w:r>
        <w:rPr>
          <w:rFonts w:hint="eastAsia"/>
          <w:bCs/>
        </w:rPr>
        <w:t>2日内</w:t>
      </w:r>
      <w:r>
        <w:rPr>
          <w:bCs/>
        </w:rPr>
        <w:t>在规定媒介上联合公告</w:t>
      </w:r>
      <w:r>
        <w:rPr>
          <w:rFonts w:hAnsi="宋体" w:hint="eastAsia"/>
          <w:szCs w:val="24"/>
        </w:rPr>
        <w:t>。</w:t>
      </w:r>
    </w:p>
    <w:p w14:paraId="2F4D2CFC"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14.4新任或临时基金管理人</w:t>
      </w:r>
      <w:r>
        <w:rPr>
          <w:rFonts w:hint="eastAsia"/>
          <w:bCs/>
        </w:rPr>
        <w:t>接收</w:t>
      </w:r>
      <w:r>
        <w:rPr>
          <w:rFonts w:hAnsi="宋体" w:hint="eastAsia"/>
          <w:szCs w:val="24"/>
        </w:rPr>
        <w:t>基金管理业务，或新任或临时基金托管人</w:t>
      </w:r>
      <w:r>
        <w:rPr>
          <w:rFonts w:hint="eastAsia"/>
          <w:bCs/>
        </w:rPr>
        <w:t>接收</w:t>
      </w:r>
      <w:r>
        <w:rPr>
          <w:rFonts w:hAnsi="宋体" w:hint="eastAsia"/>
          <w:szCs w:val="24"/>
        </w:rPr>
        <w:t>基金财产和基金托管业务前，</w:t>
      </w:r>
      <w:proofErr w:type="gramStart"/>
      <w:r>
        <w:rPr>
          <w:rFonts w:hAnsi="宋体" w:hint="eastAsia"/>
          <w:szCs w:val="24"/>
        </w:rPr>
        <w:t>原基金</w:t>
      </w:r>
      <w:proofErr w:type="gramEnd"/>
      <w:r>
        <w:rPr>
          <w:rFonts w:hAnsi="宋体" w:hint="eastAsia"/>
          <w:szCs w:val="24"/>
        </w:rPr>
        <w:t>管理人或</w:t>
      </w:r>
      <w:proofErr w:type="gramStart"/>
      <w:r>
        <w:rPr>
          <w:rFonts w:hAnsi="宋体" w:hint="eastAsia"/>
          <w:szCs w:val="24"/>
        </w:rPr>
        <w:t>原基金</w:t>
      </w:r>
      <w:proofErr w:type="gramEnd"/>
      <w:r>
        <w:rPr>
          <w:rFonts w:hAnsi="宋体" w:hint="eastAsia"/>
          <w:szCs w:val="24"/>
        </w:rPr>
        <w:t>托管人应</w:t>
      </w:r>
      <w:r>
        <w:rPr>
          <w:rFonts w:hint="eastAsia"/>
          <w:bCs/>
        </w:rPr>
        <w:t>依据法律法规和基金合同的规定</w:t>
      </w:r>
      <w:r>
        <w:rPr>
          <w:rFonts w:hAnsi="宋体" w:hint="eastAsia"/>
          <w:szCs w:val="24"/>
        </w:rPr>
        <w:t>继续履行相关职责，并保证不对基金份额持有人的利益造成损害。</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w:t>
      </w:r>
      <w:r>
        <w:rPr>
          <w:bCs/>
        </w:rPr>
        <w:t>基金</w:t>
      </w:r>
      <w:r>
        <w:rPr>
          <w:rFonts w:hint="eastAsia"/>
          <w:bCs/>
        </w:rPr>
        <w:t>合同的规定收取基金管理费或基金托管费。</w:t>
      </w:r>
    </w:p>
    <w:bookmarkEnd w:id="69"/>
    <w:p w14:paraId="3EC3915E" w14:textId="77777777" w:rsidR="000E48ED" w:rsidRDefault="000E48ED">
      <w:pPr>
        <w:pStyle w:val="20"/>
        <w:spacing w:before="0" w:after="0" w:line="520" w:lineRule="exact"/>
        <w:ind w:left="0" w:firstLineChars="200" w:firstLine="480"/>
        <w:rPr>
          <w:rFonts w:hAnsi="宋体"/>
          <w:szCs w:val="24"/>
        </w:rPr>
      </w:pPr>
    </w:p>
    <w:p w14:paraId="6FACAA79" w14:textId="77777777" w:rsidR="000E48ED" w:rsidRDefault="003A7B23">
      <w:pPr>
        <w:pStyle w:val="1"/>
        <w:spacing w:line="520" w:lineRule="exact"/>
        <w:ind w:firstLineChars="200" w:firstLine="482"/>
        <w:rPr>
          <w:bCs/>
          <w:color w:val="auto"/>
          <w:szCs w:val="24"/>
        </w:rPr>
      </w:pPr>
      <w:bookmarkStart w:id="70" w:name="_Toc84945747"/>
      <w:r>
        <w:rPr>
          <w:rFonts w:hint="eastAsia"/>
          <w:bCs/>
          <w:color w:val="auto"/>
          <w:szCs w:val="24"/>
        </w:rPr>
        <w:lastRenderedPageBreak/>
        <w:t>第十五条</w:t>
      </w:r>
      <w:bookmarkEnd w:id="68"/>
      <w:r>
        <w:rPr>
          <w:rFonts w:hint="eastAsia"/>
          <w:bCs/>
          <w:color w:val="auto"/>
          <w:szCs w:val="24"/>
        </w:rPr>
        <w:t xml:space="preserve">  禁</w:t>
      </w:r>
      <w:bookmarkStart w:id="71" w:name="_Toc296551351"/>
      <w:r>
        <w:rPr>
          <w:rFonts w:hint="eastAsia"/>
          <w:bCs/>
          <w:color w:val="auto"/>
          <w:szCs w:val="24"/>
        </w:rPr>
        <w:t>止行为</w:t>
      </w:r>
      <w:bookmarkEnd w:id="70"/>
    </w:p>
    <w:p w14:paraId="4E14D04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15.1本</w:t>
      </w:r>
      <w:bookmarkEnd w:id="71"/>
      <w:r>
        <w:rPr>
          <w:rFonts w:hAnsi="宋体" w:hint="eastAsia"/>
          <w:szCs w:val="24"/>
        </w:rPr>
        <w:t>协议当事人禁止从事的行为，包括但不限于：</w:t>
      </w:r>
    </w:p>
    <w:p w14:paraId="0F880CF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716718C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1B2E8674"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62E8C2D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15.1.4基金管理人、基金托管人向基金份额持有人违规承诺收益或者承担损失。</w:t>
      </w:r>
    </w:p>
    <w:p w14:paraId="1688975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1123A70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1FCB5BA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57882B0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15.1.8基金托管人私自动用或处分基金财产，根据基金管理人的合法指令、基金合同或托管协议的规定进行处分的除外。</w:t>
      </w:r>
    </w:p>
    <w:p w14:paraId="1DE6793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15.1.9基金财产用于下列投资或者活动：</w:t>
      </w:r>
    </w:p>
    <w:p w14:paraId="2DC50122" w14:textId="77777777" w:rsidR="000E48ED" w:rsidRDefault="003A7B23">
      <w:pPr>
        <w:pStyle w:val="20"/>
        <w:spacing w:before="0" w:after="0" w:line="520" w:lineRule="exact"/>
        <w:ind w:left="0" w:firstLineChars="200" w:firstLine="480"/>
        <w:rPr>
          <w:rFonts w:hAnsi="宋体"/>
          <w:szCs w:val="24"/>
        </w:rPr>
      </w:pPr>
      <w:bookmarkStart w:id="72" w:name="_Hlk68601531"/>
      <w:r>
        <w:rPr>
          <w:rFonts w:hAnsi="宋体" w:hint="eastAsia"/>
          <w:szCs w:val="24"/>
        </w:rPr>
        <w:t>（1）承销证券；</w:t>
      </w:r>
    </w:p>
    <w:p w14:paraId="79C93A2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37C820D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（3）从事承担无限责任的投资；</w:t>
      </w:r>
    </w:p>
    <w:p w14:paraId="139FAC2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（4）买卖其他基金份额，但是中国证监会另有规定的除外；</w:t>
      </w:r>
    </w:p>
    <w:p w14:paraId="6F9BE67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（5）向其基金管理人、基金托管人出资；</w:t>
      </w:r>
    </w:p>
    <w:p w14:paraId="4AE4AFE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（6）从事内幕交易、操纵证券交易价格及其他不正当的证券交易活动；</w:t>
      </w:r>
    </w:p>
    <w:p w14:paraId="423D20F0" w14:textId="77777777" w:rsidR="000E48ED" w:rsidRDefault="003A7B23">
      <w:pPr>
        <w:pStyle w:val="20"/>
        <w:spacing w:before="0" w:after="0" w:line="520" w:lineRule="exact"/>
        <w:ind w:left="0" w:firstLineChars="200" w:firstLine="480"/>
        <w:rPr>
          <w:rFonts w:hAnsi="宋体"/>
          <w:szCs w:val="24"/>
        </w:rPr>
      </w:pPr>
      <w:r>
        <w:rPr>
          <w:rFonts w:hint="eastAsia"/>
          <w:bCs/>
        </w:rPr>
        <w:t>（7）</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3E255FD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法律、行政法规或监管部门取消</w:t>
      </w:r>
      <w:r>
        <w:rPr>
          <w:rFonts w:hint="eastAsia"/>
          <w:bCs/>
        </w:rPr>
        <w:t>或变更上述限制的</w:t>
      </w:r>
      <w:r>
        <w:rPr>
          <w:bCs/>
        </w:rPr>
        <w:t>，</w:t>
      </w:r>
      <w:r>
        <w:rPr>
          <w:rFonts w:hAnsi="宋体" w:hint="eastAsia"/>
          <w:szCs w:val="24"/>
        </w:rPr>
        <w:t>基金管理人在履行适当程序后，则本基金</w:t>
      </w:r>
      <w:r>
        <w:rPr>
          <w:rFonts w:hint="eastAsia"/>
          <w:bCs/>
        </w:rPr>
        <w:t>投资不再受相关限制或以变更后的规定为准</w:t>
      </w:r>
      <w:r>
        <w:rPr>
          <w:rFonts w:hAnsi="宋体" w:hint="eastAsia"/>
          <w:szCs w:val="24"/>
        </w:rPr>
        <w:t>。</w:t>
      </w:r>
    </w:p>
    <w:bookmarkEnd w:id="72"/>
    <w:p w14:paraId="3ADBA8D5" w14:textId="77777777" w:rsidR="000E48ED" w:rsidRDefault="000E48ED">
      <w:pPr>
        <w:pStyle w:val="20"/>
        <w:spacing w:before="0" w:after="0" w:line="520" w:lineRule="exact"/>
        <w:ind w:left="0" w:firstLineChars="200" w:firstLine="480"/>
        <w:rPr>
          <w:rFonts w:hAnsi="宋体"/>
          <w:szCs w:val="24"/>
        </w:rPr>
      </w:pPr>
    </w:p>
    <w:p w14:paraId="17E8BD69" w14:textId="77777777" w:rsidR="000E48ED" w:rsidRDefault="003A7B23">
      <w:pPr>
        <w:pStyle w:val="1"/>
        <w:spacing w:line="520" w:lineRule="exact"/>
        <w:ind w:firstLineChars="200" w:firstLine="482"/>
        <w:rPr>
          <w:bCs/>
          <w:color w:val="auto"/>
          <w:szCs w:val="24"/>
        </w:rPr>
      </w:pPr>
      <w:bookmarkStart w:id="73" w:name="_Toc84945748"/>
      <w:r>
        <w:rPr>
          <w:rFonts w:hint="eastAsia"/>
          <w:bCs/>
          <w:color w:val="auto"/>
          <w:szCs w:val="24"/>
        </w:rPr>
        <w:t>第十六条  基</w:t>
      </w:r>
      <w:bookmarkStart w:id="74" w:name="_Toc296551352"/>
      <w:r>
        <w:rPr>
          <w:rFonts w:hint="eastAsia"/>
          <w:bCs/>
          <w:color w:val="auto"/>
          <w:szCs w:val="24"/>
        </w:rPr>
        <w:t>金托管协议的变更、终止与基金财产的清算</w:t>
      </w:r>
      <w:bookmarkEnd w:id="73"/>
    </w:p>
    <w:p w14:paraId="56B72A4D" w14:textId="77777777" w:rsidR="000E48ED" w:rsidRDefault="003A7B23">
      <w:pPr>
        <w:pStyle w:val="20"/>
        <w:spacing w:before="0" w:after="0" w:line="520" w:lineRule="exact"/>
        <w:ind w:left="0" w:firstLineChars="200" w:firstLine="480"/>
        <w:rPr>
          <w:rFonts w:hAnsi="宋体"/>
          <w:szCs w:val="24"/>
        </w:rPr>
      </w:pPr>
      <w:bookmarkStart w:id="75" w:name="_Hlk86418194"/>
      <w:r>
        <w:rPr>
          <w:rFonts w:hAnsi="宋体" w:hint="eastAsia"/>
          <w:szCs w:val="24"/>
        </w:rPr>
        <w:t>16.1托</w:t>
      </w:r>
      <w:bookmarkEnd w:id="74"/>
      <w:r>
        <w:rPr>
          <w:rFonts w:hAnsi="宋体" w:hint="eastAsia"/>
          <w:szCs w:val="24"/>
        </w:rPr>
        <w:t>管协议的变更与终止</w:t>
      </w:r>
    </w:p>
    <w:p w14:paraId="4BDEBEEA"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16.1.1托管协议的变更程序</w:t>
      </w:r>
    </w:p>
    <w:p w14:paraId="3B4EE2E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本托管协议双方当事人经协商一致，可以对协议的内容进行变更。变更后的托管协议，其内容不得与基金合同的规定有任何冲突。本托管协议的变更报中国证监会备案。</w:t>
      </w:r>
    </w:p>
    <w:p w14:paraId="5C63DE8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16.1.2基金托管协议终止的情形</w:t>
      </w:r>
    </w:p>
    <w:p w14:paraId="7E5DEC9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发生以下情况，本托管协议终止：</w:t>
      </w:r>
    </w:p>
    <w:p w14:paraId="744A321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（1）基金合同终止；</w:t>
      </w:r>
    </w:p>
    <w:p w14:paraId="5D71C46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（2）基金托管人解散、依法被撤销、破产或职责终止后由其他基金托管人接管基金托管业务；</w:t>
      </w:r>
    </w:p>
    <w:p w14:paraId="70876D1D"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（3）基金管理人解散、依法被撤销、破产或职责终止后由其他基金管理人接管基金管理业务；</w:t>
      </w:r>
    </w:p>
    <w:p w14:paraId="1671F45D"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（4）发生法律法规或基金合同规定的终止事项。</w:t>
      </w:r>
    </w:p>
    <w:p w14:paraId="2CB84CF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16.2基金财产的清算</w:t>
      </w:r>
    </w:p>
    <w:p w14:paraId="356D1D2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16.2.1基金财产清算小组：</w:t>
      </w:r>
    </w:p>
    <w:p w14:paraId="3605672C"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（1）自出现《基金合同》终止事由之日起30个工作日内成立清算小组，基金管理人组织基金财产清算小组并在中国证监会的监督下进行基金清算。</w:t>
      </w:r>
    </w:p>
    <w:p w14:paraId="0853C75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（2）基金财产清算小组成员由基金管理人、基金托管人、具有从事证券相关业务资格的注册会计师、律师以及中国证监会指定的人员组成。基金财产清算小组可以聘用必要的工作人员。</w:t>
      </w:r>
    </w:p>
    <w:p w14:paraId="1112617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（3）在基金财产清算过程中，基金管理人和基金托管人应各自履行职责，继续忠实、勤勉、尽责地履行基金合同和本托管协议规定的义务，维护基金份额持有人的合法权益。</w:t>
      </w:r>
    </w:p>
    <w:p w14:paraId="0930FEED"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37B0798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16.2.2基金财产清算程序</w:t>
      </w:r>
    </w:p>
    <w:p w14:paraId="0833091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基金合同终止，应当按法律法规和基金合同的有关规定对基金财产进行清算。基金财产清算程序主要包括：</w:t>
      </w:r>
    </w:p>
    <w:p w14:paraId="28EF563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（1）《基金合同》终止情形出现时，由基金财产清算小组统一接管基金；</w:t>
      </w:r>
    </w:p>
    <w:p w14:paraId="00CA9C8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（2）对基金财产和债权债务进行清理和确认；</w:t>
      </w:r>
    </w:p>
    <w:p w14:paraId="77E38AC8"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（3）对基金财产进行估值和变现；</w:t>
      </w:r>
    </w:p>
    <w:p w14:paraId="6F500D2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（4）制作清算报告；</w:t>
      </w:r>
    </w:p>
    <w:p w14:paraId="6D153ECC"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14:paraId="631709C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（6）将清算报告报中国证监会备案并公告；</w:t>
      </w:r>
    </w:p>
    <w:p w14:paraId="05DEDFE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（7）对基金剩余财产进行分配。</w:t>
      </w:r>
    </w:p>
    <w:p w14:paraId="524054C4" w14:textId="77777777" w:rsidR="000E48ED" w:rsidRDefault="003A7B23">
      <w:pPr>
        <w:pStyle w:val="20"/>
        <w:spacing w:before="0" w:after="0" w:line="520" w:lineRule="exac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14:paraId="0900D7B8"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16.2.3清算费用</w:t>
      </w:r>
    </w:p>
    <w:p w14:paraId="006072A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清算费用是指基金财产清算小组在进行基金清算过程中发生的所有合理费用，清算费用由基金财产清算小组优先从基金剩余财产中支付。</w:t>
      </w:r>
    </w:p>
    <w:p w14:paraId="0F1A5A97"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16.2.4基金财产按下列顺序清偿：</w:t>
      </w:r>
    </w:p>
    <w:p w14:paraId="01120D0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（1）支付清算费用；</w:t>
      </w:r>
    </w:p>
    <w:p w14:paraId="2C899F6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（2）交纳所欠税款；</w:t>
      </w:r>
    </w:p>
    <w:p w14:paraId="36B5461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（3）清偿基金债务；</w:t>
      </w:r>
    </w:p>
    <w:p w14:paraId="634E815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（4）按基金份额持有人持有的基金份额比例进行分配。</w:t>
      </w:r>
    </w:p>
    <w:p w14:paraId="55C423F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基金财产未按前款（1）－（3）项规定清偿前，不分配给基金份额持有人。</w:t>
      </w:r>
    </w:p>
    <w:p w14:paraId="60A5B51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16.2.5基金财产清算的公告</w:t>
      </w:r>
    </w:p>
    <w:p w14:paraId="502224AD" w14:textId="77777777" w:rsidR="000E48ED" w:rsidRDefault="003A7B23">
      <w:pPr>
        <w:pStyle w:val="20"/>
        <w:spacing w:before="0" w:after="0" w:line="520" w:lineRule="exact"/>
        <w:ind w:left="0" w:firstLineChars="200" w:firstLine="480"/>
        <w:rPr>
          <w:rFonts w:hAnsi="宋体"/>
          <w:szCs w:val="24"/>
        </w:rPr>
      </w:pPr>
      <w:r>
        <w:rPr>
          <w:rFonts w:hAnsi="宋体"/>
          <w:szCs w:val="24"/>
        </w:rPr>
        <w:t>清算过程中的有关重大事项须及时公告；基金财产清算报告</w:t>
      </w:r>
      <w:proofErr w:type="gramStart"/>
      <w:r>
        <w:rPr>
          <w:rFonts w:hAnsi="宋体"/>
          <w:szCs w:val="24"/>
        </w:rPr>
        <w:t>经</w:t>
      </w:r>
      <w:r>
        <w:rPr>
          <w:rFonts w:hint="eastAsia"/>
        </w:rPr>
        <w:t>符合</w:t>
      </w:r>
      <w:proofErr w:type="gramEnd"/>
      <w:r>
        <w:rPr>
          <w:rFonts w:hint="eastAsia"/>
        </w:rPr>
        <w:t>《中华人民共和国证券法》规定的</w:t>
      </w:r>
      <w:r>
        <w:rPr>
          <w:rFonts w:hAnsi="宋体"/>
          <w:szCs w:val="24"/>
        </w:rPr>
        <w:t>会计师事务所审计并由律师事务所出具法律意见书后报中国证监会备案并公告。基金财产清算公告于基金财产清算报告报中国证监会备案后</w:t>
      </w:r>
      <w:r>
        <w:rPr>
          <w:rFonts w:hAnsi="宋体" w:hint="eastAsia"/>
          <w:szCs w:val="24"/>
        </w:rPr>
        <w:t>5</w:t>
      </w:r>
      <w:r>
        <w:rPr>
          <w:rFonts w:hAnsi="宋体"/>
          <w:szCs w:val="24"/>
        </w:rPr>
        <w:t>个工作日内由基金财产清算小组进行公告</w:t>
      </w:r>
      <w:r>
        <w:rPr>
          <w:rFonts w:hAnsi="宋体" w:hint="eastAsia"/>
          <w:szCs w:val="24"/>
        </w:rPr>
        <w:t>，基金财产清算小组应当将清算报告登载在规定网站上，并将清算报告提示性公告登载在规定报刊上</w:t>
      </w:r>
      <w:r>
        <w:rPr>
          <w:rFonts w:hAnsi="宋体"/>
          <w:szCs w:val="24"/>
        </w:rPr>
        <w:t>。</w:t>
      </w:r>
    </w:p>
    <w:p w14:paraId="48E5E67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16.2.6基金财产清算账册及文件的保存</w:t>
      </w:r>
    </w:p>
    <w:p w14:paraId="36C6AF4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基金财产清算账册及有关文件由基金托管人保存,</w:t>
      </w:r>
      <w:r>
        <w:rPr>
          <w:rFonts w:hint="eastAsia"/>
          <w:bCs/>
        </w:rPr>
        <w:t>保存</w:t>
      </w:r>
      <w:bookmarkStart w:id="76" w:name="_Toc296551353"/>
      <w:r>
        <w:rPr>
          <w:rFonts w:hint="eastAsia"/>
          <w:bCs/>
        </w:rPr>
        <w:t>时间不低于20年，法律法规另有规定的，从其规定。</w:t>
      </w:r>
      <w:bookmarkEnd w:id="75"/>
    </w:p>
    <w:p w14:paraId="7F4021E4" w14:textId="77777777" w:rsidR="000E48ED" w:rsidRDefault="000E48ED">
      <w:pPr>
        <w:pStyle w:val="20"/>
        <w:spacing w:before="0" w:after="0" w:line="520" w:lineRule="exact"/>
        <w:ind w:left="0" w:firstLineChars="200" w:firstLine="480"/>
        <w:rPr>
          <w:rFonts w:hAnsi="宋体"/>
          <w:szCs w:val="24"/>
        </w:rPr>
      </w:pPr>
    </w:p>
    <w:p w14:paraId="5A6130DF" w14:textId="77777777" w:rsidR="000E48ED" w:rsidRDefault="003A7B23">
      <w:pPr>
        <w:pStyle w:val="1"/>
        <w:spacing w:line="520" w:lineRule="exact"/>
        <w:ind w:firstLineChars="200" w:firstLine="482"/>
        <w:rPr>
          <w:bCs/>
          <w:color w:val="auto"/>
          <w:szCs w:val="24"/>
        </w:rPr>
      </w:pPr>
      <w:bookmarkStart w:id="77" w:name="_Toc84945749"/>
      <w:r>
        <w:rPr>
          <w:rFonts w:hint="eastAsia"/>
          <w:bCs/>
          <w:color w:val="auto"/>
          <w:szCs w:val="24"/>
        </w:rPr>
        <w:t>第十七条  违约责任</w:t>
      </w:r>
      <w:bookmarkEnd w:id="77"/>
    </w:p>
    <w:p w14:paraId="5D9CBD64"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17.1如</w:t>
      </w:r>
      <w:bookmarkEnd w:id="76"/>
      <w:r>
        <w:rPr>
          <w:rFonts w:hAnsi="宋体" w:hint="eastAsia"/>
          <w:szCs w:val="24"/>
        </w:rPr>
        <w:t>果基金管理人或基金托管人不履行本托管协议或者履行本托管协议不符合约定的，应当承担违约责任。</w:t>
      </w:r>
    </w:p>
    <w:p w14:paraId="611A921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14:paraId="5364A59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（1）不可抗力；</w:t>
      </w:r>
    </w:p>
    <w:p w14:paraId="5730CAF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当时</w:t>
      </w:r>
      <w:r>
        <w:rPr>
          <w:rFonts w:hAnsi="宋体" w:hint="eastAsia"/>
          <w:szCs w:val="24"/>
        </w:rPr>
        <w:t>有效的法律法规或中国证监会的规定作为或不作为而造成的损失等；</w:t>
      </w:r>
    </w:p>
    <w:p w14:paraId="05E792B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（3）基金管理人由于按照基金合同规定的投资原则行使或不行使其投资权而造成的损失等。</w:t>
      </w:r>
    </w:p>
    <w:p w14:paraId="1FF54629"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17.3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14:paraId="1F916325"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7954A86"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17.5违约行为虽已发生，但本托管协议能够继续履行的，在最大限度地保护基金份额持有人利益的前提下，基金管理人和基金托管人应当继续履行本协议。</w:t>
      </w:r>
    </w:p>
    <w:p w14:paraId="2558C67B"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17.6由于基金管理人、基金托管人不可控制的因素导致业务出现差错，基金管理人和基金托管人虽然已经采取必要、适当、合理的措施进行检查，但是未能发现错误或</w:t>
      </w:r>
      <w:proofErr w:type="gramStart"/>
      <w:r>
        <w:rPr>
          <w:rFonts w:hAnsi="宋体" w:hint="eastAsia"/>
          <w:szCs w:val="24"/>
        </w:rPr>
        <w:t>虽发现</w:t>
      </w:r>
      <w:proofErr w:type="gramEnd"/>
      <w:r>
        <w:rPr>
          <w:rFonts w:hAnsi="宋体" w:hint="eastAsia"/>
          <w:szCs w:val="24"/>
        </w:rPr>
        <w:t>错误但因前述原因无法及时更正的，由此造成基金财产或投资人损失，基金管理人和基金托管人免除赔偿责任。但是基金管理人和基金托管人应积极</w:t>
      </w:r>
      <w:r>
        <w:rPr>
          <w:rFonts w:hAnsi="宋体" w:hint="eastAsia"/>
          <w:szCs w:val="24"/>
        </w:rPr>
        <w:lastRenderedPageBreak/>
        <w:t>采取必要的措施减轻或消除由此造成的影响。</w:t>
      </w:r>
    </w:p>
    <w:p w14:paraId="59C32151"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17.7本协议所指损失均为直接损失。</w:t>
      </w:r>
    </w:p>
    <w:p w14:paraId="2DE208F4" w14:textId="77777777" w:rsidR="000E48ED" w:rsidRDefault="000E48ED">
      <w:pPr>
        <w:pStyle w:val="20"/>
        <w:spacing w:before="0" w:after="0" w:line="360" w:lineRule="auto"/>
        <w:ind w:left="0" w:firstLineChars="200" w:firstLine="480"/>
        <w:rPr>
          <w:rFonts w:hAnsi="宋体"/>
          <w:szCs w:val="24"/>
        </w:rPr>
      </w:pPr>
    </w:p>
    <w:p w14:paraId="537E3B07" w14:textId="77777777" w:rsidR="000E48ED" w:rsidRDefault="003A7B23">
      <w:pPr>
        <w:pStyle w:val="1"/>
        <w:ind w:firstLineChars="200" w:firstLine="482"/>
        <w:rPr>
          <w:bCs/>
          <w:color w:val="auto"/>
          <w:szCs w:val="24"/>
        </w:rPr>
      </w:pPr>
      <w:bookmarkStart w:id="78" w:name="_Toc84945750"/>
      <w:r>
        <w:rPr>
          <w:rFonts w:hint="eastAsia"/>
          <w:bCs/>
          <w:color w:val="auto"/>
          <w:szCs w:val="24"/>
        </w:rPr>
        <w:t>第十八条</w:t>
      </w:r>
      <w:bookmarkStart w:id="79" w:name="_Hlk88050257"/>
      <w:r>
        <w:rPr>
          <w:rFonts w:hint="eastAsia"/>
          <w:bCs/>
          <w:color w:val="auto"/>
          <w:szCs w:val="24"/>
        </w:rPr>
        <w:t xml:space="preserve">  争</w:t>
      </w:r>
      <w:bookmarkStart w:id="80" w:name="_Toc296551354"/>
      <w:r>
        <w:rPr>
          <w:rFonts w:hint="eastAsia"/>
          <w:bCs/>
          <w:color w:val="auto"/>
          <w:szCs w:val="24"/>
        </w:rPr>
        <w:t>议解决方式</w:t>
      </w:r>
      <w:bookmarkEnd w:id="78"/>
    </w:p>
    <w:p w14:paraId="2CAB52D6" w14:textId="77777777" w:rsidR="000E48ED" w:rsidRDefault="003A7B23">
      <w:pPr>
        <w:spacing w:line="360" w:lineRule="auto"/>
        <w:ind w:firstLineChars="200" w:firstLine="480"/>
        <w:rPr>
          <w:bCs/>
          <w:sz w:val="24"/>
        </w:rPr>
      </w:pPr>
      <w:bookmarkStart w:id="81" w:name="_Hlk86418156"/>
      <w:r>
        <w:rPr>
          <w:rFonts w:hint="eastAsia"/>
          <w:bCs/>
          <w:sz w:val="24"/>
        </w:rPr>
        <w:t>双方</w:t>
      </w:r>
      <w:r>
        <w:rPr>
          <w:bCs/>
          <w:sz w:val="24"/>
        </w:rPr>
        <w:t>当事人</w:t>
      </w:r>
      <w:bookmarkEnd w:id="80"/>
      <w:r>
        <w:rPr>
          <w:bCs/>
          <w:sz w:val="24"/>
        </w:rPr>
        <w:t>同意，因</w:t>
      </w:r>
      <w:r>
        <w:rPr>
          <w:rFonts w:hint="eastAsia"/>
          <w:bCs/>
          <w:sz w:val="24"/>
        </w:rPr>
        <w:t>本托管协议</w:t>
      </w:r>
      <w:r>
        <w:rPr>
          <w:bCs/>
          <w:sz w:val="24"/>
        </w:rPr>
        <w:t>而产生的或与</w:t>
      </w:r>
      <w:r>
        <w:rPr>
          <w:rFonts w:hint="eastAsia"/>
          <w:bCs/>
          <w:sz w:val="24"/>
        </w:rPr>
        <w:t>本托管协议</w:t>
      </w:r>
      <w:r>
        <w:rPr>
          <w:bCs/>
          <w:sz w:val="24"/>
        </w:rPr>
        <w:t>有关的一切争议，如经友好协商未能解决的，</w:t>
      </w:r>
      <w:r>
        <w:rPr>
          <w:rFonts w:hint="eastAsia"/>
          <w:bCs/>
          <w:sz w:val="24"/>
        </w:rPr>
        <w:t>则</w:t>
      </w:r>
      <w:r>
        <w:rPr>
          <w:rFonts w:ascii="宋体" w:hAnsi="宋体" w:hint="eastAsia"/>
          <w:sz w:val="24"/>
          <w:szCs w:val="24"/>
        </w:rPr>
        <w:t>任何一方均有权将争议提交北京仲裁委员会，按照该会届时有效的仲裁规则进行仲裁，仲裁地点为</w:t>
      </w:r>
      <w:r>
        <w:rPr>
          <w:rFonts w:ascii="宋体" w:hAnsi="宋体" w:hint="eastAsia"/>
          <w:kern w:val="0"/>
          <w:sz w:val="24"/>
        </w:rPr>
        <w:t>北京市。</w:t>
      </w:r>
      <w:r>
        <w:rPr>
          <w:rFonts w:ascii="宋体" w:hAnsi="宋体" w:hint="eastAsia"/>
          <w:sz w:val="24"/>
          <w:szCs w:val="24"/>
        </w:rPr>
        <w:t>仲裁裁决是终局的，对仲裁</w:t>
      </w:r>
      <w:r>
        <w:rPr>
          <w:rFonts w:hint="eastAsia"/>
          <w:bCs/>
          <w:sz w:val="24"/>
        </w:rPr>
        <w:t>双方</w:t>
      </w:r>
      <w:r>
        <w:rPr>
          <w:rFonts w:ascii="宋体" w:hAnsi="宋体" w:hint="eastAsia"/>
          <w:sz w:val="24"/>
          <w:szCs w:val="24"/>
        </w:rPr>
        <w:t>当事人均具有约束力。除非仲裁裁决另有规定，</w:t>
      </w:r>
      <w:r>
        <w:rPr>
          <w:rFonts w:hint="eastAsia"/>
          <w:bCs/>
          <w:sz w:val="24"/>
        </w:rPr>
        <w:t>仲裁费</w:t>
      </w:r>
      <w:r>
        <w:rPr>
          <w:rFonts w:ascii="宋体" w:hAnsi="宋体" w:hint="eastAsia"/>
          <w:kern w:val="0"/>
          <w:sz w:val="24"/>
        </w:rPr>
        <w:t>和</w:t>
      </w:r>
      <w:r>
        <w:rPr>
          <w:rFonts w:ascii="宋体" w:hAnsi="宋体"/>
          <w:kern w:val="0"/>
          <w:sz w:val="24"/>
        </w:rPr>
        <w:t>律师</w:t>
      </w:r>
      <w:r>
        <w:rPr>
          <w:rFonts w:ascii="宋体" w:hAnsi="宋体" w:hint="eastAsia"/>
          <w:kern w:val="0"/>
          <w:sz w:val="24"/>
        </w:rPr>
        <w:t>费用</w:t>
      </w:r>
      <w:r>
        <w:rPr>
          <w:rFonts w:hint="eastAsia"/>
          <w:bCs/>
          <w:sz w:val="24"/>
        </w:rPr>
        <w:t>由败诉方承担。</w:t>
      </w:r>
    </w:p>
    <w:p w14:paraId="4395A6AC" w14:textId="77777777" w:rsidR="000E48ED" w:rsidRDefault="003A7B23">
      <w:pPr>
        <w:spacing w:line="360" w:lineRule="auto"/>
        <w:ind w:firstLineChars="200" w:firstLine="480"/>
        <w:rPr>
          <w:bCs/>
          <w:sz w:val="24"/>
        </w:rPr>
      </w:pPr>
      <w:r>
        <w:rPr>
          <w:rFonts w:hint="eastAsia"/>
          <w:bCs/>
          <w:sz w:val="24"/>
        </w:rPr>
        <w:t>争议处理期间，本托管协议当事人应恪守各自的职责，继续忠实、勤勉、尽责地履行基金合同和</w:t>
      </w:r>
      <w:r>
        <w:rPr>
          <w:bCs/>
          <w:sz w:val="24"/>
        </w:rPr>
        <w:t>本</w:t>
      </w:r>
      <w:r>
        <w:rPr>
          <w:rFonts w:hint="eastAsia"/>
          <w:bCs/>
          <w:sz w:val="24"/>
        </w:rPr>
        <w:t>托管</w:t>
      </w:r>
      <w:r>
        <w:rPr>
          <w:bCs/>
          <w:sz w:val="24"/>
        </w:rPr>
        <w:t>协议</w:t>
      </w:r>
      <w:r>
        <w:rPr>
          <w:rFonts w:hint="eastAsia"/>
          <w:bCs/>
          <w:sz w:val="24"/>
        </w:rPr>
        <w:t>规定的义务，维护基金份额持有人的合法权益。</w:t>
      </w:r>
    </w:p>
    <w:p w14:paraId="5F27E089" w14:textId="77777777" w:rsidR="000E48ED" w:rsidRDefault="003A7B23">
      <w:pPr>
        <w:spacing w:line="360" w:lineRule="auto"/>
        <w:ind w:firstLineChars="200" w:firstLine="480"/>
        <w:rPr>
          <w:bCs/>
          <w:sz w:val="24"/>
        </w:rPr>
      </w:pPr>
      <w:r>
        <w:rPr>
          <w:rFonts w:hint="eastAsia"/>
          <w:bCs/>
          <w:sz w:val="24"/>
        </w:rPr>
        <w:t>本托管协议</w:t>
      </w:r>
      <w:r>
        <w:rPr>
          <w:bCs/>
          <w:sz w:val="24"/>
        </w:rPr>
        <w:t>受中国法律</w:t>
      </w:r>
      <w:r>
        <w:rPr>
          <w:rFonts w:hint="eastAsia"/>
          <w:bCs/>
          <w:sz w:val="24"/>
        </w:rPr>
        <w:t>（为本协议之目的，不包括香港特别行政区、澳门特别行政区和台湾地区法律）</w:t>
      </w:r>
      <w:r>
        <w:rPr>
          <w:bCs/>
          <w:sz w:val="24"/>
        </w:rPr>
        <w:t>管辖。</w:t>
      </w:r>
      <w:bookmarkEnd w:id="81"/>
    </w:p>
    <w:bookmarkEnd w:id="79"/>
    <w:p w14:paraId="17DDCF9F" w14:textId="77777777" w:rsidR="000E48ED" w:rsidRDefault="000E48ED">
      <w:pPr>
        <w:pStyle w:val="20"/>
        <w:spacing w:before="0" w:after="0" w:line="360" w:lineRule="auto"/>
        <w:ind w:left="0" w:firstLineChars="200" w:firstLine="480"/>
        <w:rPr>
          <w:rFonts w:hAnsi="宋体"/>
          <w:szCs w:val="24"/>
        </w:rPr>
      </w:pPr>
    </w:p>
    <w:p w14:paraId="3372D729" w14:textId="77777777" w:rsidR="000E48ED" w:rsidRDefault="003A7B23">
      <w:pPr>
        <w:pStyle w:val="1"/>
        <w:ind w:firstLineChars="200" w:firstLine="482"/>
        <w:rPr>
          <w:bCs/>
          <w:color w:val="auto"/>
          <w:szCs w:val="24"/>
        </w:rPr>
      </w:pPr>
      <w:bookmarkStart w:id="82" w:name="_Toc84945751"/>
      <w:r>
        <w:rPr>
          <w:rFonts w:hint="eastAsia"/>
          <w:bCs/>
          <w:color w:val="auto"/>
          <w:szCs w:val="24"/>
        </w:rPr>
        <w:t>第十九条  基</w:t>
      </w:r>
      <w:bookmarkStart w:id="83" w:name="_Toc296551355"/>
      <w:r>
        <w:rPr>
          <w:rFonts w:hint="eastAsia"/>
          <w:bCs/>
          <w:color w:val="auto"/>
          <w:szCs w:val="24"/>
        </w:rPr>
        <w:t>金托管协议的效力</w:t>
      </w:r>
      <w:bookmarkEnd w:id="82"/>
    </w:p>
    <w:p w14:paraId="57B515E9" w14:textId="77777777" w:rsidR="000E48ED" w:rsidRDefault="003A7B23">
      <w:pPr>
        <w:pStyle w:val="20"/>
        <w:spacing w:before="0" w:after="0" w:line="360" w:lineRule="auto"/>
        <w:ind w:left="0" w:firstLineChars="200" w:firstLine="480"/>
        <w:rPr>
          <w:rFonts w:hAnsi="宋体"/>
          <w:szCs w:val="24"/>
        </w:rPr>
      </w:pPr>
      <w:r>
        <w:rPr>
          <w:rFonts w:hAnsi="宋体" w:hint="eastAsia"/>
          <w:szCs w:val="24"/>
        </w:rPr>
        <w:t>19.1基</w:t>
      </w:r>
      <w:bookmarkEnd w:id="83"/>
      <w:r>
        <w:rPr>
          <w:rFonts w:hAnsi="宋体" w:hint="eastAsia"/>
          <w:szCs w:val="24"/>
        </w:rPr>
        <w:t>金管理人在向中国证监会申请募集注册本基金时提交的托管协议草案，应经托管协议当事人加盖公章或合同专用章以及双方法定代表人或授权代理人签字或盖章，协议当事人双方可能不时根据中国证监会的意见修改托管协议草案。托管协议以中国证监会注册的文本为正式文本。</w:t>
      </w:r>
    </w:p>
    <w:p w14:paraId="5916799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19.2本托管协议自基金合同成立之日起成立，自基金合同生效之日起生效。本托管协议的有效期自其生效之日起至基金财产清算结果报中国证监会备案并公告之日止。</w:t>
      </w:r>
    </w:p>
    <w:p w14:paraId="4E42750F"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19.3本托管协议自生效之日起对托管协议当事人具有同等的法律约束力。</w:t>
      </w:r>
    </w:p>
    <w:p w14:paraId="6691A1EE"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19.4本托管协议正本一式三份，除上报有关监管机构一份外，基金管理人和基金托管人分别持有一份，每份具有同等的法律效力。</w:t>
      </w:r>
    </w:p>
    <w:p w14:paraId="7BFE0D5C" w14:textId="77777777" w:rsidR="000E48ED" w:rsidRDefault="000E48ED">
      <w:pPr>
        <w:pStyle w:val="20"/>
        <w:spacing w:before="0" w:after="0" w:line="520" w:lineRule="exact"/>
        <w:ind w:left="0" w:firstLineChars="200" w:firstLine="480"/>
        <w:rPr>
          <w:rFonts w:hAnsi="宋体"/>
          <w:szCs w:val="24"/>
        </w:rPr>
      </w:pPr>
    </w:p>
    <w:p w14:paraId="5C5383D2" w14:textId="77777777" w:rsidR="000E48ED" w:rsidRDefault="003A7B23">
      <w:pPr>
        <w:pStyle w:val="1"/>
        <w:spacing w:line="520" w:lineRule="exact"/>
        <w:ind w:firstLineChars="200" w:firstLine="482"/>
        <w:rPr>
          <w:bCs/>
          <w:color w:val="auto"/>
          <w:szCs w:val="24"/>
        </w:rPr>
      </w:pPr>
      <w:bookmarkStart w:id="84" w:name="_Toc84945752"/>
      <w:r>
        <w:rPr>
          <w:rFonts w:hint="eastAsia"/>
          <w:bCs/>
          <w:color w:val="auto"/>
          <w:szCs w:val="24"/>
        </w:rPr>
        <w:t>第二十条  基</w:t>
      </w:r>
      <w:bookmarkStart w:id="85" w:name="_Toc296551356"/>
      <w:r>
        <w:rPr>
          <w:rFonts w:hint="eastAsia"/>
          <w:bCs/>
          <w:color w:val="auto"/>
          <w:szCs w:val="24"/>
        </w:rPr>
        <w:t>金托管协议的签订</w:t>
      </w:r>
      <w:bookmarkEnd w:id="84"/>
    </w:p>
    <w:p w14:paraId="0AF503CE" w14:textId="77777777" w:rsidR="000E48ED" w:rsidRDefault="003A7B23">
      <w:pPr>
        <w:snapToGrid w:val="0"/>
        <w:spacing w:line="520" w:lineRule="exact"/>
        <w:ind w:firstLineChars="200" w:firstLine="480"/>
        <w:rPr>
          <w:rFonts w:ascii="宋体" w:hAnsi="宋体"/>
          <w:sz w:val="24"/>
          <w:szCs w:val="24"/>
        </w:rPr>
      </w:pPr>
      <w:r>
        <w:rPr>
          <w:rFonts w:ascii="宋体" w:hAnsi="宋体" w:hint="eastAsia"/>
          <w:sz w:val="24"/>
          <w:szCs w:val="24"/>
        </w:rPr>
        <w:t>20.1本</w:t>
      </w:r>
      <w:bookmarkEnd w:id="85"/>
      <w:r>
        <w:rPr>
          <w:rFonts w:ascii="宋体" w:hAnsi="宋体" w:hint="eastAsia"/>
          <w:sz w:val="24"/>
          <w:szCs w:val="24"/>
        </w:rPr>
        <w:t>托管协议经基金管理人和基金托管人认可后，由该双方当事人在本托管协议上加盖公章或合同专用章，并由各自的法定代表人或授权代理人签字或盖章，并注明本托管协议的签订地点和签订日期。</w:t>
      </w:r>
    </w:p>
    <w:p w14:paraId="749FBA9E" w14:textId="77777777" w:rsidR="000E48ED" w:rsidRDefault="000E48ED">
      <w:pPr>
        <w:pStyle w:val="20"/>
        <w:spacing w:before="0" w:after="0" w:line="520" w:lineRule="exact"/>
        <w:ind w:left="0" w:firstLineChars="200" w:firstLine="480"/>
        <w:rPr>
          <w:rFonts w:hAnsi="宋体"/>
          <w:szCs w:val="24"/>
        </w:rPr>
      </w:pPr>
    </w:p>
    <w:p w14:paraId="2EC735DD" w14:textId="77777777" w:rsidR="000E48ED" w:rsidRDefault="003A7B23">
      <w:pPr>
        <w:pStyle w:val="1"/>
        <w:spacing w:line="520" w:lineRule="exact"/>
        <w:ind w:firstLineChars="200" w:firstLine="482"/>
        <w:rPr>
          <w:bCs/>
          <w:color w:val="auto"/>
          <w:szCs w:val="24"/>
        </w:rPr>
      </w:pPr>
      <w:bookmarkStart w:id="86" w:name="_Toc84945753"/>
      <w:r>
        <w:rPr>
          <w:rFonts w:hint="eastAsia"/>
          <w:bCs/>
          <w:color w:val="auto"/>
          <w:szCs w:val="24"/>
        </w:rPr>
        <w:lastRenderedPageBreak/>
        <w:t>第二十一条  不可抗力</w:t>
      </w:r>
      <w:bookmarkEnd w:id="86"/>
    </w:p>
    <w:p w14:paraId="2B6A1982"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206148E0"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4F357923"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21.3不可抗力事件发生时，双方应立即通过友好协商决定如何执行本协议。不可抗力事件或其影响终止或消除后，双方须立即恢复履行各自在本协议项下的各项义务。</w:t>
      </w:r>
    </w:p>
    <w:p w14:paraId="517523A8" w14:textId="77777777" w:rsidR="000E48ED" w:rsidRDefault="003A7B23">
      <w:pPr>
        <w:pStyle w:val="20"/>
        <w:spacing w:before="0" w:after="0" w:line="520" w:lineRule="exact"/>
        <w:ind w:left="0" w:firstLineChars="200" w:firstLine="480"/>
        <w:rPr>
          <w:rFonts w:hAnsi="宋体"/>
          <w:szCs w:val="24"/>
        </w:rPr>
      </w:pPr>
      <w:r>
        <w:rPr>
          <w:rFonts w:hAnsi="宋体" w:hint="eastAsia"/>
          <w:szCs w:val="24"/>
        </w:rPr>
        <w:t>21.4本条所述的不可抗力事件是指不能预见、不能避免并不能克服的客观情况。</w:t>
      </w:r>
    </w:p>
    <w:p w14:paraId="15E5CC1C" w14:textId="77777777" w:rsidR="000E48ED" w:rsidRDefault="000E48ED">
      <w:pPr>
        <w:pStyle w:val="20"/>
        <w:spacing w:before="0" w:after="0" w:line="520" w:lineRule="exact"/>
        <w:ind w:left="0"/>
        <w:rPr>
          <w:rFonts w:hAnsi="宋体"/>
          <w:szCs w:val="24"/>
        </w:rPr>
      </w:pPr>
    </w:p>
    <w:p w14:paraId="190F23DA" w14:textId="77777777" w:rsidR="000E48ED" w:rsidRPr="00A514E3" w:rsidRDefault="000E48ED">
      <w:pPr>
        <w:widowControl/>
        <w:jc w:val="left"/>
      </w:pPr>
    </w:p>
    <w:sectPr w:rsidR="000E48ED" w:rsidRPr="00A514E3" w:rsidSect="00FE17BF">
      <w:headerReference w:type="default" r:id="rId9"/>
      <w:footerReference w:type="even" r:id="rId10"/>
      <w:footerReference w:type="default" r:id="rId11"/>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BA3C" w14:textId="77777777" w:rsidR="00F0296F" w:rsidRDefault="00F0296F">
      <w:r>
        <w:separator/>
      </w:r>
    </w:p>
  </w:endnote>
  <w:endnote w:type="continuationSeparator" w:id="0">
    <w:p w14:paraId="03C0E34A" w14:textId="77777777" w:rsidR="00F0296F" w:rsidRDefault="00F0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8910" w14:textId="77777777" w:rsidR="00250251" w:rsidRDefault="00250251">
    <w:pPr>
      <w:pStyle w:val="af"/>
      <w:framePr w:wrap="around" w:vAnchor="text" w:hAnchor="margin" w:xAlign="center" w:y="1"/>
      <w:rPr>
        <w:rStyle w:val="af5"/>
      </w:rPr>
    </w:pPr>
    <w:r>
      <w:fldChar w:fldCharType="begin"/>
    </w:r>
    <w:r>
      <w:rPr>
        <w:rStyle w:val="af5"/>
      </w:rPr>
      <w:instrText xml:space="preserve">PAGE  </w:instrText>
    </w:r>
    <w:r>
      <w:fldChar w:fldCharType="end"/>
    </w:r>
  </w:p>
  <w:p w14:paraId="6F30308F" w14:textId="77777777" w:rsidR="00250251" w:rsidRDefault="0025025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C2DF" w14:textId="2E06F375" w:rsidR="00250251" w:rsidRDefault="00250251">
    <w:pPr>
      <w:pStyle w:val="af"/>
      <w:framePr w:wrap="around" w:vAnchor="text" w:hAnchor="margin" w:xAlign="center" w:y="1"/>
      <w:rPr>
        <w:rStyle w:val="af5"/>
      </w:rPr>
    </w:pPr>
    <w:r>
      <w:fldChar w:fldCharType="begin"/>
    </w:r>
    <w:r>
      <w:rPr>
        <w:rStyle w:val="af5"/>
      </w:rPr>
      <w:instrText xml:space="preserve">PAGE  </w:instrText>
    </w:r>
    <w:r>
      <w:fldChar w:fldCharType="separate"/>
    </w:r>
    <w:r>
      <w:rPr>
        <w:rStyle w:val="af5"/>
        <w:noProof/>
      </w:rPr>
      <w:t>34</w:t>
    </w:r>
    <w:r>
      <w:fldChar w:fldCharType="end"/>
    </w:r>
  </w:p>
  <w:p w14:paraId="2A5DAB72" w14:textId="77777777" w:rsidR="00250251" w:rsidRDefault="0025025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4970" w14:textId="77777777" w:rsidR="00F0296F" w:rsidRDefault="00F0296F">
      <w:r>
        <w:separator/>
      </w:r>
    </w:p>
  </w:footnote>
  <w:footnote w:type="continuationSeparator" w:id="0">
    <w:p w14:paraId="0F60EA02" w14:textId="77777777" w:rsidR="00F0296F" w:rsidRDefault="00F0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E9EE" w14:textId="08F3D156" w:rsidR="00250251" w:rsidRDefault="00250251">
    <w:pPr>
      <w:pStyle w:val="af1"/>
      <w:jc w:val="left"/>
    </w:pPr>
    <w:r>
      <w:rPr>
        <w:rFonts w:hint="eastAsia"/>
      </w:rPr>
      <w:t>中信</w:t>
    </w:r>
    <w:proofErr w:type="gramStart"/>
    <w:r>
      <w:rPr>
        <w:rFonts w:hint="eastAsia"/>
      </w:rPr>
      <w:t>建投景益</w:t>
    </w:r>
    <w:proofErr w:type="gramEnd"/>
    <w:r>
      <w:rPr>
        <w:rFonts w:hint="eastAsia"/>
      </w:rPr>
      <w:t>债券型证券投资基金</w:t>
    </w:r>
    <w:r w:rsidR="004E7EE8">
      <w:rPr>
        <w:rFonts w:hint="eastAsia"/>
      </w:rPr>
      <w:t xml:space="preserve"> </w:t>
    </w:r>
    <w:r w:rsidR="004E7EE8">
      <w:t xml:space="preserve">                                </w:t>
    </w:r>
    <w:r w:rsidR="00A47C85">
      <w:t xml:space="preserve">         </w:t>
    </w:r>
    <w:r w:rsidR="004E7EE8">
      <w:t xml:space="preserve">               </w:t>
    </w:r>
    <w:r>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598"/>
    <w:multiLevelType w:val="multilevel"/>
    <w:tmpl w:val="0A7A259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3940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52CCB"/>
    <w:rsid w:val="00000B17"/>
    <w:rsid w:val="0000258C"/>
    <w:rsid w:val="00005F02"/>
    <w:rsid w:val="000127E9"/>
    <w:rsid w:val="00014405"/>
    <w:rsid w:val="00014D0C"/>
    <w:rsid w:val="000156D9"/>
    <w:rsid w:val="00020C0F"/>
    <w:rsid w:val="0002173F"/>
    <w:rsid w:val="00025160"/>
    <w:rsid w:val="00027285"/>
    <w:rsid w:val="0003170E"/>
    <w:rsid w:val="00035364"/>
    <w:rsid w:val="000356BC"/>
    <w:rsid w:val="00037404"/>
    <w:rsid w:val="000374E5"/>
    <w:rsid w:val="00037818"/>
    <w:rsid w:val="00037879"/>
    <w:rsid w:val="00037A96"/>
    <w:rsid w:val="00041D04"/>
    <w:rsid w:val="00042A25"/>
    <w:rsid w:val="00042EEE"/>
    <w:rsid w:val="000432F2"/>
    <w:rsid w:val="00043F82"/>
    <w:rsid w:val="00043FB7"/>
    <w:rsid w:val="000522B8"/>
    <w:rsid w:val="00053CAC"/>
    <w:rsid w:val="0005638E"/>
    <w:rsid w:val="000576C1"/>
    <w:rsid w:val="00065C91"/>
    <w:rsid w:val="00066BF4"/>
    <w:rsid w:val="0006754D"/>
    <w:rsid w:val="00071F28"/>
    <w:rsid w:val="00073557"/>
    <w:rsid w:val="0007356D"/>
    <w:rsid w:val="00074856"/>
    <w:rsid w:val="00075512"/>
    <w:rsid w:val="0008163D"/>
    <w:rsid w:val="00081892"/>
    <w:rsid w:val="0009144F"/>
    <w:rsid w:val="00093120"/>
    <w:rsid w:val="00096F3C"/>
    <w:rsid w:val="000A31F1"/>
    <w:rsid w:val="000A4E08"/>
    <w:rsid w:val="000A5D4C"/>
    <w:rsid w:val="000A6FC1"/>
    <w:rsid w:val="000A727B"/>
    <w:rsid w:val="000B08F9"/>
    <w:rsid w:val="000B1E50"/>
    <w:rsid w:val="000B406A"/>
    <w:rsid w:val="000B6F55"/>
    <w:rsid w:val="000C0905"/>
    <w:rsid w:val="000C152B"/>
    <w:rsid w:val="000D17C9"/>
    <w:rsid w:val="000D2696"/>
    <w:rsid w:val="000D59DE"/>
    <w:rsid w:val="000D76BB"/>
    <w:rsid w:val="000E216E"/>
    <w:rsid w:val="000E48ED"/>
    <w:rsid w:val="000E4C69"/>
    <w:rsid w:val="000F075A"/>
    <w:rsid w:val="000F1888"/>
    <w:rsid w:val="000F6613"/>
    <w:rsid w:val="000F707B"/>
    <w:rsid w:val="00101D00"/>
    <w:rsid w:val="001022CC"/>
    <w:rsid w:val="0010239C"/>
    <w:rsid w:val="00102F71"/>
    <w:rsid w:val="00107051"/>
    <w:rsid w:val="001116EB"/>
    <w:rsid w:val="00112ADF"/>
    <w:rsid w:val="001177F0"/>
    <w:rsid w:val="001202CC"/>
    <w:rsid w:val="00132384"/>
    <w:rsid w:val="00132BE4"/>
    <w:rsid w:val="00134EC1"/>
    <w:rsid w:val="00135585"/>
    <w:rsid w:val="001362E2"/>
    <w:rsid w:val="00137C67"/>
    <w:rsid w:val="001403BA"/>
    <w:rsid w:val="0014134F"/>
    <w:rsid w:val="0014323B"/>
    <w:rsid w:val="00144C1F"/>
    <w:rsid w:val="00145A48"/>
    <w:rsid w:val="00150BD8"/>
    <w:rsid w:val="001540AA"/>
    <w:rsid w:val="001553AC"/>
    <w:rsid w:val="00155BBC"/>
    <w:rsid w:val="00155FF8"/>
    <w:rsid w:val="001608A2"/>
    <w:rsid w:val="001657D8"/>
    <w:rsid w:val="00165C3E"/>
    <w:rsid w:val="00171D6D"/>
    <w:rsid w:val="00171E60"/>
    <w:rsid w:val="001731D5"/>
    <w:rsid w:val="00175B0A"/>
    <w:rsid w:val="001768B3"/>
    <w:rsid w:val="001819AD"/>
    <w:rsid w:val="00192518"/>
    <w:rsid w:val="001941E5"/>
    <w:rsid w:val="0019481E"/>
    <w:rsid w:val="001950E6"/>
    <w:rsid w:val="001A5C79"/>
    <w:rsid w:val="001A5CCA"/>
    <w:rsid w:val="001A6638"/>
    <w:rsid w:val="001B6623"/>
    <w:rsid w:val="001B687D"/>
    <w:rsid w:val="001B7022"/>
    <w:rsid w:val="001B75D9"/>
    <w:rsid w:val="001C2ACF"/>
    <w:rsid w:val="001C66BC"/>
    <w:rsid w:val="001D03D4"/>
    <w:rsid w:val="001D09A0"/>
    <w:rsid w:val="001D3ACF"/>
    <w:rsid w:val="001D444B"/>
    <w:rsid w:val="001D4F7A"/>
    <w:rsid w:val="001E222B"/>
    <w:rsid w:val="001E33B7"/>
    <w:rsid w:val="001E6B63"/>
    <w:rsid w:val="001F5108"/>
    <w:rsid w:val="002032C6"/>
    <w:rsid w:val="002032E6"/>
    <w:rsid w:val="00203A2C"/>
    <w:rsid w:val="00203D12"/>
    <w:rsid w:val="00205409"/>
    <w:rsid w:val="00206B07"/>
    <w:rsid w:val="00214F0B"/>
    <w:rsid w:val="002158ED"/>
    <w:rsid w:val="00217901"/>
    <w:rsid w:val="00220EE8"/>
    <w:rsid w:val="002216DF"/>
    <w:rsid w:val="00221C8C"/>
    <w:rsid w:val="002232B5"/>
    <w:rsid w:val="002245D5"/>
    <w:rsid w:val="00225878"/>
    <w:rsid w:val="00225A43"/>
    <w:rsid w:val="00226753"/>
    <w:rsid w:val="002313F3"/>
    <w:rsid w:val="002330B9"/>
    <w:rsid w:val="00234CB5"/>
    <w:rsid w:val="00236482"/>
    <w:rsid w:val="002367AB"/>
    <w:rsid w:val="00244076"/>
    <w:rsid w:val="00244F0B"/>
    <w:rsid w:val="002464DB"/>
    <w:rsid w:val="00246C0E"/>
    <w:rsid w:val="00250251"/>
    <w:rsid w:val="00250750"/>
    <w:rsid w:val="00254AD1"/>
    <w:rsid w:val="00254BB6"/>
    <w:rsid w:val="00256509"/>
    <w:rsid w:val="002567AE"/>
    <w:rsid w:val="002620B5"/>
    <w:rsid w:val="00262C89"/>
    <w:rsid w:val="002640BE"/>
    <w:rsid w:val="002709AE"/>
    <w:rsid w:val="00273F36"/>
    <w:rsid w:val="0027511C"/>
    <w:rsid w:val="00276092"/>
    <w:rsid w:val="00277764"/>
    <w:rsid w:val="00280105"/>
    <w:rsid w:val="00282CB6"/>
    <w:rsid w:val="00283722"/>
    <w:rsid w:val="00284EC9"/>
    <w:rsid w:val="00287321"/>
    <w:rsid w:val="00290B5C"/>
    <w:rsid w:val="002A153D"/>
    <w:rsid w:val="002A34FB"/>
    <w:rsid w:val="002A4594"/>
    <w:rsid w:val="002A5D4E"/>
    <w:rsid w:val="002B6194"/>
    <w:rsid w:val="002C435F"/>
    <w:rsid w:val="002C4590"/>
    <w:rsid w:val="002E0FF2"/>
    <w:rsid w:val="002E31B1"/>
    <w:rsid w:val="002E5889"/>
    <w:rsid w:val="002F15AC"/>
    <w:rsid w:val="002F1D9A"/>
    <w:rsid w:val="002F2B60"/>
    <w:rsid w:val="002F43FC"/>
    <w:rsid w:val="0030170A"/>
    <w:rsid w:val="00307314"/>
    <w:rsid w:val="00312E75"/>
    <w:rsid w:val="003148BB"/>
    <w:rsid w:val="00314EE7"/>
    <w:rsid w:val="00320456"/>
    <w:rsid w:val="003211FF"/>
    <w:rsid w:val="0033192F"/>
    <w:rsid w:val="00332395"/>
    <w:rsid w:val="00347648"/>
    <w:rsid w:val="00362FDC"/>
    <w:rsid w:val="00363B65"/>
    <w:rsid w:val="00363BF9"/>
    <w:rsid w:val="0036519D"/>
    <w:rsid w:val="0036792F"/>
    <w:rsid w:val="00370E6A"/>
    <w:rsid w:val="0037219E"/>
    <w:rsid w:val="00372874"/>
    <w:rsid w:val="003746BD"/>
    <w:rsid w:val="00376470"/>
    <w:rsid w:val="00380735"/>
    <w:rsid w:val="00384E06"/>
    <w:rsid w:val="00385CF5"/>
    <w:rsid w:val="0038772D"/>
    <w:rsid w:val="00391F05"/>
    <w:rsid w:val="00393A4B"/>
    <w:rsid w:val="00396C02"/>
    <w:rsid w:val="0039704D"/>
    <w:rsid w:val="003A02C2"/>
    <w:rsid w:val="003A1919"/>
    <w:rsid w:val="003A268D"/>
    <w:rsid w:val="003A7B23"/>
    <w:rsid w:val="003B240A"/>
    <w:rsid w:val="003B5279"/>
    <w:rsid w:val="003C20E6"/>
    <w:rsid w:val="003C235D"/>
    <w:rsid w:val="003C2DEB"/>
    <w:rsid w:val="003C3C90"/>
    <w:rsid w:val="003C5A81"/>
    <w:rsid w:val="003C7E32"/>
    <w:rsid w:val="003D14CC"/>
    <w:rsid w:val="003D24E0"/>
    <w:rsid w:val="003D5735"/>
    <w:rsid w:val="003D6E5F"/>
    <w:rsid w:val="003E3BAA"/>
    <w:rsid w:val="003E4030"/>
    <w:rsid w:val="003E54D0"/>
    <w:rsid w:val="003E5B9D"/>
    <w:rsid w:val="003E77CA"/>
    <w:rsid w:val="003F1AE9"/>
    <w:rsid w:val="003F38FA"/>
    <w:rsid w:val="003F43D6"/>
    <w:rsid w:val="003F76F1"/>
    <w:rsid w:val="00405684"/>
    <w:rsid w:val="00411EC2"/>
    <w:rsid w:val="004131DB"/>
    <w:rsid w:val="00414467"/>
    <w:rsid w:val="00414E0B"/>
    <w:rsid w:val="004150DB"/>
    <w:rsid w:val="0041673C"/>
    <w:rsid w:val="00417D16"/>
    <w:rsid w:val="00430CFB"/>
    <w:rsid w:val="004311E8"/>
    <w:rsid w:val="004339DF"/>
    <w:rsid w:val="00433A58"/>
    <w:rsid w:val="0043496E"/>
    <w:rsid w:val="004412E4"/>
    <w:rsid w:val="00443AD0"/>
    <w:rsid w:val="004451DB"/>
    <w:rsid w:val="004464B7"/>
    <w:rsid w:val="0044652B"/>
    <w:rsid w:val="00451371"/>
    <w:rsid w:val="00456A15"/>
    <w:rsid w:val="00460FAE"/>
    <w:rsid w:val="00462A74"/>
    <w:rsid w:val="004646E8"/>
    <w:rsid w:val="004734B3"/>
    <w:rsid w:val="00474712"/>
    <w:rsid w:val="00477696"/>
    <w:rsid w:val="0048037B"/>
    <w:rsid w:val="00480A29"/>
    <w:rsid w:val="0048386F"/>
    <w:rsid w:val="00484D34"/>
    <w:rsid w:val="004865FC"/>
    <w:rsid w:val="00490EA1"/>
    <w:rsid w:val="00491B91"/>
    <w:rsid w:val="00494203"/>
    <w:rsid w:val="00494BE0"/>
    <w:rsid w:val="00495ABF"/>
    <w:rsid w:val="004A051B"/>
    <w:rsid w:val="004A0749"/>
    <w:rsid w:val="004A26BE"/>
    <w:rsid w:val="004A43C6"/>
    <w:rsid w:val="004A612A"/>
    <w:rsid w:val="004A6592"/>
    <w:rsid w:val="004B0A2F"/>
    <w:rsid w:val="004B24AC"/>
    <w:rsid w:val="004B3973"/>
    <w:rsid w:val="004B445B"/>
    <w:rsid w:val="004B60B6"/>
    <w:rsid w:val="004B6A52"/>
    <w:rsid w:val="004B76D3"/>
    <w:rsid w:val="004B7F58"/>
    <w:rsid w:val="004C22D6"/>
    <w:rsid w:val="004D10B0"/>
    <w:rsid w:val="004D1EC4"/>
    <w:rsid w:val="004D50E6"/>
    <w:rsid w:val="004D70F0"/>
    <w:rsid w:val="004E0D3C"/>
    <w:rsid w:val="004E4868"/>
    <w:rsid w:val="004E551A"/>
    <w:rsid w:val="004E5621"/>
    <w:rsid w:val="004E6833"/>
    <w:rsid w:val="004E7254"/>
    <w:rsid w:val="004E7DFA"/>
    <w:rsid w:val="004E7EE8"/>
    <w:rsid w:val="004F0335"/>
    <w:rsid w:val="004F0F52"/>
    <w:rsid w:val="004F1210"/>
    <w:rsid w:val="004F5D89"/>
    <w:rsid w:val="004F5ED3"/>
    <w:rsid w:val="004F7098"/>
    <w:rsid w:val="00500435"/>
    <w:rsid w:val="00502308"/>
    <w:rsid w:val="005045EF"/>
    <w:rsid w:val="00505883"/>
    <w:rsid w:val="00511043"/>
    <w:rsid w:val="005147D9"/>
    <w:rsid w:val="00514ECE"/>
    <w:rsid w:val="0051500D"/>
    <w:rsid w:val="005223A4"/>
    <w:rsid w:val="00523DEF"/>
    <w:rsid w:val="00526BD9"/>
    <w:rsid w:val="00530616"/>
    <w:rsid w:val="005307DB"/>
    <w:rsid w:val="00531EE3"/>
    <w:rsid w:val="00533B7B"/>
    <w:rsid w:val="005366BB"/>
    <w:rsid w:val="00536A7E"/>
    <w:rsid w:val="00543034"/>
    <w:rsid w:val="00550814"/>
    <w:rsid w:val="00552CCB"/>
    <w:rsid w:val="00554F7F"/>
    <w:rsid w:val="005576FE"/>
    <w:rsid w:val="005601CF"/>
    <w:rsid w:val="00574139"/>
    <w:rsid w:val="0057729D"/>
    <w:rsid w:val="005834B4"/>
    <w:rsid w:val="005838ED"/>
    <w:rsid w:val="00584835"/>
    <w:rsid w:val="005849AC"/>
    <w:rsid w:val="0058559D"/>
    <w:rsid w:val="0058612F"/>
    <w:rsid w:val="00591B16"/>
    <w:rsid w:val="00592FCE"/>
    <w:rsid w:val="005A11E0"/>
    <w:rsid w:val="005A1862"/>
    <w:rsid w:val="005A1FC8"/>
    <w:rsid w:val="005A25AD"/>
    <w:rsid w:val="005A52A1"/>
    <w:rsid w:val="005A54B9"/>
    <w:rsid w:val="005A5820"/>
    <w:rsid w:val="005A6B46"/>
    <w:rsid w:val="005A745C"/>
    <w:rsid w:val="005B0CCB"/>
    <w:rsid w:val="005B0F25"/>
    <w:rsid w:val="005B2701"/>
    <w:rsid w:val="005B4A54"/>
    <w:rsid w:val="005B60CA"/>
    <w:rsid w:val="005C4F10"/>
    <w:rsid w:val="005C50C4"/>
    <w:rsid w:val="005C5DFC"/>
    <w:rsid w:val="005D0467"/>
    <w:rsid w:val="005D11F0"/>
    <w:rsid w:val="005D18F6"/>
    <w:rsid w:val="005D442A"/>
    <w:rsid w:val="005D4DA3"/>
    <w:rsid w:val="005D54D4"/>
    <w:rsid w:val="005D7356"/>
    <w:rsid w:val="005D7AE3"/>
    <w:rsid w:val="005E0DF0"/>
    <w:rsid w:val="005E2FF6"/>
    <w:rsid w:val="005E3419"/>
    <w:rsid w:val="005E3FB2"/>
    <w:rsid w:val="005E4262"/>
    <w:rsid w:val="005F012D"/>
    <w:rsid w:val="005F0CA6"/>
    <w:rsid w:val="005F221B"/>
    <w:rsid w:val="0060330F"/>
    <w:rsid w:val="00603792"/>
    <w:rsid w:val="006039BB"/>
    <w:rsid w:val="00604C7B"/>
    <w:rsid w:val="00607D5F"/>
    <w:rsid w:val="006126E8"/>
    <w:rsid w:val="0061449B"/>
    <w:rsid w:val="0061460C"/>
    <w:rsid w:val="0061572C"/>
    <w:rsid w:val="00616872"/>
    <w:rsid w:val="00616C08"/>
    <w:rsid w:val="00630C12"/>
    <w:rsid w:val="006342EB"/>
    <w:rsid w:val="006347F3"/>
    <w:rsid w:val="00636883"/>
    <w:rsid w:val="00640070"/>
    <w:rsid w:val="006433ED"/>
    <w:rsid w:val="00644DA9"/>
    <w:rsid w:val="00645BD9"/>
    <w:rsid w:val="00646351"/>
    <w:rsid w:val="0065050A"/>
    <w:rsid w:val="006513FE"/>
    <w:rsid w:val="00651591"/>
    <w:rsid w:val="00651ED4"/>
    <w:rsid w:val="0065631C"/>
    <w:rsid w:val="006625C7"/>
    <w:rsid w:val="0066277C"/>
    <w:rsid w:val="00667F6F"/>
    <w:rsid w:val="006700BE"/>
    <w:rsid w:val="00670A71"/>
    <w:rsid w:val="0067190B"/>
    <w:rsid w:val="006745D6"/>
    <w:rsid w:val="00674CEF"/>
    <w:rsid w:val="006766AF"/>
    <w:rsid w:val="00680875"/>
    <w:rsid w:val="00681B36"/>
    <w:rsid w:val="00682F3F"/>
    <w:rsid w:val="0068465B"/>
    <w:rsid w:val="00685361"/>
    <w:rsid w:val="00685C91"/>
    <w:rsid w:val="00694BE6"/>
    <w:rsid w:val="006A2C6D"/>
    <w:rsid w:val="006A35AE"/>
    <w:rsid w:val="006B5645"/>
    <w:rsid w:val="006B56B9"/>
    <w:rsid w:val="006C086C"/>
    <w:rsid w:val="006C3561"/>
    <w:rsid w:val="006C454C"/>
    <w:rsid w:val="006D26EF"/>
    <w:rsid w:val="006E54F2"/>
    <w:rsid w:val="006E5C7E"/>
    <w:rsid w:val="006E5F66"/>
    <w:rsid w:val="006E616F"/>
    <w:rsid w:val="006F1651"/>
    <w:rsid w:val="006F2018"/>
    <w:rsid w:val="006F4830"/>
    <w:rsid w:val="006F5285"/>
    <w:rsid w:val="006F5DB6"/>
    <w:rsid w:val="0070432C"/>
    <w:rsid w:val="00705C40"/>
    <w:rsid w:val="007105D4"/>
    <w:rsid w:val="00714794"/>
    <w:rsid w:val="00715971"/>
    <w:rsid w:val="007160A4"/>
    <w:rsid w:val="007168AF"/>
    <w:rsid w:val="0072013B"/>
    <w:rsid w:val="00721672"/>
    <w:rsid w:val="00723821"/>
    <w:rsid w:val="00723A7F"/>
    <w:rsid w:val="00724804"/>
    <w:rsid w:val="00725B68"/>
    <w:rsid w:val="00731C49"/>
    <w:rsid w:val="00733E7E"/>
    <w:rsid w:val="007362B5"/>
    <w:rsid w:val="00742138"/>
    <w:rsid w:val="007435F1"/>
    <w:rsid w:val="00752B02"/>
    <w:rsid w:val="0075595F"/>
    <w:rsid w:val="007564E2"/>
    <w:rsid w:val="00756784"/>
    <w:rsid w:val="007576EC"/>
    <w:rsid w:val="007627EE"/>
    <w:rsid w:val="007700D7"/>
    <w:rsid w:val="00773CE9"/>
    <w:rsid w:val="00783E7C"/>
    <w:rsid w:val="0078554A"/>
    <w:rsid w:val="00786DDE"/>
    <w:rsid w:val="007906FA"/>
    <w:rsid w:val="00792ABE"/>
    <w:rsid w:val="00792BE0"/>
    <w:rsid w:val="00793D05"/>
    <w:rsid w:val="00794C94"/>
    <w:rsid w:val="0079544F"/>
    <w:rsid w:val="007A1610"/>
    <w:rsid w:val="007A4FFD"/>
    <w:rsid w:val="007A5254"/>
    <w:rsid w:val="007C2B5F"/>
    <w:rsid w:val="007C56B2"/>
    <w:rsid w:val="007D2202"/>
    <w:rsid w:val="007D2503"/>
    <w:rsid w:val="007D2729"/>
    <w:rsid w:val="007D4A08"/>
    <w:rsid w:val="007E16D4"/>
    <w:rsid w:val="007E2EA8"/>
    <w:rsid w:val="007E66C2"/>
    <w:rsid w:val="007E688A"/>
    <w:rsid w:val="007F28F2"/>
    <w:rsid w:val="007F4E4E"/>
    <w:rsid w:val="0080138A"/>
    <w:rsid w:val="00810562"/>
    <w:rsid w:val="008138B1"/>
    <w:rsid w:val="00815E67"/>
    <w:rsid w:val="00816BCC"/>
    <w:rsid w:val="0082011A"/>
    <w:rsid w:val="00820973"/>
    <w:rsid w:val="008266F8"/>
    <w:rsid w:val="0083213F"/>
    <w:rsid w:val="0083307F"/>
    <w:rsid w:val="00833694"/>
    <w:rsid w:val="00840253"/>
    <w:rsid w:val="00842631"/>
    <w:rsid w:val="00844028"/>
    <w:rsid w:val="0084464F"/>
    <w:rsid w:val="00844681"/>
    <w:rsid w:val="0084656D"/>
    <w:rsid w:val="00846E50"/>
    <w:rsid w:val="00850A81"/>
    <w:rsid w:val="008510F4"/>
    <w:rsid w:val="00851299"/>
    <w:rsid w:val="00853FDC"/>
    <w:rsid w:val="0085507B"/>
    <w:rsid w:val="0085624A"/>
    <w:rsid w:val="00856A32"/>
    <w:rsid w:val="00864BB0"/>
    <w:rsid w:val="00867758"/>
    <w:rsid w:val="008723BB"/>
    <w:rsid w:val="008757A7"/>
    <w:rsid w:val="008758F6"/>
    <w:rsid w:val="00877B7A"/>
    <w:rsid w:val="00886001"/>
    <w:rsid w:val="00895349"/>
    <w:rsid w:val="008A03EF"/>
    <w:rsid w:val="008A1C89"/>
    <w:rsid w:val="008A772E"/>
    <w:rsid w:val="008A77A6"/>
    <w:rsid w:val="008B1C3F"/>
    <w:rsid w:val="008B5163"/>
    <w:rsid w:val="008B55A3"/>
    <w:rsid w:val="008B7214"/>
    <w:rsid w:val="008C047F"/>
    <w:rsid w:val="008C2400"/>
    <w:rsid w:val="008C431D"/>
    <w:rsid w:val="008C6F1F"/>
    <w:rsid w:val="008C799A"/>
    <w:rsid w:val="008D3D93"/>
    <w:rsid w:val="008D44E3"/>
    <w:rsid w:val="008D6228"/>
    <w:rsid w:val="008D6544"/>
    <w:rsid w:val="008E3AE4"/>
    <w:rsid w:val="008E414C"/>
    <w:rsid w:val="008E428C"/>
    <w:rsid w:val="008E7293"/>
    <w:rsid w:val="008E7C61"/>
    <w:rsid w:val="008E7D46"/>
    <w:rsid w:val="008F3F36"/>
    <w:rsid w:val="008F7242"/>
    <w:rsid w:val="00900DB1"/>
    <w:rsid w:val="00901BAB"/>
    <w:rsid w:val="00901F55"/>
    <w:rsid w:val="00910563"/>
    <w:rsid w:val="00911526"/>
    <w:rsid w:val="00912E35"/>
    <w:rsid w:val="00921EAE"/>
    <w:rsid w:val="00922E0D"/>
    <w:rsid w:val="00923621"/>
    <w:rsid w:val="00930F89"/>
    <w:rsid w:val="00931F8C"/>
    <w:rsid w:val="009332AF"/>
    <w:rsid w:val="00934537"/>
    <w:rsid w:val="00936581"/>
    <w:rsid w:val="00944A0E"/>
    <w:rsid w:val="0094586E"/>
    <w:rsid w:val="009459C4"/>
    <w:rsid w:val="00945BA2"/>
    <w:rsid w:val="00945CFF"/>
    <w:rsid w:val="00947D75"/>
    <w:rsid w:val="0095083D"/>
    <w:rsid w:val="00951A20"/>
    <w:rsid w:val="00951D67"/>
    <w:rsid w:val="0095530A"/>
    <w:rsid w:val="00955813"/>
    <w:rsid w:val="00966F12"/>
    <w:rsid w:val="00967993"/>
    <w:rsid w:val="00971601"/>
    <w:rsid w:val="00971817"/>
    <w:rsid w:val="00972E11"/>
    <w:rsid w:val="00976194"/>
    <w:rsid w:val="009779A6"/>
    <w:rsid w:val="00980965"/>
    <w:rsid w:val="00981AEA"/>
    <w:rsid w:val="00983EC2"/>
    <w:rsid w:val="00992C48"/>
    <w:rsid w:val="00994EDA"/>
    <w:rsid w:val="00996D63"/>
    <w:rsid w:val="00997CAB"/>
    <w:rsid w:val="009A368E"/>
    <w:rsid w:val="009A5E2C"/>
    <w:rsid w:val="009B5300"/>
    <w:rsid w:val="009B7AFF"/>
    <w:rsid w:val="009C1210"/>
    <w:rsid w:val="009C1FA3"/>
    <w:rsid w:val="009C61CC"/>
    <w:rsid w:val="009C73CC"/>
    <w:rsid w:val="009D1EF4"/>
    <w:rsid w:val="009D3206"/>
    <w:rsid w:val="009D3330"/>
    <w:rsid w:val="009D3DFA"/>
    <w:rsid w:val="009D5128"/>
    <w:rsid w:val="009D5BC3"/>
    <w:rsid w:val="009D5D04"/>
    <w:rsid w:val="009E0844"/>
    <w:rsid w:val="009E4F5A"/>
    <w:rsid w:val="00A00EAD"/>
    <w:rsid w:val="00A0141D"/>
    <w:rsid w:val="00A07EEF"/>
    <w:rsid w:val="00A11937"/>
    <w:rsid w:val="00A14577"/>
    <w:rsid w:val="00A14DC4"/>
    <w:rsid w:val="00A2390B"/>
    <w:rsid w:val="00A24664"/>
    <w:rsid w:val="00A310BA"/>
    <w:rsid w:val="00A315E6"/>
    <w:rsid w:val="00A317FB"/>
    <w:rsid w:val="00A41157"/>
    <w:rsid w:val="00A41FC6"/>
    <w:rsid w:val="00A460E0"/>
    <w:rsid w:val="00A464EF"/>
    <w:rsid w:val="00A47465"/>
    <w:rsid w:val="00A478F7"/>
    <w:rsid w:val="00A47A30"/>
    <w:rsid w:val="00A47C85"/>
    <w:rsid w:val="00A47D20"/>
    <w:rsid w:val="00A50B7A"/>
    <w:rsid w:val="00A514E3"/>
    <w:rsid w:val="00A5325C"/>
    <w:rsid w:val="00A62B21"/>
    <w:rsid w:val="00A70B1E"/>
    <w:rsid w:val="00A70FB1"/>
    <w:rsid w:val="00A71F58"/>
    <w:rsid w:val="00A7248D"/>
    <w:rsid w:val="00A7522D"/>
    <w:rsid w:val="00A76D15"/>
    <w:rsid w:val="00A80572"/>
    <w:rsid w:val="00A82BB8"/>
    <w:rsid w:val="00A872C3"/>
    <w:rsid w:val="00A87F76"/>
    <w:rsid w:val="00A90358"/>
    <w:rsid w:val="00A9413A"/>
    <w:rsid w:val="00AA116F"/>
    <w:rsid w:val="00AB0FFD"/>
    <w:rsid w:val="00AB486B"/>
    <w:rsid w:val="00AB672B"/>
    <w:rsid w:val="00AC0B99"/>
    <w:rsid w:val="00AD1741"/>
    <w:rsid w:val="00AD25DC"/>
    <w:rsid w:val="00AE752D"/>
    <w:rsid w:val="00AE7CFB"/>
    <w:rsid w:val="00AE7DFD"/>
    <w:rsid w:val="00B03495"/>
    <w:rsid w:val="00B03957"/>
    <w:rsid w:val="00B07A76"/>
    <w:rsid w:val="00B119A9"/>
    <w:rsid w:val="00B13E9E"/>
    <w:rsid w:val="00B17D43"/>
    <w:rsid w:val="00B23DE4"/>
    <w:rsid w:val="00B240D8"/>
    <w:rsid w:val="00B2627D"/>
    <w:rsid w:val="00B2700D"/>
    <w:rsid w:val="00B27C71"/>
    <w:rsid w:val="00B3155B"/>
    <w:rsid w:val="00B31B89"/>
    <w:rsid w:val="00B35E39"/>
    <w:rsid w:val="00B37F3D"/>
    <w:rsid w:val="00B444CF"/>
    <w:rsid w:val="00B4586E"/>
    <w:rsid w:val="00B468CB"/>
    <w:rsid w:val="00B51911"/>
    <w:rsid w:val="00B73796"/>
    <w:rsid w:val="00B74A96"/>
    <w:rsid w:val="00B76F64"/>
    <w:rsid w:val="00B90203"/>
    <w:rsid w:val="00B91609"/>
    <w:rsid w:val="00B92165"/>
    <w:rsid w:val="00B922B0"/>
    <w:rsid w:val="00B92FDC"/>
    <w:rsid w:val="00B93804"/>
    <w:rsid w:val="00B956D4"/>
    <w:rsid w:val="00BA1863"/>
    <w:rsid w:val="00BA4371"/>
    <w:rsid w:val="00BA4994"/>
    <w:rsid w:val="00BA7CDA"/>
    <w:rsid w:val="00BB0C03"/>
    <w:rsid w:val="00BB3AB4"/>
    <w:rsid w:val="00BC11DF"/>
    <w:rsid w:val="00BC397C"/>
    <w:rsid w:val="00BD1B35"/>
    <w:rsid w:val="00BD6014"/>
    <w:rsid w:val="00BE10EF"/>
    <w:rsid w:val="00BE3072"/>
    <w:rsid w:val="00BE46D4"/>
    <w:rsid w:val="00BE5134"/>
    <w:rsid w:val="00BF3C21"/>
    <w:rsid w:val="00C00B3A"/>
    <w:rsid w:val="00C0446D"/>
    <w:rsid w:val="00C118AC"/>
    <w:rsid w:val="00C143AC"/>
    <w:rsid w:val="00C24879"/>
    <w:rsid w:val="00C25D19"/>
    <w:rsid w:val="00C307AF"/>
    <w:rsid w:val="00C34241"/>
    <w:rsid w:val="00C342FC"/>
    <w:rsid w:val="00C35AEB"/>
    <w:rsid w:val="00C37C51"/>
    <w:rsid w:val="00C42B69"/>
    <w:rsid w:val="00C44C0D"/>
    <w:rsid w:val="00C513E7"/>
    <w:rsid w:val="00C51A27"/>
    <w:rsid w:val="00C520BD"/>
    <w:rsid w:val="00C5346D"/>
    <w:rsid w:val="00C54572"/>
    <w:rsid w:val="00C55569"/>
    <w:rsid w:val="00C5735D"/>
    <w:rsid w:val="00C603CA"/>
    <w:rsid w:val="00C709BD"/>
    <w:rsid w:val="00C720C0"/>
    <w:rsid w:val="00C723E8"/>
    <w:rsid w:val="00C733C1"/>
    <w:rsid w:val="00C747D9"/>
    <w:rsid w:val="00C748F7"/>
    <w:rsid w:val="00C81176"/>
    <w:rsid w:val="00C84B6B"/>
    <w:rsid w:val="00C86BAB"/>
    <w:rsid w:val="00CB595B"/>
    <w:rsid w:val="00CC0307"/>
    <w:rsid w:val="00CC257D"/>
    <w:rsid w:val="00CC5B9F"/>
    <w:rsid w:val="00CC7E79"/>
    <w:rsid w:val="00CD18E1"/>
    <w:rsid w:val="00CD2AB3"/>
    <w:rsid w:val="00CD4952"/>
    <w:rsid w:val="00CE187B"/>
    <w:rsid w:val="00CE1F54"/>
    <w:rsid w:val="00CE584E"/>
    <w:rsid w:val="00CF0833"/>
    <w:rsid w:val="00CF1814"/>
    <w:rsid w:val="00CF30D4"/>
    <w:rsid w:val="00CF5879"/>
    <w:rsid w:val="00CF632D"/>
    <w:rsid w:val="00D0321C"/>
    <w:rsid w:val="00D039C5"/>
    <w:rsid w:val="00D03C31"/>
    <w:rsid w:val="00D06BD8"/>
    <w:rsid w:val="00D07352"/>
    <w:rsid w:val="00D07F2B"/>
    <w:rsid w:val="00D12480"/>
    <w:rsid w:val="00D15D80"/>
    <w:rsid w:val="00D167CB"/>
    <w:rsid w:val="00D17BCA"/>
    <w:rsid w:val="00D23C7C"/>
    <w:rsid w:val="00D24700"/>
    <w:rsid w:val="00D251FF"/>
    <w:rsid w:val="00D25D94"/>
    <w:rsid w:val="00D267C4"/>
    <w:rsid w:val="00D27AE0"/>
    <w:rsid w:val="00D32ED4"/>
    <w:rsid w:val="00D348CE"/>
    <w:rsid w:val="00D374F9"/>
    <w:rsid w:val="00D37E01"/>
    <w:rsid w:val="00D4246A"/>
    <w:rsid w:val="00D45273"/>
    <w:rsid w:val="00D470C6"/>
    <w:rsid w:val="00D5262A"/>
    <w:rsid w:val="00D57000"/>
    <w:rsid w:val="00D639DB"/>
    <w:rsid w:val="00D67DD4"/>
    <w:rsid w:val="00D70AB1"/>
    <w:rsid w:val="00D71350"/>
    <w:rsid w:val="00D72735"/>
    <w:rsid w:val="00D736CF"/>
    <w:rsid w:val="00D8021D"/>
    <w:rsid w:val="00D829EC"/>
    <w:rsid w:val="00D836E6"/>
    <w:rsid w:val="00D91BFE"/>
    <w:rsid w:val="00D94FCC"/>
    <w:rsid w:val="00D95670"/>
    <w:rsid w:val="00D9729F"/>
    <w:rsid w:val="00D97967"/>
    <w:rsid w:val="00DA0239"/>
    <w:rsid w:val="00DA3524"/>
    <w:rsid w:val="00DA61E7"/>
    <w:rsid w:val="00DA62B9"/>
    <w:rsid w:val="00DA7F7F"/>
    <w:rsid w:val="00DB152F"/>
    <w:rsid w:val="00DB181B"/>
    <w:rsid w:val="00DB1F43"/>
    <w:rsid w:val="00DC1FB7"/>
    <w:rsid w:val="00DC33C9"/>
    <w:rsid w:val="00DC4D85"/>
    <w:rsid w:val="00DC5864"/>
    <w:rsid w:val="00DD09A6"/>
    <w:rsid w:val="00DD3B63"/>
    <w:rsid w:val="00DD6126"/>
    <w:rsid w:val="00DE2AFE"/>
    <w:rsid w:val="00DE4466"/>
    <w:rsid w:val="00DE5DAE"/>
    <w:rsid w:val="00DE7037"/>
    <w:rsid w:val="00DE723D"/>
    <w:rsid w:val="00DF1530"/>
    <w:rsid w:val="00DF29C3"/>
    <w:rsid w:val="00DF42DA"/>
    <w:rsid w:val="00DF447B"/>
    <w:rsid w:val="00DF4555"/>
    <w:rsid w:val="00E00403"/>
    <w:rsid w:val="00E05B94"/>
    <w:rsid w:val="00E06948"/>
    <w:rsid w:val="00E069ED"/>
    <w:rsid w:val="00E07A07"/>
    <w:rsid w:val="00E107F9"/>
    <w:rsid w:val="00E13E48"/>
    <w:rsid w:val="00E142BD"/>
    <w:rsid w:val="00E15CD2"/>
    <w:rsid w:val="00E20017"/>
    <w:rsid w:val="00E20BBC"/>
    <w:rsid w:val="00E24C6C"/>
    <w:rsid w:val="00E25C80"/>
    <w:rsid w:val="00E26788"/>
    <w:rsid w:val="00E26FCD"/>
    <w:rsid w:val="00E2700F"/>
    <w:rsid w:val="00E27269"/>
    <w:rsid w:val="00E35200"/>
    <w:rsid w:val="00E35B1D"/>
    <w:rsid w:val="00E379BE"/>
    <w:rsid w:val="00E41839"/>
    <w:rsid w:val="00E41ECE"/>
    <w:rsid w:val="00E45E88"/>
    <w:rsid w:val="00E47EEE"/>
    <w:rsid w:val="00E506D3"/>
    <w:rsid w:val="00E52403"/>
    <w:rsid w:val="00E60EE5"/>
    <w:rsid w:val="00E615B7"/>
    <w:rsid w:val="00E64F36"/>
    <w:rsid w:val="00E658FF"/>
    <w:rsid w:val="00E704E8"/>
    <w:rsid w:val="00E72BFF"/>
    <w:rsid w:val="00E7429F"/>
    <w:rsid w:val="00E758C6"/>
    <w:rsid w:val="00E765F2"/>
    <w:rsid w:val="00E80643"/>
    <w:rsid w:val="00E82F60"/>
    <w:rsid w:val="00E855F4"/>
    <w:rsid w:val="00E8622A"/>
    <w:rsid w:val="00E86688"/>
    <w:rsid w:val="00E86EDB"/>
    <w:rsid w:val="00E920C6"/>
    <w:rsid w:val="00E925E0"/>
    <w:rsid w:val="00E926F4"/>
    <w:rsid w:val="00E93E22"/>
    <w:rsid w:val="00E95462"/>
    <w:rsid w:val="00EA1DF7"/>
    <w:rsid w:val="00EA5145"/>
    <w:rsid w:val="00EC07E3"/>
    <w:rsid w:val="00EC419A"/>
    <w:rsid w:val="00EC6805"/>
    <w:rsid w:val="00EC71E6"/>
    <w:rsid w:val="00ED07E9"/>
    <w:rsid w:val="00ED37B3"/>
    <w:rsid w:val="00ED3AEB"/>
    <w:rsid w:val="00ED799A"/>
    <w:rsid w:val="00EE13AA"/>
    <w:rsid w:val="00EF33D6"/>
    <w:rsid w:val="00EF5A21"/>
    <w:rsid w:val="00F00BE5"/>
    <w:rsid w:val="00F0296F"/>
    <w:rsid w:val="00F02AC7"/>
    <w:rsid w:val="00F0621E"/>
    <w:rsid w:val="00F10D5C"/>
    <w:rsid w:val="00F14DEF"/>
    <w:rsid w:val="00F15457"/>
    <w:rsid w:val="00F21554"/>
    <w:rsid w:val="00F21AA4"/>
    <w:rsid w:val="00F21B1C"/>
    <w:rsid w:val="00F2368A"/>
    <w:rsid w:val="00F3208D"/>
    <w:rsid w:val="00F3241E"/>
    <w:rsid w:val="00F332E7"/>
    <w:rsid w:val="00F33F81"/>
    <w:rsid w:val="00F34F72"/>
    <w:rsid w:val="00F42F9C"/>
    <w:rsid w:val="00F4392A"/>
    <w:rsid w:val="00F45E5A"/>
    <w:rsid w:val="00F51E83"/>
    <w:rsid w:val="00F53C8C"/>
    <w:rsid w:val="00F55DCE"/>
    <w:rsid w:val="00F565AB"/>
    <w:rsid w:val="00F57791"/>
    <w:rsid w:val="00F578FD"/>
    <w:rsid w:val="00F6216F"/>
    <w:rsid w:val="00F6584F"/>
    <w:rsid w:val="00F6658A"/>
    <w:rsid w:val="00F71329"/>
    <w:rsid w:val="00F7172E"/>
    <w:rsid w:val="00F717E1"/>
    <w:rsid w:val="00F73C8E"/>
    <w:rsid w:val="00F744ED"/>
    <w:rsid w:val="00F778EE"/>
    <w:rsid w:val="00F821F1"/>
    <w:rsid w:val="00F851D5"/>
    <w:rsid w:val="00F87A74"/>
    <w:rsid w:val="00F9573D"/>
    <w:rsid w:val="00FA0BE0"/>
    <w:rsid w:val="00FA228E"/>
    <w:rsid w:val="00FA63A5"/>
    <w:rsid w:val="00FA7797"/>
    <w:rsid w:val="00FB09DD"/>
    <w:rsid w:val="00FB0B0D"/>
    <w:rsid w:val="00FB4C55"/>
    <w:rsid w:val="00FC0D21"/>
    <w:rsid w:val="00FC152E"/>
    <w:rsid w:val="00FC18F0"/>
    <w:rsid w:val="00FC450E"/>
    <w:rsid w:val="00FD07B2"/>
    <w:rsid w:val="00FD320B"/>
    <w:rsid w:val="00FE17BF"/>
    <w:rsid w:val="00FE4567"/>
    <w:rsid w:val="00FF3396"/>
    <w:rsid w:val="00FF559D"/>
    <w:rsid w:val="01223B82"/>
    <w:rsid w:val="016F1D40"/>
    <w:rsid w:val="02673E0A"/>
    <w:rsid w:val="03E33DD9"/>
    <w:rsid w:val="17D50F45"/>
    <w:rsid w:val="18973A8F"/>
    <w:rsid w:val="272B250C"/>
    <w:rsid w:val="3658101D"/>
    <w:rsid w:val="3E98676B"/>
    <w:rsid w:val="4B931DE9"/>
    <w:rsid w:val="50BE55B0"/>
    <w:rsid w:val="59A61CD2"/>
    <w:rsid w:val="5B1332C5"/>
    <w:rsid w:val="5FB2527F"/>
    <w:rsid w:val="63011BB9"/>
    <w:rsid w:val="77CC40D6"/>
    <w:rsid w:val="78A43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CF01A"/>
  <w15:docId w15:val="{21704FC2-0651-4025-8165-E828D86A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17BF"/>
    <w:pPr>
      <w:widowControl w:val="0"/>
      <w:jc w:val="both"/>
    </w:pPr>
    <w:rPr>
      <w:kern w:val="2"/>
      <w:sz w:val="21"/>
    </w:rPr>
  </w:style>
  <w:style w:type="paragraph" w:styleId="1">
    <w:name w:val="heading 1"/>
    <w:basedOn w:val="a"/>
    <w:next w:val="a"/>
    <w:link w:val="10"/>
    <w:uiPriority w:val="9"/>
    <w:qFormat/>
    <w:rsid w:val="00FE17BF"/>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rsid w:val="00FE17B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E17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FE17BF"/>
    <w:rPr>
      <w:rFonts w:ascii="宋体" w:hAnsi="Calibri"/>
      <w:kern w:val="0"/>
      <w:sz w:val="18"/>
      <w:szCs w:val="18"/>
    </w:rPr>
  </w:style>
  <w:style w:type="paragraph" w:styleId="a5">
    <w:name w:val="annotation text"/>
    <w:basedOn w:val="a"/>
    <w:link w:val="11"/>
    <w:qFormat/>
    <w:rsid w:val="00FE17BF"/>
    <w:pPr>
      <w:jc w:val="left"/>
    </w:pPr>
  </w:style>
  <w:style w:type="paragraph" w:styleId="a6">
    <w:name w:val="Body Text"/>
    <w:basedOn w:val="a"/>
    <w:link w:val="a7"/>
    <w:rsid w:val="00FE17BF"/>
    <w:pPr>
      <w:spacing w:after="120"/>
    </w:pPr>
  </w:style>
  <w:style w:type="paragraph" w:styleId="a8">
    <w:name w:val="Body Text Indent"/>
    <w:basedOn w:val="a"/>
    <w:link w:val="a9"/>
    <w:qFormat/>
    <w:rsid w:val="00FE17BF"/>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qFormat/>
    <w:rsid w:val="00FE17BF"/>
    <w:rPr>
      <w:rFonts w:ascii="宋体" w:hAnsi="Courier New"/>
      <w:szCs w:val="21"/>
    </w:rPr>
  </w:style>
  <w:style w:type="paragraph" w:styleId="ac">
    <w:name w:val="Date"/>
    <w:basedOn w:val="a"/>
    <w:next w:val="a"/>
    <w:qFormat/>
    <w:rsid w:val="00FE17BF"/>
    <w:pPr>
      <w:ind w:leftChars="2500" w:left="100"/>
    </w:pPr>
    <w:rPr>
      <w:rFonts w:ascii="宋体" w:hAnsi="宋体"/>
      <w:sz w:val="24"/>
    </w:rPr>
  </w:style>
  <w:style w:type="paragraph" w:styleId="20">
    <w:name w:val="Body Text Indent 2"/>
    <w:basedOn w:val="a"/>
    <w:link w:val="21"/>
    <w:rsid w:val="00FE17BF"/>
    <w:pPr>
      <w:spacing w:before="60" w:after="60"/>
      <w:ind w:left="479"/>
    </w:pPr>
    <w:rPr>
      <w:rFonts w:ascii="宋体"/>
      <w:sz w:val="24"/>
    </w:rPr>
  </w:style>
  <w:style w:type="paragraph" w:styleId="ad">
    <w:name w:val="Balloon Text"/>
    <w:basedOn w:val="a"/>
    <w:link w:val="ae"/>
    <w:uiPriority w:val="99"/>
    <w:semiHidden/>
    <w:qFormat/>
    <w:rsid w:val="00FE17BF"/>
    <w:rPr>
      <w:sz w:val="18"/>
      <w:szCs w:val="18"/>
    </w:rPr>
  </w:style>
  <w:style w:type="paragraph" w:styleId="af">
    <w:name w:val="footer"/>
    <w:basedOn w:val="a"/>
    <w:link w:val="af0"/>
    <w:uiPriority w:val="99"/>
    <w:rsid w:val="00FE17BF"/>
    <w:pPr>
      <w:tabs>
        <w:tab w:val="center" w:pos="4153"/>
        <w:tab w:val="right" w:pos="8306"/>
      </w:tabs>
      <w:snapToGrid w:val="0"/>
      <w:jc w:val="left"/>
    </w:pPr>
    <w:rPr>
      <w:sz w:val="18"/>
      <w:szCs w:val="18"/>
    </w:rPr>
  </w:style>
  <w:style w:type="paragraph" w:styleId="af1">
    <w:name w:val="header"/>
    <w:basedOn w:val="a"/>
    <w:link w:val="af2"/>
    <w:uiPriority w:val="99"/>
    <w:qFormat/>
    <w:rsid w:val="00FE17B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rsid w:val="00FE17BF"/>
    <w:pPr>
      <w:tabs>
        <w:tab w:val="right" w:leader="hyphen" w:pos="8296"/>
      </w:tabs>
      <w:spacing w:line="360" w:lineRule="auto"/>
    </w:pPr>
    <w:rPr>
      <w:rFonts w:ascii="宋体" w:hAnsi="宋体"/>
      <w:sz w:val="24"/>
      <w:szCs w:val="24"/>
    </w:rPr>
  </w:style>
  <w:style w:type="paragraph" w:styleId="af3">
    <w:name w:val="annotation subject"/>
    <w:basedOn w:val="a5"/>
    <w:next w:val="a5"/>
    <w:link w:val="af4"/>
    <w:uiPriority w:val="99"/>
    <w:semiHidden/>
    <w:qFormat/>
    <w:rsid w:val="00FE17BF"/>
    <w:rPr>
      <w:b/>
      <w:bCs/>
    </w:rPr>
  </w:style>
  <w:style w:type="character" w:styleId="af5">
    <w:name w:val="page number"/>
    <w:basedOn w:val="a0"/>
    <w:rsid w:val="00FE17BF"/>
  </w:style>
  <w:style w:type="character" w:styleId="af6">
    <w:name w:val="FollowedHyperlink"/>
    <w:qFormat/>
    <w:rsid w:val="00FE17BF"/>
    <w:rPr>
      <w:color w:val="800080"/>
      <w:u w:val="single"/>
    </w:rPr>
  </w:style>
  <w:style w:type="character" w:styleId="af7">
    <w:name w:val="Hyperlink"/>
    <w:uiPriority w:val="99"/>
    <w:rsid w:val="00FE17BF"/>
    <w:rPr>
      <w:color w:val="0000FF"/>
      <w:u w:val="single"/>
    </w:rPr>
  </w:style>
  <w:style w:type="character" w:styleId="af8">
    <w:name w:val="annotation reference"/>
    <w:rsid w:val="00FE17BF"/>
    <w:rPr>
      <w:sz w:val="21"/>
      <w:szCs w:val="21"/>
    </w:rPr>
  </w:style>
  <w:style w:type="character" w:customStyle="1" w:styleId="af2">
    <w:name w:val="页眉 字符"/>
    <w:link w:val="af1"/>
    <w:uiPriority w:val="99"/>
    <w:qFormat/>
    <w:rsid w:val="00FE17BF"/>
    <w:rPr>
      <w:kern w:val="2"/>
      <w:sz w:val="18"/>
      <w:szCs w:val="18"/>
    </w:rPr>
  </w:style>
  <w:style w:type="character" w:customStyle="1" w:styleId="DeltaViewInsertion">
    <w:name w:val="DeltaView Insertion"/>
    <w:qFormat/>
    <w:rsid w:val="00FE17BF"/>
    <w:rPr>
      <w:color w:val="0000FF"/>
      <w:spacing w:val="0"/>
      <w:u w:val="double"/>
    </w:rPr>
  </w:style>
  <w:style w:type="character" w:customStyle="1" w:styleId="21">
    <w:name w:val="正文文本缩进 2 字符"/>
    <w:link w:val="20"/>
    <w:qFormat/>
    <w:rsid w:val="00FE17BF"/>
    <w:rPr>
      <w:rFonts w:ascii="宋体"/>
      <w:kern w:val="2"/>
      <w:sz w:val="24"/>
    </w:rPr>
  </w:style>
  <w:style w:type="character" w:customStyle="1" w:styleId="ab">
    <w:name w:val="纯文本 字符"/>
    <w:link w:val="aa"/>
    <w:qFormat/>
    <w:rsid w:val="00FE17BF"/>
    <w:rPr>
      <w:rFonts w:ascii="宋体" w:hAnsi="Courier New" w:cs="Courier New"/>
      <w:kern w:val="2"/>
      <w:sz w:val="21"/>
      <w:szCs w:val="21"/>
    </w:rPr>
  </w:style>
  <w:style w:type="character" w:customStyle="1" w:styleId="e-arialb101">
    <w:name w:val="e-arialb101"/>
    <w:qFormat/>
    <w:rsid w:val="00FE17BF"/>
    <w:rPr>
      <w:rFonts w:ascii="Arial" w:hAnsi="Arial" w:cs="Arial" w:hint="default"/>
      <w:color w:val="000000"/>
      <w:sz w:val="14"/>
      <w:szCs w:val="14"/>
    </w:rPr>
  </w:style>
  <w:style w:type="character" w:customStyle="1" w:styleId="10">
    <w:name w:val="标题 1 字符"/>
    <w:link w:val="1"/>
    <w:uiPriority w:val="9"/>
    <w:qFormat/>
    <w:rsid w:val="00FE17BF"/>
    <w:rPr>
      <w:rFonts w:ascii="宋体" w:hAnsi="宋体"/>
      <w:b/>
      <w:color w:val="000000"/>
      <w:kern w:val="2"/>
      <w:sz w:val="24"/>
    </w:rPr>
  </w:style>
  <w:style w:type="character" w:customStyle="1" w:styleId="af4">
    <w:name w:val="批注主题 字符"/>
    <w:link w:val="af3"/>
    <w:uiPriority w:val="99"/>
    <w:semiHidden/>
    <w:qFormat/>
    <w:rsid w:val="00FE17BF"/>
    <w:rPr>
      <w:b/>
      <w:bCs/>
      <w:kern w:val="2"/>
      <w:sz w:val="21"/>
    </w:rPr>
  </w:style>
  <w:style w:type="character" w:customStyle="1" w:styleId="a4">
    <w:name w:val="文档结构图 字符"/>
    <w:link w:val="a3"/>
    <w:uiPriority w:val="99"/>
    <w:rsid w:val="00FE17BF"/>
    <w:rPr>
      <w:rFonts w:ascii="宋体" w:hAnsi="Calibri"/>
      <w:sz w:val="18"/>
      <w:szCs w:val="18"/>
    </w:rPr>
  </w:style>
  <w:style w:type="character" w:customStyle="1" w:styleId="ae">
    <w:name w:val="批注框文本 字符"/>
    <w:link w:val="ad"/>
    <w:uiPriority w:val="99"/>
    <w:semiHidden/>
    <w:rsid w:val="00FE17BF"/>
    <w:rPr>
      <w:kern w:val="2"/>
      <w:sz w:val="18"/>
      <w:szCs w:val="18"/>
    </w:rPr>
  </w:style>
  <w:style w:type="character" w:customStyle="1" w:styleId="11">
    <w:name w:val="批注文字 字符1"/>
    <w:link w:val="a5"/>
    <w:uiPriority w:val="99"/>
    <w:qFormat/>
    <w:rsid w:val="00FE17BF"/>
    <w:rPr>
      <w:kern w:val="2"/>
      <w:sz w:val="21"/>
    </w:rPr>
  </w:style>
  <w:style w:type="character" w:customStyle="1" w:styleId="a9">
    <w:name w:val="正文文本缩进 字符"/>
    <w:link w:val="a8"/>
    <w:rsid w:val="00FE17BF"/>
    <w:rPr>
      <w:rFonts w:ascii="宋体" w:hAnsi="宋体" w:cs="Arial"/>
      <w:sz w:val="24"/>
      <w:szCs w:val="21"/>
    </w:rPr>
  </w:style>
  <w:style w:type="character" w:customStyle="1" w:styleId="apple-style-span">
    <w:name w:val="apple-style-span"/>
    <w:rsid w:val="00FE17BF"/>
  </w:style>
  <w:style w:type="character" w:customStyle="1" w:styleId="af0">
    <w:name w:val="页脚 字符"/>
    <w:link w:val="af"/>
    <w:uiPriority w:val="99"/>
    <w:rsid w:val="00FE17BF"/>
    <w:rPr>
      <w:kern w:val="2"/>
      <w:sz w:val="18"/>
      <w:szCs w:val="18"/>
    </w:rPr>
  </w:style>
  <w:style w:type="paragraph" w:customStyle="1" w:styleId="12">
    <w:name w:val="修订1"/>
    <w:uiPriority w:val="99"/>
    <w:semiHidden/>
    <w:rsid w:val="00FE17BF"/>
    <w:rPr>
      <w:rFonts w:ascii="Calibri" w:hAnsi="Calibri"/>
      <w:kern w:val="2"/>
      <w:sz w:val="21"/>
      <w:szCs w:val="22"/>
    </w:rPr>
  </w:style>
  <w:style w:type="paragraph" w:customStyle="1" w:styleId="NormalJustified">
    <w:name w:val="Normal (Justified)"/>
    <w:basedOn w:val="a"/>
    <w:semiHidden/>
    <w:rsid w:val="00FE17BF"/>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sid w:val="00FE17BF"/>
    <w:rPr>
      <w:rFonts w:ascii="Tahoma" w:hAnsi="Tahoma"/>
      <w:sz w:val="24"/>
      <w:szCs w:val="24"/>
    </w:rPr>
  </w:style>
  <w:style w:type="paragraph" w:customStyle="1" w:styleId="Default">
    <w:name w:val="Default"/>
    <w:rsid w:val="00FE17BF"/>
    <w:pPr>
      <w:widowControl w:val="0"/>
      <w:autoSpaceDE w:val="0"/>
      <w:autoSpaceDN w:val="0"/>
      <w:adjustRightInd w:val="0"/>
    </w:pPr>
    <w:rPr>
      <w:rFonts w:ascii="宋体" w:hAnsi="Calibri" w:cs="宋体"/>
      <w:color w:val="000000"/>
      <w:sz w:val="24"/>
      <w:szCs w:val="24"/>
    </w:rPr>
  </w:style>
  <w:style w:type="paragraph" w:customStyle="1" w:styleId="Char">
    <w:name w:val="Char"/>
    <w:basedOn w:val="a"/>
    <w:qFormat/>
    <w:rsid w:val="00FE17BF"/>
    <w:pPr>
      <w:widowControl/>
      <w:spacing w:after="160" w:line="240" w:lineRule="exact"/>
      <w:jc w:val="left"/>
    </w:pPr>
  </w:style>
  <w:style w:type="paragraph" w:customStyle="1" w:styleId="CharCharChar">
    <w:name w:val="Char Char Char"/>
    <w:basedOn w:val="a"/>
    <w:rsid w:val="00FE17BF"/>
    <w:rPr>
      <w:szCs w:val="24"/>
    </w:rPr>
  </w:style>
  <w:style w:type="paragraph" w:customStyle="1" w:styleId="CharCharCharCharCharCharChar">
    <w:name w:val="Char Char Char Char Char Char Char"/>
    <w:basedOn w:val="a"/>
    <w:rsid w:val="00FE17BF"/>
    <w:pPr>
      <w:tabs>
        <w:tab w:val="left" w:pos="360"/>
      </w:tabs>
      <w:adjustRightInd w:val="0"/>
      <w:textAlignment w:val="baseline"/>
    </w:pPr>
    <w:rPr>
      <w:sz w:val="24"/>
    </w:rPr>
  </w:style>
  <w:style w:type="paragraph" w:customStyle="1" w:styleId="CM16">
    <w:name w:val="CM16"/>
    <w:basedOn w:val="Default"/>
    <w:next w:val="Default"/>
    <w:rsid w:val="00FE17BF"/>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rsid w:val="00FE17BF"/>
    <w:pPr>
      <w:tabs>
        <w:tab w:val="left" w:pos="360"/>
      </w:tabs>
    </w:pPr>
    <w:rPr>
      <w:sz w:val="24"/>
      <w:szCs w:val="24"/>
    </w:rPr>
  </w:style>
  <w:style w:type="paragraph" w:customStyle="1" w:styleId="4CharCharCharChar">
    <w:name w:val="4 Char Char Char Char"/>
    <w:basedOn w:val="a"/>
    <w:rsid w:val="00FE17BF"/>
    <w:rPr>
      <w:rFonts w:ascii="Tahoma" w:hAnsi="Tahoma"/>
      <w:sz w:val="24"/>
    </w:rPr>
  </w:style>
  <w:style w:type="paragraph" w:customStyle="1" w:styleId="CharCharCharCharCharChar1CharCharChar">
    <w:name w:val="Char Char Char Char Char Char1 Char Char Char"/>
    <w:basedOn w:val="a"/>
    <w:rsid w:val="00FE17BF"/>
    <w:pPr>
      <w:autoSpaceDE w:val="0"/>
      <w:autoSpaceDN w:val="0"/>
      <w:adjustRightInd w:val="0"/>
      <w:jc w:val="left"/>
      <w:textAlignment w:val="baseline"/>
    </w:pPr>
  </w:style>
  <w:style w:type="character" w:customStyle="1" w:styleId="2Char1">
    <w:name w:val="正文文本缩进 2 Char1"/>
    <w:semiHidden/>
    <w:locked/>
    <w:rsid w:val="00FE17BF"/>
    <w:rPr>
      <w:rFonts w:ascii="宋体"/>
      <w:kern w:val="2"/>
      <w:sz w:val="24"/>
    </w:rPr>
  </w:style>
  <w:style w:type="paragraph" w:customStyle="1" w:styleId="InfoBlue">
    <w:name w:val="InfoBlue"/>
    <w:basedOn w:val="a"/>
    <w:next w:val="a6"/>
    <w:rsid w:val="00FE17BF"/>
    <w:pPr>
      <w:tabs>
        <w:tab w:val="left" w:pos="420"/>
      </w:tabs>
      <w:spacing w:after="120" w:line="240" w:lineRule="atLeast"/>
      <w:ind w:left="420" w:hanging="420"/>
      <w:jc w:val="left"/>
    </w:pPr>
    <w:rPr>
      <w:rFonts w:ascii="宋体" w:hAnsi="宋体"/>
    </w:rPr>
  </w:style>
  <w:style w:type="character" w:customStyle="1" w:styleId="af9">
    <w:name w:val="批注文字 字符"/>
    <w:rsid w:val="00FE17BF"/>
    <w:rPr>
      <w:kern w:val="2"/>
      <w:sz w:val="21"/>
    </w:rPr>
  </w:style>
  <w:style w:type="character" w:customStyle="1" w:styleId="a7">
    <w:name w:val="正文文本 字符"/>
    <w:link w:val="a6"/>
    <w:rsid w:val="00FE17BF"/>
    <w:rPr>
      <w:kern w:val="2"/>
      <w:sz w:val="21"/>
    </w:rPr>
  </w:style>
  <w:style w:type="character" w:customStyle="1" w:styleId="2Char">
    <w:name w:val="正文文本缩进 2 Char"/>
    <w:rsid w:val="00FE17BF"/>
    <w:rPr>
      <w:rFonts w:ascii="宋体"/>
      <w:kern w:val="2"/>
      <w:sz w:val="24"/>
    </w:rPr>
  </w:style>
  <w:style w:type="character" w:customStyle="1" w:styleId="read">
    <w:name w:val="read"/>
    <w:basedOn w:val="a0"/>
    <w:rsid w:val="00FE17BF"/>
  </w:style>
  <w:style w:type="paragraph" w:styleId="afa">
    <w:name w:val="List Paragraph"/>
    <w:basedOn w:val="a"/>
    <w:uiPriority w:val="34"/>
    <w:qFormat/>
    <w:rsid w:val="00FE17BF"/>
    <w:pPr>
      <w:ind w:firstLineChars="200" w:firstLine="420"/>
    </w:pPr>
  </w:style>
  <w:style w:type="paragraph" w:styleId="afb">
    <w:name w:val="Revision"/>
    <w:hidden/>
    <w:uiPriority w:val="99"/>
    <w:semiHidden/>
    <w:rsid w:val="004E7EE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F9F5A-6206-4C09-954C-2AB22269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41</Pages>
  <Words>4763</Words>
  <Characters>27151</Characters>
  <Application>Microsoft Office Word</Application>
  <DocSecurity>0</DocSecurity>
  <Lines>226</Lines>
  <Paragraphs>63</Paragraphs>
  <ScaleCrop>false</ScaleCrop>
  <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songbt</dc:creator>
  <cp:lastModifiedBy>邹 溢思</cp:lastModifiedBy>
  <cp:revision>126</cp:revision>
  <cp:lastPrinted>2022-05-20T05:02:00Z</cp:lastPrinted>
  <dcterms:created xsi:type="dcterms:W3CDTF">2021-04-14T05:35:00Z</dcterms:created>
  <dcterms:modified xsi:type="dcterms:W3CDTF">2023-01-16T00:44:00Z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