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C7822" w14:textId="77777777" w:rsidR="00CD0B6E" w:rsidRDefault="00CD0B6E">
      <w:pPr>
        <w:spacing w:line="520" w:lineRule="exact"/>
        <w:jc w:val="center"/>
        <w:rPr>
          <w:rFonts w:ascii="宋体"/>
          <w:sz w:val="24"/>
          <w:szCs w:val="28"/>
        </w:rPr>
      </w:pPr>
    </w:p>
    <w:p w14:paraId="066024AA" w14:textId="77777777" w:rsidR="00950499" w:rsidRPr="00036B75" w:rsidRDefault="005541E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r>
        <w:rPr>
          <w:rFonts w:ascii="宋体" w:hAnsi="宋体" w:hint="eastAsia"/>
          <w:szCs w:val="28"/>
        </w:rPr>
        <w:t xml:space="preserve">                             </w:t>
      </w:r>
    </w:p>
    <w:p w14:paraId="316B498D" w14:textId="77777777" w:rsidR="00950499" w:rsidRPr="00036B75" w:rsidRDefault="0095049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7BF17E1C" w14:textId="77777777" w:rsidR="00950499" w:rsidRPr="00036B75" w:rsidRDefault="0095049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7A7FFAD8" w14:textId="77777777" w:rsidR="00950499" w:rsidRPr="00036B75" w:rsidRDefault="0095049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1AC72848" w14:textId="77777777" w:rsidR="00950499" w:rsidRPr="00036B75" w:rsidRDefault="0095049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656116B7" w14:textId="572422A9" w:rsidR="00950499" w:rsidRDefault="00CA745A">
      <w:pPr>
        <w:spacing w:line="360" w:lineRule="auto"/>
        <w:jc w:val="center"/>
        <w:rPr>
          <w:rFonts w:ascii="宋体" w:hAnsi="宋体"/>
          <w:b/>
          <w:sz w:val="48"/>
        </w:rPr>
      </w:pPr>
      <w:bookmarkStart w:id="0" w:name="_Toc123701381"/>
      <w:bookmarkStart w:id="1" w:name="_Toc123112261"/>
      <w:bookmarkStart w:id="2" w:name="_Toc139992299"/>
      <w:bookmarkStart w:id="3" w:name="_Toc139991724"/>
      <w:bookmarkStart w:id="4" w:name="_Toc123112222"/>
      <w:permStart w:id="1350959298" w:edGrp="everyone"/>
      <w:r w:rsidRPr="00CA745A">
        <w:rPr>
          <w:rFonts w:ascii="宋体" w:hAnsi="宋体" w:hint="eastAsia"/>
          <w:b/>
          <w:sz w:val="48"/>
        </w:rPr>
        <w:t>富国</w:t>
      </w:r>
      <w:r w:rsidR="004011E8">
        <w:rPr>
          <w:rFonts w:ascii="宋体" w:hAnsi="宋体" w:hint="eastAsia"/>
          <w:b/>
          <w:sz w:val="48"/>
        </w:rPr>
        <w:t>智信稳进</w:t>
      </w:r>
      <w:r w:rsidRPr="00CA745A">
        <w:rPr>
          <w:rFonts w:ascii="宋体" w:hAnsi="宋体" w:hint="eastAsia"/>
          <w:b/>
          <w:sz w:val="48"/>
        </w:rPr>
        <w:t>12个月持有期混合型基金中基金（FOF）</w:t>
      </w:r>
    </w:p>
    <w:bookmarkEnd w:id="0"/>
    <w:bookmarkEnd w:id="1"/>
    <w:bookmarkEnd w:id="2"/>
    <w:bookmarkEnd w:id="3"/>
    <w:bookmarkEnd w:id="4"/>
    <w:p w14:paraId="58B14C09" w14:textId="6DA2D9C3" w:rsidR="00950499" w:rsidRDefault="005541ED">
      <w:pPr>
        <w:spacing w:line="360" w:lineRule="auto"/>
        <w:jc w:val="center"/>
        <w:rPr>
          <w:rFonts w:ascii="宋体" w:hAnsi="宋体"/>
          <w:b/>
          <w:sz w:val="48"/>
        </w:rPr>
      </w:pPr>
      <w:r>
        <w:rPr>
          <w:rFonts w:ascii="宋体" w:hAnsi="宋体" w:hint="eastAsia"/>
          <w:b/>
          <w:sz w:val="48"/>
        </w:rPr>
        <w:t>托管协议</w:t>
      </w:r>
    </w:p>
    <w:permEnd w:id="1350959298"/>
    <w:p w14:paraId="0A4DE617" w14:textId="6FC6FB28" w:rsidR="00950499" w:rsidRDefault="00950499">
      <w:pPr>
        <w:pStyle w:val="20"/>
        <w:spacing w:line="520" w:lineRule="exact"/>
        <w:ind w:firstLine="560"/>
        <w:rPr>
          <w:rFonts w:hAnsi="宋体"/>
          <w:sz w:val="28"/>
          <w:szCs w:val="28"/>
        </w:rPr>
      </w:pPr>
    </w:p>
    <w:p w14:paraId="6980BAA6" w14:textId="77777777" w:rsidR="00950499" w:rsidRDefault="00950499">
      <w:pPr>
        <w:pStyle w:val="20"/>
        <w:spacing w:line="520" w:lineRule="exact"/>
        <w:ind w:firstLine="560"/>
        <w:rPr>
          <w:rFonts w:hAnsi="宋体"/>
          <w:sz w:val="28"/>
          <w:szCs w:val="28"/>
        </w:rPr>
      </w:pPr>
    </w:p>
    <w:p w14:paraId="0A855849" w14:textId="77777777" w:rsidR="00950499" w:rsidRDefault="00950499">
      <w:pPr>
        <w:pStyle w:val="20"/>
        <w:spacing w:line="520" w:lineRule="exact"/>
        <w:ind w:firstLine="560"/>
        <w:rPr>
          <w:rFonts w:hAnsi="宋体"/>
          <w:sz w:val="28"/>
          <w:szCs w:val="28"/>
        </w:rPr>
      </w:pPr>
    </w:p>
    <w:p w14:paraId="3898A42A" w14:textId="77777777" w:rsidR="00950499" w:rsidRDefault="00950499">
      <w:pPr>
        <w:pStyle w:val="20"/>
        <w:spacing w:line="520" w:lineRule="exact"/>
        <w:ind w:firstLine="560"/>
        <w:rPr>
          <w:rFonts w:hAnsi="宋体"/>
          <w:sz w:val="28"/>
          <w:szCs w:val="28"/>
        </w:rPr>
      </w:pPr>
    </w:p>
    <w:p w14:paraId="52DEA936" w14:textId="1726C2CB" w:rsidR="00950499" w:rsidRDefault="005541ED">
      <w:pPr>
        <w:spacing w:line="360" w:lineRule="auto"/>
        <w:jc w:val="center"/>
        <w:rPr>
          <w:rFonts w:ascii="宋体" w:hAnsi="宋体"/>
          <w:b/>
          <w:sz w:val="36"/>
        </w:rPr>
      </w:pPr>
      <w:bookmarkStart w:id="5" w:name="_Toc139992301"/>
      <w:bookmarkStart w:id="6" w:name="_Toc123112263"/>
      <w:bookmarkStart w:id="7" w:name="_Toc123701383"/>
      <w:bookmarkStart w:id="8" w:name="_Toc139991726"/>
      <w:bookmarkStart w:id="9" w:name="_Toc123112224"/>
      <w:permStart w:id="1872390567" w:edGrp="everyone"/>
      <w:r>
        <w:rPr>
          <w:rFonts w:ascii="宋体" w:hAnsi="宋体"/>
          <w:b/>
          <w:sz w:val="36"/>
        </w:rPr>
        <w:t>基金管理人：</w:t>
      </w:r>
      <w:bookmarkEnd w:id="5"/>
      <w:bookmarkEnd w:id="6"/>
      <w:bookmarkEnd w:id="7"/>
      <w:bookmarkEnd w:id="8"/>
      <w:bookmarkEnd w:id="9"/>
      <w:r w:rsidR="00CA745A" w:rsidRPr="00CA745A">
        <w:rPr>
          <w:rFonts w:ascii="宋体" w:hAnsi="宋体" w:hint="eastAsia"/>
          <w:b/>
          <w:sz w:val="36"/>
        </w:rPr>
        <w:t>富国基金管理有限公司</w:t>
      </w:r>
    </w:p>
    <w:p w14:paraId="430E612C" w14:textId="450BB47F" w:rsidR="00950499" w:rsidRDefault="005541ED">
      <w:pPr>
        <w:spacing w:line="360" w:lineRule="auto"/>
        <w:jc w:val="center"/>
        <w:rPr>
          <w:rFonts w:ascii="宋体" w:hAnsi="宋体"/>
          <w:b/>
          <w:sz w:val="36"/>
        </w:rPr>
      </w:pPr>
      <w:bookmarkStart w:id="10" w:name="_Toc139992302"/>
      <w:bookmarkStart w:id="11" w:name="_Toc139991727"/>
      <w:bookmarkStart w:id="12" w:name="_Toc123112264"/>
      <w:bookmarkStart w:id="13" w:name="_Toc123112225"/>
      <w:bookmarkStart w:id="14" w:name="_Toc123701384"/>
      <w:r>
        <w:rPr>
          <w:rFonts w:ascii="宋体" w:hAnsi="宋体"/>
          <w:b/>
          <w:sz w:val="36"/>
        </w:rPr>
        <w:t>基金托管人：</w:t>
      </w:r>
      <w:r>
        <w:rPr>
          <w:rFonts w:ascii="宋体" w:hAnsi="宋体" w:hint="eastAsia"/>
          <w:b/>
          <w:sz w:val="36"/>
        </w:rPr>
        <w:t>中信银行股份有限公司</w:t>
      </w:r>
      <w:bookmarkEnd w:id="10"/>
      <w:bookmarkEnd w:id="11"/>
      <w:bookmarkEnd w:id="12"/>
      <w:bookmarkEnd w:id="13"/>
      <w:bookmarkEnd w:id="14"/>
    </w:p>
    <w:permEnd w:id="1872390567"/>
    <w:p w14:paraId="19B2A5AF" w14:textId="77777777" w:rsidR="00950499" w:rsidRDefault="00950499">
      <w:pPr>
        <w:spacing w:line="360" w:lineRule="auto"/>
        <w:jc w:val="center"/>
        <w:rPr>
          <w:rFonts w:ascii="宋体" w:hAnsi="宋体"/>
          <w:b/>
          <w:sz w:val="44"/>
          <w:szCs w:val="44"/>
        </w:rPr>
      </w:pPr>
    </w:p>
    <w:p w14:paraId="758AF619" w14:textId="77777777" w:rsidR="00950499" w:rsidRDefault="00950499">
      <w:pPr>
        <w:spacing w:line="360" w:lineRule="auto"/>
        <w:rPr>
          <w:rFonts w:ascii="宋体" w:hAnsi="宋体"/>
          <w:b/>
          <w:szCs w:val="28"/>
        </w:rPr>
      </w:pPr>
    </w:p>
    <w:p w14:paraId="6F1020E1" w14:textId="77777777" w:rsidR="00950499" w:rsidRDefault="00950499">
      <w:pPr>
        <w:spacing w:line="360" w:lineRule="auto"/>
        <w:ind w:firstLineChars="200" w:firstLine="562"/>
        <w:jc w:val="center"/>
        <w:rPr>
          <w:rFonts w:ascii="宋体" w:hAnsi="宋体"/>
          <w:b/>
          <w:bCs/>
          <w:sz w:val="28"/>
          <w:szCs w:val="28"/>
        </w:rPr>
      </w:pPr>
    </w:p>
    <w:p w14:paraId="58CA450F" w14:textId="77777777" w:rsidR="00950499" w:rsidRDefault="00950499">
      <w:pPr>
        <w:spacing w:line="360" w:lineRule="auto"/>
        <w:ind w:firstLineChars="200" w:firstLine="562"/>
        <w:jc w:val="center"/>
        <w:rPr>
          <w:rFonts w:ascii="宋体" w:hAnsi="宋体"/>
          <w:b/>
          <w:bCs/>
          <w:sz w:val="28"/>
          <w:szCs w:val="28"/>
        </w:rPr>
      </w:pPr>
    </w:p>
    <w:p w14:paraId="62C82AE3" w14:textId="77777777" w:rsidR="00950499" w:rsidRDefault="00950499">
      <w:pPr>
        <w:spacing w:line="360" w:lineRule="auto"/>
        <w:rPr>
          <w:rFonts w:ascii="宋体" w:hAnsi="宋体"/>
          <w:b/>
          <w:bCs/>
          <w:sz w:val="28"/>
          <w:szCs w:val="28"/>
        </w:rPr>
      </w:pPr>
    </w:p>
    <w:p w14:paraId="34222985" w14:textId="77777777" w:rsidR="00950499" w:rsidRDefault="005541ED">
      <w:pPr>
        <w:spacing w:line="360" w:lineRule="auto"/>
        <w:ind w:firstLineChars="200" w:firstLine="562"/>
        <w:jc w:val="center"/>
        <w:rPr>
          <w:rFonts w:ascii="宋体" w:hAnsi="宋体"/>
          <w:b/>
          <w:bCs/>
          <w:sz w:val="28"/>
          <w:szCs w:val="28"/>
        </w:rPr>
      </w:pPr>
      <w:r>
        <w:rPr>
          <w:rFonts w:ascii="宋体" w:hAnsi="宋体"/>
          <w:b/>
          <w:bCs/>
          <w:noProof/>
          <w:sz w:val="28"/>
          <w:szCs w:val="28"/>
        </w:rPr>
        <w:drawing>
          <wp:anchor distT="0" distB="0" distL="114300" distR="114300" simplePos="0" relativeHeight="251658240" behindDoc="0" locked="0" layoutInCell="1" allowOverlap="1" wp14:anchorId="67B76CA1" wp14:editId="02CF3CC6">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0225" cy="644525"/>
                    </a:xfrm>
                    <a:prstGeom prst="rect">
                      <a:avLst/>
                    </a:prstGeom>
                    <a:noFill/>
                  </pic:spPr>
                </pic:pic>
              </a:graphicData>
            </a:graphic>
          </wp:anchor>
        </w:drawing>
      </w:r>
      <w:r>
        <w:rPr>
          <w:rFonts w:ascii="宋体" w:hAnsi="宋体" w:hint="eastAsia"/>
          <w:b/>
          <w:bCs/>
          <w:sz w:val="28"/>
          <w:szCs w:val="28"/>
        </w:rPr>
        <w:br w:type="page"/>
      </w:r>
    </w:p>
    <w:p w14:paraId="1D9FB21A" w14:textId="77777777" w:rsidR="00950499" w:rsidRPr="00676669" w:rsidRDefault="00950499">
      <w:pPr>
        <w:spacing w:line="360" w:lineRule="auto"/>
        <w:rPr>
          <w:rFonts w:ascii="宋体" w:hAnsi="宋体"/>
          <w:b/>
          <w:bCs/>
          <w:sz w:val="28"/>
          <w:szCs w:val="28"/>
        </w:rPr>
      </w:pPr>
    </w:p>
    <w:p w14:paraId="128060AC" w14:textId="77777777" w:rsidR="00950499" w:rsidRDefault="005541ED">
      <w:pPr>
        <w:snapToGrid w:val="0"/>
        <w:spacing w:line="360" w:lineRule="auto"/>
        <w:jc w:val="center"/>
        <w:rPr>
          <w:rFonts w:ascii="仿宋" w:eastAsia="仿宋" w:hAnsi="仿宋"/>
          <w:b/>
          <w:sz w:val="28"/>
          <w:szCs w:val="44"/>
        </w:rPr>
      </w:pPr>
      <w:r>
        <w:rPr>
          <w:rFonts w:ascii="仿宋" w:eastAsia="仿宋" w:hAnsi="仿宋" w:hint="eastAsia"/>
          <w:b/>
          <w:sz w:val="28"/>
          <w:szCs w:val="44"/>
        </w:rPr>
        <w:t>填写说明</w:t>
      </w:r>
    </w:p>
    <w:p w14:paraId="62095610" w14:textId="77777777" w:rsidR="00950499" w:rsidRDefault="00950499">
      <w:pPr>
        <w:snapToGrid w:val="0"/>
        <w:spacing w:line="360" w:lineRule="auto"/>
        <w:ind w:firstLineChars="200" w:firstLine="560"/>
        <w:rPr>
          <w:rFonts w:ascii="仿宋" w:eastAsia="仿宋" w:hAnsi="仿宋"/>
          <w:bCs/>
          <w:sz w:val="28"/>
          <w:szCs w:val="28"/>
        </w:rPr>
      </w:pPr>
    </w:p>
    <w:p w14:paraId="1B378AC4" w14:textId="77777777" w:rsidR="00950499" w:rsidRDefault="005541ED">
      <w:pPr>
        <w:snapToGrid w:val="0"/>
        <w:spacing w:line="360" w:lineRule="auto"/>
        <w:ind w:firstLineChars="200" w:firstLine="560"/>
        <w:rPr>
          <w:rFonts w:ascii="仿宋" w:eastAsia="仿宋" w:hAnsi="仿宋"/>
          <w:b/>
          <w:bCs/>
          <w:sz w:val="28"/>
          <w:szCs w:val="28"/>
        </w:rPr>
      </w:pPr>
      <w:r>
        <w:rPr>
          <w:rFonts w:ascii="仿宋" w:eastAsia="仿宋" w:hAnsi="仿宋" w:hint="eastAsia"/>
          <w:bCs/>
          <w:sz w:val="28"/>
          <w:szCs w:val="28"/>
        </w:rPr>
        <w:t>一、</w:t>
      </w:r>
      <w:r>
        <w:rPr>
          <w:rFonts w:ascii="仿宋" w:eastAsia="仿宋" w:hAnsi="仿宋" w:hint="eastAsia"/>
          <w:b/>
          <w:bCs/>
          <w:sz w:val="28"/>
          <w:szCs w:val="28"/>
        </w:rPr>
        <w:t>本协议应使用蓝黑色或黑色签字笔或钢笔填写。</w:t>
      </w:r>
    </w:p>
    <w:p w14:paraId="3CD34AB5" w14:textId="77777777" w:rsidR="00950499" w:rsidRDefault="005541ED">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二、本协议应填写完整，字迹清楚、工整。</w:t>
      </w:r>
    </w:p>
    <w:p w14:paraId="10E5E2DD" w14:textId="77777777" w:rsidR="00950499" w:rsidRDefault="005541ED">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三、货币币种应以中文填写，不能以货币符号代替，货币金额大写前应</w:t>
      </w:r>
      <w:proofErr w:type="gramStart"/>
      <w:r>
        <w:rPr>
          <w:rFonts w:ascii="仿宋" w:eastAsia="仿宋" w:hAnsi="仿宋" w:hint="eastAsia"/>
          <w:b/>
          <w:bCs/>
          <w:sz w:val="28"/>
          <w:szCs w:val="28"/>
        </w:rPr>
        <w:t>加货币</w:t>
      </w:r>
      <w:proofErr w:type="gramEnd"/>
      <w:r>
        <w:rPr>
          <w:rFonts w:ascii="仿宋" w:eastAsia="仿宋" w:hAnsi="仿宋" w:hint="eastAsia"/>
          <w:b/>
          <w:bCs/>
          <w:sz w:val="28"/>
          <w:szCs w:val="28"/>
        </w:rPr>
        <w:t>中文名称，小写前应</w:t>
      </w:r>
      <w:proofErr w:type="gramStart"/>
      <w:r>
        <w:rPr>
          <w:rFonts w:ascii="仿宋" w:eastAsia="仿宋" w:hAnsi="仿宋" w:hint="eastAsia"/>
          <w:b/>
          <w:bCs/>
          <w:sz w:val="28"/>
          <w:szCs w:val="28"/>
        </w:rPr>
        <w:t>加货币</w:t>
      </w:r>
      <w:proofErr w:type="gramEnd"/>
      <w:r>
        <w:rPr>
          <w:rFonts w:ascii="仿宋" w:eastAsia="仿宋" w:hAnsi="仿宋" w:hint="eastAsia"/>
          <w:b/>
          <w:bCs/>
          <w:sz w:val="28"/>
          <w:szCs w:val="28"/>
        </w:rPr>
        <w:t>符号。</w:t>
      </w:r>
    </w:p>
    <w:p w14:paraId="5E3CFB58" w14:textId="77777777" w:rsidR="00950499" w:rsidRDefault="005541ED">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四、本协议多余空格或不予填写的空格可采用划折线、划斜线、加盖“以下空白”章或填写“以下空白”字样之一处理。</w:t>
      </w:r>
    </w:p>
    <w:p w14:paraId="64834E9C" w14:textId="77777777" w:rsidR="00950499" w:rsidRDefault="005541ED">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五、基金管理人应认真阅读并充分理解本协议条款，清楚相应法律后果等内容，签署本协议后即视为同意并接受本协议全部条款。</w:t>
      </w:r>
    </w:p>
    <w:p w14:paraId="1C6BA93D" w14:textId="77777777" w:rsidR="00950499" w:rsidRDefault="00950499">
      <w:pPr>
        <w:snapToGrid w:val="0"/>
        <w:spacing w:line="360" w:lineRule="auto"/>
        <w:ind w:firstLineChars="200" w:firstLine="562"/>
        <w:rPr>
          <w:rFonts w:ascii="仿宋" w:eastAsia="仿宋" w:hAnsi="仿宋"/>
          <w:b/>
          <w:bCs/>
          <w:sz w:val="28"/>
          <w:szCs w:val="28"/>
        </w:rPr>
      </w:pPr>
    </w:p>
    <w:p w14:paraId="69485895" w14:textId="77777777" w:rsidR="00950499" w:rsidRDefault="00950499">
      <w:pPr>
        <w:spacing w:line="360" w:lineRule="auto"/>
        <w:jc w:val="center"/>
        <w:rPr>
          <w:rFonts w:ascii="宋体" w:hAnsi="宋体"/>
          <w:b/>
          <w:bCs/>
          <w:sz w:val="28"/>
          <w:szCs w:val="28"/>
        </w:rPr>
      </w:pPr>
    </w:p>
    <w:p w14:paraId="177B3AA7" w14:textId="77777777" w:rsidR="00950499" w:rsidRDefault="00950499">
      <w:pPr>
        <w:spacing w:line="360" w:lineRule="auto"/>
        <w:jc w:val="center"/>
        <w:rPr>
          <w:rFonts w:ascii="宋体" w:hAnsi="宋体"/>
          <w:b/>
          <w:bCs/>
          <w:sz w:val="28"/>
          <w:szCs w:val="28"/>
        </w:rPr>
      </w:pPr>
    </w:p>
    <w:p w14:paraId="6D85C912" w14:textId="77777777" w:rsidR="00950499" w:rsidRDefault="00950499">
      <w:pPr>
        <w:spacing w:line="360" w:lineRule="auto"/>
        <w:jc w:val="center"/>
        <w:rPr>
          <w:rFonts w:ascii="宋体" w:hAnsi="宋体"/>
          <w:b/>
          <w:bCs/>
          <w:sz w:val="28"/>
          <w:szCs w:val="28"/>
        </w:rPr>
      </w:pPr>
    </w:p>
    <w:p w14:paraId="407F9E6A" w14:textId="77777777" w:rsidR="00950499" w:rsidRDefault="00950499">
      <w:pPr>
        <w:spacing w:line="360" w:lineRule="auto"/>
        <w:jc w:val="center"/>
        <w:rPr>
          <w:rFonts w:ascii="宋体" w:hAnsi="宋体"/>
          <w:b/>
          <w:bCs/>
          <w:sz w:val="28"/>
          <w:szCs w:val="28"/>
        </w:rPr>
      </w:pPr>
    </w:p>
    <w:p w14:paraId="7AED317B" w14:textId="77777777" w:rsidR="00950499" w:rsidRDefault="00950499">
      <w:pPr>
        <w:spacing w:line="360" w:lineRule="auto"/>
        <w:jc w:val="center"/>
        <w:rPr>
          <w:rFonts w:ascii="宋体" w:hAnsi="宋体"/>
          <w:b/>
          <w:bCs/>
          <w:sz w:val="28"/>
          <w:szCs w:val="28"/>
        </w:rPr>
      </w:pPr>
    </w:p>
    <w:p w14:paraId="789027E0" w14:textId="77777777" w:rsidR="00950499" w:rsidRDefault="00950499">
      <w:pPr>
        <w:spacing w:line="360" w:lineRule="auto"/>
        <w:jc w:val="center"/>
        <w:rPr>
          <w:rFonts w:ascii="宋体" w:hAnsi="宋体"/>
          <w:b/>
          <w:bCs/>
          <w:sz w:val="28"/>
          <w:szCs w:val="28"/>
        </w:rPr>
      </w:pPr>
    </w:p>
    <w:p w14:paraId="4D56C7AB" w14:textId="77777777" w:rsidR="00950499" w:rsidRDefault="00950499">
      <w:pPr>
        <w:spacing w:line="360" w:lineRule="auto"/>
        <w:jc w:val="center"/>
        <w:rPr>
          <w:rFonts w:ascii="宋体" w:hAnsi="宋体"/>
          <w:b/>
          <w:bCs/>
          <w:sz w:val="28"/>
          <w:szCs w:val="28"/>
        </w:rPr>
      </w:pPr>
    </w:p>
    <w:p w14:paraId="1536B860" w14:textId="77777777" w:rsidR="00950499" w:rsidRDefault="00950499">
      <w:pPr>
        <w:spacing w:line="360" w:lineRule="auto"/>
        <w:jc w:val="center"/>
        <w:rPr>
          <w:rFonts w:ascii="宋体" w:hAnsi="宋体"/>
          <w:b/>
          <w:bCs/>
          <w:sz w:val="28"/>
          <w:szCs w:val="28"/>
        </w:rPr>
      </w:pPr>
    </w:p>
    <w:p w14:paraId="6F4BF8C3" w14:textId="77777777" w:rsidR="00950499" w:rsidRDefault="00950499">
      <w:pPr>
        <w:spacing w:line="360" w:lineRule="auto"/>
        <w:jc w:val="center"/>
        <w:rPr>
          <w:rFonts w:ascii="宋体" w:hAnsi="宋体"/>
          <w:b/>
          <w:bCs/>
          <w:sz w:val="28"/>
          <w:szCs w:val="28"/>
        </w:rPr>
      </w:pPr>
    </w:p>
    <w:p w14:paraId="50935264" w14:textId="77777777" w:rsidR="00950499" w:rsidRDefault="00950499">
      <w:pPr>
        <w:spacing w:line="360" w:lineRule="auto"/>
        <w:jc w:val="center"/>
        <w:rPr>
          <w:rFonts w:ascii="宋体" w:hAnsi="宋体"/>
          <w:b/>
          <w:bCs/>
          <w:sz w:val="28"/>
          <w:szCs w:val="28"/>
        </w:rPr>
      </w:pPr>
    </w:p>
    <w:p w14:paraId="3ECCA26A" w14:textId="77777777" w:rsidR="00950499" w:rsidRDefault="00950499">
      <w:pPr>
        <w:spacing w:line="360" w:lineRule="auto"/>
        <w:jc w:val="center"/>
        <w:rPr>
          <w:rFonts w:ascii="宋体" w:hAnsi="宋体"/>
          <w:b/>
          <w:bCs/>
          <w:sz w:val="28"/>
          <w:szCs w:val="28"/>
        </w:rPr>
      </w:pPr>
    </w:p>
    <w:p w14:paraId="4B7F9F6A" w14:textId="77777777" w:rsidR="00950499" w:rsidRDefault="00950499">
      <w:pPr>
        <w:spacing w:line="360" w:lineRule="auto"/>
        <w:jc w:val="center"/>
        <w:rPr>
          <w:rFonts w:ascii="宋体" w:hAnsi="宋体"/>
          <w:b/>
          <w:bCs/>
          <w:sz w:val="28"/>
          <w:szCs w:val="28"/>
        </w:rPr>
      </w:pPr>
    </w:p>
    <w:p w14:paraId="7A13765A" w14:textId="77777777" w:rsidR="00950499" w:rsidRDefault="00950499">
      <w:pPr>
        <w:spacing w:line="360" w:lineRule="auto"/>
        <w:jc w:val="center"/>
        <w:rPr>
          <w:rFonts w:ascii="宋体" w:hAnsi="宋体"/>
          <w:b/>
          <w:bCs/>
          <w:sz w:val="28"/>
          <w:szCs w:val="28"/>
        </w:rPr>
      </w:pPr>
    </w:p>
    <w:p w14:paraId="57B05A86" w14:textId="77777777" w:rsidR="00950499" w:rsidRDefault="00950499">
      <w:pPr>
        <w:spacing w:line="360" w:lineRule="auto"/>
        <w:jc w:val="center"/>
        <w:rPr>
          <w:rFonts w:ascii="宋体" w:hAnsi="宋体"/>
          <w:b/>
          <w:bCs/>
          <w:sz w:val="28"/>
          <w:szCs w:val="28"/>
        </w:rPr>
      </w:pPr>
    </w:p>
    <w:p w14:paraId="238D9C06" w14:textId="77777777" w:rsidR="00950499" w:rsidRDefault="00950499">
      <w:pPr>
        <w:spacing w:line="360" w:lineRule="auto"/>
        <w:jc w:val="center"/>
        <w:rPr>
          <w:rFonts w:ascii="宋体" w:hAnsi="宋体"/>
          <w:b/>
          <w:bCs/>
          <w:sz w:val="28"/>
          <w:szCs w:val="28"/>
        </w:rPr>
      </w:pPr>
    </w:p>
    <w:p w14:paraId="0AA767C0" w14:textId="77777777" w:rsidR="00950499" w:rsidRDefault="00950499">
      <w:pPr>
        <w:spacing w:line="360" w:lineRule="auto"/>
        <w:jc w:val="center"/>
        <w:rPr>
          <w:rFonts w:ascii="宋体" w:hAnsi="宋体"/>
          <w:b/>
          <w:bCs/>
          <w:sz w:val="28"/>
          <w:szCs w:val="28"/>
        </w:rPr>
      </w:pPr>
    </w:p>
    <w:p w14:paraId="5343F4DC" w14:textId="77777777" w:rsidR="00950499" w:rsidRDefault="00950499">
      <w:pPr>
        <w:spacing w:line="360" w:lineRule="auto"/>
        <w:jc w:val="center"/>
        <w:rPr>
          <w:rFonts w:ascii="宋体" w:hAnsi="宋体"/>
          <w:b/>
          <w:bCs/>
          <w:sz w:val="28"/>
          <w:szCs w:val="28"/>
        </w:rPr>
      </w:pPr>
    </w:p>
    <w:p w14:paraId="71157A07" w14:textId="77777777" w:rsidR="00950499" w:rsidRDefault="00950499">
      <w:pPr>
        <w:spacing w:line="360" w:lineRule="auto"/>
        <w:jc w:val="center"/>
        <w:rPr>
          <w:rFonts w:ascii="宋体" w:hAnsi="宋体"/>
          <w:b/>
          <w:bCs/>
          <w:sz w:val="28"/>
          <w:szCs w:val="28"/>
        </w:rPr>
      </w:pPr>
    </w:p>
    <w:p w14:paraId="5FF76423" w14:textId="77777777" w:rsidR="00950499" w:rsidRDefault="005541ED">
      <w:pPr>
        <w:spacing w:line="360" w:lineRule="auto"/>
        <w:jc w:val="center"/>
        <w:rPr>
          <w:rFonts w:ascii="宋体" w:hAnsi="宋体"/>
          <w:b/>
          <w:bCs/>
          <w:sz w:val="28"/>
          <w:szCs w:val="28"/>
        </w:rPr>
      </w:pPr>
      <w:r>
        <w:rPr>
          <w:rFonts w:ascii="宋体" w:hAnsi="宋体" w:hint="eastAsia"/>
          <w:b/>
          <w:bCs/>
          <w:sz w:val="28"/>
          <w:szCs w:val="28"/>
        </w:rPr>
        <w:t>目录</w:t>
      </w:r>
    </w:p>
    <w:p w14:paraId="30C98DD3" w14:textId="77777777" w:rsidR="00950499" w:rsidRDefault="00950499">
      <w:pPr>
        <w:spacing w:line="360" w:lineRule="auto"/>
        <w:ind w:firstLineChars="200" w:firstLine="562"/>
        <w:jc w:val="center"/>
        <w:rPr>
          <w:rFonts w:ascii="宋体" w:hAnsi="宋体"/>
          <w:b/>
          <w:bCs/>
          <w:sz w:val="28"/>
          <w:szCs w:val="28"/>
        </w:rPr>
      </w:pPr>
    </w:p>
    <w:permStart w:id="883046988" w:edGrp="everyone"/>
    <w:p w14:paraId="3F529BD6" w14:textId="64FD0711" w:rsidR="00950499" w:rsidRDefault="005541ED">
      <w:pPr>
        <w:pStyle w:val="10"/>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44321724" w:history="1">
        <w:r>
          <w:rPr>
            <w:rStyle w:val="ae"/>
            <w:rFonts w:hint="eastAsia"/>
            <w:bCs/>
            <w:noProof/>
          </w:rPr>
          <w:t>第一条</w:t>
        </w:r>
        <w:r>
          <w:rPr>
            <w:rStyle w:val="ae"/>
            <w:bCs/>
            <w:noProof/>
          </w:rPr>
          <w:t xml:space="preserve"> </w:t>
        </w:r>
        <w:r>
          <w:rPr>
            <w:rStyle w:val="ae"/>
            <w:rFonts w:hint="eastAsia"/>
            <w:bCs/>
            <w:noProof/>
          </w:rPr>
          <w:t>本协议当事人</w:t>
        </w:r>
        <w:r>
          <w:rPr>
            <w:noProof/>
          </w:rPr>
          <w:tab/>
        </w:r>
        <w:r>
          <w:rPr>
            <w:noProof/>
          </w:rPr>
          <w:fldChar w:fldCharType="begin"/>
        </w:r>
        <w:r>
          <w:rPr>
            <w:noProof/>
          </w:rPr>
          <w:instrText xml:space="preserve"> PAGEREF _Toc44321724 \h </w:instrText>
        </w:r>
        <w:r>
          <w:rPr>
            <w:noProof/>
          </w:rPr>
        </w:r>
        <w:r>
          <w:rPr>
            <w:noProof/>
          </w:rPr>
          <w:fldChar w:fldCharType="separate"/>
        </w:r>
        <w:r w:rsidR="00AE691B">
          <w:rPr>
            <w:noProof/>
          </w:rPr>
          <w:t>4</w:t>
        </w:r>
        <w:r>
          <w:rPr>
            <w:noProof/>
          </w:rPr>
          <w:fldChar w:fldCharType="end"/>
        </w:r>
      </w:hyperlink>
    </w:p>
    <w:p w14:paraId="5F3145D2" w14:textId="4FDA8068" w:rsidR="00950499" w:rsidRDefault="00156F97">
      <w:pPr>
        <w:pStyle w:val="10"/>
        <w:rPr>
          <w:rFonts w:asciiTheme="minorHAnsi" w:eastAsiaTheme="minorEastAsia" w:hAnsiTheme="minorHAnsi" w:cstheme="minorBidi"/>
          <w:noProof/>
          <w:sz w:val="21"/>
          <w:szCs w:val="22"/>
        </w:rPr>
      </w:pPr>
      <w:hyperlink w:anchor="_Toc44321725" w:history="1">
        <w:r w:rsidR="005541ED">
          <w:rPr>
            <w:rStyle w:val="ae"/>
            <w:rFonts w:hint="eastAsia"/>
            <w:bCs/>
            <w:noProof/>
          </w:rPr>
          <w:t>第二条</w:t>
        </w:r>
        <w:r w:rsidR="005541ED">
          <w:rPr>
            <w:rStyle w:val="ae"/>
            <w:bCs/>
            <w:noProof/>
          </w:rPr>
          <w:t xml:space="preserve"> </w:t>
        </w:r>
        <w:r w:rsidR="005541ED">
          <w:rPr>
            <w:rStyle w:val="ae"/>
            <w:rFonts w:hint="eastAsia"/>
            <w:bCs/>
            <w:noProof/>
          </w:rPr>
          <w:t>本协议的依据、目的和原则</w:t>
        </w:r>
        <w:r w:rsidR="005541ED">
          <w:rPr>
            <w:noProof/>
          </w:rPr>
          <w:tab/>
        </w:r>
        <w:r w:rsidR="005541ED">
          <w:rPr>
            <w:noProof/>
          </w:rPr>
          <w:fldChar w:fldCharType="begin"/>
        </w:r>
        <w:r w:rsidR="005541ED">
          <w:rPr>
            <w:noProof/>
          </w:rPr>
          <w:instrText xml:space="preserve"> PAGEREF _Toc44321725 \h </w:instrText>
        </w:r>
        <w:r w:rsidR="005541ED">
          <w:rPr>
            <w:noProof/>
          </w:rPr>
        </w:r>
        <w:r w:rsidR="005541ED">
          <w:rPr>
            <w:noProof/>
          </w:rPr>
          <w:fldChar w:fldCharType="separate"/>
        </w:r>
        <w:r w:rsidR="00AE691B">
          <w:rPr>
            <w:noProof/>
          </w:rPr>
          <w:t>4</w:t>
        </w:r>
        <w:r w:rsidR="005541ED">
          <w:rPr>
            <w:noProof/>
          </w:rPr>
          <w:fldChar w:fldCharType="end"/>
        </w:r>
      </w:hyperlink>
    </w:p>
    <w:p w14:paraId="00506468" w14:textId="0CA0A78A" w:rsidR="00950499" w:rsidRDefault="00156F97">
      <w:pPr>
        <w:pStyle w:val="10"/>
        <w:rPr>
          <w:rFonts w:asciiTheme="minorHAnsi" w:eastAsiaTheme="minorEastAsia" w:hAnsiTheme="minorHAnsi" w:cstheme="minorBidi"/>
          <w:noProof/>
          <w:sz w:val="21"/>
          <w:szCs w:val="22"/>
        </w:rPr>
      </w:pPr>
      <w:hyperlink w:anchor="_Toc44321726" w:history="1">
        <w:r w:rsidR="005541ED">
          <w:rPr>
            <w:rStyle w:val="ae"/>
            <w:rFonts w:hint="eastAsia"/>
            <w:bCs/>
            <w:noProof/>
          </w:rPr>
          <w:t>第三条</w:t>
        </w:r>
        <w:r w:rsidR="005541ED">
          <w:rPr>
            <w:rStyle w:val="ae"/>
            <w:bCs/>
            <w:noProof/>
          </w:rPr>
          <w:t xml:space="preserve"> </w:t>
        </w:r>
        <w:r w:rsidR="005541ED">
          <w:rPr>
            <w:rStyle w:val="ae"/>
            <w:rFonts w:hint="eastAsia"/>
            <w:bCs/>
            <w:noProof/>
          </w:rPr>
          <w:t>基金托管人对基金管理人的业务监督和核查</w:t>
        </w:r>
        <w:r w:rsidR="005541ED">
          <w:rPr>
            <w:noProof/>
          </w:rPr>
          <w:tab/>
        </w:r>
        <w:r w:rsidR="005541ED">
          <w:rPr>
            <w:noProof/>
          </w:rPr>
          <w:fldChar w:fldCharType="begin"/>
        </w:r>
        <w:r w:rsidR="005541ED">
          <w:rPr>
            <w:noProof/>
          </w:rPr>
          <w:instrText xml:space="preserve"> PAGEREF _Toc44321726 \h </w:instrText>
        </w:r>
        <w:r w:rsidR="005541ED">
          <w:rPr>
            <w:noProof/>
          </w:rPr>
        </w:r>
        <w:r w:rsidR="005541ED">
          <w:rPr>
            <w:noProof/>
          </w:rPr>
          <w:fldChar w:fldCharType="separate"/>
        </w:r>
        <w:r w:rsidR="00AE691B">
          <w:rPr>
            <w:noProof/>
          </w:rPr>
          <w:t>5</w:t>
        </w:r>
        <w:r w:rsidR="005541ED">
          <w:rPr>
            <w:noProof/>
          </w:rPr>
          <w:fldChar w:fldCharType="end"/>
        </w:r>
      </w:hyperlink>
    </w:p>
    <w:p w14:paraId="27289877" w14:textId="50F3F574" w:rsidR="00950499" w:rsidRDefault="00156F97">
      <w:pPr>
        <w:pStyle w:val="10"/>
        <w:rPr>
          <w:rFonts w:asciiTheme="minorHAnsi" w:eastAsiaTheme="minorEastAsia" w:hAnsiTheme="minorHAnsi" w:cstheme="minorBidi"/>
          <w:noProof/>
          <w:sz w:val="21"/>
          <w:szCs w:val="22"/>
        </w:rPr>
      </w:pPr>
      <w:hyperlink w:anchor="_Toc44321727" w:history="1">
        <w:r w:rsidR="005541ED">
          <w:rPr>
            <w:rStyle w:val="ae"/>
            <w:rFonts w:hint="eastAsia"/>
            <w:bCs/>
            <w:noProof/>
          </w:rPr>
          <w:t>第四条</w:t>
        </w:r>
        <w:r w:rsidR="005541ED">
          <w:rPr>
            <w:rStyle w:val="ae"/>
            <w:bCs/>
            <w:noProof/>
          </w:rPr>
          <w:t xml:space="preserve"> </w:t>
        </w:r>
        <w:r w:rsidR="005541ED">
          <w:rPr>
            <w:rStyle w:val="ae"/>
            <w:rFonts w:hint="eastAsia"/>
            <w:bCs/>
            <w:noProof/>
          </w:rPr>
          <w:t>基金管理人对基金托管人的业务核查</w:t>
        </w:r>
        <w:r w:rsidR="005541ED">
          <w:rPr>
            <w:noProof/>
          </w:rPr>
          <w:tab/>
        </w:r>
        <w:r w:rsidR="005541ED">
          <w:rPr>
            <w:noProof/>
          </w:rPr>
          <w:fldChar w:fldCharType="begin"/>
        </w:r>
        <w:r w:rsidR="005541ED">
          <w:rPr>
            <w:noProof/>
          </w:rPr>
          <w:instrText xml:space="preserve"> PAGEREF _Toc44321727 \h </w:instrText>
        </w:r>
        <w:r w:rsidR="005541ED">
          <w:rPr>
            <w:noProof/>
          </w:rPr>
        </w:r>
        <w:r w:rsidR="005541ED">
          <w:rPr>
            <w:noProof/>
          </w:rPr>
          <w:fldChar w:fldCharType="separate"/>
        </w:r>
        <w:r w:rsidR="00AE691B">
          <w:rPr>
            <w:noProof/>
          </w:rPr>
          <w:t>14</w:t>
        </w:r>
        <w:r w:rsidR="005541ED">
          <w:rPr>
            <w:noProof/>
          </w:rPr>
          <w:fldChar w:fldCharType="end"/>
        </w:r>
      </w:hyperlink>
    </w:p>
    <w:p w14:paraId="5B6DC6ED" w14:textId="3EEC4E60" w:rsidR="00950499" w:rsidRDefault="00156F97">
      <w:pPr>
        <w:pStyle w:val="10"/>
        <w:rPr>
          <w:rFonts w:asciiTheme="minorHAnsi" w:eastAsiaTheme="minorEastAsia" w:hAnsiTheme="minorHAnsi" w:cstheme="minorBidi"/>
          <w:noProof/>
          <w:sz w:val="21"/>
          <w:szCs w:val="22"/>
        </w:rPr>
      </w:pPr>
      <w:hyperlink w:anchor="_Toc44321728" w:history="1">
        <w:r w:rsidR="005541ED">
          <w:rPr>
            <w:rStyle w:val="ae"/>
            <w:rFonts w:hint="eastAsia"/>
            <w:bCs/>
            <w:noProof/>
          </w:rPr>
          <w:t>第五条</w:t>
        </w:r>
        <w:r w:rsidR="005541ED">
          <w:rPr>
            <w:rStyle w:val="ae"/>
            <w:bCs/>
            <w:noProof/>
          </w:rPr>
          <w:t xml:space="preserve"> </w:t>
        </w:r>
        <w:r w:rsidR="005541ED">
          <w:rPr>
            <w:rStyle w:val="ae"/>
            <w:rFonts w:hint="eastAsia"/>
            <w:bCs/>
            <w:noProof/>
          </w:rPr>
          <w:t>基金财产保管</w:t>
        </w:r>
        <w:r w:rsidR="005541ED">
          <w:rPr>
            <w:noProof/>
          </w:rPr>
          <w:tab/>
        </w:r>
        <w:r w:rsidR="005541ED">
          <w:rPr>
            <w:noProof/>
          </w:rPr>
          <w:fldChar w:fldCharType="begin"/>
        </w:r>
        <w:r w:rsidR="005541ED">
          <w:rPr>
            <w:noProof/>
          </w:rPr>
          <w:instrText xml:space="preserve"> PAGEREF _Toc44321728 \h </w:instrText>
        </w:r>
        <w:r w:rsidR="005541ED">
          <w:rPr>
            <w:noProof/>
          </w:rPr>
        </w:r>
        <w:r w:rsidR="005541ED">
          <w:rPr>
            <w:noProof/>
          </w:rPr>
          <w:fldChar w:fldCharType="separate"/>
        </w:r>
        <w:r w:rsidR="00AE691B">
          <w:rPr>
            <w:noProof/>
          </w:rPr>
          <w:t>15</w:t>
        </w:r>
        <w:r w:rsidR="005541ED">
          <w:rPr>
            <w:noProof/>
          </w:rPr>
          <w:fldChar w:fldCharType="end"/>
        </w:r>
      </w:hyperlink>
    </w:p>
    <w:p w14:paraId="1D755515" w14:textId="19D2CB9E" w:rsidR="00950499" w:rsidRDefault="00156F97">
      <w:pPr>
        <w:pStyle w:val="10"/>
        <w:rPr>
          <w:rFonts w:asciiTheme="minorHAnsi" w:eastAsiaTheme="minorEastAsia" w:hAnsiTheme="minorHAnsi" w:cstheme="minorBidi"/>
          <w:noProof/>
          <w:sz w:val="21"/>
          <w:szCs w:val="22"/>
        </w:rPr>
      </w:pPr>
      <w:hyperlink w:anchor="_Toc44321729" w:history="1">
        <w:r w:rsidR="005541ED">
          <w:rPr>
            <w:rStyle w:val="ae"/>
            <w:rFonts w:hint="eastAsia"/>
            <w:bCs/>
            <w:noProof/>
          </w:rPr>
          <w:t>第六条</w:t>
        </w:r>
        <w:r w:rsidR="005541ED">
          <w:rPr>
            <w:rStyle w:val="ae"/>
            <w:bCs/>
            <w:noProof/>
          </w:rPr>
          <w:t xml:space="preserve"> </w:t>
        </w:r>
        <w:r w:rsidR="005541ED">
          <w:rPr>
            <w:rStyle w:val="ae"/>
            <w:rFonts w:hint="eastAsia"/>
            <w:bCs/>
            <w:noProof/>
          </w:rPr>
          <w:t>指令的发送、确认和执行</w:t>
        </w:r>
        <w:r w:rsidR="005541ED">
          <w:rPr>
            <w:noProof/>
          </w:rPr>
          <w:tab/>
        </w:r>
        <w:r w:rsidR="005541ED">
          <w:rPr>
            <w:noProof/>
          </w:rPr>
          <w:fldChar w:fldCharType="begin"/>
        </w:r>
        <w:r w:rsidR="005541ED">
          <w:rPr>
            <w:noProof/>
          </w:rPr>
          <w:instrText xml:space="preserve"> PAGEREF _Toc44321729 \h </w:instrText>
        </w:r>
        <w:r w:rsidR="005541ED">
          <w:rPr>
            <w:noProof/>
          </w:rPr>
        </w:r>
        <w:r w:rsidR="005541ED">
          <w:rPr>
            <w:noProof/>
          </w:rPr>
          <w:fldChar w:fldCharType="separate"/>
        </w:r>
        <w:r w:rsidR="00AE691B">
          <w:rPr>
            <w:noProof/>
          </w:rPr>
          <w:t>18</w:t>
        </w:r>
        <w:r w:rsidR="005541ED">
          <w:rPr>
            <w:noProof/>
          </w:rPr>
          <w:fldChar w:fldCharType="end"/>
        </w:r>
      </w:hyperlink>
    </w:p>
    <w:p w14:paraId="394DB815" w14:textId="573F2107" w:rsidR="00950499" w:rsidRDefault="00156F97">
      <w:pPr>
        <w:pStyle w:val="10"/>
        <w:rPr>
          <w:rFonts w:asciiTheme="minorHAnsi" w:eastAsiaTheme="minorEastAsia" w:hAnsiTheme="minorHAnsi" w:cstheme="minorBidi"/>
          <w:noProof/>
          <w:sz w:val="21"/>
          <w:szCs w:val="22"/>
        </w:rPr>
      </w:pPr>
      <w:hyperlink w:anchor="_Toc44321730" w:history="1">
        <w:r w:rsidR="005541ED">
          <w:rPr>
            <w:rStyle w:val="ae"/>
            <w:rFonts w:hint="eastAsia"/>
            <w:bCs/>
            <w:noProof/>
          </w:rPr>
          <w:t>第七条</w:t>
        </w:r>
        <w:r w:rsidR="005541ED">
          <w:rPr>
            <w:rStyle w:val="ae"/>
            <w:bCs/>
            <w:noProof/>
          </w:rPr>
          <w:t xml:space="preserve"> </w:t>
        </w:r>
        <w:r w:rsidR="005541ED">
          <w:rPr>
            <w:rStyle w:val="ae"/>
            <w:rFonts w:hint="eastAsia"/>
            <w:bCs/>
            <w:noProof/>
          </w:rPr>
          <w:t>交易及清算交收安排</w:t>
        </w:r>
        <w:r w:rsidR="005541ED">
          <w:rPr>
            <w:noProof/>
          </w:rPr>
          <w:tab/>
        </w:r>
        <w:r w:rsidR="005541ED">
          <w:rPr>
            <w:noProof/>
          </w:rPr>
          <w:fldChar w:fldCharType="begin"/>
        </w:r>
        <w:r w:rsidR="005541ED">
          <w:rPr>
            <w:noProof/>
          </w:rPr>
          <w:instrText xml:space="preserve"> PAGEREF _Toc44321730 \h </w:instrText>
        </w:r>
        <w:r w:rsidR="005541ED">
          <w:rPr>
            <w:noProof/>
          </w:rPr>
        </w:r>
        <w:r w:rsidR="005541ED">
          <w:rPr>
            <w:noProof/>
          </w:rPr>
          <w:fldChar w:fldCharType="separate"/>
        </w:r>
        <w:r w:rsidR="00AE691B">
          <w:rPr>
            <w:noProof/>
          </w:rPr>
          <w:t>21</w:t>
        </w:r>
        <w:r w:rsidR="005541ED">
          <w:rPr>
            <w:noProof/>
          </w:rPr>
          <w:fldChar w:fldCharType="end"/>
        </w:r>
      </w:hyperlink>
    </w:p>
    <w:p w14:paraId="759BD2F8" w14:textId="5A54DC1D" w:rsidR="00950499" w:rsidRDefault="00156F97">
      <w:pPr>
        <w:pStyle w:val="10"/>
        <w:rPr>
          <w:rFonts w:asciiTheme="minorHAnsi" w:eastAsiaTheme="minorEastAsia" w:hAnsiTheme="minorHAnsi" w:cstheme="minorBidi"/>
          <w:noProof/>
          <w:sz w:val="21"/>
          <w:szCs w:val="22"/>
        </w:rPr>
      </w:pPr>
      <w:hyperlink w:anchor="_Toc44321731" w:history="1">
        <w:r w:rsidR="005541ED">
          <w:rPr>
            <w:rStyle w:val="ae"/>
            <w:rFonts w:hint="eastAsia"/>
            <w:bCs/>
            <w:noProof/>
          </w:rPr>
          <w:t>第八条</w:t>
        </w:r>
        <w:r w:rsidR="005541ED">
          <w:rPr>
            <w:rStyle w:val="ae"/>
            <w:bCs/>
            <w:noProof/>
          </w:rPr>
          <w:t xml:space="preserve"> </w:t>
        </w:r>
        <w:r w:rsidR="005541ED">
          <w:rPr>
            <w:rStyle w:val="ae"/>
            <w:rFonts w:hint="eastAsia"/>
            <w:bCs/>
            <w:noProof/>
          </w:rPr>
          <w:t>基金净值计算和会计核算</w:t>
        </w:r>
        <w:r w:rsidR="005541ED">
          <w:rPr>
            <w:noProof/>
          </w:rPr>
          <w:tab/>
        </w:r>
        <w:r w:rsidR="005541ED">
          <w:rPr>
            <w:noProof/>
          </w:rPr>
          <w:fldChar w:fldCharType="begin"/>
        </w:r>
        <w:r w:rsidR="005541ED">
          <w:rPr>
            <w:noProof/>
          </w:rPr>
          <w:instrText xml:space="preserve"> PAGEREF _Toc44321731 \h </w:instrText>
        </w:r>
        <w:r w:rsidR="005541ED">
          <w:rPr>
            <w:noProof/>
          </w:rPr>
        </w:r>
        <w:r w:rsidR="005541ED">
          <w:rPr>
            <w:noProof/>
          </w:rPr>
          <w:fldChar w:fldCharType="separate"/>
        </w:r>
        <w:r w:rsidR="00AE691B">
          <w:rPr>
            <w:noProof/>
          </w:rPr>
          <w:t>24</w:t>
        </w:r>
        <w:r w:rsidR="005541ED">
          <w:rPr>
            <w:noProof/>
          </w:rPr>
          <w:fldChar w:fldCharType="end"/>
        </w:r>
      </w:hyperlink>
    </w:p>
    <w:p w14:paraId="75F97006" w14:textId="2968F39D" w:rsidR="00950499" w:rsidRDefault="00156F97">
      <w:pPr>
        <w:pStyle w:val="10"/>
        <w:rPr>
          <w:rFonts w:asciiTheme="minorHAnsi" w:eastAsiaTheme="minorEastAsia" w:hAnsiTheme="minorHAnsi" w:cstheme="minorBidi"/>
          <w:noProof/>
          <w:sz w:val="21"/>
          <w:szCs w:val="22"/>
        </w:rPr>
      </w:pPr>
      <w:hyperlink w:anchor="_Toc44321732" w:history="1">
        <w:r w:rsidR="005541ED">
          <w:rPr>
            <w:rStyle w:val="ae"/>
            <w:rFonts w:hint="eastAsia"/>
            <w:bCs/>
            <w:noProof/>
          </w:rPr>
          <w:t>第九条</w:t>
        </w:r>
        <w:r w:rsidR="005541ED">
          <w:rPr>
            <w:rStyle w:val="ae"/>
            <w:bCs/>
            <w:noProof/>
          </w:rPr>
          <w:t xml:space="preserve"> </w:t>
        </w:r>
        <w:r w:rsidR="005541ED">
          <w:rPr>
            <w:rStyle w:val="ae"/>
            <w:rFonts w:hint="eastAsia"/>
            <w:bCs/>
            <w:noProof/>
          </w:rPr>
          <w:t>基金收益分配</w:t>
        </w:r>
        <w:r w:rsidR="005541ED">
          <w:rPr>
            <w:noProof/>
          </w:rPr>
          <w:tab/>
        </w:r>
        <w:r w:rsidR="005541ED">
          <w:rPr>
            <w:noProof/>
          </w:rPr>
          <w:fldChar w:fldCharType="begin"/>
        </w:r>
        <w:r w:rsidR="005541ED">
          <w:rPr>
            <w:noProof/>
          </w:rPr>
          <w:instrText xml:space="preserve"> PAGEREF _Toc44321732 \h </w:instrText>
        </w:r>
        <w:r w:rsidR="005541ED">
          <w:rPr>
            <w:noProof/>
          </w:rPr>
        </w:r>
        <w:r w:rsidR="005541ED">
          <w:rPr>
            <w:noProof/>
          </w:rPr>
          <w:fldChar w:fldCharType="separate"/>
        </w:r>
        <w:r w:rsidR="00AE691B">
          <w:rPr>
            <w:noProof/>
          </w:rPr>
          <w:t>30</w:t>
        </w:r>
        <w:r w:rsidR="005541ED">
          <w:rPr>
            <w:noProof/>
          </w:rPr>
          <w:fldChar w:fldCharType="end"/>
        </w:r>
      </w:hyperlink>
    </w:p>
    <w:p w14:paraId="7D4B80CD" w14:textId="131E397E" w:rsidR="00950499" w:rsidRDefault="00156F97">
      <w:pPr>
        <w:pStyle w:val="10"/>
        <w:rPr>
          <w:rFonts w:asciiTheme="minorHAnsi" w:eastAsiaTheme="minorEastAsia" w:hAnsiTheme="minorHAnsi" w:cstheme="minorBidi"/>
          <w:noProof/>
          <w:sz w:val="21"/>
          <w:szCs w:val="22"/>
        </w:rPr>
      </w:pPr>
      <w:hyperlink w:anchor="_Toc44321733" w:history="1">
        <w:r w:rsidR="005541ED">
          <w:rPr>
            <w:rStyle w:val="ae"/>
            <w:rFonts w:hint="eastAsia"/>
            <w:bCs/>
            <w:noProof/>
          </w:rPr>
          <w:t>第十条</w:t>
        </w:r>
        <w:r w:rsidR="005541ED">
          <w:rPr>
            <w:rStyle w:val="ae"/>
            <w:bCs/>
            <w:noProof/>
          </w:rPr>
          <w:t xml:space="preserve"> </w:t>
        </w:r>
        <w:r w:rsidR="005541ED">
          <w:rPr>
            <w:rStyle w:val="ae"/>
            <w:rFonts w:hint="eastAsia"/>
            <w:bCs/>
            <w:noProof/>
          </w:rPr>
          <w:t>信息披露</w:t>
        </w:r>
        <w:r w:rsidR="005541ED">
          <w:rPr>
            <w:noProof/>
          </w:rPr>
          <w:tab/>
        </w:r>
        <w:r w:rsidR="005541ED">
          <w:rPr>
            <w:noProof/>
          </w:rPr>
          <w:fldChar w:fldCharType="begin"/>
        </w:r>
        <w:r w:rsidR="005541ED">
          <w:rPr>
            <w:noProof/>
          </w:rPr>
          <w:instrText xml:space="preserve"> PAGEREF _Toc44321733 \h </w:instrText>
        </w:r>
        <w:r w:rsidR="005541ED">
          <w:rPr>
            <w:noProof/>
          </w:rPr>
        </w:r>
        <w:r w:rsidR="005541ED">
          <w:rPr>
            <w:noProof/>
          </w:rPr>
          <w:fldChar w:fldCharType="separate"/>
        </w:r>
        <w:r w:rsidR="00AE691B">
          <w:rPr>
            <w:noProof/>
          </w:rPr>
          <w:t>32</w:t>
        </w:r>
        <w:r w:rsidR="005541ED">
          <w:rPr>
            <w:noProof/>
          </w:rPr>
          <w:fldChar w:fldCharType="end"/>
        </w:r>
      </w:hyperlink>
    </w:p>
    <w:p w14:paraId="54992498" w14:textId="1076C8D5" w:rsidR="00950499" w:rsidRDefault="00156F97">
      <w:pPr>
        <w:pStyle w:val="10"/>
        <w:rPr>
          <w:rFonts w:asciiTheme="minorHAnsi" w:eastAsiaTheme="minorEastAsia" w:hAnsiTheme="minorHAnsi" w:cstheme="minorBidi"/>
          <w:noProof/>
          <w:sz w:val="21"/>
          <w:szCs w:val="22"/>
        </w:rPr>
      </w:pPr>
      <w:hyperlink w:anchor="_Toc44321734" w:history="1">
        <w:r w:rsidR="005541ED">
          <w:rPr>
            <w:rStyle w:val="ae"/>
            <w:rFonts w:hint="eastAsia"/>
            <w:bCs/>
            <w:noProof/>
          </w:rPr>
          <w:t>第十一条</w:t>
        </w:r>
        <w:r w:rsidR="005541ED">
          <w:rPr>
            <w:rStyle w:val="ae"/>
            <w:bCs/>
            <w:noProof/>
          </w:rPr>
          <w:t xml:space="preserve"> </w:t>
        </w:r>
        <w:r w:rsidR="005541ED">
          <w:rPr>
            <w:rStyle w:val="ae"/>
            <w:rFonts w:hint="eastAsia"/>
            <w:bCs/>
            <w:noProof/>
          </w:rPr>
          <w:t>基金费用</w:t>
        </w:r>
        <w:r w:rsidR="005541ED">
          <w:rPr>
            <w:noProof/>
          </w:rPr>
          <w:tab/>
        </w:r>
        <w:r w:rsidR="005541ED">
          <w:rPr>
            <w:noProof/>
          </w:rPr>
          <w:fldChar w:fldCharType="begin"/>
        </w:r>
        <w:r w:rsidR="005541ED">
          <w:rPr>
            <w:noProof/>
          </w:rPr>
          <w:instrText xml:space="preserve"> PAGEREF _Toc44321734 \h </w:instrText>
        </w:r>
        <w:r w:rsidR="005541ED">
          <w:rPr>
            <w:noProof/>
          </w:rPr>
        </w:r>
        <w:r w:rsidR="005541ED">
          <w:rPr>
            <w:noProof/>
          </w:rPr>
          <w:fldChar w:fldCharType="separate"/>
        </w:r>
        <w:r w:rsidR="00AE691B">
          <w:rPr>
            <w:noProof/>
          </w:rPr>
          <w:t>34</w:t>
        </w:r>
        <w:r w:rsidR="005541ED">
          <w:rPr>
            <w:noProof/>
          </w:rPr>
          <w:fldChar w:fldCharType="end"/>
        </w:r>
      </w:hyperlink>
    </w:p>
    <w:p w14:paraId="121DB942" w14:textId="32E80313" w:rsidR="00950499" w:rsidRDefault="00156F97">
      <w:pPr>
        <w:pStyle w:val="10"/>
        <w:rPr>
          <w:rFonts w:asciiTheme="minorHAnsi" w:eastAsiaTheme="minorEastAsia" w:hAnsiTheme="minorHAnsi" w:cstheme="minorBidi"/>
          <w:noProof/>
          <w:sz w:val="21"/>
          <w:szCs w:val="22"/>
        </w:rPr>
      </w:pPr>
      <w:hyperlink w:anchor="_Toc44321735" w:history="1">
        <w:r w:rsidR="005541ED">
          <w:rPr>
            <w:rStyle w:val="ae"/>
            <w:rFonts w:hint="eastAsia"/>
            <w:bCs/>
            <w:noProof/>
          </w:rPr>
          <w:t>第十二条</w:t>
        </w:r>
        <w:r w:rsidR="005541ED">
          <w:rPr>
            <w:rStyle w:val="ae"/>
            <w:bCs/>
            <w:noProof/>
          </w:rPr>
          <w:t xml:space="preserve"> </w:t>
        </w:r>
        <w:r w:rsidR="005541ED">
          <w:rPr>
            <w:rStyle w:val="ae"/>
            <w:rFonts w:hint="eastAsia"/>
            <w:bCs/>
            <w:noProof/>
          </w:rPr>
          <w:t>基金份额持有人名册的保管</w:t>
        </w:r>
        <w:r w:rsidR="005541ED">
          <w:rPr>
            <w:noProof/>
          </w:rPr>
          <w:tab/>
        </w:r>
        <w:r w:rsidR="005541ED">
          <w:rPr>
            <w:noProof/>
          </w:rPr>
          <w:fldChar w:fldCharType="begin"/>
        </w:r>
        <w:r w:rsidR="005541ED">
          <w:rPr>
            <w:noProof/>
          </w:rPr>
          <w:instrText xml:space="preserve"> PAGEREF _Toc44321735 \h </w:instrText>
        </w:r>
        <w:r w:rsidR="005541ED">
          <w:rPr>
            <w:noProof/>
          </w:rPr>
        </w:r>
        <w:r w:rsidR="005541ED">
          <w:rPr>
            <w:noProof/>
          </w:rPr>
          <w:fldChar w:fldCharType="separate"/>
        </w:r>
        <w:r w:rsidR="00AE691B">
          <w:rPr>
            <w:noProof/>
          </w:rPr>
          <w:t>36</w:t>
        </w:r>
        <w:r w:rsidR="005541ED">
          <w:rPr>
            <w:noProof/>
          </w:rPr>
          <w:fldChar w:fldCharType="end"/>
        </w:r>
      </w:hyperlink>
    </w:p>
    <w:p w14:paraId="1958CAE2" w14:textId="3F614022" w:rsidR="00950499" w:rsidRDefault="00156F97">
      <w:pPr>
        <w:pStyle w:val="10"/>
        <w:rPr>
          <w:rFonts w:asciiTheme="minorHAnsi" w:eastAsiaTheme="minorEastAsia" w:hAnsiTheme="minorHAnsi" w:cstheme="minorBidi"/>
          <w:noProof/>
          <w:sz w:val="21"/>
          <w:szCs w:val="22"/>
        </w:rPr>
      </w:pPr>
      <w:hyperlink w:anchor="_Toc44321736" w:history="1">
        <w:r w:rsidR="005541ED">
          <w:rPr>
            <w:rStyle w:val="ae"/>
            <w:rFonts w:hint="eastAsia"/>
            <w:bCs/>
            <w:noProof/>
          </w:rPr>
          <w:t>第十三条</w:t>
        </w:r>
        <w:r w:rsidR="005541ED">
          <w:rPr>
            <w:rStyle w:val="ae"/>
            <w:bCs/>
            <w:noProof/>
          </w:rPr>
          <w:t xml:space="preserve"> </w:t>
        </w:r>
        <w:r w:rsidR="005541ED">
          <w:rPr>
            <w:rStyle w:val="ae"/>
            <w:rFonts w:hint="eastAsia"/>
            <w:bCs/>
            <w:noProof/>
          </w:rPr>
          <w:t>基金有关文件和档案的保存</w:t>
        </w:r>
        <w:r w:rsidR="005541ED">
          <w:rPr>
            <w:noProof/>
          </w:rPr>
          <w:tab/>
        </w:r>
        <w:r w:rsidR="005541ED">
          <w:rPr>
            <w:noProof/>
          </w:rPr>
          <w:fldChar w:fldCharType="begin"/>
        </w:r>
        <w:r w:rsidR="005541ED">
          <w:rPr>
            <w:noProof/>
          </w:rPr>
          <w:instrText xml:space="preserve"> PAGEREF _Toc44321736 \h </w:instrText>
        </w:r>
        <w:r w:rsidR="005541ED">
          <w:rPr>
            <w:noProof/>
          </w:rPr>
        </w:r>
        <w:r w:rsidR="005541ED">
          <w:rPr>
            <w:noProof/>
          </w:rPr>
          <w:fldChar w:fldCharType="separate"/>
        </w:r>
        <w:r w:rsidR="00AE691B">
          <w:rPr>
            <w:noProof/>
          </w:rPr>
          <w:t>36</w:t>
        </w:r>
        <w:r w:rsidR="005541ED">
          <w:rPr>
            <w:noProof/>
          </w:rPr>
          <w:fldChar w:fldCharType="end"/>
        </w:r>
      </w:hyperlink>
    </w:p>
    <w:p w14:paraId="7E6BF286" w14:textId="0B8D2ABC" w:rsidR="00950499" w:rsidRDefault="00156F97">
      <w:pPr>
        <w:pStyle w:val="10"/>
        <w:rPr>
          <w:rFonts w:asciiTheme="minorHAnsi" w:eastAsiaTheme="minorEastAsia" w:hAnsiTheme="minorHAnsi" w:cstheme="minorBidi"/>
          <w:noProof/>
          <w:sz w:val="21"/>
          <w:szCs w:val="22"/>
        </w:rPr>
      </w:pPr>
      <w:hyperlink w:anchor="_Toc44321737" w:history="1">
        <w:r w:rsidR="005541ED">
          <w:rPr>
            <w:rStyle w:val="ae"/>
            <w:rFonts w:hint="eastAsia"/>
            <w:bCs/>
            <w:noProof/>
          </w:rPr>
          <w:t>第十四条</w:t>
        </w:r>
        <w:r w:rsidR="005541ED">
          <w:rPr>
            <w:rStyle w:val="ae"/>
            <w:bCs/>
            <w:noProof/>
          </w:rPr>
          <w:t xml:space="preserve"> </w:t>
        </w:r>
        <w:r w:rsidR="005541ED">
          <w:rPr>
            <w:rStyle w:val="ae"/>
            <w:rFonts w:hint="eastAsia"/>
            <w:bCs/>
            <w:noProof/>
          </w:rPr>
          <w:t>基金管理人和基金托管人的更换</w:t>
        </w:r>
        <w:r w:rsidR="005541ED">
          <w:rPr>
            <w:noProof/>
          </w:rPr>
          <w:tab/>
        </w:r>
        <w:r w:rsidR="005541ED">
          <w:rPr>
            <w:noProof/>
          </w:rPr>
          <w:fldChar w:fldCharType="begin"/>
        </w:r>
        <w:r w:rsidR="005541ED">
          <w:rPr>
            <w:noProof/>
          </w:rPr>
          <w:instrText xml:space="preserve"> PAGEREF _Toc44321737 \h </w:instrText>
        </w:r>
        <w:r w:rsidR="005541ED">
          <w:rPr>
            <w:noProof/>
          </w:rPr>
        </w:r>
        <w:r w:rsidR="005541ED">
          <w:rPr>
            <w:noProof/>
          </w:rPr>
          <w:fldChar w:fldCharType="separate"/>
        </w:r>
        <w:r w:rsidR="00AE691B">
          <w:rPr>
            <w:noProof/>
          </w:rPr>
          <w:t>36</w:t>
        </w:r>
        <w:r w:rsidR="005541ED">
          <w:rPr>
            <w:noProof/>
          </w:rPr>
          <w:fldChar w:fldCharType="end"/>
        </w:r>
      </w:hyperlink>
    </w:p>
    <w:p w14:paraId="0E440840" w14:textId="56E04892" w:rsidR="00950499" w:rsidRDefault="00156F97">
      <w:pPr>
        <w:pStyle w:val="10"/>
        <w:rPr>
          <w:rFonts w:asciiTheme="minorHAnsi" w:eastAsiaTheme="minorEastAsia" w:hAnsiTheme="minorHAnsi" w:cstheme="minorBidi"/>
          <w:noProof/>
          <w:sz w:val="21"/>
          <w:szCs w:val="22"/>
        </w:rPr>
      </w:pPr>
      <w:hyperlink w:anchor="_Toc44321738" w:history="1">
        <w:r w:rsidR="005541ED">
          <w:rPr>
            <w:rStyle w:val="ae"/>
            <w:rFonts w:hint="eastAsia"/>
            <w:bCs/>
            <w:noProof/>
          </w:rPr>
          <w:t>第十五条</w:t>
        </w:r>
        <w:r w:rsidR="005541ED">
          <w:rPr>
            <w:rStyle w:val="ae"/>
            <w:bCs/>
            <w:noProof/>
          </w:rPr>
          <w:t xml:space="preserve"> </w:t>
        </w:r>
        <w:r w:rsidR="005541ED">
          <w:rPr>
            <w:rStyle w:val="ae"/>
            <w:rFonts w:hint="eastAsia"/>
            <w:bCs/>
            <w:noProof/>
          </w:rPr>
          <w:t>禁止行为</w:t>
        </w:r>
        <w:r w:rsidR="005541ED">
          <w:rPr>
            <w:noProof/>
          </w:rPr>
          <w:tab/>
        </w:r>
        <w:r w:rsidR="005541ED">
          <w:rPr>
            <w:noProof/>
          </w:rPr>
          <w:fldChar w:fldCharType="begin"/>
        </w:r>
        <w:r w:rsidR="005541ED">
          <w:rPr>
            <w:noProof/>
          </w:rPr>
          <w:instrText xml:space="preserve"> PAGEREF _Toc44321738 \h </w:instrText>
        </w:r>
        <w:r w:rsidR="005541ED">
          <w:rPr>
            <w:noProof/>
          </w:rPr>
        </w:r>
        <w:r w:rsidR="005541ED">
          <w:rPr>
            <w:noProof/>
          </w:rPr>
          <w:fldChar w:fldCharType="separate"/>
        </w:r>
        <w:r w:rsidR="00AE691B">
          <w:rPr>
            <w:noProof/>
          </w:rPr>
          <w:t>39</w:t>
        </w:r>
        <w:r w:rsidR="005541ED">
          <w:rPr>
            <w:noProof/>
          </w:rPr>
          <w:fldChar w:fldCharType="end"/>
        </w:r>
      </w:hyperlink>
    </w:p>
    <w:p w14:paraId="62FD459B" w14:textId="5AB40741" w:rsidR="00950499" w:rsidRDefault="00156F97">
      <w:pPr>
        <w:pStyle w:val="10"/>
        <w:rPr>
          <w:rFonts w:asciiTheme="minorHAnsi" w:eastAsiaTheme="minorEastAsia" w:hAnsiTheme="minorHAnsi" w:cstheme="minorBidi"/>
          <w:noProof/>
          <w:sz w:val="21"/>
          <w:szCs w:val="22"/>
        </w:rPr>
      </w:pPr>
      <w:hyperlink w:anchor="_Toc44321739" w:history="1">
        <w:r w:rsidR="005541ED">
          <w:rPr>
            <w:rStyle w:val="ae"/>
            <w:rFonts w:hint="eastAsia"/>
            <w:bCs/>
            <w:noProof/>
          </w:rPr>
          <w:t>第十六条</w:t>
        </w:r>
        <w:r w:rsidR="005541ED">
          <w:rPr>
            <w:rStyle w:val="ae"/>
            <w:bCs/>
            <w:noProof/>
          </w:rPr>
          <w:t xml:space="preserve"> </w:t>
        </w:r>
        <w:r w:rsidR="005541ED">
          <w:rPr>
            <w:rStyle w:val="ae"/>
            <w:rFonts w:hint="eastAsia"/>
            <w:bCs/>
            <w:noProof/>
          </w:rPr>
          <w:t>本协议的变更、终止与基金财产的清算</w:t>
        </w:r>
        <w:r w:rsidR="005541ED">
          <w:rPr>
            <w:noProof/>
          </w:rPr>
          <w:tab/>
        </w:r>
        <w:r w:rsidR="005541ED">
          <w:rPr>
            <w:noProof/>
          </w:rPr>
          <w:fldChar w:fldCharType="begin"/>
        </w:r>
        <w:r w:rsidR="005541ED">
          <w:rPr>
            <w:noProof/>
          </w:rPr>
          <w:instrText xml:space="preserve"> PAGEREF _Toc44321739 \h </w:instrText>
        </w:r>
        <w:r w:rsidR="005541ED">
          <w:rPr>
            <w:noProof/>
          </w:rPr>
        </w:r>
        <w:r w:rsidR="005541ED">
          <w:rPr>
            <w:noProof/>
          </w:rPr>
          <w:fldChar w:fldCharType="separate"/>
        </w:r>
        <w:r w:rsidR="00AE691B">
          <w:rPr>
            <w:noProof/>
          </w:rPr>
          <w:t>40</w:t>
        </w:r>
        <w:r w:rsidR="005541ED">
          <w:rPr>
            <w:noProof/>
          </w:rPr>
          <w:fldChar w:fldCharType="end"/>
        </w:r>
      </w:hyperlink>
    </w:p>
    <w:p w14:paraId="29643AA7" w14:textId="1A3ED8B1" w:rsidR="00950499" w:rsidRDefault="00156F97">
      <w:pPr>
        <w:pStyle w:val="10"/>
        <w:rPr>
          <w:rFonts w:asciiTheme="minorHAnsi" w:eastAsiaTheme="minorEastAsia" w:hAnsiTheme="minorHAnsi" w:cstheme="minorBidi"/>
          <w:noProof/>
          <w:sz w:val="21"/>
          <w:szCs w:val="22"/>
        </w:rPr>
      </w:pPr>
      <w:hyperlink w:anchor="_Toc44321740" w:history="1">
        <w:r w:rsidR="005541ED">
          <w:rPr>
            <w:rStyle w:val="ae"/>
            <w:rFonts w:hint="eastAsia"/>
            <w:bCs/>
            <w:noProof/>
          </w:rPr>
          <w:t>第十七条</w:t>
        </w:r>
        <w:r w:rsidR="005541ED">
          <w:rPr>
            <w:rStyle w:val="ae"/>
            <w:bCs/>
            <w:noProof/>
          </w:rPr>
          <w:t xml:space="preserve"> </w:t>
        </w:r>
        <w:r w:rsidR="005541ED">
          <w:rPr>
            <w:rStyle w:val="ae"/>
            <w:rFonts w:hint="eastAsia"/>
            <w:bCs/>
            <w:noProof/>
          </w:rPr>
          <w:t>违约责任</w:t>
        </w:r>
        <w:r w:rsidR="005541ED">
          <w:rPr>
            <w:noProof/>
          </w:rPr>
          <w:tab/>
        </w:r>
        <w:r w:rsidR="005541ED">
          <w:rPr>
            <w:noProof/>
          </w:rPr>
          <w:fldChar w:fldCharType="begin"/>
        </w:r>
        <w:r w:rsidR="005541ED">
          <w:rPr>
            <w:noProof/>
          </w:rPr>
          <w:instrText xml:space="preserve"> PAGEREF _Toc44321740 \h </w:instrText>
        </w:r>
        <w:r w:rsidR="005541ED">
          <w:rPr>
            <w:noProof/>
          </w:rPr>
        </w:r>
        <w:r w:rsidR="005541ED">
          <w:rPr>
            <w:noProof/>
          </w:rPr>
          <w:fldChar w:fldCharType="separate"/>
        </w:r>
        <w:r w:rsidR="00AE691B">
          <w:rPr>
            <w:noProof/>
          </w:rPr>
          <w:t>42</w:t>
        </w:r>
        <w:r w:rsidR="005541ED">
          <w:rPr>
            <w:noProof/>
          </w:rPr>
          <w:fldChar w:fldCharType="end"/>
        </w:r>
      </w:hyperlink>
    </w:p>
    <w:p w14:paraId="052AEF5D" w14:textId="52C0F5E8" w:rsidR="00950499" w:rsidRDefault="00156F97">
      <w:pPr>
        <w:pStyle w:val="10"/>
        <w:rPr>
          <w:rFonts w:asciiTheme="minorHAnsi" w:eastAsiaTheme="minorEastAsia" w:hAnsiTheme="minorHAnsi" w:cstheme="minorBidi"/>
          <w:noProof/>
          <w:sz w:val="21"/>
          <w:szCs w:val="22"/>
        </w:rPr>
      </w:pPr>
      <w:hyperlink w:anchor="_Toc44321741" w:history="1">
        <w:r w:rsidR="005541ED">
          <w:rPr>
            <w:rStyle w:val="ae"/>
            <w:rFonts w:hint="eastAsia"/>
            <w:bCs/>
            <w:noProof/>
          </w:rPr>
          <w:t>第十八条</w:t>
        </w:r>
        <w:r w:rsidR="005541ED">
          <w:rPr>
            <w:rStyle w:val="ae"/>
            <w:bCs/>
            <w:noProof/>
          </w:rPr>
          <w:t xml:space="preserve"> </w:t>
        </w:r>
        <w:r w:rsidR="005541ED">
          <w:rPr>
            <w:rStyle w:val="ae"/>
            <w:rFonts w:hint="eastAsia"/>
            <w:bCs/>
            <w:noProof/>
          </w:rPr>
          <w:t>法律适用和争议解决</w:t>
        </w:r>
        <w:r w:rsidR="005541ED">
          <w:rPr>
            <w:noProof/>
          </w:rPr>
          <w:tab/>
        </w:r>
        <w:r w:rsidR="005541ED">
          <w:rPr>
            <w:noProof/>
          </w:rPr>
          <w:fldChar w:fldCharType="begin"/>
        </w:r>
        <w:r w:rsidR="005541ED">
          <w:rPr>
            <w:noProof/>
          </w:rPr>
          <w:instrText xml:space="preserve"> PAGEREF _Toc44321741 \h </w:instrText>
        </w:r>
        <w:r w:rsidR="005541ED">
          <w:rPr>
            <w:noProof/>
          </w:rPr>
        </w:r>
        <w:r w:rsidR="005541ED">
          <w:rPr>
            <w:noProof/>
          </w:rPr>
          <w:fldChar w:fldCharType="separate"/>
        </w:r>
        <w:r w:rsidR="00AE691B">
          <w:rPr>
            <w:noProof/>
          </w:rPr>
          <w:t>43</w:t>
        </w:r>
        <w:r w:rsidR="005541ED">
          <w:rPr>
            <w:noProof/>
          </w:rPr>
          <w:fldChar w:fldCharType="end"/>
        </w:r>
      </w:hyperlink>
    </w:p>
    <w:p w14:paraId="5B2D7C54" w14:textId="37ACCEDA" w:rsidR="00950499" w:rsidRDefault="00156F97">
      <w:pPr>
        <w:pStyle w:val="10"/>
        <w:rPr>
          <w:rFonts w:asciiTheme="minorHAnsi" w:eastAsiaTheme="minorEastAsia" w:hAnsiTheme="minorHAnsi" w:cstheme="minorBidi"/>
          <w:noProof/>
          <w:sz w:val="21"/>
          <w:szCs w:val="22"/>
        </w:rPr>
      </w:pPr>
      <w:hyperlink w:anchor="_Toc44321742" w:history="1">
        <w:r w:rsidR="005541ED">
          <w:rPr>
            <w:rStyle w:val="ae"/>
            <w:rFonts w:hint="eastAsia"/>
            <w:bCs/>
            <w:noProof/>
          </w:rPr>
          <w:t>第十九条</w:t>
        </w:r>
        <w:r w:rsidR="005541ED">
          <w:rPr>
            <w:rStyle w:val="ae"/>
            <w:bCs/>
            <w:noProof/>
          </w:rPr>
          <w:t xml:space="preserve"> </w:t>
        </w:r>
        <w:r w:rsidR="005541ED">
          <w:rPr>
            <w:rStyle w:val="ae"/>
            <w:rFonts w:hint="eastAsia"/>
            <w:bCs/>
            <w:noProof/>
          </w:rPr>
          <w:t>本协议的效力</w:t>
        </w:r>
        <w:r w:rsidR="005541ED">
          <w:rPr>
            <w:noProof/>
          </w:rPr>
          <w:tab/>
        </w:r>
        <w:r w:rsidR="005541ED">
          <w:rPr>
            <w:noProof/>
          </w:rPr>
          <w:fldChar w:fldCharType="begin"/>
        </w:r>
        <w:r w:rsidR="005541ED">
          <w:rPr>
            <w:noProof/>
          </w:rPr>
          <w:instrText xml:space="preserve"> PAGEREF _Toc44321742 \h </w:instrText>
        </w:r>
        <w:r w:rsidR="005541ED">
          <w:rPr>
            <w:noProof/>
          </w:rPr>
        </w:r>
        <w:r w:rsidR="005541ED">
          <w:rPr>
            <w:noProof/>
          </w:rPr>
          <w:fldChar w:fldCharType="separate"/>
        </w:r>
        <w:r w:rsidR="00AE691B">
          <w:rPr>
            <w:noProof/>
          </w:rPr>
          <w:t>44</w:t>
        </w:r>
        <w:r w:rsidR="005541ED">
          <w:rPr>
            <w:noProof/>
          </w:rPr>
          <w:fldChar w:fldCharType="end"/>
        </w:r>
      </w:hyperlink>
    </w:p>
    <w:p w14:paraId="7B078F88" w14:textId="33C76516" w:rsidR="00950499" w:rsidRDefault="00156F97">
      <w:pPr>
        <w:pStyle w:val="10"/>
        <w:rPr>
          <w:rFonts w:asciiTheme="minorHAnsi" w:eastAsiaTheme="minorEastAsia" w:hAnsiTheme="minorHAnsi" w:cstheme="minorBidi"/>
          <w:noProof/>
          <w:sz w:val="21"/>
          <w:szCs w:val="22"/>
        </w:rPr>
      </w:pPr>
      <w:hyperlink w:anchor="_Toc44321743" w:history="1">
        <w:r w:rsidR="005541ED">
          <w:rPr>
            <w:rStyle w:val="ae"/>
            <w:rFonts w:hint="eastAsia"/>
            <w:bCs/>
            <w:noProof/>
          </w:rPr>
          <w:t>第二十条</w:t>
        </w:r>
        <w:r w:rsidR="005541ED">
          <w:rPr>
            <w:rStyle w:val="ae"/>
            <w:bCs/>
            <w:noProof/>
          </w:rPr>
          <w:t xml:space="preserve"> </w:t>
        </w:r>
        <w:r w:rsidR="005541ED">
          <w:rPr>
            <w:rStyle w:val="ae"/>
            <w:rFonts w:hint="eastAsia"/>
            <w:bCs/>
            <w:noProof/>
          </w:rPr>
          <w:t>本协议的签订</w:t>
        </w:r>
        <w:r w:rsidR="005541ED">
          <w:rPr>
            <w:noProof/>
          </w:rPr>
          <w:tab/>
        </w:r>
        <w:r w:rsidR="005541ED">
          <w:rPr>
            <w:noProof/>
          </w:rPr>
          <w:fldChar w:fldCharType="begin"/>
        </w:r>
        <w:r w:rsidR="005541ED">
          <w:rPr>
            <w:noProof/>
          </w:rPr>
          <w:instrText xml:space="preserve"> PAGEREF _Toc44321743 \h </w:instrText>
        </w:r>
        <w:r w:rsidR="005541ED">
          <w:rPr>
            <w:noProof/>
          </w:rPr>
        </w:r>
        <w:r w:rsidR="005541ED">
          <w:rPr>
            <w:noProof/>
          </w:rPr>
          <w:fldChar w:fldCharType="separate"/>
        </w:r>
        <w:r w:rsidR="00AE691B">
          <w:rPr>
            <w:noProof/>
          </w:rPr>
          <w:t>44</w:t>
        </w:r>
        <w:r w:rsidR="005541ED">
          <w:rPr>
            <w:noProof/>
          </w:rPr>
          <w:fldChar w:fldCharType="end"/>
        </w:r>
      </w:hyperlink>
    </w:p>
    <w:p w14:paraId="6C1A5F9F" w14:textId="5D940347" w:rsidR="00950499" w:rsidRDefault="00156F97">
      <w:pPr>
        <w:pStyle w:val="10"/>
        <w:rPr>
          <w:rFonts w:asciiTheme="minorHAnsi" w:eastAsiaTheme="minorEastAsia" w:hAnsiTheme="minorHAnsi" w:cstheme="minorBidi"/>
          <w:noProof/>
          <w:sz w:val="21"/>
          <w:szCs w:val="22"/>
        </w:rPr>
      </w:pPr>
      <w:hyperlink w:anchor="_Toc44321744" w:history="1">
        <w:r w:rsidR="005541ED">
          <w:rPr>
            <w:rStyle w:val="ae"/>
            <w:rFonts w:hint="eastAsia"/>
            <w:bCs/>
            <w:noProof/>
          </w:rPr>
          <w:t>第二十一条</w:t>
        </w:r>
        <w:r w:rsidR="005541ED">
          <w:rPr>
            <w:rStyle w:val="ae"/>
            <w:bCs/>
            <w:noProof/>
          </w:rPr>
          <w:t xml:space="preserve"> </w:t>
        </w:r>
        <w:r w:rsidR="005541ED">
          <w:rPr>
            <w:rStyle w:val="ae"/>
            <w:rFonts w:hint="eastAsia"/>
            <w:bCs/>
            <w:noProof/>
          </w:rPr>
          <w:t>不可抗力</w:t>
        </w:r>
        <w:r w:rsidR="005541ED">
          <w:rPr>
            <w:noProof/>
          </w:rPr>
          <w:tab/>
        </w:r>
        <w:r w:rsidR="005541ED">
          <w:rPr>
            <w:noProof/>
          </w:rPr>
          <w:fldChar w:fldCharType="begin"/>
        </w:r>
        <w:r w:rsidR="005541ED">
          <w:rPr>
            <w:noProof/>
          </w:rPr>
          <w:instrText xml:space="preserve"> PAGEREF _Toc44321744 \h </w:instrText>
        </w:r>
        <w:r w:rsidR="005541ED">
          <w:rPr>
            <w:noProof/>
          </w:rPr>
        </w:r>
        <w:r w:rsidR="005541ED">
          <w:rPr>
            <w:noProof/>
          </w:rPr>
          <w:fldChar w:fldCharType="separate"/>
        </w:r>
        <w:r w:rsidR="00AE691B">
          <w:rPr>
            <w:noProof/>
          </w:rPr>
          <w:t>44</w:t>
        </w:r>
        <w:r w:rsidR="005541ED">
          <w:rPr>
            <w:noProof/>
          </w:rPr>
          <w:fldChar w:fldCharType="end"/>
        </w:r>
      </w:hyperlink>
    </w:p>
    <w:p w14:paraId="4AD3437B" w14:textId="4F3FF5E5" w:rsidR="00950499" w:rsidRDefault="00156F97">
      <w:pPr>
        <w:pStyle w:val="10"/>
        <w:rPr>
          <w:rFonts w:asciiTheme="minorHAnsi" w:eastAsiaTheme="minorEastAsia" w:hAnsiTheme="minorHAnsi" w:cstheme="minorBidi"/>
          <w:noProof/>
          <w:sz w:val="21"/>
          <w:szCs w:val="22"/>
        </w:rPr>
      </w:pPr>
      <w:hyperlink w:anchor="_Toc44321745" w:history="1">
        <w:r w:rsidR="005541ED">
          <w:rPr>
            <w:rStyle w:val="ae"/>
            <w:rFonts w:hint="eastAsia"/>
            <w:bCs/>
            <w:noProof/>
          </w:rPr>
          <w:t>第二十二条</w:t>
        </w:r>
        <w:r w:rsidR="005541ED">
          <w:rPr>
            <w:rStyle w:val="ae"/>
            <w:bCs/>
            <w:noProof/>
          </w:rPr>
          <w:t xml:space="preserve"> </w:t>
        </w:r>
        <w:r w:rsidR="005541ED">
          <w:rPr>
            <w:rStyle w:val="ae"/>
            <w:rFonts w:hint="eastAsia"/>
            <w:bCs/>
            <w:noProof/>
          </w:rPr>
          <w:t>可分割性</w:t>
        </w:r>
        <w:r w:rsidR="005541ED">
          <w:rPr>
            <w:noProof/>
          </w:rPr>
          <w:tab/>
        </w:r>
        <w:r w:rsidR="005541ED">
          <w:rPr>
            <w:noProof/>
          </w:rPr>
          <w:fldChar w:fldCharType="begin"/>
        </w:r>
        <w:r w:rsidR="005541ED">
          <w:rPr>
            <w:noProof/>
          </w:rPr>
          <w:instrText xml:space="preserve"> PAGEREF _Toc44321745 \h </w:instrText>
        </w:r>
        <w:r w:rsidR="005541ED">
          <w:rPr>
            <w:noProof/>
          </w:rPr>
        </w:r>
        <w:r w:rsidR="005541ED">
          <w:rPr>
            <w:noProof/>
          </w:rPr>
          <w:fldChar w:fldCharType="separate"/>
        </w:r>
        <w:r w:rsidR="00AE691B">
          <w:rPr>
            <w:noProof/>
          </w:rPr>
          <w:t>45</w:t>
        </w:r>
        <w:r w:rsidR="005541ED">
          <w:rPr>
            <w:noProof/>
          </w:rPr>
          <w:fldChar w:fldCharType="end"/>
        </w:r>
      </w:hyperlink>
    </w:p>
    <w:p w14:paraId="25D0B51B" w14:textId="5D068713" w:rsidR="00950499" w:rsidRDefault="00156F97">
      <w:pPr>
        <w:pStyle w:val="10"/>
        <w:rPr>
          <w:rFonts w:asciiTheme="minorHAnsi" w:eastAsiaTheme="minorEastAsia" w:hAnsiTheme="minorHAnsi" w:cstheme="minorBidi"/>
          <w:noProof/>
          <w:sz w:val="21"/>
          <w:szCs w:val="22"/>
        </w:rPr>
      </w:pPr>
      <w:hyperlink w:anchor="_Toc44321746" w:history="1">
        <w:r w:rsidR="005541ED">
          <w:rPr>
            <w:rStyle w:val="ae"/>
            <w:rFonts w:hint="eastAsia"/>
            <w:bCs/>
            <w:noProof/>
          </w:rPr>
          <w:t>第二十三条</w:t>
        </w:r>
        <w:r w:rsidR="005541ED">
          <w:rPr>
            <w:rStyle w:val="ae"/>
            <w:bCs/>
            <w:noProof/>
          </w:rPr>
          <w:t xml:space="preserve"> </w:t>
        </w:r>
        <w:r w:rsidR="005541ED">
          <w:rPr>
            <w:rStyle w:val="ae"/>
            <w:rFonts w:hint="eastAsia"/>
            <w:bCs/>
            <w:noProof/>
          </w:rPr>
          <w:t>通知与送达</w:t>
        </w:r>
        <w:r w:rsidR="005541ED">
          <w:rPr>
            <w:noProof/>
          </w:rPr>
          <w:tab/>
        </w:r>
        <w:r w:rsidR="005541ED">
          <w:rPr>
            <w:noProof/>
          </w:rPr>
          <w:fldChar w:fldCharType="begin"/>
        </w:r>
        <w:r w:rsidR="005541ED">
          <w:rPr>
            <w:noProof/>
          </w:rPr>
          <w:instrText xml:space="preserve"> PAGEREF _Toc44321746 \h </w:instrText>
        </w:r>
        <w:r w:rsidR="005541ED">
          <w:rPr>
            <w:noProof/>
          </w:rPr>
        </w:r>
        <w:r w:rsidR="005541ED">
          <w:rPr>
            <w:noProof/>
          </w:rPr>
          <w:fldChar w:fldCharType="separate"/>
        </w:r>
        <w:r w:rsidR="00AE691B">
          <w:rPr>
            <w:noProof/>
          </w:rPr>
          <w:t>45</w:t>
        </w:r>
        <w:r w:rsidR="005541ED">
          <w:rPr>
            <w:noProof/>
          </w:rPr>
          <w:fldChar w:fldCharType="end"/>
        </w:r>
      </w:hyperlink>
    </w:p>
    <w:p w14:paraId="52C0841B" w14:textId="4431D789" w:rsidR="00950499" w:rsidRDefault="00156F97">
      <w:pPr>
        <w:pStyle w:val="10"/>
        <w:rPr>
          <w:rFonts w:asciiTheme="minorHAnsi" w:eastAsiaTheme="minorEastAsia" w:hAnsiTheme="minorHAnsi" w:cstheme="minorBidi"/>
          <w:noProof/>
          <w:sz w:val="21"/>
          <w:szCs w:val="22"/>
        </w:rPr>
      </w:pPr>
      <w:hyperlink w:anchor="_Toc44321747" w:history="1">
        <w:r w:rsidR="005541ED">
          <w:rPr>
            <w:rStyle w:val="ae"/>
            <w:rFonts w:hint="eastAsia"/>
            <w:bCs/>
            <w:noProof/>
          </w:rPr>
          <w:t>第二十四条</w:t>
        </w:r>
        <w:r w:rsidR="005541ED">
          <w:rPr>
            <w:rStyle w:val="ae"/>
            <w:bCs/>
            <w:noProof/>
          </w:rPr>
          <w:t xml:space="preserve"> </w:t>
        </w:r>
        <w:r w:rsidR="005541ED">
          <w:rPr>
            <w:rStyle w:val="ae"/>
            <w:rFonts w:hint="eastAsia"/>
            <w:bCs/>
            <w:noProof/>
          </w:rPr>
          <w:t>其他约定事项</w:t>
        </w:r>
        <w:r w:rsidR="005541ED">
          <w:rPr>
            <w:noProof/>
          </w:rPr>
          <w:tab/>
        </w:r>
        <w:r w:rsidR="005541ED">
          <w:rPr>
            <w:noProof/>
          </w:rPr>
          <w:fldChar w:fldCharType="begin"/>
        </w:r>
        <w:r w:rsidR="005541ED">
          <w:rPr>
            <w:noProof/>
          </w:rPr>
          <w:instrText xml:space="preserve"> PAGEREF _Toc44321747 \h </w:instrText>
        </w:r>
        <w:r w:rsidR="005541ED">
          <w:rPr>
            <w:noProof/>
          </w:rPr>
        </w:r>
        <w:r w:rsidR="005541ED">
          <w:rPr>
            <w:noProof/>
          </w:rPr>
          <w:fldChar w:fldCharType="separate"/>
        </w:r>
        <w:r w:rsidR="00AE691B">
          <w:rPr>
            <w:noProof/>
          </w:rPr>
          <w:t>47</w:t>
        </w:r>
        <w:r w:rsidR="005541ED">
          <w:rPr>
            <w:noProof/>
          </w:rPr>
          <w:fldChar w:fldCharType="end"/>
        </w:r>
      </w:hyperlink>
    </w:p>
    <w:p w14:paraId="3E98DB99" w14:textId="77777777" w:rsidR="00950499" w:rsidRDefault="005541ED">
      <w:pPr>
        <w:snapToGrid w:val="0"/>
        <w:spacing w:line="360" w:lineRule="auto"/>
        <w:jc w:val="center"/>
        <w:rPr>
          <w:rFonts w:ascii="宋体" w:hAnsi="宋体"/>
          <w:b/>
          <w:sz w:val="28"/>
          <w:szCs w:val="28"/>
        </w:rPr>
      </w:pPr>
      <w:r>
        <w:rPr>
          <w:rFonts w:ascii="宋体" w:hAnsi="宋体"/>
          <w:b/>
          <w:sz w:val="28"/>
          <w:szCs w:val="28"/>
        </w:rPr>
        <w:fldChar w:fldCharType="end"/>
      </w:r>
      <w:permEnd w:id="883046988"/>
    </w:p>
    <w:p w14:paraId="7AC5511C" w14:textId="247AB673" w:rsidR="00950499" w:rsidRDefault="005541ED" w:rsidP="00CA745A">
      <w:pPr>
        <w:adjustRightInd w:val="0"/>
        <w:snapToGrid w:val="0"/>
        <w:spacing w:line="520" w:lineRule="atLeast"/>
        <w:jc w:val="center"/>
        <w:rPr>
          <w:rFonts w:ascii="宋体" w:hAnsi="宋体"/>
          <w:b/>
          <w:sz w:val="28"/>
          <w:szCs w:val="28"/>
        </w:rPr>
      </w:pPr>
      <w:r>
        <w:rPr>
          <w:rFonts w:ascii="宋体" w:hAnsi="宋体"/>
          <w:b/>
          <w:sz w:val="28"/>
          <w:szCs w:val="28"/>
        </w:rPr>
        <w:br w:type="page"/>
      </w:r>
      <w:permStart w:id="640047127" w:edGrp="everyone"/>
      <w:r w:rsidR="00CA745A" w:rsidRPr="00CA745A">
        <w:rPr>
          <w:rFonts w:ascii="宋体" w:hAnsi="宋体" w:hint="eastAsia"/>
          <w:b/>
          <w:sz w:val="28"/>
          <w:szCs w:val="28"/>
        </w:rPr>
        <w:lastRenderedPageBreak/>
        <w:t>富国</w:t>
      </w:r>
      <w:r w:rsidR="004011E8">
        <w:rPr>
          <w:rFonts w:ascii="宋体" w:hAnsi="宋体" w:hint="eastAsia"/>
          <w:b/>
          <w:sz w:val="28"/>
          <w:szCs w:val="28"/>
        </w:rPr>
        <w:t>智信稳进</w:t>
      </w:r>
      <w:r w:rsidR="00CA745A" w:rsidRPr="00CA745A">
        <w:rPr>
          <w:rFonts w:ascii="宋体" w:hAnsi="宋体" w:hint="eastAsia"/>
          <w:b/>
          <w:sz w:val="28"/>
          <w:szCs w:val="28"/>
        </w:rPr>
        <w:t>12个月持有期混合型基金中基金（FOF）</w:t>
      </w:r>
      <w:r>
        <w:rPr>
          <w:rFonts w:ascii="宋体" w:hAnsi="宋体" w:hint="eastAsia"/>
          <w:b/>
          <w:sz w:val="28"/>
          <w:szCs w:val="28"/>
        </w:rPr>
        <w:t>托管协议</w:t>
      </w:r>
      <w:permEnd w:id="640047127"/>
    </w:p>
    <w:p w14:paraId="7EC5A8D0" w14:textId="77777777" w:rsidR="00950499" w:rsidRDefault="00950499">
      <w:pPr>
        <w:adjustRightInd w:val="0"/>
        <w:snapToGrid w:val="0"/>
        <w:spacing w:line="520" w:lineRule="atLeast"/>
        <w:jc w:val="center"/>
        <w:rPr>
          <w:rFonts w:ascii="宋体" w:hAnsi="宋体"/>
          <w:b/>
          <w:sz w:val="28"/>
          <w:szCs w:val="28"/>
        </w:rPr>
      </w:pPr>
    </w:p>
    <w:p w14:paraId="49A4C930" w14:textId="77777777" w:rsidR="00CA745A" w:rsidRDefault="00CA745A">
      <w:pPr>
        <w:adjustRightInd w:val="0"/>
        <w:snapToGrid w:val="0"/>
        <w:spacing w:line="520" w:lineRule="atLeast"/>
        <w:jc w:val="center"/>
        <w:rPr>
          <w:rFonts w:ascii="宋体" w:hAnsi="宋体"/>
          <w:b/>
          <w:sz w:val="28"/>
          <w:szCs w:val="28"/>
        </w:rPr>
      </w:pPr>
    </w:p>
    <w:p w14:paraId="7FEA2753" w14:textId="2DD0D701" w:rsidR="00950499" w:rsidRDefault="005541ED">
      <w:pPr>
        <w:tabs>
          <w:tab w:val="left" w:pos="5940"/>
        </w:tabs>
        <w:adjustRightInd w:val="0"/>
        <w:snapToGrid w:val="0"/>
        <w:spacing w:line="520" w:lineRule="atLeast"/>
        <w:rPr>
          <w:rFonts w:ascii="宋体" w:hAnsi="宋体"/>
          <w:b/>
          <w:sz w:val="24"/>
          <w:szCs w:val="24"/>
        </w:rPr>
      </w:pPr>
      <w:permStart w:id="1105873913" w:edGrp="everyone"/>
      <w:r>
        <w:rPr>
          <w:rFonts w:ascii="宋体" w:hAnsi="宋体" w:hint="eastAsia"/>
          <w:b/>
          <w:sz w:val="24"/>
          <w:szCs w:val="24"/>
        </w:rPr>
        <w:t>基金管理人：</w:t>
      </w:r>
      <w:r w:rsidR="00CA745A" w:rsidRPr="00BF46F3">
        <w:rPr>
          <w:rFonts w:ascii="宋体" w:hAnsi="宋体" w:hint="eastAsia"/>
          <w:sz w:val="24"/>
        </w:rPr>
        <w:t>富国基金管理有限公司</w:t>
      </w:r>
    </w:p>
    <w:p w14:paraId="7F5BDC32" w14:textId="77777777" w:rsidR="00CA745A" w:rsidRDefault="005541ED">
      <w:pPr>
        <w:tabs>
          <w:tab w:val="left" w:pos="5940"/>
        </w:tabs>
        <w:adjustRightInd w:val="0"/>
        <w:snapToGrid w:val="0"/>
        <w:spacing w:line="520" w:lineRule="atLeast"/>
        <w:rPr>
          <w:rFonts w:ascii="宋体" w:hAnsi="宋体" w:cs="宋体"/>
          <w:bCs/>
          <w:sz w:val="24"/>
        </w:rPr>
      </w:pPr>
      <w:r>
        <w:rPr>
          <w:rFonts w:ascii="宋体" w:hAnsi="宋体" w:hint="eastAsia"/>
          <w:sz w:val="24"/>
          <w:szCs w:val="24"/>
        </w:rPr>
        <w:t>法定代表人：</w:t>
      </w:r>
      <w:r w:rsidR="00CA745A" w:rsidRPr="004A5F5E">
        <w:rPr>
          <w:rFonts w:ascii="宋体" w:hAnsi="宋体" w:cs="宋体" w:hint="eastAsia"/>
          <w:bCs/>
          <w:sz w:val="24"/>
        </w:rPr>
        <w:t>裴长江</w:t>
      </w:r>
    </w:p>
    <w:p w14:paraId="1E851BDD" w14:textId="6B2B8676" w:rsidR="00950499" w:rsidRPr="00CA745A" w:rsidRDefault="005541ED">
      <w:pPr>
        <w:tabs>
          <w:tab w:val="left" w:pos="5940"/>
        </w:tabs>
        <w:adjustRightInd w:val="0"/>
        <w:snapToGrid w:val="0"/>
        <w:spacing w:line="520" w:lineRule="atLeast"/>
        <w:rPr>
          <w:rFonts w:ascii="宋体" w:hAnsi="宋体"/>
          <w:sz w:val="24"/>
          <w:szCs w:val="24"/>
        </w:rPr>
      </w:pPr>
      <w:r>
        <w:rPr>
          <w:rFonts w:ascii="宋体" w:hAnsi="宋体" w:hint="eastAsia"/>
          <w:sz w:val="24"/>
          <w:szCs w:val="24"/>
        </w:rPr>
        <w:t>住    所：</w:t>
      </w:r>
      <w:r w:rsidR="00CA745A" w:rsidRPr="00C3159B">
        <w:rPr>
          <w:rFonts w:ascii="宋体" w:hAnsi="宋体" w:hint="eastAsia"/>
          <w:sz w:val="24"/>
          <w:szCs w:val="24"/>
        </w:rPr>
        <w:t>中国（上海）自由贸易试验区世纪大道</w:t>
      </w:r>
      <w:r w:rsidR="00CA745A" w:rsidRPr="00C3159B">
        <w:rPr>
          <w:rFonts w:ascii="宋体" w:hAnsi="宋体"/>
          <w:sz w:val="24"/>
          <w:szCs w:val="24"/>
        </w:rPr>
        <w:t>1196号世纪汇办公楼二座27-30层</w:t>
      </w:r>
    </w:p>
    <w:p w14:paraId="345A6D88" w14:textId="77777777" w:rsidR="00950499" w:rsidRDefault="00950499">
      <w:pPr>
        <w:snapToGrid w:val="0"/>
        <w:spacing w:line="520" w:lineRule="atLeast"/>
        <w:rPr>
          <w:rFonts w:ascii="宋体" w:hAnsi="宋体"/>
          <w:sz w:val="24"/>
          <w:szCs w:val="24"/>
        </w:rPr>
      </w:pPr>
    </w:p>
    <w:p w14:paraId="0C28CE8E" w14:textId="7FD24371" w:rsidR="00950499" w:rsidRDefault="005541ED">
      <w:pPr>
        <w:tabs>
          <w:tab w:val="left" w:pos="5940"/>
        </w:tabs>
        <w:snapToGrid w:val="0"/>
        <w:spacing w:line="520" w:lineRule="atLeast"/>
        <w:rPr>
          <w:rFonts w:ascii="宋体" w:hAnsi="宋体"/>
          <w:b/>
          <w:sz w:val="24"/>
          <w:szCs w:val="24"/>
        </w:rPr>
      </w:pPr>
      <w:r>
        <w:rPr>
          <w:rFonts w:ascii="宋体" w:hAnsi="宋体" w:hint="eastAsia"/>
          <w:b/>
          <w:sz w:val="24"/>
          <w:szCs w:val="24"/>
        </w:rPr>
        <w:t xml:space="preserve">基金托管人：中信银行股份有限公司 </w:t>
      </w:r>
    </w:p>
    <w:p w14:paraId="1488D064" w14:textId="4FF9D0AC" w:rsidR="00950499" w:rsidRDefault="005541ED">
      <w:pPr>
        <w:tabs>
          <w:tab w:val="left" w:pos="5940"/>
        </w:tabs>
        <w:snapToGrid w:val="0"/>
        <w:spacing w:line="520" w:lineRule="atLeast"/>
        <w:rPr>
          <w:rFonts w:ascii="宋体" w:hAnsi="宋体"/>
          <w:sz w:val="24"/>
          <w:szCs w:val="24"/>
        </w:rPr>
      </w:pPr>
      <w:r>
        <w:rPr>
          <w:rFonts w:ascii="宋体" w:hAnsi="宋体" w:hint="eastAsia"/>
          <w:sz w:val="24"/>
          <w:szCs w:val="24"/>
        </w:rPr>
        <w:t>法定代表人/负责人：</w:t>
      </w:r>
      <w:bookmarkStart w:id="15" w:name="_GoBack"/>
      <w:r w:rsidR="002337FD">
        <w:rPr>
          <w:rFonts w:ascii="宋体" w:hAnsi="宋体" w:hint="eastAsia"/>
          <w:sz w:val="24"/>
          <w:szCs w:val="24"/>
        </w:rPr>
        <w:t>方合英</w:t>
      </w:r>
      <w:bookmarkEnd w:id="15"/>
    </w:p>
    <w:p w14:paraId="5FAF45A6" w14:textId="79155358" w:rsidR="00950499" w:rsidRDefault="005541ED">
      <w:pPr>
        <w:tabs>
          <w:tab w:val="left" w:pos="5940"/>
        </w:tabs>
        <w:snapToGrid w:val="0"/>
        <w:spacing w:line="520" w:lineRule="atLeast"/>
        <w:rPr>
          <w:rFonts w:ascii="宋体" w:hAnsi="宋体"/>
          <w:sz w:val="24"/>
          <w:szCs w:val="24"/>
        </w:rPr>
      </w:pPr>
      <w:r>
        <w:rPr>
          <w:rFonts w:ascii="宋体" w:hAnsi="宋体" w:hint="eastAsia"/>
          <w:sz w:val="24"/>
          <w:szCs w:val="24"/>
        </w:rPr>
        <w:t>住    所：</w:t>
      </w:r>
      <w:r w:rsidR="00010927" w:rsidRPr="00C3159B">
        <w:rPr>
          <w:rFonts w:ascii="宋体" w:hAnsi="宋体" w:hint="eastAsia"/>
          <w:sz w:val="24"/>
          <w:szCs w:val="24"/>
        </w:rPr>
        <w:t>北京市朝阳区光华路</w:t>
      </w:r>
      <w:r w:rsidR="00010927" w:rsidRPr="00C3159B">
        <w:rPr>
          <w:rFonts w:ascii="宋体" w:hAnsi="宋体"/>
          <w:sz w:val="24"/>
          <w:szCs w:val="24"/>
        </w:rPr>
        <w:t>10号院1号楼6-30层、32-42层</w:t>
      </w:r>
    </w:p>
    <w:permEnd w:id="1105873913"/>
    <w:p w14:paraId="36202F69" w14:textId="77777777" w:rsidR="00950499" w:rsidRDefault="00950499">
      <w:pPr>
        <w:autoSpaceDE w:val="0"/>
        <w:autoSpaceDN w:val="0"/>
        <w:adjustRightInd w:val="0"/>
        <w:spacing w:line="520" w:lineRule="atLeast"/>
        <w:rPr>
          <w:rFonts w:ascii="宋体" w:hAnsi="宋体"/>
          <w:sz w:val="24"/>
          <w:szCs w:val="24"/>
        </w:rPr>
      </w:pPr>
    </w:p>
    <w:p w14:paraId="0BC7AB4F" w14:textId="77777777" w:rsidR="00950499" w:rsidRDefault="005541ED">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14:paraId="0603B937" w14:textId="267FC163" w:rsidR="00950499" w:rsidRDefault="005541ED">
      <w:pPr>
        <w:pStyle w:val="20"/>
        <w:spacing w:before="0" w:after="0" w:line="520" w:lineRule="atLeast"/>
        <w:ind w:left="0" w:firstLineChars="200" w:firstLine="480"/>
        <w:rPr>
          <w:rFonts w:hAnsi="宋体"/>
          <w:szCs w:val="24"/>
        </w:rPr>
      </w:pPr>
      <w:r>
        <w:rPr>
          <w:rFonts w:hAnsi="宋体" w:hint="eastAsia"/>
          <w:szCs w:val="24"/>
        </w:rPr>
        <w:t>1．</w:t>
      </w:r>
      <w:permStart w:id="1622372395" w:edGrp="everyone"/>
      <w:r w:rsidR="00CA745A" w:rsidRPr="00CA745A">
        <w:rPr>
          <w:rFonts w:hAnsi="宋体" w:hint="eastAsia"/>
          <w:szCs w:val="24"/>
        </w:rPr>
        <w:t>富国基金管理有限公司</w:t>
      </w:r>
      <w:permEnd w:id="1622372395"/>
      <w:r>
        <w:rPr>
          <w:rFonts w:hAnsi="宋体" w:hint="eastAsia"/>
          <w:szCs w:val="24"/>
        </w:rPr>
        <w:t>系一家依照中国法律合法成立并有效存续的法人，按照相关法律法规的规定具备担任基金管理人的资格和能力；</w:t>
      </w:r>
    </w:p>
    <w:p w14:paraId="57E51958" w14:textId="0E2ABB80" w:rsidR="00950499" w:rsidRDefault="005541ED">
      <w:pPr>
        <w:pStyle w:val="20"/>
        <w:spacing w:before="0" w:after="0" w:line="520" w:lineRule="atLeast"/>
        <w:ind w:left="0" w:firstLineChars="200" w:firstLine="480"/>
        <w:rPr>
          <w:rFonts w:hAnsi="宋体"/>
          <w:szCs w:val="24"/>
        </w:rPr>
      </w:pPr>
      <w:r>
        <w:rPr>
          <w:rFonts w:hAnsi="宋体" w:hint="eastAsia"/>
          <w:szCs w:val="24"/>
        </w:rPr>
        <w:t>2.</w:t>
      </w:r>
      <w:permStart w:id="2141551660" w:edGrp="everyone"/>
      <w:r>
        <w:rPr>
          <w:rFonts w:hAnsi="宋体" w:hint="eastAsia"/>
          <w:szCs w:val="24"/>
        </w:rPr>
        <w:t>中信银行股份有限公司</w:t>
      </w:r>
      <w:permEnd w:id="2141551660"/>
      <w:r>
        <w:rPr>
          <w:rFonts w:hAnsi="宋体" w:hint="eastAsia"/>
          <w:szCs w:val="24"/>
        </w:rPr>
        <w:t>系一家依照中国法律合法成立并有效存续的银行，按照相关法律法规的规定具备担任基金托管人的资格和能力；</w:t>
      </w:r>
    </w:p>
    <w:p w14:paraId="0B0A1ED0" w14:textId="128301C6" w:rsidR="00950499" w:rsidRDefault="005541ED">
      <w:pPr>
        <w:pStyle w:val="20"/>
        <w:spacing w:before="0" w:after="0" w:line="520" w:lineRule="atLeast"/>
        <w:ind w:left="0" w:firstLineChars="200" w:firstLine="480"/>
        <w:rPr>
          <w:rFonts w:hAnsi="宋体"/>
          <w:szCs w:val="24"/>
        </w:rPr>
      </w:pPr>
      <w:r>
        <w:rPr>
          <w:rFonts w:hAnsi="宋体" w:hint="eastAsia"/>
          <w:szCs w:val="24"/>
        </w:rPr>
        <w:t>3.</w:t>
      </w:r>
      <w:permStart w:id="986394634" w:edGrp="everyone"/>
      <w:r w:rsidR="00CA745A" w:rsidRPr="00CA745A">
        <w:rPr>
          <w:rFonts w:hAnsi="宋体" w:hint="eastAsia"/>
          <w:szCs w:val="24"/>
        </w:rPr>
        <w:t>富国基金管理有限公司</w:t>
      </w:r>
      <w:permEnd w:id="986394634"/>
      <w:r>
        <w:rPr>
          <w:rFonts w:hAnsi="宋体" w:hint="eastAsia"/>
          <w:szCs w:val="24"/>
        </w:rPr>
        <w:t>拟担任</w:t>
      </w:r>
      <w:permStart w:id="48577045" w:edGrp="everyone"/>
      <w:r w:rsidR="00CA745A" w:rsidRPr="00CA745A">
        <w:rPr>
          <w:rFonts w:hAnsi="宋体" w:hint="eastAsia"/>
          <w:szCs w:val="24"/>
        </w:rPr>
        <w:t>富国</w:t>
      </w:r>
      <w:r w:rsidR="004011E8">
        <w:rPr>
          <w:rFonts w:hAnsi="宋体" w:hint="eastAsia"/>
          <w:szCs w:val="24"/>
        </w:rPr>
        <w:t>智信稳进</w:t>
      </w:r>
      <w:r w:rsidR="00CA745A" w:rsidRPr="00CA745A">
        <w:rPr>
          <w:rFonts w:hAnsi="宋体" w:hint="eastAsia"/>
          <w:szCs w:val="24"/>
        </w:rPr>
        <w:t>12个月持有期混合型基金中基金（FOF）</w:t>
      </w:r>
      <w:permEnd w:id="48577045"/>
      <w:r>
        <w:rPr>
          <w:rFonts w:hAnsi="宋体" w:hint="eastAsia"/>
          <w:szCs w:val="24"/>
        </w:rPr>
        <w:t>的基金管理人，</w:t>
      </w:r>
      <w:permStart w:id="997930021" w:edGrp="everyone"/>
      <w:r>
        <w:rPr>
          <w:rFonts w:hAnsi="宋体" w:hint="eastAsia"/>
          <w:szCs w:val="24"/>
        </w:rPr>
        <w:t>中信银行股份有限公司</w:t>
      </w:r>
      <w:permEnd w:id="997930021"/>
      <w:r>
        <w:rPr>
          <w:rFonts w:hAnsi="宋体" w:hint="eastAsia"/>
          <w:szCs w:val="24"/>
        </w:rPr>
        <w:t>拟担任</w:t>
      </w:r>
      <w:permStart w:id="1691749025" w:edGrp="everyone"/>
      <w:r w:rsidR="00CA745A" w:rsidRPr="00CA745A">
        <w:rPr>
          <w:rFonts w:hAnsi="宋体" w:hint="eastAsia"/>
          <w:szCs w:val="24"/>
        </w:rPr>
        <w:t>富国</w:t>
      </w:r>
      <w:r w:rsidR="004011E8">
        <w:rPr>
          <w:rFonts w:hAnsi="宋体" w:hint="eastAsia"/>
          <w:szCs w:val="24"/>
        </w:rPr>
        <w:t>智信稳进</w:t>
      </w:r>
      <w:r w:rsidR="00CA745A" w:rsidRPr="00CA745A">
        <w:rPr>
          <w:rFonts w:hAnsi="宋体" w:hint="eastAsia"/>
          <w:szCs w:val="24"/>
        </w:rPr>
        <w:t>12个月持有期混合型基金中基金（FOF）</w:t>
      </w:r>
      <w:permEnd w:id="1691749025"/>
      <w:r>
        <w:rPr>
          <w:rFonts w:hAnsi="宋体" w:hint="eastAsia"/>
          <w:szCs w:val="24"/>
        </w:rPr>
        <w:t>的基金托管人；</w:t>
      </w:r>
    </w:p>
    <w:p w14:paraId="1E4CBCE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14:paraId="00F69068" w14:textId="77777777" w:rsidR="00950499" w:rsidRDefault="005541ED">
      <w:pPr>
        <w:pStyle w:val="20"/>
        <w:spacing w:before="0" w:after="0" w:line="520" w:lineRule="atLeast"/>
        <w:ind w:left="0" w:firstLine="541"/>
        <w:rPr>
          <w:rFonts w:hAnsi="宋体"/>
          <w:b/>
          <w:bCs/>
          <w:szCs w:val="24"/>
        </w:rPr>
      </w:pPr>
      <w:r>
        <w:rPr>
          <w:rFonts w:hAnsi="宋体" w:hint="eastAsia"/>
          <w:b/>
          <w:bCs/>
          <w:szCs w:val="24"/>
        </w:rPr>
        <w:t>释义：</w:t>
      </w:r>
    </w:p>
    <w:p w14:paraId="0E0E8DA5" w14:textId="3345FE08" w:rsidR="00950499" w:rsidRDefault="005541ED">
      <w:pPr>
        <w:pStyle w:val="20"/>
        <w:spacing w:before="0" w:after="0" w:line="520" w:lineRule="atLeast"/>
        <w:ind w:left="0" w:firstLineChars="200" w:firstLine="480"/>
        <w:rPr>
          <w:rFonts w:hAnsi="宋体"/>
          <w:szCs w:val="24"/>
        </w:rPr>
      </w:pPr>
      <w:r>
        <w:rPr>
          <w:rFonts w:hAnsi="宋体" w:hint="eastAsia"/>
          <w:szCs w:val="24"/>
        </w:rPr>
        <w:t>除非另有约定，《</w:t>
      </w:r>
      <w:permStart w:id="893535210" w:edGrp="everyone"/>
      <w:r w:rsidR="00CA745A" w:rsidRPr="00CA745A">
        <w:rPr>
          <w:rFonts w:hAnsi="宋体" w:hint="eastAsia"/>
          <w:szCs w:val="24"/>
        </w:rPr>
        <w:t>富国</w:t>
      </w:r>
      <w:r w:rsidR="004011E8">
        <w:rPr>
          <w:rFonts w:hAnsi="宋体" w:hint="eastAsia"/>
          <w:szCs w:val="24"/>
        </w:rPr>
        <w:t>智信稳进</w:t>
      </w:r>
      <w:r w:rsidR="00CA745A" w:rsidRPr="00CA745A">
        <w:rPr>
          <w:rFonts w:hAnsi="宋体" w:hint="eastAsia"/>
          <w:szCs w:val="24"/>
        </w:rPr>
        <w:t>12个月持有期混合型基金中基金（FOF）</w:t>
      </w:r>
      <w:r>
        <w:rPr>
          <w:rFonts w:hAnsi="宋体" w:hint="eastAsia"/>
          <w:szCs w:val="24"/>
        </w:rPr>
        <w:t>基金合同</w:t>
      </w:r>
      <w:permEnd w:id="893535210"/>
      <w:r>
        <w:rPr>
          <w:rFonts w:hAnsi="宋体" w:hint="eastAsia"/>
          <w:szCs w:val="24"/>
        </w:rPr>
        <w:t xml:space="preserve">》(以下简称“基金合同”)中定义的术语在用于本托管协议时应具有相同的含义；若有抵触，应以基金合同为准，并依其条款解释。 </w:t>
      </w:r>
    </w:p>
    <w:p w14:paraId="5F5CBEB2" w14:textId="77777777" w:rsidR="00950499" w:rsidRDefault="005541ED">
      <w:pPr>
        <w:pStyle w:val="1"/>
        <w:spacing w:line="520" w:lineRule="atLeast"/>
        <w:ind w:firstLineChars="200" w:firstLine="482"/>
        <w:rPr>
          <w:bCs/>
          <w:color w:val="auto"/>
          <w:szCs w:val="24"/>
        </w:rPr>
      </w:pPr>
      <w:bookmarkStart w:id="16" w:name="_Toc296551337"/>
      <w:bookmarkStart w:id="17" w:name="_Toc44321724"/>
      <w:r>
        <w:rPr>
          <w:rFonts w:hint="eastAsia"/>
          <w:bCs/>
          <w:color w:val="auto"/>
          <w:szCs w:val="24"/>
        </w:rPr>
        <w:lastRenderedPageBreak/>
        <w:t>第一条 本协议当事人</w:t>
      </w:r>
      <w:bookmarkEnd w:id="16"/>
      <w:bookmarkEnd w:id="17"/>
    </w:p>
    <w:p w14:paraId="040C8A2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1.1基金管理人：</w:t>
      </w:r>
    </w:p>
    <w:p w14:paraId="701C7692" w14:textId="3F2F8DF3" w:rsidR="00950499" w:rsidRDefault="005541ED">
      <w:pPr>
        <w:pStyle w:val="20"/>
        <w:spacing w:before="0" w:after="0" w:line="520" w:lineRule="atLeast"/>
        <w:ind w:left="0" w:firstLineChars="200" w:firstLine="480"/>
        <w:rPr>
          <w:rFonts w:hAnsi="宋体"/>
          <w:szCs w:val="24"/>
        </w:rPr>
      </w:pPr>
      <w:permStart w:id="1132418598" w:edGrp="everyone"/>
      <w:r>
        <w:rPr>
          <w:rFonts w:hAnsi="宋体" w:hint="eastAsia"/>
          <w:szCs w:val="24"/>
        </w:rPr>
        <w:t>名称：</w:t>
      </w:r>
      <w:r w:rsidR="00CA745A" w:rsidRPr="00BF46F3">
        <w:rPr>
          <w:rFonts w:hAnsi="宋体" w:hint="eastAsia"/>
        </w:rPr>
        <w:t>富国基金管理有限公司</w:t>
      </w:r>
    </w:p>
    <w:p w14:paraId="0EFDA3AC" w14:textId="1E658762" w:rsidR="00950499" w:rsidRDefault="005541ED">
      <w:pPr>
        <w:pStyle w:val="20"/>
        <w:spacing w:before="0" w:after="0" w:line="520" w:lineRule="atLeast"/>
        <w:ind w:left="0" w:firstLineChars="200" w:firstLine="480"/>
        <w:rPr>
          <w:rFonts w:hAnsi="宋体"/>
          <w:szCs w:val="24"/>
        </w:rPr>
      </w:pPr>
      <w:r>
        <w:rPr>
          <w:rFonts w:hAnsi="宋体" w:hint="eastAsia"/>
          <w:szCs w:val="24"/>
        </w:rPr>
        <w:t>住所：</w:t>
      </w:r>
      <w:r w:rsidR="00CA745A" w:rsidRPr="004A5F5E">
        <w:rPr>
          <w:rFonts w:hAnsi="宋体" w:cs="宋体" w:hint="eastAsia"/>
          <w:bCs/>
        </w:rPr>
        <w:t>中国（上海）自由贸易试验区世纪大道1196号世纪汇办公楼二座27-30层</w:t>
      </w:r>
    </w:p>
    <w:p w14:paraId="337CAEDD" w14:textId="380787DA" w:rsidR="00950499" w:rsidRDefault="005541ED">
      <w:pPr>
        <w:pStyle w:val="20"/>
        <w:spacing w:before="0" w:after="0" w:line="520" w:lineRule="atLeast"/>
        <w:ind w:left="0" w:firstLineChars="200" w:firstLine="480"/>
        <w:rPr>
          <w:rFonts w:hAnsi="宋体"/>
          <w:szCs w:val="24"/>
        </w:rPr>
      </w:pPr>
      <w:r>
        <w:rPr>
          <w:rFonts w:hAnsi="宋体" w:hint="eastAsia"/>
          <w:szCs w:val="24"/>
        </w:rPr>
        <w:t>法定代表人：</w:t>
      </w:r>
      <w:r w:rsidR="00CA745A" w:rsidRPr="004A5F5E">
        <w:rPr>
          <w:rFonts w:hAnsi="宋体" w:cs="宋体" w:hint="eastAsia"/>
          <w:bCs/>
        </w:rPr>
        <w:t>裴长江</w:t>
      </w:r>
    </w:p>
    <w:p w14:paraId="514D22A9" w14:textId="037908F8" w:rsidR="00950499" w:rsidRDefault="005541ED">
      <w:pPr>
        <w:pStyle w:val="20"/>
        <w:spacing w:before="0" w:after="0" w:line="520" w:lineRule="atLeast"/>
        <w:ind w:left="0" w:firstLineChars="200" w:firstLine="480"/>
        <w:rPr>
          <w:rFonts w:hAnsi="宋体"/>
          <w:szCs w:val="24"/>
        </w:rPr>
      </w:pPr>
      <w:r>
        <w:rPr>
          <w:rFonts w:hAnsi="宋体" w:hint="eastAsia"/>
          <w:szCs w:val="24"/>
        </w:rPr>
        <w:t>成立时间：</w:t>
      </w:r>
      <w:r w:rsidR="00CA745A" w:rsidRPr="004A5F5E">
        <w:rPr>
          <w:rFonts w:hAnsi="宋体" w:cs="宋体" w:hint="eastAsia"/>
          <w:bCs/>
        </w:rPr>
        <w:t>1999年4月13日</w:t>
      </w:r>
    </w:p>
    <w:p w14:paraId="17378716" w14:textId="5559C7BE" w:rsidR="00950499" w:rsidRDefault="005541ED">
      <w:pPr>
        <w:pStyle w:val="20"/>
        <w:spacing w:before="0" w:after="0" w:line="520" w:lineRule="atLeast"/>
        <w:ind w:left="0" w:firstLineChars="200" w:firstLine="480"/>
        <w:rPr>
          <w:rFonts w:hAnsi="宋体"/>
          <w:szCs w:val="24"/>
        </w:rPr>
      </w:pPr>
      <w:r>
        <w:rPr>
          <w:rFonts w:hAnsi="宋体" w:hint="eastAsia"/>
          <w:szCs w:val="24"/>
        </w:rPr>
        <w:t>批准设立机关：</w:t>
      </w:r>
      <w:r w:rsidR="00CA745A" w:rsidRPr="004A5F5E">
        <w:rPr>
          <w:rFonts w:hAnsi="宋体" w:cs="宋体" w:hint="eastAsia"/>
          <w:bCs/>
        </w:rPr>
        <w:t>中国证券监督管理委员会</w:t>
      </w:r>
      <w:r>
        <w:rPr>
          <w:rFonts w:hAnsi="宋体" w:hint="eastAsia"/>
          <w:szCs w:val="24"/>
        </w:rPr>
        <w:t xml:space="preserve"> </w:t>
      </w:r>
    </w:p>
    <w:p w14:paraId="48461ABA" w14:textId="60157556" w:rsidR="00950499" w:rsidRDefault="005541ED">
      <w:pPr>
        <w:pStyle w:val="20"/>
        <w:spacing w:before="0" w:after="0" w:line="520" w:lineRule="atLeast"/>
        <w:ind w:left="0" w:firstLineChars="200" w:firstLine="480"/>
        <w:rPr>
          <w:rFonts w:hAnsi="宋体"/>
          <w:szCs w:val="24"/>
        </w:rPr>
      </w:pPr>
      <w:r>
        <w:rPr>
          <w:rFonts w:hAnsi="宋体" w:hint="eastAsia"/>
          <w:szCs w:val="24"/>
        </w:rPr>
        <w:t>批准设立文号：</w:t>
      </w:r>
      <w:r w:rsidR="00CA745A" w:rsidRPr="004A5F5E">
        <w:rPr>
          <w:rFonts w:hAnsi="宋体" w:cs="宋体" w:hint="eastAsia"/>
          <w:bCs/>
        </w:rPr>
        <w:t>证</w:t>
      </w:r>
      <w:proofErr w:type="gramStart"/>
      <w:r w:rsidR="00CA745A" w:rsidRPr="004A5F5E">
        <w:rPr>
          <w:rFonts w:hAnsi="宋体" w:cs="宋体" w:hint="eastAsia"/>
          <w:bCs/>
        </w:rPr>
        <w:t>监基金字</w:t>
      </w:r>
      <w:proofErr w:type="gramEnd"/>
      <w:r w:rsidR="00CA745A" w:rsidRPr="004A5F5E">
        <w:rPr>
          <w:rFonts w:hAnsi="宋体" w:cs="宋体" w:hint="eastAsia"/>
          <w:bCs/>
        </w:rPr>
        <w:t>【1999】11号</w:t>
      </w:r>
    </w:p>
    <w:p w14:paraId="447C3334" w14:textId="32433D7C" w:rsidR="00950499" w:rsidRDefault="005541ED">
      <w:pPr>
        <w:pStyle w:val="20"/>
        <w:spacing w:before="0" w:after="0" w:line="520" w:lineRule="atLeast"/>
        <w:ind w:left="0" w:firstLineChars="200" w:firstLine="480"/>
        <w:rPr>
          <w:rFonts w:hAnsi="宋体"/>
          <w:szCs w:val="24"/>
        </w:rPr>
      </w:pPr>
      <w:r>
        <w:rPr>
          <w:rFonts w:hAnsi="宋体" w:hint="eastAsia"/>
          <w:szCs w:val="24"/>
        </w:rPr>
        <w:t>组织形式：</w:t>
      </w:r>
      <w:r w:rsidR="00CA745A" w:rsidRPr="004A5F5E">
        <w:rPr>
          <w:rFonts w:hAnsi="宋体" w:cs="宋体" w:hint="eastAsia"/>
          <w:bCs/>
        </w:rPr>
        <w:t>有限责任公司</w:t>
      </w:r>
    </w:p>
    <w:p w14:paraId="6BC51F5D" w14:textId="589A7E56" w:rsidR="00950499" w:rsidRDefault="005541ED">
      <w:pPr>
        <w:pStyle w:val="20"/>
        <w:spacing w:before="0" w:after="0" w:line="520" w:lineRule="atLeast"/>
        <w:ind w:left="0" w:firstLineChars="200" w:firstLine="480"/>
        <w:rPr>
          <w:rFonts w:hAnsi="宋体"/>
          <w:szCs w:val="24"/>
        </w:rPr>
      </w:pPr>
      <w:r>
        <w:rPr>
          <w:rFonts w:hAnsi="宋体" w:hint="eastAsia"/>
          <w:szCs w:val="24"/>
        </w:rPr>
        <w:t>注册资本：</w:t>
      </w:r>
      <w:r w:rsidR="00CA745A">
        <w:rPr>
          <w:rFonts w:hAnsi="宋体" w:cs="宋体" w:hint="eastAsia"/>
          <w:bCs/>
        </w:rPr>
        <w:t>5</w:t>
      </w:r>
      <w:r w:rsidR="00CA745A">
        <w:rPr>
          <w:rFonts w:hAnsi="宋体" w:cs="宋体"/>
          <w:bCs/>
        </w:rPr>
        <w:t>.2亿元人民币</w:t>
      </w:r>
    </w:p>
    <w:p w14:paraId="04512BF3" w14:textId="66EA5863" w:rsidR="00950499" w:rsidRDefault="005541ED">
      <w:pPr>
        <w:pStyle w:val="20"/>
        <w:spacing w:before="0" w:after="0" w:line="520" w:lineRule="atLeast"/>
        <w:ind w:left="0" w:firstLineChars="200" w:firstLine="480"/>
        <w:rPr>
          <w:rFonts w:hAnsi="宋体"/>
          <w:szCs w:val="24"/>
        </w:rPr>
      </w:pPr>
      <w:r>
        <w:rPr>
          <w:rFonts w:hAnsi="宋体" w:hint="eastAsia"/>
          <w:szCs w:val="24"/>
        </w:rPr>
        <w:t>经营范围：</w:t>
      </w:r>
      <w:r w:rsidR="00B84DA3" w:rsidRPr="00B84DA3">
        <w:rPr>
          <w:rFonts w:hAnsi="宋体" w:hint="eastAsia"/>
          <w:szCs w:val="24"/>
        </w:rPr>
        <w:t>公开募集证券投资基金管理、基金销售、特定客户资产管理</w:t>
      </w:r>
    </w:p>
    <w:p w14:paraId="390FB1D0" w14:textId="0B47C333" w:rsidR="00950499" w:rsidRDefault="005541ED">
      <w:pPr>
        <w:pStyle w:val="20"/>
        <w:spacing w:before="0" w:after="0" w:line="520" w:lineRule="atLeast"/>
        <w:ind w:left="0" w:firstLineChars="200" w:firstLine="480"/>
        <w:rPr>
          <w:rFonts w:hAnsi="宋体"/>
          <w:szCs w:val="24"/>
        </w:rPr>
      </w:pPr>
      <w:r>
        <w:rPr>
          <w:rFonts w:hAnsi="宋体" w:hint="eastAsia"/>
          <w:szCs w:val="24"/>
        </w:rPr>
        <w:t>存续期间：</w:t>
      </w:r>
      <w:r w:rsidR="00CA745A">
        <w:rPr>
          <w:rFonts w:hAnsi="宋体" w:cs="宋体" w:hint="eastAsia"/>
          <w:bCs/>
        </w:rPr>
        <w:t>持续经营</w:t>
      </w:r>
      <w:permEnd w:id="1132418598"/>
    </w:p>
    <w:p w14:paraId="2A255CA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1.2基金托管人：</w:t>
      </w:r>
    </w:p>
    <w:p w14:paraId="7660D95F" w14:textId="2E9A80ED" w:rsidR="00950499" w:rsidRDefault="005541ED">
      <w:pPr>
        <w:pStyle w:val="20"/>
        <w:spacing w:before="0" w:after="0" w:line="520" w:lineRule="atLeast"/>
        <w:ind w:left="0" w:firstLineChars="200" w:firstLine="480"/>
        <w:rPr>
          <w:rFonts w:hAnsi="宋体"/>
          <w:szCs w:val="24"/>
        </w:rPr>
      </w:pPr>
      <w:permStart w:id="1809789911" w:edGrp="everyone"/>
      <w:r>
        <w:rPr>
          <w:rFonts w:hAnsi="宋体" w:hint="eastAsia"/>
          <w:szCs w:val="24"/>
        </w:rPr>
        <w:t>名称：中信银行股份有限公司</w:t>
      </w:r>
    </w:p>
    <w:p w14:paraId="7C7FF5C3" w14:textId="7850BEEA" w:rsidR="00950499" w:rsidRDefault="005541ED">
      <w:pPr>
        <w:pStyle w:val="20"/>
        <w:spacing w:before="0" w:after="0" w:line="520" w:lineRule="atLeast"/>
        <w:ind w:left="0" w:firstLineChars="200" w:firstLine="480"/>
        <w:rPr>
          <w:rFonts w:hAnsi="宋体"/>
          <w:szCs w:val="24"/>
        </w:rPr>
      </w:pPr>
      <w:r>
        <w:rPr>
          <w:rFonts w:hAnsi="宋体" w:hint="eastAsia"/>
          <w:szCs w:val="24"/>
        </w:rPr>
        <w:t>住所：</w:t>
      </w:r>
      <w:r w:rsidR="00010927" w:rsidRPr="00010927">
        <w:rPr>
          <w:rFonts w:hAnsi="宋体" w:hint="eastAsia"/>
          <w:szCs w:val="24"/>
        </w:rPr>
        <w:t>北京市朝阳区光华路10号院1号楼6-30层、32-42层</w:t>
      </w:r>
    </w:p>
    <w:p w14:paraId="54043B8A" w14:textId="2C4729DA" w:rsidR="00950499" w:rsidRDefault="005541ED">
      <w:pPr>
        <w:pStyle w:val="20"/>
        <w:spacing w:before="0" w:after="0" w:line="520" w:lineRule="atLeast"/>
        <w:ind w:left="0" w:firstLineChars="200" w:firstLine="480"/>
        <w:rPr>
          <w:rFonts w:hAnsi="宋体"/>
          <w:szCs w:val="24"/>
        </w:rPr>
      </w:pPr>
      <w:r>
        <w:rPr>
          <w:rFonts w:hAnsi="宋体" w:hint="eastAsia"/>
          <w:szCs w:val="24"/>
        </w:rPr>
        <w:t>法定代表人：</w:t>
      </w:r>
      <w:r w:rsidR="002337FD">
        <w:rPr>
          <w:rFonts w:hAnsi="宋体" w:hint="eastAsia"/>
          <w:szCs w:val="24"/>
        </w:rPr>
        <w:t>方合英</w:t>
      </w:r>
    </w:p>
    <w:p w14:paraId="416D072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成立时间：1987年4月</w:t>
      </w:r>
      <w:r>
        <w:rPr>
          <w:rFonts w:hAnsi="宋体"/>
          <w:szCs w:val="24"/>
        </w:rPr>
        <w:t>20</w:t>
      </w:r>
      <w:r>
        <w:rPr>
          <w:rFonts w:hAnsi="宋体" w:hint="eastAsia"/>
          <w:szCs w:val="24"/>
        </w:rPr>
        <w:t>日</w:t>
      </w:r>
    </w:p>
    <w:p w14:paraId="0EB8643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批准设立文号：国办函[1987]14号</w:t>
      </w:r>
    </w:p>
    <w:p w14:paraId="52E8A3C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基金托管业务批准文号：证</w:t>
      </w:r>
      <w:proofErr w:type="gramStart"/>
      <w:r>
        <w:rPr>
          <w:rFonts w:hAnsi="宋体" w:hint="eastAsia"/>
          <w:szCs w:val="24"/>
        </w:rPr>
        <w:t>监基金字</w:t>
      </w:r>
      <w:proofErr w:type="gramEnd"/>
      <w:r>
        <w:rPr>
          <w:rFonts w:hAnsi="宋体" w:hint="eastAsia"/>
          <w:szCs w:val="24"/>
        </w:rPr>
        <w:t>[2004]125号</w:t>
      </w:r>
    </w:p>
    <w:p w14:paraId="41DF424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组织形式：股份有限公司</w:t>
      </w:r>
    </w:p>
    <w:p w14:paraId="2CFDD6B0" w14:textId="715DBF93" w:rsidR="00950499" w:rsidRDefault="005541ED">
      <w:pPr>
        <w:pStyle w:val="20"/>
        <w:spacing w:before="0" w:after="0" w:line="520" w:lineRule="atLeast"/>
        <w:ind w:left="0" w:firstLineChars="200" w:firstLine="480"/>
        <w:rPr>
          <w:rFonts w:hAnsi="宋体"/>
          <w:szCs w:val="24"/>
        </w:rPr>
      </w:pPr>
      <w:r>
        <w:rPr>
          <w:rFonts w:hAnsi="宋体" w:hint="eastAsia"/>
          <w:szCs w:val="24"/>
        </w:rPr>
        <w:t>注册资本：</w:t>
      </w:r>
      <w:r w:rsidR="00B84DA3" w:rsidRPr="00B84DA3">
        <w:rPr>
          <w:rFonts w:hAnsi="宋体" w:hint="eastAsia"/>
          <w:szCs w:val="24"/>
        </w:rPr>
        <w:t>489.35亿元人民币</w:t>
      </w:r>
    </w:p>
    <w:p w14:paraId="2121E95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存续期间：持续经营</w:t>
      </w:r>
      <w:permEnd w:id="1809789911"/>
    </w:p>
    <w:p w14:paraId="2D0097ED" w14:textId="77777777" w:rsidR="00950499" w:rsidRDefault="005541ED">
      <w:pPr>
        <w:pStyle w:val="1"/>
        <w:spacing w:line="520" w:lineRule="atLeast"/>
        <w:ind w:firstLineChars="200" w:firstLine="482"/>
        <w:rPr>
          <w:bCs/>
          <w:color w:val="auto"/>
          <w:szCs w:val="24"/>
        </w:rPr>
      </w:pPr>
      <w:bookmarkStart w:id="18" w:name="_Toc296551338"/>
      <w:bookmarkStart w:id="19" w:name="_Toc44321725"/>
      <w:r>
        <w:rPr>
          <w:rFonts w:hint="eastAsia"/>
          <w:bCs/>
          <w:color w:val="auto"/>
          <w:szCs w:val="24"/>
        </w:rPr>
        <w:t>第二条 本协议的依据、目的和原则</w:t>
      </w:r>
      <w:bookmarkEnd w:id="18"/>
      <w:bookmarkEnd w:id="19"/>
    </w:p>
    <w:p w14:paraId="0AD12E3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2.1本协议的依据</w:t>
      </w:r>
    </w:p>
    <w:p w14:paraId="15E7135B" w14:textId="486C76BA" w:rsidR="00950499" w:rsidRDefault="005541ED">
      <w:pPr>
        <w:pStyle w:val="20"/>
        <w:spacing w:before="0" w:after="0" w:line="520" w:lineRule="atLeast"/>
        <w:ind w:left="0" w:firstLineChars="200" w:firstLine="480"/>
        <w:rPr>
          <w:rFonts w:hAnsi="宋体"/>
          <w:szCs w:val="24"/>
        </w:rPr>
      </w:pPr>
      <w:r>
        <w:rPr>
          <w:rFonts w:hAnsi="宋体" w:hint="eastAsia"/>
          <w:szCs w:val="24"/>
        </w:rPr>
        <w:t>订立本协议的依据是《中华人民共和国证券投资基金法》（以下简称“《基金法》”）、《公开募集证券投资基金运作管理办法》（以下简称“《运作办法》”）、《</w:t>
      </w:r>
      <w:r w:rsidR="00B84DA3">
        <w:rPr>
          <w:rFonts w:hAnsi="宋体" w:hint="eastAsia"/>
          <w:szCs w:val="24"/>
        </w:rPr>
        <w:t>公开募集</w:t>
      </w:r>
      <w:r>
        <w:rPr>
          <w:rFonts w:hAnsi="宋体" w:hint="eastAsia"/>
          <w:szCs w:val="24"/>
        </w:rPr>
        <w:t>证券投资基金销售</w:t>
      </w:r>
      <w:r w:rsidR="00B84DA3">
        <w:rPr>
          <w:rFonts w:hAnsi="宋体" w:hint="eastAsia"/>
          <w:szCs w:val="24"/>
        </w:rPr>
        <w:t>机构监督</w:t>
      </w:r>
      <w:r>
        <w:rPr>
          <w:rFonts w:hAnsi="宋体" w:hint="eastAsia"/>
          <w:szCs w:val="24"/>
        </w:rPr>
        <w:t>管理办法》（以下简称“《销售办法》”）、《公开</w:t>
      </w:r>
      <w:r>
        <w:rPr>
          <w:rFonts w:hAnsi="宋体"/>
          <w:szCs w:val="24"/>
        </w:rPr>
        <w:lastRenderedPageBreak/>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w:t>
      </w:r>
      <w:permStart w:id="835983585" w:edGrp="everyone"/>
      <w:r w:rsidR="00CA745A" w:rsidRPr="00CA745A">
        <w:rPr>
          <w:rFonts w:hAnsi="宋体" w:hint="eastAsia"/>
          <w:szCs w:val="24"/>
        </w:rPr>
        <w:t>富国</w:t>
      </w:r>
      <w:r w:rsidR="004011E8">
        <w:rPr>
          <w:rFonts w:hAnsi="宋体" w:hint="eastAsia"/>
          <w:szCs w:val="24"/>
        </w:rPr>
        <w:t>智信稳进</w:t>
      </w:r>
      <w:r w:rsidR="00CA745A" w:rsidRPr="00CA745A">
        <w:rPr>
          <w:rFonts w:hAnsi="宋体" w:hint="eastAsia"/>
          <w:szCs w:val="24"/>
        </w:rPr>
        <w:t>12个月持有期混合型基金中基金（FOF）</w:t>
      </w:r>
      <w:r>
        <w:rPr>
          <w:rFonts w:hAnsi="宋体" w:hint="eastAsia"/>
          <w:szCs w:val="24"/>
        </w:rPr>
        <w:t>基金合同</w:t>
      </w:r>
      <w:permEnd w:id="835983585"/>
      <w:r>
        <w:rPr>
          <w:rFonts w:hAnsi="宋体" w:hint="eastAsia"/>
          <w:szCs w:val="24"/>
        </w:rPr>
        <w:t>》（以下简称“基金合同”）及其他有关规定。</w:t>
      </w:r>
    </w:p>
    <w:p w14:paraId="5CDE4AF2"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2.2本协议的目的</w:t>
      </w:r>
    </w:p>
    <w:p w14:paraId="56EE0B4A"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05340CDF"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2.3本协议的原则</w:t>
      </w:r>
    </w:p>
    <w:p w14:paraId="38DE8B92" w14:textId="5EDE2638"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0B6D2C7B" w14:textId="24A00284" w:rsidR="00E71E30" w:rsidRDefault="00E71E30">
      <w:pPr>
        <w:pStyle w:val="20"/>
        <w:adjustRightInd w:val="0"/>
        <w:snapToGrid w:val="0"/>
        <w:spacing w:before="0" w:after="0" w:line="520" w:lineRule="atLeast"/>
        <w:ind w:left="0" w:firstLineChars="200" w:firstLine="480"/>
        <w:rPr>
          <w:rFonts w:hAnsi="宋体"/>
          <w:szCs w:val="24"/>
        </w:rPr>
      </w:pPr>
      <w:r>
        <w:rPr>
          <w:rFonts w:hAnsi="宋体" w:hint="eastAsia"/>
          <w:szCs w:val="24"/>
        </w:rPr>
        <w:t>2</w:t>
      </w:r>
      <w:r>
        <w:rPr>
          <w:rFonts w:hAnsi="宋体"/>
          <w:szCs w:val="24"/>
        </w:rPr>
        <w:t>.4</w:t>
      </w:r>
      <w:r w:rsidRPr="00E71E30">
        <w:rPr>
          <w:rFonts w:hAnsi="宋体" w:hint="eastAsia"/>
          <w:szCs w:val="24"/>
        </w:rPr>
        <w:t>若本基金实施</w:t>
      </w:r>
      <w:proofErr w:type="gramStart"/>
      <w:r w:rsidRPr="00E71E30">
        <w:rPr>
          <w:rFonts w:hAnsi="宋体" w:hint="eastAsia"/>
          <w:szCs w:val="24"/>
        </w:rPr>
        <w:t>侧袋机制</w:t>
      </w:r>
      <w:proofErr w:type="gramEnd"/>
      <w:r w:rsidRPr="00E71E30">
        <w:rPr>
          <w:rFonts w:hAnsi="宋体" w:hint="eastAsia"/>
          <w:szCs w:val="24"/>
        </w:rPr>
        <w:t>的，</w:t>
      </w:r>
      <w:proofErr w:type="gramStart"/>
      <w:r w:rsidRPr="00E71E30">
        <w:rPr>
          <w:rFonts w:hAnsi="宋体" w:hint="eastAsia"/>
          <w:szCs w:val="24"/>
        </w:rPr>
        <w:t>侧袋机制</w:t>
      </w:r>
      <w:proofErr w:type="gramEnd"/>
      <w:r w:rsidRPr="00E71E30">
        <w:rPr>
          <w:rFonts w:hAnsi="宋体" w:hint="eastAsia"/>
          <w:szCs w:val="24"/>
        </w:rPr>
        <w:t>实施期间的相关安排</w:t>
      </w:r>
      <w:proofErr w:type="gramStart"/>
      <w:r w:rsidRPr="00E71E30">
        <w:rPr>
          <w:rFonts w:hAnsi="宋体" w:hint="eastAsia"/>
          <w:szCs w:val="24"/>
        </w:rPr>
        <w:t>见基金</w:t>
      </w:r>
      <w:proofErr w:type="gramEnd"/>
      <w:r w:rsidRPr="00E71E30">
        <w:rPr>
          <w:rFonts w:hAnsi="宋体" w:hint="eastAsia"/>
          <w:szCs w:val="24"/>
        </w:rPr>
        <w:t>合同和招募说明书的规定。</w:t>
      </w:r>
    </w:p>
    <w:p w14:paraId="4C9D4198" w14:textId="77777777" w:rsidR="00950499" w:rsidRDefault="005541ED">
      <w:pPr>
        <w:pStyle w:val="1"/>
        <w:adjustRightInd w:val="0"/>
        <w:spacing w:line="520" w:lineRule="atLeast"/>
        <w:ind w:firstLineChars="200" w:firstLine="482"/>
        <w:rPr>
          <w:bCs/>
          <w:color w:val="auto"/>
          <w:szCs w:val="24"/>
        </w:rPr>
      </w:pPr>
      <w:bookmarkStart w:id="20" w:name="_Toc296551339"/>
      <w:bookmarkStart w:id="21" w:name="_Toc44321726"/>
      <w:r>
        <w:rPr>
          <w:rFonts w:hint="eastAsia"/>
          <w:bCs/>
          <w:color w:val="auto"/>
          <w:szCs w:val="24"/>
        </w:rPr>
        <w:t>第三条 基金托管人对基金管理人的业务监督和核查</w:t>
      </w:r>
      <w:bookmarkEnd w:id="20"/>
      <w:bookmarkEnd w:id="21"/>
    </w:p>
    <w:p w14:paraId="47EA5117"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3.1基金托管人对基金管理人的投资行为行使监督权</w:t>
      </w:r>
    </w:p>
    <w:p w14:paraId="0335B647"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3.1.1基金托管人根据有关法律法规的规定和基金合同的约定，对下述基金投资范围、投资对象进行监督。本基金将投资于以下金融工具：</w:t>
      </w:r>
    </w:p>
    <w:p w14:paraId="4411C46C" w14:textId="382895D0" w:rsidR="00CA745A" w:rsidRPr="00CA745A" w:rsidRDefault="005541ED" w:rsidP="00C3159B">
      <w:pPr>
        <w:adjustRightInd w:val="0"/>
        <w:snapToGrid w:val="0"/>
        <w:spacing w:line="520" w:lineRule="atLeast"/>
        <w:ind w:firstLine="480"/>
        <w:rPr>
          <w:rFonts w:ascii="宋体" w:hAnsi="宋体"/>
          <w:sz w:val="24"/>
          <w:szCs w:val="24"/>
        </w:rPr>
      </w:pPr>
      <w:r>
        <w:rPr>
          <w:rFonts w:ascii="宋体" w:hAnsi="宋体" w:hint="eastAsia"/>
          <w:sz w:val="24"/>
          <w:szCs w:val="24"/>
        </w:rPr>
        <w:t xml:space="preserve">本基金的投资范围包括具有良好流动性的金融工具，包括：                                                              </w:t>
      </w:r>
    </w:p>
    <w:p w14:paraId="6BA40F04" w14:textId="1C8CB760" w:rsidR="00CA745A" w:rsidRPr="00CA745A" w:rsidRDefault="00CA745A" w:rsidP="00CA745A">
      <w:pPr>
        <w:spacing w:line="520" w:lineRule="atLeast"/>
        <w:ind w:firstLine="480"/>
        <w:rPr>
          <w:rFonts w:ascii="宋体" w:hAnsi="宋体"/>
          <w:sz w:val="24"/>
          <w:szCs w:val="24"/>
        </w:rPr>
      </w:pPr>
      <w:r w:rsidRPr="00CA745A">
        <w:rPr>
          <w:rFonts w:ascii="宋体" w:hAnsi="宋体" w:hint="eastAsia"/>
          <w:sz w:val="24"/>
          <w:szCs w:val="24"/>
        </w:rPr>
        <w:t>本基金的投资范围包括经中国证监会依法核准或注册的公开募集的基金份额（不包括QDII基金和香港互认基金）</w:t>
      </w:r>
      <w:r w:rsidR="00AE11CE">
        <w:rPr>
          <w:rFonts w:ascii="宋体" w:hAnsi="宋体" w:hint="eastAsia"/>
          <w:sz w:val="24"/>
          <w:szCs w:val="24"/>
        </w:rPr>
        <w:t>、</w:t>
      </w:r>
      <w:r w:rsidRPr="00CA745A">
        <w:rPr>
          <w:rFonts w:ascii="宋体" w:hAnsi="宋体" w:hint="eastAsia"/>
          <w:sz w:val="24"/>
          <w:szCs w:val="24"/>
        </w:rPr>
        <w:t>国内依法公开发行上市交易的股票（包括主板、创业板及其他中国证监会允许基金投资的股票）、存托凭证、港股通标的股票、债券（包括国债、地方政府债、金融债、企业债、公司债、政府支持债券、政府支持机构债、次级债、可转换债券、分离交易可转债、央行票据、中期票据、短期融资</w:t>
      </w:r>
      <w:proofErr w:type="gramStart"/>
      <w:r w:rsidRPr="00CA745A">
        <w:rPr>
          <w:rFonts w:ascii="宋体" w:hAnsi="宋体" w:hint="eastAsia"/>
          <w:sz w:val="24"/>
          <w:szCs w:val="24"/>
        </w:rPr>
        <w:t>券</w:t>
      </w:r>
      <w:proofErr w:type="gramEnd"/>
      <w:r w:rsidRPr="00CA745A">
        <w:rPr>
          <w:rFonts w:ascii="宋体" w:hAnsi="宋体" w:hint="eastAsia"/>
          <w:sz w:val="24"/>
          <w:szCs w:val="24"/>
        </w:rPr>
        <w:t>（</w:t>
      </w:r>
      <w:proofErr w:type="gramStart"/>
      <w:r w:rsidRPr="00CA745A">
        <w:rPr>
          <w:rFonts w:ascii="宋体" w:hAnsi="宋体" w:hint="eastAsia"/>
          <w:sz w:val="24"/>
          <w:szCs w:val="24"/>
        </w:rPr>
        <w:t>含超短期</w:t>
      </w:r>
      <w:proofErr w:type="gramEnd"/>
      <w:r w:rsidRPr="00CA745A">
        <w:rPr>
          <w:rFonts w:ascii="宋体" w:hAnsi="宋体" w:hint="eastAsia"/>
          <w:sz w:val="24"/>
          <w:szCs w:val="24"/>
        </w:rPr>
        <w:t>融资</w:t>
      </w:r>
      <w:proofErr w:type="gramStart"/>
      <w:r w:rsidRPr="00CA745A">
        <w:rPr>
          <w:rFonts w:ascii="宋体" w:hAnsi="宋体" w:hint="eastAsia"/>
          <w:sz w:val="24"/>
          <w:szCs w:val="24"/>
        </w:rPr>
        <w:t>券</w:t>
      </w:r>
      <w:proofErr w:type="gramEnd"/>
      <w:r w:rsidRPr="00CA745A">
        <w:rPr>
          <w:rFonts w:ascii="宋体" w:hAnsi="宋体" w:hint="eastAsia"/>
          <w:sz w:val="24"/>
          <w:szCs w:val="24"/>
        </w:rPr>
        <w:t>）、可交换债券）、资产支持证券、债券回购、银行存款（包括定期存款、协议存款、通知存款等）、同业存单以及法律法规或中国证监会允许基金投资的其他金融工具（但须符合中国证监会的相关规定）。</w:t>
      </w:r>
    </w:p>
    <w:p w14:paraId="5E50BD66" w14:textId="3A5D1E9C" w:rsidR="00950499" w:rsidRDefault="00CA745A" w:rsidP="00CA745A">
      <w:pPr>
        <w:spacing w:line="520" w:lineRule="atLeast"/>
        <w:ind w:firstLine="480"/>
        <w:rPr>
          <w:rFonts w:ascii="宋体" w:hAnsi="宋体"/>
          <w:sz w:val="24"/>
          <w:szCs w:val="24"/>
        </w:rPr>
      </w:pPr>
      <w:r w:rsidRPr="00CA745A">
        <w:rPr>
          <w:rFonts w:ascii="宋体" w:hAnsi="宋体" w:hint="eastAsia"/>
          <w:sz w:val="24"/>
          <w:szCs w:val="24"/>
        </w:rPr>
        <w:t>如法律法规或监管机构以后允许基金投资其他品种，基金管理人在履行适当</w:t>
      </w:r>
      <w:r w:rsidRPr="00CA745A">
        <w:rPr>
          <w:rFonts w:ascii="宋体" w:hAnsi="宋体" w:hint="eastAsia"/>
          <w:sz w:val="24"/>
          <w:szCs w:val="24"/>
        </w:rPr>
        <w:lastRenderedPageBreak/>
        <w:t>程序后，可以将其纳入投资范围。</w:t>
      </w:r>
      <w:r w:rsidR="005541ED">
        <w:rPr>
          <w:rFonts w:ascii="宋体" w:hAnsi="宋体"/>
          <w:sz w:val="24"/>
          <w:szCs w:val="24"/>
        </w:rPr>
        <w:t xml:space="preserve">                                                                                                                            </w:t>
      </w:r>
    </w:p>
    <w:p w14:paraId="5A7EC8AC" w14:textId="77777777" w:rsidR="00950499" w:rsidRDefault="005541ED">
      <w:pPr>
        <w:spacing w:line="520" w:lineRule="atLeast"/>
        <w:ind w:firstLine="480"/>
        <w:rPr>
          <w:rFonts w:ascii="宋体" w:hAnsi="宋体"/>
          <w:sz w:val="24"/>
          <w:szCs w:val="24"/>
        </w:rPr>
      </w:pPr>
      <w:r>
        <w:rPr>
          <w:rFonts w:ascii="宋体" w:hAnsi="宋体" w:hint="eastAsia"/>
          <w:sz w:val="24"/>
          <w:szCs w:val="24"/>
        </w:rPr>
        <w:t>本基金各类资产的投资比例范围为：</w:t>
      </w:r>
    </w:p>
    <w:p w14:paraId="5519BD75" w14:textId="693E7911" w:rsidR="00CA745A" w:rsidRPr="00CA745A" w:rsidRDefault="00CA745A" w:rsidP="00CA745A">
      <w:pPr>
        <w:spacing w:line="520" w:lineRule="atLeast"/>
        <w:ind w:firstLine="480"/>
        <w:rPr>
          <w:rFonts w:ascii="宋体" w:hAnsi="宋体"/>
          <w:sz w:val="24"/>
          <w:szCs w:val="24"/>
        </w:rPr>
      </w:pPr>
      <w:r w:rsidRPr="00CA745A">
        <w:rPr>
          <w:rFonts w:ascii="宋体" w:hAnsi="宋体" w:hint="eastAsia"/>
          <w:sz w:val="24"/>
          <w:szCs w:val="24"/>
        </w:rPr>
        <w:t>本基金投资于经中国证监会依法核准或注册的公开募集的基金份额的资产占基金资产的比例不低于80%；其中，股票、存托凭证、股票型基金、</w:t>
      </w:r>
      <w:proofErr w:type="gramStart"/>
      <w:r w:rsidRPr="00CA745A">
        <w:rPr>
          <w:rFonts w:ascii="宋体" w:hAnsi="宋体" w:hint="eastAsia"/>
          <w:sz w:val="24"/>
          <w:szCs w:val="24"/>
        </w:rPr>
        <w:t>偏股混合型</w:t>
      </w:r>
      <w:proofErr w:type="gramEnd"/>
      <w:r w:rsidRPr="00CA745A">
        <w:rPr>
          <w:rFonts w:ascii="宋体" w:hAnsi="宋体" w:hint="eastAsia"/>
          <w:sz w:val="24"/>
          <w:szCs w:val="24"/>
        </w:rPr>
        <w:t>基金等权益类资产投资合计占基金资产的比例为</w:t>
      </w:r>
      <w:r w:rsidR="004011E8">
        <w:rPr>
          <w:rFonts w:ascii="宋体" w:hAnsi="宋体"/>
          <w:sz w:val="24"/>
          <w:szCs w:val="24"/>
        </w:rPr>
        <w:t>0</w:t>
      </w:r>
      <w:r w:rsidRPr="00CA745A">
        <w:rPr>
          <w:rFonts w:ascii="宋体" w:hAnsi="宋体" w:hint="eastAsia"/>
          <w:sz w:val="24"/>
          <w:szCs w:val="24"/>
        </w:rPr>
        <w:t>%-</w:t>
      </w:r>
      <w:r w:rsidR="004011E8">
        <w:rPr>
          <w:rFonts w:ascii="宋体" w:hAnsi="宋体"/>
          <w:sz w:val="24"/>
          <w:szCs w:val="24"/>
        </w:rPr>
        <w:t>30</w:t>
      </w:r>
      <w:r w:rsidRPr="00CA745A">
        <w:rPr>
          <w:rFonts w:ascii="宋体" w:hAnsi="宋体" w:hint="eastAsia"/>
          <w:sz w:val="24"/>
          <w:szCs w:val="24"/>
        </w:rPr>
        <w:t>%，投资于货币市场基金的资产占基金资产的比例不高于15%。本基金投资于港股通标的股票的比例占股票资产的0%-50%。本基金应当保持不低于基金资产净值5%的现金或者到期日在一年以内的政府债券；其中，现金不包括结算备付金、存出保证金、应收申购款等。其中，计入上述权益类资产</w:t>
      </w:r>
      <w:proofErr w:type="gramStart"/>
      <w:r w:rsidRPr="00CA745A">
        <w:rPr>
          <w:rFonts w:ascii="宋体" w:hAnsi="宋体" w:hint="eastAsia"/>
          <w:sz w:val="24"/>
          <w:szCs w:val="24"/>
        </w:rPr>
        <w:t>的偏股混合型</w:t>
      </w:r>
      <w:proofErr w:type="gramEnd"/>
      <w:r w:rsidRPr="00CA745A">
        <w:rPr>
          <w:rFonts w:ascii="宋体" w:hAnsi="宋体" w:hint="eastAsia"/>
          <w:sz w:val="24"/>
          <w:szCs w:val="24"/>
        </w:rPr>
        <w:t>基金需符合下列两个条件之一：</w:t>
      </w:r>
    </w:p>
    <w:p w14:paraId="57860E90" w14:textId="77777777" w:rsidR="00CA745A" w:rsidRPr="00CA745A" w:rsidRDefault="00CA745A" w:rsidP="00CA745A">
      <w:pPr>
        <w:spacing w:line="520" w:lineRule="atLeast"/>
        <w:ind w:firstLine="480"/>
        <w:rPr>
          <w:rFonts w:ascii="宋体" w:hAnsi="宋体"/>
          <w:sz w:val="24"/>
          <w:szCs w:val="24"/>
        </w:rPr>
      </w:pPr>
      <w:r w:rsidRPr="00CA745A">
        <w:rPr>
          <w:rFonts w:ascii="宋体" w:hAnsi="宋体" w:hint="eastAsia"/>
          <w:sz w:val="24"/>
          <w:szCs w:val="24"/>
        </w:rPr>
        <w:t>1）基金合同约定股票及存托凭证资产投资比例不低于基金资产60%的混合型基金；</w:t>
      </w:r>
    </w:p>
    <w:p w14:paraId="4CE5476C" w14:textId="4330E2D9" w:rsidR="00950499" w:rsidRDefault="00CA745A" w:rsidP="00CA745A">
      <w:pPr>
        <w:spacing w:line="520" w:lineRule="atLeast"/>
        <w:ind w:firstLine="480"/>
        <w:rPr>
          <w:rFonts w:ascii="宋体" w:hAnsi="宋体"/>
          <w:sz w:val="24"/>
          <w:szCs w:val="24"/>
        </w:rPr>
      </w:pPr>
      <w:r w:rsidRPr="00CA745A">
        <w:rPr>
          <w:rFonts w:ascii="宋体" w:hAnsi="宋体" w:hint="eastAsia"/>
          <w:sz w:val="24"/>
          <w:szCs w:val="24"/>
        </w:rPr>
        <w:t>2）根据基金披露的定期报告，最近四个季度股票及存托凭证资产占基金资产比例均不低于60%的混合型基金。</w:t>
      </w:r>
      <w:r w:rsidR="005541ED">
        <w:rPr>
          <w:rFonts w:ascii="宋体" w:hAnsi="宋体"/>
          <w:sz w:val="24"/>
          <w:szCs w:val="24"/>
        </w:rPr>
        <w:t xml:space="preserve">                                                                                                                                 </w:t>
      </w:r>
    </w:p>
    <w:p w14:paraId="12F1EB61" w14:textId="5F36A4EC" w:rsidR="00950499" w:rsidRDefault="00B84DA3">
      <w:pPr>
        <w:spacing w:line="520" w:lineRule="atLeast"/>
        <w:ind w:firstLine="480"/>
        <w:rPr>
          <w:rFonts w:ascii="宋体" w:hAnsi="宋体"/>
          <w:sz w:val="24"/>
        </w:rPr>
      </w:pPr>
      <w:r w:rsidRPr="00B84DA3">
        <w:rPr>
          <w:rFonts w:ascii="宋体" w:hAnsi="宋体" w:hint="eastAsia"/>
          <w:sz w:val="24"/>
        </w:rPr>
        <w:t>如果法律法规对该比例要求有变更的，在履行适当程序后，以变更后的比例为准，本基金的投资比例会做相应调整</w:t>
      </w:r>
      <w:r w:rsidR="005541ED">
        <w:rPr>
          <w:rFonts w:ascii="宋体" w:hAnsi="宋体" w:hint="eastAsia"/>
          <w:sz w:val="24"/>
        </w:rPr>
        <w:t>。</w:t>
      </w:r>
    </w:p>
    <w:p w14:paraId="65DFA65A" w14:textId="77777777" w:rsidR="00950499" w:rsidRDefault="005541ED">
      <w:pPr>
        <w:spacing w:line="520" w:lineRule="atLeast"/>
        <w:jc w:val="left"/>
        <w:rPr>
          <w:rFonts w:ascii="宋体" w:hAnsi="宋体"/>
          <w:sz w:val="24"/>
        </w:rPr>
      </w:pPr>
      <w:r>
        <w:rPr>
          <w:rFonts w:ascii="宋体" w:hAnsi="宋体" w:hint="eastAsia"/>
          <w:sz w:val="24"/>
        </w:rPr>
        <w:t xml:space="preserve">    3.1.2基金托管人根据有关法律法规的规定及基金合同的约定对下述基金投融资比例进行监督：    </w:t>
      </w:r>
    </w:p>
    <w:p w14:paraId="645430A9" w14:textId="4E61CDAC" w:rsidR="00CA745A" w:rsidRPr="00CA745A" w:rsidRDefault="00CA745A" w:rsidP="00C3159B">
      <w:pPr>
        <w:spacing w:line="520" w:lineRule="atLeast"/>
        <w:ind w:firstLine="480"/>
        <w:rPr>
          <w:rFonts w:ascii="宋体" w:hAnsi="宋体"/>
          <w:sz w:val="24"/>
          <w:szCs w:val="24"/>
        </w:rPr>
      </w:pPr>
      <w:permStart w:id="1741642853" w:edGrp="everyone"/>
      <w:r w:rsidRPr="00CA745A">
        <w:rPr>
          <w:rFonts w:ascii="宋体" w:hAnsi="宋体" w:hint="eastAsia"/>
          <w:sz w:val="24"/>
          <w:szCs w:val="24"/>
        </w:rPr>
        <w:t>（1）本基金投资于经中国证监会依法核准或注册的公开募集的基金份额的资产占基金资产的比例不低于80%，其中，投资于货币市场基金的资产占基金资产的比例不高于15%；</w:t>
      </w:r>
    </w:p>
    <w:p w14:paraId="0CDBA51B" w14:textId="433BA762"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（2）本基金投资于股票、存托凭证、股票型基金、</w:t>
      </w:r>
      <w:proofErr w:type="gramStart"/>
      <w:r w:rsidRPr="00CA745A">
        <w:rPr>
          <w:rFonts w:ascii="宋体" w:hAnsi="宋体" w:hint="eastAsia"/>
          <w:sz w:val="24"/>
          <w:szCs w:val="24"/>
        </w:rPr>
        <w:t>偏股混合型</w:t>
      </w:r>
      <w:proofErr w:type="gramEnd"/>
      <w:r w:rsidRPr="00CA745A">
        <w:rPr>
          <w:rFonts w:ascii="宋体" w:hAnsi="宋体" w:hint="eastAsia"/>
          <w:sz w:val="24"/>
          <w:szCs w:val="24"/>
        </w:rPr>
        <w:t>基金等权益类资产合计占基金资产的比例为</w:t>
      </w:r>
      <w:r w:rsidR="004011E8">
        <w:rPr>
          <w:rFonts w:ascii="宋体" w:hAnsi="宋体"/>
          <w:sz w:val="24"/>
          <w:szCs w:val="24"/>
        </w:rPr>
        <w:t>0</w:t>
      </w:r>
      <w:r w:rsidRPr="00CA745A">
        <w:rPr>
          <w:rFonts w:ascii="宋体" w:hAnsi="宋体" w:hint="eastAsia"/>
          <w:sz w:val="24"/>
          <w:szCs w:val="24"/>
        </w:rPr>
        <w:t>%-</w:t>
      </w:r>
      <w:r w:rsidR="004011E8">
        <w:rPr>
          <w:rFonts w:ascii="宋体" w:hAnsi="宋体"/>
          <w:sz w:val="24"/>
          <w:szCs w:val="24"/>
        </w:rPr>
        <w:t>30</w:t>
      </w:r>
      <w:r w:rsidRPr="00CA745A">
        <w:rPr>
          <w:rFonts w:ascii="宋体" w:hAnsi="宋体" w:hint="eastAsia"/>
          <w:sz w:val="24"/>
          <w:szCs w:val="24"/>
        </w:rPr>
        <w:t>%；其中，计入上述权益类资产</w:t>
      </w:r>
      <w:proofErr w:type="gramStart"/>
      <w:r w:rsidRPr="00CA745A">
        <w:rPr>
          <w:rFonts w:ascii="宋体" w:hAnsi="宋体" w:hint="eastAsia"/>
          <w:sz w:val="24"/>
          <w:szCs w:val="24"/>
        </w:rPr>
        <w:t>的偏股混合型</w:t>
      </w:r>
      <w:proofErr w:type="gramEnd"/>
      <w:r w:rsidRPr="00CA745A">
        <w:rPr>
          <w:rFonts w:ascii="宋体" w:hAnsi="宋体" w:hint="eastAsia"/>
          <w:sz w:val="24"/>
          <w:szCs w:val="24"/>
        </w:rPr>
        <w:t>基金需符合下列两个条件之一：</w:t>
      </w:r>
    </w:p>
    <w:p w14:paraId="6159B65A"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1）基金合同约定股票及存托凭证资产投资比例不低于基金资产60%的混合型基金；</w:t>
      </w:r>
    </w:p>
    <w:p w14:paraId="49B587B7" w14:textId="7759476F"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2）根据基金披露的定期报告，最近四个季度股票及存托凭证资产占基金资产比例均不低于60%的混合型基金；</w:t>
      </w:r>
    </w:p>
    <w:p w14:paraId="54245C55"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（3）本基金港股通标的股票投资占股票资产的比例为0-50%；</w:t>
      </w:r>
    </w:p>
    <w:p w14:paraId="11F71574"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lastRenderedPageBreak/>
        <w:t>（4）本基金持有的现金或者到期日在一年以内的政府债券不低于基金资产净值的5%，其中现金不包括结算备付金、存出保证金、应收申购款等；</w:t>
      </w:r>
    </w:p>
    <w:p w14:paraId="4EFEBE2F"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（5）本基金持有单只基金的市值不高于本基金资产净值的20%，且不得持有其他基金中基金；</w:t>
      </w:r>
    </w:p>
    <w:p w14:paraId="1DD2F003"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（6）本基金管理人管理的全部基金（ETF联接基金除外）持有单只基金不得超过被投资基金净资产的20%，被投资基金净资产规模以最近定期报告披露的规模为准；</w:t>
      </w:r>
    </w:p>
    <w:p w14:paraId="404E5BE3"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（7）本基金投资其他基金，被投资基金的运作期限应当不少于1年、最近定期报告披露的基金净资产应当不低于1亿元；</w:t>
      </w:r>
    </w:p>
    <w:p w14:paraId="1927E12B"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（8）本基金投资于封闭运作基金、定期开放基金等流通受限基金的市值不超过本基金资产净值的10%；</w:t>
      </w:r>
    </w:p>
    <w:p w14:paraId="29F5EFF6"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（9）本基金投资于股票、债券等金融工具的，投资品种和比例应当符合本基金的投资目标和投资策略；</w:t>
      </w:r>
    </w:p>
    <w:p w14:paraId="5B0372D4"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（10）本基金持有一家公司发行的证券（同一家公司在内地和香港同时上市的A+H股合计计算），其市值不超过基金资产净值的10%；</w:t>
      </w:r>
    </w:p>
    <w:p w14:paraId="2E590D47"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 xml:space="preserve">（11）本基金管理人管理的全部基金持有一家公司发行的证券（同一家公司在内地和香港同时上市的A+H股合计计算），不超过该证券的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基金品种以及中国证监会认定的特殊投资组合可以不受此条款规定的比例限制； </w:t>
      </w:r>
    </w:p>
    <w:p w14:paraId="295F239A"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（12）本基金投资于同一原始权益人的各类资产支持证券的比例，不得超过基金资产净值的10%；</w:t>
      </w:r>
    </w:p>
    <w:p w14:paraId="41E5975F"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（13）本基金持有的全部资产支持证券，其市值不得超过基金资产净值的20%；</w:t>
      </w:r>
    </w:p>
    <w:p w14:paraId="1FECFBD8"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（14）本基金持有的同一（指同一信用级别）资产支持证券的比例，不得超过该资产支持证券规模的10%；</w:t>
      </w:r>
    </w:p>
    <w:p w14:paraId="61864943"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（15）本基金管理人管理的全部基金投资于同一原始权益人的各类资产支持</w:t>
      </w:r>
      <w:r w:rsidRPr="00CA745A">
        <w:rPr>
          <w:rFonts w:ascii="宋体" w:hAnsi="宋体" w:hint="eastAsia"/>
          <w:sz w:val="24"/>
          <w:szCs w:val="24"/>
        </w:rPr>
        <w:lastRenderedPageBreak/>
        <w:t>证券，不得超过其各类资产支持证券合计规模的10%；</w:t>
      </w:r>
    </w:p>
    <w:p w14:paraId="77B5673A"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（16）本基金应投资于信用级别评级为BBB以上（含BBB）的资产支持证券。基金持有资产支持证券期间，如果其信用等级下降、不再符合投资标准，应在评级报告发布之日起3个月内予以全部卖出；</w:t>
      </w:r>
    </w:p>
    <w:p w14:paraId="05461EC0"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（17）基金财产参与股票发行申购，本基金所申报的金额不超过本基金的总资产，本基金所申报的股票数量不超过拟发行股票公司本次发行股票的总量；</w:t>
      </w:r>
    </w:p>
    <w:p w14:paraId="6E1656D5"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（18）本基金在全国银行间同业市场中的债券回购最长期限为1年，债券回购到期后不得展期；</w:t>
      </w:r>
    </w:p>
    <w:p w14:paraId="6A0E1439"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（19）本基金资产总值不得超过基金资产净值的140%；</w:t>
      </w:r>
    </w:p>
    <w:p w14:paraId="392ACFCF"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20）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3A7310C4"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（21）本基金与私募类</w:t>
      </w:r>
      <w:proofErr w:type="gramStart"/>
      <w:r w:rsidRPr="00CA745A">
        <w:rPr>
          <w:rFonts w:ascii="宋体" w:hAnsi="宋体" w:hint="eastAsia"/>
          <w:sz w:val="24"/>
          <w:szCs w:val="24"/>
        </w:rPr>
        <w:t>证券资管产品</w:t>
      </w:r>
      <w:proofErr w:type="gramEnd"/>
      <w:r w:rsidRPr="00CA745A">
        <w:rPr>
          <w:rFonts w:ascii="宋体" w:hAnsi="宋体" w:hint="eastAsia"/>
          <w:sz w:val="24"/>
          <w:szCs w:val="24"/>
        </w:rPr>
        <w:t>及中国证监会认定的其他主体为交易对手开展逆回购交易的，可接受质押品的资质要求应当与基金合同约定的投资范围保持一致；</w:t>
      </w:r>
    </w:p>
    <w:p w14:paraId="6B56FD80"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（22）本基金投资存托凭证的比例限制依照境内上市交易的股票执行；</w:t>
      </w:r>
    </w:p>
    <w:p w14:paraId="03481097" w14:textId="77777777" w:rsidR="00CA745A" w:rsidRPr="00CA745A" w:rsidRDefault="00CA745A" w:rsidP="00C3159B">
      <w:pPr>
        <w:spacing w:line="520" w:lineRule="atLeast"/>
        <w:ind w:firstLine="480"/>
        <w:rPr>
          <w:rFonts w:ascii="宋体" w:hAnsi="宋体"/>
          <w:sz w:val="24"/>
          <w:szCs w:val="24"/>
        </w:rPr>
      </w:pPr>
      <w:r w:rsidRPr="00CA745A">
        <w:rPr>
          <w:rFonts w:ascii="宋体" w:hAnsi="宋体" w:hint="eastAsia"/>
          <w:sz w:val="24"/>
          <w:szCs w:val="24"/>
        </w:rPr>
        <w:t>（23）法律法规及中国证监会规定的和基金合同约定的其他投资限制。</w:t>
      </w:r>
    </w:p>
    <w:p w14:paraId="4260CD61" w14:textId="7E111B6B" w:rsidR="00950499" w:rsidRDefault="00CA745A" w:rsidP="00C3159B">
      <w:pPr>
        <w:spacing w:line="520" w:lineRule="atLeast"/>
        <w:ind w:firstLine="420"/>
        <w:rPr>
          <w:rFonts w:ascii="宋体" w:hAnsi="宋体"/>
          <w:color w:val="000000" w:themeColor="text1"/>
          <w:sz w:val="24"/>
          <w:szCs w:val="24"/>
        </w:rPr>
      </w:pPr>
      <w:r w:rsidRPr="00CA745A">
        <w:rPr>
          <w:rFonts w:ascii="宋体" w:hAnsi="宋体" w:hint="eastAsia"/>
          <w:sz w:val="24"/>
          <w:szCs w:val="24"/>
        </w:rPr>
        <w:t>因证券市场波动、证券发行人合并、基金规模变动等基金管理人之外的因素致使基金投资比例不符合上述第（5）、（6）项规定投资比例的，基金管理人应当在20个交易日内进行调整，对于除第（4）-（6）、（16）、（20）和（21）项规定的其他情形，基金管理人应当在10个交易日内进行调整，但中国证监会规定的特殊情形除外。法律法规另有规定的，从其规定。</w:t>
      </w:r>
    </w:p>
    <w:p w14:paraId="16B3E871" w14:textId="77777777" w:rsidR="00950499" w:rsidRDefault="005541ED">
      <w:pPr>
        <w:spacing w:line="520" w:lineRule="atLeast"/>
        <w:ind w:firstLineChars="200" w:firstLine="480"/>
        <w:rPr>
          <w:rFonts w:hAnsi="宋体"/>
          <w:color w:val="000000" w:themeColor="text1"/>
        </w:rPr>
      </w:pPr>
      <w:r>
        <w:rPr>
          <w:rFonts w:ascii="宋体" w:hAnsi="宋体" w:hint="eastAsia"/>
          <w:color w:val="000000" w:themeColor="text1"/>
          <w:sz w:val="24"/>
        </w:rPr>
        <w:t>基金管理人应当自基金合同生效之日起</w:t>
      </w:r>
      <w:r>
        <w:rPr>
          <w:rFonts w:ascii="宋体" w:hAnsi="宋体"/>
          <w:color w:val="000000" w:themeColor="text1"/>
          <w:sz w:val="24"/>
        </w:rPr>
        <w:t>6个月内使基金的投资组合比例符合基金合同的有关约定。在上述期间内，本基金的投资范围、投资策略应当符合基金合同的约定。基金托管人对基金</w:t>
      </w:r>
      <w:r>
        <w:rPr>
          <w:rFonts w:ascii="宋体" w:hAnsi="宋体" w:hint="eastAsia"/>
          <w:color w:val="000000" w:themeColor="text1"/>
          <w:sz w:val="24"/>
          <w:szCs w:val="24"/>
        </w:rPr>
        <w:t>的</w:t>
      </w:r>
      <w:r>
        <w:rPr>
          <w:rFonts w:ascii="宋体" w:hAnsi="宋体" w:hint="eastAsia"/>
          <w:color w:val="000000" w:themeColor="text1"/>
          <w:sz w:val="24"/>
        </w:rPr>
        <w:t>投资的监督与检查自基金合同生效之日起开始。</w:t>
      </w:r>
    </w:p>
    <w:p w14:paraId="0EE9079A" w14:textId="48746631" w:rsidR="00950499" w:rsidRDefault="00816CB0" w:rsidP="00C3159B">
      <w:pPr>
        <w:spacing w:line="520" w:lineRule="atLeast"/>
        <w:ind w:firstLineChars="200" w:firstLine="480"/>
        <w:rPr>
          <w:rFonts w:hAnsi="宋体"/>
          <w:szCs w:val="24"/>
        </w:rPr>
      </w:pPr>
      <w:r w:rsidRPr="00816CB0">
        <w:rPr>
          <w:rFonts w:ascii="宋体" w:hAnsi="宋体" w:hint="eastAsia"/>
          <w:color w:val="000000" w:themeColor="text1"/>
          <w:sz w:val="24"/>
          <w:szCs w:val="24"/>
        </w:rPr>
        <w:t>法律法规或监管部门取消或变更上述限制，如适用于本基金，基金管理人在</w:t>
      </w:r>
      <w:r w:rsidRPr="00816CB0">
        <w:rPr>
          <w:rFonts w:ascii="宋体" w:hAnsi="宋体" w:hint="eastAsia"/>
          <w:color w:val="000000" w:themeColor="text1"/>
          <w:sz w:val="24"/>
          <w:szCs w:val="24"/>
        </w:rPr>
        <w:lastRenderedPageBreak/>
        <w:t>履行适当程序后，则本基金投资不再受相关限制或以变更后的规定为准，不需要经基金份额持有人大会审议，但须提前公告</w:t>
      </w:r>
      <w:r w:rsidR="005541ED">
        <w:rPr>
          <w:rFonts w:ascii="宋体" w:hAnsi="宋体" w:hint="eastAsia"/>
          <w:color w:val="000000" w:themeColor="text1"/>
          <w:sz w:val="24"/>
        </w:rPr>
        <w:t>。</w:t>
      </w:r>
      <w:permEnd w:id="1741642853"/>
    </w:p>
    <w:p w14:paraId="1CD55C8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404BD97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根据法律法规的规定及基金合同的约定，本基金禁止从事下列行为：</w:t>
      </w:r>
    </w:p>
    <w:p w14:paraId="38E1D6E9"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（1）承销证券；</w:t>
      </w:r>
    </w:p>
    <w:p w14:paraId="4AFE8315"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（2）违反规定向他人贷款或者提供担保；</w:t>
      </w:r>
    </w:p>
    <w:p w14:paraId="20F79FB0"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（3）从事承担无限责任的投资；</w:t>
      </w:r>
    </w:p>
    <w:p w14:paraId="19AD29A6" w14:textId="04F189A9"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w:t>
      </w:r>
      <w:r w:rsidR="00816CB0">
        <w:rPr>
          <w:rFonts w:hAnsi="宋体"/>
          <w:szCs w:val="24"/>
        </w:rPr>
        <w:t>4</w:t>
      </w:r>
      <w:r>
        <w:rPr>
          <w:rFonts w:hAnsi="宋体" w:hint="eastAsia"/>
          <w:szCs w:val="24"/>
        </w:rPr>
        <w:t>）向其基金管理人、基金托管人出资；</w:t>
      </w:r>
    </w:p>
    <w:p w14:paraId="232374E3" w14:textId="413ACAAC"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w:t>
      </w:r>
      <w:r w:rsidR="00816CB0">
        <w:rPr>
          <w:rFonts w:hAnsi="宋体"/>
          <w:szCs w:val="24"/>
        </w:rPr>
        <w:t>5</w:t>
      </w:r>
      <w:r>
        <w:rPr>
          <w:rFonts w:hAnsi="宋体" w:hint="eastAsia"/>
          <w:szCs w:val="24"/>
        </w:rPr>
        <w:t>）从事内幕交易、操纵证券交易价格及其他不正当的证券交易活动；</w:t>
      </w:r>
    </w:p>
    <w:p w14:paraId="6483AAE0" w14:textId="5329EF95" w:rsidR="00816CB0" w:rsidRDefault="00816CB0">
      <w:pPr>
        <w:pStyle w:val="20"/>
        <w:adjustRightInd w:val="0"/>
        <w:snapToGrid w:val="0"/>
        <w:spacing w:before="0" w:after="0" w:line="520" w:lineRule="atLeast"/>
        <w:ind w:left="0" w:firstLineChars="200" w:firstLine="480"/>
        <w:rPr>
          <w:rFonts w:hAnsi="宋体"/>
          <w:szCs w:val="24"/>
        </w:rPr>
      </w:pPr>
      <w:r>
        <w:rPr>
          <w:rFonts w:hAnsi="宋体" w:hint="eastAsia"/>
          <w:szCs w:val="24"/>
        </w:rPr>
        <w:t>（6）</w:t>
      </w:r>
      <w:r w:rsidRPr="00816CB0">
        <w:rPr>
          <w:rFonts w:hAnsi="宋体" w:hint="eastAsia"/>
          <w:szCs w:val="24"/>
        </w:rPr>
        <w:t>持有具有复杂、衍生品性质的基金份额；</w:t>
      </w:r>
    </w:p>
    <w:p w14:paraId="2247E90E" w14:textId="75265630" w:rsidR="00950499" w:rsidRDefault="005541ED">
      <w:pPr>
        <w:pStyle w:val="20"/>
        <w:adjustRightInd w:val="0"/>
        <w:snapToGrid w:val="0"/>
        <w:spacing w:before="0" w:after="0" w:line="520" w:lineRule="atLeast"/>
        <w:ind w:left="0" w:firstLineChars="200" w:firstLine="480"/>
        <w:rPr>
          <w:rFonts w:hAnsi="宋体"/>
        </w:rPr>
      </w:pPr>
      <w:r>
        <w:rPr>
          <w:rFonts w:hAnsi="宋体" w:hint="eastAsia"/>
          <w:szCs w:val="24"/>
        </w:rPr>
        <w:t>（7）法律、行政法规和中国证监会规定禁止的其他活动。</w:t>
      </w:r>
    </w:p>
    <w:p w14:paraId="3BC48797" w14:textId="077DFDC2" w:rsidR="00950499" w:rsidRDefault="00816CB0" w:rsidP="00C3159B">
      <w:pPr>
        <w:pStyle w:val="20"/>
        <w:spacing w:before="0" w:after="0" w:line="520" w:lineRule="atLeast"/>
        <w:ind w:left="0" w:firstLineChars="200" w:firstLine="480"/>
        <w:rPr>
          <w:rFonts w:hAnsi="宋体"/>
          <w:szCs w:val="24"/>
        </w:rPr>
      </w:pPr>
      <w:r w:rsidRPr="00816CB0">
        <w:rPr>
          <w:rFonts w:hAnsi="宋体" w:hint="eastAsia"/>
          <w:szCs w:val="24"/>
        </w:rPr>
        <w:t>如法律法规或监管部门取消或调整上述禁止性规定，基金管理人在履行适当程序后，本基金可不受上述规定的限制或按调整后的规定执行，不需经基金份额持有人大会审议，但须提前公告</w:t>
      </w:r>
      <w:r w:rsidR="005541ED">
        <w:rPr>
          <w:rFonts w:hAnsi="宋体" w:hint="eastAsia"/>
          <w:szCs w:val="24"/>
        </w:rPr>
        <w:t>。</w:t>
      </w:r>
    </w:p>
    <w:p w14:paraId="7D928CF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14:paraId="7A36A2CA" w14:textId="077CA3B8" w:rsidR="00950499" w:rsidRDefault="005541ED">
      <w:pPr>
        <w:pStyle w:val="20"/>
        <w:spacing w:before="0" w:after="0" w:line="520" w:lineRule="atLeast"/>
        <w:ind w:left="0" w:firstLineChars="200" w:firstLine="480"/>
        <w:rPr>
          <w:rFonts w:hAnsi="宋体"/>
          <w:szCs w:val="24"/>
        </w:rPr>
      </w:pPr>
      <w:r>
        <w:rPr>
          <w:rFonts w:hAnsi="宋体" w:hint="eastAsia"/>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w:t>
      </w:r>
      <w:r w:rsidRPr="00BE06DA">
        <w:rPr>
          <w:rFonts w:hAnsi="宋体" w:hint="eastAsia"/>
          <w:szCs w:val="24"/>
        </w:rPr>
        <w:t>相关交易必须事先得到基金托管人的同意</w:t>
      </w:r>
      <w:r>
        <w:rPr>
          <w:rFonts w:hAnsi="宋体" w:hint="eastAsia"/>
          <w:szCs w:val="24"/>
        </w:rPr>
        <w:t>，并按法律法规予以披露。重大关联交易应提交基金管理人董事会审议，并经过三分之二以上的独立董事通过。基金管理人董事会应至少每半年对关联交易事项进行审查。</w:t>
      </w:r>
    </w:p>
    <w:p w14:paraId="1D100F1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应及时发送基金托管人，基金托管人于2个工作日内</w:t>
      </w:r>
      <w:r>
        <w:rPr>
          <w:rFonts w:hAnsi="宋体" w:hint="eastAsia"/>
          <w:szCs w:val="24"/>
        </w:rPr>
        <w:lastRenderedPageBreak/>
        <w:t>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14:paraId="0C202BB2" w14:textId="77777777" w:rsidR="00950499" w:rsidRDefault="005541ED">
      <w:pPr>
        <w:pStyle w:val="20"/>
        <w:spacing w:before="0" w:after="0" w:line="520" w:lineRule="atLeast"/>
        <w:ind w:left="0" w:firstLineChars="200" w:firstLine="480"/>
        <w:rPr>
          <w:rFonts w:hAnsi="宋体"/>
          <w:szCs w:val="24"/>
        </w:rPr>
      </w:pPr>
      <w:proofErr w:type="gramStart"/>
      <w:r>
        <w:rPr>
          <w:rFonts w:hAnsi="宋体" w:hint="eastAsia"/>
          <w:szCs w:val="24"/>
        </w:rPr>
        <w:t>若基金</w:t>
      </w:r>
      <w:proofErr w:type="gramEnd"/>
      <w:r>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Pr>
          <w:rFonts w:hAnsi="宋体" w:hint="eastAsia"/>
          <w:szCs w:val="24"/>
        </w:rPr>
        <w:t>若基金</w:t>
      </w:r>
      <w:proofErr w:type="gramEnd"/>
      <w:r>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4938F79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297E86D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（1）基金托管人对于基金管理人参与银行间债券市场交易时是否按</w:t>
      </w:r>
      <w:r w:rsidRPr="00DF5CC8">
        <w:rPr>
          <w:rFonts w:hAnsi="宋体" w:hint="eastAsia"/>
          <w:szCs w:val="24"/>
        </w:rPr>
        <w:t>交易对手名单</w:t>
      </w:r>
      <w:r>
        <w:rPr>
          <w:rFonts w:hAnsi="宋体" w:hint="eastAsia"/>
          <w:szCs w:val="24"/>
        </w:rPr>
        <w:t>进行交易进行监督。</w:t>
      </w:r>
    </w:p>
    <w:p w14:paraId="7606AD2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792EB2D2" w14:textId="09240670" w:rsidR="00950499" w:rsidRDefault="005541ED">
      <w:pPr>
        <w:pStyle w:val="20"/>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w:t>
      </w:r>
      <w:r w:rsidRPr="00887CEE">
        <w:rPr>
          <w:rFonts w:hAnsi="宋体" w:hint="eastAsia"/>
          <w:b/>
          <w:bCs/>
          <w:szCs w:val="24"/>
        </w:rPr>
        <w:t>经提醒后基金管理人仍执行交易并造成基金资产损失的，基金托管人不承担责任。</w:t>
      </w:r>
    </w:p>
    <w:p w14:paraId="0F8F1EE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（2）基金托管人对于基金管理人参与银行间债券市场交易的交易方式的控制</w:t>
      </w:r>
    </w:p>
    <w:p w14:paraId="00A113BB" w14:textId="4617A5BE" w:rsidR="00950499" w:rsidRPr="00887CEE" w:rsidRDefault="005541ED">
      <w:pPr>
        <w:pStyle w:val="20"/>
        <w:spacing w:before="0" w:after="0" w:line="520" w:lineRule="atLeast"/>
        <w:ind w:left="0" w:firstLineChars="200" w:firstLine="480"/>
        <w:rPr>
          <w:rFonts w:hAnsi="宋体"/>
          <w:b/>
          <w:bCs/>
          <w:szCs w:val="24"/>
        </w:rPr>
      </w:pPr>
      <w:r>
        <w:rPr>
          <w:rFonts w:hAnsi="宋体" w:hint="eastAsia"/>
          <w:szCs w:val="24"/>
        </w:rPr>
        <w:t>基金管理人在银行间债券市场进行现券买卖和回购交易时，需按交易对手名</w:t>
      </w:r>
      <w:r>
        <w:rPr>
          <w:rFonts w:hAnsi="宋体" w:hint="eastAsia"/>
          <w:szCs w:val="24"/>
        </w:rPr>
        <w:lastRenderedPageBreak/>
        <w:t>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sidRPr="00887CEE">
        <w:rPr>
          <w:rFonts w:hAnsi="宋体" w:hint="eastAsia"/>
          <w:b/>
          <w:bCs/>
          <w:szCs w:val="24"/>
        </w:rPr>
        <w:t>经提醒后仍未改正并造成基金资产损失的，基金托管人不承担责任。</w:t>
      </w:r>
    </w:p>
    <w:p w14:paraId="3E7EACE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（3）基金管理人有责任控制交易对手的资信风险。</w:t>
      </w:r>
    </w:p>
    <w:p w14:paraId="1CBCB83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w:t>
      </w:r>
      <w:r>
        <w:rPr>
          <w:rFonts w:hAnsi="宋体"/>
          <w:szCs w:val="24"/>
        </w:rPr>
        <w:t>管理人</w:t>
      </w:r>
      <w:r>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14:paraId="0EF4238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3.1.6基金托管人对基金投资流通受限证券的监督：</w:t>
      </w:r>
    </w:p>
    <w:p w14:paraId="3900D030" w14:textId="53A16BB6" w:rsidR="00D17E23" w:rsidRDefault="00D17E23">
      <w:pPr>
        <w:pStyle w:val="20"/>
        <w:spacing w:before="0" w:after="0" w:line="520" w:lineRule="atLeast"/>
        <w:ind w:left="0" w:firstLineChars="200" w:firstLine="480"/>
        <w:rPr>
          <w:rFonts w:hAnsi="宋体"/>
          <w:szCs w:val="24"/>
        </w:rPr>
      </w:pPr>
      <w:r w:rsidRPr="00D17E23">
        <w:rPr>
          <w:rFonts w:hAnsi="宋体" w:hint="eastAsia"/>
          <w:szCs w:val="24"/>
        </w:rPr>
        <w:t>如下所指“流通受限证券”与本协议以及基金合同所指“流动性受限资产”定义存在不同。就流动性受限资产定义，请参照基金合同的“第二部分</w:t>
      </w:r>
      <w:r w:rsidR="006C2FD2">
        <w:rPr>
          <w:rFonts w:hAnsi="宋体" w:hint="eastAsia"/>
          <w:szCs w:val="24"/>
        </w:rPr>
        <w:t xml:space="preserve"> </w:t>
      </w:r>
      <w:r w:rsidRPr="00D17E23">
        <w:rPr>
          <w:rFonts w:hAnsi="宋体" w:hint="eastAsia"/>
          <w:szCs w:val="24"/>
        </w:rPr>
        <w:t>释义”部分。</w:t>
      </w:r>
    </w:p>
    <w:p w14:paraId="470383B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Ansi="宋体" w:hint="eastAsia"/>
          <w:szCs w:val="24"/>
        </w:rPr>
        <w:t>券</w:t>
      </w:r>
      <w:proofErr w:type="gramEnd"/>
      <w:r>
        <w:rPr>
          <w:rFonts w:hAnsi="宋体" w:hint="eastAsia"/>
          <w:szCs w:val="24"/>
        </w:rPr>
        <w:t>等流通受限证券。</w:t>
      </w:r>
    </w:p>
    <w:p w14:paraId="6CE14B5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A13269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基金管理人应至少</w:t>
      </w:r>
      <w:proofErr w:type="gramStart"/>
      <w:r>
        <w:rPr>
          <w:rFonts w:hAnsi="宋体" w:hint="eastAsia"/>
          <w:szCs w:val="24"/>
        </w:rPr>
        <w:t>于首次</w:t>
      </w:r>
      <w:proofErr w:type="gramEnd"/>
      <w:r>
        <w:rPr>
          <w:rFonts w:hAnsi="宋体" w:hint="eastAsia"/>
          <w:szCs w:val="24"/>
        </w:rPr>
        <w:t>执行投资指令之前2个工作日将上述资料书面发至基金托管人，保证基金托管人有足够的时间进行审核。基金托管人应在收到上述资料后2个工作日内，以书面或其他双方认可的方式确认收到上述资料。</w:t>
      </w:r>
    </w:p>
    <w:p w14:paraId="6BBD13E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w:t>
      </w:r>
      <w:r>
        <w:rPr>
          <w:rFonts w:hAnsi="宋体" w:hint="eastAsia"/>
          <w:szCs w:val="24"/>
        </w:rPr>
        <w:lastRenderedPageBreak/>
        <w:t>少</w:t>
      </w:r>
      <w:proofErr w:type="gramStart"/>
      <w:r>
        <w:rPr>
          <w:rFonts w:hAnsi="宋体" w:hint="eastAsia"/>
          <w:szCs w:val="24"/>
        </w:rPr>
        <w:t>于拟执行</w:t>
      </w:r>
      <w:proofErr w:type="gramEnd"/>
      <w:r>
        <w:rPr>
          <w:rFonts w:hAnsi="宋体" w:hint="eastAsia"/>
          <w:szCs w:val="24"/>
        </w:rPr>
        <w:t>投资指令前将上述信息书面发至基金托管人。</w:t>
      </w:r>
    </w:p>
    <w:p w14:paraId="4FB1479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因拒绝执行该指令造成基金财产损失的，基金托管人不承担任何责任，并有权报告中国证监会。</w:t>
      </w:r>
    </w:p>
    <w:p w14:paraId="5F14D242" w14:textId="72AE02DA" w:rsidR="00950499" w:rsidRPr="00720393" w:rsidRDefault="005541ED">
      <w:pPr>
        <w:pStyle w:val="20"/>
        <w:spacing w:before="0" w:after="0" w:line="520" w:lineRule="atLeast"/>
        <w:ind w:left="0" w:firstLineChars="200" w:firstLine="480"/>
        <w:rPr>
          <w:rFonts w:hAnsi="宋体"/>
          <w:szCs w:val="24"/>
        </w:rPr>
      </w:pPr>
      <w:bookmarkStart w:id="22" w:name="_Hlk80624393"/>
      <w:r>
        <w:rPr>
          <w:rFonts w:hAnsi="宋体" w:hint="eastAsia"/>
          <w:szCs w:val="24"/>
        </w:rPr>
        <w:t>如基金管理人和基金托管人无法达成一致，应及时上报中国证监会请求解决。如果基金托管人切实履行监督职责，则不承担任何责任。如果</w:t>
      </w:r>
      <w:bookmarkEnd w:id="22"/>
      <w:r>
        <w:rPr>
          <w:rFonts w:hAnsi="宋体" w:hint="eastAsia"/>
          <w:szCs w:val="24"/>
        </w:rPr>
        <w:t>基金托管人</w:t>
      </w:r>
      <w:r w:rsidR="00720393">
        <w:rPr>
          <w:rFonts w:hAnsi="宋体" w:hint="eastAsia"/>
          <w:szCs w:val="24"/>
        </w:rPr>
        <w:t>因</w:t>
      </w:r>
      <w:r w:rsidR="00720393">
        <w:rPr>
          <w:rFonts w:hAnsi="宋体"/>
          <w:szCs w:val="24"/>
        </w:rPr>
        <w:t>故意或重大过失未</w:t>
      </w:r>
      <w:r>
        <w:rPr>
          <w:rFonts w:hAnsi="宋体" w:hint="eastAsia"/>
          <w:szCs w:val="24"/>
        </w:rPr>
        <w:t>切实履行监督职责，导致基金出现风险，基金托管人应承担相应责任。</w:t>
      </w:r>
      <w:r w:rsidR="00720393">
        <w:rPr>
          <w:rFonts w:hAnsi="宋体" w:hint="eastAsia"/>
          <w:szCs w:val="24"/>
        </w:rPr>
        <w:t>如果因基金管理人未按约定时间将相关信息发送至基金托管人，导致基金托管人未能监督核查的，基金托管人不承担任何责任。</w:t>
      </w:r>
    </w:p>
    <w:p w14:paraId="3CD31CB9" w14:textId="77777777" w:rsidR="00950499" w:rsidRDefault="005541ED">
      <w:pPr>
        <w:pStyle w:val="20"/>
        <w:spacing w:before="0" w:after="0" w:line="520" w:lineRule="atLeast"/>
        <w:rPr>
          <w:rFonts w:hAnsi="宋体"/>
          <w:szCs w:val="24"/>
        </w:rPr>
      </w:pPr>
      <w:r>
        <w:rPr>
          <w:rFonts w:hAnsi="宋体" w:hint="eastAsia"/>
          <w:szCs w:val="24"/>
        </w:rPr>
        <w:t>3.1.</w:t>
      </w:r>
      <w:r>
        <w:rPr>
          <w:rFonts w:hAnsi="宋体"/>
          <w:szCs w:val="24"/>
        </w:rPr>
        <w:t>7</w:t>
      </w:r>
      <w:r>
        <w:rPr>
          <w:rFonts w:hAnsi="宋体" w:hint="eastAsia"/>
          <w:szCs w:val="24"/>
        </w:rPr>
        <w:t>基金托管人对基金投资中期票据的监督：</w:t>
      </w:r>
    </w:p>
    <w:p w14:paraId="0A01AA8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7CF7647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（2）如未来有关监管部门发布的法律法规对证券投资基金投资中期票据另有规定的，从其规定。</w:t>
      </w:r>
    </w:p>
    <w:p w14:paraId="39D61341" w14:textId="18B047F4" w:rsidR="00950499" w:rsidRDefault="005541ED">
      <w:pPr>
        <w:pStyle w:val="20"/>
        <w:spacing w:before="0" w:after="0" w:line="520" w:lineRule="atLeast"/>
        <w:ind w:left="0" w:firstLineChars="200" w:firstLine="480"/>
        <w:rPr>
          <w:rFonts w:hAnsi="宋体"/>
          <w:szCs w:val="24"/>
        </w:rPr>
      </w:pPr>
      <w:r>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w:t>
      </w:r>
      <w:r>
        <w:rPr>
          <w:rFonts w:hAnsi="宋体"/>
          <w:szCs w:val="24"/>
        </w:rPr>
        <w:t>规定</w:t>
      </w:r>
      <w:r>
        <w:rPr>
          <w:rFonts w:hAnsi="宋体" w:hint="eastAsia"/>
          <w:szCs w:val="24"/>
        </w:rPr>
        <w:t>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应报告中国证监会</w:t>
      </w:r>
      <w:r w:rsidR="00502034">
        <w:rPr>
          <w:rFonts w:hAnsi="宋体" w:hint="eastAsia"/>
          <w:szCs w:val="24"/>
        </w:rPr>
        <w:t>，</w:t>
      </w:r>
      <w:r>
        <w:rPr>
          <w:rFonts w:hAnsi="宋体" w:hint="eastAsia"/>
          <w:szCs w:val="24"/>
        </w:rPr>
        <w:t>基金托管人不承担由此造成的任何损失和责任。</w:t>
      </w:r>
    </w:p>
    <w:p w14:paraId="57E62FB3" w14:textId="3E72CBDC" w:rsidR="00950499" w:rsidRDefault="005541ED">
      <w:pPr>
        <w:pStyle w:val="20"/>
        <w:spacing w:before="0" w:after="0" w:line="520" w:lineRule="atLeast"/>
        <w:ind w:left="0" w:firstLineChars="200" w:firstLine="480"/>
        <w:rPr>
          <w:rFonts w:hAnsi="宋体"/>
          <w:szCs w:val="24"/>
        </w:rPr>
      </w:pPr>
      <w:r>
        <w:rPr>
          <w:rFonts w:hAnsi="宋体" w:hint="eastAsia"/>
          <w:szCs w:val="24"/>
        </w:rPr>
        <w:t>3.1.</w:t>
      </w:r>
      <w:r w:rsidR="00CA745A">
        <w:rPr>
          <w:rFonts w:hAnsi="宋体"/>
          <w:szCs w:val="24"/>
        </w:rPr>
        <w:t>8</w:t>
      </w:r>
      <w:r>
        <w:rPr>
          <w:rFonts w:hAnsi="宋体" w:hint="eastAsia"/>
          <w:szCs w:val="24"/>
        </w:rPr>
        <w:t>基金托管人根据有关法律法规的规定及基金合同的约定，对基金管理人</w:t>
      </w:r>
      <w:r>
        <w:rPr>
          <w:rFonts w:hAnsi="宋体" w:hint="eastAsia"/>
          <w:szCs w:val="24"/>
        </w:rPr>
        <w:lastRenderedPageBreak/>
        <w:t>选择存款银行进行监督：</w:t>
      </w:r>
    </w:p>
    <w:p w14:paraId="34C0C32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20BF3A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本基金投资银行存款应符合如下规定：</w:t>
      </w:r>
    </w:p>
    <w:p w14:paraId="7F8E4B5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10EE33D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1D48492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（3）基金托管人应对基金银行存款业务进行监督与核查，审查、复核相关协议、账户资料、投资指令、存款证实书等有关文件，履行托管职责。</w:t>
      </w:r>
    </w:p>
    <w:p w14:paraId="792C1D6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2C712BB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3.2基金托管人对基金管理人业务进行监督和核查的有关措施：</w:t>
      </w:r>
    </w:p>
    <w:p w14:paraId="0CA72550" w14:textId="17C892F1" w:rsidR="00950499" w:rsidRDefault="005541ED">
      <w:pPr>
        <w:pStyle w:val="20"/>
        <w:spacing w:before="0" w:after="0" w:line="520" w:lineRule="atLeast"/>
        <w:ind w:left="0" w:firstLineChars="200" w:firstLine="480"/>
        <w:rPr>
          <w:rFonts w:hAnsi="宋体"/>
          <w:szCs w:val="24"/>
        </w:rPr>
      </w:pPr>
      <w:r>
        <w:rPr>
          <w:rFonts w:hAnsi="宋体" w:hint="eastAsia"/>
          <w:szCs w:val="24"/>
        </w:rPr>
        <w:t>3.2.1基金托管人应根据有关法律法规的规定及基金合同的约定，对基金资产净值计算、</w:t>
      </w:r>
      <w:r w:rsidR="002F035F">
        <w:rPr>
          <w:rFonts w:hAnsi="宋体" w:hint="eastAsia"/>
          <w:szCs w:val="24"/>
        </w:rPr>
        <w:t>各类</w:t>
      </w:r>
      <w:r>
        <w:rPr>
          <w:rFonts w:hAnsi="宋体" w:hint="eastAsia"/>
          <w:szCs w:val="24"/>
        </w:rPr>
        <w:t>基金份额净值计算、应收资金到账、基金费用开支及收入确定、基金收益分配、相关信息披露、基金宣传推介材料中登载基金业绩表现数据等进行监督和核查。</w:t>
      </w:r>
    </w:p>
    <w:p w14:paraId="034F1E0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0D3F62E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w:t>
      </w:r>
      <w:r>
        <w:rPr>
          <w:rFonts w:hAnsi="宋体" w:hint="eastAsia"/>
          <w:szCs w:val="24"/>
        </w:rPr>
        <w:lastRenderedPageBreak/>
        <w:t>人应报告中国证监会。</w:t>
      </w:r>
    </w:p>
    <w:p w14:paraId="53C1535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3.2.4基金托管人发现基金管理人的投资指令违反</w:t>
      </w:r>
      <w:proofErr w:type="gramStart"/>
      <w:r>
        <w:rPr>
          <w:rFonts w:hAnsi="宋体" w:hint="eastAsia"/>
          <w:szCs w:val="24"/>
        </w:rPr>
        <w:t>关法律</w:t>
      </w:r>
      <w:proofErr w:type="gramEnd"/>
      <w:r>
        <w:rPr>
          <w:rFonts w:hAnsi="宋体" w:hint="eastAsia"/>
          <w:szCs w:val="24"/>
        </w:rPr>
        <w:t>法规规定或者违反基金合同约定的，应当拒绝执行，立即通知基金管理人。</w:t>
      </w:r>
    </w:p>
    <w:p w14:paraId="3AA810C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5C97C84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45EC2C6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14:paraId="107063F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2B851A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3.2.9基金托管人对资金来源、投资收益及投资安全不承担审核责任，特别是对于本基金所投标的</w:t>
      </w:r>
      <w:proofErr w:type="gramStart"/>
      <w:r>
        <w:rPr>
          <w:rFonts w:hAnsi="宋体" w:hint="eastAsia"/>
          <w:szCs w:val="24"/>
        </w:rPr>
        <w:t>的</w:t>
      </w:r>
      <w:proofErr w:type="gramEnd"/>
      <w:r>
        <w:rPr>
          <w:rFonts w:hAnsi="宋体" w:hint="eastAsia"/>
          <w:szCs w:val="24"/>
        </w:rPr>
        <w:t>后续资金使用情况无审核责任，不保证托管财产投资不受损失，不保证最低收益。</w:t>
      </w:r>
    </w:p>
    <w:p w14:paraId="34203ED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.2.10</w:t>
      </w:r>
      <w:r>
        <w:rPr>
          <w:rFonts w:hAnsi="宋体" w:hint="eastAsia"/>
          <w:szCs w:val="24"/>
        </w:rPr>
        <w:t>基金管理人应遵守中华人民共和国反洗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法规，不参与涉嫌洗钱、恐怖融资、扩散融资等违法犯罪活动；主动配合基金托管</w:t>
      </w:r>
      <w:proofErr w:type="gramStart"/>
      <w:r>
        <w:rPr>
          <w:rFonts w:hAnsi="宋体" w:hint="eastAsia"/>
          <w:szCs w:val="24"/>
        </w:rPr>
        <w:t>人客户</w:t>
      </w:r>
      <w:proofErr w:type="gramEnd"/>
      <w:r>
        <w:rPr>
          <w:rFonts w:hAnsi="宋体" w:hint="eastAsia"/>
          <w:szCs w:val="24"/>
        </w:rPr>
        <w:t>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54189906" w14:textId="77777777" w:rsidR="00950499" w:rsidRDefault="005541ED">
      <w:pPr>
        <w:pStyle w:val="1"/>
        <w:spacing w:line="520" w:lineRule="atLeast"/>
        <w:ind w:firstLineChars="200" w:firstLine="482"/>
        <w:rPr>
          <w:bCs/>
          <w:color w:val="auto"/>
          <w:szCs w:val="24"/>
        </w:rPr>
      </w:pPr>
      <w:bookmarkStart w:id="23" w:name="_Toc44321727"/>
      <w:bookmarkStart w:id="24" w:name="_Toc296551340"/>
      <w:r>
        <w:rPr>
          <w:rFonts w:hint="eastAsia"/>
          <w:bCs/>
          <w:color w:val="auto"/>
          <w:szCs w:val="24"/>
        </w:rPr>
        <w:t>第四条 基金管理人对基金托管人的业务核查</w:t>
      </w:r>
      <w:bookmarkEnd w:id="23"/>
      <w:bookmarkEnd w:id="24"/>
    </w:p>
    <w:p w14:paraId="4EB354DE" w14:textId="18974B70" w:rsidR="00950499" w:rsidRDefault="005541ED">
      <w:pPr>
        <w:pStyle w:val="20"/>
        <w:spacing w:before="0" w:after="0" w:line="520" w:lineRule="atLeas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w:t>
      </w:r>
      <w:r w:rsidR="00C51BC4">
        <w:rPr>
          <w:rFonts w:hAnsi="宋体" w:hint="eastAsia"/>
          <w:szCs w:val="24"/>
        </w:rPr>
        <w:t>各类</w:t>
      </w:r>
      <w:r>
        <w:rPr>
          <w:rFonts w:hAnsi="宋体" w:hint="eastAsia"/>
          <w:szCs w:val="24"/>
        </w:rPr>
        <w:t>基金份额净值、根据基金管理人指令办理清算交收、相关信息披露和监督基金投资运作等行为。</w:t>
      </w:r>
    </w:p>
    <w:p w14:paraId="50CBB2B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lastRenderedPageBreak/>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31952B0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42A02C4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14:paraId="15D00C0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696AD0D2" w14:textId="77777777" w:rsidR="00950499" w:rsidRDefault="005541ED">
      <w:pPr>
        <w:pStyle w:val="1"/>
        <w:spacing w:line="520" w:lineRule="atLeast"/>
        <w:ind w:firstLineChars="200" w:firstLine="482"/>
        <w:rPr>
          <w:bCs/>
          <w:color w:val="auto"/>
          <w:szCs w:val="24"/>
        </w:rPr>
      </w:pPr>
      <w:bookmarkStart w:id="25" w:name="_Toc296551341"/>
      <w:bookmarkStart w:id="26" w:name="_Toc44321728"/>
      <w:r>
        <w:rPr>
          <w:rFonts w:hint="eastAsia"/>
          <w:bCs/>
          <w:color w:val="auto"/>
          <w:szCs w:val="24"/>
        </w:rPr>
        <w:t>第五条 基金财产保管</w:t>
      </w:r>
      <w:bookmarkEnd w:id="25"/>
      <w:bookmarkEnd w:id="26"/>
    </w:p>
    <w:p w14:paraId="41D9E56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5.1基金财产保管的原则</w:t>
      </w:r>
    </w:p>
    <w:p w14:paraId="5F4357F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5.1.1基金财产应独立于基金管理人、基金托管人的固有财产。</w:t>
      </w:r>
    </w:p>
    <w:p w14:paraId="3592A8F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5669372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5.1.3基金托管人按照规定开设基金财产的资金账户和证券账户等投资所需的其他账户。</w:t>
      </w:r>
    </w:p>
    <w:p w14:paraId="1D7636E1" w14:textId="27CF3A86" w:rsidR="00950499" w:rsidRDefault="005541ED">
      <w:pPr>
        <w:pStyle w:val="20"/>
        <w:spacing w:before="0" w:after="0" w:line="520" w:lineRule="atLeast"/>
        <w:ind w:left="0" w:firstLineChars="200" w:firstLine="480"/>
        <w:rPr>
          <w:rFonts w:hAnsi="宋体"/>
          <w:szCs w:val="24"/>
        </w:rPr>
      </w:pPr>
      <w:r>
        <w:rPr>
          <w:rFonts w:hAnsi="宋体" w:hint="eastAsia"/>
          <w:szCs w:val="24"/>
        </w:rPr>
        <w:t>5.1.4基金托管人对所托管的不同基金财产分别设置账户，</w:t>
      </w:r>
      <w:r w:rsidR="00C51BC4">
        <w:rPr>
          <w:rFonts w:hAnsi="宋体" w:hint="eastAsia"/>
          <w:szCs w:val="24"/>
        </w:rPr>
        <w:t>独立核算，</w:t>
      </w:r>
      <w:r>
        <w:rPr>
          <w:rFonts w:hAnsi="宋体" w:hint="eastAsia"/>
          <w:szCs w:val="24"/>
        </w:rPr>
        <w:t>与基金托管人的其他业务和其他基金的托管业务实行严格的分账管理，确保基金财产的完整与独立。</w:t>
      </w:r>
    </w:p>
    <w:p w14:paraId="5B24097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5.1.5基金托管人根据基金管理人的指令，按照基金合同和本协议的约定保管</w:t>
      </w:r>
      <w:r>
        <w:rPr>
          <w:rFonts w:hAnsi="宋体" w:hint="eastAsia"/>
          <w:szCs w:val="24"/>
        </w:rPr>
        <w:lastRenderedPageBreak/>
        <w:t>基金财产，如有特殊情况双方可另行协商解决。</w:t>
      </w:r>
    </w:p>
    <w:p w14:paraId="108AF44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3DC9A1B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5.2募集资金的验资</w:t>
      </w:r>
    </w:p>
    <w:p w14:paraId="7B4E5248" w14:textId="19EF4FF2" w:rsidR="00950499" w:rsidRDefault="005541ED">
      <w:pPr>
        <w:pStyle w:val="CharCharCharCharCharCharChar"/>
        <w:adjustRightInd/>
        <w:spacing w:line="520" w:lineRule="atLeast"/>
        <w:ind w:firstLineChars="200" w:firstLine="480"/>
        <w:rPr>
          <w:rFonts w:hAnsi="宋体"/>
          <w:szCs w:val="24"/>
        </w:rPr>
      </w:pPr>
      <w:r>
        <w:rPr>
          <w:rFonts w:ascii="宋体" w:hAnsi="宋体" w:hint="eastAsia"/>
          <w:szCs w:val="24"/>
        </w:rPr>
        <w:t>5.2.1基金募集期间募集的资金应存于基金管理人在基金托管人的营业机构或在其他银行开立的</w:t>
      </w:r>
      <w:permStart w:id="702166560" w:edGrp="everyone"/>
      <w:r w:rsidR="00D17E23" w:rsidRPr="004A5F5E">
        <w:rPr>
          <w:rFonts w:ascii="宋体" w:hAnsi="宋体" w:hint="eastAsia"/>
          <w:szCs w:val="21"/>
        </w:rPr>
        <w:t>富国基金管理有限公司</w:t>
      </w:r>
      <w:r w:rsidR="00D17E23">
        <w:rPr>
          <w:rFonts w:ascii="宋体" w:hAnsi="宋体" w:hint="eastAsia"/>
          <w:szCs w:val="21"/>
        </w:rPr>
        <w:t>基金认购专户</w:t>
      </w:r>
      <w:permEnd w:id="702166560"/>
      <w:r>
        <w:rPr>
          <w:rFonts w:ascii="宋体" w:hAnsi="宋体" w:hint="eastAsia"/>
          <w:szCs w:val="24"/>
        </w:rPr>
        <w:t>，该账户由</w:t>
      </w:r>
      <w:permStart w:id="119035892" w:edGrp="everyone"/>
      <w:r>
        <w:rPr>
          <w:rFonts w:ascii="宋体" w:hAnsi="宋体" w:hint="eastAsia"/>
          <w:szCs w:val="24"/>
        </w:rPr>
        <w:t>基金管理人</w:t>
      </w:r>
      <w:permEnd w:id="119035892"/>
      <w:r>
        <w:rPr>
          <w:rFonts w:ascii="宋体" w:hAnsi="宋体" w:hint="eastAsia"/>
          <w:szCs w:val="24"/>
        </w:rPr>
        <w:t>开立并管理。</w:t>
      </w:r>
    </w:p>
    <w:p w14:paraId="06B77BB6" w14:textId="362958F6" w:rsidR="00950499" w:rsidRDefault="005541ED">
      <w:pPr>
        <w:pStyle w:val="20"/>
        <w:spacing w:before="0" w:after="0" w:line="520" w:lineRule="atLeas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Pr>
          <w:rFonts w:hAnsi="宋体" w:hint="eastAsia"/>
          <w:szCs w:val="24"/>
        </w:rPr>
        <w:t>请</w:t>
      </w:r>
      <w:r w:rsidR="009E15B0" w:rsidRPr="009E15B0">
        <w:rPr>
          <w:rFonts w:hAnsi="宋体" w:hint="eastAsia"/>
          <w:szCs w:val="24"/>
        </w:rPr>
        <w:t>符合</w:t>
      </w:r>
      <w:proofErr w:type="gramEnd"/>
      <w:r w:rsidR="009E15B0" w:rsidRPr="009E15B0">
        <w:rPr>
          <w:rFonts w:hAnsi="宋体" w:hint="eastAsia"/>
          <w:szCs w:val="24"/>
        </w:rPr>
        <w:t>《中华人民共和国证券法》规定</w:t>
      </w:r>
      <w:r>
        <w:rPr>
          <w:rFonts w:hAnsi="宋体" w:hint="eastAsia"/>
          <w:szCs w:val="24"/>
        </w:rPr>
        <w:t>的会计师事务所进行验资，出具验资报告，出具的验资报告应由参加验资的2名以上（含2名）中国注册会计师签字有效。</w:t>
      </w:r>
    </w:p>
    <w:p w14:paraId="4811A9C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w:t>
      </w:r>
    </w:p>
    <w:p w14:paraId="68AB9ED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5.3基金的银行账户的开立和管理</w:t>
      </w:r>
    </w:p>
    <w:p w14:paraId="1AF8C27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5.3.1基金托管人以本基金的名义在其营业机构开立基金的银行账户，并根据基金管理人合法合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14:paraId="544949D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1AA190B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14:paraId="4338D83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5.4基金证券账户与证券交易资金账户的开设和管理</w:t>
      </w:r>
    </w:p>
    <w:p w14:paraId="76CC018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5.4.1基金托管人以基金托管人和本基金联名的方式在中国证券登记结算有限责任公司（以下简称“中登公司”）上海分公司/深圳分公司开设证券账户。</w:t>
      </w:r>
    </w:p>
    <w:p w14:paraId="0B64B8A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5.4.2基金托管人以基金托管人的名义在中登公司上海分公司/深圳分公司开</w:t>
      </w:r>
      <w:r>
        <w:rPr>
          <w:rFonts w:hAnsi="宋体" w:hint="eastAsia"/>
          <w:szCs w:val="24"/>
        </w:rPr>
        <w:lastRenderedPageBreak/>
        <w:t>立基金证券交易资金账户，用于证券清算。</w:t>
      </w:r>
    </w:p>
    <w:p w14:paraId="320C68C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14:paraId="211CAE8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5.4.4基金证券账户与证券交易资金账户相关证明文件的保管由基金托管人负责，账户资产的管理和运用由基金管理人负责。</w:t>
      </w:r>
    </w:p>
    <w:p w14:paraId="645F494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5.5债券托管账户的开立和管理</w:t>
      </w:r>
    </w:p>
    <w:p w14:paraId="368B0E6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0FB41E3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5.5.2基金管理人和基金托管人应一起负责为基金对外签订全国银行间国债市场回购主协议，正本由基金管理人保存。</w:t>
      </w:r>
    </w:p>
    <w:p w14:paraId="0BF828E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5.6其他账户的开设和管理</w:t>
      </w:r>
    </w:p>
    <w:p w14:paraId="4A460899" w14:textId="77AB9302" w:rsidR="00950499" w:rsidRDefault="005541ED">
      <w:pPr>
        <w:pStyle w:val="20"/>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w:t>
      </w:r>
      <w:r w:rsidR="00E83312">
        <w:rPr>
          <w:rFonts w:hAnsi="宋体" w:hint="eastAsia"/>
          <w:szCs w:val="24"/>
        </w:rPr>
        <w:t>基金</w:t>
      </w:r>
      <w:r>
        <w:rPr>
          <w:rFonts w:hAnsi="宋体" w:hint="eastAsia"/>
          <w:szCs w:val="24"/>
        </w:rPr>
        <w:t>托管人根据有关法律法规的规定和基金合同的约定，开立有关账户。该账户按有关规则使用并管理。</w:t>
      </w:r>
    </w:p>
    <w:p w14:paraId="7BC4B7E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5.7基金财产投资的有关实物证券、银行定期存款存单等有价凭证的保管</w:t>
      </w:r>
    </w:p>
    <w:p w14:paraId="44CF654B" w14:textId="0C95436C" w:rsidR="00950499" w:rsidRDefault="005541ED">
      <w:pPr>
        <w:pStyle w:val="20"/>
        <w:spacing w:before="0" w:after="0" w:line="520" w:lineRule="atLeas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636DC26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lastRenderedPageBreak/>
        <w:t>5.8与基金财产有关的重大合同的保管</w:t>
      </w:r>
    </w:p>
    <w:p w14:paraId="04C74F7F" w14:textId="1A194BA5" w:rsidR="00950499" w:rsidRDefault="005541ED">
      <w:pPr>
        <w:pStyle w:val="20"/>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00C51BC4">
        <w:rPr>
          <w:rFonts w:hAnsi="宋体" w:hint="eastAsia"/>
          <w:szCs w:val="24"/>
        </w:rPr>
        <w:t>，保存时间</w:t>
      </w:r>
      <w:r w:rsidR="00C51BC4" w:rsidRPr="00C51BC4">
        <w:rPr>
          <w:rFonts w:hAnsi="宋体" w:hint="eastAsia"/>
          <w:szCs w:val="24"/>
        </w:rPr>
        <w:t>不低于法律法规规定的期限</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6D417474" w14:textId="77777777" w:rsidR="00950499" w:rsidRDefault="005541ED">
      <w:pPr>
        <w:pStyle w:val="1"/>
        <w:spacing w:line="520" w:lineRule="atLeast"/>
        <w:ind w:firstLineChars="200" w:firstLine="482"/>
        <w:rPr>
          <w:bCs/>
          <w:color w:val="auto"/>
          <w:szCs w:val="24"/>
        </w:rPr>
      </w:pPr>
      <w:bookmarkStart w:id="27" w:name="_Toc296551342"/>
      <w:bookmarkStart w:id="28" w:name="_Toc44321729"/>
      <w:r>
        <w:rPr>
          <w:rFonts w:hint="eastAsia"/>
          <w:bCs/>
          <w:color w:val="auto"/>
          <w:szCs w:val="24"/>
        </w:rPr>
        <w:t>第六条 指令的发送、确认和执行</w:t>
      </w:r>
      <w:bookmarkEnd w:id="27"/>
      <w:bookmarkEnd w:id="28"/>
    </w:p>
    <w:p w14:paraId="031D84A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6.1基金管理人对发送指令人员的书面授权</w:t>
      </w:r>
    </w:p>
    <w:p w14:paraId="1E75929E" w14:textId="13F26EA5" w:rsidR="00950499" w:rsidRDefault="005541ED">
      <w:pPr>
        <w:pStyle w:val="20"/>
        <w:spacing w:before="0" w:after="0" w:line="520" w:lineRule="atLeast"/>
        <w:ind w:left="0" w:firstLineChars="200" w:firstLine="480"/>
        <w:rPr>
          <w:rFonts w:hAnsi="宋体"/>
          <w:szCs w:val="24"/>
        </w:rPr>
      </w:pPr>
      <w:r>
        <w:rPr>
          <w:rFonts w:hAnsi="宋体" w:hint="eastAsia"/>
          <w:szCs w:val="24"/>
        </w:rPr>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3个工作日内将授权通知的正本送交基金托管人。授权通知正本内容应与基金托管人收到的传真内容</w:t>
      </w:r>
      <w:r>
        <w:rPr>
          <w:rFonts w:hAnsi="宋体"/>
          <w:szCs w:val="24"/>
        </w:rPr>
        <w:t>一致，若有</w:t>
      </w:r>
      <w:r>
        <w:rPr>
          <w:rFonts w:hAnsi="宋体" w:hint="eastAsia"/>
          <w:szCs w:val="24"/>
        </w:rPr>
        <w:t>不一致的，以基金托管人收到的传真为准。</w:t>
      </w:r>
    </w:p>
    <w:p w14:paraId="1F867C7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基金管理人和基金托管人对授权文件负有保密义务，其内容不得向被授权人及相关操作人员以外的任何人泄露，</w:t>
      </w:r>
      <w:r>
        <w:rPr>
          <w:rFonts w:asciiTheme="minorEastAsia" w:eastAsiaTheme="minorEastAsia" w:hAnsiTheme="minorEastAsia" w:hint="eastAsia"/>
          <w:szCs w:val="24"/>
        </w:rPr>
        <w:t>除本协议另有约定或</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05627DA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6.2指令的内容</w:t>
      </w:r>
    </w:p>
    <w:p w14:paraId="2E7B835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w:t>
      </w:r>
      <w:r>
        <w:rPr>
          <w:rFonts w:hAnsi="宋体" w:hint="eastAsia"/>
          <w:szCs w:val="24"/>
        </w:rPr>
        <w:lastRenderedPageBreak/>
        <w:t>到账时间、金额、账户等，加盖预留印鉴并由被授权人签字或盖章。</w:t>
      </w:r>
    </w:p>
    <w:p w14:paraId="536AEE0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6.3指令的发送、确认和执行的时间和程序</w:t>
      </w:r>
    </w:p>
    <w:p w14:paraId="483B9189" w14:textId="524D10D0" w:rsidR="00950499" w:rsidRDefault="005541ED">
      <w:pPr>
        <w:pStyle w:val="20"/>
        <w:spacing w:before="0" w:after="0" w:line="520" w:lineRule="atLeast"/>
        <w:ind w:left="0" w:firstLineChars="200" w:firstLine="480"/>
        <w:rPr>
          <w:rFonts w:hAnsi="宋体"/>
          <w:szCs w:val="24"/>
        </w:rPr>
      </w:pPr>
      <w:r>
        <w:rPr>
          <w:rFonts w:hAnsi="宋体" w:hint="eastAsia"/>
          <w:szCs w:val="24"/>
        </w:rPr>
        <w:t>6.3.1指令由“授权通知”确定的被授权人代表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基金托管人不承担任何形式的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14:paraId="304B17AD" w14:textId="1B62A1A4" w:rsidR="00950499" w:rsidRDefault="005541ED">
      <w:pPr>
        <w:pStyle w:val="20"/>
        <w:spacing w:before="0" w:after="0" w:line="520" w:lineRule="atLeast"/>
        <w:ind w:left="0" w:firstLineChars="200" w:firstLine="480"/>
        <w:rPr>
          <w:rFonts w:hAnsi="宋体"/>
          <w:szCs w:val="24"/>
        </w:rPr>
      </w:pPr>
      <w:r>
        <w:rPr>
          <w:rFonts w:hAnsi="宋体" w:hint="eastAsia"/>
          <w:szCs w:val="24"/>
        </w:rPr>
        <w:t>6.3.2</w:t>
      </w:r>
      <w:r w:rsidRPr="00887CEE">
        <w:rPr>
          <w:rFonts w:hAnsi="宋体" w:hint="eastAsia"/>
          <w:b/>
          <w:bCs/>
          <w:szCs w:val="24"/>
        </w:rPr>
        <w:t>基金托管人根据本协议相关约定仅履行表面一致形式审核职责，对指令的真实性不承担责任。</w:t>
      </w:r>
      <w:r>
        <w:rPr>
          <w:rFonts w:hAnsi="宋体" w:hint="eastAsia"/>
          <w:szCs w:val="24"/>
        </w:rPr>
        <w:t>如果基金管理人的指令存在事实上未经授权、欺诈、伪造、变造或未能及时提供授权通知等情形，基金托管人不承担因执行有关指令或拒绝执行有关指令而给基金管理人或基金财产或任何第三</w:t>
      </w:r>
      <w:proofErr w:type="gramStart"/>
      <w:r>
        <w:rPr>
          <w:rFonts w:hAnsi="宋体" w:hint="eastAsia"/>
          <w:szCs w:val="24"/>
        </w:rPr>
        <w:t>方带来</w:t>
      </w:r>
      <w:proofErr w:type="gramEnd"/>
      <w:r>
        <w:rPr>
          <w:rFonts w:hAnsi="宋体" w:hint="eastAsia"/>
          <w:szCs w:val="24"/>
        </w:rPr>
        <w:t>的损失，全部责任由基金管理人承担，基金托管人由此遭受的损失，由基金管理人负责赔偿，但基金托管人未按协议约定</w:t>
      </w:r>
      <w:proofErr w:type="gramStart"/>
      <w:r>
        <w:rPr>
          <w:rFonts w:hAnsi="宋体" w:hint="eastAsia"/>
          <w:szCs w:val="24"/>
        </w:rPr>
        <w:t>尽形式</w:t>
      </w:r>
      <w:proofErr w:type="gramEnd"/>
      <w:r>
        <w:rPr>
          <w:rFonts w:hAnsi="宋体" w:hint="eastAsia"/>
          <w:szCs w:val="24"/>
        </w:rPr>
        <w:t>审核义务执行指令而造成损失的情形除外。</w:t>
      </w:r>
    </w:p>
    <w:p w14:paraId="4BD818B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基金托管人</w:t>
      </w:r>
      <w:r>
        <w:rPr>
          <w:rFonts w:hAnsi="宋体"/>
          <w:szCs w:val="24"/>
        </w:rPr>
        <w:t>由此</w:t>
      </w:r>
      <w:r>
        <w:rPr>
          <w:rFonts w:hAnsi="宋体" w:hint="eastAsia"/>
          <w:szCs w:val="24"/>
        </w:rPr>
        <w:t>遭受</w:t>
      </w:r>
      <w:r>
        <w:rPr>
          <w:rFonts w:hAnsi="宋体"/>
          <w:szCs w:val="24"/>
        </w:rPr>
        <w:t>的损失，由基金管理人负责赔偿。</w:t>
      </w:r>
    </w:p>
    <w:p w14:paraId="3C383E21" w14:textId="0B18D2CA" w:rsidR="00950499" w:rsidRDefault="005541ED">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4</w:t>
      </w:r>
      <w:r>
        <w:rPr>
          <w:rFonts w:hAnsi="宋体" w:hint="eastAsia"/>
          <w:szCs w:val="24"/>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w:t>
      </w:r>
      <w:proofErr w:type="gramStart"/>
      <w:r>
        <w:rPr>
          <w:rFonts w:hAnsi="宋体" w:hint="eastAsia"/>
          <w:szCs w:val="24"/>
        </w:rPr>
        <w:t>指令</w:t>
      </w:r>
      <w:r>
        <w:rPr>
          <w:rFonts w:hAnsi="宋体" w:hint="eastAsia"/>
          <w:szCs w:val="24"/>
        </w:rPr>
        <w:lastRenderedPageBreak/>
        <w:t>仅</w:t>
      </w:r>
      <w:proofErr w:type="gramEnd"/>
      <w:r>
        <w:rPr>
          <w:rFonts w:hAnsi="宋体" w:hint="eastAsia"/>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14:paraId="54B44D2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2401CBB5" w14:textId="718ACD75" w:rsidR="00950499" w:rsidRDefault="005541ED">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6</w:t>
      </w:r>
      <w:r>
        <w:rPr>
          <w:rFonts w:hAnsi="宋体" w:hint="eastAsia"/>
          <w:szCs w:val="24"/>
        </w:rPr>
        <w:t>基金管理人应将交易通知单加盖预留印鉴后传真给基金托管人。</w:t>
      </w:r>
    </w:p>
    <w:p w14:paraId="73F0AB1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6.4基金管理人发送错误指令的情形和处理程序</w:t>
      </w:r>
    </w:p>
    <w:p w14:paraId="72E1082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3E03400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1DBCF1E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6.5基金托管人依照法律法规暂缓、拒绝执行指令的情形和处理程序</w:t>
      </w:r>
    </w:p>
    <w:p w14:paraId="7498700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执行或不予执行，并应及时以书面形式通知基金管理人纠正，基金托管人不承担任何损失和责任。对基金管理人更正并重新发送后的指令经基金托管人核对确认后方能执行。</w:t>
      </w:r>
    </w:p>
    <w:p w14:paraId="170E78D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6.6基金托管人未按照基金管理人指令执行的处理方法</w:t>
      </w:r>
    </w:p>
    <w:p w14:paraId="213F724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基金托管人由于自身过错原因造成未按照或者未及时按照基金管理人发送的符合法律法规规定以及基金合同、本协议约定的指令执行，给基金份额持有人或</w:t>
      </w:r>
      <w:r>
        <w:rPr>
          <w:rFonts w:hAnsi="宋体"/>
          <w:szCs w:val="24"/>
        </w:rPr>
        <w:lastRenderedPageBreak/>
        <w:t>基金财产</w:t>
      </w:r>
      <w:r>
        <w:rPr>
          <w:rFonts w:hAnsi="宋体" w:hint="eastAsia"/>
          <w:szCs w:val="24"/>
        </w:rPr>
        <w:t>造成损失的，应承担相应的责任，但如遇到不可抗力的情况除外。</w:t>
      </w:r>
    </w:p>
    <w:p w14:paraId="1A10E0C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6.7更换被授权人的程序</w:t>
      </w:r>
    </w:p>
    <w:p w14:paraId="148BB58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管理人撤换被授权人员或改变被授权人员的权限，必须提前至少1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14:paraId="4EBF5B86" w14:textId="77777777" w:rsidR="00950499" w:rsidRDefault="005541ED">
      <w:pPr>
        <w:pStyle w:val="1"/>
        <w:spacing w:line="520" w:lineRule="atLeast"/>
        <w:ind w:firstLineChars="200" w:firstLine="482"/>
        <w:rPr>
          <w:bCs/>
          <w:color w:val="auto"/>
          <w:szCs w:val="24"/>
        </w:rPr>
      </w:pPr>
      <w:bookmarkStart w:id="29" w:name="_Toc44321730"/>
      <w:r>
        <w:rPr>
          <w:rFonts w:hint="eastAsia"/>
          <w:bCs/>
          <w:color w:val="auto"/>
          <w:szCs w:val="24"/>
        </w:rPr>
        <w:t>第七条 交易及清算交收安排</w:t>
      </w:r>
      <w:bookmarkEnd w:id="29"/>
      <w:r>
        <w:rPr>
          <w:rFonts w:hint="eastAsia"/>
          <w:bCs/>
          <w:color w:val="auto"/>
          <w:szCs w:val="24"/>
        </w:rPr>
        <w:t xml:space="preserve"> </w:t>
      </w:r>
    </w:p>
    <w:p w14:paraId="1E2703F7" w14:textId="77777777" w:rsidR="00950499" w:rsidRDefault="005541ED">
      <w:pPr>
        <w:pStyle w:val="20"/>
        <w:spacing w:before="0" w:after="0" w:line="520" w:lineRule="atLeast"/>
        <w:rPr>
          <w:rFonts w:hAnsi="宋体"/>
          <w:szCs w:val="24"/>
        </w:rPr>
      </w:pPr>
      <w:r>
        <w:rPr>
          <w:rFonts w:hAnsi="宋体" w:hint="eastAsia"/>
          <w:szCs w:val="24"/>
        </w:rPr>
        <w:t>7.1选择代理证券买卖的证券经营机构</w:t>
      </w:r>
    </w:p>
    <w:p w14:paraId="59CFDDDD" w14:textId="0EFD4F36" w:rsidR="00950499" w:rsidRDefault="005541ED">
      <w:pPr>
        <w:pStyle w:val="20"/>
        <w:spacing w:before="0" w:after="0" w:line="520" w:lineRule="atLeast"/>
        <w:ind w:left="0"/>
        <w:rPr>
          <w:rFonts w:hAnsi="宋体"/>
          <w:szCs w:val="24"/>
        </w:rPr>
      </w:pPr>
      <w:r>
        <w:rPr>
          <w:rFonts w:hAnsi="宋体" w:hint="eastAsia"/>
          <w:szCs w:val="24"/>
        </w:rPr>
        <w:t xml:space="preserve">    7.1.1基金管理人应制</w:t>
      </w:r>
      <w:proofErr w:type="gramStart"/>
      <w:r>
        <w:rPr>
          <w:rFonts w:hAnsi="宋体" w:hint="eastAsia"/>
          <w:szCs w:val="24"/>
        </w:rPr>
        <w:t>定选择</w:t>
      </w:r>
      <w:proofErr w:type="gramEnd"/>
      <w:r>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w:t>
      </w:r>
      <w:r w:rsidR="00A6199E">
        <w:rPr>
          <w:rFonts w:hAnsi="宋体" w:hint="eastAsia"/>
          <w:szCs w:val="24"/>
        </w:rPr>
        <w:t>交易单元租用协议</w:t>
      </w:r>
      <w:r>
        <w:rPr>
          <w:rFonts w:hAnsi="宋体" w:hint="eastAsia"/>
          <w:szCs w:val="24"/>
        </w:rPr>
        <w:t>，由基金管理人提前通知基金托管人，并在法定信息披露公告中披露有关内容。交易单元保证金由被选中的证券经营机构支付。</w:t>
      </w:r>
    </w:p>
    <w:p w14:paraId="167F5DE6" w14:textId="77777777" w:rsidR="00950499" w:rsidRDefault="005541ED">
      <w:pPr>
        <w:pStyle w:val="20"/>
        <w:spacing w:before="0" w:after="0" w:line="520" w:lineRule="atLeast"/>
        <w:ind w:left="0"/>
        <w:rPr>
          <w:rFonts w:hAnsi="宋体"/>
          <w:szCs w:val="24"/>
        </w:rPr>
      </w:pPr>
      <w:r>
        <w:rPr>
          <w:rFonts w:hAnsi="宋体" w:hint="eastAsia"/>
          <w:szCs w:val="24"/>
        </w:rPr>
        <w:t xml:space="preserve">    7.1.2基金管理人应及时将基金专用交易单元号、佣金费率等基本信息以及变更情况以书面形式通知基金托管人。</w:t>
      </w:r>
    </w:p>
    <w:p w14:paraId="2F4208A3" w14:textId="77777777" w:rsidR="00950499" w:rsidRDefault="005541ED">
      <w:pPr>
        <w:pStyle w:val="20"/>
        <w:spacing w:before="0" w:after="0" w:line="520" w:lineRule="atLeast"/>
        <w:rPr>
          <w:rFonts w:hAnsi="宋体"/>
          <w:szCs w:val="24"/>
        </w:rPr>
      </w:pPr>
      <w:r>
        <w:rPr>
          <w:rFonts w:hAnsi="宋体" w:hint="eastAsia"/>
          <w:szCs w:val="24"/>
        </w:rPr>
        <w:t>7.2清算与交割</w:t>
      </w:r>
    </w:p>
    <w:p w14:paraId="13522504" w14:textId="77777777" w:rsidR="00950499" w:rsidRDefault="005541ED">
      <w:pPr>
        <w:pStyle w:val="20"/>
        <w:spacing w:before="0" w:after="0" w:line="520" w:lineRule="atLeast"/>
        <w:rPr>
          <w:rFonts w:hAnsi="宋体"/>
          <w:szCs w:val="24"/>
        </w:rPr>
      </w:pPr>
      <w:r>
        <w:rPr>
          <w:rFonts w:hAnsi="宋体" w:hint="eastAsia"/>
          <w:szCs w:val="24"/>
        </w:rPr>
        <w:t>7.2.1基金投资证券后的清算交收安排</w:t>
      </w:r>
    </w:p>
    <w:p w14:paraId="5162CF16" w14:textId="77777777" w:rsidR="00950499" w:rsidRDefault="005541ED">
      <w:pPr>
        <w:pStyle w:val="20"/>
        <w:spacing w:before="0" w:after="0" w:line="520" w:lineRule="atLeast"/>
        <w:ind w:left="0"/>
        <w:rPr>
          <w:rFonts w:hAnsi="宋体"/>
          <w:szCs w:val="24"/>
        </w:rPr>
      </w:pPr>
      <w:r>
        <w:rPr>
          <w:rFonts w:hAnsi="宋体" w:hint="eastAsia"/>
          <w:szCs w:val="24"/>
        </w:rPr>
        <w:t xml:space="preserve">    基金管理人与基金托管人应根据有关法律法规及相关业务规则，签订《证券交易资金结算协议》，用以具体明确基金管理人与基金托管人在证券交易资金结算业务中的责任。</w:t>
      </w:r>
    </w:p>
    <w:p w14:paraId="56AF6784" w14:textId="77777777" w:rsidR="00950499" w:rsidRDefault="005541ED">
      <w:pPr>
        <w:pStyle w:val="20"/>
        <w:spacing w:before="0" w:after="0" w:line="520" w:lineRule="atLeast"/>
        <w:ind w:left="0"/>
        <w:rPr>
          <w:rFonts w:hAnsi="宋体"/>
          <w:szCs w:val="24"/>
        </w:rPr>
      </w:pPr>
      <w:r>
        <w:rPr>
          <w:rFonts w:hAnsi="宋体" w:hint="eastAsia"/>
          <w:szCs w:val="24"/>
        </w:rPr>
        <w:t xml:space="preserve">    对基金管理人的资金划拨指令，基金托管人在复核无误后应在规定期限内执行并在执行完毕后回函确认，不得无故延误。</w:t>
      </w:r>
    </w:p>
    <w:p w14:paraId="22231BB4" w14:textId="77777777" w:rsidR="00950499" w:rsidRDefault="005541ED">
      <w:pPr>
        <w:pStyle w:val="20"/>
        <w:spacing w:before="0" w:after="0" w:line="520" w:lineRule="atLeast"/>
        <w:ind w:left="0" w:firstLine="480"/>
        <w:rPr>
          <w:rFonts w:hAnsi="宋体"/>
          <w:szCs w:val="24"/>
        </w:rPr>
      </w:pPr>
      <w:r>
        <w:rPr>
          <w:rFonts w:hAnsi="宋体" w:hint="eastAsia"/>
          <w:szCs w:val="24"/>
        </w:rPr>
        <w:lastRenderedPageBreak/>
        <w:t>本基金投资于证券发生的所有场内、场外交易的资金清算交割，全部由基金托管人负责办理。</w:t>
      </w:r>
    </w:p>
    <w:p w14:paraId="37EA9FAF" w14:textId="77777777" w:rsidR="00950499" w:rsidRDefault="005541ED">
      <w:pPr>
        <w:pStyle w:val="20"/>
        <w:spacing w:before="0" w:after="0" w:line="520" w:lineRule="atLeast"/>
        <w:ind w:left="0" w:firstLine="480"/>
        <w:rPr>
          <w:rFonts w:hAnsi="宋体"/>
          <w:szCs w:val="24"/>
        </w:rPr>
      </w:pPr>
      <w:r>
        <w:rPr>
          <w:rFonts w:hAnsi="宋体" w:hint="eastAsia"/>
          <w:szCs w:val="24"/>
        </w:rPr>
        <w:t>本基金证券投资的清算交割，由基金托管人通过中登公司上海分公司/深圳分公司及清算代理银行办理。</w:t>
      </w:r>
    </w:p>
    <w:p w14:paraId="3EFCC781" w14:textId="2EF14B82" w:rsidR="00950499" w:rsidRDefault="005541ED">
      <w:pPr>
        <w:pStyle w:val="20"/>
        <w:spacing w:before="0" w:after="0" w:line="520" w:lineRule="atLeast"/>
        <w:ind w:left="0" w:firstLine="480"/>
        <w:rPr>
          <w:rFonts w:hAnsi="宋体"/>
          <w:szCs w:val="24"/>
        </w:rPr>
      </w:pPr>
      <w:r>
        <w:rPr>
          <w:rFonts w:hAnsi="宋体" w:hint="eastAsia"/>
          <w:szCs w:val="24"/>
        </w:rPr>
        <w:t>交易及清算交收安排中管理人应为托管人预留2个小时的指令处理时间，当日15:00之后收到的指令，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w:t>
      </w:r>
      <w:r w:rsidR="0040415E">
        <w:rPr>
          <w:rFonts w:hAnsi="宋体" w:hint="eastAsia"/>
          <w:szCs w:val="24"/>
        </w:rPr>
        <w:t>，</w:t>
      </w:r>
      <w:r>
        <w:rPr>
          <w:rFonts w:hAnsi="宋体" w:hint="eastAsia"/>
          <w:szCs w:val="24"/>
        </w:rPr>
        <w:t>而造成基金投资清算困难和风险的，基金托管人发现后应立即通知基金管理人，由基金管理人负责解决，由此给基金造成的损失由基金管理人承担。</w:t>
      </w:r>
    </w:p>
    <w:p w14:paraId="027E6BEB" w14:textId="77777777" w:rsidR="00950499" w:rsidRDefault="005541ED">
      <w:pPr>
        <w:pStyle w:val="20"/>
        <w:spacing w:before="0" w:after="0" w:line="520" w:lineRule="atLeast"/>
        <w:rPr>
          <w:rFonts w:hAnsi="宋体"/>
          <w:szCs w:val="24"/>
        </w:rPr>
      </w:pPr>
      <w:r>
        <w:rPr>
          <w:rFonts w:hAnsi="宋体" w:hint="eastAsia"/>
          <w:szCs w:val="24"/>
        </w:rPr>
        <w:t>7.2.2基金出现超买或超卖的责任认定及处理程序</w:t>
      </w:r>
    </w:p>
    <w:p w14:paraId="46FED7DC" w14:textId="77777777" w:rsidR="00950499" w:rsidRDefault="005541ED">
      <w:pPr>
        <w:pStyle w:val="20"/>
        <w:spacing w:before="0" w:after="0" w:line="520" w:lineRule="atLeast"/>
        <w:ind w:left="0"/>
        <w:rPr>
          <w:rFonts w:hAnsi="宋体"/>
          <w:szCs w:val="24"/>
        </w:rPr>
      </w:pPr>
      <w:r>
        <w:rPr>
          <w:rFonts w:hAnsi="宋体" w:hint="eastAsia"/>
          <w:szCs w:val="24"/>
        </w:rPr>
        <w:t xml:space="preserve">    基金托管人在履行监督职能时，如果发现基金投资证券过程中出现超买或超卖现象，应立即提醒基金管理人，由基金管理人负责解决，由此给基金造成的损失由基金管理人承担。</w:t>
      </w:r>
    </w:p>
    <w:p w14:paraId="39ABE353" w14:textId="77777777" w:rsidR="00950499" w:rsidRDefault="005541ED">
      <w:pPr>
        <w:pStyle w:val="20"/>
        <w:spacing w:before="0" w:after="0" w:line="520" w:lineRule="atLeast"/>
        <w:rPr>
          <w:rFonts w:hAnsi="宋体"/>
          <w:szCs w:val="24"/>
        </w:rPr>
      </w:pPr>
      <w:r>
        <w:rPr>
          <w:rFonts w:hAnsi="宋体" w:hint="eastAsia"/>
          <w:szCs w:val="24"/>
        </w:rPr>
        <w:t>7.2.3基金无法按时支付证券清算款的责任认定及处理程序</w:t>
      </w:r>
    </w:p>
    <w:p w14:paraId="123CADD0" w14:textId="77777777" w:rsidR="00950499" w:rsidRDefault="005541ED">
      <w:pPr>
        <w:pStyle w:val="20"/>
        <w:spacing w:before="0" w:after="0" w:line="520" w:lineRule="atLeast"/>
        <w:ind w:left="0"/>
        <w:rPr>
          <w:rFonts w:hAnsi="宋体"/>
          <w:szCs w:val="24"/>
        </w:rPr>
      </w:pPr>
      <w:r>
        <w:rPr>
          <w:rFonts w:hAnsi="宋体" w:hint="eastAsia"/>
          <w:szCs w:val="24"/>
        </w:rPr>
        <w:t xml:space="preserve">    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3CE4C30E" w14:textId="77777777" w:rsidR="00950499" w:rsidRDefault="005541ED">
      <w:pPr>
        <w:pStyle w:val="20"/>
        <w:spacing w:before="0" w:after="0" w:line="520" w:lineRule="atLeast"/>
        <w:ind w:left="0" w:firstLine="480"/>
        <w:rPr>
          <w:rFonts w:hAnsi="宋体"/>
          <w:szCs w:val="24"/>
        </w:rPr>
      </w:pPr>
      <w:r>
        <w:rPr>
          <w:rFonts w:hAnsi="宋体" w:hint="eastAsia"/>
          <w:szCs w:val="24"/>
        </w:rPr>
        <w:t>在基金资金头寸充足的情况下，基金托管人对基金管理人符合法律法规、基金合同、本托管协议的指令不得拖延或拒绝执行。如由于基金托管人的过错原因导致基金无法按时支付证券清算款，由此给基金造成的损失由基金托管人承担。</w:t>
      </w:r>
    </w:p>
    <w:p w14:paraId="2F1BB64C" w14:textId="77777777" w:rsidR="00950499" w:rsidRDefault="005541ED">
      <w:pPr>
        <w:pStyle w:val="20"/>
        <w:spacing w:line="520" w:lineRule="atLeast"/>
        <w:ind w:left="0" w:firstLineChars="200" w:firstLine="480"/>
        <w:rPr>
          <w:rFonts w:hAnsi="宋体"/>
          <w:szCs w:val="24"/>
        </w:rPr>
      </w:pPr>
      <w:r>
        <w:rPr>
          <w:rFonts w:hAnsi="宋体" w:hint="eastAsia"/>
          <w:szCs w:val="24"/>
        </w:rPr>
        <w:t>7.2.4场外交易资金结算</w:t>
      </w:r>
    </w:p>
    <w:p w14:paraId="552D3CA7" w14:textId="79EA8334" w:rsidR="00950499" w:rsidRDefault="005541ED">
      <w:pPr>
        <w:pStyle w:val="20"/>
        <w:spacing w:before="0" w:after="0" w:line="520" w:lineRule="atLeast"/>
        <w:ind w:left="0" w:firstLine="480"/>
        <w:rPr>
          <w:rFonts w:hAnsi="宋体"/>
          <w:szCs w:val="24"/>
        </w:rPr>
      </w:pPr>
      <w:r>
        <w:rPr>
          <w:rFonts w:hAnsi="宋体" w:hint="eastAsia"/>
          <w:szCs w:val="24"/>
        </w:rPr>
        <w:t>场外资金对外投资划款由基金托管人</w:t>
      </w:r>
      <w:proofErr w:type="gramStart"/>
      <w:r>
        <w:rPr>
          <w:rFonts w:hAnsi="宋体" w:hint="eastAsia"/>
          <w:szCs w:val="24"/>
        </w:rPr>
        <w:t>凭基金</w:t>
      </w:r>
      <w:proofErr w:type="gramEnd"/>
      <w:r>
        <w:rPr>
          <w:rFonts w:hAnsi="宋体" w:hint="eastAsia"/>
          <w:szCs w:val="24"/>
        </w:rPr>
        <w:t>管理人符合本托管协议约定的有效资金划拨指令和相关投资合同（如有）进行资金划拨；</w:t>
      </w:r>
      <w:proofErr w:type="gramStart"/>
      <w:r>
        <w:rPr>
          <w:rFonts w:hAnsi="宋体" w:hint="eastAsia"/>
          <w:szCs w:val="24"/>
        </w:rPr>
        <w:t>场外投资</w:t>
      </w:r>
      <w:proofErr w:type="gramEnd"/>
      <w:r>
        <w:rPr>
          <w:rFonts w:hAnsi="宋体" w:hint="eastAsia"/>
          <w:szCs w:val="24"/>
        </w:rPr>
        <w:t>本金及收益的划回，由管理人负责协调相关资金</w:t>
      </w:r>
      <w:proofErr w:type="gramStart"/>
      <w:r>
        <w:rPr>
          <w:rFonts w:hAnsi="宋体" w:hint="eastAsia"/>
          <w:szCs w:val="24"/>
        </w:rPr>
        <w:t>划拨回产品托管户</w:t>
      </w:r>
      <w:proofErr w:type="gramEnd"/>
      <w:r>
        <w:rPr>
          <w:rFonts w:hAnsi="宋体" w:hint="eastAsia"/>
          <w:szCs w:val="24"/>
        </w:rPr>
        <w:t>事宜。</w:t>
      </w:r>
    </w:p>
    <w:p w14:paraId="437CB19A" w14:textId="77777777" w:rsidR="00950499" w:rsidRDefault="005541ED">
      <w:pPr>
        <w:pStyle w:val="20"/>
        <w:spacing w:before="0" w:after="0" w:line="520" w:lineRule="atLeast"/>
        <w:rPr>
          <w:rFonts w:hAnsi="宋体"/>
          <w:szCs w:val="24"/>
        </w:rPr>
      </w:pPr>
      <w:r>
        <w:rPr>
          <w:rFonts w:hAnsi="宋体" w:hint="eastAsia"/>
          <w:szCs w:val="24"/>
        </w:rPr>
        <w:lastRenderedPageBreak/>
        <w:t>7.3资金、证券账目及交易记录的核对</w:t>
      </w:r>
    </w:p>
    <w:p w14:paraId="21B6401B" w14:textId="77777777" w:rsidR="00950499" w:rsidRDefault="005541ED">
      <w:pPr>
        <w:pStyle w:val="20"/>
        <w:spacing w:before="0" w:after="0" w:line="520" w:lineRule="atLeast"/>
        <w:ind w:left="0"/>
        <w:rPr>
          <w:rFonts w:hAnsi="宋体"/>
          <w:szCs w:val="24"/>
        </w:rPr>
      </w:pPr>
      <w:r>
        <w:rPr>
          <w:rFonts w:hAnsi="宋体" w:hint="eastAsia"/>
          <w:szCs w:val="24"/>
        </w:rPr>
        <w:t xml:space="preserve">    7.3.1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67C61982" w14:textId="77777777" w:rsidR="00950499" w:rsidRDefault="005541ED">
      <w:pPr>
        <w:pStyle w:val="20"/>
        <w:spacing w:before="0" w:after="0" w:line="520" w:lineRule="atLeast"/>
        <w:ind w:left="0"/>
        <w:rPr>
          <w:rFonts w:hAnsi="宋体"/>
          <w:szCs w:val="24"/>
        </w:rPr>
      </w:pPr>
      <w:r>
        <w:rPr>
          <w:rFonts w:hAnsi="宋体" w:hint="eastAsia"/>
          <w:szCs w:val="24"/>
        </w:rPr>
        <w:t xml:space="preserve">    7.3.2对基金的资金账目，由相关各方每日对账一次，确保相关各方账</w:t>
      </w:r>
      <w:proofErr w:type="gramStart"/>
      <w:r>
        <w:rPr>
          <w:rFonts w:hAnsi="宋体" w:hint="eastAsia"/>
          <w:szCs w:val="24"/>
        </w:rPr>
        <w:t>账</w:t>
      </w:r>
      <w:proofErr w:type="gramEnd"/>
      <w:r>
        <w:rPr>
          <w:rFonts w:hAnsi="宋体" w:hint="eastAsia"/>
          <w:szCs w:val="24"/>
        </w:rPr>
        <w:t>相符。对基金证券账目，由相关各方每日进行对账。对实物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14:paraId="35CD77EE" w14:textId="77777777" w:rsidR="00950499" w:rsidRDefault="005541ED">
      <w:pPr>
        <w:pStyle w:val="20"/>
        <w:spacing w:before="0" w:after="0" w:line="520" w:lineRule="atLeast"/>
        <w:ind w:left="0"/>
        <w:rPr>
          <w:rFonts w:hAnsi="宋体"/>
          <w:szCs w:val="24"/>
        </w:rPr>
      </w:pPr>
      <w:r>
        <w:rPr>
          <w:rFonts w:hAnsi="宋体" w:hint="eastAsia"/>
          <w:szCs w:val="24"/>
        </w:rPr>
        <w:t xml:space="preserve">    7.4申购、赎回、转换开放式基金的资金清算、数据传递及基金管理人、基金托管人的责任</w:t>
      </w:r>
    </w:p>
    <w:p w14:paraId="267EA7ED" w14:textId="77777777" w:rsidR="00950499" w:rsidRDefault="005541ED">
      <w:pPr>
        <w:pStyle w:val="20"/>
        <w:spacing w:before="0" w:after="0" w:line="520" w:lineRule="atLeast"/>
        <w:ind w:left="0"/>
        <w:rPr>
          <w:rFonts w:hAnsi="宋体"/>
          <w:szCs w:val="24"/>
        </w:rPr>
      </w:pPr>
      <w:r>
        <w:rPr>
          <w:rFonts w:hAnsi="宋体" w:hint="eastAsia"/>
          <w:szCs w:val="24"/>
        </w:rPr>
        <w:t xml:space="preserve">    7.4.1基金管理人和基金托管人在基金的申购赎回、转换中的责任</w:t>
      </w:r>
    </w:p>
    <w:p w14:paraId="63FCE6FE" w14:textId="77777777" w:rsidR="00950499" w:rsidRDefault="005541ED">
      <w:pPr>
        <w:pStyle w:val="20"/>
        <w:spacing w:before="0" w:after="0" w:line="520" w:lineRule="atLeast"/>
        <w:ind w:left="0"/>
        <w:rPr>
          <w:rFonts w:hAnsi="宋体"/>
          <w:szCs w:val="24"/>
        </w:rPr>
      </w:pPr>
      <w:r>
        <w:rPr>
          <w:rFonts w:hAnsi="宋体" w:hint="eastAsia"/>
          <w:szCs w:val="24"/>
        </w:rPr>
        <w:t xml:space="preserve">    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14:paraId="78368B71" w14:textId="77777777" w:rsidR="00950499" w:rsidRDefault="005541ED">
      <w:pPr>
        <w:pStyle w:val="20"/>
        <w:spacing w:before="0" w:after="0" w:line="520" w:lineRule="atLeast"/>
        <w:rPr>
          <w:rFonts w:hAnsi="宋体"/>
          <w:szCs w:val="24"/>
        </w:rPr>
      </w:pPr>
      <w:r>
        <w:rPr>
          <w:rFonts w:hAnsi="宋体" w:hint="eastAsia"/>
          <w:szCs w:val="24"/>
        </w:rPr>
        <w:t>7.4.2基金的数据传递</w:t>
      </w:r>
    </w:p>
    <w:p w14:paraId="5F9060D7" w14:textId="77777777" w:rsidR="00950499" w:rsidRDefault="005541ED">
      <w:pPr>
        <w:pStyle w:val="20"/>
        <w:spacing w:before="0" w:after="0" w:line="520" w:lineRule="atLeast"/>
        <w:ind w:left="0"/>
        <w:rPr>
          <w:rFonts w:hAnsi="宋体"/>
          <w:szCs w:val="24"/>
        </w:rPr>
      </w:pPr>
      <w:r>
        <w:rPr>
          <w:rFonts w:hAnsi="宋体" w:hint="eastAsia"/>
          <w:szCs w:val="24"/>
        </w:rPr>
        <w:t xml:space="preserve">    基金管理人应保证本基金（或本基金管理人委托）的登记机构于每个开放日15：00之前将本基金的申购、赎回、转换的数据传送给基金托管人。基金管理人应对传递的数据的真实性、准确性和完整性负责。</w:t>
      </w:r>
    </w:p>
    <w:p w14:paraId="40DFFC6F" w14:textId="77777777" w:rsidR="00950499" w:rsidRDefault="005541ED">
      <w:pPr>
        <w:pStyle w:val="20"/>
        <w:spacing w:before="0" w:after="0" w:line="520" w:lineRule="atLeast"/>
        <w:ind w:left="0"/>
        <w:rPr>
          <w:rFonts w:hAnsi="宋体"/>
          <w:szCs w:val="24"/>
        </w:rPr>
      </w:pPr>
      <w:r>
        <w:rPr>
          <w:rFonts w:hAnsi="宋体" w:hint="eastAsia"/>
          <w:szCs w:val="24"/>
        </w:rPr>
        <w:t xml:space="preserve">    登记机构应通过与基金管理人建立的系统发送有关数据，如因各种原因，该系统无法正常发送，双方可协商解决处理方式。</w:t>
      </w:r>
    </w:p>
    <w:p w14:paraId="6BE4107A" w14:textId="77777777" w:rsidR="00950499" w:rsidRDefault="005541ED">
      <w:pPr>
        <w:pStyle w:val="20"/>
        <w:spacing w:before="0" w:after="0" w:line="520" w:lineRule="atLeast"/>
        <w:rPr>
          <w:rFonts w:hAnsi="宋体"/>
          <w:szCs w:val="24"/>
        </w:rPr>
      </w:pPr>
      <w:r>
        <w:rPr>
          <w:rFonts w:hAnsi="宋体" w:hint="eastAsia"/>
          <w:szCs w:val="24"/>
        </w:rPr>
        <w:t>7.4.3基金的资金清算</w:t>
      </w:r>
    </w:p>
    <w:p w14:paraId="27591694" w14:textId="77777777" w:rsidR="00950499" w:rsidRDefault="005541ED">
      <w:pPr>
        <w:pStyle w:val="20"/>
        <w:spacing w:before="0" w:after="0" w:line="520" w:lineRule="atLeast"/>
        <w:ind w:left="0"/>
        <w:rPr>
          <w:rFonts w:hAnsi="宋体"/>
          <w:szCs w:val="24"/>
        </w:rPr>
      </w:pPr>
      <w:r>
        <w:rPr>
          <w:rFonts w:hAnsi="宋体" w:hint="eastAsia"/>
          <w:szCs w:val="24"/>
        </w:rPr>
        <w:t xml:space="preserve">    基金托管专户与“基金清算账户”间的资金结算遵循“全额清算、净额交收”的原则，每日按照托管专户应收资金与应付资金的差额来确定托管</w:t>
      </w:r>
      <w:proofErr w:type="gramStart"/>
      <w:r>
        <w:rPr>
          <w:rFonts w:hAnsi="宋体" w:hint="eastAsia"/>
          <w:szCs w:val="24"/>
        </w:rPr>
        <w:t>专户净应收</w:t>
      </w:r>
      <w:proofErr w:type="gramEnd"/>
      <w:r>
        <w:rPr>
          <w:rFonts w:hAnsi="宋体" w:hint="eastAsia"/>
          <w:szCs w:val="24"/>
        </w:rPr>
        <w:t>额或净应付额，以此确定资金交收额。</w:t>
      </w:r>
    </w:p>
    <w:p w14:paraId="1FC3E1C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如果当日基金为净应收款，基金托管人应在T＋2日15:00之前查收资金是否到账，对于未准时到账的资金，基金托管人应及时通知基金管理人划付。如果当日基金为净应付款，基金托管人应根据基金管理人的指令在T+2日中午12:00前</w:t>
      </w:r>
      <w:r>
        <w:rPr>
          <w:rFonts w:hAnsi="宋体" w:hint="eastAsia"/>
          <w:szCs w:val="24"/>
        </w:rPr>
        <w:lastRenderedPageBreak/>
        <w:t>进行划付，对于未准时划付的资金，基金管理人应及时通知基金托管人划付。因基金托管专户没有足够的资金，导致基金托管人不能按时拨付，基金托管人应及时通知基金管理人。</w:t>
      </w:r>
    </w:p>
    <w:p w14:paraId="38B9DACD" w14:textId="77777777" w:rsidR="00950499" w:rsidRDefault="005541ED">
      <w:pPr>
        <w:pStyle w:val="1"/>
        <w:spacing w:line="520" w:lineRule="atLeast"/>
        <w:ind w:firstLineChars="200" w:firstLine="482"/>
        <w:rPr>
          <w:bCs/>
          <w:color w:val="auto"/>
          <w:szCs w:val="24"/>
        </w:rPr>
      </w:pPr>
      <w:bookmarkStart w:id="30" w:name="_Toc296551344"/>
      <w:bookmarkStart w:id="31" w:name="_Toc44321731"/>
      <w:r>
        <w:rPr>
          <w:rFonts w:hint="eastAsia"/>
          <w:bCs/>
          <w:color w:val="auto"/>
          <w:szCs w:val="24"/>
        </w:rPr>
        <w:t>第八条 基金净值计算和会计核算</w:t>
      </w:r>
      <w:bookmarkEnd w:id="30"/>
      <w:bookmarkEnd w:id="31"/>
    </w:p>
    <w:p w14:paraId="4D0BAAD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8.1基金净值的计算、复核的时间和程序</w:t>
      </w:r>
    </w:p>
    <w:p w14:paraId="53A5AEB4" w14:textId="43E540BF" w:rsidR="00950499" w:rsidRDefault="005541ED">
      <w:pPr>
        <w:pStyle w:val="20"/>
        <w:spacing w:before="0" w:after="0" w:line="520" w:lineRule="atLeast"/>
        <w:ind w:left="0" w:firstLineChars="200" w:firstLine="480"/>
        <w:rPr>
          <w:rFonts w:hAnsi="宋体"/>
          <w:szCs w:val="24"/>
        </w:rPr>
      </w:pPr>
      <w:r>
        <w:rPr>
          <w:rFonts w:hAnsi="宋体" w:hint="eastAsia"/>
          <w:szCs w:val="24"/>
        </w:rPr>
        <w:t>8.1.1基金</w:t>
      </w:r>
      <w:r>
        <w:rPr>
          <w:rFonts w:hAnsi="宋体"/>
          <w:szCs w:val="24"/>
        </w:rPr>
        <w:t>净值包括基金资产净值</w:t>
      </w:r>
      <w:r>
        <w:rPr>
          <w:rFonts w:hAnsi="宋体" w:hint="eastAsia"/>
          <w:szCs w:val="24"/>
        </w:rPr>
        <w:t>、基金</w:t>
      </w:r>
      <w:r>
        <w:rPr>
          <w:rFonts w:hAnsi="宋体"/>
          <w:szCs w:val="24"/>
        </w:rPr>
        <w:t>份额净值、基金</w:t>
      </w:r>
      <w:r>
        <w:rPr>
          <w:rFonts w:hAnsi="宋体" w:hint="eastAsia"/>
          <w:szCs w:val="24"/>
        </w:rPr>
        <w:t>份额</w:t>
      </w:r>
      <w:r>
        <w:rPr>
          <w:rFonts w:hAnsi="宋体"/>
          <w:szCs w:val="24"/>
        </w:rPr>
        <w:t>累计净值。</w:t>
      </w:r>
      <w:r>
        <w:rPr>
          <w:rFonts w:hAnsi="宋体" w:hint="eastAsia"/>
          <w:szCs w:val="24"/>
        </w:rPr>
        <w:t>基金资产净值是指基金资产总值减去</w:t>
      </w:r>
      <w:r w:rsidR="00CA3D28">
        <w:rPr>
          <w:rFonts w:hAnsi="宋体" w:hint="eastAsia"/>
          <w:szCs w:val="24"/>
        </w:rPr>
        <w:t>基金负债后的价值</w:t>
      </w:r>
      <w:r>
        <w:rPr>
          <w:rFonts w:hAnsi="宋体" w:hint="eastAsia"/>
          <w:szCs w:val="24"/>
        </w:rPr>
        <w:t>。基金份额净值是指计算日基金资产净值除以计算日基金份额总数。基金</w:t>
      </w:r>
      <w:r>
        <w:rPr>
          <w:rFonts w:hAnsi="宋体"/>
          <w:szCs w:val="24"/>
        </w:rPr>
        <w:t>份额</w:t>
      </w:r>
      <w:r>
        <w:rPr>
          <w:rFonts w:hAnsi="宋体" w:hint="eastAsia"/>
          <w:szCs w:val="24"/>
        </w:rPr>
        <w:t>累计净值是指</w:t>
      </w:r>
      <w:permStart w:id="241717693" w:edGrp="everyone"/>
      <w:r>
        <w:rPr>
          <w:rFonts w:hAnsi="宋体" w:hint="eastAsia"/>
          <w:szCs w:val="24"/>
        </w:rPr>
        <w:t>基金份额净值与基金历来分红累计金额之</w:t>
      </w:r>
      <w:proofErr w:type="gramStart"/>
      <w:r>
        <w:rPr>
          <w:rFonts w:hAnsi="宋体" w:hint="eastAsia"/>
          <w:szCs w:val="24"/>
        </w:rPr>
        <w:t>和</w:t>
      </w:r>
      <w:permEnd w:id="241717693"/>
      <w:proofErr w:type="gramEnd"/>
      <w:r>
        <w:rPr>
          <w:rFonts w:hAnsi="宋体" w:hint="eastAsia"/>
          <w:szCs w:val="24"/>
        </w:rPr>
        <w:t>。</w:t>
      </w:r>
      <w:r w:rsidR="00CA3D28" w:rsidRPr="00CA3D28">
        <w:rPr>
          <w:rFonts w:hAnsi="宋体" w:hint="eastAsia"/>
          <w:szCs w:val="24"/>
        </w:rPr>
        <w:t>各类基金份额净值是按照该类基金资产净值除以当日该类基金份额的余额数量计算，精确到0.0001元，小数点后第5位四舍五入，由此产生的收益或损失由基金财产承担</w:t>
      </w:r>
      <w:r>
        <w:rPr>
          <w:rFonts w:hAnsi="宋体" w:hint="eastAsia"/>
          <w:szCs w:val="24"/>
        </w:rPr>
        <w:t>。</w:t>
      </w:r>
      <w:r>
        <w:rPr>
          <w:rFonts w:hAnsi="宋体"/>
          <w:szCs w:val="24"/>
        </w:rPr>
        <w:t>基金管理人可以设立大额赎回情形下的净值精度应急调整机制。</w:t>
      </w:r>
      <w:r w:rsidR="00CA3D28" w:rsidRPr="00CA3D28">
        <w:rPr>
          <w:rFonts w:hAnsi="宋体" w:hint="eastAsia"/>
          <w:szCs w:val="24"/>
        </w:rPr>
        <w:t>法律法规、监管机构、基金合同另有规定的，从其规定</w:t>
      </w:r>
      <w:r>
        <w:rPr>
          <w:rFonts w:hAnsi="宋体"/>
          <w:szCs w:val="24"/>
        </w:rPr>
        <w:t>。</w:t>
      </w:r>
    </w:p>
    <w:p w14:paraId="162C1CDD" w14:textId="0E57AC69" w:rsidR="00950499" w:rsidRDefault="005541ED">
      <w:pPr>
        <w:pStyle w:val="20"/>
        <w:spacing w:before="0" w:after="0" w:line="520" w:lineRule="atLeast"/>
        <w:ind w:left="0" w:firstLineChars="200" w:firstLine="480"/>
        <w:rPr>
          <w:rFonts w:hAnsi="宋体"/>
          <w:szCs w:val="24"/>
        </w:rPr>
      </w:pPr>
      <w:r>
        <w:rPr>
          <w:rFonts w:hAnsi="宋体" w:hint="eastAsia"/>
          <w:szCs w:val="24"/>
        </w:rPr>
        <w:t>8.1.2</w:t>
      </w:r>
      <w:r w:rsidR="00FA2822">
        <w:rPr>
          <w:bCs/>
        </w:rPr>
        <w:t>基金管理人应在每个</w:t>
      </w:r>
      <w:r w:rsidR="00FA2822">
        <w:rPr>
          <w:rFonts w:hint="eastAsia"/>
          <w:bCs/>
        </w:rPr>
        <w:t>估值</w:t>
      </w:r>
      <w:r w:rsidR="00FA2822">
        <w:rPr>
          <w:bCs/>
        </w:rPr>
        <w:t>日的次</w:t>
      </w:r>
      <w:r w:rsidR="00FA2822">
        <w:rPr>
          <w:rFonts w:hint="eastAsia"/>
          <w:bCs/>
        </w:rPr>
        <w:t>一</w:t>
      </w:r>
      <w:r w:rsidR="00FA2822">
        <w:rPr>
          <w:bCs/>
        </w:rPr>
        <w:t>个工作日内对</w:t>
      </w:r>
      <w:r w:rsidR="00FA2822" w:rsidRPr="00523D4E">
        <w:rPr>
          <w:rFonts w:hint="eastAsia"/>
          <w:bCs/>
        </w:rPr>
        <w:t>该估值日的</w:t>
      </w:r>
      <w:r w:rsidR="00FA2822">
        <w:rPr>
          <w:bCs/>
        </w:rPr>
        <w:t>基金资产估值</w:t>
      </w:r>
      <w:r>
        <w:rPr>
          <w:rFonts w:hAnsi="宋体" w:hint="eastAsia"/>
          <w:szCs w:val="24"/>
        </w:rPr>
        <w:t>，但基金管理人根据法律法规或基金合同的规定暂停估值时除外。估值原则应符合基金合同、《证券投资基金会计核算业务指引》及其他法律、法规的规定。用于基金信息披露的基金资产净值、</w:t>
      </w:r>
      <w:r w:rsidR="007D3DF8">
        <w:rPr>
          <w:rFonts w:hAnsi="宋体" w:hint="eastAsia"/>
          <w:szCs w:val="24"/>
        </w:rPr>
        <w:t>各类</w:t>
      </w:r>
      <w:r>
        <w:rPr>
          <w:rFonts w:hAnsi="宋体" w:hint="eastAsia"/>
          <w:szCs w:val="24"/>
        </w:rPr>
        <w:t>基金份额净值和基金份额累计净值由基金管理人负责计算，基金托管人复核。基金管理人应于</w:t>
      </w:r>
      <w:r w:rsidR="00FA2822">
        <w:rPr>
          <w:rFonts w:hAnsi="宋体" w:hint="eastAsia"/>
          <w:szCs w:val="21"/>
        </w:rPr>
        <w:t>每个估值日的次一个工作日内</w:t>
      </w:r>
      <w:r>
        <w:rPr>
          <w:rFonts w:hAnsi="宋体" w:hint="eastAsia"/>
          <w:szCs w:val="24"/>
        </w:rPr>
        <w:t>计算</w:t>
      </w:r>
      <w:r w:rsidR="007D3DF8">
        <w:rPr>
          <w:rFonts w:hAnsi="宋体" w:hint="eastAsia"/>
          <w:szCs w:val="24"/>
        </w:rPr>
        <w:t>该估值</w:t>
      </w:r>
      <w:r>
        <w:rPr>
          <w:rFonts w:hAnsi="宋体" w:hint="eastAsia"/>
          <w:szCs w:val="24"/>
        </w:rPr>
        <w:t>日的</w:t>
      </w:r>
      <w:r w:rsidR="007D3DF8" w:rsidRPr="007D3DF8">
        <w:rPr>
          <w:rFonts w:hAnsi="宋体" w:hint="eastAsia"/>
          <w:szCs w:val="24"/>
        </w:rPr>
        <w:t>基金资产净值及各类基金份额净值</w:t>
      </w:r>
      <w:r>
        <w:rPr>
          <w:rFonts w:hAnsi="宋体" w:hint="eastAsia"/>
          <w:szCs w:val="24"/>
        </w:rPr>
        <w:t>并以双方认可的方式发送给基金托管人。基金托管人对净值计算结果复核后以双方认可的方式发送给基金管理人，</w:t>
      </w:r>
      <w:r w:rsidR="00E77022" w:rsidRPr="00E77022">
        <w:rPr>
          <w:rFonts w:hAnsi="宋体" w:hint="eastAsia"/>
          <w:szCs w:val="24"/>
        </w:rPr>
        <w:t>在开始办理基金份额申购或者赎回后，</w:t>
      </w:r>
      <w:r>
        <w:rPr>
          <w:rFonts w:hAnsi="宋体" w:hint="eastAsia"/>
          <w:szCs w:val="24"/>
        </w:rPr>
        <w:t>基金管理人在不晚于</w:t>
      </w:r>
      <w:r>
        <w:rPr>
          <w:rFonts w:hAnsi="宋体"/>
          <w:szCs w:val="24"/>
        </w:rPr>
        <w:t>每个开放日的次</w:t>
      </w:r>
      <w:r w:rsidR="00FA2822">
        <w:rPr>
          <w:rFonts w:hAnsi="宋体"/>
          <w:szCs w:val="24"/>
        </w:rPr>
        <w:t>二</w:t>
      </w:r>
      <w:r w:rsidR="00C4381E">
        <w:rPr>
          <w:rFonts w:hAnsi="宋体"/>
          <w:szCs w:val="24"/>
        </w:rPr>
        <w:t>个工作</w:t>
      </w:r>
      <w:r>
        <w:rPr>
          <w:rFonts w:hAnsi="宋体"/>
          <w:szCs w:val="24"/>
        </w:rPr>
        <w:t>日，通过</w:t>
      </w:r>
      <w:r w:rsidR="00903541">
        <w:rPr>
          <w:rFonts w:hAnsi="宋体" w:hint="eastAsia"/>
          <w:szCs w:val="24"/>
        </w:rPr>
        <w:t>规定</w:t>
      </w:r>
      <w:r>
        <w:rPr>
          <w:rFonts w:hAnsi="宋体"/>
          <w:szCs w:val="24"/>
        </w:rPr>
        <w:t>网站</w:t>
      </w:r>
      <w:r w:rsidR="007D3DF8" w:rsidRPr="007D3DF8">
        <w:rPr>
          <w:rFonts w:hAnsi="宋体" w:hint="eastAsia"/>
          <w:szCs w:val="24"/>
        </w:rPr>
        <w:t>、基金销售机构网站或营业网点</w:t>
      </w:r>
      <w:r>
        <w:rPr>
          <w:rFonts w:hAnsi="宋体" w:hint="eastAsia"/>
          <w:szCs w:val="24"/>
        </w:rPr>
        <w:t>披露</w:t>
      </w:r>
      <w:r>
        <w:rPr>
          <w:rFonts w:hAnsi="宋体"/>
          <w:szCs w:val="24"/>
        </w:rPr>
        <w:t>开放日的</w:t>
      </w:r>
      <w:r w:rsidR="007D3DF8" w:rsidRPr="007D3DF8">
        <w:rPr>
          <w:rFonts w:hAnsi="宋体" w:hint="eastAsia"/>
          <w:szCs w:val="24"/>
        </w:rPr>
        <w:t>各类基金份额净值和各类基金份额累计净值</w:t>
      </w:r>
      <w:r>
        <w:rPr>
          <w:rFonts w:hAnsi="宋体" w:hint="eastAsia"/>
          <w:szCs w:val="24"/>
        </w:rPr>
        <w:t>，</w:t>
      </w:r>
      <w:r>
        <w:rPr>
          <w:rFonts w:hAnsi="宋体"/>
          <w:szCs w:val="24"/>
        </w:rPr>
        <w:t>并在不晚于半年度和年度最后一日的次</w:t>
      </w:r>
      <w:r w:rsidR="00C4381E">
        <w:rPr>
          <w:rFonts w:hAnsi="宋体"/>
          <w:szCs w:val="24"/>
        </w:rPr>
        <w:t>二个工作</w:t>
      </w:r>
      <w:r>
        <w:rPr>
          <w:rFonts w:hAnsi="宋体"/>
          <w:szCs w:val="24"/>
        </w:rPr>
        <w:t>日，在</w:t>
      </w:r>
      <w:r w:rsidR="00903541">
        <w:rPr>
          <w:rFonts w:hAnsi="宋体"/>
          <w:szCs w:val="24"/>
        </w:rPr>
        <w:t>规定</w:t>
      </w:r>
      <w:r>
        <w:rPr>
          <w:rFonts w:hAnsi="宋体"/>
          <w:szCs w:val="24"/>
        </w:rPr>
        <w:t>网站披露</w:t>
      </w:r>
      <w:r>
        <w:rPr>
          <w:rFonts w:hAnsi="宋体" w:hint="eastAsia"/>
          <w:szCs w:val="24"/>
        </w:rPr>
        <w:t>半年度</w:t>
      </w:r>
      <w:r>
        <w:rPr>
          <w:rFonts w:hAnsi="宋体"/>
          <w:szCs w:val="24"/>
        </w:rPr>
        <w:t>和年度最后一日的</w:t>
      </w:r>
      <w:r w:rsidR="007D3DF8" w:rsidRPr="007D3DF8">
        <w:rPr>
          <w:rFonts w:hAnsi="宋体" w:hint="eastAsia"/>
          <w:szCs w:val="24"/>
        </w:rPr>
        <w:t>各类基金份额净值和各类基金份额累计净值</w:t>
      </w:r>
      <w:r>
        <w:rPr>
          <w:rFonts w:hAnsi="宋体" w:hint="eastAsia"/>
          <w:szCs w:val="24"/>
        </w:rPr>
        <w:t>。</w:t>
      </w:r>
    </w:p>
    <w:p w14:paraId="355C0C3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Pr>
          <w:rFonts w:hAnsi="宋体"/>
          <w:szCs w:val="24"/>
        </w:rPr>
        <w:t>基金托管人</w:t>
      </w:r>
      <w:r>
        <w:rPr>
          <w:rFonts w:hAnsi="宋体"/>
          <w:szCs w:val="24"/>
        </w:rPr>
        <w:lastRenderedPageBreak/>
        <w:t>对未达成一致意见的</w:t>
      </w:r>
      <w:r>
        <w:rPr>
          <w:rFonts w:hAnsi="宋体" w:hint="eastAsia"/>
          <w:szCs w:val="24"/>
        </w:rPr>
        <w:t>基金净值计算结果不承担任何</w:t>
      </w:r>
      <w:r>
        <w:rPr>
          <w:rFonts w:hAnsi="宋体"/>
          <w:szCs w:val="24"/>
        </w:rPr>
        <w:t>责任</w:t>
      </w:r>
      <w:r>
        <w:rPr>
          <w:rFonts w:hAnsi="宋体" w:hint="eastAsia"/>
          <w:szCs w:val="24"/>
        </w:rPr>
        <w:t>。</w:t>
      </w:r>
    </w:p>
    <w:p w14:paraId="274DBA8E" w14:textId="77777777" w:rsidR="00950499" w:rsidRDefault="005541ED">
      <w:pPr>
        <w:pStyle w:val="20"/>
        <w:spacing w:before="0" w:after="0" w:line="520" w:lineRule="atLeast"/>
        <w:ind w:left="0" w:firstLineChars="200" w:firstLine="480"/>
        <w:rPr>
          <w:rFonts w:hAnsi="宋体"/>
          <w:szCs w:val="24"/>
        </w:rPr>
      </w:pPr>
      <w:bookmarkStart w:id="32" w:name="_Hlk79887761"/>
      <w:r>
        <w:rPr>
          <w:rFonts w:hAnsi="宋体" w:hint="eastAsia"/>
          <w:szCs w:val="24"/>
        </w:rPr>
        <w:t>8.2基金资产估值方法</w:t>
      </w:r>
    </w:p>
    <w:p w14:paraId="6BFA96E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8.2.1估值对象</w:t>
      </w:r>
    </w:p>
    <w:p w14:paraId="077AFF8C" w14:textId="547DE2ED" w:rsidR="00950499" w:rsidRDefault="00FA2822">
      <w:pPr>
        <w:pStyle w:val="20"/>
        <w:spacing w:before="0" w:after="0" w:line="520" w:lineRule="atLeast"/>
        <w:ind w:left="0" w:firstLineChars="200" w:firstLine="480"/>
        <w:rPr>
          <w:rFonts w:hAnsi="宋体"/>
          <w:szCs w:val="24"/>
        </w:rPr>
      </w:pPr>
      <w:r>
        <w:rPr>
          <w:bCs/>
        </w:rPr>
        <w:t>基金所拥有的基金份额</w:t>
      </w:r>
      <w:r>
        <w:rPr>
          <w:rFonts w:hint="eastAsia"/>
          <w:bCs/>
        </w:rPr>
        <w:t>、</w:t>
      </w:r>
      <w:r>
        <w:rPr>
          <w:bCs/>
        </w:rPr>
        <w:t>股票</w:t>
      </w:r>
      <w:r>
        <w:rPr>
          <w:rFonts w:hint="eastAsia"/>
          <w:bCs/>
        </w:rPr>
        <w:t>、</w:t>
      </w:r>
      <w:r w:rsidRPr="00523D4E">
        <w:rPr>
          <w:rFonts w:hint="eastAsia"/>
          <w:bCs/>
        </w:rPr>
        <w:t>存托凭证</w:t>
      </w:r>
      <w:r>
        <w:rPr>
          <w:rFonts w:hint="eastAsia"/>
          <w:bCs/>
        </w:rPr>
        <w:t>、资产支持证券、</w:t>
      </w:r>
      <w:r>
        <w:rPr>
          <w:bCs/>
        </w:rPr>
        <w:t>债券和银行存款本息、应收款项、其</w:t>
      </w:r>
      <w:r>
        <w:rPr>
          <w:rFonts w:hint="eastAsia"/>
          <w:bCs/>
        </w:rPr>
        <w:t>它</w:t>
      </w:r>
      <w:r>
        <w:rPr>
          <w:bCs/>
        </w:rPr>
        <w:t>投资等资产及负债</w:t>
      </w:r>
      <w:r w:rsidR="005541ED">
        <w:rPr>
          <w:rFonts w:hAnsi="宋体" w:hint="eastAsia"/>
          <w:szCs w:val="24"/>
        </w:rPr>
        <w:t>。</w:t>
      </w:r>
    </w:p>
    <w:p w14:paraId="0BCE1E98" w14:textId="125FF466" w:rsidR="00FA2822" w:rsidRDefault="005541ED" w:rsidP="00C3159B">
      <w:pPr>
        <w:pStyle w:val="20"/>
        <w:spacing w:before="0" w:after="0" w:line="520" w:lineRule="atLeast"/>
        <w:ind w:left="0" w:firstLineChars="200" w:firstLine="480"/>
      </w:pPr>
      <w:r>
        <w:rPr>
          <w:rFonts w:hAnsi="宋体" w:hint="eastAsia"/>
          <w:szCs w:val="24"/>
        </w:rPr>
        <w:t>8.2.2估值方法</w:t>
      </w:r>
    </w:p>
    <w:p w14:paraId="6FCA38DC" w14:textId="77777777" w:rsidR="00FA2822" w:rsidRPr="00C3159B" w:rsidRDefault="00FA2822" w:rsidP="00C3159B">
      <w:pPr>
        <w:pStyle w:val="20"/>
        <w:spacing w:before="0" w:after="0" w:line="520" w:lineRule="atLeast"/>
        <w:ind w:left="0" w:firstLineChars="200" w:firstLine="480"/>
        <w:rPr>
          <w:rFonts w:hAnsi="宋体"/>
          <w:szCs w:val="24"/>
        </w:rPr>
      </w:pPr>
      <w:r>
        <w:rPr>
          <w:rFonts w:hint="eastAsia"/>
          <w:bCs/>
        </w:rPr>
        <w:t>1</w:t>
      </w:r>
      <w:r w:rsidRPr="00C3159B">
        <w:rPr>
          <w:rFonts w:hAnsi="宋体" w:hint="eastAsia"/>
          <w:szCs w:val="24"/>
        </w:rPr>
        <w:t>、基金份额的估值</w:t>
      </w:r>
    </w:p>
    <w:p w14:paraId="3BF443E9"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hint="eastAsia"/>
          <w:szCs w:val="24"/>
        </w:rPr>
        <w:t>（</w:t>
      </w:r>
      <w:r w:rsidRPr="00C3159B">
        <w:rPr>
          <w:rFonts w:hAnsi="宋体"/>
          <w:szCs w:val="24"/>
        </w:rPr>
        <w:t>1</w:t>
      </w:r>
      <w:r w:rsidRPr="00C3159B">
        <w:rPr>
          <w:rFonts w:hAnsi="宋体" w:hint="eastAsia"/>
          <w:szCs w:val="24"/>
        </w:rPr>
        <w:t>）非上市基金的估值</w:t>
      </w:r>
    </w:p>
    <w:p w14:paraId="24DE2261"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1</w:t>
      </w:r>
      <w:r w:rsidRPr="00C3159B">
        <w:rPr>
          <w:rFonts w:hAnsi="宋体" w:hint="eastAsia"/>
          <w:szCs w:val="24"/>
        </w:rPr>
        <w:t>）境内非货币市场基金按其估值日的份额净值估值；</w:t>
      </w:r>
    </w:p>
    <w:p w14:paraId="78D9A9D1"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2</w:t>
      </w:r>
      <w:r w:rsidRPr="00C3159B">
        <w:rPr>
          <w:rFonts w:hAnsi="宋体" w:hint="eastAsia"/>
          <w:szCs w:val="24"/>
        </w:rPr>
        <w:t>）境内货币市场基金按其前一估值日后至估值日期间（含节假日）的万份收益计提估值日基金收益。</w:t>
      </w:r>
    </w:p>
    <w:p w14:paraId="5154BB2C"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hint="eastAsia"/>
          <w:szCs w:val="24"/>
        </w:rPr>
        <w:t>（</w:t>
      </w:r>
      <w:r w:rsidRPr="00C3159B">
        <w:rPr>
          <w:rFonts w:hAnsi="宋体"/>
          <w:szCs w:val="24"/>
        </w:rPr>
        <w:t>2</w:t>
      </w:r>
      <w:r w:rsidRPr="00C3159B">
        <w:rPr>
          <w:rFonts w:hAnsi="宋体" w:hint="eastAsia"/>
          <w:szCs w:val="24"/>
        </w:rPr>
        <w:t>）上市基金的估值</w:t>
      </w:r>
    </w:p>
    <w:p w14:paraId="3A9D77C1"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1</w:t>
      </w:r>
      <w:r w:rsidRPr="00C3159B">
        <w:rPr>
          <w:rFonts w:hAnsi="宋体" w:hint="eastAsia"/>
          <w:szCs w:val="24"/>
        </w:rPr>
        <w:t>）</w:t>
      </w:r>
      <w:r w:rsidRPr="00C3159B">
        <w:rPr>
          <w:rFonts w:hAnsi="宋体"/>
          <w:szCs w:val="24"/>
        </w:rPr>
        <w:t>ETF</w:t>
      </w:r>
      <w:r w:rsidRPr="00C3159B">
        <w:rPr>
          <w:rFonts w:hAnsi="宋体" w:hint="eastAsia"/>
          <w:szCs w:val="24"/>
        </w:rPr>
        <w:t>基金按其估值日的收盘价估值；</w:t>
      </w:r>
    </w:p>
    <w:p w14:paraId="4607E8C0"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2</w:t>
      </w:r>
      <w:r w:rsidRPr="00C3159B">
        <w:rPr>
          <w:rFonts w:hAnsi="宋体" w:hint="eastAsia"/>
          <w:szCs w:val="24"/>
        </w:rPr>
        <w:t>）境内上市开放式基金（</w:t>
      </w:r>
      <w:r w:rsidRPr="00C3159B">
        <w:rPr>
          <w:rFonts w:hAnsi="宋体"/>
          <w:szCs w:val="24"/>
        </w:rPr>
        <w:t>LOF</w:t>
      </w:r>
      <w:r w:rsidRPr="00C3159B">
        <w:rPr>
          <w:rFonts w:hAnsi="宋体" w:hint="eastAsia"/>
          <w:szCs w:val="24"/>
        </w:rPr>
        <w:t>）按其估值日的份额净值估值；</w:t>
      </w:r>
    </w:p>
    <w:p w14:paraId="3878EC16"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3</w:t>
      </w:r>
      <w:r w:rsidRPr="00C3159B">
        <w:rPr>
          <w:rFonts w:hAnsi="宋体" w:hint="eastAsia"/>
          <w:szCs w:val="24"/>
        </w:rPr>
        <w:t>）境内上市定期开放式基金、封闭式基金按其估值日的收盘价估值；</w:t>
      </w:r>
    </w:p>
    <w:p w14:paraId="1205D5C5" w14:textId="68275BDD"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4</w:t>
      </w:r>
      <w:r w:rsidRPr="00C3159B">
        <w:rPr>
          <w:rFonts w:hAnsi="宋体" w:hint="eastAsia"/>
          <w:szCs w:val="24"/>
        </w:rPr>
        <w:t>）对于境内上市交易型货币市场基金，如其披露份额净值，则按其估值日的份额净值估值；如其披露万份（百份）收益，则按其前一估值日后至估值日期间（含节假日）的万份（百份）收益计提估值日基金收益。</w:t>
      </w:r>
    </w:p>
    <w:p w14:paraId="04E6AEE0"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hint="eastAsia"/>
          <w:szCs w:val="24"/>
        </w:rPr>
        <w:t>（</w:t>
      </w:r>
      <w:r w:rsidRPr="00C3159B">
        <w:rPr>
          <w:rFonts w:hAnsi="宋体"/>
          <w:szCs w:val="24"/>
        </w:rPr>
        <w:t>3</w:t>
      </w:r>
      <w:r w:rsidRPr="00C3159B">
        <w:rPr>
          <w:rFonts w:hAnsi="宋体" w:hint="eastAsia"/>
          <w:szCs w:val="24"/>
        </w:rPr>
        <w:t>）</w:t>
      </w:r>
      <w:proofErr w:type="gramStart"/>
      <w:r w:rsidRPr="00C3159B">
        <w:rPr>
          <w:rFonts w:hAnsi="宋体" w:hint="eastAsia"/>
          <w:szCs w:val="24"/>
        </w:rPr>
        <w:t>如遇所投资</w:t>
      </w:r>
      <w:proofErr w:type="gramEnd"/>
      <w:r w:rsidRPr="00C3159B">
        <w:rPr>
          <w:rFonts w:hAnsi="宋体" w:hint="eastAsia"/>
          <w:szCs w:val="24"/>
        </w:rPr>
        <w:t>基金不公布基金份额净值、进行折算或拆分、估值日无交易等特殊情况，基金管理人根据以下原则进行估值：</w:t>
      </w:r>
    </w:p>
    <w:p w14:paraId="20CF85B8"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1</w:t>
      </w:r>
      <w:r w:rsidRPr="00C3159B">
        <w:rPr>
          <w:rFonts w:hAnsi="宋体" w:hint="eastAsia"/>
          <w:szCs w:val="24"/>
        </w:rPr>
        <w:t>）以所投资基金的基金份额净值估值的，若所投资基金与本基金估值频率一致但未公布估值日基金份额净值，按其最近公布的基金份额净值为基础估值；</w:t>
      </w:r>
    </w:p>
    <w:p w14:paraId="54499C1D"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2</w:t>
      </w:r>
      <w:r w:rsidRPr="00C3159B">
        <w:rPr>
          <w:rFonts w:hAnsi="宋体" w:hint="eastAsia"/>
          <w:szCs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26F6EE30"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3</w:t>
      </w:r>
      <w:r w:rsidRPr="00C3159B">
        <w:rPr>
          <w:rFonts w:hAnsi="宋体" w:hint="eastAsia"/>
          <w:szCs w:val="24"/>
        </w:rPr>
        <w:t>）如果所投资基金前一估值日至估值日期间发生分红除权、折算或拆分，基金管理人应根据基金份额净值或收盘价、单位基金份额分红金额、折算拆分比例、</w:t>
      </w:r>
      <w:r w:rsidRPr="00C3159B">
        <w:rPr>
          <w:rFonts w:hAnsi="宋体" w:hint="eastAsia"/>
          <w:szCs w:val="24"/>
        </w:rPr>
        <w:lastRenderedPageBreak/>
        <w:t>持仓份额等因素合理确定公允价值。</w:t>
      </w:r>
    </w:p>
    <w:p w14:paraId="6A1C5F42"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hint="eastAsia"/>
          <w:szCs w:val="24"/>
        </w:rPr>
        <w:t>（</w:t>
      </w:r>
      <w:r w:rsidRPr="00C3159B">
        <w:rPr>
          <w:rFonts w:hAnsi="宋体"/>
          <w:szCs w:val="24"/>
        </w:rPr>
        <w:t>4</w:t>
      </w:r>
      <w:r w:rsidRPr="00C3159B">
        <w:rPr>
          <w:rFonts w:hAnsi="宋体" w:hint="eastAsia"/>
          <w:szCs w:val="24"/>
        </w:rPr>
        <w:t>）当基金管理人认为所投资基金按上述第（</w:t>
      </w:r>
      <w:r w:rsidRPr="00C3159B">
        <w:rPr>
          <w:rFonts w:hAnsi="宋体"/>
          <w:szCs w:val="24"/>
        </w:rPr>
        <w:t>1</w:t>
      </w:r>
      <w:r w:rsidRPr="00C3159B">
        <w:rPr>
          <w:rFonts w:hAnsi="宋体" w:hint="eastAsia"/>
          <w:szCs w:val="24"/>
        </w:rPr>
        <w:t>）至第（</w:t>
      </w:r>
      <w:r w:rsidRPr="00C3159B">
        <w:rPr>
          <w:rFonts w:hAnsi="宋体"/>
          <w:szCs w:val="24"/>
        </w:rPr>
        <w:t>3</w:t>
      </w:r>
      <w:r w:rsidRPr="00C3159B">
        <w:rPr>
          <w:rFonts w:hAnsi="宋体" w:hint="eastAsia"/>
          <w:szCs w:val="24"/>
        </w:rPr>
        <w:t>）项进行估值存在</w:t>
      </w:r>
      <w:proofErr w:type="gramStart"/>
      <w:r w:rsidRPr="00C3159B">
        <w:rPr>
          <w:rFonts w:hAnsi="宋体" w:hint="eastAsia"/>
          <w:szCs w:val="24"/>
        </w:rPr>
        <w:t>不</w:t>
      </w:r>
      <w:proofErr w:type="gramEnd"/>
      <w:r w:rsidRPr="00C3159B">
        <w:rPr>
          <w:rFonts w:hAnsi="宋体" w:hint="eastAsia"/>
          <w:szCs w:val="24"/>
        </w:rPr>
        <w:t>公允时，应与基金托管人协商一致采用合理的估值技术或估值标准确定其公允价值。</w:t>
      </w:r>
    </w:p>
    <w:p w14:paraId="5D7F4D2D"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2</w:t>
      </w:r>
      <w:r w:rsidRPr="00C3159B">
        <w:rPr>
          <w:rFonts w:hAnsi="宋体" w:hint="eastAsia"/>
          <w:szCs w:val="24"/>
        </w:rPr>
        <w:t>、证券交易所上市的有价证券的估值</w:t>
      </w:r>
    </w:p>
    <w:p w14:paraId="77C0AE41"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hint="eastAsia"/>
          <w:szCs w:val="24"/>
        </w:rPr>
        <w:t>（</w:t>
      </w:r>
      <w:r w:rsidRPr="00C3159B">
        <w:rPr>
          <w:rFonts w:hAnsi="宋体"/>
          <w:szCs w:val="24"/>
        </w:rPr>
        <w:t>1</w:t>
      </w:r>
      <w:r w:rsidRPr="00C3159B">
        <w:rPr>
          <w:rFonts w:hAnsi="宋体" w:hint="eastAsia"/>
          <w:szCs w:val="24"/>
        </w:rPr>
        <w:t>）除本部分另有约定的品种外，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5E9FDEF"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hint="eastAsia"/>
          <w:szCs w:val="24"/>
        </w:rPr>
        <w:t>（</w:t>
      </w:r>
      <w:r w:rsidRPr="00C3159B">
        <w:rPr>
          <w:rFonts w:hAnsi="宋体"/>
          <w:szCs w:val="24"/>
        </w:rPr>
        <w:t>2</w:t>
      </w:r>
      <w:r w:rsidRPr="00C3159B">
        <w:rPr>
          <w:rFonts w:hAnsi="宋体" w:hint="eastAsia"/>
          <w:szCs w:val="24"/>
        </w:rPr>
        <w:t>）交易所上市交易或挂牌转让的不含</w:t>
      </w:r>
      <w:proofErr w:type="gramStart"/>
      <w:r w:rsidRPr="00C3159B">
        <w:rPr>
          <w:rFonts w:hAnsi="宋体" w:hint="eastAsia"/>
          <w:szCs w:val="24"/>
        </w:rPr>
        <w:t>权固定</w:t>
      </w:r>
      <w:proofErr w:type="gramEnd"/>
      <w:r w:rsidRPr="00C3159B">
        <w:rPr>
          <w:rFonts w:hAnsi="宋体" w:hint="eastAsia"/>
          <w:szCs w:val="24"/>
        </w:rPr>
        <w:t>收益品种，选取估值日第三方估值机构提供的相应品种当日的估值净价进行估值；</w:t>
      </w:r>
    </w:p>
    <w:p w14:paraId="6CBF7949"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hint="eastAsia"/>
          <w:szCs w:val="24"/>
        </w:rPr>
        <w:t>（</w:t>
      </w:r>
      <w:r w:rsidRPr="00C3159B">
        <w:rPr>
          <w:rFonts w:hAnsi="宋体"/>
          <w:szCs w:val="24"/>
        </w:rPr>
        <w:t>3</w:t>
      </w:r>
      <w:r w:rsidRPr="00C3159B">
        <w:rPr>
          <w:rFonts w:hAnsi="宋体" w:hint="eastAsia"/>
          <w:szCs w:val="24"/>
        </w:rPr>
        <w:t>）交易所上市交易或挂牌转让的含</w:t>
      </w:r>
      <w:proofErr w:type="gramStart"/>
      <w:r w:rsidRPr="00C3159B">
        <w:rPr>
          <w:rFonts w:hAnsi="宋体" w:hint="eastAsia"/>
          <w:szCs w:val="24"/>
        </w:rPr>
        <w:t>权固定</w:t>
      </w:r>
      <w:proofErr w:type="gramEnd"/>
      <w:r w:rsidRPr="00C3159B">
        <w:rPr>
          <w:rFonts w:hAnsi="宋体" w:hint="eastAsia"/>
          <w:szCs w:val="24"/>
        </w:rPr>
        <w:t>收益品种，选取估值日第三方估值机构提供的相应品种当日的唯一估值净价或推荐估值净价进行估值；</w:t>
      </w:r>
    </w:p>
    <w:p w14:paraId="089CDFF5"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hint="eastAsia"/>
          <w:szCs w:val="24"/>
        </w:rPr>
        <w:t>（</w:t>
      </w:r>
      <w:r w:rsidRPr="00C3159B">
        <w:rPr>
          <w:rFonts w:hAnsi="宋体"/>
          <w:szCs w:val="24"/>
        </w:rPr>
        <w:t>4</w:t>
      </w:r>
      <w:r w:rsidRPr="00C3159B">
        <w:rPr>
          <w:rFonts w:hAnsi="宋体" w:hint="eastAsia"/>
          <w:szCs w:val="24"/>
        </w:rPr>
        <w:t>）交易所上市交易的可转换债券以每日收盘价作为估值全价；</w:t>
      </w:r>
    </w:p>
    <w:p w14:paraId="054865FE"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hint="eastAsia"/>
          <w:szCs w:val="24"/>
        </w:rPr>
        <w:t>（</w:t>
      </w:r>
      <w:r w:rsidRPr="00C3159B">
        <w:rPr>
          <w:rFonts w:hAnsi="宋体"/>
          <w:szCs w:val="24"/>
        </w:rPr>
        <w:t>5</w:t>
      </w:r>
      <w:r w:rsidRPr="00C3159B">
        <w:rPr>
          <w:rFonts w:hAnsi="宋体" w:hint="eastAsia"/>
          <w:szCs w:val="24"/>
        </w:rPr>
        <w:t>）交易所上市不存在活跃市场的有价证券，采用估值技术确定公允价值。交易所市场挂牌转让的资产支持证券，采用估值技术确定公允价值。</w:t>
      </w:r>
    </w:p>
    <w:p w14:paraId="457D664A"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3</w:t>
      </w:r>
      <w:r w:rsidRPr="00C3159B">
        <w:rPr>
          <w:rFonts w:hAnsi="宋体" w:hint="eastAsia"/>
          <w:szCs w:val="24"/>
        </w:rPr>
        <w:t>、处于未上市期间的有价证券应区分如下情况处理：</w:t>
      </w:r>
      <w:r w:rsidRPr="00C3159B">
        <w:rPr>
          <w:rFonts w:hAnsi="宋体"/>
          <w:szCs w:val="24"/>
        </w:rPr>
        <w:t xml:space="preserve"> </w:t>
      </w:r>
    </w:p>
    <w:p w14:paraId="76C9F461"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hint="eastAsia"/>
          <w:szCs w:val="24"/>
        </w:rPr>
        <w:t>（</w:t>
      </w:r>
      <w:r w:rsidRPr="00C3159B">
        <w:rPr>
          <w:rFonts w:hAnsi="宋体"/>
          <w:szCs w:val="24"/>
        </w:rPr>
        <w:t>1</w:t>
      </w:r>
      <w:r w:rsidRPr="00C3159B">
        <w:rPr>
          <w:rFonts w:hAnsi="宋体" w:hint="eastAsia"/>
          <w:szCs w:val="24"/>
        </w:rPr>
        <w:t>）送股、转增股、配股和公开增发的新股，按估值日在证券交易所挂牌的同一股票的估值方法估值；该日无交易的，以最近一日的市价（收盘价）估值；</w:t>
      </w:r>
    </w:p>
    <w:p w14:paraId="3CB122BA"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hint="eastAsia"/>
          <w:szCs w:val="24"/>
        </w:rPr>
        <w:t>（</w:t>
      </w:r>
      <w:r w:rsidRPr="00C3159B">
        <w:rPr>
          <w:rFonts w:hAnsi="宋体"/>
          <w:szCs w:val="24"/>
        </w:rPr>
        <w:t>2</w:t>
      </w:r>
      <w:r w:rsidRPr="00C3159B">
        <w:rPr>
          <w:rFonts w:hAnsi="宋体" w:hint="eastAsia"/>
          <w:szCs w:val="24"/>
        </w:rPr>
        <w:t>）首次公开发行未上市的股票、债券，采用估值技术确定公允价值，在估值技术难以可靠计量公允价值的情况下，按成本估值；</w:t>
      </w:r>
    </w:p>
    <w:p w14:paraId="728E0C37"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hint="eastAsia"/>
          <w:szCs w:val="24"/>
        </w:rPr>
        <w:t>（</w:t>
      </w:r>
      <w:r w:rsidRPr="00C3159B">
        <w:rPr>
          <w:rFonts w:hAnsi="宋体"/>
          <w:szCs w:val="24"/>
        </w:rPr>
        <w:t>3</w:t>
      </w:r>
      <w:r w:rsidRPr="00C3159B">
        <w:rPr>
          <w:rFonts w:hAnsi="宋体" w:hint="eastAsia"/>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C3159B">
        <w:rPr>
          <w:rFonts w:hAnsi="宋体" w:hint="eastAsia"/>
          <w:szCs w:val="24"/>
        </w:rPr>
        <w:t>券</w:t>
      </w:r>
      <w:proofErr w:type="gramEnd"/>
      <w:r w:rsidRPr="00C3159B">
        <w:rPr>
          <w:rFonts w:hAnsi="宋体" w:hint="eastAsia"/>
          <w:szCs w:val="24"/>
        </w:rPr>
        <w:t>等流通受限股票，按监管机构或行业协会有关规定确定公允价值；</w:t>
      </w:r>
    </w:p>
    <w:p w14:paraId="4E77813B"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hint="eastAsia"/>
          <w:szCs w:val="24"/>
        </w:rPr>
        <w:t>（</w:t>
      </w:r>
      <w:r w:rsidRPr="00C3159B">
        <w:rPr>
          <w:rFonts w:hAnsi="宋体"/>
          <w:szCs w:val="24"/>
        </w:rPr>
        <w:t>4</w:t>
      </w:r>
      <w:r w:rsidRPr="00C3159B">
        <w:rPr>
          <w:rFonts w:hAnsi="宋体" w:hint="eastAsia"/>
          <w:szCs w:val="24"/>
        </w:rPr>
        <w:t>）对在交易所市场发行未上市或未挂牌转让的债券，对存在活跃市场的情</w:t>
      </w:r>
      <w:r w:rsidRPr="00C3159B">
        <w:rPr>
          <w:rFonts w:hAnsi="宋体" w:hint="eastAsia"/>
          <w:szCs w:val="24"/>
        </w:rPr>
        <w:lastRenderedPageBreak/>
        <w:t>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9A599F6"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4</w:t>
      </w:r>
      <w:r w:rsidRPr="00C3159B">
        <w:rPr>
          <w:rFonts w:hAnsi="宋体" w:hint="eastAsia"/>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11050ED"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5</w:t>
      </w:r>
      <w:r w:rsidRPr="00C3159B">
        <w:rPr>
          <w:rFonts w:hAnsi="宋体" w:hint="eastAsia"/>
          <w:szCs w:val="24"/>
        </w:rPr>
        <w:t>、同一证券同时在两个或两个以上市场交易的，按证券所处的市场分别估值。</w:t>
      </w:r>
    </w:p>
    <w:p w14:paraId="29FD76C8"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6</w:t>
      </w:r>
      <w:r w:rsidRPr="00C3159B">
        <w:rPr>
          <w:rFonts w:hAnsi="宋体" w:hint="eastAsia"/>
          <w:szCs w:val="24"/>
        </w:rPr>
        <w:t>、本基金投资同业存单，按估值日第三方估值机构提供的价格数据估值；选定的第三方估值机构未提供估值价格的，按成本估值。</w:t>
      </w:r>
    </w:p>
    <w:p w14:paraId="7BC29298"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7</w:t>
      </w:r>
      <w:r w:rsidRPr="00C3159B">
        <w:rPr>
          <w:rFonts w:hAnsi="宋体" w:hint="eastAsia"/>
          <w:szCs w:val="24"/>
        </w:rPr>
        <w:t>、本基金投资存托凭证的估值核算依照境内上市交易的股票执行。</w:t>
      </w:r>
    </w:p>
    <w:p w14:paraId="727EDD68"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8</w:t>
      </w:r>
      <w:r w:rsidRPr="00C3159B">
        <w:rPr>
          <w:rFonts w:hAnsi="宋体" w:hint="eastAsia"/>
          <w:szCs w:val="24"/>
        </w:rPr>
        <w:t>、如有确凿证据表明按上述方法进行估值不能客观反映其公允价值的，基金管理人可根据具体情况与基金托管人商定后，按最能反映公允价值的价格估值。</w:t>
      </w:r>
    </w:p>
    <w:p w14:paraId="0800D94B"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9</w:t>
      </w:r>
      <w:r w:rsidRPr="00C3159B">
        <w:rPr>
          <w:rFonts w:hAnsi="宋体" w:hint="eastAsia"/>
          <w:szCs w:val="24"/>
        </w:rPr>
        <w:t>、当发生大额申购或赎回情形时，基金管理人可以采用摆动定价机制，以确保基金估值的公平性。</w:t>
      </w:r>
    </w:p>
    <w:p w14:paraId="239CC520" w14:textId="77777777"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10</w:t>
      </w:r>
      <w:r w:rsidRPr="00C3159B">
        <w:rPr>
          <w:rFonts w:hAnsi="宋体" w:hint="eastAsia"/>
          <w:szCs w:val="24"/>
        </w:rPr>
        <w:t>、估值计算中涉及港币对人民币汇率的，将依据下列信息提供机构所提供的汇率为基准：当日中国人民银行或其授权机构公布的人民币与港币的中间价。</w:t>
      </w:r>
    </w:p>
    <w:p w14:paraId="50431CEA" w14:textId="0AF2E93D" w:rsidR="00FA2822" w:rsidRPr="00C3159B" w:rsidRDefault="00FA2822" w:rsidP="00C3159B">
      <w:pPr>
        <w:pStyle w:val="20"/>
        <w:spacing w:before="0" w:after="0" w:line="520" w:lineRule="atLeast"/>
        <w:ind w:left="0" w:firstLineChars="200" w:firstLine="480"/>
        <w:rPr>
          <w:rFonts w:hAnsi="宋体"/>
          <w:szCs w:val="24"/>
        </w:rPr>
      </w:pPr>
      <w:r w:rsidRPr="00C3159B">
        <w:rPr>
          <w:rFonts w:hAnsi="宋体"/>
          <w:szCs w:val="24"/>
        </w:rPr>
        <w:t>11</w:t>
      </w:r>
      <w:r w:rsidRPr="00C3159B">
        <w:rPr>
          <w:rFonts w:hAnsi="宋体" w:hint="eastAsia"/>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3EA74C5" w14:textId="2789AF88" w:rsidR="00821CC3" w:rsidRPr="00C3159B" w:rsidRDefault="00821CC3" w:rsidP="00C3159B">
      <w:pPr>
        <w:pStyle w:val="20"/>
        <w:spacing w:before="0" w:after="0" w:line="520" w:lineRule="atLeast"/>
        <w:ind w:left="0" w:firstLineChars="200" w:firstLine="480"/>
        <w:rPr>
          <w:rFonts w:hAnsi="宋体"/>
          <w:szCs w:val="24"/>
        </w:rPr>
      </w:pPr>
      <w:r w:rsidRPr="00C3159B">
        <w:rPr>
          <w:rFonts w:hAnsi="宋体"/>
          <w:szCs w:val="24"/>
        </w:rPr>
        <w:t>12</w:t>
      </w:r>
      <w:r w:rsidRPr="00C3159B">
        <w:rPr>
          <w:rFonts w:hAnsi="宋体" w:hint="eastAsia"/>
          <w:szCs w:val="24"/>
        </w:rPr>
        <w:t>、相关法律法规以及监管部门有强制规定的，从其规定。如有新增事项，按国家最新规定估值。</w:t>
      </w:r>
    </w:p>
    <w:p w14:paraId="4CBC03B0" w14:textId="77777777" w:rsidR="00950499" w:rsidRDefault="005541ED" w:rsidP="00821CC3">
      <w:pPr>
        <w:spacing w:line="520" w:lineRule="atLeast"/>
        <w:ind w:firstLineChars="200" w:firstLine="480"/>
      </w:pPr>
      <w:r>
        <w:rPr>
          <w:rFonts w:hint="eastAsia"/>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63E66621" w14:textId="233CF7E5" w:rsidR="00950499" w:rsidRDefault="005541ED">
      <w:pPr>
        <w:pStyle w:val="20"/>
        <w:spacing w:before="0" w:after="0" w:line="520" w:lineRule="atLeast"/>
        <w:ind w:left="0" w:firstLineChars="200" w:firstLine="480"/>
        <w:rPr>
          <w:rFonts w:hAnsi="宋体"/>
          <w:szCs w:val="24"/>
        </w:rPr>
      </w:pPr>
      <w:r>
        <w:rPr>
          <w:rFonts w:hint="eastAsia"/>
          <w:bCs/>
        </w:rPr>
        <w:t>根据有关法律法规，基金净值</w:t>
      </w:r>
      <w:r w:rsidR="007D3DF8">
        <w:rPr>
          <w:rFonts w:hint="eastAsia"/>
          <w:bCs/>
        </w:rPr>
        <w:t>信息</w:t>
      </w:r>
      <w:r>
        <w:rPr>
          <w:rFonts w:hint="eastAsia"/>
          <w:bCs/>
        </w:rPr>
        <w:t>计算和基金会计核算的义务由基金管理人承担。本基金的基金会计责任方由基金管理人担任，</w:t>
      </w:r>
      <w:r w:rsidR="007D3DF8" w:rsidRPr="007D3DF8">
        <w:rPr>
          <w:rFonts w:hint="eastAsia"/>
          <w:bCs/>
        </w:rPr>
        <w:t>基金托管人承担复核责任，</w:t>
      </w:r>
      <w:r>
        <w:rPr>
          <w:rFonts w:hint="eastAsia"/>
          <w:bCs/>
        </w:rPr>
        <w:t>因此，就与本基金有关的会计问题，如经相关各方在平等基础上充分讨论后，仍无法达成一致的意见，按照基金管理人对基金净值</w:t>
      </w:r>
      <w:r w:rsidR="007D3DF8">
        <w:rPr>
          <w:rFonts w:hint="eastAsia"/>
          <w:bCs/>
        </w:rPr>
        <w:t>信息</w:t>
      </w:r>
      <w:r>
        <w:rPr>
          <w:rFonts w:hint="eastAsia"/>
          <w:bCs/>
        </w:rPr>
        <w:t>的计算结果对外予以公布</w:t>
      </w:r>
      <w:r>
        <w:rPr>
          <w:rFonts w:hAnsi="宋体" w:hint="eastAsia"/>
          <w:szCs w:val="24"/>
        </w:rPr>
        <w:t>。</w:t>
      </w:r>
    </w:p>
    <w:bookmarkEnd w:id="32"/>
    <w:p w14:paraId="18E8EF1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8.3估值差错处理</w:t>
      </w:r>
    </w:p>
    <w:p w14:paraId="3B29C6F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8.3.1</w:t>
      </w:r>
      <w:r w:rsidRPr="00887CEE">
        <w:rPr>
          <w:rFonts w:hAnsi="宋体" w:hint="eastAsia"/>
          <w:b/>
          <w:bCs/>
          <w:szCs w:val="24"/>
        </w:rPr>
        <w:t>因基金估值错误给投资人造成损失的应先由基金管理人承担，基金管理人对不应由其承担的责任，有权向过错人追偿。</w:t>
      </w:r>
    </w:p>
    <w:p w14:paraId="4CC29146" w14:textId="7BE47336" w:rsidR="00950499" w:rsidRDefault="005541ED">
      <w:pPr>
        <w:pStyle w:val="20"/>
        <w:spacing w:before="0" w:after="0" w:line="520" w:lineRule="atLeast"/>
        <w:ind w:left="0" w:firstLineChars="200" w:firstLine="480"/>
        <w:rPr>
          <w:rFonts w:hAnsi="宋体"/>
          <w:szCs w:val="24"/>
        </w:rPr>
      </w:pPr>
      <w:r>
        <w:rPr>
          <w:rFonts w:hAnsi="宋体" w:hint="eastAsia"/>
          <w:szCs w:val="24"/>
        </w:rPr>
        <w:t>8.3.2当基金管理人计算的基金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5F4C165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8.3.3由于一方当事人提供的信息错误，另一方当事人在采取了必要合理的措施后仍不能发现该错误，进而导致基金净值计算错误造成投资人或基金的损失，以及由此造成以后交易日基金净值计算顺延错误而引起的投资人或基金的损失，由提供错误信息的当事人一方负责赔偿。</w:t>
      </w:r>
    </w:p>
    <w:p w14:paraId="05015D9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4</w:t>
      </w:r>
      <w:r>
        <w:rPr>
          <w:rFonts w:hAnsi="宋体" w:hint="eastAsia"/>
          <w:szCs w:val="24"/>
        </w:rPr>
        <w:t>当基金管理人计算的基金净值与基金托管人的计算结果不一致时，相关各方应本着勤勉尽责的态度重新计算核对，</w:t>
      </w:r>
      <w:r w:rsidRPr="00887CEE">
        <w:rPr>
          <w:rFonts w:hAnsi="宋体" w:hint="eastAsia"/>
          <w:b/>
          <w:bCs/>
          <w:szCs w:val="24"/>
        </w:rPr>
        <w:t>如果最后仍无法达成一致，应以基金管理人的计算结果为准对外公布，由此造成的损失由基金管理人承担赔偿责任，基金托管人不负赔偿责任。</w:t>
      </w:r>
    </w:p>
    <w:p w14:paraId="206F87B4" w14:textId="4F2EB3EA" w:rsidR="00950499" w:rsidRDefault="005541ED">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5</w:t>
      </w:r>
      <w:r>
        <w:rPr>
          <w:rFonts w:hAnsi="宋体" w:hint="eastAsia"/>
          <w:szCs w:val="24"/>
        </w:rPr>
        <w:t>基金管理人及基金托管人基金份额净值计算错误偏差达到</w:t>
      </w:r>
      <w:r w:rsidR="00185ACB">
        <w:rPr>
          <w:rFonts w:hAnsi="宋体" w:hint="eastAsia"/>
          <w:szCs w:val="24"/>
        </w:rPr>
        <w:t>该类</w:t>
      </w:r>
      <w:r>
        <w:rPr>
          <w:rFonts w:hAnsi="宋体" w:hint="eastAsia"/>
          <w:szCs w:val="24"/>
        </w:rPr>
        <w:t>基金份额净值的0.</w:t>
      </w:r>
      <w:r>
        <w:rPr>
          <w:rFonts w:hAnsi="宋体"/>
          <w:szCs w:val="24"/>
        </w:rPr>
        <w:t>2</w:t>
      </w:r>
      <w:r>
        <w:rPr>
          <w:rFonts w:hAnsi="宋体" w:hint="eastAsia"/>
          <w:szCs w:val="24"/>
        </w:rPr>
        <w:t>5%时，基金管理人应当报中国证监会备案</w:t>
      </w:r>
      <w:r w:rsidR="00185ACB" w:rsidRPr="00185ACB">
        <w:rPr>
          <w:rFonts w:hAnsi="宋体" w:hint="eastAsia"/>
          <w:szCs w:val="24"/>
        </w:rPr>
        <w:t>；错误偏差达到该类基金份额净值的0.5%时，基金管理人应当公告，并报中国证监会备案</w:t>
      </w:r>
      <w:r>
        <w:rPr>
          <w:rFonts w:hAnsi="宋体" w:hint="eastAsia"/>
          <w:szCs w:val="24"/>
        </w:rPr>
        <w:t>。</w:t>
      </w:r>
    </w:p>
    <w:p w14:paraId="71B5B9D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8.4基金账册的建立</w:t>
      </w:r>
    </w:p>
    <w:p w14:paraId="63A64DF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w:t>
      </w:r>
      <w:r>
        <w:rPr>
          <w:rFonts w:hAnsi="宋体" w:hint="eastAsia"/>
          <w:szCs w:val="24"/>
        </w:rPr>
        <w:lastRenderedPageBreak/>
        <w:t>对相关各方各自的账册定期进行核对，互相监督，以保证基金资产的安全。若双方对会计处理方法存在分歧，应以基金管理人的处理方法为准。</w:t>
      </w:r>
    </w:p>
    <w:p w14:paraId="7E09915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5019683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8.5基金定期报告的编制和复核</w:t>
      </w:r>
    </w:p>
    <w:p w14:paraId="79BF9CA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8.5.1基金财务报告由基金管理人编制，</w:t>
      </w:r>
      <w:r>
        <w:rPr>
          <w:rFonts w:hAnsi="宋体"/>
          <w:szCs w:val="24"/>
        </w:rPr>
        <w:t>基金托管人</w:t>
      </w:r>
      <w:r>
        <w:rPr>
          <w:rFonts w:hAnsi="宋体" w:hint="eastAsia"/>
          <w:szCs w:val="24"/>
        </w:rPr>
        <w:t>复核。月度报告的编制，应于每月终了后5个工作日内完成。</w:t>
      </w:r>
    </w:p>
    <w:p w14:paraId="46EAC0D6" w14:textId="57D12300" w:rsidR="00950499" w:rsidRDefault="005541ED">
      <w:pPr>
        <w:pStyle w:val="20"/>
        <w:spacing w:before="0" w:after="0" w:line="520" w:lineRule="atLeast"/>
        <w:ind w:left="0" w:firstLineChars="200" w:firstLine="480"/>
        <w:rPr>
          <w:rFonts w:hAnsi="宋体"/>
          <w:szCs w:val="24"/>
        </w:rPr>
      </w:pPr>
      <w:r>
        <w:rPr>
          <w:rFonts w:hAnsi="宋体" w:hint="eastAsia"/>
          <w:szCs w:val="24"/>
        </w:rPr>
        <w:t>8.5.2基金管理人应当在每年结束之日起三个月内，编制完成基金年度报告，将年度报告登载在</w:t>
      </w:r>
      <w:r w:rsidR="00903541">
        <w:rPr>
          <w:rFonts w:hAnsi="宋体" w:hint="eastAsia"/>
          <w:szCs w:val="24"/>
        </w:rPr>
        <w:t>规定</w:t>
      </w:r>
      <w:r>
        <w:rPr>
          <w:rFonts w:hAnsi="宋体" w:hint="eastAsia"/>
          <w:szCs w:val="24"/>
        </w:rPr>
        <w:t>网站上，并将年度报告提示性公告登载在</w:t>
      </w:r>
      <w:r w:rsidR="00903541">
        <w:rPr>
          <w:rFonts w:hAnsi="宋体" w:hint="eastAsia"/>
          <w:szCs w:val="24"/>
        </w:rPr>
        <w:t>规定</w:t>
      </w:r>
      <w:r>
        <w:rPr>
          <w:rFonts w:hAnsi="宋体" w:hint="eastAsia"/>
          <w:szCs w:val="24"/>
        </w:rPr>
        <w:t>报刊上。基金年度报告中的财务会计报告应当经过</w:t>
      </w:r>
      <w:r w:rsidR="00185ACB" w:rsidRPr="00185ACB">
        <w:rPr>
          <w:rFonts w:hAnsi="宋体" w:hint="eastAsia"/>
          <w:szCs w:val="24"/>
        </w:rPr>
        <w:t>符合《中华人民共和国证券法》规定</w:t>
      </w:r>
      <w:r>
        <w:rPr>
          <w:rFonts w:hAnsi="宋体" w:hint="eastAsia"/>
          <w:szCs w:val="24"/>
        </w:rPr>
        <w:t>的会计师事务所审计。基金管理人应当在上半年结束之日起两个月内，编制完成基金中期报告，将中期报告登载在</w:t>
      </w:r>
      <w:r w:rsidR="00903541">
        <w:rPr>
          <w:rFonts w:hAnsi="宋体" w:hint="eastAsia"/>
          <w:szCs w:val="24"/>
        </w:rPr>
        <w:t>规定</w:t>
      </w:r>
      <w:r>
        <w:rPr>
          <w:rFonts w:hAnsi="宋体" w:hint="eastAsia"/>
          <w:szCs w:val="24"/>
        </w:rPr>
        <w:t>网站上，并将中期报告提示性公告登载在</w:t>
      </w:r>
      <w:r w:rsidR="00903541">
        <w:rPr>
          <w:rFonts w:hAnsi="宋体" w:hint="eastAsia"/>
          <w:szCs w:val="24"/>
        </w:rPr>
        <w:t>规定</w:t>
      </w:r>
      <w:r>
        <w:rPr>
          <w:rFonts w:hAnsi="宋体" w:hint="eastAsia"/>
          <w:szCs w:val="24"/>
        </w:rPr>
        <w:t>报刊上。基金管理人应当在季度结束之日起15个工作日内，编制完成基金季度报告，将季度报告登载在</w:t>
      </w:r>
      <w:r w:rsidR="00903541">
        <w:rPr>
          <w:rFonts w:hAnsi="宋体" w:hint="eastAsia"/>
          <w:szCs w:val="24"/>
        </w:rPr>
        <w:t>规定</w:t>
      </w:r>
      <w:r>
        <w:rPr>
          <w:rFonts w:hAnsi="宋体" w:hint="eastAsia"/>
          <w:szCs w:val="24"/>
        </w:rPr>
        <w:t>网站上，并将季度报告提示性公告登载在</w:t>
      </w:r>
      <w:r w:rsidR="00903541">
        <w:rPr>
          <w:rFonts w:hAnsi="宋体" w:hint="eastAsia"/>
          <w:szCs w:val="24"/>
        </w:rPr>
        <w:t>规定</w:t>
      </w:r>
      <w:r>
        <w:rPr>
          <w:rFonts w:hAnsi="宋体" w:hint="eastAsia"/>
          <w:szCs w:val="24"/>
        </w:rPr>
        <w:t>报刊上。基金合同生效不足2个月的，基金管理人可以不编制当期季度报告、中期报告或者年度报告。</w:t>
      </w:r>
    </w:p>
    <w:p w14:paraId="36F4B4E0" w14:textId="7C261A38" w:rsidR="00950499" w:rsidRDefault="005541ED">
      <w:pPr>
        <w:pStyle w:val="20"/>
        <w:spacing w:before="0" w:after="0" w:line="520" w:lineRule="atLeast"/>
        <w:ind w:left="0" w:firstLineChars="200" w:firstLine="480"/>
        <w:rPr>
          <w:rFonts w:hAnsi="宋体"/>
          <w:szCs w:val="24"/>
        </w:rPr>
      </w:pPr>
      <w:r>
        <w:rPr>
          <w:rFonts w:hAnsi="宋体" w:hint="eastAsia"/>
          <w:szCs w:val="24"/>
        </w:rPr>
        <w:t>8.5.3基金合同生效后，基金招募说明书、基金产品资料概要的信息发生重大变更的，基金管理人应当在三个工作日内，更新基金招募说明书、基金产品资料概要，并登载在</w:t>
      </w:r>
      <w:r w:rsidR="00903541">
        <w:rPr>
          <w:rFonts w:hAnsi="宋体" w:hint="eastAsia"/>
          <w:szCs w:val="24"/>
        </w:rPr>
        <w:t>规定</w:t>
      </w:r>
      <w:r>
        <w:rPr>
          <w:rFonts w:hAnsi="宋体" w:hint="eastAsia"/>
          <w:szCs w:val="24"/>
        </w:rPr>
        <w:t>网站上，并将基金产品资料概要登载在基金销售机构网站或营业网点。基金招募说明书、基金产品资料概要其他信息发生变更的，基金管理人至少每年更新一次。</w:t>
      </w:r>
    </w:p>
    <w:p w14:paraId="64CBB4C3" w14:textId="77777777" w:rsidR="00950499" w:rsidRDefault="005541ED">
      <w:pPr>
        <w:pStyle w:val="20"/>
        <w:spacing w:before="0" w:after="0" w:line="520" w:lineRule="atLeast"/>
        <w:ind w:left="0" w:firstLineChars="200" w:firstLine="480"/>
        <w:rPr>
          <w:rFonts w:hAnsi="宋体"/>
          <w:szCs w:val="24"/>
        </w:rPr>
      </w:pPr>
      <w:bookmarkStart w:id="33" w:name="_DV_C270"/>
      <w:r>
        <w:rPr>
          <w:rFonts w:hAnsi="宋体" w:hint="eastAsia"/>
          <w:szCs w:val="24"/>
        </w:rPr>
        <w:t>8.5.</w:t>
      </w:r>
      <w:r>
        <w:rPr>
          <w:rFonts w:hAnsi="宋体"/>
          <w:szCs w:val="24"/>
        </w:rPr>
        <w:t>4</w:t>
      </w:r>
      <w:r>
        <w:rPr>
          <w:rFonts w:hAnsi="宋体" w:hint="eastAsia"/>
          <w:szCs w:val="24"/>
        </w:rPr>
        <w:t>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个工作日内完成基金年度报告的</w:t>
      </w:r>
      <w:bookmarkEnd w:id="33"/>
      <w:r>
        <w:rPr>
          <w:rFonts w:hAnsi="宋体" w:hint="eastAsia"/>
          <w:szCs w:val="24"/>
        </w:rPr>
        <w:t>复核。基金托管人在复核过程中，发现双方的数据、</w:t>
      </w:r>
      <w:r>
        <w:rPr>
          <w:rFonts w:hAnsi="宋体"/>
          <w:szCs w:val="24"/>
        </w:rPr>
        <w:t>信息</w:t>
      </w:r>
      <w:r>
        <w:rPr>
          <w:rFonts w:hAnsi="宋体" w:hint="eastAsia"/>
          <w:szCs w:val="24"/>
        </w:rPr>
        <w:t>存在不符时，基金管理</w:t>
      </w:r>
      <w:r>
        <w:rPr>
          <w:rFonts w:hAnsi="宋体" w:hint="eastAsia"/>
          <w:szCs w:val="24"/>
        </w:rPr>
        <w:lastRenderedPageBreak/>
        <w:t>人和基金托管人应共同查明原因，进行调整，调整以国家有关规定为准。</w:t>
      </w:r>
    </w:p>
    <w:p w14:paraId="75E2904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8.5.</w:t>
      </w:r>
      <w:r>
        <w:rPr>
          <w:rFonts w:hAnsi="宋体"/>
          <w:szCs w:val="24"/>
        </w:rPr>
        <w:t>5</w:t>
      </w:r>
      <w:r>
        <w:rPr>
          <w:rFonts w:hAnsi="宋体" w:hint="eastAsia"/>
          <w:szCs w:val="24"/>
        </w:rPr>
        <w:t>基金托管人在对财务会计报告、季度、中期报告或年度报告复核完毕后，需盖章确认或出具相应的复核确认书，以</w:t>
      </w:r>
      <w:proofErr w:type="gramStart"/>
      <w:r>
        <w:rPr>
          <w:rFonts w:hAnsi="宋体" w:hint="eastAsia"/>
          <w:szCs w:val="24"/>
        </w:rPr>
        <w:t>备有权</w:t>
      </w:r>
      <w:proofErr w:type="gramEnd"/>
      <w:r>
        <w:rPr>
          <w:rFonts w:hAnsi="宋体" w:hint="eastAsia"/>
          <w:szCs w:val="24"/>
        </w:rPr>
        <w:t>机构对相关文件审核时提示。</w:t>
      </w:r>
    </w:p>
    <w:p w14:paraId="0FC6D6A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8.6暂停估值的情形</w:t>
      </w:r>
    </w:p>
    <w:p w14:paraId="5A25A819" w14:textId="5D5F76F9" w:rsidR="00950499" w:rsidRDefault="005541ED">
      <w:pPr>
        <w:pStyle w:val="20"/>
        <w:spacing w:before="0" w:after="0" w:line="520" w:lineRule="atLeast"/>
        <w:ind w:left="0" w:firstLineChars="200" w:firstLine="480"/>
        <w:rPr>
          <w:rFonts w:hAnsi="宋体"/>
          <w:szCs w:val="24"/>
        </w:rPr>
      </w:pPr>
      <w:r>
        <w:rPr>
          <w:rFonts w:hAnsi="宋体" w:hint="eastAsia"/>
          <w:szCs w:val="24"/>
        </w:rPr>
        <w:t>（1）基金投资所涉及的证券交易市场</w:t>
      </w:r>
      <w:r w:rsidR="006C482D" w:rsidRPr="006C482D">
        <w:rPr>
          <w:rFonts w:hAnsi="宋体" w:hint="eastAsia"/>
          <w:szCs w:val="24"/>
        </w:rPr>
        <w:t>或外汇市场</w:t>
      </w:r>
      <w:r>
        <w:rPr>
          <w:rFonts w:hAnsi="宋体" w:hint="eastAsia"/>
          <w:szCs w:val="24"/>
        </w:rPr>
        <w:t>遇法定节假日或因其他原因暂停营业时；</w:t>
      </w:r>
    </w:p>
    <w:p w14:paraId="71AEA25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（2）因不可抗力致使基金管理人、基金托管人无法准确评估基金资产价值时；</w:t>
      </w:r>
    </w:p>
    <w:p w14:paraId="55F68D5D" w14:textId="4F01DCEC" w:rsidR="00FA2822" w:rsidRDefault="005541ED">
      <w:pPr>
        <w:pStyle w:val="20"/>
        <w:spacing w:before="0" w:after="0" w:line="520" w:lineRule="atLeast"/>
        <w:ind w:left="0" w:firstLineChars="200" w:firstLine="480"/>
        <w:rPr>
          <w:bCs/>
        </w:rPr>
      </w:pPr>
      <w:r>
        <w:rPr>
          <w:rFonts w:hint="eastAsia"/>
          <w:bCs/>
        </w:rPr>
        <w:t>（3）</w:t>
      </w:r>
      <w:r w:rsidR="00FA2822" w:rsidRPr="00FA2822">
        <w:rPr>
          <w:rFonts w:hint="eastAsia"/>
          <w:bCs/>
        </w:rPr>
        <w:t>占本基金相当比例的被投资基金发生暂停估值、暂停公告基金份额净值的情形</w:t>
      </w:r>
      <w:r w:rsidR="00FA2822">
        <w:rPr>
          <w:rFonts w:hint="eastAsia"/>
          <w:bCs/>
        </w:rPr>
        <w:t>；</w:t>
      </w:r>
    </w:p>
    <w:p w14:paraId="5396ECF3" w14:textId="1EEAEF26" w:rsidR="00950499" w:rsidRDefault="00FA2822">
      <w:pPr>
        <w:pStyle w:val="20"/>
        <w:spacing w:before="0" w:after="0" w:line="520" w:lineRule="atLeast"/>
        <w:ind w:left="0" w:firstLineChars="200" w:firstLine="480"/>
        <w:rPr>
          <w:bCs/>
        </w:rPr>
      </w:pPr>
      <w:r>
        <w:rPr>
          <w:rFonts w:hint="eastAsia"/>
          <w:bCs/>
        </w:rPr>
        <w:t>（4）</w:t>
      </w:r>
      <w:r w:rsidR="006D5A14" w:rsidRPr="006D5A14">
        <w:rPr>
          <w:rFonts w:hint="eastAsia"/>
          <w:bCs/>
        </w:rPr>
        <w:t>当特定资产占前一估值日基金资产净值50%以上的，经与基金托管人协商确认后，基金管理人应当暂停估值</w:t>
      </w:r>
      <w:r w:rsidR="005541ED">
        <w:rPr>
          <w:rFonts w:hint="eastAsia"/>
          <w:bCs/>
        </w:rPr>
        <w:t>；</w:t>
      </w:r>
    </w:p>
    <w:p w14:paraId="600CFE2B" w14:textId="35E55667" w:rsidR="00950499" w:rsidRDefault="005541ED">
      <w:pPr>
        <w:pStyle w:val="20"/>
        <w:spacing w:before="0" w:after="0" w:line="520" w:lineRule="atLeast"/>
        <w:ind w:left="0" w:firstLineChars="200" w:firstLine="480"/>
        <w:rPr>
          <w:rFonts w:hAnsi="宋体"/>
          <w:szCs w:val="24"/>
        </w:rPr>
      </w:pPr>
      <w:r>
        <w:rPr>
          <w:rFonts w:hAnsi="宋体" w:hint="eastAsia"/>
          <w:szCs w:val="24"/>
        </w:rPr>
        <w:t>（</w:t>
      </w:r>
      <w:r w:rsidR="00FA2822">
        <w:rPr>
          <w:rFonts w:hAnsi="宋体"/>
          <w:szCs w:val="24"/>
        </w:rPr>
        <w:t>5</w:t>
      </w:r>
      <w:r>
        <w:rPr>
          <w:rFonts w:hAnsi="宋体" w:hint="eastAsia"/>
          <w:szCs w:val="24"/>
        </w:rPr>
        <w:t>）法律法规、中国证监会和基金合同认定的其他情形。</w:t>
      </w:r>
    </w:p>
    <w:p w14:paraId="6D7F93EE" w14:textId="3A307FD7" w:rsidR="00950499" w:rsidRDefault="005541ED">
      <w:pPr>
        <w:pStyle w:val="20"/>
        <w:spacing w:before="0" w:after="0" w:line="520" w:lineRule="atLeast"/>
        <w:ind w:left="0" w:firstLineChars="200" w:firstLine="480"/>
        <w:rPr>
          <w:rFonts w:hAnsi="宋体"/>
          <w:szCs w:val="24"/>
        </w:rPr>
      </w:pPr>
      <w:r>
        <w:rPr>
          <w:rFonts w:hAnsi="宋体" w:hint="eastAsia"/>
          <w:szCs w:val="24"/>
        </w:rPr>
        <w:t>8.7特殊情况的处理</w:t>
      </w:r>
    </w:p>
    <w:p w14:paraId="525B0945" w14:textId="13522ECF" w:rsidR="00950499" w:rsidRDefault="005541ED">
      <w:pPr>
        <w:pStyle w:val="20"/>
        <w:spacing w:before="0" w:after="0" w:line="520" w:lineRule="atLeast"/>
        <w:ind w:left="0" w:firstLineChars="200" w:firstLine="480"/>
        <w:rPr>
          <w:rFonts w:hAnsi="宋体"/>
          <w:szCs w:val="24"/>
        </w:rPr>
      </w:pPr>
      <w:r>
        <w:rPr>
          <w:rFonts w:hAnsi="宋体" w:hint="eastAsia"/>
          <w:szCs w:val="24"/>
        </w:rPr>
        <w:t>（1）基金管理人或基金托管人按</w:t>
      </w:r>
      <w:r w:rsidR="002316B9" w:rsidRPr="002316B9">
        <w:rPr>
          <w:rFonts w:hAnsi="宋体" w:hint="eastAsia"/>
          <w:szCs w:val="24"/>
        </w:rPr>
        <w:t>估值方法的第8项</w:t>
      </w:r>
      <w:r>
        <w:rPr>
          <w:rFonts w:hAnsi="宋体" w:hint="eastAsia"/>
          <w:szCs w:val="24"/>
        </w:rPr>
        <w:t>进行估值时，所造成的误差不作为</w:t>
      </w:r>
      <w:r w:rsidR="006D5A14" w:rsidRPr="006D5A14">
        <w:rPr>
          <w:rFonts w:hAnsi="宋体" w:hint="eastAsia"/>
          <w:szCs w:val="24"/>
        </w:rPr>
        <w:t>基金资产估值</w:t>
      </w:r>
      <w:r>
        <w:rPr>
          <w:rFonts w:hAnsi="宋体" w:hint="eastAsia"/>
          <w:szCs w:val="24"/>
        </w:rPr>
        <w:t>错误处理。</w:t>
      </w:r>
    </w:p>
    <w:p w14:paraId="097F86FE" w14:textId="48D06669" w:rsidR="00950499" w:rsidRDefault="005541ED">
      <w:pPr>
        <w:pStyle w:val="20"/>
        <w:spacing w:before="0" w:after="0" w:line="520" w:lineRule="atLeast"/>
        <w:ind w:left="0" w:firstLineChars="200" w:firstLine="480"/>
        <w:rPr>
          <w:rFonts w:hAnsi="宋体"/>
          <w:szCs w:val="24"/>
        </w:rPr>
      </w:pPr>
      <w:r>
        <w:rPr>
          <w:rFonts w:hAnsi="宋体" w:hint="eastAsia"/>
          <w:szCs w:val="24"/>
        </w:rPr>
        <w:t>（2）由于不可抗力，或证券交易所、登记机构及存款银行等第三方机构发送的数据错误等</w:t>
      </w:r>
      <w:proofErr w:type="gramStart"/>
      <w:r>
        <w:rPr>
          <w:rFonts w:hAnsi="宋体" w:hint="eastAsia"/>
          <w:szCs w:val="24"/>
        </w:rPr>
        <w:t>非基金</w:t>
      </w:r>
      <w:proofErr w:type="gramEnd"/>
      <w:r>
        <w:rPr>
          <w:rFonts w:hAnsi="宋体" w:hint="eastAsia"/>
          <w:szCs w:val="24"/>
        </w:rPr>
        <w:t>管理人与基金托管人原因，基金管理人和基金托管人虽然已经采取必要、适当、合理的措施进行检查，但未能发现</w:t>
      </w:r>
      <w:r w:rsidR="006D5A14">
        <w:rPr>
          <w:rFonts w:hAnsi="宋体" w:hint="eastAsia"/>
          <w:szCs w:val="24"/>
        </w:rPr>
        <w:t>该</w:t>
      </w:r>
      <w:r>
        <w:rPr>
          <w:rFonts w:hAnsi="宋体" w:hint="eastAsia"/>
          <w:szCs w:val="24"/>
        </w:rPr>
        <w:t>错误的，由此造成的基金资产估值错误，基金管理人和基金托管人免除赔偿责任。但基金管理人、基金托管人应当积极采取必要的措施减轻或消除由此造成的影响。</w:t>
      </w:r>
    </w:p>
    <w:p w14:paraId="7C6A7977" w14:textId="77777777" w:rsidR="00950499" w:rsidRDefault="005541ED">
      <w:pPr>
        <w:pStyle w:val="1"/>
        <w:spacing w:line="520" w:lineRule="atLeast"/>
        <w:ind w:firstLineChars="200" w:firstLine="482"/>
        <w:rPr>
          <w:bCs/>
          <w:color w:val="auto"/>
          <w:szCs w:val="24"/>
        </w:rPr>
      </w:pPr>
      <w:bookmarkStart w:id="34" w:name="_Toc44321732"/>
      <w:bookmarkStart w:id="35" w:name="_Toc296551345"/>
      <w:r>
        <w:rPr>
          <w:rFonts w:hint="eastAsia"/>
          <w:bCs/>
          <w:color w:val="auto"/>
          <w:szCs w:val="24"/>
        </w:rPr>
        <w:t>第九条 基金收益分配</w:t>
      </w:r>
      <w:bookmarkEnd w:id="34"/>
      <w:bookmarkEnd w:id="35"/>
    </w:p>
    <w:p w14:paraId="1BC2B71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9.1基金利润的构成</w:t>
      </w:r>
    </w:p>
    <w:p w14:paraId="17F7377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基金利润指基金利息收入、投资收益、公允价值变动收益和其他收入扣除相关费用后的余额；基金已实现收益指基金利润减去公允价值变动收益后的余额。</w:t>
      </w:r>
    </w:p>
    <w:p w14:paraId="0216991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9.2基金可供分配利润</w:t>
      </w:r>
    </w:p>
    <w:p w14:paraId="37FC7D5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基金可供分配利润指截至收益分配基准日基金未分配利润与未分配利润中已实现收益的孰低数。</w:t>
      </w:r>
    </w:p>
    <w:p w14:paraId="6C617F5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9.3收益分配原则</w:t>
      </w:r>
    </w:p>
    <w:p w14:paraId="43A91160" w14:textId="52725F52" w:rsidR="00C4381E" w:rsidRPr="00C4381E" w:rsidRDefault="00C4381E" w:rsidP="00C3159B">
      <w:pPr>
        <w:pStyle w:val="20"/>
        <w:spacing w:line="520" w:lineRule="atLeast"/>
        <w:ind w:left="0" w:firstLineChars="200" w:firstLine="480"/>
        <w:rPr>
          <w:rFonts w:ascii="Times New Roman"/>
          <w:bCs/>
          <w:szCs w:val="24"/>
        </w:rPr>
      </w:pPr>
      <w:permStart w:id="243616109" w:edGrp="everyone"/>
      <w:r>
        <w:rPr>
          <w:rFonts w:ascii="Times New Roman" w:hint="eastAsia"/>
          <w:bCs/>
          <w:szCs w:val="24"/>
        </w:rPr>
        <w:lastRenderedPageBreak/>
        <w:t>（</w:t>
      </w:r>
      <w:r>
        <w:rPr>
          <w:rFonts w:ascii="Times New Roman" w:hint="eastAsia"/>
          <w:bCs/>
          <w:szCs w:val="24"/>
        </w:rPr>
        <w:t>1</w:t>
      </w:r>
      <w:r>
        <w:rPr>
          <w:rFonts w:ascii="Times New Roman" w:hint="eastAsia"/>
          <w:bCs/>
          <w:szCs w:val="24"/>
        </w:rPr>
        <w:t>）</w:t>
      </w:r>
      <w:r w:rsidRPr="00C4381E">
        <w:rPr>
          <w:rFonts w:ascii="Times New Roman" w:hint="eastAsia"/>
          <w:bCs/>
          <w:szCs w:val="24"/>
        </w:rPr>
        <w:t>在符合有关基金分红条件的前提下，基金管理人可对本基金进行基金分红；</w:t>
      </w:r>
      <w:proofErr w:type="gramStart"/>
      <w:r w:rsidRPr="00C4381E">
        <w:rPr>
          <w:rFonts w:ascii="Times New Roman" w:hint="eastAsia"/>
          <w:bCs/>
          <w:szCs w:val="24"/>
        </w:rPr>
        <w:t>若基金</w:t>
      </w:r>
      <w:proofErr w:type="gramEnd"/>
      <w:r w:rsidRPr="00C4381E">
        <w:rPr>
          <w:rFonts w:ascii="Times New Roman" w:hint="eastAsia"/>
          <w:bCs/>
          <w:szCs w:val="24"/>
        </w:rPr>
        <w:t>合同生效不满</w:t>
      </w:r>
      <w:r w:rsidRPr="00C4381E">
        <w:rPr>
          <w:rFonts w:ascii="Times New Roman" w:hint="eastAsia"/>
          <w:bCs/>
          <w:szCs w:val="24"/>
        </w:rPr>
        <w:t>3</w:t>
      </w:r>
      <w:r w:rsidRPr="00C4381E">
        <w:rPr>
          <w:rFonts w:ascii="Times New Roman" w:hint="eastAsia"/>
          <w:bCs/>
          <w:szCs w:val="24"/>
        </w:rPr>
        <w:t>个月，本基金可不进行收益分配；</w:t>
      </w:r>
    </w:p>
    <w:p w14:paraId="480C65F8" w14:textId="47CC9327" w:rsidR="00C4381E" w:rsidRPr="00C4381E" w:rsidRDefault="00C4381E" w:rsidP="00C3159B">
      <w:pPr>
        <w:pStyle w:val="20"/>
        <w:spacing w:line="520" w:lineRule="atLeast"/>
        <w:ind w:left="0" w:firstLineChars="200" w:firstLine="480"/>
        <w:rPr>
          <w:rFonts w:ascii="Times New Roman"/>
          <w:bCs/>
          <w:szCs w:val="24"/>
        </w:rPr>
      </w:pPr>
      <w:r>
        <w:rPr>
          <w:rFonts w:ascii="Times New Roman" w:hint="eastAsia"/>
          <w:bCs/>
          <w:szCs w:val="24"/>
        </w:rPr>
        <w:t>（</w:t>
      </w:r>
      <w:r>
        <w:rPr>
          <w:rFonts w:ascii="Times New Roman" w:hint="eastAsia"/>
          <w:bCs/>
          <w:szCs w:val="24"/>
        </w:rPr>
        <w:t>2</w:t>
      </w:r>
      <w:r>
        <w:rPr>
          <w:rFonts w:ascii="Times New Roman" w:hint="eastAsia"/>
          <w:bCs/>
          <w:szCs w:val="24"/>
        </w:rPr>
        <w:t>）</w:t>
      </w:r>
      <w:r w:rsidRPr="00C4381E">
        <w:rPr>
          <w:rFonts w:ascii="Times New Roman" w:hint="eastAsia"/>
          <w:bCs/>
          <w:szCs w:val="24"/>
        </w:rPr>
        <w:t>本基金收益分配方式分两种：现金分红与红利再投资，投资者可选择现金红利或将现金红利自动转为相应类别的基金份额进行再投资；若投资者不选择，本基金默认的收益分配方式是现金分红；</w:t>
      </w:r>
    </w:p>
    <w:p w14:paraId="1EB0A99F" w14:textId="7F9C9FB7" w:rsidR="00C4381E" w:rsidRPr="00C4381E" w:rsidRDefault="00C4381E" w:rsidP="00C3159B">
      <w:pPr>
        <w:pStyle w:val="20"/>
        <w:spacing w:line="520" w:lineRule="atLeast"/>
        <w:ind w:left="0" w:firstLineChars="200" w:firstLine="480"/>
        <w:rPr>
          <w:rFonts w:ascii="Times New Roman"/>
          <w:bCs/>
          <w:szCs w:val="24"/>
        </w:rPr>
      </w:pPr>
      <w:r>
        <w:rPr>
          <w:rFonts w:ascii="Times New Roman" w:hint="eastAsia"/>
          <w:bCs/>
          <w:szCs w:val="24"/>
        </w:rPr>
        <w:t>（</w:t>
      </w:r>
      <w:r>
        <w:rPr>
          <w:rFonts w:ascii="Times New Roman" w:hint="eastAsia"/>
          <w:bCs/>
          <w:szCs w:val="24"/>
        </w:rPr>
        <w:t>3</w:t>
      </w:r>
      <w:r>
        <w:rPr>
          <w:rFonts w:ascii="Times New Roman" w:hint="eastAsia"/>
          <w:bCs/>
          <w:szCs w:val="24"/>
        </w:rPr>
        <w:t>）</w:t>
      </w:r>
      <w:r w:rsidRPr="00C4381E">
        <w:rPr>
          <w:rFonts w:ascii="Times New Roman" w:hint="eastAsia"/>
          <w:bCs/>
          <w:szCs w:val="24"/>
        </w:rPr>
        <w:t>基金收益分配后各类基金份额净值不能低于面值；即基金收益分配基准日的各类基金份额净值减去每单位该类基金份额收益分配金额后不能低于面值；</w:t>
      </w:r>
    </w:p>
    <w:p w14:paraId="7A67FA05" w14:textId="399ACD65" w:rsidR="00C4381E" w:rsidRPr="00C4381E" w:rsidRDefault="00C4381E" w:rsidP="00C3159B">
      <w:pPr>
        <w:pStyle w:val="20"/>
        <w:spacing w:line="520" w:lineRule="atLeast"/>
        <w:ind w:left="0" w:firstLineChars="200" w:firstLine="480"/>
        <w:rPr>
          <w:rFonts w:ascii="Times New Roman"/>
          <w:bCs/>
          <w:szCs w:val="24"/>
        </w:rPr>
      </w:pPr>
      <w:r>
        <w:rPr>
          <w:rFonts w:ascii="Times New Roman" w:hint="eastAsia"/>
          <w:bCs/>
          <w:szCs w:val="24"/>
        </w:rPr>
        <w:t>（</w:t>
      </w:r>
      <w:r>
        <w:rPr>
          <w:rFonts w:ascii="Times New Roman" w:hint="eastAsia"/>
          <w:bCs/>
          <w:szCs w:val="24"/>
        </w:rPr>
        <w:t>4</w:t>
      </w:r>
      <w:r>
        <w:rPr>
          <w:rFonts w:ascii="Times New Roman" w:hint="eastAsia"/>
          <w:bCs/>
          <w:szCs w:val="24"/>
        </w:rPr>
        <w:t>）</w:t>
      </w:r>
      <w:r w:rsidRPr="00C4381E">
        <w:rPr>
          <w:rFonts w:ascii="Times New Roman" w:hint="eastAsia"/>
          <w:bCs/>
          <w:szCs w:val="24"/>
        </w:rPr>
        <w:t>本基金同一类别的每一基金份额享有同等分配权，由于本基金</w:t>
      </w:r>
      <w:r w:rsidRPr="00C4381E">
        <w:rPr>
          <w:rFonts w:ascii="Times New Roman" w:hint="eastAsia"/>
          <w:bCs/>
          <w:szCs w:val="24"/>
        </w:rPr>
        <w:t>A</w:t>
      </w:r>
      <w:r w:rsidRPr="00C4381E">
        <w:rPr>
          <w:rFonts w:ascii="Times New Roman" w:hint="eastAsia"/>
          <w:bCs/>
          <w:szCs w:val="24"/>
        </w:rPr>
        <w:t>类基金份额不收取销售服务费，</w:t>
      </w:r>
      <w:r w:rsidRPr="00C4381E">
        <w:rPr>
          <w:rFonts w:ascii="Times New Roman" w:hint="eastAsia"/>
          <w:bCs/>
          <w:szCs w:val="24"/>
        </w:rPr>
        <w:t>C</w:t>
      </w:r>
      <w:r w:rsidRPr="00C4381E">
        <w:rPr>
          <w:rFonts w:ascii="Times New Roman" w:hint="eastAsia"/>
          <w:bCs/>
          <w:szCs w:val="24"/>
        </w:rPr>
        <w:t>类基金份额收取销售服务费，各基金份额类别对应的可供分配利润将有所不同；</w:t>
      </w:r>
    </w:p>
    <w:p w14:paraId="01EF9A0A" w14:textId="0F207C33" w:rsidR="00C4381E" w:rsidRPr="00C4381E" w:rsidRDefault="00C4381E" w:rsidP="00C3159B">
      <w:pPr>
        <w:pStyle w:val="20"/>
        <w:spacing w:line="520" w:lineRule="atLeast"/>
        <w:ind w:left="0" w:firstLineChars="200" w:firstLine="480"/>
        <w:rPr>
          <w:rFonts w:ascii="Times New Roman"/>
          <w:bCs/>
          <w:szCs w:val="24"/>
        </w:rPr>
      </w:pPr>
      <w:r>
        <w:rPr>
          <w:rFonts w:ascii="Times New Roman" w:hint="eastAsia"/>
          <w:bCs/>
          <w:szCs w:val="24"/>
        </w:rPr>
        <w:t>（</w:t>
      </w:r>
      <w:r>
        <w:rPr>
          <w:rFonts w:ascii="Times New Roman" w:hint="eastAsia"/>
          <w:bCs/>
          <w:szCs w:val="24"/>
        </w:rPr>
        <w:t>5</w:t>
      </w:r>
      <w:r>
        <w:rPr>
          <w:rFonts w:ascii="Times New Roman" w:hint="eastAsia"/>
          <w:bCs/>
          <w:szCs w:val="24"/>
        </w:rPr>
        <w:t>）</w:t>
      </w:r>
      <w:r w:rsidRPr="00C4381E">
        <w:rPr>
          <w:rFonts w:ascii="Times New Roman" w:hint="eastAsia"/>
          <w:bCs/>
          <w:szCs w:val="24"/>
        </w:rPr>
        <w:t>对于收益分配方式为红利再投资的基金份额，每份基金份额</w:t>
      </w:r>
      <w:r w:rsidR="00555E50" w:rsidRPr="00555E50">
        <w:rPr>
          <w:rFonts w:ascii="Times New Roman" w:hint="eastAsia"/>
          <w:bCs/>
          <w:szCs w:val="24"/>
        </w:rPr>
        <w:t>（即原份额）</w:t>
      </w:r>
      <w:r w:rsidRPr="00C4381E">
        <w:rPr>
          <w:rFonts w:ascii="Times New Roman" w:hint="eastAsia"/>
          <w:bCs/>
          <w:szCs w:val="24"/>
        </w:rPr>
        <w:t>红利再投资所获得</w:t>
      </w:r>
      <w:r w:rsidR="00555E50">
        <w:rPr>
          <w:rFonts w:ascii="Times New Roman" w:hint="eastAsia"/>
          <w:bCs/>
          <w:szCs w:val="24"/>
        </w:rPr>
        <w:t>的基金</w:t>
      </w:r>
      <w:r w:rsidRPr="00C4381E">
        <w:rPr>
          <w:rFonts w:ascii="Times New Roman" w:hint="eastAsia"/>
          <w:bCs/>
          <w:szCs w:val="24"/>
        </w:rPr>
        <w:t>份额的持有期限，按原份额的持有期限计算，即红利再投资所得份额与原份额最短持有期到期日相同；</w:t>
      </w:r>
    </w:p>
    <w:p w14:paraId="5FF52DCC" w14:textId="35FD989A" w:rsidR="00C4381E" w:rsidRDefault="00C4381E">
      <w:pPr>
        <w:pStyle w:val="20"/>
        <w:spacing w:before="0" w:after="0" w:line="520" w:lineRule="atLeast"/>
        <w:ind w:left="0" w:firstLineChars="200" w:firstLine="480"/>
        <w:rPr>
          <w:rFonts w:ascii="Times New Roman"/>
          <w:bCs/>
          <w:szCs w:val="24"/>
        </w:rPr>
      </w:pPr>
      <w:r>
        <w:rPr>
          <w:rFonts w:ascii="Times New Roman" w:hint="eastAsia"/>
          <w:bCs/>
          <w:szCs w:val="24"/>
        </w:rPr>
        <w:t>（</w:t>
      </w:r>
      <w:r>
        <w:rPr>
          <w:rFonts w:ascii="Times New Roman" w:hint="eastAsia"/>
          <w:bCs/>
          <w:szCs w:val="24"/>
        </w:rPr>
        <w:t>6</w:t>
      </w:r>
      <w:r>
        <w:rPr>
          <w:rFonts w:ascii="Times New Roman" w:hint="eastAsia"/>
          <w:bCs/>
          <w:szCs w:val="24"/>
        </w:rPr>
        <w:t>）</w:t>
      </w:r>
      <w:r w:rsidRPr="00C4381E">
        <w:rPr>
          <w:rFonts w:ascii="Times New Roman" w:hint="eastAsia"/>
          <w:bCs/>
          <w:szCs w:val="24"/>
        </w:rPr>
        <w:t>法律法规或监管机关另有规定的，从其规定。</w:t>
      </w:r>
    </w:p>
    <w:p w14:paraId="6DC4F44B" w14:textId="77777777" w:rsidR="006D5A14" w:rsidRPr="006D5A14" w:rsidRDefault="006D5A14" w:rsidP="00C3159B">
      <w:pPr>
        <w:pStyle w:val="20"/>
        <w:spacing w:before="0" w:after="0" w:line="520" w:lineRule="atLeast"/>
        <w:ind w:left="0" w:firstLineChars="200" w:firstLine="480"/>
        <w:rPr>
          <w:rFonts w:ascii="Times New Roman"/>
          <w:bCs/>
          <w:szCs w:val="24"/>
        </w:rPr>
      </w:pPr>
      <w:r w:rsidRPr="006D5A14">
        <w:rPr>
          <w:rFonts w:ascii="Times New Roman" w:hint="eastAsia"/>
          <w:bCs/>
          <w:szCs w:val="24"/>
        </w:rPr>
        <w:t>在遵守法律法规和监管部门的规定，且对基金份额持有人利益无实质性不利影响的前提下，基金管理人在与基金托管人协商一致并按照监管部门要求履行适当程序后可对基金收益分配原则和支付方式进行调整，不需召开基金份额持有人大会，但应于变更实施日前在规定媒介公告。</w:t>
      </w:r>
    </w:p>
    <w:p w14:paraId="5CD419CB" w14:textId="37DCD1A4" w:rsidR="006D5A14" w:rsidRDefault="006D5A14" w:rsidP="00CD0B3D">
      <w:pPr>
        <w:pStyle w:val="20"/>
        <w:spacing w:before="0" w:after="0" w:line="520" w:lineRule="atLeast"/>
        <w:ind w:left="0" w:firstLineChars="200" w:firstLine="480"/>
        <w:rPr>
          <w:rFonts w:ascii="Times New Roman"/>
          <w:bCs/>
          <w:szCs w:val="24"/>
        </w:rPr>
      </w:pPr>
      <w:r w:rsidRPr="006D5A14">
        <w:rPr>
          <w:rFonts w:ascii="Times New Roman" w:hint="eastAsia"/>
          <w:bCs/>
          <w:szCs w:val="24"/>
        </w:rPr>
        <w:t>本基金每次收益分配比例详见届时基金管理人发布的公告。</w:t>
      </w:r>
    </w:p>
    <w:permEnd w:id="243616109"/>
    <w:p w14:paraId="7773983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9.4收益分配方案</w:t>
      </w:r>
    </w:p>
    <w:p w14:paraId="28A254B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基金收益分配方案中应载明截止收益分配基准日的可供分配利润、基金收益分配对象、分配时间、分配数额及比例、分配方式等内容。</w:t>
      </w:r>
    </w:p>
    <w:p w14:paraId="76998E5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9.5收益分配的时间和程序</w:t>
      </w:r>
    </w:p>
    <w:p w14:paraId="7BF62B24" w14:textId="051C3E28" w:rsidR="00950499" w:rsidRDefault="005541ED">
      <w:pPr>
        <w:pStyle w:val="20"/>
        <w:spacing w:before="0" w:after="0" w:line="520" w:lineRule="atLeast"/>
        <w:ind w:left="0" w:firstLineChars="200" w:firstLine="480"/>
        <w:rPr>
          <w:bCs/>
        </w:rPr>
      </w:pPr>
      <w:r>
        <w:rPr>
          <w:rFonts w:hAnsi="宋体" w:hint="eastAsia"/>
          <w:szCs w:val="24"/>
        </w:rPr>
        <w:t>9.5.1本基金收益分配方案由基金管理人拟定，并由基金托管人复核，按照《信息披露办法》有关规定在</w:t>
      </w:r>
      <w:r w:rsidR="00903541">
        <w:rPr>
          <w:rFonts w:hAnsi="宋体" w:hint="eastAsia"/>
          <w:szCs w:val="24"/>
        </w:rPr>
        <w:t>规定</w:t>
      </w:r>
      <w:r>
        <w:rPr>
          <w:rFonts w:hAnsi="宋体" w:hint="eastAsia"/>
          <w:szCs w:val="24"/>
        </w:rPr>
        <w:t>媒介公告。</w:t>
      </w:r>
    </w:p>
    <w:p w14:paraId="2DE2036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w:t>
      </w:r>
      <w:r>
        <w:rPr>
          <w:rFonts w:hAnsi="宋体" w:hint="eastAsia"/>
          <w:szCs w:val="24"/>
        </w:rPr>
        <w:lastRenderedPageBreak/>
        <w:t>红资金的划付。基金托管人负责核对收益分配方案的总金额与划款指令金额一致，不对每个投资者的明细分配金额进行复核。</w:t>
      </w:r>
    </w:p>
    <w:p w14:paraId="52A8917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9.5.3法律法规或监管机关另有规定的，从其规定。</w:t>
      </w:r>
    </w:p>
    <w:p w14:paraId="27E0FA97" w14:textId="77777777" w:rsidR="00950499" w:rsidRDefault="005541ED">
      <w:pPr>
        <w:pStyle w:val="1"/>
        <w:spacing w:line="520" w:lineRule="atLeast"/>
        <w:ind w:firstLineChars="200" w:firstLine="482"/>
        <w:rPr>
          <w:bCs/>
          <w:color w:val="auto"/>
          <w:szCs w:val="24"/>
        </w:rPr>
      </w:pPr>
      <w:bookmarkStart w:id="36" w:name="_Toc296551346"/>
      <w:bookmarkStart w:id="37" w:name="_Toc44321733"/>
      <w:r>
        <w:rPr>
          <w:rFonts w:hint="eastAsia"/>
          <w:bCs/>
          <w:color w:val="auto"/>
          <w:szCs w:val="24"/>
        </w:rPr>
        <w:t>第十条 信息披露</w:t>
      </w:r>
      <w:bookmarkEnd w:id="36"/>
      <w:bookmarkEnd w:id="37"/>
    </w:p>
    <w:p w14:paraId="7CFA387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10.1保密义务</w:t>
      </w:r>
    </w:p>
    <w:p w14:paraId="2654FD4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2584802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（1）非因基金管理人和基金托管人的原因导致保密信息被披露、泄露或公开；</w:t>
      </w:r>
    </w:p>
    <w:p w14:paraId="6735345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7F25646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10.2基金管理人和基金托管人在信息披露中的职责和信息披露程序</w:t>
      </w:r>
    </w:p>
    <w:p w14:paraId="58891D0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1F2C7BED" w14:textId="278936A9" w:rsidR="00950499" w:rsidRDefault="005541ED">
      <w:pPr>
        <w:pStyle w:val="20"/>
        <w:spacing w:before="0" w:after="0" w:line="520" w:lineRule="atLeast"/>
        <w:ind w:left="0" w:firstLineChars="200" w:firstLine="480"/>
        <w:rPr>
          <w:rFonts w:hAnsi="宋体"/>
          <w:szCs w:val="24"/>
        </w:rPr>
      </w:pPr>
      <w:r>
        <w:rPr>
          <w:rFonts w:hAnsi="宋体" w:hint="eastAsia"/>
          <w:szCs w:val="24"/>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w:t>
      </w:r>
      <w:r w:rsidR="006D5A14">
        <w:rPr>
          <w:rFonts w:hAnsi="宋体" w:hint="eastAsia"/>
          <w:szCs w:val="24"/>
        </w:rPr>
        <w:t>清算报告、</w:t>
      </w:r>
      <w:r>
        <w:rPr>
          <w:rFonts w:hAnsi="宋体" w:hint="eastAsia"/>
          <w:szCs w:val="24"/>
        </w:rPr>
        <w:t>基金份额持有人大会决议、</w:t>
      </w:r>
      <w:r w:rsidR="00041568" w:rsidRPr="00041568">
        <w:rPr>
          <w:rFonts w:hAnsi="宋体" w:hint="eastAsia"/>
          <w:szCs w:val="24"/>
        </w:rPr>
        <w:t>实施</w:t>
      </w:r>
      <w:proofErr w:type="gramStart"/>
      <w:r w:rsidR="00041568" w:rsidRPr="00041568">
        <w:rPr>
          <w:rFonts w:hAnsi="宋体" w:hint="eastAsia"/>
          <w:szCs w:val="24"/>
        </w:rPr>
        <w:t>侧袋机制</w:t>
      </w:r>
      <w:proofErr w:type="gramEnd"/>
      <w:r w:rsidR="00041568" w:rsidRPr="00041568">
        <w:rPr>
          <w:rFonts w:hAnsi="宋体" w:hint="eastAsia"/>
          <w:szCs w:val="24"/>
        </w:rPr>
        <w:t>期间的信息披露</w:t>
      </w:r>
      <w:r w:rsidR="00041568">
        <w:rPr>
          <w:rFonts w:hAnsi="宋体" w:hint="eastAsia"/>
          <w:szCs w:val="24"/>
        </w:rPr>
        <w:t>、投资基金份额、</w:t>
      </w:r>
      <w:r>
        <w:rPr>
          <w:rFonts w:hAnsi="宋体" w:hint="eastAsia"/>
          <w:szCs w:val="24"/>
        </w:rPr>
        <w:t>投资资产支持证券、</w:t>
      </w:r>
      <w:r w:rsidR="00041568">
        <w:rPr>
          <w:rFonts w:hAnsi="宋体" w:hint="eastAsia"/>
          <w:szCs w:val="24"/>
        </w:rPr>
        <w:t>参与港股通交易、投资存托凭证</w:t>
      </w:r>
      <w:r>
        <w:rPr>
          <w:rFonts w:hAnsi="宋体" w:hint="eastAsia"/>
          <w:szCs w:val="24"/>
        </w:rPr>
        <w:t>的信息披露以及中国证监会规定的其他信息。</w:t>
      </w:r>
    </w:p>
    <w:p w14:paraId="089B04C6" w14:textId="55E53FFD" w:rsidR="00950499" w:rsidRDefault="005541ED">
      <w:pPr>
        <w:pStyle w:val="20"/>
        <w:spacing w:before="0" w:after="0" w:line="520" w:lineRule="atLeast"/>
        <w:ind w:left="0" w:firstLineChars="200" w:firstLine="480"/>
        <w:rPr>
          <w:rFonts w:hAnsi="宋体"/>
          <w:szCs w:val="24"/>
        </w:rPr>
      </w:pPr>
      <w:r>
        <w:rPr>
          <w:rFonts w:hAnsi="宋体" w:hint="eastAsia"/>
          <w:szCs w:val="24"/>
        </w:rPr>
        <w:t>10.2.3基金募集申请经中国证监会注册后，基金管理人应当在基金份额发售的三日前，将基金份额发售公告、基金招募说明书提示性公告和基金合同提示性公告登载在</w:t>
      </w:r>
      <w:r w:rsidR="00903541">
        <w:rPr>
          <w:rFonts w:hAnsi="宋体" w:hint="eastAsia"/>
          <w:szCs w:val="24"/>
        </w:rPr>
        <w:t>规定</w:t>
      </w:r>
      <w:r>
        <w:rPr>
          <w:rFonts w:hAnsi="宋体" w:hint="eastAsia"/>
          <w:szCs w:val="24"/>
        </w:rPr>
        <w:t>报刊上，将基金份额发售公告、基金招募说明书、基金产品资料概要、基金合同和基金托管协议登载在</w:t>
      </w:r>
      <w:r w:rsidR="00903541">
        <w:rPr>
          <w:rFonts w:hAnsi="宋体" w:hint="eastAsia"/>
          <w:szCs w:val="24"/>
        </w:rPr>
        <w:t>规定</w:t>
      </w:r>
      <w:r>
        <w:rPr>
          <w:rFonts w:hAnsi="宋体" w:hint="eastAsia"/>
          <w:szCs w:val="24"/>
        </w:rPr>
        <w:t>网站上</w:t>
      </w:r>
      <w:r w:rsidR="00832120" w:rsidRPr="00832120">
        <w:rPr>
          <w:rFonts w:hAnsi="宋体" w:hint="eastAsia"/>
          <w:szCs w:val="24"/>
        </w:rPr>
        <w:t>，并将基金产品资料概要登载</w:t>
      </w:r>
      <w:r w:rsidR="00832120" w:rsidRPr="00832120">
        <w:rPr>
          <w:rFonts w:hAnsi="宋体" w:hint="eastAsia"/>
          <w:szCs w:val="24"/>
        </w:rPr>
        <w:lastRenderedPageBreak/>
        <w:t>在基金销售机构网站或营业网点</w:t>
      </w:r>
      <w:r>
        <w:rPr>
          <w:rFonts w:hAnsi="宋体" w:hint="eastAsia"/>
          <w:szCs w:val="24"/>
        </w:rPr>
        <w:t>；基金托管人应当同时将基金合同、基金托管协议登载在</w:t>
      </w:r>
      <w:r w:rsidR="00903541">
        <w:rPr>
          <w:rFonts w:hAnsi="宋体" w:hint="eastAsia"/>
          <w:szCs w:val="24"/>
        </w:rPr>
        <w:t>规定</w:t>
      </w:r>
      <w:r>
        <w:rPr>
          <w:rFonts w:hAnsi="宋体" w:hint="eastAsia"/>
          <w:szCs w:val="24"/>
        </w:rPr>
        <w:t>网站上。</w:t>
      </w:r>
    </w:p>
    <w:p w14:paraId="3E12D2F5" w14:textId="56D4B1B0" w:rsidR="00950499" w:rsidRDefault="005541ED">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4</w:t>
      </w:r>
      <w:r>
        <w:rPr>
          <w:rFonts w:hAnsi="宋体" w:hint="eastAsia"/>
          <w:szCs w:val="24"/>
        </w:rPr>
        <w:t>基金托管人应当按照相关法律法规、中国证监会的规定和《基金合同》的约定，对基金管理人编制的基金资产净值、</w:t>
      </w:r>
      <w:r w:rsidR="00832120">
        <w:rPr>
          <w:rFonts w:hAnsi="宋体" w:hint="eastAsia"/>
          <w:szCs w:val="24"/>
        </w:rPr>
        <w:t>各类</w:t>
      </w:r>
      <w:r>
        <w:rPr>
          <w:rFonts w:hAnsi="宋体" w:hint="eastAsia"/>
          <w:szCs w:val="24"/>
        </w:rPr>
        <w:t>基金份额净值、基金份额申购赎回价格、基金定期报告、更新的招募说明书、基金产品资料概要、基金清算报告等公开披露的相关基金信息进行复核、审查，并向基金管理人</w:t>
      </w:r>
      <w:r w:rsidR="00832120">
        <w:rPr>
          <w:rFonts w:hAnsi="宋体" w:hint="eastAsia"/>
          <w:szCs w:val="24"/>
        </w:rPr>
        <w:t>进行书面或者电子</w:t>
      </w:r>
      <w:r>
        <w:rPr>
          <w:rFonts w:hAnsi="宋体" w:hint="eastAsia"/>
          <w:szCs w:val="24"/>
        </w:rPr>
        <w:t>确认。</w:t>
      </w:r>
    </w:p>
    <w:p w14:paraId="7333CF3A" w14:textId="38B1928B" w:rsidR="00950499" w:rsidRDefault="005541ED">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5</w:t>
      </w:r>
      <w:r>
        <w:rPr>
          <w:rFonts w:hAnsi="宋体" w:hint="eastAsia"/>
          <w:szCs w:val="24"/>
        </w:rPr>
        <w:t>基金年度</w:t>
      </w:r>
      <w:r>
        <w:rPr>
          <w:rFonts w:hAnsi="宋体"/>
          <w:szCs w:val="24"/>
        </w:rPr>
        <w:t>报</w:t>
      </w:r>
      <w:r>
        <w:rPr>
          <w:rFonts w:hAnsi="宋体" w:hint="eastAsia"/>
          <w:szCs w:val="24"/>
        </w:rPr>
        <w:t>告中的财务报告部分，</w:t>
      </w:r>
      <w:proofErr w:type="gramStart"/>
      <w:r>
        <w:rPr>
          <w:rFonts w:hAnsi="宋体" w:hint="eastAsia"/>
          <w:szCs w:val="24"/>
        </w:rPr>
        <w:t>经</w:t>
      </w:r>
      <w:r w:rsidR="00832120" w:rsidRPr="00832120">
        <w:rPr>
          <w:rFonts w:hAnsi="宋体" w:hint="eastAsia"/>
          <w:szCs w:val="24"/>
        </w:rPr>
        <w:t>符合</w:t>
      </w:r>
      <w:proofErr w:type="gramEnd"/>
      <w:r w:rsidR="00832120" w:rsidRPr="00832120">
        <w:rPr>
          <w:rFonts w:hAnsi="宋体" w:hint="eastAsia"/>
          <w:szCs w:val="24"/>
        </w:rPr>
        <w:t>《中华人民共和国证券法》规定</w:t>
      </w:r>
      <w:r>
        <w:rPr>
          <w:rFonts w:hAnsi="宋体" w:hint="eastAsia"/>
          <w:szCs w:val="24"/>
        </w:rPr>
        <w:t>的会计师事务所审计后，方可披露。</w:t>
      </w:r>
    </w:p>
    <w:p w14:paraId="25A1D630" w14:textId="7C603AF3" w:rsidR="00950499" w:rsidRDefault="005541ED">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6</w:t>
      </w:r>
      <w:r>
        <w:rPr>
          <w:rFonts w:hAnsi="宋体" w:hint="eastAsia"/>
          <w:szCs w:val="24"/>
        </w:rPr>
        <w:t>基金管理人应当在中国证监会规定的时间内，将应予披露的基金信息通过基金管理人网站和中国证监会</w:t>
      </w:r>
      <w:r w:rsidR="00903541">
        <w:rPr>
          <w:rFonts w:hAnsi="宋体" w:hint="eastAsia"/>
          <w:szCs w:val="24"/>
        </w:rPr>
        <w:t>规定</w:t>
      </w:r>
      <w:r>
        <w:rPr>
          <w:rFonts w:hAnsi="宋体" w:hint="eastAsia"/>
          <w:szCs w:val="24"/>
        </w:rPr>
        <w:t>媒介披露。根据法律法规应由基金托管人公开披露的信息，基金托管人将通过中国证监会</w:t>
      </w:r>
      <w:r w:rsidR="00903541">
        <w:rPr>
          <w:rFonts w:hAnsi="宋体" w:hint="eastAsia"/>
          <w:szCs w:val="24"/>
        </w:rPr>
        <w:t>规定</w:t>
      </w:r>
      <w:r>
        <w:rPr>
          <w:rFonts w:hAnsi="宋体" w:hint="eastAsia"/>
          <w:szCs w:val="24"/>
        </w:rPr>
        <w:t>媒介公开披露。</w:t>
      </w:r>
    </w:p>
    <w:p w14:paraId="4CA2BB7D" w14:textId="12C28553" w:rsidR="00950499" w:rsidRDefault="005541ED">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7</w:t>
      </w:r>
      <w:r w:rsidR="00832120" w:rsidRPr="00832120">
        <w:rPr>
          <w:rFonts w:hAnsi="宋体" w:hint="eastAsia"/>
          <w:szCs w:val="24"/>
        </w:rPr>
        <w:t>依法必须披露的信息发布后，基金管理人、基金托管人应当按照相关法律法规规定将信息置备于各自住所，供社会公众查阅、复制</w:t>
      </w:r>
      <w:r>
        <w:rPr>
          <w:rFonts w:hAnsi="宋体" w:hint="eastAsia"/>
          <w:szCs w:val="24"/>
        </w:rPr>
        <w:t>。在支付工本费后可在合理时间获得上述文件的复制件或复印件。基金管理人和基金托管人应保证文本的内容与所公告的内容完全一致。</w:t>
      </w:r>
    </w:p>
    <w:p w14:paraId="19FF924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10.3暂停或延迟信息披露的情形</w:t>
      </w:r>
    </w:p>
    <w:p w14:paraId="7C9AE4BC" w14:textId="4B817D2B" w:rsidR="00950499" w:rsidRDefault="005541ED">
      <w:pPr>
        <w:pStyle w:val="20"/>
        <w:spacing w:before="0" w:after="0" w:line="520" w:lineRule="atLeast"/>
        <w:ind w:left="0" w:firstLineChars="200" w:firstLine="480"/>
        <w:rPr>
          <w:rFonts w:hAnsi="宋体"/>
          <w:szCs w:val="24"/>
        </w:rPr>
      </w:pPr>
      <w:r>
        <w:rPr>
          <w:rFonts w:hAnsi="宋体" w:hint="eastAsia"/>
          <w:szCs w:val="24"/>
        </w:rPr>
        <w:t>（1）基金投资所涉及的证券交易市场</w:t>
      </w:r>
      <w:r w:rsidR="00832120" w:rsidRPr="00832120">
        <w:rPr>
          <w:rFonts w:hAnsi="宋体" w:hint="eastAsia"/>
          <w:szCs w:val="24"/>
        </w:rPr>
        <w:t>或外汇市场</w:t>
      </w:r>
      <w:r>
        <w:rPr>
          <w:rFonts w:hAnsi="宋体" w:hint="eastAsia"/>
          <w:szCs w:val="24"/>
        </w:rPr>
        <w:t>遇法定节假日或因其他原因暂停</w:t>
      </w:r>
      <w:r w:rsidR="00832120">
        <w:rPr>
          <w:rFonts w:hAnsi="宋体" w:hint="eastAsia"/>
          <w:szCs w:val="24"/>
        </w:rPr>
        <w:t>交易</w:t>
      </w:r>
      <w:r>
        <w:rPr>
          <w:rFonts w:hAnsi="宋体" w:hint="eastAsia"/>
          <w:szCs w:val="24"/>
        </w:rPr>
        <w:t>时；</w:t>
      </w:r>
    </w:p>
    <w:p w14:paraId="5D45FCAD" w14:textId="41ABC76B" w:rsidR="00950499" w:rsidRDefault="005541ED">
      <w:pPr>
        <w:pStyle w:val="20"/>
        <w:spacing w:before="0" w:after="0" w:line="520" w:lineRule="atLeast"/>
        <w:ind w:left="0" w:firstLineChars="200" w:firstLine="480"/>
        <w:rPr>
          <w:rFonts w:hAnsi="宋体"/>
          <w:szCs w:val="24"/>
        </w:rPr>
      </w:pPr>
      <w:r>
        <w:rPr>
          <w:rFonts w:hAnsi="宋体" w:hint="eastAsia"/>
          <w:szCs w:val="24"/>
        </w:rPr>
        <w:t>（2）</w:t>
      </w:r>
      <w:r w:rsidR="00832120" w:rsidRPr="00832120">
        <w:rPr>
          <w:rFonts w:hAnsi="宋体" w:hint="eastAsia"/>
          <w:szCs w:val="24"/>
        </w:rPr>
        <w:t>因不可抗力致使基金管理人、基金托管人无法准确评估基金资产价值或无法进行信息披露时</w:t>
      </w:r>
      <w:r>
        <w:rPr>
          <w:rFonts w:hAnsi="宋体" w:hint="eastAsia"/>
          <w:szCs w:val="24"/>
        </w:rPr>
        <w:t>；</w:t>
      </w:r>
    </w:p>
    <w:p w14:paraId="1CDFDAA9" w14:textId="41E02ABA" w:rsidR="00832120" w:rsidRDefault="005541ED">
      <w:pPr>
        <w:pStyle w:val="20"/>
        <w:spacing w:before="0" w:after="0" w:line="520" w:lineRule="atLeast"/>
        <w:ind w:left="0" w:firstLineChars="200" w:firstLine="480"/>
        <w:rPr>
          <w:rFonts w:hAnsi="宋体"/>
          <w:szCs w:val="24"/>
        </w:rPr>
      </w:pPr>
      <w:r>
        <w:rPr>
          <w:rFonts w:hAnsi="宋体" w:hint="eastAsia"/>
          <w:szCs w:val="24"/>
        </w:rPr>
        <w:t>（3）</w:t>
      </w:r>
      <w:r w:rsidR="00832120" w:rsidRPr="00832120">
        <w:rPr>
          <w:rFonts w:hAnsi="宋体" w:hint="eastAsia"/>
          <w:szCs w:val="24"/>
        </w:rPr>
        <w:t>占本基金相当比例的被投资基金发生暂停估值、暂停公告基金份额净值的情形</w:t>
      </w:r>
      <w:r w:rsidR="00832120">
        <w:rPr>
          <w:rFonts w:hAnsi="宋体" w:hint="eastAsia"/>
          <w:szCs w:val="24"/>
        </w:rPr>
        <w:t>；</w:t>
      </w:r>
    </w:p>
    <w:p w14:paraId="60FB66C4" w14:textId="760E23D1" w:rsidR="00950499" w:rsidRDefault="00832120">
      <w:pPr>
        <w:pStyle w:val="20"/>
        <w:spacing w:before="0" w:after="0" w:line="520" w:lineRule="atLeast"/>
        <w:ind w:left="0" w:firstLineChars="200" w:firstLine="480"/>
        <w:rPr>
          <w:rFonts w:hAnsi="宋体"/>
          <w:szCs w:val="24"/>
        </w:rPr>
      </w:pPr>
      <w:r>
        <w:rPr>
          <w:rFonts w:hint="eastAsia"/>
          <w:bCs/>
        </w:rPr>
        <w:t>（4）</w:t>
      </w:r>
      <w:r w:rsidRPr="00832120">
        <w:rPr>
          <w:rFonts w:hint="eastAsia"/>
          <w:bCs/>
        </w:rPr>
        <w:t>当特定资产占前一估值日基金资产净值50%以上的，经与基金托管人协商确认后暂停估值的</w:t>
      </w:r>
      <w:r w:rsidR="005541ED">
        <w:rPr>
          <w:rFonts w:hint="eastAsia"/>
          <w:bCs/>
        </w:rPr>
        <w:t>；</w:t>
      </w:r>
    </w:p>
    <w:p w14:paraId="27A258F4" w14:textId="178101DD" w:rsidR="00950499" w:rsidRDefault="005541ED">
      <w:pPr>
        <w:pStyle w:val="20"/>
        <w:spacing w:before="0" w:after="0" w:line="520" w:lineRule="atLeast"/>
        <w:ind w:left="0" w:firstLineChars="200" w:firstLine="480"/>
        <w:rPr>
          <w:rFonts w:hAnsi="宋体"/>
          <w:szCs w:val="24"/>
        </w:rPr>
      </w:pPr>
      <w:r>
        <w:rPr>
          <w:rFonts w:hAnsi="宋体" w:hint="eastAsia"/>
          <w:szCs w:val="24"/>
        </w:rPr>
        <w:t>（</w:t>
      </w:r>
      <w:r w:rsidR="00832120">
        <w:rPr>
          <w:rFonts w:hAnsi="宋体"/>
          <w:szCs w:val="24"/>
        </w:rPr>
        <w:t>5</w:t>
      </w:r>
      <w:r>
        <w:rPr>
          <w:rFonts w:hAnsi="宋体" w:hint="eastAsia"/>
          <w:szCs w:val="24"/>
        </w:rPr>
        <w:t>）法律法规、</w:t>
      </w:r>
      <w:r>
        <w:rPr>
          <w:rFonts w:hAnsi="宋体" w:hint="eastAsia"/>
        </w:rPr>
        <w:t>基金合同或</w:t>
      </w:r>
      <w:r>
        <w:rPr>
          <w:rFonts w:hAnsi="宋体" w:hint="eastAsia"/>
          <w:szCs w:val="24"/>
        </w:rPr>
        <w:t>中国证监会规定的情况。</w:t>
      </w:r>
    </w:p>
    <w:p w14:paraId="1A3B43C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10.4基金托管人报告</w:t>
      </w:r>
    </w:p>
    <w:p w14:paraId="6EA34F6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w:t>
      </w:r>
      <w:r>
        <w:rPr>
          <w:rFonts w:hAnsi="宋体" w:hint="eastAsia"/>
          <w:szCs w:val="24"/>
        </w:rPr>
        <w:lastRenderedPageBreak/>
        <w:t>法规的规定于每个上半年度结束后两个</w:t>
      </w:r>
      <w:r>
        <w:rPr>
          <w:rFonts w:hAnsi="宋体"/>
          <w:szCs w:val="24"/>
        </w:rPr>
        <w:t>月</w:t>
      </w:r>
      <w:r>
        <w:rPr>
          <w:rFonts w:hAnsi="宋体" w:hint="eastAsia"/>
          <w:szCs w:val="24"/>
        </w:rPr>
        <w:t>内、每个会计年度结束后三个</w:t>
      </w:r>
      <w:r>
        <w:rPr>
          <w:rFonts w:hAnsi="宋体"/>
          <w:szCs w:val="24"/>
        </w:rPr>
        <w:t>月</w:t>
      </w:r>
      <w:proofErr w:type="gramStart"/>
      <w:r>
        <w:rPr>
          <w:rFonts w:hAnsi="宋体" w:hint="eastAsia"/>
          <w:szCs w:val="24"/>
        </w:rPr>
        <w:t>内在基金</w:t>
      </w:r>
      <w:proofErr w:type="gramEnd"/>
      <w:r>
        <w:rPr>
          <w:rFonts w:hAnsi="宋体" w:hint="eastAsia"/>
          <w:szCs w:val="24"/>
        </w:rPr>
        <w:t>中期报告及年度报告中分别出具基金托管人报告，</w:t>
      </w:r>
      <w:r>
        <w:rPr>
          <w:rFonts w:hAnsi="宋体"/>
          <w:szCs w:val="24"/>
        </w:rPr>
        <w:t>并提交给基金管理人</w:t>
      </w:r>
      <w:r>
        <w:rPr>
          <w:rFonts w:hAnsi="宋体" w:hint="eastAsia"/>
          <w:szCs w:val="24"/>
        </w:rPr>
        <w:t>。</w:t>
      </w:r>
    </w:p>
    <w:p w14:paraId="0A291748" w14:textId="77777777" w:rsidR="00950499" w:rsidRDefault="005541ED">
      <w:pPr>
        <w:pStyle w:val="1"/>
        <w:spacing w:line="520" w:lineRule="atLeast"/>
        <w:ind w:firstLineChars="200" w:firstLine="482"/>
        <w:rPr>
          <w:bCs/>
          <w:color w:val="auto"/>
          <w:szCs w:val="24"/>
        </w:rPr>
      </w:pPr>
      <w:bookmarkStart w:id="38" w:name="_Toc296551347"/>
      <w:bookmarkStart w:id="39" w:name="_Toc44321734"/>
      <w:r>
        <w:rPr>
          <w:rFonts w:hint="eastAsia"/>
          <w:bCs/>
          <w:color w:val="auto"/>
          <w:szCs w:val="24"/>
        </w:rPr>
        <w:t>第十一条 基金费用</w:t>
      </w:r>
      <w:bookmarkEnd w:id="38"/>
      <w:bookmarkEnd w:id="39"/>
    </w:p>
    <w:p w14:paraId="656ECCF1" w14:textId="77777777" w:rsidR="00950499" w:rsidRDefault="005541ED">
      <w:pPr>
        <w:pStyle w:val="20"/>
        <w:spacing w:before="0" w:after="0" w:line="520" w:lineRule="atLeast"/>
        <w:ind w:left="0" w:firstLineChars="200" w:firstLine="480"/>
        <w:rPr>
          <w:rFonts w:hAnsi="宋体"/>
          <w:szCs w:val="24"/>
        </w:rPr>
      </w:pPr>
      <w:permStart w:id="1716287391" w:edGrp="everyone"/>
      <w:r>
        <w:rPr>
          <w:rFonts w:hAnsi="宋体" w:hint="eastAsia"/>
          <w:szCs w:val="24"/>
        </w:rPr>
        <w:t>11.1基金管理费的计提比例和计提方法</w:t>
      </w:r>
    </w:p>
    <w:p w14:paraId="66B924B2" w14:textId="49EF9F88" w:rsidR="00950499" w:rsidRDefault="00EA01C4">
      <w:pPr>
        <w:pStyle w:val="20"/>
        <w:spacing w:before="0" w:after="0" w:line="520" w:lineRule="atLeast"/>
        <w:ind w:left="0" w:firstLineChars="200" w:firstLine="480"/>
        <w:rPr>
          <w:rFonts w:hAnsi="宋体"/>
          <w:szCs w:val="24"/>
        </w:rPr>
      </w:pPr>
      <w:r w:rsidRPr="00EA01C4">
        <w:rPr>
          <w:rFonts w:hAnsi="宋体" w:hint="eastAsia"/>
          <w:szCs w:val="24"/>
        </w:rPr>
        <w:t>本基金对基金财产中持有的本基金管理人自身管理的基金部分不收取管理费。本基金的管理费按前一日除基金管理人管理的基金外的基金资产净值的</w:t>
      </w:r>
      <w:r w:rsidR="004011E8">
        <w:rPr>
          <w:rFonts w:hAnsi="宋体"/>
          <w:szCs w:val="24"/>
        </w:rPr>
        <w:t>0</w:t>
      </w:r>
      <w:r w:rsidRPr="00EA01C4">
        <w:rPr>
          <w:rFonts w:hAnsi="宋体" w:hint="eastAsia"/>
          <w:szCs w:val="24"/>
        </w:rPr>
        <w:t>.</w:t>
      </w:r>
      <w:r w:rsidR="004011E8">
        <w:rPr>
          <w:rFonts w:hAnsi="宋体"/>
          <w:szCs w:val="24"/>
        </w:rPr>
        <w:t>6</w:t>
      </w:r>
      <w:r w:rsidR="004011E8" w:rsidRPr="00EA01C4">
        <w:rPr>
          <w:rFonts w:hAnsi="宋体" w:hint="eastAsia"/>
          <w:szCs w:val="24"/>
        </w:rPr>
        <w:t>0</w:t>
      </w:r>
      <w:r w:rsidRPr="00EA01C4">
        <w:rPr>
          <w:rFonts w:hAnsi="宋体" w:hint="eastAsia"/>
          <w:szCs w:val="24"/>
        </w:rPr>
        <w:t>%的年费率计提。管理费的计算方法如下</w:t>
      </w:r>
      <w:r w:rsidR="005541ED">
        <w:rPr>
          <w:rFonts w:hAnsi="宋体" w:hint="eastAsia"/>
          <w:szCs w:val="24"/>
        </w:rPr>
        <w:t>：</w:t>
      </w:r>
    </w:p>
    <w:p w14:paraId="23690958" w14:textId="7C2F4005" w:rsidR="00EA01C4" w:rsidRPr="00EA01C4" w:rsidRDefault="00EA01C4" w:rsidP="00C3159B">
      <w:pPr>
        <w:pStyle w:val="20"/>
        <w:spacing w:before="0" w:after="0" w:line="520" w:lineRule="atLeast"/>
        <w:ind w:left="0" w:firstLineChars="200" w:firstLine="480"/>
        <w:rPr>
          <w:rFonts w:hAnsi="宋体"/>
          <w:szCs w:val="24"/>
        </w:rPr>
      </w:pPr>
      <w:r w:rsidRPr="00EA01C4">
        <w:rPr>
          <w:rFonts w:hAnsi="宋体" w:hint="eastAsia"/>
          <w:szCs w:val="24"/>
        </w:rPr>
        <w:t>H＝E×</w:t>
      </w:r>
      <w:r w:rsidR="004011E8">
        <w:rPr>
          <w:rFonts w:hAnsi="宋体"/>
          <w:szCs w:val="24"/>
        </w:rPr>
        <w:t>0</w:t>
      </w:r>
      <w:r w:rsidRPr="00EA01C4">
        <w:rPr>
          <w:rFonts w:hAnsi="宋体" w:hint="eastAsia"/>
          <w:szCs w:val="24"/>
        </w:rPr>
        <w:t>.</w:t>
      </w:r>
      <w:r w:rsidR="004011E8">
        <w:rPr>
          <w:rFonts w:hAnsi="宋体"/>
          <w:szCs w:val="24"/>
        </w:rPr>
        <w:t>6</w:t>
      </w:r>
      <w:r w:rsidR="004011E8" w:rsidRPr="00EA01C4">
        <w:rPr>
          <w:rFonts w:hAnsi="宋体" w:hint="eastAsia"/>
          <w:szCs w:val="24"/>
        </w:rPr>
        <w:t>0</w:t>
      </w:r>
      <w:r w:rsidRPr="00EA01C4">
        <w:rPr>
          <w:rFonts w:hAnsi="宋体" w:hint="eastAsia"/>
          <w:szCs w:val="24"/>
        </w:rPr>
        <w:t>%÷当年天数</w:t>
      </w:r>
    </w:p>
    <w:p w14:paraId="0F982C92" w14:textId="77777777" w:rsidR="00EA01C4" w:rsidRPr="00EA01C4" w:rsidRDefault="00EA01C4" w:rsidP="00C3159B">
      <w:pPr>
        <w:pStyle w:val="20"/>
        <w:spacing w:before="0" w:after="0" w:line="520" w:lineRule="atLeast"/>
        <w:ind w:left="0" w:firstLineChars="200" w:firstLine="480"/>
        <w:rPr>
          <w:rFonts w:hAnsi="宋体"/>
          <w:szCs w:val="24"/>
        </w:rPr>
      </w:pPr>
      <w:r w:rsidRPr="00EA01C4">
        <w:rPr>
          <w:rFonts w:hAnsi="宋体" w:hint="eastAsia"/>
          <w:szCs w:val="24"/>
        </w:rPr>
        <w:t>H为每日应计提的基金管理费</w:t>
      </w:r>
    </w:p>
    <w:p w14:paraId="3904D37C" w14:textId="77777777" w:rsidR="00CD0B3D" w:rsidRDefault="00EA01C4">
      <w:pPr>
        <w:pStyle w:val="20"/>
        <w:spacing w:before="0" w:after="0" w:line="520" w:lineRule="atLeast"/>
        <w:ind w:left="0" w:firstLineChars="200" w:firstLine="480"/>
        <w:rPr>
          <w:rFonts w:hAnsi="宋体"/>
          <w:szCs w:val="24"/>
        </w:rPr>
      </w:pPr>
      <w:r w:rsidRPr="00EA01C4">
        <w:rPr>
          <w:rFonts w:hAnsi="宋体" w:hint="eastAsia"/>
          <w:szCs w:val="24"/>
        </w:rPr>
        <w:t>E为前一日的基金资产净值减去持有基金管理人管理的基金净值</w:t>
      </w:r>
    </w:p>
    <w:p w14:paraId="6DDCB593" w14:textId="5E89CF4A" w:rsidR="00950499" w:rsidRDefault="00EA01C4">
      <w:pPr>
        <w:pStyle w:val="20"/>
        <w:spacing w:before="0" w:after="0" w:line="520" w:lineRule="atLeast"/>
        <w:ind w:left="0" w:firstLineChars="200" w:firstLine="480"/>
        <w:rPr>
          <w:rFonts w:hAnsi="宋体"/>
          <w:szCs w:val="24"/>
        </w:rPr>
      </w:pPr>
      <w:r w:rsidRPr="00EA01C4">
        <w:rPr>
          <w:rFonts w:hAnsi="宋体" w:hint="eastAsia"/>
          <w:szCs w:val="24"/>
        </w:rPr>
        <w:t>基金管理费每日计提，逐日累计至每月月末，按月支付，经基金管理人与基金托管人双方核对无误后，基金托管人按照与基金管理人协商一致的方式于次月前5个工作日内从基金财产中一次性</w:t>
      </w:r>
      <w:r w:rsidR="00207263" w:rsidRPr="00207263">
        <w:rPr>
          <w:rFonts w:hAnsi="宋体" w:hint="eastAsia"/>
          <w:szCs w:val="24"/>
        </w:rPr>
        <w:t>支付给基金管理人</w:t>
      </w:r>
      <w:r w:rsidRPr="00EA01C4">
        <w:rPr>
          <w:rFonts w:hAnsi="宋体" w:hint="eastAsia"/>
          <w:szCs w:val="24"/>
        </w:rPr>
        <w:t>。若遇法定节假日、公休假或不可抗力等，支付日期顺延</w:t>
      </w:r>
      <w:r w:rsidR="005541ED">
        <w:rPr>
          <w:rFonts w:hAnsi="宋体" w:hint="eastAsia"/>
          <w:szCs w:val="24"/>
        </w:rPr>
        <w:t>。</w:t>
      </w:r>
    </w:p>
    <w:p w14:paraId="472EB7F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11.2基金托管费的计提比例和计提方法</w:t>
      </w:r>
    </w:p>
    <w:p w14:paraId="665490C4" w14:textId="3BB7FC1F" w:rsidR="00950499" w:rsidRDefault="00EA01C4">
      <w:pPr>
        <w:pStyle w:val="20"/>
        <w:spacing w:before="0" w:after="0" w:line="520" w:lineRule="atLeast"/>
        <w:ind w:left="0" w:firstLineChars="200" w:firstLine="480"/>
        <w:rPr>
          <w:rFonts w:hAnsi="宋体"/>
          <w:szCs w:val="24"/>
        </w:rPr>
      </w:pPr>
      <w:r w:rsidRPr="00EA01C4">
        <w:rPr>
          <w:rFonts w:hAnsi="宋体" w:hint="eastAsia"/>
          <w:szCs w:val="24"/>
        </w:rPr>
        <w:t>本基金对基金财产中持有的本基金托管人自身托管的基金部分不收取托管费。本基金的托管费按前一日除基金托管人托管的基金外的基金资产净值的0.</w:t>
      </w:r>
      <w:r w:rsidR="004011E8">
        <w:rPr>
          <w:rFonts w:hAnsi="宋体"/>
          <w:szCs w:val="24"/>
        </w:rPr>
        <w:t>15</w:t>
      </w:r>
      <w:r w:rsidRPr="00EA01C4">
        <w:rPr>
          <w:rFonts w:hAnsi="宋体" w:hint="eastAsia"/>
          <w:szCs w:val="24"/>
        </w:rPr>
        <w:t>%的年费率计提。托管费的计算方法如下</w:t>
      </w:r>
      <w:r w:rsidR="005541ED">
        <w:rPr>
          <w:rFonts w:hAnsi="宋体" w:hint="eastAsia"/>
          <w:szCs w:val="24"/>
        </w:rPr>
        <w:t>：</w:t>
      </w:r>
    </w:p>
    <w:p w14:paraId="554289B7" w14:textId="1C50184A" w:rsidR="00950499" w:rsidRDefault="005541ED">
      <w:pPr>
        <w:pStyle w:val="20"/>
        <w:spacing w:before="0" w:after="0" w:line="520" w:lineRule="atLeast"/>
        <w:ind w:left="0" w:firstLineChars="200" w:firstLine="480"/>
        <w:rPr>
          <w:rFonts w:hAnsi="宋体"/>
          <w:szCs w:val="24"/>
        </w:rPr>
      </w:pPr>
      <w:r>
        <w:rPr>
          <w:rFonts w:hAnsi="宋体" w:hint="eastAsia"/>
          <w:szCs w:val="24"/>
        </w:rPr>
        <w:t>H＝E×</w:t>
      </w:r>
      <w:r w:rsidR="00C4381E" w:rsidRPr="00E3621C">
        <w:rPr>
          <w:bCs/>
        </w:rPr>
        <w:t>0.</w:t>
      </w:r>
      <w:r w:rsidR="004011E8">
        <w:rPr>
          <w:bCs/>
        </w:rPr>
        <w:t>15</w:t>
      </w:r>
      <w:r w:rsidR="00C4381E" w:rsidRPr="00E3621C">
        <w:rPr>
          <w:bCs/>
        </w:rPr>
        <w:t>%</w:t>
      </w:r>
      <w:r>
        <w:rPr>
          <w:rFonts w:hAnsi="宋体" w:hint="eastAsia"/>
          <w:szCs w:val="24"/>
        </w:rPr>
        <w:t>÷当年天数</w:t>
      </w:r>
    </w:p>
    <w:p w14:paraId="74AA1B8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H为每日应计提的基金托管费</w:t>
      </w:r>
    </w:p>
    <w:p w14:paraId="3CEDFE87" w14:textId="41D57F7F" w:rsidR="00950499" w:rsidRDefault="005541ED">
      <w:pPr>
        <w:pStyle w:val="20"/>
        <w:spacing w:before="0" w:after="0" w:line="520" w:lineRule="atLeast"/>
        <w:ind w:left="0" w:firstLineChars="200" w:firstLine="480"/>
        <w:rPr>
          <w:rFonts w:hAnsi="宋体"/>
          <w:szCs w:val="24"/>
        </w:rPr>
      </w:pPr>
      <w:r>
        <w:rPr>
          <w:rFonts w:hAnsi="宋体" w:hint="eastAsia"/>
          <w:szCs w:val="24"/>
        </w:rPr>
        <w:t>E为</w:t>
      </w:r>
      <w:r w:rsidR="00EA01C4" w:rsidRPr="00EA01C4">
        <w:rPr>
          <w:rFonts w:hAnsi="宋体" w:hint="eastAsia"/>
          <w:szCs w:val="24"/>
        </w:rPr>
        <w:t>前一日的基金资产净值减去持有基金托管人托管的基金净值</w:t>
      </w:r>
    </w:p>
    <w:p w14:paraId="114A52CB" w14:textId="61222504" w:rsidR="00950499" w:rsidRDefault="00EA01C4">
      <w:pPr>
        <w:pStyle w:val="20"/>
        <w:spacing w:before="0" w:after="0" w:line="520" w:lineRule="atLeast"/>
        <w:ind w:left="0" w:firstLineChars="200" w:firstLine="480"/>
        <w:rPr>
          <w:rFonts w:hAnsi="宋体"/>
          <w:szCs w:val="24"/>
        </w:rPr>
      </w:pPr>
      <w:r w:rsidRPr="00EA01C4">
        <w:rPr>
          <w:rFonts w:hAnsi="宋体" w:hint="eastAsia"/>
          <w:szCs w:val="24"/>
        </w:rPr>
        <w:t>基金托管费每日计提，逐日累计至每月月末，按月支付，经基金管理人与基金托管人双方核对无误后，基金托管人按照与基金管理人协商一致的方式于次月前5个工作日内从基金财产中一次性支取。若遇法定节假日、公休假或不可抗力等，支付日期顺延</w:t>
      </w:r>
      <w:r w:rsidR="005541ED">
        <w:rPr>
          <w:rFonts w:hAnsi="宋体" w:hint="eastAsia"/>
          <w:szCs w:val="24"/>
        </w:rPr>
        <w:t>。</w:t>
      </w:r>
    </w:p>
    <w:p w14:paraId="6B56EFBD" w14:textId="53743BB5" w:rsidR="00950499" w:rsidRDefault="005541ED">
      <w:pPr>
        <w:pStyle w:val="20"/>
        <w:spacing w:before="0" w:after="0" w:line="520" w:lineRule="atLeast"/>
        <w:ind w:left="0" w:firstLineChars="200" w:firstLine="480"/>
        <w:rPr>
          <w:rFonts w:hAnsi="宋体"/>
          <w:szCs w:val="24"/>
        </w:rPr>
      </w:pPr>
      <w:r>
        <w:rPr>
          <w:rFonts w:hAnsi="宋体" w:hint="eastAsia"/>
          <w:szCs w:val="24"/>
        </w:rPr>
        <w:t>11.3</w:t>
      </w:r>
      <w:r w:rsidR="00EA01C4">
        <w:rPr>
          <w:rFonts w:hAnsi="宋体"/>
          <w:szCs w:val="24"/>
        </w:rPr>
        <w:t>C</w:t>
      </w:r>
      <w:r w:rsidR="00EA01C4">
        <w:rPr>
          <w:rFonts w:hAnsi="宋体" w:hint="eastAsia"/>
          <w:szCs w:val="24"/>
        </w:rPr>
        <w:t>类基金份额的</w:t>
      </w:r>
      <w:r>
        <w:rPr>
          <w:rFonts w:hAnsi="宋体" w:hint="eastAsia"/>
          <w:szCs w:val="24"/>
        </w:rPr>
        <w:t>销售服务费的计提比例和计提方法</w:t>
      </w:r>
    </w:p>
    <w:p w14:paraId="1ECF9486" w14:textId="658520EE" w:rsidR="00EA01C4" w:rsidRDefault="00EA01C4">
      <w:pPr>
        <w:pStyle w:val="20"/>
        <w:spacing w:before="0" w:after="0" w:line="520" w:lineRule="atLeast"/>
        <w:ind w:left="0" w:firstLineChars="200" w:firstLine="480"/>
        <w:rPr>
          <w:rFonts w:hAnsi="宋体"/>
          <w:szCs w:val="24"/>
        </w:rPr>
      </w:pPr>
      <w:r w:rsidRPr="00EA01C4">
        <w:rPr>
          <w:rFonts w:hAnsi="宋体" w:hint="eastAsia"/>
          <w:szCs w:val="24"/>
        </w:rPr>
        <w:t>本基金A类基金份额不收取销售服务费，C类基金份额的销售服务费年费率为0.40%。本基金C类基金份额的销售服务费将专门用于本基金的销售与基金份额持</w:t>
      </w:r>
      <w:r w:rsidRPr="00EA01C4">
        <w:rPr>
          <w:rFonts w:hAnsi="宋体" w:hint="eastAsia"/>
          <w:szCs w:val="24"/>
        </w:rPr>
        <w:lastRenderedPageBreak/>
        <w:t>有人服务</w:t>
      </w:r>
      <w:r>
        <w:rPr>
          <w:rFonts w:hAnsi="宋体" w:hint="eastAsia"/>
          <w:szCs w:val="24"/>
        </w:rPr>
        <w:t>。</w:t>
      </w:r>
    </w:p>
    <w:p w14:paraId="5FB5BC30" w14:textId="3F4D35C2" w:rsidR="00950499" w:rsidRDefault="00EA01C4">
      <w:pPr>
        <w:pStyle w:val="20"/>
        <w:spacing w:before="0" w:after="0" w:line="520" w:lineRule="atLeast"/>
        <w:ind w:left="0" w:firstLineChars="200" w:firstLine="480"/>
        <w:rPr>
          <w:rFonts w:hAnsi="宋体"/>
          <w:szCs w:val="24"/>
        </w:rPr>
      </w:pPr>
      <w:r w:rsidRPr="00EA01C4">
        <w:rPr>
          <w:rFonts w:hAnsi="宋体" w:hint="eastAsia"/>
          <w:szCs w:val="24"/>
        </w:rPr>
        <w:t>销售服务费按前一日C类基金份额的基金资产净值的0.40%的年费率计提。计算方法如下</w:t>
      </w:r>
      <w:r w:rsidR="005541ED">
        <w:rPr>
          <w:rFonts w:hAnsi="宋体" w:hint="eastAsia"/>
          <w:szCs w:val="24"/>
        </w:rPr>
        <w:t xml:space="preserve">： </w:t>
      </w:r>
    </w:p>
    <w:p w14:paraId="5A01733A" w14:textId="486DF19D" w:rsidR="00950499" w:rsidRDefault="005541ED">
      <w:pPr>
        <w:pStyle w:val="20"/>
        <w:spacing w:before="0" w:after="0" w:line="520" w:lineRule="atLeast"/>
        <w:ind w:left="0" w:firstLineChars="200" w:firstLine="480"/>
        <w:rPr>
          <w:rFonts w:hAnsi="宋体"/>
          <w:szCs w:val="24"/>
        </w:rPr>
      </w:pPr>
      <w:r>
        <w:rPr>
          <w:rFonts w:hAnsi="宋体" w:hint="eastAsia"/>
          <w:szCs w:val="24"/>
        </w:rPr>
        <w:t>H＝E×</w:t>
      </w:r>
      <w:r w:rsidR="00C4381E">
        <w:rPr>
          <w:bCs/>
        </w:rPr>
        <w:t>0.40</w:t>
      </w:r>
      <w:r w:rsidR="00C4381E">
        <w:rPr>
          <w:rFonts w:hint="eastAsia"/>
          <w:bCs/>
        </w:rPr>
        <w:t>%</w:t>
      </w:r>
      <w:r>
        <w:rPr>
          <w:rFonts w:hAnsi="宋体" w:hint="eastAsia"/>
          <w:szCs w:val="24"/>
        </w:rPr>
        <w:t xml:space="preserve">÷当年天数 </w:t>
      </w:r>
    </w:p>
    <w:p w14:paraId="04AE4BB2" w14:textId="0D82D44F" w:rsidR="00950499" w:rsidRDefault="005541ED">
      <w:pPr>
        <w:pStyle w:val="20"/>
        <w:spacing w:before="0" w:after="0" w:line="520" w:lineRule="atLeast"/>
        <w:ind w:left="0" w:firstLineChars="200" w:firstLine="480"/>
        <w:rPr>
          <w:rFonts w:hAnsi="宋体"/>
          <w:szCs w:val="24"/>
        </w:rPr>
      </w:pPr>
      <w:r>
        <w:rPr>
          <w:rFonts w:hAnsi="宋体" w:hint="eastAsia"/>
          <w:szCs w:val="24"/>
        </w:rPr>
        <w:t>H为</w:t>
      </w:r>
      <w:r w:rsidR="00EA01C4">
        <w:rPr>
          <w:rFonts w:hAnsi="宋体" w:hint="eastAsia"/>
          <w:szCs w:val="24"/>
        </w:rPr>
        <w:t>C类</w:t>
      </w:r>
      <w:r>
        <w:rPr>
          <w:rFonts w:hAnsi="宋体" w:hint="eastAsia"/>
          <w:szCs w:val="24"/>
        </w:rPr>
        <w:t xml:space="preserve">基金份额每日应计提的销售服务费 </w:t>
      </w:r>
    </w:p>
    <w:p w14:paraId="2D9A940D" w14:textId="6EA46038" w:rsidR="00950499" w:rsidRDefault="005541ED">
      <w:pPr>
        <w:pStyle w:val="20"/>
        <w:spacing w:before="0" w:after="0" w:line="520" w:lineRule="atLeast"/>
        <w:ind w:left="0" w:firstLineChars="200" w:firstLine="480"/>
        <w:rPr>
          <w:rFonts w:hAnsi="宋体"/>
          <w:szCs w:val="24"/>
        </w:rPr>
      </w:pPr>
      <w:r>
        <w:rPr>
          <w:rFonts w:hAnsi="宋体" w:hint="eastAsia"/>
          <w:szCs w:val="24"/>
        </w:rPr>
        <w:t>E为</w:t>
      </w:r>
      <w:r w:rsidR="00EA01C4">
        <w:rPr>
          <w:rFonts w:hAnsi="宋体" w:hint="eastAsia"/>
          <w:szCs w:val="24"/>
        </w:rPr>
        <w:t>C类</w:t>
      </w:r>
      <w:r>
        <w:rPr>
          <w:rFonts w:hAnsi="宋体" w:hint="eastAsia"/>
          <w:szCs w:val="24"/>
        </w:rPr>
        <w:t xml:space="preserve">基金份额前一日基金资产净值 </w:t>
      </w:r>
    </w:p>
    <w:p w14:paraId="1E2E8CE5" w14:textId="0F4EE6CC" w:rsidR="00950499" w:rsidRDefault="00EA01C4">
      <w:pPr>
        <w:pStyle w:val="20"/>
        <w:spacing w:before="0" w:after="0" w:line="520" w:lineRule="atLeast"/>
        <w:ind w:left="0" w:firstLineChars="200" w:firstLine="480"/>
        <w:rPr>
          <w:rFonts w:hAnsi="宋体"/>
          <w:szCs w:val="24"/>
        </w:rPr>
      </w:pPr>
      <w:r w:rsidRPr="00EA01C4">
        <w:rPr>
          <w:rFonts w:hAnsi="宋体" w:hint="eastAsia"/>
          <w:szCs w:val="24"/>
        </w:rPr>
        <w:t>基金销售服务费每日计提，逐日累计至每月月末，按月支付，经基金管理人与基金托管人双方核对无误后，</w:t>
      </w:r>
      <w:r w:rsidR="00D431ED" w:rsidRPr="00D431ED">
        <w:rPr>
          <w:rFonts w:hint="eastAsia"/>
          <w:bCs/>
        </w:rPr>
        <w:t>基金托管人按照与基金管理人协商一致的方式于次月前5个工作日内从基金财产中一次性支付给基金管理人，基金管理人代收后支付给销售机构</w:t>
      </w:r>
      <w:r w:rsidRPr="00EA01C4">
        <w:rPr>
          <w:rFonts w:hAnsi="宋体" w:hint="eastAsia"/>
          <w:szCs w:val="24"/>
        </w:rPr>
        <w:t>。若遇法定节假日、公休假或不可抗力等，支付日期顺延</w:t>
      </w:r>
      <w:r w:rsidR="005541ED">
        <w:rPr>
          <w:rFonts w:hAnsi="宋体" w:hint="eastAsia"/>
          <w:szCs w:val="24"/>
        </w:rPr>
        <w:t>。</w:t>
      </w:r>
      <w:permEnd w:id="1716287391"/>
    </w:p>
    <w:p w14:paraId="7ADFDC51" w14:textId="526FFA07" w:rsidR="00950499" w:rsidRDefault="005541ED">
      <w:pPr>
        <w:pStyle w:val="20"/>
        <w:spacing w:before="0" w:after="0" w:line="520" w:lineRule="atLeast"/>
        <w:ind w:left="0" w:firstLineChars="200" w:firstLine="480"/>
        <w:rPr>
          <w:rFonts w:hAnsi="宋体"/>
          <w:szCs w:val="24"/>
        </w:rPr>
      </w:pPr>
      <w:r>
        <w:rPr>
          <w:rFonts w:hAnsi="宋体" w:hint="eastAsia"/>
          <w:szCs w:val="24"/>
        </w:rPr>
        <w:t>11.4为基金财产及基金运作所开立账户的开户和维护费</w:t>
      </w:r>
      <w:r w:rsidR="00EA01C4">
        <w:rPr>
          <w:rFonts w:hAnsi="宋体" w:hint="eastAsia"/>
          <w:szCs w:val="24"/>
        </w:rPr>
        <w:t>用</w:t>
      </w:r>
      <w:r>
        <w:rPr>
          <w:rFonts w:hAnsi="宋体" w:hint="eastAsia"/>
          <w:szCs w:val="24"/>
        </w:rPr>
        <w:t>、证券交易</w:t>
      </w:r>
      <w:r w:rsidR="00EA01C4">
        <w:rPr>
          <w:rFonts w:hAnsi="宋体" w:hint="eastAsia"/>
          <w:szCs w:val="24"/>
        </w:rPr>
        <w:t>结算</w:t>
      </w:r>
      <w:r>
        <w:rPr>
          <w:rFonts w:hAnsi="宋体" w:hint="eastAsia"/>
          <w:szCs w:val="24"/>
        </w:rPr>
        <w:t>费用、基金合同生效后与</w:t>
      </w:r>
      <w:r>
        <w:rPr>
          <w:rFonts w:hAnsi="宋体"/>
          <w:szCs w:val="24"/>
        </w:rPr>
        <w:t>基金相关</w:t>
      </w:r>
      <w:r>
        <w:rPr>
          <w:rFonts w:hAnsi="宋体" w:hint="eastAsia"/>
          <w:szCs w:val="24"/>
        </w:rPr>
        <w:t>的信息披露费用、基金份额持有人大会费用、基金合同生效后与基金相关的会计师费、律师费</w:t>
      </w:r>
      <w:r>
        <w:rPr>
          <w:rFonts w:hint="eastAsia"/>
          <w:bCs/>
        </w:rPr>
        <w:t>、仲裁费</w:t>
      </w:r>
      <w:r>
        <w:rPr>
          <w:bCs/>
        </w:rPr>
        <w:t>和诉讼费</w:t>
      </w:r>
      <w:r>
        <w:rPr>
          <w:rFonts w:hint="eastAsia"/>
          <w:bCs/>
        </w:rPr>
        <w:t>、</w:t>
      </w:r>
      <w:r>
        <w:rPr>
          <w:bCs/>
        </w:rPr>
        <w:t>基金的银行</w:t>
      </w:r>
      <w:r w:rsidR="00EA01C4">
        <w:rPr>
          <w:rFonts w:hint="eastAsia"/>
          <w:bCs/>
        </w:rPr>
        <w:t>汇划</w:t>
      </w:r>
      <w:r>
        <w:rPr>
          <w:bCs/>
        </w:rPr>
        <w:t>费用</w:t>
      </w:r>
      <w:r>
        <w:rPr>
          <w:rFonts w:asciiTheme="minorEastAsia" w:eastAsiaTheme="minorEastAsia" w:hAnsiTheme="minorEastAsia" w:hint="eastAsia"/>
          <w:bCs/>
          <w:szCs w:val="24"/>
        </w:rPr>
        <w:t>、</w:t>
      </w:r>
      <w:r w:rsidR="00EA01C4" w:rsidRPr="00EA01C4">
        <w:rPr>
          <w:rFonts w:asciiTheme="minorEastAsia" w:eastAsiaTheme="minorEastAsia" w:hAnsiTheme="minorEastAsia" w:hint="eastAsia"/>
          <w:bCs/>
          <w:szCs w:val="24"/>
        </w:rPr>
        <w:t>因投资港股通标的股票而产生的各项费用</w:t>
      </w:r>
      <w:r w:rsidR="00EA01C4">
        <w:rPr>
          <w:rFonts w:asciiTheme="minorEastAsia" w:eastAsiaTheme="minorEastAsia" w:hAnsiTheme="minorEastAsia" w:hint="eastAsia"/>
          <w:bCs/>
          <w:szCs w:val="24"/>
        </w:rPr>
        <w:t>、</w:t>
      </w:r>
      <w:r w:rsidR="00EA01C4" w:rsidRPr="00EA01C4">
        <w:rPr>
          <w:rFonts w:asciiTheme="minorEastAsia" w:eastAsiaTheme="minorEastAsia" w:hAnsiTheme="minorEastAsia" w:hint="eastAsia"/>
          <w:bCs/>
          <w:szCs w:val="24"/>
        </w:rPr>
        <w:t>基金投资其他基金产生的其他基金的销售费用</w:t>
      </w:r>
      <w:r w:rsidR="00EA01C4">
        <w:rPr>
          <w:rFonts w:asciiTheme="minorEastAsia" w:eastAsiaTheme="minorEastAsia" w:hAnsiTheme="minorEastAsia" w:hint="eastAsia"/>
          <w:bCs/>
          <w:szCs w:val="24"/>
        </w:rPr>
        <w:t>（</w:t>
      </w:r>
      <w:r w:rsidR="00EA01C4" w:rsidRPr="00EA01C4">
        <w:rPr>
          <w:rFonts w:asciiTheme="minorEastAsia" w:eastAsiaTheme="minorEastAsia" w:hAnsiTheme="minorEastAsia" w:hint="eastAsia"/>
          <w:bCs/>
          <w:szCs w:val="24"/>
        </w:rPr>
        <w:t>但法律法规禁止从基金财产中列支的除外</w:t>
      </w:r>
      <w:r w:rsidR="00EA01C4">
        <w:rPr>
          <w:rFonts w:asciiTheme="minorEastAsia" w:eastAsiaTheme="minorEastAsia" w:hAnsiTheme="minorEastAsia" w:hint="eastAsia"/>
          <w:bCs/>
          <w:szCs w:val="24"/>
        </w:rPr>
        <w:t>）</w:t>
      </w:r>
      <w:r>
        <w:rPr>
          <w:rFonts w:hAnsi="宋体" w:hint="eastAsia"/>
          <w:szCs w:val="24"/>
        </w:rPr>
        <w:t>等根据有关法律法规、基金合同及相应协议的规定，由基金托管人按基金管理人的划款指令并根据费用实际支出金额支付，列入或摊入当期基金费用。</w:t>
      </w:r>
    </w:p>
    <w:p w14:paraId="7914194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5</w:t>
      </w:r>
      <w:r>
        <w:rPr>
          <w:rFonts w:hAnsi="宋体" w:hint="eastAsia"/>
          <w:szCs w:val="24"/>
        </w:rPr>
        <w:t>不列入基金费用的项目</w:t>
      </w:r>
    </w:p>
    <w:p w14:paraId="131B347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15B90B42" w14:textId="2CD7C8A5" w:rsidR="00950499" w:rsidRDefault="005541ED">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6</w:t>
      </w:r>
      <w:r>
        <w:rPr>
          <w:rFonts w:hAnsi="宋体" w:hint="eastAsia"/>
          <w:szCs w:val="24"/>
        </w:rPr>
        <w:t>基金管理费</w:t>
      </w:r>
      <w:r w:rsidR="00EA01C4">
        <w:rPr>
          <w:rFonts w:hAnsi="宋体" w:hint="eastAsia"/>
          <w:szCs w:val="24"/>
        </w:rPr>
        <w:t>、</w:t>
      </w:r>
      <w:r>
        <w:rPr>
          <w:rFonts w:hAnsi="宋体" w:hint="eastAsia"/>
          <w:szCs w:val="24"/>
        </w:rPr>
        <w:t>基金托管费</w:t>
      </w:r>
      <w:r w:rsidR="00EA01C4">
        <w:rPr>
          <w:rFonts w:hAnsi="宋体" w:hint="eastAsia"/>
          <w:szCs w:val="24"/>
        </w:rPr>
        <w:t>和C类基金份额的销售服务费</w:t>
      </w:r>
      <w:r>
        <w:rPr>
          <w:rFonts w:hAnsi="宋体" w:hint="eastAsia"/>
          <w:szCs w:val="24"/>
        </w:rPr>
        <w:t>的调整</w:t>
      </w:r>
    </w:p>
    <w:p w14:paraId="76F19BC5" w14:textId="6D391D35" w:rsidR="00950499" w:rsidRDefault="005541ED">
      <w:pPr>
        <w:spacing w:line="520" w:lineRule="atLeast"/>
        <w:ind w:firstLineChars="200" w:firstLine="480"/>
        <w:rPr>
          <w:bCs/>
          <w:sz w:val="24"/>
        </w:rPr>
      </w:pPr>
      <w:r>
        <w:rPr>
          <w:rFonts w:hint="eastAsia"/>
          <w:bCs/>
          <w:sz w:val="24"/>
        </w:rPr>
        <w:t>在不对基金份额持有人权益产生实质性不利影响的情况下，基金管理人和基金托管人协商一致且在履行适当程序后，可按照基金发展情况，并根据法律法规规定和基金合同约定酌情调整基金管理费率、基金托管费率</w:t>
      </w:r>
      <w:r w:rsidR="00EA01C4">
        <w:rPr>
          <w:rFonts w:hint="eastAsia"/>
          <w:bCs/>
          <w:sz w:val="24"/>
        </w:rPr>
        <w:t>、调低销售服务费率</w:t>
      </w:r>
      <w:r>
        <w:rPr>
          <w:rFonts w:hint="eastAsia"/>
          <w:bCs/>
          <w:sz w:val="24"/>
        </w:rPr>
        <w:t>等。</w:t>
      </w:r>
    </w:p>
    <w:p w14:paraId="2DF1C8A2" w14:textId="43226E18" w:rsidR="00950499" w:rsidRDefault="005541ED">
      <w:pPr>
        <w:spacing w:line="520" w:lineRule="atLeast"/>
        <w:ind w:firstLineChars="200" w:firstLine="480"/>
        <w:rPr>
          <w:bCs/>
          <w:sz w:val="24"/>
        </w:rPr>
      </w:pPr>
      <w:r>
        <w:rPr>
          <w:rFonts w:hint="eastAsia"/>
          <w:bCs/>
          <w:sz w:val="24"/>
        </w:rPr>
        <w:lastRenderedPageBreak/>
        <w:t>基金管理人必须于新的费率实施日前依照</w:t>
      </w:r>
      <w:r>
        <w:rPr>
          <w:bCs/>
          <w:sz w:val="24"/>
        </w:rPr>
        <w:t>《</w:t>
      </w:r>
      <w:r>
        <w:rPr>
          <w:rFonts w:hint="eastAsia"/>
          <w:bCs/>
          <w:sz w:val="24"/>
        </w:rPr>
        <w:t>信息</w:t>
      </w:r>
      <w:r>
        <w:rPr>
          <w:bCs/>
          <w:sz w:val="24"/>
        </w:rPr>
        <w:t>披露办法》</w:t>
      </w:r>
      <w:r>
        <w:rPr>
          <w:rFonts w:hint="eastAsia"/>
          <w:bCs/>
          <w:sz w:val="24"/>
        </w:rPr>
        <w:t>的</w:t>
      </w:r>
      <w:r>
        <w:rPr>
          <w:bCs/>
          <w:sz w:val="24"/>
        </w:rPr>
        <w:t>规定</w:t>
      </w:r>
      <w:r>
        <w:rPr>
          <w:rFonts w:hint="eastAsia"/>
          <w:bCs/>
          <w:sz w:val="24"/>
        </w:rPr>
        <w:t>在</w:t>
      </w:r>
      <w:r w:rsidR="00903541">
        <w:rPr>
          <w:rFonts w:hint="eastAsia"/>
          <w:bCs/>
          <w:sz w:val="24"/>
        </w:rPr>
        <w:t>规定</w:t>
      </w:r>
      <w:r>
        <w:rPr>
          <w:rFonts w:hint="eastAsia"/>
          <w:bCs/>
          <w:sz w:val="24"/>
        </w:rPr>
        <w:t>媒介上公告。</w:t>
      </w:r>
    </w:p>
    <w:p w14:paraId="2FAAB04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7</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4238EA22" w14:textId="77777777" w:rsidR="00950499" w:rsidRDefault="005541ED">
      <w:pPr>
        <w:pStyle w:val="1"/>
        <w:spacing w:line="520" w:lineRule="atLeast"/>
        <w:ind w:firstLineChars="200" w:firstLine="482"/>
        <w:rPr>
          <w:bCs/>
          <w:color w:val="auto"/>
          <w:szCs w:val="24"/>
        </w:rPr>
      </w:pPr>
      <w:bookmarkStart w:id="40" w:name="_Toc296551348"/>
      <w:bookmarkStart w:id="41" w:name="_Toc44321735"/>
      <w:r>
        <w:rPr>
          <w:rFonts w:hint="eastAsia"/>
          <w:bCs/>
          <w:color w:val="auto"/>
          <w:szCs w:val="24"/>
        </w:rPr>
        <w:t>第十二条 基金份额持有人名册的保管</w:t>
      </w:r>
      <w:bookmarkEnd w:id="40"/>
      <w:bookmarkEnd w:id="41"/>
    </w:p>
    <w:p w14:paraId="1C7AF47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12.1基金管理人和基金托管人须分别妥善保管基金份额持有人名册，基金份额持有人名册的内容必须包括基金份额持有人的名称和持有的基金份额。</w:t>
      </w:r>
    </w:p>
    <w:p w14:paraId="34024CF5" w14:textId="54E5B9FF" w:rsidR="00950499" w:rsidRDefault="005541ED">
      <w:pPr>
        <w:pStyle w:val="20"/>
        <w:spacing w:before="0" w:after="0" w:line="520" w:lineRule="atLeas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w:t>
      </w:r>
      <w:r w:rsidR="00EA01C4">
        <w:rPr>
          <w:rFonts w:hAnsi="宋体" w:hint="eastAsia"/>
          <w:szCs w:val="24"/>
        </w:rPr>
        <w:t>不低于法律法规规定的期限</w:t>
      </w:r>
      <w:r>
        <w:rPr>
          <w:rFonts w:hAnsi="宋体" w:hint="eastAsia"/>
          <w:szCs w:val="24"/>
        </w:rPr>
        <w:t>。</w:t>
      </w:r>
    </w:p>
    <w:p w14:paraId="574F1BE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12.</w:t>
      </w:r>
      <w:r>
        <w:rPr>
          <w:rFonts w:hAnsi="宋体"/>
          <w:szCs w:val="24"/>
        </w:rPr>
        <w:t>3</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p>
    <w:p w14:paraId="10EE895F" w14:textId="77777777" w:rsidR="00950499" w:rsidRDefault="005541ED">
      <w:pPr>
        <w:pStyle w:val="1"/>
        <w:spacing w:line="520" w:lineRule="atLeast"/>
        <w:ind w:firstLineChars="200" w:firstLine="482"/>
        <w:rPr>
          <w:bCs/>
          <w:color w:val="auto"/>
          <w:szCs w:val="24"/>
        </w:rPr>
      </w:pPr>
      <w:bookmarkStart w:id="42" w:name="_Toc296551349"/>
      <w:bookmarkStart w:id="43" w:name="_Toc44321736"/>
      <w:r>
        <w:rPr>
          <w:rFonts w:hint="eastAsia"/>
          <w:bCs/>
          <w:color w:val="auto"/>
          <w:szCs w:val="24"/>
        </w:rPr>
        <w:t>第十三条 基金有关文件和档案的保存</w:t>
      </w:r>
      <w:bookmarkEnd w:id="42"/>
      <w:bookmarkEnd w:id="43"/>
    </w:p>
    <w:p w14:paraId="2A18BF2E" w14:textId="2A7F98F6" w:rsidR="00950499" w:rsidRDefault="005541ED">
      <w:pPr>
        <w:pStyle w:val="20"/>
        <w:spacing w:before="0" w:after="0" w:line="520" w:lineRule="atLeas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w:t>
      </w:r>
      <w:r w:rsidR="00EA01C4">
        <w:rPr>
          <w:rFonts w:hAnsi="宋体" w:hint="eastAsia"/>
          <w:szCs w:val="24"/>
        </w:rPr>
        <w:t>不低于法律法规规定的最低期限</w:t>
      </w:r>
      <w:r>
        <w:rPr>
          <w:rFonts w:hAnsi="宋体" w:hint="eastAsia"/>
          <w:szCs w:val="24"/>
        </w:rPr>
        <w:t>，对相关信息负有保密义务，但</w:t>
      </w:r>
      <w:r>
        <w:rPr>
          <w:rFonts w:asciiTheme="minorEastAsia" w:eastAsiaTheme="minorEastAsia" w:hAnsiTheme="minorEastAsia" w:hint="eastAsia"/>
          <w:szCs w:val="24"/>
        </w:rPr>
        <w:t>本协议另有约定或</w:t>
      </w:r>
      <w:r>
        <w:rPr>
          <w:rFonts w:hAnsi="宋体" w:hint="eastAsia"/>
          <w:szCs w:val="24"/>
        </w:rPr>
        <w:t>根据有关法律法规规定或有权机关要求披露的除外。其中，基金管理人应保存基金财产管理业务活动的记录、账册、报表和其他相关资料，基金托管人应保存基金托管业务活动的记录、账册、报表和其他相关资料。</w:t>
      </w:r>
    </w:p>
    <w:p w14:paraId="126B0DF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3004B1A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13.3基金管理人或基金托管人变更后，未变更的一方有义务协助接任人接受基金的有关文件。</w:t>
      </w:r>
    </w:p>
    <w:p w14:paraId="3F20081E" w14:textId="77777777" w:rsidR="00950499" w:rsidRDefault="005541ED">
      <w:pPr>
        <w:pStyle w:val="1"/>
        <w:spacing w:line="520" w:lineRule="atLeast"/>
        <w:ind w:firstLineChars="200" w:firstLine="482"/>
        <w:rPr>
          <w:bCs/>
          <w:color w:val="auto"/>
          <w:szCs w:val="24"/>
        </w:rPr>
      </w:pPr>
      <w:bookmarkStart w:id="44" w:name="_Toc296551350"/>
      <w:bookmarkStart w:id="45" w:name="_Toc44321737"/>
      <w:r>
        <w:rPr>
          <w:rFonts w:hint="eastAsia"/>
          <w:bCs/>
          <w:color w:val="auto"/>
          <w:szCs w:val="24"/>
        </w:rPr>
        <w:t>第十四条 基金管理人和基金托管人的更换</w:t>
      </w:r>
      <w:bookmarkEnd w:id="44"/>
      <w:bookmarkEnd w:id="45"/>
    </w:p>
    <w:p w14:paraId="4AE4466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14.1基金管理人的更换</w:t>
      </w:r>
    </w:p>
    <w:p w14:paraId="326EDA8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lastRenderedPageBreak/>
        <w:t>14.1.1基金管理人的更换条件</w:t>
      </w:r>
    </w:p>
    <w:p w14:paraId="61C159F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有下列情形之一的，基金管理人职责终止：</w:t>
      </w:r>
    </w:p>
    <w:p w14:paraId="51A4F6B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（1）基金管理人被依法取消基金管理资格；</w:t>
      </w:r>
    </w:p>
    <w:p w14:paraId="4099240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（2）基金管理人依法解散、被依法撤销或者被依法宣告破产；</w:t>
      </w:r>
    </w:p>
    <w:p w14:paraId="4E088CD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（3）基金管理人被基金份额持有人大会解任；</w:t>
      </w:r>
    </w:p>
    <w:p w14:paraId="3910F67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5ACB261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14.1.2基金管理人的更换程序</w:t>
      </w:r>
    </w:p>
    <w:p w14:paraId="3E802BE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更换基金管理人必须依照如下程序进行：</w:t>
      </w:r>
    </w:p>
    <w:p w14:paraId="5621DD17" w14:textId="61BB0F15" w:rsidR="00950499" w:rsidRDefault="005541ED">
      <w:pPr>
        <w:pStyle w:val="20"/>
        <w:spacing w:before="0" w:after="0" w:line="520" w:lineRule="atLeast"/>
        <w:ind w:left="0" w:firstLineChars="200" w:firstLine="480"/>
        <w:rPr>
          <w:rFonts w:hAnsi="宋体"/>
          <w:szCs w:val="24"/>
        </w:rPr>
      </w:pPr>
      <w:permStart w:id="85477076" w:edGrp="everyone"/>
      <w:r>
        <w:rPr>
          <w:rFonts w:hAnsi="宋体" w:hint="eastAsia"/>
          <w:szCs w:val="24"/>
        </w:rPr>
        <w:t>（1）提名：</w:t>
      </w:r>
      <w:proofErr w:type="gramStart"/>
      <w:r w:rsidR="00C4381E">
        <w:rPr>
          <w:bCs/>
        </w:rPr>
        <w:t>新任基金</w:t>
      </w:r>
      <w:proofErr w:type="gramEnd"/>
      <w:r w:rsidR="00C4381E">
        <w:rPr>
          <w:bCs/>
        </w:rPr>
        <w:t>管理人由基金托管人或由单独或合计持有</w:t>
      </w:r>
      <w:r w:rsidR="00C4381E">
        <w:rPr>
          <w:rFonts w:hint="eastAsia"/>
          <w:bCs/>
        </w:rPr>
        <w:t>10%</w:t>
      </w:r>
      <w:r w:rsidR="00C4381E">
        <w:rPr>
          <w:bCs/>
        </w:rPr>
        <w:t>以上（含</w:t>
      </w:r>
      <w:r w:rsidR="00C4381E">
        <w:rPr>
          <w:rFonts w:hint="eastAsia"/>
          <w:bCs/>
        </w:rPr>
        <w:t>10%</w:t>
      </w:r>
      <w:r w:rsidR="00C4381E">
        <w:rPr>
          <w:bCs/>
        </w:rPr>
        <w:t>）基金份额的基金份额持有人提名</w:t>
      </w:r>
      <w:r>
        <w:rPr>
          <w:rFonts w:hAnsi="宋体" w:hint="eastAsia"/>
          <w:szCs w:val="24"/>
        </w:rPr>
        <w:t>；</w:t>
      </w:r>
    </w:p>
    <w:p w14:paraId="6C2BABD2" w14:textId="782EEF36" w:rsidR="00950499" w:rsidRDefault="005541ED">
      <w:pPr>
        <w:pStyle w:val="20"/>
        <w:spacing w:before="0" w:after="0" w:line="520" w:lineRule="atLeast"/>
        <w:ind w:left="0" w:firstLineChars="200" w:firstLine="480"/>
        <w:rPr>
          <w:rFonts w:hAnsi="宋体"/>
          <w:szCs w:val="24"/>
        </w:rPr>
      </w:pPr>
      <w:r>
        <w:rPr>
          <w:rFonts w:hAnsi="宋体" w:hint="eastAsia"/>
          <w:szCs w:val="24"/>
        </w:rPr>
        <w:t>（2）决议：</w:t>
      </w:r>
      <w:r w:rsidR="00C4381E">
        <w:rPr>
          <w:bCs/>
        </w:rPr>
        <w:t>基金份额持有人大会在基金管理人职责终止后</w:t>
      </w:r>
      <w:r w:rsidR="00C4381E">
        <w:rPr>
          <w:rFonts w:hint="eastAsia"/>
          <w:bCs/>
        </w:rPr>
        <w:t>6</w:t>
      </w:r>
      <w:r w:rsidR="00C4381E">
        <w:rPr>
          <w:bCs/>
        </w:rPr>
        <w:t>个月内对被提名的基金管理人形成决议，该决议需经参加大会的基金份额持有人所持表决权的</w:t>
      </w:r>
      <w:r w:rsidR="00C4381E">
        <w:rPr>
          <w:rFonts w:hint="eastAsia"/>
          <w:bCs/>
        </w:rPr>
        <w:t>三分之二</w:t>
      </w:r>
      <w:r w:rsidR="00C4381E">
        <w:rPr>
          <w:bCs/>
        </w:rPr>
        <w:t>以上（含</w:t>
      </w:r>
      <w:r w:rsidR="00C4381E">
        <w:rPr>
          <w:rFonts w:hint="eastAsia"/>
          <w:bCs/>
        </w:rPr>
        <w:t>三分之二</w:t>
      </w:r>
      <w:r w:rsidR="00C4381E">
        <w:rPr>
          <w:bCs/>
        </w:rPr>
        <w:t>）表决通过，</w:t>
      </w:r>
      <w:r w:rsidR="00C4381E">
        <w:rPr>
          <w:rFonts w:hint="eastAsia"/>
          <w:bCs/>
        </w:rPr>
        <w:t>决议</w:t>
      </w:r>
      <w:r w:rsidR="00C4381E">
        <w:rPr>
          <w:bCs/>
        </w:rPr>
        <w:t>自表决通过之日起生效</w:t>
      </w:r>
      <w:r>
        <w:rPr>
          <w:rFonts w:hAnsi="宋体" w:hint="eastAsia"/>
          <w:szCs w:val="24"/>
        </w:rPr>
        <w:t>；</w:t>
      </w:r>
    </w:p>
    <w:p w14:paraId="626B89C7" w14:textId="3B9BDC22" w:rsidR="00950499" w:rsidRDefault="005541ED">
      <w:pPr>
        <w:pStyle w:val="20"/>
        <w:spacing w:before="0" w:after="0" w:line="520" w:lineRule="atLeast"/>
        <w:ind w:left="0" w:firstLineChars="200" w:firstLine="480"/>
        <w:rPr>
          <w:rFonts w:hAnsi="宋体"/>
          <w:szCs w:val="24"/>
        </w:rPr>
      </w:pPr>
      <w:r>
        <w:rPr>
          <w:rFonts w:hAnsi="宋体" w:hint="eastAsia"/>
          <w:szCs w:val="24"/>
        </w:rPr>
        <w:t>（3）临时基金管理人：</w:t>
      </w:r>
      <w:proofErr w:type="gramStart"/>
      <w:r w:rsidR="00C4381E">
        <w:rPr>
          <w:bCs/>
        </w:rPr>
        <w:t>新任基金</w:t>
      </w:r>
      <w:proofErr w:type="gramEnd"/>
      <w:r w:rsidR="00C4381E">
        <w:rPr>
          <w:bCs/>
        </w:rPr>
        <w:t>管理人产生之前，由中国证监会</w:t>
      </w:r>
      <w:r w:rsidR="00903541">
        <w:rPr>
          <w:bCs/>
        </w:rPr>
        <w:t>规定</w:t>
      </w:r>
      <w:r w:rsidR="00C4381E">
        <w:rPr>
          <w:bCs/>
        </w:rPr>
        <w:t>临时基金管理人</w:t>
      </w:r>
      <w:r>
        <w:rPr>
          <w:rFonts w:hAnsi="宋体" w:hint="eastAsia"/>
          <w:szCs w:val="24"/>
        </w:rPr>
        <w:t>；</w:t>
      </w:r>
    </w:p>
    <w:p w14:paraId="5291861C" w14:textId="6558E562" w:rsidR="00950499" w:rsidRDefault="005541ED">
      <w:pPr>
        <w:pStyle w:val="20"/>
        <w:spacing w:before="0" w:after="0" w:line="520" w:lineRule="atLeast"/>
        <w:ind w:left="0" w:firstLineChars="200" w:firstLine="480"/>
        <w:rPr>
          <w:rFonts w:hAnsi="宋体"/>
          <w:szCs w:val="24"/>
        </w:rPr>
      </w:pPr>
      <w:r>
        <w:rPr>
          <w:rFonts w:hAnsi="宋体" w:hint="eastAsia"/>
          <w:szCs w:val="24"/>
        </w:rPr>
        <w:t>（4）备案：</w:t>
      </w:r>
      <w:r w:rsidR="00C4381E">
        <w:rPr>
          <w:bCs/>
        </w:rPr>
        <w:t>基金份额持有人大会</w:t>
      </w:r>
      <w:r w:rsidR="00C4381E">
        <w:rPr>
          <w:rFonts w:hint="eastAsia"/>
          <w:bCs/>
        </w:rPr>
        <w:t>更换</w:t>
      </w:r>
      <w:r w:rsidR="00C4381E">
        <w:rPr>
          <w:bCs/>
        </w:rPr>
        <w:t>基金管理人的决议须</w:t>
      </w:r>
      <w:r w:rsidR="00C4381E">
        <w:rPr>
          <w:rFonts w:hint="eastAsia"/>
          <w:bCs/>
        </w:rPr>
        <w:t>报</w:t>
      </w:r>
      <w:r w:rsidR="00C4381E">
        <w:rPr>
          <w:bCs/>
        </w:rPr>
        <w:t>中国证监会</w:t>
      </w:r>
      <w:r w:rsidR="00C4381E">
        <w:rPr>
          <w:rFonts w:hint="eastAsia"/>
          <w:bCs/>
        </w:rPr>
        <w:t>备案</w:t>
      </w:r>
      <w:r>
        <w:rPr>
          <w:rFonts w:hAnsi="宋体" w:hint="eastAsia"/>
          <w:szCs w:val="24"/>
        </w:rPr>
        <w:t xml:space="preserve">；  </w:t>
      </w:r>
    </w:p>
    <w:p w14:paraId="33D2D2D0" w14:textId="7AB7983D" w:rsidR="00950499" w:rsidRDefault="005541ED">
      <w:pPr>
        <w:pStyle w:val="20"/>
        <w:spacing w:before="0" w:after="0" w:line="520" w:lineRule="atLeast"/>
        <w:ind w:left="0"/>
        <w:rPr>
          <w:rFonts w:hAnsi="宋体"/>
          <w:szCs w:val="24"/>
        </w:rPr>
      </w:pPr>
      <w:r>
        <w:rPr>
          <w:rFonts w:hint="eastAsia"/>
          <w:bCs/>
        </w:rPr>
        <w:t xml:space="preserve">  </w:t>
      </w:r>
      <w:r>
        <w:rPr>
          <w:bCs/>
        </w:rPr>
        <w:t xml:space="preserve">  </w:t>
      </w:r>
      <w:r>
        <w:rPr>
          <w:rFonts w:hAnsi="宋体" w:hint="eastAsia"/>
          <w:szCs w:val="24"/>
        </w:rPr>
        <w:t>（5）公告：</w:t>
      </w:r>
      <w:r w:rsidR="00C4381E">
        <w:rPr>
          <w:bCs/>
        </w:rPr>
        <w:t>基金管理人更换后，由基金托管人在更换基金管理人的基金份额持有人大会决议生效后</w:t>
      </w:r>
      <w:r w:rsidR="00C4381E">
        <w:rPr>
          <w:rFonts w:hint="eastAsia"/>
          <w:bCs/>
        </w:rPr>
        <w:t>2日</w:t>
      </w:r>
      <w:r w:rsidR="00C4381E">
        <w:rPr>
          <w:bCs/>
        </w:rPr>
        <w:t>内在</w:t>
      </w:r>
      <w:r w:rsidR="00C4381E">
        <w:rPr>
          <w:rFonts w:hint="eastAsia"/>
          <w:bCs/>
        </w:rPr>
        <w:t>规定媒介</w:t>
      </w:r>
      <w:r w:rsidR="00C4381E">
        <w:rPr>
          <w:bCs/>
        </w:rPr>
        <w:t>公告</w:t>
      </w:r>
      <w:r>
        <w:rPr>
          <w:rFonts w:hAnsi="宋体" w:hint="eastAsia"/>
          <w:szCs w:val="24"/>
        </w:rPr>
        <w:t>；</w:t>
      </w:r>
    </w:p>
    <w:p w14:paraId="39EE4BF5" w14:textId="12D02559" w:rsidR="00950499" w:rsidRDefault="005541ED">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）交接：</w:t>
      </w:r>
      <w:r w:rsidR="00C4381E">
        <w:rPr>
          <w:bCs/>
        </w:rPr>
        <w:t>基金管理人职责终止的，基金管理人应妥善保管基金管理业务资料，及时向临时基金管理人或</w:t>
      </w:r>
      <w:proofErr w:type="gramStart"/>
      <w:r w:rsidR="00C4381E">
        <w:rPr>
          <w:bCs/>
        </w:rPr>
        <w:t>新任基金</w:t>
      </w:r>
      <w:proofErr w:type="gramEnd"/>
      <w:r w:rsidR="00C4381E">
        <w:rPr>
          <w:bCs/>
        </w:rPr>
        <w:t>管理人办理基金管理业务的移交手续，临时基金管理人或</w:t>
      </w:r>
      <w:proofErr w:type="gramStart"/>
      <w:r w:rsidR="00C4381E">
        <w:rPr>
          <w:bCs/>
        </w:rPr>
        <w:t>新任基金</w:t>
      </w:r>
      <w:proofErr w:type="gramEnd"/>
      <w:r w:rsidR="00C4381E">
        <w:rPr>
          <w:bCs/>
        </w:rPr>
        <w:t>管理人应及时接收。</w:t>
      </w:r>
      <w:proofErr w:type="gramStart"/>
      <w:r w:rsidR="00C4381E">
        <w:rPr>
          <w:bCs/>
        </w:rPr>
        <w:t>新任基金</w:t>
      </w:r>
      <w:proofErr w:type="gramEnd"/>
      <w:r w:rsidR="00C4381E">
        <w:rPr>
          <w:bCs/>
        </w:rPr>
        <w:t>管理人</w:t>
      </w:r>
      <w:r w:rsidR="00C4381E">
        <w:rPr>
          <w:rFonts w:hint="eastAsia"/>
          <w:bCs/>
        </w:rPr>
        <w:t>或</w:t>
      </w:r>
      <w:r w:rsidR="00C4381E">
        <w:rPr>
          <w:bCs/>
        </w:rPr>
        <w:t>临时基金管理人应与基金托管人核对基金资产总值和净值</w:t>
      </w:r>
      <w:r>
        <w:rPr>
          <w:rFonts w:hAnsi="宋体" w:hint="eastAsia"/>
          <w:szCs w:val="24"/>
        </w:rPr>
        <w:t>；</w:t>
      </w:r>
    </w:p>
    <w:p w14:paraId="05E4BA0B" w14:textId="56357F61" w:rsidR="00950499" w:rsidRDefault="005541ED">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7</w:t>
      </w:r>
      <w:r>
        <w:rPr>
          <w:rFonts w:hAnsi="宋体" w:hint="eastAsia"/>
          <w:szCs w:val="24"/>
        </w:rPr>
        <w:t>）审计：</w:t>
      </w:r>
      <w:r w:rsidR="00C4381E">
        <w:rPr>
          <w:bCs/>
        </w:rPr>
        <w:t>基金管理人职责终止的，应当按照法律法规规定聘请会计师事务所对基金财产进行审计，并将审计结果予以公告，同时报中国证监会备案</w:t>
      </w:r>
      <w:r w:rsidR="00C4381E">
        <w:rPr>
          <w:rFonts w:hint="eastAsia"/>
          <w:bCs/>
        </w:rPr>
        <w:t>。审计费用从基金财产中列支</w:t>
      </w:r>
      <w:r>
        <w:rPr>
          <w:rFonts w:hAnsi="宋体" w:hint="eastAsia"/>
          <w:szCs w:val="24"/>
        </w:rPr>
        <w:t>；</w:t>
      </w:r>
    </w:p>
    <w:p w14:paraId="32C1E8C7" w14:textId="5D6480FB" w:rsidR="00950499" w:rsidRDefault="005541ED">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8</w:t>
      </w:r>
      <w:r>
        <w:rPr>
          <w:rFonts w:hAnsi="宋体" w:hint="eastAsia"/>
          <w:szCs w:val="24"/>
        </w:rPr>
        <w:t>）基金名称变更：</w:t>
      </w:r>
      <w:r w:rsidR="00C4381E">
        <w:rPr>
          <w:bCs/>
        </w:rPr>
        <w:t>基金管理人更换后，如果原任或</w:t>
      </w:r>
      <w:proofErr w:type="gramStart"/>
      <w:r w:rsidR="00C4381E">
        <w:rPr>
          <w:bCs/>
        </w:rPr>
        <w:t>新任基金</w:t>
      </w:r>
      <w:proofErr w:type="gramEnd"/>
      <w:r w:rsidR="00C4381E">
        <w:rPr>
          <w:bCs/>
        </w:rPr>
        <w:t>管理人要求，应按其要求替换或删除基金名称中与</w:t>
      </w:r>
      <w:proofErr w:type="gramStart"/>
      <w:r w:rsidR="00C4381E">
        <w:rPr>
          <w:bCs/>
        </w:rPr>
        <w:t>原基金</w:t>
      </w:r>
      <w:proofErr w:type="gramEnd"/>
      <w:r w:rsidR="00C4381E">
        <w:rPr>
          <w:bCs/>
        </w:rPr>
        <w:t>管理人有关的名称字样</w:t>
      </w:r>
      <w:r>
        <w:rPr>
          <w:rFonts w:hAnsi="宋体" w:hint="eastAsia"/>
          <w:szCs w:val="24"/>
        </w:rPr>
        <w:t>。</w:t>
      </w:r>
      <w:permEnd w:id="85477076"/>
    </w:p>
    <w:p w14:paraId="540BD74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14.2基金托管人的更换</w:t>
      </w:r>
    </w:p>
    <w:p w14:paraId="654EDFD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lastRenderedPageBreak/>
        <w:t>14.2.1基金托管人的更换条件</w:t>
      </w:r>
    </w:p>
    <w:p w14:paraId="1DED15A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有下列情形之一的，基金托管人职责终止：</w:t>
      </w:r>
    </w:p>
    <w:p w14:paraId="2B64F23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（1）基金托管人被依法取消基金托管资格；</w:t>
      </w:r>
    </w:p>
    <w:p w14:paraId="5AAC676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（2）基金托管人依法解散、被依法撤销或者被依法宣布破产；</w:t>
      </w:r>
    </w:p>
    <w:p w14:paraId="2307518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（3）基金托管人被基金份额持有人大会解任；</w:t>
      </w:r>
    </w:p>
    <w:p w14:paraId="6ACE841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0FAEA2C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14.2.2基金托管人的更换程序</w:t>
      </w:r>
    </w:p>
    <w:p w14:paraId="39A865B8" w14:textId="321189D3" w:rsidR="00950499" w:rsidRDefault="005541ED">
      <w:pPr>
        <w:pStyle w:val="20"/>
        <w:spacing w:before="0" w:after="0" w:line="520" w:lineRule="atLeast"/>
        <w:ind w:left="0" w:firstLineChars="200" w:firstLine="480"/>
        <w:rPr>
          <w:rFonts w:hAnsi="宋体"/>
          <w:szCs w:val="24"/>
        </w:rPr>
      </w:pPr>
      <w:permStart w:id="447093615" w:edGrp="everyone"/>
      <w:r>
        <w:rPr>
          <w:rFonts w:hAnsi="宋体" w:hint="eastAsia"/>
          <w:szCs w:val="24"/>
        </w:rPr>
        <w:t>（1）提名：</w:t>
      </w:r>
      <w:proofErr w:type="gramStart"/>
      <w:r w:rsidR="00A10F8A">
        <w:rPr>
          <w:bCs/>
        </w:rPr>
        <w:t>新任基金</w:t>
      </w:r>
      <w:proofErr w:type="gramEnd"/>
      <w:r w:rsidR="00A10F8A">
        <w:rPr>
          <w:bCs/>
        </w:rPr>
        <w:t>托管人由基金管理人或由单独或合计持有</w:t>
      </w:r>
      <w:r w:rsidR="00A10F8A">
        <w:rPr>
          <w:rFonts w:hint="eastAsia"/>
          <w:bCs/>
        </w:rPr>
        <w:t>10%</w:t>
      </w:r>
      <w:r w:rsidR="00A10F8A">
        <w:rPr>
          <w:bCs/>
        </w:rPr>
        <w:t>以上（含</w:t>
      </w:r>
      <w:r w:rsidR="00A10F8A">
        <w:rPr>
          <w:rFonts w:hint="eastAsia"/>
          <w:bCs/>
        </w:rPr>
        <w:t>10%</w:t>
      </w:r>
      <w:r w:rsidR="00A10F8A">
        <w:rPr>
          <w:bCs/>
        </w:rPr>
        <w:t>）基金份额的基金</w:t>
      </w:r>
      <w:r w:rsidR="00A10F8A">
        <w:rPr>
          <w:rFonts w:hint="eastAsia"/>
          <w:bCs/>
        </w:rPr>
        <w:t>份额</w:t>
      </w:r>
      <w:r w:rsidR="00A10F8A">
        <w:rPr>
          <w:bCs/>
        </w:rPr>
        <w:t>持有人提名</w:t>
      </w:r>
      <w:r>
        <w:rPr>
          <w:rFonts w:hAnsi="宋体" w:hint="eastAsia"/>
          <w:szCs w:val="24"/>
        </w:rPr>
        <w:t>；</w:t>
      </w:r>
    </w:p>
    <w:p w14:paraId="0C53161E" w14:textId="6C512B21" w:rsidR="00950499" w:rsidRDefault="005541ED">
      <w:pPr>
        <w:pStyle w:val="20"/>
        <w:spacing w:before="0" w:after="0" w:line="520" w:lineRule="atLeast"/>
        <w:ind w:left="0" w:firstLineChars="200" w:firstLine="480"/>
        <w:rPr>
          <w:rFonts w:hAnsi="宋体"/>
          <w:szCs w:val="24"/>
        </w:rPr>
      </w:pPr>
      <w:r>
        <w:rPr>
          <w:rFonts w:hAnsi="宋体" w:hint="eastAsia"/>
          <w:szCs w:val="24"/>
        </w:rPr>
        <w:t>（2）决议：</w:t>
      </w:r>
      <w:r w:rsidR="00A10F8A">
        <w:rPr>
          <w:bCs/>
        </w:rPr>
        <w:t>基金份额持有人大会在基金托管人职责终止后</w:t>
      </w:r>
      <w:r w:rsidR="00A10F8A">
        <w:rPr>
          <w:rFonts w:hint="eastAsia"/>
          <w:bCs/>
        </w:rPr>
        <w:t>6</w:t>
      </w:r>
      <w:r w:rsidR="00A10F8A">
        <w:rPr>
          <w:bCs/>
        </w:rPr>
        <w:t>个月内对被提名的基金托管人形成决议，该决议需经参加大会的基金份额持有人所持表决权的</w:t>
      </w:r>
      <w:r w:rsidR="00A10F8A">
        <w:rPr>
          <w:rFonts w:hint="eastAsia"/>
          <w:bCs/>
        </w:rPr>
        <w:t>三分之二</w:t>
      </w:r>
      <w:r w:rsidR="00A10F8A">
        <w:rPr>
          <w:bCs/>
        </w:rPr>
        <w:t>以上（含</w:t>
      </w:r>
      <w:r w:rsidR="00A10F8A">
        <w:rPr>
          <w:rFonts w:hint="eastAsia"/>
          <w:bCs/>
        </w:rPr>
        <w:t>三分之二</w:t>
      </w:r>
      <w:r w:rsidR="00A10F8A">
        <w:rPr>
          <w:bCs/>
        </w:rPr>
        <w:t>）表决通过</w:t>
      </w:r>
      <w:r w:rsidR="00A10F8A">
        <w:rPr>
          <w:rFonts w:hint="eastAsia"/>
          <w:bCs/>
        </w:rPr>
        <w:t>，决议自表决通过之日起生效</w:t>
      </w:r>
      <w:r>
        <w:rPr>
          <w:rFonts w:hAnsi="宋体" w:hint="eastAsia"/>
          <w:szCs w:val="24"/>
        </w:rPr>
        <w:t>；</w:t>
      </w:r>
    </w:p>
    <w:p w14:paraId="6A84414E" w14:textId="00F07360" w:rsidR="00950499" w:rsidRDefault="005541ED">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临时基金托管人：</w:t>
      </w:r>
      <w:proofErr w:type="gramStart"/>
      <w:r w:rsidR="00A10F8A">
        <w:rPr>
          <w:bCs/>
        </w:rPr>
        <w:t>新任基金</w:t>
      </w:r>
      <w:proofErr w:type="gramEnd"/>
      <w:r w:rsidR="00A10F8A">
        <w:rPr>
          <w:bCs/>
        </w:rPr>
        <w:t>托管人产生之前，由中国证监会</w:t>
      </w:r>
      <w:r w:rsidR="00903541">
        <w:rPr>
          <w:bCs/>
        </w:rPr>
        <w:t>规定</w:t>
      </w:r>
      <w:r w:rsidR="00A10F8A">
        <w:rPr>
          <w:bCs/>
        </w:rPr>
        <w:t>临时基金托管人</w:t>
      </w:r>
      <w:r>
        <w:rPr>
          <w:rFonts w:hAnsi="宋体"/>
          <w:szCs w:val="24"/>
        </w:rPr>
        <w:t>；</w:t>
      </w:r>
    </w:p>
    <w:p w14:paraId="6ECA4751" w14:textId="2386CA05" w:rsidR="00950499" w:rsidRDefault="005541ED">
      <w:pPr>
        <w:pStyle w:val="20"/>
        <w:spacing w:before="0" w:after="0" w:line="520" w:lineRule="atLeast"/>
        <w:ind w:left="0" w:firstLineChars="200" w:firstLine="480"/>
        <w:rPr>
          <w:rFonts w:hAnsi="宋体"/>
          <w:szCs w:val="24"/>
        </w:rPr>
      </w:pPr>
      <w:r>
        <w:rPr>
          <w:rFonts w:hAnsi="宋体" w:hint="eastAsia"/>
          <w:szCs w:val="24"/>
        </w:rPr>
        <w:t>（4）</w:t>
      </w:r>
      <w:r>
        <w:rPr>
          <w:rFonts w:hint="eastAsia"/>
          <w:bCs/>
        </w:rPr>
        <w:t>备案</w:t>
      </w:r>
      <w:r>
        <w:rPr>
          <w:bCs/>
        </w:rPr>
        <w:t>：</w:t>
      </w:r>
      <w:r w:rsidR="00A10F8A">
        <w:rPr>
          <w:bCs/>
        </w:rPr>
        <w:t>基金份额持有人大会更换基金托管人的决议须</w:t>
      </w:r>
      <w:r w:rsidR="00A10F8A">
        <w:rPr>
          <w:rFonts w:hint="eastAsia"/>
          <w:bCs/>
        </w:rPr>
        <w:t>报</w:t>
      </w:r>
      <w:r w:rsidR="00A10F8A">
        <w:rPr>
          <w:bCs/>
        </w:rPr>
        <w:t>中国证监会</w:t>
      </w:r>
      <w:r w:rsidR="00A10F8A">
        <w:rPr>
          <w:rFonts w:hint="eastAsia"/>
          <w:bCs/>
        </w:rPr>
        <w:t>备案</w:t>
      </w:r>
      <w:r>
        <w:rPr>
          <w:rFonts w:hint="eastAsia"/>
          <w:bCs/>
        </w:rPr>
        <w:t xml:space="preserve">；  </w:t>
      </w:r>
      <w:r>
        <w:rPr>
          <w:bCs/>
        </w:rPr>
        <w:t xml:space="preserve"> </w:t>
      </w:r>
    </w:p>
    <w:p w14:paraId="611EE389" w14:textId="4FF73051" w:rsidR="00950499" w:rsidRDefault="005541ED">
      <w:pPr>
        <w:pStyle w:val="20"/>
        <w:spacing w:before="0" w:after="0" w:line="520" w:lineRule="atLeast"/>
        <w:ind w:left="0" w:firstLineChars="200" w:firstLine="480"/>
        <w:rPr>
          <w:rFonts w:hAnsi="宋体"/>
          <w:szCs w:val="24"/>
        </w:rPr>
      </w:pPr>
      <w:r>
        <w:rPr>
          <w:rFonts w:hAnsi="宋体" w:hint="eastAsia"/>
          <w:szCs w:val="24"/>
        </w:rPr>
        <w:t>（5）公告：</w:t>
      </w:r>
      <w:r w:rsidR="00A10F8A">
        <w:rPr>
          <w:bCs/>
        </w:rPr>
        <w:t>基金托管人更换后，由基金管理人在更换基金托管人的基金份额持有人大会决议生效后</w:t>
      </w:r>
      <w:r w:rsidR="00A10F8A">
        <w:rPr>
          <w:rFonts w:hint="eastAsia"/>
          <w:bCs/>
        </w:rPr>
        <w:t>2</w:t>
      </w:r>
      <w:r w:rsidR="00A10F8A">
        <w:rPr>
          <w:bCs/>
        </w:rPr>
        <w:t>日内在</w:t>
      </w:r>
      <w:r w:rsidR="00A10F8A">
        <w:rPr>
          <w:rFonts w:hint="eastAsia"/>
          <w:bCs/>
        </w:rPr>
        <w:t>规定媒介</w:t>
      </w:r>
      <w:r w:rsidR="00A10F8A">
        <w:rPr>
          <w:bCs/>
        </w:rPr>
        <w:t>公告</w:t>
      </w:r>
      <w:r>
        <w:rPr>
          <w:rFonts w:hAnsi="宋体" w:hint="eastAsia"/>
          <w:szCs w:val="24"/>
        </w:rPr>
        <w:t>；</w:t>
      </w:r>
    </w:p>
    <w:p w14:paraId="790BFB5F" w14:textId="47802E25" w:rsidR="00950499" w:rsidRDefault="005541ED">
      <w:pPr>
        <w:pStyle w:val="20"/>
        <w:spacing w:before="0" w:after="0" w:line="520" w:lineRule="atLeast"/>
        <w:ind w:left="0" w:firstLineChars="200" w:firstLine="480"/>
        <w:rPr>
          <w:rFonts w:hAnsi="宋体"/>
          <w:szCs w:val="24"/>
        </w:rPr>
      </w:pPr>
      <w:r>
        <w:rPr>
          <w:rFonts w:hAnsi="宋体" w:hint="eastAsia"/>
          <w:szCs w:val="24"/>
        </w:rPr>
        <w:t>（6）交接：</w:t>
      </w:r>
      <w:r w:rsidR="00A10F8A">
        <w:rPr>
          <w:bCs/>
        </w:rPr>
        <w:t>基金托管人职责终止的，应当妥善保管基金财产和基金托管业务资料，及时办理基金财产和基金托管业务的移交手续，</w:t>
      </w:r>
      <w:proofErr w:type="gramStart"/>
      <w:r w:rsidR="00A10F8A">
        <w:rPr>
          <w:bCs/>
        </w:rPr>
        <w:t>新任基金</w:t>
      </w:r>
      <w:proofErr w:type="gramEnd"/>
      <w:r w:rsidR="00A10F8A">
        <w:rPr>
          <w:bCs/>
        </w:rPr>
        <w:t>托管人或者临时基金托管人应当及时接收。</w:t>
      </w:r>
      <w:proofErr w:type="gramStart"/>
      <w:r w:rsidR="00A10F8A">
        <w:rPr>
          <w:bCs/>
        </w:rPr>
        <w:t>新任基金</w:t>
      </w:r>
      <w:proofErr w:type="gramEnd"/>
      <w:r w:rsidR="00A10F8A">
        <w:rPr>
          <w:bCs/>
        </w:rPr>
        <w:t>托管人</w:t>
      </w:r>
      <w:r w:rsidR="00A10F8A">
        <w:rPr>
          <w:rFonts w:hint="eastAsia"/>
          <w:bCs/>
        </w:rPr>
        <w:t>或</w:t>
      </w:r>
      <w:r w:rsidR="00A10F8A">
        <w:rPr>
          <w:bCs/>
        </w:rPr>
        <w:t>临时基金托管人与基金管理人核对基金资产总值和净值</w:t>
      </w:r>
      <w:r>
        <w:rPr>
          <w:rFonts w:hAnsi="宋体" w:hint="eastAsia"/>
          <w:szCs w:val="24"/>
        </w:rPr>
        <w:t>；</w:t>
      </w:r>
    </w:p>
    <w:p w14:paraId="5BB76E56" w14:textId="1B771643" w:rsidR="00950499" w:rsidRDefault="005541ED">
      <w:pPr>
        <w:pStyle w:val="20"/>
        <w:spacing w:before="0" w:after="0" w:line="520" w:lineRule="atLeast"/>
        <w:ind w:left="0" w:firstLineChars="200" w:firstLine="480"/>
        <w:rPr>
          <w:rFonts w:hAnsi="宋体"/>
          <w:szCs w:val="24"/>
        </w:rPr>
      </w:pPr>
      <w:r>
        <w:rPr>
          <w:rFonts w:hAnsi="宋体" w:hint="eastAsia"/>
          <w:szCs w:val="24"/>
        </w:rPr>
        <w:t>（7）</w:t>
      </w:r>
      <w:r w:rsidR="00A10F8A">
        <w:rPr>
          <w:bCs/>
        </w:rPr>
        <w:t>审计：基金托管人职责终止的，应当按照法律法规规定聘请会计师事务所对基金财产进行审计，并将审计结果予以公告，同时报中国证监会备案</w:t>
      </w:r>
      <w:r w:rsidR="00A10F8A">
        <w:rPr>
          <w:rFonts w:hint="eastAsia"/>
          <w:bCs/>
        </w:rPr>
        <w:t>，审计费用从基金财产中列支</w:t>
      </w:r>
      <w:r>
        <w:rPr>
          <w:rFonts w:hAnsi="宋体" w:hint="eastAsia"/>
          <w:szCs w:val="24"/>
        </w:rPr>
        <w:t>。</w:t>
      </w:r>
      <w:permEnd w:id="447093615"/>
    </w:p>
    <w:p w14:paraId="2710B8C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14.3基金管理人与基金托管人同时更换</w:t>
      </w:r>
    </w:p>
    <w:p w14:paraId="478D7479" w14:textId="7EECA32E" w:rsidR="00950499" w:rsidRDefault="005541ED">
      <w:pPr>
        <w:pStyle w:val="20"/>
        <w:spacing w:before="0" w:after="0" w:line="520" w:lineRule="atLeast"/>
        <w:ind w:left="0" w:firstLineChars="200" w:firstLine="480"/>
        <w:rPr>
          <w:rFonts w:hAnsi="宋体"/>
          <w:szCs w:val="24"/>
        </w:rPr>
      </w:pPr>
      <w:permStart w:id="1779436023" w:edGrp="everyone"/>
      <w:r>
        <w:rPr>
          <w:rFonts w:hAnsi="宋体" w:hint="eastAsia"/>
          <w:szCs w:val="24"/>
        </w:rPr>
        <w:t>14.3.1</w:t>
      </w:r>
      <w:r w:rsidR="00A10F8A">
        <w:rPr>
          <w:bCs/>
        </w:rPr>
        <w:t>提名：如果基金管理人和基金托管人同时更换，由单独或合计持有基金总份额</w:t>
      </w:r>
      <w:r w:rsidR="00A10F8A">
        <w:rPr>
          <w:rFonts w:hint="eastAsia"/>
          <w:bCs/>
        </w:rPr>
        <w:t>10%</w:t>
      </w:r>
      <w:r w:rsidR="00A10F8A">
        <w:rPr>
          <w:bCs/>
        </w:rPr>
        <w:t>以上（含</w:t>
      </w:r>
      <w:r w:rsidR="00A10F8A">
        <w:rPr>
          <w:rFonts w:hint="eastAsia"/>
          <w:bCs/>
        </w:rPr>
        <w:t>10%</w:t>
      </w:r>
      <w:r w:rsidR="00A10F8A">
        <w:rPr>
          <w:bCs/>
        </w:rPr>
        <w:t>）的基金份额持有人提名新的基金管理人和基金托管人</w:t>
      </w:r>
      <w:r>
        <w:rPr>
          <w:rFonts w:hAnsi="宋体" w:hint="eastAsia"/>
          <w:szCs w:val="24"/>
        </w:rPr>
        <w:t>。</w:t>
      </w:r>
    </w:p>
    <w:p w14:paraId="18BA190E" w14:textId="573D1B17" w:rsidR="00950499" w:rsidRDefault="005541ED">
      <w:pPr>
        <w:pStyle w:val="20"/>
        <w:spacing w:before="0" w:after="0" w:line="520" w:lineRule="atLeast"/>
        <w:ind w:left="0" w:firstLineChars="200" w:firstLine="480"/>
        <w:rPr>
          <w:rFonts w:hAnsi="宋体"/>
          <w:szCs w:val="24"/>
        </w:rPr>
      </w:pPr>
      <w:r>
        <w:rPr>
          <w:rFonts w:hAnsi="宋体" w:hint="eastAsia"/>
          <w:szCs w:val="24"/>
        </w:rPr>
        <w:t>14.3.2</w:t>
      </w:r>
      <w:r w:rsidR="00A10F8A">
        <w:rPr>
          <w:bCs/>
        </w:rPr>
        <w:t>基金管理人和基金托管人的更换分别按上述程序进行</w:t>
      </w:r>
      <w:r>
        <w:rPr>
          <w:rFonts w:hAnsi="宋体" w:hint="eastAsia"/>
          <w:szCs w:val="24"/>
        </w:rPr>
        <w:t>。</w:t>
      </w:r>
    </w:p>
    <w:p w14:paraId="365FF26C" w14:textId="08C9FDAE" w:rsidR="00950499" w:rsidRDefault="005541ED">
      <w:pPr>
        <w:pStyle w:val="20"/>
        <w:spacing w:before="0" w:after="0" w:line="520" w:lineRule="atLeast"/>
        <w:ind w:left="0" w:firstLineChars="200" w:firstLine="480"/>
        <w:rPr>
          <w:rFonts w:hAnsi="宋体"/>
          <w:szCs w:val="24"/>
        </w:rPr>
      </w:pPr>
      <w:r>
        <w:rPr>
          <w:rFonts w:hAnsi="宋体"/>
          <w:szCs w:val="24"/>
        </w:rPr>
        <w:lastRenderedPageBreak/>
        <w:t>14.3.3</w:t>
      </w:r>
      <w:r w:rsidR="00A10F8A">
        <w:rPr>
          <w:bCs/>
        </w:rPr>
        <w:t>公告：</w:t>
      </w:r>
      <w:proofErr w:type="gramStart"/>
      <w:r w:rsidR="00A10F8A">
        <w:rPr>
          <w:bCs/>
        </w:rPr>
        <w:t>新任基金</w:t>
      </w:r>
      <w:proofErr w:type="gramEnd"/>
      <w:r w:rsidR="00A10F8A">
        <w:rPr>
          <w:bCs/>
        </w:rPr>
        <w:t>管理人和</w:t>
      </w:r>
      <w:proofErr w:type="gramStart"/>
      <w:r w:rsidR="00A10F8A">
        <w:rPr>
          <w:bCs/>
        </w:rPr>
        <w:t>新任基金</w:t>
      </w:r>
      <w:proofErr w:type="gramEnd"/>
      <w:r w:rsidR="00A10F8A">
        <w:rPr>
          <w:bCs/>
        </w:rPr>
        <w:t>托管人应在更换基金管理人和基金托管人的基金份额持有人大会决议</w:t>
      </w:r>
      <w:r w:rsidR="00A10F8A">
        <w:rPr>
          <w:rFonts w:hint="eastAsia"/>
          <w:bCs/>
        </w:rPr>
        <w:t>生效</w:t>
      </w:r>
      <w:r w:rsidR="00A10F8A">
        <w:rPr>
          <w:bCs/>
        </w:rPr>
        <w:t>后2日内在规定媒介上联合公告</w:t>
      </w:r>
      <w:r>
        <w:rPr>
          <w:rFonts w:hAnsi="宋体" w:hint="eastAsia"/>
          <w:szCs w:val="24"/>
        </w:rPr>
        <w:t>。</w:t>
      </w:r>
      <w:permEnd w:id="1779436023"/>
    </w:p>
    <w:p w14:paraId="19E3E5E3" w14:textId="79D25BAE" w:rsidR="00950499" w:rsidRDefault="005541ED">
      <w:pPr>
        <w:pStyle w:val="20"/>
        <w:spacing w:before="0" w:after="0" w:line="520" w:lineRule="atLeast"/>
        <w:ind w:left="0" w:firstLineChars="200" w:firstLine="480"/>
        <w:rPr>
          <w:bCs/>
        </w:rPr>
      </w:pPr>
      <w:r>
        <w:rPr>
          <w:rFonts w:hAnsi="宋体" w:hint="eastAsia"/>
          <w:szCs w:val="24"/>
        </w:rPr>
        <w:t>14.4新任或临时基金管理人</w:t>
      </w:r>
      <w:r>
        <w:rPr>
          <w:rFonts w:hint="eastAsia"/>
          <w:bCs/>
        </w:rPr>
        <w:t>接</w:t>
      </w:r>
      <w:r w:rsidR="009B162B">
        <w:rPr>
          <w:rFonts w:hint="eastAsia"/>
          <w:bCs/>
        </w:rPr>
        <w:t>收</w:t>
      </w:r>
      <w:r>
        <w:rPr>
          <w:rFonts w:hAnsi="宋体" w:hint="eastAsia"/>
          <w:szCs w:val="24"/>
        </w:rPr>
        <w:t>基金管理业务或新任或临时基金托管人</w:t>
      </w:r>
      <w:r>
        <w:rPr>
          <w:rFonts w:hint="eastAsia"/>
          <w:bCs/>
        </w:rPr>
        <w:t>接</w:t>
      </w:r>
      <w:r w:rsidR="009B162B">
        <w:rPr>
          <w:rFonts w:hint="eastAsia"/>
          <w:bCs/>
        </w:rPr>
        <w:t>收</w:t>
      </w:r>
      <w:r>
        <w:rPr>
          <w:rFonts w:hAnsi="宋体" w:hint="eastAsia"/>
          <w:szCs w:val="24"/>
        </w:rPr>
        <w:t>基金财产和基金托管业务前，</w:t>
      </w:r>
      <w:proofErr w:type="gramStart"/>
      <w:r>
        <w:rPr>
          <w:rFonts w:hAnsi="宋体" w:hint="eastAsia"/>
          <w:szCs w:val="24"/>
        </w:rPr>
        <w:t>原基金</w:t>
      </w:r>
      <w:proofErr w:type="gramEnd"/>
      <w:r>
        <w:rPr>
          <w:rFonts w:hAnsi="宋体" w:hint="eastAsia"/>
          <w:szCs w:val="24"/>
        </w:rPr>
        <w:t>管理人或</w:t>
      </w:r>
      <w:proofErr w:type="gramStart"/>
      <w:r>
        <w:rPr>
          <w:rFonts w:hAnsi="宋体" w:hint="eastAsia"/>
          <w:szCs w:val="24"/>
        </w:rPr>
        <w:t>原基金</w:t>
      </w:r>
      <w:proofErr w:type="gramEnd"/>
      <w:r>
        <w:rPr>
          <w:rFonts w:hAnsi="宋体" w:hint="eastAsia"/>
          <w:szCs w:val="24"/>
        </w:rPr>
        <w:t>托管人应</w:t>
      </w:r>
      <w:r>
        <w:rPr>
          <w:rFonts w:hint="eastAsia"/>
          <w:bCs/>
        </w:rPr>
        <w:t>依据法律法规和基金合同的规定</w:t>
      </w:r>
      <w:r>
        <w:rPr>
          <w:rFonts w:hAnsi="宋体" w:hint="eastAsia"/>
          <w:szCs w:val="24"/>
        </w:rPr>
        <w:t>继续履行相关职责，并保证不对基金份额持有人的利益造成损害。</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托管人在继续履行相关职责期间，仍有权按照</w:t>
      </w:r>
      <w:r>
        <w:rPr>
          <w:bCs/>
        </w:rPr>
        <w:t>基金</w:t>
      </w:r>
      <w:r>
        <w:rPr>
          <w:rFonts w:hint="eastAsia"/>
          <w:bCs/>
        </w:rPr>
        <w:t>合同的规定收取基金管理费或基金托管费。</w:t>
      </w:r>
    </w:p>
    <w:p w14:paraId="56F70856" w14:textId="16140951" w:rsidR="00950499" w:rsidRDefault="005541ED">
      <w:pPr>
        <w:pStyle w:val="20"/>
        <w:spacing w:before="0" w:after="0" w:line="520" w:lineRule="atLeast"/>
        <w:ind w:left="0" w:firstLineChars="200" w:firstLine="480"/>
        <w:rPr>
          <w:rFonts w:hAnsi="宋体"/>
          <w:szCs w:val="24"/>
        </w:rPr>
      </w:pPr>
      <w:r>
        <w:rPr>
          <w:rFonts w:hint="eastAsia"/>
          <w:bCs/>
        </w:rPr>
        <w:t>14.5本部</w:t>
      </w:r>
      <w:proofErr w:type="gramStart"/>
      <w:r>
        <w:rPr>
          <w:rFonts w:hint="eastAsia"/>
          <w:bCs/>
        </w:rPr>
        <w:t>分关于</w:t>
      </w:r>
      <w:proofErr w:type="gramEnd"/>
      <w:r>
        <w:rPr>
          <w:rFonts w:hint="eastAsia"/>
          <w:bCs/>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5E07A109" w14:textId="77777777" w:rsidR="00950499" w:rsidRDefault="005541ED">
      <w:pPr>
        <w:pStyle w:val="1"/>
        <w:spacing w:line="520" w:lineRule="atLeast"/>
        <w:ind w:firstLineChars="200" w:firstLine="482"/>
        <w:rPr>
          <w:bCs/>
          <w:color w:val="auto"/>
          <w:szCs w:val="24"/>
        </w:rPr>
      </w:pPr>
      <w:bookmarkStart w:id="46" w:name="_Toc44321738"/>
      <w:bookmarkStart w:id="47" w:name="_Toc296551351"/>
      <w:r>
        <w:rPr>
          <w:rFonts w:hint="eastAsia"/>
          <w:bCs/>
          <w:color w:val="auto"/>
          <w:szCs w:val="24"/>
        </w:rPr>
        <w:t>第十五条 禁止行为</w:t>
      </w:r>
      <w:bookmarkEnd w:id="46"/>
      <w:bookmarkEnd w:id="47"/>
    </w:p>
    <w:p w14:paraId="65B9AF4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15.1基金管理人、基金托管人禁止从事的行为，包括但不限于：</w:t>
      </w:r>
    </w:p>
    <w:p w14:paraId="1F86554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7F81F20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373019E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4B5F189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15.1.4基金管理人、基金托管人向基金份额持有人违规承诺收益或者承担损失。</w:t>
      </w:r>
    </w:p>
    <w:p w14:paraId="1A3E8ED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15.1.5基金管理人、基金托管人对他人泄漏基金运作和管理过程中任何尚未按法律法规规定的方式公开披露的信息。</w:t>
      </w:r>
    </w:p>
    <w:p w14:paraId="6CFA232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532425C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2CC91DC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15.1.8基金托管人私自动用或处分基金财产，根据基金管理人的合法指令、</w:t>
      </w:r>
      <w:r>
        <w:rPr>
          <w:rFonts w:hAnsi="宋体" w:hint="eastAsia"/>
          <w:szCs w:val="24"/>
        </w:rPr>
        <w:lastRenderedPageBreak/>
        <w:t>基金合同或本协议的规定进行处分的除外。</w:t>
      </w:r>
    </w:p>
    <w:p w14:paraId="3A882BC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15.1.9基金财产用于下列投资或者活动：</w:t>
      </w:r>
    </w:p>
    <w:p w14:paraId="1503DB3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w:t>
      </w:r>
      <w:bookmarkStart w:id="48" w:name="_Hlk79670825"/>
      <w:r>
        <w:rPr>
          <w:rFonts w:hAnsi="宋体" w:hint="eastAsia"/>
          <w:szCs w:val="24"/>
        </w:rPr>
        <w:t>承销证券</w:t>
      </w:r>
      <w:bookmarkEnd w:id="48"/>
      <w:r>
        <w:rPr>
          <w:rFonts w:hAnsi="宋体" w:hint="eastAsia"/>
          <w:szCs w:val="24"/>
        </w:rPr>
        <w:t>；</w:t>
      </w:r>
    </w:p>
    <w:p w14:paraId="4FFCAA3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14:paraId="5F9F3454" w14:textId="066338B4" w:rsidR="00950499" w:rsidRDefault="005541ED" w:rsidP="0084539A">
      <w:pPr>
        <w:pStyle w:val="20"/>
        <w:spacing w:before="0" w:after="0" w:line="520" w:lineRule="atLeast"/>
        <w:ind w:left="0" w:firstLineChars="200" w:firstLine="480"/>
        <w:rPr>
          <w:rFonts w:hAnsi="宋体"/>
          <w:szCs w:val="24"/>
        </w:rPr>
      </w:pPr>
      <w:r>
        <w:rPr>
          <w:rFonts w:hAnsi="宋体" w:hint="eastAsia"/>
          <w:szCs w:val="24"/>
        </w:rPr>
        <w:t>（3）从事承担无限责任的投资；</w:t>
      </w:r>
    </w:p>
    <w:p w14:paraId="79A7722C" w14:textId="66F17ABE" w:rsidR="00950499" w:rsidRDefault="005541ED">
      <w:pPr>
        <w:pStyle w:val="20"/>
        <w:spacing w:before="0" w:after="0" w:line="520" w:lineRule="atLeast"/>
        <w:ind w:left="0" w:firstLineChars="200" w:firstLine="480"/>
        <w:rPr>
          <w:rFonts w:hAnsi="宋体"/>
          <w:szCs w:val="24"/>
        </w:rPr>
      </w:pPr>
      <w:r>
        <w:rPr>
          <w:rFonts w:hAnsi="宋体" w:hint="eastAsia"/>
          <w:szCs w:val="24"/>
        </w:rPr>
        <w:t>（</w:t>
      </w:r>
      <w:r w:rsidR="0084539A">
        <w:rPr>
          <w:rFonts w:hAnsi="宋体"/>
          <w:szCs w:val="24"/>
        </w:rPr>
        <w:t>4</w:t>
      </w:r>
      <w:r>
        <w:rPr>
          <w:rFonts w:hAnsi="宋体" w:hint="eastAsia"/>
          <w:szCs w:val="24"/>
        </w:rPr>
        <w:t>）向其基金管理人、基金托管人出资；</w:t>
      </w:r>
    </w:p>
    <w:p w14:paraId="27D40543" w14:textId="58FEBD10" w:rsidR="00950499" w:rsidRDefault="005541ED">
      <w:pPr>
        <w:pStyle w:val="20"/>
        <w:spacing w:before="0" w:after="0" w:line="520" w:lineRule="atLeast"/>
        <w:ind w:left="0" w:firstLineChars="200" w:firstLine="480"/>
        <w:rPr>
          <w:rFonts w:hAnsi="宋体"/>
          <w:szCs w:val="24"/>
        </w:rPr>
      </w:pPr>
      <w:r>
        <w:rPr>
          <w:rFonts w:hAnsi="宋体" w:hint="eastAsia"/>
          <w:szCs w:val="24"/>
        </w:rPr>
        <w:t>（</w:t>
      </w:r>
      <w:r w:rsidR="0084539A">
        <w:rPr>
          <w:rFonts w:hAnsi="宋体"/>
          <w:szCs w:val="24"/>
        </w:rPr>
        <w:t>5</w:t>
      </w:r>
      <w:r>
        <w:rPr>
          <w:rFonts w:hAnsi="宋体" w:hint="eastAsia"/>
          <w:szCs w:val="24"/>
        </w:rPr>
        <w:t>）从事内幕交易、操纵证券交易价格及其他不正当的证券交易活动；</w:t>
      </w:r>
    </w:p>
    <w:p w14:paraId="718370CC" w14:textId="71BD3B0B" w:rsidR="0084539A" w:rsidRPr="0084539A" w:rsidRDefault="0084539A">
      <w:pPr>
        <w:pStyle w:val="20"/>
        <w:spacing w:before="0" w:after="0" w:line="520" w:lineRule="atLeast"/>
        <w:ind w:left="0" w:firstLineChars="200" w:firstLine="480"/>
        <w:rPr>
          <w:rFonts w:hAnsi="宋体"/>
          <w:szCs w:val="24"/>
        </w:rPr>
      </w:pPr>
      <w:r>
        <w:rPr>
          <w:rFonts w:hAnsi="宋体" w:hint="eastAsia"/>
          <w:szCs w:val="24"/>
        </w:rPr>
        <w:t>（6）</w:t>
      </w:r>
      <w:r w:rsidRPr="0084539A">
        <w:rPr>
          <w:rFonts w:hAnsi="宋体" w:hint="eastAsia"/>
          <w:szCs w:val="24"/>
        </w:rPr>
        <w:t>持有具有复杂、衍生品性质的基金份额；</w:t>
      </w:r>
    </w:p>
    <w:p w14:paraId="0BDA97CF" w14:textId="77777777" w:rsidR="00950499" w:rsidRDefault="005541ED">
      <w:pPr>
        <w:pStyle w:val="20"/>
        <w:spacing w:before="0" w:after="0" w:line="520" w:lineRule="atLeas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5BFEAA14" w14:textId="50A9E375" w:rsidR="00950499" w:rsidRDefault="005541ED">
      <w:pPr>
        <w:pStyle w:val="20"/>
        <w:spacing w:before="0" w:after="0" w:line="520" w:lineRule="atLeast"/>
        <w:ind w:left="0" w:firstLineChars="200" w:firstLine="480"/>
        <w:rPr>
          <w:rFonts w:hAnsi="宋体"/>
          <w:szCs w:val="24"/>
        </w:rPr>
      </w:pPr>
      <w:r>
        <w:rPr>
          <w:rFonts w:hAnsi="宋体" w:hint="eastAsia"/>
          <w:szCs w:val="24"/>
        </w:rPr>
        <w:t>15.1.10</w:t>
      </w:r>
      <w:r w:rsidR="0084539A" w:rsidRPr="0084539A">
        <w:rPr>
          <w:rFonts w:hAnsi="宋体" w:hint="eastAsia"/>
          <w:szCs w:val="24"/>
        </w:rPr>
        <w:t>如法律法规或监管部门取消或调整上述禁止性规定，基金管理人在履行适当程序后，本基金可不受上述规定的限制或按调整后的规定执行，不需经基金份额持有人大会审议，但须提前公告</w:t>
      </w:r>
      <w:r>
        <w:rPr>
          <w:rFonts w:hAnsi="宋体" w:hint="eastAsia"/>
          <w:szCs w:val="24"/>
        </w:rPr>
        <w:t>。</w:t>
      </w:r>
    </w:p>
    <w:p w14:paraId="53CF9EDA" w14:textId="77777777" w:rsidR="00950499" w:rsidRDefault="005541ED">
      <w:pPr>
        <w:pStyle w:val="1"/>
        <w:spacing w:line="520" w:lineRule="atLeast"/>
        <w:ind w:firstLineChars="200" w:firstLine="482"/>
        <w:rPr>
          <w:bCs/>
          <w:color w:val="auto"/>
          <w:szCs w:val="24"/>
        </w:rPr>
      </w:pPr>
      <w:bookmarkStart w:id="49" w:name="_Toc296551352"/>
      <w:bookmarkStart w:id="50" w:name="_Toc44321739"/>
      <w:r>
        <w:rPr>
          <w:rFonts w:hint="eastAsia"/>
          <w:bCs/>
          <w:color w:val="auto"/>
          <w:szCs w:val="24"/>
        </w:rPr>
        <w:t>第十六条 本协议的变更、终止与基金财产的清算</w:t>
      </w:r>
      <w:bookmarkEnd w:id="49"/>
      <w:bookmarkEnd w:id="50"/>
    </w:p>
    <w:p w14:paraId="5F0DE60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16.1本协议的变更与终止</w:t>
      </w:r>
    </w:p>
    <w:p w14:paraId="333DF29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16.1.1本协议的变更程序</w:t>
      </w:r>
    </w:p>
    <w:p w14:paraId="6A91054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本协议双方当事人经协商一致，可以对协议的内容进行变更</w:t>
      </w:r>
      <w:r>
        <w:rPr>
          <w:rFonts w:asciiTheme="minorEastAsia" w:eastAsiaTheme="minorEastAsia" w:hAnsiTheme="minorEastAsia" w:hint="eastAsia"/>
          <w:szCs w:val="24"/>
        </w:rPr>
        <w:t>，并另行签署书面协议予以明确</w:t>
      </w:r>
      <w:r>
        <w:rPr>
          <w:rFonts w:hAnsi="宋体" w:hint="eastAsia"/>
          <w:szCs w:val="24"/>
        </w:rPr>
        <w:t>。变更后的托管协议，其内容不得与基金合同的规定有任何冲突。本协议的变更报中国证监会注册或备案。</w:t>
      </w:r>
    </w:p>
    <w:p w14:paraId="5883DD3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16.1.2本协议终止的情形</w:t>
      </w:r>
    </w:p>
    <w:p w14:paraId="55C9725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发生以下情况，本协议终止：</w:t>
      </w:r>
    </w:p>
    <w:p w14:paraId="2C33A59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（1）基金合同终止；</w:t>
      </w:r>
    </w:p>
    <w:p w14:paraId="546501C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（2）基金托管人解散、依法被撤销、破产或由其他基金托管人接管基金资产；</w:t>
      </w:r>
    </w:p>
    <w:p w14:paraId="4201FA4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（3）基金管理人解散、依法被撤销、破产或由其他基金管理人接管基金管理权；</w:t>
      </w:r>
    </w:p>
    <w:p w14:paraId="60EC08A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（4）基金托管人发现基金管理人有</w:t>
      </w:r>
      <w:r>
        <w:rPr>
          <w:rFonts w:hAnsi="宋体"/>
          <w:szCs w:val="24"/>
        </w:rPr>
        <w:t>下列情形的，有权</w:t>
      </w:r>
      <w:r>
        <w:rPr>
          <w:rFonts w:hAnsi="宋体" w:hint="eastAsia"/>
          <w:szCs w:val="24"/>
        </w:rPr>
        <w:t>终止</w:t>
      </w:r>
      <w:r>
        <w:rPr>
          <w:rFonts w:hAnsi="宋体"/>
          <w:szCs w:val="24"/>
        </w:rPr>
        <w:t>本协议</w:t>
      </w:r>
      <w:r>
        <w:rPr>
          <w:rFonts w:hAnsi="宋体" w:hint="eastAsia"/>
          <w:szCs w:val="24"/>
        </w:rPr>
        <w:t>，</w:t>
      </w:r>
      <w:r>
        <w:rPr>
          <w:rFonts w:hAnsi="宋体"/>
          <w:szCs w:val="24"/>
        </w:rPr>
        <w:t>并要求</w:t>
      </w:r>
      <w:r>
        <w:rPr>
          <w:rFonts w:hAnsi="宋体" w:hint="eastAsia"/>
          <w:szCs w:val="24"/>
        </w:rPr>
        <w:t>基金管理人</w:t>
      </w:r>
      <w:r>
        <w:rPr>
          <w:rFonts w:hAnsi="宋体"/>
          <w:szCs w:val="24"/>
        </w:rPr>
        <w:t>赔偿损失：</w:t>
      </w:r>
    </w:p>
    <w:p w14:paraId="5A13EC37" w14:textId="77777777" w:rsidR="00950499" w:rsidRDefault="005541ED">
      <w:pPr>
        <w:pStyle w:val="20"/>
        <w:spacing w:before="0" w:after="0" w:line="520" w:lineRule="atLeast"/>
        <w:rPr>
          <w:rFonts w:hAnsi="宋体"/>
          <w:szCs w:val="24"/>
        </w:rPr>
      </w:pPr>
      <w:r>
        <w:rPr>
          <w:rFonts w:hAnsi="宋体" w:hint="eastAsia"/>
          <w:szCs w:val="24"/>
        </w:rPr>
        <w:t>①</w:t>
      </w:r>
      <w:r>
        <w:rPr>
          <w:rFonts w:hAnsi="宋体"/>
          <w:szCs w:val="24"/>
        </w:rPr>
        <w:t>违反</w:t>
      </w:r>
      <w:r>
        <w:rPr>
          <w:rFonts w:hAnsi="宋体" w:hint="eastAsia"/>
          <w:szCs w:val="24"/>
        </w:rPr>
        <w:t>基金合同</w:t>
      </w:r>
      <w:r>
        <w:rPr>
          <w:rFonts w:hAnsi="宋体"/>
          <w:szCs w:val="24"/>
        </w:rPr>
        <w:t>的投资目的，不当处分产品财产的；</w:t>
      </w:r>
    </w:p>
    <w:p w14:paraId="4959F11E" w14:textId="77777777" w:rsidR="00950499" w:rsidRDefault="005541ED">
      <w:pPr>
        <w:pStyle w:val="20"/>
        <w:spacing w:before="0" w:after="0" w:line="520" w:lineRule="atLeast"/>
        <w:rPr>
          <w:rFonts w:hAnsi="宋体"/>
          <w:szCs w:val="24"/>
        </w:rPr>
      </w:pPr>
      <w:r>
        <w:rPr>
          <w:rFonts w:hAnsi="宋体" w:hint="eastAsia"/>
          <w:szCs w:val="24"/>
        </w:rPr>
        <w:t>②</w:t>
      </w:r>
      <w:r>
        <w:rPr>
          <w:rFonts w:hAnsi="宋体"/>
          <w:szCs w:val="24"/>
        </w:rPr>
        <w:t>未能遵守或履行</w:t>
      </w:r>
      <w:r>
        <w:rPr>
          <w:rFonts w:hAnsi="宋体" w:hint="eastAsia"/>
          <w:szCs w:val="24"/>
        </w:rPr>
        <w:t>基金</w:t>
      </w:r>
      <w:r>
        <w:rPr>
          <w:rFonts w:hAnsi="宋体"/>
          <w:szCs w:val="24"/>
        </w:rPr>
        <w:t>合同</w:t>
      </w:r>
      <w:r>
        <w:rPr>
          <w:rFonts w:hAnsi="宋体" w:hint="eastAsia"/>
          <w:szCs w:val="24"/>
        </w:rPr>
        <w:t>及本协议</w:t>
      </w:r>
      <w:r>
        <w:rPr>
          <w:rFonts w:hAnsi="宋体"/>
          <w:szCs w:val="24"/>
        </w:rPr>
        <w:t>约定的有关承诺、义务、陈述或保证；</w:t>
      </w:r>
    </w:p>
    <w:p w14:paraId="1A83DE66" w14:textId="77777777" w:rsidR="00950499" w:rsidRDefault="005541ED">
      <w:pPr>
        <w:pStyle w:val="20"/>
        <w:spacing w:before="0" w:after="0" w:line="520" w:lineRule="atLeast"/>
        <w:rPr>
          <w:rFonts w:hAnsi="宋体"/>
          <w:szCs w:val="24"/>
        </w:rPr>
      </w:pPr>
      <w:r>
        <w:rPr>
          <w:rFonts w:hAnsi="宋体" w:hint="eastAsia"/>
          <w:szCs w:val="24"/>
        </w:rPr>
        <w:lastRenderedPageBreak/>
        <w:t>③</w:t>
      </w:r>
      <w:r>
        <w:rPr>
          <w:rFonts w:hAnsi="宋体"/>
          <w:szCs w:val="24"/>
        </w:rPr>
        <w:t>被依法取消</w:t>
      </w:r>
      <w:r>
        <w:rPr>
          <w:rFonts w:hAnsi="宋体" w:hint="eastAsia"/>
          <w:szCs w:val="24"/>
        </w:rPr>
        <w:t>基金管理人</w:t>
      </w:r>
      <w:r>
        <w:rPr>
          <w:rFonts w:hAnsi="宋体"/>
          <w:szCs w:val="24"/>
        </w:rPr>
        <w:t>资质或经营异常；</w:t>
      </w:r>
    </w:p>
    <w:p w14:paraId="4FF7A201" w14:textId="77777777" w:rsidR="00950499" w:rsidRDefault="005541ED">
      <w:pPr>
        <w:pStyle w:val="20"/>
        <w:spacing w:before="0" w:after="0" w:line="520" w:lineRule="atLeast"/>
        <w:rPr>
          <w:rFonts w:hAnsi="宋体"/>
          <w:szCs w:val="24"/>
        </w:rPr>
      </w:pPr>
      <w:r>
        <w:rPr>
          <w:rFonts w:hAnsi="宋体" w:hint="eastAsia"/>
          <w:szCs w:val="24"/>
        </w:rPr>
        <w:t>④</w:t>
      </w:r>
      <w:r>
        <w:rPr>
          <w:rFonts w:hAnsi="宋体"/>
          <w:szCs w:val="24"/>
        </w:rPr>
        <w:t>被依法解散、被依法撤销、被依法宣告破产或失联</w:t>
      </w:r>
      <w:r>
        <w:rPr>
          <w:rFonts w:hAnsi="宋体" w:hint="eastAsia"/>
          <w:szCs w:val="24"/>
        </w:rPr>
        <w:t>；</w:t>
      </w:r>
    </w:p>
    <w:p w14:paraId="6A0EEDF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⑤</w:t>
      </w:r>
      <w:r>
        <w:rPr>
          <w:rFonts w:hAnsi="宋体"/>
          <w:szCs w:val="24"/>
        </w:rPr>
        <w:t>法律法规明确规定和</w:t>
      </w:r>
      <w:r>
        <w:rPr>
          <w:rFonts w:hAnsi="宋体" w:hint="eastAsia"/>
          <w:szCs w:val="24"/>
        </w:rPr>
        <w:t>本协议</w:t>
      </w:r>
      <w:r>
        <w:rPr>
          <w:rFonts w:hAnsi="宋体"/>
          <w:szCs w:val="24"/>
        </w:rPr>
        <w:t>约定的其他情形。</w:t>
      </w:r>
    </w:p>
    <w:p w14:paraId="59CCAC6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5</w:t>
      </w:r>
      <w:r>
        <w:rPr>
          <w:rFonts w:hAnsi="宋体" w:hint="eastAsia"/>
          <w:szCs w:val="24"/>
        </w:rPr>
        <w:t>）发生法律法规或基金合同规定的终止事项。</w:t>
      </w:r>
    </w:p>
    <w:p w14:paraId="1BFF76D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16.2基金财产的清算</w:t>
      </w:r>
    </w:p>
    <w:p w14:paraId="327ED42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16.2.1基金财产清算小组</w:t>
      </w:r>
    </w:p>
    <w:p w14:paraId="469D789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（1）自出现基金合同终止事由之日起30个工作日内成立基金财产清算小组，基金管理人组织基金财产清算小组并在中国证监会的监督下进行基金清算。</w:t>
      </w:r>
    </w:p>
    <w:p w14:paraId="22272673" w14:textId="2087E87B" w:rsidR="00950499" w:rsidRDefault="005541ED">
      <w:pPr>
        <w:pStyle w:val="20"/>
        <w:spacing w:before="0" w:after="0" w:line="520" w:lineRule="atLeast"/>
        <w:ind w:left="0" w:firstLineChars="200" w:firstLine="480"/>
        <w:rPr>
          <w:rFonts w:hAnsi="宋体"/>
          <w:szCs w:val="24"/>
        </w:rPr>
      </w:pPr>
      <w:r>
        <w:rPr>
          <w:rFonts w:hAnsi="宋体" w:hint="eastAsia"/>
          <w:szCs w:val="24"/>
        </w:rPr>
        <w:t>（2）基金财产清算小组成员由基金管理人、基金托管人、</w:t>
      </w:r>
      <w:r w:rsidR="0084539A" w:rsidRPr="0084539A">
        <w:rPr>
          <w:rFonts w:hAnsi="宋体" w:hint="eastAsia"/>
          <w:szCs w:val="24"/>
        </w:rPr>
        <w:t>符合《中华人民共和国证券法》规定</w:t>
      </w:r>
      <w:r>
        <w:rPr>
          <w:rFonts w:hAnsi="宋体" w:hint="eastAsia"/>
          <w:szCs w:val="24"/>
        </w:rPr>
        <w:t>的注册会计师、律师以及中国证监会指定的人员组成。基金财产清算小组可以聘用必要的工作人员。</w:t>
      </w:r>
    </w:p>
    <w:p w14:paraId="52FAC01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（3）在基金财产清算过程中，基金管理人和基金托管人应各自履行职责，继续忠实、勤勉、尽责地履行基金合同和本协议规定的义务，维护基金份额持有人的合法权益。</w:t>
      </w:r>
    </w:p>
    <w:p w14:paraId="78A8735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14:paraId="715ED9C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16.2.2基金财产清算程序</w:t>
      </w:r>
    </w:p>
    <w:p w14:paraId="5ED49DA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基金合同终止，应当按法律法规和基金合同的有关规定对基金财产进行清算。基金财产清算程序主要包括：</w:t>
      </w:r>
    </w:p>
    <w:p w14:paraId="1DB0CFB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（1）基金合同终止情形出现时，由基金财产清算小组统一接管基金财产；</w:t>
      </w:r>
    </w:p>
    <w:p w14:paraId="231E1E6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（2）对基金财产和债权债务进行清理和确认；</w:t>
      </w:r>
    </w:p>
    <w:p w14:paraId="5580938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（3）对基金财产进行估值和变现；</w:t>
      </w:r>
    </w:p>
    <w:p w14:paraId="40A9956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（4）制作清算报告；</w:t>
      </w:r>
    </w:p>
    <w:p w14:paraId="44D4D8E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（5）聘请会计师事务所对清算报告进行外部审计，聘请律师事务所对清算报告出具法律意见书；</w:t>
      </w:r>
    </w:p>
    <w:p w14:paraId="3491B28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（6）将清算报告报中国证监会备案并公告；</w:t>
      </w:r>
    </w:p>
    <w:p w14:paraId="547B40C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（7）对基金剩余财产进行分配。</w:t>
      </w:r>
    </w:p>
    <w:p w14:paraId="17721586" w14:textId="77777777" w:rsidR="00950499" w:rsidRDefault="005541ED">
      <w:pPr>
        <w:pStyle w:val="20"/>
        <w:spacing w:before="0" w:after="0" w:line="520" w:lineRule="atLeas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w:t>
      </w:r>
      <w:r>
        <w:rPr>
          <w:rFonts w:hint="eastAsia"/>
          <w:bCs/>
          <w:szCs w:val="24"/>
        </w:rPr>
        <w:lastRenderedPageBreak/>
        <w:t>能及时变现的，清算期限相应顺延。</w:t>
      </w:r>
    </w:p>
    <w:p w14:paraId="0EB084B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16.2.3清算费用</w:t>
      </w:r>
    </w:p>
    <w:p w14:paraId="24E0C59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清算费用是指基金财产清算小组在进行基金财产清算过程中发生的所有合理费用，清算费用由基金财产清算小组优先从基金剩余财产中支付。</w:t>
      </w:r>
    </w:p>
    <w:p w14:paraId="6164B963" w14:textId="7CE8C037" w:rsidR="00950499" w:rsidRDefault="005541ED" w:rsidP="00903541">
      <w:pPr>
        <w:pStyle w:val="20"/>
        <w:spacing w:before="0" w:after="0" w:line="520" w:lineRule="atLeast"/>
        <w:ind w:left="0" w:firstLineChars="200" w:firstLine="480"/>
        <w:rPr>
          <w:rFonts w:hAnsi="宋体"/>
          <w:szCs w:val="24"/>
        </w:rPr>
      </w:pPr>
      <w:r>
        <w:rPr>
          <w:rFonts w:hAnsi="宋体" w:hint="eastAsia"/>
          <w:szCs w:val="24"/>
        </w:rPr>
        <w:t>16.2.4</w:t>
      </w:r>
      <w:r w:rsidR="00903541" w:rsidRPr="00E619BC">
        <w:rPr>
          <w:rFonts w:hAnsi="宋体" w:hint="eastAsia"/>
          <w:szCs w:val="24"/>
        </w:rPr>
        <w:t>依据基金财产清算的分配方案，将基金财产清算后的全部剩余资产扣除基金财产清算费用、交纳所欠税款并清偿基金债务后，按基金份额持有人持有的基金份额比例进行分配</w:t>
      </w:r>
      <w:r>
        <w:rPr>
          <w:rFonts w:hAnsi="宋体" w:hint="eastAsia"/>
          <w:szCs w:val="24"/>
        </w:rPr>
        <w:t>。</w:t>
      </w:r>
    </w:p>
    <w:p w14:paraId="7028FC2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16.2.5基金财产清算的公告</w:t>
      </w:r>
    </w:p>
    <w:p w14:paraId="6F5F5C28" w14:textId="121A2A87" w:rsidR="00950499" w:rsidRDefault="00903541">
      <w:pPr>
        <w:spacing w:line="520" w:lineRule="atLeast"/>
        <w:ind w:firstLineChars="200" w:firstLine="480"/>
        <w:rPr>
          <w:bCs/>
          <w:sz w:val="24"/>
        </w:rPr>
      </w:pPr>
      <w:r w:rsidRPr="00E619BC">
        <w:rPr>
          <w:rFonts w:hint="eastAsia"/>
          <w:bCs/>
          <w:sz w:val="24"/>
        </w:rPr>
        <w:t>清算过程中的有关重大事项须及时公告；基金财产清算报告</w:t>
      </w:r>
      <w:proofErr w:type="gramStart"/>
      <w:r w:rsidRPr="00E619BC">
        <w:rPr>
          <w:rFonts w:hint="eastAsia"/>
          <w:bCs/>
          <w:sz w:val="24"/>
        </w:rPr>
        <w:t>经符合</w:t>
      </w:r>
      <w:proofErr w:type="gramEnd"/>
      <w:r w:rsidRPr="00E619BC">
        <w:rPr>
          <w:rFonts w:hint="eastAsia"/>
          <w:bCs/>
          <w:sz w:val="24"/>
        </w:rPr>
        <w:t>《中华人民共和国证券法》规定的会计师事务所审计并由律师事务所出具法律意见书后，由基金财产清算小组报中国证监会备案并公告。基金财产清算公告于基金财产清算报告报中国证监会备案后</w:t>
      </w:r>
      <w:r w:rsidRPr="00E619BC">
        <w:rPr>
          <w:rFonts w:hint="eastAsia"/>
          <w:bCs/>
          <w:sz w:val="24"/>
        </w:rPr>
        <w:t>5</w:t>
      </w:r>
      <w:r w:rsidRPr="00E619BC">
        <w:rPr>
          <w:rFonts w:hint="eastAsia"/>
          <w:bCs/>
          <w:sz w:val="24"/>
        </w:rPr>
        <w:t>个工作日内由基金财产清算小组进行公告，基金财产清算小组应当将清算报告登载在规定网站上，并将清算报告提示性公告登载在规定报刊上</w:t>
      </w:r>
      <w:r w:rsidR="005541ED">
        <w:rPr>
          <w:rFonts w:hint="eastAsia"/>
          <w:bCs/>
          <w:sz w:val="24"/>
        </w:rPr>
        <w:t>。</w:t>
      </w:r>
    </w:p>
    <w:p w14:paraId="385F56A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16.2.6基金财产清算账册及文件的保存</w:t>
      </w:r>
    </w:p>
    <w:p w14:paraId="3C8C22B4" w14:textId="1D002308" w:rsidR="00950499" w:rsidRDefault="00903541">
      <w:pPr>
        <w:pStyle w:val="20"/>
        <w:spacing w:before="0" w:after="0" w:line="520" w:lineRule="atLeast"/>
        <w:ind w:left="0" w:firstLineChars="200" w:firstLine="480"/>
        <w:rPr>
          <w:rFonts w:hAnsi="宋体"/>
          <w:szCs w:val="24"/>
        </w:rPr>
      </w:pPr>
      <w:r w:rsidRPr="00E619BC">
        <w:rPr>
          <w:rFonts w:hAnsi="宋体" w:hint="eastAsia"/>
          <w:szCs w:val="24"/>
        </w:rPr>
        <w:t>基金财产清算账册及有关文件由基金托管人保存，保存期限不低于法律法规规定的期限</w:t>
      </w:r>
      <w:r w:rsidR="005541ED">
        <w:rPr>
          <w:rFonts w:hAnsi="宋体" w:hint="eastAsia"/>
          <w:szCs w:val="24"/>
        </w:rPr>
        <w:t>。</w:t>
      </w:r>
      <w:bookmarkStart w:id="51" w:name="_Toc296551353"/>
    </w:p>
    <w:p w14:paraId="671C2BA7" w14:textId="77777777" w:rsidR="00950499" w:rsidRDefault="005541ED">
      <w:pPr>
        <w:pStyle w:val="1"/>
        <w:spacing w:line="520" w:lineRule="atLeast"/>
        <w:ind w:firstLineChars="200" w:firstLine="482"/>
        <w:rPr>
          <w:bCs/>
          <w:color w:val="auto"/>
          <w:szCs w:val="24"/>
        </w:rPr>
      </w:pPr>
      <w:bookmarkStart w:id="52" w:name="_Toc44321740"/>
      <w:r>
        <w:rPr>
          <w:rFonts w:hint="eastAsia"/>
          <w:bCs/>
          <w:color w:val="auto"/>
          <w:szCs w:val="24"/>
        </w:rPr>
        <w:t>第十七条 违约责任</w:t>
      </w:r>
      <w:bookmarkEnd w:id="51"/>
      <w:bookmarkEnd w:id="52"/>
    </w:p>
    <w:p w14:paraId="3EC3A4D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17.1如果基金管理人或基金托管人不履行本协议或者履行本协议不符合约定的，应当承担违约责任。</w:t>
      </w:r>
    </w:p>
    <w:p w14:paraId="7296EF7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17.2</w:t>
      </w:r>
      <w:r w:rsidRPr="00887CEE">
        <w:rPr>
          <w:rFonts w:hAnsi="宋体" w:hint="eastAsia"/>
          <w:b/>
          <w:bCs/>
          <w:szCs w:val="24"/>
        </w:rPr>
        <w:t>因托管协议当事人违约给基金财产或者基金份额持有人造成损害的，应当分别对各自的行为依法承担赔偿责任，因共同行为给基金财产或者基金份额持有人造成损害的，应当承担连带赔偿责任。</w:t>
      </w:r>
      <w:r>
        <w:rPr>
          <w:rFonts w:hAnsi="宋体" w:hint="eastAsia"/>
          <w:szCs w:val="24"/>
        </w:rPr>
        <w:t>但是发生下列情况，当事人可以免责：</w:t>
      </w:r>
    </w:p>
    <w:p w14:paraId="236EA17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（1）不可抗力；</w:t>
      </w:r>
    </w:p>
    <w:p w14:paraId="66364E31" w14:textId="294CB031" w:rsidR="00950499" w:rsidRDefault="005541ED">
      <w:pPr>
        <w:pStyle w:val="20"/>
        <w:spacing w:before="0" w:after="0" w:line="520" w:lineRule="atLeas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sidR="0084539A">
        <w:rPr>
          <w:rFonts w:hint="eastAsia"/>
          <w:bCs/>
        </w:rPr>
        <w:t>当</w:t>
      </w:r>
      <w:r>
        <w:rPr>
          <w:rFonts w:hint="eastAsia"/>
          <w:bCs/>
        </w:rPr>
        <w:t>时</w:t>
      </w:r>
      <w:r>
        <w:rPr>
          <w:rFonts w:hAnsi="宋体" w:hint="eastAsia"/>
          <w:szCs w:val="24"/>
        </w:rPr>
        <w:t>有效的法律法规或中国证监会的规定作为或不作为而造成的损失等；</w:t>
      </w:r>
    </w:p>
    <w:p w14:paraId="4C628B76" w14:textId="0B39816A" w:rsidR="00950499" w:rsidRDefault="005541ED">
      <w:pPr>
        <w:pStyle w:val="20"/>
        <w:spacing w:before="0" w:after="0" w:line="520" w:lineRule="atLeast"/>
        <w:ind w:left="0" w:firstLineChars="200" w:firstLine="480"/>
        <w:rPr>
          <w:rFonts w:hAnsi="宋体"/>
          <w:szCs w:val="24"/>
        </w:rPr>
      </w:pPr>
      <w:r>
        <w:rPr>
          <w:rFonts w:hAnsi="宋体" w:hint="eastAsia"/>
          <w:szCs w:val="24"/>
        </w:rPr>
        <w:t>（3）</w:t>
      </w:r>
      <w:r w:rsidR="00903541">
        <w:rPr>
          <w:rFonts w:hAnsi="宋体" w:hint="eastAsia"/>
          <w:szCs w:val="24"/>
        </w:rPr>
        <w:t>基金管理人由于按照基金合同规定的投资原则</w:t>
      </w:r>
      <w:r w:rsidR="00903541">
        <w:rPr>
          <w:rFonts w:hint="eastAsia"/>
          <w:bCs/>
        </w:rPr>
        <w:t>而行使或不行使其投资权</w:t>
      </w:r>
      <w:r w:rsidR="00903541">
        <w:rPr>
          <w:rFonts w:hAnsi="宋体" w:hint="eastAsia"/>
          <w:szCs w:val="24"/>
        </w:rPr>
        <w:t>而造成的损失等</w:t>
      </w:r>
      <w:r>
        <w:rPr>
          <w:rFonts w:hAnsi="宋体" w:hint="eastAsia"/>
          <w:szCs w:val="24"/>
        </w:rPr>
        <w:t>。</w:t>
      </w:r>
    </w:p>
    <w:p w14:paraId="7B8D09A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lastRenderedPageBreak/>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14:paraId="6CB8391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271FC2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17.5违约行为虽已发生，但本协议能够继续履行的，在最大限度地保护基金份额持有人利益的前提下，基金管理人和基金托管人应当继续履行本协议。</w:t>
      </w:r>
    </w:p>
    <w:p w14:paraId="19E2EF7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基金份额持有人损失，基金管理人和基金托管人免除赔偿责任。但是基金管理人和基金托管人应积极采取必要的措施减轻或消除由此造成的影响。</w:t>
      </w:r>
    </w:p>
    <w:p w14:paraId="320A2C02" w14:textId="77777777" w:rsidR="00950499" w:rsidRDefault="005541ED">
      <w:pPr>
        <w:pStyle w:val="20"/>
        <w:snapToGrid w:val="0"/>
        <w:spacing w:before="0" w:after="0" w:line="520" w:lineRule="atLeast"/>
        <w:ind w:left="0" w:firstLineChars="200" w:firstLine="480"/>
        <w:rPr>
          <w:rFonts w:hAnsi="宋体"/>
          <w:szCs w:val="24"/>
        </w:rPr>
      </w:pPr>
      <w:r>
        <w:rPr>
          <w:rFonts w:hAnsi="宋体" w:hint="eastAsia"/>
          <w:szCs w:val="24"/>
        </w:rPr>
        <w:t>17.7本协议所指损失均为直接损失。</w:t>
      </w:r>
    </w:p>
    <w:p w14:paraId="4B4718E6" w14:textId="77777777" w:rsidR="00950499" w:rsidRDefault="005541ED">
      <w:pPr>
        <w:pStyle w:val="1"/>
        <w:spacing w:line="520" w:lineRule="atLeast"/>
        <w:ind w:firstLineChars="200" w:firstLine="482"/>
        <w:rPr>
          <w:bCs/>
          <w:color w:val="auto"/>
          <w:szCs w:val="24"/>
        </w:rPr>
      </w:pPr>
      <w:bookmarkStart w:id="53" w:name="_Toc44321741"/>
      <w:bookmarkStart w:id="54" w:name="_Toc296551354"/>
      <w:r>
        <w:rPr>
          <w:rFonts w:hint="eastAsia"/>
          <w:bCs/>
          <w:color w:val="auto"/>
          <w:szCs w:val="24"/>
        </w:rPr>
        <w:t>第十八条 法律</w:t>
      </w:r>
      <w:r>
        <w:rPr>
          <w:bCs/>
          <w:color w:val="auto"/>
          <w:szCs w:val="24"/>
        </w:rPr>
        <w:t>适用和</w:t>
      </w:r>
      <w:r>
        <w:rPr>
          <w:rFonts w:hint="eastAsia"/>
          <w:bCs/>
          <w:color w:val="auto"/>
          <w:szCs w:val="24"/>
        </w:rPr>
        <w:t>争议解决</w:t>
      </w:r>
      <w:bookmarkEnd w:id="53"/>
      <w:bookmarkEnd w:id="54"/>
    </w:p>
    <w:p w14:paraId="54002026" w14:textId="7C6DCA16" w:rsidR="0084539A" w:rsidRPr="0084539A" w:rsidRDefault="00DC56E5" w:rsidP="0084539A">
      <w:pPr>
        <w:adjustRightInd w:val="0"/>
        <w:snapToGrid w:val="0"/>
        <w:spacing w:line="520" w:lineRule="atLeast"/>
        <w:ind w:firstLineChars="200" w:firstLine="480"/>
        <w:rPr>
          <w:bCs/>
          <w:sz w:val="24"/>
        </w:rPr>
      </w:pPr>
      <w:r>
        <w:rPr>
          <w:rFonts w:hint="eastAsia"/>
          <w:bCs/>
          <w:sz w:val="24"/>
        </w:rPr>
        <w:t>双</w:t>
      </w:r>
      <w:r w:rsidR="0084539A" w:rsidRPr="0084539A">
        <w:rPr>
          <w:rFonts w:hint="eastAsia"/>
          <w:bCs/>
          <w:sz w:val="24"/>
        </w:rPr>
        <w:t>方当事人同意，因</w:t>
      </w:r>
      <w:r w:rsidR="0084539A">
        <w:rPr>
          <w:rFonts w:hint="eastAsia"/>
          <w:bCs/>
          <w:sz w:val="24"/>
        </w:rPr>
        <w:t>本协议</w:t>
      </w:r>
      <w:r w:rsidR="0084539A" w:rsidRPr="0084539A">
        <w:rPr>
          <w:rFonts w:hint="eastAsia"/>
          <w:bCs/>
          <w:sz w:val="24"/>
        </w:rPr>
        <w:t>而产生的或与</w:t>
      </w:r>
      <w:r w:rsidR="0084539A">
        <w:rPr>
          <w:rFonts w:hint="eastAsia"/>
          <w:bCs/>
          <w:sz w:val="24"/>
        </w:rPr>
        <w:t>本协议</w:t>
      </w:r>
      <w:r w:rsidR="0084539A" w:rsidRPr="0084539A">
        <w:rPr>
          <w:rFonts w:hint="eastAsia"/>
          <w:bCs/>
          <w:sz w:val="24"/>
        </w:rPr>
        <w:t>有关的一切争议，如经友好协商未能解决的，均应提交上海国际经济贸易仲裁委员会，按照申请仲裁时该会届时有效的仲裁规则进行仲裁，仲裁地点为上海市。仲裁裁决是终局的，并对</w:t>
      </w:r>
      <w:r>
        <w:rPr>
          <w:rFonts w:hint="eastAsia"/>
          <w:bCs/>
          <w:sz w:val="24"/>
        </w:rPr>
        <w:t>双方</w:t>
      </w:r>
      <w:r w:rsidR="0084539A" w:rsidRPr="0084539A">
        <w:rPr>
          <w:rFonts w:hint="eastAsia"/>
          <w:bCs/>
          <w:sz w:val="24"/>
        </w:rPr>
        <w:t>当事人具有约束力。除非仲裁裁决另有规定，仲裁费用和律师费用由败诉方承担。</w:t>
      </w:r>
    </w:p>
    <w:p w14:paraId="23DE24FA" w14:textId="4E75CA53" w:rsidR="0084539A" w:rsidRPr="0084539A" w:rsidRDefault="0084539A" w:rsidP="0084539A">
      <w:pPr>
        <w:adjustRightInd w:val="0"/>
        <w:snapToGrid w:val="0"/>
        <w:spacing w:line="520" w:lineRule="atLeast"/>
        <w:ind w:firstLineChars="200" w:firstLine="480"/>
        <w:rPr>
          <w:bCs/>
          <w:sz w:val="24"/>
        </w:rPr>
      </w:pPr>
      <w:r w:rsidRPr="0084539A">
        <w:rPr>
          <w:rFonts w:hint="eastAsia"/>
          <w:bCs/>
          <w:sz w:val="24"/>
        </w:rPr>
        <w:t>争议处理期间，基金管理人和基金托管人应恪守各自的职责，继续忠实、勤勉、尽责地履行</w:t>
      </w:r>
      <w:r w:rsidR="00DC56E5">
        <w:rPr>
          <w:rFonts w:hint="eastAsia"/>
          <w:bCs/>
          <w:sz w:val="24"/>
        </w:rPr>
        <w:t>本协议</w:t>
      </w:r>
      <w:r w:rsidRPr="0084539A">
        <w:rPr>
          <w:rFonts w:hint="eastAsia"/>
          <w:bCs/>
          <w:sz w:val="24"/>
        </w:rPr>
        <w:t>规定的义务，维护基金份额持有人的合法权益。</w:t>
      </w:r>
    </w:p>
    <w:p w14:paraId="01931709" w14:textId="38266353" w:rsidR="00950499" w:rsidRDefault="00DC56E5" w:rsidP="0084539A">
      <w:pPr>
        <w:adjustRightInd w:val="0"/>
        <w:snapToGrid w:val="0"/>
        <w:spacing w:line="520" w:lineRule="atLeast"/>
        <w:ind w:firstLineChars="200" w:firstLine="480"/>
        <w:rPr>
          <w:bCs/>
          <w:sz w:val="24"/>
        </w:rPr>
      </w:pPr>
      <w:r>
        <w:rPr>
          <w:rFonts w:hint="eastAsia"/>
          <w:bCs/>
          <w:sz w:val="24"/>
        </w:rPr>
        <w:t>本协议</w:t>
      </w:r>
      <w:r w:rsidR="0084539A" w:rsidRPr="0084539A">
        <w:rPr>
          <w:rFonts w:hint="eastAsia"/>
          <w:bCs/>
          <w:sz w:val="24"/>
        </w:rPr>
        <w:t>受中国法律（为本</w:t>
      </w:r>
      <w:r>
        <w:rPr>
          <w:rFonts w:hint="eastAsia"/>
          <w:bCs/>
          <w:sz w:val="24"/>
        </w:rPr>
        <w:t>协议</w:t>
      </w:r>
      <w:r w:rsidR="0084539A" w:rsidRPr="0084539A">
        <w:rPr>
          <w:rFonts w:hint="eastAsia"/>
          <w:bCs/>
          <w:sz w:val="24"/>
        </w:rPr>
        <w:t>之目的，不包括香港特别行政区、澳门特别行政区和台湾地区法律）管辖并从其解释</w:t>
      </w:r>
      <w:r w:rsidR="005541ED">
        <w:rPr>
          <w:rFonts w:hint="eastAsia"/>
          <w:bCs/>
          <w:sz w:val="24"/>
        </w:rPr>
        <w:t>。</w:t>
      </w:r>
    </w:p>
    <w:p w14:paraId="6981BAE4" w14:textId="77777777" w:rsidR="00950499" w:rsidRDefault="005541ED">
      <w:pPr>
        <w:pStyle w:val="1"/>
        <w:adjustRightInd w:val="0"/>
        <w:spacing w:line="520" w:lineRule="atLeast"/>
        <w:ind w:firstLineChars="200" w:firstLine="482"/>
        <w:rPr>
          <w:bCs/>
          <w:color w:val="auto"/>
          <w:szCs w:val="24"/>
        </w:rPr>
      </w:pPr>
      <w:bookmarkStart w:id="55" w:name="_Toc296551355"/>
      <w:bookmarkStart w:id="56" w:name="_Toc44321742"/>
      <w:r>
        <w:rPr>
          <w:rFonts w:hint="eastAsia"/>
          <w:bCs/>
          <w:color w:val="auto"/>
          <w:szCs w:val="24"/>
        </w:rPr>
        <w:lastRenderedPageBreak/>
        <w:t>第十九条 本协议的效力</w:t>
      </w:r>
      <w:bookmarkEnd w:id="55"/>
      <w:bookmarkEnd w:id="56"/>
    </w:p>
    <w:p w14:paraId="30EBA701"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w:t>
      </w:r>
      <w:r>
        <w:rPr>
          <w:rFonts w:hAnsi="宋体"/>
          <w:szCs w:val="24"/>
        </w:rPr>
        <w:t>/负责人</w:t>
      </w:r>
      <w:r>
        <w:rPr>
          <w:rFonts w:hAnsi="宋体" w:hint="eastAsia"/>
          <w:szCs w:val="24"/>
        </w:rPr>
        <w:t>或授权代理人签章（签字或加盖名章），本协议当事人双方可能不时根据中国证监会的意见修改托管协议草案。本协议以中国证监会注册的最终文本为正式文本。</w:t>
      </w:r>
    </w:p>
    <w:p w14:paraId="5B72939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19.2本协议自双方</w:t>
      </w:r>
      <w:r>
        <w:rPr>
          <w:rFonts w:hAnsi="宋体"/>
          <w:szCs w:val="24"/>
        </w:rPr>
        <w:t>签订</w:t>
      </w:r>
      <w:r>
        <w:rPr>
          <w:rFonts w:hAnsi="宋体" w:hint="eastAsia"/>
          <w:szCs w:val="24"/>
        </w:rPr>
        <w:t>之日起成立，自基金合同生效之日起生效。本协议的有效期自其生效之日起至该基金财产清算结果报中国证监会备案并公告之日止。</w:t>
      </w:r>
    </w:p>
    <w:p w14:paraId="5595444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19.3本协议自生效之日起对双方具有同等的法律约束力。</w:t>
      </w:r>
    </w:p>
    <w:p w14:paraId="5A6A1124" w14:textId="41FEB5F9" w:rsidR="00950499" w:rsidRDefault="005541ED">
      <w:pPr>
        <w:pStyle w:val="20"/>
        <w:spacing w:before="0" w:after="0" w:line="520" w:lineRule="atLeast"/>
        <w:ind w:left="0" w:firstLineChars="200" w:firstLine="480"/>
        <w:rPr>
          <w:rFonts w:hAnsi="宋体"/>
          <w:szCs w:val="24"/>
        </w:rPr>
      </w:pPr>
      <w:r>
        <w:rPr>
          <w:rFonts w:hAnsi="宋体" w:hint="eastAsia"/>
          <w:szCs w:val="24"/>
        </w:rPr>
        <w:t>19.4本协议正本一式</w:t>
      </w:r>
      <w:r w:rsidR="00903541">
        <w:rPr>
          <w:rFonts w:hAnsi="宋体" w:hint="eastAsia"/>
          <w:szCs w:val="24"/>
        </w:rPr>
        <w:t>三</w:t>
      </w:r>
      <w:r>
        <w:rPr>
          <w:rFonts w:hAnsi="宋体" w:hint="eastAsia"/>
          <w:szCs w:val="24"/>
        </w:rPr>
        <w:t>份，除上报有关监管机构</w:t>
      </w:r>
      <w:r w:rsidR="00903541">
        <w:rPr>
          <w:rFonts w:hAnsi="宋体" w:hint="eastAsia"/>
          <w:szCs w:val="24"/>
        </w:rPr>
        <w:t>一</w:t>
      </w:r>
      <w:r>
        <w:rPr>
          <w:rFonts w:hAnsi="宋体" w:hint="eastAsia"/>
          <w:szCs w:val="24"/>
        </w:rPr>
        <w:t>份外，基金管理人和基金托管人分别持有</w:t>
      </w:r>
      <w:r w:rsidR="00903541">
        <w:rPr>
          <w:rFonts w:hAnsi="宋体" w:hint="eastAsia"/>
          <w:szCs w:val="24"/>
        </w:rPr>
        <w:t>一</w:t>
      </w:r>
      <w:r>
        <w:rPr>
          <w:rFonts w:hAnsi="宋体" w:hint="eastAsia"/>
          <w:szCs w:val="24"/>
        </w:rPr>
        <w:t>份，每份具有同等的法律效力。</w:t>
      </w:r>
    </w:p>
    <w:p w14:paraId="322083BF" w14:textId="77777777" w:rsidR="00950499" w:rsidRDefault="005541ED">
      <w:pPr>
        <w:pStyle w:val="1"/>
        <w:spacing w:line="520" w:lineRule="atLeast"/>
        <w:ind w:firstLineChars="200" w:firstLine="482"/>
        <w:rPr>
          <w:bCs/>
          <w:color w:val="auto"/>
          <w:szCs w:val="24"/>
        </w:rPr>
      </w:pPr>
      <w:bookmarkStart w:id="57" w:name="_Toc296551356"/>
      <w:bookmarkStart w:id="58" w:name="_Toc44321743"/>
      <w:r>
        <w:rPr>
          <w:rFonts w:hint="eastAsia"/>
          <w:bCs/>
          <w:color w:val="auto"/>
          <w:szCs w:val="24"/>
        </w:rPr>
        <w:t>第二十条 本协议的签订</w:t>
      </w:r>
      <w:bookmarkEnd w:id="57"/>
      <w:bookmarkEnd w:id="58"/>
    </w:p>
    <w:p w14:paraId="246AFEEB" w14:textId="77777777" w:rsidR="00950499" w:rsidRDefault="005541ED">
      <w:pPr>
        <w:snapToGrid w:val="0"/>
        <w:spacing w:line="520" w:lineRule="atLeast"/>
        <w:ind w:firstLineChars="200" w:firstLine="480"/>
        <w:rPr>
          <w:rFonts w:ascii="宋体" w:hAnsi="宋体"/>
          <w:sz w:val="24"/>
          <w:szCs w:val="24"/>
        </w:rPr>
      </w:pPr>
      <w:r>
        <w:rPr>
          <w:rFonts w:ascii="宋体" w:hAnsi="宋体" w:hint="eastAsia"/>
          <w:sz w:val="24"/>
          <w:szCs w:val="24"/>
        </w:rPr>
        <w:t>20.1本协议经基金管理人和基金托管人认可后，由双方当事人在本协议上加盖公章或合同专用章，并由各自的法定代表人</w:t>
      </w:r>
      <w:r>
        <w:rPr>
          <w:rFonts w:ascii="宋体" w:hAnsi="宋体"/>
          <w:sz w:val="24"/>
          <w:szCs w:val="24"/>
        </w:rPr>
        <w:t>/负责人</w:t>
      </w:r>
      <w:r>
        <w:rPr>
          <w:rFonts w:ascii="宋体" w:hAnsi="宋体" w:hint="eastAsia"/>
          <w:sz w:val="24"/>
          <w:szCs w:val="24"/>
        </w:rPr>
        <w:t>或授权代理人签章（签字或加盖名章），并注明本托管协议的签订地点和签订日期。</w:t>
      </w:r>
    </w:p>
    <w:p w14:paraId="37C2509E" w14:textId="77777777" w:rsidR="00950499" w:rsidRDefault="005541ED">
      <w:pPr>
        <w:pStyle w:val="1"/>
        <w:spacing w:line="520" w:lineRule="atLeast"/>
        <w:ind w:firstLineChars="200" w:firstLine="482"/>
        <w:rPr>
          <w:bCs/>
          <w:color w:val="auto"/>
          <w:szCs w:val="24"/>
        </w:rPr>
      </w:pPr>
      <w:bookmarkStart w:id="59" w:name="_Toc44321744"/>
      <w:r>
        <w:rPr>
          <w:rFonts w:hint="eastAsia"/>
          <w:bCs/>
          <w:color w:val="auto"/>
          <w:szCs w:val="24"/>
        </w:rPr>
        <w:t>第二十一条 不可抗力</w:t>
      </w:r>
      <w:bookmarkEnd w:id="59"/>
    </w:p>
    <w:p w14:paraId="349B8FAC" w14:textId="6397EA18" w:rsidR="00950499" w:rsidRDefault="005541ED">
      <w:pPr>
        <w:pStyle w:val="20"/>
        <w:spacing w:before="0" w:after="0" w:line="520" w:lineRule="atLeast"/>
        <w:ind w:left="0" w:firstLineChars="200" w:firstLine="480"/>
        <w:rPr>
          <w:rFonts w:hAnsi="宋体"/>
          <w:szCs w:val="24"/>
        </w:rPr>
      </w:pPr>
      <w:r>
        <w:rPr>
          <w:rFonts w:hAnsi="宋体" w:hint="eastAsia"/>
          <w:szCs w:val="24"/>
        </w:rPr>
        <w:t>21.1如果本协议任何一方因受不可抗力事件影响而未能履行其在本协议下的全部或部分义务，</w:t>
      </w:r>
      <w:r w:rsidR="00903541">
        <w:rPr>
          <w:rFonts w:hAnsi="宋体" w:hint="eastAsia"/>
          <w:szCs w:val="24"/>
        </w:rPr>
        <w:t>该方</w:t>
      </w:r>
      <w:proofErr w:type="gramStart"/>
      <w:r w:rsidR="00903541">
        <w:rPr>
          <w:rFonts w:hAnsi="宋体" w:hint="eastAsia"/>
          <w:szCs w:val="24"/>
        </w:rPr>
        <w:t>不</w:t>
      </w:r>
      <w:proofErr w:type="gramEnd"/>
      <w:r w:rsidR="00903541">
        <w:rPr>
          <w:rFonts w:hAnsi="宋体" w:hint="eastAsia"/>
          <w:szCs w:val="24"/>
        </w:rPr>
        <w:t>对此承担违约责任</w:t>
      </w:r>
      <w:r>
        <w:rPr>
          <w:rFonts w:hAnsi="宋体" w:hint="eastAsia"/>
          <w:szCs w:val="24"/>
        </w:rPr>
        <w:t>。</w:t>
      </w:r>
    </w:p>
    <w:p w14:paraId="4EE37DE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08618DD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21.3不可抗力事件发生时，双方应立即通过友好协商决定如何执行本协议。不可抗力事件或其影响终止或消除后，双方须立即恢复履行各自在本协议项下的各项义务。</w:t>
      </w:r>
    </w:p>
    <w:p w14:paraId="218A335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21.4本条所述的不可抗力事件是指不能预见、不能避免并不能克服的客观情况。</w:t>
      </w:r>
    </w:p>
    <w:p w14:paraId="4DDF5A3B" w14:textId="77777777" w:rsidR="00950499" w:rsidRDefault="005541ED">
      <w:pPr>
        <w:pStyle w:val="1"/>
        <w:spacing w:line="520" w:lineRule="atLeast"/>
        <w:ind w:firstLineChars="200" w:firstLine="482"/>
        <w:rPr>
          <w:bCs/>
          <w:szCs w:val="24"/>
        </w:rPr>
      </w:pPr>
      <w:bookmarkStart w:id="60" w:name="_Toc132794324"/>
      <w:bookmarkStart w:id="61" w:name="_Toc132794326"/>
      <w:bookmarkStart w:id="62" w:name="_Toc132794327"/>
      <w:bookmarkStart w:id="63" w:name="_Toc132794328"/>
      <w:bookmarkStart w:id="64" w:name="_Toc132794329"/>
      <w:bookmarkStart w:id="65" w:name="_Toc132794330"/>
      <w:bookmarkStart w:id="66" w:name="_Toc132794325"/>
      <w:bookmarkStart w:id="67" w:name="_Toc44321745"/>
      <w:bookmarkEnd w:id="60"/>
      <w:bookmarkEnd w:id="61"/>
      <w:bookmarkEnd w:id="62"/>
      <w:bookmarkEnd w:id="63"/>
      <w:bookmarkEnd w:id="64"/>
      <w:bookmarkEnd w:id="65"/>
      <w:bookmarkEnd w:id="66"/>
      <w:r>
        <w:rPr>
          <w:rFonts w:hint="eastAsia"/>
          <w:bCs/>
          <w:color w:val="auto"/>
          <w:szCs w:val="24"/>
        </w:rPr>
        <w:lastRenderedPageBreak/>
        <w:t>第二十二条</w:t>
      </w:r>
      <w:r>
        <w:rPr>
          <w:bCs/>
          <w:color w:val="auto"/>
          <w:szCs w:val="24"/>
        </w:rPr>
        <w:t xml:space="preserve"> </w:t>
      </w:r>
      <w:r>
        <w:rPr>
          <w:rFonts w:hint="eastAsia"/>
          <w:bCs/>
          <w:color w:val="auto"/>
          <w:szCs w:val="24"/>
        </w:rPr>
        <w:t>可分割性</w:t>
      </w:r>
      <w:bookmarkEnd w:id="67"/>
    </w:p>
    <w:p w14:paraId="0C955EEE" w14:textId="2C72AAD0" w:rsidR="00950499" w:rsidRDefault="005541ED">
      <w:pPr>
        <w:pStyle w:val="20"/>
        <w:spacing w:before="0" w:after="0" w:line="520" w:lineRule="atLeast"/>
        <w:ind w:left="0" w:firstLineChars="200" w:firstLine="480"/>
        <w:rPr>
          <w:rFonts w:hAnsi="宋体"/>
          <w:szCs w:val="24"/>
        </w:rPr>
      </w:pPr>
      <w:r>
        <w:rPr>
          <w:rFonts w:hAnsi="宋体"/>
          <w:szCs w:val="24"/>
        </w:rPr>
        <w:t>22.1如果本协议任何约定依现行法律被确定为无效或无法实施，本协议的其他条款将继续有效。此种情况下，</w:t>
      </w:r>
      <w:r>
        <w:rPr>
          <w:rFonts w:hAnsi="宋体" w:hint="eastAsia"/>
          <w:szCs w:val="24"/>
        </w:rPr>
        <w:t>双</w:t>
      </w:r>
      <w:r>
        <w:rPr>
          <w:rFonts w:hAnsi="宋体"/>
          <w:szCs w:val="24"/>
        </w:rPr>
        <w:t>方将积极协商</w:t>
      </w:r>
      <w:r>
        <w:rPr>
          <w:rFonts w:asciiTheme="minorEastAsia" w:eastAsiaTheme="minorEastAsia" w:hAnsiTheme="minorEastAsia" w:hint="eastAsia"/>
          <w:szCs w:val="24"/>
        </w:rPr>
        <w:t>解决并另行签署书面协议予以明确</w:t>
      </w:r>
      <w:r>
        <w:rPr>
          <w:rFonts w:hAnsi="宋体"/>
          <w:szCs w:val="24"/>
        </w:rPr>
        <w:t>，且该</w:t>
      </w:r>
      <w:r>
        <w:rPr>
          <w:rFonts w:hAnsi="宋体" w:hint="eastAsia"/>
          <w:szCs w:val="24"/>
        </w:rPr>
        <w:t>协议</w:t>
      </w:r>
      <w:r>
        <w:rPr>
          <w:rFonts w:asciiTheme="minorEastAsia" w:eastAsiaTheme="minorEastAsia" w:hAnsiTheme="minorEastAsia" w:hint="eastAsia"/>
          <w:szCs w:val="24"/>
        </w:rPr>
        <w:t>应</w:t>
      </w:r>
      <w:r>
        <w:rPr>
          <w:rFonts w:hAnsi="宋体"/>
          <w:szCs w:val="24"/>
        </w:rPr>
        <w:t>尽可能接近原规定和本协议相应的精神和宗旨。</w:t>
      </w:r>
    </w:p>
    <w:p w14:paraId="59678D9A" w14:textId="77777777" w:rsidR="00950499" w:rsidRDefault="005541ED">
      <w:pPr>
        <w:pStyle w:val="1"/>
        <w:spacing w:line="520" w:lineRule="atLeast"/>
        <w:ind w:firstLineChars="200" w:firstLine="482"/>
        <w:rPr>
          <w:bCs/>
          <w:szCs w:val="24"/>
        </w:rPr>
      </w:pPr>
      <w:bookmarkStart w:id="68" w:name="_Toc44321746"/>
      <w:r>
        <w:rPr>
          <w:rFonts w:hint="eastAsia"/>
          <w:bCs/>
          <w:color w:val="auto"/>
          <w:szCs w:val="24"/>
        </w:rPr>
        <w:t>第二十三条</w:t>
      </w:r>
      <w:r>
        <w:rPr>
          <w:bCs/>
          <w:color w:val="auto"/>
          <w:szCs w:val="24"/>
        </w:rPr>
        <w:t xml:space="preserve"> </w:t>
      </w:r>
      <w:r>
        <w:rPr>
          <w:rFonts w:hint="eastAsia"/>
          <w:bCs/>
          <w:color w:val="auto"/>
          <w:szCs w:val="24"/>
        </w:rPr>
        <w:t>通知与送达</w:t>
      </w:r>
      <w:bookmarkEnd w:id="68"/>
    </w:p>
    <w:p w14:paraId="74B02F2C" w14:textId="460FC7DA" w:rsidR="00950499" w:rsidRDefault="005541ED">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23.1</w:t>
      </w:r>
      <w:bookmarkStart w:id="69" w:name="OLE_LINK89"/>
      <w:bookmarkStart w:id="70" w:name="OLE_LINK88"/>
      <w:r w:rsidR="00532411" w:rsidRPr="00532411">
        <w:rPr>
          <w:rFonts w:asciiTheme="minorEastAsia" w:eastAsiaTheme="minorEastAsia" w:hAnsiTheme="minorEastAsia" w:hint="eastAsia"/>
          <w:szCs w:val="24"/>
        </w:rPr>
        <w:t>除本协议另有约定外，双方就本协议中涉及各类通知、函件、附件、协议等文件以及就本协议发生纠纷</w:t>
      </w:r>
      <w:proofErr w:type="gramStart"/>
      <w:r w:rsidR="00532411" w:rsidRPr="00532411">
        <w:rPr>
          <w:rFonts w:asciiTheme="minorEastAsia" w:eastAsiaTheme="minorEastAsia" w:hAnsiTheme="minorEastAsia" w:hint="eastAsia"/>
          <w:szCs w:val="24"/>
        </w:rPr>
        <w:t>时相关</w:t>
      </w:r>
      <w:proofErr w:type="gramEnd"/>
      <w:r w:rsidR="00532411" w:rsidRPr="00532411">
        <w:rPr>
          <w:rFonts w:asciiTheme="minorEastAsia" w:eastAsiaTheme="minorEastAsia" w:hAnsiTheme="minorEastAsia" w:hint="eastAsia"/>
          <w:szCs w:val="24"/>
        </w:rPr>
        <w:t>文件和法律文书送达时的送达地址（</w:t>
      </w:r>
      <w:proofErr w:type="gramStart"/>
      <w:r w:rsidR="00532411" w:rsidRPr="00532411">
        <w:rPr>
          <w:rFonts w:asciiTheme="minorEastAsia" w:eastAsiaTheme="minorEastAsia" w:hAnsiTheme="minorEastAsia" w:hint="eastAsia"/>
          <w:szCs w:val="24"/>
        </w:rPr>
        <w:t>含联系</w:t>
      </w:r>
      <w:proofErr w:type="gramEnd"/>
      <w:r w:rsidR="00532411" w:rsidRPr="00532411">
        <w:rPr>
          <w:rFonts w:asciiTheme="minorEastAsia" w:eastAsiaTheme="minorEastAsia" w:hAnsiTheme="minorEastAsia" w:hint="eastAsia"/>
          <w:szCs w:val="24"/>
        </w:rPr>
        <w:t>方式，下同）及法律后果作如下约定：</w:t>
      </w:r>
      <w:bookmarkEnd w:id="69"/>
      <w:bookmarkEnd w:id="70"/>
    </w:p>
    <w:p w14:paraId="260EB035" w14:textId="77777777" w:rsidR="00950499" w:rsidRDefault="005541ED">
      <w:pPr>
        <w:pStyle w:val="20"/>
        <w:adjustRightInd w:val="0"/>
        <w:snapToGrid w:val="0"/>
        <w:spacing w:before="0" w:after="0" w:line="520" w:lineRule="atLeast"/>
        <w:ind w:left="0" w:firstLineChars="200" w:firstLine="480"/>
        <w:rPr>
          <w:rFonts w:asciiTheme="minorEastAsia" w:eastAsiaTheme="minorEastAsia" w:hAnsiTheme="minorEastAsia"/>
          <w:szCs w:val="24"/>
        </w:rPr>
      </w:pPr>
      <w:bookmarkStart w:id="71" w:name="_Hlk51256270"/>
      <w:r>
        <w:rPr>
          <w:rFonts w:asciiTheme="minorEastAsia" w:eastAsiaTheme="minorEastAsia" w:hAnsiTheme="minorEastAsia" w:hint="eastAsia"/>
          <w:szCs w:val="24"/>
        </w:rPr>
        <w:t>2</w:t>
      </w:r>
      <w:r>
        <w:rPr>
          <w:rFonts w:asciiTheme="minorEastAsia" w:eastAsiaTheme="minorEastAsia" w:hAnsiTheme="minorEastAsia"/>
          <w:szCs w:val="24"/>
        </w:rPr>
        <w:t>3.1.1</w:t>
      </w:r>
      <w:bookmarkStart w:id="72" w:name="OLE_LINK92"/>
      <w:bookmarkStart w:id="73" w:name="OLE_LINK93"/>
      <w:r>
        <w:rPr>
          <w:rFonts w:asciiTheme="minorEastAsia" w:eastAsiaTheme="minorEastAsia" w:hAnsiTheme="minorEastAsia" w:hint="eastAsia"/>
          <w:szCs w:val="24"/>
        </w:rPr>
        <w:t>基金管理人与基金托管人</w:t>
      </w:r>
      <w:bookmarkEnd w:id="72"/>
      <w:bookmarkEnd w:id="73"/>
      <w:r>
        <w:rPr>
          <w:rFonts w:asciiTheme="minorEastAsia" w:eastAsiaTheme="minorEastAsia" w:hAnsiTheme="minorEastAsia" w:hint="eastAsia"/>
          <w:szCs w:val="24"/>
        </w:rPr>
        <w:t>确认的有效送达地址</w:t>
      </w:r>
      <w:bookmarkEnd w:id="71"/>
      <w:r>
        <w:rPr>
          <w:rFonts w:asciiTheme="minorEastAsia" w:eastAsiaTheme="minorEastAsia" w:hAnsiTheme="minorEastAsia" w:hint="eastAsia"/>
          <w:szCs w:val="24"/>
        </w:rPr>
        <w:t>：</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46"/>
        <w:gridCol w:w="6135"/>
      </w:tblGrid>
      <w:tr w:rsidR="00950499" w14:paraId="10FEDBFB" w14:textId="77777777">
        <w:trPr>
          <w:jc w:val="center"/>
        </w:trPr>
        <w:tc>
          <w:tcPr>
            <w:tcW w:w="8541" w:type="dxa"/>
            <w:gridSpan w:val="3"/>
            <w:shd w:val="clear" w:color="auto" w:fill="auto"/>
            <w:vAlign w:val="center"/>
          </w:tcPr>
          <w:p w14:paraId="1C8AB999" w14:textId="77777777" w:rsidR="00950499" w:rsidRDefault="005541ED">
            <w:pPr>
              <w:adjustRightInd w:val="0"/>
              <w:snapToGrid w:val="0"/>
              <w:spacing w:line="560" w:lineRule="atLeast"/>
              <w:jc w:val="left"/>
              <w:rPr>
                <w:rFonts w:asciiTheme="minorEastAsia" w:eastAsiaTheme="minorEastAsia" w:hAnsiTheme="minorEastAsia"/>
                <w:b/>
                <w:bCs/>
                <w:sz w:val="24"/>
                <w:szCs w:val="24"/>
              </w:rPr>
            </w:pPr>
            <w:bookmarkStart w:id="74" w:name="_Hlk51256282"/>
            <w:r>
              <w:rPr>
                <w:rFonts w:asciiTheme="minorEastAsia" w:eastAsiaTheme="minorEastAsia" w:hAnsiTheme="minorEastAsia" w:hint="eastAsia"/>
                <w:b/>
                <w:bCs/>
                <w:sz w:val="24"/>
                <w:szCs w:val="24"/>
              </w:rPr>
              <w:t>基金管理人确认其有效送达地址如下</w:t>
            </w:r>
          </w:p>
        </w:tc>
      </w:tr>
      <w:tr w:rsidR="00903541" w14:paraId="694CE1E9" w14:textId="77777777">
        <w:trPr>
          <w:jc w:val="center"/>
        </w:trPr>
        <w:tc>
          <w:tcPr>
            <w:tcW w:w="2406" w:type="dxa"/>
            <w:gridSpan w:val="2"/>
            <w:shd w:val="clear" w:color="auto" w:fill="auto"/>
            <w:vAlign w:val="center"/>
          </w:tcPr>
          <w:p w14:paraId="1C49E4E8" w14:textId="77777777" w:rsidR="00903541" w:rsidRDefault="00903541" w:rsidP="00903541">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联系地址</w:t>
            </w:r>
          </w:p>
        </w:tc>
        <w:tc>
          <w:tcPr>
            <w:tcW w:w="6135" w:type="dxa"/>
            <w:shd w:val="clear" w:color="auto" w:fill="auto"/>
            <w:vAlign w:val="center"/>
          </w:tcPr>
          <w:p w14:paraId="59DF5F03" w14:textId="55FC9659" w:rsidR="00903541" w:rsidRDefault="00903541" w:rsidP="00903541">
            <w:pPr>
              <w:adjustRightInd w:val="0"/>
              <w:snapToGrid w:val="0"/>
              <w:spacing w:line="560" w:lineRule="atLeast"/>
              <w:rPr>
                <w:rFonts w:asciiTheme="minorEastAsia" w:eastAsiaTheme="minorEastAsia" w:hAnsiTheme="minorEastAsia"/>
                <w:b/>
                <w:bCs/>
                <w:sz w:val="24"/>
                <w:szCs w:val="24"/>
              </w:rPr>
            </w:pPr>
            <w:r w:rsidRPr="00D86CBE">
              <w:rPr>
                <w:rFonts w:asciiTheme="minorEastAsia" w:eastAsiaTheme="minorEastAsia" w:hAnsiTheme="minorEastAsia" w:hint="eastAsia"/>
                <w:b/>
                <w:bCs/>
                <w:sz w:val="24"/>
                <w:szCs w:val="24"/>
              </w:rPr>
              <w:t>上海市浦东</w:t>
            </w:r>
            <w:proofErr w:type="gramStart"/>
            <w:r w:rsidRPr="00D86CBE">
              <w:rPr>
                <w:rFonts w:asciiTheme="minorEastAsia" w:eastAsiaTheme="minorEastAsia" w:hAnsiTheme="minorEastAsia" w:hint="eastAsia"/>
                <w:b/>
                <w:bCs/>
                <w:sz w:val="24"/>
                <w:szCs w:val="24"/>
              </w:rPr>
              <w:t>新区世纪</w:t>
            </w:r>
            <w:proofErr w:type="gramEnd"/>
            <w:r w:rsidRPr="00D86CBE">
              <w:rPr>
                <w:rFonts w:asciiTheme="minorEastAsia" w:eastAsiaTheme="minorEastAsia" w:hAnsiTheme="minorEastAsia" w:hint="eastAsia"/>
                <w:b/>
                <w:bCs/>
                <w:sz w:val="24"/>
                <w:szCs w:val="24"/>
              </w:rPr>
              <w:t>大道1196号世纪汇二座27层</w:t>
            </w:r>
          </w:p>
        </w:tc>
      </w:tr>
      <w:tr w:rsidR="00903541" w14:paraId="07D46BEB" w14:textId="77777777">
        <w:trPr>
          <w:jc w:val="center"/>
        </w:trPr>
        <w:tc>
          <w:tcPr>
            <w:tcW w:w="2406" w:type="dxa"/>
            <w:gridSpan w:val="2"/>
            <w:shd w:val="clear" w:color="auto" w:fill="auto"/>
            <w:vAlign w:val="center"/>
          </w:tcPr>
          <w:p w14:paraId="45839018" w14:textId="77777777" w:rsidR="00903541" w:rsidRDefault="00903541" w:rsidP="00903541">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邮政编码</w:t>
            </w:r>
          </w:p>
        </w:tc>
        <w:tc>
          <w:tcPr>
            <w:tcW w:w="6135" w:type="dxa"/>
            <w:shd w:val="clear" w:color="auto" w:fill="auto"/>
            <w:vAlign w:val="center"/>
          </w:tcPr>
          <w:p w14:paraId="633BCA80" w14:textId="5620C94B" w:rsidR="00903541" w:rsidRDefault="00903541" w:rsidP="00903541">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w:t>
            </w:r>
            <w:r>
              <w:rPr>
                <w:rFonts w:asciiTheme="minorEastAsia" w:eastAsiaTheme="minorEastAsia" w:hAnsiTheme="minorEastAsia"/>
                <w:b/>
                <w:bCs/>
                <w:sz w:val="24"/>
                <w:szCs w:val="24"/>
              </w:rPr>
              <w:t>00122</w:t>
            </w:r>
          </w:p>
        </w:tc>
      </w:tr>
      <w:tr w:rsidR="00903541" w14:paraId="6F5EDBB4" w14:textId="77777777">
        <w:trPr>
          <w:jc w:val="center"/>
        </w:trPr>
        <w:tc>
          <w:tcPr>
            <w:tcW w:w="2406" w:type="dxa"/>
            <w:gridSpan w:val="2"/>
            <w:shd w:val="clear" w:color="auto" w:fill="auto"/>
            <w:vAlign w:val="center"/>
          </w:tcPr>
          <w:p w14:paraId="7B3CBA8F" w14:textId="77777777" w:rsidR="00903541" w:rsidRDefault="00903541" w:rsidP="00903541">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联系人</w:t>
            </w:r>
          </w:p>
        </w:tc>
        <w:tc>
          <w:tcPr>
            <w:tcW w:w="6135" w:type="dxa"/>
            <w:shd w:val="clear" w:color="auto" w:fill="auto"/>
            <w:vAlign w:val="center"/>
          </w:tcPr>
          <w:p w14:paraId="63CDF5E2" w14:textId="42D730D7" w:rsidR="00903541" w:rsidRDefault="00903541" w:rsidP="00903541">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孙迪</w:t>
            </w:r>
          </w:p>
        </w:tc>
      </w:tr>
      <w:tr w:rsidR="00903541" w14:paraId="387D3E22" w14:textId="77777777">
        <w:trPr>
          <w:jc w:val="center"/>
        </w:trPr>
        <w:tc>
          <w:tcPr>
            <w:tcW w:w="2406" w:type="dxa"/>
            <w:gridSpan w:val="2"/>
            <w:shd w:val="clear" w:color="auto" w:fill="auto"/>
            <w:vAlign w:val="center"/>
          </w:tcPr>
          <w:p w14:paraId="251F8B38" w14:textId="77777777" w:rsidR="00903541" w:rsidRDefault="00903541" w:rsidP="00903541">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联系电话</w:t>
            </w:r>
          </w:p>
        </w:tc>
        <w:tc>
          <w:tcPr>
            <w:tcW w:w="6135" w:type="dxa"/>
            <w:shd w:val="clear" w:color="auto" w:fill="auto"/>
            <w:vAlign w:val="center"/>
          </w:tcPr>
          <w:p w14:paraId="462C9C84" w14:textId="547985D7" w:rsidR="00903541" w:rsidRDefault="00903541" w:rsidP="00903541">
            <w:pPr>
              <w:adjustRightInd w:val="0"/>
              <w:snapToGrid w:val="0"/>
              <w:spacing w:line="560" w:lineRule="atLeast"/>
              <w:rPr>
                <w:rFonts w:asciiTheme="minorEastAsia" w:eastAsiaTheme="minorEastAsia" w:hAnsiTheme="minorEastAsia"/>
                <w:b/>
                <w:bCs/>
                <w:sz w:val="24"/>
                <w:szCs w:val="24"/>
              </w:rPr>
            </w:pPr>
            <w:r w:rsidRPr="00D86CBE">
              <w:rPr>
                <w:rFonts w:asciiTheme="minorEastAsia" w:eastAsiaTheme="minorEastAsia" w:hAnsiTheme="minorEastAsia" w:hint="eastAsia"/>
                <w:b/>
                <w:bCs/>
                <w:sz w:val="24"/>
                <w:szCs w:val="24"/>
              </w:rPr>
              <w:t>95105686、4008880688（全国统一，免长途话费）</w:t>
            </w:r>
          </w:p>
        </w:tc>
      </w:tr>
      <w:tr w:rsidR="00903541" w14:paraId="667DAA4E" w14:textId="77777777">
        <w:trPr>
          <w:jc w:val="center"/>
        </w:trPr>
        <w:tc>
          <w:tcPr>
            <w:tcW w:w="660" w:type="dxa"/>
            <w:vMerge w:val="restart"/>
            <w:shd w:val="clear" w:color="auto" w:fill="auto"/>
            <w:vAlign w:val="center"/>
          </w:tcPr>
          <w:p w14:paraId="37C57173" w14:textId="77777777" w:rsidR="00903541" w:rsidRDefault="00903541" w:rsidP="00903541">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电子送达</w:t>
            </w:r>
          </w:p>
        </w:tc>
        <w:tc>
          <w:tcPr>
            <w:tcW w:w="1746" w:type="dxa"/>
            <w:shd w:val="clear" w:color="auto" w:fill="auto"/>
            <w:vAlign w:val="center"/>
          </w:tcPr>
          <w:p w14:paraId="2C9E0D1D" w14:textId="77777777" w:rsidR="00903541" w:rsidRDefault="00903541" w:rsidP="00903541">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电子邮箱</w:t>
            </w:r>
          </w:p>
        </w:tc>
        <w:tc>
          <w:tcPr>
            <w:tcW w:w="6135" w:type="dxa"/>
            <w:shd w:val="clear" w:color="auto" w:fill="auto"/>
            <w:vAlign w:val="center"/>
          </w:tcPr>
          <w:p w14:paraId="4669DE30" w14:textId="55106BDC" w:rsidR="00903541" w:rsidRDefault="00903541" w:rsidP="00903541">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s</w:t>
            </w:r>
            <w:r>
              <w:rPr>
                <w:rFonts w:asciiTheme="minorEastAsia" w:eastAsiaTheme="minorEastAsia" w:hAnsiTheme="minorEastAsia"/>
                <w:b/>
                <w:bCs/>
                <w:sz w:val="24"/>
                <w:szCs w:val="24"/>
              </w:rPr>
              <w:t>undi@fullgoal.com.cn</w:t>
            </w:r>
          </w:p>
        </w:tc>
      </w:tr>
      <w:tr w:rsidR="00903541" w14:paraId="6B375D58" w14:textId="77777777">
        <w:trPr>
          <w:jc w:val="center"/>
        </w:trPr>
        <w:tc>
          <w:tcPr>
            <w:tcW w:w="660" w:type="dxa"/>
            <w:vMerge/>
            <w:shd w:val="clear" w:color="auto" w:fill="auto"/>
            <w:vAlign w:val="center"/>
          </w:tcPr>
          <w:p w14:paraId="7DFB6E7D" w14:textId="77777777" w:rsidR="00903541" w:rsidRDefault="00903541" w:rsidP="00903541">
            <w:pPr>
              <w:adjustRightInd w:val="0"/>
              <w:snapToGrid w:val="0"/>
              <w:spacing w:line="560" w:lineRule="atLeast"/>
              <w:jc w:val="center"/>
              <w:rPr>
                <w:rFonts w:asciiTheme="minorEastAsia" w:eastAsiaTheme="minorEastAsia" w:hAnsiTheme="minorEastAsia"/>
                <w:b/>
                <w:bCs/>
                <w:sz w:val="24"/>
                <w:szCs w:val="24"/>
              </w:rPr>
            </w:pPr>
          </w:p>
        </w:tc>
        <w:tc>
          <w:tcPr>
            <w:tcW w:w="1746" w:type="dxa"/>
            <w:shd w:val="clear" w:color="auto" w:fill="auto"/>
            <w:vAlign w:val="center"/>
          </w:tcPr>
          <w:p w14:paraId="31CAB0CA" w14:textId="77777777" w:rsidR="00903541" w:rsidRDefault="00903541" w:rsidP="00903541">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传真</w:t>
            </w:r>
          </w:p>
        </w:tc>
        <w:tc>
          <w:tcPr>
            <w:tcW w:w="6135" w:type="dxa"/>
            <w:shd w:val="clear" w:color="auto" w:fill="auto"/>
            <w:vAlign w:val="center"/>
          </w:tcPr>
          <w:p w14:paraId="47ED0721" w14:textId="7206C032" w:rsidR="00903541" w:rsidRDefault="00903541" w:rsidP="00903541">
            <w:pPr>
              <w:adjustRightInd w:val="0"/>
              <w:snapToGrid w:val="0"/>
              <w:spacing w:line="560" w:lineRule="atLeast"/>
              <w:rPr>
                <w:rFonts w:asciiTheme="minorEastAsia" w:eastAsiaTheme="minorEastAsia" w:hAnsiTheme="minorEastAsia"/>
                <w:b/>
                <w:bCs/>
                <w:sz w:val="24"/>
                <w:szCs w:val="24"/>
              </w:rPr>
            </w:pPr>
            <w:r w:rsidRPr="009D38A5">
              <w:rPr>
                <w:rFonts w:asciiTheme="minorEastAsia" w:eastAsiaTheme="minorEastAsia" w:hAnsiTheme="minorEastAsia"/>
                <w:b/>
                <w:bCs/>
                <w:sz w:val="24"/>
                <w:szCs w:val="24"/>
              </w:rPr>
              <w:t>021-20513177</w:t>
            </w:r>
          </w:p>
        </w:tc>
      </w:tr>
      <w:tr w:rsidR="00950499" w14:paraId="3FE118C5" w14:textId="77777777">
        <w:trPr>
          <w:jc w:val="center"/>
        </w:trPr>
        <w:tc>
          <w:tcPr>
            <w:tcW w:w="660" w:type="dxa"/>
            <w:vMerge/>
            <w:shd w:val="clear" w:color="auto" w:fill="auto"/>
            <w:vAlign w:val="center"/>
          </w:tcPr>
          <w:p w14:paraId="4604E970" w14:textId="77777777" w:rsidR="00950499" w:rsidRDefault="00950499">
            <w:pPr>
              <w:adjustRightInd w:val="0"/>
              <w:snapToGrid w:val="0"/>
              <w:spacing w:line="560" w:lineRule="atLeast"/>
              <w:jc w:val="center"/>
              <w:rPr>
                <w:rFonts w:asciiTheme="minorEastAsia" w:eastAsiaTheme="minorEastAsia" w:hAnsiTheme="minorEastAsia"/>
                <w:b/>
                <w:bCs/>
                <w:sz w:val="24"/>
                <w:szCs w:val="24"/>
              </w:rPr>
            </w:pPr>
          </w:p>
        </w:tc>
        <w:tc>
          <w:tcPr>
            <w:tcW w:w="1746" w:type="dxa"/>
            <w:shd w:val="clear" w:color="auto" w:fill="auto"/>
            <w:vAlign w:val="center"/>
          </w:tcPr>
          <w:p w14:paraId="457C39E4" w14:textId="77777777" w:rsidR="00950499" w:rsidRDefault="005541ED">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手机号码</w:t>
            </w:r>
          </w:p>
        </w:tc>
        <w:tc>
          <w:tcPr>
            <w:tcW w:w="6135" w:type="dxa"/>
            <w:shd w:val="clear" w:color="auto" w:fill="auto"/>
            <w:vAlign w:val="center"/>
          </w:tcPr>
          <w:p w14:paraId="49C5AF40" w14:textId="77777777" w:rsidR="00950499" w:rsidRDefault="005541ED">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p>
        </w:tc>
      </w:tr>
      <w:tr w:rsidR="00950499" w14:paraId="2B761852" w14:textId="77777777">
        <w:trPr>
          <w:jc w:val="center"/>
        </w:trPr>
        <w:tc>
          <w:tcPr>
            <w:tcW w:w="660" w:type="dxa"/>
            <w:vMerge/>
            <w:shd w:val="clear" w:color="auto" w:fill="auto"/>
            <w:vAlign w:val="center"/>
          </w:tcPr>
          <w:p w14:paraId="39801456" w14:textId="77777777" w:rsidR="00950499" w:rsidRDefault="00950499">
            <w:pPr>
              <w:adjustRightInd w:val="0"/>
              <w:snapToGrid w:val="0"/>
              <w:spacing w:line="560" w:lineRule="atLeast"/>
              <w:jc w:val="center"/>
              <w:rPr>
                <w:rFonts w:asciiTheme="minorEastAsia" w:eastAsiaTheme="minorEastAsia" w:hAnsiTheme="minorEastAsia"/>
                <w:b/>
                <w:bCs/>
                <w:sz w:val="24"/>
                <w:szCs w:val="24"/>
              </w:rPr>
            </w:pPr>
          </w:p>
        </w:tc>
        <w:tc>
          <w:tcPr>
            <w:tcW w:w="1746" w:type="dxa"/>
            <w:shd w:val="clear" w:color="auto" w:fill="auto"/>
            <w:vAlign w:val="center"/>
          </w:tcPr>
          <w:p w14:paraId="0198E7C2" w14:textId="77777777" w:rsidR="00950499" w:rsidRDefault="005541ED">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微信号</w:t>
            </w:r>
          </w:p>
        </w:tc>
        <w:tc>
          <w:tcPr>
            <w:tcW w:w="6135" w:type="dxa"/>
            <w:shd w:val="clear" w:color="auto" w:fill="auto"/>
            <w:vAlign w:val="center"/>
          </w:tcPr>
          <w:p w14:paraId="61FFC003" w14:textId="77777777" w:rsidR="00950499" w:rsidRDefault="005541ED">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p>
        </w:tc>
      </w:tr>
      <w:tr w:rsidR="00950499" w14:paraId="64291555" w14:textId="77777777">
        <w:trPr>
          <w:jc w:val="center"/>
        </w:trPr>
        <w:tc>
          <w:tcPr>
            <w:tcW w:w="8541" w:type="dxa"/>
            <w:gridSpan w:val="3"/>
            <w:shd w:val="clear" w:color="auto" w:fill="auto"/>
            <w:vAlign w:val="center"/>
          </w:tcPr>
          <w:p w14:paraId="6C8FCFF0" w14:textId="77777777" w:rsidR="00950499" w:rsidRDefault="005541ED">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基金托管人确认其有效送达地址如下</w:t>
            </w:r>
          </w:p>
        </w:tc>
      </w:tr>
      <w:tr w:rsidR="00950499" w14:paraId="524DFA5B" w14:textId="77777777">
        <w:trPr>
          <w:jc w:val="center"/>
        </w:trPr>
        <w:tc>
          <w:tcPr>
            <w:tcW w:w="2406" w:type="dxa"/>
            <w:gridSpan w:val="2"/>
            <w:shd w:val="clear" w:color="auto" w:fill="auto"/>
            <w:vAlign w:val="center"/>
          </w:tcPr>
          <w:p w14:paraId="1724547E" w14:textId="77777777" w:rsidR="00950499" w:rsidRDefault="005541ED">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联系地址</w:t>
            </w:r>
          </w:p>
        </w:tc>
        <w:tc>
          <w:tcPr>
            <w:tcW w:w="6135" w:type="dxa"/>
            <w:shd w:val="clear" w:color="auto" w:fill="auto"/>
            <w:vAlign w:val="center"/>
          </w:tcPr>
          <w:p w14:paraId="67CA2DDA" w14:textId="77777777" w:rsidR="00950499" w:rsidRDefault="005541ED">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p>
        </w:tc>
      </w:tr>
      <w:tr w:rsidR="00950499" w14:paraId="1343066D" w14:textId="77777777">
        <w:trPr>
          <w:jc w:val="center"/>
        </w:trPr>
        <w:tc>
          <w:tcPr>
            <w:tcW w:w="2406" w:type="dxa"/>
            <w:gridSpan w:val="2"/>
            <w:shd w:val="clear" w:color="auto" w:fill="auto"/>
            <w:vAlign w:val="center"/>
          </w:tcPr>
          <w:p w14:paraId="148A600F" w14:textId="77777777" w:rsidR="00950499" w:rsidRDefault="005541ED">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邮政编码</w:t>
            </w:r>
          </w:p>
        </w:tc>
        <w:tc>
          <w:tcPr>
            <w:tcW w:w="6135" w:type="dxa"/>
            <w:shd w:val="clear" w:color="auto" w:fill="auto"/>
            <w:vAlign w:val="center"/>
          </w:tcPr>
          <w:p w14:paraId="1B93E19D" w14:textId="77777777" w:rsidR="00950499" w:rsidRDefault="005541ED">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p>
        </w:tc>
      </w:tr>
      <w:tr w:rsidR="00950499" w14:paraId="3D25C182" w14:textId="77777777">
        <w:trPr>
          <w:jc w:val="center"/>
        </w:trPr>
        <w:tc>
          <w:tcPr>
            <w:tcW w:w="2406" w:type="dxa"/>
            <w:gridSpan w:val="2"/>
            <w:shd w:val="clear" w:color="auto" w:fill="auto"/>
            <w:vAlign w:val="center"/>
          </w:tcPr>
          <w:p w14:paraId="0D5A3487" w14:textId="77777777" w:rsidR="00950499" w:rsidRDefault="005541ED">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联系人</w:t>
            </w:r>
          </w:p>
        </w:tc>
        <w:tc>
          <w:tcPr>
            <w:tcW w:w="6135" w:type="dxa"/>
            <w:shd w:val="clear" w:color="auto" w:fill="auto"/>
            <w:vAlign w:val="center"/>
          </w:tcPr>
          <w:p w14:paraId="589DE9F8" w14:textId="77777777" w:rsidR="00950499" w:rsidRDefault="005541ED">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p>
        </w:tc>
      </w:tr>
      <w:tr w:rsidR="00950499" w14:paraId="1EA802DA" w14:textId="77777777">
        <w:trPr>
          <w:jc w:val="center"/>
        </w:trPr>
        <w:tc>
          <w:tcPr>
            <w:tcW w:w="2406" w:type="dxa"/>
            <w:gridSpan w:val="2"/>
            <w:shd w:val="clear" w:color="auto" w:fill="auto"/>
            <w:vAlign w:val="center"/>
          </w:tcPr>
          <w:p w14:paraId="6C7D8013" w14:textId="77777777" w:rsidR="00950499" w:rsidRDefault="005541ED">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联系电话</w:t>
            </w:r>
          </w:p>
        </w:tc>
        <w:tc>
          <w:tcPr>
            <w:tcW w:w="6135" w:type="dxa"/>
            <w:shd w:val="clear" w:color="auto" w:fill="auto"/>
            <w:vAlign w:val="center"/>
          </w:tcPr>
          <w:p w14:paraId="25A74FAA" w14:textId="77777777" w:rsidR="00950499" w:rsidRDefault="005541ED">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p>
        </w:tc>
      </w:tr>
      <w:tr w:rsidR="00950499" w14:paraId="6E5F3028" w14:textId="77777777">
        <w:trPr>
          <w:jc w:val="center"/>
        </w:trPr>
        <w:tc>
          <w:tcPr>
            <w:tcW w:w="660" w:type="dxa"/>
            <w:vMerge w:val="restart"/>
            <w:shd w:val="clear" w:color="auto" w:fill="auto"/>
            <w:vAlign w:val="center"/>
          </w:tcPr>
          <w:p w14:paraId="2E8233B9" w14:textId="77777777" w:rsidR="00950499" w:rsidRDefault="005541ED">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电子送</w:t>
            </w:r>
            <w:r>
              <w:rPr>
                <w:rFonts w:asciiTheme="minorEastAsia" w:eastAsiaTheme="minorEastAsia" w:hAnsiTheme="minorEastAsia" w:hint="eastAsia"/>
                <w:b/>
                <w:bCs/>
                <w:sz w:val="24"/>
                <w:szCs w:val="24"/>
              </w:rPr>
              <w:lastRenderedPageBreak/>
              <w:t>达</w:t>
            </w:r>
          </w:p>
        </w:tc>
        <w:tc>
          <w:tcPr>
            <w:tcW w:w="1746" w:type="dxa"/>
            <w:shd w:val="clear" w:color="auto" w:fill="auto"/>
            <w:vAlign w:val="center"/>
          </w:tcPr>
          <w:p w14:paraId="54070178" w14:textId="77777777" w:rsidR="00950499" w:rsidRDefault="005541ED">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电子邮箱</w:t>
            </w:r>
          </w:p>
        </w:tc>
        <w:tc>
          <w:tcPr>
            <w:tcW w:w="6135" w:type="dxa"/>
            <w:shd w:val="clear" w:color="auto" w:fill="auto"/>
            <w:vAlign w:val="center"/>
          </w:tcPr>
          <w:p w14:paraId="2BD03A74" w14:textId="77777777" w:rsidR="00950499" w:rsidRDefault="005541ED">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p>
        </w:tc>
      </w:tr>
      <w:tr w:rsidR="00950499" w14:paraId="0B5420E9" w14:textId="77777777">
        <w:trPr>
          <w:jc w:val="center"/>
        </w:trPr>
        <w:tc>
          <w:tcPr>
            <w:tcW w:w="660" w:type="dxa"/>
            <w:vMerge/>
            <w:shd w:val="clear" w:color="auto" w:fill="auto"/>
            <w:vAlign w:val="center"/>
          </w:tcPr>
          <w:p w14:paraId="54C75B54" w14:textId="77777777" w:rsidR="00950499" w:rsidRDefault="00950499">
            <w:pPr>
              <w:adjustRightInd w:val="0"/>
              <w:snapToGrid w:val="0"/>
              <w:spacing w:line="560" w:lineRule="atLeast"/>
              <w:jc w:val="center"/>
              <w:rPr>
                <w:rFonts w:asciiTheme="minorEastAsia" w:eastAsiaTheme="minorEastAsia" w:hAnsiTheme="minorEastAsia"/>
                <w:b/>
                <w:bCs/>
                <w:sz w:val="24"/>
                <w:szCs w:val="24"/>
              </w:rPr>
            </w:pPr>
          </w:p>
        </w:tc>
        <w:tc>
          <w:tcPr>
            <w:tcW w:w="1746" w:type="dxa"/>
            <w:shd w:val="clear" w:color="auto" w:fill="auto"/>
            <w:vAlign w:val="center"/>
          </w:tcPr>
          <w:p w14:paraId="7F077576" w14:textId="77777777" w:rsidR="00950499" w:rsidRDefault="005541ED">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传真</w:t>
            </w:r>
          </w:p>
        </w:tc>
        <w:tc>
          <w:tcPr>
            <w:tcW w:w="6135" w:type="dxa"/>
            <w:shd w:val="clear" w:color="auto" w:fill="auto"/>
            <w:vAlign w:val="center"/>
          </w:tcPr>
          <w:p w14:paraId="5C3228CD" w14:textId="77777777" w:rsidR="00950499" w:rsidRDefault="005541ED">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p>
        </w:tc>
      </w:tr>
      <w:tr w:rsidR="00950499" w14:paraId="6FDE027B" w14:textId="77777777">
        <w:trPr>
          <w:jc w:val="center"/>
        </w:trPr>
        <w:tc>
          <w:tcPr>
            <w:tcW w:w="660" w:type="dxa"/>
            <w:vMerge/>
            <w:shd w:val="clear" w:color="auto" w:fill="auto"/>
            <w:vAlign w:val="center"/>
          </w:tcPr>
          <w:p w14:paraId="357F355B" w14:textId="77777777" w:rsidR="00950499" w:rsidRDefault="00950499">
            <w:pPr>
              <w:adjustRightInd w:val="0"/>
              <w:snapToGrid w:val="0"/>
              <w:spacing w:line="560" w:lineRule="atLeast"/>
              <w:jc w:val="center"/>
              <w:rPr>
                <w:rFonts w:asciiTheme="minorEastAsia" w:eastAsiaTheme="minorEastAsia" w:hAnsiTheme="minorEastAsia"/>
                <w:b/>
                <w:bCs/>
                <w:sz w:val="24"/>
                <w:szCs w:val="24"/>
              </w:rPr>
            </w:pPr>
          </w:p>
        </w:tc>
        <w:tc>
          <w:tcPr>
            <w:tcW w:w="1746" w:type="dxa"/>
            <w:shd w:val="clear" w:color="auto" w:fill="auto"/>
            <w:vAlign w:val="center"/>
          </w:tcPr>
          <w:p w14:paraId="6C2EAC10" w14:textId="77777777" w:rsidR="00950499" w:rsidRDefault="005541ED">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手机号码</w:t>
            </w:r>
          </w:p>
        </w:tc>
        <w:tc>
          <w:tcPr>
            <w:tcW w:w="6135" w:type="dxa"/>
            <w:shd w:val="clear" w:color="auto" w:fill="auto"/>
            <w:vAlign w:val="center"/>
          </w:tcPr>
          <w:p w14:paraId="558BD101" w14:textId="77777777" w:rsidR="00950499" w:rsidRDefault="005541ED">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p>
        </w:tc>
      </w:tr>
      <w:tr w:rsidR="00950499" w14:paraId="166EA2BB" w14:textId="77777777">
        <w:trPr>
          <w:jc w:val="center"/>
        </w:trPr>
        <w:tc>
          <w:tcPr>
            <w:tcW w:w="660" w:type="dxa"/>
            <w:vMerge/>
            <w:shd w:val="clear" w:color="auto" w:fill="auto"/>
            <w:vAlign w:val="center"/>
          </w:tcPr>
          <w:p w14:paraId="331210D6" w14:textId="77777777" w:rsidR="00950499" w:rsidRDefault="00950499">
            <w:pPr>
              <w:adjustRightInd w:val="0"/>
              <w:snapToGrid w:val="0"/>
              <w:spacing w:line="560" w:lineRule="atLeast"/>
              <w:jc w:val="center"/>
              <w:rPr>
                <w:rFonts w:asciiTheme="minorEastAsia" w:eastAsiaTheme="minorEastAsia" w:hAnsiTheme="minorEastAsia"/>
                <w:b/>
                <w:bCs/>
                <w:sz w:val="24"/>
                <w:szCs w:val="24"/>
              </w:rPr>
            </w:pPr>
          </w:p>
        </w:tc>
        <w:tc>
          <w:tcPr>
            <w:tcW w:w="1746" w:type="dxa"/>
            <w:shd w:val="clear" w:color="auto" w:fill="auto"/>
            <w:vAlign w:val="center"/>
          </w:tcPr>
          <w:p w14:paraId="571CA7CD" w14:textId="77777777" w:rsidR="00950499" w:rsidRDefault="005541ED">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微信号</w:t>
            </w:r>
          </w:p>
        </w:tc>
        <w:tc>
          <w:tcPr>
            <w:tcW w:w="6135" w:type="dxa"/>
            <w:shd w:val="clear" w:color="auto" w:fill="auto"/>
            <w:vAlign w:val="center"/>
          </w:tcPr>
          <w:p w14:paraId="015E36F2" w14:textId="77777777" w:rsidR="00950499" w:rsidRDefault="005541ED">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p>
        </w:tc>
      </w:tr>
      <w:bookmarkEnd w:id="74"/>
    </w:tbl>
    <w:p w14:paraId="2D6597FC" w14:textId="77777777" w:rsidR="00950499" w:rsidRDefault="00950499">
      <w:pPr>
        <w:snapToGrid w:val="0"/>
        <w:spacing w:line="520" w:lineRule="atLeast"/>
        <w:ind w:firstLineChars="200" w:firstLine="480"/>
        <w:rPr>
          <w:rFonts w:asciiTheme="minorEastAsia" w:eastAsiaTheme="minorEastAsia" w:hAnsiTheme="minorEastAsia"/>
          <w:sz w:val="24"/>
          <w:szCs w:val="24"/>
        </w:rPr>
      </w:pPr>
    </w:p>
    <w:p w14:paraId="2D84586E" w14:textId="77777777" w:rsidR="00950499" w:rsidRDefault="005541ED">
      <w:pPr>
        <w:snapToGrid w:val="0"/>
        <w:spacing w:line="5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3.1.2</w:t>
      </w:r>
      <w:r>
        <w:rPr>
          <w:rFonts w:asciiTheme="minorEastAsia" w:eastAsiaTheme="minorEastAsia" w:hAnsiTheme="minorEastAsia" w:hint="eastAsia"/>
          <w:sz w:val="24"/>
          <w:szCs w:val="24"/>
        </w:rPr>
        <w:t>本条款中双方确认的送达地址如发生变更的，应当在发生变更之日起三日内通过书面方式通知对方，</w:t>
      </w:r>
      <w:r>
        <w:rPr>
          <w:rFonts w:asciiTheme="minorEastAsia" w:eastAsiaTheme="minorEastAsia" w:hAnsiTheme="minorEastAsia" w:hint="eastAsia"/>
          <w:b/>
          <w:bCs/>
          <w:sz w:val="24"/>
          <w:szCs w:val="24"/>
        </w:rPr>
        <w:t>但双方同意并认可，中信银行及其分支机构通过中信银行网上银行、手机银行、官方网站等渠道展示与本协议相关的提示、公告、通知、联系地址及邮政编码变更等信息的，该等信息一经展示（</w:t>
      </w:r>
      <w:proofErr w:type="gramStart"/>
      <w:r>
        <w:rPr>
          <w:rFonts w:asciiTheme="minorEastAsia" w:eastAsiaTheme="minorEastAsia" w:hAnsiTheme="minorEastAsia" w:hint="eastAsia"/>
          <w:b/>
          <w:bCs/>
          <w:sz w:val="24"/>
          <w:szCs w:val="24"/>
        </w:rPr>
        <w:t>如展示</w:t>
      </w:r>
      <w:proofErr w:type="gramEnd"/>
      <w:r>
        <w:rPr>
          <w:rFonts w:asciiTheme="minorEastAsia" w:eastAsiaTheme="minorEastAsia" w:hAnsiTheme="minorEastAsia" w:hint="eastAsia"/>
          <w:b/>
          <w:bCs/>
          <w:sz w:val="24"/>
          <w:szCs w:val="24"/>
        </w:rPr>
        <w:t>信息载明生效日期的，以该载明日期为准）即视为已通知/送达基金管理人。</w:t>
      </w:r>
      <w:r>
        <w:rPr>
          <w:rFonts w:asciiTheme="minorEastAsia" w:eastAsiaTheme="minorEastAsia" w:hAnsiTheme="minorEastAsia" w:hint="eastAsia"/>
          <w:sz w:val="24"/>
          <w:szCs w:val="24"/>
        </w:rPr>
        <w:t>在涉及仲裁及民事诉讼、执行程序时，任何一方送达地址发生变更的，应当在发生变更当日通过书面方式告知仲裁机构、法院。</w:t>
      </w:r>
      <w:r>
        <w:rPr>
          <w:rFonts w:asciiTheme="minorEastAsia" w:eastAsiaTheme="minorEastAsia" w:hAnsiTheme="minorEastAsia" w:hint="eastAsia"/>
          <w:b/>
          <w:bCs/>
          <w:sz w:val="24"/>
          <w:szCs w:val="24"/>
        </w:rPr>
        <w:t>任何一方未按前述方式履行通知、告知义务的，该方所确认的送达地址仍视为有效送达地址。</w:t>
      </w:r>
    </w:p>
    <w:p w14:paraId="494146CB" w14:textId="77777777" w:rsidR="00950499" w:rsidRDefault="005541ED">
      <w:pPr>
        <w:snapToGrid w:val="0"/>
        <w:spacing w:line="52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3.1.3</w:t>
      </w:r>
      <w:r>
        <w:rPr>
          <w:rFonts w:asciiTheme="minorEastAsia" w:eastAsiaTheme="minorEastAsia" w:hAnsiTheme="minorEastAsia" w:hint="eastAsia"/>
          <w:sz w:val="24"/>
          <w:szCs w:val="24"/>
        </w:rPr>
        <w:t xml:space="preserve"> 双方在本条款确认的送达地址适用范围包括双方在履行本协议过程中的各类通知、函件、附件、协议等文件以及就本协议发生纠纷</w:t>
      </w:r>
      <w:proofErr w:type="gramStart"/>
      <w:r>
        <w:rPr>
          <w:rFonts w:asciiTheme="minorEastAsia" w:eastAsiaTheme="minorEastAsia" w:hAnsiTheme="minorEastAsia" w:hint="eastAsia"/>
          <w:sz w:val="24"/>
          <w:szCs w:val="24"/>
        </w:rPr>
        <w:t>时相关</w:t>
      </w:r>
      <w:proofErr w:type="gramEnd"/>
      <w:r>
        <w:rPr>
          <w:rFonts w:asciiTheme="minorEastAsia" w:eastAsiaTheme="minorEastAsia" w:hAnsiTheme="minorEastAsia" w:hint="eastAsia"/>
          <w:sz w:val="24"/>
          <w:szCs w:val="24"/>
        </w:rPr>
        <w:t>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Pr>
          <w:rFonts w:asciiTheme="minorEastAsia" w:eastAsiaTheme="minorEastAsia" w:hAnsiTheme="minorEastAsia" w:hint="eastAsia"/>
          <w:b/>
          <w:bCs/>
          <w:sz w:val="24"/>
          <w:szCs w:val="24"/>
        </w:rPr>
        <w:t>除第23.1.2条另有约定外，一方按照送达地址发送上述文件，即应视作在下列日期被送达：</w:t>
      </w:r>
    </w:p>
    <w:p w14:paraId="6845BF3C" w14:textId="77777777" w:rsidR="00950499" w:rsidRDefault="005541ED">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（1）邮递（包括特快专递、平信邮寄、挂号邮寄），以投递之日后的第三日视为送达日；</w:t>
      </w:r>
    </w:p>
    <w:p w14:paraId="56C64F17" w14:textId="77777777" w:rsidR="00950499" w:rsidRDefault="005541ED">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（2）电话、传真、电子邮箱、</w:t>
      </w:r>
      <w:proofErr w:type="gramStart"/>
      <w:r>
        <w:rPr>
          <w:rFonts w:asciiTheme="minorEastAsia" w:eastAsiaTheme="minorEastAsia" w:hAnsiTheme="minorEastAsia" w:hint="eastAsia"/>
          <w:b/>
          <w:bCs/>
          <w:sz w:val="24"/>
          <w:szCs w:val="24"/>
        </w:rPr>
        <w:t>微信或</w:t>
      </w:r>
      <w:proofErr w:type="gramEnd"/>
      <w:r>
        <w:rPr>
          <w:rFonts w:asciiTheme="minorEastAsia" w:eastAsiaTheme="minorEastAsia" w:hAnsiTheme="minorEastAsia" w:hint="eastAsia"/>
          <w:b/>
          <w:bCs/>
          <w:sz w:val="24"/>
          <w:szCs w:val="24"/>
        </w:rPr>
        <w:t>其他电子通讯方式，以发送之日视为送达日；</w:t>
      </w:r>
    </w:p>
    <w:p w14:paraId="10D50D95" w14:textId="77777777" w:rsidR="00950499" w:rsidRDefault="005541ED">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（3）专人送达，以收件人签收之日视为送达日；收件人拒收或无人接收的，送达人可采取拍照、录像方式记录送达过程，并将文书留置，亦视为送达；</w:t>
      </w:r>
    </w:p>
    <w:p w14:paraId="5876DA01" w14:textId="77777777" w:rsidR="00950499" w:rsidRDefault="005541ED">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（4）同时采用上述几种方式的，以其中最快达到对方者为准。</w:t>
      </w:r>
    </w:p>
    <w:p w14:paraId="475FCC0D" w14:textId="6C94204C" w:rsidR="00950499" w:rsidRDefault="005541ED">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w:t>
      </w:r>
      <w:r>
        <w:rPr>
          <w:rFonts w:asciiTheme="minorEastAsia" w:eastAsiaTheme="minorEastAsia" w:hAnsiTheme="minorEastAsia" w:hint="eastAsia"/>
          <w:b/>
          <w:bCs/>
          <w:sz w:val="24"/>
          <w:szCs w:val="24"/>
        </w:rPr>
        <w:lastRenderedPageBreak/>
        <w:t>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bookmarkStart w:id="75" w:name="OLE_LINK98"/>
      <w:bookmarkStart w:id="76" w:name="OLE_LINK99"/>
    </w:p>
    <w:bookmarkEnd w:id="75"/>
    <w:bookmarkEnd w:id="76"/>
    <w:p w14:paraId="4123FB5E" w14:textId="77777777" w:rsidR="00950499" w:rsidRDefault="005541ED">
      <w:pPr>
        <w:snapToGrid w:val="0"/>
        <w:spacing w:line="520" w:lineRule="atLeast"/>
        <w:ind w:firstLineChars="200" w:firstLine="482"/>
        <w:rPr>
          <w:rFonts w:asciiTheme="minorEastAsia" w:eastAsiaTheme="minorEastAsia" w:hAnsiTheme="minorEastAsia"/>
          <w:b/>
          <w:bCs/>
          <w:sz w:val="28"/>
          <w:szCs w:val="28"/>
        </w:rPr>
      </w:pPr>
      <w:r>
        <w:rPr>
          <w:rFonts w:asciiTheme="minorEastAsia" w:eastAsiaTheme="minorEastAsia" w:hAnsiTheme="minorEastAsia" w:hint="eastAsia"/>
          <w:b/>
          <w:bCs/>
          <w:sz w:val="24"/>
          <w:szCs w:val="24"/>
        </w:rPr>
        <w:t>2</w:t>
      </w:r>
      <w:r>
        <w:rPr>
          <w:rFonts w:asciiTheme="minorEastAsia" w:eastAsiaTheme="minorEastAsia" w:hAnsiTheme="minorEastAsia"/>
          <w:b/>
          <w:bCs/>
          <w:sz w:val="24"/>
          <w:szCs w:val="24"/>
        </w:rPr>
        <w:t>3.1.4</w:t>
      </w:r>
      <w:r>
        <w:rPr>
          <w:rFonts w:asciiTheme="minorEastAsia" w:eastAsiaTheme="minorEastAsia" w:hAnsiTheme="minorEastAsia" w:hint="eastAsia"/>
          <w:b/>
          <w:bCs/>
          <w:sz w:val="24"/>
          <w:szCs w:val="24"/>
        </w:rPr>
        <w:t>本条约定内容为本协议双方均明确同意的特别条款，效力独立于本协议其他条款。不论本协议其他条款因为任何原因被法院、仲裁机关或其他有权机关认定为无效或者被撤销，本条约定内容均为有效。</w:t>
      </w:r>
    </w:p>
    <w:p w14:paraId="288A7BB5" w14:textId="77777777" w:rsidR="00950499" w:rsidRDefault="005541ED">
      <w:pPr>
        <w:pStyle w:val="1"/>
        <w:snapToGrid/>
        <w:spacing w:line="520" w:lineRule="atLeast"/>
        <w:ind w:firstLineChars="200" w:firstLine="482"/>
        <w:rPr>
          <w:bCs/>
          <w:color w:val="auto"/>
          <w:szCs w:val="24"/>
        </w:rPr>
      </w:pPr>
      <w:bookmarkStart w:id="77" w:name="_Toc44321747"/>
      <w:r>
        <w:rPr>
          <w:rFonts w:hint="eastAsia"/>
          <w:bCs/>
          <w:color w:val="auto"/>
          <w:szCs w:val="24"/>
        </w:rPr>
        <w:t>第二十四条 其他约定</w:t>
      </w:r>
      <w:r>
        <w:rPr>
          <w:bCs/>
          <w:color w:val="auto"/>
          <w:szCs w:val="24"/>
        </w:rPr>
        <w:t>事项</w:t>
      </w:r>
      <w:bookmarkEnd w:id="77"/>
    </w:p>
    <w:p w14:paraId="3A518D1F" w14:textId="25E662D7" w:rsidR="00950499" w:rsidRPr="00887CEE" w:rsidRDefault="005541ED">
      <w:pPr>
        <w:pStyle w:val="20"/>
        <w:spacing w:before="0" w:after="0" w:line="520" w:lineRule="atLeast"/>
        <w:ind w:left="0" w:firstLine="480"/>
        <w:rPr>
          <w:rFonts w:hAnsi="宋体"/>
          <w:b/>
          <w:bCs/>
          <w:szCs w:val="24"/>
        </w:rPr>
      </w:pPr>
      <w:r w:rsidRPr="00887CEE">
        <w:rPr>
          <w:rFonts w:hAnsi="宋体" w:hint="eastAsia"/>
          <w:b/>
          <w:bCs/>
          <w:szCs w:val="24"/>
        </w:rPr>
        <w:t>如本条约定与其他条款约定冲突的，应以本条约定为准。</w:t>
      </w:r>
    </w:p>
    <w:p w14:paraId="659FAD9C" w14:textId="77777777" w:rsidR="00950499" w:rsidRDefault="005541ED">
      <w:pPr>
        <w:pStyle w:val="20"/>
        <w:adjustRightInd w:val="0"/>
        <w:snapToGrid w:val="0"/>
        <w:spacing w:before="0" w:after="0" w:line="520" w:lineRule="atLeast"/>
        <w:ind w:left="0" w:firstLine="480"/>
        <w:rPr>
          <w:rFonts w:asciiTheme="minorEastAsia" w:eastAsiaTheme="minorEastAsia" w:hAnsiTheme="minorEastAsia"/>
          <w:b/>
          <w:bCs/>
          <w:szCs w:val="24"/>
        </w:rPr>
      </w:pPr>
      <w:r>
        <w:rPr>
          <w:rFonts w:asciiTheme="minorEastAsia" w:eastAsiaTheme="minorEastAsia" w:hAnsiTheme="minorEastAsia" w:hint="eastAsia"/>
          <w:b/>
          <w:bCs/>
          <w:szCs w:val="24"/>
        </w:rPr>
        <w:t>基金托管人已采取文字加粗、加黑、突出显示等合理方式提请基金管理人注意本协议项下免除或限制其责任的条款，并按基金管理人要求对有关条款予以充分说明。基金管理人已阅读本协议所有条款，对本协议条款的含义及相应的法律后果已全部通晓并充分理解，同意遵守以上条款。双方对本协议所有条款内容的理解不存在异议。</w:t>
      </w:r>
    </w:p>
    <w:p w14:paraId="1A0B6299" w14:textId="126A935F" w:rsidR="00950499" w:rsidRDefault="005541ED">
      <w:pPr>
        <w:widowControl/>
        <w:spacing w:line="520" w:lineRule="atLeast"/>
        <w:ind w:firstLineChars="100" w:firstLine="240"/>
        <w:jc w:val="left"/>
      </w:pPr>
      <w:r>
        <w:rPr>
          <w:rFonts w:ascii="宋体" w:hAnsi="宋体" w:hint="eastAsia"/>
          <w:sz w:val="24"/>
          <w:szCs w:val="24"/>
        </w:rPr>
        <w:t>（以下无正文）</w:t>
      </w:r>
    </w:p>
    <w:p w14:paraId="41D247B9" w14:textId="77777777" w:rsidR="00950499" w:rsidRDefault="005541ED">
      <w:pPr>
        <w:widowControl/>
        <w:spacing w:line="520" w:lineRule="atLeast"/>
        <w:jc w:val="left"/>
        <w:rPr>
          <w:rFonts w:hAnsi="宋体"/>
          <w:sz w:val="28"/>
          <w:szCs w:val="28"/>
        </w:rPr>
      </w:pPr>
      <w:r>
        <w:rPr>
          <w:rFonts w:hAnsi="宋体"/>
          <w:sz w:val="28"/>
          <w:szCs w:val="28"/>
        </w:rPr>
        <w:br w:type="page"/>
      </w:r>
    </w:p>
    <w:p w14:paraId="3B164A44" w14:textId="1D3D66A9" w:rsidR="00950499" w:rsidRDefault="005541ED">
      <w:pPr>
        <w:pStyle w:val="20"/>
        <w:spacing w:before="0" w:after="0" w:line="520" w:lineRule="atLeast"/>
        <w:ind w:left="0"/>
        <w:rPr>
          <w:rFonts w:hAnsi="宋体"/>
          <w:szCs w:val="24"/>
        </w:rPr>
      </w:pPr>
      <w:r>
        <w:rPr>
          <w:rFonts w:hAnsi="宋体" w:hint="eastAsia"/>
          <w:szCs w:val="24"/>
        </w:rPr>
        <w:lastRenderedPageBreak/>
        <w:t>（</w:t>
      </w:r>
      <w:permStart w:id="983832528" w:edGrp="everyone"/>
      <w:r>
        <w:rPr>
          <w:rFonts w:hAnsi="宋体" w:hint="eastAsia"/>
          <w:szCs w:val="24"/>
        </w:rPr>
        <w:t>本页无正文，为《</w:t>
      </w:r>
      <w:r w:rsidR="00903541">
        <w:rPr>
          <w:rFonts w:hAnsi="宋体"/>
          <w:szCs w:val="24"/>
        </w:rPr>
        <w:t>富国</w:t>
      </w:r>
      <w:r w:rsidR="004011E8">
        <w:rPr>
          <w:rFonts w:hAnsi="宋体"/>
          <w:szCs w:val="24"/>
        </w:rPr>
        <w:t>智信稳进</w:t>
      </w:r>
      <w:r w:rsidR="00903541">
        <w:rPr>
          <w:rFonts w:hAnsi="宋体" w:hint="eastAsia"/>
          <w:szCs w:val="24"/>
        </w:rPr>
        <w:t>1</w:t>
      </w:r>
      <w:r w:rsidR="00903541">
        <w:rPr>
          <w:rFonts w:hAnsi="宋体"/>
          <w:szCs w:val="24"/>
        </w:rPr>
        <w:t>2个月持有期混合型基金中基金</w:t>
      </w:r>
      <w:r w:rsidR="00903541">
        <w:rPr>
          <w:rFonts w:hAnsi="宋体" w:hint="eastAsia"/>
          <w:szCs w:val="24"/>
        </w:rPr>
        <w:t>（FOF）</w:t>
      </w:r>
      <w:r>
        <w:rPr>
          <w:rFonts w:hAnsi="宋体" w:hint="eastAsia"/>
          <w:szCs w:val="24"/>
        </w:rPr>
        <w:t>托管协议》的签字页</w:t>
      </w:r>
      <w:permEnd w:id="983832528"/>
      <w:r>
        <w:rPr>
          <w:rFonts w:hAnsi="宋体" w:hint="eastAsia"/>
          <w:szCs w:val="24"/>
        </w:rPr>
        <w:t>）</w:t>
      </w:r>
    </w:p>
    <w:p w14:paraId="612BE62C" w14:textId="77777777" w:rsidR="00950499" w:rsidRDefault="00950499">
      <w:pPr>
        <w:pStyle w:val="20"/>
        <w:spacing w:before="0" w:after="0" w:line="520" w:lineRule="atLeast"/>
        <w:ind w:left="0" w:firstLineChars="200" w:firstLine="480"/>
        <w:rPr>
          <w:rFonts w:hAnsi="宋体"/>
          <w:szCs w:val="24"/>
        </w:rPr>
      </w:pPr>
    </w:p>
    <w:p w14:paraId="6C2A0D29" w14:textId="77777777" w:rsidR="00950499" w:rsidRDefault="00950499">
      <w:pPr>
        <w:pStyle w:val="20"/>
        <w:spacing w:before="0" w:after="0" w:line="520" w:lineRule="atLeast"/>
        <w:ind w:left="0" w:firstLineChars="200" w:firstLine="480"/>
        <w:rPr>
          <w:rFonts w:hAnsi="宋体"/>
          <w:szCs w:val="24"/>
        </w:rPr>
      </w:pPr>
    </w:p>
    <w:p w14:paraId="2447BC4E" w14:textId="2B68B547" w:rsidR="00950499" w:rsidRDefault="005541ED">
      <w:pPr>
        <w:pStyle w:val="20"/>
        <w:spacing w:before="0" w:after="0" w:line="520" w:lineRule="atLeast"/>
        <w:ind w:left="0"/>
        <w:rPr>
          <w:rFonts w:hAnsi="宋体"/>
          <w:szCs w:val="24"/>
        </w:rPr>
      </w:pPr>
      <w:r>
        <w:rPr>
          <w:rFonts w:hAnsi="宋体" w:hint="eastAsia"/>
          <w:szCs w:val="24"/>
        </w:rPr>
        <w:t>基金管理人：</w:t>
      </w:r>
      <w:permStart w:id="678916254" w:edGrp="everyone"/>
      <w:r w:rsidR="00903541">
        <w:rPr>
          <w:rFonts w:hAnsi="宋体" w:hint="eastAsia"/>
          <w:szCs w:val="24"/>
        </w:rPr>
        <w:t>富国基金管理有限公司</w:t>
      </w:r>
      <w:permEnd w:id="678916254"/>
      <w:r>
        <w:rPr>
          <w:rFonts w:hAnsi="宋体" w:hint="eastAsia"/>
          <w:szCs w:val="24"/>
        </w:rPr>
        <w:t>（</w:t>
      </w:r>
      <w:r>
        <w:rPr>
          <w:rFonts w:asciiTheme="minorEastAsia" w:eastAsiaTheme="minorEastAsia" w:hAnsiTheme="minorEastAsia" w:hint="eastAsia"/>
          <w:szCs w:val="24"/>
        </w:rPr>
        <w:t>公章或合同专用章</w:t>
      </w:r>
      <w:r>
        <w:rPr>
          <w:rFonts w:hAnsi="宋体" w:hint="eastAsia"/>
          <w:szCs w:val="24"/>
        </w:rPr>
        <w:t>）</w:t>
      </w:r>
    </w:p>
    <w:p w14:paraId="6F0FD114" w14:textId="77777777" w:rsidR="00950499" w:rsidRDefault="00950499">
      <w:pPr>
        <w:pStyle w:val="20"/>
        <w:spacing w:before="0" w:after="0" w:line="520" w:lineRule="atLeast"/>
        <w:ind w:left="0"/>
        <w:rPr>
          <w:rFonts w:hAnsi="宋体"/>
          <w:szCs w:val="24"/>
        </w:rPr>
      </w:pPr>
    </w:p>
    <w:p w14:paraId="4CD4D6D0" w14:textId="77777777" w:rsidR="00950499" w:rsidRDefault="005541ED">
      <w:pPr>
        <w:pStyle w:val="20"/>
        <w:spacing w:before="0" w:after="0" w:line="520" w:lineRule="atLeast"/>
        <w:ind w:left="0"/>
        <w:rPr>
          <w:rFonts w:hAnsi="宋体"/>
          <w:szCs w:val="24"/>
        </w:rPr>
      </w:pPr>
      <w:r>
        <w:rPr>
          <w:rFonts w:hAnsi="宋体" w:hint="eastAsia"/>
          <w:szCs w:val="24"/>
        </w:rPr>
        <w:t>法定代表人</w:t>
      </w:r>
    </w:p>
    <w:p w14:paraId="1C41CECB" w14:textId="77777777" w:rsidR="00950499" w:rsidRDefault="005541ED">
      <w:pPr>
        <w:pStyle w:val="20"/>
        <w:spacing w:before="0" w:after="0" w:line="520" w:lineRule="atLeast"/>
        <w:ind w:left="0"/>
        <w:rPr>
          <w:rFonts w:hAnsi="宋体"/>
          <w:szCs w:val="24"/>
        </w:rPr>
      </w:pPr>
      <w:r>
        <w:rPr>
          <w:rFonts w:hAnsi="宋体" w:hint="eastAsia"/>
          <w:szCs w:val="24"/>
        </w:rPr>
        <w:t xml:space="preserve">（或授权代理人）：           </w:t>
      </w:r>
    </w:p>
    <w:p w14:paraId="23A7046F" w14:textId="77777777" w:rsidR="00950499" w:rsidRDefault="00950499">
      <w:pPr>
        <w:pStyle w:val="20"/>
        <w:spacing w:before="0" w:after="0" w:line="520" w:lineRule="atLeast"/>
        <w:ind w:left="0" w:firstLineChars="200" w:firstLine="480"/>
        <w:rPr>
          <w:rFonts w:hAnsi="宋体"/>
          <w:szCs w:val="24"/>
        </w:rPr>
      </w:pPr>
    </w:p>
    <w:p w14:paraId="5961E320" w14:textId="77777777" w:rsidR="00950499" w:rsidRDefault="005541ED">
      <w:pPr>
        <w:pStyle w:val="20"/>
        <w:spacing w:before="0" w:after="0" w:line="520" w:lineRule="atLeast"/>
        <w:ind w:left="0"/>
        <w:rPr>
          <w:rFonts w:hAnsi="宋体"/>
          <w:szCs w:val="24"/>
        </w:rPr>
      </w:pPr>
      <w:permStart w:id="853215873" w:edGrp="everyone"/>
      <w:r>
        <w:rPr>
          <w:rFonts w:hAnsi="宋体" w:hint="eastAsia"/>
          <w:szCs w:val="24"/>
        </w:rPr>
        <w:t>签署日期：</w:t>
      </w:r>
      <w:permEnd w:id="853215873"/>
    </w:p>
    <w:p w14:paraId="1B53236F" w14:textId="77777777" w:rsidR="00950499" w:rsidRDefault="00950499">
      <w:pPr>
        <w:pStyle w:val="20"/>
        <w:spacing w:before="0" w:after="0" w:line="520" w:lineRule="atLeast"/>
        <w:ind w:left="0" w:firstLineChars="200" w:firstLine="480"/>
        <w:rPr>
          <w:rFonts w:hAnsi="宋体"/>
          <w:szCs w:val="24"/>
        </w:rPr>
      </w:pPr>
    </w:p>
    <w:p w14:paraId="5F8326E0" w14:textId="77777777" w:rsidR="00950499" w:rsidRDefault="00950499">
      <w:pPr>
        <w:pStyle w:val="20"/>
        <w:spacing w:before="0" w:after="0" w:line="520" w:lineRule="atLeast"/>
        <w:ind w:left="0" w:firstLineChars="200" w:firstLine="480"/>
        <w:rPr>
          <w:rFonts w:hAnsi="宋体"/>
          <w:szCs w:val="24"/>
        </w:rPr>
      </w:pPr>
    </w:p>
    <w:p w14:paraId="45773924" w14:textId="77777777" w:rsidR="00950499" w:rsidRDefault="00950499">
      <w:pPr>
        <w:pStyle w:val="20"/>
        <w:spacing w:before="0" w:after="0" w:line="520" w:lineRule="atLeast"/>
        <w:ind w:left="0" w:firstLineChars="200" w:firstLine="480"/>
        <w:rPr>
          <w:rFonts w:hAnsi="宋体"/>
          <w:szCs w:val="24"/>
        </w:rPr>
      </w:pPr>
    </w:p>
    <w:p w14:paraId="09D7E4C9" w14:textId="680B3156" w:rsidR="00950499" w:rsidRDefault="005541ED">
      <w:pPr>
        <w:pStyle w:val="20"/>
        <w:spacing w:before="0" w:after="0" w:line="520" w:lineRule="atLeast"/>
        <w:ind w:left="0"/>
        <w:rPr>
          <w:rFonts w:hAnsi="宋体"/>
          <w:szCs w:val="24"/>
        </w:rPr>
      </w:pPr>
      <w:r>
        <w:rPr>
          <w:rFonts w:hAnsi="宋体" w:hint="eastAsia"/>
          <w:szCs w:val="24"/>
        </w:rPr>
        <w:t>基金托管人：</w:t>
      </w:r>
      <w:permStart w:id="1718237106" w:edGrp="everyone"/>
      <w:r>
        <w:rPr>
          <w:rFonts w:hAnsi="宋体" w:hint="eastAsia"/>
          <w:szCs w:val="24"/>
        </w:rPr>
        <w:t>中信银行股份有限公司</w:t>
      </w:r>
      <w:permEnd w:id="1718237106"/>
      <w:r>
        <w:rPr>
          <w:rFonts w:hAnsi="宋体" w:hint="eastAsia"/>
          <w:szCs w:val="24"/>
        </w:rPr>
        <w:t>（</w:t>
      </w:r>
      <w:r>
        <w:rPr>
          <w:rFonts w:asciiTheme="minorEastAsia" w:eastAsiaTheme="minorEastAsia" w:hAnsiTheme="minorEastAsia" w:hint="eastAsia"/>
          <w:szCs w:val="24"/>
        </w:rPr>
        <w:t>公章或合同专用章</w:t>
      </w:r>
      <w:r>
        <w:rPr>
          <w:rFonts w:hAnsi="宋体" w:hint="eastAsia"/>
          <w:szCs w:val="24"/>
        </w:rPr>
        <w:t>）</w:t>
      </w:r>
    </w:p>
    <w:p w14:paraId="3A70AA2B" w14:textId="77777777" w:rsidR="00950499" w:rsidRDefault="00950499">
      <w:pPr>
        <w:pStyle w:val="20"/>
        <w:spacing w:before="0" w:after="0" w:line="520" w:lineRule="atLeast"/>
        <w:ind w:left="0"/>
        <w:rPr>
          <w:rFonts w:hAnsi="宋体"/>
          <w:szCs w:val="24"/>
        </w:rPr>
      </w:pPr>
    </w:p>
    <w:p w14:paraId="0F3D017A" w14:textId="77777777" w:rsidR="00950499" w:rsidRDefault="005541ED">
      <w:pPr>
        <w:pStyle w:val="20"/>
        <w:spacing w:before="0" w:after="0" w:line="520" w:lineRule="atLeast"/>
        <w:ind w:left="0"/>
        <w:rPr>
          <w:rFonts w:hAnsi="宋体"/>
          <w:szCs w:val="24"/>
        </w:rPr>
      </w:pPr>
      <w:r>
        <w:rPr>
          <w:rFonts w:hAnsi="宋体" w:hint="eastAsia"/>
          <w:szCs w:val="24"/>
        </w:rPr>
        <w:t>法定代表人/负责人</w:t>
      </w:r>
    </w:p>
    <w:p w14:paraId="326E4E3B" w14:textId="77777777" w:rsidR="00950499" w:rsidRDefault="005541ED">
      <w:pPr>
        <w:pStyle w:val="20"/>
        <w:spacing w:before="0" w:after="0" w:line="520" w:lineRule="atLeast"/>
        <w:ind w:left="0"/>
        <w:rPr>
          <w:rFonts w:hAnsi="宋体"/>
          <w:szCs w:val="24"/>
        </w:rPr>
      </w:pPr>
      <w:r>
        <w:rPr>
          <w:rFonts w:hAnsi="宋体" w:hint="eastAsia"/>
          <w:szCs w:val="24"/>
        </w:rPr>
        <w:t xml:space="preserve">（或授权代理人）：  </w:t>
      </w:r>
    </w:p>
    <w:p w14:paraId="4CBC0E04" w14:textId="77777777" w:rsidR="00950499" w:rsidRDefault="00950499">
      <w:pPr>
        <w:pStyle w:val="20"/>
        <w:spacing w:before="0" w:after="0" w:line="520" w:lineRule="atLeast"/>
        <w:ind w:left="0"/>
        <w:rPr>
          <w:rFonts w:hAnsi="宋体"/>
          <w:szCs w:val="24"/>
        </w:rPr>
      </w:pPr>
    </w:p>
    <w:p w14:paraId="65728E76" w14:textId="77777777" w:rsidR="00950499" w:rsidRDefault="005541ED">
      <w:pPr>
        <w:pStyle w:val="20"/>
        <w:spacing w:before="0" w:after="0" w:line="520" w:lineRule="atLeast"/>
        <w:ind w:left="0"/>
        <w:rPr>
          <w:rFonts w:hAnsi="宋体"/>
          <w:szCs w:val="24"/>
        </w:rPr>
      </w:pPr>
      <w:permStart w:id="2057516248" w:edGrp="everyone"/>
      <w:r>
        <w:rPr>
          <w:rFonts w:hAnsi="宋体" w:hint="eastAsia"/>
          <w:szCs w:val="24"/>
        </w:rPr>
        <w:t>签署日期：</w:t>
      </w:r>
      <w:permEnd w:id="2057516248"/>
    </w:p>
    <w:p w14:paraId="76D02AFE" w14:textId="77777777" w:rsidR="00950499" w:rsidRDefault="005541ED">
      <w:pPr>
        <w:pStyle w:val="20"/>
        <w:spacing w:before="0" w:after="0" w:line="520" w:lineRule="atLeast"/>
        <w:ind w:left="0"/>
        <w:rPr>
          <w:rFonts w:hAnsi="宋体"/>
          <w:sz w:val="28"/>
          <w:szCs w:val="28"/>
        </w:rPr>
      </w:pPr>
      <w:r>
        <w:rPr>
          <w:rFonts w:hAnsi="宋体" w:hint="eastAsia"/>
          <w:sz w:val="28"/>
          <w:szCs w:val="28"/>
        </w:rPr>
        <w:t xml:space="preserve">           </w:t>
      </w:r>
    </w:p>
    <w:p w14:paraId="2B0E4238" w14:textId="77777777" w:rsidR="00950499" w:rsidRDefault="00950499">
      <w:pPr>
        <w:pStyle w:val="20"/>
        <w:spacing w:before="0" w:after="0" w:line="520" w:lineRule="atLeast"/>
        <w:ind w:left="0" w:firstLineChars="200" w:firstLine="560"/>
        <w:rPr>
          <w:rFonts w:hAnsi="宋体"/>
          <w:sz w:val="28"/>
          <w:szCs w:val="28"/>
        </w:rPr>
      </w:pPr>
    </w:p>
    <w:p w14:paraId="5D0F2034" w14:textId="77777777" w:rsidR="00950499" w:rsidRDefault="00950499">
      <w:pPr>
        <w:pStyle w:val="20"/>
        <w:spacing w:before="0" w:after="0" w:line="520" w:lineRule="atLeast"/>
        <w:ind w:left="0" w:firstLineChars="200" w:firstLine="560"/>
        <w:rPr>
          <w:rFonts w:hAnsi="宋体"/>
          <w:sz w:val="28"/>
          <w:szCs w:val="28"/>
        </w:rPr>
      </w:pPr>
    </w:p>
    <w:p w14:paraId="28535E22" w14:textId="77777777" w:rsidR="00950499" w:rsidRDefault="00950499">
      <w:pPr>
        <w:pStyle w:val="20"/>
        <w:spacing w:before="0" w:after="0" w:line="520" w:lineRule="atLeast"/>
        <w:ind w:left="0" w:firstLineChars="200" w:firstLine="560"/>
        <w:rPr>
          <w:rFonts w:hAnsi="宋体"/>
          <w:sz w:val="28"/>
          <w:szCs w:val="28"/>
        </w:rPr>
      </w:pPr>
    </w:p>
    <w:p w14:paraId="214EFFC4" w14:textId="77777777" w:rsidR="00950499" w:rsidRDefault="00950499">
      <w:pPr>
        <w:pStyle w:val="20"/>
        <w:spacing w:before="0" w:after="0" w:line="520" w:lineRule="atLeast"/>
        <w:ind w:left="0"/>
        <w:rPr>
          <w:rFonts w:hAnsi="宋体"/>
          <w:szCs w:val="24"/>
        </w:rPr>
      </w:pPr>
    </w:p>
    <w:p w14:paraId="6EB6CBA1" w14:textId="77777777" w:rsidR="00950499" w:rsidRDefault="005541ED">
      <w:pPr>
        <w:pStyle w:val="20"/>
        <w:spacing w:before="0" w:after="0" w:line="520" w:lineRule="atLeast"/>
        <w:ind w:left="0"/>
        <w:rPr>
          <w:rFonts w:hAnsi="宋体"/>
          <w:szCs w:val="24"/>
        </w:rPr>
      </w:pPr>
      <w:permStart w:id="830933640" w:edGrp="everyone"/>
      <w:r>
        <w:rPr>
          <w:rFonts w:hAnsi="宋体" w:hint="eastAsia"/>
          <w:szCs w:val="24"/>
        </w:rPr>
        <w:t>签订地：</w:t>
      </w:r>
      <w:permEnd w:id="830933640"/>
      <w:r>
        <w:rPr>
          <w:rFonts w:hAnsi="宋体" w:hint="eastAsia"/>
          <w:szCs w:val="24"/>
        </w:rPr>
        <w:t xml:space="preserve"> </w:t>
      </w:r>
    </w:p>
    <w:p w14:paraId="75AEDFFD" w14:textId="77777777" w:rsidR="00950499" w:rsidRDefault="00950499">
      <w:pPr>
        <w:pStyle w:val="20"/>
        <w:spacing w:before="0" w:after="0" w:line="520" w:lineRule="atLeast"/>
        <w:ind w:left="0" w:firstLineChars="200" w:firstLine="480"/>
        <w:rPr>
          <w:rFonts w:hAnsi="宋体"/>
          <w:szCs w:val="24"/>
        </w:rPr>
      </w:pPr>
    </w:p>
    <w:p w14:paraId="50D3DA88" w14:textId="77777777" w:rsidR="00950499" w:rsidRDefault="005541ED">
      <w:pPr>
        <w:pStyle w:val="20"/>
        <w:spacing w:before="0" w:after="0" w:line="520" w:lineRule="atLeast"/>
        <w:ind w:left="0"/>
        <w:rPr>
          <w:rFonts w:hAnsi="宋体"/>
          <w:sz w:val="28"/>
          <w:szCs w:val="28"/>
        </w:rPr>
      </w:pPr>
      <w:r>
        <w:rPr>
          <w:rFonts w:hAnsi="宋体" w:hint="eastAsia"/>
          <w:szCs w:val="24"/>
        </w:rPr>
        <w:t xml:space="preserve"> </w:t>
      </w:r>
      <w:r>
        <w:rPr>
          <w:rFonts w:hAnsi="宋体" w:hint="eastAsia"/>
          <w:sz w:val="28"/>
          <w:szCs w:val="28"/>
        </w:rPr>
        <w:t xml:space="preserve">  </w:t>
      </w:r>
    </w:p>
    <w:p w14:paraId="6A73635A" w14:textId="77777777" w:rsidR="00950499" w:rsidRDefault="00950499">
      <w:pPr>
        <w:autoSpaceDE w:val="0"/>
        <w:autoSpaceDN w:val="0"/>
        <w:adjustRightInd w:val="0"/>
        <w:spacing w:line="520" w:lineRule="atLeast"/>
        <w:ind w:rightChars="11" w:right="23"/>
        <w:rPr>
          <w:rFonts w:ascii="宋体" w:hAnsi="宋体"/>
          <w:sz w:val="28"/>
          <w:szCs w:val="28"/>
        </w:rPr>
      </w:pPr>
    </w:p>
    <w:sectPr w:rsidR="00950499">
      <w:footerReference w:type="even" r:id="rId10"/>
      <w:footerReference w:type="default" r:id="rId11"/>
      <w:pgSz w:w="11907" w:h="16840"/>
      <w:pgMar w:top="1090" w:right="1678" w:bottom="935" w:left="1678" w:header="720" w:footer="720" w:gutter="0"/>
      <w:pgNumType w:start="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D4776" w16cex:dateUtc="2021-08-22T14:00:00Z"/>
  <w16cex:commentExtensible w16cex:durableId="24CD48A8" w16cex:dateUtc="2021-08-22T14:05:00Z"/>
  <w16cex:commentExtensible w16cex:durableId="24CD589C" w16cex:dateUtc="2021-08-22T15:13:00Z"/>
  <w16cex:commentExtensible w16cex:durableId="24CE9499" w16cex:dateUtc="2021-08-23T13:41:00Z"/>
  <w16cex:commentExtensible w16cex:durableId="24CE94D8" w16cex:dateUtc="2021-08-23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4F3B60" w16cid:durableId="25DB28AE"/>
  <w16cid:commentId w16cid:paraId="29C336FF" w16cid:durableId="25DB28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69572" w14:textId="77777777" w:rsidR="00156F97" w:rsidRDefault="00156F97">
      <w:r>
        <w:separator/>
      </w:r>
    </w:p>
  </w:endnote>
  <w:endnote w:type="continuationSeparator" w:id="0">
    <w:p w14:paraId="7285D078" w14:textId="77777777" w:rsidR="00156F97" w:rsidRDefault="0015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61FCD" w14:textId="77777777" w:rsidR="00E077BA" w:rsidRDefault="00E077BA">
    <w:pPr>
      <w:pStyle w:val="aa"/>
      <w:framePr w:wrap="around" w:vAnchor="text" w:hAnchor="margin" w:xAlign="center" w:y="1"/>
      <w:rPr>
        <w:rStyle w:val="ac"/>
      </w:rPr>
    </w:pPr>
    <w:r>
      <w:fldChar w:fldCharType="begin"/>
    </w:r>
    <w:r>
      <w:rPr>
        <w:rStyle w:val="ac"/>
      </w:rPr>
      <w:instrText xml:space="preserve">PAGE  </w:instrText>
    </w:r>
    <w:r>
      <w:fldChar w:fldCharType="end"/>
    </w:r>
  </w:p>
  <w:p w14:paraId="1F1ECAC0" w14:textId="77777777" w:rsidR="00E077BA" w:rsidRDefault="00E077B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C61B" w14:textId="11E7162F" w:rsidR="00E077BA" w:rsidRDefault="00E077BA">
    <w:pPr>
      <w:pStyle w:val="aa"/>
      <w:framePr w:wrap="around" w:vAnchor="text" w:hAnchor="margin" w:xAlign="center" w:y="1"/>
      <w:rPr>
        <w:rStyle w:val="ac"/>
      </w:rPr>
    </w:pPr>
    <w:r>
      <w:fldChar w:fldCharType="begin"/>
    </w:r>
    <w:r>
      <w:rPr>
        <w:rStyle w:val="ac"/>
      </w:rPr>
      <w:instrText xml:space="preserve">PAGE  </w:instrText>
    </w:r>
    <w:r>
      <w:fldChar w:fldCharType="separate"/>
    </w:r>
    <w:r w:rsidR="002337FD">
      <w:rPr>
        <w:rStyle w:val="ac"/>
        <w:noProof/>
      </w:rPr>
      <w:t>20</w:t>
    </w:r>
    <w:r>
      <w:fldChar w:fldCharType="end"/>
    </w:r>
  </w:p>
  <w:p w14:paraId="4855B993" w14:textId="77777777" w:rsidR="00E077BA" w:rsidRDefault="00E077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A8534" w14:textId="77777777" w:rsidR="00156F97" w:rsidRDefault="00156F97">
      <w:r>
        <w:separator/>
      </w:r>
    </w:p>
  </w:footnote>
  <w:footnote w:type="continuationSeparator" w:id="0">
    <w:p w14:paraId="0BEE5F55" w14:textId="77777777" w:rsidR="00156F97" w:rsidRDefault="00156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spelling="clean" w:grammar="clean"/>
  <w:documentProtection w:edit="readOnly" w:enforcement="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5F02"/>
    <w:rsid w:val="00006A92"/>
    <w:rsid w:val="00006EF5"/>
    <w:rsid w:val="00007EEE"/>
    <w:rsid w:val="00010566"/>
    <w:rsid w:val="000107EC"/>
    <w:rsid w:val="00010927"/>
    <w:rsid w:val="00014405"/>
    <w:rsid w:val="00014C75"/>
    <w:rsid w:val="00014D0C"/>
    <w:rsid w:val="000156D9"/>
    <w:rsid w:val="0001713B"/>
    <w:rsid w:val="00017F23"/>
    <w:rsid w:val="000217E4"/>
    <w:rsid w:val="00023A92"/>
    <w:rsid w:val="00027285"/>
    <w:rsid w:val="00033A7B"/>
    <w:rsid w:val="00035920"/>
    <w:rsid w:val="00036B75"/>
    <w:rsid w:val="00036E3E"/>
    <w:rsid w:val="00037404"/>
    <w:rsid w:val="00037818"/>
    <w:rsid w:val="00037980"/>
    <w:rsid w:val="00041568"/>
    <w:rsid w:val="00042A25"/>
    <w:rsid w:val="00042EEE"/>
    <w:rsid w:val="00043FB7"/>
    <w:rsid w:val="00046B2A"/>
    <w:rsid w:val="000559C3"/>
    <w:rsid w:val="000603A2"/>
    <w:rsid w:val="00062021"/>
    <w:rsid w:val="00062E2D"/>
    <w:rsid w:val="00066BF4"/>
    <w:rsid w:val="0006754D"/>
    <w:rsid w:val="00071F28"/>
    <w:rsid w:val="0007356D"/>
    <w:rsid w:val="00074856"/>
    <w:rsid w:val="0007750D"/>
    <w:rsid w:val="0008163D"/>
    <w:rsid w:val="0008741D"/>
    <w:rsid w:val="000877E6"/>
    <w:rsid w:val="00093120"/>
    <w:rsid w:val="000A228B"/>
    <w:rsid w:val="000A27E7"/>
    <w:rsid w:val="000A6FC1"/>
    <w:rsid w:val="000B1E50"/>
    <w:rsid w:val="000C0905"/>
    <w:rsid w:val="000C152B"/>
    <w:rsid w:val="000C2F51"/>
    <w:rsid w:val="000C4913"/>
    <w:rsid w:val="000C7AB7"/>
    <w:rsid w:val="000D0BD5"/>
    <w:rsid w:val="000D17C9"/>
    <w:rsid w:val="000D59DE"/>
    <w:rsid w:val="000E216E"/>
    <w:rsid w:val="000E3608"/>
    <w:rsid w:val="000E69F8"/>
    <w:rsid w:val="000F37F2"/>
    <w:rsid w:val="000F47DF"/>
    <w:rsid w:val="000F6613"/>
    <w:rsid w:val="001022CC"/>
    <w:rsid w:val="0010239C"/>
    <w:rsid w:val="00102F71"/>
    <w:rsid w:val="00107051"/>
    <w:rsid w:val="00111DDA"/>
    <w:rsid w:val="00115AA2"/>
    <w:rsid w:val="001177F0"/>
    <w:rsid w:val="00130C38"/>
    <w:rsid w:val="00132302"/>
    <w:rsid w:val="00132BE4"/>
    <w:rsid w:val="00135362"/>
    <w:rsid w:val="00137C67"/>
    <w:rsid w:val="0014134F"/>
    <w:rsid w:val="0014169A"/>
    <w:rsid w:val="0014323B"/>
    <w:rsid w:val="00143504"/>
    <w:rsid w:val="00145C16"/>
    <w:rsid w:val="00146F90"/>
    <w:rsid w:val="00156F97"/>
    <w:rsid w:val="001618D7"/>
    <w:rsid w:val="00161E02"/>
    <w:rsid w:val="001657D8"/>
    <w:rsid w:val="00175B0A"/>
    <w:rsid w:val="001770E4"/>
    <w:rsid w:val="00180B60"/>
    <w:rsid w:val="00183760"/>
    <w:rsid w:val="001848CC"/>
    <w:rsid w:val="00185ACB"/>
    <w:rsid w:val="00190D40"/>
    <w:rsid w:val="001B0A60"/>
    <w:rsid w:val="001B0F1A"/>
    <w:rsid w:val="001B2959"/>
    <w:rsid w:val="001B2AF0"/>
    <w:rsid w:val="001B2E1D"/>
    <w:rsid w:val="001B687D"/>
    <w:rsid w:val="001B7022"/>
    <w:rsid w:val="001C0144"/>
    <w:rsid w:val="001C2ACF"/>
    <w:rsid w:val="001C545B"/>
    <w:rsid w:val="001C66BC"/>
    <w:rsid w:val="001C779A"/>
    <w:rsid w:val="001D03D4"/>
    <w:rsid w:val="001D09A0"/>
    <w:rsid w:val="001D3E64"/>
    <w:rsid w:val="001D444B"/>
    <w:rsid w:val="001E33B7"/>
    <w:rsid w:val="001E6B63"/>
    <w:rsid w:val="001F1C99"/>
    <w:rsid w:val="001F5108"/>
    <w:rsid w:val="001F7788"/>
    <w:rsid w:val="00203D12"/>
    <w:rsid w:val="002045A2"/>
    <w:rsid w:val="00205409"/>
    <w:rsid w:val="00206D81"/>
    <w:rsid w:val="00207263"/>
    <w:rsid w:val="00214195"/>
    <w:rsid w:val="002158ED"/>
    <w:rsid w:val="00216E66"/>
    <w:rsid w:val="00217901"/>
    <w:rsid w:val="002216DF"/>
    <w:rsid w:val="00221C8C"/>
    <w:rsid w:val="00222AE4"/>
    <w:rsid w:val="002254CA"/>
    <w:rsid w:val="00225A43"/>
    <w:rsid w:val="002309FE"/>
    <w:rsid w:val="002316B9"/>
    <w:rsid w:val="002337FD"/>
    <w:rsid w:val="00234CB5"/>
    <w:rsid w:val="00244076"/>
    <w:rsid w:val="00244CEE"/>
    <w:rsid w:val="00244F0B"/>
    <w:rsid w:val="002464DB"/>
    <w:rsid w:val="00251308"/>
    <w:rsid w:val="00256509"/>
    <w:rsid w:val="002567AE"/>
    <w:rsid w:val="002620B5"/>
    <w:rsid w:val="0026403B"/>
    <w:rsid w:val="00270B1B"/>
    <w:rsid w:val="00271BEE"/>
    <w:rsid w:val="00273F36"/>
    <w:rsid w:val="00274D1F"/>
    <w:rsid w:val="0027511C"/>
    <w:rsid w:val="00275823"/>
    <w:rsid w:val="00276FA0"/>
    <w:rsid w:val="002771AB"/>
    <w:rsid w:val="00280105"/>
    <w:rsid w:val="00282CB6"/>
    <w:rsid w:val="00283722"/>
    <w:rsid w:val="00286BE9"/>
    <w:rsid w:val="00286FD5"/>
    <w:rsid w:val="002A153D"/>
    <w:rsid w:val="002A34FB"/>
    <w:rsid w:val="002A4594"/>
    <w:rsid w:val="002A5134"/>
    <w:rsid w:val="002B0CA2"/>
    <w:rsid w:val="002B2B25"/>
    <w:rsid w:val="002B2B46"/>
    <w:rsid w:val="002C4590"/>
    <w:rsid w:val="002C7260"/>
    <w:rsid w:val="002D278E"/>
    <w:rsid w:val="002D5AC8"/>
    <w:rsid w:val="002E1F02"/>
    <w:rsid w:val="002E423B"/>
    <w:rsid w:val="002E42B3"/>
    <w:rsid w:val="002F035F"/>
    <w:rsid w:val="002F1D9A"/>
    <w:rsid w:val="002F1FB2"/>
    <w:rsid w:val="002F7C1F"/>
    <w:rsid w:val="0030473A"/>
    <w:rsid w:val="0030785F"/>
    <w:rsid w:val="00314EE7"/>
    <w:rsid w:val="00317BE9"/>
    <w:rsid w:val="003229E8"/>
    <w:rsid w:val="00330DBF"/>
    <w:rsid w:val="00342101"/>
    <w:rsid w:val="00343183"/>
    <w:rsid w:val="00344154"/>
    <w:rsid w:val="00345E38"/>
    <w:rsid w:val="003512E3"/>
    <w:rsid w:val="0035177F"/>
    <w:rsid w:val="00363BF9"/>
    <w:rsid w:val="003660FE"/>
    <w:rsid w:val="00370E6A"/>
    <w:rsid w:val="00376470"/>
    <w:rsid w:val="00376534"/>
    <w:rsid w:val="00380257"/>
    <w:rsid w:val="003820CE"/>
    <w:rsid w:val="0038599A"/>
    <w:rsid w:val="00385CF5"/>
    <w:rsid w:val="00393A4B"/>
    <w:rsid w:val="0039570A"/>
    <w:rsid w:val="0039704D"/>
    <w:rsid w:val="003A21D3"/>
    <w:rsid w:val="003A4C9D"/>
    <w:rsid w:val="003A64E9"/>
    <w:rsid w:val="003A7609"/>
    <w:rsid w:val="003B0F07"/>
    <w:rsid w:val="003B10F4"/>
    <w:rsid w:val="003B1362"/>
    <w:rsid w:val="003B240A"/>
    <w:rsid w:val="003B7C32"/>
    <w:rsid w:val="003C20E6"/>
    <w:rsid w:val="003C235D"/>
    <w:rsid w:val="003C2DEB"/>
    <w:rsid w:val="003C306C"/>
    <w:rsid w:val="003C3C90"/>
    <w:rsid w:val="003C5A81"/>
    <w:rsid w:val="003C67A3"/>
    <w:rsid w:val="003C6E19"/>
    <w:rsid w:val="003D0785"/>
    <w:rsid w:val="003D24E0"/>
    <w:rsid w:val="003D48C9"/>
    <w:rsid w:val="003D6320"/>
    <w:rsid w:val="003D6E5F"/>
    <w:rsid w:val="003D7086"/>
    <w:rsid w:val="003D778D"/>
    <w:rsid w:val="003E25E9"/>
    <w:rsid w:val="003E57C9"/>
    <w:rsid w:val="003E5B9D"/>
    <w:rsid w:val="003E619A"/>
    <w:rsid w:val="003E728E"/>
    <w:rsid w:val="003F26BF"/>
    <w:rsid w:val="003F32DF"/>
    <w:rsid w:val="003F38FA"/>
    <w:rsid w:val="003F4121"/>
    <w:rsid w:val="003F4E03"/>
    <w:rsid w:val="003F76F1"/>
    <w:rsid w:val="004011E8"/>
    <w:rsid w:val="00403FA4"/>
    <w:rsid w:val="0040415E"/>
    <w:rsid w:val="00411E11"/>
    <w:rsid w:val="00411EC2"/>
    <w:rsid w:val="0041673C"/>
    <w:rsid w:val="00417D16"/>
    <w:rsid w:val="0042648F"/>
    <w:rsid w:val="00430FD3"/>
    <w:rsid w:val="004311E8"/>
    <w:rsid w:val="004339DF"/>
    <w:rsid w:val="00436366"/>
    <w:rsid w:val="0043710B"/>
    <w:rsid w:val="004412E4"/>
    <w:rsid w:val="00443EEB"/>
    <w:rsid w:val="004464B7"/>
    <w:rsid w:val="0044652B"/>
    <w:rsid w:val="00451371"/>
    <w:rsid w:val="00455161"/>
    <w:rsid w:val="004558DF"/>
    <w:rsid w:val="00456A15"/>
    <w:rsid w:val="0046023B"/>
    <w:rsid w:val="00462A74"/>
    <w:rsid w:val="004670BB"/>
    <w:rsid w:val="004702E5"/>
    <w:rsid w:val="00470F6A"/>
    <w:rsid w:val="00471C94"/>
    <w:rsid w:val="00472040"/>
    <w:rsid w:val="00472976"/>
    <w:rsid w:val="004734B3"/>
    <w:rsid w:val="00474712"/>
    <w:rsid w:val="0048045F"/>
    <w:rsid w:val="00490CC4"/>
    <w:rsid w:val="004A0749"/>
    <w:rsid w:val="004A2093"/>
    <w:rsid w:val="004A21FA"/>
    <w:rsid w:val="004A26BE"/>
    <w:rsid w:val="004A41A9"/>
    <w:rsid w:val="004A4507"/>
    <w:rsid w:val="004B0A2F"/>
    <w:rsid w:val="004B3F78"/>
    <w:rsid w:val="004B76D3"/>
    <w:rsid w:val="004C14BD"/>
    <w:rsid w:val="004C5378"/>
    <w:rsid w:val="004C7064"/>
    <w:rsid w:val="004C7BEF"/>
    <w:rsid w:val="004D7082"/>
    <w:rsid w:val="004E306E"/>
    <w:rsid w:val="004E5206"/>
    <w:rsid w:val="004E5621"/>
    <w:rsid w:val="004E7254"/>
    <w:rsid w:val="004F2CD0"/>
    <w:rsid w:val="004F4570"/>
    <w:rsid w:val="004F5507"/>
    <w:rsid w:val="004F5ED3"/>
    <w:rsid w:val="004F7098"/>
    <w:rsid w:val="00500435"/>
    <w:rsid w:val="00502034"/>
    <w:rsid w:val="00507836"/>
    <w:rsid w:val="005121E1"/>
    <w:rsid w:val="005147D9"/>
    <w:rsid w:val="00514ECE"/>
    <w:rsid w:val="005223A4"/>
    <w:rsid w:val="00526BD9"/>
    <w:rsid w:val="005302BD"/>
    <w:rsid w:val="00530616"/>
    <w:rsid w:val="005307DB"/>
    <w:rsid w:val="00532411"/>
    <w:rsid w:val="00533B7B"/>
    <w:rsid w:val="005366E9"/>
    <w:rsid w:val="0054036A"/>
    <w:rsid w:val="005417F4"/>
    <w:rsid w:val="00541A7B"/>
    <w:rsid w:val="00543408"/>
    <w:rsid w:val="00552CCB"/>
    <w:rsid w:val="005541ED"/>
    <w:rsid w:val="00555E50"/>
    <w:rsid w:val="005576FE"/>
    <w:rsid w:val="005662BD"/>
    <w:rsid w:val="00587AA1"/>
    <w:rsid w:val="00591580"/>
    <w:rsid w:val="00591B16"/>
    <w:rsid w:val="005A11E0"/>
    <w:rsid w:val="005A1862"/>
    <w:rsid w:val="005A1FC8"/>
    <w:rsid w:val="005A52A1"/>
    <w:rsid w:val="005A745C"/>
    <w:rsid w:val="005B05A6"/>
    <w:rsid w:val="005B0CCB"/>
    <w:rsid w:val="005B0F25"/>
    <w:rsid w:val="005B4A54"/>
    <w:rsid w:val="005B6D06"/>
    <w:rsid w:val="005B7532"/>
    <w:rsid w:val="005C1C72"/>
    <w:rsid w:val="005C1EE4"/>
    <w:rsid w:val="005C5DFC"/>
    <w:rsid w:val="005D0467"/>
    <w:rsid w:val="005D11F0"/>
    <w:rsid w:val="005D18F6"/>
    <w:rsid w:val="005D442A"/>
    <w:rsid w:val="005D4DA3"/>
    <w:rsid w:val="005E0DF0"/>
    <w:rsid w:val="005E2FF6"/>
    <w:rsid w:val="005E3419"/>
    <w:rsid w:val="005E3FB2"/>
    <w:rsid w:val="005E751A"/>
    <w:rsid w:val="005F012D"/>
    <w:rsid w:val="005F0CA6"/>
    <w:rsid w:val="005F221B"/>
    <w:rsid w:val="005F23EA"/>
    <w:rsid w:val="005F42C5"/>
    <w:rsid w:val="005F48DE"/>
    <w:rsid w:val="005F7024"/>
    <w:rsid w:val="00600477"/>
    <w:rsid w:val="00601D3D"/>
    <w:rsid w:val="0060330F"/>
    <w:rsid w:val="006039BB"/>
    <w:rsid w:val="00604C7B"/>
    <w:rsid w:val="006117E4"/>
    <w:rsid w:val="00616872"/>
    <w:rsid w:val="006238E1"/>
    <w:rsid w:val="00625924"/>
    <w:rsid w:val="00627E17"/>
    <w:rsid w:val="00630C12"/>
    <w:rsid w:val="00631068"/>
    <w:rsid w:val="006333AF"/>
    <w:rsid w:val="0063582D"/>
    <w:rsid w:val="006374EE"/>
    <w:rsid w:val="00637B58"/>
    <w:rsid w:val="006433ED"/>
    <w:rsid w:val="00645BD9"/>
    <w:rsid w:val="00646351"/>
    <w:rsid w:val="0065050A"/>
    <w:rsid w:val="006513FE"/>
    <w:rsid w:val="0065472A"/>
    <w:rsid w:val="0065631C"/>
    <w:rsid w:val="0065675D"/>
    <w:rsid w:val="0066277C"/>
    <w:rsid w:val="006631BB"/>
    <w:rsid w:val="006643B1"/>
    <w:rsid w:val="006704D3"/>
    <w:rsid w:val="00671709"/>
    <w:rsid w:val="00672EA6"/>
    <w:rsid w:val="006745D6"/>
    <w:rsid w:val="00674E25"/>
    <w:rsid w:val="0067636E"/>
    <w:rsid w:val="006765D3"/>
    <w:rsid w:val="00676669"/>
    <w:rsid w:val="00676F66"/>
    <w:rsid w:val="00681B36"/>
    <w:rsid w:val="00682F3F"/>
    <w:rsid w:val="0068465B"/>
    <w:rsid w:val="0069476A"/>
    <w:rsid w:val="006A187B"/>
    <w:rsid w:val="006A7C46"/>
    <w:rsid w:val="006B3419"/>
    <w:rsid w:val="006B48EE"/>
    <w:rsid w:val="006B5645"/>
    <w:rsid w:val="006B567E"/>
    <w:rsid w:val="006C2FD2"/>
    <w:rsid w:val="006C482D"/>
    <w:rsid w:val="006D0084"/>
    <w:rsid w:val="006D5A14"/>
    <w:rsid w:val="006E1C21"/>
    <w:rsid w:val="006E2431"/>
    <w:rsid w:val="006E3057"/>
    <w:rsid w:val="006E5F66"/>
    <w:rsid w:val="006E616F"/>
    <w:rsid w:val="006E6265"/>
    <w:rsid w:val="006E747F"/>
    <w:rsid w:val="006F4830"/>
    <w:rsid w:val="006F60E3"/>
    <w:rsid w:val="006F7F18"/>
    <w:rsid w:val="007041FF"/>
    <w:rsid w:val="0070432C"/>
    <w:rsid w:val="00705281"/>
    <w:rsid w:val="0070544A"/>
    <w:rsid w:val="007105D4"/>
    <w:rsid w:val="00712E45"/>
    <w:rsid w:val="00714EDA"/>
    <w:rsid w:val="00715971"/>
    <w:rsid w:val="00720393"/>
    <w:rsid w:val="00721C4F"/>
    <w:rsid w:val="0072239D"/>
    <w:rsid w:val="00722E92"/>
    <w:rsid w:val="00723A7F"/>
    <w:rsid w:val="00725BA5"/>
    <w:rsid w:val="00731307"/>
    <w:rsid w:val="007328EA"/>
    <w:rsid w:val="0073438D"/>
    <w:rsid w:val="00742138"/>
    <w:rsid w:val="0074389D"/>
    <w:rsid w:val="007451E3"/>
    <w:rsid w:val="00750A9C"/>
    <w:rsid w:val="0075595F"/>
    <w:rsid w:val="007564E2"/>
    <w:rsid w:val="00757C03"/>
    <w:rsid w:val="00757ED4"/>
    <w:rsid w:val="00770384"/>
    <w:rsid w:val="00772D3C"/>
    <w:rsid w:val="00772F6C"/>
    <w:rsid w:val="00773CE9"/>
    <w:rsid w:val="00775161"/>
    <w:rsid w:val="00776729"/>
    <w:rsid w:val="00777C8C"/>
    <w:rsid w:val="0078302C"/>
    <w:rsid w:val="0078303E"/>
    <w:rsid w:val="007865D8"/>
    <w:rsid w:val="00786DDE"/>
    <w:rsid w:val="00792ABE"/>
    <w:rsid w:val="00795FC7"/>
    <w:rsid w:val="0079643F"/>
    <w:rsid w:val="007A4FFD"/>
    <w:rsid w:val="007B0920"/>
    <w:rsid w:val="007B0DCD"/>
    <w:rsid w:val="007B3B28"/>
    <w:rsid w:val="007B40CD"/>
    <w:rsid w:val="007C3B71"/>
    <w:rsid w:val="007C49E6"/>
    <w:rsid w:val="007C56B2"/>
    <w:rsid w:val="007D21F7"/>
    <w:rsid w:val="007D3DF8"/>
    <w:rsid w:val="007D532B"/>
    <w:rsid w:val="007E2AA0"/>
    <w:rsid w:val="007E3074"/>
    <w:rsid w:val="007E66C2"/>
    <w:rsid w:val="007F28F2"/>
    <w:rsid w:val="007F37EC"/>
    <w:rsid w:val="007F780A"/>
    <w:rsid w:val="00806439"/>
    <w:rsid w:val="00810562"/>
    <w:rsid w:val="00810993"/>
    <w:rsid w:val="008138B1"/>
    <w:rsid w:val="00815E67"/>
    <w:rsid w:val="00816328"/>
    <w:rsid w:val="00816CB0"/>
    <w:rsid w:val="00816E98"/>
    <w:rsid w:val="0082011A"/>
    <w:rsid w:val="00820261"/>
    <w:rsid w:val="00821CC3"/>
    <w:rsid w:val="008265FB"/>
    <w:rsid w:val="00832120"/>
    <w:rsid w:val="0083307F"/>
    <w:rsid w:val="00837C6E"/>
    <w:rsid w:val="008402D5"/>
    <w:rsid w:val="00844028"/>
    <w:rsid w:val="0084464F"/>
    <w:rsid w:val="00844681"/>
    <w:rsid w:val="0084539A"/>
    <w:rsid w:val="0084596D"/>
    <w:rsid w:val="00850170"/>
    <w:rsid w:val="00850A81"/>
    <w:rsid w:val="00853FDC"/>
    <w:rsid w:val="00855B9C"/>
    <w:rsid w:val="00857A81"/>
    <w:rsid w:val="0086120E"/>
    <w:rsid w:val="00861ED7"/>
    <w:rsid w:val="008723BB"/>
    <w:rsid w:val="0087434D"/>
    <w:rsid w:val="008758F6"/>
    <w:rsid w:val="0088044B"/>
    <w:rsid w:val="008815F1"/>
    <w:rsid w:val="00886001"/>
    <w:rsid w:val="0088782C"/>
    <w:rsid w:val="00887CEE"/>
    <w:rsid w:val="0089007E"/>
    <w:rsid w:val="00895349"/>
    <w:rsid w:val="008963F5"/>
    <w:rsid w:val="008A160E"/>
    <w:rsid w:val="008A166A"/>
    <w:rsid w:val="008A1BC0"/>
    <w:rsid w:val="008A1C89"/>
    <w:rsid w:val="008A27B6"/>
    <w:rsid w:val="008A452D"/>
    <w:rsid w:val="008A50D6"/>
    <w:rsid w:val="008A6FC8"/>
    <w:rsid w:val="008A772E"/>
    <w:rsid w:val="008A77A6"/>
    <w:rsid w:val="008A7F32"/>
    <w:rsid w:val="008B7214"/>
    <w:rsid w:val="008B78F2"/>
    <w:rsid w:val="008D2524"/>
    <w:rsid w:val="008D686B"/>
    <w:rsid w:val="008E3AE4"/>
    <w:rsid w:val="008E4DCF"/>
    <w:rsid w:val="008E7B24"/>
    <w:rsid w:val="008F3907"/>
    <w:rsid w:val="008F3F36"/>
    <w:rsid w:val="008F4C30"/>
    <w:rsid w:val="008F7242"/>
    <w:rsid w:val="0090034A"/>
    <w:rsid w:val="00901876"/>
    <w:rsid w:val="00901F55"/>
    <w:rsid w:val="00903541"/>
    <w:rsid w:val="00910563"/>
    <w:rsid w:val="00910BB9"/>
    <w:rsid w:val="00912E35"/>
    <w:rsid w:val="0091346D"/>
    <w:rsid w:val="009168DA"/>
    <w:rsid w:val="0091746B"/>
    <w:rsid w:val="00922C37"/>
    <w:rsid w:val="00922E0D"/>
    <w:rsid w:val="00922EF4"/>
    <w:rsid w:val="00923621"/>
    <w:rsid w:val="00925BAE"/>
    <w:rsid w:val="00934CFF"/>
    <w:rsid w:val="0094040B"/>
    <w:rsid w:val="00942253"/>
    <w:rsid w:val="00942E0B"/>
    <w:rsid w:val="00950499"/>
    <w:rsid w:val="00951D67"/>
    <w:rsid w:val="009534CD"/>
    <w:rsid w:val="00956305"/>
    <w:rsid w:val="009568E1"/>
    <w:rsid w:val="00956C59"/>
    <w:rsid w:val="0096096D"/>
    <w:rsid w:val="00961105"/>
    <w:rsid w:val="00961CF2"/>
    <w:rsid w:val="009637CC"/>
    <w:rsid w:val="00967914"/>
    <w:rsid w:val="00972E11"/>
    <w:rsid w:val="00976194"/>
    <w:rsid w:val="009777F9"/>
    <w:rsid w:val="00980790"/>
    <w:rsid w:val="00980965"/>
    <w:rsid w:val="00983D29"/>
    <w:rsid w:val="00983EC2"/>
    <w:rsid w:val="00984DAE"/>
    <w:rsid w:val="009929CB"/>
    <w:rsid w:val="00992C48"/>
    <w:rsid w:val="00994EDA"/>
    <w:rsid w:val="009967B1"/>
    <w:rsid w:val="00996D63"/>
    <w:rsid w:val="00997B73"/>
    <w:rsid w:val="00997B9E"/>
    <w:rsid w:val="00997CAB"/>
    <w:rsid w:val="009A3719"/>
    <w:rsid w:val="009A39CE"/>
    <w:rsid w:val="009B162B"/>
    <w:rsid w:val="009B7AFF"/>
    <w:rsid w:val="009C05E6"/>
    <w:rsid w:val="009D3DFA"/>
    <w:rsid w:val="009D5128"/>
    <w:rsid w:val="009D5D04"/>
    <w:rsid w:val="009E0844"/>
    <w:rsid w:val="009E15B0"/>
    <w:rsid w:val="009E263C"/>
    <w:rsid w:val="009E4F5A"/>
    <w:rsid w:val="009F038B"/>
    <w:rsid w:val="009F232A"/>
    <w:rsid w:val="009F37F6"/>
    <w:rsid w:val="00A02313"/>
    <w:rsid w:val="00A055BA"/>
    <w:rsid w:val="00A10F8A"/>
    <w:rsid w:val="00A11937"/>
    <w:rsid w:val="00A11C5F"/>
    <w:rsid w:val="00A3173D"/>
    <w:rsid w:val="00A317FB"/>
    <w:rsid w:val="00A32ED7"/>
    <w:rsid w:val="00A33B45"/>
    <w:rsid w:val="00A34C6D"/>
    <w:rsid w:val="00A430CF"/>
    <w:rsid w:val="00A464EF"/>
    <w:rsid w:val="00A478F7"/>
    <w:rsid w:val="00A5325C"/>
    <w:rsid w:val="00A5593A"/>
    <w:rsid w:val="00A600C1"/>
    <w:rsid w:val="00A6199E"/>
    <w:rsid w:val="00A61E5C"/>
    <w:rsid w:val="00A72A31"/>
    <w:rsid w:val="00A76D15"/>
    <w:rsid w:val="00A80572"/>
    <w:rsid w:val="00A82BB8"/>
    <w:rsid w:val="00A872C3"/>
    <w:rsid w:val="00A90358"/>
    <w:rsid w:val="00A90A88"/>
    <w:rsid w:val="00A91212"/>
    <w:rsid w:val="00AA086B"/>
    <w:rsid w:val="00AA26EB"/>
    <w:rsid w:val="00AA3B97"/>
    <w:rsid w:val="00AA3E4B"/>
    <w:rsid w:val="00AA5D4A"/>
    <w:rsid w:val="00AA74F1"/>
    <w:rsid w:val="00AB08D8"/>
    <w:rsid w:val="00AB76A9"/>
    <w:rsid w:val="00AC7A32"/>
    <w:rsid w:val="00AD13BC"/>
    <w:rsid w:val="00AD1B3E"/>
    <w:rsid w:val="00AD38E5"/>
    <w:rsid w:val="00AD46EC"/>
    <w:rsid w:val="00AE11CE"/>
    <w:rsid w:val="00AE691B"/>
    <w:rsid w:val="00B0046B"/>
    <w:rsid w:val="00B03495"/>
    <w:rsid w:val="00B049FA"/>
    <w:rsid w:val="00B04E35"/>
    <w:rsid w:val="00B13317"/>
    <w:rsid w:val="00B14B93"/>
    <w:rsid w:val="00B240D8"/>
    <w:rsid w:val="00B310E5"/>
    <w:rsid w:val="00B34B8F"/>
    <w:rsid w:val="00B37F3D"/>
    <w:rsid w:val="00B41AB2"/>
    <w:rsid w:val="00B42A85"/>
    <w:rsid w:val="00B4586E"/>
    <w:rsid w:val="00B47EC6"/>
    <w:rsid w:val="00B50738"/>
    <w:rsid w:val="00B56331"/>
    <w:rsid w:val="00B56ABC"/>
    <w:rsid w:val="00B60E44"/>
    <w:rsid w:val="00B61FF9"/>
    <w:rsid w:val="00B63751"/>
    <w:rsid w:val="00B65D3D"/>
    <w:rsid w:val="00B66879"/>
    <w:rsid w:val="00B717B6"/>
    <w:rsid w:val="00B719B1"/>
    <w:rsid w:val="00B73796"/>
    <w:rsid w:val="00B73967"/>
    <w:rsid w:val="00B74A93"/>
    <w:rsid w:val="00B76F64"/>
    <w:rsid w:val="00B77FC9"/>
    <w:rsid w:val="00B84DA3"/>
    <w:rsid w:val="00B90167"/>
    <w:rsid w:val="00B90203"/>
    <w:rsid w:val="00B92165"/>
    <w:rsid w:val="00B9229E"/>
    <w:rsid w:val="00BA1072"/>
    <w:rsid w:val="00BA1995"/>
    <w:rsid w:val="00BA1FFA"/>
    <w:rsid w:val="00BA71B2"/>
    <w:rsid w:val="00BA7CDA"/>
    <w:rsid w:val="00BB055E"/>
    <w:rsid w:val="00BB1D20"/>
    <w:rsid w:val="00BB45C2"/>
    <w:rsid w:val="00BB6B31"/>
    <w:rsid w:val="00BC0D5D"/>
    <w:rsid w:val="00BC11DF"/>
    <w:rsid w:val="00BC397C"/>
    <w:rsid w:val="00BD1B35"/>
    <w:rsid w:val="00BD582F"/>
    <w:rsid w:val="00BD6014"/>
    <w:rsid w:val="00BE06DA"/>
    <w:rsid w:val="00BE3072"/>
    <w:rsid w:val="00BE46D4"/>
    <w:rsid w:val="00BE78A0"/>
    <w:rsid w:val="00C00B3A"/>
    <w:rsid w:val="00C01EEA"/>
    <w:rsid w:val="00C04FDD"/>
    <w:rsid w:val="00C06901"/>
    <w:rsid w:val="00C118AC"/>
    <w:rsid w:val="00C14204"/>
    <w:rsid w:val="00C15064"/>
    <w:rsid w:val="00C17895"/>
    <w:rsid w:val="00C21B5A"/>
    <w:rsid w:val="00C25D19"/>
    <w:rsid w:val="00C3159B"/>
    <w:rsid w:val="00C324F8"/>
    <w:rsid w:val="00C34241"/>
    <w:rsid w:val="00C37C51"/>
    <w:rsid w:val="00C421A6"/>
    <w:rsid w:val="00C4381E"/>
    <w:rsid w:val="00C44C0D"/>
    <w:rsid w:val="00C44C75"/>
    <w:rsid w:val="00C44ECC"/>
    <w:rsid w:val="00C51A27"/>
    <w:rsid w:val="00C51BC4"/>
    <w:rsid w:val="00C520BD"/>
    <w:rsid w:val="00C63EF2"/>
    <w:rsid w:val="00C747D9"/>
    <w:rsid w:val="00C7729D"/>
    <w:rsid w:val="00C822D7"/>
    <w:rsid w:val="00C850FD"/>
    <w:rsid w:val="00C92066"/>
    <w:rsid w:val="00C934E2"/>
    <w:rsid w:val="00C93636"/>
    <w:rsid w:val="00C94574"/>
    <w:rsid w:val="00C9703A"/>
    <w:rsid w:val="00CA3D28"/>
    <w:rsid w:val="00CA48B0"/>
    <w:rsid w:val="00CA745A"/>
    <w:rsid w:val="00CA7829"/>
    <w:rsid w:val="00CB1555"/>
    <w:rsid w:val="00CB1963"/>
    <w:rsid w:val="00CB1E25"/>
    <w:rsid w:val="00CB595B"/>
    <w:rsid w:val="00CB6238"/>
    <w:rsid w:val="00CB7D70"/>
    <w:rsid w:val="00CC0307"/>
    <w:rsid w:val="00CC1AE3"/>
    <w:rsid w:val="00CD0B3D"/>
    <w:rsid w:val="00CD0B6E"/>
    <w:rsid w:val="00CD2AB3"/>
    <w:rsid w:val="00CD5447"/>
    <w:rsid w:val="00CE187B"/>
    <w:rsid w:val="00CE1A63"/>
    <w:rsid w:val="00CE72C9"/>
    <w:rsid w:val="00CF0833"/>
    <w:rsid w:val="00CF1814"/>
    <w:rsid w:val="00CF2667"/>
    <w:rsid w:val="00CF2E69"/>
    <w:rsid w:val="00CF33B4"/>
    <w:rsid w:val="00D039C5"/>
    <w:rsid w:val="00D03C31"/>
    <w:rsid w:val="00D12262"/>
    <w:rsid w:val="00D127E7"/>
    <w:rsid w:val="00D15D80"/>
    <w:rsid w:val="00D167CB"/>
    <w:rsid w:val="00D17E23"/>
    <w:rsid w:val="00D2248B"/>
    <w:rsid w:val="00D23019"/>
    <w:rsid w:val="00D23C7C"/>
    <w:rsid w:val="00D25D94"/>
    <w:rsid w:val="00D267C4"/>
    <w:rsid w:val="00D27344"/>
    <w:rsid w:val="00D348CE"/>
    <w:rsid w:val="00D40F8E"/>
    <w:rsid w:val="00D4246A"/>
    <w:rsid w:val="00D431ED"/>
    <w:rsid w:val="00D470C6"/>
    <w:rsid w:val="00D52B93"/>
    <w:rsid w:val="00D53004"/>
    <w:rsid w:val="00D70AB1"/>
    <w:rsid w:val="00D71350"/>
    <w:rsid w:val="00D736CF"/>
    <w:rsid w:val="00D836E6"/>
    <w:rsid w:val="00D872FC"/>
    <w:rsid w:val="00D91349"/>
    <w:rsid w:val="00D9729F"/>
    <w:rsid w:val="00D9774E"/>
    <w:rsid w:val="00DA1D58"/>
    <w:rsid w:val="00DA3524"/>
    <w:rsid w:val="00DA7F7F"/>
    <w:rsid w:val="00DB35A9"/>
    <w:rsid w:val="00DB3C21"/>
    <w:rsid w:val="00DB6AC9"/>
    <w:rsid w:val="00DB76C5"/>
    <w:rsid w:val="00DC33C9"/>
    <w:rsid w:val="00DC3413"/>
    <w:rsid w:val="00DC56E5"/>
    <w:rsid w:val="00DD3B63"/>
    <w:rsid w:val="00DD76DE"/>
    <w:rsid w:val="00DE275A"/>
    <w:rsid w:val="00DE4D51"/>
    <w:rsid w:val="00DE7037"/>
    <w:rsid w:val="00DE723D"/>
    <w:rsid w:val="00DE7D0B"/>
    <w:rsid w:val="00DE7DCF"/>
    <w:rsid w:val="00DF1530"/>
    <w:rsid w:val="00DF29C3"/>
    <w:rsid w:val="00DF447B"/>
    <w:rsid w:val="00DF4A3F"/>
    <w:rsid w:val="00DF5CC8"/>
    <w:rsid w:val="00DF5FB3"/>
    <w:rsid w:val="00E000EB"/>
    <w:rsid w:val="00E02E28"/>
    <w:rsid w:val="00E03C35"/>
    <w:rsid w:val="00E069ED"/>
    <w:rsid w:val="00E077BA"/>
    <w:rsid w:val="00E142BD"/>
    <w:rsid w:val="00E20017"/>
    <w:rsid w:val="00E23F4C"/>
    <w:rsid w:val="00E24C6C"/>
    <w:rsid w:val="00E2562C"/>
    <w:rsid w:val="00E25905"/>
    <w:rsid w:val="00E379DC"/>
    <w:rsid w:val="00E45E88"/>
    <w:rsid w:val="00E46345"/>
    <w:rsid w:val="00E46546"/>
    <w:rsid w:val="00E47EEE"/>
    <w:rsid w:val="00E53F89"/>
    <w:rsid w:val="00E60EE5"/>
    <w:rsid w:val="00E65237"/>
    <w:rsid w:val="00E658FF"/>
    <w:rsid w:val="00E71B58"/>
    <w:rsid w:val="00E71E30"/>
    <w:rsid w:val="00E7429F"/>
    <w:rsid w:val="00E758C6"/>
    <w:rsid w:val="00E77022"/>
    <w:rsid w:val="00E83312"/>
    <w:rsid w:val="00E83608"/>
    <w:rsid w:val="00E855F4"/>
    <w:rsid w:val="00E860EE"/>
    <w:rsid w:val="00E8622A"/>
    <w:rsid w:val="00E86688"/>
    <w:rsid w:val="00E925E0"/>
    <w:rsid w:val="00E97CC8"/>
    <w:rsid w:val="00EA01C4"/>
    <w:rsid w:val="00EA2F66"/>
    <w:rsid w:val="00EA3DF0"/>
    <w:rsid w:val="00EA45C6"/>
    <w:rsid w:val="00EA5145"/>
    <w:rsid w:val="00EA5223"/>
    <w:rsid w:val="00EB5BF5"/>
    <w:rsid w:val="00EC6164"/>
    <w:rsid w:val="00ED07E9"/>
    <w:rsid w:val="00ED799A"/>
    <w:rsid w:val="00EE13AA"/>
    <w:rsid w:val="00EE2B34"/>
    <w:rsid w:val="00EF05EA"/>
    <w:rsid w:val="00EF53BE"/>
    <w:rsid w:val="00EF5A21"/>
    <w:rsid w:val="00F02AC7"/>
    <w:rsid w:val="00F04B03"/>
    <w:rsid w:val="00F14DEF"/>
    <w:rsid w:val="00F21554"/>
    <w:rsid w:val="00F21570"/>
    <w:rsid w:val="00F24AAE"/>
    <w:rsid w:val="00F266D1"/>
    <w:rsid w:val="00F27457"/>
    <w:rsid w:val="00F3012F"/>
    <w:rsid w:val="00F3208D"/>
    <w:rsid w:val="00F32FC8"/>
    <w:rsid w:val="00F4392A"/>
    <w:rsid w:val="00F51862"/>
    <w:rsid w:val="00F53C8C"/>
    <w:rsid w:val="00F55670"/>
    <w:rsid w:val="00F55DCE"/>
    <w:rsid w:val="00F55F8F"/>
    <w:rsid w:val="00F565AB"/>
    <w:rsid w:val="00F578FD"/>
    <w:rsid w:val="00F63198"/>
    <w:rsid w:val="00F67FB9"/>
    <w:rsid w:val="00F711DA"/>
    <w:rsid w:val="00F744ED"/>
    <w:rsid w:val="00F778EE"/>
    <w:rsid w:val="00F821F1"/>
    <w:rsid w:val="00F9071E"/>
    <w:rsid w:val="00F91330"/>
    <w:rsid w:val="00F96366"/>
    <w:rsid w:val="00FA228E"/>
    <w:rsid w:val="00FA2822"/>
    <w:rsid w:val="00FA4707"/>
    <w:rsid w:val="00FA600E"/>
    <w:rsid w:val="00FB2B25"/>
    <w:rsid w:val="00FB7505"/>
    <w:rsid w:val="00FC0D21"/>
    <w:rsid w:val="00FC450E"/>
    <w:rsid w:val="00FD0230"/>
    <w:rsid w:val="00FD1371"/>
    <w:rsid w:val="00FD320B"/>
    <w:rsid w:val="00FD5C29"/>
    <w:rsid w:val="00FD7E0C"/>
    <w:rsid w:val="00FE10B3"/>
    <w:rsid w:val="00FF3396"/>
    <w:rsid w:val="00FF559D"/>
    <w:rsid w:val="00FF6FFB"/>
    <w:rsid w:val="01223B82"/>
    <w:rsid w:val="016F1D40"/>
    <w:rsid w:val="03E33DD9"/>
    <w:rsid w:val="0FAD441B"/>
    <w:rsid w:val="15500EE4"/>
    <w:rsid w:val="16814D35"/>
    <w:rsid w:val="176C72F7"/>
    <w:rsid w:val="17D50F45"/>
    <w:rsid w:val="18973A8F"/>
    <w:rsid w:val="272B250C"/>
    <w:rsid w:val="2DCF21E3"/>
    <w:rsid w:val="31E242B8"/>
    <w:rsid w:val="346D7BCB"/>
    <w:rsid w:val="348D609E"/>
    <w:rsid w:val="3658101D"/>
    <w:rsid w:val="36795EDE"/>
    <w:rsid w:val="3E98676B"/>
    <w:rsid w:val="47983BE8"/>
    <w:rsid w:val="4B931DE9"/>
    <w:rsid w:val="50BE55B0"/>
    <w:rsid w:val="59A61CD2"/>
    <w:rsid w:val="5B1332C5"/>
    <w:rsid w:val="5FB2527F"/>
    <w:rsid w:val="63011BB9"/>
    <w:rsid w:val="67667244"/>
    <w:rsid w:val="6B0C2D7F"/>
    <w:rsid w:val="6BC40E47"/>
    <w:rsid w:val="6EC90D29"/>
    <w:rsid w:val="724A1C37"/>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1A1B3E"/>
  <w15:docId w15:val="{C281B9AE-E1AD-4571-889B-269A4B6C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annotation text" w:qFormat="1"/>
    <w:lsdException w:name="header" w:uiPriority="99" w:qFormat="1"/>
    <w:lsdException w:name="footer" w:uiPriority="99" w:qFormat="1"/>
    <w:lsdException w:name="caption" w:semiHidden="1" w:unhideWhenUsed="1" w:qFormat="1"/>
    <w:lsdException w:name="annotation reference" w:semiHidden="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Hyperlink" w:uiPriority="99"/>
    <w:lsdException w:name="Strong" w:qFormat="1"/>
    <w:lsdException w:name="Emphasis" w:qFormat="1"/>
    <w:lsdException w:name="Document Map" w:uiPriority="99" w:unhideWhenUsed="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qFormat/>
    <w:pPr>
      <w:jc w:val="left"/>
    </w:pPr>
  </w:style>
  <w:style w:type="paragraph" w:styleId="a5">
    <w:name w:val="Document Map"/>
    <w:basedOn w:val="a"/>
    <w:link w:val="Char1"/>
    <w:uiPriority w:val="99"/>
    <w:unhideWhenUsed/>
    <w:rPr>
      <w:rFonts w:ascii="宋体" w:hAnsi="Calibri"/>
      <w:kern w:val="0"/>
      <w:sz w:val="18"/>
      <w:szCs w:val="18"/>
    </w:rPr>
  </w:style>
  <w:style w:type="paragraph" w:styleId="a6">
    <w:name w:val="Body Text Indent"/>
    <w:basedOn w:val="a"/>
    <w:link w:val="Char2"/>
    <w:qFormat/>
    <w:pPr>
      <w:autoSpaceDE w:val="0"/>
      <w:autoSpaceDN w:val="0"/>
      <w:adjustRightInd w:val="0"/>
      <w:spacing w:line="360" w:lineRule="auto"/>
      <w:ind w:firstLineChars="199" w:firstLine="478"/>
    </w:pPr>
    <w:rPr>
      <w:rFonts w:ascii="宋体" w:hAnsi="宋体"/>
      <w:kern w:val="0"/>
      <w:sz w:val="24"/>
      <w:szCs w:val="21"/>
    </w:rPr>
  </w:style>
  <w:style w:type="paragraph" w:styleId="a7">
    <w:name w:val="Plain Text"/>
    <w:basedOn w:val="a"/>
    <w:link w:val="Char3"/>
    <w:qFormat/>
    <w:rPr>
      <w:rFonts w:ascii="宋体" w:hAnsi="Courier New"/>
      <w:szCs w:val="21"/>
    </w:rPr>
  </w:style>
  <w:style w:type="paragraph" w:styleId="a8">
    <w:name w:val="Date"/>
    <w:basedOn w:val="a"/>
    <w:next w:val="a"/>
    <w:qFormat/>
    <w:pPr>
      <w:ind w:leftChars="2500" w:left="100"/>
    </w:pPr>
    <w:rPr>
      <w:rFonts w:ascii="宋体" w:hAnsi="宋体"/>
      <w:sz w:val="24"/>
    </w:rPr>
  </w:style>
  <w:style w:type="paragraph" w:styleId="20">
    <w:name w:val="Body Text Indent 2"/>
    <w:basedOn w:val="a"/>
    <w:link w:val="2Char"/>
    <w:qFormat/>
    <w:pPr>
      <w:spacing w:before="60" w:after="60"/>
      <w:ind w:left="479"/>
    </w:pPr>
    <w:rPr>
      <w:rFonts w:ascii="宋体"/>
      <w:sz w:val="24"/>
    </w:rPr>
  </w:style>
  <w:style w:type="paragraph" w:styleId="a9">
    <w:name w:val="Balloon Text"/>
    <w:basedOn w:val="a"/>
    <w:link w:val="Char4"/>
    <w:uiPriority w:val="99"/>
    <w:semiHidden/>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right" w:leader="hyphen" w:pos="8296"/>
      </w:tabs>
      <w:spacing w:line="360" w:lineRule="auto"/>
    </w:pPr>
    <w:rPr>
      <w:rFonts w:ascii="宋体" w:hAnsi="宋体"/>
      <w:sz w:val="24"/>
      <w:szCs w:val="24"/>
    </w:rPr>
  </w:style>
  <w:style w:type="character" w:styleId="ac">
    <w:name w:val="page number"/>
    <w:basedOn w:val="a0"/>
  </w:style>
  <w:style w:type="character" w:styleId="ad">
    <w:name w:val="FollowedHyperlink"/>
    <w:rPr>
      <w:color w:val="800080"/>
      <w:u w:val="single"/>
    </w:rPr>
  </w:style>
  <w:style w:type="character" w:styleId="ae">
    <w:name w:val="Hyperlink"/>
    <w:uiPriority w:val="99"/>
    <w:rPr>
      <w:color w:val="0000FF"/>
      <w:u w:val="single"/>
    </w:rPr>
  </w:style>
  <w:style w:type="character" w:styleId="af">
    <w:name w:val="annotation reference"/>
    <w:semiHidden/>
    <w:rPr>
      <w:sz w:val="21"/>
      <w:szCs w:val="21"/>
    </w:rPr>
  </w:style>
  <w:style w:type="character" w:customStyle="1" w:styleId="Char6">
    <w:name w:val="页眉 Char"/>
    <w:link w:val="ab"/>
    <w:uiPriority w:val="99"/>
    <w:rPr>
      <w:kern w:val="2"/>
      <w:sz w:val="18"/>
      <w:szCs w:val="18"/>
    </w:rPr>
  </w:style>
  <w:style w:type="character" w:customStyle="1" w:styleId="DeltaViewInsertion">
    <w:name w:val="DeltaView Insertion"/>
    <w:rPr>
      <w:color w:val="0000FF"/>
      <w:spacing w:val="0"/>
      <w:u w:val="double"/>
    </w:rPr>
  </w:style>
  <w:style w:type="character" w:customStyle="1" w:styleId="2Char">
    <w:name w:val="正文文本缩进 2 Char"/>
    <w:link w:val="20"/>
    <w:rPr>
      <w:rFonts w:ascii="宋体"/>
      <w:kern w:val="2"/>
      <w:sz w:val="24"/>
    </w:rPr>
  </w:style>
  <w:style w:type="character" w:customStyle="1" w:styleId="Char3">
    <w:name w:val="纯文本 Char"/>
    <w:link w:val="a7"/>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Char">
    <w:name w:val="标题 1 Char"/>
    <w:link w:val="1"/>
    <w:uiPriority w:val="9"/>
    <w:rPr>
      <w:rFonts w:ascii="宋体" w:hAnsi="宋体"/>
      <w:b/>
      <w:color w:val="000000"/>
      <w:kern w:val="2"/>
      <w:sz w:val="24"/>
    </w:rPr>
  </w:style>
  <w:style w:type="character" w:customStyle="1" w:styleId="Char">
    <w:name w:val="批注主题 Char"/>
    <w:link w:val="a3"/>
    <w:uiPriority w:val="99"/>
    <w:semiHidden/>
    <w:rPr>
      <w:b/>
      <w:bCs/>
      <w:kern w:val="2"/>
      <w:sz w:val="21"/>
    </w:rPr>
  </w:style>
  <w:style w:type="character" w:customStyle="1" w:styleId="Char1">
    <w:name w:val="文档结构图 Char"/>
    <w:link w:val="a5"/>
    <w:uiPriority w:val="99"/>
    <w:rPr>
      <w:rFonts w:ascii="宋体" w:hAnsi="Calibri"/>
      <w:sz w:val="18"/>
      <w:szCs w:val="18"/>
    </w:rPr>
  </w:style>
  <w:style w:type="character" w:customStyle="1" w:styleId="Char4">
    <w:name w:val="批注框文本 Char"/>
    <w:link w:val="a9"/>
    <w:uiPriority w:val="99"/>
    <w:semiHidden/>
    <w:qFormat/>
    <w:rPr>
      <w:kern w:val="2"/>
      <w:sz w:val="18"/>
      <w:szCs w:val="18"/>
    </w:rPr>
  </w:style>
  <w:style w:type="character" w:customStyle="1" w:styleId="Char0">
    <w:name w:val="批注文字 Char"/>
    <w:link w:val="a4"/>
    <w:qFormat/>
    <w:rPr>
      <w:kern w:val="2"/>
      <w:sz w:val="21"/>
    </w:rPr>
  </w:style>
  <w:style w:type="character" w:customStyle="1" w:styleId="Char2">
    <w:name w:val="正文文本缩进 Char"/>
    <w:link w:val="a6"/>
    <w:qFormat/>
    <w:rPr>
      <w:rFonts w:ascii="宋体" w:hAnsi="宋体" w:cs="Arial"/>
      <w:sz w:val="24"/>
      <w:szCs w:val="21"/>
    </w:rPr>
  </w:style>
  <w:style w:type="character" w:customStyle="1" w:styleId="apple-style-span">
    <w:name w:val="apple-style-span"/>
  </w:style>
  <w:style w:type="character" w:customStyle="1" w:styleId="Char5">
    <w:name w:val="页脚 Char"/>
    <w:link w:val="aa"/>
    <w:uiPriority w:val="99"/>
    <w:qFormat/>
    <w:rPr>
      <w:kern w:val="2"/>
      <w:sz w:val="18"/>
      <w:szCs w:val="18"/>
    </w:rPr>
  </w:style>
  <w:style w:type="paragraph" w:customStyle="1" w:styleId="11">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7">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0">
    <w:name w:val="批注文字 字符"/>
    <w:qFormat/>
    <w:rPr>
      <w:rFonts w:ascii="Times New Roman" w:eastAsia="宋体" w:hAnsi="Times New Roman" w:cs="Times New Roman"/>
      <w:szCs w:val="24"/>
    </w:rPr>
  </w:style>
  <w:style w:type="paragraph" w:customStyle="1" w:styleId="21">
    <w:name w:val="修订2"/>
    <w:hidden/>
    <w:uiPriority w:val="99"/>
    <w:semiHidden/>
    <w:rPr>
      <w:kern w:val="2"/>
      <w:sz w:val="21"/>
    </w:rPr>
  </w:style>
  <w:style w:type="paragraph" w:styleId="af1">
    <w:name w:val="Revision"/>
    <w:hidden/>
    <w:uiPriority w:val="99"/>
    <w:semiHidden/>
    <w:rsid w:val="009E15B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D7EEE-4895-44D2-AE4B-84C9DB10A7CD}">
  <ds:schemaRefs>
    <ds:schemaRef ds:uri="http://schemas.openxmlformats.org/officeDocument/2006/bibliography"/>
  </ds:schemaRefs>
</ds:datastoreItem>
</file>

<file path=customXml/itemProps3.xml><?xml version="1.0" encoding="utf-8"?>
<ds:datastoreItem xmlns:ds="http://schemas.openxmlformats.org/officeDocument/2006/customXml" ds:itemID="{22CC0BD4-3B17-47E9-B7C7-03034CD9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5609</Words>
  <Characters>31974</Characters>
  <Application>Microsoft Office Word</Application>
  <DocSecurity>0</DocSecurity>
  <Lines>266</Lines>
  <Paragraphs>75</Paragraphs>
  <ScaleCrop>false</ScaleCrop>
  <Company/>
  <LinksUpToDate>false</LinksUpToDate>
  <CharactersWithSpaces>37508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刘斓</dc:creator>
  <cp:keywords/>
  <dc:description/>
  <cp:lastModifiedBy>补充协议2</cp:lastModifiedBy>
  <cp:revision>16</cp:revision>
  <cp:lastPrinted>2022-03-28T05:56:00Z</cp:lastPrinted>
  <dcterms:created xsi:type="dcterms:W3CDTF">2022-03-14T03:36:00Z</dcterms:created>
  <dcterms:modified xsi:type="dcterms:W3CDTF">2023-09-20T09:49:00Z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