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8A945" w14:textId="77777777" w:rsidR="00966B07" w:rsidRDefault="00966B07">
      <w:pPr>
        <w:spacing w:line="520" w:lineRule="exact"/>
        <w:jc w:val="right"/>
        <w:rPr>
          <w:rFonts w:ascii="宋体" w:hAnsi="宋体"/>
          <w:shadow/>
          <w:sz w:val="28"/>
          <w:szCs w:val="28"/>
        </w:rPr>
      </w:pPr>
    </w:p>
    <w:p w14:paraId="1B929E4D" w14:textId="77777777" w:rsidR="00966B07" w:rsidRDefault="00792B83">
      <w:pPr>
        <w:spacing w:line="520" w:lineRule="exact"/>
        <w:jc w:val="center"/>
        <w:rPr>
          <w:rFonts w:ascii="宋体" w:hAnsi="宋体"/>
          <w:shadow/>
          <w:sz w:val="28"/>
          <w:szCs w:val="28"/>
        </w:rPr>
      </w:pPr>
      <w:r>
        <w:rPr>
          <w:rFonts w:ascii="宋体" w:hAnsi="宋体" w:hint="eastAsia"/>
          <w:szCs w:val="28"/>
        </w:rPr>
        <w:t xml:space="preserve">                             </w:t>
      </w:r>
    </w:p>
    <w:p w14:paraId="62CFA877" w14:textId="77777777" w:rsidR="00966B07" w:rsidRDefault="00966B07">
      <w:pPr>
        <w:spacing w:line="520" w:lineRule="exact"/>
        <w:jc w:val="center"/>
        <w:rPr>
          <w:rFonts w:ascii="宋体" w:hAnsi="宋体"/>
          <w:shadow/>
          <w:sz w:val="28"/>
          <w:szCs w:val="28"/>
        </w:rPr>
      </w:pPr>
    </w:p>
    <w:p w14:paraId="537EDBC9" w14:textId="77777777" w:rsidR="00966B07" w:rsidRDefault="00966B07">
      <w:pPr>
        <w:spacing w:line="520" w:lineRule="exact"/>
        <w:jc w:val="center"/>
        <w:rPr>
          <w:rFonts w:ascii="宋体" w:hAnsi="宋体"/>
          <w:shadow/>
          <w:sz w:val="28"/>
          <w:szCs w:val="28"/>
        </w:rPr>
      </w:pPr>
    </w:p>
    <w:p w14:paraId="44C27FD7" w14:textId="77777777" w:rsidR="00966B07" w:rsidRDefault="00966B07">
      <w:pPr>
        <w:spacing w:line="520" w:lineRule="exact"/>
        <w:jc w:val="center"/>
        <w:rPr>
          <w:rFonts w:ascii="宋体" w:hAnsi="宋体"/>
          <w:shadow/>
          <w:sz w:val="28"/>
          <w:szCs w:val="28"/>
        </w:rPr>
      </w:pPr>
    </w:p>
    <w:p w14:paraId="74AF426E" w14:textId="77777777" w:rsidR="00966B07" w:rsidRDefault="00966B07">
      <w:pPr>
        <w:spacing w:line="520" w:lineRule="exact"/>
        <w:jc w:val="center"/>
        <w:rPr>
          <w:rFonts w:ascii="宋体" w:hAnsi="宋体"/>
          <w:shadow/>
          <w:sz w:val="28"/>
          <w:szCs w:val="28"/>
        </w:rPr>
      </w:pPr>
    </w:p>
    <w:p w14:paraId="771C15A6" w14:textId="58349C29" w:rsidR="0039156C" w:rsidRDefault="00792B83">
      <w:pPr>
        <w:spacing w:line="360" w:lineRule="auto"/>
        <w:jc w:val="center"/>
        <w:rPr>
          <w:rFonts w:ascii="宋体" w:hAnsi="宋体"/>
          <w:b/>
          <w:sz w:val="48"/>
        </w:rPr>
      </w:pPr>
      <w:proofErr w:type="gramStart"/>
      <w:r>
        <w:rPr>
          <w:rFonts w:ascii="宋体" w:hAnsi="宋体" w:hint="eastAsia"/>
          <w:b/>
          <w:sz w:val="48"/>
        </w:rPr>
        <w:t>农银汇理</w:t>
      </w:r>
      <w:r w:rsidR="005B6F51">
        <w:rPr>
          <w:rFonts w:ascii="宋体" w:hAnsi="宋体" w:hint="eastAsia"/>
          <w:b/>
          <w:sz w:val="48"/>
        </w:rPr>
        <w:t>金恒</w:t>
      </w:r>
      <w:proofErr w:type="gramEnd"/>
      <w:r>
        <w:rPr>
          <w:rFonts w:ascii="宋体" w:hAnsi="宋体" w:hint="eastAsia"/>
          <w:b/>
          <w:sz w:val="48"/>
        </w:rPr>
        <w:t>债券型证券投资基金</w:t>
      </w:r>
    </w:p>
    <w:p w14:paraId="118C3D5B" w14:textId="1CF9F4BE" w:rsidR="00966B07" w:rsidRDefault="00792B83">
      <w:pPr>
        <w:spacing w:line="360" w:lineRule="auto"/>
        <w:jc w:val="center"/>
        <w:rPr>
          <w:rFonts w:ascii="宋体" w:hAnsi="宋体"/>
          <w:b/>
          <w:sz w:val="48"/>
        </w:rPr>
      </w:pPr>
      <w:r>
        <w:rPr>
          <w:rFonts w:ascii="宋体" w:hAnsi="宋体" w:hint="eastAsia"/>
          <w:b/>
          <w:sz w:val="48"/>
        </w:rPr>
        <w:t>托管协议</w:t>
      </w:r>
    </w:p>
    <w:p w14:paraId="4C1A7891" w14:textId="77777777" w:rsidR="00966B07" w:rsidRDefault="00966B07">
      <w:pPr>
        <w:pStyle w:val="20"/>
        <w:spacing w:line="520" w:lineRule="exact"/>
        <w:ind w:firstLine="560"/>
        <w:rPr>
          <w:rFonts w:hAnsi="宋体"/>
          <w:sz w:val="28"/>
          <w:szCs w:val="28"/>
        </w:rPr>
      </w:pPr>
    </w:p>
    <w:p w14:paraId="2E903F79" w14:textId="77777777" w:rsidR="00966B07" w:rsidRDefault="00966B07">
      <w:pPr>
        <w:pStyle w:val="20"/>
        <w:spacing w:line="520" w:lineRule="exact"/>
        <w:ind w:firstLine="560"/>
        <w:rPr>
          <w:rFonts w:hAnsi="宋体"/>
          <w:sz w:val="28"/>
          <w:szCs w:val="28"/>
        </w:rPr>
      </w:pPr>
    </w:p>
    <w:p w14:paraId="6EDFD4E7" w14:textId="77777777" w:rsidR="00966B07" w:rsidRDefault="00966B07">
      <w:pPr>
        <w:pStyle w:val="20"/>
        <w:spacing w:line="520" w:lineRule="exact"/>
        <w:ind w:firstLine="560"/>
        <w:rPr>
          <w:rFonts w:hAnsi="宋体"/>
          <w:sz w:val="28"/>
          <w:szCs w:val="28"/>
        </w:rPr>
      </w:pPr>
    </w:p>
    <w:p w14:paraId="1BF79ADB" w14:textId="77777777" w:rsidR="00966B07" w:rsidRDefault="00966B07">
      <w:pPr>
        <w:pStyle w:val="20"/>
        <w:spacing w:line="520" w:lineRule="exact"/>
        <w:ind w:firstLine="560"/>
        <w:rPr>
          <w:rFonts w:hAnsi="宋体"/>
          <w:sz w:val="28"/>
          <w:szCs w:val="28"/>
        </w:rPr>
      </w:pPr>
    </w:p>
    <w:p w14:paraId="04FC7DA2" w14:textId="77777777" w:rsidR="00966B07" w:rsidRDefault="00966B07">
      <w:pPr>
        <w:pStyle w:val="20"/>
        <w:spacing w:line="520" w:lineRule="exact"/>
        <w:ind w:firstLine="560"/>
        <w:rPr>
          <w:rFonts w:hAnsi="宋体"/>
          <w:sz w:val="28"/>
          <w:szCs w:val="28"/>
        </w:rPr>
      </w:pPr>
    </w:p>
    <w:p w14:paraId="656C5A8F" w14:textId="77777777" w:rsidR="00966B07" w:rsidRDefault="00966B07">
      <w:pPr>
        <w:pStyle w:val="20"/>
        <w:spacing w:line="520" w:lineRule="exact"/>
        <w:ind w:firstLine="560"/>
        <w:rPr>
          <w:rFonts w:hAnsi="宋体"/>
          <w:sz w:val="28"/>
          <w:szCs w:val="28"/>
        </w:rPr>
      </w:pPr>
    </w:p>
    <w:p w14:paraId="08DB0E53" w14:textId="77777777" w:rsidR="00966B07" w:rsidRDefault="00792B83">
      <w:pPr>
        <w:spacing w:line="360" w:lineRule="auto"/>
        <w:jc w:val="center"/>
        <w:rPr>
          <w:rFonts w:ascii="宋体" w:hAnsi="宋体"/>
          <w:b/>
          <w:sz w:val="36"/>
        </w:rPr>
      </w:pPr>
      <w:bookmarkStart w:id="0" w:name="_Toc123701383"/>
      <w:bookmarkStart w:id="1" w:name="_Toc123112263"/>
      <w:bookmarkStart w:id="2" w:name="_Toc139992301"/>
      <w:bookmarkStart w:id="3" w:name="_Toc139991726"/>
      <w:bookmarkStart w:id="4" w:name="_Toc123112224"/>
      <w:r>
        <w:rPr>
          <w:rFonts w:ascii="宋体" w:hAnsi="宋体"/>
          <w:b/>
          <w:sz w:val="36"/>
        </w:rPr>
        <w:t>基金管理人：</w:t>
      </w:r>
      <w:bookmarkEnd w:id="0"/>
      <w:bookmarkEnd w:id="1"/>
      <w:bookmarkEnd w:id="2"/>
      <w:bookmarkEnd w:id="3"/>
      <w:bookmarkEnd w:id="4"/>
      <w:r>
        <w:rPr>
          <w:rFonts w:ascii="宋体" w:hAnsi="宋体" w:hint="eastAsia"/>
          <w:b/>
          <w:sz w:val="36"/>
        </w:rPr>
        <w:t xml:space="preserve">农银汇理基金管理有限公司 </w:t>
      </w:r>
    </w:p>
    <w:p w14:paraId="56C1289E" w14:textId="77777777" w:rsidR="00966B07" w:rsidRDefault="00792B83">
      <w:pPr>
        <w:spacing w:line="360" w:lineRule="auto"/>
        <w:jc w:val="center"/>
        <w:rPr>
          <w:rFonts w:ascii="宋体" w:hAnsi="宋体"/>
          <w:b/>
          <w:sz w:val="36"/>
        </w:rPr>
      </w:pPr>
      <w:bookmarkStart w:id="5" w:name="_Toc139992302"/>
      <w:bookmarkStart w:id="6" w:name="_Toc139991727"/>
      <w:bookmarkStart w:id="7" w:name="_Toc123112264"/>
      <w:bookmarkStart w:id="8" w:name="_Toc123701384"/>
      <w:bookmarkStart w:id="9" w:name="_Toc123112225"/>
      <w:r>
        <w:rPr>
          <w:rFonts w:ascii="宋体" w:hAnsi="宋体"/>
          <w:b/>
          <w:sz w:val="36"/>
        </w:rPr>
        <w:t>基金托管人：</w:t>
      </w:r>
      <w:r>
        <w:rPr>
          <w:rFonts w:ascii="宋体" w:hAnsi="宋体" w:hint="eastAsia"/>
          <w:b/>
          <w:sz w:val="36"/>
        </w:rPr>
        <w:t>中信银行股份有限公司</w:t>
      </w:r>
      <w:bookmarkEnd w:id="5"/>
      <w:bookmarkEnd w:id="6"/>
      <w:bookmarkEnd w:id="7"/>
      <w:bookmarkEnd w:id="8"/>
      <w:bookmarkEnd w:id="9"/>
    </w:p>
    <w:p w14:paraId="4B402484" w14:textId="77777777" w:rsidR="00966B07" w:rsidRDefault="00966B07">
      <w:pPr>
        <w:spacing w:line="360" w:lineRule="auto"/>
        <w:jc w:val="center"/>
        <w:rPr>
          <w:rFonts w:ascii="宋体" w:hAnsi="宋体"/>
          <w:b/>
          <w:sz w:val="44"/>
          <w:szCs w:val="44"/>
        </w:rPr>
      </w:pPr>
    </w:p>
    <w:p w14:paraId="76C5C41A" w14:textId="77777777" w:rsidR="00966B07" w:rsidRDefault="00966B07">
      <w:pPr>
        <w:spacing w:line="360" w:lineRule="auto"/>
        <w:rPr>
          <w:rFonts w:ascii="宋体" w:hAnsi="宋体"/>
          <w:b/>
          <w:szCs w:val="28"/>
        </w:rPr>
      </w:pPr>
    </w:p>
    <w:p w14:paraId="1C0105B8" w14:textId="77777777" w:rsidR="00966B07" w:rsidRDefault="00966B07">
      <w:pPr>
        <w:spacing w:line="360" w:lineRule="auto"/>
        <w:ind w:firstLineChars="200" w:firstLine="562"/>
        <w:jc w:val="center"/>
        <w:rPr>
          <w:rFonts w:ascii="宋体" w:hAnsi="宋体"/>
          <w:b/>
          <w:bCs/>
          <w:sz w:val="28"/>
          <w:szCs w:val="28"/>
        </w:rPr>
      </w:pPr>
    </w:p>
    <w:p w14:paraId="6E452973" w14:textId="77777777" w:rsidR="00966B07" w:rsidRDefault="00966B07">
      <w:pPr>
        <w:spacing w:line="360" w:lineRule="auto"/>
        <w:ind w:firstLineChars="200" w:firstLine="562"/>
        <w:jc w:val="center"/>
        <w:rPr>
          <w:rFonts w:ascii="宋体" w:hAnsi="宋体"/>
          <w:b/>
          <w:bCs/>
          <w:sz w:val="28"/>
          <w:szCs w:val="28"/>
        </w:rPr>
      </w:pPr>
    </w:p>
    <w:p w14:paraId="6E541729" w14:textId="77777777" w:rsidR="00966B07" w:rsidRDefault="00966B07">
      <w:pPr>
        <w:spacing w:line="360" w:lineRule="auto"/>
        <w:rPr>
          <w:rFonts w:ascii="宋体" w:hAnsi="宋体"/>
          <w:b/>
          <w:bCs/>
          <w:sz w:val="28"/>
          <w:szCs w:val="28"/>
        </w:rPr>
      </w:pPr>
    </w:p>
    <w:p w14:paraId="2B097FCC" w14:textId="77777777" w:rsidR="00966B07" w:rsidRDefault="00792B83">
      <w:pPr>
        <w:spacing w:line="360" w:lineRule="auto"/>
        <w:ind w:firstLineChars="200" w:firstLine="562"/>
        <w:jc w:val="center"/>
        <w:rPr>
          <w:rFonts w:ascii="宋体" w:hAnsi="宋体"/>
          <w:b/>
          <w:bCs/>
          <w:sz w:val="28"/>
          <w:szCs w:val="28"/>
        </w:rPr>
      </w:pPr>
      <w:r>
        <w:rPr>
          <w:rFonts w:ascii="宋体" w:hAnsi="宋体" w:hint="eastAsia"/>
          <w:b/>
          <w:bCs/>
          <w:sz w:val="28"/>
          <w:szCs w:val="28"/>
        </w:rPr>
        <w:br w:type="page"/>
      </w:r>
    </w:p>
    <w:p w14:paraId="26789159" w14:textId="77777777" w:rsidR="00966B07" w:rsidRDefault="00792B83">
      <w:pPr>
        <w:spacing w:line="360" w:lineRule="auto"/>
        <w:jc w:val="center"/>
        <w:rPr>
          <w:rFonts w:ascii="宋体" w:hAnsi="宋体"/>
          <w:b/>
          <w:bCs/>
          <w:sz w:val="28"/>
          <w:szCs w:val="28"/>
        </w:rPr>
      </w:pPr>
      <w:bookmarkStart w:id="10" w:name="_GoBack"/>
      <w:bookmarkEnd w:id="10"/>
      <w:r>
        <w:rPr>
          <w:rFonts w:ascii="宋体" w:hAnsi="宋体" w:hint="eastAsia"/>
          <w:b/>
          <w:bCs/>
          <w:sz w:val="28"/>
          <w:szCs w:val="28"/>
        </w:rPr>
        <w:lastRenderedPageBreak/>
        <w:t>目录</w:t>
      </w:r>
    </w:p>
    <w:p w14:paraId="7A6CCDCF" w14:textId="77777777" w:rsidR="00966B07" w:rsidRDefault="00966B07">
      <w:pPr>
        <w:spacing w:line="360" w:lineRule="auto"/>
        <w:ind w:firstLineChars="200" w:firstLine="562"/>
        <w:jc w:val="center"/>
        <w:rPr>
          <w:rFonts w:ascii="宋体" w:hAnsi="宋体"/>
          <w:b/>
          <w:bCs/>
          <w:sz w:val="28"/>
          <w:szCs w:val="28"/>
        </w:rPr>
      </w:pPr>
    </w:p>
    <w:p w14:paraId="3B206D2B" w14:textId="7CD18A93" w:rsidR="00966B07" w:rsidRDefault="00792B83">
      <w:pPr>
        <w:pStyle w:val="12"/>
        <w:rPr>
          <w:rFonts w:asciiTheme="minorHAnsi" w:eastAsiaTheme="minorEastAsia" w:hAnsiTheme="minorHAnsi" w:cstheme="minorBidi"/>
          <w:noProof/>
          <w:sz w:val="21"/>
          <w:szCs w:val="22"/>
        </w:rPr>
      </w:pPr>
      <w:r>
        <w:rPr>
          <w:b/>
          <w:sz w:val="28"/>
          <w:szCs w:val="28"/>
        </w:rPr>
        <w:fldChar w:fldCharType="begin"/>
      </w:r>
      <w:r>
        <w:rPr>
          <w:b/>
          <w:sz w:val="28"/>
          <w:szCs w:val="28"/>
        </w:rPr>
        <w:instrText xml:space="preserve"> </w:instrText>
      </w:r>
      <w:r>
        <w:rPr>
          <w:rFonts w:hint="eastAsia"/>
          <w:b/>
          <w:sz w:val="28"/>
          <w:szCs w:val="28"/>
        </w:rPr>
        <w:instrText>TOC \o "1-1" \h \z \u</w:instrText>
      </w:r>
      <w:r>
        <w:rPr>
          <w:b/>
          <w:sz w:val="28"/>
          <w:szCs w:val="28"/>
        </w:rPr>
        <w:instrText xml:space="preserve"> </w:instrText>
      </w:r>
      <w:r>
        <w:rPr>
          <w:b/>
          <w:sz w:val="28"/>
          <w:szCs w:val="28"/>
        </w:rPr>
        <w:fldChar w:fldCharType="separate"/>
      </w:r>
      <w:hyperlink w:anchor="_Toc63235218" w:history="1">
        <w:r>
          <w:rPr>
            <w:rStyle w:val="af5"/>
            <w:bCs/>
            <w:noProof/>
          </w:rPr>
          <w:t>第一条 本协议当事人</w:t>
        </w:r>
        <w:r>
          <w:rPr>
            <w:noProof/>
          </w:rPr>
          <w:tab/>
        </w:r>
        <w:r>
          <w:rPr>
            <w:noProof/>
          </w:rPr>
          <w:fldChar w:fldCharType="begin"/>
        </w:r>
        <w:r>
          <w:rPr>
            <w:noProof/>
          </w:rPr>
          <w:instrText xml:space="preserve"> PAGEREF _Toc63235218 \h </w:instrText>
        </w:r>
        <w:r>
          <w:rPr>
            <w:noProof/>
          </w:rPr>
        </w:r>
        <w:r>
          <w:rPr>
            <w:noProof/>
          </w:rPr>
          <w:fldChar w:fldCharType="separate"/>
        </w:r>
        <w:r w:rsidR="00E43114">
          <w:rPr>
            <w:noProof/>
          </w:rPr>
          <w:t>1</w:t>
        </w:r>
        <w:r>
          <w:rPr>
            <w:noProof/>
          </w:rPr>
          <w:fldChar w:fldCharType="end"/>
        </w:r>
      </w:hyperlink>
    </w:p>
    <w:p w14:paraId="6608E4E8" w14:textId="429CA312" w:rsidR="00966B07" w:rsidRDefault="000767D7">
      <w:pPr>
        <w:pStyle w:val="12"/>
        <w:rPr>
          <w:rFonts w:asciiTheme="minorHAnsi" w:eastAsiaTheme="minorEastAsia" w:hAnsiTheme="minorHAnsi" w:cstheme="minorBidi"/>
          <w:noProof/>
          <w:sz w:val="21"/>
          <w:szCs w:val="22"/>
        </w:rPr>
      </w:pPr>
      <w:hyperlink w:anchor="_Toc63235219" w:history="1">
        <w:r w:rsidR="00792B83">
          <w:rPr>
            <w:rStyle w:val="af5"/>
            <w:bCs/>
            <w:noProof/>
          </w:rPr>
          <w:t>第二条 本协议的依据、目的和原则</w:t>
        </w:r>
        <w:r w:rsidR="00792B83">
          <w:rPr>
            <w:noProof/>
          </w:rPr>
          <w:tab/>
        </w:r>
        <w:r w:rsidR="00792B83">
          <w:rPr>
            <w:noProof/>
          </w:rPr>
          <w:fldChar w:fldCharType="begin"/>
        </w:r>
        <w:r w:rsidR="00792B83">
          <w:rPr>
            <w:noProof/>
          </w:rPr>
          <w:instrText xml:space="preserve"> PAGEREF _Toc63235219 \h </w:instrText>
        </w:r>
        <w:r w:rsidR="00792B83">
          <w:rPr>
            <w:noProof/>
          </w:rPr>
        </w:r>
        <w:r w:rsidR="00792B83">
          <w:rPr>
            <w:noProof/>
          </w:rPr>
          <w:fldChar w:fldCharType="separate"/>
        </w:r>
        <w:r w:rsidR="00E43114">
          <w:rPr>
            <w:noProof/>
          </w:rPr>
          <w:t>1</w:t>
        </w:r>
        <w:r w:rsidR="00792B83">
          <w:rPr>
            <w:noProof/>
          </w:rPr>
          <w:fldChar w:fldCharType="end"/>
        </w:r>
      </w:hyperlink>
    </w:p>
    <w:p w14:paraId="7E4293C2" w14:textId="0E28B645" w:rsidR="00966B07" w:rsidRDefault="000767D7">
      <w:pPr>
        <w:pStyle w:val="12"/>
        <w:rPr>
          <w:rFonts w:asciiTheme="minorHAnsi" w:eastAsiaTheme="minorEastAsia" w:hAnsiTheme="minorHAnsi" w:cstheme="minorBidi"/>
          <w:noProof/>
          <w:sz w:val="21"/>
          <w:szCs w:val="22"/>
        </w:rPr>
      </w:pPr>
      <w:hyperlink w:anchor="_Toc63235220" w:history="1">
        <w:r w:rsidR="00792B83">
          <w:rPr>
            <w:rStyle w:val="af5"/>
            <w:bCs/>
            <w:noProof/>
          </w:rPr>
          <w:t>第三条 基金托管人对基金管理人的业务监督和核查</w:t>
        </w:r>
        <w:r w:rsidR="00792B83">
          <w:rPr>
            <w:noProof/>
          </w:rPr>
          <w:tab/>
        </w:r>
        <w:r w:rsidR="00792B83">
          <w:rPr>
            <w:noProof/>
          </w:rPr>
          <w:fldChar w:fldCharType="begin"/>
        </w:r>
        <w:r w:rsidR="00792B83">
          <w:rPr>
            <w:noProof/>
          </w:rPr>
          <w:instrText xml:space="preserve"> PAGEREF _Toc63235220 \h </w:instrText>
        </w:r>
        <w:r w:rsidR="00792B83">
          <w:rPr>
            <w:noProof/>
          </w:rPr>
        </w:r>
        <w:r w:rsidR="00792B83">
          <w:rPr>
            <w:noProof/>
          </w:rPr>
          <w:fldChar w:fldCharType="separate"/>
        </w:r>
        <w:r w:rsidR="00E43114">
          <w:rPr>
            <w:noProof/>
          </w:rPr>
          <w:t>1</w:t>
        </w:r>
        <w:r w:rsidR="00792B83">
          <w:rPr>
            <w:noProof/>
          </w:rPr>
          <w:fldChar w:fldCharType="end"/>
        </w:r>
      </w:hyperlink>
    </w:p>
    <w:p w14:paraId="5B2B86DD" w14:textId="4AE5288B" w:rsidR="00966B07" w:rsidRDefault="000767D7">
      <w:pPr>
        <w:pStyle w:val="12"/>
        <w:rPr>
          <w:rFonts w:asciiTheme="minorHAnsi" w:eastAsiaTheme="minorEastAsia" w:hAnsiTheme="minorHAnsi" w:cstheme="minorBidi"/>
          <w:noProof/>
          <w:sz w:val="21"/>
          <w:szCs w:val="22"/>
        </w:rPr>
      </w:pPr>
      <w:hyperlink w:anchor="_Toc63235221" w:history="1">
        <w:r w:rsidR="00792B83">
          <w:rPr>
            <w:rStyle w:val="af5"/>
            <w:bCs/>
            <w:noProof/>
          </w:rPr>
          <w:t>第四条 基金管理人对基金托管人的业务核查</w:t>
        </w:r>
        <w:r w:rsidR="00792B83">
          <w:rPr>
            <w:noProof/>
          </w:rPr>
          <w:tab/>
        </w:r>
        <w:r w:rsidR="00792B83">
          <w:rPr>
            <w:noProof/>
          </w:rPr>
          <w:fldChar w:fldCharType="begin"/>
        </w:r>
        <w:r w:rsidR="00792B83">
          <w:rPr>
            <w:noProof/>
          </w:rPr>
          <w:instrText xml:space="preserve"> PAGEREF _Toc63235221 \h </w:instrText>
        </w:r>
        <w:r w:rsidR="00792B83">
          <w:rPr>
            <w:noProof/>
          </w:rPr>
        </w:r>
        <w:r w:rsidR="00792B83">
          <w:rPr>
            <w:noProof/>
          </w:rPr>
          <w:fldChar w:fldCharType="separate"/>
        </w:r>
        <w:r w:rsidR="00E43114">
          <w:rPr>
            <w:noProof/>
          </w:rPr>
          <w:t>1</w:t>
        </w:r>
        <w:r w:rsidR="00792B83">
          <w:rPr>
            <w:noProof/>
          </w:rPr>
          <w:fldChar w:fldCharType="end"/>
        </w:r>
      </w:hyperlink>
    </w:p>
    <w:p w14:paraId="2FE1C333" w14:textId="54512E2B" w:rsidR="00966B07" w:rsidRDefault="000767D7">
      <w:pPr>
        <w:pStyle w:val="12"/>
        <w:rPr>
          <w:rFonts w:asciiTheme="minorHAnsi" w:eastAsiaTheme="minorEastAsia" w:hAnsiTheme="minorHAnsi" w:cstheme="minorBidi"/>
          <w:noProof/>
          <w:sz w:val="21"/>
          <w:szCs w:val="22"/>
        </w:rPr>
      </w:pPr>
      <w:hyperlink w:anchor="_Toc63235222" w:history="1">
        <w:r w:rsidR="00792B83">
          <w:rPr>
            <w:rStyle w:val="af5"/>
            <w:bCs/>
            <w:noProof/>
          </w:rPr>
          <w:t>第五条 基金财产保管</w:t>
        </w:r>
        <w:r w:rsidR="00792B83">
          <w:rPr>
            <w:noProof/>
          </w:rPr>
          <w:tab/>
        </w:r>
        <w:r w:rsidR="00792B83">
          <w:rPr>
            <w:noProof/>
          </w:rPr>
          <w:fldChar w:fldCharType="begin"/>
        </w:r>
        <w:r w:rsidR="00792B83">
          <w:rPr>
            <w:noProof/>
          </w:rPr>
          <w:instrText xml:space="preserve"> PAGEREF _Toc63235222 \h </w:instrText>
        </w:r>
        <w:r w:rsidR="00792B83">
          <w:rPr>
            <w:noProof/>
          </w:rPr>
        </w:r>
        <w:r w:rsidR="00792B83">
          <w:rPr>
            <w:noProof/>
          </w:rPr>
          <w:fldChar w:fldCharType="separate"/>
        </w:r>
        <w:r w:rsidR="00E43114">
          <w:rPr>
            <w:noProof/>
          </w:rPr>
          <w:t>1</w:t>
        </w:r>
        <w:r w:rsidR="00792B83">
          <w:rPr>
            <w:noProof/>
          </w:rPr>
          <w:fldChar w:fldCharType="end"/>
        </w:r>
      </w:hyperlink>
    </w:p>
    <w:p w14:paraId="030A391F" w14:textId="49650103" w:rsidR="00966B07" w:rsidRDefault="000767D7">
      <w:pPr>
        <w:pStyle w:val="12"/>
        <w:rPr>
          <w:rFonts w:asciiTheme="minorHAnsi" w:eastAsiaTheme="minorEastAsia" w:hAnsiTheme="minorHAnsi" w:cstheme="minorBidi"/>
          <w:noProof/>
          <w:sz w:val="21"/>
          <w:szCs w:val="22"/>
        </w:rPr>
      </w:pPr>
      <w:hyperlink w:anchor="_Toc63235223" w:history="1">
        <w:r w:rsidR="00792B83">
          <w:rPr>
            <w:rStyle w:val="af5"/>
            <w:bCs/>
            <w:noProof/>
          </w:rPr>
          <w:t>第六条 指令的发送、确认和执行</w:t>
        </w:r>
        <w:r w:rsidR="00792B83">
          <w:rPr>
            <w:noProof/>
          </w:rPr>
          <w:tab/>
        </w:r>
        <w:r w:rsidR="00792B83">
          <w:rPr>
            <w:noProof/>
          </w:rPr>
          <w:fldChar w:fldCharType="begin"/>
        </w:r>
        <w:r w:rsidR="00792B83">
          <w:rPr>
            <w:noProof/>
          </w:rPr>
          <w:instrText xml:space="preserve"> PAGEREF _Toc63235223 \h </w:instrText>
        </w:r>
        <w:r w:rsidR="00792B83">
          <w:rPr>
            <w:noProof/>
          </w:rPr>
        </w:r>
        <w:r w:rsidR="00792B83">
          <w:rPr>
            <w:noProof/>
          </w:rPr>
          <w:fldChar w:fldCharType="separate"/>
        </w:r>
        <w:r w:rsidR="00E43114">
          <w:rPr>
            <w:noProof/>
          </w:rPr>
          <w:t>1</w:t>
        </w:r>
        <w:r w:rsidR="00792B83">
          <w:rPr>
            <w:noProof/>
          </w:rPr>
          <w:fldChar w:fldCharType="end"/>
        </w:r>
      </w:hyperlink>
    </w:p>
    <w:p w14:paraId="3A3E1994" w14:textId="42E49E51" w:rsidR="00966B07" w:rsidRDefault="000767D7">
      <w:pPr>
        <w:pStyle w:val="12"/>
        <w:rPr>
          <w:rFonts w:asciiTheme="minorHAnsi" w:eastAsiaTheme="minorEastAsia" w:hAnsiTheme="minorHAnsi" w:cstheme="minorBidi"/>
          <w:noProof/>
          <w:sz w:val="21"/>
          <w:szCs w:val="22"/>
        </w:rPr>
      </w:pPr>
      <w:hyperlink w:anchor="_Toc63235224" w:history="1">
        <w:r w:rsidR="00792B83">
          <w:rPr>
            <w:rStyle w:val="af5"/>
            <w:bCs/>
            <w:noProof/>
          </w:rPr>
          <w:t>第七条 交易及清算交收安排</w:t>
        </w:r>
        <w:r w:rsidR="00792B83">
          <w:rPr>
            <w:noProof/>
          </w:rPr>
          <w:tab/>
        </w:r>
        <w:r w:rsidR="00792B83">
          <w:rPr>
            <w:noProof/>
          </w:rPr>
          <w:fldChar w:fldCharType="begin"/>
        </w:r>
        <w:r w:rsidR="00792B83">
          <w:rPr>
            <w:noProof/>
          </w:rPr>
          <w:instrText xml:space="preserve"> PAGEREF _Toc63235224 \h </w:instrText>
        </w:r>
        <w:r w:rsidR="00792B83">
          <w:rPr>
            <w:noProof/>
          </w:rPr>
        </w:r>
        <w:r w:rsidR="00792B83">
          <w:rPr>
            <w:noProof/>
          </w:rPr>
          <w:fldChar w:fldCharType="separate"/>
        </w:r>
        <w:r w:rsidR="00E43114">
          <w:rPr>
            <w:noProof/>
          </w:rPr>
          <w:t>1</w:t>
        </w:r>
        <w:r w:rsidR="00792B83">
          <w:rPr>
            <w:noProof/>
          </w:rPr>
          <w:fldChar w:fldCharType="end"/>
        </w:r>
      </w:hyperlink>
    </w:p>
    <w:p w14:paraId="7B6808E6" w14:textId="579A552D" w:rsidR="00966B07" w:rsidRDefault="000767D7">
      <w:pPr>
        <w:pStyle w:val="12"/>
        <w:rPr>
          <w:rFonts w:asciiTheme="minorHAnsi" w:eastAsiaTheme="minorEastAsia" w:hAnsiTheme="minorHAnsi" w:cstheme="minorBidi"/>
          <w:noProof/>
          <w:sz w:val="21"/>
          <w:szCs w:val="22"/>
        </w:rPr>
      </w:pPr>
      <w:hyperlink w:anchor="_Toc63235225" w:history="1">
        <w:r w:rsidR="00792B83">
          <w:rPr>
            <w:rStyle w:val="af5"/>
            <w:bCs/>
            <w:noProof/>
          </w:rPr>
          <w:t>第八条 基金净值计算和会计核算</w:t>
        </w:r>
        <w:r w:rsidR="00792B83">
          <w:rPr>
            <w:noProof/>
          </w:rPr>
          <w:tab/>
        </w:r>
        <w:r w:rsidR="00792B83">
          <w:rPr>
            <w:noProof/>
          </w:rPr>
          <w:fldChar w:fldCharType="begin"/>
        </w:r>
        <w:r w:rsidR="00792B83">
          <w:rPr>
            <w:noProof/>
          </w:rPr>
          <w:instrText xml:space="preserve"> PAGEREF _Toc63235225 \h </w:instrText>
        </w:r>
        <w:r w:rsidR="00792B83">
          <w:rPr>
            <w:noProof/>
          </w:rPr>
        </w:r>
        <w:r w:rsidR="00792B83">
          <w:rPr>
            <w:noProof/>
          </w:rPr>
          <w:fldChar w:fldCharType="separate"/>
        </w:r>
        <w:r w:rsidR="00E43114">
          <w:rPr>
            <w:noProof/>
          </w:rPr>
          <w:t>1</w:t>
        </w:r>
        <w:r w:rsidR="00792B83">
          <w:rPr>
            <w:noProof/>
          </w:rPr>
          <w:fldChar w:fldCharType="end"/>
        </w:r>
      </w:hyperlink>
    </w:p>
    <w:p w14:paraId="612A50FF" w14:textId="56C291B0" w:rsidR="00966B07" w:rsidRDefault="000767D7">
      <w:pPr>
        <w:pStyle w:val="12"/>
        <w:rPr>
          <w:rFonts w:asciiTheme="minorHAnsi" w:eastAsiaTheme="minorEastAsia" w:hAnsiTheme="minorHAnsi" w:cstheme="minorBidi"/>
          <w:noProof/>
          <w:sz w:val="21"/>
          <w:szCs w:val="22"/>
        </w:rPr>
      </w:pPr>
      <w:hyperlink w:anchor="_Toc63235226" w:history="1">
        <w:r w:rsidR="00792B83">
          <w:rPr>
            <w:rStyle w:val="af5"/>
            <w:bCs/>
            <w:noProof/>
          </w:rPr>
          <w:t>第九条 基金收益分配</w:t>
        </w:r>
        <w:r w:rsidR="00792B83">
          <w:rPr>
            <w:noProof/>
          </w:rPr>
          <w:tab/>
        </w:r>
        <w:r w:rsidR="00792B83">
          <w:rPr>
            <w:noProof/>
          </w:rPr>
          <w:fldChar w:fldCharType="begin"/>
        </w:r>
        <w:r w:rsidR="00792B83">
          <w:rPr>
            <w:noProof/>
          </w:rPr>
          <w:instrText xml:space="preserve"> PAGEREF _Toc63235226 \h </w:instrText>
        </w:r>
        <w:r w:rsidR="00792B83">
          <w:rPr>
            <w:noProof/>
          </w:rPr>
        </w:r>
        <w:r w:rsidR="00792B83">
          <w:rPr>
            <w:noProof/>
          </w:rPr>
          <w:fldChar w:fldCharType="separate"/>
        </w:r>
        <w:r w:rsidR="00E43114">
          <w:rPr>
            <w:noProof/>
          </w:rPr>
          <w:t>1</w:t>
        </w:r>
        <w:r w:rsidR="00792B83">
          <w:rPr>
            <w:noProof/>
          </w:rPr>
          <w:fldChar w:fldCharType="end"/>
        </w:r>
      </w:hyperlink>
    </w:p>
    <w:p w14:paraId="2F7220C7" w14:textId="015BEDD3" w:rsidR="00966B07" w:rsidRDefault="000767D7">
      <w:pPr>
        <w:pStyle w:val="12"/>
        <w:rPr>
          <w:rFonts w:asciiTheme="minorHAnsi" w:eastAsiaTheme="minorEastAsia" w:hAnsiTheme="minorHAnsi" w:cstheme="minorBidi"/>
          <w:noProof/>
          <w:sz w:val="21"/>
          <w:szCs w:val="22"/>
        </w:rPr>
      </w:pPr>
      <w:hyperlink w:anchor="_Toc63235227" w:history="1">
        <w:r w:rsidR="00792B83">
          <w:rPr>
            <w:rStyle w:val="af5"/>
            <w:bCs/>
            <w:noProof/>
          </w:rPr>
          <w:t>第十条 信息披露</w:t>
        </w:r>
        <w:r w:rsidR="00792B83">
          <w:rPr>
            <w:noProof/>
          </w:rPr>
          <w:tab/>
        </w:r>
        <w:r w:rsidR="00792B83">
          <w:rPr>
            <w:noProof/>
          </w:rPr>
          <w:fldChar w:fldCharType="begin"/>
        </w:r>
        <w:r w:rsidR="00792B83">
          <w:rPr>
            <w:noProof/>
          </w:rPr>
          <w:instrText xml:space="preserve"> PAGEREF _Toc63235227 \h </w:instrText>
        </w:r>
        <w:r w:rsidR="00792B83">
          <w:rPr>
            <w:noProof/>
          </w:rPr>
        </w:r>
        <w:r w:rsidR="00792B83">
          <w:rPr>
            <w:noProof/>
          </w:rPr>
          <w:fldChar w:fldCharType="separate"/>
        </w:r>
        <w:r w:rsidR="00E43114">
          <w:rPr>
            <w:noProof/>
          </w:rPr>
          <w:t>1</w:t>
        </w:r>
        <w:r w:rsidR="00792B83">
          <w:rPr>
            <w:noProof/>
          </w:rPr>
          <w:fldChar w:fldCharType="end"/>
        </w:r>
      </w:hyperlink>
    </w:p>
    <w:p w14:paraId="4860397A" w14:textId="3EBF65CF" w:rsidR="00966B07" w:rsidRDefault="000767D7">
      <w:pPr>
        <w:pStyle w:val="12"/>
        <w:rPr>
          <w:rFonts w:asciiTheme="minorHAnsi" w:eastAsiaTheme="minorEastAsia" w:hAnsiTheme="minorHAnsi" w:cstheme="minorBidi"/>
          <w:noProof/>
          <w:sz w:val="21"/>
          <w:szCs w:val="22"/>
        </w:rPr>
      </w:pPr>
      <w:hyperlink w:anchor="_Toc63235228" w:history="1">
        <w:r w:rsidR="00792B83">
          <w:rPr>
            <w:rStyle w:val="af5"/>
            <w:bCs/>
            <w:noProof/>
          </w:rPr>
          <w:t>第十一条 基金费用</w:t>
        </w:r>
        <w:r w:rsidR="00792B83">
          <w:rPr>
            <w:noProof/>
          </w:rPr>
          <w:tab/>
        </w:r>
        <w:r w:rsidR="00792B83">
          <w:rPr>
            <w:noProof/>
          </w:rPr>
          <w:fldChar w:fldCharType="begin"/>
        </w:r>
        <w:r w:rsidR="00792B83">
          <w:rPr>
            <w:noProof/>
          </w:rPr>
          <w:instrText xml:space="preserve"> PAGEREF _Toc63235228 \h </w:instrText>
        </w:r>
        <w:r w:rsidR="00792B83">
          <w:rPr>
            <w:noProof/>
          </w:rPr>
        </w:r>
        <w:r w:rsidR="00792B83">
          <w:rPr>
            <w:noProof/>
          </w:rPr>
          <w:fldChar w:fldCharType="separate"/>
        </w:r>
        <w:r w:rsidR="00E43114">
          <w:rPr>
            <w:noProof/>
          </w:rPr>
          <w:t>1</w:t>
        </w:r>
        <w:r w:rsidR="00792B83">
          <w:rPr>
            <w:noProof/>
          </w:rPr>
          <w:fldChar w:fldCharType="end"/>
        </w:r>
      </w:hyperlink>
    </w:p>
    <w:p w14:paraId="2E89C63A" w14:textId="4FB18BD8" w:rsidR="00966B07" w:rsidRDefault="000767D7">
      <w:pPr>
        <w:pStyle w:val="12"/>
        <w:rPr>
          <w:rFonts w:asciiTheme="minorHAnsi" w:eastAsiaTheme="minorEastAsia" w:hAnsiTheme="minorHAnsi" w:cstheme="minorBidi"/>
          <w:noProof/>
          <w:sz w:val="21"/>
          <w:szCs w:val="22"/>
        </w:rPr>
      </w:pPr>
      <w:hyperlink w:anchor="_Toc63235229" w:history="1">
        <w:r w:rsidR="00792B83">
          <w:rPr>
            <w:rStyle w:val="af5"/>
            <w:bCs/>
            <w:noProof/>
          </w:rPr>
          <w:t>第十二条 基金份额持有人名册的保管</w:t>
        </w:r>
        <w:r w:rsidR="00792B83">
          <w:rPr>
            <w:noProof/>
          </w:rPr>
          <w:tab/>
        </w:r>
        <w:r w:rsidR="00792B83">
          <w:rPr>
            <w:noProof/>
          </w:rPr>
          <w:fldChar w:fldCharType="begin"/>
        </w:r>
        <w:r w:rsidR="00792B83">
          <w:rPr>
            <w:noProof/>
          </w:rPr>
          <w:instrText xml:space="preserve"> PAGEREF _Toc63235229 \h </w:instrText>
        </w:r>
        <w:r w:rsidR="00792B83">
          <w:rPr>
            <w:noProof/>
          </w:rPr>
        </w:r>
        <w:r w:rsidR="00792B83">
          <w:rPr>
            <w:noProof/>
          </w:rPr>
          <w:fldChar w:fldCharType="separate"/>
        </w:r>
        <w:r w:rsidR="00E43114">
          <w:rPr>
            <w:noProof/>
          </w:rPr>
          <w:t>1</w:t>
        </w:r>
        <w:r w:rsidR="00792B83">
          <w:rPr>
            <w:noProof/>
          </w:rPr>
          <w:fldChar w:fldCharType="end"/>
        </w:r>
      </w:hyperlink>
    </w:p>
    <w:p w14:paraId="76866ECA" w14:textId="694EB402" w:rsidR="00966B07" w:rsidRDefault="000767D7">
      <w:pPr>
        <w:pStyle w:val="12"/>
        <w:rPr>
          <w:rFonts w:asciiTheme="minorHAnsi" w:eastAsiaTheme="minorEastAsia" w:hAnsiTheme="minorHAnsi" w:cstheme="minorBidi"/>
          <w:noProof/>
          <w:sz w:val="21"/>
          <w:szCs w:val="22"/>
        </w:rPr>
      </w:pPr>
      <w:hyperlink w:anchor="_Toc63235230" w:history="1">
        <w:r w:rsidR="00792B83">
          <w:rPr>
            <w:rStyle w:val="af5"/>
            <w:bCs/>
            <w:noProof/>
          </w:rPr>
          <w:t>第十三条 基金有关文件和档案的保存</w:t>
        </w:r>
        <w:r w:rsidR="00792B83">
          <w:rPr>
            <w:noProof/>
          </w:rPr>
          <w:tab/>
        </w:r>
        <w:r w:rsidR="00792B83">
          <w:rPr>
            <w:noProof/>
          </w:rPr>
          <w:fldChar w:fldCharType="begin"/>
        </w:r>
        <w:r w:rsidR="00792B83">
          <w:rPr>
            <w:noProof/>
          </w:rPr>
          <w:instrText xml:space="preserve"> PAGEREF _Toc63235230 \h </w:instrText>
        </w:r>
        <w:r w:rsidR="00792B83">
          <w:rPr>
            <w:noProof/>
          </w:rPr>
        </w:r>
        <w:r w:rsidR="00792B83">
          <w:rPr>
            <w:noProof/>
          </w:rPr>
          <w:fldChar w:fldCharType="separate"/>
        </w:r>
        <w:r w:rsidR="00E43114">
          <w:rPr>
            <w:noProof/>
          </w:rPr>
          <w:t>1</w:t>
        </w:r>
        <w:r w:rsidR="00792B83">
          <w:rPr>
            <w:noProof/>
          </w:rPr>
          <w:fldChar w:fldCharType="end"/>
        </w:r>
      </w:hyperlink>
    </w:p>
    <w:p w14:paraId="1E5545C7" w14:textId="0B5CA911" w:rsidR="00966B07" w:rsidRDefault="000767D7">
      <w:pPr>
        <w:pStyle w:val="12"/>
        <w:rPr>
          <w:rFonts w:asciiTheme="minorHAnsi" w:eastAsiaTheme="minorEastAsia" w:hAnsiTheme="minorHAnsi" w:cstheme="minorBidi"/>
          <w:noProof/>
          <w:sz w:val="21"/>
          <w:szCs w:val="22"/>
        </w:rPr>
      </w:pPr>
      <w:hyperlink w:anchor="_Toc63235231" w:history="1">
        <w:r w:rsidR="00792B83">
          <w:rPr>
            <w:rStyle w:val="af5"/>
            <w:bCs/>
            <w:noProof/>
          </w:rPr>
          <w:t>第十四条 基金管理人和基金托管人的更换</w:t>
        </w:r>
        <w:r w:rsidR="00792B83">
          <w:rPr>
            <w:noProof/>
          </w:rPr>
          <w:tab/>
        </w:r>
        <w:r w:rsidR="00792B83">
          <w:rPr>
            <w:noProof/>
          </w:rPr>
          <w:fldChar w:fldCharType="begin"/>
        </w:r>
        <w:r w:rsidR="00792B83">
          <w:rPr>
            <w:noProof/>
          </w:rPr>
          <w:instrText xml:space="preserve"> PAGEREF _Toc63235231 \h </w:instrText>
        </w:r>
        <w:r w:rsidR="00792B83">
          <w:rPr>
            <w:noProof/>
          </w:rPr>
        </w:r>
        <w:r w:rsidR="00792B83">
          <w:rPr>
            <w:noProof/>
          </w:rPr>
          <w:fldChar w:fldCharType="separate"/>
        </w:r>
        <w:r w:rsidR="00E43114">
          <w:rPr>
            <w:noProof/>
          </w:rPr>
          <w:t>1</w:t>
        </w:r>
        <w:r w:rsidR="00792B83">
          <w:rPr>
            <w:noProof/>
          </w:rPr>
          <w:fldChar w:fldCharType="end"/>
        </w:r>
      </w:hyperlink>
    </w:p>
    <w:p w14:paraId="4862A9A7" w14:textId="7CCE99B5" w:rsidR="00966B07" w:rsidRDefault="000767D7">
      <w:pPr>
        <w:pStyle w:val="12"/>
        <w:rPr>
          <w:rFonts w:asciiTheme="minorHAnsi" w:eastAsiaTheme="minorEastAsia" w:hAnsiTheme="minorHAnsi" w:cstheme="minorBidi"/>
          <w:noProof/>
          <w:sz w:val="21"/>
          <w:szCs w:val="22"/>
        </w:rPr>
      </w:pPr>
      <w:hyperlink w:anchor="_Toc63235232" w:history="1">
        <w:r w:rsidR="00792B83">
          <w:rPr>
            <w:rStyle w:val="af5"/>
            <w:bCs/>
            <w:noProof/>
          </w:rPr>
          <w:t>第十五条 禁止行为</w:t>
        </w:r>
        <w:r w:rsidR="00792B83">
          <w:rPr>
            <w:noProof/>
          </w:rPr>
          <w:tab/>
        </w:r>
        <w:r w:rsidR="00792B83">
          <w:rPr>
            <w:noProof/>
          </w:rPr>
          <w:fldChar w:fldCharType="begin"/>
        </w:r>
        <w:r w:rsidR="00792B83">
          <w:rPr>
            <w:noProof/>
          </w:rPr>
          <w:instrText xml:space="preserve"> PAGEREF _Toc63235232 \h </w:instrText>
        </w:r>
        <w:r w:rsidR="00792B83">
          <w:rPr>
            <w:noProof/>
          </w:rPr>
        </w:r>
        <w:r w:rsidR="00792B83">
          <w:rPr>
            <w:noProof/>
          </w:rPr>
          <w:fldChar w:fldCharType="separate"/>
        </w:r>
        <w:r w:rsidR="00E43114">
          <w:rPr>
            <w:noProof/>
          </w:rPr>
          <w:t>1</w:t>
        </w:r>
        <w:r w:rsidR="00792B83">
          <w:rPr>
            <w:noProof/>
          </w:rPr>
          <w:fldChar w:fldCharType="end"/>
        </w:r>
      </w:hyperlink>
    </w:p>
    <w:p w14:paraId="0C1334A7" w14:textId="1CEBBF39" w:rsidR="00966B07" w:rsidRDefault="000767D7">
      <w:pPr>
        <w:pStyle w:val="12"/>
        <w:rPr>
          <w:rFonts w:asciiTheme="minorHAnsi" w:eastAsiaTheme="minorEastAsia" w:hAnsiTheme="minorHAnsi" w:cstheme="minorBidi"/>
          <w:noProof/>
          <w:sz w:val="21"/>
          <w:szCs w:val="22"/>
        </w:rPr>
      </w:pPr>
      <w:hyperlink w:anchor="_Toc63235233" w:history="1">
        <w:r w:rsidR="00792B83">
          <w:rPr>
            <w:rStyle w:val="af5"/>
            <w:bCs/>
            <w:noProof/>
          </w:rPr>
          <w:t>第十六条 本协议的变更、终止与基金财产的清算</w:t>
        </w:r>
        <w:r w:rsidR="00792B83">
          <w:rPr>
            <w:noProof/>
          </w:rPr>
          <w:tab/>
        </w:r>
        <w:r w:rsidR="00792B83">
          <w:rPr>
            <w:noProof/>
          </w:rPr>
          <w:fldChar w:fldCharType="begin"/>
        </w:r>
        <w:r w:rsidR="00792B83">
          <w:rPr>
            <w:noProof/>
          </w:rPr>
          <w:instrText xml:space="preserve"> PAGEREF _Toc63235233 \h </w:instrText>
        </w:r>
        <w:r w:rsidR="00792B83">
          <w:rPr>
            <w:noProof/>
          </w:rPr>
        </w:r>
        <w:r w:rsidR="00792B83">
          <w:rPr>
            <w:noProof/>
          </w:rPr>
          <w:fldChar w:fldCharType="separate"/>
        </w:r>
        <w:r w:rsidR="00E43114">
          <w:rPr>
            <w:noProof/>
          </w:rPr>
          <w:t>1</w:t>
        </w:r>
        <w:r w:rsidR="00792B83">
          <w:rPr>
            <w:noProof/>
          </w:rPr>
          <w:fldChar w:fldCharType="end"/>
        </w:r>
      </w:hyperlink>
    </w:p>
    <w:p w14:paraId="57D79AFF" w14:textId="1B13BAF6" w:rsidR="00966B07" w:rsidRDefault="000767D7">
      <w:pPr>
        <w:pStyle w:val="12"/>
        <w:rPr>
          <w:rFonts w:asciiTheme="minorHAnsi" w:eastAsiaTheme="minorEastAsia" w:hAnsiTheme="minorHAnsi" w:cstheme="minorBidi"/>
          <w:noProof/>
          <w:sz w:val="21"/>
          <w:szCs w:val="22"/>
        </w:rPr>
      </w:pPr>
      <w:hyperlink w:anchor="_Toc63235234" w:history="1">
        <w:r w:rsidR="00792B83">
          <w:rPr>
            <w:rStyle w:val="af5"/>
            <w:bCs/>
            <w:noProof/>
          </w:rPr>
          <w:t>第十七条 违约责任</w:t>
        </w:r>
        <w:r w:rsidR="00792B83">
          <w:rPr>
            <w:noProof/>
          </w:rPr>
          <w:tab/>
        </w:r>
        <w:r w:rsidR="00792B83">
          <w:rPr>
            <w:noProof/>
          </w:rPr>
          <w:fldChar w:fldCharType="begin"/>
        </w:r>
        <w:r w:rsidR="00792B83">
          <w:rPr>
            <w:noProof/>
          </w:rPr>
          <w:instrText xml:space="preserve"> PAGEREF _Toc63235234 \h </w:instrText>
        </w:r>
        <w:r w:rsidR="00792B83">
          <w:rPr>
            <w:noProof/>
          </w:rPr>
        </w:r>
        <w:r w:rsidR="00792B83">
          <w:rPr>
            <w:noProof/>
          </w:rPr>
          <w:fldChar w:fldCharType="separate"/>
        </w:r>
        <w:r w:rsidR="00E43114">
          <w:rPr>
            <w:noProof/>
          </w:rPr>
          <w:t>1</w:t>
        </w:r>
        <w:r w:rsidR="00792B83">
          <w:rPr>
            <w:noProof/>
          </w:rPr>
          <w:fldChar w:fldCharType="end"/>
        </w:r>
      </w:hyperlink>
    </w:p>
    <w:p w14:paraId="0562088D" w14:textId="5EF82D42" w:rsidR="00966B07" w:rsidRDefault="000767D7">
      <w:pPr>
        <w:pStyle w:val="12"/>
        <w:rPr>
          <w:rFonts w:asciiTheme="minorHAnsi" w:eastAsiaTheme="minorEastAsia" w:hAnsiTheme="minorHAnsi" w:cstheme="minorBidi"/>
          <w:noProof/>
          <w:sz w:val="21"/>
          <w:szCs w:val="22"/>
        </w:rPr>
      </w:pPr>
      <w:hyperlink w:anchor="_Toc63235235" w:history="1">
        <w:r w:rsidR="00792B83">
          <w:rPr>
            <w:rStyle w:val="af5"/>
            <w:bCs/>
            <w:noProof/>
          </w:rPr>
          <w:t xml:space="preserve">第十八条 </w:t>
        </w:r>
        <w:r w:rsidR="00792B83">
          <w:rPr>
            <w:rStyle w:val="af5"/>
            <w:rFonts w:hint="eastAsia"/>
            <w:bCs/>
            <w:noProof/>
          </w:rPr>
          <w:t>争议的处理和适用的法律</w:t>
        </w:r>
        <w:r w:rsidR="00792B83">
          <w:rPr>
            <w:noProof/>
          </w:rPr>
          <w:tab/>
        </w:r>
        <w:r w:rsidR="00792B83">
          <w:rPr>
            <w:noProof/>
          </w:rPr>
          <w:fldChar w:fldCharType="begin"/>
        </w:r>
        <w:r w:rsidR="00792B83">
          <w:rPr>
            <w:noProof/>
          </w:rPr>
          <w:instrText xml:space="preserve"> PAGEREF _Toc63235235 \h </w:instrText>
        </w:r>
        <w:r w:rsidR="00792B83">
          <w:rPr>
            <w:noProof/>
          </w:rPr>
        </w:r>
        <w:r w:rsidR="00792B83">
          <w:rPr>
            <w:noProof/>
          </w:rPr>
          <w:fldChar w:fldCharType="separate"/>
        </w:r>
        <w:r w:rsidR="00E43114">
          <w:rPr>
            <w:noProof/>
          </w:rPr>
          <w:t>1</w:t>
        </w:r>
        <w:r w:rsidR="00792B83">
          <w:rPr>
            <w:noProof/>
          </w:rPr>
          <w:fldChar w:fldCharType="end"/>
        </w:r>
      </w:hyperlink>
    </w:p>
    <w:p w14:paraId="1CEEA985" w14:textId="71ED1829" w:rsidR="00966B07" w:rsidRDefault="000767D7">
      <w:pPr>
        <w:pStyle w:val="12"/>
        <w:rPr>
          <w:rFonts w:asciiTheme="minorHAnsi" w:eastAsiaTheme="minorEastAsia" w:hAnsiTheme="minorHAnsi" w:cstheme="minorBidi"/>
          <w:noProof/>
          <w:sz w:val="21"/>
          <w:szCs w:val="22"/>
        </w:rPr>
      </w:pPr>
      <w:hyperlink w:anchor="_Toc63235236" w:history="1">
        <w:r w:rsidR="00792B83">
          <w:rPr>
            <w:rStyle w:val="af5"/>
            <w:bCs/>
            <w:noProof/>
          </w:rPr>
          <w:t>第十九条 本协议的效力</w:t>
        </w:r>
        <w:r w:rsidR="00792B83">
          <w:rPr>
            <w:noProof/>
          </w:rPr>
          <w:tab/>
        </w:r>
        <w:r w:rsidR="00792B83">
          <w:rPr>
            <w:noProof/>
          </w:rPr>
          <w:fldChar w:fldCharType="begin"/>
        </w:r>
        <w:r w:rsidR="00792B83">
          <w:rPr>
            <w:noProof/>
          </w:rPr>
          <w:instrText xml:space="preserve"> PAGEREF _Toc63235236 \h </w:instrText>
        </w:r>
        <w:r w:rsidR="00792B83">
          <w:rPr>
            <w:noProof/>
          </w:rPr>
        </w:r>
        <w:r w:rsidR="00792B83">
          <w:rPr>
            <w:noProof/>
          </w:rPr>
          <w:fldChar w:fldCharType="separate"/>
        </w:r>
        <w:r w:rsidR="00E43114">
          <w:rPr>
            <w:noProof/>
          </w:rPr>
          <w:t>1</w:t>
        </w:r>
        <w:r w:rsidR="00792B83">
          <w:rPr>
            <w:noProof/>
          </w:rPr>
          <w:fldChar w:fldCharType="end"/>
        </w:r>
      </w:hyperlink>
    </w:p>
    <w:p w14:paraId="0AEA11CF" w14:textId="2FC4DF45" w:rsidR="00966B07" w:rsidRDefault="000767D7">
      <w:pPr>
        <w:pStyle w:val="12"/>
        <w:rPr>
          <w:rFonts w:asciiTheme="minorHAnsi" w:eastAsiaTheme="minorEastAsia" w:hAnsiTheme="minorHAnsi" w:cstheme="minorBidi"/>
          <w:noProof/>
          <w:sz w:val="21"/>
          <w:szCs w:val="22"/>
        </w:rPr>
      </w:pPr>
      <w:hyperlink w:anchor="_Toc63235237" w:history="1">
        <w:r w:rsidR="00792B83">
          <w:rPr>
            <w:rStyle w:val="af5"/>
            <w:bCs/>
            <w:noProof/>
          </w:rPr>
          <w:t>第二十条 本协议的签订</w:t>
        </w:r>
        <w:r w:rsidR="00792B83">
          <w:rPr>
            <w:noProof/>
          </w:rPr>
          <w:tab/>
        </w:r>
        <w:r w:rsidR="00792B83">
          <w:rPr>
            <w:noProof/>
          </w:rPr>
          <w:fldChar w:fldCharType="begin"/>
        </w:r>
        <w:r w:rsidR="00792B83">
          <w:rPr>
            <w:noProof/>
          </w:rPr>
          <w:instrText xml:space="preserve"> PAGEREF _Toc63235237 \h </w:instrText>
        </w:r>
        <w:r w:rsidR="00792B83">
          <w:rPr>
            <w:noProof/>
          </w:rPr>
        </w:r>
        <w:r w:rsidR="00792B83">
          <w:rPr>
            <w:noProof/>
          </w:rPr>
          <w:fldChar w:fldCharType="separate"/>
        </w:r>
        <w:r w:rsidR="00E43114">
          <w:rPr>
            <w:noProof/>
          </w:rPr>
          <w:t>1</w:t>
        </w:r>
        <w:r w:rsidR="00792B83">
          <w:rPr>
            <w:noProof/>
          </w:rPr>
          <w:fldChar w:fldCharType="end"/>
        </w:r>
      </w:hyperlink>
    </w:p>
    <w:p w14:paraId="50B9F868" w14:textId="2EB63601" w:rsidR="00966B07" w:rsidRDefault="000767D7">
      <w:pPr>
        <w:pStyle w:val="12"/>
        <w:rPr>
          <w:rFonts w:asciiTheme="minorHAnsi" w:eastAsiaTheme="minorEastAsia" w:hAnsiTheme="minorHAnsi" w:cstheme="minorBidi"/>
          <w:noProof/>
          <w:sz w:val="21"/>
          <w:szCs w:val="22"/>
        </w:rPr>
      </w:pPr>
      <w:hyperlink w:anchor="_Toc63235238" w:history="1">
        <w:r w:rsidR="00792B83">
          <w:rPr>
            <w:rStyle w:val="af5"/>
            <w:bCs/>
            <w:noProof/>
          </w:rPr>
          <w:t>第二十一条 不可抗力</w:t>
        </w:r>
        <w:r w:rsidR="00792B83">
          <w:rPr>
            <w:noProof/>
          </w:rPr>
          <w:tab/>
        </w:r>
        <w:r w:rsidR="00792B83">
          <w:rPr>
            <w:noProof/>
          </w:rPr>
          <w:fldChar w:fldCharType="begin"/>
        </w:r>
        <w:r w:rsidR="00792B83">
          <w:rPr>
            <w:noProof/>
          </w:rPr>
          <w:instrText xml:space="preserve"> PAGEREF _Toc63235238 \h </w:instrText>
        </w:r>
        <w:r w:rsidR="00792B83">
          <w:rPr>
            <w:noProof/>
          </w:rPr>
        </w:r>
        <w:r w:rsidR="00792B83">
          <w:rPr>
            <w:noProof/>
          </w:rPr>
          <w:fldChar w:fldCharType="separate"/>
        </w:r>
        <w:r w:rsidR="00E43114">
          <w:rPr>
            <w:noProof/>
          </w:rPr>
          <w:t>1</w:t>
        </w:r>
        <w:r w:rsidR="00792B83">
          <w:rPr>
            <w:noProof/>
          </w:rPr>
          <w:fldChar w:fldCharType="end"/>
        </w:r>
      </w:hyperlink>
    </w:p>
    <w:p w14:paraId="097B8F31" w14:textId="1F429956" w:rsidR="00966B07" w:rsidRDefault="000767D7">
      <w:pPr>
        <w:pStyle w:val="12"/>
        <w:rPr>
          <w:rFonts w:asciiTheme="minorHAnsi" w:eastAsiaTheme="minorEastAsia" w:hAnsiTheme="minorHAnsi" w:cstheme="minorBidi"/>
          <w:noProof/>
          <w:sz w:val="21"/>
          <w:szCs w:val="22"/>
        </w:rPr>
      </w:pPr>
      <w:hyperlink w:anchor="_Toc63235239" w:history="1">
        <w:r w:rsidR="00792B83">
          <w:rPr>
            <w:rStyle w:val="af5"/>
            <w:bCs/>
            <w:noProof/>
          </w:rPr>
          <w:t>第二十二条 可分割性</w:t>
        </w:r>
        <w:r w:rsidR="00792B83">
          <w:rPr>
            <w:noProof/>
          </w:rPr>
          <w:tab/>
        </w:r>
        <w:r w:rsidR="00792B83">
          <w:rPr>
            <w:noProof/>
          </w:rPr>
          <w:fldChar w:fldCharType="begin"/>
        </w:r>
        <w:r w:rsidR="00792B83">
          <w:rPr>
            <w:noProof/>
          </w:rPr>
          <w:instrText xml:space="preserve"> PAGEREF _Toc63235239 \h </w:instrText>
        </w:r>
        <w:r w:rsidR="00792B83">
          <w:rPr>
            <w:noProof/>
          </w:rPr>
        </w:r>
        <w:r w:rsidR="00792B83">
          <w:rPr>
            <w:noProof/>
          </w:rPr>
          <w:fldChar w:fldCharType="separate"/>
        </w:r>
        <w:r w:rsidR="00E43114">
          <w:rPr>
            <w:noProof/>
          </w:rPr>
          <w:t>1</w:t>
        </w:r>
        <w:r w:rsidR="00792B83">
          <w:rPr>
            <w:noProof/>
          </w:rPr>
          <w:fldChar w:fldCharType="end"/>
        </w:r>
      </w:hyperlink>
    </w:p>
    <w:p w14:paraId="6431035F" w14:textId="59012AF8" w:rsidR="00966B07" w:rsidRDefault="000767D7">
      <w:pPr>
        <w:pStyle w:val="12"/>
        <w:rPr>
          <w:rFonts w:asciiTheme="minorHAnsi" w:eastAsiaTheme="minorEastAsia" w:hAnsiTheme="minorHAnsi" w:cstheme="minorBidi"/>
          <w:noProof/>
          <w:sz w:val="21"/>
          <w:szCs w:val="22"/>
        </w:rPr>
      </w:pPr>
      <w:hyperlink w:anchor="_Toc63235240" w:history="1">
        <w:r w:rsidR="00792B83">
          <w:rPr>
            <w:rStyle w:val="af5"/>
            <w:bCs/>
            <w:noProof/>
          </w:rPr>
          <w:t>第二十三条 通知与送达</w:t>
        </w:r>
        <w:r w:rsidR="00792B83">
          <w:rPr>
            <w:noProof/>
          </w:rPr>
          <w:tab/>
        </w:r>
        <w:r w:rsidR="00792B83">
          <w:rPr>
            <w:noProof/>
          </w:rPr>
          <w:fldChar w:fldCharType="begin"/>
        </w:r>
        <w:r w:rsidR="00792B83">
          <w:rPr>
            <w:noProof/>
          </w:rPr>
          <w:instrText xml:space="preserve"> PAGEREF _Toc63235240 \h </w:instrText>
        </w:r>
        <w:r w:rsidR="00792B83">
          <w:rPr>
            <w:noProof/>
          </w:rPr>
        </w:r>
        <w:r w:rsidR="00792B83">
          <w:rPr>
            <w:noProof/>
          </w:rPr>
          <w:fldChar w:fldCharType="separate"/>
        </w:r>
        <w:r w:rsidR="00E43114">
          <w:rPr>
            <w:noProof/>
          </w:rPr>
          <w:t>1</w:t>
        </w:r>
        <w:r w:rsidR="00792B83">
          <w:rPr>
            <w:noProof/>
          </w:rPr>
          <w:fldChar w:fldCharType="end"/>
        </w:r>
      </w:hyperlink>
    </w:p>
    <w:p w14:paraId="475B32AC" w14:textId="77777777" w:rsidR="00966B07" w:rsidRDefault="00792B83">
      <w:pPr>
        <w:snapToGrid w:val="0"/>
        <w:spacing w:line="360" w:lineRule="auto"/>
        <w:rPr>
          <w:rFonts w:ascii="宋体" w:hAnsi="宋体"/>
          <w:b/>
          <w:sz w:val="28"/>
          <w:szCs w:val="28"/>
        </w:rPr>
      </w:pPr>
      <w:r>
        <w:rPr>
          <w:rFonts w:ascii="宋体" w:hAnsi="宋体"/>
          <w:b/>
          <w:sz w:val="28"/>
          <w:szCs w:val="28"/>
        </w:rPr>
        <w:fldChar w:fldCharType="end"/>
      </w:r>
    </w:p>
    <w:p w14:paraId="10B3BE30" w14:textId="1D2FE444" w:rsidR="00966B07" w:rsidRDefault="00792B83">
      <w:pPr>
        <w:adjustRightInd w:val="0"/>
        <w:snapToGrid w:val="0"/>
        <w:spacing w:line="520" w:lineRule="atLeast"/>
        <w:jc w:val="center"/>
        <w:rPr>
          <w:rFonts w:ascii="宋体" w:hAnsi="宋体"/>
          <w:b/>
          <w:sz w:val="28"/>
          <w:szCs w:val="28"/>
        </w:rPr>
      </w:pPr>
      <w:r>
        <w:rPr>
          <w:rFonts w:ascii="宋体" w:hAnsi="宋体"/>
          <w:b/>
          <w:sz w:val="28"/>
          <w:szCs w:val="28"/>
        </w:rPr>
        <w:br w:type="page"/>
      </w:r>
      <w:proofErr w:type="gramStart"/>
      <w:r>
        <w:rPr>
          <w:rFonts w:ascii="宋体" w:hAnsi="宋体" w:hint="eastAsia"/>
          <w:b/>
          <w:sz w:val="28"/>
          <w:szCs w:val="28"/>
        </w:rPr>
        <w:lastRenderedPageBreak/>
        <w:t>农银汇理</w:t>
      </w:r>
      <w:r w:rsidR="005B6F51">
        <w:rPr>
          <w:rFonts w:ascii="宋体" w:hAnsi="宋体" w:hint="eastAsia"/>
          <w:b/>
          <w:sz w:val="28"/>
          <w:szCs w:val="28"/>
        </w:rPr>
        <w:t>金恒</w:t>
      </w:r>
      <w:proofErr w:type="gramEnd"/>
      <w:r>
        <w:rPr>
          <w:rFonts w:ascii="宋体" w:hAnsi="宋体" w:hint="eastAsia"/>
          <w:b/>
          <w:sz w:val="28"/>
          <w:szCs w:val="28"/>
        </w:rPr>
        <w:t>债券型证券投资基金托管协议</w:t>
      </w:r>
    </w:p>
    <w:p w14:paraId="5A93F8C6" w14:textId="77777777" w:rsidR="00966B07" w:rsidRDefault="00966B07">
      <w:pPr>
        <w:adjustRightInd w:val="0"/>
        <w:snapToGrid w:val="0"/>
        <w:spacing w:line="520" w:lineRule="atLeast"/>
        <w:jc w:val="center"/>
        <w:rPr>
          <w:rFonts w:ascii="宋体" w:hAnsi="宋体"/>
          <w:b/>
          <w:sz w:val="28"/>
          <w:szCs w:val="28"/>
        </w:rPr>
      </w:pPr>
    </w:p>
    <w:p w14:paraId="79BBACC0" w14:textId="77777777" w:rsidR="00966B07" w:rsidRDefault="00792B83">
      <w:pPr>
        <w:tabs>
          <w:tab w:val="left" w:pos="5940"/>
        </w:tabs>
        <w:adjustRightInd w:val="0"/>
        <w:snapToGrid w:val="0"/>
        <w:spacing w:line="520" w:lineRule="atLeast"/>
        <w:rPr>
          <w:rFonts w:ascii="宋体" w:hAnsi="宋体"/>
          <w:sz w:val="24"/>
          <w:szCs w:val="24"/>
        </w:rPr>
      </w:pPr>
      <w:r>
        <w:rPr>
          <w:rFonts w:ascii="宋体" w:hAnsi="宋体" w:hint="eastAsia"/>
          <w:sz w:val="24"/>
          <w:szCs w:val="24"/>
        </w:rPr>
        <w:t xml:space="preserve">基金管理人：农银汇理基金管理有限公司 </w:t>
      </w:r>
    </w:p>
    <w:p w14:paraId="2FDF4660" w14:textId="5154D314" w:rsidR="00966B07" w:rsidRDefault="00792B83">
      <w:pPr>
        <w:tabs>
          <w:tab w:val="left" w:pos="5940"/>
        </w:tabs>
        <w:adjustRightInd w:val="0"/>
        <w:snapToGrid w:val="0"/>
        <w:spacing w:line="520" w:lineRule="atLeast"/>
        <w:rPr>
          <w:rFonts w:ascii="宋体" w:hAnsi="宋体"/>
          <w:sz w:val="24"/>
          <w:szCs w:val="24"/>
        </w:rPr>
      </w:pPr>
      <w:r>
        <w:rPr>
          <w:rFonts w:ascii="宋体" w:hAnsi="宋体" w:hint="eastAsia"/>
          <w:sz w:val="24"/>
          <w:szCs w:val="24"/>
        </w:rPr>
        <w:t>法定代表人：</w:t>
      </w:r>
      <w:r w:rsidR="0069447F">
        <w:rPr>
          <w:rFonts w:ascii="宋体" w:hAnsi="宋体" w:hint="eastAsia"/>
          <w:sz w:val="24"/>
          <w:szCs w:val="24"/>
        </w:rPr>
        <w:t>黄涛</w:t>
      </w:r>
    </w:p>
    <w:p w14:paraId="239B97D6" w14:textId="77777777" w:rsidR="00966B07" w:rsidRDefault="00792B83">
      <w:pPr>
        <w:tabs>
          <w:tab w:val="left" w:pos="5940"/>
        </w:tabs>
        <w:adjustRightInd w:val="0"/>
        <w:snapToGrid w:val="0"/>
        <w:spacing w:line="520" w:lineRule="atLeast"/>
        <w:rPr>
          <w:rFonts w:ascii="宋体" w:hAnsi="宋体"/>
          <w:sz w:val="24"/>
          <w:szCs w:val="24"/>
        </w:rPr>
      </w:pPr>
      <w:r>
        <w:rPr>
          <w:rFonts w:ascii="宋体" w:hAnsi="宋体" w:hint="eastAsia"/>
          <w:sz w:val="24"/>
          <w:szCs w:val="24"/>
        </w:rPr>
        <w:t>住    所：中国（上海）自由贸易试验区银城路9号50层</w:t>
      </w:r>
    </w:p>
    <w:p w14:paraId="231CA0BF" w14:textId="77777777" w:rsidR="00966B07" w:rsidRDefault="00966B07">
      <w:pPr>
        <w:snapToGrid w:val="0"/>
        <w:spacing w:line="520" w:lineRule="atLeast"/>
        <w:rPr>
          <w:rFonts w:ascii="宋体" w:hAnsi="宋体"/>
          <w:sz w:val="24"/>
          <w:szCs w:val="24"/>
        </w:rPr>
      </w:pPr>
    </w:p>
    <w:p w14:paraId="1C4F751D" w14:textId="77777777" w:rsidR="00966B07" w:rsidRDefault="00792B83">
      <w:pPr>
        <w:tabs>
          <w:tab w:val="left" w:pos="5940"/>
        </w:tabs>
        <w:snapToGrid w:val="0"/>
        <w:spacing w:line="520" w:lineRule="atLeast"/>
        <w:rPr>
          <w:rFonts w:ascii="宋体" w:hAnsi="宋体"/>
          <w:sz w:val="24"/>
          <w:szCs w:val="24"/>
        </w:rPr>
      </w:pPr>
      <w:r>
        <w:rPr>
          <w:rFonts w:ascii="宋体" w:hAnsi="宋体" w:hint="eastAsia"/>
          <w:sz w:val="24"/>
          <w:szCs w:val="24"/>
        </w:rPr>
        <w:t xml:space="preserve">基金托管人：中信银行股份有限公司 </w:t>
      </w:r>
    </w:p>
    <w:p w14:paraId="2F4C9614" w14:textId="77777777" w:rsidR="00966B07" w:rsidRDefault="00792B83">
      <w:pPr>
        <w:tabs>
          <w:tab w:val="left" w:pos="5940"/>
        </w:tabs>
        <w:snapToGrid w:val="0"/>
        <w:spacing w:line="520" w:lineRule="atLeast"/>
        <w:rPr>
          <w:rFonts w:ascii="宋体" w:hAnsi="宋体"/>
          <w:sz w:val="24"/>
          <w:szCs w:val="24"/>
        </w:rPr>
      </w:pPr>
      <w:r>
        <w:rPr>
          <w:rFonts w:ascii="宋体" w:hAnsi="宋体" w:hint="eastAsia"/>
          <w:sz w:val="24"/>
          <w:szCs w:val="24"/>
        </w:rPr>
        <w:t>法定代表人：朱鹤新</w:t>
      </w:r>
    </w:p>
    <w:p w14:paraId="28264E1D" w14:textId="77777777" w:rsidR="00966B07" w:rsidRDefault="00792B83">
      <w:pPr>
        <w:tabs>
          <w:tab w:val="left" w:pos="5940"/>
        </w:tabs>
        <w:snapToGrid w:val="0"/>
        <w:spacing w:line="520" w:lineRule="atLeast"/>
        <w:rPr>
          <w:rFonts w:ascii="宋体" w:hAnsi="宋体"/>
          <w:sz w:val="24"/>
          <w:szCs w:val="24"/>
        </w:rPr>
      </w:pPr>
      <w:r>
        <w:rPr>
          <w:rFonts w:ascii="宋体" w:hAnsi="宋体" w:hint="eastAsia"/>
          <w:sz w:val="24"/>
          <w:szCs w:val="24"/>
        </w:rPr>
        <w:t>住    所：北京市朝阳区光华路10号院1号楼6-30层、32-42层</w:t>
      </w:r>
    </w:p>
    <w:p w14:paraId="608F87FF" w14:textId="77777777" w:rsidR="00966B07" w:rsidRDefault="00966B07">
      <w:pPr>
        <w:autoSpaceDE w:val="0"/>
        <w:autoSpaceDN w:val="0"/>
        <w:adjustRightInd w:val="0"/>
        <w:spacing w:line="520" w:lineRule="atLeast"/>
        <w:rPr>
          <w:rFonts w:ascii="宋体" w:hAnsi="宋体"/>
          <w:sz w:val="24"/>
          <w:szCs w:val="24"/>
        </w:rPr>
      </w:pPr>
    </w:p>
    <w:p w14:paraId="7D613D31" w14:textId="77777777" w:rsidR="00966B07" w:rsidRDefault="00792B83">
      <w:pPr>
        <w:autoSpaceDE w:val="0"/>
        <w:autoSpaceDN w:val="0"/>
        <w:adjustRightInd w:val="0"/>
        <w:spacing w:line="520" w:lineRule="atLeast"/>
        <w:ind w:firstLineChars="200" w:firstLine="482"/>
        <w:rPr>
          <w:rFonts w:ascii="宋体" w:hAnsi="宋体"/>
          <w:b/>
          <w:sz w:val="24"/>
          <w:szCs w:val="24"/>
        </w:rPr>
      </w:pPr>
      <w:r>
        <w:rPr>
          <w:rFonts w:ascii="宋体" w:hAnsi="宋体" w:hint="eastAsia"/>
          <w:b/>
          <w:sz w:val="24"/>
          <w:szCs w:val="24"/>
        </w:rPr>
        <w:t>鉴于：</w:t>
      </w:r>
    </w:p>
    <w:p w14:paraId="16756ECC"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1．农银汇理基金管理有限公司系一家依照中国法律合法成立并有效存续的有限责任公司，按照相关法律法规的规定具备担任基金管理人的资格和能力；</w:t>
      </w:r>
    </w:p>
    <w:p w14:paraId="32285476"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2.中信银行股份有限公司系一家依照中国法律合法成立并有效存续的银行，按照相关法律法规的规定具备担任基金托管人的资格和能力；</w:t>
      </w:r>
    </w:p>
    <w:p w14:paraId="503D103A" w14:textId="64BDDC30" w:rsidR="00966B07" w:rsidRDefault="00792B83">
      <w:pPr>
        <w:pStyle w:val="20"/>
        <w:spacing w:before="0" w:after="0" w:line="520" w:lineRule="atLeast"/>
        <w:ind w:left="0" w:firstLineChars="200" w:firstLine="480"/>
        <w:rPr>
          <w:rFonts w:hAnsi="宋体"/>
          <w:szCs w:val="24"/>
        </w:rPr>
      </w:pPr>
      <w:r>
        <w:rPr>
          <w:rFonts w:hAnsi="宋体" w:hint="eastAsia"/>
          <w:szCs w:val="24"/>
        </w:rPr>
        <w:t>3.农银汇理基金管理有限公司拟担任</w:t>
      </w:r>
      <w:proofErr w:type="gramStart"/>
      <w:r>
        <w:rPr>
          <w:rFonts w:hAnsi="宋体" w:hint="eastAsia"/>
          <w:szCs w:val="24"/>
        </w:rPr>
        <w:t>农银汇理</w:t>
      </w:r>
      <w:r w:rsidR="005B6F51">
        <w:rPr>
          <w:rFonts w:hAnsi="宋体" w:hint="eastAsia"/>
          <w:szCs w:val="24"/>
        </w:rPr>
        <w:t>金恒</w:t>
      </w:r>
      <w:proofErr w:type="gramEnd"/>
      <w:r>
        <w:rPr>
          <w:rFonts w:hAnsi="宋体" w:hint="eastAsia"/>
          <w:szCs w:val="24"/>
        </w:rPr>
        <w:t>债券型证券投资基金的基金管理人，中信银行股份有限公司拟担任</w:t>
      </w:r>
      <w:proofErr w:type="gramStart"/>
      <w:r>
        <w:rPr>
          <w:rFonts w:hAnsi="宋体" w:hint="eastAsia"/>
          <w:szCs w:val="24"/>
        </w:rPr>
        <w:t>农银汇理</w:t>
      </w:r>
      <w:r w:rsidR="005B6F51">
        <w:rPr>
          <w:rFonts w:hAnsi="宋体" w:hint="eastAsia"/>
          <w:szCs w:val="24"/>
        </w:rPr>
        <w:t>金恒</w:t>
      </w:r>
      <w:proofErr w:type="gramEnd"/>
      <w:r>
        <w:rPr>
          <w:rFonts w:hAnsi="宋体" w:hint="eastAsia"/>
          <w:szCs w:val="24"/>
        </w:rPr>
        <w:t>债券型证券投资基金的基金托管人；</w:t>
      </w:r>
    </w:p>
    <w:p w14:paraId="51A46759"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为明确双方在基金托管中的权利、义务及责任，确保基金财产的安全，保护基金份额持有人的合法权益，依据相关法律法规和监管规定，双方本着平等自愿、诚实守信的原则特签订本协议。</w:t>
      </w:r>
    </w:p>
    <w:p w14:paraId="2B1D98DA" w14:textId="77777777" w:rsidR="00966B07" w:rsidRDefault="00792B83">
      <w:pPr>
        <w:pStyle w:val="20"/>
        <w:spacing w:before="0" w:after="0" w:line="520" w:lineRule="atLeast"/>
        <w:ind w:left="0" w:firstLine="541"/>
        <w:rPr>
          <w:rFonts w:hAnsi="宋体"/>
          <w:b/>
          <w:bCs/>
          <w:szCs w:val="24"/>
        </w:rPr>
      </w:pPr>
      <w:r>
        <w:rPr>
          <w:rFonts w:hAnsi="宋体" w:hint="eastAsia"/>
          <w:b/>
          <w:bCs/>
          <w:szCs w:val="24"/>
        </w:rPr>
        <w:t>释义：</w:t>
      </w:r>
    </w:p>
    <w:p w14:paraId="297D9CAB" w14:textId="458D51CF" w:rsidR="00966B07" w:rsidRDefault="00792B83">
      <w:pPr>
        <w:pStyle w:val="20"/>
        <w:spacing w:before="0" w:after="0" w:line="520" w:lineRule="atLeast"/>
        <w:ind w:left="0" w:firstLineChars="200" w:firstLine="480"/>
        <w:rPr>
          <w:rFonts w:hAnsi="宋体"/>
          <w:szCs w:val="24"/>
        </w:rPr>
      </w:pPr>
      <w:r>
        <w:rPr>
          <w:rFonts w:hAnsi="宋体" w:hint="eastAsia"/>
          <w:szCs w:val="24"/>
        </w:rPr>
        <w:t>除非另有约定，《农银汇理</w:t>
      </w:r>
      <w:r w:rsidR="005B6F51">
        <w:rPr>
          <w:rFonts w:hAnsi="宋体" w:hint="eastAsia"/>
          <w:szCs w:val="24"/>
        </w:rPr>
        <w:t>金恒</w:t>
      </w:r>
      <w:r>
        <w:rPr>
          <w:rFonts w:hAnsi="宋体" w:hint="eastAsia"/>
          <w:szCs w:val="24"/>
        </w:rPr>
        <w:t xml:space="preserve">债券型证券投资基金基金合同》(以下简称“基金合同”)中定义的术语在用于本托管协议时应具有相同的含义；若有抵触，应以基金合同为准，并依其条款解释。 </w:t>
      </w:r>
    </w:p>
    <w:p w14:paraId="52F00BCF" w14:textId="77777777" w:rsidR="00966B07" w:rsidRDefault="00792B83">
      <w:pPr>
        <w:pStyle w:val="1"/>
        <w:spacing w:line="520" w:lineRule="atLeast"/>
        <w:ind w:firstLineChars="200" w:firstLine="482"/>
        <w:rPr>
          <w:bCs/>
          <w:color w:val="auto"/>
          <w:szCs w:val="24"/>
        </w:rPr>
      </w:pPr>
      <w:bookmarkStart w:id="11" w:name="_Toc63235218"/>
      <w:bookmarkStart w:id="12" w:name="_Toc296551337"/>
      <w:r>
        <w:rPr>
          <w:rFonts w:hint="eastAsia"/>
          <w:bCs/>
          <w:color w:val="auto"/>
          <w:szCs w:val="24"/>
        </w:rPr>
        <w:t>第一条 本协议当事人</w:t>
      </w:r>
      <w:bookmarkEnd w:id="11"/>
      <w:bookmarkEnd w:id="12"/>
    </w:p>
    <w:p w14:paraId="5E01ED2C"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1.1基金管理人：</w:t>
      </w:r>
    </w:p>
    <w:p w14:paraId="0AF49D2F"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名称：农银汇理基金管理有限公司</w:t>
      </w:r>
    </w:p>
    <w:p w14:paraId="653ED2A3"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lastRenderedPageBreak/>
        <w:t>住所：中国（上海）自由贸易试验区银城路9号50层</w:t>
      </w:r>
    </w:p>
    <w:p w14:paraId="3623AAC1" w14:textId="598850E8" w:rsidR="00966B07" w:rsidRDefault="00792B83">
      <w:pPr>
        <w:pStyle w:val="20"/>
        <w:spacing w:before="0" w:after="0" w:line="520" w:lineRule="atLeast"/>
        <w:ind w:left="0" w:firstLineChars="200" w:firstLine="480"/>
        <w:rPr>
          <w:rFonts w:hAnsi="宋体"/>
          <w:szCs w:val="24"/>
        </w:rPr>
      </w:pPr>
      <w:r>
        <w:rPr>
          <w:rFonts w:hAnsi="宋体" w:hint="eastAsia"/>
          <w:szCs w:val="24"/>
        </w:rPr>
        <w:t>法定代表人：</w:t>
      </w:r>
      <w:r w:rsidR="0069447F">
        <w:rPr>
          <w:rFonts w:hAnsi="宋体" w:hint="eastAsia"/>
          <w:szCs w:val="24"/>
        </w:rPr>
        <w:t>黄涛</w:t>
      </w:r>
    </w:p>
    <w:p w14:paraId="115A8B67"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 xml:space="preserve">成立时间：2008年3月18日 </w:t>
      </w:r>
    </w:p>
    <w:p w14:paraId="59A2A75D"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 xml:space="preserve">批准设立机关：中国证券监督管理委员会 </w:t>
      </w:r>
    </w:p>
    <w:p w14:paraId="4FFB766C"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 xml:space="preserve">批准设立文号：证监许可[2008]307号 </w:t>
      </w:r>
    </w:p>
    <w:p w14:paraId="7CFAECB1"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组织形式：有限责任公司</w:t>
      </w:r>
    </w:p>
    <w:p w14:paraId="41572BE0"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注册资本：壹拾柒亿伍仟万零壹元人民币</w:t>
      </w:r>
    </w:p>
    <w:p w14:paraId="483B07AB"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 xml:space="preserve">经营范围：基金募集、基金销售、资产管理和中国证监会许可的其他业务（涉及行政许可的凭许可证经营） </w:t>
      </w:r>
    </w:p>
    <w:p w14:paraId="1BA1F60D"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 xml:space="preserve">存续期间：持续经营 </w:t>
      </w:r>
    </w:p>
    <w:p w14:paraId="2F691CC7"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1.2基金托管人：</w:t>
      </w:r>
    </w:p>
    <w:p w14:paraId="6E81BFC7"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名称：中信银行股份有限公司</w:t>
      </w:r>
    </w:p>
    <w:p w14:paraId="02A72C0F"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住所：北京市朝阳区光华路10号院1号楼6-30层、32-42层</w:t>
      </w:r>
    </w:p>
    <w:p w14:paraId="6251EB2D"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法定代表人：朱鹤新</w:t>
      </w:r>
    </w:p>
    <w:p w14:paraId="7BB8123C"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成立时间：1987年4月20日</w:t>
      </w:r>
    </w:p>
    <w:p w14:paraId="5FA0866D"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批准设立文号：国办函[1987]14号</w:t>
      </w:r>
    </w:p>
    <w:p w14:paraId="2C51DC8A"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基金托管业务批准文号：证</w:t>
      </w:r>
      <w:proofErr w:type="gramStart"/>
      <w:r>
        <w:rPr>
          <w:rFonts w:hAnsi="宋体" w:hint="eastAsia"/>
          <w:szCs w:val="24"/>
        </w:rPr>
        <w:t>监基金字</w:t>
      </w:r>
      <w:proofErr w:type="gramEnd"/>
      <w:r>
        <w:rPr>
          <w:rFonts w:hAnsi="宋体" w:hint="eastAsia"/>
          <w:szCs w:val="24"/>
        </w:rPr>
        <w:t>[2004]125号</w:t>
      </w:r>
    </w:p>
    <w:p w14:paraId="5B8664E9"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组织形式：股份有限公司</w:t>
      </w:r>
    </w:p>
    <w:p w14:paraId="4DDA231F"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注册资本：4893479.6573万元</w:t>
      </w:r>
    </w:p>
    <w:p w14:paraId="44824C5B"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存续期间：持续经营</w:t>
      </w:r>
    </w:p>
    <w:p w14:paraId="55B80EB5" w14:textId="77777777" w:rsidR="00966B07" w:rsidRDefault="00792B83">
      <w:pPr>
        <w:pStyle w:val="1"/>
        <w:spacing w:line="520" w:lineRule="atLeast"/>
        <w:ind w:firstLineChars="200" w:firstLine="482"/>
        <w:rPr>
          <w:bCs/>
          <w:color w:val="auto"/>
          <w:szCs w:val="24"/>
        </w:rPr>
      </w:pPr>
      <w:bookmarkStart w:id="13" w:name="_Toc296551338"/>
      <w:bookmarkStart w:id="14" w:name="_Toc63235219"/>
      <w:r>
        <w:rPr>
          <w:rFonts w:hint="eastAsia"/>
          <w:bCs/>
          <w:color w:val="auto"/>
          <w:szCs w:val="24"/>
        </w:rPr>
        <w:t>第二条 本协议的依据、目的和原则</w:t>
      </w:r>
      <w:bookmarkEnd w:id="13"/>
      <w:bookmarkEnd w:id="14"/>
    </w:p>
    <w:p w14:paraId="111912D1"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2.1本协议的依据</w:t>
      </w:r>
    </w:p>
    <w:p w14:paraId="09F3A655" w14:textId="0BDCE4FB" w:rsidR="00966B07" w:rsidRDefault="00792B83">
      <w:pPr>
        <w:pStyle w:val="20"/>
        <w:spacing w:before="0" w:after="0" w:line="520" w:lineRule="atLeast"/>
        <w:ind w:left="0" w:firstLineChars="200" w:firstLine="480"/>
        <w:rPr>
          <w:rFonts w:hAnsi="宋体"/>
          <w:szCs w:val="24"/>
        </w:rPr>
      </w:pPr>
      <w:r>
        <w:rPr>
          <w:rFonts w:hAnsi="宋体" w:hint="eastAsia"/>
          <w:szCs w:val="24"/>
        </w:rPr>
        <w:t>订立本协议的依据是《中华人民共和国证券投资基金法》（以下简称“《基金法》”）、《公开募集证券投资基金运作管理办法》（以下简称“《运作办法》”）、《</w:t>
      </w:r>
      <w:r>
        <w:rPr>
          <w:rFonts w:hAnsi="宋体" w:hint="eastAsia"/>
          <w:bCs/>
        </w:rPr>
        <w:t>公开募集</w:t>
      </w:r>
      <w:r>
        <w:rPr>
          <w:rFonts w:hAnsi="宋体"/>
          <w:bCs/>
        </w:rPr>
        <w:t>证券投资基金销售</w:t>
      </w:r>
      <w:r>
        <w:rPr>
          <w:rFonts w:hAnsi="宋体" w:hint="eastAsia"/>
          <w:bCs/>
        </w:rPr>
        <w:t>机构监督</w:t>
      </w:r>
      <w:r>
        <w:rPr>
          <w:rFonts w:hAnsi="宋体"/>
          <w:bCs/>
        </w:rPr>
        <w:t>管理办法</w:t>
      </w:r>
      <w:r>
        <w:rPr>
          <w:rFonts w:hAnsi="宋体" w:hint="eastAsia"/>
          <w:szCs w:val="24"/>
        </w:rPr>
        <w:t>》（以下简称“《销售办法》”）、《公开</w:t>
      </w:r>
      <w:r>
        <w:rPr>
          <w:rFonts w:hAnsi="宋体"/>
          <w:szCs w:val="24"/>
        </w:rPr>
        <w:t>募集</w:t>
      </w:r>
      <w:r>
        <w:rPr>
          <w:rFonts w:hAnsi="宋体" w:hint="eastAsia"/>
          <w:szCs w:val="24"/>
        </w:rPr>
        <w:t>证券投资基金信息披露管理办法》（以下简称“《信息披露办法》”）、</w:t>
      </w:r>
      <w:r>
        <w:rPr>
          <w:rFonts w:hint="eastAsia"/>
          <w:bCs/>
        </w:rPr>
        <w:t>《公开募集开放式证券投资基金流动性风险管理规定》（以下简称“《流动性风险管理规定》”）、</w:t>
      </w:r>
      <w:r>
        <w:rPr>
          <w:rFonts w:hAnsi="宋体" w:hint="eastAsia"/>
          <w:szCs w:val="24"/>
        </w:rPr>
        <w:t>《证券投资基金信息披露内容与格式准则第7号〈托管协议的内容与格式〉》、《公开募</w:t>
      </w:r>
      <w:r>
        <w:rPr>
          <w:rFonts w:hAnsi="宋体" w:hint="eastAsia"/>
          <w:szCs w:val="24"/>
        </w:rPr>
        <w:lastRenderedPageBreak/>
        <w:t>集证券投资基金侧袋机制指引（试行）》、《农银汇理</w:t>
      </w:r>
      <w:r w:rsidR="005B6F51">
        <w:rPr>
          <w:rFonts w:hAnsi="宋体" w:hint="eastAsia"/>
          <w:szCs w:val="24"/>
        </w:rPr>
        <w:t>金恒</w:t>
      </w:r>
      <w:r>
        <w:rPr>
          <w:rFonts w:hAnsi="宋体" w:hint="eastAsia"/>
          <w:szCs w:val="24"/>
        </w:rPr>
        <w:t>债券型证券投资基金基金合同》（以下简称“基金合同”）及其他有关规定。</w:t>
      </w:r>
    </w:p>
    <w:p w14:paraId="6340CC84" w14:textId="77777777" w:rsidR="00966B07" w:rsidRDefault="00792B83">
      <w:pPr>
        <w:pStyle w:val="20"/>
        <w:adjustRightInd w:val="0"/>
        <w:snapToGrid w:val="0"/>
        <w:spacing w:before="0" w:after="0" w:line="520" w:lineRule="atLeast"/>
        <w:ind w:left="0" w:firstLineChars="200" w:firstLine="480"/>
        <w:rPr>
          <w:rFonts w:hAnsi="宋体"/>
          <w:szCs w:val="24"/>
        </w:rPr>
      </w:pPr>
      <w:r>
        <w:rPr>
          <w:rFonts w:hAnsi="宋体" w:hint="eastAsia"/>
          <w:szCs w:val="24"/>
        </w:rPr>
        <w:t>2.2本协议的目的</w:t>
      </w:r>
    </w:p>
    <w:p w14:paraId="47F2C24A" w14:textId="77777777" w:rsidR="00966B07" w:rsidRDefault="00792B83">
      <w:pPr>
        <w:pStyle w:val="20"/>
        <w:adjustRightInd w:val="0"/>
        <w:snapToGrid w:val="0"/>
        <w:spacing w:before="0" w:after="0" w:line="520" w:lineRule="atLeast"/>
        <w:ind w:left="0" w:firstLineChars="200" w:firstLine="480"/>
        <w:rPr>
          <w:rFonts w:hAnsi="宋体"/>
          <w:szCs w:val="24"/>
        </w:rPr>
      </w:pPr>
      <w:r>
        <w:rPr>
          <w:rFonts w:hAnsi="宋体" w:hint="eastAsia"/>
          <w:szCs w:val="24"/>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47145EA9" w14:textId="77777777" w:rsidR="00966B07" w:rsidRDefault="00792B83">
      <w:pPr>
        <w:pStyle w:val="20"/>
        <w:adjustRightInd w:val="0"/>
        <w:snapToGrid w:val="0"/>
        <w:spacing w:before="0" w:after="0" w:line="520" w:lineRule="atLeast"/>
        <w:ind w:left="0" w:firstLineChars="200" w:firstLine="480"/>
        <w:rPr>
          <w:rFonts w:hAnsi="宋体"/>
          <w:szCs w:val="24"/>
        </w:rPr>
      </w:pPr>
      <w:r>
        <w:rPr>
          <w:rFonts w:hAnsi="宋体" w:hint="eastAsia"/>
          <w:szCs w:val="24"/>
        </w:rPr>
        <w:t>2.3本协议的原则</w:t>
      </w:r>
    </w:p>
    <w:p w14:paraId="738041B3" w14:textId="77777777" w:rsidR="00966B07" w:rsidRDefault="00792B83">
      <w:pPr>
        <w:pStyle w:val="20"/>
        <w:adjustRightInd w:val="0"/>
        <w:snapToGrid w:val="0"/>
        <w:spacing w:before="0" w:after="0" w:line="520" w:lineRule="atLeast"/>
        <w:ind w:left="0" w:firstLineChars="200" w:firstLine="480"/>
        <w:rPr>
          <w:rFonts w:hAnsi="宋体"/>
          <w:szCs w:val="24"/>
        </w:rPr>
      </w:pPr>
      <w:r>
        <w:rPr>
          <w:rFonts w:hAnsi="宋体" w:hint="eastAsia"/>
          <w:szCs w:val="24"/>
        </w:rPr>
        <w:t>基金管理人和基金托管人本着平等自愿、诚实信用、充分保护基金份额持有人合法权益的原则，经协商一致，签订本协议。</w:t>
      </w:r>
    </w:p>
    <w:p w14:paraId="1A6554BC" w14:textId="77777777" w:rsidR="00966B07" w:rsidRDefault="00792B83">
      <w:pPr>
        <w:pStyle w:val="1"/>
        <w:adjustRightInd w:val="0"/>
        <w:spacing w:line="520" w:lineRule="atLeast"/>
        <w:ind w:firstLineChars="200" w:firstLine="482"/>
        <w:rPr>
          <w:bCs/>
          <w:color w:val="auto"/>
          <w:szCs w:val="24"/>
        </w:rPr>
      </w:pPr>
      <w:bookmarkStart w:id="15" w:name="_Toc63235220"/>
      <w:bookmarkStart w:id="16" w:name="_Toc296551339"/>
      <w:r>
        <w:rPr>
          <w:rFonts w:hint="eastAsia"/>
          <w:bCs/>
          <w:color w:val="auto"/>
          <w:szCs w:val="24"/>
        </w:rPr>
        <w:t>第三条 基金托管人对基金管理人的业务监督和核查</w:t>
      </w:r>
      <w:bookmarkEnd w:id="15"/>
      <w:bookmarkEnd w:id="16"/>
    </w:p>
    <w:p w14:paraId="3C706892" w14:textId="77777777" w:rsidR="00966B07" w:rsidRDefault="00792B83">
      <w:pPr>
        <w:pStyle w:val="20"/>
        <w:adjustRightInd w:val="0"/>
        <w:snapToGrid w:val="0"/>
        <w:spacing w:before="0" w:after="0" w:line="520" w:lineRule="atLeast"/>
        <w:ind w:left="0" w:firstLineChars="200" w:firstLine="480"/>
        <w:rPr>
          <w:rFonts w:hAnsi="宋体"/>
          <w:szCs w:val="24"/>
        </w:rPr>
      </w:pPr>
      <w:r>
        <w:rPr>
          <w:rFonts w:hAnsi="宋体" w:hint="eastAsia"/>
          <w:szCs w:val="24"/>
        </w:rPr>
        <w:t>3.1基金托管人对基金管理人的投资行为行使监督权</w:t>
      </w:r>
    </w:p>
    <w:p w14:paraId="3F686C53" w14:textId="77777777" w:rsidR="00966B07" w:rsidRDefault="00792B83">
      <w:pPr>
        <w:pStyle w:val="20"/>
        <w:adjustRightInd w:val="0"/>
        <w:snapToGrid w:val="0"/>
        <w:spacing w:before="0" w:after="0" w:line="520" w:lineRule="atLeast"/>
        <w:ind w:left="0" w:firstLineChars="200" w:firstLine="480"/>
        <w:rPr>
          <w:rFonts w:hAnsi="宋体"/>
          <w:szCs w:val="24"/>
        </w:rPr>
      </w:pPr>
      <w:bookmarkStart w:id="17" w:name="_Hlk113621613"/>
      <w:r>
        <w:rPr>
          <w:rFonts w:hAnsi="宋体" w:hint="eastAsia"/>
          <w:szCs w:val="24"/>
        </w:rPr>
        <w:t>3.1.1基金托管人根据有关法律法规的规定和基金合同的约定，对下述基金投资范围、投资对象进行监督。</w:t>
      </w:r>
    </w:p>
    <w:p w14:paraId="24108A57" w14:textId="2462D9A5" w:rsidR="00966B07" w:rsidRPr="00524AFD" w:rsidRDefault="00792B83" w:rsidP="00B13518">
      <w:pPr>
        <w:pStyle w:val="20"/>
        <w:adjustRightInd w:val="0"/>
        <w:snapToGrid w:val="0"/>
        <w:spacing w:before="0" w:after="0" w:line="520" w:lineRule="atLeast"/>
        <w:ind w:left="0" w:firstLineChars="200" w:firstLine="480"/>
        <w:rPr>
          <w:rFonts w:hAnsi="宋体"/>
          <w:szCs w:val="21"/>
        </w:rPr>
      </w:pPr>
      <w:r>
        <w:rPr>
          <w:rFonts w:hAnsi="宋体" w:hint="eastAsia"/>
          <w:szCs w:val="24"/>
        </w:rPr>
        <w:t>本基金的投资范围为具有良好流动性的金融工具，包括国内依法发行上市的 债券资产</w:t>
      </w:r>
      <w:r w:rsidR="00524AFD">
        <w:rPr>
          <w:rFonts w:hAnsi="宋体" w:hint="eastAsia"/>
          <w:szCs w:val="24"/>
        </w:rPr>
        <w:t>（</w:t>
      </w:r>
      <w:r>
        <w:rPr>
          <w:rFonts w:hAnsi="宋体" w:hint="eastAsia"/>
          <w:szCs w:val="24"/>
        </w:rPr>
        <w:t>包括国债、金融债、公司债、企业债、地方政府债、中央银行票据、中期票据、政府支持机构债券、短期融资</w:t>
      </w:r>
      <w:proofErr w:type="gramStart"/>
      <w:r>
        <w:rPr>
          <w:rFonts w:hAnsi="宋体" w:hint="eastAsia"/>
          <w:szCs w:val="24"/>
        </w:rPr>
        <w:t>券</w:t>
      </w:r>
      <w:proofErr w:type="gramEnd"/>
      <w:r w:rsidR="00524AFD">
        <w:rPr>
          <w:rFonts w:hAnsi="宋体" w:hint="eastAsia"/>
          <w:szCs w:val="24"/>
        </w:rPr>
        <w:t>）</w:t>
      </w:r>
      <w:r>
        <w:rPr>
          <w:rFonts w:hAnsi="宋体" w:hint="eastAsia"/>
          <w:szCs w:val="24"/>
        </w:rPr>
        <w:t>、债券回购、定期存款、协议存款、同业存单以及法律法规或中国证监会允许基金投资的其他金融工具，但须符合中国证监会相关规定。</w:t>
      </w:r>
    </w:p>
    <w:p w14:paraId="2997EB72" w14:textId="77777777" w:rsidR="00966B07" w:rsidRDefault="00792B83" w:rsidP="00B13518">
      <w:pPr>
        <w:pStyle w:val="20"/>
        <w:adjustRightInd w:val="0"/>
        <w:snapToGrid w:val="0"/>
        <w:spacing w:before="0" w:after="0" w:line="520" w:lineRule="atLeast"/>
        <w:ind w:left="0" w:firstLineChars="200" w:firstLine="480"/>
        <w:rPr>
          <w:rFonts w:hAnsi="宋体"/>
          <w:szCs w:val="24"/>
        </w:rPr>
      </w:pPr>
      <w:r>
        <w:rPr>
          <w:rFonts w:hAnsi="宋体" w:hint="eastAsia"/>
          <w:szCs w:val="24"/>
        </w:rPr>
        <w:t>本基金不投资于股票、可转换债券、可交换债券等资产。</w:t>
      </w:r>
    </w:p>
    <w:p w14:paraId="46EBB077" w14:textId="77777777" w:rsidR="00966B07" w:rsidRDefault="00792B83" w:rsidP="00B13518">
      <w:pPr>
        <w:pStyle w:val="20"/>
        <w:adjustRightInd w:val="0"/>
        <w:snapToGrid w:val="0"/>
        <w:spacing w:before="0" w:after="0" w:line="520" w:lineRule="atLeast"/>
        <w:ind w:left="0" w:firstLineChars="200" w:firstLine="480"/>
        <w:rPr>
          <w:rFonts w:hAnsi="宋体"/>
          <w:szCs w:val="24"/>
        </w:rPr>
      </w:pPr>
      <w:r>
        <w:rPr>
          <w:rFonts w:hAnsi="宋体" w:hint="eastAsia"/>
          <w:szCs w:val="24"/>
        </w:rPr>
        <w:t>如法律法规或监管机构以后允许基金投资其他品种，基金管理人在履行适当程序后，可以将其纳入投资范围。</w:t>
      </w:r>
    </w:p>
    <w:p w14:paraId="5ADDB1BA" w14:textId="483A2797" w:rsidR="00966B07" w:rsidRDefault="00F32D95" w:rsidP="00B13518">
      <w:pPr>
        <w:pStyle w:val="20"/>
        <w:adjustRightInd w:val="0"/>
        <w:snapToGrid w:val="0"/>
        <w:spacing w:before="0" w:after="0" w:line="520" w:lineRule="atLeast"/>
        <w:ind w:left="0" w:firstLineChars="200" w:firstLine="480"/>
        <w:rPr>
          <w:rFonts w:hAnsi="宋体"/>
          <w:szCs w:val="24"/>
        </w:rPr>
      </w:pPr>
      <w:r w:rsidRPr="00C32692">
        <w:rPr>
          <w:rFonts w:hAnsi="宋体" w:hint="eastAsia"/>
          <w:bCs/>
        </w:rPr>
        <w:t>基金的投资组合比例为：债券资产占基金资产的比例不低于80%，本基金持有现金或者到期日在一年以内的政府债券投资比例不低于基金资产净值的5%，其中，现金不包括结算备付金、存出保证金、应收申购款等。</w:t>
      </w:r>
    </w:p>
    <w:p w14:paraId="07F4E547" w14:textId="0D988A80" w:rsidR="00966B07" w:rsidRPr="009E65E8" w:rsidRDefault="00792B83" w:rsidP="00A33D57">
      <w:pPr>
        <w:spacing w:line="520" w:lineRule="atLeast"/>
        <w:ind w:firstLine="420"/>
        <w:jc w:val="left"/>
        <w:rPr>
          <w:rFonts w:ascii="宋体" w:hAnsi="宋体"/>
          <w:sz w:val="24"/>
          <w:szCs w:val="24"/>
        </w:rPr>
      </w:pPr>
      <w:proofErr w:type="gramStart"/>
      <w:r w:rsidRPr="00B13518">
        <w:rPr>
          <w:rFonts w:ascii="宋体" w:hAnsi="宋体" w:hint="eastAsia"/>
          <w:sz w:val="24"/>
          <w:szCs w:val="24"/>
        </w:rPr>
        <w:t>若法律</w:t>
      </w:r>
      <w:proofErr w:type="gramEnd"/>
      <w:r w:rsidRPr="00B13518">
        <w:rPr>
          <w:rFonts w:ascii="宋体" w:hAnsi="宋体" w:hint="eastAsia"/>
          <w:sz w:val="24"/>
          <w:szCs w:val="24"/>
        </w:rPr>
        <w:t>法规的相关规定发生变更或监管机构允许，本基金管理人在履行适当程序后，可对上述资产配置比例进行调整。</w:t>
      </w:r>
      <w:bookmarkStart w:id="18" w:name="_Hlk101558636"/>
    </w:p>
    <w:p w14:paraId="590C845F" w14:textId="77777777" w:rsidR="00966B07" w:rsidRDefault="00792B83">
      <w:pPr>
        <w:spacing w:line="520" w:lineRule="atLeast"/>
        <w:jc w:val="left"/>
        <w:rPr>
          <w:rFonts w:ascii="宋体" w:hAnsi="宋体"/>
          <w:sz w:val="24"/>
        </w:rPr>
      </w:pPr>
      <w:r>
        <w:rPr>
          <w:rFonts w:ascii="宋体" w:hAnsi="宋体" w:hint="eastAsia"/>
          <w:sz w:val="24"/>
        </w:rPr>
        <w:t xml:space="preserve">    3.1.2基金托管人根据有关法律法规的规定及基金合同的约定对下述基金投资比例进行监督：    </w:t>
      </w:r>
    </w:p>
    <w:p w14:paraId="503F1776" w14:textId="043FCEC7" w:rsidR="00966B07" w:rsidRDefault="00792B83" w:rsidP="00B13518">
      <w:pPr>
        <w:pStyle w:val="20"/>
        <w:adjustRightInd w:val="0"/>
        <w:snapToGrid w:val="0"/>
        <w:spacing w:before="0" w:after="0" w:line="520" w:lineRule="atLeast"/>
        <w:ind w:left="0" w:firstLineChars="200" w:firstLine="480"/>
        <w:jc w:val="left"/>
        <w:rPr>
          <w:rFonts w:hAnsi="宋体"/>
          <w:szCs w:val="24"/>
        </w:rPr>
      </w:pPr>
      <w:r>
        <w:rPr>
          <w:rFonts w:hAnsi="宋体" w:hint="eastAsia"/>
          <w:szCs w:val="24"/>
        </w:rPr>
        <w:lastRenderedPageBreak/>
        <w:t>（1）</w:t>
      </w:r>
      <w:r w:rsidR="007A2753">
        <w:rPr>
          <w:rFonts w:hint="eastAsia"/>
          <w:bCs/>
        </w:rPr>
        <w:t>本基金债券资产占基金资产的比例不低于</w:t>
      </w:r>
      <w:r w:rsidR="007A2753">
        <w:rPr>
          <w:bCs/>
        </w:rPr>
        <w:t>80</w:t>
      </w:r>
      <w:r w:rsidR="007A2753">
        <w:rPr>
          <w:rFonts w:hint="eastAsia"/>
          <w:bCs/>
        </w:rPr>
        <w:t>%</w:t>
      </w:r>
      <w:r>
        <w:rPr>
          <w:rFonts w:hAnsi="宋体" w:hint="eastAsia"/>
          <w:szCs w:val="24"/>
        </w:rPr>
        <w:t>；</w:t>
      </w:r>
    </w:p>
    <w:p w14:paraId="1F73F9BD" w14:textId="3F2A632B" w:rsidR="00966B07" w:rsidRDefault="00792B83" w:rsidP="00B13518">
      <w:pPr>
        <w:pStyle w:val="20"/>
        <w:adjustRightInd w:val="0"/>
        <w:snapToGrid w:val="0"/>
        <w:spacing w:before="0" w:after="0" w:line="520" w:lineRule="atLeast"/>
        <w:ind w:left="0" w:firstLineChars="200" w:firstLine="480"/>
        <w:jc w:val="left"/>
        <w:rPr>
          <w:rFonts w:hAnsi="宋体"/>
          <w:szCs w:val="24"/>
        </w:rPr>
      </w:pPr>
      <w:r>
        <w:rPr>
          <w:rFonts w:hAnsi="宋体" w:hint="eastAsia"/>
          <w:szCs w:val="24"/>
        </w:rPr>
        <w:t>（2）保持不低于基金资产净值5％的现金或者到期日在一年以内的政府债券，其中，现金资产不包括结算备付金、存出保证金、应收申购款等；</w:t>
      </w:r>
      <w:r w:rsidR="00E23B8E" w:rsidDel="00E23B8E">
        <w:rPr>
          <w:rFonts w:hAnsi="宋体" w:hint="eastAsia"/>
          <w:szCs w:val="24"/>
        </w:rPr>
        <w:t xml:space="preserve"> </w:t>
      </w:r>
    </w:p>
    <w:p w14:paraId="3F408268" w14:textId="77777777" w:rsidR="00966B07" w:rsidRDefault="00792B83" w:rsidP="00B13518">
      <w:pPr>
        <w:pStyle w:val="20"/>
        <w:adjustRightInd w:val="0"/>
        <w:snapToGrid w:val="0"/>
        <w:spacing w:before="0" w:after="0" w:line="520" w:lineRule="atLeast"/>
        <w:ind w:left="0" w:firstLineChars="200" w:firstLine="480"/>
        <w:jc w:val="left"/>
        <w:rPr>
          <w:rFonts w:hAnsi="宋体"/>
          <w:szCs w:val="24"/>
        </w:rPr>
      </w:pPr>
      <w:r>
        <w:rPr>
          <w:rFonts w:hAnsi="宋体" w:hint="eastAsia"/>
          <w:szCs w:val="24"/>
        </w:rPr>
        <w:t>（3）本基金持有一家公司发行的证券，其市值不超过基金资产净值的10％；</w:t>
      </w:r>
    </w:p>
    <w:p w14:paraId="28D792D8" w14:textId="77777777" w:rsidR="00966B07" w:rsidRDefault="00792B83" w:rsidP="00B13518">
      <w:pPr>
        <w:pStyle w:val="20"/>
        <w:adjustRightInd w:val="0"/>
        <w:snapToGrid w:val="0"/>
        <w:spacing w:before="0" w:after="0" w:line="520" w:lineRule="atLeast"/>
        <w:ind w:left="0" w:firstLineChars="200" w:firstLine="480"/>
        <w:jc w:val="left"/>
        <w:rPr>
          <w:rFonts w:hAnsi="宋体"/>
          <w:szCs w:val="24"/>
        </w:rPr>
      </w:pPr>
      <w:r>
        <w:rPr>
          <w:rFonts w:hAnsi="宋体" w:hint="eastAsia"/>
          <w:szCs w:val="24"/>
        </w:rPr>
        <w:t>（4）本基金管理人管理的全部基金持有一家公司发行的证券，不超过该证券的10％；</w:t>
      </w:r>
    </w:p>
    <w:p w14:paraId="54665EF3" w14:textId="32C5DBC9" w:rsidR="00966B07" w:rsidRDefault="00792B83" w:rsidP="00B13518">
      <w:pPr>
        <w:pStyle w:val="20"/>
        <w:adjustRightInd w:val="0"/>
        <w:snapToGrid w:val="0"/>
        <w:spacing w:before="0" w:after="0" w:line="520" w:lineRule="atLeast"/>
        <w:ind w:left="0" w:firstLineChars="200" w:firstLine="480"/>
        <w:jc w:val="left"/>
        <w:rPr>
          <w:rFonts w:hAnsi="宋体"/>
          <w:szCs w:val="24"/>
        </w:rPr>
      </w:pPr>
      <w:r>
        <w:rPr>
          <w:rFonts w:hAnsi="宋体" w:hint="eastAsia"/>
          <w:szCs w:val="24"/>
        </w:rPr>
        <w:t>（</w:t>
      </w:r>
      <w:r w:rsidR="00A65655">
        <w:rPr>
          <w:rFonts w:hAnsi="宋体"/>
          <w:szCs w:val="24"/>
        </w:rPr>
        <w:t>5</w:t>
      </w:r>
      <w:r>
        <w:rPr>
          <w:rFonts w:hAnsi="宋体" w:hint="eastAsia"/>
          <w:szCs w:val="24"/>
        </w:rPr>
        <w:t>）基金资产总值不得超过基金资产净值的140%；</w:t>
      </w:r>
    </w:p>
    <w:p w14:paraId="76558623" w14:textId="6B8D865C" w:rsidR="00966B07" w:rsidRDefault="00792B83" w:rsidP="00B13518">
      <w:pPr>
        <w:pStyle w:val="20"/>
        <w:adjustRightInd w:val="0"/>
        <w:snapToGrid w:val="0"/>
        <w:spacing w:before="0" w:after="0" w:line="520" w:lineRule="atLeast"/>
        <w:ind w:left="0" w:firstLineChars="200" w:firstLine="480"/>
        <w:jc w:val="left"/>
        <w:rPr>
          <w:rFonts w:hAnsi="宋体"/>
          <w:szCs w:val="24"/>
        </w:rPr>
      </w:pPr>
      <w:r>
        <w:rPr>
          <w:rFonts w:hAnsi="宋体" w:hint="eastAsia"/>
          <w:szCs w:val="24"/>
        </w:rPr>
        <w:t>（</w:t>
      </w:r>
      <w:r w:rsidR="00A65655">
        <w:rPr>
          <w:rFonts w:hAnsi="宋体"/>
          <w:szCs w:val="24"/>
        </w:rPr>
        <w:t>6</w:t>
      </w:r>
      <w:r>
        <w:rPr>
          <w:rFonts w:hAnsi="宋体" w:hint="eastAsia"/>
          <w:szCs w:val="24"/>
        </w:rPr>
        <w:t>）本基金主动投资于流动性受限资产的市值合计不得超过本基金资产净值的15%，因证券市场波动、基金规模变动等基金管理人之外的因素致使基金不符合本条规定比例限制的，基金管理人不得主动新增流动性受限资产的投资；</w:t>
      </w:r>
    </w:p>
    <w:p w14:paraId="4A07E234" w14:textId="2F68572E" w:rsidR="00966B07" w:rsidRDefault="00792B83" w:rsidP="00B13518">
      <w:pPr>
        <w:pStyle w:val="20"/>
        <w:adjustRightInd w:val="0"/>
        <w:snapToGrid w:val="0"/>
        <w:spacing w:before="0" w:after="0" w:line="520" w:lineRule="atLeast"/>
        <w:ind w:left="0" w:firstLineChars="200" w:firstLine="480"/>
        <w:jc w:val="left"/>
        <w:rPr>
          <w:rFonts w:hAnsi="宋体"/>
          <w:szCs w:val="24"/>
        </w:rPr>
      </w:pPr>
      <w:r>
        <w:rPr>
          <w:rFonts w:hAnsi="宋体" w:hint="eastAsia"/>
          <w:szCs w:val="24"/>
        </w:rPr>
        <w:t>（</w:t>
      </w:r>
      <w:r w:rsidR="00A65655">
        <w:rPr>
          <w:rFonts w:hAnsi="宋体"/>
          <w:szCs w:val="24"/>
        </w:rPr>
        <w:t>7</w:t>
      </w:r>
      <w:r>
        <w:rPr>
          <w:rFonts w:hAnsi="宋体" w:hint="eastAsia"/>
          <w:szCs w:val="24"/>
        </w:rPr>
        <w:t>）本基金与私募类</w:t>
      </w:r>
      <w:proofErr w:type="gramStart"/>
      <w:r>
        <w:rPr>
          <w:rFonts w:hAnsi="宋体" w:hint="eastAsia"/>
          <w:szCs w:val="24"/>
        </w:rPr>
        <w:t>证券资管产品</w:t>
      </w:r>
      <w:proofErr w:type="gramEnd"/>
      <w:r>
        <w:rPr>
          <w:rFonts w:hAnsi="宋体" w:hint="eastAsia"/>
          <w:szCs w:val="24"/>
        </w:rPr>
        <w:t>及中国证监会认定的其他主体为交易对手开展逆回购交易的，可接受质押品的资质要求应当与基金合同约定的投资范围保持一致；</w:t>
      </w:r>
    </w:p>
    <w:p w14:paraId="10F6EA06" w14:textId="50E55EF2" w:rsidR="00966B07" w:rsidRDefault="00792B83" w:rsidP="00B13518">
      <w:pPr>
        <w:pStyle w:val="20"/>
        <w:adjustRightInd w:val="0"/>
        <w:snapToGrid w:val="0"/>
        <w:spacing w:before="0" w:after="0" w:line="520" w:lineRule="atLeast"/>
        <w:ind w:left="0" w:firstLineChars="200" w:firstLine="480"/>
        <w:jc w:val="left"/>
        <w:rPr>
          <w:rFonts w:hAnsi="宋体"/>
          <w:szCs w:val="24"/>
        </w:rPr>
      </w:pPr>
      <w:r>
        <w:rPr>
          <w:rFonts w:hAnsi="宋体" w:hint="eastAsia"/>
          <w:szCs w:val="24"/>
        </w:rPr>
        <w:t>（</w:t>
      </w:r>
      <w:r w:rsidR="00A65655">
        <w:rPr>
          <w:rFonts w:hAnsi="宋体"/>
          <w:szCs w:val="24"/>
        </w:rPr>
        <w:t>8</w:t>
      </w:r>
      <w:r>
        <w:rPr>
          <w:rFonts w:hAnsi="宋体" w:hint="eastAsia"/>
          <w:szCs w:val="24"/>
        </w:rPr>
        <w:t>）法律法规及中国证监会规定的和《基金合同》约定的其他投资限制。</w:t>
      </w:r>
    </w:p>
    <w:p w14:paraId="6B7CA731" w14:textId="4205BDB5" w:rsidR="00966B07" w:rsidRDefault="00792B83" w:rsidP="00B13518">
      <w:pPr>
        <w:pStyle w:val="20"/>
        <w:adjustRightInd w:val="0"/>
        <w:snapToGrid w:val="0"/>
        <w:spacing w:before="0" w:after="0" w:line="520" w:lineRule="atLeast"/>
        <w:ind w:left="0" w:firstLineChars="200" w:firstLine="480"/>
        <w:jc w:val="left"/>
        <w:rPr>
          <w:rFonts w:hAnsi="宋体"/>
          <w:szCs w:val="24"/>
        </w:rPr>
      </w:pPr>
      <w:r>
        <w:rPr>
          <w:rFonts w:hAnsi="宋体" w:hint="eastAsia"/>
          <w:szCs w:val="24"/>
        </w:rPr>
        <w:t>除上述第（2）、（</w:t>
      </w:r>
      <w:r w:rsidR="00A65655">
        <w:rPr>
          <w:rFonts w:hAnsi="宋体"/>
          <w:szCs w:val="24"/>
        </w:rPr>
        <w:t>6</w:t>
      </w:r>
      <w:r>
        <w:rPr>
          <w:rFonts w:hAnsi="宋体" w:hint="eastAsia"/>
          <w:szCs w:val="24"/>
        </w:rPr>
        <w:t>）、（</w:t>
      </w:r>
      <w:r w:rsidR="00A65655">
        <w:rPr>
          <w:rFonts w:hAnsi="宋体"/>
          <w:szCs w:val="24"/>
        </w:rPr>
        <w:t>7</w:t>
      </w:r>
      <w:r>
        <w:rPr>
          <w:rFonts w:hAnsi="宋体" w:hint="eastAsia"/>
          <w:szCs w:val="24"/>
        </w:rPr>
        <w:t>）项外，因证券市场波动、证券发行人合并、基金规模变动等基金管理人之外的因素致使基金投资比例不符合上述规定投资比例的，基金管理人应当在10个交易日内进行调整，但中国证监会规定的特殊情形除外。法律法规或监管机构另有规定的，从其规定。</w:t>
      </w:r>
    </w:p>
    <w:p w14:paraId="2826F9CA" w14:textId="3005FAFC" w:rsidR="00966B07" w:rsidRDefault="00792B83" w:rsidP="00B13518">
      <w:pPr>
        <w:pStyle w:val="20"/>
        <w:adjustRightInd w:val="0"/>
        <w:snapToGrid w:val="0"/>
        <w:spacing w:before="0" w:after="0" w:line="520" w:lineRule="atLeast"/>
        <w:ind w:left="0" w:firstLineChars="200" w:firstLine="480"/>
        <w:jc w:val="left"/>
        <w:rPr>
          <w:rFonts w:hAnsi="宋体"/>
          <w:szCs w:val="24"/>
        </w:rPr>
      </w:pPr>
      <w:r>
        <w:rPr>
          <w:rFonts w:hAnsi="宋体" w:hint="eastAsia"/>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7E6A0FE2" w14:textId="3C7EEDB5" w:rsidR="00966B07" w:rsidRPr="00B13518" w:rsidRDefault="00792B83">
      <w:pPr>
        <w:spacing w:line="520" w:lineRule="atLeast"/>
        <w:ind w:firstLineChars="200" w:firstLine="480"/>
        <w:rPr>
          <w:rFonts w:ascii="宋体" w:hAnsi="宋体"/>
          <w:sz w:val="24"/>
          <w:szCs w:val="24"/>
        </w:rPr>
      </w:pPr>
      <w:r w:rsidRPr="00B13518">
        <w:rPr>
          <w:rFonts w:ascii="宋体" w:hAnsi="宋体" w:hint="eastAsia"/>
          <w:sz w:val="24"/>
          <w:szCs w:val="24"/>
        </w:rPr>
        <w:t>法律法规或监管部门取消或变更上述限制，如适用于本基金，基金管理人在履行适当程序后，则本基金投资可不再受相关限制或以变更后的规定为准，但须提前公告。</w:t>
      </w:r>
    </w:p>
    <w:p w14:paraId="45F03A4D"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3.1.3基金托管人根据有关法律法规的规定及基金合同的约定对下述基金投资禁止行为进行监督：</w:t>
      </w:r>
    </w:p>
    <w:p w14:paraId="2BF976B6" w14:textId="77777777" w:rsidR="00966B07" w:rsidRDefault="00792B83" w:rsidP="00B13518">
      <w:pPr>
        <w:pStyle w:val="20"/>
        <w:spacing w:before="0" w:after="0" w:line="520" w:lineRule="atLeast"/>
        <w:ind w:left="0" w:firstLineChars="200" w:firstLine="480"/>
        <w:rPr>
          <w:rFonts w:hAnsi="宋体"/>
          <w:szCs w:val="24"/>
        </w:rPr>
      </w:pPr>
      <w:r>
        <w:rPr>
          <w:rFonts w:hAnsi="宋体" w:hint="eastAsia"/>
          <w:szCs w:val="24"/>
        </w:rPr>
        <w:lastRenderedPageBreak/>
        <w:t>为维护基金份额持有人的合法权益，基金财产不得用于下列投资或者活动：</w:t>
      </w:r>
    </w:p>
    <w:p w14:paraId="1C4BFCAF" w14:textId="77777777" w:rsidR="00966B07" w:rsidRDefault="00792B83" w:rsidP="00B13518">
      <w:pPr>
        <w:pStyle w:val="20"/>
        <w:spacing w:before="0" w:after="0" w:line="520" w:lineRule="atLeast"/>
        <w:ind w:left="0" w:firstLineChars="200" w:firstLine="480"/>
        <w:rPr>
          <w:rFonts w:hAnsi="宋体"/>
          <w:szCs w:val="24"/>
        </w:rPr>
      </w:pPr>
      <w:r>
        <w:rPr>
          <w:rFonts w:hAnsi="宋体" w:hint="eastAsia"/>
          <w:szCs w:val="24"/>
        </w:rPr>
        <w:t>（1）承销证券；</w:t>
      </w:r>
    </w:p>
    <w:p w14:paraId="2A2993E0" w14:textId="77777777" w:rsidR="00966B07" w:rsidRDefault="00792B83" w:rsidP="00B13518">
      <w:pPr>
        <w:pStyle w:val="20"/>
        <w:spacing w:before="0" w:after="0" w:line="520" w:lineRule="atLeast"/>
        <w:ind w:left="0" w:firstLineChars="200" w:firstLine="480"/>
        <w:rPr>
          <w:rFonts w:hAnsi="宋体"/>
          <w:szCs w:val="24"/>
        </w:rPr>
      </w:pPr>
      <w:r>
        <w:rPr>
          <w:rFonts w:hAnsi="宋体" w:hint="eastAsia"/>
          <w:szCs w:val="24"/>
        </w:rPr>
        <w:t>（2）违反规定向他人贷款或者提供担保；</w:t>
      </w:r>
    </w:p>
    <w:p w14:paraId="181ACB19" w14:textId="77777777" w:rsidR="00966B07" w:rsidRDefault="00792B83" w:rsidP="00B13518">
      <w:pPr>
        <w:pStyle w:val="20"/>
        <w:spacing w:before="0" w:after="0" w:line="520" w:lineRule="atLeast"/>
        <w:ind w:left="0" w:firstLineChars="200" w:firstLine="480"/>
        <w:rPr>
          <w:rFonts w:hAnsi="宋体"/>
          <w:szCs w:val="24"/>
        </w:rPr>
      </w:pPr>
      <w:r>
        <w:rPr>
          <w:rFonts w:hAnsi="宋体" w:hint="eastAsia"/>
          <w:szCs w:val="24"/>
        </w:rPr>
        <w:t>（3）从事承担无限责任的投资；</w:t>
      </w:r>
    </w:p>
    <w:p w14:paraId="56EE45F0" w14:textId="77777777" w:rsidR="00966B07" w:rsidRDefault="00792B83" w:rsidP="00B13518">
      <w:pPr>
        <w:pStyle w:val="20"/>
        <w:spacing w:before="0" w:after="0" w:line="520" w:lineRule="atLeast"/>
        <w:ind w:left="0" w:firstLineChars="200" w:firstLine="480"/>
        <w:rPr>
          <w:rFonts w:hAnsi="宋体"/>
          <w:szCs w:val="24"/>
        </w:rPr>
      </w:pPr>
      <w:r>
        <w:rPr>
          <w:rFonts w:hAnsi="宋体" w:hint="eastAsia"/>
          <w:szCs w:val="24"/>
        </w:rPr>
        <w:t>（4）向其基金管理人、基金托管人出资；</w:t>
      </w:r>
    </w:p>
    <w:p w14:paraId="0DFDE973" w14:textId="77777777" w:rsidR="00966B07" w:rsidRDefault="00792B83" w:rsidP="00B13518">
      <w:pPr>
        <w:pStyle w:val="20"/>
        <w:spacing w:before="0" w:after="0" w:line="520" w:lineRule="atLeast"/>
        <w:ind w:left="0" w:firstLineChars="200" w:firstLine="480"/>
        <w:rPr>
          <w:rFonts w:hAnsi="宋体"/>
          <w:szCs w:val="24"/>
        </w:rPr>
      </w:pPr>
      <w:r>
        <w:rPr>
          <w:rFonts w:hAnsi="宋体" w:hint="eastAsia"/>
          <w:szCs w:val="24"/>
        </w:rPr>
        <w:t>（5）从事内幕交易、操纵证券交易价格及其他不正当的证券交易活动；</w:t>
      </w:r>
    </w:p>
    <w:p w14:paraId="60F18B69" w14:textId="77777777" w:rsidR="00966B07" w:rsidRDefault="00792B83" w:rsidP="00B13518">
      <w:pPr>
        <w:pStyle w:val="20"/>
        <w:spacing w:before="0" w:after="0" w:line="520" w:lineRule="atLeast"/>
        <w:ind w:left="0" w:firstLineChars="200" w:firstLine="480"/>
        <w:rPr>
          <w:rFonts w:hAnsi="宋体"/>
          <w:szCs w:val="24"/>
        </w:rPr>
      </w:pPr>
      <w:r>
        <w:rPr>
          <w:rFonts w:hAnsi="宋体" w:hint="eastAsia"/>
          <w:szCs w:val="24"/>
        </w:rPr>
        <w:t>（6）法律、行政法规和中国证监会规定禁止的其他活动。</w:t>
      </w:r>
    </w:p>
    <w:p w14:paraId="639B9135" w14:textId="21812867" w:rsidR="00966B07" w:rsidRDefault="00792B83" w:rsidP="00B13518">
      <w:pPr>
        <w:pStyle w:val="20"/>
        <w:spacing w:before="0" w:after="0" w:line="520" w:lineRule="atLeast"/>
        <w:ind w:left="0" w:firstLineChars="200" w:firstLine="480"/>
        <w:rPr>
          <w:rFonts w:hAnsi="宋体"/>
          <w:szCs w:val="24"/>
        </w:rPr>
      </w:pPr>
      <w:r>
        <w:rPr>
          <w:rFonts w:hAnsi="宋体" w:hint="eastAsia"/>
          <w:szCs w:val="24"/>
        </w:rPr>
        <w:t>法律、行政法规或监管部门取消或变更上述禁止性规定，如适用于本基金，基金管理人在履行适当程序后，则本基金投资可不受上述规定的限制或以变更后的规定为准，但须提前公告。</w:t>
      </w:r>
    </w:p>
    <w:p w14:paraId="621E8E45"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3.1.4基金托管人依据有关法律法规的规定和基金合同的约定对于基金关联投资限制进行监督：</w:t>
      </w:r>
    </w:p>
    <w:p w14:paraId="4944DC1C" w14:textId="6E16C9C0" w:rsidR="00966B07" w:rsidRDefault="00792B83">
      <w:pPr>
        <w:pStyle w:val="20"/>
        <w:spacing w:before="0" w:after="0" w:line="520" w:lineRule="atLeast"/>
        <w:ind w:left="0" w:firstLineChars="200" w:firstLine="480"/>
        <w:rPr>
          <w:rFonts w:hAnsi="宋体"/>
          <w:szCs w:val="24"/>
        </w:rPr>
      </w:pPr>
      <w:r>
        <w:rPr>
          <w:rFonts w:hAnsi="宋体" w:hint="eastAsia"/>
          <w:szCs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14:paraId="71BCFF5A"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根据法律法规有关从事关联交易的规定，基金管理人和基金托管人应事先相互提供与本机构有控股关系的股东或与本机构有其他重大利害关系的公司名单及其更新，加盖公章并相互书面提交，并确保所提供名单的真实性、完整性、全面性。名单变更后基金管理人和基金托管人应及时发送给对方，对方于2个工作日内进行回函确认已知名单的变更。名单变更时间以对方收到回函确认的时间为准。如果基金托管人在运作中严格遵循了监督流程，基金管理人仍违规进行交易，并造成基金资产损失的，由基金管理人承担责任，基金托管人不承担任何损失和责任。</w:t>
      </w:r>
    </w:p>
    <w:p w14:paraId="7A9D1016" w14:textId="77777777" w:rsidR="00966B07" w:rsidRDefault="00792B83">
      <w:pPr>
        <w:pStyle w:val="20"/>
        <w:spacing w:before="0" w:after="0" w:line="520" w:lineRule="atLeast"/>
        <w:ind w:left="0" w:firstLineChars="200" w:firstLine="480"/>
        <w:rPr>
          <w:rFonts w:hAnsi="宋体"/>
          <w:szCs w:val="24"/>
        </w:rPr>
      </w:pPr>
      <w:proofErr w:type="gramStart"/>
      <w:r>
        <w:rPr>
          <w:rFonts w:hAnsi="宋体" w:hint="eastAsia"/>
          <w:szCs w:val="24"/>
        </w:rPr>
        <w:t>若基金</w:t>
      </w:r>
      <w:proofErr w:type="gramEnd"/>
      <w:r>
        <w:rPr>
          <w:rFonts w:hAnsi="宋体" w:hint="eastAsia"/>
          <w:szCs w:val="24"/>
        </w:rPr>
        <w:t>托管人发现基金管理人与关联方进行法律法规禁止基金从事的交易时，基金托管人应及时提醒并协助基金管理人采取必要措施阻止该交易的发生，</w:t>
      </w:r>
      <w:proofErr w:type="gramStart"/>
      <w:r>
        <w:rPr>
          <w:rFonts w:hAnsi="宋体" w:hint="eastAsia"/>
          <w:szCs w:val="24"/>
        </w:rPr>
        <w:t>若基金</w:t>
      </w:r>
      <w:proofErr w:type="gramEnd"/>
      <w:r>
        <w:rPr>
          <w:rFonts w:hAnsi="宋体" w:hint="eastAsia"/>
          <w:szCs w:val="24"/>
        </w:rPr>
        <w:lastRenderedPageBreak/>
        <w:t>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p>
    <w:bookmarkEnd w:id="17"/>
    <w:bookmarkEnd w:id="18"/>
    <w:p w14:paraId="767F0783"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3.1.5基金托管人依据有关法律法规的规定和基金合同的约定对基金管理人参与银行间债券市场进行监督：</w:t>
      </w:r>
    </w:p>
    <w:p w14:paraId="02501F9C"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（1）基金托管人对于基金管理人参与银行间债券市场交易时是否按交易对手名单进行交易进行监督。</w:t>
      </w:r>
    </w:p>
    <w:p w14:paraId="56D95041"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基金管理人应在基金投资运作之前向基金托管人提供符合法律法规及行业标准的银行间债券市场交易对手的名单，并按照审慎的风险控制原则在该名单中约定各交易对手所适用的交易结算方式。基金托管人在收到名单后2个工作日内回函确认收到该名单。基金管理人应定期或不定期对银行间债券市场现券及回购交易对手的名单进行更新，名单中增加或减少银行间债券市场交易对手时须及时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双方原定协议进行结算。如基金管理人未提供名单，视为可与全市场交易对手进行交易。</w:t>
      </w:r>
    </w:p>
    <w:p w14:paraId="69E8AA60"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如果基金托管人发现基金管理人与不在名单内的银行间债券市场交易对手进行交易，应及时提醒基金管理人撤销交易，</w:t>
      </w:r>
      <w:r>
        <w:rPr>
          <w:rFonts w:hAnsi="宋体" w:hint="eastAsia"/>
          <w:b/>
          <w:bCs/>
          <w:szCs w:val="24"/>
        </w:rPr>
        <w:t>经提醒后基金管理人仍执行交易并造成基金资产损失的，基金托管人不承担责任。</w:t>
      </w:r>
    </w:p>
    <w:p w14:paraId="1DDD10C6"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（2）基金托管人对于基金管理人参与银行间债券市场交易的交易方式的控制</w:t>
      </w:r>
    </w:p>
    <w:p w14:paraId="44D944FC" w14:textId="77777777" w:rsidR="00966B07" w:rsidRDefault="00792B83">
      <w:pPr>
        <w:pStyle w:val="20"/>
        <w:spacing w:before="0" w:after="0" w:line="520" w:lineRule="atLeast"/>
        <w:ind w:left="0" w:firstLineChars="200" w:firstLine="480"/>
        <w:rPr>
          <w:rFonts w:hAnsi="宋体"/>
          <w:b/>
          <w:bCs/>
          <w:szCs w:val="24"/>
        </w:rPr>
      </w:pPr>
      <w:r>
        <w:rPr>
          <w:rFonts w:hAnsi="宋体" w:hint="eastAsia"/>
          <w:szCs w:val="24"/>
        </w:rPr>
        <w:t>基金管理人在银行间债券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w:t>
      </w:r>
      <w:r>
        <w:rPr>
          <w:rFonts w:hAnsi="宋体" w:hint="eastAsia"/>
          <w:b/>
          <w:bCs/>
          <w:szCs w:val="24"/>
        </w:rPr>
        <w:t>经提醒后基金管理人仍未改正并造成基金资产损失的，基金托管人不承担责任。</w:t>
      </w:r>
    </w:p>
    <w:p w14:paraId="5E385535" w14:textId="1A073227" w:rsidR="00966B07" w:rsidRDefault="00792B83">
      <w:pPr>
        <w:pStyle w:val="20"/>
        <w:spacing w:before="0" w:after="0" w:line="520" w:lineRule="atLeast"/>
        <w:ind w:left="0" w:firstLineChars="200" w:firstLine="480"/>
        <w:rPr>
          <w:rFonts w:hAnsi="宋体"/>
          <w:szCs w:val="24"/>
        </w:rPr>
      </w:pPr>
      <w:r>
        <w:rPr>
          <w:rFonts w:hAnsi="宋体" w:hint="eastAsia"/>
          <w:szCs w:val="24"/>
        </w:rPr>
        <w:t>（3）基金管理人有责任控制交易对手的资信风险</w:t>
      </w:r>
    </w:p>
    <w:p w14:paraId="3229AE0B" w14:textId="5DC8E61F" w:rsidR="00966B07" w:rsidRDefault="00792B83">
      <w:pPr>
        <w:pStyle w:val="20"/>
        <w:spacing w:before="0" w:after="0" w:line="520" w:lineRule="atLeast"/>
        <w:ind w:left="0" w:firstLineChars="200" w:firstLine="480"/>
        <w:rPr>
          <w:rFonts w:hAnsi="宋体"/>
          <w:szCs w:val="24"/>
        </w:rPr>
      </w:pPr>
      <w:r>
        <w:rPr>
          <w:rFonts w:hAnsi="宋体" w:hint="eastAsia"/>
          <w:szCs w:val="24"/>
        </w:rPr>
        <w:t>基金</w:t>
      </w:r>
      <w:r>
        <w:rPr>
          <w:rFonts w:hAnsi="宋体"/>
          <w:szCs w:val="24"/>
        </w:rPr>
        <w:t>管理人</w:t>
      </w:r>
      <w:r>
        <w:rPr>
          <w:rFonts w:hAnsi="宋体" w:hint="eastAsia"/>
          <w:szCs w:val="24"/>
        </w:rPr>
        <w:t>按银行间债券市场的交易规则进行交易，并负责解决因交易对手不</w:t>
      </w:r>
      <w:r>
        <w:rPr>
          <w:rFonts w:hAnsi="宋体" w:hint="eastAsia"/>
          <w:szCs w:val="24"/>
        </w:rPr>
        <w:lastRenderedPageBreak/>
        <w:t>履行合同而造成的纠纷。若未履约的交易对手在基金管理人确定的时间内仍未承担违约责任及其他相关法律责任的，基金管理人负责向相关交易对手追偿。</w:t>
      </w:r>
    </w:p>
    <w:p w14:paraId="5E06207F" w14:textId="064F23C4" w:rsidR="00966B07" w:rsidRDefault="00792B83">
      <w:pPr>
        <w:pStyle w:val="20"/>
        <w:spacing w:before="0" w:after="0" w:line="520" w:lineRule="atLeast"/>
        <w:rPr>
          <w:rFonts w:hAnsi="宋体"/>
          <w:szCs w:val="24"/>
        </w:rPr>
      </w:pPr>
      <w:r>
        <w:rPr>
          <w:rFonts w:hAnsi="宋体" w:hint="eastAsia"/>
          <w:szCs w:val="24"/>
        </w:rPr>
        <w:t>3.1.</w:t>
      </w:r>
      <w:r>
        <w:rPr>
          <w:rFonts w:hAnsi="宋体"/>
          <w:szCs w:val="24"/>
        </w:rPr>
        <w:t>6</w:t>
      </w:r>
      <w:r>
        <w:rPr>
          <w:rFonts w:hAnsi="宋体" w:hint="eastAsia"/>
          <w:szCs w:val="24"/>
        </w:rPr>
        <w:t>基金托管人对基金投资中期票据的监督：</w:t>
      </w:r>
    </w:p>
    <w:p w14:paraId="2C19869F"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1）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中期票据的额度和比例进行监督。</w:t>
      </w:r>
    </w:p>
    <w:p w14:paraId="6A4E5D79"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（2）如未来有关监管部门发布的法律法规对证券投资基金投资中期票据另有规定的，从其规定。</w:t>
      </w:r>
    </w:p>
    <w:p w14:paraId="5B64D162"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3）基金托管人有权监督基金管理人在相关基金投资中期票据时的法律法规遵守情况，有关制度、信用风险、流动性风险处置预案的完善情况，有关额度、比例限制的执行情况。基金托管人发现基金管理人的上述事项违反法律法规的</w:t>
      </w:r>
      <w:r>
        <w:rPr>
          <w:rFonts w:hAnsi="宋体"/>
          <w:szCs w:val="24"/>
        </w:rPr>
        <w:t>规定</w:t>
      </w:r>
      <w:r>
        <w:rPr>
          <w:rFonts w:hAnsi="宋体" w:hint="eastAsia"/>
          <w:szCs w:val="24"/>
        </w:rPr>
        <w:t>和基金合同以及本协议的约定，应及时以书面形式通知基金管理人限期纠正。基金管理人应积极配合和协助基金托管人的监督和核查。基金管理人应按本协议要求向基金托管人及时发出回函，并及时改正。基金托管人有权随时对所通知事项进行复查，督促基金管理人改正。如果基金管理人违规事项未能在限期内纠正的，基金托管人应报告中国证监会。如果基金托管人未能切实履行监督职责，导致基金出现风险，基金托管人应承担相应责任。如果因基金管理</w:t>
      </w:r>
      <w:proofErr w:type="gramStart"/>
      <w:r>
        <w:rPr>
          <w:rFonts w:hAnsi="宋体" w:hint="eastAsia"/>
          <w:szCs w:val="24"/>
        </w:rPr>
        <w:t>人原因</w:t>
      </w:r>
      <w:proofErr w:type="gramEnd"/>
      <w:r>
        <w:rPr>
          <w:rFonts w:hAnsi="宋体" w:hint="eastAsia"/>
          <w:szCs w:val="24"/>
        </w:rPr>
        <w:t>导致基金出现风险，基金托管人对此风险造成的任何后果不承担责任。</w:t>
      </w:r>
    </w:p>
    <w:p w14:paraId="45C1820E" w14:textId="251BD6B8" w:rsidR="00966B07" w:rsidRDefault="00792B83">
      <w:pPr>
        <w:pStyle w:val="20"/>
        <w:spacing w:before="0" w:after="0" w:line="520" w:lineRule="atLeast"/>
        <w:ind w:left="0" w:firstLineChars="200" w:firstLine="480"/>
        <w:rPr>
          <w:rFonts w:hAnsi="宋体"/>
          <w:szCs w:val="24"/>
        </w:rPr>
      </w:pPr>
      <w:r>
        <w:rPr>
          <w:rFonts w:hAnsi="宋体" w:hint="eastAsia"/>
          <w:szCs w:val="24"/>
        </w:rPr>
        <w:t>3.1.</w:t>
      </w:r>
      <w:r>
        <w:rPr>
          <w:rFonts w:hAnsi="宋体"/>
          <w:szCs w:val="24"/>
        </w:rPr>
        <w:t>7</w:t>
      </w:r>
      <w:r>
        <w:rPr>
          <w:rFonts w:hAnsi="宋体" w:hint="eastAsia"/>
          <w:szCs w:val="24"/>
        </w:rPr>
        <w:t>基金托管人根据有关法律法规的规定及基金合同的约定，对基金管理人选择存款银行进行监督：</w:t>
      </w:r>
    </w:p>
    <w:p w14:paraId="2BA72AAE"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基金投资银行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471D15A6"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本基金投资银行存款应符合如下规定：</w:t>
      </w:r>
    </w:p>
    <w:p w14:paraId="41D4633C"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（1）基金管理人、基金托管人应当与存款银行建立定期对账机制，确保基金银行存款业务账目及核算的真实、准确。</w:t>
      </w:r>
    </w:p>
    <w:p w14:paraId="0BEFDE26"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（2）基金管理人与基金托管人应根据相关规定，就本基金银行存款业务另行</w:t>
      </w:r>
      <w:r>
        <w:rPr>
          <w:rFonts w:hAnsi="宋体" w:hint="eastAsia"/>
          <w:szCs w:val="24"/>
        </w:rPr>
        <w:lastRenderedPageBreak/>
        <w:t>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14:paraId="0C2A1A1F"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（3）基金托管人应对基金银行存款业务进行监督与核查，审查、复核相关协议、账户资料、投资指令、存款证实书等有关文件，履行托管职责。</w:t>
      </w:r>
    </w:p>
    <w:p w14:paraId="4638C139"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（4）基金管理人与基金托管人在开展基金存款业务时，应严格遵守《基金法》、《运作办法》等有关法律法规，以及国家有关账户管理、利率管理、支付结算等的各项规定。</w:t>
      </w:r>
    </w:p>
    <w:p w14:paraId="0A5976C3"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3.2基金托管人对基金管理人业务进行监督和核查的有关措施：</w:t>
      </w:r>
    </w:p>
    <w:p w14:paraId="252DBC28" w14:textId="38091362" w:rsidR="00966B07" w:rsidRDefault="00792B83">
      <w:pPr>
        <w:pStyle w:val="20"/>
        <w:spacing w:before="0" w:after="0" w:line="520" w:lineRule="atLeast"/>
        <w:ind w:left="0" w:firstLineChars="200" w:firstLine="480"/>
        <w:rPr>
          <w:rFonts w:hAnsi="宋体"/>
          <w:szCs w:val="24"/>
        </w:rPr>
      </w:pPr>
      <w:r>
        <w:rPr>
          <w:rFonts w:hAnsi="宋体" w:hint="eastAsia"/>
          <w:szCs w:val="24"/>
        </w:rPr>
        <w:t>3.2.1基金托管人应根据有关法律法规的规定及基金合同的约定，对基金资产净值计算、基金份额净值计算、应收资金到账、基金费用开支及收入确</w:t>
      </w:r>
      <w:r>
        <w:rPr>
          <w:rFonts w:hAnsi="宋体"/>
          <w:szCs w:val="24"/>
        </w:rPr>
        <w:t>定</w:t>
      </w:r>
      <w:r>
        <w:rPr>
          <w:rFonts w:hAnsi="宋体" w:hint="eastAsia"/>
          <w:szCs w:val="24"/>
        </w:rPr>
        <w:t>、基金收益分配、相关信息披露、基金宣传推介材料中登载基金业绩表现数据等进行监督和核查。</w:t>
      </w:r>
    </w:p>
    <w:p w14:paraId="66980F8A" w14:textId="427B8D50" w:rsidR="00966B07" w:rsidRDefault="00792B83">
      <w:pPr>
        <w:pStyle w:val="20"/>
        <w:spacing w:before="0" w:after="0" w:line="520" w:lineRule="atLeast"/>
        <w:ind w:left="0" w:firstLineChars="200" w:firstLine="480"/>
        <w:rPr>
          <w:rFonts w:hAnsi="宋体"/>
          <w:szCs w:val="24"/>
        </w:rPr>
      </w:pPr>
      <w:r>
        <w:rPr>
          <w:rFonts w:hAnsi="宋体" w:hint="eastAsia"/>
          <w:szCs w:val="24"/>
        </w:rPr>
        <w:t>3.2.2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14:paraId="72990622"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3.2.3在限期内，基金托管人有权随时对通知事项进行复查，督促基金管理人改正。基金管理人对基金托管人通知的违规事项未能在限期内纠正的，基金托管人应报告中国证监会。</w:t>
      </w:r>
    </w:p>
    <w:p w14:paraId="738D40DB"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3.2.4基金托管人发现基金管理人的投资指令违反相关法律法规规定或者违反基金合同约定的，应当拒绝执行，立即通知基金管理人。</w:t>
      </w:r>
    </w:p>
    <w:p w14:paraId="0CFE112A"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3.2.5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14:paraId="09E538A0"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3.2.6基金管理人应积极配合和协助基金托管人的监督和核查，必须在规定时间内答复基金托管人并改正，就基金托管人的合理疑义进行解释或举证，对基金托</w:t>
      </w:r>
      <w:r>
        <w:rPr>
          <w:rFonts w:hAnsi="宋体" w:hint="eastAsia"/>
          <w:szCs w:val="24"/>
        </w:rPr>
        <w:lastRenderedPageBreak/>
        <w:t>管人按照法规要求需向中国证监会报送基金监督报告的，基金管理人应积极配合提供相关数据资料和制度等。</w:t>
      </w:r>
    </w:p>
    <w:p w14:paraId="39BA06BA"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3.2.7基金托管人发现基金管理人有重大违规行为，应立即报告中国证监会，同时通知基金管理人限期纠正。</w:t>
      </w:r>
    </w:p>
    <w:p w14:paraId="30A0D4AE"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3.2.8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250BD926"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3</w:t>
      </w:r>
      <w:r>
        <w:rPr>
          <w:rFonts w:hAnsi="宋体"/>
          <w:szCs w:val="24"/>
        </w:rPr>
        <w:t>.2.</w:t>
      </w:r>
      <w:r>
        <w:rPr>
          <w:rFonts w:hAnsi="宋体" w:hint="eastAsia"/>
          <w:szCs w:val="24"/>
        </w:rPr>
        <w:t>9基金管理人应遵守中华人民共和国反洗</w:t>
      </w:r>
      <w:proofErr w:type="gramStart"/>
      <w:r>
        <w:rPr>
          <w:rFonts w:hAnsi="宋体" w:hint="eastAsia"/>
          <w:szCs w:val="24"/>
        </w:rPr>
        <w:t>钱法律</w:t>
      </w:r>
      <w:proofErr w:type="gramEnd"/>
      <w:r>
        <w:rPr>
          <w:rFonts w:hAnsi="宋体" w:hint="eastAsia"/>
          <w:szCs w:val="24"/>
        </w:rPr>
        <w:t>法规，不参与涉嫌洗钱、恐怖融资、扩散融资等违法犯罪活动；主动配合基金托管</w:t>
      </w:r>
      <w:proofErr w:type="gramStart"/>
      <w:r>
        <w:rPr>
          <w:rFonts w:hAnsi="宋体" w:hint="eastAsia"/>
          <w:szCs w:val="24"/>
        </w:rPr>
        <w:t>人客户</w:t>
      </w:r>
      <w:proofErr w:type="gramEnd"/>
      <w:r>
        <w:rPr>
          <w:rFonts w:hAnsi="宋体" w:hint="eastAsia"/>
          <w:szCs w:val="24"/>
        </w:rPr>
        <w:t>身份识别与尽职调查，提供真实、准确、完整客户资料，遵守基金托管人反洗钱与反恐怖融资相关管理规定。对具备合理理由怀疑涉嫌洗钱、恐怖融资的客户，基金托管人将按照中国人民银行反洗钱监管规定采取必要管控措施。</w:t>
      </w:r>
    </w:p>
    <w:p w14:paraId="52965AA6" w14:textId="77777777" w:rsidR="00966B07" w:rsidRDefault="00792B83">
      <w:pPr>
        <w:pStyle w:val="20"/>
        <w:spacing w:line="520" w:lineRule="atLeast"/>
        <w:ind w:left="0" w:firstLineChars="200" w:firstLine="480"/>
        <w:rPr>
          <w:rFonts w:hAnsi="宋体"/>
          <w:szCs w:val="24"/>
        </w:rPr>
      </w:pPr>
      <w:r>
        <w:rPr>
          <w:rFonts w:hAnsi="宋体" w:hint="eastAsia"/>
          <w:szCs w:val="24"/>
        </w:rPr>
        <w:t>3.2.10当基金持有特定资产且存在或潜在大额赎回申请时，根据最大限度保护基金份额持有人利益的原则，基金管理人经与基金托管人协商一致，并咨询会计师事务所意见后，可以依照法律法规及基金合同的约定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hAnsi="宋体" w:hint="eastAsia"/>
          <w:szCs w:val="24"/>
        </w:rPr>
        <w:t>启用侧袋机制</w:t>
      </w:r>
      <w:proofErr w:type="gramEnd"/>
      <w:r>
        <w:rPr>
          <w:rFonts w:hAnsi="宋体" w:hint="eastAsia"/>
          <w:szCs w:val="24"/>
        </w:rPr>
        <w:t>，无需召开基金份额持有人大会审议。</w:t>
      </w:r>
    </w:p>
    <w:p w14:paraId="6D2075F5" w14:textId="77777777" w:rsidR="00966B07" w:rsidRDefault="00792B83">
      <w:pPr>
        <w:pStyle w:val="20"/>
        <w:spacing w:line="520" w:lineRule="atLeast"/>
        <w:ind w:left="0" w:firstLineChars="200" w:firstLine="480"/>
        <w:rPr>
          <w:rFonts w:hAnsi="宋体"/>
          <w:szCs w:val="24"/>
        </w:rPr>
      </w:pPr>
      <w:proofErr w:type="gramStart"/>
      <w:r>
        <w:rPr>
          <w:rFonts w:hAnsi="宋体" w:hint="eastAsia"/>
          <w:szCs w:val="24"/>
        </w:rPr>
        <w:t>侧袋机制</w:t>
      </w:r>
      <w:proofErr w:type="gramEnd"/>
      <w:r>
        <w:rPr>
          <w:rFonts w:hAnsi="宋体" w:hint="eastAsia"/>
          <w:szCs w:val="24"/>
        </w:rPr>
        <w:t>实施期间，本基金的投资组合比例、投资策略、组合限制、业绩比较基准、风险收益特征等约定仅</w:t>
      </w:r>
      <w:proofErr w:type="gramStart"/>
      <w:r>
        <w:rPr>
          <w:rFonts w:hAnsi="宋体" w:hint="eastAsia"/>
          <w:szCs w:val="24"/>
        </w:rPr>
        <w:t>适用于主袋账户</w:t>
      </w:r>
      <w:proofErr w:type="gramEnd"/>
      <w:r>
        <w:rPr>
          <w:rFonts w:hAnsi="宋体" w:hint="eastAsia"/>
          <w:szCs w:val="24"/>
        </w:rPr>
        <w:t>。</w:t>
      </w:r>
    </w:p>
    <w:p w14:paraId="115A282D" w14:textId="77777777" w:rsidR="00966B07" w:rsidRDefault="00792B83">
      <w:pPr>
        <w:pStyle w:val="20"/>
        <w:spacing w:line="520" w:lineRule="atLeast"/>
        <w:ind w:left="0" w:firstLineChars="200" w:firstLine="480"/>
        <w:rPr>
          <w:rFonts w:hAnsi="宋体"/>
          <w:szCs w:val="24"/>
        </w:rPr>
      </w:pPr>
      <w:proofErr w:type="gramStart"/>
      <w:r>
        <w:rPr>
          <w:rFonts w:hAnsi="宋体" w:hint="eastAsia"/>
          <w:szCs w:val="24"/>
        </w:rPr>
        <w:t>侧袋账户</w:t>
      </w:r>
      <w:proofErr w:type="gramEnd"/>
      <w:r>
        <w:rPr>
          <w:rFonts w:hAnsi="宋体" w:hint="eastAsia"/>
          <w:szCs w:val="24"/>
        </w:rPr>
        <w:t>的实施条件、实施程序、运作安排（包括但不限于对基金赎回的影响、信息披露、费用列支等）、投资安排、特定资产的处置变现和支付等对投资者权益有重大影响的事项详见基金合同和招募说明书的规定。</w:t>
      </w:r>
    </w:p>
    <w:p w14:paraId="4AC3F6AD" w14:textId="7919A4AF" w:rsidR="00966B07" w:rsidRDefault="00792B83">
      <w:pPr>
        <w:pStyle w:val="20"/>
        <w:spacing w:before="0" w:after="0" w:line="520" w:lineRule="atLeast"/>
        <w:ind w:left="0" w:firstLineChars="200" w:firstLine="480"/>
        <w:rPr>
          <w:rFonts w:hAnsi="宋体"/>
          <w:szCs w:val="24"/>
        </w:rPr>
      </w:pPr>
      <w:r>
        <w:rPr>
          <w:rFonts w:hAnsi="宋体" w:hint="eastAsia"/>
          <w:szCs w:val="24"/>
        </w:rPr>
        <w:t>基金托管人依照相关法律法规的规定以及基金合同和招募说明书的约定，对侧</w:t>
      </w:r>
      <w:proofErr w:type="gramStart"/>
      <w:r>
        <w:rPr>
          <w:rFonts w:hAnsi="宋体" w:hint="eastAsia"/>
          <w:szCs w:val="24"/>
        </w:rPr>
        <w:t>袋机制</w:t>
      </w:r>
      <w:proofErr w:type="gramEnd"/>
      <w:r>
        <w:rPr>
          <w:rFonts w:hAnsi="宋体" w:hint="eastAsia"/>
          <w:szCs w:val="24"/>
        </w:rPr>
        <w:t>启用、特定资产处置和信息披露等方面进行监督。</w:t>
      </w:r>
    </w:p>
    <w:p w14:paraId="5ADB2AC1" w14:textId="77777777" w:rsidR="00966B07" w:rsidRDefault="00792B83">
      <w:pPr>
        <w:pStyle w:val="1"/>
        <w:spacing w:line="520" w:lineRule="atLeast"/>
        <w:ind w:firstLineChars="200" w:firstLine="482"/>
        <w:rPr>
          <w:bCs/>
          <w:color w:val="auto"/>
          <w:szCs w:val="24"/>
        </w:rPr>
      </w:pPr>
      <w:bookmarkStart w:id="19" w:name="_Toc296551340"/>
      <w:bookmarkStart w:id="20" w:name="_Toc63235221"/>
      <w:r>
        <w:rPr>
          <w:rFonts w:hint="eastAsia"/>
          <w:bCs/>
          <w:color w:val="auto"/>
          <w:szCs w:val="24"/>
        </w:rPr>
        <w:t>第四条 基金管理人对基金托管人的业务核查</w:t>
      </w:r>
      <w:bookmarkEnd w:id="19"/>
      <w:bookmarkEnd w:id="20"/>
    </w:p>
    <w:p w14:paraId="25041B23" w14:textId="65909F47" w:rsidR="00966B07" w:rsidRDefault="00792B83">
      <w:pPr>
        <w:pStyle w:val="20"/>
        <w:spacing w:before="0" w:after="0" w:line="520" w:lineRule="atLeast"/>
        <w:ind w:left="0" w:firstLineChars="200" w:firstLine="480"/>
        <w:rPr>
          <w:rFonts w:hAnsi="宋体"/>
          <w:szCs w:val="24"/>
        </w:rPr>
      </w:pPr>
      <w:r>
        <w:rPr>
          <w:rFonts w:hAnsi="宋体" w:hint="eastAsia"/>
          <w:szCs w:val="24"/>
        </w:rPr>
        <w:t>4.1基金管理人对基金托管人履行托管职责情况进行核查，核查事项包括但不限于基金托管人安全保管基金财产、开设基金财产的资金账户、证券账户等投资所需的其他账户、复核基金管理人计算的基金资产净值和基金份额净值、根据基金管理人指令办理清算交收、相关信息披露和监督基金投资运作等行为。</w:t>
      </w:r>
    </w:p>
    <w:p w14:paraId="2991CC35" w14:textId="2FF9F05A" w:rsidR="00966B07" w:rsidRDefault="00792B83">
      <w:pPr>
        <w:pStyle w:val="20"/>
        <w:spacing w:before="0" w:after="0" w:line="520" w:lineRule="atLeast"/>
        <w:ind w:left="0" w:firstLineChars="200" w:firstLine="480"/>
        <w:rPr>
          <w:rFonts w:hAnsi="宋体"/>
          <w:szCs w:val="24"/>
        </w:rPr>
      </w:pPr>
      <w:r>
        <w:rPr>
          <w:rFonts w:hAnsi="宋体" w:hint="eastAsia"/>
          <w:szCs w:val="24"/>
        </w:rPr>
        <w:lastRenderedPageBreak/>
        <w:t>4.2基金管理人发现基金托管人擅自挪用基金财产、未对基金财产实行分账管理、未执行或无故拒绝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以协助配合。基金托管人对基金管理人通知的违规事项未能在限期内纠正或未在合理期限内确认的，基金管理人应报告中国证监会。基金托管人应赔偿基金因此所遭受的损失。</w:t>
      </w:r>
    </w:p>
    <w:p w14:paraId="7FE43745"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4.3基金管理人发现基金托管人有重大违规行为，应立即报告中国证监会和银行业监督管理机构，同时通知基金托管人限期纠正。</w:t>
      </w:r>
    </w:p>
    <w:p w14:paraId="7129575C"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4.4基金托管人应积极配合基金管理人的核查行为，包括但不限于：提交相关资料以</w:t>
      </w:r>
      <w:proofErr w:type="gramStart"/>
      <w:r>
        <w:rPr>
          <w:rFonts w:hAnsi="宋体" w:hint="eastAsia"/>
          <w:szCs w:val="24"/>
        </w:rPr>
        <w:t>供基金</w:t>
      </w:r>
      <w:proofErr w:type="gramEnd"/>
      <w:r>
        <w:rPr>
          <w:rFonts w:hAnsi="宋体" w:hint="eastAsia"/>
          <w:szCs w:val="24"/>
        </w:rPr>
        <w:t>管理人核查托管财产的完整性和真实性，在规定时间内答复基金管理人并改正。</w:t>
      </w:r>
    </w:p>
    <w:p w14:paraId="5A096A05"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4.5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36351690" w14:textId="77777777" w:rsidR="00966B07" w:rsidRDefault="00792B83">
      <w:pPr>
        <w:pStyle w:val="1"/>
        <w:spacing w:line="520" w:lineRule="atLeast"/>
        <w:ind w:firstLineChars="200" w:firstLine="482"/>
        <w:rPr>
          <w:bCs/>
          <w:color w:val="auto"/>
          <w:szCs w:val="24"/>
        </w:rPr>
      </w:pPr>
      <w:bookmarkStart w:id="21" w:name="_Toc296551341"/>
      <w:bookmarkStart w:id="22" w:name="_Toc63235222"/>
      <w:r>
        <w:rPr>
          <w:rFonts w:hint="eastAsia"/>
          <w:bCs/>
          <w:color w:val="auto"/>
          <w:szCs w:val="24"/>
        </w:rPr>
        <w:t>第五条 基金财产保管</w:t>
      </w:r>
      <w:bookmarkEnd w:id="21"/>
      <w:bookmarkEnd w:id="22"/>
    </w:p>
    <w:p w14:paraId="2DAF5680"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5.1基金财产保管的原则</w:t>
      </w:r>
    </w:p>
    <w:p w14:paraId="3A962B37"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5.1.1基金财产应独立于基金管理人、基金托管人的固有财产。</w:t>
      </w:r>
    </w:p>
    <w:p w14:paraId="2E04B818"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5.1.2基金托管人应安全保管基金财产。除依据法律法规规定、基金合同和本托管协议约定及基金管理人的正当指令外，不得自行运用、处分、分配基金的任何财产。</w:t>
      </w:r>
    </w:p>
    <w:p w14:paraId="061745C4" w14:textId="783B59F4" w:rsidR="00966B07" w:rsidRDefault="00792B83">
      <w:pPr>
        <w:pStyle w:val="20"/>
        <w:spacing w:before="0" w:after="0" w:line="520" w:lineRule="atLeast"/>
        <w:ind w:left="0" w:firstLineChars="200" w:firstLine="480"/>
        <w:rPr>
          <w:rFonts w:hAnsi="宋体"/>
          <w:szCs w:val="24"/>
        </w:rPr>
      </w:pPr>
      <w:r>
        <w:rPr>
          <w:rFonts w:hAnsi="宋体" w:hint="eastAsia"/>
          <w:szCs w:val="24"/>
        </w:rPr>
        <w:t>5.1.3基金托管人按照规定开设基金财产的资金账户、证券账户等投资所需的其他账户。</w:t>
      </w:r>
    </w:p>
    <w:p w14:paraId="45DC29E6"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5.1.4基金托管人对所托管的不同基金财产分别设置账户，与基金托管人的其他业务和其他基金的托管业务实行严格的分账管理，确保基金财产的完整与独立。</w:t>
      </w:r>
    </w:p>
    <w:p w14:paraId="2A403126"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5.1.5基金托管人根据基金管理人的指令，按照基金合同和本协议的约定保管基金财产，如有特殊情况双方可另行协商解决。</w:t>
      </w:r>
    </w:p>
    <w:p w14:paraId="7BAA5B6A"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lastRenderedPageBreak/>
        <w:t>5.1.6除依据法律法规和基金合同的规定外，基金托管人不得委托第三人托管基金资产。</w:t>
      </w:r>
    </w:p>
    <w:p w14:paraId="5181DED4"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5.2募集资金的验资</w:t>
      </w:r>
    </w:p>
    <w:p w14:paraId="7E4E4573" w14:textId="77777777" w:rsidR="00966B07" w:rsidRDefault="00792B83">
      <w:pPr>
        <w:pStyle w:val="CharCharCharCharCharCharChar"/>
        <w:adjustRightInd/>
        <w:spacing w:line="520" w:lineRule="atLeast"/>
        <w:ind w:firstLineChars="200" w:firstLine="480"/>
        <w:rPr>
          <w:rFonts w:hAnsi="宋体"/>
          <w:szCs w:val="24"/>
        </w:rPr>
      </w:pPr>
      <w:r>
        <w:rPr>
          <w:rFonts w:ascii="宋体" w:hAnsi="宋体" w:hint="eastAsia"/>
          <w:szCs w:val="24"/>
        </w:rPr>
        <w:t>5.2.1基金募集期间募集的资金应存于基金管理人在基金托管人的营业机构或在其他银行开立的基金募集专户，该账户由基金管理人委托的登记机构开立并管理。</w:t>
      </w:r>
    </w:p>
    <w:p w14:paraId="1BCB5633" w14:textId="390D742E" w:rsidR="00966B07" w:rsidRDefault="00792B83">
      <w:pPr>
        <w:pStyle w:val="20"/>
        <w:spacing w:before="0" w:after="0" w:line="520" w:lineRule="atLeast"/>
        <w:ind w:left="0" w:firstLineChars="200" w:firstLine="480"/>
        <w:rPr>
          <w:rFonts w:hAnsi="宋体"/>
          <w:szCs w:val="24"/>
        </w:rPr>
      </w:pPr>
      <w:r>
        <w:rPr>
          <w:rFonts w:hAnsi="宋体" w:hint="eastAsia"/>
          <w:szCs w:val="24"/>
        </w:rPr>
        <w:t>5.2.2基金募集期满或基金提前结束募集时，募集的基金份额总额、基金募集金额、基金份额持有人人数符合《基金法》、《运作办法》等有关规定后，基金管理人应将募集的属于本基金财产的全部资金划入基金托管人为本基金开立的</w:t>
      </w:r>
      <w:r>
        <w:rPr>
          <w:rFonts w:hAnsi="宋体"/>
          <w:szCs w:val="24"/>
        </w:rPr>
        <w:t>资产</w:t>
      </w:r>
      <w:r>
        <w:rPr>
          <w:rFonts w:hAnsi="宋体" w:hint="eastAsia"/>
          <w:szCs w:val="24"/>
        </w:rPr>
        <w:t>托管专户中，基金托管人在收到资金当日出具确认文件。同时，基金管理人应聘</w:t>
      </w:r>
      <w:proofErr w:type="gramStart"/>
      <w:r>
        <w:rPr>
          <w:rFonts w:hAnsi="宋体" w:hint="eastAsia"/>
          <w:szCs w:val="24"/>
        </w:rPr>
        <w:t>请符合</w:t>
      </w:r>
      <w:proofErr w:type="gramEnd"/>
      <w:r>
        <w:rPr>
          <w:rFonts w:hAnsi="宋体" w:hint="eastAsia"/>
          <w:szCs w:val="24"/>
        </w:rPr>
        <w:t>《中华人民共和国证券法》规定的会计师事务所进行验资，出具验资报告，出具的验资报告应由参加验资的2名以上（含2名）中国注册会计师签字方为有效。</w:t>
      </w:r>
    </w:p>
    <w:p w14:paraId="62B69B19"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5.2.3</w:t>
      </w:r>
      <w:proofErr w:type="gramStart"/>
      <w:r>
        <w:rPr>
          <w:rFonts w:hAnsi="宋体" w:hint="eastAsia"/>
          <w:szCs w:val="24"/>
        </w:rPr>
        <w:t>若基金</w:t>
      </w:r>
      <w:proofErr w:type="gramEnd"/>
      <w:r>
        <w:rPr>
          <w:rFonts w:hAnsi="宋体" w:hint="eastAsia"/>
          <w:szCs w:val="24"/>
        </w:rPr>
        <w:t>募集期限届满，未能达到基金备案条件，由基金管理人按规定办理退款事宜，基金托管人应提供充分协助。</w:t>
      </w:r>
    </w:p>
    <w:p w14:paraId="1268ED3E"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5.3基金的银行账户的开立和管理</w:t>
      </w:r>
    </w:p>
    <w:p w14:paraId="5E623139"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5.3.1基金托管人以本基金的名义在其营业机构开立基金的银行账户，并根据基金管理人合法合</w:t>
      </w:r>
      <w:proofErr w:type="gramStart"/>
      <w:r>
        <w:rPr>
          <w:rFonts w:hAnsi="宋体" w:hint="eastAsia"/>
          <w:szCs w:val="24"/>
        </w:rPr>
        <w:t>规</w:t>
      </w:r>
      <w:proofErr w:type="gramEnd"/>
      <w:r>
        <w:rPr>
          <w:rFonts w:hAnsi="宋体" w:hint="eastAsia"/>
          <w:szCs w:val="24"/>
        </w:rPr>
        <w:t>的指令办理资金收付。本基金的银行预留印鉴由基金托管人刻制、保管和使用。</w:t>
      </w:r>
    </w:p>
    <w:p w14:paraId="78073F68"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5.3.2基金银行账户的开立和使用，限于满足开展本基金业务的需要。基金托管人和基金管理人不得假借本基金的名义开立任何其他银行账户；亦不得使用基金的任何账户进行本基金业务以外的活动。</w:t>
      </w:r>
    </w:p>
    <w:p w14:paraId="4918619B"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5.3.3基金银行账户的开立和管理应符合有关法律法规以及银行业监督管理机构的有关规定。</w:t>
      </w:r>
    </w:p>
    <w:p w14:paraId="476555A5"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5.4基金证券账户与证券交易资金账户的开设和管理</w:t>
      </w:r>
    </w:p>
    <w:p w14:paraId="159368B8" w14:textId="1EF9A41A" w:rsidR="00966B07" w:rsidRDefault="00792B83">
      <w:pPr>
        <w:pStyle w:val="20"/>
        <w:spacing w:before="0" w:after="0" w:line="520" w:lineRule="atLeast"/>
        <w:ind w:left="0" w:firstLineChars="200" w:firstLine="480"/>
        <w:rPr>
          <w:rFonts w:hAnsi="宋体"/>
          <w:szCs w:val="24"/>
        </w:rPr>
      </w:pPr>
      <w:r>
        <w:rPr>
          <w:rFonts w:hAnsi="宋体" w:hint="eastAsia"/>
          <w:szCs w:val="24"/>
        </w:rPr>
        <w:t>5.4.1基金托管人以基金托管人和本基金联名的方式在中国证券登记结算有限责任公司（以下简称“中登公司”）上海分公司/深圳分公司开设证券账户。</w:t>
      </w:r>
      <w:r w:rsidR="009A0F58" w:rsidRPr="00EC49B5">
        <w:rPr>
          <w:rFonts w:hAnsi="宋体" w:hint="eastAsia"/>
          <w:szCs w:val="24"/>
        </w:rPr>
        <w:t>基金证券账户的开立由基金托管人负责，账户资产的管理和运用由基金管理人负责。</w:t>
      </w:r>
    </w:p>
    <w:p w14:paraId="53252326"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5.4.2基金托管人以基金托管人的名义在中登公司上海分公司/深圳分公司开立基金证券交易资金账户，用于证券清算。</w:t>
      </w:r>
    </w:p>
    <w:p w14:paraId="52C24D82"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lastRenderedPageBreak/>
        <w:t>5.4.3基金证券账户与证券交易资金账户的开立和使用，限于满足开展本基金业务的需要。基金托管人和基金管理人不得出借和未经对方同意擅自转让基金的任何证券账户或证券交易资金账户；亦不得使用基金的任何账户进行本基金业务以外的活动。</w:t>
      </w:r>
    </w:p>
    <w:p w14:paraId="032452DD"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5.4.4基金证券账户与证券交易资金账户相关证明文件的保管由基金托管人负责，账户资产的管理和运用由基金管理人负责。</w:t>
      </w:r>
    </w:p>
    <w:p w14:paraId="238BAB93"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5.5债券托管账户的开立和管理</w:t>
      </w:r>
    </w:p>
    <w:p w14:paraId="4041DE3A"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5.5.1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账户，并由基金托管人负责基金的债券的后台匹配及资金的清算。</w:t>
      </w:r>
    </w:p>
    <w:p w14:paraId="39F72DEA"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5.5.2基金管理人和基金托管人应一起负责为基金对外签订全国银行间债券市场债券回购主协议，正本由基金托管人保管，基金管理人保存副本。</w:t>
      </w:r>
    </w:p>
    <w:p w14:paraId="27DC6D31"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5.6其他账户的开设和管理</w:t>
      </w:r>
    </w:p>
    <w:p w14:paraId="4E55B00A"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在本托管协议生效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484F5529"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5.7基金财产投资的有关实物证券、银行存款存单等有价凭证的保管</w:t>
      </w:r>
    </w:p>
    <w:p w14:paraId="2682E475"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基金财产投资的有关实物证券由基金托管人存放于基金托管人的保管库；其中实物证券也可存入中央国债登记结算有限责任公司、中登公司上海分公司/深圳分公司、银行间市场清算所股份有限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w:t>
      </w:r>
    </w:p>
    <w:p w14:paraId="068318D3"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5.8与基金财产有关的重大合同的保管</w:t>
      </w:r>
    </w:p>
    <w:p w14:paraId="6E5C1298" w14:textId="7851DB29" w:rsidR="00966B07" w:rsidRDefault="00792B83">
      <w:pPr>
        <w:pStyle w:val="20"/>
        <w:spacing w:before="0" w:after="0" w:line="520" w:lineRule="atLeast"/>
        <w:ind w:left="0" w:firstLineChars="200" w:firstLine="480"/>
        <w:rPr>
          <w:rFonts w:hAnsi="宋体"/>
          <w:szCs w:val="24"/>
        </w:rPr>
      </w:pPr>
      <w:r>
        <w:rPr>
          <w:rFonts w:hAnsi="宋体" w:hint="eastAsia"/>
          <w:szCs w:val="24"/>
        </w:rPr>
        <w:t>与基金财产有关的重大合同的签署，由基金管理人负责。由基金管理人代表基</w:t>
      </w:r>
      <w:r>
        <w:rPr>
          <w:rFonts w:hAnsi="宋体" w:hint="eastAsia"/>
          <w:szCs w:val="24"/>
        </w:rPr>
        <w:lastRenderedPageBreak/>
        <w:t>金签署的与基金有关的重大合同的原件分别应由基金托管人、基金管理人保管。基金管理人在代表基金签署与基金有关的重大合同时应尽可能保证基金一方持有两份以上的正本原件，以便基金管理人和基金托管人至少各持有一份正本的原件。基金管理人在合同签署后30个工作日内通过专人送达、挂号邮寄等安全方式将合同送达基金托管人处。合同应存放于基金管理人和基金托管人各自文件保管部门，保管期限不低于法律法规规定的最低期限。对于无法取得二份以上的正本的，基金管理人应向基金托管人提供加盖授权业务章的合同传真件，未经双方协商或未在合同约定范围内，合同原件不得转移，由基金管理人保管。</w:t>
      </w:r>
    </w:p>
    <w:p w14:paraId="5D42370B" w14:textId="77777777" w:rsidR="00966B07" w:rsidRDefault="00792B83">
      <w:pPr>
        <w:pStyle w:val="1"/>
        <w:spacing w:line="520" w:lineRule="atLeast"/>
        <w:ind w:firstLineChars="200" w:firstLine="482"/>
        <w:rPr>
          <w:bCs/>
          <w:color w:val="auto"/>
          <w:szCs w:val="24"/>
        </w:rPr>
      </w:pPr>
      <w:bookmarkStart w:id="23" w:name="_Toc296551342"/>
      <w:bookmarkStart w:id="24" w:name="_Toc63235223"/>
      <w:r>
        <w:rPr>
          <w:rFonts w:hint="eastAsia"/>
          <w:bCs/>
          <w:color w:val="auto"/>
          <w:szCs w:val="24"/>
        </w:rPr>
        <w:t>第六条 指令的发送、确认和执行</w:t>
      </w:r>
      <w:bookmarkEnd w:id="23"/>
      <w:bookmarkEnd w:id="24"/>
    </w:p>
    <w:p w14:paraId="50469B81"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6.1基金管理人对发送指令人员的书面授权</w:t>
      </w:r>
    </w:p>
    <w:p w14:paraId="3FC87D07" w14:textId="4816F1F4" w:rsidR="00966B07" w:rsidRDefault="00792B83">
      <w:pPr>
        <w:pStyle w:val="20"/>
        <w:spacing w:before="0" w:after="0" w:line="520" w:lineRule="atLeast"/>
        <w:ind w:left="0" w:firstLineChars="200" w:firstLine="480"/>
        <w:rPr>
          <w:rFonts w:hAnsi="宋体"/>
          <w:szCs w:val="24"/>
        </w:rPr>
      </w:pPr>
      <w:r>
        <w:rPr>
          <w:rFonts w:hAnsi="宋体" w:hint="eastAsia"/>
          <w:szCs w:val="24"/>
        </w:rPr>
        <w:t>基金管理人应事先向基金托管人提供书面授权通知（以下称“授权通知”），指定有权发送指令的人员（以下称“被授权人”）名单、预留印鉴和被授权人签章样本，注明相应的交易权限，并规定基金管理人向基金托管人发送指令时基金托管人确认被授权人身份的方法。授权通知应加盖基金管理人公章。基金管理人应使用传真方式或其他基金托管人和基金管理人书面确认过的方式向基金托管人发出授权通知，同时电话通知基金托管人。基金托管人在收到授权通知当日与基金管理人确认。基金管理人在收到基金托管人的确认之后，授权通知生效。基金管理人在此后3个工作日内将授权通知的正本送交基金托管人。授权通知正本内容应与基金托管人收到的传真内容</w:t>
      </w:r>
      <w:r>
        <w:rPr>
          <w:rFonts w:hAnsi="宋体"/>
          <w:szCs w:val="24"/>
        </w:rPr>
        <w:t>一致，若有</w:t>
      </w:r>
      <w:r>
        <w:rPr>
          <w:rFonts w:hAnsi="宋体" w:hint="eastAsia"/>
          <w:szCs w:val="24"/>
        </w:rPr>
        <w:t>不一致的，以基金托管人收到的传真为准。</w:t>
      </w:r>
    </w:p>
    <w:p w14:paraId="0971553B"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基金管理人和基金托管人对授权文件负有保密义务，其内容不得向被授权人及相关操作人员以外的任何人泄露，</w:t>
      </w:r>
      <w:r>
        <w:rPr>
          <w:rFonts w:asciiTheme="minorEastAsia" w:eastAsiaTheme="minorEastAsia" w:hAnsiTheme="minorEastAsia" w:hint="eastAsia"/>
          <w:szCs w:val="24"/>
        </w:rPr>
        <w:t>除本协议另有约定或</w:t>
      </w:r>
      <w:r>
        <w:rPr>
          <w:rFonts w:hAnsi="宋体"/>
          <w:szCs w:val="24"/>
        </w:rPr>
        <w:t>法律法规另有规定</w:t>
      </w:r>
      <w:r>
        <w:rPr>
          <w:rFonts w:hAnsi="宋体" w:hint="eastAsia"/>
          <w:szCs w:val="24"/>
        </w:rPr>
        <w:t>或</w:t>
      </w:r>
      <w:r>
        <w:rPr>
          <w:rFonts w:hAnsi="宋体"/>
          <w:szCs w:val="24"/>
        </w:rPr>
        <w:t>有权机关另有要求的除外</w:t>
      </w:r>
      <w:r>
        <w:rPr>
          <w:rFonts w:hAnsi="宋体" w:hint="eastAsia"/>
          <w:szCs w:val="24"/>
        </w:rPr>
        <w:t>。</w:t>
      </w:r>
    </w:p>
    <w:p w14:paraId="5BDF6A2F"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6.2指令的内容</w:t>
      </w:r>
    </w:p>
    <w:p w14:paraId="24F97E4B" w14:textId="17F6ECD0" w:rsidR="00966B07" w:rsidRDefault="00792B83">
      <w:pPr>
        <w:pStyle w:val="20"/>
        <w:spacing w:before="0" w:after="0" w:line="520" w:lineRule="atLeast"/>
        <w:ind w:left="0" w:firstLineChars="200" w:firstLine="480"/>
        <w:rPr>
          <w:rFonts w:hAnsi="宋体"/>
          <w:szCs w:val="24"/>
        </w:rPr>
      </w:pPr>
      <w:r>
        <w:rPr>
          <w:rFonts w:hAnsi="宋体" w:hint="eastAsia"/>
          <w:szCs w:val="24"/>
        </w:rPr>
        <w:t>指令是基金管理人在运用基金资产时，向基金托管人发出的资金划拨及其他款项收付的指令。基金管理人发给基金托管人的指令应写明款项事由、支付时间、到账时间、金额、账户等，加盖预留印鉴并由被授权人签字或盖章。</w:t>
      </w:r>
    </w:p>
    <w:p w14:paraId="126EC855"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6.3指令的发送、确认和执行的时间和程序</w:t>
      </w:r>
    </w:p>
    <w:p w14:paraId="3F082A7D" w14:textId="0AEB19E6" w:rsidR="00966B07" w:rsidRDefault="00792B83">
      <w:pPr>
        <w:pStyle w:val="20"/>
        <w:spacing w:before="0" w:after="0" w:line="520" w:lineRule="atLeast"/>
        <w:ind w:left="0" w:firstLineChars="200" w:firstLine="480"/>
        <w:rPr>
          <w:rFonts w:hAnsi="宋体"/>
          <w:szCs w:val="24"/>
        </w:rPr>
      </w:pPr>
      <w:r>
        <w:rPr>
          <w:rFonts w:hAnsi="宋体" w:hint="eastAsia"/>
          <w:szCs w:val="24"/>
        </w:rPr>
        <w:t>6.3.1指令由“授权通知”确定的被授权人代表基金管理人用传真的方式或其</w:t>
      </w:r>
      <w:r>
        <w:rPr>
          <w:rFonts w:hAnsi="宋体" w:hint="eastAsia"/>
          <w:szCs w:val="24"/>
        </w:rPr>
        <w:lastRenderedPageBreak/>
        <w:t>他基金托管人和基金管理人书面确认过的方式向基金托管人发送。基金管理人有义务在发送指令后及时与托管人进行确认，因基金管理人未能及时与基金托管人进行指令确认，致使资金未能及时到账所造成的损失，基金托管人不承担任何形式的责任。基金托管人依照“授权通知”规定的方法确认指令有效后，方可执行指令。对于被授权人发出的指令，基金管理人不得否认其效力。基金托管人正确执行基金管理人发送的有效指令，基金份额持有人或基金财产发生损失的，基金托管人不承担任何形式的责任。基金管理人应按照《基金法》、有关法律法规和基金合同的规定，在其合法的经营权限和交易权限内发送划款指令，被授权人应按照其授权权限发送划款指令。基金管理人在发送指令时，应为基金托管人留出2小时，作为执行指令所必需的时间。基金管理人应在交易日15:30前传真当日划款指令，如在15:30后传真的指令，托管人尽量执行但不保证一定完成支付。由基金管理</w:t>
      </w:r>
      <w:proofErr w:type="gramStart"/>
      <w:r>
        <w:rPr>
          <w:rFonts w:hAnsi="宋体" w:hint="eastAsia"/>
          <w:szCs w:val="24"/>
        </w:rPr>
        <w:t>人原因</w:t>
      </w:r>
      <w:proofErr w:type="gramEnd"/>
      <w:r>
        <w:rPr>
          <w:rFonts w:hAnsi="宋体" w:hint="eastAsia"/>
          <w:szCs w:val="24"/>
        </w:rPr>
        <w:t>造成的指令传输不及时、未能留出足够划款所需时间，基金托管人不承担资金未能及时到账所造成的损失。</w:t>
      </w:r>
    </w:p>
    <w:p w14:paraId="7E9FF4DC" w14:textId="721C8E6E" w:rsidR="00966B07" w:rsidRDefault="00792B83">
      <w:pPr>
        <w:pStyle w:val="20"/>
        <w:spacing w:before="0" w:after="0" w:line="520" w:lineRule="atLeast"/>
        <w:ind w:left="0" w:firstLineChars="200" w:firstLine="480"/>
        <w:rPr>
          <w:rFonts w:hAnsi="宋体"/>
          <w:szCs w:val="24"/>
        </w:rPr>
      </w:pPr>
      <w:r>
        <w:rPr>
          <w:rFonts w:hAnsi="宋体" w:hint="eastAsia"/>
          <w:szCs w:val="24"/>
        </w:rPr>
        <w:t>6.3.2</w:t>
      </w:r>
      <w:r>
        <w:rPr>
          <w:rFonts w:hAnsi="宋体" w:hint="eastAsia"/>
          <w:b/>
          <w:bCs/>
          <w:szCs w:val="24"/>
        </w:rPr>
        <w:t>基金托管人根据本协议相关约定仅履行表面一致形式审核职责，对指令的真实性不承担责任。</w:t>
      </w:r>
      <w:r>
        <w:rPr>
          <w:rFonts w:hAnsi="宋体" w:hint="eastAsia"/>
          <w:szCs w:val="24"/>
        </w:rPr>
        <w:t>如果基金管理人的指令存在事实上未经授权、欺诈、伪造、变造或未能及时提供授权通知等情形，基金托管人不承担因执行有关指令或拒绝执行有关指令而给基金管理人或基金财产或任何第三</w:t>
      </w:r>
      <w:proofErr w:type="gramStart"/>
      <w:r>
        <w:rPr>
          <w:rFonts w:hAnsi="宋体" w:hint="eastAsia"/>
          <w:szCs w:val="24"/>
        </w:rPr>
        <w:t>方带来</w:t>
      </w:r>
      <w:proofErr w:type="gramEnd"/>
      <w:r>
        <w:rPr>
          <w:rFonts w:hAnsi="宋体" w:hint="eastAsia"/>
          <w:szCs w:val="24"/>
        </w:rPr>
        <w:t>的损失，</w:t>
      </w:r>
      <w:r w:rsidR="00ED3F68">
        <w:rPr>
          <w:rFonts w:hAnsi="宋体" w:hint="eastAsia"/>
          <w:szCs w:val="24"/>
        </w:rPr>
        <w:t>相关责任由基金管理人承担，</w:t>
      </w:r>
      <w:r>
        <w:rPr>
          <w:rFonts w:hAnsi="宋体" w:hint="eastAsia"/>
          <w:szCs w:val="24"/>
        </w:rPr>
        <w:t>但基金托管人未按协议约定</w:t>
      </w:r>
      <w:proofErr w:type="gramStart"/>
      <w:r>
        <w:rPr>
          <w:rFonts w:hAnsi="宋体" w:hint="eastAsia"/>
          <w:szCs w:val="24"/>
        </w:rPr>
        <w:t>尽形式</w:t>
      </w:r>
      <w:proofErr w:type="gramEnd"/>
      <w:r>
        <w:rPr>
          <w:rFonts w:hAnsi="宋体" w:hint="eastAsia"/>
          <w:szCs w:val="24"/>
        </w:rPr>
        <w:t>审核义务执行指令而造成损失的情形除外。</w:t>
      </w:r>
    </w:p>
    <w:p w14:paraId="59819E72"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6.3.</w:t>
      </w:r>
      <w:r>
        <w:rPr>
          <w:rFonts w:hAnsi="宋体"/>
          <w:szCs w:val="24"/>
        </w:rPr>
        <w:t>3</w:t>
      </w:r>
      <w:r>
        <w:rPr>
          <w:rFonts w:hAnsi="宋体" w:hint="eastAsia"/>
          <w:szCs w:val="24"/>
        </w:rPr>
        <w:t>基金托管人不负责审查基金管理人发送指令同时提交的其他文件资料的合法性、真实性、完整性和有效性，基金管理人应保证上述文件资料合法、真实、完整和有效。如因基金管理人提供的上述文件不合法、不真实、不完整或失去效力而影响基金托管人的审核或给任何第三人带来损失，基金托管人不承担任何形式的责任。</w:t>
      </w:r>
    </w:p>
    <w:p w14:paraId="5CA86570" w14:textId="76E7B51C" w:rsidR="00966B07" w:rsidRDefault="00792B83">
      <w:pPr>
        <w:pStyle w:val="20"/>
        <w:spacing w:before="0" w:after="0" w:line="520" w:lineRule="atLeast"/>
        <w:ind w:left="0" w:firstLineChars="200" w:firstLine="480"/>
        <w:rPr>
          <w:rFonts w:hAnsi="宋体"/>
          <w:szCs w:val="24"/>
        </w:rPr>
      </w:pPr>
      <w:r>
        <w:rPr>
          <w:rFonts w:hAnsi="宋体" w:hint="eastAsia"/>
          <w:szCs w:val="24"/>
        </w:rPr>
        <w:t>6.3.</w:t>
      </w:r>
      <w:r>
        <w:rPr>
          <w:rFonts w:hAnsi="宋体"/>
          <w:szCs w:val="24"/>
        </w:rPr>
        <w:t>4</w:t>
      </w:r>
      <w:r>
        <w:rPr>
          <w:rFonts w:hAnsi="宋体" w:hint="eastAsia"/>
          <w:szCs w:val="24"/>
        </w:rPr>
        <w:t>基金托管人应指定专人接收基金管理人的指令，预先通知基金管理人其名单，并与基金管理人商定指令发送和接收方式。基金托管人收到基金管理人发送的指令后，应对指令进行表面形式审查，验证指令的要素是否齐全，传真</w:t>
      </w:r>
      <w:proofErr w:type="gramStart"/>
      <w:r>
        <w:rPr>
          <w:rFonts w:hAnsi="宋体" w:hint="eastAsia"/>
          <w:szCs w:val="24"/>
        </w:rPr>
        <w:t>指令仅</w:t>
      </w:r>
      <w:proofErr w:type="gramEnd"/>
      <w:r>
        <w:rPr>
          <w:rFonts w:hAnsi="宋体" w:hint="eastAsia"/>
          <w:szCs w:val="24"/>
        </w:rPr>
        <w:t>对划款指令的印鉴及被授权人签章等通过肉眼辨识的方式与预留印鉴和签章样本进</w:t>
      </w:r>
      <w:r>
        <w:rPr>
          <w:rFonts w:hAnsi="宋体" w:hint="eastAsia"/>
          <w:szCs w:val="24"/>
        </w:rPr>
        <w:lastRenderedPageBreak/>
        <w:t>行比对，形式上不存在重大差异的，即视为通过表面审查。基金管理人出具的划款指令中的编号不属于指令要素，属于基金管理人内部业务信息，基金托管人不对指令编号承担任何审核职责；基金管理人应确保其在划款指令中填写的内容真实、准确、完整，划款指令编号不存在重复。因划款指令编号重复、空缺导致的重复性扣款，所产生的责任由基金管理人承担，与基金托管人无关。指令复核无误后应在规定期限内及时执行。指令若以传真方式发出，则正本由基金管理人保管，基金托管人保管指令传真件。当两者不一致时，以基金托管人收到的指令传真件为准。</w:t>
      </w:r>
    </w:p>
    <w:p w14:paraId="4348545A"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6.3.</w:t>
      </w:r>
      <w:r>
        <w:rPr>
          <w:rFonts w:hAnsi="宋体"/>
          <w:szCs w:val="24"/>
        </w:rPr>
        <w:t>5</w:t>
      </w:r>
      <w:r>
        <w:rPr>
          <w:rFonts w:hAnsi="宋体" w:hint="eastAsia"/>
          <w:szCs w:val="24"/>
        </w:rPr>
        <w:t>基金管理人向基金托管人下达指令时，应确保基金银行账户有足够的资金余额，对基金管理人在没有充足资金的情况下向基金托管人发出的指令，基金托管人可不予执行，并立即通知基金管理人，基金托管人不承担因为不执行该指令而造成损失的责任。</w:t>
      </w:r>
    </w:p>
    <w:p w14:paraId="48D8D24B"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6.4基金管理人发送错误指令的情形和处理程序</w:t>
      </w:r>
    </w:p>
    <w:p w14:paraId="410859AB"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6.4.1基金管理人发送错误指令的情形包括指令违反相关法律法规或基金合同、指令发送人员无权或超越权限发送指令及交割信息错误，指令中重要信息模糊不清或不全等。</w:t>
      </w:r>
    </w:p>
    <w:p w14:paraId="7864C777"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6.4.2基金托管人在履行监督职能时，发现基金管理人的指令错误时，有权拒绝执行，并及时通知基金管理人改正。</w:t>
      </w:r>
    </w:p>
    <w:p w14:paraId="4D4511F9"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6.5基金托管人依照法律法规暂缓、拒绝执行指令的情形和处理程序</w:t>
      </w:r>
    </w:p>
    <w:p w14:paraId="6DCF4D1A"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基金托管人发现基金管理人发送的指令违反《基金法》、基金合同、本协议或有关基金法规的有关规定，有权视情况暂缓执行或不予执行，并应及时以书面形式通知基金管理人纠正，基金托管人不承担任何损失和责任。对基金管理人更正并重新发送后的指令经基金托管人核对确认后方能执行。</w:t>
      </w:r>
    </w:p>
    <w:p w14:paraId="44CDE1DF"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6.6基金托管人未按照基金管理人指令执行的处理方法</w:t>
      </w:r>
    </w:p>
    <w:p w14:paraId="295EF291"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基金托管人由于自身过错原因造成未按照或者未及时按照基金管理人发送的符合法律法规规定以及基金合同、本协议约定的指令执行，给基金份额持有人或</w:t>
      </w:r>
      <w:r>
        <w:rPr>
          <w:rFonts w:hAnsi="宋体"/>
          <w:szCs w:val="24"/>
        </w:rPr>
        <w:t>基金财产</w:t>
      </w:r>
      <w:r>
        <w:rPr>
          <w:rFonts w:hAnsi="宋体" w:hint="eastAsia"/>
          <w:szCs w:val="24"/>
        </w:rPr>
        <w:t>造成损失的，应承担相应的责任，但如遇到不可抗力的情况除外。</w:t>
      </w:r>
    </w:p>
    <w:p w14:paraId="3A8C7440"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6.7更换被授权人的程序</w:t>
      </w:r>
    </w:p>
    <w:p w14:paraId="39549158" w14:textId="7E47DDCA" w:rsidR="00966B07" w:rsidRDefault="00792B83">
      <w:pPr>
        <w:pStyle w:val="20"/>
        <w:spacing w:before="0" w:after="0" w:line="520" w:lineRule="atLeast"/>
        <w:ind w:left="0" w:firstLineChars="200" w:firstLine="480"/>
        <w:rPr>
          <w:rFonts w:hAnsi="宋体"/>
          <w:szCs w:val="24"/>
        </w:rPr>
      </w:pPr>
      <w:r>
        <w:rPr>
          <w:rFonts w:hAnsi="宋体" w:hint="eastAsia"/>
          <w:szCs w:val="24"/>
        </w:rPr>
        <w:t>基金管理人撤换被授权人或改变被授权人的权限，必须提前至少1个交易日，</w:t>
      </w:r>
      <w:r>
        <w:rPr>
          <w:rFonts w:hAnsi="宋体" w:hint="eastAsia"/>
          <w:szCs w:val="24"/>
        </w:rPr>
        <w:lastRenderedPageBreak/>
        <w:t>使用传真方式或其他基金托管人和基金管理人书面确认过的方式向基金托管人发出由基金管理人签字和盖章的被授权人变更通知，同时电话通知基金托管人，基金托管人收到变更通知当日与基金管理人确认。被授权人变更通知，自基金管理人收到基金托管人确认时开始生效。基金管理人在此后3个工作日内将被授权人变更通知的正本送交基金托管人。被授权人变更通知的正本应与传真或其他经双方书面确认方式收到的文件副本一致，若有不一致的，以基金托管人收到的副本为准。在被授权人变更通知生效之前，基金托管人所接收的原被授权人所签发的划款指令及其它文件仍然完全有效。基金管理人更换被授权人通知生效后，对于已被撤换的人员无权发送的指令，或被改变授权人员超权限发送的指令，基金管理人不承担责任。</w:t>
      </w:r>
    </w:p>
    <w:p w14:paraId="70B7E866" w14:textId="77777777" w:rsidR="00966B07" w:rsidRDefault="00792B83">
      <w:pPr>
        <w:pStyle w:val="1"/>
        <w:spacing w:line="520" w:lineRule="atLeast"/>
        <w:ind w:firstLineChars="200" w:firstLine="482"/>
        <w:rPr>
          <w:bCs/>
          <w:color w:val="auto"/>
          <w:szCs w:val="24"/>
        </w:rPr>
      </w:pPr>
      <w:bookmarkStart w:id="25" w:name="_Toc63235224"/>
      <w:r>
        <w:rPr>
          <w:rFonts w:hint="eastAsia"/>
          <w:bCs/>
          <w:color w:val="auto"/>
          <w:szCs w:val="24"/>
        </w:rPr>
        <w:t>第七条 交易及清算交收安排</w:t>
      </w:r>
      <w:bookmarkEnd w:id="25"/>
      <w:r>
        <w:rPr>
          <w:rFonts w:hint="eastAsia"/>
          <w:bCs/>
          <w:color w:val="auto"/>
          <w:szCs w:val="24"/>
        </w:rPr>
        <w:t xml:space="preserve"> </w:t>
      </w:r>
    </w:p>
    <w:p w14:paraId="5A5B72FC" w14:textId="75519BD3" w:rsidR="00966B07" w:rsidRDefault="00792B83">
      <w:pPr>
        <w:pStyle w:val="20"/>
        <w:spacing w:before="0" w:after="0" w:line="520" w:lineRule="atLeast"/>
        <w:rPr>
          <w:rFonts w:hAnsi="宋体"/>
          <w:szCs w:val="24"/>
        </w:rPr>
      </w:pPr>
      <w:r>
        <w:rPr>
          <w:rFonts w:hAnsi="宋体" w:hint="eastAsia"/>
          <w:szCs w:val="24"/>
        </w:rPr>
        <w:t>7.1选择代理证券买卖的证券经营机构</w:t>
      </w:r>
    </w:p>
    <w:p w14:paraId="015716FA" w14:textId="77777777" w:rsidR="00966B07" w:rsidRDefault="00792B83">
      <w:pPr>
        <w:pStyle w:val="20"/>
        <w:spacing w:before="0" w:after="0" w:line="520" w:lineRule="atLeast"/>
        <w:ind w:left="0"/>
        <w:rPr>
          <w:rFonts w:hAnsi="宋体"/>
          <w:szCs w:val="24"/>
        </w:rPr>
      </w:pPr>
      <w:r>
        <w:rPr>
          <w:rFonts w:hAnsi="宋体" w:hint="eastAsia"/>
          <w:szCs w:val="24"/>
        </w:rPr>
        <w:t xml:space="preserve">    7.1.1基金管理人应制</w:t>
      </w:r>
      <w:proofErr w:type="gramStart"/>
      <w:r>
        <w:rPr>
          <w:rFonts w:hAnsi="宋体" w:hint="eastAsia"/>
          <w:szCs w:val="24"/>
        </w:rPr>
        <w:t>定选择</w:t>
      </w:r>
      <w:proofErr w:type="gramEnd"/>
      <w:r>
        <w:rPr>
          <w:rFonts w:hAnsi="宋体" w:hint="eastAsia"/>
          <w:szCs w:val="24"/>
        </w:rPr>
        <w:t>代理证券买卖的证券经营机构的标准和程序。基金管理人负责选择代理本基金证券买卖的证券经营机构，使用其交易单元作为基金的专用交易单元。基金管理人和被选中的证券经营机构签订委托协议，由基金管理人提前通知基金托管人，并在法定信息披露公告中披露有关内容。交易单元保证金由被选中的证券经营机构支付。</w:t>
      </w:r>
    </w:p>
    <w:p w14:paraId="051917BE" w14:textId="77777777" w:rsidR="00966B07" w:rsidRDefault="00792B83">
      <w:pPr>
        <w:pStyle w:val="20"/>
        <w:spacing w:before="0" w:after="0" w:line="520" w:lineRule="atLeast"/>
        <w:ind w:left="0" w:firstLine="480"/>
        <w:rPr>
          <w:rFonts w:hAnsi="宋体"/>
          <w:szCs w:val="24"/>
        </w:rPr>
      </w:pPr>
      <w:r>
        <w:rPr>
          <w:rFonts w:hAnsi="宋体" w:hint="eastAsia"/>
          <w:szCs w:val="24"/>
        </w:rPr>
        <w:t>7.1.2基金管理人应及时将基金专用交易单元号、佣金费率等基本信息以及变更情况以书面形式通知基金托管人。</w:t>
      </w:r>
    </w:p>
    <w:p w14:paraId="433FEE35" w14:textId="77777777" w:rsidR="00966B07" w:rsidRDefault="00792B83">
      <w:pPr>
        <w:pStyle w:val="20"/>
        <w:spacing w:before="0" w:after="0" w:line="520" w:lineRule="atLeast"/>
        <w:rPr>
          <w:rFonts w:hAnsi="宋体"/>
          <w:szCs w:val="24"/>
        </w:rPr>
      </w:pPr>
      <w:r>
        <w:rPr>
          <w:rFonts w:hAnsi="宋体" w:hint="eastAsia"/>
          <w:szCs w:val="24"/>
        </w:rPr>
        <w:t>7.2清算与交割</w:t>
      </w:r>
    </w:p>
    <w:p w14:paraId="06A2366B" w14:textId="77777777" w:rsidR="00966B07" w:rsidRDefault="00792B83">
      <w:pPr>
        <w:pStyle w:val="20"/>
        <w:spacing w:before="0" w:after="0" w:line="520" w:lineRule="atLeast"/>
        <w:rPr>
          <w:rFonts w:hAnsi="宋体"/>
          <w:szCs w:val="24"/>
        </w:rPr>
      </w:pPr>
      <w:r>
        <w:rPr>
          <w:rFonts w:hAnsi="宋体" w:hint="eastAsia"/>
          <w:szCs w:val="24"/>
        </w:rPr>
        <w:t>7.2.1基金投资证券后的清算交收安排</w:t>
      </w:r>
    </w:p>
    <w:p w14:paraId="180E69DC" w14:textId="77777777" w:rsidR="00966B07" w:rsidRDefault="00792B83">
      <w:pPr>
        <w:pStyle w:val="20"/>
        <w:spacing w:before="0" w:after="0" w:line="520" w:lineRule="atLeast"/>
        <w:ind w:left="0"/>
        <w:rPr>
          <w:rFonts w:hAnsi="宋体"/>
          <w:szCs w:val="24"/>
        </w:rPr>
      </w:pPr>
      <w:r>
        <w:rPr>
          <w:rFonts w:hAnsi="宋体" w:hint="eastAsia"/>
          <w:szCs w:val="24"/>
        </w:rPr>
        <w:t xml:space="preserve">    基金管理人与基金托管人应根据有关法律法规及相关业务规则，签订《证券交易资金结算协议》，用以具体明确基金管理人与基金托管人在证券交易资金结算业务中的责任。</w:t>
      </w:r>
    </w:p>
    <w:p w14:paraId="7BFFDF3B" w14:textId="77777777" w:rsidR="00966B07" w:rsidRDefault="00792B83">
      <w:pPr>
        <w:pStyle w:val="20"/>
        <w:spacing w:before="0" w:after="0" w:line="520" w:lineRule="atLeast"/>
        <w:ind w:left="0"/>
        <w:rPr>
          <w:rFonts w:hAnsi="宋体"/>
          <w:szCs w:val="24"/>
        </w:rPr>
      </w:pPr>
      <w:r>
        <w:rPr>
          <w:rFonts w:hAnsi="宋体" w:hint="eastAsia"/>
          <w:szCs w:val="24"/>
        </w:rPr>
        <w:t xml:space="preserve">    对基金管理人的资金划拨指令，基金托管人在复核无误后应在规定期限内执行并在执行完毕后回函确认，不得无故延误。</w:t>
      </w:r>
    </w:p>
    <w:p w14:paraId="2223D11F" w14:textId="77777777" w:rsidR="00966B07" w:rsidRDefault="00792B83">
      <w:pPr>
        <w:pStyle w:val="20"/>
        <w:spacing w:before="0" w:after="0" w:line="520" w:lineRule="atLeast"/>
        <w:ind w:left="0" w:firstLine="480"/>
        <w:rPr>
          <w:rFonts w:hAnsi="宋体"/>
          <w:szCs w:val="24"/>
        </w:rPr>
      </w:pPr>
      <w:r>
        <w:rPr>
          <w:rFonts w:hAnsi="宋体" w:hint="eastAsia"/>
          <w:szCs w:val="24"/>
        </w:rPr>
        <w:t>本基金投资于证券发生的所有场内、场外交易的资金清算交割，全部由基金托管人负责办理。</w:t>
      </w:r>
    </w:p>
    <w:p w14:paraId="531A614F" w14:textId="77777777" w:rsidR="00966B07" w:rsidRDefault="00792B83">
      <w:pPr>
        <w:pStyle w:val="20"/>
        <w:spacing w:before="0" w:after="0" w:line="520" w:lineRule="atLeast"/>
        <w:ind w:left="0" w:firstLine="480"/>
        <w:rPr>
          <w:rFonts w:hAnsi="宋体"/>
          <w:szCs w:val="24"/>
        </w:rPr>
      </w:pPr>
      <w:r>
        <w:rPr>
          <w:rFonts w:hAnsi="宋体" w:hint="eastAsia"/>
          <w:szCs w:val="24"/>
        </w:rPr>
        <w:t>本基金证券投资的清算交割，由基金托管人通过中登公司上海分公司/深圳分</w:t>
      </w:r>
      <w:r>
        <w:rPr>
          <w:rFonts w:hAnsi="宋体" w:hint="eastAsia"/>
          <w:szCs w:val="24"/>
        </w:rPr>
        <w:lastRenderedPageBreak/>
        <w:t>公司及清算代理银行办理。</w:t>
      </w:r>
    </w:p>
    <w:p w14:paraId="361405BE" w14:textId="77777777" w:rsidR="00966B07" w:rsidRDefault="00792B83">
      <w:pPr>
        <w:pStyle w:val="20"/>
        <w:spacing w:before="0" w:after="0" w:line="520" w:lineRule="atLeast"/>
        <w:ind w:left="0" w:firstLine="480"/>
        <w:rPr>
          <w:rFonts w:hAnsi="宋体"/>
          <w:szCs w:val="24"/>
        </w:rPr>
      </w:pPr>
      <w:r>
        <w:rPr>
          <w:rFonts w:hAnsi="宋体" w:hint="eastAsia"/>
          <w:szCs w:val="24"/>
        </w:rPr>
        <w:t>交易及清算交收安排中管理人应为托管人预留2个小时的指令处理时间，当日15:00之后收到的指令，托管人尽力负责但不承诺指令支付成功。如果因基金托管人过错原因在清算和交收中造成基金财产的损失，应由基金托管人负责赔偿基金的损失；如果因为基金管理人违反法律法规的规定进行证券投资或违反双方签订的《证券交易资金结算协议》而造成基金投资清算困难和风险的，基金托管人发现后应立即通知基金管理人，由基金管理人负责解决，由此给基金造成的损失由基金管理人承担。</w:t>
      </w:r>
    </w:p>
    <w:p w14:paraId="10A68AEA" w14:textId="77777777" w:rsidR="00966B07" w:rsidRDefault="00792B83">
      <w:pPr>
        <w:pStyle w:val="20"/>
        <w:spacing w:before="0" w:after="0" w:line="520" w:lineRule="atLeast"/>
        <w:rPr>
          <w:rFonts w:hAnsi="宋体"/>
          <w:szCs w:val="24"/>
        </w:rPr>
      </w:pPr>
      <w:r>
        <w:rPr>
          <w:rFonts w:hAnsi="宋体" w:hint="eastAsia"/>
          <w:szCs w:val="24"/>
        </w:rPr>
        <w:t>7.2.2基金出现超买或超卖的责任认定及处理程序</w:t>
      </w:r>
    </w:p>
    <w:p w14:paraId="602BE0CA" w14:textId="77777777" w:rsidR="00966B07" w:rsidRDefault="00792B83">
      <w:pPr>
        <w:pStyle w:val="20"/>
        <w:spacing w:before="0" w:after="0" w:line="520" w:lineRule="atLeast"/>
        <w:ind w:left="0"/>
        <w:rPr>
          <w:rFonts w:hAnsi="宋体"/>
          <w:szCs w:val="24"/>
        </w:rPr>
      </w:pPr>
      <w:r>
        <w:rPr>
          <w:rFonts w:hAnsi="宋体" w:hint="eastAsia"/>
          <w:szCs w:val="24"/>
        </w:rPr>
        <w:t xml:space="preserve">    基金托管人在履行监督职能时，如果发现基金投资证券过程中出现超买或超卖现象，应立即提醒基金管理人，由基金管理人负责解决，由此给基金造成的损失由基金管理人承担。</w:t>
      </w:r>
    </w:p>
    <w:p w14:paraId="0E5B7E8D" w14:textId="77777777" w:rsidR="00966B07" w:rsidRDefault="00792B83">
      <w:pPr>
        <w:pStyle w:val="20"/>
        <w:spacing w:before="0" w:after="0" w:line="520" w:lineRule="atLeast"/>
        <w:rPr>
          <w:rFonts w:hAnsi="宋体"/>
          <w:szCs w:val="24"/>
        </w:rPr>
      </w:pPr>
      <w:r>
        <w:rPr>
          <w:rFonts w:hAnsi="宋体" w:hint="eastAsia"/>
          <w:szCs w:val="24"/>
        </w:rPr>
        <w:t>7.2.3基金无法按时支付证券清算款的责任认定及处理程序</w:t>
      </w:r>
    </w:p>
    <w:p w14:paraId="6712A08A" w14:textId="77777777" w:rsidR="00966B07" w:rsidRDefault="00792B83">
      <w:pPr>
        <w:pStyle w:val="20"/>
        <w:spacing w:before="0" w:after="0" w:line="520" w:lineRule="atLeast"/>
        <w:ind w:left="0"/>
        <w:rPr>
          <w:rFonts w:hAnsi="宋体"/>
          <w:szCs w:val="24"/>
        </w:rPr>
      </w:pPr>
      <w:r>
        <w:rPr>
          <w:rFonts w:hAnsi="宋体" w:hint="eastAsia"/>
          <w:szCs w:val="24"/>
        </w:rPr>
        <w:t xml:space="preserve">    基金管理人应确保基金托管人在执行基金管理人发送的指令时，有足够的头寸进行交收。基金的资金头寸不足时，基金托管人有权拒绝基金管理人发送的划款指令，并立即通知基金管理人。基金管理人在发送划款指令时应充分考虑基金托管人的划款处理所需的合理时间。如由于基金管理人的原因导致无法按时支付证券清算款，由此给基金造成的损失由基金管理人承担。</w:t>
      </w:r>
    </w:p>
    <w:p w14:paraId="50A5CC9C" w14:textId="77777777" w:rsidR="00966B07" w:rsidRDefault="00792B83">
      <w:pPr>
        <w:pStyle w:val="20"/>
        <w:spacing w:before="0" w:after="0" w:line="520" w:lineRule="atLeast"/>
        <w:ind w:left="0" w:firstLine="480"/>
        <w:rPr>
          <w:rFonts w:hAnsi="宋体"/>
          <w:szCs w:val="24"/>
        </w:rPr>
      </w:pPr>
      <w:r>
        <w:rPr>
          <w:rFonts w:hAnsi="宋体" w:hint="eastAsia"/>
          <w:szCs w:val="24"/>
        </w:rPr>
        <w:t>在基金资金头寸充足的情况下，基金托管人对基金管理人符合法律法规、基金合同、本托管协议的指令不得拖延或拒绝执行。如由于基金托管人的过错原因导致基金无法按时支付证券清算款，由此给基金财产、基金管理人造成的损失由基金托管人承担。</w:t>
      </w:r>
    </w:p>
    <w:p w14:paraId="03A76DE4" w14:textId="77777777" w:rsidR="00966B07" w:rsidRDefault="00792B83">
      <w:pPr>
        <w:pStyle w:val="20"/>
        <w:spacing w:line="520" w:lineRule="atLeast"/>
        <w:ind w:left="0" w:firstLineChars="200" w:firstLine="480"/>
        <w:rPr>
          <w:rFonts w:hAnsi="宋体"/>
          <w:szCs w:val="24"/>
        </w:rPr>
      </w:pPr>
      <w:r>
        <w:rPr>
          <w:rFonts w:hAnsi="宋体" w:hint="eastAsia"/>
          <w:szCs w:val="24"/>
        </w:rPr>
        <w:t>7.2.4场外交易资金结算</w:t>
      </w:r>
    </w:p>
    <w:p w14:paraId="492F88E9" w14:textId="77777777" w:rsidR="00966B07" w:rsidRDefault="00792B83">
      <w:pPr>
        <w:pStyle w:val="20"/>
        <w:spacing w:before="0" w:after="0" w:line="520" w:lineRule="atLeast"/>
        <w:ind w:left="0" w:firstLine="480"/>
        <w:rPr>
          <w:rFonts w:hAnsi="宋体"/>
          <w:szCs w:val="24"/>
        </w:rPr>
      </w:pPr>
      <w:r>
        <w:rPr>
          <w:rFonts w:hAnsi="宋体" w:hint="eastAsia"/>
          <w:szCs w:val="24"/>
        </w:rPr>
        <w:t>场外资金对外投资划款由基金托管人</w:t>
      </w:r>
      <w:proofErr w:type="gramStart"/>
      <w:r>
        <w:rPr>
          <w:rFonts w:hAnsi="宋体" w:hint="eastAsia"/>
          <w:szCs w:val="24"/>
        </w:rPr>
        <w:t>凭基金</w:t>
      </w:r>
      <w:proofErr w:type="gramEnd"/>
      <w:r>
        <w:rPr>
          <w:rFonts w:hAnsi="宋体" w:hint="eastAsia"/>
          <w:szCs w:val="24"/>
        </w:rPr>
        <w:t>管理人符合本托管协议约定的有效资金划拨指令和相关投资合同（如有）进行资金划拨；</w:t>
      </w:r>
      <w:proofErr w:type="gramStart"/>
      <w:r>
        <w:rPr>
          <w:rFonts w:hAnsi="宋体" w:hint="eastAsia"/>
          <w:szCs w:val="24"/>
        </w:rPr>
        <w:t>场外投资</w:t>
      </w:r>
      <w:proofErr w:type="gramEnd"/>
      <w:r>
        <w:rPr>
          <w:rFonts w:hAnsi="宋体" w:hint="eastAsia"/>
          <w:szCs w:val="24"/>
        </w:rPr>
        <w:t>本金及收益的划回，由管理人负责协调相关资金</w:t>
      </w:r>
      <w:proofErr w:type="gramStart"/>
      <w:r>
        <w:rPr>
          <w:rFonts w:hAnsi="宋体" w:hint="eastAsia"/>
          <w:szCs w:val="24"/>
        </w:rPr>
        <w:t>划拨回产品托管户</w:t>
      </w:r>
      <w:proofErr w:type="gramEnd"/>
      <w:r>
        <w:rPr>
          <w:rFonts w:hAnsi="宋体" w:hint="eastAsia"/>
          <w:szCs w:val="24"/>
        </w:rPr>
        <w:t>事宜。</w:t>
      </w:r>
    </w:p>
    <w:p w14:paraId="3FA43E9E" w14:textId="77777777" w:rsidR="00966B07" w:rsidRDefault="00792B83">
      <w:pPr>
        <w:pStyle w:val="20"/>
        <w:spacing w:before="0" w:after="0" w:line="520" w:lineRule="atLeast"/>
        <w:rPr>
          <w:rFonts w:hAnsi="宋体"/>
          <w:szCs w:val="24"/>
        </w:rPr>
      </w:pPr>
      <w:r>
        <w:rPr>
          <w:rFonts w:hAnsi="宋体" w:hint="eastAsia"/>
          <w:szCs w:val="24"/>
        </w:rPr>
        <w:t>7.3资金、证券账目及交易记录的核对</w:t>
      </w:r>
    </w:p>
    <w:p w14:paraId="1B03036D" w14:textId="349F047E" w:rsidR="00966B07" w:rsidRDefault="00792B83">
      <w:pPr>
        <w:pStyle w:val="20"/>
        <w:spacing w:before="0" w:after="0" w:line="520" w:lineRule="atLeast"/>
        <w:ind w:left="0"/>
        <w:rPr>
          <w:rFonts w:hAnsi="宋体"/>
          <w:szCs w:val="24"/>
        </w:rPr>
      </w:pPr>
      <w:r>
        <w:rPr>
          <w:rFonts w:hAnsi="宋体" w:hint="eastAsia"/>
          <w:szCs w:val="24"/>
        </w:rPr>
        <w:t xml:space="preserve">    7.3.1基金管理人与基金托管人按日进行交易记录的核对。对外披露基金份额</w:t>
      </w:r>
      <w:r>
        <w:rPr>
          <w:rFonts w:hAnsi="宋体" w:hint="eastAsia"/>
          <w:szCs w:val="24"/>
        </w:rPr>
        <w:lastRenderedPageBreak/>
        <w:t>净值之前，必须保证当天所有实际交易记录与基金会计账簿上的交易记录完全一致。如果实际交易记录与会计账簿记录不一致，造成基金会计核算不完整或不真实，由此导致的损失由责任方承担。</w:t>
      </w:r>
    </w:p>
    <w:p w14:paraId="5DA71FC6" w14:textId="77777777" w:rsidR="00966B07" w:rsidRDefault="00792B83">
      <w:pPr>
        <w:pStyle w:val="20"/>
        <w:spacing w:before="0" w:after="0" w:line="520" w:lineRule="atLeast"/>
        <w:ind w:left="0"/>
        <w:rPr>
          <w:rFonts w:hAnsi="宋体"/>
          <w:szCs w:val="24"/>
        </w:rPr>
      </w:pPr>
      <w:r>
        <w:rPr>
          <w:rFonts w:hAnsi="宋体" w:hint="eastAsia"/>
          <w:szCs w:val="24"/>
        </w:rPr>
        <w:t xml:space="preserve">    7.3.2对基金的资金账目，由相关各方每日对账一次，确保相关各方账</w:t>
      </w:r>
      <w:proofErr w:type="gramStart"/>
      <w:r>
        <w:rPr>
          <w:rFonts w:hAnsi="宋体" w:hint="eastAsia"/>
          <w:szCs w:val="24"/>
        </w:rPr>
        <w:t>账</w:t>
      </w:r>
      <w:proofErr w:type="gramEnd"/>
      <w:r>
        <w:rPr>
          <w:rFonts w:hAnsi="宋体" w:hint="eastAsia"/>
          <w:szCs w:val="24"/>
        </w:rPr>
        <w:t>相符。对基金证券账目，由相关各方每日进行对账。对实物</w:t>
      </w:r>
      <w:proofErr w:type="gramStart"/>
      <w:r>
        <w:rPr>
          <w:rFonts w:hAnsi="宋体" w:hint="eastAsia"/>
          <w:szCs w:val="24"/>
        </w:rPr>
        <w:t>券</w:t>
      </w:r>
      <w:proofErr w:type="gramEnd"/>
      <w:r>
        <w:rPr>
          <w:rFonts w:hAnsi="宋体" w:hint="eastAsia"/>
          <w:szCs w:val="24"/>
        </w:rPr>
        <w:t>账目，每月月末由相关各方进行账实核对。对交易记录，由相关各方每日对账一次。</w:t>
      </w:r>
    </w:p>
    <w:p w14:paraId="6F7ACB17" w14:textId="77777777" w:rsidR="00966B07" w:rsidRDefault="00792B83">
      <w:pPr>
        <w:pStyle w:val="20"/>
        <w:spacing w:before="0" w:after="0" w:line="520" w:lineRule="atLeast"/>
        <w:ind w:left="0"/>
        <w:rPr>
          <w:rFonts w:hAnsi="宋体"/>
          <w:szCs w:val="24"/>
        </w:rPr>
      </w:pPr>
      <w:r>
        <w:rPr>
          <w:rFonts w:hAnsi="宋体" w:hint="eastAsia"/>
          <w:szCs w:val="24"/>
        </w:rPr>
        <w:t xml:space="preserve">    7.4申购、赎回、转换开放式基金的资金清算、数据传递及基金管理人、基金托管人的责任</w:t>
      </w:r>
    </w:p>
    <w:p w14:paraId="54CE1B3A" w14:textId="77777777" w:rsidR="00966B07" w:rsidRDefault="00792B83">
      <w:pPr>
        <w:pStyle w:val="20"/>
        <w:spacing w:before="0" w:after="0" w:line="520" w:lineRule="atLeast"/>
        <w:ind w:left="0"/>
        <w:rPr>
          <w:rFonts w:hAnsi="宋体"/>
          <w:szCs w:val="24"/>
        </w:rPr>
      </w:pPr>
      <w:r>
        <w:rPr>
          <w:rFonts w:hAnsi="宋体" w:hint="eastAsia"/>
          <w:szCs w:val="24"/>
        </w:rPr>
        <w:t xml:space="preserve">    7.4.1基金管理人和基金托管人在基金的申购赎回、转换中的责任</w:t>
      </w:r>
    </w:p>
    <w:p w14:paraId="01F7733D" w14:textId="77777777" w:rsidR="00966B07" w:rsidRDefault="00792B83">
      <w:pPr>
        <w:pStyle w:val="20"/>
        <w:spacing w:before="0" w:after="0" w:line="520" w:lineRule="atLeast"/>
        <w:ind w:left="0"/>
        <w:rPr>
          <w:rFonts w:hAnsi="宋体"/>
          <w:szCs w:val="24"/>
        </w:rPr>
      </w:pPr>
      <w:r>
        <w:rPr>
          <w:rFonts w:hAnsi="宋体" w:hint="eastAsia"/>
          <w:szCs w:val="24"/>
        </w:rPr>
        <w:t xml:space="preserve">    基金投资人可通过基金管理人的直销中心和销售机构的代销网点进行申购和赎回申请，基金份额申购、赎回的确认、清算由基金管理人或其委托的登记机构负责。基金托管人负责接收并确认资金的到账情况，以及依照基金管理人的投资指令划付赎回款项。</w:t>
      </w:r>
    </w:p>
    <w:p w14:paraId="0D0CA59C" w14:textId="77777777" w:rsidR="00966B07" w:rsidRDefault="00792B83">
      <w:pPr>
        <w:pStyle w:val="20"/>
        <w:spacing w:before="0" w:after="0" w:line="520" w:lineRule="atLeast"/>
        <w:rPr>
          <w:rFonts w:hAnsi="宋体"/>
          <w:szCs w:val="24"/>
        </w:rPr>
      </w:pPr>
      <w:r>
        <w:rPr>
          <w:rFonts w:hAnsi="宋体" w:hint="eastAsia"/>
          <w:szCs w:val="24"/>
        </w:rPr>
        <w:t>7.4.2基金的数据传递</w:t>
      </w:r>
    </w:p>
    <w:p w14:paraId="3939F8DD" w14:textId="77777777" w:rsidR="00966B07" w:rsidRDefault="00792B83">
      <w:pPr>
        <w:pStyle w:val="20"/>
        <w:spacing w:before="0" w:after="0" w:line="520" w:lineRule="atLeast"/>
        <w:ind w:left="0"/>
        <w:rPr>
          <w:rFonts w:hAnsi="宋体"/>
          <w:szCs w:val="24"/>
        </w:rPr>
      </w:pPr>
      <w:r>
        <w:rPr>
          <w:rFonts w:hAnsi="宋体" w:hint="eastAsia"/>
          <w:szCs w:val="24"/>
        </w:rPr>
        <w:t xml:space="preserve">    基金管理人应保证本基金（或本基金管理人委托）的登记机构于每个开放日15：00之前将本基金的申购、赎回、转换的数据传送给基金托管人。基金管理人应对传递的数据的真实性、准确性和完整性负责。</w:t>
      </w:r>
    </w:p>
    <w:p w14:paraId="000D00AF" w14:textId="77777777" w:rsidR="00966B07" w:rsidRDefault="00792B83">
      <w:pPr>
        <w:pStyle w:val="20"/>
        <w:spacing w:before="0" w:after="0" w:line="520" w:lineRule="atLeast"/>
        <w:ind w:left="0"/>
        <w:rPr>
          <w:rFonts w:hAnsi="宋体"/>
          <w:szCs w:val="24"/>
        </w:rPr>
      </w:pPr>
      <w:r>
        <w:rPr>
          <w:rFonts w:hAnsi="宋体" w:hint="eastAsia"/>
          <w:szCs w:val="24"/>
        </w:rPr>
        <w:t xml:space="preserve">    登记机构应通过与基金管理人建立的系统发送有关数据，如因各种原因，该系统无法正常发送，双方可协商解决处理方式。</w:t>
      </w:r>
    </w:p>
    <w:p w14:paraId="0DDFEBEE" w14:textId="77777777" w:rsidR="00966B07" w:rsidRDefault="00792B83">
      <w:pPr>
        <w:pStyle w:val="20"/>
        <w:spacing w:before="0" w:after="0" w:line="520" w:lineRule="atLeast"/>
        <w:rPr>
          <w:rFonts w:hAnsi="宋体"/>
          <w:szCs w:val="24"/>
        </w:rPr>
      </w:pPr>
      <w:r>
        <w:rPr>
          <w:rFonts w:hAnsi="宋体" w:hint="eastAsia"/>
          <w:szCs w:val="24"/>
        </w:rPr>
        <w:t>7.4.3基金的资金清算</w:t>
      </w:r>
    </w:p>
    <w:p w14:paraId="626ABF56" w14:textId="77777777" w:rsidR="00966B07" w:rsidRDefault="00792B83">
      <w:pPr>
        <w:pStyle w:val="20"/>
        <w:spacing w:before="0" w:after="0" w:line="520" w:lineRule="atLeast"/>
        <w:ind w:left="0"/>
        <w:rPr>
          <w:rFonts w:hAnsi="宋体"/>
          <w:szCs w:val="24"/>
        </w:rPr>
      </w:pPr>
      <w:r>
        <w:rPr>
          <w:rFonts w:hAnsi="宋体" w:hint="eastAsia"/>
          <w:szCs w:val="24"/>
        </w:rPr>
        <w:t xml:space="preserve">    基金托管专户与“基金清算账户”间的资金结算遵循“全额清算、净额交收”的原则，每日按照托管专户应收资金与应付资金的差额来确定托管</w:t>
      </w:r>
      <w:proofErr w:type="gramStart"/>
      <w:r>
        <w:rPr>
          <w:rFonts w:hAnsi="宋体" w:hint="eastAsia"/>
          <w:szCs w:val="24"/>
        </w:rPr>
        <w:t>专户净应收</w:t>
      </w:r>
      <w:proofErr w:type="gramEnd"/>
      <w:r>
        <w:rPr>
          <w:rFonts w:hAnsi="宋体" w:hint="eastAsia"/>
          <w:szCs w:val="24"/>
        </w:rPr>
        <w:t>额或净应付额，以此确定资金交收额。</w:t>
      </w:r>
    </w:p>
    <w:p w14:paraId="343B1E61"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如果当日基金为净应收款，基金托管人应在</w:t>
      </w:r>
      <w:proofErr w:type="gramStart"/>
      <w:r>
        <w:rPr>
          <w:rFonts w:hAnsi="宋体" w:hint="eastAsia"/>
          <w:szCs w:val="24"/>
        </w:rPr>
        <w:t>交收日</w:t>
      </w:r>
      <w:proofErr w:type="gramEnd"/>
      <w:r>
        <w:rPr>
          <w:rFonts w:hAnsi="宋体" w:hint="eastAsia"/>
          <w:szCs w:val="24"/>
        </w:rPr>
        <w:t>15:00之前查收资金是否到账，对于未准时到账的资金，基金托管人应及时通知基金管理人划付。如果当日基金为净应付款，基金托管人应根据基金管理人的指令在</w:t>
      </w:r>
      <w:proofErr w:type="gramStart"/>
      <w:r>
        <w:rPr>
          <w:rFonts w:hAnsi="宋体" w:hint="eastAsia"/>
          <w:szCs w:val="24"/>
        </w:rPr>
        <w:t>交收日中午</w:t>
      </w:r>
      <w:proofErr w:type="gramEnd"/>
      <w:r>
        <w:rPr>
          <w:rFonts w:hAnsi="宋体" w:hint="eastAsia"/>
          <w:szCs w:val="24"/>
        </w:rPr>
        <w:t>12:00前进行划付，对于未准时划付的资金，基金管理人应及时通知基金托管人划付。因基金托管专户没有足够的资金，导致基金托管人不能按时拨付，基金托管人应及时通知基金</w:t>
      </w:r>
      <w:r>
        <w:rPr>
          <w:rFonts w:hAnsi="宋体" w:hint="eastAsia"/>
          <w:szCs w:val="24"/>
        </w:rPr>
        <w:lastRenderedPageBreak/>
        <w:t>管理人。</w:t>
      </w:r>
    </w:p>
    <w:p w14:paraId="5B093239" w14:textId="77777777" w:rsidR="00966B07" w:rsidRDefault="00792B83">
      <w:pPr>
        <w:pStyle w:val="1"/>
        <w:spacing w:line="520" w:lineRule="atLeast"/>
        <w:ind w:firstLineChars="200" w:firstLine="482"/>
        <w:rPr>
          <w:bCs/>
          <w:color w:val="auto"/>
          <w:szCs w:val="24"/>
        </w:rPr>
      </w:pPr>
      <w:bookmarkStart w:id="26" w:name="_Toc63235225"/>
      <w:bookmarkStart w:id="27" w:name="_Toc296551344"/>
      <w:r>
        <w:rPr>
          <w:rFonts w:hint="eastAsia"/>
          <w:bCs/>
          <w:color w:val="auto"/>
          <w:szCs w:val="24"/>
        </w:rPr>
        <w:t>第八条 基金净值计算和会计核算</w:t>
      </w:r>
      <w:bookmarkEnd w:id="26"/>
      <w:bookmarkEnd w:id="27"/>
    </w:p>
    <w:p w14:paraId="331A88ED"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8.1基金净值的计算、复核的时间和程序</w:t>
      </w:r>
    </w:p>
    <w:p w14:paraId="1C03BB26" w14:textId="488704E9" w:rsidR="00966B07" w:rsidRDefault="00792B83">
      <w:pPr>
        <w:pStyle w:val="20"/>
        <w:spacing w:before="0" w:after="0" w:line="520" w:lineRule="atLeast"/>
        <w:ind w:left="0" w:firstLineChars="200" w:firstLine="480"/>
        <w:rPr>
          <w:rFonts w:hAnsi="宋体"/>
          <w:szCs w:val="24"/>
        </w:rPr>
      </w:pPr>
      <w:r>
        <w:rPr>
          <w:rFonts w:hAnsi="宋体" w:hint="eastAsia"/>
          <w:szCs w:val="24"/>
        </w:rPr>
        <w:t>8.1.1基金</w:t>
      </w:r>
      <w:r>
        <w:rPr>
          <w:rFonts w:hAnsi="宋体"/>
          <w:szCs w:val="24"/>
        </w:rPr>
        <w:t>净值包括基金资产净值</w:t>
      </w:r>
      <w:r>
        <w:rPr>
          <w:rFonts w:hAnsi="宋体" w:hint="eastAsia"/>
          <w:szCs w:val="24"/>
        </w:rPr>
        <w:t>、基金</w:t>
      </w:r>
      <w:r>
        <w:rPr>
          <w:rFonts w:hAnsi="宋体"/>
          <w:szCs w:val="24"/>
        </w:rPr>
        <w:t>份额净值、基金</w:t>
      </w:r>
      <w:r>
        <w:rPr>
          <w:rFonts w:hAnsi="宋体" w:hint="eastAsia"/>
          <w:szCs w:val="24"/>
        </w:rPr>
        <w:t>份额</w:t>
      </w:r>
      <w:r>
        <w:rPr>
          <w:rFonts w:hAnsi="宋体"/>
          <w:szCs w:val="24"/>
        </w:rPr>
        <w:t>累计净值。</w:t>
      </w:r>
      <w:r>
        <w:rPr>
          <w:rFonts w:hAnsi="宋体" w:hint="eastAsia"/>
          <w:szCs w:val="24"/>
        </w:rPr>
        <w:t>基金资产净值是指基金资产总值减去基金负债后的价值。基金份额净值是指计算日基金资产净值除以该计算日基金份额总份额后的数值。基金</w:t>
      </w:r>
      <w:r>
        <w:rPr>
          <w:rFonts w:hAnsi="宋体"/>
          <w:szCs w:val="24"/>
        </w:rPr>
        <w:t>份额</w:t>
      </w:r>
      <w:r>
        <w:rPr>
          <w:rFonts w:hAnsi="宋体" w:hint="eastAsia"/>
          <w:szCs w:val="24"/>
        </w:rPr>
        <w:t>累计净值是指基金份额净值与基金历来分红累计金额之</w:t>
      </w:r>
      <w:proofErr w:type="gramStart"/>
      <w:r>
        <w:rPr>
          <w:rFonts w:hAnsi="宋体" w:hint="eastAsia"/>
          <w:szCs w:val="24"/>
        </w:rPr>
        <w:t>和</w:t>
      </w:r>
      <w:proofErr w:type="gramEnd"/>
      <w:r>
        <w:rPr>
          <w:rFonts w:hAnsi="宋体" w:hint="eastAsia"/>
          <w:szCs w:val="24"/>
        </w:rPr>
        <w:t>。基金净值的计算保留到小数点后4位，小数点后第5位四舍五入，由此产生的误差计入基金财产。</w:t>
      </w:r>
      <w:r>
        <w:rPr>
          <w:rFonts w:hAnsi="宋体"/>
          <w:szCs w:val="24"/>
        </w:rPr>
        <w:t>基金管理人可以设立大额赎回情形下的净值精度应急调整机制。国家另有规定</w:t>
      </w:r>
      <w:r>
        <w:rPr>
          <w:rFonts w:hAnsi="宋体" w:hint="eastAsia"/>
          <w:szCs w:val="24"/>
        </w:rPr>
        <w:t>或基金合同另有约定</w:t>
      </w:r>
      <w:r>
        <w:rPr>
          <w:rFonts w:hAnsi="宋体"/>
          <w:szCs w:val="24"/>
        </w:rPr>
        <w:t>的，从其规定。</w:t>
      </w:r>
    </w:p>
    <w:p w14:paraId="562F6C7B" w14:textId="2EC6FBE0" w:rsidR="00966B07" w:rsidRDefault="00792B83">
      <w:pPr>
        <w:pStyle w:val="20"/>
        <w:spacing w:before="0" w:after="0" w:line="520" w:lineRule="atLeast"/>
        <w:ind w:left="0" w:firstLineChars="200" w:firstLine="480"/>
        <w:rPr>
          <w:rFonts w:hAnsi="宋体"/>
          <w:szCs w:val="24"/>
        </w:rPr>
      </w:pPr>
      <w:r>
        <w:rPr>
          <w:rFonts w:hAnsi="宋体" w:hint="eastAsia"/>
          <w:szCs w:val="24"/>
        </w:rPr>
        <w:t>8.1.2基金管理人</w:t>
      </w:r>
      <w:proofErr w:type="gramStart"/>
      <w:r>
        <w:rPr>
          <w:rFonts w:hAnsi="宋体" w:hint="eastAsia"/>
          <w:szCs w:val="24"/>
        </w:rPr>
        <w:t>应每个</w:t>
      </w:r>
      <w:proofErr w:type="gramEnd"/>
      <w:r>
        <w:rPr>
          <w:rFonts w:hAnsi="宋体" w:hint="eastAsia"/>
          <w:szCs w:val="24"/>
        </w:rPr>
        <w:t>工作日对基金资产估值，但基金管理人根据法律法规或基金合同的规定暂停估值时除外。估值原则应符合基金合同、《证券投资基金会计核算业务指引》及其他法律、法规的规定。基金</w:t>
      </w:r>
      <w:r>
        <w:rPr>
          <w:rFonts w:hAnsi="宋体"/>
          <w:szCs w:val="24"/>
        </w:rPr>
        <w:t>份额</w:t>
      </w:r>
      <w:r>
        <w:rPr>
          <w:rFonts w:hAnsi="宋体" w:hint="eastAsia"/>
          <w:szCs w:val="24"/>
        </w:rPr>
        <w:t>净值和基金份额累计净值由基金管理人负责计算，基金托管人复核。基金管理人应于每个工作日交易结束后计算当日的基金净值并以双方认可的方式发送给基金托管人。基金托管人对净值计算结果复核后以双方认可的方式发送给基金管理人，</w:t>
      </w:r>
      <w:r>
        <w:rPr>
          <w:rFonts w:hAnsi="宋体"/>
          <w:bCs/>
        </w:rPr>
        <w:t>由基金管理人按规定对外公布</w:t>
      </w:r>
      <w:r>
        <w:rPr>
          <w:rFonts w:hAnsi="宋体" w:hint="eastAsia"/>
          <w:szCs w:val="24"/>
        </w:rPr>
        <w:t>。</w:t>
      </w:r>
    </w:p>
    <w:p w14:paraId="5EC67C16"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8.1.3根据《基金法》，基金管理人计算并公告基金份额净值</w:t>
      </w:r>
      <w:r>
        <w:rPr>
          <w:rFonts w:hAnsi="宋体"/>
          <w:szCs w:val="24"/>
        </w:rPr>
        <w:t>、基金</w:t>
      </w:r>
      <w:r>
        <w:rPr>
          <w:rFonts w:hAnsi="宋体" w:hint="eastAsia"/>
          <w:szCs w:val="24"/>
        </w:rPr>
        <w:t>份额</w:t>
      </w:r>
      <w:r>
        <w:rPr>
          <w:rFonts w:hAnsi="宋体"/>
          <w:szCs w:val="24"/>
        </w:rPr>
        <w:t>累计净值</w:t>
      </w:r>
      <w:r>
        <w:rPr>
          <w:rFonts w:hAnsi="宋体" w:hint="eastAsia"/>
          <w:szCs w:val="24"/>
        </w:rPr>
        <w:t>，基金托管人复核、审查基金管理人计算的基金净值。因此，本基金的会计责任方是基金管理人，就与本基金有关的会计问题，如经相关各方在平等基础上充分讨论后，仍无法达成一致的意见，按照基金管理人对基金份额净值</w:t>
      </w:r>
      <w:r>
        <w:rPr>
          <w:rFonts w:hAnsi="宋体"/>
          <w:szCs w:val="24"/>
        </w:rPr>
        <w:t>、基金</w:t>
      </w:r>
      <w:r>
        <w:rPr>
          <w:rFonts w:hAnsi="宋体" w:hint="eastAsia"/>
          <w:szCs w:val="24"/>
        </w:rPr>
        <w:t>份额</w:t>
      </w:r>
      <w:r>
        <w:rPr>
          <w:rFonts w:hAnsi="宋体"/>
          <w:szCs w:val="24"/>
        </w:rPr>
        <w:t>累计净值</w:t>
      </w:r>
      <w:r>
        <w:rPr>
          <w:rFonts w:hAnsi="宋体" w:hint="eastAsia"/>
          <w:szCs w:val="24"/>
        </w:rPr>
        <w:t>的计算结果对外予以公布，</w:t>
      </w:r>
      <w:r>
        <w:rPr>
          <w:rFonts w:hAnsi="宋体"/>
          <w:szCs w:val="24"/>
        </w:rPr>
        <w:t>基金托管人对未达成一致意见的</w:t>
      </w:r>
      <w:r>
        <w:rPr>
          <w:rFonts w:hAnsi="宋体" w:hint="eastAsia"/>
          <w:szCs w:val="24"/>
        </w:rPr>
        <w:t>基金净值计算结果不承担任何</w:t>
      </w:r>
      <w:r>
        <w:rPr>
          <w:rFonts w:hAnsi="宋体"/>
          <w:szCs w:val="24"/>
        </w:rPr>
        <w:t>责任</w:t>
      </w:r>
      <w:r>
        <w:rPr>
          <w:rFonts w:hAnsi="宋体" w:hint="eastAsia"/>
          <w:szCs w:val="24"/>
        </w:rPr>
        <w:t>。</w:t>
      </w:r>
    </w:p>
    <w:p w14:paraId="7F93527F"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8.2基金资产估值方法</w:t>
      </w:r>
    </w:p>
    <w:p w14:paraId="51D0D1AA" w14:textId="77777777" w:rsidR="00966B07" w:rsidRDefault="00792B83">
      <w:pPr>
        <w:pStyle w:val="20"/>
        <w:spacing w:before="0" w:after="0" w:line="520" w:lineRule="atLeast"/>
        <w:ind w:left="0" w:firstLineChars="200" w:firstLine="480"/>
        <w:rPr>
          <w:rFonts w:hAnsi="宋体"/>
          <w:szCs w:val="24"/>
        </w:rPr>
      </w:pPr>
      <w:bookmarkStart w:id="28" w:name="_Hlk101559430"/>
      <w:r>
        <w:rPr>
          <w:rFonts w:hAnsi="宋体" w:hint="eastAsia"/>
          <w:szCs w:val="24"/>
        </w:rPr>
        <w:t>8.2.1估值对象</w:t>
      </w:r>
    </w:p>
    <w:p w14:paraId="53084697" w14:textId="22B98BD4" w:rsidR="00966B07" w:rsidRDefault="00792B83">
      <w:pPr>
        <w:pStyle w:val="20"/>
        <w:spacing w:before="0" w:after="0" w:line="520" w:lineRule="atLeast"/>
        <w:ind w:left="0" w:firstLineChars="200" w:firstLine="480"/>
        <w:rPr>
          <w:rFonts w:hAnsi="宋体"/>
          <w:szCs w:val="24"/>
        </w:rPr>
      </w:pPr>
      <w:r>
        <w:rPr>
          <w:rFonts w:hAnsi="宋体" w:hint="eastAsia"/>
          <w:szCs w:val="24"/>
        </w:rPr>
        <w:t>基金所拥有的债券和银行存款本息、应收款项、其它投资等资产及负债。</w:t>
      </w:r>
    </w:p>
    <w:p w14:paraId="7F88F4E7"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8.2.2估值方法</w:t>
      </w:r>
    </w:p>
    <w:p w14:paraId="44285142" w14:textId="77777777" w:rsidR="00966B07" w:rsidRDefault="00792B83">
      <w:pPr>
        <w:pStyle w:val="20"/>
        <w:spacing w:before="0" w:after="0" w:line="520" w:lineRule="atLeast"/>
        <w:ind w:left="0" w:firstLineChars="200" w:firstLine="480"/>
        <w:rPr>
          <w:rFonts w:hAnsi="宋体"/>
          <w:bCs/>
          <w:szCs w:val="24"/>
        </w:rPr>
      </w:pPr>
      <w:r>
        <w:rPr>
          <w:rFonts w:hAnsi="宋体" w:hint="eastAsia"/>
          <w:bCs/>
          <w:szCs w:val="24"/>
        </w:rPr>
        <w:t>本基金所持有的投资品种，按如下原则进行估值：</w:t>
      </w:r>
    </w:p>
    <w:p w14:paraId="59C216E2" w14:textId="77777777" w:rsidR="00966B07" w:rsidRPr="00524AFD" w:rsidRDefault="00792B83" w:rsidP="00B13518">
      <w:pPr>
        <w:pStyle w:val="20"/>
        <w:spacing w:before="0" w:after="0" w:line="520" w:lineRule="atLeast"/>
        <w:ind w:left="0" w:firstLineChars="200" w:firstLine="480"/>
        <w:rPr>
          <w:rFonts w:hAnsi="宋体"/>
          <w:szCs w:val="24"/>
        </w:rPr>
      </w:pPr>
      <w:r w:rsidRPr="00524AFD">
        <w:rPr>
          <w:rFonts w:hAnsi="宋体"/>
          <w:szCs w:val="24"/>
        </w:rPr>
        <w:t>1、证券交易所上市的有价证券的估值</w:t>
      </w:r>
    </w:p>
    <w:p w14:paraId="05F4C801" w14:textId="77777777" w:rsidR="00966B07" w:rsidRPr="00524AFD" w:rsidRDefault="00792B83" w:rsidP="00B13518">
      <w:pPr>
        <w:pStyle w:val="20"/>
        <w:spacing w:before="0" w:after="0" w:line="520" w:lineRule="atLeast"/>
        <w:ind w:left="0" w:firstLineChars="200" w:firstLine="480"/>
        <w:rPr>
          <w:rFonts w:hAnsi="宋体"/>
          <w:szCs w:val="24"/>
        </w:rPr>
      </w:pPr>
      <w:r w:rsidRPr="00524AFD">
        <w:rPr>
          <w:rFonts w:hAnsi="宋体" w:hint="eastAsia"/>
          <w:szCs w:val="24"/>
        </w:rPr>
        <w:t>（</w:t>
      </w:r>
      <w:r w:rsidRPr="00524AFD">
        <w:rPr>
          <w:rFonts w:hAnsi="宋体"/>
          <w:szCs w:val="24"/>
        </w:rPr>
        <w:t>1）交易所上市交易或挂牌转让的不含</w:t>
      </w:r>
      <w:proofErr w:type="gramStart"/>
      <w:r w:rsidRPr="00524AFD">
        <w:rPr>
          <w:rFonts w:hAnsi="宋体" w:hint="eastAsia"/>
          <w:szCs w:val="24"/>
        </w:rPr>
        <w:t>权固定</w:t>
      </w:r>
      <w:proofErr w:type="gramEnd"/>
      <w:r w:rsidRPr="00524AFD">
        <w:rPr>
          <w:rFonts w:hAnsi="宋体" w:hint="eastAsia"/>
          <w:szCs w:val="24"/>
        </w:rPr>
        <w:t>收益品种，选取估值日第三方</w:t>
      </w:r>
      <w:r w:rsidRPr="00524AFD">
        <w:rPr>
          <w:rFonts w:hAnsi="宋体" w:hint="eastAsia"/>
          <w:szCs w:val="24"/>
        </w:rPr>
        <w:lastRenderedPageBreak/>
        <w:t>估值机构提供的相应品种当日的估值净价进行估值。</w:t>
      </w:r>
    </w:p>
    <w:p w14:paraId="1AA9710F" w14:textId="77777777" w:rsidR="00966B07" w:rsidRPr="00524AFD" w:rsidRDefault="00792B83" w:rsidP="00B13518">
      <w:pPr>
        <w:pStyle w:val="20"/>
        <w:spacing w:before="0" w:after="0" w:line="520" w:lineRule="atLeast"/>
        <w:ind w:left="0" w:firstLineChars="200" w:firstLine="480"/>
        <w:rPr>
          <w:rFonts w:hAnsi="宋体"/>
          <w:szCs w:val="24"/>
        </w:rPr>
      </w:pPr>
      <w:r w:rsidRPr="00524AFD">
        <w:rPr>
          <w:rFonts w:hAnsi="宋体" w:hint="eastAsia"/>
          <w:szCs w:val="24"/>
        </w:rPr>
        <w:t>（</w:t>
      </w:r>
      <w:r w:rsidRPr="00524AFD">
        <w:rPr>
          <w:rFonts w:hAnsi="宋体"/>
          <w:szCs w:val="24"/>
        </w:rPr>
        <w:t>2）交易所上市交易或挂牌转让的含</w:t>
      </w:r>
      <w:proofErr w:type="gramStart"/>
      <w:r w:rsidRPr="00524AFD">
        <w:rPr>
          <w:rFonts w:hAnsi="宋体" w:hint="eastAsia"/>
          <w:szCs w:val="24"/>
        </w:rPr>
        <w:t>权固定</w:t>
      </w:r>
      <w:proofErr w:type="gramEnd"/>
      <w:r w:rsidRPr="00524AFD">
        <w:rPr>
          <w:rFonts w:hAnsi="宋体" w:hint="eastAsia"/>
          <w:szCs w:val="24"/>
        </w:rPr>
        <w:t>收益品种，选取估值日第三方估值机构提供的相应品种当日的唯一估值净价或推荐估值净价进行估值。</w:t>
      </w:r>
    </w:p>
    <w:p w14:paraId="716303BE" w14:textId="77777777" w:rsidR="00966B07" w:rsidRPr="00524AFD" w:rsidRDefault="00792B83" w:rsidP="00B13518">
      <w:pPr>
        <w:pStyle w:val="20"/>
        <w:spacing w:before="0" w:after="0" w:line="520" w:lineRule="atLeast"/>
        <w:ind w:left="0" w:firstLineChars="200" w:firstLine="480"/>
        <w:rPr>
          <w:rFonts w:hAnsi="宋体"/>
          <w:szCs w:val="24"/>
        </w:rPr>
      </w:pPr>
      <w:r w:rsidRPr="00524AFD">
        <w:rPr>
          <w:rFonts w:hAnsi="宋体"/>
          <w:szCs w:val="24"/>
        </w:rPr>
        <w:t>2、处于未上市期间的有价证券应区分如下情况处理：</w:t>
      </w:r>
    </w:p>
    <w:p w14:paraId="7E93922C" w14:textId="77777777" w:rsidR="00966B07" w:rsidRPr="00524AFD" w:rsidRDefault="00792B83" w:rsidP="00B13518">
      <w:pPr>
        <w:pStyle w:val="20"/>
        <w:spacing w:before="0" w:after="0" w:line="520" w:lineRule="atLeast"/>
        <w:ind w:left="0" w:firstLineChars="200" w:firstLine="480"/>
        <w:rPr>
          <w:rFonts w:hAnsi="宋体"/>
          <w:szCs w:val="24"/>
        </w:rPr>
      </w:pPr>
      <w:r w:rsidRPr="00524AFD">
        <w:rPr>
          <w:rFonts w:hAnsi="宋体" w:hint="eastAsia"/>
          <w:szCs w:val="24"/>
        </w:rPr>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14:paraId="7E5B8F73" w14:textId="77777777" w:rsidR="00966B07" w:rsidRPr="00524AFD" w:rsidRDefault="00792B83" w:rsidP="00B13518">
      <w:pPr>
        <w:pStyle w:val="20"/>
        <w:spacing w:before="0" w:after="0" w:line="520" w:lineRule="atLeast"/>
        <w:ind w:left="0" w:firstLineChars="200" w:firstLine="480"/>
        <w:rPr>
          <w:rFonts w:hAnsi="宋体"/>
          <w:szCs w:val="24"/>
        </w:rPr>
      </w:pPr>
      <w:r w:rsidRPr="00524AFD">
        <w:rPr>
          <w:rFonts w:hAnsi="宋体"/>
          <w:szCs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99B3D85" w14:textId="77777777" w:rsidR="00966B07" w:rsidRPr="00524AFD" w:rsidRDefault="00792B83" w:rsidP="00B13518">
      <w:pPr>
        <w:pStyle w:val="20"/>
        <w:spacing w:before="0" w:after="0" w:line="520" w:lineRule="atLeast"/>
        <w:ind w:left="0" w:firstLineChars="200" w:firstLine="480"/>
        <w:rPr>
          <w:rFonts w:hAnsi="宋体"/>
          <w:szCs w:val="24"/>
        </w:rPr>
      </w:pPr>
      <w:r w:rsidRPr="00524AFD">
        <w:rPr>
          <w:rFonts w:hAnsi="宋体"/>
          <w:szCs w:val="24"/>
        </w:rPr>
        <w:t>4、同一债券同时在两个或两个以上市场交易的，按债券所处的市场分别估值。</w:t>
      </w:r>
    </w:p>
    <w:p w14:paraId="7393CBD7" w14:textId="77777777" w:rsidR="00966B07" w:rsidRPr="00524AFD" w:rsidRDefault="00792B83" w:rsidP="00B13518">
      <w:pPr>
        <w:pStyle w:val="20"/>
        <w:spacing w:before="0" w:after="0" w:line="520" w:lineRule="atLeast"/>
        <w:ind w:left="0" w:firstLineChars="200" w:firstLine="480"/>
        <w:rPr>
          <w:rFonts w:hAnsi="宋体"/>
          <w:szCs w:val="24"/>
        </w:rPr>
      </w:pPr>
      <w:r w:rsidRPr="00524AFD">
        <w:rPr>
          <w:rFonts w:hAnsi="宋体"/>
          <w:szCs w:val="24"/>
        </w:rPr>
        <w:t>5、存款的估值方法</w:t>
      </w:r>
    </w:p>
    <w:p w14:paraId="07FFDD9C" w14:textId="77777777" w:rsidR="00966B07" w:rsidRPr="00524AFD" w:rsidRDefault="00792B83" w:rsidP="00B13518">
      <w:pPr>
        <w:pStyle w:val="20"/>
        <w:spacing w:before="0" w:after="0" w:line="520" w:lineRule="atLeast"/>
        <w:ind w:left="0" w:firstLineChars="200" w:firstLine="480"/>
        <w:rPr>
          <w:rFonts w:hAnsi="宋体"/>
          <w:szCs w:val="24"/>
        </w:rPr>
      </w:pPr>
      <w:r w:rsidRPr="00524AFD">
        <w:rPr>
          <w:rFonts w:hAnsi="宋体" w:hint="eastAsia"/>
          <w:szCs w:val="24"/>
        </w:rPr>
        <w:t>持有的银行定期存款或通知存款以本金列示，根据存款协议列示的利息总额或约定利率</w:t>
      </w:r>
      <w:proofErr w:type="gramStart"/>
      <w:r w:rsidRPr="00524AFD">
        <w:rPr>
          <w:rFonts w:hAnsi="宋体" w:hint="eastAsia"/>
          <w:szCs w:val="24"/>
        </w:rPr>
        <w:t>每自然</w:t>
      </w:r>
      <w:proofErr w:type="gramEnd"/>
      <w:r w:rsidRPr="00524AFD">
        <w:rPr>
          <w:rFonts w:hAnsi="宋体" w:hint="eastAsia"/>
          <w:szCs w:val="24"/>
        </w:rPr>
        <w:t>日计提利息。如提前支取或利率发生变化，则按需进行账务调整。</w:t>
      </w:r>
    </w:p>
    <w:p w14:paraId="7DE56FBA" w14:textId="77777777" w:rsidR="00966B07" w:rsidRPr="00524AFD" w:rsidRDefault="00792B83" w:rsidP="00B13518">
      <w:pPr>
        <w:pStyle w:val="20"/>
        <w:spacing w:before="0" w:after="0" w:line="520" w:lineRule="atLeast"/>
        <w:ind w:left="0" w:firstLineChars="200" w:firstLine="480"/>
        <w:rPr>
          <w:rFonts w:hAnsi="宋体"/>
          <w:szCs w:val="24"/>
        </w:rPr>
      </w:pPr>
      <w:r w:rsidRPr="00524AFD">
        <w:rPr>
          <w:rFonts w:hAnsi="宋体"/>
          <w:szCs w:val="24"/>
        </w:rPr>
        <w:t>6、本基金投资同业存单，按估值日第三方估值机构提供的估值净价估值；选定的第三方估值机构未提供估值价格的，按成本估值。</w:t>
      </w:r>
    </w:p>
    <w:p w14:paraId="65FC2C67" w14:textId="77777777" w:rsidR="00966B07" w:rsidRPr="00524AFD" w:rsidRDefault="00792B83" w:rsidP="00B13518">
      <w:pPr>
        <w:pStyle w:val="20"/>
        <w:spacing w:before="0" w:after="0" w:line="520" w:lineRule="atLeast"/>
        <w:ind w:left="0" w:firstLineChars="200" w:firstLine="480"/>
        <w:rPr>
          <w:rFonts w:hAnsi="宋体"/>
          <w:szCs w:val="24"/>
        </w:rPr>
      </w:pPr>
      <w:r w:rsidRPr="00524AFD">
        <w:rPr>
          <w:rFonts w:hAnsi="宋体"/>
          <w:szCs w:val="24"/>
        </w:rPr>
        <w:t>7、本基金可以采用第三方估值机构按照上述公允价值确定原则提供的估值价格数据。</w:t>
      </w:r>
    </w:p>
    <w:p w14:paraId="164052BF" w14:textId="77777777" w:rsidR="00966B07" w:rsidRPr="00524AFD" w:rsidRDefault="00792B83" w:rsidP="00B13518">
      <w:pPr>
        <w:pStyle w:val="20"/>
        <w:spacing w:before="0" w:after="0" w:line="520" w:lineRule="atLeast"/>
        <w:ind w:left="0" w:firstLineChars="200" w:firstLine="480"/>
        <w:rPr>
          <w:rFonts w:hAnsi="宋体"/>
          <w:szCs w:val="24"/>
        </w:rPr>
      </w:pPr>
      <w:r w:rsidRPr="00524AFD">
        <w:rPr>
          <w:rFonts w:hAnsi="宋体"/>
          <w:szCs w:val="24"/>
        </w:rPr>
        <w:t>8、如有确凿证据表明按上述方法进行估值不能客观反映其公允价值的，基金管理人可根据具体情况与基金托管人商定后，按最能反映公允价值的价格估值。</w:t>
      </w:r>
    </w:p>
    <w:p w14:paraId="3CB32F5F" w14:textId="77777777" w:rsidR="00966B07" w:rsidRPr="00524AFD" w:rsidRDefault="00792B83" w:rsidP="00B13518">
      <w:pPr>
        <w:pStyle w:val="20"/>
        <w:spacing w:before="0" w:after="0" w:line="520" w:lineRule="atLeast"/>
        <w:ind w:left="0" w:firstLineChars="200" w:firstLine="480"/>
        <w:rPr>
          <w:rFonts w:hAnsi="宋体"/>
          <w:szCs w:val="24"/>
        </w:rPr>
      </w:pPr>
      <w:r w:rsidRPr="00524AFD">
        <w:rPr>
          <w:rFonts w:hAnsi="宋体"/>
          <w:szCs w:val="24"/>
        </w:rPr>
        <w:t>9、当发生大额申购或赎回情形时，基金管理人可以采用摆动定价机制，以确保基金估值的公平性。</w:t>
      </w:r>
    </w:p>
    <w:p w14:paraId="412D1C04" w14:textId="77777777" w:rsidR="00966B07" w:rsidRPr="00524AFD" w:rsidRDefault="00792B83" w:rsidP="00B13518">
      <w:pPr>
        <w:pStyle w:val="20"/>
        <w:spacing w:before="0" w:after="0" w:line="520" w:lineRule="atLeast"/>
        <w:ind w:left="0" w:firstLineChars="200" w:firstLine="480"/>
        <w:rPr>
          <w:rFonts w:hAnsi="宋体"/>
          <w:szCs w:val="24"/>
        </w:rPr>
      </w:pPr>
      <w:r w:rsidRPr="00524AFD">
        <w:rPr>
          <w:rFonts w:hAnsi="宋体"/>
          <w:szCs w:val="24"/>
        </w:rPr>
        <w:lastRenderedPageBreak/>
        <w:t>10、相关法律法规以及监管部门有强制规定的，从其规定。如有新增事项，按国家最新规定估值。</w:t>
      </w:r>
    </w:p>
    <w:p w14:paraId="7A988A62" w14:textId="77777777" w:rsidR="00966B07" w:rsidRPr="00524AFD" w:rsidRDefault="00792B83" w:rsidP="00B13518">
      <w:pPr>
        <w:pStyle w:val="20"/>
        <w:spacing w:before="0" w:after="0" w:line="520" w:lineRule="atLeast"/>
        <w:ind w:left="0" w:firstLineChars="200" w:firstLine="480"/>
        <w:rPr>
          <w:rFonts w:hAnsi="宋体"/>
          <w:szCs w:val="24"/>
        </w:rPr>
      </w:pPr>
      <w:r w:rsidRPr="00524AFD">
        <w:rPr>
          <w:rFonts w:hAnsi="宋体" w:hint="eastAsia"/>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0C652671" w14:textId="323C5DB7" w:rsidR="00966B07" w:rsidRDefault="00792B83">
      <w:pPr>
        <w:pStyle w:val="20"/>
        <w:spacing w:before="0" w:after="0" w:line="520" w:lineRule="atLeast"/>
        <w:ind w:left="0" w:firstLineChars="200" w:firstLine="480"/>
        <w:rPr>
          <w:rFonts w:hAnsi="宋体"/>
          <w:szCs w:val="24"/>
        </w:rPr>
      </w:pPr>
      <w:r w:rsidRPr="00524AFD">
        <w:rPr>
          <w:rFonts w:hAnsi="宋体" w:hint="eastAsia"/>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的计算结果对外予以公布。</w:t>
      </w:r>
    </w:p>
    <w:bookmarkEnd w:id="28"/>
    <w:p w14:paraId="72D0A206" w14:textId="239798AA" w:rsidR="00C72208" w:rsidRDefault="00792B83">
      <w:pPr>
        <w:pStyle w:val="20"/>
        <w:spacing w:before="0" w:after="0" w:line="520" w:lineRule="atLeast"/>
        <w:ind w:left="0" w:firstLineChars="200" w:firstLine="480"/>
        <w:rPr>
          <w:rFonts w:hAnsi="宋体"/>
          <w:szCs w:val="24"/>
        </w:rPr>
      </w:pPr>
      <w:r>
        <w:rPr>
          <w:rFonts w:hAnsi="宋体" w:hint="eastAsia"/>
          <w:szCs w:val="24"/>
        </w:rPr>
        <w:t>8.3估值差错处理</w:t>
      </w:r>
    </w:p>
    <w:p w14:paraId="1BEE4DCA"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8.3.1本基金运作过程中，如果由于基金管理人或基金托管人、或登记机构、或销售机构、或投资人自身的过错造成估值错误，导致其他当事人遭受损失的，过错的责任人应当对由于该估值错误遭受损失当事人的直接损失承担赔偿责任。</w:t>
      </w:r>
    </w:p>
    <w:p w14:paraId="202AF84E" w14:textId="38A5CFC1" w:rsidR="00966B07" w:rsidRDefault="00792B83">
      <w:pPr>
        <w:pStyle w:val="20"/>
        <w:spacing w:before="0" w:after="0" w:line="520" w:lineRule="atLeast"/>
        <w:ind w:left="0" w:firstLineChars="200" w:firstLine="480"/>
        <w:rPr>
          <w:rFonts w:hAnsi="宋体"/>
          <w:szCs w:val="24"/>
        </w:rPr>
      </w:pPr>
      <w:r>
        <w:rPr>
          <w:rFonts w:hAnsi="宋体" w:hint="eastAsia"/>
          <w:szCs w:val="24"/>
        </w:rPr>
        <w:t>8.3.2当基金管理人计算的基金份额净值</w:t>
      </w:r>
      <w:r>
        <w:rPr>
          <w:rFonts w:hAnsi="宋体"/>
          <w:szCs w:val="24"/>
        </w:rPr>
        <w:t>、基金</w:t>
      </w:r>
      <w:r>
        <w:rPr>
          <w:rFonts w:hAnsi="宋体" w:hint="eastAsia"/>
          <w:szCs w:val="24"/>
        </w:rPr>
        <w:t>份额</w:t>
      </w:r>
      <w:r>
        <w:rPr>
          <w:rFonts w:hAnsi="宋体"/>
          <w:szCs w:val="24"/>
        </w:rPr>
        <w:t>累计净值</w:t>
      </w:r>
      <w:r>
        <w:rPr>
          <w:rFonts w:hAnsi="宋体" w:hint="eastAsia"/>
          <w:szCs w:val="24"/>
        </w:rPr>
        <w:t>已由基金托管人复核确认后公告的，由此造成的投资人或基金的损失，应根据法律法规的规定对投资人或基金支付赔偿金，就实际向投资人或基金支付的赔偿金额，由基金管理人与基金托管人</w:t>
      </w:r>
      <w:r w:rsidR="00F17F95">
        <w:rPr>
          <w:rFonts w:hAnsi="宋体" w:hint="eastAsia"/>
          <w:szCs w:val="24"/>
        </w:rPr>
        <w:t>按照</w:t>
      </w:r>
      <w:r w:rsidR="00134B3D">
        <w:rPr>
          <w:rFonts w:hAnsi="宋体" w:hint="eastAsia"/>
          <w:szCs w:val="24"/>
        </w:rPr>
        <w:t>过错程度</w:t>
      </w:r>
      <w:r>
        <w:rPr>
          <w:rFonts w:hAnsi="宋体" w:hint="eastAsia"/>
          <w:szCs w:val="24"/>
        </w:rPr>
        <w:t>各自承担相应的责任。</w:t>
      </w:r>
    </w:p>
    <w:p w14:paraId="16E77135"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8.3.3由于一方当事人提供的信息错误，另一方当事人在采取了必要合理的措施后仍不能发现该错误，进而导致基金净值计算错误造成投资人或基金的损失，以及由此造成以后交易日基金净值计算顺延错误而引起的投资人或基金的损失，由提供错误信息的当事人一方负责赔偿。</w:t>
      </w:r>
    </w:p>
    <w:p w14:paraId="47EEC656"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8.3.</w:t>
      </w:r>
      <w:r>
        <w:rPr>
          <w:rFonts w:hAnsi="宋体"/>
          <w:szCs w:val="24"/>
        </w:rPr>
        <w:t>4</w:t>
      </w:r>
      <w:r>
        <w:rPr>
          <w:rFonts w:hAnsi="宋体" w:hint="eastAsia"/>
          <w:szCs w:val="24"/>
        </w:rPr>
        <w:t>当基金管理人计算的基金份额净值</w:t>
      </w:r>
      <w:r>
        <w:rPr>
          <w:rFonts w:hAnsi="宋体"/>
          <w:szCs w:val="24"/>
        </w:rPr>
        <w:t>、基金</w:t>
      </w:r>
      <w:r>
        <w:rPr>
          <w:rFonts w:hAnsi="宋体" w:hint="eastAsia"/>
          <w:szCs w:val="24"/>
        </w:rPr>
        <w:t>份额</w:t>
      </w:r>
      <w:r>
        <w:rPr>
          <w:rFonts w:hAnsi="宋体"/>
          <w:szCs w:val="24"/>
        </w:rPr>
        <w:t>累计净值</w:t>
      </w:r>
      <w:r>
        <w:rPr>
          <w:rFonts w:hAnsi="宋体" w:hint="eastAsia"/>
          <w:szCs w:val="24"/>
        </w:rPr>
        <w:t>与基金托管人的计算结果不一致时，相关各方应本着勤勉尽责的态度重新计算核对，</w:t>
      </w:r>
      <w:r>
        <w:rPr>
          <w:rFonts w:hAnsi="宋体" w:hint="eastAsia"/>
          <w:b/>
          <w:bCs/>
          <w:szCs w:val="24"/>
        </w:rPr>
        <w:t>如果最后仍无法达成一致，应以基金管理人的计算结果为准对外公布，由此造成的损失由基金管理人承担赔偿责任，基金托管人不负赔偿责任。</w:t>
      </w:r>
    </w:p>
    <w:p w14:paraId="2E3BA10B" w14:textId="187F1BAF" w:rsidR="00966B07" w:rsidRDefault="00792B83">
      <w:pPr>
        <w:pStyle w:val="20"/>
        <w:spacing w:before="0" w:after="0" w:line="520" w:lineRule="atLeast"/>
        <w:ind w:left="0" w:firstLineChars="200" w:firstLine="480"/>
        <w:rPr>
          <w:rFonts w:hAnsi="宋体"/>
          <w:szCs w:val="24"/>
        </w:rPr>
      </w:pPr>
      <w:r>
        <w:rPr>
          <w:rFonts w:hAnsi="宋体" w:hint="eastAsia"/>
          <w:szCs w:val="24"/>
        </w:rPr>
        <w:t>8.3.</w:t>
      </w:r>
      <w:r>
        <w:rPr>
          <w:rFonts w:hAnsi="宋体"/>
          <w:szCs w:val="24"/>
        </w:rPr>
        <w:t>5</w:t>
      </w:r>
      <w:r w:rsidR="003A2A67">
        <w:rPr>
          <w:bCs/>
        </w:rPr>
        <w:t>基金份额净值计算出现错误时，基金管理人应当立即予以纠正，通报基金托管人，并采取合理的措施防止损失进一步扩大</w:t>
      </w:r>
      <w:r w:rsidR="003A2A67">
        <w:rPr>
          <w:rFonts w:hint="eastAsia"/>
          <w:bCs/>
        </w:rPr>
        <w:t>；</w:t>
      </w:r>
      <w:r>
        <w:rPr>
          <w:rFonts w:hAnsi="宋体" w:hint="eastAsia"/>
          <w:szCs w:val="24"/>
        </w:rPr>
        <w:t>基金份额净值计算错误偏差达到基金份额净值的0.</w:t>
      </w:r>
      <w:r>
        <w:rPr>
          <w:rFonts w:hAnsi="宋体"/>
          <w:szCs w:val="24"/>
        </w:rPr>
        <w:t>2</w:t>
      </w:r>
      <w:r>
        <w:rPr>
          <w:rFonts w:hAnsi="宋体" w:hint="eastAsia"/>
          <w:szCs w:val="24"/>
        </w:rPr>
        <w:t>5%时，基金管理人应当通报基金托管人并报中国证监会备案；</w:t>
      </w:r>
      <w:r>
        <w:rPr>
          <w:rFonts w:hAnsi="宋体" w:hint="eastAsia"/>
          <w:szCs w:val="24"/>
        </w:rPr>
        <w:lastRenderedPageBreak/>
        <w:t>错误偏差达到基金份额净值的0.5%时，基金管理人应当公告，并报中国证监会备案。</w:t>
      </w:r>
    </w:p>
    <w:p w14:paraId="3FE7A1EC" w14:textId="15809F66" w:rsidR="00DB1A15" w:rsidRDefault="00DB1A15">
      <w:pPr>
        <w:pStyle w:val="20"/>
        <w:spacing w:before="0" w:after="0" w:line="520" w:lineRule="atLeast"/>
        <w:ind w:left="0" w:firstLineChars="200" w:firstLine="480"/>
        <w:rPr>
          <w:rFonts w:hAnsi="宋体"/>
          <w:szCs w:val="24"/>
        </w:rPr>
      </w:pPr>
      <w:r>
        <w:rPr>
          <w:rFonts w:hAnsi="宋体" w:hint="eastAsia"/>
          <w:szCs w:val="24"/>
        </w:rPr>
        <w:t>8</w:t>
      </w:r>
      <w:r>
        <w:rPr>
          <w:rFonts w:hAnsi="宋体"/>
          <w:szCs w:val="24"/>
        </w:rPr>
        <w:t>.3.6</w:t>
      </w:r>
      <w:r>
        <w:rPr>
          <w:bCs/>
        </w:rPr>
        <w:t>前述内容如法律法规或监管机关另有规定的，从其规定处理。</w:t>
      </w:r>
    </w:p>
    <w:p w14:paraId="409DE7A1"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8.4基金账册的建立</w:t>
      </w:r>
    </w:p>
    <w:p w14:paraId="04CBF404" w14:textId="2144B177" w:rsidR="00966B07" w:rsidRDefault="00792B83">
      <w:pPr>
        <w:pStyle w:val="20"/>
        <w:spacing w:before="0" w:after="0" w:line="520" w:lineRule="atLeast"/>
        <w:ind w:left="0" w:firstLineChars="200" w:firstLine="480"/>
        <w:rPr>
          <w:rFonts w:hAnsi="宋体"/>
          <w:szCs w:val="24"/>
        </w:rPr>
      </w:pPr>
      <w:r>
        <w:rPr>
          <w:rFonts w:hAnsi="宋体" w:hint="eastAsia"/>
          <w:szCs w:val="24"/>
        </w:rPr>
        <w:t>8.4.1基金管理人和基金托管人在基金合同生效后，应按照相关各方约定的同一记账方法和会计处理原则，分别独立地设置、</w:t>
      </w:r>
      <w:r>
        <w:rPr>
          <w:rFonts w:hAnsi="宋体"/>
          <w:szCs w:val="24"/>
        </w:rPr>
        <w:t>登录</w:t>
      </w:r>
      <w:r>
        <w:rPr>
          <w:rFonts w:hAnsi="宋体" w:hint="eastAsia"/>
          <w:szCs w:val="24"/>
        </w:rPr>
        <w:t>和保管本基金的全套账册，对相关各方各自的账册定期进行核对，互相监督，以保证基金资产的安全。若双方对会计处理方法存在分歧，应以基金管理人的处理方法为准。</w:t>
      </w:r>
    </w:p>
    <w:p w14:paraId="1F5CFFD8" w14:textId="73CA0C39" w:rsidR="00966B07" w:rsidRDefault="00792B83">
      <w:pPr>
        <w:pStyle w:val="20"/>
        <w:spacing w:before="0" w:after="0" w:line="520" w:lineRule="atLeast"/>
        <w:ind w:left="0" w:firstLineChars="200" w:firstLine="480"/>
        <w:rPr>
          <w:rFonts w:hAnsi="宋体"/>
          <w:szCs w:val="24"/>
        </w:rPr>
      </w:pPr>
      <w:r>
        <w:rPr>
          <w:rFonts w:hAnsi="宋体" w:hint="eastAsia"/>
          <w:szCs w:val="24"/>
        </w:rPr>
        <w:t>8.4.2经对账发现相关各方的账目存在不符的，基金管理人和基金托管人必须及时查明原因并纠正，保证相关各方平行登录的账册记录完全相符。若当日核对不符，暂时无法查找到错账的原因而影响到基金份额净值</w:t>
      </w:r>
      <w:r>
        <w:rPr>
          <w:rFonts w:hAnsi="宋体"/>
          <w:szCs w:val="24"/>
        </w:rPr>
        <w:t>、基金</w:t>
      </w:r>
      <w:r>
        <w:rPr>
          <w:rFonts w:hAnsi="宋体" w:hint="eastAsia"/>
          <w:szCs w:val="24"/>
        </w:rPr>
        <w:t>份额</w:t>
      </w:r>
      <w:r>
        <w:rPr>
          <w:rFonts w:hAnsi="宋体"/>
          <w:szCs w:val="24"/>
        </w:rPr>
        <w:t>累计净值</w:t>
      </w:r>
      <w:r>
        <w:rPr>
          <w:rFonts w:hAnsi="宋体" w:hint="eastAsia"/>
          <w:szCs w:val="24"/>
        </w:rPr>
        <w:t>的计算和公告的，以基金管理人的账册为准。</w:t>
      </w:r>
    </w:p>
    <w:p w14:paraId="4DCFB265"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8.5基金定期报告的编制和复核</w:t>
      </w:r>
    </w:p>
    <w:p w14:paraId="33FBBDFC"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8.5.1基金财务报告由基金管理人编制，</w:t>
      </w:r>
      <w:r>
        <w:rPr>
          <w:rFonts w:hAnsi="宋体"/>
          <w:szCs w:val="24"/>
        </w:rPr>
        <w:t>基金托管人</w:t>
      </w:r>
      <w:r>
        <w:rPr>
          <w:rFonts w:hAnsi="宋体" w:hint="eastAsia"/>
          <w:szCs w:val="24"/>
        </w:rPr>
        <w:t>复核。月度报告的编制，应于每月终了后5个工作日内完成。</w:t>
      </w:r>
    </w:p>
    <w:p w14:paraId="5BB43899"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8.5.2基金管理人应当在每年结束之日起三个月内，编制完成基金年度报告，将年度报告登载在规定网站上，并将年度报告提示性公告登载在规定报刊上。基金年度报告中的财务会计报告应当经过</w:t>
      </w:r>
      <w:r>
        <w:rPr>
          <w:rFonts w:hAnsi="宋体" w:hint="eastAsia"/>
          <w:bCs/>
        </w:rPr>
        <w:t>符合《中华人民共和国证券法》规定</w:t>
      </w:r>
      <w:r>
        <w:rPr>
          <w:rFonts w:hAnsi="宋体" w:hint="eastAsia"/>
          <w:szCs w:val="24"/>
        </w:rPr>
        <w:t>的会计师事务所审计。基金管理人应当在上半年结束之日起两个月内，编制完成基金中期报告，将中期报告登载在规定网站上，并将中期报告提示性公告登载在规定报刊上。基金管理人应当在季度结束之日起15个工作日内，编制完成基金季度报告，将季度报告登载在规定网站上，并将季度报告提示性公告登载在规定报刊上。《基金合同》生效不足2个月的，基金管理人可以不编制当期季度报告、中期报告或者年度报告。</w:t>
      </w:r>
    </w:p>
    <w:p w14:paraId="2BEC2D6F"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8.5.3《基金合同》生效后，基金招募说明书、基金产品资料概要的信息发生重大变更的，基金管理人应当在三个工作日内，更新基金招募说明书、基金产品资料概要，并登载在规定网站上，并将基金产品资料概要登载在基金销售机构网站或营业网点。除重大变更事项之外，基金招募说明书、基金产品资料概要其他信息发</w:t>
      </w:r>
      <w:r>
        <w:rPr>
          <w:rFonts w:hAnsi="宋体" w:hint="eastAsia"/>
          <w:szCs w:val="24"/>
        </w:rPr>
        <w:lastRenderedPageBreak/>
        <w:t>生变更的，基金管理人至少每年更新一次。基金终止运作的，基金管理人不再更新基金招募说明书和基金产品资料概要。</w:t>
      </w:r>
    </w:p>
    <w:p w14:paraId="1E97CBBA" w14:textId="77777777" w:rsidR="00966B07" w:rsidRDefault="00792B83">
      <w:pPr>
        <w:pStyle w:val="20"/>
        <w:spacing w:before="0" w:after="0" w:line="520" w:lineRule="atLeast"/>
        <w:ind w:left="0" w:firstLineChars="200" w:firstLine="480"/>
        <w:rPr>
          <w:rFonts w:hAnsi="宋体"/>
          <w:szCs w:val="24"/>
        </w:rPr>
      </w:pPr>
      <w:bookmarkStart w:id="29" w:name="_DV_C270"/>
      <w:r>
        <w:rPr>
          <w:rFonts w:hAnsi="宋体" w:hint="eastAsia"/>
          <w:szCs w:val="24"/>
        </w:rPr>
        <w:t>8.5.</w:t>
      </w:r>
      <w:r>
        <w:rPr>
          <w:rFonts w:hAnsi="宋体"/>
          <w:szCs w:val="24"/>
        </w:rPr>
        <w:t>4</w:t>
      </w:r>
      <w:r>
        <w:rPr>
          <w:rFonts w:hAnsi="宋体" w:hint="eastAsia"/>
          <w:szCs w:val="24"/>
        </w:rPr>
        <w:t>基金管理人应及时完成报告编制，将有关报告提供基金托管人复核；基金托管人应当在收到报告之日起2个工作日内完成月度报告的复核；在收到报告之日起7个工作日内完成基金季度报告的复核；在收到报告之日起20个工作日内完成基金中期报告的复核；在收到报告之日起30个工作日内完成基金年度报告的</w:t>
      </w:r>
      <w:bookmarkEnd w:id="29"/>
      <w:r>
        <w:rPr>
          <w:rFonts w:hAnsi="宋体" w:hint="eastAsia"/>
          <w:szCs w:val="24"/>
        </w:rPr>
        <w:t>复核。基金托管人在复核过程中，发现双方的数据、</w:t>
      </w:r>
      <w:r>
        <w:rPr>
          <w:rFonts w:hAnsi="宋体"/>
          <w:szCs w:val="24"/>
        </w:rPr>
        <w:t>信息</w:t>
      </w:r>
      <w:r>
        <w:rPr>
          <w:rFonts w:hAnsi="宋体" w:hint="eastAsia"/>
          <w:szCs w:val="24"/>
        </w:rPr>
        <w:t>存在不符时，基金管理人和基金托管人应共同查明原因，进行调整，调整以国家有关规定为准。</w:t>
      </w:r>
    </w:p>
    <w:p w14:paraId="406F4E3A"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8.5.</w:t>
      </w:r>
      <w:r>
        <w:rPr>
          <w:rFonts w:hAnsi="宋体"/>
          <w:szCs w:val="24"/>
        </w:rPr>
        <w:t>5</w:t>
      </w:r>
      <w:r>
        <w:rPr>
          <w:rFonts w:hAnsi="宋体" w:hint="eastAsia"/>
          <w:szCs w:val="24"/>
        </w:rPr>
        <w:t>基金托管人在对财务会计报告、季度报告、中期报告或年度报告复核完毕后，</w:t>
      </w:r>
      <w:r>
        <w:rPr>
          <w:rFonts w:hAnsi="宋体"/>
          <w:bCs/>
        </w:rPr>
        <w:t>向基金管理人</w:t>
      </w:r>
      <w:r>
        <w:rPr>
          <w:rFonts w:hAnsi="宋体" w:hint="eastAsia"/>
          <w:bCs/>
        </w:rPr>
        <w:t>进行书面</w:t>
      </w:r>
      <w:r>
        <w:rPr>
          <w:rFonts w:hAnsi="宋体"/>
          <w:bCs/>
        </w:rPr>
        <w:t>或电子确认</w:t>
      </w:r>
      <w:r>
        <w:rPr>
          <w:rFonts w:hAnsi="宋体" w:hint="eastAsia"/>
          <w:szCs w:val="24"/>
        </w:rPr>
        <w:t>，以</w:t>
      </w:r>
      <w:proofErr w:type="gramStart"/>
      <w:r>
        <w:rPr>
          <w:rFonts w:hAnsi="宋体" w:hint="eastAsia"/>
          <w:szCs w:val="24"/>
        </w:rPr>
        <w:t>备有权</w:t>
      </w:r>
      <w:proofErr w:type="gramEnd"/>
      <w:r>
        <w:rPr>
          <w:rFonts w:hAnsi="宋体" w:hint="eastAsia"/>
          <w:szCs w:val="24"/>
        </w:rPr>
        <w:t>机构对相关文件审核时提示。</w:t>
      </w:r>
    </w:p>
    <w:p w14:paraId="0918CEA1" w14:textId="77777777" w:rsidR="00966B07" w:rsidRDefault="00792B83">
      <w:pPr>
        <w:pStyle w:val="20"/>
        <w:spacing w:before="0" w:after="0" w:line="520" w:lineRule="atLeast"/>
        <w:ind w:left="0" w:firstLineChars="200" w:firstLine="480"/>
        <w:rPr>
          <w:rFonts w:hAnsi="宋体"/>
          <w:szCs w:val="24"/>
        </w:rPr>
      </w:pPr>
      <w:bookmarkStart w:id="30" w:name="_Hlk113623412"/>
      <w:r>
        <w:rPr>
          <w:rFonts w:hAnsi="宋体" w:hint="eastAsia"/>
          <w:szCs w:val="24"/>
        </w:rPr>
        <w:t>8.6暂停估值的情形</w:t>
      </w:r>
    </w:p>
    <w:p w14:paraId="17BBBBE0" w14:textId="5F55CFD5" w:rsidR="00966B07" w:rsidRDefault="00792B83">
      <w:pPr>
        <w:pStyle w:val="20"/>
        <w:spacing w:before="0" w:after="0" w:line="520" w:lineRule="atLeast"/>
        <w:ind w:left="0" w:firstLineChars="200" w:firstLine="480"/>
        <w:rPr>
          <w:rFonts w:hAnsi="宋体"/>
          <w:szCs w:val="24"/>
        </w:rPr>
      </w:pPr>
      <w:bookmarkStart w:id="31" w:name="_Hlk101559614"/>
      <w:r>
        <w:rPr>
          <w:rFonts w:hAnsi="宋体" w:hint="eastAsia"/>
          <w:szCs w:val="24"/>
        </w:rPr>
        <w:t>（1）基金投资所涉及的证券交易市场遇法定节假日或因其他原因暂停营业时；</w:t>
      </w:r>
    </w:p>
    <w:p w14:paraId="18233B7F"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（2）因不可抗力致使基金管理人、基金托管人无法准确评估基金资产价值时；</w:t>
      </w:r>
    </w:p>
    <w:p w14:paraId="1AAE36AE" w14:textId="77777777" w:rsidR="00966B07" w:rsidRDefault="00792B83">
      <w:pPr>
        <w:pStyle w:val="20"/>
        <w:spacing w:before="0" w:after="0" w:line="520" w:lineRule="atLeast"/>
        <w:ind w:left="0" w:firstLineChars="200" w:firstLine="480"/>
        <w:rPr>
          <w:bCs/>
        </w:rPr>
      </w:pPr>
      <w:r>
        <w:rPr>
          <w:rFonts w:hint="eastAsia"/>
          <w:bCs/>
        </w:rPr>
        <w:t>（3）当</w:t>
      </w:r>
      <w:r>
        <w:rPr>
          <w:rFonts w:hAnsi="宋体" w:hint="eastAsia"/>
          <w:bCs/>
        </w:rPr>
        <w:t>特定资产占</w:t>
      </w:r>
      <w:r>
        <w:rPr>
          <w:rFonts w:hint="eastAsia"/>
          <w:bCs/>
        </w:rPr>
        <w:t>前一估值日基金资产净值50%以上的，经与基金托管人协商确认后，基金</w:t>
      </w:r>
      <w:r>
        <w:rPr>
          <w:rFonts w:hAnsi="宋体" w:hint="eastAsia"/>
          <w:bCs/>
        </w:rPr>
        <w:t>管理人</w:t>
      </w:r>
      <w:r>
        <w:rPr>
          <w:rFonts w:hint="eastAsia"/>
          <w:bCs/>
        </w:rPr>
        <w:t>应当暂停估值；</w:t>
      </w:r>
    </w:p>
    <w:p w14:paraId="287465E3"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（4）法律法规、中国证监会和基金合同认定的其他情形。</w:t>
      </w:r>
    </w:p>
    <w:p w14:paraId="1475838B" w14:textId="7A12FC9E" w:rsidR="00966B07" w:rsidRDefault="00792B83">
      <w:pPr>
        <w:pStyle w:val="20"/>
        <w:spacing w:before="0" w:after="0" w:line="520" w:lineRule="atLeast"/>
        <w:ind w:left="0" w:firstLineChars="200" w:firstLine="480"/>
        <w:rPr>
          <w:rFonts w:hAnsi="宋体"/>
          <w:szCs w:val="24"/>
        </w:rPr>
      </w:pPr>
      <w:r>
        <w:rPr>
          <w:rFonts w:hAnsi="宋体" w:hint="eastAsia"/>
          <w:szCs w:val="24"/>
        </w:rPr>
        <w:t>8.7特殊情况的处理</w:t>
      </w:r>
    </w:p>
    <w:p w14:paraId="7B44294F" w14:textId="45722E70" w:rsidR="00966B07" w:rsidRDefault="00792B83">
      <w:pPr>
        <w:pStyle w:val="20"/>
        <w:spacing w:before="0" w:after="0" w:line="520" w:lineRule="atLeast"/>
        <w:ind w:left="0" w:firstLineChars="200" w:firstLine="480"/>
        <w:rPr>
          <w:rFonts w:hAnsi="宋体"/>
          <w:szCs w:val="24"/>
        </w:rPr>
      </w:pPr>
      <w:r>
        <w:rPr>
          <w:rFonts w:hAnsi="宋体" w:hint="eastAsia"/>
          <w:szCs w:val="24"/>
        </w:rPr>
        <w:t>（1）</w:t>
      </w:r>
      <w:r>
        <w:rPr>
          <w:rFonts w:hAnsi="宋体"/>
          <w:bCs/>
        </w:rPr>
        <w:t>基金管理人或基金托管人按估值方法的第</w:t>
      </w:r>
      <w:r>
        <w:rPr>
          <w:rFonts w:hint="eastAsia"/>
          <w:bCs/>
        </w:rPr>
        <w:t>8</w:t>
      </w:r>
      <w:r>
        <w:rPr>
          <w:rFonts w:hAnsi="宋体"/>
          <w:bCs/>
        </w:rPr>
        <w:t>项进行估值时，所造成的误差不作为基金资产估值错误处理</w:t>
      </w:r>
      <w:r>
        <w:rPr>
          <w:rFonts w:hAnsi="宋体" w:hint="eastAsia"/>
          <w:szCs w:val="24"/>
        </w:rPr>
        <w:t>。</w:t>
      </w:r>
    </w:p>
    <w:p w14:paraId="00F1B649" w14:textId="7DFA96D1" w:rsidR="00966B07" w:rsidRDefault="00792B83">
      <w:pPr>
        <w:pStyle w:val="20"/>
        <w:spacing w:before="0" w:after="0" w:line="520" w:lineRule="atLeast"/>
        <w:ind w:left="0" w:firstLineChars="200" w:firstLine="480"/>
        <w:rPr>
          <w:rFonts w:hAnsi="宋体"/>
          <w:szCs w:val="24"/>
        </w:rPr>
      </w:pPr>
      <w:r>
        <w:rPr>
          <w:rFonts w:hAnsi="宋体" w:hint="eastAsia"/>
          <w:szCs w:val="24"/>
        </w:rPr>
        <w:t>（2）</w:t>
      </w:r>
      <w:r>
        <w:rPr>
          <w:rFonts w:hAnsi="宋体"/>
          <w:bCs/>
        </w:rPr>
        <w:t>由于证券交易场所及登记结算公司</w:t>
      </w:r>
      <w:r>
        <w:rPr>
          <w:rFonts w:hAnsi="宋体" w:hint="eastAsia"/>
          <w:bCs/>
        </w:rPr>
        <w:t>及存款银行等第三方机构</w:t>
      </w:r>
      <w:r>
        <w:rPr>
          <w:rFonts w:hAnsi="宋体"/>
          <w:bCs/>
        </w:rPr>
        <w:t>发送的数据错误，</w:t>
      </w:r>
      <w:r w:rsidR="00DB1A15">
        <w:rPr>
          <w:rFonts w:hAnsi="宋体" w:hint="eastAsia"/>
          <w:bCs/>
        </w:rPr>
        <w:t>有关会计制度变化</w:t>
      </w:r>
      <w:r>
        <w:rPr>
          <w:rFonts w:hAnsi="宋体" w:hint="eastAsia"/>
          <w:bCs/>
        </w:rPr>
        <w:t>、市场规则变更</w:t>
      </w:r>
      <w:r>
        <w:rPr>
          <w:rFonts w:hAnsi="宋体"/>
          <w:bCs/>
        </w:rPr>
        <w:t>或由于其他不可抗力原因，基金管理人和基金托管人虽然已经采取必要、适当、合理的措施进行检查，但是未能发现该错误</w:t>
      </w:r>
      <w:r>
        <w:rPr>
          <w:rFonts w:hAnsi="宋体" w:hint="eastAsia"/>
          <w:bCs/>
        </w:rPr>
        <w:t>或未能避免错误发生或</w:t>
      </w:r>
      <w:proofErr w:type="gramStart"/>
      <w:r>
        <w:rPr>
          <w:rFonts w:hAnsi="宋体" w:hint="eastAsia"/>
          <w:bCs/>
        </w:rPr>
        <w:t>虽发现</w:t>
      </w:r>
      <w:proofErr w:type="gramEnd"/>
      <w:r>
        <w:rPr>
          <w:rFonts w:hAnsi="宋体" w:hint="eastAsia"/>
          <w:bCs/>
        </w:rPr>
        <w:t>错误但因前述原因无法及时更正的，</w:t>
      </w:r>
      <w:r>
        <w:rPr>
          <w:rFonts w:hAnsi="宋体"/>
          <w:bCs/>
        </w:rPr>
        <w:t>而由此造成的基金资产估值错误，基金管理人、基金托管人免除赔偿责任。但基金管理人、基金托管人应当积极采取必要的措施消除或减轻由此造成的影响</w:t>
      </w:r>
      <w:r>
        <w:rPr>
          <w:rFonts w:hAnsi="宋体" w:hint="eastAsia"/>
          <w:szCs w:val="24"/>
        </w:rPr>
        <w:t>。</w:t>
      </w:r>
    </w:p>
    <w:p w14:paraId="71129A72"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8.8实施</w:t>
      </w:r>
      <w:proofErr w:type="gramStart"/>
      <w:r>
        <w:rPr>
          <w:rFonts w:hAnsi="宋体" w:hint="eastAsia"/>
          <w:szCs w:val="24"/>
        </w:rPr>
        <w:t>侧袋机制</w:t>
      </w:r>
      <w:proofErr w:type="gramEnd"/>
      <w:r>
        <w:rPr>
          <w:rFonts w:hAnsi="宋体" w:hint="eastAsia"/>
          <w:szCs w:val="24"/>
        </w:rPr>
        <w:t>期间的基金资产估值</w:t>
      </w:r>
    </w:p>
    <w:p w14:paraId="71BBEB5E"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本基金实施</w:t>
      </w:r>
      <w:proofErr w:type="gramStart"/>
      <w:r>
        <w:rPr>
          <w:rFonts w:hAnsi="宋体" w:hint="eastAsia"/>
          <w:szCs w:val="24"/>
        </w:rPr>
        <w:t>侧袋机制</w:t>
      </w:r>
      <w:proofErr w:type="gramEnd"/>
      <w:r>
        <w:rPr>
          <w:rFonts w:hAnsi="宋体" w:hint="eastAsia"/>
          <w:szCs w:val="24"/>
        </w:rPr>
        <w:t>的，应根据本部分的约定</w:t>
      </w:r>
      <w:proofErr w:type="gramStart"/>
      <w:r>
        <w:rPr>
          <w:rFonts w:hAnsi="宋体" w:hint="eastAsia"/>
          <w:szCs w:val="24"/>
        </w:rPr>
        <w:t>对主袋账户</w:t>
      </w:r>
      <w:proofErr w:type="gramEnd"/>
      <w:r>
        <w:rPr>
          <w:rFonts w:hAnsi="宋体" w:hint="eastAsia"/>
          <w:szCs w:val="24"/>
        </w:rPr>
        <w:t>资产进行估值并</w:t>
      </w:r>
      <w:proofErr w:type="gramStart"/>
      <w:r>
        <w:rPr>
          <w:rFonts w:hAnsi="宋体" w:hint="eastAsia"/>
          <w:szCs w:val="24"/>
        </w:rPr>
        <w:t>披露主袋账户</w:t>
      </w:r>
      <w:proofErr w:type="gramEnd"/>
      <w:r>
        <w:rPr>
          <w:rFonts w:hAnsi="宋体" w:hint="eastAsia"/>
          <w:szCs w:val="24"/>
        </w:rPr>
        <w:t>的基金净值信息，暂停</w:t>
      </w:r>
      <w:proofErr w:type="gramStart"/>
      <w:r>
        <w:rPr>
          <w:rFonts w:hAnsi="宋体" w:hint="eastAsia"/>
          <w:szCs w:val="24"/>
        </w:rPr>
        <w:t>披露侧袋账户</w:t>
      </w:r>
      <w:proofErr w:type="gramEnd"/>
      <w:r>
        <w:rPr>
          <w:rFonts w:hAnsi="宋体" w:hint="eastAsia"/>
          <w:szCs w:val="24"/>
        </w:rPr>
        <w:t>的基金净值信息。</w:t>
      </w:r>
    </w:p>
    <w:p w14:paraId="51415AFA" w14:textId="77777777" w:rsidR="00966B07" w:rsidRDefault="00792B83">
      <w:pPr>
        <w:pStyle w:val="1"/>
        <w:spacing w:line="520" w:lineRule="atLeast"/>
        <w:ind w:firstLineChars="200" w:firstLine="482"/>
        <w:rPr>
          <w:bCs/>
          <w:color w:val="auto"/>
          <w:szCs w:val="24"/>
        </w:rPr>
      </w:pPr>
      <w:bookmarkStart w:id="32" w:name="_Toc296551345"/>
      <w:bookmarkStart w:id="33" w:name="_Toc63235226"/>
      <w:bookmarkEnd w:id="30"/>
      <w:bookmarkEnd w:id="31"/>
      <w:r>
        <w:rPr>
          <w:rFonts w:hint="eastAsia"/>
          <w:bCs/>
          <w:color w:val="auto"/>
          <w:szCs w:val="24"/>
        </w:rPr>
        <w:lastRenderedPageBreak/>
        <w:t>第九条 基金收益分配</w:t>
      </w:r>
      <w:bookmarkEnd w:id="32"/>
      <w:bookmarkEnd w:id="33"/>
    </w:p>
    <w:p w14:paraId="534BFCF7" w14:textId="77777777" w:rsidR="00966B07" w:rsidRDefault="00792B83">
      <w:pPr>
        <w:pStyle w:val="20"/>
        <w:spacing w:before="0" w:after="0" w:line="520" w:lineRule="atLeast"/>
        <w:ind w:left="0" w:firstLineChars="200" w:firstLine="480"/>
        <w:rPr>
          <w:rFonts w:hAnsi="宋体"/>
          <w:szCs w:val="24"/>
        </w:rPr>
      </w:pPr>
      <w:bookmarkStart w:id="34" w:name="_Hlk113623492"/>
      <w:r>
        <w:rPr>
          <w:rFonts w:hAnsi="宋体" w:hint="eastAsia"/>
          <w:szCs w:val="24"/>
        </w:rPr>
        <w:t>9.1基金利润的构成</w:t>
      </w:r>
    </w:p>
    <w:p w14:paraId="253468E6"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基金利润指基金利息收入、投资收益、公允价值变动收益和其他收入扣除相关费用后的余额；基金已实现收益指基金利润减去公允价值变动收益后的余额。</w:t>
      </w:r>
    </w:p>
    <w:p w14:paraId="66A8F8DF"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9.2基金可供分配利润</w:t>
      </w:r>
    </w:p>
    <w:p w14:paraId="7B60817D"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基金可供分配利润指截至收益分配基准日基金未分配利润与未分配利润中已实现收益的孰低数。</w:t>
      </w:r>
    </w:p>
    <w:p w14:paraId="405489A1"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9.3收益分配原则</w:t>
      </w:r>
    </w:p>
    <w:p w14:paraId="0630AAA7" w14:textId="77777777" w:rsidR="00966B07" w:rsidRDefault="00792B83">
      <w:pPr>
        <w:spacing w:line="520" w:lineRule="atLeast"/>
        <w:ind w:firstLineChars="225" w:firstLine="540"/>
        <w:rPr>
          <w:bCs/>
          <w:sz w:val="24"/>
          <w:szCs w:val="24"/>
        </w:rPr>
      </w:pPr>
      <w:r>
        <w:rPr>
          <w:rFonts w:hint="eastAsia"/>
          <w:bCs/>
          <w:sz w:val="24"/>
          <w:szCs w:val="24"/>
        </w:rPr>
        <w:t>（</w:t>
      </w:r>
      <w:r>
        <w:rPr>
          <w:rFonts w:hint="eastAsia"/>
          <w:bCs/>
          <w:sz w:val="24"/>
          <w:szCs w:val="24"/>
        </w:rPr>
        <w:t>1</w:t>
      </w:r>
      <w:r>
        <w:rPr>
          <w:rFonts w:hint="eastAsia"/>
          <w:bCs/>
          <w:sz w:val="24"/>
          <w:szCs w:val="24"/>
        </w:rPr>
        <w:t>）《基金合同》生效不满</w:t>
      </w:r>
      <w:r>
        <w:rPr>
          <w:rFonts w:hint="eastAsia"/>
          <w:bCs/>
          <w:sz w:val="24"/>
          <w:szCs w:val="24"/>
        </w:rPr>
        <w:t>3</w:t>
      </w:r>
      <w:r>
        <w:rPr>
          <w:rFonts w:hint="eastAsia"/>
          <w:bCs/>
          <w:sz w:val="24"/>
          <w:szCs w:val="24"/>
        </w:rPr>
        <w:t>个月可不进行收益分配；</w:t>
      </w:r>
    </w:p>
    <w:p w14:paraId="140F6EE2" w14:textId="6C073D99" w:rsidR="00966B07" w:rsidRDefault="00792B83">
      <w:pPr>
        <w:spacing w:line="520" w:lineRule="atLeast"/>
        <w:ind w:firstLineChars="225" w:firstLine="540"/>
        <w:rPr>
          <w:bCs/>
          <w:sz w:val="24"/>
          <w:szCs w:val="24"/>
        </w:rPr>
      </w:pPr>
      <w:r>
        <w:rPr>
          <w:rFonts w:hint="eastAsia"/>
          <w:bCs/>
          <w:sz w:val="24"/>
          <w:szCs w:val="24"/>
        </w:rPr>
        <w:t>（</w:t>
      </w:r>
      <w:r>
        <w:rPr>
          <w:rFonts w:hint="eastAsia"/>
          <w:bCs/>
          <w:sz w:val="24"/>
          <w:szCs w:val="24"/>
        </w:rPr>
        <w:t>2</w:t>
      </w:r>
      <w:r>
        <w:rPr>
          <w:rFonts w:hint="eastAsia"/>
          <w:bCs/>
          <w:sz w:val="24"/>
          <w:szCs w:val="24"/>
        </w:rPr>
        <w:t>）</w:t>
      </w:r>
      <w:r w:rsidRPr="00524AFD">
        <w:rPr>
          <w:rFonts w:hint="eastAsia"/>
          <w:bCs/>
          <w:sz w:val="24"/>
          <w:szCs w:val="24"/>
        </w:rPr>
        <w:t>本基金收益分配方式分两种：现金分红与红利再投资，投资者可选择现金红利或将现金红利自动转为基金份额进行再投资；若投资者不选择，本基金默认的收益分配方式是现金分红</w:t>
      </w:r>
      <w:r>
        <w:rPr>
          <w:rFonts w:hint="eastAsia"/>
          <w:bCs/>
          <w:sz w:val="24"/>
          <w:szCs w:val="24"/>
        </w:rPr>
        <w:t>；</w:t>
      </w:r>
    </w:p>
    <w:p w14:paraId="2F1DA001" w14:textId="6CD30B18" w:rsidR="00966B07" w:rsidRDefault="00792B83">
      <w:pPr>
        <w:spacing w:line="520" w:lineRule="atLeast"/>
        <w:ind w:firstLineChars="225" w:firstLine="540"/>
        <w:rPr>
          <w:bCs/>
          <w:sz w:val="24"/>
          <w:szCs w:val="24"/>
        </w:rPr>
      </w:pPr>
      <w:r>
        <w:rPr>
          <w:rFonts w:hint="eastAsia"/>
          <w:bCs/>
          <w:sz w:val="24"/>
          <w:szCs w:val="24"/>
        </w:rPr>
        <w:t>（</w:t>
      </w:r>
      <w:r>
        <w:rPr>
          <w:rFonts w:hint="eastAsia"/>
          <w:bCs/>
          <w:sz w:val="24"/>
          <w:szCs w:val="24"/>
        </w:rPr>
        <w:t>3</w:t>
      </w:r>
      <w:r>
        <w:rPr>
          <w:rFonts w:hint="eastAsia"/>
          <w:bCs/>
          <w:sz w:val="24"/>
          <w:szCs w:val="24"/>
        </w:rPr>
        <w:t>）</w:t>
      </w:r>
      <w:r>
        <w:rPr>
          <w:bCs/>
          <w:sz w:val="24"/>
        </w:rPr>
        <w:t>基金收益分配后基金份额净值不能低于面值</w:t>
      </w:r>
      <w:r>
        <w:rPr>
          <w:rFonts w:hint="eastAsia"/>
          <w:bCs/>
          <w:sz w:val="24"/>
        </w:rPr>
        <w:t>，</w:t>
      </w:r>
      <w:r>
        <w:rPr>
          <w:bCs/>
          <w:sz w:val="24"/>
        </w:rPr>
        <w:t>即基金收益分配基准日的基金份额净值减去每单位基金份额收益分配金额后不能低于面值</w:t>
      </w:r>
      <w:r>
        <w:rPr>
          <w:rFonts w:hint="eastAsia"/>
          <w:bCs/>
          <w:sz w:val="24"/>
          <w:szCs w:val="24"/>
        </w:rPr>
        <w:t>；</w:t>
      </w:r>
    </w:p>
    <w:p w14:paraId="1E902048" w14:textId="2314A400" w:rsidR="00966B07" w:rsidRDefault="00792B83">
      <w:pPr>
        <w:spacing w:line="520" w:lineRule="atLeast"/>
        <w:ind w:firstLineChars="225" w:firstLine="540"/>
        <w:rPr>
          <w:bCs/>
          <w:sz w:val="24"/>
          <w:szCs w:val="24"/>
        </w:rPr>
      </w:pPr>
      <w:r>
        <w:rPr>
          <w:rFonts w:hint="eastAsia"/>
          <w:bCs/>
          <w:sz w:val="24"/>
          <w:szCs w:val="24"/>
        </w:rPr>
        <w:t>（</w:t>
      </w:r>
      <w:r>
        <w:rPr>
          <w:rFonts w:hint="eastAsia"/>
          <w:bCs/>
          <w:sz w:val="24"/>
          <w:szCs w:val="24"/>
        </w:rPr>
        <w:t>4</w:t>
      </w:r>
      <w:r>
        <w:rPr>
          <w:rFonts w:hint="eastAsia"/>
          <w:bCs/>
          <w:sz w:val="24"/>
          <w:szCs w:val="24"/>
        </w:rPr>
        <w:t>）</w:t>
      </w:r>
      <w:r>
        <w:rPr>
          <w:bCs/>
          <w:sz w:val="24"/>
        </w:rPr>
        <w:t>每一基金份额享有同等分配权</w:t>
      </w:r>
      <w:r>
        <w:rPr>
          <w:rFonts w:hint="eastAsia"/>
          <w:bCs/>
          <w:sz w:val="24"/>
          <w:szCs w:val="24"/>
        </w:rPr>
        <w:t>；</w:t>
      </w:r>
      <w:r>
        <w:rPr>
          <w:rFonts w:hint="eastAsia"/>
          <w:bCs/>
          <w:sz w:val="24"/>
          <w:szCs w:val="24"/>
        </w:rPr>
        <w:t xml:space="preserve"> </w:t>
      </w:r>
    </w:p>
    <w:p w14:paraId="1A331C70" w14:textId="77777777" w:rsidR="00966B07" w:rsidRDefault="00792B83">
      <w:pPr>
        <w:spacing w:line="520" w:lineRule="atLeast"/>
        <w:ind w:firstLineChars="225" w:firstLine="540"/>
        <w:rPr>
          <w:bCs/>
          <w:sz w:val="24"/>
          <w:szCs w:val="24"/>
        </w:rPr>
      </w:pPr>
      <w:r>
        <w:rPr>
          <w:rFonts w:hint="eastAsia"/>
          <w:bCs/>
          <w:sz w:val="24"/>
          <w:szCs w:val="24"/>
        </w:rPr>
        <w:t>（</w:t>
      </w:r>
      <w:r>
        <w:rPr>
          <w:rFonts w:hint="eastAsia"/>
          <w:bCs/>
          <w:sz w:val="24"/>
          <w:szCs w:val="24"/>
        </w:rPr>
        <w:t>5</w:t>
      </w:r>
      <w:r>
        <w:rPr>
          <w:rFonts w:hint="eastAsia"/>
          <w:bCs/>
          <w:sz w:val="24"/>
          <w:szCs w:val="24"/>
        </w:rPr>
        <w:t>）法律法规或监管机关另有规定的，从其规定。</w:t>
      </w:r>
    </w:p>
    <w:p w14:paraId="35D6A398" w14:textId="77777777" w:rsidR="00966B07" w:rsidRDefault="00792B83">
      <w:pPr>
        <w:spacing w:line="520" w:lineRule="atLeast"/>
        <w:ind w:firstLineChars="225" w:firstLine="540"/>
        <w:rPr>
          <w:bCs/>
          <w:sz w:val="24"/>
        </w:rPr>
      </w:pPr>
      <w:r>
        <w:rPr>
          <w:rFonts w:hint="eastAsia"/>
          <w:bCs/>
          <w:sz w:val="24"/>
          <w:szCs w:val="24"/>
        </w:rPr>
        <w:t>在对基金份额持有人利益无实质性不利影响的前提下，经履行相关程序后，基金管理人可对基金收益分配原则进行调整，不需召开基金份额持有人大会。</w:t>
      </w:r>
    </w:p>
    <w:p w14:paraId="064ECCD3"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9.4收益分配方案</w:t>
      </w:r>
    </w:p>
    <w:p w14:paraId="18145C86" w14:textId="7E6B9CB7" w:rsidR="00966B07" w:rsidRDefault="00792B83">
      <w:pPr>
        <w:pStyle w:val="20"/>
        <w:spacing w:before="0" w:after="0" w:line="520" w:lineRule="atLeast"/>
        <w:ind w:left="0" w:firstLineChars="200" w:firstLine="480"/>
        <w:rPr>
          <w:rFonts w:hAnsi="宋体"/>
          <w:szCs w:val="24"/>
        </w:rPr>
      </w:pPr>
      <w:r>
        <w:rPr>
          <w:rFonts w:hint="eastAsia"/>
          <w:bCs/>
        </w:rPr>
        <w:t>基金收益分配方案中应载明截至收益分配基准日的可供分配利润、基金收益分配对象、分配时间、分配数额及比例、分配方式等内容。</w:t>
      </w:r>
    </w:p>
    <w:bookmarkEnd w:id="34"/>
    <w:p w14:paraId="602E380D"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9.5收益分配的时间和程序</w:t>
      </w:r>
    </w:p>
    <w:p w14:paraId="68292D7A" w14:textId="77777777" w:rsidR="00966B07" w:rsidRDefault="00792B83">
      <w:pPr>
        <w:pStyle w:val="20"/>
        <w:spacing w:before="0" w:after="0" w:line="520" w:lineRule="atLeast"/>
        <w:ind w:left="0" w:firstLineChars="200" w:firstLine="480"/>
        <w:rPr>
          <w:bCs/>
        </w:rPr>
      </w:pPr>
      <w:r>
        <w:rPr>
          <w:rFonts w:hAnsi="宋体" w:hint="eastAsia"/>
          <w:szCs w:val="24"/>
        </w:rPr>
        <w:t>9.5.1本基金收益分配方案由基金管理人拟定，并由基金托管人复核，按照《信息披露办法》</w:t>
      </w:r>
      <w:r>
        <w:rPr>
          <w:rFonts w:hAnsi="宋体" w:hint="eastAsia"/>
          <w:bCs/>
        </w:rPr>
        <w:t>的</w:t>
      </w:r>
      <w:r>
        <w:rPr>
          <w:rFonts w:hAnsi="宋体" w:hint="eastAsia"/>
          <w:szCs w:val="24"/>
        </w:rPr>
        <w:t>有关规定在规定媒介公告。</w:t>
      </w:r>
    </w:p>
    <w:p w14:paraId="0EC28A99"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9.5.2在收益分配方案公布后，基金管理人依据具体方案的规定就支付的现金红利向基金托管人发送划款指令，基金托管人按照基金管理人的指令及时进行分红资金的划付。基金托管人负责核对收益分配方案的总金额与划款指令金额一致，不对每个投资者的明细分配金额进行复核。</w:t>
      </w:r>
    </w:p>
    <w:p w14:paraId="584BCAED"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lastRenderedPageBreak/>
        <w:t>9.5.3实施</w:t>
      </w:r>
      <w:proofErr w:type="gramStart"/>
      <w:r>
        <w:rPr>
          <w:rFonts w:hAnsi="宋体" w:hint="eastAsia"/>
          <w:szCs w:val="24"/>
        </w:rPr>
        <w:t>侧袋机制</w:t>
      </w:r>
      <w:proofErr w:type="gramEnd"/>
      <w:r>
        <w:rPr>
          <w:rFonts w:hAnsi="宋体" w:hint="eastAsia"/>
          <w:szCs w:val="24"/>
        </w:rPr>
        <w:t>期间的收益分配</w:t>
      </w:r>
    </w:p>
    <w:p w14:paraId="6EB4BA8A"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本基金实施</w:t>
      </w:r>
      <w:proofErr w:type="gramStart"/>
      <w:r>
        <w:rPr>
          <w:rFonts w:hAnsi="宋体" w:hint="eastAsia"/>
          <w:szCs w:val="24"/>
        </w:rPr>
        <w:t>侧袋机制</w:t>
      </w:r>
      <w:proofErr w:type="gramEnd"/>
      <w:r>
        <w:rPr>
          <w:rFonts w:hAnsi="宋体" w:hint="eastAsia"/>
          <w:szCs w:val="24"/>
        </w:rPr>
        <w:t>的，</w:t>
      </w:r>
      <w:proofErr w:type="gramStart"/>
      <w:r>
        <w:rPr>
          <w:rFonts w:hAnsi="宋体" w:hint="eastAsia"/>
          <w:szCs w:val="24"/>
        </w:rPr>
        <w:t>侧袋账户</w:t>
      </w:r>
      <w:proofErr w:type="gramEnd"/>
      <w:r>
        <w:rPr>
          <w:rFonts w:hAnsi="宋体" w:hint="eastAsia"/>
          <w:szCs w:val="24"/>
        </w:rPr>
        <w:t>不进行收益分配，详见招募说明书的规定。</w:t>
      </w:r>
    </w:p>
    <w:p w14:paraId="2665352C"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9.5.4法律法规或监管机关另有规定的，从其规定。</w:t>
      </w:r>
    </w:p>
    <w:p w14:paraId="13B5A856" w14:textId="77777777" w:rsidR="00966B07" w:rsidRDefault="00792B83">
      <w:pPr>
        <w:pStyle w:val="1"/>
        <w:spacing w:line="520" w:lineRule="atLeast"/>
        <w:ind w:firstLineChars="200" w:firstLine="482"/>
        <w:rPr>
          <w:bCs/>
          <w:color w:val="auto"/>
          <w:szCs w:val="24"/>
        </w:rPr>
      </w:pPr>
      <w:bookmarkStart w:id="35" w:name="_Toc63235227"/>
      <w:bookmarkStart w:id="36" w:name="_Toc296551346"/>
      <w:r>
        <w:rPr>
          <w:rFonts w:hint="eastAsia"/>
          <w:bCs/>
          <w:color w:val="auto"/>
          <w:szCs w:val="24"/>
        </w:rPr>
        <w:t>第十条 信息披露</w:t>
      </w:r>
      <w:bookmarkEnd w:id="35"/>
      <w:bookmarkEnd w:id="36"/>
    </w:p>
    <w:p w14:paraId="3B07AC6E"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10.1保密义务</w:t>
      </w:r>
    </w:p>
    <w:p w14:paraId="306ED2DA"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除按照《基金法》、《信息披露办法》、《流动性</w:t>
      </w:r>
      <w:r>
        <w:rPr>
          <w:rFonts w:hAnsi="宋体"/>
          <w:szCs w:val="24"/>
        </w:rPr>
        <w:t>风险管理规定</w:t>
      </w:r>
      <w:r>
        <w:rPr>
          <w:rFonts w:hAnsi="宋体" w:hint="eastAsia"/>
          <w:szCs w:val="24"/>
        </w:rPr>
        <w:t>》、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14:paraId="269BB556"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（1）非因基金管理人和基金托管人的原因导致保密信息被披露、泄露或公开；</w:t>
      </w:r>
    </w:p>
    <w:p w14:paraId="3E886A4D"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（2）基金管理人和基金托管人为遵守和服从法院判决或裁定、仲裁裁决或中国证监会等监管机构的命令、决定所做出的信息披露或公开；</w:t>
      </w:r>
    </w:p>
    <w:p w14:paraId="1262DF72"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（3）基金管理人和基金托管人在要求保密的前提下对自身聘请的外部法律顾问、财务顾问、审计人员、技术顾问等做出的必要信息披露。</w:t>
      </w:r>
    </w:p>
    <w:p w14:paraId="7622D939"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10.2基金管理人和基金托管人在信息披露中的职责和信息披露程序</w:t>
      </w:r>
    </w:p>
    <w:p w14:paraId="31F4647B"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10.2.1基金管理人和基金托管人应根据相关法律法规、基金合同的规定各自承担相应的信息披露职责。基金管理人和基金托管人负有积极配合、互相督促、彼此监督、保证其履行按照法定方式和时限披露的义务。</w:t>
      </w:r>
    </w:p>
    <w:p w14:paraId="07BF976E" w14:textId="1BE743DE" w:rsidR="00966B07" w:rsidRDefault="00792B83">
      <w:pPr>
        <w:pStyle w:val="20"/>
        <w:spacing w:before="0" w:after="0" w:line="520" w:lineRule="atLeast"/>
        <w:ind w:left="0" w:firstLineChars="200" w:firstLine="480"/>
        <w:rPr>
          <w:rFonts w:hAnsi="宋体"/>
          <w:szCs w:val="24"/>
        </w:rPr>
      </w:pPr>
      <w:r>
        <w:rPr>
          <w:rFonts w:hAnsi="宋体" w:hint="eastAsia"/>
          <w:szCs w:val="24"/>
        </w:rPr>
        <w:t>10.2.2本基金信息披露的文件主要包括基金招募说明书、基金产品资料概要、基金合同、托管协议、基金份额发售公告、基金合同生效公告、基金净值信息、基金份额申购、赎回价格、基金定期报告（包括基金年度报告、基金中期报告和基金季度报告</w:t>
      </w:r>
      <w:r>
        <w:rPr>
          <w:rFonts w:hAnsi="宋体" w:hint="eastAsia"/>
          <w:bCs/>
        </w:rPr>
        <w:t>（含资产组合季度报告）</w:t>
      </w:r>
      <w:r>
        <w:rPr>
          <w:rFonts w:hAnsi="宋体" w:hint="eastAsia"/>
          <w:szCs w:val="24"/>
        </w:rPr>
        <w:t>）、临时报告、澄清公告、</w:t>
      </w:r>
      <w:r>
        <w:rPr>
          <w:rFonts w:hint="eastAsia"/>
          <w:bCs/>
        </w:rPr>
        <w:t>清算报告、</w:t>
      </w:r>
      <w:r>
        <w:rPr>
          <w:rFonts w:hAnsi="宋体" w:hint="eastAsia"/>
          <w:szCs w:val="24"/>
        </w:rPr>
        <w:t>基金份额持有人大会决议、</w:t>
      </w:r>
      <w:r>
        <w:rPr>
          <w:rFonts w:hAnsi="宋体" w:hint="eastAsia"/>
          <w:bCs/>
        </w:rPr>
        <w:t>实施</w:t>
      </w:r>
      <w:proofErr w:type="gramStart"/>
      <w:r>
        <w:rPr>
          <w:rFonts w:hAnsi="宋体" w:hint="eastAsia"/>
          <w:bCs/>
        </w:rPr>
        <w:t>侧袋机制</w:t>
      </w:r>
      <w:proofErr w:type="gramEnd"/>
      <w:r>
        <w:rPr>
          <w:rFonts w:hAnsi="宋体" w:hint="eastAsia"/>
          <w:bCs/>
        </w:rPr>
        <w:t>期间的信息披露</w:t>
      </w:r>
      <w:r>
        <w:rPr>
          <w:rFonts w:hAnsi="宋体" w:hint="eastAsia"/>
          <w:szCs w:val="24"/>
        </w:rPr>
        <w:t>以及中国证监会规定的其他信息。</w:t>
      </w:r>
    </w:p>
    <w:p w14:paraId="5C211B25"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10.2.3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w:t>
      </w:r>
      <w:r>
        <w:rPr>
          <w:rFonts w:hAnsi="宋体" w:hint="eastAsia"/>
          <w:szCs w:val="24"/>
        </w:rPr>
        <w:lastRenderedPageBreak/>
        <w:t>基金合同和基金托管协议登载在规定网站上</w:t>
      </w:r>
      <w:r>
        <w:rPr>
          <w:rFonts w:hAnsi="宋体" w:hint="eastAsia"/>
          <w:bCs/>
        </w:rPr>
        <w:t>，其中基金产品资料概要还应当登载在基金销售机构网站或营业网点</w:t>
      </w:r>
      <w:r>
        <w:rPr>
          <w:rFonts w:hAnsi="宋体" w:hint="eastAsia"/>
          <w:szCs w:val="24"/>
        </w:rPr>
        <w:t>；基金托管人应当同时将基金合同、基金托管协议登载在规定网站上。</w:t>
      </w:r>
    </w:p>
    <w:p w14:paraId="7D1B3F84"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10.2.</w:t>
      </w:r>
      <w:r>
        <w:rPr>
          <w:rFonts w:hAnsi="宋体"/>
          <w:szCs w:val="24"/>
        </w:rPr>
        <w:t>4</w:t>
      </w:r>
      <w:r>
        <w:rPr>
          <w:rFonts w:hAnsi="宋体" w:hint="eastAsia"/>
          <w:szCs w:val="24"/>
        </w:rPr>
        <w:t>基金托管人应当按照相关法律法规、中国证监会的规定和《基金合同》的约定，对基金管理人编制的基金净值信息、基金份额申购赎回价格、基金定期报告、更新的招募说明书、基金产品资料概要、基金清算报告等公开披露的相关基金信息进行复核、审查，并向基金管理人</w:t>
      </w:r>
      <w:r>
        <w:rPr>
          <w:rFonts w:hAnsi="宋体" w:hint="eastAsia"/>
          <w:bCs/>
        </w:rPr>
        <w:t>进行书面</w:t>
      </w:r>
      <w:r>
        <w:rPr>
          <w:rFonts w:hAnsi="宋体"/>
          <w:bCs/>
        </w:rPr>
        <w:t>或电子</w:t>
      </w:r>
      <w:r>
        <w:rPr>
          <w:rFonts w:hAnsi="宋体" w:hint="eastAsia"/>
          <w:szCs w:val="24"/>
        </w:rPr>
        <w:t>确认。</w:t>
      </w:r>
    </w:p>
    <w:p w14:paraId="1960AC6F"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10.2.</w:t>
      </w:r>
      <w:r>
        <w:rPr>
          <w:rFonts w:hAnsi="宋体"/>
          <w:szCs w:val="24"/>
        </w:rPr>
        <w:t>5</w:t>
      </w:r>
      <w:r>
        <w:rPr>
          <w:rFonts w:hAnsi="宋体" w:hint="eastAsia"/>
          <w:szCs w:val="24"/>
        </w:rPr>
        <w:t>基金年度</w:t>
      </w:r>
      <w:r>
        <w:rPr>
          <w:rFonts w:hAnsi="宋体"/>
          <w:szCs w:val="24"/>
        </w:rPr>
        <w:t>报</w:t>
      </w:r>
      <w:r>
        <w:rPr>
          <w:rFonts w:hAnsi="宋体" w:hint="eastAsia"/>
          <w:szCs w:val="24"/>
        </w:rPr>
        <w:t>告中的财务报告部分，</w:t>
      </w:r>
      <w:proofErr w:type="gramStart"/>
      <w:r>
        <w:rPr>
          <w:rFonts w:hAnsi="宋体" w:hint="eastAsia"/>
          <w:szCs w:val="24"/>
        </w:rPr>
        <w:t>经</w:t>
      </w:r>
      <w:r>
        <w:rPr>
          <w:rFonts w:hAnsi="宋体" w:hint="eastAsia"/>
          <w:bCs/>
        </w:rPr>
        <w:t>符合</w:t>
      </w:r>
      <w:proofErr w:type="gramEnd"/>
      <w:r>
        <w:rPr>
          <w:rFonts w:hAnsi="宋体" w:hint="eastAsia"/>
          <w:bCs/>
        </w:rPr>
        <w:t>《中华人民共和国证券法》规定</w:t>
      </w:r>
      <w:r>
        <w:rPr>
          <w:rFonts w:hAnsi="宋体" w:hint="eastAsia"/>
          <w:szCs w:val="24"/>
        </w:rPr>
        <w:t>的会计师事务所审计后，方可披露。</w:t>
      </w:r>
    </w:p>
    <w:p w14:paraId="2CC3CD02"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10.2.</w:t>
      </w:r>
      <w:r>
        <w:rPr>
          <w:rFonts w:hAnsi="宋体"/>
          <w:szCs w:val="24"/>
        </w:rPr>
        <w:t>6</w:t>
      </w:r>
      <w:r>
        <w:rPr>
          <w:rFonts w:hAnsi="宋体" w:hint="eastAsia"/>
          <w:szCs w:val="24"/>
        </w:rPr>
        <w:t>基金管理人应当在中国证监会规定的时间内，将应予披露的基金信息通过中国证监会规定媒介披露。根据法律法规应由基金托管人公开披露的信息，基金托管人将通过中国证监会规定媒介公开披露。</w:t>
      </w:r>
    </w:p>
    <w:p w14:paraId="6E9C7F6B"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10.2.</w:t>
      </w:r>
      <w:r>
        <w:rPr>
          <w:rFonts w:hAnsi="宋体"/>
          <w:szCs w:val="24"/>
        </w:rPr>
        <w:t>7</w:t>
      </w:r>
      <w:r>
        <w:rPr>
          <w:rFonts w:hAnsi="宋体" w:hint="eastAsia"/>
          <w:bCs/>
        </w:rPr>
        <w:t>依法必须披露的信息发布后，基金管理人、基金托管人应当按照相关法律法规规定将信息置备于公司住所，供社会公众查阅、复制</w:t>
      </w:r>
      <w:r>
        <w:rPr>
          <w:rFonts w:hAnsi="宋体" w:hint="eastAsia"/>
          <w:szCs w:val="24"/>
        </w:rPr>
        <w:t>，投资人可以免费查阅。在支付工本费后可在合理时间获得上述文件的复制件或复印件。基金管理人和基金托管人应保证文本的内容与所公告的内容完全一致。</w:t>
      </w:r>
    </w:p>
    <w:p w14:paraId="04D126D5"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10.3暂停或延迟信息披露的情形</w:t>
      </w:r>
    </w:p>
    <w:p w14:paraId="66CB6FB3"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当出现下述情况时，基金管理人和基金托管人可暂停或延迟披露基金相关信息：</w:t>
      </w:r>
    </w:p>
    <w:p w14:paraId="25891A51" w14:textId="77777777" w:rsidR="00966B07" w:rsidRDefault="00792B83">
      <w:pPr>
        <w:pStyle w:val="20"/>
        <w:spacing w:before="0" w:after="0" w:line="520" w:lineRule="atLeast"/>
        <w:ind w:left="0" w:firstLineChars="200" w:firstLine="480"/>
        <w:rPr>
          <w:rFonts w:hAnsi="宋体"/>
          <w:szCs w:val="24"/>
        </w:rPr>
      </w:pPr>
      <w:bookmarkStart w:id="37" w:name="_Hlk113623711"/>
      <w:r>
        <w:rPr>
          <w:rFonts w:hAnsi="宋体" w:hint="eastAsia"/>
          <w:szCs w:val="24"/>
        </w:rPr>
        <w:t>（1）因不可抗力</w:t>
      </w:r>
      <w:r>
        <w:rPr>
          <w:rFonts w:hint="eastAsia"/>
          <w:bCs/>
        </w:rPr>
        <w:t>或其他情形</w:t>
      </w:r>
      <w:r>
        <w:rPr>
          <w:rFonts w:hAnsi="宋体" w:hint="eastAsia"/>
          <w:szCs w:val="24"/>
        </w:rPr>
        <w:t>致使基金管理人、基金托管人无法准确评估基金资产价值时；</w:t>
      </w:r>
    </w:p>
    <w:p w14:paraId="17C36BAC" w14:textId="122358B8" w:rsidR="00966B07" w:rsidRDefault="00792B83">
      <w:pPr>
        <w:pStyle w:val="20"/>
        <w:spacing w:before="0" w:after="0" w:line="520" w:lineRule="atLeast"/>
        <w:ind w:left="0" w:firstLineChars="200" w:firstLine="480"/>
        <w:rPr>
          <w:rFonts w:hAnsi="宋体"/>
          <w:szCs w:val="24"/>
        </w:rPr>
      </w:pPr>
      <w:r>
        <w:rPr>
          <w:rFonts w:hAnsi="宋体" w:hint="eastAsia"/>
          <w:szCs w:val="24"/>
        </w:rPr>
        <w:t>（2）基金投资所涉及的证券交易市场遇法定节假日或因其他原因暂停营业时；</w:t>
      </w:r>
    </w:p>
    <w:p w14:paraId="3F065B95"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（3）发生基金合同约定的暂停估值的情形；</w:t>
      </w:r>
    </w:p>
    <w:p w14:paraId="71F44283"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（4）法律法规、《基金合同》或中国证监会规定的其他情况。</w:t>
      </w:r>
    </w:p>
    <w:bookmarkEnd w:id="37"/>
    <w:p w14:paraId="42A87E32"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10.4基金托管人报告</w:t>
      </w:r>
    </w:p>
    <w:p w14:paraId="54FE1F80"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基金托管人应按《基金法》、《运作办法》、《信息披露办法》和其他有关法律法规的规定于每个上半年度结束后两个</w:t>
      </w:r>
      <w:r>
        <w:rPr>
          <w:rFonts w:hAnsi="宋体"/>
          <w:szCs w:val="24"/>
        </w:rPr>
        <w:t>月</w:t>
      </w:r>
      <w:r>
        <w:rPr>
          <w:rFonts w:hAnsi="宋体" w:hint="eastAsia"/>
          <w:szCs w:val="24"/>
        </w:rPr>
        <w:t>内、每个会计年度结束后三个</w:t>
      </w:r>
      <w:r>
        <w:rPr>
          <w:rFonts w:hAnsi="宋体"/>
          <w:szCs w:val="24"/>
        </w:rPr>
        <w:t>月</w:t>
      </w:r>
      <w:proofErr w:type="gramStart"/>
      <w:r>
        <w:rPr>
          <w:rFonts w:hAnsi="宋体" w:hint="eastAsia"/>
          <w:szCs w:val="24"/>
        </w:rPr>
        <w:t>内在基金</w:t>
      </w:r>
      <w:proofErr w:type="gramEnd"/>
      <w:r>
        <w:rPr>
          <w:rFonts w:hAnsi="宋体" w:hint="eastAsia"/>
          <w:szCs w:val="24"/>
        </w:rPr>
        <w:t>中期报告及年度报告中分别出具基金托管人报告，</w:t>
      </w:r>
      <w:r>
        <w:rPr>
          <w:rFonts w:hAnsi="宋体"/>
          <w:szCs w:val="24"/>
        </w:rPr>
        <w:t>并提交给基金管理人</w:t>
      </w:r>
      <w:r>
        <w:rPr>
          <w:rFonts w:hAnsi="宋体" w:hint="eastAsia"/>
          <w:szCs w:val="24"/>
        </w:rPr>
        <w:t>。</w:t>
      </w:r>
    </w:p>
    <w:p w14:paraId="340B5B73" w14:textId="77777777" w:rsidR="00966B07" w:rsidRDefault="00792B83">
      <w:pPr>
        <w:pStyle w:val="1"/>
        <w:spacing w:line="520" w:lineRule="atLeast"/>
        <w:ind w:firstLineChars="200" w:firstLine="482"/>
        <w:rPr>
          <w:bCs/>
          <w:color w:val="auto"/>
          <w:szCs w:val="24"/>
        </w:rPr>
      </w:pPr>
      <w:bookmarkStart w:id="38" w:name="_Toc63235228"/>
      <w:bookmarkStart w:id="39" w:name="_Toc296551347"/>
      <w:r>
        <w:rPr>
          <w:rFonts w:hint="eastAsia"/>
          <w:bCs/>
          <w:color w:val="auto"/>
          <w:szCs w:val="24"/>
        </w:rPr>
        <w:lastRenderedPageBreak/>
        <w:t>第十一条 基金费用</w:t>
      </w:r>
      <w:bookmarkEnd w:id="38"/>
      <w:bookmarkEnd w:id="39"/>
    </w:p>
    <w:p w14:paraId="32C01E79" w14:textId="77777777" w:rsidR="00966B07" w:rsidRDefault="00792B83">
      <w:pPr>
        <w:pStyle w:val="20"/>
        <w:spacing w:before="0" w:after="0" w:line="520" w:lineRule="atLeast"/>
        <w:ind w:left="0" w:firstLineChars="200" w:firstLine="480"/>
        <w:rPr>
          <w:rFonts w:hAnsi="宋体"/>
          <w:szCs w:val="24"/>
        </w:rPr>
      </w:pPr>
      <w:bookmarkStart w:id="40" w:name="_Hlk101560016"/>
      <w:r>
        <w:rPr>
          <w:rFonts w:hAnsi="宋体" w:hint="eastAsia"/>
          <w:szCs w:val="24"/>
        </w:rPr>
        <w:t>11.1基金管理费的计提比例和计提方法</w:t>
      </w:r>
    </w:p>
    <w:p w14:paraId="0F5DDDAE" w14:textId="7E0428C2" w:rsidR="00966B07" w:rsidRDefault="00792B83">
      <w:pPr>
        <w:pStyle w:val="20"/>
        <w:spacing w:before="0" w:after="0" w:line="520" w:lineRule="atLeast"/>
        <w:ind w:left="0" w:firstLineChars="200" w:firstLine="480"/>
        <w:rPr>
          <w:rFonts w:hAnsi="宋体"/>
          <w:szCs w:val="24"/>
        </w:rPr>
      </w:pPr>
      <w:r>
        <w:rPr>
          <w:rFonts w:hAnsi="宋体" w:hint="eastAsia"/>
          <w:szCs w:val="24"/>
        </w:rPr>
        <w:t>本基金的管理费按前一日基金资产净值的0</w:t>
      </w:r>
      <w:r>
        <w:rPr>
          <w:rFonts w:hAnsi="宋体"/>
          <w:szCs w:val="24"/>
        </w:rPr>
        <w:t>.30%</w:t>
      </w:r>
      <w:r>
        <w:rPr>
          <w:rFonts w:hAnsi="宋体" w:hint="eastAsia"/>
          <w:szCs w:val="24"/>
        </w:rPr>
        <w:t>年费率计提。管理费的计算方法如下：</w:t>
      </w:r>
    </w:p>
    <w:p w14:paraId="1F0E07E5" w14:textId="0D3E53B4" w:rsidR="00966B07" w:rsidRDefault="00792B83">
      <w:pPr>
        <w:pStyle w:val="20"/>
        <w:spacing w:before="0" w:after="0" w:line="520" w:lineRule="atLeast"/>
        <w:ind w:left="0" w:firstLineChars="200" w:firstLine="480"/>
        <w:rPr>
          <w:rFonts w:hAnsi="宋体"/>
          <w:szCs w:val="24"/>
        </w:rPr>
      </w:pPr>
      <w:r>
        <w:rPr>
          <w:rFonts w:hAnsi="宋体" w:hint="eastAsia"/>
          <w:szCs w:val="24"/>
        </w:rPr>
        <w:t>H＝E×</w:t>
      </w:r>
      <w:r>
        <w:rPr>
          <w:rFonts w:hint="eastAsia"/>
          <w:bCs/>
        </w:rPr>
        <w:t>0.</w:t>
      </w:r>
      <w:r>
        <w:rPr>
          <w:bCs/>
        </w:rPr>
        <w:t>3</w:t>
      </w:r>
      <w:r>
        <w:rPr>
          <w:rFonts w:hint="eastAsia"/>
          <w:bCs/>
        </w:rPr>
        <w:t>0</w:t>
      </w:r>
      <w:r>
        <w:rPr>
          <w:bCs/>
        </w:rPr>
        <w:t>%</w:t>
      </w:r>
      <w:r>
        <w:rPr>
          <w:rFonts w:hAnsi="宋体" w:hint="eastAsia"/>
          <w:szCs w:val="24"/>
        </w:rPr>
        <w:t>÷当年天数</w:t>
      </w:r>
    </w:p>
    <w:p w14:paraId="7851B20E"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H为每日应计提的基金管理费</w:t>
      </w:r>
    </w:p>
    <w:p w14:paraId="7128C96E"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E为前一日的基金资产净值</w:t>
      </w:r>
    </w:p>
    <w:p w14:paraId="44C47506" w14:textId="51C22BC9" w:rsidR="00966B07" w:rsidRDefault="00792B83">
      <w:pPr>
        <w:pStyle w:val="20"/>
        <w:spacing w:before="0" w:after="0" w:line="520" w:lineRule="atLeast"/>
        <w:ind w:left="0" w:firstLineChars="200" w:firstLine="480"/>
        <w:rPr>
          <w:rFonts w:hAnsi="宋体"/>
          <w:szCs w:val="24"/>
        </w:rPr>
      </w:pPr>
      <w:r>
        <w:t>基金管理费</w:t>
      </w:r>
      <w:r>
        <w:rPr>
          <w:rFonts w:hAnsi="宋体" w:cs="Arial"/>
          <w:kern w:val="0"/>
        </w:rPr>
        <w:t>每日计提，逐日累计至每月月末，按月支付，</w:t>
      </w:r>
      <w:r>
        <w:rPr>
          <w:rFonts w:hAnsi="宋体" w:cs="Arial" w:hint="eastAsia"/>
          <w:kern w:val="0"/>
        </w:rPr>
        <w:t>由基金托管人根据与基金管理人核对一致的财务数据</w:t>
      </w:r>
      <w:r>
        <w:rPr>
          <w:rFonts w:hAnsi="宋体" w:cs="Arial"/>
          <w:kern w:val="0"/>
        </w:rPr>
        <w:t>，</w:t>
      </w:r>
      <w:r>
        <w:rPr>
          <w:rFonts w:hAnsi="宋体" w:cs="Arial" w:hint="eastAsia"/>
          <w:bCs/>
          <w:kern w:val="0"/>
        </w:rPr>
        <w:t>自动在次月初</w:t>
      </w:r>
      <w:r>
        <w:rPr>
          <w:rFonts w:hAnsi="宋体" w:cs="Arial"/>
          <w:bCs/>
          <w:kern w:val="0"/>
        </w:rPr>
        <w:t>5</w:t>
      </w:r>
      <w:proofErr w:type="gramStart"/>
      <w:r>
        <w:rPr>
          <w:rFonts w:hAnsi="宋体" w:cs="Arial" w:hint="eastAsia"/>
          <w:bCs/>
          <w:kern w:val="0"/>
        </w:rPr>
        <w:t>个</w:t>
      </w:r>
      <w:proofErr w:type="gramEnd"/>
      <w:r>
        <w:rPr>
          <w:rFonts w:hAnsi="宋体" w:cs="Arial" w:hint="eastAsia"/>
          <w:bCs/>
          <w:kern w:val="0"/>
        </w:rPr>
        <w:t>工作日内、按照指定的账户路径进行资金支付。若遇法定节假日、休息日等</w:t>
      </w:r>
      <w:r>
        <w:rPr>
          <w:rFonts w:hAnsi="宋体" w:cs="Arial"/>
          <w:bCs/>
          <w:kern w:val="0"/>
        </w:rPr>
        <w:t>，</w:t>
      </w:r>
      <w:r>
        <w:rPr>
          <w:rFonts w:hAnsi="宋体" w:cs="Arial" w:hint="eastAsia"/>
          <w:bCs/>
          <w:kern w:val="0"/>
        </w:rPr>
        <w:t>支付日期顺延。费用自动扣划后，基金管理人应进行核对，如发现数据不符，应及时联系基金托管人协商解决。</w:t>
      </w:r>
    </w:p>
    <w:p w14:paraId="3FCA4EF5"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11.2基金托管费的计提比例和计提方法</w:t>
      </w:r>
    </w:p>
    <w:p w14:paraId="4F43D66F" w14:textId="06201977" w:rsidR="00966B07" w:rsidRDefault="00792B83">
      <w:pPr>
        <w:pStyle w:val="20"/>
        <w:spacing w:before="0" w:after="0" w:line="520" w:lineRule="atLeast"/>
        <w:ind w:left="0" w:firstLineChars="200" w:firstLine="480"/>
        <w:rPr>
          <w:rFonts w:hAnsi="宋体"/>
          <w:szCs w:val="24"/>
        </w:rPr>
      </w:pPr>
      <w:r>
        <w:rPr>
          <w:rFonts w:hAnsi="宋体" w:hint="eastAsia"/>
          <w:szCs w:val="24"/>
        </w:rPr>
        <w:t>本基金的托管费按前一日基金资产净值的</w:t>
      </w:r>
      <w:r>
        <w:rPr>
          <w:rFonts w:hint="eastAsia"/>
          <w:bCs/>
        </w:rPr>
        <w:t>0.</w:t>
      </w:r>
      <w:r>
        <w:rPr>
          <w:bCs/>
        </w:rPr>
        <w:t>10%</w:t>
      </w:r>
      <w:r>
        <w:rPr>
          <w:rFonts w:hAnsi="宋体" w:hint="eastAsia"/>
          <w:szCs w:val="24"/>
        </w:rPr>
        <w:t>年费率计提。托管费的计算方法如下：</w:t>
      </w:r>
    </w:p>
    <w:p w14:paraId="78863A76" w14:textId="1C3DFB5D" w:rsidR="00966B07" w:rsidRDefault="00792B83">
      <w:pPr>
        <w:pStyle w:val="20"/>
        <w:spacing w:before="0" w:after="0" w:line="520" w:lineRule="atLeast"/>
        <w:ind w:left="0" w:firstLineChars="200" w:firstLine="480"/>
        <w:rPr>
          <w:rFonts w:hAnsi="宋体"/>
          <w:szCs w:val="24"/>
        </w:rPr>
      </w:pPr>
      <w:r>
        <w:rPr>
          <w:rFonts w:hAnsi="宋体" w:hint="eastAsia"/>
          <w:szCs w:val="24"/>
        </w:rPr>
        <w:t>H＝E×</w:t>
      </w:r>
      <w:r>
        <w:rPr>
          <w:rFonts w:hint="eastAsia"/>
          <w:bCs/>
        </w:rPr>
        <w:t>0.</w:t>
      </w:r>
      <w:r>
        <w:rPr>
          <w:bCs/>
        </w:rPr>
        <w:t>10%</w:t>
      </w:r>
      <w:r>
        <w:rPr>
          <w:rFonts w:hAnsi="宋体" w:hint="eastAsia"/>
          <w:szCs w:val="24"/>
        </w:rPr>
        <w:t>÷当年天数</w:t>
      </w:r>
    </w:p>
    <w:p w14:paraId="507DAE69"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H为每日应计提的基金托管费</w:t>
      </w:r>
    </w:p>
    <w:p w14:paraId="0098E191"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E为前一日的基金资产净值</w:t>
      </w:r>
    </w:p>
    <w:p w14:paraId="04122EFA" w14:textId="442AADAF" w:rsidR="00966B07" w:rsidRDefault="00792B83">
      <w:pPr>
        <w:pStyle w:val="20"/>
        <w:spacing w:before="0" w:after="0" w:line="520" w:lineRule="atLeast"/>
        <w:ind w:left="0" w:firstLineChars="200" w:firstLine="480"/>
        <w:rPr>
          <w:rFonts w:hAnsi="宋体"/>
          <w:szCs w:val="24"/>
        </w:rPr>
      </w:pPr>
      <w:r>
        <w:rPr>
          <w:rFonts w:hAnsi="宋体" w:hint="eastAsia"/>
          <w:szCs w:val="24"/>
        </w:rPr>
        <w:t>基金托管费每日计提，逐日累计至每月月末，按月支付，由基金托管人根据与基金管理人核对一致的财务数据，自动在次月初5</w:t>
      </w:r>
      <w:proofErr w:type="gramStart"/>
      <w:r>
        <w:rPr>
          <w:rFonts w:hAnsi="宋体" w:hint="eastAsia"/>
          <w:szCs w:val="24"/>
        </w:rPr>
        <w:t>个</w:t>
      </w:r>
      <w:proofErr w:type="gramEnd"/>
      <w:r>
        <w:rPr>
          <w:rFonts w:hAnsi="宋体" w:hint="eastAsia"/>
          <w:szCs w:val="24"/>
        </w:rPr>
        <w:t>工作日内、按照指定的账户路径进行资金支付。若遇法定节假日、休息日等，支付日期顺延。费用自动扣划后，基金管理人应进行核对，如发现数据不符，应及时联系基金托管人协商解决。</w:t>
      </w:r>
    </w:p>
    <w:bookmarkEnd w:id="40"/>
    <w:p w14:paraId="31D17840" w14:textId="59C7315E" w:rsidR="00966B07" w:rsidRDefault="00792B83">
      <w:pPr>
        <w:pStyle w:val="20"/>
        <w:spacing w:before="0" w:after="0" w:line="520" w:lineRule="atLeast"/>
        <w:ind w:left="0" w:firstLineChars="200" w:firstLine="480"/>
        <w:rPr>
          <w:rFonts w:hAnsi="宋体"/>
          <w:szCs w:val="24"/>
        </w:rPr>
      </w:pPr>
      <w:r>
        <w:rPr>
          <w:rFonts w:hAnsi="宋体" w:hint="eastAsia"/>
          <w:szCs w:val="24"/>
        </w:rPr>
        <w:t>11.</w:t>
      </w:r>
      <w:r>
        <w:rPr>
          <w:rFonts w:hAnsi="宋体"/>
          <w:szCs w:val="24"/>
        </w:rPr>
        <w:t>3</w:t>
      </w:r>
      <w:r>
        <w:rPr>
          <w:rFonts w:hAnsi="宋体" w:hint="eastAsia"/>
          <w:szCs w:val="24"/>
        </w:rPr>
        <w:t>除法律法规、中国证监会另有规定外，《基金合同》生效后与基金相关的信息披露费用、《基金合同》生效后与基金相关的会计师费、律师费、仲裁费和诉讼费、</w:t>
      </w:r>
      <w:r>
        <w:rPr>
          <w:bCs/>
        </w:rPr>
        <w:t>基金份额持有人大会费用</w:t>
      </w:r>
      <w:r>
        <w:rPr>
          <w:rFonts w:hint="eastAsia"/>
          <w:bCs/>
        </w:rPr>
        <w:t>、</w:t>
      </w:r>
      <w:r>
        <w:rPr>
          <w:bCs/>
        </w:rPr>
        <w:t>基金的证券交易费用</w:t>
      </w:r>
      <w:r>
        <w:rPr>
          <w:rFonts w:hint="eastAsia"/>
          <w:bCs/>
        </w:rPr>
        <w:t>、</w:t>
      </w:r>
      <w:r>
        <w:rPr>
          <w:bCs/>
        </w:rPr>
        <w:t>基金的银行汇划费用</w:t>
      </w:r>
      <w:r>
        <w:rPr>
          <w:rFonts w:hint="eastAsia"/>
          <w:bCs/>
        </w:rPr>
        <w:t>、基金的开户费用、账户维护费用、</w:t>
      </w:r>
      <w:r>
        <w:rPr>
          <w:bCs/>
        </w:rPr>
        <w:t>按照国家有关规定和《基金合同》约定，可以在基金财产中列支的其他费用</w:t>
      </w:r>
      <w:r>
        <w:rPr>
          <w:rFonts w:hint="eastAsia"/>
          <w:bCs/>
        </w:rPr>
        <w:t>等费用，</w:t>
      </w:r>
      <w:r>
        <w:rPr>
          <w:bCs/>
        </w:rPr>
        <w:t>根据有关法规及相应协议规定，按费用实际支出金额列入当期费用，由基金托管人</w:t>
      </w:r>
      <w:r>
        <w:rPr>
          <w:rFonts w:hint="eastAsia"/>
          <w:bCs/>
        </w:rPr>
        <w:t>根据基金管理人指令并参照行业惯例</w:t>
      </w:r>
      <w:r>
        <w:rPr>
          <w:bCs/>
        </w:rPr>
        <w:t>从基金财产中支付。</w:t>
      </w:r>
      <w:r>
        <w:rPr>
          <w:rFonts w:hint="eastAsia"/>
          <w:bCs/>
        </w:rPr>
        <w:t>其中，银行汇划费、账户维护费等可由系统自动扣收。</w:t>
      </w:r>
    </w:p>
    <w:p w14:paraId="10129FCB" w14:textId="45DB8066" w:rsidR="00966B07" w:rsidRDefault="00792B83">
      <w:pPr>
        <w:pStyle w:val="20"/>
        <w:spacing w:before="0" w:after="0" w:line="520" w:lineRule="atLeast"/>
        <w:ind w:left="0" w:firstLineChars="200" w:firstLine="480"/>
        <w:rPr>
          <w:rFonts w:hAnsi="宋体"/>
          <w:szCs w:val="24"/>
        </w:rPr>
      </w:pPr>
      <w:r>
        <w:rPr>
          <w:rFonts w:hAnsi="宋体" w:hint="eastAsia"/>
          <w:szCs w:val="24"/>
        </w:rPr>
        <w:lastRenderedPageBreak/>
        <w:t>11.</w:t>
      </w:r>
      <w:r>
        <w:rPr>
          <w:rFonts w:hAnsi="宋体"/>
          <w:szCs w:val="24"/>
        </w:rPr>
        <w:t>4</w:t>
      </w:r>
      <w:r>
        <w:rPr>
          <w:rFonts w:hAnsi="宋体" w:hint="eastAsia"/>
          <w:szCs w:val="24"/>
        </w:rPr>
        <w:t>不列入基金费用的项目</w:t>
      </w:r>
    </w:p>
    <w:p w14:paraId="3588DE2D"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基金管理人与基金托管人因未履行或未完全履行义务导致的费用支出或基金财产的损失，以及处理与基金运作无关的事项发生的费用等不列入基金费用。基金合同生效前所发生的信息披露费、律师费、验资费和会计师费以及其他费用不从基金财产中支付。其他根据相关法律法规及中国证监会的有关规定不得列入基金费用的项目也不列入基金费用。</w:t>
      </w:r>
    </w:p>
    <w:p w14:paraId="5EC03D5C" w14:textId="10D9A6B8" w:rsidR="00966B07" w:rsidRDefault="00792B83">
      <w:pPr>
        <w:pStyle w:val="20"/>
        <w:spacing w:before="0" w:after="0" w:line="520" w:lineRule="atLeast"/>
        <w:ind w:left="0" w:firstLineChars="200" w:firstLine="480"/>
        <w:rPr>
          <w:rFonts w:hAnsi="宋体"/>
          <w:szCs w:val="24"/>
        </w:rPr>
      </w:pPr>
      <w:r>
        <w:rPr>
          <w:rFonts w:hAnsi="宋体" w:hint="eastAsia"/>
          <w:szCs w:val="24"/>
        </w:rPr>
        <w:t>11.</w:t>
      </w:r>
      <w:r>
        <w:rPr>
          <w:rFonts w:hAnsi="宋体"/>
          <w:szCs w:val="24"/>
        </w:rPr>
        <w:t>5</w:t>
      </w:r>
      <w:r>
        <w:rPr>
          <w:rFonts w:hAnsi="宋体" w:hint="eastAsia"/>
          <w:szCs w:val="24"/>
        </w:rPr>
        <w:t>实施</w:t>
      </w:r>
      <w:proofErr w:type="gramStart"/>
      <w:r>
        <w:rPr>
          <w:rFonts w:hAnsi="宋体" w:hint="eastAsia"/>
          <w:szCs w:val="24"/>
        </w:rPr>
        <w:t>侧袋机制</w:t>
      </w:r>
      <w:proofErr w:type="gramEnd"/>
      <w:r>
        <w:rPr>
          <w:rFonts w:hAnsi="宋体" w:hint="eastAsia"/>
          <w:szCs w:val="24"/>
        </w:rPr>
        <w:t>期间的基金费用</w:t>
      </w:r>
    </w:p>
    <w:p w14:paraId="0FFEEA89"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本基金实施</w:t>
      </w:r>
      <w:proofErr w:type="gramStart"/>
      <w:r>
        <w:rPr>
          <w:rFonts w:hAnsi="宋体" w:hint="eastAsia"/>
          <w:szCs w:val="24"/>
        </w:rPr>
        <w:t>侧袋机制</w:t>
      </w:r>
      <w:proofErr w:type="gramEnd"/>
      <w:r>
        <w:rPr>
          <w:rFonts w:hAnsi="宋体" w:hint="eastAsia"/>
          <w:szCs w:val="24"/>
        </w:rPr>
        <w:t>的，</w:t>
      </w:r>
      <w:proofErr w:type="gramStart"/>
      <w:r>
        <w:rPr>
          <w:rFonts w:hAnsi="宋体" w:hint="eastAsia"/>
          <w:szCs w:val="24"/>
        </w:rPr>
        <w:t>与侧袋账户</w:t>
      </w:r>
      <w:proofErr w:type="gramEnd"/>
      <w:r>
        <w:rPr>
          <w:rFonts w:hAnsi="宋体" w:hint="eastAsia"/>
          <w:szCs w:val="24"/>
        </w:rPr>
        <w:t>有关的费用可以</w:t>
      </w:r>
      <w:proofErr w:type="gramStart"/>
      <w:r>
        <w:rPr>
          <w:rFonts w:hAnsi="宋体" w:hint="eastAsia"/>
          <w:szCs w:val="24"/>
        </w:rPr>
        <w:t>从侧袋账户</w:t>
      </w:r>
      <w:proofErr w:type="gramEnd"/>
      <w:r>
        <w:rPr>
          <w:rFonts w:hAnsi="宋体" w:hint="eastAsia"/>
          <w:szCs w:val="24"/>
        </w:rPr>
        <w:t>中列支，但应</w:t>
      </w:r>
      <w:proofErr w:type="gramStart"/>
      <w:r>
        <w:rPr>
          <w:rFonts w:hAnsi="宋体" w:hint="eastAsia"/>
          <w:szCs w:val="24"/>
        </w:rPr>
        <w:t>待侧袋</w:t>
      </w:r>
      <w:proofErr w:type="gramEnd"/>
      <w:r>
        <w:rPr>
          <w:rFonts w:hAnsi="宋体" w:hint="eastAsia"/>
          <w:szCs w:val="24"/>
        </w:rPr>
        <w:t>账户资产变现后方可列支，有关费用可酌情收取或减免，但不得收取管理费，其他费用详见招募说明书或相关公告的规定。</w:t>
      </w:r>
    </w:p>
    <w:p w14:paraId="417843C4" w14:textId="08DD9645" w:rsidR="00966B07" w:rsidRDefault="00792B83">
      <w:pPr>
        <w:pStyle w:val="20"/>
        <w:spacing w:before="0" w:after="0" w:line="520" w:lineRule="atLeast"/>
        <w:ind w:left="0" w:firstLineChars="200" w:firstLine="480"/>
        <w:rPr>
          <w:rFonts w:hAnsi="宋体"/>
          <w:szCs w:val="24"/>
        </w:rPr>
      </w:pPr>
      <w:r>
        <w:rPr>
          <w:rFonts w:hAnsi="宋体" w:hint="eastAsia"/>
          <w:szCs w:val="24"/>
        </w:rPr>
        <w:t>11.</w:t>
      </w:r>
      <w:r>
        <w:rPr>
          <w:rFonts w:hAnsi="宋体"/>
          <w:szCs w:val="24"/>
        </w:rPr>
        <w:t>6</w:t>
      </w:r>
      <w:r>
        <w:rPr>
          <w:rFonts w:hAnsi="宋体" w:hint="eastAsia"/>
          <w:szCs w:val="24"/>
        </w:rPr>
        <w:t>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p>
    <w:p w14:paraId="3DCC804F" w14:textId="77777777" w:rsidR="00966B07" w:rsidRDefault="00792B83">
      <w:pPr>
        <w:pStyle w:val="1"/>
        <w:spacing w:line="520" w:lineRule="atLeast"/>
        <w:ind w:firstLineChars="200" w:firstLine="482"/>
        <w:rPr>
          <w:bCs/>
          <w:color w:val="auto"/>
          <w:szCs w:val="24"/>
        </w:rPr>
      </w:pPr>
      <w:bookmarkStart w:id="41" w:name="_Toc296551348"/>
      <w:bookmarkStart w:id="42" w:name="_Toc63235229"/>
      <w:r>
        <w:rPr>
          <w:rFonts w:hint="eastAsia"/>
          <w:bCs/>
          <w:color w:val="auto"/>
          <w:szCs w:val="24"/>
        </w:rPr>
        <w:t>第十二条 基金份额持有人名册的保管</w:t>
      </w:r>
      <w:bookmarkEnd w:id="41"/>
      <w:bookmarkEnd w:id="42"/>
    </w:p>
    <w:p w14:paraId="696322D3"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12.1基金管理人和基金托管人须分别妥善保管基金份额持有人名册，基金份额持有人名册的内容必须包括基金份额持有人的名称和持有的基金份额。</w:t>
      </w:r>
    </w:p>
    <w:p w14:paraId="1B3BE779"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12.2基金份额持有人名册由基金的基金登记机构根据基金管理人的指令编制和保管，基金管理人和基金托管人应按照目前相关规则分别保管基金份额持有人名册。保管方式可以采用电子或文档的形式。保管期限不低于法律法规规定的最低期限。</w:t>
      </w:r>
    </w:p>
    <w:p w14:paraId="642BD93B"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12.</w:t>
      </w:r>
      <w:r>
        <w:rPr>
          <w:rFonts w:hAnsi="宋体"/>
          <w:szCs w:val="24"/>
        </w:rPr>
        <w:t>3</w:t>
      </w:r>
      <w:proofErr w:type="gramStart"/>
      <w:r>
        <w:rPr>
          <w:rFonts w:hAnsi="宋体" w:hint="eastAsia"/>
          <w:szCs w:val="24"/>
        </w:rPr>
        <w:t>若基金</w:t>
      </w:r>
      <w:proofErr w:type="gramEnd"/>
      <w:r>
        <w:rPr>
          <w:rFonts w:hAnsi="宋体" w:hint="eastAsia"/>
          <w:szCs w:val="24"/>
        </w:rPr>
        <w:t>管理人或基金托管人由于自身原因无法妥善保管基金份额持有人名册，应按有关法规规定各自承担相应的责任。</w:t>
      </w:r>
    </w:p>
    <w:p w14:paraId="0139A931" w14:textId="77777777" w:rsidR="00966B07" w:rsidRDefault="00792B83">
      <w:pPr>
        <w:pStyle w:val="1"/>
        <w:spacing w:line="520" w:lineRule="atLeast"/>
        <w:ind w:firstLineChars="200" w:firstLine="482"/>
        <w:rPr>
          <w:bCs/>
          <w:color w:val="auto"/>
          <w:szCs w:val="24"/>
        </w:rPr>
      </w:pPr>
      <w:bookmarkStart w:id="43" w:name="_Toc63235230"/>
      <w:bookmarkStart w:id="44" w:name="_Toc296551349"/>
      <w:r>
        <w:rPr>
          <w:rFonts w:hint="eastAsia"/>
          <w:bCs/>
          <w:color w:val="auto"/>
          <w:szCs w:val="24"/>
        </w:rPr>
        <w:t>第十三条 基金有关文件和档案的保存</w:t>
      </w:r>
      <w:bookmarkEnd w:id="43"/>
      <w:bookmarkEnd w:id="44"/>
    </w:p>
    <w:p w14:paraId="1C1C80D7"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13.1基金管理人、基金托管人按各自职责完整保存原始凭证、记账凭证、基金账册、交易记录和重要合同等，保存期限不低于法律法规规定的最低期限，对相关信息负有保密义务，但</w:t>
      </w:r>
      <w:r>
        <w:rPr>
          <w:rFonts w:asciiTheme="minorEastAsia" w:eastAsiaTheme="minorEastAsia" w:hAnsiTheme="minorEastAsia" w:hint="eastAsia"/>
          <w:szCs w:val="24"/>
        </w:rPr>
        <w:t>本协议另有约定或</w:t>
      </w:r>
      <w:r>
        <w:rPr>
          <w:rFonts w:hAnsi="宋体" w:hint="eastAsia"/>
          <w:szCs w:val="24"/>
        </w:rPr>
        <w:t>根据有关法律法规规定或有权机关要求披露的除外。其中，基金管理人应保存基金财产管理业务活动的记录、账册、报表和其他相关资料，基金托管人应保存基金托管业务活动的记录、账册、报表和其他相</w:t>
      </w:r>
      <w:r>
        <w:rPr>
          <w:rFonts w:hAnsi="宋体" w:hint="eastAsia"/>
          <w:szCs w:val="24"/>
        </w:rPr>
        <w:lastRenderedPageBreak/>
        <w:t>关资料。</w:t>
      </w:r>
    </w:p>
    <w:p w14:paraId="0C8768E3"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13.2基金管理人签署重大合同文本后，应及时将合同文本正本送达基金托管人处。基金管理人应及时将与本基金账务处理、资金划拨等有关的合同、协议传真给基金托管人。</w:t>
      </w:r>
    </w:p>
    <w:p w14:paraId="41CF94F5"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13.3基金管理人或基金托管人变更后，未变更的一方有义务协助接任人接收基金的有关文件。</w:t>
      </w:r>
    </w:p>
    <w:p w14:paraId="53925DF2" w14:textId="77777777" w:rsidR="00966B07" w:rsidRDefault="00792B83">
      <w:pPr>
        <w:pStyle w:val="1"/>
        <w:spacing w:line="520" w:lineRule="atLeast"/>
        <w:ind w:firstLineChars="200" w:firstLine="482"/>
        <w:rPr>
          <w:bCs/>
          <w:color w:val="auto"/>
          <w:szCs w:val="24"/>
        </w:rPr>
      </w:pPr>
      <w:bookmarkStart w:id="45" w:name="_Toc296551350"/>
      <w:bookmarkStart w:id="46" w:name="_Toc63235231"/>
      <w:r>
        <w:rPr>
          <w:rFonts w:hint="eastAsia"/>
          <w:bCs/>
          <w:color w:val="auto"/>
          <w:szCs w:val="24"/>
        </w:rPr>
        <w:t>第十四条 基金管理人和基金托管人的更换</w:t>
      </w:r>
      <w:bookmarkEnd w:id="45"/>
      <w:bookmarkEnd w:id="46"/>
    </w:p>
    <w:p w14:paraId="312AF477"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14.1基金管理人的更换</w:t>
      </w:r>
    </w:p>
    <w:p w14:paraId="57F1541E"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14.1.1基金管理人的更换条件</w:t>
      </w:r>
    </w:p>
    <w:p w14:paraId="6034E966"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有下列情形之一的，基金管理人职责终止：</w:t>
      </w:r>
    </w:p>
    <w:p w14:paraId="68EADA79"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（1）基金管理人被依法取消基金管理资格；</w:t>
      </w:r>
    </w:p>
    <w:p w14:paraId="14CC4DCB"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（2）基金管理人依法解散、被依法撤销或者被依法宣告破产；</w:t>
      </w:r>
    </w:p>
    <w:p w14:paraId="7CD1258E"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（3）基金管理人被基金份额持有人大会解任；</w:t>
      </w:r>
    </w:p>
    <w:p w14:paraId="7E9ABD5B"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（4）法律法规</w:t>
      </w:r>
      <w:r>
        <w:rPr>
          <w:rFonts w:hint="eastAsia"/>
          <w:bCs/>
        </w:rPr>
        <w:t>及中国证监会规定的</w:t>
      </w:r>
      <w:r>
        <w:rPr>
          <w:rFonts w:hAnsi="宋体" w:hint="eastAsia"/>
          <w:szCs w:val="24"/>
        </w:rPr>
        <w:t>和基金合同</w:t>
      </w:r>
      <w:r>
        <w:rPr>
          <w:rFonts w:hAnsi="宋体"/>
          <w:szCs w:val="24"/>
        </w:rPr>
        <w:t>规</w:t>
      </w:r>
      <w:r>
        <w:rPr>
          <w:rFonts w:hAnsi="宋体" w:hint="eastAsia"/>
          <w:szCs w:val="24"/>
        </w:rPr>
        <w:t>定的其他情形。</w:t>
      </w:r>
    </w:p>
    <w:p w14:paraId="115F472B"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14.1.2基金管理人的更换程序</w:t>
      </w:r>
    </w:p>
    <w:p w14:paraId="0F3A00E2" w14:textId="77777777" w:rsidR="00966B07" w:rsidRDefault="00792B83">
      <w:pPr>
        <w:pStyle w:val="20"/>
        <w:spacing w:line="520" w:lineRule="atLeast"/>
        <w:ind w:left="0" w:firstLineChars="200" w:firstLine="480"/>
        <w:rPr>
          <w:rFonts w:hAnsi="宋体"/>
          <w:szCs w:val="24"/>
        </w:rPr>
      </w:pPr>
      <w:r>
        <w:rPr>
          <w:rFonts w:hAnsi="宋体" w:hint="eastAsia"/>
          <w:szCs w:val="24"/>
        </w:rPr>
        <w:t>（1）提名：</w:t>
      </w:r>
      <w:proofErr w:type="gramStart"/>
      <w:r>
        <w:rPr>
          <w:rFonts w:hAnsi="宋体" w:hint="eastAsia"/>
          <w:szCs w:val="24"/>
        </w:rPr>
        <w:t>新任基金</w:t>
      </w:r>
      <w:proofErr w:type="gramEnd"/>
      <w:r>
        <w:rPr>
          <w:rFonts w:hAnsi="宋体" w:hint="eastAsia"/>
          <w:szCs w:val="24"/>
        </w:rPr>
        <w:t>管理人由基金托管人或由单独或合计持有10%以上（含10%）基金份额的基金份额持有人提名；</w:t>
      </w:r>
    </w:p>
    <w:p w14:paraId="3F40A3C9" w14:textId="77777777" w:rsidR="00966B07" w:rsidRDefault="00792B83">
      <w:pPr>
        <w:pStyle w:val="20"/>
        <w:spacing w:line="520" w:lineRule="atLeast"/>
        <w:ind w:left="0" w:firstLineChars="200" w:firstLine="480"/>
        <w:rPr>
          <w:rFonts w:hAnsi="宋体"/>
          <w:szCs w:val="24"/>
        </w:rPr>
      </w:pPr>
      <w:r>
        <w:rPr>
          <w:rFonts w:hAnsi="宋体" w:hint="eastAsia"/>
          <w:szCs w:val="24"/>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roofErr w:type="gramStart"/>
      <w:r>
        <w:rPr>
          <w:rFonts w:hAnsi="宋体" w:hint="eastAsia"/>
          <w:bCs/>
        </w:rPr>
        <w:t>新任基金</w:t>
      </w:r>
      <w:proofErr w:type="gramEnd"/>
      <w:r>
        <w:rPr>
          <w:rFonts w:hAnsi="宋体" w:hint="eastAsia"/>
          <w:bCs/>
        </w:rPr>
        <w:t>管理人应当符合法律法规及中国证监会规定的资格条件；</w:t>
      </w:r>
    </w:p>
    <w:p w14:paraId="2DD82D03" w14:textId="77777777" w:rsidR="00966B07" w:rsidRDefault="00792B83">
      <w:pPr>
        <w:pStyle w:val="20"/>
        <w:spacing w:line="520" w:lineRule="atLeast"/>
        <w:ind w:left="0" w:firstLineChars="200" w:firstLine="480"/>
        <w:rPr>
          <w:rFonts w:hAnsi="宋体"/>
          <w:szCs w:val="24"/>
        </w:rPr>
      </w:pPr>
      <w:r>
        <w:rPr>
          <w:rFonts w:hAnsi="宋体" w:hint="eastAsia"/>
          <w:szCs w:val="24"/>
        </w:rPr>
        <w:t>（3）临时基金管理人：</w:t>
      </w:r>
      <w:proofErr w:type="gramStart"/>
      <w:r>
        <w:rPr>
          <w:rFonts w:hAnsi="宋体" w:hint="eastAsia"/>
          <w:szCs w:val="24"/>
        </w:rPr>
        <w:t>新任基金</w:t>
      </w:r>
      <w:proofErr w:type="gramEnd"/>
      <w:r>
        <w:rPr>
          <w:rFonts w:hAnsi="宋体" w:hint="eastAsia"/>
          <w:szCs w:val="24"/>
        </w:rPr>
        <w:t>管理人产生之前，由中国证监会指定临时基金管理人；</w:t>
      </w:r>
    </w:p>
    <w:p w14:paraId="5943A182" w14:textId="77777777" w:rsidR="00966B07" w:rsidRDefault="00792B83">
      <w:pPr>
        <w:pStyle w:val="20"/>
        <w:spacing w:line="520" w:lineRule="atLeast"/>
        <w:ind w:left="0" w:firstLineChars="200" w:firstLine="480"/>
        <w:rPr>
          <w:rFonts w:hAnsi="宋体"/>
          <w:szCs w:val="24"/>
        </w:rPr>
      </w:pPr>
      <w:r>
        <w:rPr>
          <w:rFonts w:hAnsi="宋体" w:hint="eastAsia"/>
          <w:szCs w:val="24"/>
        </w:rPr>
        <w:t>（4）备案：基金份额持有人大会更换基金管理人的决议须报中国证监会备案；</w:t>
      </w:r>
    </w:p>
    <w:p w14:paraId="1297D4C4" w14:textId="77777777" w:rsidR="00966B07" w:rsidRDefault="00792B83">
      <w:pPr>
        <w:pStyle w:val="20"/>
        <w:spacing w:line="520" w:lineRule="atLeast"/>
        <w:ind w:left="0" w:firstLineChars="200" w:firstLine="480"/>
        <w:rPr>
          <w:rFonts w:hAnsi="宋体"/>
          <w:szCs w:val="24"/>
        </w:rPr>
      </w:pPr>
      <w:r>
        <w:rPr>
          <w:rFonts w:hAnsi="宋体" w:hint="eastAsia"/>
          <w:szCs w:val="24"/>
        </w:rPr>
        <w:t>（5）公告：</w:t>
      </w:r>
      <w:r>
        <w:rPr>
          <w:rFonts w:hAnsi="宋体" w:hint="eastAsia"/>
          <w:bCs/>
        </w:rPr>
        <w:t>基金管理人更换后，由基金托管人在更换基金管理人的基金份额持有人大会决议生效后依照《信息披露办法》的有关规定在规定媒介公告；</w:t>
      </w:r>
    </w:p>
    <w:p w14:paraId="65CA2331" w14:textId="77777777" w:rsidR="00966B07" w:rsidRDefault="00792B83">
      <w:pPr>
        <w:pStyle w:val="20"/>
        <w:spacing w:line="520" w:lineRule="atLeast"/>
        <w:ind w:left="0" w:firstLineChars="200" w:firstLine="480"/>
        <w:rPr>
          <w:rFonts w:hAnsi="宋体"/>
          <w:szCs w:val="24"/>
        </w:rPr>
      </w:pPr>
      <w:r>
        <w:rPr>
          <w:rFonts w:hAnsi="宋体" w:hint="eastAsia"/>
          <w:szCs w:val="24"/>
        </w:rPr>
        <w:t>（6）交接：基金管理人职责终止的，基金管理人应妥善保管基金管理业务资</w:t>
      </w:r>
      <w:r>
        <w:rPr>
          <w:rFonts w:hAnsi="宋体" w:hint="eastAsia"/>
          <w:szCs w:val="24"/>
        </w:rPr>
        <w:lastRenderedPageBreak/>
        <w:t>料，及时向临时基金管理人或</w:t>
      </w:r>
      <w:proofErr w:type="gramStart"/>
      <w:r>
        <w:rPr>
          <w:rFonts w:hAnsi="宋体" w:hint="eastAsia"/>
          <w:szCs w:val="24"/>
        </w:rPr>
        <w:t>新任基金</w:t>
      </w:r>
      <w:proofErr w:type="gramEnd"/>
      <w:r>
        <w:rPr>
          <w:rFonts w:hAnsi="宋体" w:hint="eastAsia"/>
          <w:szCs w:val="24"/>
        </w:rPr>
        <w:t>管理人办理基金管理业务的移交手续，临时基金管理人或</w:t>
      </w:r>
      <w:proofErr w:type="gramStart"/>
      <w:r>
        <w:rPr>
          <w:rFonts w:hAnsi="宋体" w:hint="eastAsia"/>
          <w:szCs w:val="24"/>
        </w:rPr>
        <w:t>新任基金</w:t>
      </w:r>
      <w:proofErr w:type="gramEnd"/>
      <w:r>
        <w:rPr>
          <w:rFonts w:hAnsi="宋体" w:hint="eastAsia"/>
          <w:szCs w:val="24"/>
        </w:rPr>
        <w:t>管理人应及时接收。</w:t>
      </w:r>
      <w:proofErr w:type="gramStart"/>
      <w:r>
        <w:rPr>
          <w:rFonts w:hAnsi="宋体" w:hint="eastAsia"/>
          <w:szCs w:val="24"/>
        </w:rPr>
        <w:t>新任基金</w:t>
      </w:r>
      <w:proofErr w:type="gramEnd"/>
      <w:r>
        <w:rPr>
          <w:rFonts w:hAnsi="宋体" w:hint="eastAsia"/>
          <w:szCs w:val="24"/>
        </w:rPr>
        <w:t>管理人或临时基金管理人应与基金托管人核对基金资产总值和净值；</w:t>
      </w:r>
    </w:p>
    <w:p w14:paraId="16B4ED4A" w14:textId="77777777" w:rsidR="00966B07" w:rsidRDefault="00792B83">
      <w:pPr>
        <w:pStyle w:val="20"/>
        <w:spacing w:line="520" w:lineRule="atLeast"/>
        <w:ind w:left="0" w:firstLineChars="200" w:firstLine="480"/>
        <w:rPr>
          <w:rFonts w:hAnsi="宋体"/>
          <w:szCs w:val="24"/>
        </w:rPr>
      </w:pPr>
      <w:r>
        <w:rPr>
          <w:rFonts w:hAnsi="宋体" w:hint="eastAsia"/>
          <w:szCs w:val="24"/>
        </w:rPr>
        <w:t>（7）审计：基金管理人职责终止的，应当聘请符合《中华人民共和国证券法》规定的会计师事务所对基金财产进行审计，并将审计结果予以公告，同时报中国证监会备案，审计费用在基金财产中列支；</w:t>
      </w:r>
    </w:p>
    <w:p w14:paraId="35FFE53C"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（8）基金名称变更：基金管理人更换后，如果原任或</w:t>
      </w:r>
      <w:proofErr w:type="gramStart"/>
      <w:r>
        <w:rPr>
          <w:rFonts w:hAnsi="宋体" w:hint="eastAsia"/>
          <w:szCs w:val="24"/>
        </w:rPr>
        <w:t>新任基金</w:t>
      </w:r>
      <w:proofErr w:type="gramEnd"/>
      <w:r>
        <w:rPr>
          <w:rFonts w:hAnsi="宋体" w:hint="eastAsia"/>
          <w:szCs w:val="24"/>
        </w:rPr>
        <w:t>管理人要求，应按其要求替换或删除基金名称中与</w:t>
      </w:r>
      <w:proofErr w:type="gramStart"/>
      <w:r>
        <w:rPr>
          <w:rFonts w:hAnsi="宋体" w:hint="eastAsia"/>
          <w:szCs w:val="24"/>
        </w:rPr>
        <w:t>原基金</w:t>
      </w:r>
      <w:proofErr w:type="gramEnd"/>
      <w:r>
        <w:rPr>
          <w:rFonts w:hAnsi="宋体" w:hint="eastAsia"/>
          <w:szCs w:val="24"/>
        </w:rPr>
        <w:t>管理人有关的名称字样。</w:t>
      </w:r>
    </w:p>
    <w:p w14:paraId="3509EEDD"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14.2基金托管人的更换</w:t>
      </w:r>
    </w:p>
    <w:p w14:paraId="591D5360"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14.2.1基金托管人的更换条件</w:t>
      </w:r>
    </w:p>
    <w:p w14:paraId="55146177"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有下列情形之一的，基金托管人职责终止：</w:t>
      </w:r>
    </w:p>
    <w:p w14:paraId="09EBF909"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（1）基金托管人被依法取消基金托管资格；</w:t>
      </w:r>
    </w:p>
    <w:p w14:paraId="3CBD89D7"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（2）基金托管人依法解散、被依法撤销或者被依法宣布破产；</w:t>
      </w:r>
    </w:p>
    <w:p w14:paraId="4E5DC017"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（3）基金托管人被基金份额持有人大会解任；</w:t>
      </w:r>
    </w:p>
    <w:p w14:paraId="7D9F1B07"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（4）法律法规</w:t>
      </w:r>
      <w:r>
        <w:rPr>
          <w:rFonts w:hint="eastAsia"/>
          <w:bCs/>
        </w:rPr>
        <w:t>及中国证监会规定的</w:t>
      </w:r>
      <w:r>
        <w:rPr>
          <w:rFonts w:hAnsi="宋体" w:hint="eastAsia"/>
          <w:szCs w:val="24"/>
        </w:rPr>
        <w:t>和基金合同规定的其他情形。</w:t>
      </w:r>
    </w:p>
    <w:p w14:paraId="5BDCD23A"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14.2.2基金托管人的更换程序</w:t>
      </w:r>
    </w:p>
    <w:p w14:paraId="4179F07C" w14:textId="77777777" w:rsidR="00966B07" w:rsidRDefault="00792B83">
      <w:pPr>
        <w:pStyle w:val="20"/>
        <w:spacing w:line="520" w:lineRule="atLeast"/>
        <w:ind w:left="0" w:firstLineChars="200" w:firstLine="480"/>
        <w:rPr>
          <w:rFonts w:hAnsi="宋体"/>
          <w:szCs w:val="24"/>
        </w:rPr>
      </w:pPr>
      <w:r>
        <w:rPr>
          <w:rFonts w:hAnsi="宋体" w:hint="eastAsia"/>
          <w:szCs w:val="24"/>
        </w:rPr>
        <w:t>（1）提名：</w:t>
      </w:r>
      <w:proofErr w:type="gramStart"/>
      <w:r>
        <w:rPr>
          <w:rFonts w:hAnsi="宋体" w:hint="eastAsia"/>
          <w:szCs w:val="24"/>
        </w:rPr>
        <w:t>新任基金</w:t>
      </w:r>
      <w:proofErr w:type="gramEnd"/>
      <w:r>
        <w:rPr>
          <w:rFonts w:hAnsi="宋体" w:hint="eastAsia"/>
          <w:szCs w:val="24"/>
        </w:rPr>
        <w:t>托管人由基金管理人或由单独或合计持有10%以上（含10%）基金份额的基金份额持有人提名；</w:t>
      </w:r>
    </w:p>
    <w:p w14:paraId="7E0B90B9" w14:textId="77777777" w:rsidR="00966B07" w:rsidRDefault="00792B83">
      <w:pPr>
        <w:pStyle w:val="20"/>
        <w:spacing w:line="520" w:lineRule="atLeast"/>
        <w:ind w:left="0" w:firstLineChars="200" w:firstLine="480"/>
        <w:rPr>
          <w:rFonts w:hAnsi="宋体"/>
          <w:szCs w:val="24"/>
        </w:rPr>
      </w:pPr>
      <w:r>
        <w:rPr>
          <w:rFonts w:hAnsi="宋体" w:hint="eastAsia"/>
          <w:szCs w:val="24"/>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roofErr w:type="gramStart"/>
      <w:r>
        <w:rPr>
          <w:rFonts w:hAnsi="宋体" w:hint="eastAsia"/>
          <w:bCs/>
        </w:rPr>
        <w:t>新任基金</w:t>
      </w:r>
      <w:proofErr w:type="gramEnd"/>
      <w:r>
        <w:rPr>
          <w:rFonts w:hAnsi="宋体" w:hint="eastAsia"/>
          <w:bCs/>
        </w:rPr>
        <w:t>托管人应当符合法律法规及中国证监会规定的资格条件；</w:t>
      </w:r>
    </w:p>
    <w:p w14:paraId="1CBBF495" w14:textId="77777777" w:rsidR="00966B07" w:rsidRDefault="00792B83">
      <w:pPr>
        <w:pStyle w:val="20"/>
        <w:spacing w:line="520" w:lineRule="atLeast"/>
        <w:ind w:left="0" w:firstLineChars="200" w:firstLine="480"/>
        <w:rPr>
          <w:rFonts w:hAnsi="宋体"/>
          <w:szCs w:val="24"/>
        </w:rPr>
      </w:pPr>
      <w:r>
        <w:rPr>
          <w:rFonts w:hAnsi="宋体" w:hint="eastAsia"/>
          <w:szCs w:val="24"/>
        </w:rPr>
        <w:t>（3）临时基金托管人：</w:t>
      </w:r>
      <w:proofErr w:type="gramStart"/>
      <w:r>
        <w:rPr>
          <w:rFonts w:hAnsi="宋体" w:hint="eastAsia"/>
          <w:szCs w:val="24"/>
        </w:rPr>
        <w:t>新任基金</w:t>
      </w:r>
      <w:proofErr w:type="gramEnd"/>
      <w:r>
        <w:rPr>
          <w:rFonts w:hAnsi="宋体" w:hint="eastAsia"/>
          <w:szCs w:val="24"/>
        </w:rPr>
        <w:t>托管人产生之前，由中国证监会指定临时基金托管人；</w:t>
      </w:r>
    </w:p>
    <w:p w14:paraId="71A2B6D7" w14:textId="77777777" w:rsidR="00966B07" w:rsidRDefault="00792B83">
      <w:pPr>
        <w:pStyle w:val="20"/>
        <w:spacing w:line="520" w:lineRule="atLeast"/>
        <w:ind w:left="0" w:firstLineChars="200" w:firstLine="480"/>
        <w:rPr>
          <w:rFonts w:hAnsi="宋体"/>
          <w:szCs w:val="24"/>
        </w:rPr>
      </w:pPr>
      <w:r>
        <w:rPr>
          <w:rFonts w:hAnsi="宋体" w:hint="eastAsia"/>
          <w:szCs w:val="24"/>
        </w:rPr>
        <w:t>（4）备案：基金份额持有人大会更换基金托管人的决议须报中国证监会备案；</w:t>
      </w:r>
    </w:p>
    <w:p w14:paraId="0A4D5796" w14:textId="77777777" w:rsidR="00966B07" w:rsidRDefault="00792B83">
      <w:pPr>
        <w:pStyle w:val="20"/>
        <w:spacing w:line="520" w:lineRule="atLeast"/>
        <w:ind w:left="0" w:firstLineChars="200" w:firstLine="480"/>
        <w:rPr>
          <w:rFonts w:hAnsi="宋体"/>
          <w:szCs w:val="24"/>
        </w:rPr>
      </w:pPr>
      <w:r>
        <w:rPr>
          <w:rFonts w:hAnsi="宋体" w:hint="eastAsia"/>
          <w:szCs w:val="24"/>
        </w:rPr>
        <w:t>（5）公告：</w:t>
      </w:r>
      <w:r>
        <w:rPr>
          <w:rFonts w:hAnsi="宋体" w:hint="eastAsia"/>
          <w:bCs/>
        </w:rPr>
        <w:t>基金托管人更换后，由基金管理人在更换基金托管人的基金份额持有人大会决议生效后依照《信息披露办法》的有关规定在规定媒介公告；</w:t>
      </w:r>
    </w:p>
    <w:p w14:paraId="5425C42C" w14:textId="77777777" w:rsidR="00966B07" w:rsidRDefault="00792B83">
      <w:pPr>
        <w:pStyle w:val="20"/>
        <w:spacing w:line="520" w:lineRule="atLeast"/>
        <w:ind w:left="0" w:firstLineChars="200" w:firstLine="480"/>
        <w:rPr>
          <w:rFonts w:hAnsi="宋体"/>
          <w:szCs w:val="24"/>
        </w:rPr>
      </w:pPr>
      <w:r>
        <w:rPr>
          <w:rFonts w:hAnsi="宋体" w:hint="eastAsia"/>
          <w:szCs w:val="24"/>
        </w:rPr>
        <w:lastRenderedPageBreak/>
        <w:t>（6）交接：基金托管人职责终止的，应当妥善保管基金财产和基金托管业务资料，及时办理基金财产和基金托管业务的移交手续，</w:t>
      </w:r>
      <w:proofErr w:type="gramStart"/>
      <w:r>
        <w:rPr>
          <w:rFonts w:hAnsi="宋体" w:hint="eastAsia"/>
          <w:szCs w:val="24"/>
        </w:rPr>
        <w:t>新任基金</w:t>
      </w:r>
      <w:proofErr w:type="gramEnd"/>
      <w:r>
        <w:rPr>
          <w:rFonts w:hAnsi="宋体" w:hint="eastAsia"/>
          <w:szCs w:val="24"/>
        </w:rPr>
        <w:t>托管人或者临时基金托管人应当及时接收。</w:t>
      </w:r>
      <w:proofErr w:type="gramStart"/>
      <w:r>
        <w:rPr>
          <w:rFonts w:hAnsi="宋体" w:hint="eastAsia"/>
          <w:szCs w:val="24"/>
        </w:rPr>
        <w:t>新任基金</w:t>
      </w:r>
      <w:proofErr w:type="gramEnd"/>
      <w:r>
        <w:rPr>
          <w:rFonts w:hAnsi="宋体" w:hint="eastAsia"/>
          <w:szCs w:val="24"/>
        </w:rPr>
        <w:t>托管人或临时基金托管人与基金管理人核对基金资产总值和净值；</w:t>
      </w:r>
    </w:p>
    <w:p w14:paraId="47E3AC0B"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（7）审计：基金托管人职责终止的，应当聘请符合《中华人民共和国证券法》规定的会计师事务所对基金财产进行审计，并将审计结果予以公告，同时报中国证监会备案。审计费用在基金财产中列支。</w:t>
      </w:r>
    </w:p>
    <w:p w14:paraId="044BF698"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14.3基金管理人与基金托管人同时更换</w:t>
      </w:r>
    </w:p>
    <w:p w14:paraId="713FDB77" w14:textId="77777777" w:rsidR="00966B07" w:rsidRDefault="00792B83">
      <w:pPr>
        <w:pStyle w:val="20"/>
        <w:spacing w:line="520" w:lineRule="atLeast"/>
        <w:ind w:left="0" w:firstLineChars="200" w:firstLine="480"/>
        <w:rPr>
          <w:rFonts w:hAnsi="宋体"/>
          <w:szCs w:val="24"/>
        </w:rPr>
      </w:pPr>
      <w:r>
        <w:rPr>
          <w:rFonts w:hAnsi="宋体" w:hint="eastAsia"/>
          <w:szCs w:val="24"/>
        </w:rPr>
        <w:t>（1）提名：如果基金管理人和基金托管人同时更换，由单独或合计持有基金总份额10%以上（含10%）的基金份额持有人提名新的基金管理人和基金托管人；</w:t>
      </w:r>
    </w:p>
    <w:p w14:paraId="39D3518D" w14:textId="77777777" w:rsidR="00966B07" w:rsidRDefault="00792B83">
      <w:pPr>
        <w:pStyle w:val="20"/>
        <w:spacing w:line="520" w:lineRule="atLeast"/>
        <w:ind w:left="0" w:firstLineChars="200" w:firstLine="480"/>
        <w:rPr>
          <w:rFonts w:hAnsi="宋体"/>
          <w:szCs w:val="24"/>
        </w:rPr>
      </w:pPr>
      <w:r>
        <w:rPr>
          <w:rFonts w:hAnsi="宋体" w:hint="eastAsia"/>
          <w:szCs w:val="24"/>
        </w:rPr>
        <w:t>（2）基金管理人和基金托管人的更换分别按上述程序进行；</w:t>
      </w:r>
    </w:p>
    <w:p w14:paraId="7AEC68A8"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（3）公告：</w:t>
      </w:r>
      <w:proofErr w:type="gramStart"/>
      <w:r>
        <w:rPr>
          <w:rFonts w:hAnsi="宋体" w:hint="eastAsia"/>
          <w:bCs/>
        </w:rPr>
        <w:t>新任基金</w:t>
      </w:r>
      <w:proofErr w:type="gramEnd"/>
      <w:r>
        <w:rPr>
          <w:rFonts w:hAnsi="宋体" w:hint="eastAsia"/>
          <w:bCs/>
        </w:rPr>
        <w:t>管理人和</w:t>
      </w:r>
      <w:proofErr w:type="gramStart"/>
      <w:r>
        <w:rPr>
          <w:rFonts w:hAnsi="宋体" w:hint="eastAsia"/>
          <w:bCs/>
        </w:rPr>
        <w:t>新任基金</w:t>
      </w:r>
      <w:proofErr w:type="gramEnd"/>
      <w:r>
        <w:rPr>
          <w:rFonts w:hAnsi="宋体" w:hint="eastAsia"/>
          <w:bCs/>
        </w:rPr>
        <w:t>托管人应在更换基金管理人和基金托管人的基金份额持有人大会决议生效后依照《信息披露办法》的有关规定在规定媒介上联合公告</w:t>
      </w:r>
      <w:r>
        <w:rPr>
          <w:rFonts w:hAnsi="宋体"/>
          <w:bCs/>
        </w:rPr>
        <w:t>。</w:t>
      </w:r>
    </w:p>
    <w:p w14:paraId="5A77FE73" w14:textId="77777777" w:rsidR="00966B07" w:rsidRDefault="00792B83">
      <w:pPr>
        <w:pStyle w:val="20"/>
        <w:spacing w:before="0" w:after="0" w:line="520" w:lineRule="atLeast"/>
        <w:ind w:left="0" w:firstLineChars="200" w:firstLine="480"/>
        <w:rPr>
          <w:bCs/>
        </w:rPr>
      </w:pPr>
      <w:r>
        <w:rPr>
          <w:rFonts w:hAnsi="宋体" w:hint="eastAsia"/>
          <w:szCs w:val="24"/>
        </w:rPr>
        <w:t>14.4</w:t>
      </w:r>
      <w:r>
        <w:rPr>
          <w:rFonts w:hint="eastAsia"/>
          <w:bCs/>
        </w:rPr>
        <w:t>新基金管理人或临时基金管理人接收基金管理业务或新基金托管人或临时基金托管人接收基金财产和基金托管业务前，</w:t>
      </w:r>
      <w:proofErr w:type="gramStart"/>
      <w:r>
        <w:rPr>
          <w:rFonts w:hint="eastAsia"/>
          <w:bCs/>
        </w:rPr>
        <w:t>原基金</w:t>
      </w:r>
      <w:proofErr w:type="gramEnd"/>
      <w:r>
        <w:rPr>
          <w:rFonts w:hint="eastAsia"/>
          <w:bCs/>
        </w:rPr>
        <w:t>管理人或</w:t>
      </w:r>
      <w:proofErr w:type="gramStart"/>
      <w:r>
        <w:rPr>
          <w:rFonts w:hint="eastAsia"/>
          <w:bCs/>
        </w:rPr>
        <w:t>原基金</w:t>
      </w:r>
      <w:proofErr w:type="gramEnd"/>
      <w:r>
        <w:rPr>
          <w:rFonts w:hint="eastAsia"/>
          <w:bCs/>
        </w:rPr>
        <w:t>托管人应继续履行相关职责，并保证不做出对基金份额持有人的利益造成损害的行为。</w:t>
      </w:r>
      <w:proofErr w:type="gramStart"/>
      <w:r>
        <w:rPr>
          <w:rFonts w:hint="eastAsia"/>
          <w:bCs/>
        </w:rPr>
        <w:t>原基金</w:t>
      </w:r>
      <w:proofErr w:type="gramEnd"/>
      <w:r>
        <w:rPr>
          <w:rFonts w:hint="eastAsia"/>
          <w:bCs/>
        </w:rPr>
        <w:t>管理人或</w:t>
      </w:r>
      <w:proofErr w:type="gramStart"/>
      <w:r>
        <w:rPr>
          <w:rFonts w:hint="eastAsia"/>
          <w:bCs/>
        </w:rPr>
        <w:t>原基金</w:t>
      </w:r>
      <w:proofErr w:type="gramEnd"/>
      <w:r>
        <w:rPr>
          <w:rFonts w:hint="eastAsia"/>
          <w:bCs/>
        </w:rPr>
        <w:t>托管人在继续履行相关职责期间，仍有权按照基金合同的规定收取基金管理费或基金托管费。</w:t>
      </w:r>
    </w:p>
    <w:p w14:paraId="486960B6" w14:textId="77777777" w:rsidR="00966B07" w:rsidRDefault="00792B83">
      <w:pPr>
        <w:pStyle w:val="20"/>
        <w:spacing w:before="0" w:after="0" w:line="520" w:lineRule="atLeast"/>
        <w:ind w:left="0" w:firstLineChars="200" w:firstLine="480"/>
        <w:rPr>
          <w:rFonts w:hAnsi="宋体"/>
          <w:szCs w:val="24"/>
        </w:rPr>
      </w:pPr>
      <w:r>
        <w:rPr>
          <w:rFonts w:hint="eastAsia"/>
          <w:bCs/>
        </w:rPr>
        <w:t>14.5本部</w:t>
      </w:r>
      <w:proofErr w:type="gramStart"/>
      <w:r>
        <w:rPr>
          <w:rFonts w:hint="eastAsia"/>
          <w:bCs/>
        </w:rPr>
        <w:t>分关于</w:t>
      </w:r>
      <w:proofErr w:type="gramEnd"/>
      <w:r>
        <w:rPr>
          <w:rFonts w:hint="eastAsia"/>
          <w:bCs/>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0DB00548" w14:textId="77777777" w:rsidR="00966B07" w:rsidRDefault="00792B83">
      <w:pPr>
        <w:pStyle w:val="1"/>
        <w:spacing w:line="520" w:lineRule="atLeast"/>
        <w:ind w:firstLineChars="200" w:firstLine="482"/>
        <w:rPr>
          <w:bCs/>
          <w:color w:val="auto"/>
          <w:szCs w:val="24"/>
        </w:rPr>
      </w:pPr>
      <w:bookmarkStart w:id="47" w:name="_Toc63235232"/>
      <w:bookmarkStart w:id="48" w:name="_Toc296551351"/>
      <w:r>
        <w:rPr>
          <w:rFonts w:hint="eastAsia"/>
          <w:bCs/>
          <w:color w:val="auto"/>
          <w:szCs w:val="24"/>
        </w:rPr>
        <w:t>第十五条 禁止行为</w:t>
      </w:r>
      <w:bookmarkEnd w:id="47"/>
      <w:bookmarkEnd w:id="48"/>
    </w:p>
    <w:p w14:paraId="34C7427F"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15.1基金管理人、基金托管人禁止从事的行为，包括但不限于：</w:t>
      </w:r>
    </w:p>
    <w:p w14:paraId="5B4EC379"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15.1.1基金管理人、基金托管人将其固有财产或者他人财产混同于基金财产从事证券投资。</w:t>
      </w:r>
    </w:p>
    <w:p w14:paraId="77ADE1C7"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15.1.2基金管理人不公平地对待其管理的不同基金财产，基金托管人不公平</w:t>
      </w:r>
      <w:r>
        <w:rPr>
          <w:rFonts w:hAnsi="宋体" w:hint="eastAsia"/>
          <w:szCs w:val="24"/>
        </w:rPr>
        <w:lastRenderedPageBreak/>
        <w:t>地对待其托管的不同基金财产。</w:t>
      </w:r>
    </w:p>
    <w:p w14:paraId="64BB93EA"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15.1.3基金管理人、基金托管人利用基金财产或者职务之便为基金份额持有人以外的第三人牟取利益。</w:t>
      </w:r>
    </w:p>
    <w:p w14:paraId="0B266555"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15.1.4基金管理人、基金托管人向基金份额持有人违规承诺收益或者承担损失。</w:t>
      </w:r>
    </w:p>
    <w:p w14:paraId="5B0A21E1"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15.1.5基金管理人、基金托管人对他人泄露基金运作和管理过程中任何尚未按法律法规规定的方式公开披露的信息。</w:t>
      </w:r>
    </w:p>
    <w:p w14:paraId="2EC290D4"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15.1.6基金管理人在没有充足资金的情况下向基金托管人发出投资指令和赎回、分红资金的划拨指令，或违规向基金托管人发出指令。</w:t>
      </w:r>
    </w:p>
    <w:p w14:paraId="793AD18E"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15.1.7基金管理人、基金托管人在行政上、财务上不独立，其高级管理人员和其他从业人员相互兼职。</w:t>
      </w:r>
    </w:p>
    <w:p w14:paraId="60862BCC"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15.1.8基金托管人私自动用或处分基金财产，根据基金管理人的合法指令、基金合同或本协议的规定进行处分的除外。</w:t>
      </w:r>
    </w:p>
    <w:p w14:paraId="164B0AA7"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15.1.9基金财产用于下列投资或者活动：</w:t>
      </w:r>
    </w:p>
    <w:p w14:paraId="57E45E77" w14:textId="77777777" w:rsidR="00966B07" w:rsidRDefault="00792B83" w:rsidP="00B13518">
      <w:pPr>
        <w:pStyle w:val="20"/>
        <w:spacing w:before="0" w:after="0" w:line="520" w:lineRule="atLeast"/>
        <w:ind w:left="0" w:firstLineChars="200" w:firstLine="480"/>
        <w:rPr>
          <w:rFonts w:hAnsi="宋体"/>
          <w:szCs w:val="24"/>
        </w:rPr>
      </w:pPr>
      <w:r>
        <w:rPr>
          <w:rFonts w:hAnsi="宋体" w:hint="eastAsia"/>
          <w:szCs w:val="24"/>
        </w:rPr>
        <w:t>（1）承销证券；</w:t>
      </w:r>
    </w:p>
    <w:p w14:paraId="6F08E51A" w14:textId="77777777" w:rsidR="00966B07" w:rsidRDefault="00792B83" w:rsidP="00B13518">
      <w:pPr>
        <w:pStyle w:val="20"/>
        <w:spacing w:before="0" w:after="0" w:line="520" w:lineRule="atLeast"/>
        <w:ind w:left="0" w:firstLineChars="200" w:firstLine="480"/>
        <w:rPr>
          <w:rFonts w:hAnsi="宋体"/>
          <w:szCs w:val="24"/>
        </w:rPr>
      </w:pPr>
      <w:r>
        <w:rPr>
          <w:rFonts w:hAnsi="宋体" w:hint="eastAsia"/>
          <w:szCs w:val="24"/>
        </w:rPr>
        <w:t>（2）违反规定向他人贷款或者提供担保；</w:t>
      </w:r>
    </w:p>
    <w:p w14:paraId="434A0989" w14:textId="77777777" w:rsidR="00966B07" w:rsidRDefault="00792B83" w:rsidP="00B13518">
      <w:pPr>
        <w:pStyle w:val="20"/>
        <w:spacing w:before="0" w:after="0" w:line="520" w:lineRule="atLeast"/>
        <w:ind w:left="0" w:firstLineChars="200" w:firstLine="480"/>
        <w:rPr>
          <w:rFonts w:hAnsi="宋体"/>
          <w:szCs w:val="24"/>
        </w:rPr>
      </w:pPr>
      <w:r>
        <w:rPr>
          <w:rFonts w:hAnsi="宋体" w:hint="eastAsia"/>
          <w:szCs w:val="24"/>
        </w:rPr>
        <w:t>（3）从事承担无限责任的投资；</w:t>
      </w:r>
    </w:p>
    <w:p w14:paraId="0A5CA69D" w14:textId="77777777" w:rsidR="00966B07" w:rsidRDefault="00792B83" w:rsidP="00B13518">
      <w:pPr>
        <w:pStyle w:val="20"/>
        <w:spacing w:before="0" w:after="0" w:line="520" w:lineRule="atLeast"/>
        <w:ind w:left="0" w:firstLineChars="200" w:firstLine="480"/>
        <w:rPr>
          <w:rFonts w:hAnsi="宋体"/>
          <w:szCs w:val="24"/>
        </w:rPr>
      </w:pPr>
      <w:r>
        <w:rPr>
          <w:rFonts w:hAnsi="宋体" w:hint="eastAsia"/>
          <w:szCs w:val="24"/>
        </w:rPr>
        <w:t>（4）向其基金管理人、基金托管人出资；</w:t>
      </w:r>
    </w:p>
    <w:p w14:paraId="1F708059" w14:textId="77777777" w:rsidR="00966B07" w:rsidRDefault="00792B83" w:rsidP="00B13518">
      <w:pPr>
        <w:pStyle w:val="20"/>
        <w:spacing w:before="0" w:after="0" w:line="520" w:lineRule="atLeast"/>
        <w:ind w:left="0" w:firstLineChars="200" w:firstLine="480"/>
        <w:rPr>
          <w:rFonts w:hAnsi="宋体"/>
          <w:szCs w:val="24"/>
        </w:rPr>
      </w:pPr>
      <w:r>
        <w:rPr>
          <w:rFonts w:hAnsi="宋体" w:hint="eastAsia"/>
          <w:szCs w:val="24"/>
        </w:rPr>
        <w:t>（5）从事内幕交易、操纵证券交易价格及其他不正当的证券交易活动；</w:t>
      </w:r>
    </w:p>
    <w:p w14:paraId="6F1F2C88" w14:textId="4DDBDAF7" w:rsidR="00966B07" w:rsidRDefault="00792B83">
      <w:pPr>
        <w:pStyle w:val="20"/>
        <w:spacing w:before="0" w:after="0" w:line="520" w:lineRule="atLeast"/>
        <w:ind w:left="0" w:firstLineChars="200" w:firstLine="480"/>
        <w:rPr>
          <w:rFonts w:hAnsi="宋体"/>
          <w:szCs w:val="24"/>
        </w:rPr>
      </w:pPr>
      <w:r>
        <w:rPr>
          <w:rFonts w:hAnsi="宋体" w:hint="eastAsia"/>
          <w:szCs w:val="24"/>
        </w:rPr>
        <w:t>（6）法律、行政法规和中国证监会规定禁止的其他活动。</w:t>
      </w:r>
    </w:p>
    <w:p w14:paraId="19FC4EDA"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15.1.10法律法规或监管部门取消</w:t>
      </w:r>
      <w:r>
        <w:rPr>
          <w:rFonts w:hint="eastAsia"/>
          <w:bCs/>
        </w:rPr>
        <w:t>或变更上述禁止性规定</w:t>
      </w:r>
      <w:r>
        <w:rPr>
          <w:bCs/>
        </w:rPr>
        <w:t>，</w:t>
      </w:r>
      <w:r>
        <w:rPr>
          <w:rFonts w:hint="eastAsia"/>
          <w:bCs/>
        </w:rPr>
        <w:t>如适用于本基金</w:t>
      </w:r>
      <w:r>
        <w:rPr>
          <w:rFonts w:hAnsi="宋体" w:hint="eastAsia"/>
          <w:szCs w:val="24"/>
        </w:rPr>
        <w:t>，基金管理人在履行适当程序后，</w:t>
      </w:r>
      <w:r>
        <w:rPr>
          <w:rFonts w:hint="eastAsia"/>
          <w:bCs/>
        </w:rPr>
        <w:t>可不受上述规定的限制或按变更后的规定执行</w:t>
      </w:r>
      <w:r>
        <w:rPr>
          <w:rFonts w:hAnsi="宋体" w:hint="eastAsia"/>
          <w:szCs w:val="24"/>
        </w:rPr>
        <w:t>。</w:t>
      </w:r>
    </w:p>
    <w:p w14:paraId="7F69B4F8" w14:textId="77777777" w:rsidR="00966B07" w:rsidRDefault="00792B83">
      <w:pPr>
        <w:pStyle w:val="1"/>
        <w:spacing w:line="520" w:lineRule="atLeast"/>
        <w:ind w:firstLineChars="200" w:firstLine="482"/>
        <w:rPr>
          <w:bCs/>
          <w:color w:val="auto"/>
          <w:szCs w:val="24"/>
        </w:rPr>
      </w:pPr>
      <w:bookmarkStart w:id="49" w:name="_Toc63235233"/>
      <w:bookmarkStart w:id="50" w:name="_Toc296551352"/>
      <w:r>
        <w:rPr>
          <w:rFonts w:hint="eastAsia"/>
          <w:bCs/>
          <w:color w:val="auto"/>
          <w:szCs w:val="24"/>
        </w:rPr>
        <w:t>第十六条 本协议的变更、终止与基金财产的清算</w:t>
      </w:r>
      <w:bookmarkEnd w:id="49"/>
      <w:bookmarkEnd w:id="50"/>
    </w:p>
    <w:p w14:paraId="15507BA4"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16.1本协议的变更与终止</w:t>
      </w:r>
    </w:p>
    <w:p w14:paraId="4BA40BA2"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16.1.1本协议的变更程序</w:t>
      </w:r>
    </w:p>
    <w:p w14:paraId="6F5F2382"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本协议双方当事人经协商一致，可以对协议的内容进行变更。变更后的托管协议，其内容不得与基金合同的规定有任何冲突。本协议的变更报中国证监会备案。</w:t>
      </w:r>
    </w:p>
    <w:p w14:paraId="2FE23461"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16.1.2本协议终止的情形</w:t>
      </w:r>
    </w:p>
    <w:p w14:paraId="14003459"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lastRenderedPageBreak/>
        <w:t>发生以下情况，本协议终止：</w:t>
      </w:r>
    </w:p>
    <w:p w14:paraId="66E4FC44"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（1）基金合同终止；</w:t>
      </w:r>
    </w:p>
    <w:p w14:paraId="79AEB6E8"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（2）基金托管人解散、依法被撤销、破产或由其他基金托管人接管基金资产；</w:t>
      </w:r>
    </w:p>
    <w:p w14:paraId="3EABEC4D"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（3）基金管理人解散、依法被撤销、破产或由其他基金管理人接管基金管理权；</w:t>
      </w:r>
    </w:p>
    <w:p w14:paraId="64950FED"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（4）发生法律法规或基金合同规定的终止事项。</w:t>
      </w:r>
    </w:p>
    <w:p w14:paraId="4590DBA7"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16.2基金财产的清算</w:t>
      </w:r>
    </w:p>
    <w:p w14:paraId="6147665D"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16.2.1基金财产清算小组</w:t>
      </w:r>
    </w:p>
    <w:p w14:paraId="0B2EEFAE" w14:textId="77777777" w:rsidR="00966B07" w:rsidRDefault="00792B83">
      <w:pPr>
        <w:pStyle w:val="20"/>
        <w:spacing w:before="0" w:after="0" w:line="520" w:lineRule="atLeast"/>
        <w:ind w:left="0" w:firstLineChars="200" w:firstLine="480"/>
        <w:rPr>
          <w:rFonts w:hAnsi="宋体"/>
          <w:szCs w:val="24"/>
        </w:rPr>
      </w:pPr>
      <w:bookmarkStart w:id="51" w:name="_Hlk101560550"/>
      <w:r>
        <w:rPr>
          <w:rFonts w:hAnsi="宋体" w:hint="eastAsia"/>
          <w:szCs w:val="24"/>
        </w:rPr>
        <w:t>（1）自出现基金合同终止事由之日起30个工作日内成立基金财产清算小组，基金管理人组织基金财产清算小组并在中国证监会的监督下进行基金清算。在基金财产清算小组接管基金财产之前，基金管理人和基金托管人应按照《基金合同》和托管协议的规定继续履行保护基金资产安全的职责。</w:t>
      </w:r>
    </w:p>
    <w:p w14:paraId="22AD9D49"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（2）基金财产清算小组成员由基金管理人、基金托管人、</w:t>
      </w:r>
      <w:bookmarkStart w:id="52" w:name="_Hlk40791166"/>
      <w:r>
        <w:rPr>
          <w:rFonts w:hAnsi="宋体" w:hint="eastAsia"/>
          <w:bCs/>
        </w:rPr>
        <w:t>符合《中华人民共和国证券法》规定</w:t>
      </w:r>
      <w:bookmarkEnd w:id="52"/>
      <w:r>
        <w:rPr>
          <w:rFonts w:hAnsi="宋体" w:hint="eastAsia"/>
          <w:szCs w:val="24"/>
        </w:rPr>
        <w:t>的注册会计师、律师以及中国证监会指定的人员组成。基金财产清算小组可以聘用必要的工作人员。</w:t>
      </w:r>
    </w:p>
    <w:p w14:paraId="7977C066"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（3）在基金财产清算过程中，基金管理人和基金托管人应各自履行职责，继续忠实、勤勉、尽责地履行基金合同和本协议规定的义务，维护基金份额持有人的合法权益。</w:t>
      </w:r>
    </w:p>
    <w:p w14:paraId="021D02D1"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（4）基金财产清算小组负责基金财产的保管、清理、估价、变现和分配。基金财产清算小组可以依法进行必要的民事活动。</w:t>
      </w:r>
    </w:p>
    <w:p w14:paraId="2E01C5D9"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16.2.2基金财产清算程序</w:t>
      </w:r>
    </w:p>
    <w:p w14:paraId="150FD8F9"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基金合同终止，应当按法律法规和基金合同的有关规定对基金财产进行清算。基金财产清算程序主要包括：</w:t>
      </w:r>
    </w:p>
    <w:p w14:paraId="1C038959" w14:textId="066C253A" w:rsidR="00966B07" w:rsidRDefault="00792B83">
      <w:pPr>
        <w:pStyle w:val="20"/>
        <w:spacing w:before="0" w:after="0" w:line="520" w:lineRule="atLeast"/>
        <w:ind w:left="0" w:firstLineChars="200" w:firstLine="480"/>
        <w:rPr>
          <w:rFonts w:hAnsi="宋体"/>
          <w:szCs w:val="24"/>
        </w:rPr>
      </w:pPr>
      <w:r>
        <w:rPr>
          <w:rFonts w:hAnsi="宋体" w:hint="eastAsia"/>
          <w:szCs w:val="24"/>
        </w:rPr>
        <w:t>（1）基金合同终止情形出现</w:t>
      </w:r>
      <w:r w:rsidR="00D7040C">
        <w:rPr>
          <w:rFonts w:hAnsi="宋体" w:hint="eastAsia"/>
          <w:szCs w:val="24"/>
        </w:rPr>
        <w:t>时</w:t>
      </w:r>
      <w:r>
        <w:rPr>
          <w:rFonts w:hAnsi="宋体" w:hint="eastAsia"/>
          <w:szCs w:val="24"/>
        </w:rPr>
        <w:t>，由基金财产清算小组统一接管基金财产；</w:t>
      </w:r>
    </w:p>
    <w:p w14:paraId="4EB8DA59"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（2）对基金财产和债权债务进行清理和确认；</w:t>
      </w:r>
    </w:p>
    <w:p w14:paraId="249D58F5"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（3）对基金财产进行估值和变现；</w:t>
      </w:r>
    </w:p>
    <w:p w14:paraId="436A7390"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（4）制作清算报告；</w:t>
      </w:r>
    </w:p>
    <w:p w14:paraId="65E03CDE"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（5）聘请会计师事务所对清算报告进行外部审计，聘请律师事务所对清算报</w:t>
      </w:r>
      <w:r>
        <w:rPr>
          <w:rFonts w:hAnsi="宋体" w:hint="eastAsia"/>
          <w:szCs w:val="24"/>
        </w:rPr>
        <w:lastRenderedPageBreak/>
        <w:t>告出具法律意见书；</w:t>
      </w:r>
    </w:p>
    <w:p w14:paraId="668BFD84"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（6）将清算报告报中国证监会备案并公告；</w:t>
      </w:r>
    </w:p>
    <w:p w14:paraId="2389AE3C"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（7）对基金剩余财产进行分配。</w:t>
      </w:r>
    </w:p>
    <w:p w14:paraId="73EE023E" w14:textId="77777777" w:rsidR="00966B07" w:rsidRDefault="00792B83">
      <w:pPr>
        <w:pStyle w:val="20"/>
        <w:spacing w:before="0" w:after="0" w:line="520" w:lineRule="atLeast"/>
        <w:ind w:left="0" w:firstLineChars="200" w:firstLine="480"/>
        <w:rPr>
          <w:bCs/>
          <w:szCs w:val="24"/>
        </w:rPr>
      </w:pPr>
      <w:r>
        <w:rPr>
          <w:bCs/>
        </w:rPr>
        <w:t>基金财产清算的期限为</w:t>
      </w:r>
      <w:r>
        <w:rPr>
          <w:rFonts w:hint="eastAsia"/>
          <w:bCs/>
        </w:rPr>
        <w:t>6</w:t>
      </w:r>
      <w:r>
        <w:rPr>
          <w:bCs/>
        </w:rPr>
        <w:t>个月</w:t>
      </w:r>
      <w:r>
        <w:rPr>
          <w:rFonts w:hint="eastAsia"/>
          <w:bCs/>
          <w:szCs w:val="24"/>
        </w:rPr>
        <w:t>，但因本基金所持证券的流动性受到限制而不能及时变现的，清算期限相应顺延。</w:t>
      </w:r>
    </w:p>
    <w:p w14:paraId="0CD90B8C"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16.2.3清算费用</w:t>
      </w:r>
    </w:p>
    <w:p w14:paraId="7D9CB99F"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清算费用是指基金财产清算小组在进行基金财产清算过程中发生的所有合理费用，清算费用由基金财产清算小组优先从基金剩余财产中支付。</w:t>
      </w:r>
    </w:p>
    <w:p w14:paraId="0089F8B5"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16.2.4基金财产按下列顺序清偿：</w:t>
      </w:r>
    </w:p>
    <w:p w14:paraId="4816F99E" w14:textId="77777777" w:rsidR="00966B07" w:rsidRDefault="00792B83">
      <w:pPr>
        <w:pStyle w:val="20"/>
        <w:spacing w:before="0" w:after="0" w:line="520" w:lineRule="atLeast"/>
        <w:ind w:left="0" w:firstLineChars="200" w:firstLine="480"/>
        <w:rPr>
          <w:rFonts w:hAnsi="宋体"/>
          <w:szCs w:val="24"/>
        </w:rPr>
      </w:pPr>
      <w:r>
        <w:rPr>
          <w:rFonts w:hAnsi="宋体"/>
          <w:bCs/>
        </w:rPr>
        <w:t>依据基金财产清算的分配方案，将基金财产清算后的全部剩余资产扣除基金财产清算费用、交纳所欠税款并清偿基金债务后，按基金份额持有人持有的基金份额比例进行分配</w:t>
      </w:r>
      <w:r>
        <w:rPr>
          <w:rFonts w:hAnsi="宋体" w:hint="eastAsia"/>
          <w:szCs w:val="24"/>
        </w:rPr>
        <w:t>。</w:t>
      </w:r>
    </w:p>
    <w:p w14:paraId="3472EF47"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16.2.5基金财产清算的公告</w:t>
      </w:r>
    </w:p>
    <w:p w14:paraId="385243AC" w14:textId="77777777" w:rsidR="00966B07" w:rsidRDefault="00792B83">
      <w:pPr>
        <w:spacing w:line="520" w:lineRule="atLeast"/>
        <w:ind w:firstLineChars="200" w:firstLine="480"/>
        <w:rPr>
          <w:bCs/>
          <w:sz w:val="24"/>
        </w:rPr>
      </w:pPr>
      <w:r>
        <w:rPr>
          <w:rFonts w:hAnsi="宋体"/>
          <w:bCs/>
          <w:sz w:val="24"/>
        </w:rPr>
        <w:t>清算过程中的有关重大事项须及时公告；基金财产清算报告</w:t>
      </w:r>
      <w:proofErr w:type="gramStart"/>
      <w:r>
        <w:rPr>
          <w:rFonts w:hAnsi="宋体"/>
          <w:bCs/>
          <w:sz w:val="24"/>
        </w:rPr>
        <w:t>经</w:t>
      </w:r>
      <w:r>
        <w:rPr>
          <w:rFonts w:hAnsi="宋体" w:hint="eastAsia"/>
          <w:bCs/>
          <w:sz w:val="24"/>
        </w:rPr>
        <w:t>符合</w:t>
      </w:r>
      <w:proofErr w:type="gramEnd"/>
      <w:r>
        <w:rPr>
          <w:rFonts w:hAnsi="宋体" w:hint="eastAsia"/>
          <w:bCs/>
          <w:sz w:val="24"/>
        </w:rPr>
        <w:t>《中华人民共和国证券法》规定的</w:t>
      </w:r>
      <w:r>
        <w:rPr>
          <w:rFonts w:hAnsi="宋体"/>
          <w:bCs/>
          <w:sz w:val="24"/>
        </w:rPr>
        <w:t>会计师事务所审计并由律师事务所出具法律意见书后报中国证监会备案并公告。基金财产清算公告于基金财产清算报告报中国证监会备案后</w:t>
      </w:r>
      <w:r>
        <w:rPr>
          <w:bCs/>
          <w:sz w:val="24"/>
        </w:rPr>
        <w:t>5</w:t>
      </w:r>
      <w:r>
        <w:rPr>
          <w:rFonts w:hAnsi="宋体"/>
          <w:bCs/>
          <w:sz w:val="24"/>
        </w:rPr>
        <w:t>个工作日内由基金财产清算小组进行公告</w:t>
      </w:r>
      <w:r>
        <w:rPr>
          <w:rFonts w:hint="eastAsia"/>
          <w:bCs/>
          <w:sz w:val="24"/>
        </w:rPr>
        <w:t>，基金财产清算小组应当将清算报告登载在规定网站上，并将清算报告提示性公告登载在规定报刊上。</w:t>
      </w:r>
    </w:p>
    <w:p w14:paraId="46FADEE6"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16.2.6基金财产清算账册及文件的保存</w:t>
      </w:r>
    </w:p>
    <w:p w14:paraId="2145E6FD"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基金财产清算账册及有关文件由基金托管人保存，保存期限不得低于法律法规规定的最低期限。</w:t>
      </w:r>
      <w:bookmarkStart w:id="53" w:name="_Toc296551353"/>
    </w:p>
    <w:p w14:paraId="11BB2BB0" w14:textId="77777777" w:rsidR="00966B07" w:rsidRDefault="00792B83">
      <w:pPr>
        <w:pStyle w:val="1"/>
        <w:spacing w:line="520" w:lineRule="atLeast"/>
        <w:ind w:firstLineChars="200" w:firstLine="482"/>
        <w:rPr>
          <w:bCs/>
          <w:color w:val="auto"/>
          <w:szCs w:val="24"/>
        </w:rPr>
      </w:pPr>
      <w:bookmarkStart w:id="54" w:name="_Toc63235234"/>
      <w:bookmarkEnd w:id="51"/>
      <w:r>
        <w:rPr>
          <w:rFonts w:hint="eastAsia"/>
          <w:bCs/>
          <w:color w:val="auto"/>
          <w:szCs w:val="24"/>
        </w:rPr>
        <w:t>第十七条 违约责任</w:t>
      </w:r>
      <w:bookmarkEnd w:id="53"/>
      <w:bookmarkEnd w:id="54"/>
    </w:p>
    <w:p w14:paraId="5487C61E"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17.1如果基金管理人或基金托管人不履行本协议或者履行本协议不符合约定的，应当承担违约责任。</w:t>
      </w:r>
    </w:p>
    <w:p w14:paraId="77C85C2A"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17.2</w:t>
      </w:r>
      <w:r>
        <w:rPr>
          <w:rFonts w:hAnsi="宋体" w:hint="eastAsia"/>
          <w:b/>
          <w:bCs/>
          <w:szCs w:val="24"/>
        </w:rPr>
        <w:t>因托管协议当事人违约给基金财产或者基金份额持有人造成损害的，应当分别对各自的行为依法承担赔偿责任，因共同行为给基金财产或者基金份额持有人造成损害的，应当承担连带赔偿责任。一方承担连带责任后有权根据另一方过错程度向另一方追偿。</w:t>
      </w:r>
      <w:r>
        <w:rPr>
          <w:rFonts w:hAnsi="宋体" w:hint="eastAsia"/>
          <w:szCs w:val="24"/>
        </w:rPr>
        <w:t>但是发生下列情况，当事人免责：</w:t>
      </w:r>
    </w:p>
    <w:p w14:paraId="5C84AD58"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lastRenderedPageBreak/>
        <w:t>（1）不可抗力；</w:t>
      </w:r>
    </w:p>
    <w:p w14:paraId="68FAECFF"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（2）基金管理人</w:t>
      </w:r>
      <w:r>
        <w:rPr>
          <w:rFonts w:hint="eastAsia"/>
          <w:bCs/>
        </w:rPr>
        <w:t>和/或</w:t>
      </w:r>
      <w:r>
        <w:rPr>
          <w:rFonts w:hAnsi="宋体" w:hint="eastAsia"/>
          <w:szCs w:val="24"/>
        </w:rPr>
        <w:t>基金托管人按照</w:t>
      </w:r>
      <w:r>
        <w:rPr>
          <w:rFonts w:hint="eastAsia"/>
          <w:bCs/>
        </w:rPr>
        <w:t>当时</w:t>
      </w:r>
      <w:r>
        <w:rPr>
          <w:rFonts w:hAnsi="宋体" w:hint="eastAsia"/>
          <w:szCs w:val="24"/>
        </w:rPr>
        <w:t>有效的法律法规或中国证监会的规定作为或不作为而造成的损失等；</w:t>
      </w:r>
    </w:p>
    <w:p w14:paraId="7D62DF48"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（3）基金管理人由于按照基金合同规定的投资原则</w:t>
      </w:r>
      <w:r>
        <w:rPr>
          <w:rFonts w:hint="eastAsia"/>
          <w:bCs/>
        </w:rPr>
        <w:t>投资或不投资</w:t>
      </w:r>
      <w:r>
        <w:rPr>
          <w:rFonts w:hAnsi="宋体" w:hint="eastAsia"/>
          <w:szCs w:val="24"/>
        </w:rPr>
        <w:t>而造成的损失等；</w:t>
      </w:r>
    </w:p>
    <w:p w14:paraId="551CB588"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（4）基金托管人对存放或存管在基金托管人以外机构的基金资产，或交由证券公司等其他机构负责清算交收的基金资产及其收益不承担任何责任。</w:t>
      </w:r>
    </w:p>
    <w:p w14:paraId="753E0CBF"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17.3如果由于本协议一方当事人（以下简称“违约方”）的违约行为给基金财产或基金份额持有人造成损失，另一方当事人（以下简称“守约方”）有权利并且有义务代表基金对违约方进行追偿；如果由于违约方的违约行为导致守约方赔偿了该基金财产或基金份额持有人所遭受的损失，则守约方有权向违约方追索，违约方应赔偿和补偿守约方由此发生的所有成本、费用和支出，以及由此遭受的损失。</w:t>
      </w:r>
    </w:p>
    <w:p w14:paraId="687BE7CE"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17.4当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7478C3BE"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17.5违约行为虽已发生，但本协议能够继续履行的，在最大限度地保护基金份额持有人利益的前提下，基金管理人和基金托管人应当继续履行本协议。</w:t>
      </w:r>
    </w:p>
    <w:p w14:paraId="57FA3E2B"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17.6由于基金管理人、基金托管人不可控制的因素导致业务出现差错，基金管理人和基金托管人虽然已经采取必要、适当、合理的措施进行检查，但是未能发现错误或未能避免错误发生或</w:t>
      </w:r>
      <w:proofErr w:type="gramStart"/>
      <w:r>
        <w:rPr>
          <w:rFonts w:hAnsi="宋体" w:hint="eastAsia"/>
          <w:szCs w:val="24"/>
        </w:rPr>
        <w:t>虽发现</w:t>
      </w:r>
      <w:proofErr w:type="gramEnd"/>
      <w:r>
        <w:rPr>
          <w:rFonts w:hAnsi="宋体" w:hint="eastAsia"/>
          <w:szCs w:val="24"/>
        </w:rPr>
        <w:t>错误但因前述原因无法及时更正的，由此造成基金财产或基金份额持有人损失，基金管理人和基金托管人免除赔偿责任。但是基金管理人和基金托管人应积极采取必要的措施减轻或消除由此造成的影响。</w:t>
      </w:r>
    </w:p>
    <w:p w14:paraId="362FD20F" w14:textId="77777777" w:rsidR="00966B07" w:rsidRDefault="00792B83">
      <w:pPr>
        <w:pStyle w:val="20"/>
        <w:snapToGrid w:val="0"/>
        <w:spacing w:before="0" w:after="0" w:line="520" w:lineRule="atLeast"/>
        <w:ind w:left="0" w:firstLineChars="200" w:firstLine="480"/>
        <w:rPr>
          <w:rFonts w:hAnsi="宋体"/>
          <w:szCs w:val="24"/>
        </w:rPr>
      </w:pPr>
      <w:r>
        <w:rPr>
          <w:rFonts w:hAnsi="宋体" w:hint="eastAsia"/>
          <w:szCs w:val="24"/>
        </w:rPr>
        <w:t>17.7本协议所指损失均为直接损失。</w:t>
      </w:r>
    </w:p>
    <w:p w14:paraId="639A6C81" w14:textId="4E91B0A1" w:rsidR="00966B07" w:rsidRDefault="00792B83">
      <w:pPr>
        <w:pStyle w:val="1"/>
        <w:spacing w:line="520" w:lineRule="atLeast"/>
        <w:ind w:firstLineChars="200" w:firstLine="482"/>
        <w:rPr>
          <w:bCs/>
          <w:color w:val="auto"/>
          <w:szCs w:val="24"/>
        </w:rPr>
      </w:pPr>
      <w:bookmarkStart w:id="55" w:name="_Toc63235235"/>
      <w:bookmarkStart w:id="56" w:name="_Toc296551354"/>
      <w:r>
        <w:rPr>
          <w:rFonts w:hint="eastAsia"/>
          <w:bCs/>
          <w:color w:val="auto"/>
          <w:szCs w:val="24"/>
        </w:rPr>
        <w:t>第十八条 争议的处理和适用的法律</w:t>
      </w:r>
      <w:bookmarkEnd w:id="55"/>
      <w:bookmarkEnd w:id="56"/>
    </w:p>
    <w:p w14:paraId="36416FA6" w14:textId="77777777" w:rsidR="00966B07" w:rsidRDefault="00792B83">
      <w:pPr>
        <w:adjustRightInd w:val="0"/>
        <w:snapToGrid w:val="0"/>
        <w:spacing w:line="520" w:lineRule="atLeast"/>
        <w:ind w:firstLineChars="200" w:firstLine="480"/>
        <w:rPr>
          <w:bCs/>
          <w:sz w:val="24"/>
        </w:rPr>
      </w:pPr>
      <w:r>
        <w:rPr>
          <w:rFonts w:hint="eastAsia"/>
          <w:bCs/>
          <w:sz w:val="24"/>
        </w:rPr>
        <w:t>各方当事人同意，因本协议而产生的或与本协议有关的一切争议，如经友好协商未能解决的，任何一方均有权将争议提交上海国际经济贸易仲裁委员会（上海国际仲裁中心），仲裁地点为上海市，按照上海国际经济贸易仲裁委员会（上海国际仲裁中心）届时有效的仲裁规则进行仲裁。仲裁裁决是终局的，对各方当事人均有</w:t>
      </w:r>
      <w:r>
        <w:rPr>
          <w:rFonts w:hint="eastAsia"/>
          <w:bCs/>
          <w:sz w:val="24"/>
        </w:rPr>
        <w:lastRenderedPageBreak/>
        <w:t>约束力，除非仲裁裁决另有规定，仲裁费用由败诉方承担。</w:t>
      </w:r>
    </w:p>
    <w:p w14:paraId="07650488" w14:textId="77777777" w:rsidR="00966B07" w:rsidRDefault="00792B83">
      <w:pPr>
        <w:adjustRightInd w:val="0"/>
        <w:snapToGrid w:val="0"/>
        <w:spacing w:line="520" w:lineRule="atLeast"/>
        <w:ind w:firstLineChars="200" w:firstLine="480"/>
        <w:rPr>
          <w:bCs/>
          <w:sz w:val="24"/>
        </w:rPr>
      </w:pPr>
      <w:r>
        <w:rPr>
          <w:rFonts w:hint="eastAsia"/>
          <w:bCs/>
          <w:sz w:val="24"/>
        </w:rPr>
        <w:t>争议处理期间，相关各方当事人应恪守基金管理人和基金托管人职责，各自继续忠实、勤勉、尽责地履行《基金合同》和托管协议规定的义务，维护基金份额持有人的合法权益。</w:t>
      </w:r>
    </w:p>
    <w:p w14:paraId="03A25E02" w14:textId="5D54E39B" w:rsidR="00966B07" w:rsidRDefault="00792B83">
      <w:pPr>
        <w:adjustRightInd w:val="0"/>
        <w:snapToGrid w:val="0"/>
        <w:spacing w:line="520" w:lineRule="atLeast"/>
        <w:ind w:firstLineChars="200" w:firstLine="480"/>
        <w:rPr>
          <w:bCs/>
          <w:sz w:val="24"/>
        </w:rPr>
      </w:pPr>
      <w:r>
        <w:rPr>
          <w:rFonts w:hint="eastAsia"/>
          <w:bCs/>
          <w:sz w:val="24"/>
        </w:rPr>
        <w:t>本协议受中国法律（为本协议之目的，不包括香港、澳门和台湾法律）管辖并从其解释。</w:t>
      </w:r>
    </w:p>
    <w:p w14:paraId="06FD2D79" w14:textId="77777777" w:rsidR="00966B07" w:rsidRDefault="00792B83">
      <w:pPr>
        <w:pStyle w:val="1"/>
        <w:adjustRightInd w:val="0"/>
        <w:spacing w:line="520" w:lineRule="atLeast"/>
        <w:ind w:firstLineChars="200" w:firstLine="482"/>
        <w:rPr>
          <w:bCs/>
          <w:color w:val="auto"/>
          <w:szCs w:val="24"/>
        </w:rPr>
      </w:pPr>
      <w:bookmarkStart w:id="57" w:name="_Toc296551355"/>
      <w:bookmarkStart w:id="58" w:name="_Toc63235236"/>
      <w:r>
        <w:rPr>
          <w:rFonts w:hint="eastAsia"/>
          <w:bCs/>
          <w:color w:val="auto"/>
          <w:szCs w:val="24"/>
        </w:rPr>
        <w:t>第十九条 本协议的效力</w:t>
      </w:r>
      <w:bookmarkEnd w:id="57"/>
      <w:bookmarkEnd w:id="58"/>
    </w:p>
    <w:p w14:paraId="39C63E05" w14:textId="77777777" w:rsidR="00966B07" w:rsidRDefault="00792B83">
      <w:pPr>
        <w:pStyle w:val="20"/>
        <w:adjustRightInd w:val="0"/>
        <w:snapToGrid w:val="0"/>
        <w:spacing w:before="0" w:after="0" w:line="520" w:lineRule="atLeast"/>
        <w:ind w:left="0" w:firstLineChars="200" w:firstLine="480"/>
        <w:rPr>
          <w:rFonts w:hAnsi="宋体"/>
          <w:szCs w:val="24"/>
        </w:rPr>
      </w:pPr>
      <w:r>
        <w:rPr>
          <w:rFonts w:hAnsi="宋体" w:hint="eastAsia"/>
          <w:szCs w:val="24"/>
        </w:rPr>
        <w:t>19.1基金管理人在向中国证监会申请发售基金份额时提交的托管协议草案，应经托管协议当事人加盖公章或合同专用章以及双方法定代表人或授权代理人签章（签字或加盖名章），本协议当事人双方可能不时根据中国证监会的意见修改托管协议草案。本协议以中国证监会注册的最终文本为正式文本。</w:t>
      </w:r>
    </w:p>
    <w:p w14:paraId="05460F1A" w14:textId="1CACA9F2" w:rsidR="00966B07" w:rsidRDefault="00792B83">
      <w:pPr>
        <w:pStyle w:val="20"/>
        <w:spacing w:before="0" w:after="0" w:line="520" w:lineRule="atLeast"/>
        <w:ind w:left="0" w:firstLineChars="200" w:firstLine="480"/>
        <w:rPr>
          <w:rFonts w:hAnsi="宋体"/>
          <w:szCs w:val="24"/>
        </w:rPr>
      </w:pPr>
      <w:r>
        <w:rPr>
          <w:rFonts w:hAnsi="宋体" w:hint="eastAsia"/>
          <w:szCs w:val="24"/>
        </w:rPr>
        <w:t>19.2本协议自双方签订之日起成立，自基金合同生效之日起生效。本协议的有效期自其生效之日起至基金财产清算结果报中国证监会备案并公告之日止。</w:t>
      </w:r>
    </w:p>
    <w:p w14:paraId="72D105F1"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19.3本协议自生效之日起对双方具有同等的法律约束力。</w:t>
      </w:r>
    </w:p>
    <w:p w14:paraId="57DDDD12"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19.4本协议正本一式三份，除上报有关监管机构一份外，基金管理人和基金托管人分别持有一份，每份具有同等的法律效力。</w:t>
      </w:r>
    </w:p>
    <w:p w14:paraId="7576D261"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19.5如基金合同与托管协议对相同事项</w:t>
      </w:r>
      <w:proofErr w:type="gramStart"/>
      <w:r>
        <w:rPr>
          <w:rFonts w:hAnsi="宋体" w:hint="eastAsia"/>
          <w:szCs w:val="24"/>
        </w:rPr>
        <w:t>作出</w:t>
      </w:r>
      <w:proofErr w:type="gramEnd"/>
      <w:r>
        <w:rPr>
          <w:rFonts w:hAnsi="宋体" w:hint="eastAsia"/>
          <w:szCs w:val="24"/>
        </w:rPr>
        <w:t>不同约定的，以基金合同约定为准。</w:t>
      </w:r>
    </w:p>
    <w:p w14:paraId="6A71C115" w14:textId="77777777" w:rsidR="00966B07" w:rsidRDefault="00792B83">
      <w:pPr>
        <w:pStyle w:val="1"/>
        <w:spacing w:line="520" w:lineRule="atLeast"/>
        <w:ind w:firstLineChars="200" w:firstLine="482"/>
        <w:rPr>
          <w:bCs/>
          <w:color w:val="auto"/>
          <w:szCs w:val="24"/>
        </w:rPr>
      </w:pPr>
      <w:bookmarkStart w:id="59" w:name="_Toc63235237"/>
      <w:bookmarkStart w:id="60" w:name="_Toc296551356"/>
      <w:r>
        <w:rPr>
          <w:rFonts w:hint="eastAsia"/>
          <w:bCs/>
          <w:color w:val="auto"/>
          <w:szCs w:val="24"/>
        </w:rPr>
        <w:t>第二十条 本协议的签订</w:t>
      </w:r>
      <w:bookmarkEnd w:id="59"/>
      <w:bookmarkEnd w:id="60"/>
    </w:p>
    <w:p w14:paraId="2909278F" w14:textId="77777777" w:rsidR="00966B07" w:rsidRDefault="00792B83">
      <w:pPr>
        <w:snapToGrid w:val="0"/>
        <w:spacing w:line="520" w:lineRule="atLeast"/>
        <w:ind w:firstLineChars="200" w:firstLine="480"/>
        <w:rPr>
          <w:rFonts w:ascii="宋体" w:hAnsi="宋体"/>
          <w:sz w:val="24"/>
          <w:szCs w:val="24"/>
        </w:rPr>
      </w:pPr>
      <w:r>
        <w:rPr>
          <w:rFonts w:ascii="宋体" w:hAnsi="宋体" w:hint="eastAsia"/>
          <w:sz w:val="24"/>
          <w:szCs w:val="24"/>
        </w:rPr>
        <w:t>20.1本协议经基金管理人和基金托管人认可后，由双方当事人在本协议上加盖公章或合同专用章，并由各自的法定代表人或授权代理人签章（签字或加盖名章），并注明本托管协议的签订地点和签订日期。</w:t>
      </w:r>
    </w:p>
    <w:p w14:paraId="5F3F6620" w14:textId="77777777" w:rsidR="00966B07" w:rsidRDefault="00792B83">
      <w:pPr>
        <w:pStyle w:val="1"/>
        <w:spacing w:line="520" w:lineRule="atLeast"/>
        <w:ind w:firstLineChars="200" w:firstLine="482"/>
        <w:rPr>
          <w:bCs/>
          <w:color w:val="auto"/>
          <w:szCs w:val="24"/>
        </w:rPr>
      </w:pPr>
      <w:bookmarkStart w:id="61" w:name="_Toc63235238"/>
      <w:r>
        <w:rPr>
          <w:rFonts w:hint="eastAsia"/>
          <w:bCs/>
          <w:color w:val="auto"/>
          <w:szCs w:val="24"/>
        </w:rPr>
        <w:t>第二十一条 不可抗力</w:t>
      </w:r>
      <w:bookmarkEnd w:id="61"/>
    </w:p>
    <w:p w14:paraId="1E3DB6EA"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21.1如果本协议任何一方因受不可抗力事件影响而未能履行其在本协议下的全部或部分义务，该义务的履行在不可抗力事件妨碍其履行期间应予中止。</w:t>
      </w:r>
    </w:p>
    <w:p w14:paraId="409EE7F4"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21.2声称受到不可抗力事件影响的一方应尽可能在最短的时间内通过书面形式将不可抗力事件的发生通知其他当事人，并及时向其他当事人提供关于此种不可抗力事件的适当证据。声称不可抗力事件导致其对本协议的履行在客观上成为不可</w:t>
      </w:r>
      <w:r>
        <w:rPr>
          <w:rFonts w:hAnsi="宋体" w:hint="eastAsia"/>
          <w:szCs w:val="24"/>
        </w:rPr>
        <w:lastRenderedPageBreak/>
        <w:t>能或不实际的一方，有责任尽一切合理的努力消除或减轻此等不可抗力事件的影响。</w:t>
      </w:r>
    </w:p>
    <w:p w14:paraId="2B355748"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21.3不可抗力事件发生时，双方应立即通过友好协商决定如何执行本协议。不可抗力事件或其影响终止或消除后，双方须立即恢复履行各自在本协议项下的各项义务。</w:t>
      </w:r>
    </w:p>
    <w:p w14:paraId="38621E41" w14:textId="77777777" w:rsidR="00966B07" w:rsidRDefault="00792B83">
      <w:pPr>
        <w:pStyle w:val="20"/>
        <w:spacing w:before="0" w:after="0" w:line="520" w:lineRule="atLeast"/>
        <w:ind w:left="0" w:firstLineChars="200" w:firstLine="480"/>
        <w:rPr>
          <w:rFonts w:hAnsi="宋体"/>
          <w:szCs w:val="24"/>
        </w:rPr>
      </w:pPr>
      <w:r>
        <w:rPr>
          <w:rFonts w:hAnsi="宋体" w:hint="eastAsia"/>
          <w:szCs w:val="24"/>
        </w:rPr>
        <w:t>21.4本条所述的不可抗力事件是指不能预见、不能避免并不能克服的客观情况。</w:t>
      </w:r>
    </w:p>
    <w:p w14:paraId="272F66D3" w14:textId="77777777" w:rsidR="00966B07" w:rsidRDefault="00792B83">
      <w:pPr>
        <w:pStyle w:val="1"/>
        <w:spacing w:line="520" w:lineRule="atLeast"/>
        <w:ind w:firstLineChars="200" w:firstLine="482"/>
        <w:rPr>
          <w:bCs/>
          <w:szCs w:val="24"/>
        </w:rPr>
      </w:pPr>
      <w:bookmarkStart w:id="62" w:name="_Toc132794327"/>
      <w:bookmarkStart w:id="63" w:name="_Toc132794328"/>
      <w:bookmarkStart w:id="64" w:name="_Toc132794330"/>
      <w:bookmarkStart w:id="65" w:name="_Toc132794326"/>
      <w:bookmarkStart w:id="66" w:name="_Toc132794329"/>
      <w:bookmarkStart w:id="67" w:name="_Toc132794324"/>
      <w:bookmarkStart w:id="68" w:name="_Toc132794325"/>
      <w:bookmarkStart w:id="69" w:name="_Toc63235239"/>
      <w:bookmarkEnd w:id="62"/>
      <w:bookmarkEnd w:id="63"/>
      <w:bookmarkEnd w:id="64"/>
      <w:bookmarkEnd w:id="65"/>
      <w:bookmarkEnd w:id="66"/>
      <w:bookmarkEnd w:id="67"/>
      <w:bookmarkEnd w:id="68"/>
      <w:r>
        <w:rPr>
          <w:rFonts w:hint="eastAsia"/>
          <w:bCs/>
          <w:color w:val="auto"/>
          <w:szCs w:val="24"/>
        </w:rPr>
        <w:t>第二十二条</w:t>
      </w:r>
      <w:r>
        <w:rPr>
          <w:bCs/>
          <w:color w:val="auto"/>
          <w:szCs w:val="24"/>
        </w:rPr>
        <w:t xml:space="preserve"> </w:t>
      </w:r>
      <w:r>
        <w:rPr>
          <w:rFonts w:hint="eastAsia"/>
          <w:bCs/>
          <w:color w:val="auto"/>
          <w:szCs w:val="24"/>
        </w:rPr>
        <w:t>可分割性</w:t>
      </w:r>
      <w:bookmarkEnd w:id="69"/>
    </w:p>
    <w:p w14:paraId="608883DE" w14:textId="77777777" w:rsidR="00966B07" w:rsidRDefault="00792B83">
      <w:pPr>
        <w:pStyle w:val="20"/>
        <w:spacing w:before="0" w:after="0" w:line="520" w:lineRule="atLeast"/>
        <w:ind w:left="0" w:firstLineChars="200" w:firstLine="480"/>
        <w:rPr>
          <w:rFonts w:hAnsi="宋体"/>
          <w:szCs w:val="24"/>
        </w:rPr>
      </w:pPr>
      <w:r>
        <w:rPr>
          <w:rFonts w:hAnsi="宋体"/>
          <w:szCs w:val="24"/>
        </w:rPr>
        <w:t>22.1如果本协议任何约定依现行法律被确定为无效或无法实施，本协议的其他条款将继续有效。此种情况下，</w:t>
      </w:r>
      <w:r>
        <w:rPr>
          <w:rFonts w:hAnsi="宋体" w:hint="eastAsia"/>
          <w:szCs w:val="24"/>
        </w:rPr>
        <w:t>双</w:t>
      </w:r>
      <w:r>
        <w:rPr>
          <w:rFonts w:hAnsi="宋体"/>
          <w:szCs w:val="24"/>
        </w:rPr>
        <w:t>方将积极协商</w:t>
      </w:r>
      <w:r>
        <w:rPr>
          <w:rFonts w:asciiTheme="minorEastAsia" w:eastAsiaTheme="minorEastAsia" w:hAnsiTheme="minorEastAsia" w:hint="eastAsia"/>
          <w:szCs w:val="24"/>
        </w:rPr>
        <w:t>解决并另行签署书面协议予以明确</w:t>
      </w:r>
      <w:r>
        <w:rPr>
          <w:rFonts w:hAnsi="宋体"/>
          <w:szCs w:val="24"/>
        </w:rPr>
        <w:t>，且该</w:t>
      </w:r>
      <w:r>
        <w:rPr>
          <w:rFonts w:hAnsi="宋体" w:hint="eastAsia"/>
          <w:szCs w:val="24"/>
        </w:rPr>
        <w:t>协议</w:t>
      </w:r>
      <w:r>
        <w:rPr>
          <w:rFonts w:asciiTheme="minorEastAsia" w:eastAsiaTheme="minorEastAsia" w:hAnsiTheme="minorEastAsia" w:hint="eastAsia"/>
          <w:szCs w:val="24"/>
        </w:rPr>
        <w:t>应</w:t>
      </w:r>
      <w:r>
        <w:rPr>
          <w:rFonts w:hAnsi="宋体"/>
          <w:szCs w:val="24"/>
        </w:rPr>
        <w:t>尽可能接近原规定和本协议相应的精神和宗旨。</w:t>
      </w:r>
    </w:p>
    <w:p w14:paraId="7037C5F8" w14:textId="77777777" w:rsidR="00966B07" w:rsidRDefault="00792B83">
      <w:pPr>
        <w:pStyle w:val="1"/>
        <w:spacing w:line="520" w:lineRule="atLeast"/>
        <w:ind w:firstLineChars="200" w:firstLine="482"/>
        <w:rPr>
          <w:bCs/>
          <w:szCs w:val="24"/>
        </w:rPr>
      </w:pPr>
      <w:bookmarkStart w:id="70" w:name="_Toc63235240"/>
      <w:r>
        <w:rPr>
          <w:rFonts w:hint="eastAsia"/>
          <w:bCs/>
          <w:color w:val="auto"/>
          <w:szCs w:val="24"/>
        </w:rPr>
        <w:t>第二十三条</w:t>
      </w:r>
      <w:r>
        <w:rPr>
          <w:bCs/>
          <w:color w:val="auto"/>
          <w:szCs w:val="24"/>
        </w:rPr>
        <w:t xml:space="preserve"> </w:t>
      </w:r>
      <w:r>
        <w:rPr>
          <w:rFonts w:hint="eastAsia"/>
          <w:bCs/>
          <w:color w:val="auto"/>
          <w:szCs w:val="24"/>
        </w:rPr>
        <w:t>通知与送达</w:t>
      </w:r>
      <w:bookmarkEnd w:id="70"/>
    </w:p>
    <w:p w14:paraId="26B2B1A2" w14:textId="77777777" w:rsidR="00966B07" w:rsidRDefault="00792B83">
      <w:pPr>
        <w:snapToGrid w:val="0"/>
        <w:spacing w:line="520" w:lineRule="atLeast"/>
        <w:ind w:firstLineChars="200" w:firstLine="480"/>
        <w:rPr>
          <w:rFonts w:asciiTheme="minorEastAsia" w:hAnsiTheme="minorEastAsia"/>
          <w:sz w:val="24"/>
          <w:szCs w:val="24"/>
        </w:rPr>
      </w:pPr>
      <w:r>
        <w:rPr>
          <w:rFonts w:ascii="宋体" w:hAnsi="宋体"/>
          <w:sz w:val="24"/>
          <w:szCs w:val="24"/>
        </w:rPr>
        <w:t>23.1</w:t>
      </w:r>
      <w:bookmarkStart w:id="71" w:name="OLE_LINK89"/>
      <w:bookmarkStart w:id="72" w:name="OLE_LINK88"/>
      <w:r>
        <w:rPr>
          <w:rFonts w:ascii="宋体" w:hAnsi="宋体" w:hint="eastAsia"/>
          <w:sz w:val="24"/>
          <w:szCs w:val="24"/>
        </w:rPr>
        <w:t>除本协议另有约定外，双方</w:t>
      </w:r>
      <w:r w:rsidRPr="00B13518">
        <w:rPr>
          <w:rFonts w:hAnsi="宋体" w:hint="eastAsia"/>
          <w:sz w:val="24"/>
          <w:szCs w:val="32"/>
        </w:rPr>
        <w:t>将以双方认可的方式</w:t>
      </w:r>
      <w:r>
        <w:rPr>
          <w:rFonts w:ascii="宋体" w:hAnsi="宋体" w:hint="eastAsia"/>
          <w:sz w:val="24"/>
          <w:szCs w:val="24"/>
        </w:rPr>
        <w:t>就本协议中涉及各类通知、函件、附件、协议等文件以及就本协议发生纠纷</w:t>
      </w:r>
      <w:proofErr w:type="gramStart"/>
      <w:r>
        <w:rPr>
          <w:rFonts w:ascii="宋体" w:hAnsi="宋体" w:hint="eastAsia"/>
          <w:sz w:val="24"/>
          <w:szCs w:val="24"/>
        </w:rPr>
        <w:t>时相关</w:t>
      </w:r>
      <w:proofErr w:type="gramEnd"/>
      <w:r>
        <w:rPr>
          <w:rFonts w:ascii="宋体" w:hAnsi="宋体" w:hint="eastAsia"/>
          <w:sz w:val="24"/>
          <w:szCs w:val="24"/>
        </w:rPr>
        <w:t>文件和法律文书送达时的送达地址（</w:t>
      </w:r>
      <w:proofErr w:type="gramStart"/>
      <w:r>
        <w:rPr>
          <w:rFonts w:ascii="宋体" w:hAnsi="宋体" w:hint="eastAsia"/>
          <w:sz w:val="24"/>
          <w:szCs w:val="24"/>
        </w:rPr>
        <w:t>含联系</w:t>
      </w:r>
      <w:proofErr w:type="gramEnd"/>
      <w:r>
        <w:rPr>
          <w:rFonts w:ascii="宋体" w:hAnsi="宋体" w:hint="eastAsia"/>
          <w:sz w:val="24"/>
          <w:szCs w:val="24"/>
        </w:rPr>
        <w:t>方式，下同）及法律后果进行约定</w:t>
      </w:r>
      <w:bookmarkEnd w:id="71"/>
      <w:bookmarkEnd w:id="72"/>
      <w:r>
        <w:rPr>
          <w:rFonts w:ascii="宋体" w:hAnsi="宋体" w:hint="eastAsia"/>
          <w:sz w:val="24"/>
          <w:szCs w:val="24"/>
        </w:rPr>
        <w:t>。</w:t>
      </w:r>
    </w:p>
    <w:p w14:paraId="3055551E" w14:textId="77777777" w:rsidR="00966B07" w:rsidRDefault="00792B83">
      <w:pPr>
        <w:snapToGrid w:val="0"/>
        <w:spacing w:line="52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3.1.</w:t>
      </w:r>
      <w:r>
        <w:rPr>
          <w:rFonts w:asciiTheme="minorEastAsia" w:eastAsiaTheme="minorEastAsia" w:hAnsiTheme="minorEastAsia" w:hint="eastAsia"/>
          <w:sz w:val="24"/>
          <w:szCs w:val="24"/>
        </w:rPr>
        <w:t>1双方确认的送达地址如发生变更的，应当在发生变更之日起三日内通过书面方式通知对方，</w:t>
      </w:r>
      <w:r>
        <w:rPr>
          <w:rFonts w:asciiTheme="minorEastAsia" w:eastAsiaTheme="minorEastAsia" w:hAnsiTheme="minorEastAsia" w:hint="eastAsia"/>
          <w:b/>
          <w:bCs/>
          <w:sz w:val="24"/>
          <w:szCs w:val="24"/>
        </w:rPr>
        <w:t>但双方同意并认可，中信银行及其分支机构通过中信银行网上银行、手机银行、官方网站等渠道展示与本协议相关的提示、公告、通知、联系地址及邮政编码变更等信息的，该等信息一经展示（</w:t>
      </w:r>
      <w:proofErr w:type="gramStart"/>
      <w:r>
        <w:rPr>
          <w:rFonts w:asciiTheme="minorEastAsia" w:eastAsiaTheme="minorEastAsia" w:hAnsiTheme="minorEastAsia" w:hint="eastAsia"/>
          <w:b/>
          <w:bCs/>
          <w:sz w:val="24"/>
          <w:szCs w:val="24"/>
        </w:rPr>
        <w:t>如展示</w:t>
      </w:r>
      <w:proofErr w:type="gramEnd"/>
      <w:r>
        <w:rPr>
          <w:rFonts w:asciiTheme="minorEastAsia" w:eastAsiaTheme="minorEastAsia" w:hAnsiTheme="minorEastAsia" w:hint="eastAsia"/>
          <w:b/>
          <w:bCs/>
          <w:sz w:val="24"/>
          <w:szCs w:val="24"/>
        </w:rPr>
        <w:t>信息载明生效日期的，以该载明日期为准）即视为已通知/送达基金管理人。基金管理人及其分支机构通过基金管理人网站等渠道展示与本协议相关的提示、公告、通知、联系地址及邮政编码变更等信息的，该等信息一经展示（</w:t>
      </w:r>
      <w:proofErr w:type="gramStart"/>
      <w:r>
        <w:rPr>
          <w:rFonts w:asciiTheme="minorEastAsia" w:eastAsiaTheme="minorEastAsia" w:hAnsiTheme="minorEastAsia" w:hint="eastAsia"/>
          <w:b/>
          <w:bCs/>
          <w:sz w:val="24"/>
          <w:szCs w:val="24"/>
        </w:rPr>
        <w:t>如展示</w:t>
      </w:r>
      <w:proofErr w:type="gramEnd"/>
      <w:r>
        <w:rPr>
          <w:rFonts w:asciiTheme="minorEastAsia" w:eastAsiaTheme="minorEastAsia" w:hAnsiTheme="minorEastAsia" w:hint="eastAsia"/>
          <w:b/>
          <w:bCs/>
          <w:sz w:val="24"/>
          <w:szCs w:val="24"/>
        </w:rPr>
        <w:t>信息载明生效日期的，以该载明日期为准）即视为已通知/送达基金托管人。</w:t>
      </w:r>
      <w:r>
        <w:rPr>
          <w:rFonts w:asciiTheme="minorEastAsia" w:eastAsiaTheme="minorEastAsia" w:hAnsiTheme="minorEastAsia" w:hint="eastAsia"/>
          <w:sz w:val="24"/>
          <w:szCs w:val="24"/>
        </w:rPr>
        <w:t>在涉及仲裁及民事诉讼、执行程序时，任何一方送达地址发生变更的，应当在发生变更当日通过书面方式告知仲裁机构、法院。</w:t>
      </w:r>
      <w:r>
        <w:rPr>
          <w:rFonts w:asciiTheme="minorEastAsia" w:eastAsiaTheme="minorEastAsia" w:hAnsiTheme="minorEastAsia" w:hint="eastAsia"/>
          <w:b/>
          <w:bCs/>
          <w:sz w:val="24"/>
          <w:szCs w:val="24"/>
        </w:rPr>
        <w:t>任何一方未按前述方式履行通知、告知义务的，该方所确认的送达地址仍视为有效送达地址。</w:t>
      </w:r>
    </w:p>
    <w:p w14:paraId="5CBAADB5" w14:textId="77777777" w:rsidR="00966B07" w:rsidRDefault="00792B83">
      <w:pPr>
        <w:snapToGrid w:val="0"/>
        <w:spacing w:line="520" w:lineRule="atLeast"/>
        <w:ind w:firstLineChars="200" w:firstLine="480"/>
        <w:rPr>
          <w:rFonts w:asciiTheme="minorEastAsia" w:eastAsiaTheme="minorEastAsia" w:hAnsiTheme="minorEastAsia"/>
          <w:b/>
          <w:bCs/>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3.1.</w:t>
      </w:r>
      <w:r>
        <w:rPr>
          <w:rFonts w:asciiTheme="minorEastAsia" w:eastAsiaTheme="minorEastAsia" w:hAnsiTheme="minorEastAsia" w:hint="eastAsia"/>
          <w:sz w:val="24"/>
          <w:szCs w:val="24"/>
        </w:rPr>
        <w:t>2 双方在确认的送达地址适用范围包括双方在履行本协议过程中的各类通知、函件、附件、协议等文件以及就本协议发生纠纷</w:t>
      </w:r>
      <w:proofErr w:type="gramStart"/>
      <w:r>
        <w:rPr>
          <w:rFonts w:asciiTheme="minorEastAsia" w:eastAsiaTheme="minorEastAsia" w:hAnsiTheme="minorEastAsia" w:hint="eastAsia"/>
          <w:sz w:val="24"/>
          <w:szCs w:val="24"/>
        </w:rPr>
        <w:t>时相关</w:t>
      </w:r>
      <w:proofErr w:type="gramEnd"/>
      <w:r>
        <w:rPr>
          <w:rFonts w:asciiTheme="minorEastAsia" w:eastAsiaTheme="minorEastAsia" w:hAnsiTheme="minorEastAsia" w:hint="eastAsia"/>
          <w:sz w:val="24"/>
          <w:szCs w:val="24"/>
        </w:rPr>
        <w:t>文件和法律文书向双方的送达，包括在争议进入公证、仲裁、民事诉讼程序后的一审、二审、重审、再</w:t>
      </w:r>
      <w:r>
        <w:rPr>
          <w:rFonts w:asciiTheme="minorEastAsia" w:eastAsiaTheme="minorEastAsia" w:hAnsiTheme="minorEastAsia" w:hint="eastAsia"/>
          <w:sz w:val="24"/>
          <w:szCs w:val="24"/>
        </w:rPr>
        <w:lastRenderedPageBreak/>
        <w:t>审和执行程序（含处置抵押物等）等各个阶段相关案件材料和法律文书（包括但不限于：各类程序性文书，如起诉状、仲裁申请书、受理案件通知书、应诉通知书、传票、举证通知书、缴费通知书等；各类法律文书，如仲裁裁决书、判决书、裁定书、调解书等）向双方的送达。</w:t>
      </w:r>
      <w:r>
        <w:rPr>
          <w:rFonts w:asciiTheme="minorEastAsia" w:eastAsiaTheme="minorEastAsia" w:hAnsiTheme="minorEastAsia" w:hint="eastAsia"/>
          <w:b/>
          <w:bCs/>
          <w:sz w:val="24"/>
          <w:szCs w:val="24"/>
        </w:rPr>
        <w:t>除第23.1.2条另有约定外，一方按照送达地址发送上述文件，即应视作在下列日期被送达：</w:t>
      </w:r>
    </w:p>
    <w:p w14:paraId="00A6E58E" w14:textId="77777777" w:rsidR="00966B07" w:rsidRDefault="00792B83">
      <w:pPr>
        <w:snapToGrid w:val="0"/>
        <w:spacing w:line="520" w:lineRule="atLeas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（1）邮递（包括特快专递、平信邮寄、挂号邮寄），以投递之日后的第三日视为送达日；</w:t>
      </w:r>
    </w:p>
    <w:p w14:paraId="1DC1222C" w14:textId="77777777" w:rsidR="00966B07" w:rsidRDefault="00792B83">
      <w:pPr>
        <w:snapToGrid w:val="0"/>
        <w:spacing w:line="520" w:lineRule="atLeas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（2）电话、传真、电子邮箱、</w:t>
      </w:r>
      <w:proofErr w:type="gramStart"/>
      <w:r>
        <w:rPr>
          <w:rFonts w:asciiTheme="minorEastAsia" w:eastAsiaTheme="minorEastAsia" w:hAnsiTheme="minorEastAsia" w:hint="eastAsia"/>
          <w:b/>
          <w:bCs/>
          <w:sz w:val="24"/>
          <w:szCs w:val="24"/>
        </w:rPr>
        <w:t>微信或</w:t>
      </w:r>
      <w:proofErr w:type="gramEnd"/>
      <w:r>
        <w:rPr>
          <w:rFonts w:asciiTheme="minorEastAsia" w:eastAsiaTheme="minorEastAsia" w:hAnsiTheme="minorEastAsia" w:hint="eastAsia"/>
          <w:b/>
          <w:bCs/>
          <w:sz w:val="24"/>
          <w:szCs w:val="24"/>
        </w:rPr>
        <w:t>其他电子通讯方式，以发送之日视为送达日；</w:t>
      </w:r>
    </w:p>
    <w:p w14:paraId="1548C48F" w14:textId="77777777" w:rsidR="00966B07" w:rsidRDefault="00792B83">
      <w:pPr>
        <w:snapToGrid w:val="0"/>
        <w:spacing w:line="520" w:lineRule="atLeas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（3）专人送达，以收件人签收之日视为送达日；收件人拒收或无人接收的，送达人可采取拍照、录像方式记录送达过程，并将文书留置，亦视为送达；</w:t>
      </w:r>
    </w:p>
    <w:p w14:paraId="23A9675F" w14:textId="77777777" w:rsidR="00966B07" w:rsidRDefault="00792B83">
      <w:pPr>
        <w:snapToGrid w:val="0"/>
        <w:spacing w:line="520" w:lineRule="atLeas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（4）同时采用上述几种方式的，以其中最快达到对方者为准。</w:t>
      </w:r>
    </w:p>
    <w:p w14:paraId="34EF794C" w14:textId="77777777" w:rsidR="00966B07" w:rsidRDefault="00792B83">
      <w:pPr>
        <w:snapToGrid w:val="0"/>
        <w:spacing w:line="520" w:lineRule="atLeas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因任何一方提供或者确认的送达地址不准确、送达地址变更后未及时依程序通知或告知对方、法院、仲裁机关或公证机关的，或任何一方或其指定的接收人拒绝签收等原因，导致法律文书、执行文书、仲裁裁决或公证机关执行证书等各项法律文书或有关文件无法送达、未及时送达或未能被该方实际接收的，对方、法院、仲裁机关或公证机关按照上述有效送达规则进行送达即视为有效送达，该方将自行承担由此可能产生的一切法律后果。双方同意法院、仲裁机关或公证机关可以采取一种或多种送达方式送达法律文书，送达时间以上述送达方式中最先到达的为准。</w:t>
      </w:r>
      <w:bookmarkStart w:id="73" w:name="OLE_LINK98"/>
      <w:bookmarkStart w:id="74" w:name="OLE_LINK99"/>
    </w:p>
    <w:bookmarkEnd w:id="73"/>
    <w:bookmarkEnd w:id="74"/>
    <w:p w14:paraId="620D2945" w14:textId="77777777" w:rsidR="00966B07" w:rsidRDefault="00792B83">
      <w:pPr>
        <w:snapToGrid w:val="0"/>
        <w:spacing w:line="520" w:lineRule="atLeast"/>
        <w:ind w:firstLineChars="200" w:firstLine="482"/>
        <w:rPr>
          <w:rFonts w:hAnsi="宋体"/>
          <w:b/>
          <w:bCs/>
          <w:szCs w:val="24"/>
        </w:rPr>
      </w:pPr>
      <w:r>
        <w:rPr>
          <w:rFonts w:asciiTheme="minorEastAsia" w:eastAsiaTheme="minorEastAsia" w:hAnsiTheme="minorEastAsia" w:hint="eastAsia"/>
          <w:b/>
          <w:bCs/>
          <w:sz w:val="24"/>
          <w:szCs w:val="24"/>
        </w:rPr>
        <w:t>2</w:t>
      </w:r>
      <w:r>
        <w:rPr>
          <w:rFonts w:asciiTheme="minorEastAsia" w:eastAsiaTheme="minorEastAsia" w:hAnsiTheme="minorEastAsia"/>
          <w:b/>
          <w:bCs/>
          <w:sz w:val="24"/>
          <w:szCs w:val="24"/>
        </w:rPr>
        <w:t>3.1.</w:t>
      </w:r>
      <w:r>
        <w:rPr>
          <w:rFonts w:asciiTheme="minorEastAsia" w:eastAsiaTheme="minorEastAsia" w:hAnsiTheme="minorEastAsia" w:hint="eastAsia"/>
          <w:b/>
          <w:bCs/>
          <w:sz w:val="24"/>
          <w:szCs w:val="24"/>
        </w:rPr>
        <w:t>3本条约定内容为本协议双方均明确同意的特别条款，效力独立于本协议其他条款。不论本协议其他条款因为任何原因被法院、仲裁机关或其他有权机关认定为无效或者被撤销，本条约定内容均为有效。</w:t>
      </w:r>
    </w:p>
    <w:p w14:paraId="2DF5174B" w14:textId="77777777" w:rsidR="00966B07" w:rsidRDefault="00792B83">
      <w:pPr>
        <w:pStyle w:val="20"/>
        <w:adjustRightInd w:val="0"/>
        <w:snapToGrid w:val="0"/>
        <w:spacing w:before="0" w:after="0" w:line="520" w:lineRule="atLeast"/>
        <w:ind w:left="0" w:firstLine="480"/>
        <w:rPr>
          <w:rFonts w:asciiTheme="minorEastAsia" w:eastAsiaTheme="minorEastAsia" w:hAnsiTheme="minorEastAsia"/>
          <w:b/>
          <w:bCs/>
          <w:szCs w:val="24"/>
        </w:rPr>
      </w:pPr>
      <w:r>
        <w:rPr>
          <w:rFonts w:asciiTheme="minorEastAsia" w:eastAsiaTheme="minorEastAsia" w:hAnsiTheme="minorEastAsia" w:hint="eastAsia"/>
          <w:b/>
          <w:bCs/>
          <w:szCs w:val="24"/>
        </w:rPr>
        <w:t>基金托管人已采取文字加粗、加黑、突出显示等合理方式提请基金管理人注意本协议项下免除或限制其责任的条款，并按基金管理人要求对有关条款予以充分说明。基金管理人已阅读本协议所有条款，对本协议条款的含义及相应的法律后果已全部通晓并充分理解，同意遵守以上条款。双方对本协议所有条款内容的理解不存在异议。</w:t>
      </w:r>
    </w:p>
    <w:p w14:paraId="2E8B6486" w14:textId="77777777" w:rsidR="00966B07" w:rsidRDefault="00792B83">
      <w:pPr>
        <w:widowControl/>
        <w:spacing w:line="520" w:lineRule="atLeast"/>
        <w:ind w:firstLineChars="100" w:firstLine="240"/>
        <w:jc w:val="left"/>
      </w:pPr>
      <w:r>
        <w:rPr>
          <w:rFonts w:ascii="宋体" w:hAnsi="宋体" w:hint="eastAsia"/>
          <w:sz w:val="24"/>
          <w:szCs w:val="24"/>
        </w:rPr>
        <w:lastRenderedPageBreak/>
        <w:t>（以下无正文）</w:t>
      </w:r>
    </w:p>
    <w:p w14:paraId="349C3F13" w14:textId="77777777" w:rsidR="00966B07" w:rsidRDefault="00792B83">
      <w:pPr>
        <w:widowControl/>
        <w:spacing w:line="520" w:lineRule="atLeast"/>
        <w:jc w:val="left"/>
        <w:rPr>
          <w:rFonts w:hAnsi="宋体"/>
          <w:sz w:val="28"/>
          <w:szCs w:val="28"/>
        </w:rPr>
      </w:pPr>
      <w:r>
        <w:rPr>
          <w:rFonts w:hAnsi="宋体"/>
          <w:sz w:val="28"/>
          <w:szCs w:val="28"/>
        </w:rPr>
        <w:br w:type="page"/>
      </w:r>
    </w:p>
    <w:p w14:paraId="692C7FEF" w14:textId="6B154214" w:rsidR="00966B07" w:rsidRDefault="00792B83">
      <w:pPr>
        <w:pStyle w:val="20"/>
        <w:spacing w:before="0" w:after="0" w:line="520" w:lineRule="atLeast"/>
        <w:ind w:left="0"/>
        <w:rPr>
          <w:rFonts w:hAnsi="宋体"/>
          <w:szCs w:val="24"/>
        </w:rPr>
      </w:pPr>
      <w:r>
        <w:rPr>
          <w:rFonts w:hAnsi="宋体" w:hint="eastAsia"/>
          <w:szCs w:val="24"/>
        </w:rPr>
        <w:lastRenderedPageBreak/>
        <w:t>（本页无正文，为《农银汇理</w:t>
      </w:r>
      <w:r w:rsidR="005B6F51">
        <w:rPr>
          <w:rFonts w:hAnsi="宋体" w:hint="eastAsia"/>
          <w:szCs w:val="24"/>
        </w:rPr>
        <w:t>金恒</w:t>
      </w:r>
      <w:r>
        <w:rPr>
          <w:rFonts w:hAnsi="宋体" w:hint="eastAsia"/>
          <w:szCs w:val="24"/>
        </w:rPr>
        <w:t>债券型证券投资基金托管协议》的签字页）</w:t>
      </w:r>
    </w:p>
    <w:p w14:paraId="6B34F154" w14:textId="77777777" w:rsidR="00966B07" w:rsidRDefault="00966B07">
      <w:pPr>
        <w:pStyle w:val="20"/>
        <w:spacing w:before="0" w:after="0" w:line="520" w:lineRule="atLeast"/>
        <w:ind w:left="0" w:firstLineChars="200" w:firstLine="480"/>
        <w:rPr>
          <w:rFonts w:hAnsi="宋体"/>
          <w:szCs w:val="24"/>
        </w:rPr>
      </w:pPr>
    </w:p>
    <w:p w14:paraId="691B06DE" w14:textId="77777777" w:rsidR="00966B07" w:rsidRDefault="00966B07">
      <w:pPr>
        <w:pStyle w:val="20"/>
        <w:spacing w:before="0" w:after="0" w:line="520" w:lineRule="atLeast"/>
        <w:ind w:left="0" w:firstLineChars="200" w:firstLine="480"/>
        <w:rPr>
          <w:rFonts w:hAnsi="宋体"/>
          <w:szCs w:val="24"/>
        </w:rPr>
      </w:pPr>
    </w:p>
    <w:p w14:paraId="4CE36D75" w14:textId="77777777" w:rsidR="00966B07" w:rsidRDefault="00792B83">
      <w:pPr>
        <w:pStyle w:val="20"/>
        <w:spacing w:before="0" w:after="0" w:line="520" w:lineRule="atLeast"/>
        <w:ind w:left="0"/>
        <w:rPr>
          <w:rFonts w:hAnsi="宋体"/>
          <w:szCs w:val="24"/>
        </w:rPr>
      </w:pPr>
      <w:r>
        <w:rPr>
          <w:rFonts w:hAnsi="宋体" w:hint="eastAsia"/>
          <w:szCs w:val="24"/>
        </w:rPr>
        <w:t>基金管理人：农银汇理基金管理有限公司（</w:t>
      </w:r>
      <w:r>
        <w:rPr>
          <w:rFonts w:asciiTheme="minorEastAsia" w:eastAsiaTheme="minorEastAsia" w:hAnsiTheme="minorEastAsia" w:hint="eastAsia"/>
          <w:szCs w:val="24"/>
        </w:rPr>
        <w:t>公章或合同专用章</w:t>
      </w:r>
      <w:r>
        <w:rPr>
          <w:rFonts w:hAnsi="宋体" w:hint="eastAsia"/>
          <w:szCs w:val="24"/>
        </w:rPr>
        <w:t>）</w:t>
      </w:r>
    </w:p>
    <w:p w14:paraId="4BEAF02E" w14:textId="77777777" w:rsidR="00966B07" w:rsidRDefault="00966B07">
      <w:pPr>
        <w:pStyle w:val="20"/>
        <w:spacing w:before="0" w:after="0" w:line="520" w:lineRule="atLeast"/>
        <w:ind w:left="0"/>
        <w:rPr>
          <w:rFonts w:hAnsi="宋体"/>
          <w:szCs w:val="24"/>
        </w:rPr>
      </w:pPr>
    </w:p>
    <w:p w14:paraId="0F0CE3EA" w14:textId="77777777" w:rsidR="00966B07" w:rsidRDefault="00792B83">
      <w:pPr>
        <w:pStyle w:val="20"/>
        <w:spacing w:before="0" w:after="0" w:line="520" w:lineRule="atLeast"/>
        <w:ind w:left="0"/>
        <w:rPr>
          <w:rFonts w:hAnsi="宋体"/>
          <w:szCs w:val="24"/>
        </w:rPr>
      </w:pPr>
      <w:r>
        <w:rPr>
          <w:rFonts w:hAnsi="宋体" w:hint="eastAsia"/>
          <w:szCs w:val="24"/>
        </w:rPr>
        <w:t>法定代表人</w:t>
      </w:r>
    </w:p>
    <w:p w14:paraId="7C903B41" w14:textId="77777777" w:rsidR="00966B07" w:rsidRDefault="00792B83">
      <w:pPr>
        <w:pStyle w:val="20"/>
        <w:spacing w:before="0" w:after="0" w:line="520" w:lineRule="atLeast"/>
        <w:ind w:left="0"/>
        <w:rPr>
          <w:rFonts w:hAnsi="宋体"/>
          <w:szCs w:val="24"/>
        </w:rPr>
      </w:pPr>
      <w:r>
        <w:rPr>
          <w:rFonts w:hAnsi="宋体" w:hint="eastAsia"/>
          <w:szCs w:val="24"/>
        </w:rPr>
        <w:t xml:space="preserve">（或授权代理人）：           </w:t>
      </w:r>
    </w:p>
    <w:p w14:paraId="443E361B" w14:textId="77777777" w:rsidR="00966B07" w:rsidRDefault="00966B07">
      <w:pPr>
        <w:pStyle w:val="20"/>
        <w:spacing w:before="0" w:after="0" w:line="520" w:lineRule="atLeast"/>
        <w:ind w:left="0" w:firstLineChars="200" w:firstLine="480"/>
        <w:rPr>
          <w:rFonts w:hAnsi="宋体"/>
          <w:szCs w:val="24"/>
        </w:rPr>
      </w:pPr>
    </w:p>
    <w:p w14:paraId="21AE8FA3" w14:textId="77777777" w:rsidR="00966B07" w:rsidRDefault="00792B83">
      <w:pPr>
        <w:pStyle w:val="20"/>
        <w:spacing w:before="0" w:after="0" w:line="520" w:lineRule="atLeast"/>
        <w:ind w:left="0"/>
        <w:rPr>
          <w:rFonts w:hAnsi="宋体"/>
          <w:szCs w:val="24"/>
        </w:rPr>
      </w:pPr>
      <w:r>
        <w:rPr>
          <w:rFonts w:hAnsi="宋体" w:hint="eastAsia"/>
          <w:szCs w:val="24"/>
        </w:rPr>
        <w:t>签署日期：</w:t>
      </w:r>
    </w:p>
    <w:p w14:paraId="40C93449" w14:textId="77777777" w:rsidR="00966B07" w:rsidRDefault="00966B07">
      <w:pPr>
        <w:pStyle w:val="20"/>
        <w:spacing w:before="0" w:after="0" w:line="520" w:lineRule="atLeast"/>
        <w:ind w:left="0" w:firstLineChars="200" w:firstLine="480"/>
        <w:rPr>
          <w:rFonts w:hAnsi="宋体"/>
          <w:szCs w:val="24"/>
        </w:rPr>
      </w:pPr>
    </w:p>
    <w:p w14:paraId="01E7A6B8" w14:textId="77777777" w:rsidR="00966B07" w:rsidRDefault="00966B07">
      <w:pPr>
        <w:pStyle w:val="20"/>
        <w:spacing w:before="0" w:after="0" w:line="520" w:lineRule="atLeast"/>
        <w:ind w:left="0" w:firstLineChars="200" w:firstLine="480"/>
        <w:rPr>
          <w:rFonts w:hAnsi="宋体"/>
          <w:szCs w:val="24"/>
        </w:rPr>
      </w:pPr>
    </w:p>
    <w:p w14:paraId="2EF39E49" w14:textId="77777777" w:rsidR="00966B07" w:rsidRDefault="00966B07">
      <w:pPr>
        <w:pStyle w:val="20"/>
        <w:spacing w:before="0" w:after="0" w:line="520" w:lineRule="atLeast"/>
        <w:ind w:left="0" w:firstLineChars="200" w:firstLine="480"/>
        <w:rPr>
          <w:rFonts w:hAnsi="宋体"/>
          <w:szCs w:val="24"/>
        </w:rPr>
      </w:pPr>
    </w:p>
    <w:p w14:paraId="530C2E43" w14:textId="77777777" w:rsidR="00966B07" w:rsidRDefault="00792B83">
      <w:pPr>
        <w:pStyle w:val="20"/>
        <w:spacing w:before="0" w:after="0" w:line="520" w:lineRule="atLeast"/>
        <w:ind w:left="0"/>
        <w:rPr>
          <w:rFonts w:hAnsi="宋体"/>
          <w:szCs w:val="24"/>
        </w:rPr>
      </w:pPr>
      <w:r>
        <w:rPr>
          <w:rFonts w:hAnsi="宋体" w:hint="eastAsia"/>
          <w:szCs w:val="24"/>
        </w:rPr>
        <w:t>基金托管人：中信银行股份有限公司（</w:t>
      </w:r>
      <w:r>
        <w:rPr>
          <w:rFonts w:asciiTheme="minorEastAsia" w:eastAsiaTheme="minorEastAsia" w:hAnsiTheme="minorEastAsia" w:hint="eastAsia"/>
          <w:szCs w:val="24"/>
        </w:rPr>
        <w:t>公章或合同专用章</w:t>
      </w:r>
      <w:r>
        <w:rPr>
          <w:rFonts w:hAnsi="宋体" w:hint="eastAsia"/>
          <w:szCs w:val="24"/>
        </w:rPr>
        <w:t>）</w:t>
      </w:r>
    </w:p>
    <w:p w14:paraId="1557A5B9" w14:textId="77777777" w:rsidR="00966B07" w:rsidRDefault="00966B07">
      <w:pPr>
        <w:pStyle w:val="20"/>
        <w:spacing w:before="0" w:after="0" w:line="520" w:lineRule="atLeast"/>
        <w:ind w:left="0"/>
        <w:rPr>
          <w:rFonts w:hAnsi="宋体"/>
          <w:szCs w:val="24"/>
        </w:rPr>
      </w:pPr>
    </w:p>
    <w:p w14:paraId="5E7D5477" w14:textId="77777777" w:rsidR="00966B07" w:rsidRDefault="00792B83">
      <w:pPr>
        <w:pStyle w:val="20"/>
        <w:spacing w:before="0" w:after="0" w:line="520" w:lineRule="atLeast"/>
        <w:ind w:left="0"/>
        <w:rPr>
          <w:rFonts w:hAnsi="宋体"/>
          <w:szCs w:val="24"/>
        </w:rPr>
      </w:pPr>
      <w:r>
        <w:rPr>
          <w:rFonts w:hAnsi="宋体" w:hint="eastAsia"/>
          <w:szCs w:val="24"/>
        </w:rPr>
        <w:t>法定代表人</w:t>
      </w:r>
    </w:p>
    <w:p w14:paraId="091E4428" w14:textId="77777777" w:rsidR="00966B07" w:rsidRDefault="00792B83">
      <w:pPr>
        <w:pStyle w:val="20"/>
        <w:spacing w:before="0" w:after="0" w:line="520" w:lineRule="atLeast"/>
        <w:ind w:left="0"/>
        <w:rPr>
          <w:rFonts w:hAnsi="宋体"/>
          <w:szCs w:val="24"/>
        </w:rPr>
      </w:pPr>
      <w:r>
        <w:rPr>
          <w:rFonts w:hAnsi="宋体" w:hint="eastAsia"/>
          <w:szCs w:val="24"/>
        </w:rPr>
        <w:t xml:space="preserve">（或授权代理人）：  </w:t>
      </w:r>
    </w:p>
    <w:p w14:paraId="69296DB9" w14:textId="77777777" w:rsidR="00966B07" w:rsidRDefault="00966B07">
      <w:pPr>
        <w:pStyle w:val="20"/>
        <w:spacing w:before="0" w:after="0" w:line="520" w:lineRule="atLeast"/>
        <w:ind w:left="0"/>
        <w:rPr>
          <w:rFonts w:hAnsi="宋体"/>
          <w:szCs w:val="24"/>
        </w:rPr>
      </w:pPr>
    </w:p>
    <w:p w14:paraId="75633F13" w14:textId="77777777" w:rsidR="00966B07" w:rsidRDefault="00792B83">
      <w:pPr>
        <w:pStyle w:val="20"/>
        <w:spacing w:before="0" w:after="0" w:line="520" w:lineRule="atLeast"/>
        <w:ind w:left="0"/>
        <w:rPr>
          <w:rFonts w:hAnsi="宋体"/>
          <w:szCs w:val="24"/>
        </w:rPr>
      </w:pPr>
      <w:r>
        <w:rPr>
          <w:rFonts w:hAnsi="宋体" w:hint="eastAsia"/>
          <w:szCs w:val="24"/>
        </w:rPr>
        <w:t>签署日期：</w:t>
      </w:r>
    </w:p>
    <w:p w14:paraId="7B77B92E" w14:textId="77777777" w:rsidR="00966B07" w:rsidRDefault="00792B83">
      <w:pPr>
        <w:pStyle w:val="20"/>
        <w:spacing w:before="0" w:after="0" w:line="520" w:lineRule="atLeast"/>
        <w:ind w:left="0"/>
        <w:rPr>
          <w:rFonts w:hAnsi="宋体"/>
          <w:sz w:val="28"/>
          <w:szCs w:val="28"/>
        </w:rPr>
      </w:pPr>
      <w:r>
        <w:rPr>
          <w:rFonts w:hAnsi="宋体" w:hint="eastAsia"/>
          <w:sz w:val="28"/>
          <w:szCs w:val="28"/>
        </w:rPr>
        <w:t xml:space="preserve">           </w:t>
      </w:r>
    </w:p>
    <w:p w14:paraId="3B080E86" w14:textId="77777777" w:rsidR="00966B07" w:rsidRDefault="00966B07">
      <w:pPr>
        <w:pStyle w:val="20"/>
        <w:spacing w:before="0" w:after="0" w:line="520" w:lineRule="atLeast"/>
        <w:ind w:left="0" w:firstLineChars="200" w:firstLine="560"/>
        <w:rPr>
          <w:rFonts w:hAnsi="宋体"/>
          <w:sz w:val="28"/>
          <w:szCs w:val="28"/>
        </w:rPr>
      </w:pPr>
    </w:p>
    <w:p w14:paraId="3F220B6A" w14:textId="77777777" w:rsidR="00966B07" w:rsidRDefault="00966B07">
      <w:pPr>
        <w:pStyle w:val="20"/>
        <w:spacing w:before="0" w:after="0" w:line="520" w:lineRule="atLeast"/>
        <w:ind w:left="0" w:firstLineChars="200" w:firstLine="560"/>
        <w:rPr>
          <w:rFonts w:hAnsi="宋体"/>
          <w:sz w:val="28"/>
          <w:szCs w:val="28"/>
        </w:rPr>
      </w:pPr>
    </w:p>
    <w:p w14:paraId="181CA818" w14:textId="77777777" w:rsidR="00966B07" w:rsidRDefault="00966B07">
      <w:pPr>
        <w:pStyle w:val="20"/>
        <w:spacing w:before="0" w:after="0" w:line="520" w:lineRule="atLeast"/>
        <w:ind w:left="0" w:firstLineChars="200" w:firstLine="560"/>
        <w:rPr>
          <w:rFonts w:hAnsi="宋体"/>
          <w:sz w:val="28"/>
          <w:szCs w:val="28"/>
        </w:rPr>
      </w:pPr>
    </w:p>
    <w:p w14:paraId="1E69583E" w14:textId="77777777" w:rsidR="00966B07" w:rsidRDefault="00966B07">
      <w:pPr>
        <w:pStyle w:val="20"/>
        <w:spacing w:before="0" w:after="0" w:line="520" w:lineRule="atLeast"/>
        <w:ind w:left="0"/>
        <w:rPr>
          <w:rFonts w:hAnsi="宋体"/>
          <w:szCs w:val="24"/>
        </w:rPr>
      </w:pPr>
    </w:p>
    <w:p w14:paraId="4A6B0CDA" w14:textId="77777777" w:rsidR="00966B07" w:rsidRDefault="00792B83">
      <w:pPr>
        <w:pStyle w:val="20"/>
        <w:spacing w:before="0" w:after="0" w:line="520" w:lineRule="atLeast"/>
        <w:ind w:left="0"/>
        <w:rPr>
          <w:rFonts w:hAnsi="宋体"/>
          <w:szCs w:val="24"/>
        </w:rPr>
      </w:pPr>
      <w:r>
        <w:rPr>
          <w:rFonts w:hAnsi="宋体" w:hint="eastAsia"/>
          <w:szCs w:val="24"/>
        </w:rPr>
        <w:t xml:space="preserve">签订地： </w:t>
      </w:r>
    </w:p>
    <w:p w14:paraId="07D8E83B" w14:textId="77777777" w:rsidR="00966B07" w:rsidRDefault="00966B07">
      <w:pPr>
        <w:pStyle w:val="20"/>
        <w:spacing w:before="0" w:after="0" w:line="520" w:lineRule="atLeast"/>
        <w:ind w:left="0" w:firstLineChars="200" w:firstLine="480"/>
        <w:rPr>
          <w:rFonts w:hAnsi="宋体"/>
          <w:szCs w:val="24"/>
        </w:rPr>
      </w:pPr>
    </w:p>
    <w:p w14:paraId="2751DB87" w14:textId="77777777" w:rsidR="00966B07" w:rsidRDefault="00792B83">
      <w:pPr>
        <w:pStyle w:val="20"/>
        <w:spacing w:before="0" w:after="0" w:line="520" w:lineRule="atLeast"/>
        <w:ind w:left="0"/>
        <w:rPr>
          <w:rFonts w:hAnsi="宋体"/>
          <w:sz w:val="28"/>
          <w:szCs w:val="28"/>
        </w:rPr>
      </w:pPr>
      <w:r>
        <w:rPr>
          <w:rFonts w:hAnsi="宋体" w:hint="eastAsia"/>
          <w:szCs w:val="24"/>
        </w:rPr>
        <w:t xml:space="preserve"> </w:t>
      </w:r>
      <w:r>
        <w:rPr>
          <w:rFonts w:hAnsi="宋体" w:hint="eastAsia"/>
          <w:sz w:val="28"/>
          <w:szCs w:val="28"/>
        </w:rPr>
        <w:t xml:space="preserve">  </w:t>
      </w:r>
    </w:p>
    <w:p w14:paraId="0A5F9773" w14:textId="77777777" w:rsidR="00966B07" w:rsidRDefault="00966B07">
      <w:pPr>
        <w:autoSpaceDE w:val="0"/>
        <w:autoSpaceDN w:val="0"/>
        <w:adjustRightInd w:val="0"/>
        <w:spacing w:line="520" w:lineRule="atLeast"/>
        <w:ind w:rightChars="11" w:right="23"/>
        <w:rPr>
          <w:rFonts w:ascii="宋体" w:hAnsi="宋体"/>
          <w:sz w:val="28"/>
          <w:szCs w:val="28"/>
        </w:rPr>
      </w:pPr>
    </w:p>
    <w:sectPr w:rsidR="00966B07">
      <w:headerReference w:type="default" r:id="rId8"/>
      <w:footerReference w:type="even" r:id="rId9"/>
      <w:footerReference w:type="default" r:id="rId10"/>
      <w:pgSz w:w="11907" w:h="16840"/>
      <w:pgMar w:top="1090" w:right="1678" w:bottom="935" w:left="1678" w:header="720" w:footer="720" w:gutter="0"/>
      <w:pgNumType w:start="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5B934" w16cex:dateUtc="2022-09-09T05:08:00Z"/>
  <w16cex:commentExtensible w16cex:durableId="26C5B9B4" w16cex:dateUtc="2022-09-09T05:10:00Z"/>
  <w16cex:commentExtensible w16cex:durableId="26C5BECC" w16cex:dateUtc="2022-09-09T05:31:00Z"/>
  <w16cex:commentExtensible w16cex:durableId="26C5C7C3" w16cex:dateUtc="2022-09-09T06:10:00Z"/>
  <w16cex:commentExtensible w16cex:durableId="26C5C7E0" w16cex:dateUtc="2022-09-09T06: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423E49" w16cid:durableId="26C5B934"/>
  <w16cid:commentId w16cid:paraId="410070F2" w16cid:durableId="26C5B9B4"/>
  <w16cid:commentId w16cid:paraId="43EF20F3" w16cid:durableId="26C5B74C"/>
  <w16cid:commentId w16cid:paraId="103E303E" w16cid:durableId="26C5B74D"/>
  <w16cid:commentId w16cid:paraId="2A915369" w16cid:durableId="26C5B74E"/>
  <w16cid:commentId w16cid:paraId="00A65AC2" w16cid:durableId="26C5B750"/>
  <w16cid:commentId w16cid:paraId="2FF939ED" w16cid:durableId="26C5BECC"/>
  <w16cid:commentId w16cid:paraId="3F4F28B8" w16cid:durableId="26C5B753"/>
  <w16cid:commentId w16cid:paraId="78A821A7" w16cid:durableId="26C5B756"/>
  <w16cid:commentId w16cid:paraId="363769D8" w16cid:durableId="26C5C7C3"/>
  <w16cid:commentId w16cid:paraId="1B9750D5" w16cid:durableId="26C5C7E0"/>
  <w16cid:commentId w16cid:paraId="2FC43A5A" w16cid:durableId="26C5B75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91368" w14:textId="77777777" w:rsidR="000767D7" w:rsidRDefault="000767D7">
      <w:r>
        <w:separator/>
      </w:r>
    </w:p>
  </w:endnote>
  <w:endnote w:type="continuationSeparator" w:id="0">
    <w:p w14:paraId="4C881B9A" w14:textId="77777777" w:rsidR="000767D7" w:rsidRDefault="00076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D21AC" w14:textId="77777777" w:rsidR="00FC6F4D" w:rsidRDefault="00FC6F4D">
    <w:pPr>
      <w:pStyle w:val="ad"/>
      <w:framePr w:wrap="around" w:vAnchor="text" w:hAnchor="margin" w:xAlign="center" w:y="1"/>
      <w:rPr>
        <w:rStyle w:val="af3"/>
      </w:rPr>
    </w:pPr>
    <w:r>
      <w:fldChar w:fldCharType="begin"/>
    </w:r>
    <w:r>
      <w:rPr>
        <w:rStyle w:val="af3"/>
      </w:rPr>
      <w:instrText xml:space="preserve">PAGE  </w:instrText>
    </w:r>
    <w:r>
      <w:fldChar w:fldCharType="end"/>
    </w:r>
  </w:p>
  <w:p w14:paraId="3D71BC58" w14:textId="77777777" w:rsidR="00FC6F4D" w:rsidRDefault="00FC6F4D">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C58CF" w14:textId="1F592695" w:rsidR="00FC6F4D" w:rsidRDefault="00FC6F4D">
    <w:pPr>
      <w:pStyle w:val="ad"/>
      <w:framePr w:wrap="around" w:vAnchor="text" w:hAnchor="margin" w:xAlign="center" w:y="1"/>
      <w:rPr>
        <w:rStyle w:val="af3"/>
      </w:rPr>
    </w:pPr>
    <w:r>
      <w:fldChar w:fldCharType="begin"/>
    </w:r>
    <w:r>
      <w:rPr>
        <w:rStyle w:val="af3"/>
      </w:rPr>
      <w:instrText xml:space="preserve">PAGE  </w:instrText>
    </w:r>
    <w:r>
      <w:fldChar w:fldCharType="separate"/>
    </w:r>
    <w:r w:rsidR="007131C8">
      <w:rPr>
        <w:rStyle w:val="af3"/>
        <w:noProof/>
      </w:rPr>
      <w:t>2</w:t>
    </w:r>
    <w:r>
      <w:fldChar w:fldCharType="end"/>
    </w:r>
  </w:p>
  <w:p w14:paraId="2607D039" w14:textId="77777777" w:rsidR="00FC6F4D" w:rsidRDefault="00FC6F4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D38A6" w14:textId="77777777" w:rsidR="000767D7" w:rsidRDefault="000767D7">
      <w:r>
        <w:separator/>
      </w:r>
    </w:p>
  </w:footnote>
  <w:footnote w:type="continuationSeparator" w:id="0">
    <w:p w14:paraId="4856D9AA" w14:textId="77777777" w:rsidR="000767D7" w:rsidRDefault="00076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91586" w14:textId="2994F533" w:rsidR="00FC6F4D" w:rsidRDefault="00FC6F4D">
    <w:pPr>
      <w:pStyle w:val="af"/>
      <w:jc w:val="left"/>
    </w:pPr>
    <w:proofErr w:type="gramStart"/>
    <w:r>
      <w:rPr>
        <w:rFonts w:hint="eastAsia"/>
      </w:rPr>
      <w:t>农银汇理金恒</w:t>
    </w:r>
    <w:proofErr w:type="gramEnd"/>
    <w:r>
      <w:rPr>
        <w:rFonts w:hint="eastAsia"/>
      </w:rPr>
      <w:t>债券型证券投资基金</w:t>
    </w:r>
    <w:r>
      <w:rPr>
        <w:rFonts w:hint="eastAsia"/>
      </w:rPr>
      <w:t xml:space="preserve"> </w:t>
    </w:r>
    <w:r>
      <w:t xml:space="preserve">                                                      </w:t>
    </w:r>
    <w:r>
      <w:rPr>
        <w:rFonts w:hint="eastAsia"/>
      </w:rPr>
      <w:t>托管协议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oNotTrackMoves/>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Q3OTUyMDQ0ZTk0ODVjZWQ2NDQxNjA4NDhiZjAwMDUifQ=="/>
  </w:docVars>
  <w:rsids>
    <w:rsidRoot w:val="00552CCB"/>
    <w:rsid w:val="00000F9D"/>
    <w:rsid w:val="00005F02"/>
    <w:rsid w:val="00006A92"/>
    <w:rsid w:val="00006EF5"/>
    <w:rsid w:val="00007818"/>
    <w:rsid w:val="00007EEE"/>
    <w:rsid w:val="000107EC"/>
    <w:rsid w:val="000132EB"/>
    <w:rsid w:val="00014405"/>
    <w:rsid w:val="00014C75"/>
    <w:rsid w:val="00014D0C"/>
    <w:rsid w:val="000156D9"/>
    <w:rsid w:val="0001713B"/>
    <w:rsid w:val="00017D39"/>
    <w:rsid w:val="00017F23"/>
    <w:rsid w:val="000217E4"/>
    <w:rsid w:val="00023A92"/>
    <w:rsid w:val="00027285"/>
    <w:rsid w:val="00033A7B"/>
    <w:rsid w:val="00035920"/>
    <w:rsid w:val="00037404"/>
    <w:rsid w:val="00037818"/>
    <w:rsid w:val="00037980"/>
    <w:rsid w:val="00042A25"/>
    <w:rsid w:val="00042EEE"/>
    <w:rsid w:val="00043FB7"/>
    <w:rsid w:val="00046B2A"/>
    <w:rsid w:val="000559C3"/>
    <w:rsid w:val="000603A2"/>
    <w:rsid w:val="00062021"/>
    <w:rsid w:val="00062E2D"/>
    <w:rsid w:val="00066BF4"/>
    <w:rsid w:val="0006754D"/>
    <w:rsid w:val="00067A1C"/>
    <w:rsid w:val="00071A20"/>
    <w:rsid w:val="00071F28"/>
    <w:rsid w:val="0007356D"/>
    <w:rsid w:val="00074856"/>
    <w:rsid w:val="000767D7"/>
    <w:rsid w:val="0007750D"/>
    <w:rsid w:val="0008163D"/>
    <w:rsid w:val="000837B1"/>
    <w:rsid w:val="000847B2"/>
    <w:rsid w:val="00087366"/>
    <w:rsid w:val="000877E6"/>
    <w:rsid w:val="000930AA"/>
    <w:rsid w:val="00093120"/>
    <w:rsid w:val="000A2012"/>
    <w:rsid w:val="000A228B"/>
    <w:rsid w:val="000A6401"/>
    <w:rsid w:val="000A6FC1"/>
    <w:rsid w:val="000B1E50"/>
    <w:rsid w:val="000C0905"/>
    <w:rsid w:val="000C152B"/>
    <w:rsid w:val="000C2F51"/>
    <w:rsid w:val="000C4913"/>
    <w:rsid w:val="000C7AB7"/>
    <w:rsid w:val="000D0BD5"/>
    <w:rsid w:val="000D17C9"/>
    <w:rsid w:val="000D59DE"/>
    <w:rsid w:val="000D5AB7"/>
    <w:rsid w:val="000D5ED5"/>
    <w:rsid w:val="000E216E"/>
    <w:rsid w:val="000E3608"/>
    <w:rsid w:val="000E69F8"/>
    <w:rsid w:val="000F6613"/>
    <w:rsid w:val="001022CC"/>
    <w:rsid w:val="0010239C"/>
    <w:rsid w:val="00102EC4"/>
    <w:rsid w:val="00102F71"/>
    <w:rsid w:val="00107051"/>
    <w:rsid w:val="00115AA2"/>
    <w:rsid w:val="001177F0"/>
    <w:rsid w:val="00120843"/>
    <w:rsid w:val="00122F51"/>
    <w:rsid w:val="00130C38"/>
    <w:rsid w:val="00132302"/>
    <w:rsid w:val="00132BE4"/>
    <w:rsid w:val="00134B3D"/>
    <w:rsid w:val="00135362"/>
    <w:rsid w:val="00137C67"/>
    <w:rsid w:val="0014134F"/>
    <w:rsid w:val="0014169A"/>
    <w:rsid w:val="0014323B"/>
    <w:rsid w:val="00143504"/>
    <w:rsid w:val="00144FD1"/>
    <w:rsid w:val="00145959"/>
    <w:rsid w:val="00145C16"/>
    <w:rsid w:val="00146F90"/>
    <w:rsid w:val="00151591"/>
    <w:rsid w:val="001618D7"/>
    <w:rsid w:val="00161E02"/>
    <w:rsid w:val="001657D8"/>
    <w:rsid w:val="00175B0A"/>
    <w:rsid w:val="00180B60"/>
    <w:rsid w:val="00183760"/>
    <w:rsid w:val="001848CC"/>
    <w:rsid w:val="00190D40"/>
    <w:rsid w:val="00192162"/>
    <w:rsid w:val="00195807"/>
    <w:rsid w:val="0019678B"/>
    <w:rsid w:val="00197DBA"/>
    <w:rsid w:val="001A20AD"/>
    <w:rsid w:val="001B0A60"/>
    <w:rsid w:val="001B0F1A"/>
    <w:rsid w:val="001B2959"/>
    <w:rsid w:val="001B2AF0"/>
    <w:rsid w:val="001B2E1D"/>
    <w:rsid w:val="001B624D"/>
    <w:rsid w:val="001B687D"/>
    <w:rsid w:val="001B7022"/>
    <w:rsid w:val="001C0A96"/>
    <w:rsid w:val="001C2ACF"/>
    <w:rsid w:val="001C545B"/>
    <w:rsid w:val="001C66BC"/>
    <w:rsid w:val="001C779A"/>
    <w:rsid w:val="001D03D4"/>
    <w:rsid w:val="001D09A0"/>
    <w:rsid w:val="001D183F"/>
    <w:rsid w:val="001D3E64"/>
    <w:rsid w:val="001D444B"/>
    <w:rsid w:val="001E33B7"/>
    <w:rsid w:val="001E3ADF"/>
    <w:rsid w:val="001E6B63"/>
    <w:rsid w:val="001F1C99"/>
    <w:rsid w:val="001F5108"/>
    <w:rsid w:val="001F5615"/>
    <w:rsid w:val="00203D12"/>
    <w:rsid w:val="002045A2"/>
    <w:rsid w:val="00204980"/>
    <w:rsid w:val="00205409"/>
    <w:rsid w:val="00206D81"/>
    <w:rsid w:val="00214195"/>
    <w:rsid w:val="002158ED"/>
    <w:rsid w:val="00216E66"/>
    <w:rsid w:val="00217901"/>
    <w:rsid w:val="0021795E"/>
    <w:rsid w:val="002216DF"/>
    <w:rsid w:val="00221C8C"/>
    <w:rsid w:val="00222AE4"/>
    <w:rsid w:val="002254CA"/>
    <w:rsid w:val="00225A43"/>
    <w:rsid w:val="002309FE"/>
    <w:rsid w:val="002322DE"/>
    <w:rsid w:val="002338D9"/>
    <w:rsid w:val="00234617"/>
    <w:rsid w:val="00234CB5"/>
    <w:rsid w:val="00244076"/>
    <w:rsid w:val="00244CEE"/>
    <w:rsid w:val="00244F0B"/>
    <w:rsid w:val="002464DB"/>
    <w:rsid w:val="00251308"/>
    <w:rsid w:val="00256509"/>
    <w:rsid w:val="002567AE"/>
    <w:rsid w:val="002620B5"/>
    <w:rsid w:val="0026403B"/>
    <w:rsid w:val="00265FD4"/>
    <w:rsid w:val="00270B1B"/>
    <w:rsid w:val="00271BEE"/>
    <w:rsid w:val="00273F36"/>
    <w:rsid w:val="0027511C"/>
    <w:rsid w:val="00275823"/>
    <w:rsid w:val="002771AB"/>
    <w:rsid w:val="0027792F"/>
    <w:rsid w:val="00280105"/>
    <w:rsid w:val="00281CD1"/>
    <w:rsid w:val="00282CB6"/>
    <w:rsid w:val="00283722"/>
    <w:rsid w:val="002A153D"/>
    <w:rsid w:val="002A2F96"/>
    <w:rsid w:val="002A34FB"/>
    <w:rsid w:val="002A4594"/>
    <w:rsid w:val="002A5134"/>
    <w:rsid w:val="002B0CA2"/>
    <w:rsid w:val="002B2B25"/>
    <w:rsid w:val="002B2B46"/>
    <w:rsid w:val="002C1179"/>
    <w:rsid w:val="002C4590"/>
    <w:rsid w:val="002C7260"/>
    <w:rsid w:val="002D106A"/>
    <w:rsid w:val="002D278E"/>
    <w:rsid w:val="002D51EF"/>
    <w:rsid w:val="002D5AC8"/>
    <w:rsid w:val="002E423B"/>
    <w:rsid w:val="002F1D9A"/>
    <w:rsid w:val="002F1FB2"/>
    <w:rsid w:val="002F7C1F"/>
    <w:rsid w:val="00303E3E"/>
    <w:rsid w:val="00303FBF"/>
    <w:rsid w:val="0030473A"/>
    <w:rsid w:val="00304C31"/>
    <w:rsid w:val="00304E62"/>
    <w:rsid w:val="0030785F"/>
    <w:rsid w:val="00310A3F"/>
    <w:rsid w:val="00314EE7"/>
    <w:rsid w:val="00317BE9"/>
    <w:rsid w:val="00317F48"/>
    <w:rsid w:val="003229E8"/>
    <w:rsid w:val="003269BA"/>
    <w:rsid w:val="00330DBF"/>
    <w:rsid w:val="00337349"/>
    <w:rsid w:val="00337690"/>
    <w:rsid w:val="00342101"/>
    <w:rsid w:val="00343183"/>
    <w:rsid w:val="00345E38"/>
    <w:rsid w:val="0035177F"/>
    <w:rsid w:val="00356EB4"/>
    <w:rsid w:val="00363BF9"/>
    <w:rsid w:val="003660FE"/>
    <w:rsid w:val="00366212"/>
    <w:rsid w:val="00370E6A"/>
    <w:rsid w:val="00376470"/>
    <w:rsid w:val="00376534"/>
    <w:rsid w:val="00380257"/>
    <w:rsid w:val="003820CE"/>
    <w:rsid w:val="0038599A"/>
    <w:rsid w:val="00385CF5"/>
    <w:rsid w:val="0039156C"/>
    <w:rsid w:val="00393A4B"/>
    <w:rsid w:val="00394CEF"/>
    <w:rsid w:val="0039570A"/>
    <w:rsid w:val="0039704D"/>
    <w:rsid w:val="003A07B5"/>
    <w:rsid w:val="003A21D3"/>
    <w:rsid w:val="003A2A67"/>
    <w:rsid w:val="003A35F9"/>
    <w:rsid w:val="003A4016"/>
    <w:rsid w:val="003A4C9D"/>
    <w:rsid w:val="003A64E9"/>
    <w:rsid w:val="003A7609"/>
    <w:rsid w:val="003B0F07"/>
    <w:rsid w:val="003B1B6E"/>
    <w:rsid w:val="003B2382"/>
    <w:rsid w:val="003B240A"/>
    <w:rsid w:val="003B5226"/>
    <w:rsid w:val="003B7C32"/>
    <w:rsid w:val="003C20E6"/>
    <w:rsid w:val="003C235D"/>
    <w:rsid w:val="003C2DEB"/>
    <w:rsid w:val="003C306C"/>
    <w:rsid w:val="003C3C90"/>
    <w:rsid w:val="003C5A81"/>
    <w:rsid w:val="003C67A3"/>
    <w:rsid w:val="003C6E19"/>
    <w:rsid w:val="003D0785"/>
    <w:rsid w:val="003D24E0"/>
    <w:rsid w:val="003D48C9"/>
    <w:rsid w:val="003D6E5F"/>
    <w:rsid w:val="003D7086"/>
    <w:rsid w:val="003D778D"/>
    <w:rsid w:val="003E25E9"/>
    <w:rsid w:val="003E2FB8"/>
    <w:rsid w:val="003E57C9"/>
    <w:rsid w:val="003E5B9D"/>
    <w:rsid w:val="003E619A"/>
    <w:rsid w:val="003E728E"/>
    <w:rsid w:val="003F26BF"/>
    <w:rsid w:val="003F32DF"/>
    <w:rsid w:val="003F38FA"/>
    <w:rsid w:val="003F4121"/>
    <w:rsid w:val="003F76F1"/>
    <w:rsid w:val="00403FA4"/>
    <w:rsid w:val="00404C65"/>
    <w:rsid w:val="0040597D"/>
    <w:rsid w:val="00411E11"/>
    <w:rsid w:val="00411EC2"/>
    <w:rsid w:val="0041673C"/>
    <w:rsid w:val="00417D16"/>
    <w:rsid w:val="00420F5E"/>
    <w:rsid w:val="0042648F"/>
    <w:rsid w:val="004272B8"/>
    <w:rsid w:val="00430FD3"/>
    <w:rsid w:val="004311E8"/>
    <w:rsid w:val="004339DF"/>
    <w:rsid w:val="00436366"/>
    <w:rsid w:val="0043710B"/>
    <w:rsid w:val="004412E4"/>
    <w:rsid w:val="00443EEB"/>
    <w:rsid w:val="0044553D"/>
    <w:rsid w:val="004464B7"/>
    <w:rsid w:val="0044652B"/>
    <w:rsid w:val="00451371"/>
    <w:rsid w:val="00455161"/>
    <w:rsid w:val="004558DF"/>
    <w:rsid w:val="00456A15"/>
    <w:rsid w:val="0046023B"/>
    <w:rsid w:val="00462A74"/>
    <w:rsid w:val="004670BB"/>
    <w:rsid w:val="004702E5"/>
    <w:rsid w:val="00470F6A"/>
    <w:rsid w:val="00472976"/>
    <w:rsid w:val="004734B3"/>
    <w:rsid w:val="00474712"/>
    <w:rsid w:val="0048045F"/>
    <w:rsid w:val="00490014"/>
    <w:rsid w:val="00490CC4"/>
    <w:rsid w:val="00490FFF"/>
    <w:rsid w:val="00494FA1"/>
    <w:rsid w:val="004A0749"/>
    <w:rsid w:val="004A1CFD"/>
    <w:rsid w:val="004A2093"/>
    <w:rsid w:val="004A21FA"/>
    <w:rsid w:val="004A26BE"/>
    <w:rsid w:val="004A4507"/>
    <w:rsid w:val="004B0A2F"/>
    <w:rsid w:val="004B1DC5"/>
    <w:rsid w:val="004B3F78"/>
    <w:rsid w:val="004B721F"/>
    <w:rsid w:val="004B76D3"/>
    <w:rsid w:val="004C14BD"/>
    <w:rsid w:val="004C5072"/>
    <w:rsid w:val="004C5378"/>
    <w:rsid w:val="004C5E33"/>
    <w:rsid w:val="004C6189"/>
    <w:rsid w:val="004C7064"/>
    <w:rsid w:val="004C77ED"/>
    <w:rsid w:val="004C7BEF"/>
    <w:rsid w:val="004D138F"/>
    <w:rsid w:val="004D7082"/>
    <w:rsid w:val="004E306E"/>
    <w:rsid w:val="004E5206"/>
    <w:rsid w:val="004E5621"/>
    <w:rsid w:val="004E6219"/>
    <w:rsid w:val="004E7254"/>
    <w:rsid w:val="004F2CD0"/>
    <w:rsid w:val="004F448E"/>
    <w:rsid w:val="004F4570"/>
    <w:rsid w:val="004F5507"/>
    <w:rsid w:val="004F5ED3"/>
    <w:rsid w:val="004F7098"/>
    <w:rsid w:val="00500435"/>
    <w:rsid w:val="00507836"/>
    <w:rsid w:val="005121E1"/>
    <w:rsid w:val="005147D9"/>
    <w:rsid w:val="00514ECE"/>
    <w:rsid w:val="00517179"/>
    <w:rsid w:val="005223A4"/>
    <w:rsid w:val="00524AFD"/>
    <w:rsid w:val="00526BD9"/>
    <w:rsid w:val="00527878"/>
    <w:rsid w:val="005302BD"/>
    <w:rsid w:val="00530616"/>
    <w:rsid w:val="005307DB"/>
    <w:rsid w:val="00531A0A"/>
    <w:rsid w:val="00532411"/>
    <w:rsid w:val="00532827"/>
    <w:rsid w:val="00532B46"/>
    <w:rsid w:val="00533B7B"/>
    <w:rsid w:val="005366E9"/>
    <w:rsid w:val="00537FBE"/>
    <w:rsid w:val="0054036A"/>
    <w:rsid w:val="005417F4"/>
    <w:rsid w:val="00541A7B"/>
    <w:rsid w:val="00543408"/>
    <w:rsid w:val="00552ABA"/>
    <w:rsid w:val="00552CCB"/>
    <w:rsid w:val="005541ED"/>
    <w:rsid w:val="0055700E"/>
    <w:rsid w:val="005576FE"/>
    <w:rsid w:val="0056144C"/>
    <w:rsid w:val="005662BD"/>
    <w:rsid w:val="005726D6"/>
    <w:rsid w:val="00572760"/>
    <w:rsid w:val="00576571"/>
    <w:rsid w:val="00576998"/>
    <w:rsid w:val="00577A03"/>
    <w:rsid w:val="00582AF9"/>
    <w:rsid w:val="00587AA1"/>
    <w:rsid w:val="00591580"/>
    <w:rsid w:val="00591B16"/>
    <w:rsid w:val="005A11E0"/>
    <w:rsid w:val="005A1862"/>
    <w:rsid w:val="005A1FC8"/>
    <w:rsid w:val="005A2BE7"/>
    <w:rsid w:val="005A52A1"/>
    <w:rsid w:val="005A542B"/>
    <w:rsid w:val="005A745C"/>
    <w:rsid w:val="005B05A6"/>
    <w:rsid w:val="005B0CCB"/>
    <w:rsid w:val="005B0F25"/>
    <w:rsid w:val="005B4A54"/>
    <w:rsid w:val="005B6D06"/>
    <w:rsid w:val="005B6F51"/>
    <w:rsid w:val="005B7532"/>
    <w:rsid w:val="005C1C72"/>
    <w:rsid w:val="005C2535"/>
    <w:rsid w:val="005C3C6C"/>
    <w:rsid w:val="005C42FA"/>
    <w:rsid w:val="005C5DFC"/>
    <w:rsid w:val="005C6C82"/>
    <w:rsid w:val="005D0467"/>
    <w:rsid w:val="005D11F0"/>
    <w:rsid w:val="005D18F6"/>
    <w:rsid w:val="005D442A"/>
    <w:rsid w:val="005D4DA3"/>
    <w:rsid w:val="005E000B"/>
    <w:rsid w:val="005E0C92"/>
    <w:rsid w:val="005E0DF0"/>
    <w:rsid w:val="005E2FF6"/>
    <w:rsid w:val="005E3419"/>
    <w:rsid w:val="005E34EA"/>
    <w:rsid w:val="005E3FB2"/>
    <w:rsid w:val="005E751A"/>
    <w:rsid w:val="005F012D"/>
    <w:rsid w:val="005F0CA6"/>
    <w:rsid w:val="005F221B"/>
    <w:rsid w:val="005F42C5"/>
    <w:rsid w:val="005F48DE"/>
    <w:rsid w:val="005F7024"/>
    <w:rsid w:val="00600102"/>
    <w:rsid w:val="00601D3D"/>
    <w:rsid w:val="0060330F"/>
    <w:rsid w:val="006039BB"/>
    <w:rsid w:val="00604C7B"/>
    <w:rsid w:val="006074DA"/>
    <w:rsid w:val="006117E4"/>
    <w:rsid w:val="00612B15"/>
    <w:rsid w:val="00614B09"/>
    <w:rsid w:val="00616872"/>
    <w:rsid w:val="006204A7"/>
    <w:rsid w:val="006238E1"/>
    <w:rsid w:val="006268DB"/>
    <w:rsid w:val="00627E17"/>
    <w:rsid w:val="00630BDC"/>
    <w:rsid w:val="00630C12"/>
    <w:rsid w:val="00631068"/>
    <w:rsid w:val="006333AF"/>
    <w:rsid w:val="0063582D"/>
    <w:rsid w:val="006374EE"/>
    <w:rsid w:val="00641E84"/>
    <w:rsid w:val="006433ED"/>
    <w:rsid w:val="00645BD9"/>
    <w:rsid w:val="00646351"/>
    <w:rsid w:val="0065050A"/>
    <w:rsid w:val="006513FE"/>
    <w:rsid w:val="0065354D"/>
    <w:rsid w:val="0065472A"/>
    <w:rsid w:val="0065631C"/>
    <w:rsid w:val="0065675D"/>
    <w:rsid w:val="0066277C"/>
    <w:rsid w:val="006631BB"/>
    <w:rsid w:val="00663A73"/>
    <w:rsid w:val="006643B1"/>
    <w:rsid w:val="006704D3"/>
    <w:rsid w:val="00671709"/>
    <w:rsid w:val="00672EA6"/>
    <w:rsid w:val="006745D6"/>
    <w:rsid w:val="00674E25"/>
    <w:rsid w:val="0067636E"/>
    <w:rsid w:val="00676F66"/>
    <w:rsid w:val="006802F5"/>
    <w:rsid w:val="00681B36"/>
    <w:rsid w:val="00682F3F"/>
    <w:rsid w:val="0068465B"/>
    <w:rsid w:val="00686C23"/>
    <w:rsid w:val="0069447F"/>
    <w:rsid w:val="0069476A"/>
    <w:rsid w:val="006A187B"/>
    <w:rsid w:val="006A7C46"/>
    <w:rsid w:val="006B3419"/>
    <w:rsid w:val="006B5645"/>
    <w:rsid w:val="006B567E"/>
    <w:rsid w:val="006B71EA"/>
    <w:rsid w:val="006D2790"/>
    <w:rsid w:val="006D2941"/>
    <w:rsid w:val="006D38F1"/>
    <w:rsid w:val="006D5642"/>
    <w:rsid w:val="006E1C21"/>
    <w:rsid w:val="006E201D"/>
    <w:rsid w:val="006E5F66"/>
    <w:rsid w:val="006E616F"/>
    <w:rsid w:val="006E6265"/>
    <w:rsid w:val="006E691F"/>
    <w:rsid w:val="006E747F"/>
    <w:rsid w:val="006F4830"/>
    <w:rsid w:val="006F491C"/>
    <w:rsid w:val="006F53A1"/>
    <w:rsid w:val="006F60E3"/>
    <w:rsid w:val="006F7F18"/>
    <w:rsid w:val="00701F70"/>
    <w:rsid w:val="007041FF"/>
    <w:rsid w:val="0070432C"/>
    <w:rsid w:val="00705281"/>
    <w:rsid w:val="0070544A"/>
    <w:rsid w:val="007105D4"/>
    <w:rsid w:val="00712E45"/>
    <w:rsid w:val="007131C8"/>
    <w:rsid w:val="00714EDA"/>
    <w:rsid w:val="00715971"/>
    <w:rsid w:val="00717E9A"/>
    <w:rsid w:val="0072239D"/>
    <w:rsid w:val="00722E92"/>
    <w:rsid w:val="00723A7F"/>
    <w:rsid w:val="00731307"/>
    <w:rsid w:val="00734E86"/>
    <w:rsid w:val="00742138"/>
    <w:rsid w:val="0074389D"/>
    <w:rsid w:val="00744E2B"/>
    <w:rsid w:val="007451E3"/>
    <w:rsid w:val="00750A9C"/>
    <w:rsid w:val="0075595F"/>
    <w:rsid w:val="007564E2"/>
    <w:rsid w:val="00757C03"/>
    <w:rsid w:val="00757ED4"/>
    <w:rsid w:val="007622E1"/>
    <w:rsid w:val="0076590F"/>
    <w:rsid w:val="00766E51"/>
    <w:rsid w:val="00770384"/>
    <w:rsid w:val="00772F6C"/>
    <w:rsid w:val="00773CE9"/>
    <w:rsid w:val="0077423D"/>
    <w:rsid w:val="00775161"/>
    <w:rsid w:val="00775170"/>
    <w:rsid w:val="0077525C"/>
    <w:rsid w:val="00777C8C"/>
    <w:rsid w:val="0078303E"/>
    <w:rsid w:val="00783254"/>
    <w:rsid w:val="007865D8"/>
    <w:rsid w:val="00786DDE"/>
    <w:rsid w:val="00792ABE"/>
    <w:rsid w:val="00792B83"/>
    <w:rsid w:val="00795FC7"/>
    <w:rsid w:val="007A0AC8"/>
    <w:rsid w:val="007A101E"/>
    <w:rsid w:val="007A2753"/>
    <w:rsid w:val="007A4FFD"/>
    <w:rsid w:val="007B0920"/>
    <w:rsid w:val="007B0D75"/>
    <w:rsid w:val="007B0DCD"/>
    <w:rsid w:val="007B3FC0"/>
    <w:rsid w:val="007B40CD"/>
    <w:rsid w:val="007B5F06"/>
    <w:rsid w:val="007B6E53"/>
    <w:rsid w:val="007C3B71"/>
    <w:rsid w:val="007C56B2"/>
    <w:rsid w:val="007C64D8"/>
    <w:rsid w:val="007D1487"/>
    <w:rsid w:val="007D21F7"/>
    <w:rsid w:val="007D532B"/>
    <w:rsid w:val="007E2AA0"/>
    <w:rsid w:val="007E3074"/>
    <w:rsid w:val="007E66C2"/>
    <w:rsid w:val="007F28F2"/>
    <w:rsid w:val="007F37EC"/>
    <w:rsid w:val="007F780A"/>
    <w:rsid w:val="00806439"/>
    <w:rsid w:val="00807E8B"/>
    <w:rsid w:val="00810562"/>
    <w:rsid w:val="008138B1"/>
    <w:rsid w:val="00814EFD"/>
    <w:rsid w:val="00815E67"/>
    <w:rsid w:val="00816328"/>
    <w:rsid w:val="00816E98"/>
    <w:rsid w:val="0082011A"/>
    <w:rsid w:val="00820261"/>
    <w:rsid w:val="00823678"/>
    <w:rsid w:val="008265FB"/>
    <w:rsid w:val="0083307F"/>
    <w:rsid w:val="00835B7E"/>
    <w:rsid w:val="008402D5"/>
    <w:rsid w:val="008424B7"/>
    <w:rsid w:val="00844028"/>
    <w:rsid w:val="0084464F"/>
    <w:rsid w:val="00844681"/>
    <w:rsid w:val="0084596D"/>
    <w:rsid w:val="00850170"/>
    <w:rsid w:val="00850A81"/>
    <w:rsid w:val="00853FDC"/>
    <w:rsid w:val="00855B9C"/>
    <w:rsid w:val="00857A81"/>
    <w:rsid w:val="0086120E"/>
    <w:rsid w:val="00863DAD"/>
    <w:rsid w:val="00863DEC"/>
    <w:rsid w:val="00867BB1"/>
    <w:rsid w:val="008723BB"/>
    <w:rsid w:val="0087434D"/>
    <w:rsid w:val="008758F6"/>
    <w:rsid w:val="0088044B"/>
    <w:rsid w:val="008815F1"/>
    <w:rsid w:val="00882EE5"/>
    <w:rsid w:val="00886001"/>
    <w:rsid w:val="0088782C"/>
    <w:rsid w:val="00887CEE"/>
    <w:rsid w:val="00895349"/>
    <w:rsid w:val="008963F5"/>
    <w:rsid w:val="008A13D4"/>
    <w:rsid w:val="008A160E"/>
    <w:rsid w:val="008A1BC0"/>
    <w:rsid w:val="008A1C89"/>
    <w:rsid w:val="008A452D"/>
    <w:rsid w:val="008A50D6"/>
    <w:rsid w:val="008A64D1"/>
    <w:rsid w:val="008A772E"/>
    <w:rsid w:val="008A77A6"/>
    <w:rsid w:val="008A7F32"/>
    <w:rsid w:val="008B7214"/>
    <w:rsid w:val="008D2524"/>
    <w:rsid w:val="008D4855"/>
    <w:rsid w:val="008E09A0"/>
    <w:rsid w:val="008E370D"/>
    <w:rsid w:val="008E3AE4"/>
    <w:rsid w:val="008E7B24"/>
    <w:rsid w:val="008F3907"/>
    <w:rsid w:val="008F3F36"/>
    <w:rsid w:val="008F4C30"/>
    <w:rsid w:val="008F7242"/>
    <w:rsid w:val="0090034A"/>
    <w:rsid w:val="00901F55"/>
    <w:rsid w:val="00910563"/>
    <w:rsid w:val="00910BB9"/>
    <w:rsid w:val="00912E35"/>
    <w:rsid w:val="0091346D"/>
    <w:rsid w:val="009168DA"/>
    <w:rsid w:val="0091746B"/>
    <w:rsid w:val="00922C37"/>
    <w:rsid w:val="00922DB2"/>
    <w:rsid w:val="00922E0D"/>
    <w:rsid w:val="00922EF4"/>
    <w:rsid w:val="00923621"/>
    <w:rsid w:val="00925BAE"/>
    <w:rsid w:val="00934CFF"/>
    <w:rsid w:val="0093596B"/>
    <w:rsid w:val="0094040B"/>
    <w:rsid w:val="00942E0B"/>
    <w:rsid w:val="00945BBC"/>
    <w:rsid w:val="00950499"/>
    <w:rsid w:val="00951D67"/>
    <w:rsid w:val="009534CD"/>
    <w:rsid w:val="00956305"/>
    <w:rsid w:val="009568E1"/>
    <w:rsid w:val="00956C59"/>
    <w:rsid w:val="00961105"/>
    <w:rsid w:val="00961CF2"/>
    <w:rsid w:val="009637CC"/>
    <w:rsid w:val="00963FF6"/>
    <w:rsid w:val="00964585"/>
    <w:rsid w:val="00965806"/>
    <w:rsid w:val="00966B07"/>
    <w:rsid w:val="00967914"/>
    <w:rsid w:val="00972E11"/>
    <w:rsid w:val="00976194"/>
    <w:rsid w:val="00980614"/>
    <w:rsid w:val="00980790"/>
    <w:rsid w:val="00980965"/>
    <w:rsid w:val="00983D29"/>
    <w:rsid w:val="00983EC2"/>
    <w:rsid w:val="0099227E"/>
    <w:rsid w:val="009929CB"/>
    <w:rsid w:val="00992C48"/>
    <w:rsid w:val="009934A2"/>
    <w:rsid w:val="00994EDA"/>
    <w:rsid w:val="00996D63"/>
    <w:rsid w:val="00997B73"/>
    <w:rsid w:val="00997B9E"/>
    <w:rsid w:val="00997CAB"/>
    <w:rsid w:val="009A0F58"/>
    <w:rsid w:val="009A3719"/>
    <w:rsid w:val="009A39CE"/>
    <w:rsid w:val="009A4084"/>
    <w:rsid w:val="009B7AFF"/>
    <w:rsid w:val="009C05E6"/>
    <w:rsid w:val="009C1960"/>
    <w:rsid w:val="009C4FE4"/>
    <w:rsid w:val="009C511F"/>
    <w:rsid w:val="009D3DFA"/>
    <w:rsid w:val="009D5128"/>
    <w:rsid w:val="009D5D04"/>
    <w:rsid w:val="009E0844"/>
    <w:rsid w:val="009E263C"/>
    <w:rsid w:val="009E27FC"/>
    <w:rsid w:val="009E4F5A"/>
    <w:rsid w:val="009E65E8"/>
    <w:rsid w:val="009F038B"/>
    <w:rsid w:val="009F232A"/>
    <w:rsid w:val="009F339E"/>
    <w:rsid w:val="009F37F6"/>
    <w:rsid w:val="00A03AB6"/>
    <w:rsid w:val="00A04F30"/>
    <w:rsid w:val="00A11937"/>
    <w:rsid w:val="00A11C5F"/>
    <w:rsid w:val="00A143A2"/>
    <w:rsid w:val="00A23191"/>
    <w:rsid w:val="00A2440B"/>
    <w:rsid w:val="00A3108C"/>
    <w:rsid w:val="00A3173D"/>
    <w:rsid w:val="00A317FB"/>
    <w:rsid w:val="00A32ED7"/>
    <w:rsid w:val="00A33B45"/>
    <w:rsid w:val="00A33D57"/>
    <w:rsid w:val="00A3438F"/>
    <w:rsid w:val="00A34C6D"/>
    <w:rsid w:val="00A430CF"/>
    <w:rsid w:val="00A464EF"/>
    <w:rsid w:val="00A478F7"/>
    <w:rsid w:val="00A5325C"/>
    <w:rsid w:val="00A5593A"/>
    <w:rsid w:val="00A600C1"/>
    <w:rsid w:val="00A61E5C"/>
    <w:rsid w:val="00A62C8A"/>
    <w:rsid w:val="00A65655"/>
    <w:rsid w:val="00A72A31"/>
    <w:rsid w:val="00A74D55"/>
    <w:rsid w:val="00A76D15"/>
    <w:rsid w:val="00A80572"/>
    <w:rsid w:val="00A82BB8"/>
    <w:rsid w:val="00A85FE9"/>
    <w:rsid w:val="00A872C3"/>
    <w:rsid w:val="00A90358"/>
    <w:rsid w:val="00A90A88"/>
    <w:rsid w:val="00A91212"/>
    <w:rsid w:val="00A91488"/>
    <w:rsid w:val="00AA086B"/>
    <w:rsid w:val="00AA26EB"/>
    <w:rsid w:val="00AA3B97"/>
    <w:rsid w:val="00AA5D4A"/>
    <w:rsid w:val="00AA74F1"/>
    <w:rsid w:val="00AB08D8"/>
    <w:rsid w:val="00AB72A3"/>
    <w:rsid w:val="00AB76A9"/>
    <w:rsid w:val="00AC17C9"/>
    <w:rsid w:val="00AC3B61"/>
    <w:rsid w:val="00AC7A32"/>
    <w:rsid w:val="00AD13BC"/>
    <w:rsid w:val="00AD1B3E"/>
    <w:rsid w:val="00AD38E5"/>
    <w:rsid w:val="00AD46EC"/>
    <w:rsid w:val="00AE0E99"/>
    <w:rsid w:val="00AF0424"/>
    <w:rsid w:val="00AF085B"/>
    <w:rsid w:val="00AF0E33"/>
    <w:rsid w:val="00AF2DBD"/>
    <w:rsid w:val="00B0046B"/>
    <w:rsid w:val="00B03495"/>
    <w:rsid w:val="00B049FA"/>
    <w:rsid w:val="00B04E35"/>
    <w:rsid w:val="00B1179F"/>
    <w:rsid w:val="00B13317"/>
    <w:rsid w:val="00B13518"/>
    <w:rsid w:val="00B14B93"/>
    <w:rsid w:val="00B240D8"/>
    <w:rsid w:val="00B277F3"/>
    <w:rsid w:val="00B310E5"/>
    <w:rsid w:val="00B34B8F"/>
    <w:rsid w:val="00B37F3D"/>
    <w:rsid w:val="00B403F1"/>
    <w:rsid w:val="00B40ACD"/>
    <w:rsid w:val="00B41AB2"/>
    <w:rsid w:val="00B42A85"/>
    <w:rsid w:val="00B43E3F"/>
    <w:rsid w:val="00B4586E"/>
    <w:rsid w:val="00B45BE7"/>
    <w:rsid w:val="00B47EC6"/>
    <w:rsid w:val="00B50738"/>
    <w:rsid w:val="00B55A7E"/>
    <w:rsid w:val="00B56ABC"/>
    <w:rsid w:val="00B57E26"/>
    <w:rsid w:val="00B60E44"/>
    <w:rsid w:val="00B61FF9"/>
    <w:rsid w:val="00B6334E"/>
    <w:rsid w:val="00B63751"/>
    <w:rsid w:val="00B65D3D"/>
    <w:rsid w:val="00B66879"/>
    <w:rsid w:val="00B719B1"/>
    <w:rsid w:val="00B73796"/>
    <w:rsid w:val="00B74A93"/>
    <w:rsid w:val="00B769E0"/>
    <w:rsid w:val="00B76F64"/>
    <w:rsid w:val="00B77FC9"/>
    <w:rsid w:val="00B90203"/>
    <w:rsid w:val="00B92165"/>
    <w:rsid w:val="00B9229E"/>
    <w:rsid w:val="00B92E38"/>
    <w:rsid w:val="00BA1072"/>
    <w:rsid w:val="00BA1995"/>
    <w:rsid w:val="00BA1FFA"/>
    <w:rsid w:val="00BA71B2"/>
    <w:rsid w:val="00BA7CDA"/>
    <w:rsid w:val="00BB055E"/>
    <w:rsid w:val="00BB1D20"/>
    <w:rsid w:val="00BB1EDE"/>
    <w:rsid w:val="00BB45C2"/>
    <w:rsid w:val="00BB6663"/>
    <w:rsid w:val="00BB6B31"/>
    <w:rsid w:val="00BC0D5D"/>
    <w:rsid w:val="00BC11DF"/>
    <w:rsid w:val="00BC397C"/>
    <w:rsid w:val="00BD1B35"/>
    <w:rsid w:val="00BD582F"/>
    <w:rsid w:val="00BD6014"/>
    <w:rsid w:val="00BE0899"/>
    <w:rsid w:val="00BE3072"/>
    <w:rsid w:val="00BE3E52"/>
    <w:rsid w:val="00BE4438"/>
    <w:rsid w:val="00BE46D4"/>
    <w:rsid w:val="00BE78A0"/>
    <w:rsid w:val="00BF1C27"/>
    <w:rsid w:val="00C00B3A"/>
    <w:rsid w:val="00C01EEA"/>
    <w:rsid w:val="00C04FDD"/>
    <w:rsid w:val="00C063D0"/>
    <w:rsid w:val="00C06901"/>
    <w:rsid w:val="00C0787C"/>
    <w:rsid w:val="00C10715"/>
    <w:rsid w:val="00C118AC"/>
    <w:rsid w:val="00C14204"/>
    <w:rsid w:val="00C14DAC"/>
    <w:rsid w:val="00C15064"/>
    <w:rsid w:val="00C17895"/>
    <w:rsid w:val="00C20CAD"/>
    <w:rsid w:val="00C21B5A"/>
    <w:rsid w:val="00C23B46"/>
    <w:rsid w:val="00C25D19"/>
    <w:rsid w:val="00C324F8"/>
    <w:rsid w:val="00C34241"/>
    <w:rsid w:val="00C37C51"/>
    <w:rsid w:val="00C429CD"/>
    <w:rsid w:val="00C440BF"/>
    <w:rsid w:val="00C44C0D"/>
    <w:rsid w:val="00C44C75"/>
    <w:rsid w:val="00C50775"/>
    <w:rsid w:val="00C51A27"/>
    <w:rsid w:val="00C520BD"/>
    <w:rsid w:val="00C6253F"/>
    <w:rsid w:val="00C63EF2"/>
    <w:rsid w:val="00C64F5A"/>
    <w:rsid w:val="00C72208"/>
    <w:rsid w:val="00C747D9"/>
    <w:rsid w:val="00C7729D"/>
    <w:rsid w:val="00C822D7"/>
    <w:rsid w:val="00C846F2"/>
    <w:rsid w:val="00C850FD"/>
    <w:rsid w:val="00C934E2"/>
    <w:rsid w:val="00C94574"/>
    <w:rsid w:val="00C9703A"/>
    <w:rsid w:val="00CA48B0"/>
    <w:rsid w:val="00CA7829"/>
    <w:rsid w:val="00CB1555"/>
    <w:rsid w:val="00CB1963"/>
    <w:rsid w:val="00CB1E25"/>
    <w:rsid w:val="00CB595B"/>
    <w:rsid w:val="00CB6238"/>
    <w:rsid w:val="00CC0307"/>
    <w:rsid w:val="00CC1E97"/>
    <w:rsid w:val="00CD062E"/>
    <w:rsid w:val="00CD2AB3"/>
    <w:rsid w:val="00CD5447"/>
    <w:rsid w:val="00CE02C3"/>
    <w:rsid w:val="00CE187B"/>
    <w:rsid w:val="00CE1A63"/>
    <w:rsid w:val="00CF0833"/>
    <w:rsid w:val="00CF1814"/>
    <w:rsid w:val="00CF2667"/>
    <w:rsid w:val="00CF2E69"/>
    <w:rsid w:val="00CF33B4"/>
    <w:rsid w:val="00CF6BA9"/>
    <w:rsid w:val="00D039C5"/>
    <w:rsid w:val="00D03C31"/>
    <w:rsid w:val="00D12262"/>
    <w:rsid w:val="00D127E7"/>
    <w:rsid w:val="00D15D80"/>
    <w:rsid w:val="00D167CB"/>
    <w:rsid w:val="00D17782"/>
    <w:rsid w:val="00D2248B"/>
    <w:rsid w:val="00D23019"/>
    <w:rsid w:val="00D23C7C"/>
    <w:rsid w:val="00D25D94"/>
    <w:rsid w:val="00D267C4"/>
    <w:rsid w:val="00D27344"/>
    <w:rsid w:val="00D3248C"/>
    <w:rsid w:val="00D348CE"/>
    <w:rsid w:val="00D40F8E"/>
    <w:rsid w:val="00D4246A"/>
    <w:rsid w:val="00D4373D"/>
    <w:rsid w:val="00D44CF1"/>
    <w:rsid w:val="00D470C6"/>
    <w:rsid w:val="00D52B93"/>
    <w:rsid w:val="00D53004"/>
    <w:rsid w:val="00D63D6B"/>
    <w:rsid w:val="00D66210"/>
    <w:rsid w:val="00D7040C"/>
    <w:rsid w:val="00D70AB1"/>
    <w:rsid w:val="00D71350"/>
    <w:rsid w:val="00D736CF"/>
    <w:rsid w:val="00D836E6"/>
    <w:rsid w:val="00D8636E"/>
    <w:rsid w:val="00D872FC"/>
    <w:rsid w:val="00D91349"/>
    <w:rsid w:val="00D93D3F"/>
    <w:rsid w:val="00D9729F"/>
    <w:rsid w:val="00D9774E"/>
    <w:rsid w:val="00DA023D"/>
    <w:rsid w:val="00DA1D58"/>
    <w:rsid w:val="00DA3524"/>
    <w:rsid w:val="00DA39E8"/>
    <w:rsid w:val="00DA3F80"/>
    <w:rsid w:val="00DA7F7F"/>
    <w:rsid w:val="00DB1A15"/>
    <w:rsid w:val="00DB35A9"/>
    <w:rsid w:val="00DB3C21"/>
    <w:rsid w:val="00DB51E6"/>
    <w:rsid w:val="00DB6AC9"/>
    <w:rsid w:val="00DC33C9"/>
    <w:rsid w:val="00DC3413"/>
    <w:rsid w:val="00DD130E"/>
    <w:rsid w:val="00DD3B63"/>
    <w:rsid w:val="00DD76DE"/>
    <w:rsid w:val="00DE10B1"/>
    <w:rsid w:val="00DE23A3"/>
    <w:rsid w:val="00DE275A"/>
    <w:rsid w:val="00DE7037"/>
    <w:rsid w:val="00DE723D"/>
    <w:rsid w:val="00DE7D0B"/>
    <w:rsid w:val="00DE7DCF"/>
    <w:rsid w:val="00DF1530"/>
    <w:rsid w:val="00DF29C3"/>
    <w:rsid w:val="00DF447B"/>
    <w:rsid w:val="00DF5FB3"/>
    <w:rsid w:val="00E000EB"/>
    <w:rsid w:val="00E0116B"/>
    <w:rsid w:val="00E02C25"/>
    <w:rsid w:val="00E02E28"/>
    <w:rsid w:val="00E03C35"/>
    <w:rsid w:val="00E069ED"/>
    <w:rsid w:val="00E119F5"/>
    <w:rsid w:val="00E142BD"/>
    <w:rsid w:val="00E1701F"/>
    <w:rsid w:val="00E20017"/>
    <w:rsid w:val="00E20D8C"/>
    <w:rsid w:val="00E23B8E"/>
    <w:rsid w:val="00E23F4C"/>
    <w:rsid w:val="00E24C6C"/>
    <w:rsid w:val="00E24F7F"/>
    <w:rsid w:val="00E2562C"/>
    <w:rsid w:val="00E25905"/>
    <w:rsid w:val="00E34930"/>
    <w:rsid w:val="00E379DC"/>
    <w:rsid w:val="00E43114"/>
    <w:rsid w:val="00E45E88"/>
    <w:rsid w:val="00E46345"/>
    <w:rsid w:val="00E4654D"/>
    <w:rsid w:val="00E47EEE"/>
    <w:rsid w:val="00E53F89"/>
    <w:rsid w:val="00E60EE5"/>
    <w:rsid w:val="00E65237"/>
    <w:rsid w:val="00E6545D"/>
    <w:rsid w:val="00E658FF"/>
    <w:rsid w:val="00E675F8"/>
    <w:rsid w:val="00E71B58"/>
    <w:rsid w:val="00E7429F"/>
    <w:rsid w:val="00E758C6"/>
    <w:rsid w:val="00E83608"/>
    <w:rsid w:val="00E855F4"/>
    <w:rsid w:val="00E8622A"/>
    <w:rsid w:val="00E86688"/>
    <w:rsid w:val="00E925E0"/>
    <w:rsid w:val="00E9321B"/>
    <w:rsid w:val="00E97CC8"/>
    <w:rsid w:val="00EA2F66"/>
    <w:rsid w:val="00EA3DF0"/>
    <w:rsid w:val="00EA45C6"/>
    <w:rsid w:val="00EA5145"/>
    <w:rsid w:val="00EA5223"/>
    <w:rsid w:val="00EA6573"/>
    <w:rsid w:val="00EB5BF5"/>
    <w:rsid w:val="00EC49B5"/>
    <w:rsid w:val="00EC4A9B"/>
    <w:rsid w:val="00EC6164"/>
    <w:rsid w:val="00ED07E9"/>
    <w:rsid w:val="00ED3F68"/>
    <w:rsid w:val="00ED3F8D"/>
    <w:rsid w:val="00ED4F03"/>
    <w:rsid w:val="00ED799A"/>
    <w:rsid w:val="00ED7C1D"/>
    <w:rsid w:val="00EE13AA"/>
    <w:rsid w:val="00EE2B34"/>
    <w:rsid w:val="00EE7413"/>
    <w:rsid w:val="00EF05EA"/>
    <w:rsid w:val="00EF2E1E"/>
    <w:rsid w:val="00EF53BE"/>
    <w:rsid w:val="00EF5A21"/>
    <w:rsid w:val="00EF7B5E"/>
    <w:rsid w:val="00F00AC1"/>
    <w:rsid w:val="00F01169"/>
    <w:rsid w:val="00F02AC7"/>
    <w:rsid w:val="00F04B03"/>
    <w:rsid w:val="00F0689D"/>
    <w:rsid w:val="00F14DEF"/>
    <w:rsid w:val="00F17F95"/>
    <w:rsid w:val="00F20016"/>
    <w:rsid w:val="00F21554"/>
    <w:rsid w:val="00F21570"/>
    <w:rsid w:val="00F235B5"/>
    <w:rsid w:val="00F249CB"/>
    <w:rsid w:val="00F24AAE"/>
    <w:rsid w:val="00F27457"/>
    <w:rsid w:val="00F3012F"/>
    <w:rsid w:val="00F3208D"/>
    <w:rsid w:val="00F32D95"/>
    <w:rsid w:val="00F32FC8"/>
    <w:rsid w:val="00F37F08"/>
    <w:rsid w:val="00F4392A"/>
    <w:rsid w:val="00F5162A"/>
    <w:rsid w:val="00F51862"/>
    <w:rsid w:val="00F53C8C"/>
    <w:rsid w:val="00F55670"/>
    <w:rsid w:val="00F55DCE"/>
    <w:rsid w:val="00F55F8F"/>
    <w:rsid w:val="00F565AB"/>
    <w:rsid w:val="00F578FD"/>
    <w:rsid w:val="00F63198"/>
    <w:rsid w:val="00F65984"/>
    <w:rsid w:val="00F711DA"/>
    <w:rsid w:val="00F71D48"/>
    <w:rsid w:val="00F744ED"/>
    <w:rsid w:val="00F778EE"/>
    <w:rsid w:val="00F821F1"/>
    <w:rsid w:val="00F8331C"/>
    <w:rsid w:val="00F91330"/>
    <w:rsid w:val="00F96366"/>
    <w:rsid w:val="00FA01D9"/>
    <w:rsid w:val="00FA228E"/>
    <w:rsid w:val="00FA2A76"/>
    <w:rsid w:val="00FA4707"/>
    <w:rsid w:val="00FA600E"/>
    <w:rsid w:val="00FB2B25"/>
    <w:rsid w:val="00FB4CA2"/>
    <w:rsid w:val="00FB7505"/>
    <w:rsid w:val="00FC0D21"/>
    <w:rsid w:val="00FC450E"/>
    <w:rsid w:val="00FC6F4D"/>
    <w:rsid w:val="00FD0230"/>
    <w:rsid w:val="00FD1371"/>
    <w:rsid w:val="00FD320B"/>
    <w:rsid w:val="00FD7274"/>
    <w:rsid w:val="00FE10B3"/>
    <w:rsid w:val="00FF26BB"/>
    <w:rsid w:val="00FF3396"/>
    <w:rsid w:val="00FF559D"/>
    <w:rsid w:val="00FF6FFB"/>
    <w:rsid w:val="01223B82"/>
    <w:rsid w:val="016F1D40"/>
    <w:rsid w:val="03E33DD9"/>
    <w:rsid w:val="044B72A2"/>
    <w:rsid w:val="05307A4F"/>
    <w:rsid w:val="056A4851"/>
    <w:rsid w:val="05A27B0B"/>
    <w:rsid w:val="06A64C67"/>
    <w:rsid w:val="08385B5C"/>
    <w:rsid w:val="08386613"/>
    <w:rsid w:val="086C7886"/>
    <w:rsid w:val="08856DEC"/>
    <w:rsid w:val="08EE531A"/>
    <w:rsid w:val="093B6CB5"/>
    <w:rsid w:val="0BB343FD"/>
    <w:rsid w:val="0D9919F2"/>
    <w:rsid w:val="0D997E11"/>
    <w:rsid w:val="0E6E1F70"/>
    <w:rsid w:val="0FAD441B"/>
    <w:rsid w:val="101E6A90"/>
    <w:rsid w:val="10521825"/>
    <w:rsid w:val="10556CA5"/>
    <w:rsid w:val="11F12C80"/>
    <w:rsid w:val="129262FC"/>
    <w:rsid w:val="12EF594B"/>
    <w:rsid w:val="13CC45E6"/>
    <w:rsid w:val="13DB59BF"/>
    <w:rsid w:val="140C50F1"/>
    <w:rsid w:val="15500EE4"/>
    <w:rsid w:val="1573688D"/>
    <w:rsid w:val="15D937FB"/>
    <w:rsid w:val="16814D35"/>
    <w:rsid w:val="16B64A88"/>
    <w:rsid w:val="175353EA"/>
    <w:rsid w:val="176C72F7"/>
    <w:rsid w:val="17D50F45"/>
    <w:rsid w:val="18973A8F"/>
    <w:rsid w:val="18C06DCB"/>
    <w:rsid w:val="199371E9"/>
    <w:rsid w:val="19D351FA"/>
    <w:rsid w:val="1A571254"/>
    <w:rsid w:val="1AC00A95"/>
    <w:rsid w:val="1B1F17ED"/>
    <w:rsid w:val="1CB90B05"/>
    <w:rsid w:val="1DEC0CB4"/>
    <w:rsid w:val="1E137A05"/>
    <w:rsid w:val="1E182BC2"/>
    <w:rsid w:val="1F174939"/>
    <w:rsid w:val="1F8A64ED"/>
    <w:rsid w:val="1FFA0DD0"/>
    <w:rsid w:val="216343A5"/>
    <w:rsid w:val="21E35477"/>
    <w:rsid w:val="230D7D00"/>
    <w:rsid w:val="23622055"/>
    <w:rsid w:val="23A54536"/>
    <w:rsid w:val="24765661"/>
    <w:rsid w:val="26227C01"/>
    <w:rsid w:val="266E15AC"/>
    <w:rsid w:val="272B250C"/>
    <w:rsid w:val="277F4207"/>
    <w:rsid w:val="278D0291"/>
    <w:rsid w:val="279968BB"/>
    <w:rsid w:val="27A34589"/>
    <w:rsid w:val="27BB13D7"/>
    <w:rsid w:val="27D3610E"/>
    <w:rsid w:val="2818783A"/>
    <w:rsid w:val="28ED1D58"/>
    <w:rsid w:val="29BF51B1"/>
    <w:rsid w:val="2A8876BE"/>
    <w:rsid w:val="2C655C27"/>
    <w:rsid w:val="2D1628A5"/>
    <w:rsid w:val="2D2A0E3B"/>
    <w:rsid w:val="2DCF21E3"/>
    <w:rsid w:val="2E0C512A"/>
    <w:rsid w:val="2E273426"/>
    <w:rsid w:val="2E6C583F"/>
    <w:rsid w:val="2EBD7572"/>
    <w:rsid w:val="30A239DD"/>
    <w:rsid w:val="31192C73"/>
    <w:rsid w:val="31E242B8"/>
    <w:rsid w:val="32214CBB"/>
    <w:rsid w:val="322D5BCA"/>
    <w:rsid w:val="346D7BCB"/>
    <w:rsid w:val="348D609E"/>
    <w:rsid w:val="34E42621"/>
    <w:rsid w:val="34F26B77"/>
    <w:rsid w:val="3658101D"/>
    <w:rsid w:val="36795EDE"/>
    <w:rsid w:val="37BE4515"/>
    <w:rsid w:val="39822ECD"/>
    <w:rsid w:val="3AF25BC3"/>
    <w:rsid w:val="3C733AB9"/>
    <w:rsid w:val="3CB74315"/>
    <w:rsid w:val="3E98676B"/>
    <w:rsid w:val="3ECD186C"/>
    <w:rsid w:val="3EF800F4"/>
    <w:rsid w:val="41072321"/>
    <w:rsid w:val="418C651A"/>
    <w:rsid w:val="41A45390"/>
    <w:rsid w:val="441C365B"/>
    <w:rsid w:val="44A765D1"/>
    <w:rsid w:val="46283A92"/>
    <w:rsid w:val="47983BE8"/>
    <w:rsid w:val="47FE50B0"/>
    <w:rsid w:val="48296EC5"/>
    <w:rsid w:val="483C628E"/>
    <w:rsid w:val="485C5145"/>
    <w:rsid w:val="498806C4"/>
    <w:rsid w:val="4A2C7471"/>
    <w:rsid w:val="4A897428"/>
    <w:rsid w:val="4ABE6D15"/>
    <w:rsid w:val="4AEF160C"/>
    <w:rsid w:val="4B931DE9"/>
    <w:rsid w:val="4BD25672"/>
    <w:rsid w:val="4DB90528"/>
    <w:rsid w:val="4E382717"/>
    <w:rsid w:val="4EA25347"/>
    <w:rsid w:val="4FF618E1"/>
    <w:rsid w:val="4FFB4AB9"/>
    <w:rsid w:val="50BE55B0"/>
    <w:rsid w:val="50FE0106"/>
    <w:rsid w:val="51E27328"/>
    <w:rsid w:val="52486423"/>
    <w:rsid w:val="5251715F"/>
    <w:rsid w:val="52C41E73"/>
    <w:rsid w:val="53097BE7"/>
    <w:rsid w:val="543E1DAD"/>
    <w:rsid w:val="548F5A95"/>
    <w:rsid w:val="552A6A95"/>
    <w:rsid w:val="563748F5"/>
    <w:rsid w:val="564D4072"/>
    <w:rsid w:val="575460A3"/>
    <w:rsid w:val="57A67CB8"/>
    <w:rsid w:val="587E53EF"/>
    <w:rsid w:val="59193CBA"/>
    <w:rsid w:val="59A61CD2"/>
    <w:rsid w:val="59B02397"/>
    <w:rsid w:val="59B404E9"/>
    <w:rsid w:val="5A672223"/>
    <w:rsid w:val="5A84289A"/>
    <w:rsid w:val="5AE8062A"/>
    <w:rsid w:val="5B1332C5"/>
    <w:rsid w:val="5B1668D2"/>
    <w:rsid w:val="5BC37154"/>
    <w:rsid w:val="5BD93003"/>
    <w:rsid w:val="5E28378F"/>
    <w:rsid w:val="5E8643AB"/>
    <w:rsid w:val="5E8D338B"/>
    <w:rsid w:val="5FB2527F"/>
    <w:rsid w:val="5FE143C7"/>
    <w:rsid w:val="602509D9"/>
    <w:rsid w:val="60697F03"/>
    <w:rsid w:val="60740A84"/>
    <w:rsid w:val="607B1E49"/>
    <w:rsid w:val="63011BB9"/>
    <w:rsid w:val="653538E0"/>
    <w:rsid w:val="65397DF7"/>
    <w:rsid w:val="65D64E29"/>
    <w:rsid w:val="67413759"/>
    <w:rsid w:val="67667244"/>
    <w:rsid w:val="682417D2"/>
    <w:rsid w:val="68337853"/>
    <w:rsid w:val="687803F6"/>
    <w:rsid w:val="69252556"/>
    <w:rsid w:val="69C020E6"/>
    <w:rsid w:val="6AB77729"/>
    <w:rsid w:val="6B0C2D7F"/>
    <w:rsid w:val="6B851E3A"/>
    <w:rsid w:val="6BC40E47"/>
    <w:rsid w:val="6BEC7394"/>
    <w:rsid w:val="6C11256B"/>
    <w:rsid w:val="6C705AFD"/>
    <w:rsid w:val="6E3B28BC"/>
    <w:rsid w:val="6EC90D29"/>
    <w:rsid w:val="6F26322D"/>
    <w:rsid w:val="70783D1B"/>
    <w:rsid w:val="71331A74"/>
    <w:rsid w:val="714D7E17"/>
    <w:rsid w:val="71662E0E"/>
    <w:rsid w:val="71CE7FF5"/>
    <w:rsid w:val="71FE1602"/>
    <w:rsid w:val="71FE56EF"/>
    <w:rsid w:val="724A1C37"/>
    <w:rsid w:val="726E03B5"/>
    <w:rsid w:val="74C96256"/>
    <w:rsid w:val="75113249"/>
    <w:rsid w:val="75E102D2"/>
    <w:rsid w:val="764C46C8"/>
    <w:rsid w:val="76665502"/>
    <w:rsid w:val="77CC40D6"/>
    <w:rsid w:val="78851791"/>
    <w:rsid w:val="78A432B2"/>
    <w:rsid w:val="7B77224B"/>
    <w:rsid w:val="7C373D9B"/>
    <w:rsid w:val="7C3C1BB8"/>
    <w:rsid w:val="7D8F3F69"/>
    <w:rsid w:val="7E250970"/>
    <w:rsid w:val="7E295C5C"/>
    <w:rsid w:val="7F3D7670"/>
    <w:rsid w:val="7FA44319"/>
    <w:rsid w:val="7FCD6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B489BF"/>
  <w15:docId w15:val="{2A48132F-F0F8-49F1-AA3C-149488E9A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3" w:qFormat="1"/>
    <w:lsdException w:name="annotation text" w:qFormat="1"/>
    <w:lsdException w:name="header" w:uiPriority="99" w:qFormat="1"/>
    <w:lsdException w:name="footer" w:uiPriority="99" w:qFormat="1"/>
    <w:lsdException w:name="caption" w:semiHidden="1" w:unhideWhenUsed="1" w:qFormat="1"/>
    <w:lsdException w:name="annotation reference" w:semiHidden="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Date" w:qFormat="1"/>
    <w:lsdException w:name="Body Text Indent 2" w:qFormat="1"/>
    <w:lsdException w:name="Hyperlink" w:uiPriority="99" w:qFormat="1"/>
    <w:lsdException w:name="FollowedHyperlink" w:qFormat="1"/>
    <w:lsdException w:name="Strong" w:qFormat="1"/>
    <w:lsdException w:name="Emphasis" w:qFormat="1"/>
    <w:lsdException w:name="Document Map" w:uiPriority="99" w:unhideWhenUsed="1" w:qFormat="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keepLines/>
      <w:snapToGrid w:val="0"/>
      <w:spacing w:line="360" w:lineRule="auto"/>
      <w:ind w:firstLine="541"/>
      <w:outlineLvl w:val="0"/>
    </w:pPr>
    <w:rPr>
      <w:rFonts w:ascii="宋体" w:hAnsi="宋体"/>
      <w:b/>
      <w:color w:val="000000"/>
      <w:sz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Pr>
      <w:rFonts w:ascii="宋体" w:hAnsi="Calibri"/>
      <w:kern w:val="0"/>
      <w:sz w:val="18"/>
      <w:szCs w:val="18"/>
    </w:rPr>
  </w:style>
  <w:style w:type="paragraph" w:styleId="a5">
    <w:name w:val="annotation text"/>
    <w:basedOn w:val="a"/>
    <w:link w:val="11"/>
    <w:qFormat/>
    <w:pPr>
      <w:jc w:val="left"/>
    </w:pPr>
  </w:style>
  <w:style w:type="paragraph" w:styleId="a6">
    <w:name w:val="Body Text Indent"/>
    <w:basedOn w:val="a"/>
    <w:link w:val="a7"/>
    <w:qFormat/>
    <w:pPr>
      <w:autoSpaceDE w:val="0"/>
      <w:autoSpaceDN w:val="0"/>
      <w:adjustRightInd w:val="0"/>
      <w:spacing w:line="360" w:lineRule="auto"/>
      <w:ind w:firstLineChars="199" w:firstLine="478"/>
    </w:pPr>
    <w:rPr>
      <w:rFonts w:ascii="宋体" w:hAnsi="宋体"/>
      <w:kern w:val="0"/>
      <w:sz w:val="24"/>
      <w:szCs w:val="21"/>
    </w:rPr>
  </w:style>
  <w:style w:type="paragraph" w:styleId="30">
    <w:name w:val="toc 3"/>
    <w:basedOn w:val="a"/>
    <w:next w:val="a"/>
    <w:qFormat/>
    <w:pPr>
      <w:ind w:leftChars="400" w:left="840"/>
    </w:pPr>
  </w:style>
  <w:style w:type="paragraph" w:styleId="a8">
    <w:name w:val="Plain Text"/>
    <w:basedOn w:val="a"/>
    <w:link w:val="a9"/>
    <w:qFormat/>
    <w:rPr>
      <w:rFonts w:ascii="宋体" w:hAnsi="Courier New"/>
      <w:szCs w:val="21"/>
    </w:rPr>
  </w:style>
  <w:style w:type="paragraph" w:styleId="aa">
    <w:name w:val="Date"/>
    <w:basedOn w:val="a"/>
    <w:next w:val="a"/>
    <w:qFormat/>
    <w:pPr>
      <w:ind w:leftChars="2500" w:left="100"/>
    </w:pPr>
    <w:rPr>
      <w:rFonts w:ascii="宋体" w:hAnsi="宋体"/>
      <w:sz w:val="24"/>
    </w:rPr>
  </w:style>
  <w:style w:type="paragraph" w:styleId="20">
    <w:name w:val="Body Text Indent 2"/>
    <w:basedOn w:val="a"/>
    <w:link w:val="21"/>
    <w:qFormat/>
    <w:pPr>
      <w:spacing w:before="60" w:after="60"/>
      <w:ind w:left="479"/>
    </w:pPr>
    <w:rPr>
      <w:rFonts w:ascii="宋体"/>
      <w:sz w:val="24"/>
    </w:rPr>
  </w:style>
  <w:style w:type="paragraph" w:styleId="ab">
    <w:name w:val="Balloon Text"/>
    <w:basedOn w:val="a"/>
    <w:link w:val="ac"/>
    <w:uiPriority w:val="99"/>
    <w:semiHidden/>
    <w:qFormat/>
    <w:rPr>
      <w:sz w:val="18"/>
      <w:szCs w:val="18"/>
    </w:rPr>
  </w:style>
  <w:style w:type="paragraph" w:styleId="ad">
    <w:name w:val="footer"/>
    <w:basedOn w:val="a"/>
    <w:link w:val="ae"/>
    <w:uiPriority w:val="99"/>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unhideWhenUsed/>
    <w:qFormat/>
    <w:pPr>
      <w:tabs>
        <w:tab w:val="right" w:leader="hyphen" w:pos="8296"/>
      </w:tabs>
      <w:spacing w:line="360" w:lineRule="auto"/>
    </w:pPr>
    <w:rPr>
      <w:rFonts w:ascii="宋体" w:hAnsi="宋体"/>
      <w:sz w:val="24"/>
      <w:szCs w:val="24"/>
    </w:rPr>
  </w:style>
  <w:style w:type="paragraph" w:styleId="af1">
    <w:name w:val="annotation subject"/>
    <w:basedOn w:val="a5"/>
    <w:next w:val="a5"/>
    <w:link w:val="af2"/>
    <w:uiPriority w:val="99"/>
    <w:semiHidden/>
    <w:qFormat/>
    <w:rPr>
      <w:b/>
      <w:bCs/>
    </w:rPr>
  </w:style>
  <w:style w:type="character" w:styleId="af3">
    <w:name w:val="page number"/>
    <w:basedOn w:val="a0"/>
    <w:qFormat/>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semiHidden/>
    <w:qFormat/>
    <w:rPr>
      <w:sz w:val="21"/>
      <w:szCs w:val="21"/>
    </w:rPr>
  </w:style>
  <w:style w:type="character" w:customStyle="1" w:styleId="af0">
    <w:name w:val="页眉 字符"/>
    <w:link w:val="af"/>
    <w:uiPriority w:val="99"/>
    <w:qFormat/>
    <w:rPr>
      <w:kern w:val="2"/>
      <w:sz w:val="18"/>
      <w:szCs w:val="18"/>
    </w:rPr>
  </w:style>
  <w:style w:type="character" w:customStyle="1" w:styleId="DeltaViewInsertion">
    <w:name w:val="DeltaView Insertion"/>
    <w:qFormat/>
    <w:rPr>
      <w:color w:val="0000FF"/>
      <w:spacing w:val="0"/>
      <w:u w:val="double"/>
    </w:rPr>
  </w:style>
  <w:style w:type="character" w:customStyle="1" w:styleId="21">
    <w:name w:val="正文文本缩进 2 字符"/>
    <w:link w:val="20"/>
    <w:qFormat/>
    <w:rPr>
      <w:rFonts w:ascii="宋体"/>
      <w:kern w:val="2"/>
      <w:sz w:val="24"/>
    </w:rPr>
  </w:style>
  <w:style w:type="character" w:customStyle="1" w:styleId="a9">
    <w:name w:val="纯文本 字符"/>
    <w:link w:val="a8"/>
    <w:qFormat/>
    <w:rPr>
      <w:rFonts w:ascii="宋体" w:hAnsi="Courier New" w:cs="Courier New"/>
      <w:kern w:val="2"/>
      <w:sz w:val="21"/>
      <w:szCs w:val="21"/>
    </w:rPr>
  </w:style>
  <w:style w:type="character" w:customStyle="1" w:styleId="e-arialb101">
    <w:name w:val="e-arialb101"/>
    <w:qFormat/>
    <w:rPr>
      <w:rFonts w:ascii="Arial" w:hAnsi="Arial" w:cs="Arial" w:hint="default"/>
      <w:color w:val="000000"/>
      <w:sz w:val="14"/>
      <w:szCs w:val="14"/>
    </w:rPr>
  </w:style>
  <w:style w:type="character" w:customStyle="1" w:styleId="10">
    <w:name w:val="标题 1 字符"/>
    <w:link w:val="1"/>
    <w:uiPriority w:val="9"/>
    <w:qFormat/>
    <w:rPr>
      <w:rFonts w:ascii="宋体" w:hAnsi="宋体"/>
      <w:b/>
      <w:color w:val="000000"/>
      <w:kern w:val="2"/>
      <w:sz w:val="24"/>
    </w:rPr>
  </w:style>
  <w:style w:type="character" w:customStyle="1" w:styleId="af2">
    <w:name w:val="批注主题 字符"/>
    <w:link w:val="af1"/>
    <w:uiPriority w:val="99"/>
    <w:semiHidden/>
    <w:qFormat/>
    <w:rPr>
      <w:b/>
      <w:bCs/>
      <w:kern w:val="2"/>
      <w:sz w:val="21"/>
    </w:rPr>
  </w:style>
  <w:style w:type="character" w:customStyle="1" w:styleId="a4">
    <w:name w:val="文档结构图 字符"/>
    <w:link w:val="a3"/>
    <w:uiPriority w:val="99"/>
    <w:qFormat/>
    <w:rPr>
      <w:rFonts w:ascii="宋体" w:hAnsi="Calibri"/>
      <w:sz w:val="18"/>
      <w:szCs w:val="18"/>
    </w:rPr>
  </w:style>
  <w:style w:type="character" w:customStyle="1" w:styleId="ac">
    <w:name w:val="批注框文本 字符"/>
    <w:link w:val="ab"/>
    <w:uiPriority w:val="99"/>
    <w:semiHidden/>
    <w:qFormat/>
    <w:rPr>
      <w:kern w:val="2"/>
      <w:sz w:val="18"/>
      <w:szCs w:val="18"/>
    </w:rPr>
  </w:style>
  <w:style w:type="character" w:customStyle="1" w:styleId="11">
    <w:name w:val="批注文字 字符1"/>
    <w:link w:val="a5"/>
    <w:qFormat/>
    <w:rPr>
      <w:kern w:val="2"/>
      <w:sz w:val="21"/>
    </w:rPr>
  </w:style>
  <w:style w:type="character" w:customStyle="1" w:styleId="a7">
    <w:name w:val="正文文本缩进 字符"/>
    <w:link w:val="a6"/>
    <w:qFormat/>
    <w:rPr>
      <w:rFonts w:ascii="宋体" w:hAnsi="宋体" w:cs="Arial"/>
      <w:sz w:val="24"/>
      <w:szCs w:val="21"/>
    </w:rPr>
  </w:style>
  <w:style w:type="character" w:customStyle="1" w:styleId="apple-style-span">
    <w:name w:val="apple-style-span"/>
    <w:qFormat/>
  </w:style>
  <w:style w:type="character" w:customStyle="1" w:styleId="ae">
    <w:name w:val="页脚 字符"/>
    <w:link w:val="ad"/>
    <w:uiPriority w:val="99"/>
    <w:qFormat/>
    <w:rPr>
      <w:kern w:val="2"/>
      <w:sz w:val="18"/>
      <w:szCs w:val="18"/>
    </w:rPr>
  </w:style>
  <w:style w:type="paragraph" w:customStyle="1" w:styleId="13">
    <w:name w:val="修订1"/>
    <w:uiPriority w:val="99"/>
    <w:semiHidden/>
    <w:qFormat/>
    <w:rPr>
      <w:rFonts w:ascii="Calibri" w:hAnsi="Calibri"/>
      <w:kern w:val="2"/>
      <w:sz w:val="21"/>
      <w:szCs w:val="22"/>
    </w:rPr>
  </w:style>
  <w:style w:type="paragraph" w:customStyle="1" w:styleId="NormalJustified">
    <w:name w:val="Normal (Justified)"/>
    <w:basedOn w:val="a"/>
    <w:semiHidden/>
    <w:qFormat/>
    <w:pPr>
      <w:widowControl/>
      <w:snapToGrid w:val="0"/>
    </w:pPr>
    <w:rPr>
      <w:kern w:val="28"/>
      <w:sz w:val="24"/>
    </w:rPr>
  </w:style>
  <w:style w:type="paragraph" w:customStyle="1" w:styleId="CharCharCharCharCharCharCharCharCharCharCharCharChar1CharCharCharChar">
    <w:name w:val="Char Char Char Char Char Char Char Char Char Char Char Char Char1 Char Char Char Char"/>
    <w:basedOn w:val="a"/>
    <w:qFormat/>
    <w:rPr>
      <w:rFonts w:ascii="Tahoma" w:hAnsi="Tahoma"/>
      <w:sz w:val="24"/>
      <w:szCs w:val="24"/>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Char">
    <w:name w:val="Char"/>
    <w:basedOn w:val="a"/>
    <w:qFormat/>
    <w:pPr>
      <w:widowControl/>
      <w:spacing w:after="160" w:line="240" w:lineRule="exact"/>
      <w:jc w:val="left"/>
    </w:pPr>
  </w:style>
  <w:style w:type="paragraph" w:customStyle="1" w:styleId="CharCharChar">
    <w:name w:val="Char Char Char"/>
    <w:basedOn w:val="a"/>
    <w:qFormat/>
    <w:rPr>
      <w:szCs w:val="24"/>
    </w:rPr>
  </w:style>
  <w:style w:type="paragraph" w:customStyle="1" w:styleId="CharCharCharCharCharCharChar">
    <w:name w:val="Char Char Char Char Char Char Char"/>
    <w:basedOn w:val="a"/>
    <w:qFormat/>
    <w:pPr>
      <w:tabs>
        <w:tab w:val="left" w:pos="360"/>
      </w:tabs>
      <w:adjustRightInd w:val="0"/>
      <w:textAlignment w:val="baseline"/>
    </w:pPr>
    <w:rPr>
      <w:sz w:val="24"/>
    </w:rPr>
  </w:style>
  <w:style w:type="paragraph" w:customStyle="1" w:styleId="CM16">
    <w:name w:val="CM16"/>
    <w:basedOn w:val="Default"/>
    <w:next w:val="Default"/>
    <w:qFormat/>
    <w:pPr>
      <w:spacing w:line="471" w:lineRule="atLeast"/>
    </w:pPr>
    <w:rPr>
      <w:rFonts w:ascii="黑体" w:eastAsia="黑体" w:hAnsi="Times New Roman" w:cs="Times New Roman"/>
      <w:color w:val="auto"/>
    </w:rPr>
  </w:style>
  <w:style w:type="paragraph" w:customStyle="1" w:styleId="CharCharChar1CharCharCharChar">
    <w:name w:val="Char Char Char1 Char Char Char Char"/>
    <w:basedOn w:val="a"/>
    <w:qFormat/>
    <w:pPr>
      <w:tabs>
        <w:tab w:val="left" w:pos="360"/>
      </w:tabs>
    </w:pPr>
    <w:rPr>
      <w:sz w:val="24"/>
      <w:szCs w:val="24"/>
    </w:rPr>
  </w:style>
  <w:style w:type="paragraph" w:customStyle="1" w:styleId="4CharCharCharChar">
    <w:name w:val="4 Char Char Char Char"/>
    <w:basedOn w:val="a"/>
    <w:qFormat/>
    <w:rPr>
      <w:rFonts w:ascii="Tahoma" w:hAnsi="Tahoma"/>
      <w:sz w:val="24"/>
    </w:rPr>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style>
  <w:style w:type="character" w:customStyle="1" w:styleId="af7">
    <w:name w:val="批注文字 字符"/>
    <w:qFormat/>
    <w:rPr>
      <w:rFonts w:ascii="Times New Roman" w:eastAsia="宋体" w:hAnsi="Times New Roman" w:cs="Times New Roman"/>
      <w:szCs w:val="24"/>
    </w:rPr>
  </w:style>
  <w:style w:type="paragraph" w:customStyle="1" w:styleId="22">
    <w:name w:val="修订2"/>
    <w:hidden/>
    <w:uiPriority w:val="99"/>
    <w:semiHidden/>
    <w:qFormat/>
    <w:rPr>
      <w:kern w:val="2"/>
      <w:sz w:val="21"/>
    </w:rPr>
  </w:style>
  <w:style w:type="paragraph" w:customStyle="1" w:styleId="31">
    <w:name w:val="修订3"/>
    <w:hidden/>
    <w:uiPriority w:val="99"/>
    <w:semiHidden/>
    <w:qFormat/>
    <w:rPr>
      <w:kern w:val="2"/>
      <w:sz w:val="21"/>
    </w:rPr>
  </w:style>
  <w:style w:type="character" w:customStyle="1" w:styleId="read">
    <w:name w:val="read"/>
    <w:basedOn w:val="a0"/>
    <w:qFormat/>
  </w:style>
  <w:style w:type="paragraph" w:styleId="af8">
    <w:name w:val="Revision"/>
    <w:hidden/>
    <w:uiPriority w:val="99"/>
    <w:semiHidden/>
    <w:rsid w:val="00524AF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1B756-9B29-4B2D-9302-C10B9D9E477F}">
  <ds:schemaRefs>
    <ds:schemaRef ds:uri="http://schemas.openxmlformats.org/officeDocument/2006/bibliography"/>
  </ds:schemaRefs>
</ds:datastoreItem>
</file>

<file path=customXml/itemProps2.xml><?xml version="1.0" encoding="utf-8"?>
<ds:datastoreItem xmlns:ds="http://schemas.openxmlformats.org/officeDocument/2006/customXml" ds:itemID="{A6A2DC85-D5C6-40BB-96FC-BEF1FACB3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4846</Words>
  <Characters>27628</Characters>
  <Application>Microsoft Office Word</Application>
  <DocSecurity>0</DocSecurity>
  <Lines>230</Lines>
  <Paragraphs>64</Paragraphs>
  <ScaleCrop>false</ScaleCrop>
  <Company/>
  <LinksUpToDate>false</LinksUpToDate>
  <CharactersWithSpaces>32410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刘斓</dc:creator>
  <cp:lastModifiedBy>刘丽媛</cp:lastModifiedBy>
  <cp:revision>6</cp:revision>
  <cp:lastPrinted>2022-11-17T04:22:00Z</cp:lastPrinted>
  <dcterms:created xsi:type="dcterms:W3CDTF">2023-05-12T01:25:00Z</dcterms:created>
  <dcterms:modified xsi:type="dcterms:W3CDTF">2023-05-29T06:24:00Z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commondata">
    <vt:lpwstr>eyJoZGlkIjoiN2MxZmM0NGFjMzRmYzk2MDIyZjcyMDllY2ZlOGQ0YzIifQ==</vt:lpwstr>
  </property>
  <property fmtid="{D5CDD505-2E9C-101B-9397-08002B2CF9AE}" pid="4" name="ICV">
    <vt:lpwstr>2683BC209E6E4DEBAC9B9DDBAA504F9C</vt:lpwstr>
  </property>
</Properties>
</file>