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F57CD" w14:textId="77777777" w:rsidR="00EA3FD1" w:rsidRPr="00CC51F7" w:rsidRDefault="00EA3FD1" w:rsidP="00EA3FD1">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sidRPr="00CC51F7">
        <w:rPr>
          <w:rFonts w:ascii="宋体" w:hAnsi="宋体" w:hint="eastAsia"/>
          <w:szCs w:val="28"/>
        </w:rPr>
        <w:t xml:space="preserve">                             </w:t>
      </w:r>
    </w:p>
    <w:p w14:paraId="40084CC8" w14:textId="77777777" w:rsidR="00EA3FD1" w:rsidRPr="00CC51F7" w:rsidRDefault="00EA3FD1" w:rsidP="00EA3FD1">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976717F" w14:textId="77777777" w:rsidR="00EA3FD1" w:rsidRPr="00CC51F7" w:rsidRDefault="00EA3FD1" w:rsidP="00EA3FD1">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FECCAA2" w14:textId="77777777" w:rsidR="00EA3FD1" w:rsidRPr="00CC51F7" w:rsidRDefault="00EA3FD1" w:rsidP="00EA3FD1">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A269D37" w14:textId="77777777" w:rsidR="00EA3FD1" w:rsidRPr="00CC51F7" w:rsidRDefault="00EA3FD1" w:rsidP="00EA3FD1">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66A2444" w14:textId="3DCCD6A5" w:rsidR="00EA3FD1" w:rsidRPr="003A50DE" w:rsidRDefault="00EA3FD1" w:rsidP="00EA3FD1">
      <w:pPr>
        <w:spacing w:line="360" w:lineRule="auto"/>
        <w:jc w:val="center"/>
        <w:rPr>
          <w:rFonts w:ascii="宋体" w:hAnsi="宋体"/>
          <w:b/>
          <w:sz w:val="48"/>
        </w:rPr>
      </w:pPr>
      <w:bookmarkStart w:id="0" w:name="_Toc123112222"/>
      <w:bookmarkStart w:id="1" w:name="_Toc123112261"/>
      <w:bookmarkStart w:id="2" w:name="_Toc139992299"/>
      <w:bookmarkStart w:id="3" w:name="_Toc123701381"/>
      <w:bookmarkStart w:id="4" w:name="_Toc139991724"/>
      <w:proofErr w:type="gramStart"/>
      <w:r w:rsidRPr="003A50DE">
        <w:rPr>
          <w:rFonts w:ascii="宋体" w:hAnsi="宋体" w:hint="eastAsia"/>
          <w:b/>
          <w:sz w:val="48"/>
        </w:rPr>
        <w:t>兴证全球</w:t>
      </w:r>
      <w:proofErr w:type="gramEnd"/>
      <w:r w:rsidR="00FC3927" w:rsidRPr="003A50DE">
        <w:rPr>
          <w:rFonts w:ascii="宋体" w:hAnsi="宋体" w:hint="eastAsia"/>
          <w:b/>
          <w:sz w:val="48"/>
        </w:rPr>
        <w:t>创新优势</w:t>
      </w:r>
      <w:r w:rsidRPr="003A50DE">
        <w:rPr>
          <w:rFonts w:ascii="宋体" w:hAnsi="宋体" w:hint="eastAsia"/>
          <w:b/>
          <w:sz w:val="48"/>
        </w:rPr>
        <w:t>混合型</w:t>
      </w:r>
      <w:bookmarkStart w:id="5" w:name="OLE_LINK100"/>
      <w:bookmarkStart w:id="6" w:name="OLE_LINK101"/>
      <w:r w:rsidRPr="003A50DE">
        <w:rPr>
          <w:rFonts w:ascii="宋体" w:hAnsi="宋体" w:hint="eastAsia"/>
          <w:b/>
          <w:sz w:val="48"/>
        </w:rPr>
        <w:t>证券投资基金</w:t>
      </w:r>
    </w:p>
    <w:bookmarkEnd w:id="0"/>
    <w:bookmarkEnd w:id="1"/>
    <w:bookmarkEnd w:id="2"/>
    <w:bookmarkEnd w:id="3"/>
    <w:bookmarkEnd w:id="4"/>
    <w:p w14:paraId="00B862BB" w14:textId="53117597" w:rsidR="00EA3FD1" w:rsidRPr="003A50DE" w:rsidRDefault="00EA3FD1" w:rsidP="00EA3FD1">
      <w:pPr>
        <w:spacing w:line="360" w:lineRule="auto"/>
        <w:jc w:val="center"/>
        <w:rPr>
          <w:rFonts w:ascii="宋体" w:hAnsi="宋体"/>
          <w:b/>
          <w:sz w:val="48"/>
        </w:rPr>
      </w:pPr>
      <w:r w:rsidRPr="003A50DE">
        <w:rPr>
          <w:rFonts w:ascii="宋体" w:hAnsi="宋体" w:hint="eastAsia"/>
          <w:b/>
          <w:sz w:val="48"/>
        </w:rPr>
        <w:t>托管协议</w:t>
      </w:r>
      <w:bookmarkEnd w:id="5"/>
      <w:bookmarkEnd w:id="6"/>
    </w:p>
    <w:p w14:paraId="54544B1E" w14:textId="77777777" w:rsidR="00EA3FD1" w:rsidRPr="003A50DE" w:rsidRDefault="00EA3FD1" w:rsidP="00EA3FD1">
      <w:pPr>
        <w:pStyle w:val="21"/>
        <w:spacing w:line="520" w:lineRule="exact"/>
        <w:ind w:firstLine="560"/>
        <w:rPr>
          <w:rFonts w:hAnsi="宋体"/>
          <w:sz w:val="28"/>
          <w:szCs w:val="28"/>
        </w:rPr>
      </w:pPr>
    </w:p>
    <w:p w14:paraId="40D2A094" w14:textId="77777777" w:rsidR="00EA3FD1" w:rsidRPr="003A50DE" w:rsidRDefault="00EA3FD1" w:rsidP="00EA3FD1">
      <w:pPr>
        <w:pStyle w:val="21"/>
        <w:spacing w:line="520" w:lineRule="exact"/>
        <w:ind w:firstLine="560"/>
        <w:rPr>
          <w:rFonts w:hAnsi="宋体"/>
          <w:sz w:val="28"/>
          <w:szCs w:val="28"/>
        </w:rPr>
      </w:pPr>
    </w:p>
    <w:p w14:paraId="6B673012" w14:textId="77777777" w:rsidR="00EA3FD1" w:rsidRPr="003A50DE" w:rsidRDefault="00EA3FD1" w:rsidP="00EA3FD1">
      <w:pPr>
        <w:pStyle w:val="21"/>
        <w:spacing w:line="520" w:lineRule="exact"/>
        <w:ind w:firstLine="560"/>
        <w:rPr>
          <w:rFonts w:hAnsi="宋体"/>
          <w:sz w:val="28"/>
          <w:szCs w:val="28"/>
        </w:rPr>
      </w:pPr>
    </w:p>
    <w:p w14:paraId="70AC085D" w14:textId="77777777" w:rsidR="00EA3FD1" w:rsidRPr="003A50DE" w:rsidRDefault="00EA3FD1" w:rsidP="00EA3FD1">
      <w:pPr>
        <w:pStyle w:val="21"/>
        <w:spacing w:line="520" w:lineRule="exact"/>
        <w:ind w:firstLine="560"/>
        <w:rPr>
          <w:rFonts w:hAnsi="宋体"/>
          <w:sz w:val="28"/>
          <w:szCs w:val="28"/>
        </w:rPr>
      </w:pPr>
    </w:p>
    <w:p w14:paraId="12C9D24C" w14:textId="717CCBB6" w:rsidR="00EA3FD1" w:rsidRPr="003A50DE" w:rsidRDefault="00EA3FD1" w:rsidP="00EA3FD1">
      <w:pPr>
        <w:spacing w:line="360" w:lineRule="auto"/>
        <w:jc w:val="center"/>
        <w:rPr>
          <w:rFonts w:ascii="宋体" w:hAnsi="宋体"/>
          <w:b/>
          <w:sz w:val="36"/>
        </w:rPr>
      </w:pPr>
      <w:bookmarkStart w:id="7" w:name="_Toc123112263"/>
      <w:bookmarkStart w:id="8" w:name="_Toc123112224"/>
      <w:bookmarkStart w:id="9" w:name="_Toc139991726"/>
      <w:bookmarkStart w:id="10" w:name="_Toc123701383"/>
      <w:bookmarkStart w:id="11" w:name="_Toc139992301"/>
      <w:r w:rsidRPr="003A50DE">
        <w:rPr>
          <w:rFonts w:ascii="宋体" w:hAnsi="宋体"/>
          <w:b/>
          <w:sz w:val="36"/>
        </w:rPr>
        <w:t>基金管理人：</w:t>
      </w:r>
      <w:bookmarkEnd w:id="7"/>
      <w:bookmarkEnd w:id="8"/>
      <w:bookmarkEnd w:id="9"/>
      <w:bookmarkEnd w:id="10"/>
      <w:bookmarkEnd w:id="11"/>
      <w:r w:rsidRPr="003A50DE">
        <w:rPr>
          <w:rFonts w:ascii="宋体" w:hAnsi="宋体" w:hint="eastAsia"/>
          <w:b/>
          <w:sz w:val="36"/>
        </w:rPr>
        <w:t>兴证全球基金管理有限公司</w:t>
      </w:r>
    </w:p>
    <w:p w14:paraId="6395607C" w14:textId="5B9FE852" w:rsidR="00EA3FD1" w:rsidRPr="003A50DE" w:rsidRDefault="00EA3FD1" w:rsidP="00EA3FD1">
      <w:pPr>
        <w:spacing w:line="360" w:lineRule="auto"/>
        <w:jc w:val="center"/>
        <w:rPr>
          <w:rFonts w:ascii="宋体" w:hAnsi="宋体"/>
          <w:b/>
          <w:sz w:val="36"/>
        </w:rPr>
      </w:pPr>
      <w:bookmarkStart w:id="12" w:name="_Toc123701384"/>
      <w:bookmarkStart w:id="13" w:name="_Toc139991727"/>
      <w:bookmarkStart w:id="14" w:name="_Toc139992302"/>
      <w:bookmarkStart w:id="15" w:name="_Toc123112225"/>
      <w:bookmarkStart w:id="16" w:name="_Toc123112264"/>
      <w:r w:rsidRPr="003A50DE">
        <w:rPr>
          <w:rFonts w:ascii="宋体" w:hAnsi="宋体"/>
          <w:b/>
          <w:sz w:val="36"/>
        </w:rPr>
        <w:t>基金托管人：</w:t>
      </w:r>
      <w:r w:rsidRPr="003A50DE">
        <w:rPr>
          <w:rFonts w:ascii="宋体" w:hAnsi="宋体" w:hint="eastAsia"/>
          <w:b/>
          <w:sz w:val="36"/>
        </w:rPr>
        <w:t>中信银行股份有限公司</w:t>
      </w:r>
      <w:bookmarkEnd w:id="12"/>
      <w:bookmarkEnd w:id="13"/>
      <w:bookmarkEnd w:id="14"/>
      <w:bookmarkEnd w:id="15"/>
      <w:bookmarkEnd w:id="16"/>
    </w:p>
    <w:p w14:paraId="74A35BB2" w14:textId="77777777" w:rsidR="00EA3FD1" w:rsidRPr="003A50DE" w:rsidRDefault="00EA3FD1" w:rsidP="00EA3FD1">
      <w:pPr>
        <w:spacing w:line="360" w:lineRule="auto"/>
        <w:jc w:val="center"/>
        <w:rPr>
          <w:rFonts w:ascii="宋体" w:hAnsi="宋体"/>
          <w:b/>
          <w:sz w:val="44"/>
          <w:szCs w:val="44"/>
        </w:rPr>
      </w:pPr>
    </w:p>
    <w:p w14:paraId="3A01B606" w14:textId="77777777" w:rsidR="00EA3FD1" w:rsidRPr="003A50DE" w:rsidRDefault="00EA3FD1" w:rsidP="00EA3FD1">
      <w:pPr>
        <w:spacing w:line="360" w:lineRule="auto"/>
        <w:rPr>
          <w:rFonts w:ascii="宋体" w:hAnsi="宋体"/>
          <w:b/>
          <w:szCs w:val="28"/>
        </w:rPr>
      </w:pPr>
    </w:p>
    <w:p w14:paraId="6EB0CF7B" w14:textId="77777777" w:rsidR="00EA3FD1" w:rsidRPr="003A50DE" w:rsidRDefault="00EA3FD1" w:rsidP="00EA3FD1">
      <w:pPr>
        <w:spacing w:line="360" w:lineRule="auto"/>
        <w:ind w:firstLineChars="200" w:firstLine="562"/>
        <w:jc w:val="center"/>
        <w:rPr>
          <w:rFonts w:ascii="宋体" w:hAnsi="宋体"/>
          <w:b/>
          <w:bCs/>
          <w:sz w:val="28"/>
          <w:szCs w:val="28"/>
        </w:rPr>
      </w:pPr>
    </w:p>
    <w:p w14:paraId="10149095" w14:textId="77777777" w:rsidR="00EA3FD1" w:rsidRPr="003A50DE" w:rsidRDefault="00EA3FD1" w:rsidP="00EA3FD1">
      <w:pPr>
        <w:spacing w:line="360" w:lineRule="auto"/>
        <w:ind w:firstLineChars="200" w:firstLine="562"/>
        <w:jc w:val="center"/>
        <w:rPr>
          <w:rFonts w:ascii="宋体" w:hAnsi="宋体"/>
          <w:b/>
          <w:bCs/>
          <w:sz w:val="28"/>
          <w:szCs w:val="28"/>
        </w:rPr>
      </w:pPr>
    </w:p>
    <w:p w14:paraId="7FFB5102" w14:textId="77777777" w:rsidR="00EA3FD1" w:rsidRPr="003A50DE" w:rsidRDefault="00EA3FD1" w:rsidP="00EA3FD1">
      <w:pPr>
        <w:spacing w:line="360" w:lineRule="auto"/>
        <w:rPr>
          <w:rFonts w:ascii="宋体" w:hAnsi="宋体"/>
          <w:b/>
          <w:bCs/>
          <w:sz w:val="28"/>
          <w:szCs w:val="28"/>
        </w:rPr>
      </w:pPr>
    </w:p>
    <w:p w14:paraId="675FB25C" w14:textId="77777777" w:rsidR="00EA3FD1" w:rsidRPr="003A50DE" w:rsidRDefault="00EA3FD1" w:rsidP="00EA3FD1">
      <w:pPr>
        <w:spacing w:line="360" w:lineRule="auto"/>
        <w:ind w:firstLineChars="200" w:firstLine="420"/>
        <w:jc w:val="center"/>
        <w:rPr>
          <w:rFonts w:ascii="宋体" w:hAnsi="宋体"/>
          <w:b/>
          <w:bCs/>
          <w:sz w:val="28"/>
          <w:szCs w:val="28"/>
        </w:rPr>
      </w:pPr>
      <w:r w:rsidRPr="003A50DE">
        <w:rPr>
          <w:rFonts w:ascii="宋体" w:hAnsi="宋体"/>
          <w:noProof/>
        </w:rPr>
        <w:drawing>
          <wp:anchor distT="0" distB="0" distL="114300" distR="114300" simplePos="0" relativeHeight="251659264" behindDoc="0" locked="0" layoutInCell="1" allowOverlap="1" wp14:anchorId="2237BE9D" wp14:editId="4F9863BA">
            <wp:simplePos x="0" y="0"/>
            <wp:positionH relativeFrom="margin">
              <wp:posOffset>1807210</wp:posOffset>
            </wp:positionH>
            <wp:positionV relativeFrom="margin">
              <wp:posOffset>8372475</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Pr="003A50DE">
        <w:rPr>
          <w:rFonts w:ascii="宋体" w:hAnsi="宋体" w:hint="eastAsia"/>
          <w:b/>
          <w:bCs/>
          <w:sz w:val="28"/>
          <w:szCs w:val="28"/>
        </w:rPr>
        <w:br w:type="page"/>
      </w:r>
    </w:p>
    <w:p w14:paraId="5D4A5E58" w14:textId="77777777" w:rsidR="00EA3FD1" w:rsidRPr="003A50DE" w:rsidRDefault="00EA3FD1" w:rsidP="00EA3FD1">
      <w:pPr>
        <w:jc w:val="center"/>
        <w:rPr>
          <w:rFonts w:ascii="宋体" w:hAnsi="宋体"/>
          <w:b/>
          <w:bCs/>
          <w:sz w:val="28"/>
          <w:szCs w:val="28"/>
        </w:rPr>
      </w:pPr>
    </w:p>
    <w:p w14:paraId="09123787" w14:textId="77777777" w:rsidR="00EA3FD1" w:rsidRPr="003A50DE" w:rsidRDefault="00EA3FD1" w:rsidP="00EA3FD1">
      <w:pPr>
        <w:rPr>
          <w:rFonts w:ascii="宋体" w:hAnsi="宋体"/>
          <w:b/>
          <w:bCs/>
          <w:sz w:val="28"/>
          <w:szCs w:val="28"/>
        </w:rPr>
      </w:pPr>
    </w:p>
    <w:p w14:paraId="1AE8FC8E" w14:textId="77777777" w:rsidR="00EA3FD1" w:rsidRPr="003A50DE" w:rsidRDefault="00EA3FD1" w:rsidP="00EA3FD1">
      <w:pPr>
        <w:snapToGrid w:val="0"/>
        <w:spacing w:line="360" w:lineRule="auto"/>
        <w:jc w:val="center"/>
        <w:rPr>
          <w:rFonts w:ascii="宋体" w:hAnsi="宋体"/>
          <w:b/>
          <w:sz w:val="28"/>
          <w:szCs w:val="44"/>
        </w:rPr>
      </w:pPr>
      <w:r w:rsidRPr="003A50DE">
        <w:rPr>
          <w:rFonts w:ascii="宋体" w:hAnsi="宋体" w:hint="eastAsia"/>
          <w:b/>
          <w:sz w:val="28"/>
          <w:szCs w:val="44"/>
        </w:rPr>
        <w:t>填写说明</w:t>
      </w:r>
    </w:p>
    <w:p w14:paraId="772D8423" w14:textId="77777777" w:rsidR="00EA3FD1" w:rsidRPr="003A50DE" w:rsidRDefault="00EA3FD1" w:rsidP="00EA3FD1">
      <w:pPr>
        <w:snapToGrid w:val="0"/>
        <w:spacing w:line="360" w:lineRule="auto"/>
        <w:ind w:firstLineChars="200" w:firstLine="560"/>
        <w:rPr>
          <w:rFonts w:ascii="宋体" w:hAnsi="宋体"/>
          <w:bCs/>
          <w:sz w:val="28"/>
          <w:szCs w:val="28"/>
        </w:rPr>
      </w:pPr>
    </w:p>
    <w:p w14:paraId="28332788" w14:textId="77777777" w:rsidR="00EA3FD1" w:rsidRPr="003A50DE" w:rsidRDefault="00EA3FD1" w:rsidP="00EA3FD1">
      <w:pPr>
        <w:snapToGrid w:val="0"/>
        <w:spacing w:line="360" w:lineRule="auto"/>
        <w:ind w:firstLineChars="200" w:firstLine="560"/>
        <w:rPr>
          <w:rFonts w:ascii="宋体" w:hAnsi="宋体"/>
          <w:b/>
          <w:bCs/>
          <w:sz w:val="28"/>
          <w:szCs w:val="28"/>
        </w:rPr>
      </w:pPr>
      <w:r w:rsidRPr="003A50DE">
        <w:rPr>
          <w:rFonts w:ascii="宋体" w:hAnsi="宋体" w:hint="eastAsia"/>
          <w:bCs/>
          <w:sz w:val="28"/>
          <w:szCs w:val="28"/>
        </w:rPr>
        <w:t>一、</w:t>
      </w:r>
      <w:r w:rsidRPr="003A50DE">
        <w:rPr>
          <w:rFonts w:ascii="宋体" w:hAnsi="宋体" w:hint="eastAsia"/>
          <w:b/>
          <w:bCs/>
          <w:sz w:val="28"/>
          <w:szCs w:val="28"/>
        </w:rPr>
        <w:t>本协议应使用蓝黑色或黑色签字笔或钢笔填写。</w:t>
      </w:r>
    </w:p>
    <w:p w14:paraId="4D8046C6" w14:textId="77777777" w:rsidR="00EA3FD1" w:rsidRPr="003A50DE" w:rsidRDefault="00EA3FD1" w:rsidP="00EA3FD1">
      <w:pPr>
        <w:snapToGrid w:val="0"/>
        <w:spacing w:line="360" w:lineRule="auto"/>
        <w:ind w:firstLineChars="200" w:firstLine="562"/>
        <w:rPr>
          <w:rFonts w:ascii="宋体" w:hAnsi="宋体"/>
          <w:b/>
          <w:bCs/>
          <w:sz w:val="28"/>
          <w:szCs w:val="28"/>
        </w:rPr>
      </w:pPr>
      <w:r w:rsidRPr="003A50DE">
        <w:rPr>
          <w:rFonts w:ascii="宋体" w:hAnsi="宋体" w:hint="eastAsia"/>
          <w:b/>
          <w:bCs/>
          <w:sz w:val="28"/>
          <w:szCs w:val="28"/>
        </w:rPr>
        <w:t>二、本协议应填写完整，字迹清楚、工整。</w:t>
      </w:r>
    </w:p>
    <w:p w14:paraId="4D2806E0" w14:textId="77777777" w:rsidR="00EA3FD1" w:rsidRPr="003A50DE" w:rsidRDefault="00EA3FD1" w:rsidP="00EA3FD1">
      <w:pPr>
        <w:snapToGrid w:val="0"/>
        <w:spacing w:line="360" w:lineRule="auto"/>
        <w:ind w:firstLineChars="200" w:firstLine="562"/>
        <w:rPr>
          <w:rFonts w:ascii="宋体" w:hAnsi="宋体"/>
          <w:b/>
          <w:bCs/>
          <w:sz w:val="28"/>
          <w:szCs w:val="28"/>
        </w:rPr>
      </w:pPr>
      <w:r w:rsidRPr="003A50DE">
        <w:rPr>
          <w:rFonts w:ascii="宋体" w:hAnsi="宋体" w:hint="eastAsia"/>
          <w:b/>
          <w:bCs/>
          <w:sz w:val="28"/>
          <w:szCs w:val="28"/>
        </w:rPr>
        <w:t>三、货币币种应以中文填写，不能以货币符号代替，货币金额大写前应</w:t>
      </w:r>
      <w:proofErr w:type="gramStart"/>
      <w:r w:rsidRPr="003A50DE">
        <w:rPr>
          <w:rFonts w:ascii="宋体" w:hAnsi="宋体" w:hint="eastAsia"/>
          <w:b/>
          <w:bCs/>
          <w:sz w:val="28"/>
          <w:szCs w:val="28"/>
        </w:rPr>
        <w:t>加货币</w:t>
      </w:r>
      <w:proofErr w:type="gramEnd"/>
      <w:r w:rsidRPr="003A50DE">
        <w:rPr>
          <w:rFonts w:ascii="宋体" w:hAnsi="宋体" w:hint="eastAsia"/>
          <w:b/>
          <w:bCs/>
          <w:sz w:val="28"/>
          <w:szCs w:val="28"/>
        </w:rPr>
        <w:t>中文名称，小写前应</w:t>
      </w:r>
      <w:proofErr w:type="gramStart"/>
      <w:r w:rsidRPr="003A50DE">
        <w:rPr>
          <w:rFonts w:ascii="宋体" w:hAnsi="宋体" w:hint="eastAsia"/>
          <w:b/>
          <w:bCs/>
          <w:sz w:val="28"/>
          <w:szCs w:val="28"/>
        </w:rPr>
        <w:t>加货币</w:t>
      </w:r>
      <w:proofErr w:type="gramEnd"/>
      <w:r w:rsidRPr="003A50DE">
        <w:rPr>
          <w:rFonts w:ascii="宋体" w:hAnsi="宋体" w:hint="eastAsia"/>
          <w:b/>
          <w:bCs/>
          <w:sz w:val="28"/>
          <w:szCs w:val="28"/>
        </w:rPr>
        <w:t>符号。</w:t>
      </w:r>
    </w:p>
    <w:p w14:paraId="139C9D43" w14:textId="77777777" w:rsidR="00EA3FD1" w:rsidRPr="003A50DE" w:rsidRDefault="00EA3FD1" w:rsidP="00EA3FD1">
      <w:pPr>
        <w:snapToGrid w:val="0"/>
        <w:spacing w:line="360" w:lineRule="auto"/>
        <w:ind w:firstLineChars="200" w:firstLine="562"/>
        <w:rPr>
          <w:rFonts w:ascii="宋体" w:hAnsi="宋体"/>
          <w:b/>
          <w:bCs/>
          <w:sz w:val="28"/>
          <w:szCs w:val="28"/>
        </w:rPr>
      </w:pPr>
      <w:r w:rsidRPr="003A50DE">
        <w:rPr>
          <w:rFonts w:ascii="宋体" w:hAnsi="宋体" w:hint="eastAsia"/>
          <w:b/>
          <w:bCs/>
          <w:sz w:val="28"/>
          <w:szCs w:val="28"/>
        </w:rPr>
        <w:t>四、本协议多余空格或不予填写的空格可采用划折线、划斜线、加盖“以下空白”章或填写“以下空白”字样之一处理。</w:t>
      </w:r>
    </w:p>
    <w:p w14:paraId="7A49DDAA" w14:textId="77777777" w:rsidR="00EA3FD1" w:rsidRPr="003A50DE" w:rsidRDefault="00EA3FD1" w:rsidP="00EA3FD1">
      <w:pPr>
        <w:snapToGrid w:val="0"/>
        <w:spacing w:line="360" w:lineRule="auto"/>
        <w:ind w:firstLineChars="200" w:firstLine="562"/>
        <w:rPr>
          <w:rFonts w:ascii="宋体" w:hAnsi="宋体"/>
          <w:b/>
          <w:bCs/>
          <w:sz w:val="28"/>
          <w:szCs w:val="28"/>
        </w:rPr>
      </w:pPr>
      <w:bookmarkStart w:id="17" w:name="OLE_LINK30"/>
      <w:bookmarkStart w:id="18" w:name="OLE_LINK31"/>
      <w:r w:rsidRPr="003A50DE">
        <w:rPr>
          <w:rFonts w:ascii="宋体" w:hAnsi="宋体" w:hint="eastAsia"/>
          <w:b/>
          <w:bCs/>
          <w:sz w:val="28"/>
          <w:szCs w:val="28"/>
        </w:rPr>
        <w:t>五、基金管理人应认真阅读并充分理解本协议条款，清楚相应法律后果等内容，签署本协议后即视为同意并接受本协议全部条款。</w:t>
      </w:r>
    </w:p>
    <w:bookmarkEnd w:id="17"/>
    <w:bookmarkEnd w:id="18"/>
    <w:p w14:paraId="7EC9CA26" w14:textId="77777777" w:rsidR="00EA3FD1" w:rsidRPr="003A50DE" w:rsidRDefault="00EA3FD1" w:rsidP="00EA3FD1">
      <w:pPr>
        <w:snapToGrid w:val="0"/>
        <w:spacing w:line="360" w:lineRule="auto"/>
        <w:ind w:firstLineChars="200" w:firstLine="562"/>
        <w:rPr>
          <w:rFonts w:ascii="宋体" w:hAnsi="宋体"/>
          <w:b/>
          <w:bCs/>
          <w:sz w:val="28"/>
          <w:szCs w:val="28"/>
        </w:rPr>
      </w:pPr>
    </w:p>
    <w:p w14:paraId="1E5D1CB3" w14:textId="77777777" w:rsidR="00EA3FD1" w:rsidRPr="003A50DE" w:rsidRDefault="00EA3FD1" w:rsidP="00EA3FD1">
      <w:pPr>
        <w:spacing w:line="360" w:lineRule="auto"/>
        <w:jc w:val="center"/>
        <w:rPr>
          <w:rFonts w:ascii="宋体" w:hAnsi="宋体"/>
          <w:b/>
          <w:bCs/>
          <w:sz w:val="28"/>
          <w:szCs w:val="28"/>
        </w:rPr>
      </w:pPr>
    </w:p>
    <w:p w14:paraId="7522D378" w14:textId="77777777" w:rsidR="00EA3FD1" w:rsidRPr="003A50DE" w:rsidRDefault="00EA3FD1" w:rsidP="00EA3FD1">
      <w:pPr>
        <w:spacing w:line="360" w:lineRule="auto"/>
        <w:jc w:val="center"/>
        <w:rPr>
          <w:rFonts w:ascii="宋体" w:hAnsi="宋体"/>
          <w:b/>
          <w:bCs/>
          <w:sz w:val="28"/>
          <w:szCs w:val="28"/>
        </w:rPr>
      </w:pPr>
    </w:p>
    <w:p w14:paraId="541797A1" w14:textId="77777777" w:rsidR="00EA3FD1" w:rsidRPr="003A50DE" w:rsidRDefault="00EA3FD1" w:rsidP="00EA3FD1">
      <w:pPr>
        <w:spacing w:line="360" w:lineRule="auto"/>
        <w:jc w:val="center"/>
        <w:rPr>
          <w:rFonts w:ascii="宋体" w:hAnsi="宋体"/>
          <w:b/>
          <w:bCs/>
          <w:sz w:val="28"/>
          <w:szCs w:val="28"/>
        </w:rPr>
      </w:pPr>
    </w:p>
    <w:p w14:paraId="2820F134" w14:textId="77777777" w:rsidR="00EA3FD1" w:rsidRPr="003A50DE" w:rsidRDefault="00EA3FD1" w:rsidP="00EA3FD1">
      <w:pPr>
        <w:spacing w:line="360" w:lineRule="auto"/>
        <w:jc w:val="center"/>
        <w:rPr>
          <w:rFonts w:ascii="宋体" w:hAnsi="宋体"/>
          <w:b/>
          <w:bCs/>
          <w:sz w:val="28"/>
          <w:szCs w:val="28"/>
        </w:rPr>
      </w:pPr>
    </w:p>
    <w:p w14:paraId="12D21915" w14:textId="77777777" w:rsidR="00EA3FD1" w:rsidRPr="003A50DE" w:rsidRDefault="00EA3FD1" w:rsidP="00EA3FD1">
      <w:pPr>
        <w:spacing w:line="360" w:lineRule="auto"/>
        <w:jc w:val="center"/>
        <w:rPr>
          <w:rFonts w:ascii="宋体" w:hAnsi="宋体"/>
          <w:b/>
          <w:bCs/>
          <w:sz w:val="28"/>
          <w:szCs w:val="28"/>
        </w:rPr>
      </w:pPr>
    </w:p>
    <w:p w14:paraId="2118EF28" w14:textId="77777777" w:rsidR="00EA3FD1" w:rsidRPr="003A50DE" w:rsidRDefault="00EA3FD1" w:rsidP="00EA3FD1">
      <w:pPr>
        <w:spacing w:line="360" w:lineRule="auto"/>
        <w:jc w:val="center"/>
        <w:rPr>
          <w:rFonts w:ascii="宋体" w:hAnsi="宋体"/>
          <w:b/>
          <w:bCs/>
          <w:sz w:val="28"/>
          <w:szCs w:val="28"/>
        </w:rPr>
      </w:pPr>
    </w:p>
    <w:p w14:paraId="549B91AB" w14:textId="77777777" w:rsidR="00EA3FD1" w:rsidRPr="003A50DE" w:rsidRDefault="00EA3FD1" w:rsidP="00EA3FD1">
      <w:pPr>
        <w:spacing w:line="360" w:lineRule="auto"/>
        <w:jc w:val="center"/>
        <w:rPr>
          <w:rFonts w:ascii="宋体" w:hAnsi="宋体"/>
          <w:b/>
          <w:bCs/>
          <w:sz w:val="28"/>
          <w:szCs w:val="28"/>
        </w:rPr>
      </w:pPr>
    </w:p>
    <w:p w14:paraId="6F30398A" w14:textId="77777777" w:rsidR="00EA3FD1" w:rsidRPr="003A50DE" w:rsidRDefault="00EA3FD1" w:rsidP="00EA3FD1">
      <w:pPr>
        <w:spacing w:line="360" w:lineRule="auto"/>
        <w:jc w:val="center"/>
        <w:rPr>
          <w:rFonts w:ascii="宋体" w:hAnsi="宋体"/>
          <w:b/>
          <w:bCs/>
          <w:sz w:val="28"/>
          <w:szCs w:val="28"/>
        </w:rPr>
      </w:pPr>
    </w:p>
    <w:p w14:paraId="281C5CF8" w14:textId="77777777" w:rsidR="00EA3FD1" w:rsidRPr="003A50DE" w:rsidRDefault="00EA3FD1" w:rsidP="00EA3FD1">
      <w:pPr>
        <w:spacing w:line="360" w:lineRule="auto"/>
        <w:jc w:val="center"/>
        <w:rPr>
          <w:rFonts w:ascii="宋体" w:hAnsi="宋体"/>
          <w:b/>
          <w:bCs/>
          <w:sz w:val="28"/>
          <w:szCs w:val="28"/>
        </w:rPr>
      </w:pPr>
    </w:p>
    <w:p w14:paraId="6327570E" w14:textId="77777777" w:rsidR="00EA3FD1" w:rsidRPr="003A50DE" w:rsidRDefault="00EA3FD1" w:rsidP="00EA3FD1">
      <w:pPr>
        <w:spacing w:line="360" w:lineRule="auto"/>
        <w:jc w:val="center"/>
        <w:rPr>
          <w:rFonts w:ascii="宋体" w:hAnsi="宋体"/>
          <w:b/>
          <w:bCs/>
          <w:sz w:val="28"/>
          <w:szCs w:val="28"/>
        </w:rPr>
      </w:pPr>
    </w:p>
    <w:p w14:paraId="7743A06E" w14:textId="77777777" w:rsidR="00EA3FD1" w:rsidRPr="003A50DE" w:rsidRDefault="00EA3FD1" w:rsidP="00EA3FD1">
      <w:pPr>
        <w:spacing w:line="360" w:lineRule="auto"/>
        <w:jc w:val="center"/>
        <w:rPr>
          <w:rFonts w:ascii="宋体" w:hAnsi="宋体"/>
          <w:b/>
          <w:bCs/>
          <w:sz w:val="28"/>
          <w:szCs w:val="28"/>
        </w:rPr>
      </w:pPr>
    </w:p>
    <w:p w14:paraId="786E8ED3" w14:textId="77777777" w:rsidR="00EA3FD1" w:rsidRPr="003A50DE" w:rsidRDefault="00EA3FD1" w:rsidP="00EA3FD1">
      <w:pPr>
        <w:spacing w:line="360" w:lineRule="auto"/>
        <w:jc w:val="center"/>
        <w:rPr>
          <w:rFonts w:ascii="宋体" w:hAnsi="宋体"/>
          <w:b/>
          <w:bCs/>
          <w:sz w:val="28"/>
          <w:szCs w:val="28"/>
        </w:rPr>
      </w:pPr>
    </w:p>
    <w:p w14:paraId="446A2006" w14:textId="77777777" w:rsidR="00EA3FD1" w:rsidRPr="003A50DE" w:rsidRDefault="00EA3FD1" w:rsidP="00EA3FD1">
      <w:pPr>
        <w:spacing w:line="360" w:lineRule="auto"/>
        <w:jc w:val="center"/>
        <w:rPr>
          <w:rFonts w:ascii="宋体" w:hAnsi="宋体"/>
          <w:b/>
          <w:bCs/>
          <w:sz w:val="28"/>
          <w:szCs w:val="28"/>
        </w:rPr>
      </w:pPr>
    </w:p>
    <w:p w14:paraId="365B6B42" w14:textId="77777777" w:rsidR="00EA3FD1" w:rsidRPr="003A50DE" w:rsidRDefault="00EA3FD1" w:rsidP="00EA3FD1">
      <w:pPr>
        <w:spacing w:line="360" w:lineRule="auto"/>
        <w:jc w:val="center"/>
        <w:rPr>
          <w:rFonts w:ascii="宋体" w:hAnsi="宋体"/>
          <w:b/>
          <w:bCs/>
          <w:sz w:val="28"/>
          <w:szCs w:val="28"/>
        </w:rPr>
      </w:pPr>
    </w:p>
    <w:p w14:paraId="6C2E9E16" w14:textId="77777777" w:rsidR="00EA3FD1" w:rsidRPr="003A50DE" w:rsidRDefault="00EA3FD1" w:rsidP="00EA3FD1">
      <w:pPr>
        <w:spacing w:line="360" w:lineRule="auto"/>
        <w:jc w:val="center"/>
        <w:rPr>
          <w:rFonts w:ascii="宋体" w:hAnsi="宋体"/>
          <w:b/>
          <w:bCs/>
          <w:sz w:val="28"/>
          <w:szCs w:val="28"/>
        </w:rPr>
      </w:pPr>
    </w:p>
    <w:p w14:paraId="2D0F237E" w14:textId="77777777" w:rsidR="00EA3FD1" w:rsidRPr="003A50DE" w:rsidRDefault="00EA3FD1" w:rsidP="00EA3FD1">
      <w:pPr>
        <w:spacing w:line="360" w:lineRule="auto"/>
        <w:jc w:val="center"/>
        <w:rPr>
          <w:rFonts w:ascii="宋体" w:hAnsi="宋体"/>
          <w:b/>
          <w:bCs/>
          <w:sz w:val="28"/>
          <w:szCs w:val="28"/>
        </w:rPr>
      </w:pPr>
      <w:r w:rsidRPr="003A50DE">
        <w:rPr>
          <w:rFonts w:ascii="宋体" w:hAnsi="宋体" w:hint="eastAsia"/>
          <w:b/>
          <w:bCs/>
          <w:sz w:val="28"/>
          <w:szCs w:val="28"/>
        </w:rPr>
        <w:lastRenderedPageBreak/>
        <w:t>目录</w:t>
      </w:r>
    </w:p>
    <w:p w14:paraId="38D1601B" w14:textId="77777777" w:rsidR="00EA3FD1" w:rsidRPr="003A50DE" w:rsidRDefault="00EA3FD1" w:rsidP="00EA3FD1">
      <w:pPr>
        <w:spacing w:line="360" w:lineRule="auto"/>
        <w:ind w:firstLineChars="200" w:firstLine="562"/>
        <w:jc w:val="center"/>
        <w:rPr>
          <w:rFonts w:ascii="宋体" w:hAnsi="宋体"/>
          <w:b/>
          <w:bCs/>
          <w:sz w:val="28"/>
          <w:szCs w:val="28"/>
        </w:rPr>
      </w:pPr>
    </w:p>
    <w:p w14:paraId="5360C2A6" w14:textId="2F56E1FF" w:rsidR="00EA3FD1" w:rsidRPr="003A50DE" w:rsidRDefault="00EA3FD1" w:rsidP="00EA3FD1">
      <w:pPr>
        <w:pStyle w:val="11"/>
        <w:rPr>
          <w:rFonts w:cstheme="minorBidi"/>
          <w:noProof/>
          <w:sz w:val="21"/>
          <w:szCs w:val="22"/>
        </w:rPr>
      </w:pPr>
      <w:r w:rsidRPr="003A50DE">
        <w:rPr>
          <w:b/>
          <w:sz w:val="28"/>
          <w:szCs w:val="28"/>
        </w:rPr>
        <w:fldChar w:fldCharType="begin"/>
      </w:r>
      <w:r w:rsidRPr="003A50DE">
        <w:rPr>
          <w:b/>
          <w:sz w:val="28"/>
          <w:szCs w:val="28"/>
        </w:rPr>
        <w:instrText xml:space="preserve"> </w:instrText>
      </w:r>
      <w:r w:rsidRPr="003A50DE">
        <w:rPr>
          <w:rFonts w:hint="eastAsia"/>
          <w:b/>
          <w:sz w:val="28"/>
          <w:szCs w:val="28"/>
        </w:rPr>
        <w:instrText>TOC \o "1-1" \h \z \u</w:instrText>
      </w:r>
      <w:r w:rsidRPr="003A50DE">
        <w:rPr>
          <w:b/>
          <w:sz w:val="28"/>
          <w:szCs w:val="28"/>
        </w:rPr>
        <w:instrText xml:space="preserve"> </w:instrText>
      </w:r>
      <w:r w:rsidRPr="003A50DE">
        <w:rPr>
          <w:b/>
          <w:sz w:val="28"/>
          <w:szCs w:val="28"/>
        </w:rPr>
        <w:fldChar w:fldCharType="separate"/>
      </w:r>
      <w:hyperlink w:anchor="_Toc44321700" w:history="1">
        <w:r w:rsidRPr="003A50DE">
          <w:rPr>
            <w:rStyle w:val="af7"/>
            <w:rFonts w:hint="eastAsia"/>
            <w:bCs/>
            <w:noProof/>
          </w:rPr>
          <w:t>第一条</w:t>
        </w:r>
        <w:r w:rsidRPr="003A50DE">
          <w:rPr>
            <w:rStyle w:val="af7"/>
            <w:bCs/>
            <w:noProof/>
          </w:rPr>
          <w:t xml:space="preserve"> </w:t>
        </w:r>
        <w:r w:rsidRPr="003A50DE">
          <w:rPr>
            <w:rStyle w:val="af7"/>
            <w:rFonts w:hint="eastAsia"/>
            <w:bCs/>
            <w:noProof/>
          </w:rPr>
          <w:t>本协议当事人</w:t>
        </w:r>
        <w:r w:rsidRPr="003A50DE">
          <w:rPr>
            <w:noProof/>
          </w:rPr>
          <w:tab/>
        </w:r>
        <w:r w:rsidRPr="003A50DE">
          <w:rPr>
            <w:noProof/>
          </w:rPr>
          <w:fldChar w:fldCharType="begin"/>
        </w:r>
        <w:r w:rsidRPr="003A50DE">
          <w:rPr>
            <w:noProof/>
          </w:rPr>
          <w:instrText xml:space="preserve"> PAGEREF _Toc44321700 \h </w:instrText>
        </w:r>
        <w:r w:rsidRPr="003A50DE">
          <w:rPr>
            <w:noProof/>
          </w:rPr>
        </w:r>
        <w:r w:rsidRPr="003A50DE">
          <w:rPr>
            <w:noProof/>
          </w:rPr>
          <w:fldChar w:fldCharType="separate"/>
        </w:r>
        <w:r w:rsidR="00FE7551">
          <w:rPr>
            <w:noProof/>
          </w:rPr>
          <w:t>4</w:t>
        </w:r>
        <w:r w:rsidRPr="003A50DE">
          <w:rPr>
            <w:noProof/>
          </w:rPr>
          <w:fldChar w:fldCharType="end"/>
        </w:r>
      </w:hyperlink>
    </w:p>
    <w:p w14:paraId="42184826" w14:textId="40E35EB9" w:rsidR="00EA3FD1" w:rsidRPr="003A50DE" w:rsidRDefault="004541D2" w:rsidP="00EA3FD1">
      <w:pPr>
        <w:pStyle w:val="11"/>
        <w:rPr>
          <w:rFonts w:cstheme="minorBidi"/>
          <w:noProof/>
          <w:sz w:val="21"/>
          <w:szCs w:val="22"/>
        </w:rPr>
      </w:pPr>
      <w:hyperlink w:anchor="_Toc44321701" w:history="1">
        <w:r w:rsidR="00EA3FD1" w:rsidRPr="003A50DE">
          <w:rPr>
            <w:rStyle w:val="af7"/>
            <w:rFonts w:hint="eastAsia"/>
            <w:bCs/>
            <w:noProof/>
          </w:rPr>
          <w:t>第二条</w:t>
        </w:r>
        <w:r w:rsidR="00EA3FD1" w:rsidRPr="003A50DE">
          <w:rPr>
            <w:rStyle w:val="af7"/>
            <w:bCs/>
            <w:noProof/>
          </w:rPr>
          <w:t xml:space="preserve"> </w:t>
        </w:r>
        <w:r w:rsidR="00EA3FD1" w:rsidRPr="003A50DE">
          <w:rPr>
            <w:rStyle w:val="af7"/>
            <w:rFonts w:hint="eastAsia"/>
            <w:bCs/>
            <w:noProof/>
          </w:rPr>
          <w:t>本协议的依据、目的和原则</w:t>
        </w:r>
        <w:r w:rsidR="00EA3FD1" w:rsidRPr="003A50DE">
          <w:rPr>
            <w:noProof/>
          </w:rPr>
          <w:tab/>
        </w:r>
        <w:r w:rsidR="00EA3FD1" w:rsidRPr="003A50DE">
          <w:rPr>
            <w:noProof/>
          </w:rPr>
          <w:fldChar w:fldCharType="begin"/>
        </w:r>
        <w:r w:rsidR="00EA3FD1" w:rsidRPr="003A50DE">
          <w:rPr>
            <w:noProof/>
          </w:rPr>
          <w:instrText xml:space="preserve"> PAGEREF _Toc44321701 \h </w:instrText>
        </w:r>
        <w:r w:rsidR="00EA3FD1" w:rsidRPr="003A50DE">
          <w:rPr>
            <w:noProof/>
          </w:rPr>
        </w:r>
        <w:r w:rsidR="00EA3FD1" w:rsidRPr="003A50DE">
          <w:rPr>
            <w:noProof/>
          </w:rPr>
          <w:fldChar w:fldCharType="separate"/>
        </w:r>
        <w:r w:rsidR="00FE7551">
          <w:rPr>
            <w:noProof/>
          </w:rPr>
          <w:t>5</w:t>
        </w:r>
        <w:r w:rsidR="00EA3FD1" w:rsidRPr="003A50DE">
          <w:rPr>
            <w:noProof/>
          </w:rPr>
          <w:fldChar w:fldCharType="end"/>
        </w:r>
      </w:hyperlink>
    </w:p>
    <w:p w14:paraId="3894BE96" w14:textId="68C475A4" w:rsidR="00EA3FD1" w:rsidRPr="003A50DE" w:rsidRDefault="004541D2" w:rsidP="00EA3FD1">
      <w:pPr>
        <w:pStyle w:val="11"/>
        <w:rPr>
          <w:rFonts w:cstheme="minorBidi"/>
          <w:noProof/>
          <w:sz w:val="21"/>
          <w:szCs w:val="22"/>
        </w:rPr>
      </w:pPr>
      <w:hyperlink w:anchor="_Toc44321702" w:history="1">
        <w:r w:rsidR="00EA3FD1" w:rsidRPr="003A50DE">
          <w:rPr>
            <w:rStyle w:val="af7"/>
            <w:rFonts w:hint="eastAsia"/>
            <w:bCs/>
            <w:noProof/>
          </w:rPr>
          <w:t>第三条</w:t>
        </w:r>
        <w:r w:rsidR="00EA3FD1" w:rsidRPr="003A50DE">
          <w:rPr>
            <w:rStyle w:val="af7"/>
            <w:bCs/>
            <w:noProof/>
          </w:rPr>
          <w:t xml:space="preserve"> </w:t>
        </w:r>
        <w:r w:rsidR="00EA3FD1" w:rsidRPr="003A50DE">
          <w:rPr>
            <w:rStyle w:val="af7"/>
            <w:rFonts w:hint="eastAsia"/>
            <w:bCs/>
            <w:noProof/>
          </w:rPr>
          <w:t>基金托管人对基金管理人的业务监督和核查</w:t>
        </w:r>
        <w:r w:rsidR="00EA3FD1" w:rsidRPr="003A50DE">
          <w:rPr>
            <w:noProof/>
          </w:rPr>
          <w:tab/>
        </w:r>
        <w:r w:rsidR="00EA3FD1" w:rsidRPr="003A50DE">
          <w:rPr>
            <w:noProof/>
          </w:rPr>
          <w:fldChar w:fldCharType="begin"/>
        </w:r>
        <w:r w:rsidR="00EA3FD1" w:rsidRPr="003A50DE">
          <w:rPr>
            <w:noProof/>
          </w:rPr>
          <w:instrText xml:space="preserve"> PAGEREF _Toc44321702 \h </w:instrText>
        </w:r>
        <w:r w:rsidR="00EA3FD1" w:rsidRPr="003A50DE">
          <w:rPr>
            <w:noProof/>
          </w:rPr>
        </w:r>
        <w:r w:rsidR="00EA3FD1" w:rsidRPr="003A50DE">
          <w:rPr>
            <w:noProof/>
          </w:rPr>
          <w:fldChar w:fldCharType="separate"/>
        </w:r>
        <w:r w:rsidR="00FE7551">
          <w:rPr>
            <w:noProof/>
          </w:rPr>
          <w:t>5</w:t>
        </w:r>
        <w:r w:rsidR="00EA3FD1" w:rsidRPr="003A50DE">
          <w:rPr>
            <w:noProof/>
          </w:rPr>
          <w:fldChar w:fldCharType="end"/>
        </w:r>
      </w:hyperlink>
    </w:p>
    <w:p w14:paraId="3D603FBB" w14:textId="04E685E9" w:rsidR="00EA3FD1" w:rsidRPr="003A50DE" w:rsidRDefault="004541D2" w:rsidP="00EA3FD1">
      <w:pPr>
        <w:pStyle w:val="11"/>
        <w:rPr>
          <w:rFonts w:cstheme="minorBidi"/>
          <w:noProof/>
          <w:sz w:val="21"/>
          <w:szCs w:val="22"/>
        </w:rPr>
      </w:pPr>
      <w:hyperlink w:anchor="_Toc44321703" w:history="1">
        <w:r w:rsidR="00EA3FD1" w:rsidRPr="003A50DE">
          <w:rPr>
            <w:rStyle w:val="af7"/>
            <w:rFonts w:hint="eastAsia"/>
            <w:bCs/>
            <w:noProof/>
          </w:rPr>
          <w:t>第四条</w:t>
        </w:r>
        <w:r w:rsidR="00EA3FD1" w:rsidRPr="003A50DE">
          <w:rPr>
            <w:rStyle w:val="af7"/>
            <w:bCs/>
            <w:noProof/>
          </w:rPr>
          <w:t xml:space="preserve"> </w:t>
        </w:r>
        <w:r w:rsidR="00EA3FD1" w:rsidRPr="003A50DE">
          <w:rPr>
            <w:rStyle w:val="af7"/>
            <w:rFonts w:hint="eastAsia"/>
            <w:bCs/>
            <w:noProof/>
          </w:rPr>
          <w:t>基金管理人对基金托管人的业务核查</w:t>
        </w:r>
        <w:r w:rsidR="00EA3FD1" w:rsidRPr="003A50DE">
          <w:rPr>
            <w:noProof/>
          </w:rPr>
          <w:tab/>
        </w:r>
        <w:r w:rsidR="00EA3FD1" w:rsidRPr="003A50DE">
          <w:rPr>
            <w:noProof/>
          </w:rPr>
          <w:fldChar w:fldCharType="begin"/>
        </w:r>
        <w:r w:rsidR="00EA3FD1" w:rsidRPr="003A50DE">
          <w:rPr>
            <w:noProof/>
          </w:rPr>
          <w:instrText xml:space="preserve"> PAGEREF _Toc44321703 \h </w:instrText>
        </w:r>
        <w:r w:rsidR="00EA3FD1" w:rsidRPr="003A50DE">
          <w:rPr>
            <w:noProof/>
          </w:rPr>
        </w:r>
        <w:r w:rsidR="00EA3FD1" w:rsidRPr="003A50DE">
          <w:rPr>
            <w:noProof/>
          </w:rPr>
          <w:fldChar w:fldCharType="separate"/>
        </w:r>
        <w:r w:rsidR="00FE7551">
          <w:rPr>
            <w:noProof/>
          </w:rPr>
          <w:t>14</w:t>
        </w:r>
        <w:r w:rsidR="00EA3FD1" w:rsidRPr="003A50DE">
          <w:rPr>
            <w:noProof/>
          </w:rPr>
          <w:fldChar w:fldCharType="end"/>
        </w:r>
      </w:hyperlink>
    </w:p>
    <w:p w14:paraId="3079CE76" w14:textId="74DC1228" w:rsidR="00EA3FD1" w:rsidRPr="003A50DE" w:rsidRDefault="004541D2" w:rsidP="00EA3FD1">
      <w:pPr>
        <w:pStyle w:val="11"/>
        <w:rPr>
          <w:rFonts w:cstheme="minorBidi"/>
          <w:noProof/>
          <w:sz w:val="21"/>
          <w:szCs w:val="22"/>
        </w:rPr>
      </w:pPr>
      <w:hyperlink w:anchor="_Toc44321704" w:history="1">
        <w:r w:rsidR="00EA3FD1" w:rsidRPr="003A50DE">
          <w:rPr>
            <w:rStyle w:val="af7"/>
            <w:rFonts w:hint="eastAsia"/>
            <w:bCs/>
            <w:noProof/>
          </w:rPr>
          <w:t>第五条</w:t>
        </w:r>
        <w:r w:rsidR="00EA3FD1" w:rsidRPr="003A50DE">
          <w:rPr>
            <w:rStyle w:val="af7"/>
            <w:bCs/>
            <w:noProof/>
          </w:rPr>
          <w:t xml:space="preserve"> </w:t>
        </w:r>
        <w:r w:rsidR="00EA3FD1" w:rsidRPr="003A50DE">
          <w:rPr>
            <w:rStyle w:val="af7"/>
            <w:rFonts w:hint="eastAsia"/>
            <w:bCs/>
            <w:noProof/>
          </w:rPr>
          <w:t>基金财产保管</w:t>
        </w:r>
        <w:r w:rsidR="00EA3FD1" w:rsidRPr="003A50DE">
          <w:rPr>
            <w:noProof/>
          </w:rPr>
          <w:tab/>
        </w:r>
        <w:r w:rsidR="00EA3FD1" w:rsidRPr="003A50DE">
          <w:rPr>
            <w:noProof/>
          </w:rPr>
          <w:fldChar w:fldCharType="begin"/>
        </w:r>
        <w:r w:rsidR="00EA3FD1" w:rsidRPr="003A50DE">
          <w:rPr>
            <w:noProof/>
          </w:rPr>
          <w:instrText xml:space="preserve"> PAGEREF _Toc44321704 \h </w:instrText>
        </w:r>
        <w:r w:rsidR="00EA3FD1" w:rsidRPr="003A50DE">
          <w:rPr>
            <w:noProof/>
          </w:rPr>
        </w:r>
        <w:r w:rsidR="00EA3FD1" w:rsidRPr="003A50DE">
          <w:rPr>
            <w:noProof/>
          </w:rPr>
          <w:fldChar w:fldCharType="separate"/>
        </w:r>
        <w:r w:rsidR="00FE7551">
          <w:rPr>
            <w:noProof/>
          </w:rPr>
          <w:t>15</w:t>
        </w:r>
        <w:r w:rsidR="00EA3FD1" w:rsidRPr="003A50DE">
          <w:rPr>
            <w:noProof/>
          </w:rPr>
          <w:fldChar w:fldCharType="end"/>
        </w:r>
      </w:hyperlink>
    </w:p>
    <w:p w14:paraId="4BF2636D" w14:textId="624D7613" w:rsidR="00EA3FD1" w:rsidRPr="003A50DE" w:rsidRDefault="004541D2" w:rsidP="00EA3FD1">
      <w:pPr>
        <w:pStyle w:val="11"/>
        <w:rPr>
          <w:rFonts w:cstheme="minorBidi"/>
          <w:noProof/>
          <w:sz w:val="21"/>
          <w:szCs w:val="22"/>
        </w:rPr>
      </w:pPr>
      <w:hyperlink w:anchor="_Toc44321705" w:history="1">
        <w:r w:rsidR="00EA3FD1" w:rsidRPr="003A50DE">
          <w:rPr>
            <w:rStyle w:val="af7"/>
            <w:rFonts w:hint="eastAsia"/>
            <w:bCs/>
            <w:noProof/>
          </w:rPr>
          <w:t>第六条</w:t>
        </w:r>
        <w:r w:rsidR="00EA3FD1" w:rsidRPr="003A50DE">
          <w:rPr>
            <w:rStyle w:val="af7"/>
            <w:bCs/>
            <w:noProof/>
          </w:rPr>
          <w:t xml:space="preserve"> </w:t>
        </w:r>
        <w:r w:rsidR="00EA3FD1" w:rsidRPr="003A50DE">
          <w:rPr>
            <w:rStyle w:val="af7"/>
            <w:rFonts w:hint="eastAsia"/>
            <w:bCs/>
            <w:noProof/>
          </w:rPr>
          <w:t>指令的发送、确认和执行</w:t>
        </w:r>
        <w:r w:rsidR="00EA3FD1" w:rsidRPr="003A50DE">
          <w:rPr>
            <w:noProof/>
          </w:rPr>
          <w:tab/>
        </w:r>
        <w:r w:rsidR="00EA3FD1" w:rsidRPr="003A50DE">
          <w:rPr>
            <w:noProof/>
          </w:rPr>
          <w:fldChar w:fldCharType="begin"/>
        </w:r>
        <w:r w:rsidR="00EA3FD1" w:rsidRPr="003A50DE">
          <w:rPr>
            <w:noProof/>
          </w:rPr>
          <w:instrText xml:space="preserve"> PAGEREF _Toc44321705 \h </w:instrText>
        </w:r>
        <w:r w:rsidR="00EA3FD1" w:rsidRPr="003A50DE">
          <w:rPr>
            <w:noProof/>
          </w:rPr>
        </w:r>
        <w:r w:rsidR="00EA3FD1" w:rsidRPr="003A50DE">
          <w:rPr>
            <w:noProof/>
          </w:rPr>
          <w:fldChar w:fldCharType="separate"/>
        </w:r>
        <w:r w:rsidR="00FE7551">
          <w:rPr>
            <w:noProof/>
          </w:rPr>
          <w:t>17</w:t>
        </w:r>
        <w:r w:rsidR="00EA3FD1" w:rsidRPr="003A50DE">
          <w:rPr>
            <w:noProof/>
          </w:rPr>
          <w:fldChar w:fldCharType="end"/>
        </w:r>
      </w:hyperlink>
    </w:p>
    <w:p w14:paraId="2CDD2F48" w14:textId="6F1703A0" w:rsidR="00EA3FD1" w:rsidRPr="003A50DE" w:rsidRDefault="004541D2" w:rsidP="00EA3FD1">
      <w:pPr>
        <w:pStyle w:val="11"/>
        <w:rPr>
          <w:rFonts w:cstheme="minorBidi"/>
          <w:noProof/>
          <w:sz w:val="21"/>
          <w:szCs w:val="22"/>
        </w:rPr>
      </w:pPr>
      <w:hyperlink w:anchor="_Toc44321706" w:history="1">
        <w:r w:rsidR="00EA3FD1" w:rsidRPr="003A50DE">
          <w:rPr>
            <w:rStyle w:val="af7"/>
            <w:rFonts w:hint="eastAsia"/>
            <w:bCs/>
            <w:noProof/>
          </w:rPr>
          <w:t>第七条</w:t>
        </w:r>
        <w:r w:rsidR="00EA3FD1" w:rsidRPr="003A50DE">
          <w:rPr>
            <w:rStyle w:val="af7"/>
            <w:bCs/>
            <w:noProof/>
          </w:rPr>
          <w:t xml:space="preserve"> </w:t>
        </w:r>
        <w:r w:rsidR="00EA3FD1" w:rsidRPr="003A50DE">
          <w:rPr>
            <w:rStyle w:val="af7"/>
            <w:rFonts w:hint="eastAsia"/>
            <w:bCs/>
            <w:noProof/>
          </w:rPr>
          <w:t>交易及清算交收安排</w:t>
        </w:r>
        <w:r w:rsidR="00EA3FD1" w:rsidRPr="003A50DE">
          <w:rPr>
            <w:noProof/>
          </w:rPr>
          <w:tab/>
        </w:r>
        <w:r w:rsidR="00EA3FD1" w:rsidRPr="003A50DE">
          <w:rPr>
            <w:noProof/>
          </w:rPr>
          <w:fldChar w:fldCharType="begin"/>
        </w:r>
        <w:r w:rsidR="00EA3FD1" w:rsidRPr="003A50DE">
          <w:rPr>
            <w:noProof/>
          </w:rPr>
          <w:instrText xml:space="preserve"> PAGEREF _Toc44321706 \h </w:instrText>
        </w:r>
        <w:r w:rsidR="00EA3FD1" w:rsidRPr="003A50DE">
          <w:rPr>
            <w:noProof/>
          </w:rPr>
        </w:r>
        <w:r w:rsidR="00EA3FD1" w:rsidRPr="003A50DE">
          <w:rPr>
            <w:noProof/>
          </w:rPr>
          <w:fldChar w:fldCharType="separate"/>
        </w:r>
        <w:r w:rsidR="00FE7551">
          <w:rPr>
            <w:noProof/>
          </w:rPr>
          <w:t>21</w:t>
        </w:r>
        <w:r w:rsidR="00EA3FD1" w:rsidRPr="003A50DE">
          <w:rPr>
            <w:noProof/>
          </w:rPr>
          <w:fldChar w:fldCharType="end"/>
        </w:r>
      </w:hyperlink>
    </w:p>
    <w:p w14:paraId="3C6B9919" w14:textId="0C987095" w:rsidR="00EA3FD1" w:rsidRPr="003A50DE" w:rsidRDefault="004541D2" w:rsidP="00EA3FD1">
      <w:pPr>
        <w:pStyle w:val="11"/>
        <w:rPr>
          <w:rFonts w:cstheme="minorBidi"/>
          <w:noProof/>
          <w:sz w:val="21"/>
          <w:szCs w:val="22"/>
        </w:rPr>
      </w:pPr>
      <w:hyperlink w:anchor="_Toc44321707" w:history="1">
        <w:r w:rsidR="00EA3FD1" w:rsidRPr="003A50DE">
          <w:rPr>
            <w:rStyle w:val="af7"/>
            <w:rFonts w:hint="eastAsia"/>
            <w:bCs/>
            <w:noProof/>
          </w:rPr>
          <w:t>第八条</w:t>
        </w:r>
        <w:r w:rsidR="00EA3FD1" w:rsidRPr="003A50DE">
          <w:rPr>
            <w:rStyle w:val="af7"/>
            <w:bCs/>
            <w:noProof/>
          </w:rPr>
          <w:t xml:space="preserve"> </w:t>
        </w:r>
        <w:r w:rsidR="00EA3FD1" w:rsidRPr="003A50DE">
          <w:rPr>
            <w:rStyle w:val="af7"/>
            <w:rFonts w:hint="eastAsia"/>
            <w:bCs/>
            <w:noProof/>
          </w:rPr>
          <w:t>基金净值计算和会计核算</w:t>
        </w:r>
        <w:r w:rsidR="00EA3FD1" w:rsidRPr="003A50DE">
          <w:rPr>
            <w:noProof/>
          </w:rPr>
          <w:tab/>
        </w:r>
        <w:r w:rsidR="00EA3FD1" w:rsidRPr="003A50DE">
          <w:rPr>
            <w:noProof/>
          </w:rPr>
          <w:fldChar w:fldCharType="begin"/>
        </w:r>
        <w:r w:rsidR="00EA3FD1" w:rsidRPr="003A50DE">
          <w:rPr>
            <w:noProof/>
          </w:rPr>
          <w:instrText xml:space="preserve"> PAGEREF _Toc44321707 \h </w:instrText>
        </w:r>
        <w:r w:rsidR="00EA3FD1" w:rsidRPr="003A50DE">
          <w:rPr>
            <w:noProof/>
          </w:rPr>
        </w:r>
        <w:r w:rsidR="00EA3FD1" w:rsidRPr="003A50DE">
          <w:rPr>
            <w:noProof/>
          </w:rPr>
          <w:fldChar w:fldCharType="separate"/>
        </w:r>
        <w:r w:rsidR="00FE7551">
          <w:rPr>
            <w:noProof/>
          </w:rPr>
          <w:t>23</w:t>
        </w:r>
        <w:r w:rsidR="00EA3FD1" w:rsidRPr="003A50DE">
          <w:rPr>
            <w:noProof/>
          </w:rPr>
          <w:fldChar w:fldCharType="end"/>
        </w:r>
      </w:hyperlink>
    </w:p>
    <w:p w14:paraId="06DD39EA" w14:textId="26047F5B" w:rsidR="00EA3FD1" w:rsidRPr="003A50DE" w:rsidRDefault="004541D2" w:rsidP="00EA3FD1">
      <w:pPr>
        <w:pStyle w:val="11"/>
        <w:rPr>
          <w:rFonts w:cstheme="minorBidi"/>
          <w:noProof/>
          <w:sz w:val="21"/>
          <w:szCs w:val="22"/>
        </w:rPr>
      </w:pPr>
      <w:hyperlink w:anchor="_Toc44321708" w:history="1">
        <w:r w:rsidR="00EA3FD1" w:rsidRPr="003A50DE">
          <w:rPr>
            <w:rStyle w:val="af7"/>
            <w:rFonts w:hint="eastAsia"/>
            <w:bCs/>
            <w:noProof/>
          </w:rPr>
          <w:t>第九条</w:t>
        </w:r>
        <w:r w:rsidR="00EA3FD1" w:rsidRPr="003A50DE">
          <w:rPr>
            <w:rStyle w:val="af7"/>
            <w:bCs/>
            <w:noProof/>
          </w:rPr>
          <w:t xml:space="preserve"> </w:t>
        </w:r>
        <w:r w:rsidR="00EA3FD1" w:rsidRPr="003A50DE">
          <w:rPr>
            <w:rStyle w:val="af7"/>
            <w:rFonts w:hint="eastAsia"/>
            <w:bCs/>
            <w:noProof/>
          </w:rPr>
          <w:t>基金收益分配</w:t>
        </w:r>
        <w:r w:rsidR="00EA3FD1" w:rsidRPr="003A50DE">
          <w:rPr>
            <w:noProof/>
          </w:rPr>
          <w:tab/>
        </w:r>
        <w:r w:rsidR="00EA3FD1" w:rsidRPr="003A50DE">
          <w:rPr>
            <w:noProof/>
          </w:rPr>
          <w:fldChar w:fldCharType="begin"/>
        </w:r>
        <w:r w:rsidR="00EA3FD1" w:rsidRPr="003A50DE">
          <w:rPr>
            <w:noProof/>
          </w:rPr>
          <w:instrText xml:space="preserve"> PAGEREF _Toc44321708 \h </w:instrText>
        </w:r>
        <w:r w:rsidR="00EA3FD1" w:rsidRPr="003A50DE">
          <w:rPr>
            <w:noProof/>
          </w:rPr>
        </w:r>
        <w:r w:rsidR="00EA3FD1" w:rsidRPr="003A50DE">
          <w:rPr>
            <w:noProof/>
          </w:rPr>
          <w:fldChar w:fldCharType="separate"/>
        </w:r>
        <w:r w:rsidR="00FE7551">
          <w:rPr>
            <w:noProof/>
          </w:rPr>
          <w:t>29</w:t>
        </w:r>
        <w:r w:rsidR="00EA3FD1" w:rsidRPr="003A50DE">
          <w:rPr>
            <w:noProof/>
          </w:rPr>
          <w:fldChar w:fldCharType="end"/>
        </w:r>
      </w:hyperlink>
    </w:p>
    <w:p w14:paraId="700373B6" w14:textId="79D88F4C" w:rsidR="00EA3FD1" w:rsidRPr="003A50DE" w:rsidRDefault="004541D2" w:rsidP="00EA3FD1">
      <w:pPr>
        <w:pStyle w:val="11"/>
        <w:rPr>
          <w:rFonts w:cstheme="minorBidi"/>
          <w:noProof/>
          <w:sz w:val="21"/>
          <w:szCs w:val="22"/>
        </w:rPr>
      </w:pPr>
      <w:hyperlink w:anchor="_Toc44321709" w:history="1">
        <w:r w:rsidR="00EA3FD1" w:rsidRPr="003A50DE">
          <w:rPr>
            <w:rStyle w:val="af7"/>
            <w:rFonts w:hint="eastAsia"/>
            <w:bCs/>
            <w:noProof/>
          </w:rPr>
          <w:t>第十条</w:t>
        </w:r>
        <w:r w:rsidR="00EA3FD1" w:rsidRPr="003A50DE">
          <w:rPr>
            <w:rStyle w:val="af7"/>
            <w:bCs/>
            <w:noProof/>
          </w:rPr>
          <w:t xml:space="preserve"> </w:t>
        </w:r>
        <w:r w:rsidR="00EA3FD1" w:rsidRPr="003A50DE">
          <w:rPr>
            <w:rStyle w:val="af7"/>
            <w:rFonts w:hint="eastAsia"/>
            <w:bCs/>
            <w:noProof/>
          </w:rPr>
          <w:t>信息披露</w:t>
        </w:r>
        <w:r w:rsidR="00EA3FD1" w:rsidRPr="003A50DE">
          <w:rPr>
            <w:noProof/>
          </w:rPr>
          <w:tab/>
        </w:r>
        <w:r w:rsidR="00EA3FD1" w:rsidRPr="003A50DE">
          <w:rPr>
            <w:noProof/>
          </w:rPr>
          <w:fldChar w:fldCharType="begin"/>
        </w:r>
        <w:r w:rsidR="00EA3FD1" w:rsidRPr="003A50DE">
          <w:rPr>
            <w:noProof/>
          </w:rPr>
          <w:instrText xml:space="preserve"> PAGEREF _Toc44321709 \h </w:instrText>
        </w:r>
        <w:r w:rsidR="00EA3FD1" w:rsidRPr="003A50DE">
          <w:rPr>
            <w:noProof/>
          </w:rPr>
        </w:r>
        <w:r w:rsidR="00EA3FD1" w:rsidRPr="003A50DE">
          <w:rPr>
            <w:noProof/>
          </w:rPr>
          <w:fldChar w:fldCharType="separate"/>
        </w:r>
        <w:r w:rsidR="00FE7551">
          <w:rPr>
            <w:noProof/>
          </w:rPr>
          <w:t>31</w:t>
        </w:r>
        <w:r w:rsidR="00EA3FD1" w:rsidRPr="003A50DE">
          <w:rPr>
            <w:noProof/>
          </w:rPr>
          <w:fldChar w:fldCharType="end"/>
        </w:r>
      </w:hyperlink>
    </w:p>
    <w:p w14:paraId="4F7B05AD" w14:textId="09D23D50" w:rsidR="00EA3FD1" w:rsidRPr="003A50DE" w:rsidRDefault="004541D2" w:rsidP="00EA3FD1">
      <w:pPr>
        <w:pStyle w:val="11"/>
        <w:rPr>
          <w:rFonts w:cstheme="minorBidi"/>
          <w:noProof/>
          <w:sz w:val="21"/>
          <w:szCs w:val="22"/>
        </w:rPr>
      </w:pPr>
      <w:hyperlink w:anchor="_Toc44321710" w:history="1">
        <w:r w:rsidR="00EA3FD1" w:rsidRPr="003A50DE">
          <w:rPr>
            <w:rStyle w:val="af7"/>
            <w:rFonts w:hint="eastAsia"/>
            <w:bCs/>
            <w:noProof/>
          </w:rPr>
          <w:t>第十一条</w:t>
        </w:r>
        <w:r w:rsidR="00EA3FD1" w:rsidRPr="003A50DE">
          <w:rPr>
            <w:rStyle w:val="af7"/>
            <w:bCs/>
            <w:noProof/>
          </w:rPr>
          <w:t xml:space="preserve"> </w:t>
        </w:r>
        <w:r w:rsidR="00EA3FD1" w:rsidRPr="003A50DE">
          <w:rPr>
            <w:rStyle w:val="af7"/>
            <w:rFonts w:hint="eastAsia"/>
            <w:bCs/>
            <w:noProof/>
          </w:rPr>
          <w:t>基金费用</w:t>
        </w:r>
        <w:r w:rsidR="00EA3FD1" w:rsidRPr="003A50DE">
          <w:rPr>
            <w:noProof/>
          </w:rPr>
          <w:tab/>
        </w:r>
        <w:r w:rsidR="00EA3FD1" w:rsidRPr="003A50DE">
          <w:rPr>
            <w:noProof/>
          </w:rPr>
          <w:fldChar w:fldCharType="begin"/>
        </w:r>
        <w:r w:rsidR="00EA3FD1" w:rsidRPr="003A50DE">
          <w:rPr>
            <w:noProof/>
          </w:rPr>
          <w:instrText xml:space="preserve"> PAGEREF _Toc44321710 \h </w:instrText>
        </w:r>
        <w:r w:rsidR="00EA3FD1" w:rsidRPr="003A50DE">
          <w:rPr>
            <w:noProof/>
          </w:rPr>
        </w:r>
        <w:r w:rsidR="00EA3FD1" w:rsidRPr="003A50DE">
          <w:rPr>
            <w:noProof/>
          </w:rPr>
          <w:fldChar w:fldCharType="separate"/>
        </w:r>
        <w:r w:rsidR="00FE7551">
          <w:rPr>
            <w:noProof/>
          </w:rPr>
          <w:t>32</w:t>
        </w:r>
        <w:r w:rsidR="00EA3FD1" w:rsidRPr="003A50DE">
          <w:rPr>
            <w:noProof/>
          </w:rPr>
          <w:fldChar w:fldCharType="end"/>
        </w:r>
      </w:hyperlink>
    </w:p>
    <w:p w14:paraId="3D95A1BA" w14:textId="4F88D373" w:rsidR="00EA3FD1" w:rsidRPr="003A50DE" w:rsidRDefault="004541D2" w:rsidP="00EA3FD1">
      <w:pPr>
        <w:pStyle w:val="11"/>
        <w:rPr>
          <w:rFonts w:cstheme="minorBidi"/>
          <w:noProof/>
          <w:sz w:val="21"/>
          <w:szCs w:val="22"/>
        </w:rPr>
      </w:pPr>
      <w:hyperlink w:anchor="_Toc44321711" w:history="1">
        <w:r w:rsidR="00EA3FD1" w:rsidRPr="003A50DE">
          <w:rPr>
            <w:rStyle w:val="af7"/>
            <w:rFonts w:hint="eastAsia"/>
            <w:bCs/>
            <w:noProof/>
          </w:rPr>
          <w:t>第十二条</w:t>
        </w:r>
        <w:r w:rsidR="00EA3FD1" w:rsidRPr="003A50DE">
          <w:rPr>
            <w:rStyle w:val="af7"/>
            <w:bCs/>
            <w:noProof/>
          </w:rPr>
          <w:t xml:space="preserve"> </w:t>
        </w:r>
        <w:r w:rsidR="00EA3FD1" w:rsidRPr="003A50DE">
          <w:rPr>
            <w:rStyle w:val="af7"/>
            <w:rFonts w:hint="eastAsia"/>
            <w:bCs/>
            <w:noProof/>
          </w:rPr>
          <w:t>基金份额持有人名册的保管</w:t>
        </w:r>
        <w:r w:rsidR="00EA3FD1" w:rsidRPr="003A50DE">
          <w:rPr>
            <w:noProof/>
          </w:rPr>
          <w:tab/>
        </w:r>
        <w:r w:rsidR="00EA3FD1" w:rsidRPr="003A50DE">
          <w:rPr>
            <w:noProof/>
          </w:rPr>
          <w:fldChar w:fldCharType="begin"/>
        </w:r>
        <w:r w:rsidR="00EA3FD1" w:rsidRPr="003A50DE">
          <w:rPr>
            <w:noProof/>
          </w:rPr>
          <w:instrText xml:space="preserve"> PAGEREF _Toc44321711 \h </w:instrText>
        </w:r>
        <w:r w:rsidR="00EA3FD1" w:rsidRPr="003A50DE">
          <w:rPr>
            <w:noProof/>
          </w:rPr>
        </w:r>
        <w:r w:rsidR="00EA3FD1" w:rsidRPr="003A50DE">
          <w:rPr>
            <w:noProof/>
          </w:rPr>
          <w:fldChar w:fldCharType="separate"/>
        </w:r>
        <w:r w:rsidR="00FE7551">
          <w:rPr>
            <w:noProof/>
          </w:rPr>
          <w:t>34</w:t>
        </w:r>
        <w:r w:rsidR="00EA3FD1" w:rsidRPr="003A50DE">
          <w:rPr>
            <w:noProof/>
          </w:rPr>
          <w:fldChar w:fldCharType="end"/>
        </w:r>
      </w:hyperlink>
    </w:p>
    <w:p w14:paraId="306A3B48" w14:textId="50A659FC" w:rsidR="00EA3FD1" w:rsidRPr="003A50DE" w:rsidRDefault="004541D2" w:rsidP="00EA3FD1">
      <w:pPr>
        <w:pStyle w:val="11"/>
        <w:rPr>
          <w:rFonts w:cstheme="minorBidi"/>
          <w:noProof/>
          <w:sz w:val="21"/>
          <w:szCs w:val="22"/>
        </w:rPr>
      </w:pPr>
      <w:hyperlink w:anchor="_Toc44321712" w:history="1">
        <w:r w:rsidR="00EA3FD1" w:rsidRPr="003A50DE">
          <w:rPr>
            <w:rStyle w:val="af7"/>
            <w:rFonts w:hint="eastAsia"/>
            <w:bCs/>
            <w:noProof/>
          </w:rPr>
          <w:t>第十三条</w:t>
        </w:r>
        <w:r w:rsidR="00EA3FD1" w:rsidRPr="003A50DE">
          <w:rPr>
            <w:rStyle w:val="af7"/>
            <w:bCs/>
            <w:noProof/>
          </w:rPr>
          <w:t xml:space="preserve"> </w:t>
        </w:r>
        <w:r w:rsidR="00EA3FD1" w:rsidRPr="003A50DE">
          <w:rPr>
            <w:rStyle w:val="af7"/>
            <w:rFonts w:hint="eastAsia"/>
            <w:bCs/>
            <w:noProof/>
          </w:rPr>
          <w:t>基金有关文件和档案的保存</w:t>
        </w:r>
        <w:r w:rsidR="00EA3FD1" w:rsidRPr="003A50DE">
          <w:rPr>
            <w:noProof/>
          </w:rPr>
          <w:tab/>
        </w:r>
        <w:r w:rsidR="00EA3FD1" w:rsidRPr="003A50DE">
          <w:rPr>
            <w:noProof/>
          </w:rPr>
          <w:fldChar w:fldCharType="begin"/>
        </w:r>
        <w:r w:rsidR="00EA3FD1" w:rsidRPr="003A50DE">
          <w:rPr>
            <w:noProof/>
          </w:rPr>
          <w:instrText xml:space="preserve"> PAGEREF _Toc44321712 \h </w:instrText>
        </w:r>
        <w:r w:rsidR="00EA3FD1" w:rsidRPr="003A50DE">
          <w:rPr>
            <w:noProof/>
          </w:rPr>
        </w:r>
        <w:r w:rsidR="00EA3FD1" w:rsidRPr="003A50DE">
          <w:rPr>
            <w:noProof/>
          </w:rPr>
          <w:fldChar w:fldCharType="separate"/>
        </w:r>
        <w:r w:rsidR="00FE7551">
          <w:rPr>
            <w:noProof/>
          </w:rPr>
          <w:t>35</w:t>
        </w:r>
        <w:r w:rsidR="00EA3FD1" w:rsidRPr="003A50DE">
          <w:rPr>
            <w:noProof/>
          </w:rPr>
          <w:fldChar w:fldCharType="end"/>
        </w:r>
      </w:hyperlink>
    </w:p>
    <w:p w14:paraId="76710368" w14:textId="775291CC" w:rsidR="00EA3FD1" w:rsidRPr="003A50DE" w:rsidRDefault="004541D2" w:rsidP="00EA3FD1">
      <w:pPr>
        <w:pStyle w:val="11"/>
        <w:rPr>
          <w:rFonts w:cstheme="minorBidi"/>
          <w:noProof/>
          <w:sz w:val="21"/>
          <w:szCs w:val="22"/>
        </w:rPr>
      </w:pPr>
      <w:hyperlink w:anchor="_Toc44321713" w:history="1">
        <w:r w:rsidR="00EA3FD1" w:rsidRPr="003A50DE">
          <w:rPr>
            <w:rStyle w:val="af7"/>
            <w:rFonts w:hint="eastAsia"/>
            <w:bCs/>
            <w:noProof/>
          </w:rPr>
          <w:t>第十四条</w:t>
        </w:r>
        <w:r w:rsidR="00EA3FD1" w:rsidRPr="003A50DE">
          <w:rPr>
            <w:rStyle w:val="af7"/>
            <w:bCs/>
            <w:noProof/>
          </w:rPr>
          <w:t xml:space="preserve"> </w:t>
        </w:r>
        <w:r w:rsidR="00EA3FD1" w:rsidRPr="003A50DE">
          <w:rPr>
            <w:rStyle w:val="af7"/>
            <w:rFonts w:hint="eastAsia"/>
            <w:bCs/>
            <w:noProof/>
          </w:rPr>
          <w:t>基金管理人和基金托管人的更换</w:t>
        </w:r>
        <w:r w:rsidR="00EA3FD1" w:rsidRPr="003A50DE">
          <w:rPr>
            <w:noProof/>
          </w:rPr>
          <w:tab/>
        </w:r>
        <w:r w:rsidR="00EA3FD1" w:rsidRPr="003A50DE">
          <w:rPr>
            <w:noProof/>
          </w:rPr>
          <w:fldChar w:fldCharType="begin"/>
        </w:r>
        <w:r w:rsidR="00EA3FD1" w:rsidRPr="003A50DE">
          <w:rPr>
            <w:noProof/>
          </w:rPr>
          <w:instrText xml:space="preserve"> PAGEREF _Toc44321713 \h </w:instrText>
        </w:r>
        <w:r w:rsidR="00EA3FD1" w:rsidRPr="003A50DE">
          <w:rPr>
            <w:noProof/>
          </w:rPr>
        </w:r>
        <w:r w:rsidR="00EA3FD1" w:rsidRPr="003A50DE">
          <w:rPr>
            <w:noProof/>
          </w:rPr>
          <w:fldChar w:fldCharType="separate"/>
        </w:r>
        <w:r w:rsidR="00FE7551">
          <w:rPr>
            <w:noProof/>
          </w:rPr>
          <w:t>35</w:t>
        </w:r>
        <w:r w:rsidR="00EA3FD1" w:rsidRPr="003A50DE">
          <w:rPr>
            <w:noProof/>
          </w:rPr>
          <w:fldChar w:fldCharType="end"/>
        </w:r>
      </w:hyperlink>
    </w:p>
    <w:p w14:paraId="689CAD35" w14:textId="56EABC93" w:rsidR="00EA3FD1" w:rsidRPr="003A50DE" w:rsidRDefault="004541D2" w:rsidP="00EA3FD1">
      <w:pPr>
        <w:pStyle w:val="11"/>
        <w:rPr>
          <w:rFonts w:cstheme="minorBidi"/>
          <w:noProof/>
          <w:sz w:val="21"/>
          <w:szCs w:val="22"/>
        </w:rPr>
      </w:pPr>
      <w:hyperlink w:anchor="_Toc44321714" w:history="1">
        <w:r w:rsidR="00EA3FD1" w:rsidRPr="003A50DE">
          <w:rPr>
            <w:rStyle w:val="af7"/>
            <w:rFonts w:hint="eastAsia"/>
            <w:bCs/>
            <w:noProof/>
          </w:rPr>
          <w:t>第十五条</w:t>
        </w:r>
        <w:r w:rsidR="00EA3FD1" w:rsidRPr="003A50DE">
          <w:rPr>
            <w:rStyle w:val="af7"/>
            <w:bCs/>
            <w:noProof/>
          </w:rPr>
          <w:t xml:space="preserve"> </w:t>
        </w:r>
        <w:r w:rsidR="00EA3FD1" w:rsidRPr="003A50DE">
          <w:rPr>
            <w:rStyle w:val="af7"/>
            <w:rFonts w:hint="eastAsia"/>
            <w:bCs/>
            <w:noProof/>
          </w:rPr>
          <w:t>禁止行为</w:t>
        </w:r>
        <w:r w:rsidR="00EA3FD1" w:rsidRPr="003A50DE">
          <w:rPr>
            <w:noProof/>
          </w:rPr>
          <w:tab/>
        </w:r>
        <w:r w:rsidR="00EA3FD1" w:rsidRPr="003A50DE">
          <w:rPr>
            <w:noProof/>
          </w:rPr>
          <w:fldChar w:fldCharType="begin"/>
        </w:r>
        <w:r w:rsidR="00EA3FD1" w:rsidRPr="003A50DE">
          <w:rPr>
            <w:noProof/>
          </w:rPr>
          <w:instrText xml:space="preserve"> PAGEREF _Toc44321714 \h </w:instrText>
        </w:r>
        <w:r w:rsidR="00EA3FD1" w:rsidRPr="003A50DE">
          <w:rPr>
            <w:noProof/>
          </w:rPr>
        </w:r>
        <w:r w:rsidR="00EA3FD1" w:rsidRPr="003A50DE">
          <w:rPr>
            <w:noProof/>
          </w:rPr>
          <w:fldChar w:fldCharType="separate"/>
        </w:r>
        <w:r w:rsidR="00FE7551">
          <w:rPr>
            <w:noProof/>
          </w:rPr>
          <w:t>38</w:t>
        </w:r>
        <w:r w:rsidR="00EA3FD1" w:rsidRPr="003A50DE">
          <w:rPr>
            <w:noProof/>
          </w:rPr>
          <w:fldChar w:fldCharType="end"/>
        </w:r>
      </w:hyperlink>
    </w:p>
    <w:p w14:paraId="5DADB0FB" w14:textId="20CB94FA" w:rsidR="00EA3FD1" w:rsidRPr="003A50DE" w:rsidRDefault="004541D2" w:rsidP="00EA3FD1">
      <w:pPr>
        <w:pStyle w:val="11"/>
        <w:rPr>
          <w:rFonts w:cstheme="minorBidi"/>
          <w:noProof/>
          <w:sz w:val="21"/>
          <w:szCs w:val="22"/>
        </w:rPr>
      </w:pPr>
      <w:hyperlink w:anchor="_Toc44321715" w:history="1">
        <w:r w:rsidR="00EA3FD1" w:rsidRPr="003A50DE">
          <w:rPr>
            <w:rStyle w:val="af7"/>
            <w:rFonts w:hint="eastAsia"/>
            <w:bCs/>
            <w:noProof/>
          </w:rPr>
          <w:t>第十六条</w:t>
        </w:r>
        <w:r w:rsidR="00EA3FD1" w:rsidRPr="003A50DE">
          <w:rPr>
            <w:rStyle w:val="af7"/>
            <w:bCs/>
            <w:noProof/>
          </w:rPr>
          <w:t xml:space="preserve"> </w:t>
        </w:r>
        <w:r w:rsidR="00EA3FD1" w:rsidRPr="003A50DE">
          <w:rPr>
            <w:rStyle w:val="af7"/>
            <w:rFonts w:hint="eastAsia"/>
            <w:bCs/>
            <w:noProof/>
          </w:rPr>
          <w:t>本协议的变更、终止与基金财产的清算</w:t>
        </w:r>
        <w:r w:rsidR="00EA3FD1" w:rsidRPr="003A50DE">
          <w:rPr>
            <w:noProof/>
          </w:rPr>
          <w:tab/>
        </w:r>
        <w:r w:rsidR="00EA3FD1" w:rsidRPr="003A50DE">
          <w:rPr>
            <w:noProof/>
          </w:rPr>
          <w:fldChar w:fldCharType="begin"/>
        </w:r>
        <w:r w:rsidR="00EA3FD1" w:rsidRPr="003A50DE">
          <w:rPr>
            <w:noProof/>
          </w:rPr>
          <w:instrText xml:space="preserve"> PAGEREF _Toc44321715 \h </w:instrText>
        </w:r>
        <w:r w:rsidR="00EA3FD1" w:rsidRPr="003A50DE">
          <w:rPr>
            <w:noProof/>
          </w:rPr>
        </w:r>
        <w:r w:rsidR="00EA3FD1" w:rsidRPr="003A50DE">
          <w:rPr>
            <w:noProof/>
          </w:rPr>
          <w:fldChar w:fldCharType="separate"/>
        </w:r>
        <w:r w:rsidR="00FE7551">
          <w:rPr>
            <w:noProof/>
          </w:rPr>
          <w:t>39</w:t>
        </w:r>
        <w:r w:rsidR="00EA3FD1" w:rsidRPr="003A50DE">
          <w:rPr>
            <w:noProof/>
          </w:rPr>
          <w:fldChar w:fldCharType="end"/>
        </w:r>
      </w:hyperlink>
    </w:p>
    <w:p w14:paraId="6B6B6825" w14:textId="20C1656D" w:rsidR="00EA3FD1" w:rsidRPr="003A50DE" w:rsidRDefault="004541D2" w:rsidP="00EA3FD1">
      <w:pPr>
        <w:pStyle w:val="11"/>
        <w:rPr>
          <w:rFonts w:cstheme="minorBidi"/>
          <w:noProof/>
          <w:sz w:val="21"/>
          <w:szCs w:val="22"/>
        </w:rPr>
      </w:pPr>
      <w:hyperlink w:anchor="_Toc44321716" w:history="1">
        <w:r w:rsidR="00EA3FD1" w:rsidRPr="003A50DE">
          <w:rPr>
            <w:rStyle w:val="af7"/>
            <w:rFonts w:hint="eastAsia"/>
            <w:bCs/>
            <w:noProof/>
          </w:rPr>
          <w:t>第十七条</w:t>
        </w:r>
        <w:r w:rsidR="00EA3FD1" w:rsidRPr="003A50DE">
          <w:rPr>
            <w:rStyle w:val="af7"/>
            <w:bCs/>
            <w:noProof/>
          </w:rPr>
          <w:t xml:space="preserve"> </w:t>
        </w:r>
        <w:r w:rsidR="00EA3FD1" w:rsidRPr="003A50DE">
          <w:rPr>
            <w:rStyle w:val="af7"/>
            <w:rFonts w:hint="eastAsia"/>
            <w:bCs/>
            <w:noProof/>
          </w:rPr>
          <w:t>违约责任</w:t>
        </w:r>
        <w:r w:rsidR="00EA3FD1" w:rsidRPr="003A50DE">
          <w:rPr>
            <w:noProof/>
          </w:rPr>
          <w:tab/>
        </w:r>
        <w:r w:rsidR="00EA3FD1" w:rsidRPr="003A50DE">
          <w:rPr>
            <w:noProof/>
          </w:rPr>
          <w:fldChar w:fldCharType="begin"/>
        </w:r>
        <w:r w:rsidR="00EA3FD1" w:rsidRPr="003A50DE">
          <w:rPr>
            <w:noProof/>
          </w:rPr>
          <w:instrText xml:space="preserve"> PAGEREF _Toc44321716 \h </w:instrText>
        </w:r>
        <w:r w:rsidR="00EA3FD1" w:rsidRPr="003A50DE">
          <w:rPr>
            <w:noProof/>
          </w:rPr>
        </w:r>
        <w:r w:rsidR="00EA3FD1" w:rsidRPr="003A50DE">
          <w:rPr>
            <w:noProof/>
          </w:rPr>
          <w:fldChar w:fldCharType="separate"/>
        </w:r>
        <w:r w:rsidR="00FE7551">
          <w:rPr>
            <w:noProof/>
          </w:rPr>
          <w:t>41</w:t>
        </w:r>
        <w:r w:rsidR="00EA3FD1" w:rsidRPr="003A50DE">
          <w:rPr>
            <w:noProof/>
          </w:rPr>
          <w:fldChar w:fldCharType="end"/>
        </w:r>
      </w:hyperlink>
    </w:p>
    <w:p w14:paraId="128740EA" w14:textId="5D95BE23" w:rsidR="00EA3FD1" w:rsidRPr="003A50DE" w:rsidRDefault="004541D2" w:rsidP="00EA3FD1">
      <w:pPr>
        <w:pStyle w:val="11"/>
        <w:rPr>
          <w:rFonts w:cstheme="minorBidi"/>
          <w:noProof/>
          <w:sz w:val="21"/>
          <w:szCs w:val="22"/>
        </w:rPr>
      </w:pPr>
      <w:hyperlink w:anchor="_Toc44321717" w:history="1">
        <w:r w:rsidR="00EA3FD1" w:rsidRPr="003A50DE">
          <w:rPr>
            <w:rStyle w:val="af7"/>
            <w:rFonts w:hint="eastAsia"/>
            <w:bCs/>
            <w:noProof/>
          </w:rPr>
          <w:t>第十八条</w:t>
        </w:r>
        <w:r w:rsidR="00EA3FD1" w:rsidRPr="003A50DE">
          <w:rPr>
            <w:rStyle w:val="af7"/>
            <w:bCs/>
            <w:noProof/>
          </w:rPr>
          <w:t xml:space="preserve"> </w:t>
        </w:r>
        <w:r w:rsidR="00EA3FD1" w:rsidRPr="003A50DE">
          <w:rPr>
            <w:rStyle w:val="af7"/>
            <w:rFonts w:hint="eastAsia"/>
            <w:bCs/>
            <w:noProof/>
          </w:rPr>
          <w:t>法律适用和争议解决</w:t>
        </w:r>
        <w:r w:rsidR="00EA3FD1" w:rsidRPr="003A50DE">
          <w:rPr>
            <w:noProof/>
          </w:rPr>
          <w:tab/>
        </w:r>
        <w:r w:rsidR="00EA3FD1" w:rsidRPr="003A50DE">
          <w:rPr>
            <w:noProof/>
          </w:rPr>
          <w:fldChar w:fldCharType="begin"/>
        </w:r>
        <w:r w:rsidR="00EA3FD1" w:rsidRPr="003A50DE">
          <w:rPr>
            <w:noProof/>
          </w:rPr>
          <w:instrText xml:space="preserve"> PAGEREF _Toc44321717 \h </w:instrText>
        </w:r>
        <w:r w:rsidR="00EA3FD1" w:rsidRPr="003A50DE">
          <w:rPr>
            <w:noProof/>
          </w:rPr>
        </w:r>
        <w:r w:rsidR="00EA3FD1" w:rsidRPr="003A50DE">
          <w:rPr>
            <w:noProof/>
          </w:rPr>
          <w:fldChar w:fldCharType="separate"/>
        </w:r>
        <w:r w:rsidR="00FE7551">
          <w:rPr>
            <w:noProof/>
          </w:rPr>
          <w:t>42</w:t>
        </w:r>
        <w:r w:rsidR="00EA3FD1" w:rsidRPr="003A50DE">
          <w:rPr>
            <w:noProof/>
          </w:rPr>
          <w:fldChar w:fldCharType="end"/>
        </w:r>
      </w:hyperlink>
    </w:p>
    <w:p w14:paraId="69D21304" w14:textId="6F8679F5" w:rsidR="00EA3FD1" w:rsidRPr="003A50DE" w:rsidRDefault="004541D2" w:rsidP="00EA3FD1">
      <w:pPr>
        <w:pStyle w:val="11"/>
        <w:rPr>
          <w:rFonts w:cstheme="minorBidi"/>
          <w:noProof/>
          <w:sz w:val="21"/>
          <w:szCs w:val="22"/>
        </w:rPr>
      </w:pPr>
      <w:hyperlink w:anchor="_Toc44321718" w:history="1">
        <w:r w:rsidR="00EA3FD1" w:rsidRPr="003A50DE">
          <w:rPr>
            <w:rStyle w:val="af7"/>
            <w:rFonts w:hint="eastAsia"/>
            <w:bCs/>
            <w:noProof/>
          </w:rPr>
          <w:t>第十九条</w:t>
        </w:r>
        <w:r w:rsidR="00EA3FD1" w:rsidRPr="003A50DE">
          <w:rPr>
            <w:rStyle w:val="af7"/>
            <w:bCs/>
            <w:noProof/>
          </w:rPr>
          <w:t xml:space="preserve"> </w:t>
        </w:r>
        <w:r w:rsidR="00EA3FD1" w:rsidRPr="003A50DE">
          <w:rPr>
            <w:rStyle w:val="af7"/>
            <w:rFonts w:hint="eastAsia"/>
            <w:bCs/>
            <w:noProof/>
          </w:rPr>
          <w:t>本协议的效力</w:t>
        </w:r>
        <w:r w:rsidR="00EA3FD1" w:rsidRPr="003A50DE">
          <w:rPr>
            <w:noProof/>
          </w:rPr>
          <w:tab/>
        </w:r>
        <w:r w:rsidR="00EA3FD1" w:rsidRPr="003A50DE">
          <w:rPr>
            <w:noProof/>
          </w:rPr>
          <w:fldChar w:fldCharType="begin"/>
        </w:r>
        <w:r w:rsidR="00EA3FD1" w:rsidRPr="003A50DE">
          <w:rPr>
            <w:noProof/>
          </w:rPr>
          <w:instrText xml:space="preserve"> PAGEREF _Toc44321718 \h </w:instrText>
        </w:r>
        <w:r w:rsidR="00EA3FD1" w:rsidRPr="003A50DE">
          <w:rPr>
            <w:noProof/>
          </w:rPr>
        </w:r>
        <w:r w:rsidR="00EA3FD1" w:rsidRPr="003A50DE">
          <w:rPr>
            <w:noProof/>
          </w:rPr>
          <w:fldChar w:fldCharType="separate"/>
        </w:r>
        <w:r w:rsidR="00FE7551">
          <w:rPr>
            <w:noProof/>
          </w:rPr>
          <w:t>42</w:t>
        </w:r>
        <w:r w:rsidR="00EA3FD1" w:rsidRPr="003A50DE">
          <w:rPr>
            <w:noProof/>
          </w:rPr>
          <w:fldChar w:fldCharType="end"/>
        </w:r>
      </w:hyperlink>
    </w:p>
    <w:p w14:paraId="3B3081A1" w14:textId="32780626" w:rsidR="00EA3FD1" w:rsidRPr="003A50DE" w:rsidRDefault="004541D2" w:rsidP="00EA3FD1">
      <w:pPr>
        <w:pStyle w:val="11"/>
        <w:rPr>
          <w:rFonts w:cstheme="minorBidi"/>
          <w:noProof/>
          <w:sz w:val="21"/>
          <w:szCs w:val="22"/>
        </w:rPr>
      </w:pPr>
      <w:hyperlink w:anchor="_Toc44321719" w:history="1">
        <w:r w:rsidR="00EA3FD1" w:rsidRPr="003A50DE">
          <w:rPr>
            <w:rStyle w:val="af7"/>
            <w:rFonts w:hint="eastAsia"/>
            <w:bCs/>
            <w:noProof/>
          </w:rPr>
          <w:t>第二十条</w:t>
        </w:r>
        <w:r w:rsidR="00EA3FD1" w:rsidRPr="003A50DE">
          <w:rPr>
            <w:rStyle w:val="af7"/>
            <w:bCs/>
            <w:noProof/>
          </w:rPr>
          <w:t xml:space="preserve"> </w:t>
        </w:r>
        <w:r w:rsidR="00EA3FD1" w:rsidRPr="003A50DE">
          <w:rPr>
            <w:rStyle w:val="af7"/>
            <w:rFonts w:hint="eastAsia"/>
            <w:bCs/>
            <w:noProof/>
          </w:rPr>
          <w:t>本协议的签订</w:t>
        </w:r>
        <w:r w:rsidR="00EA3FD1" w:rsidRPr="003A50DE">
          <w:rPr>
            <w:noProof/>
          </w:rPr>
          <w:tab/>
        </w:r>
        <w:r w:rsidR="00EA3FD1" w:rsidRPr="003A50DE">
          <w:rPr>
            <w:noProof/>
          </w:rPr>
          <w:fldChar w:fldCharType="begin"/>
        </w:r>
        <w:r w:rsidR="00EA3FD1" w:rsidRPr="003A50DE">
          <w:rPr>
            <w:noProof/>
          </w:rPr>
          <w:instrText xml:space="preserve"> PAGEREF _Toc44321719 \h </w:instrText>
        </w:r>
        <w:r w:rsidR="00EA3FD1" w:rsidRPr="003A50DE">
          <w:rPr>
            <w:noProof/>
          </w:rPr>
        </w:r>
        <w:r w:rsidR="00EA3FD1" w:rsidRPr="003A50DE">
          <w:rPr>
            <w:noProof/>
          </w:rPr>
          <w:fldChar w:fldCharType="separate"/>
        </w:r>
        <w:r w:rsidR="00FE7551">
          <w:rPr>
            <w:noProof/>
          </w:rPr>
          <w:t>43</w:t>
        </w:r>
        <w:r w:rsidR="00EA3FD1" w:rsidRPr="003A50DE">
          <w:rPr>
            <w:noProof/>
          </w:rPr>
          <w:fldChar w:fldCharType="end"/>
        </w:r>
      </w:hyperlink>
    </w:p>
    <w:p w14:paraId="4EE9DD05" w14:textId="3B3A0DCD" w:rsidR="00EA3FD1" w:rsidRPr="003A50DE" w:rsidRDefault="004541D2" w:rsidP="00EA3FD1">
      <w:pPr>
        <w:pStyle w:val="11"/>
        <w:rPr>
          <w:rFonts w:cstheme="minorBidi"/>
          <w:noProof/>
          <w:sz w:val="21"/>
          <w:szCs w:val="22"/>
        </w:rPr>
      </w:pPr>
      <w:hyperlink w:anchor="_Toc44321720" w:history="1">
        <w:r w:rsidR="00EA3FD1" w:rsidRPr="003A50DE">
          <w:rPr>
            <w:rStyle w:val="af7"/>
            <w:rFonts w:hint="eastAsia"/>
            <w:bCs/>
            <w:noProof/>
          </w:rPr>
          <w:t>第二十一条</w:t>
        </w:r>
        <w:r w:rsidR="00EA3FD1" w:rsidRPr="003A50DE">
          <w:rPr>
            <w:rStyle w:val="af7"/>
            <w:bCs/>
            <w:noProof/>
          </w:rPr>
          <w:t xml:space="preserve"> </w:t>
        </w:r>
        <w:r w:rsidR="00EA3FD1" w:rsidRPr="003A50DE">
          <w:rPr>
            <w:rStyle w:val="af7"/>
            <w:rFonts w:hint="eastAsia"/>
            <w:bCs/>
            <w:noProof/>
          </w:rPr>
          <w:t>不可抗力</w:t>
        </w:r>
        <w:r w:rsidR="00EA3FD1" w:rsidRPr="003A50DE">
          <w:rPr>
            <w:noProof/>
          </w:rPr>
          <w:tab/>
        </w:r>
        <w:r w:rsidR="00EA3FD1" w:rsidRPr="003A50DE">
          <w:rPr>
            <w:noProof/>
          </w:rPr>
          <w:fldChar w:fldCharType="begin"/>
        </w:r>
        <w:r w:rsidR="00EA3FD1" w:rsidRPr="003A50DE">
          <w:rPr>
            <w:noProof/>
          </w:rPr>
          <w:instrText xml:space="preserve"> PAGEREF _Toc44321720 \h </w:instrText>
        </w:r>
        <w:r w:rsidR="00EA3FD1" w:rsidRPr="003A50DE">
          <w:rPr>
            <w:noProof/>
          </w:rPr>
        </w:r>
        <w:r w:rsidR="00EA3FD1" w:rsidRPr="003A50DE">
          <w:rPr>
            <w:noProof/>
          </w:rPr>
          <w:fldChar w:fldCharType="separate"/>
        </w:r>
        <w:r w:rsidR="00FE7551">
          <w:rPr>
            <w:noProof/>
          </w:rPr>
          <w:t>43</w:t>
        </w:r>
        <w:r w:rsidR="00EA3FD1" w:rsidRPr="003A50DE">
          <w:rPr>
            <w:noProof/>
          </w:rPr>
          <w:fldChar w:fldCharType="end"/>
        </w:r>
      </w:hyperlink>
    </w:p>
    <w:p w14:paraId="7CD0F95B" w14:textId="35694484" w:rsidR="00EA3FD1" w:rsidRPr="003A50DE" w:rsidRDefault="004541D2" w:rsidP="00EA3FD1">
      <w:pPr>
        <w:pStyle w:val="11"/>
        <w:rPr>
          <w:rFonts w:cstheme="minorBidi"/>
          <w:noProof/>
          <w:sz w:val="21"/>
          <w:szCs w:val="22"/>
        </w:rPr>
      </w:pPr>
      <w:hyperlink w:anchor="_Toc44321721" w:history="1">
        <w:r w:rsidR="00EA3FD1" w:rsidRPr="003A50DE">
          <w:rPr>
            <w:rStyle w:val="af7"/>
            <w:rFonts w:hint="eastAsia"/>
            <w:bCs/>
            <w:noProof/>
          </w:rPr>
          <w:t>第二十二条</w:t>
        </w:r>
        <w:r w:rsidR="00EA3FD1" w:rsidRPr="003A50DE">
          <w:rPr>
            <w:rStyle w:val="af7"/>
            <w:bCs/>
            <w:noProof/>
          </w:rPr>
          <w:t xml:space="preserve"> </w:t>
        </w:r>
        <w:r w:rsidR="00EA3FD1" w:rsidRPr="003A50DE">
          <w:rPr>
            <w:rStyle w:val="af7"/>
            <w:rFonts w:hint="eastAsia"/>
            <w:bCs/>
            <w:noProof/>
          </w:rPr>
          <w:t>可分割性</w:t>
        </w:r>
        <w:r w:rsidR="00EA3FD1" w:rsidRPr="003A50DE">
          <w:rPr>
            <w:noProof/>
          </w:rPr>
          <w:tab/>
        </w:r>
        <w:r w:rsidR="00EA3FD1" w:rsidRPr="003A50DE">
          <w:rPr>
            <w:noProof/>
          </w:rPr>
          <w:fldChar w:fldCharType="begin"/>
        </w:r>
        <w:r w:rsidR="00EA3FD1" w:rsidRPr="003A50DE">
          <w:rPr>
            <w:noProof/>
          </w:rPr>
          <w:instrText xml:space="preserve"> PAGEREF _Toc44321721 \h </w:instrText>
        </w:r>
        <w:r w:rsidR="00EA3FD1" w:rsidRPr="003A50DE">
          <w:rPr>
            <w:noProof/>
          </w:rPr>
        </w:r>
        <w:r w:rsidR="00EA3FD1" w:rsidRPr="003A50DE">
          <w:rPr>
            <w:noProof/>
          </w:rPr>
          <w:fldChar w:fldCharType="separate"/>
        </w:r>
        <w:r w:rsidR="00FE7551">
          <w:rPr>
            <w:noProof/>
          </w:rPr>
          <w:t>43</w:t>
        </w:r>
        <w:r w:rsidR="00EA3FD1" w:rsidRPr="003A50DE">
          <w:rPr>
            <w:noProof/>
          </w:rPr>
          <w:fldChar w:fldCharType="end"/>
        </w:r>
      </w:hyperlink>
    </w:p>
    <w:p w14:paraId="77FB1184" w14:textId="16ED2F84" w:rsidR="00EA3FD1" w:rsidRPr="003A50DE" w:rsidRDefault="004541D2" w:rsidP="00EA3FD1">
      <w:pPr>
        <w:pStyle w:val="11"/>
        <w:rPr>
          <w:rFonts w:cstheme="minorBidi"/>
          <w:noProof/>
          <w:sz w:val="21"/>
          <w:szCs w:val="22"/>
        </w:rPr>
      </w:pPr>
      <w:hyperlink w:anchor="_Toc44321722" w:history="1">
        <w:r w:rsidR="00EA3FD1" w:rsidRPr="003A50DE">
          <w:rPr>
            <w:rStyle w:val="af7"/>
            <w:rFonts w:hint="eastAsia"/>
            <w:bCs/>
            <w:noProof/>
          </w:rPr>
          <w:t>第二十三条</w:t>
        </w:r>
        <w:r w:rsidR="00EA3FD1" w:rsidRPr="003A50DE">
          <w:rPr>
            <w:rStyle w:val="af7"/>
            <w:bCs/>
            <w:noProof/>
          </w:rPr>
          <w:t xml:space="preserve"> </w:t>
        </w:r>
        <w:r w:rsidR="00EA3FD1" w:rsidRPr="003A50DE">
          <w:rPr>
            <w:rStyle w:val="af7"/>
            <w:rFonts w:hint="eastAsia"/>
            <w:bCs/>
            <w:noProof/>
          </w:rPr>
          <w:t>通知与送达</w:t>
        </w:r>
        <w:r w:rsidR="00EA3FD1" w:rsidRPr="003A50DE">
          <w:rPr>
            <w:noProof/>
          </w:rPr>
          <w:tab/>
        </w:r>
        <w:r w:rsidR="00EA3FD1" w:rsidRPr="003A50DE">
          <w:rPr>
            <w:noProof/>
          </w:rPr>
          <w:fldChar w:fldCharType="begin"/>
        </w:r>
        <w:r w:rsidR="00EA3FD1" w:rsidRPr="003A50DE">
          <w:rPr>
            <w:noProof/>
          </w:rPr>
          <w:instrText xml:space="preserve"> PAGEREF _Toc44321722 \h </w:instrText>
        </w:r>
        <w:r w:rsidR="00EA3FD1" w:rsidRPr="003A50DE">
          <w:rPr>
            <w:noProof/>
          </w:rPr>
        </w:r>
        <w:r w:rsidR="00EA3FD1" w:rsidRPr="003A50DE">
          <w:rPr>
            <w:noProof/>
          </w:rPr>
          <w:fldChar w:fldCharType="separate"/>
        </w:r>
        <w:r w:rsidR="00FE7551">
          <w:rPr>
            <w:noProof/>
          </w:rPr>
          <w:t>43</w:t>
        </w:r>
        <w:r w:rsidR="00EA3FD1" w:rsidRPr="003A50DE">
          <w:rPr>
            <w:noProof/>
          </w:rPr>
          <w:fldChar w:fldCharType="end"/>
        </w:r>
      </w:hyperlink>
    </w:p>
    <w:p w14:paraId="75DBDFB9" w14:textId="2BB3BDA9" w:rsidR="00EA3FD1" w:rsidRPr="003A50DE" w:rsidRDefault="004541D2" w:rsidP="00EA3FD1">
      <w:pPr>
        <w:pStyle w:val="11"/>
        <w:rPr>
          <w:rFonts w:cstheme="minorBidi"/>
          <w:noProof/>
          <w:sz w:val="21"/>
          <w:szCs w:val="22"/>
        </w:rPr>
      </w:pPr>
      <w:hyperlink w:anchor="_Toc44321723" w:history="1">
        <w:r w:rsidR="00EA3FD1" w:rsidRPr="003A50DE">
          <w:rPr>
            <w:rStyle w:val="af7"/>
            <w:rFonts w:hint="eastAsia"/>
            <w:bCs/>
            <w:noProof/>
          </w:rPr>
          <w:t>第二十四条</w:t>
        </w:r>
        <w:r w:rsidR="00EA3FD1" w:rsidRPr="003A50DE">
          <w:rPr>
            <w:rStyle w:val="af7"/>
            <w:bCs/>
            <w:noProof/>
          </w:rPr>
          <w:t xml:space="preserve"> </w:t>
        </w:r>
        <w:r w:rsidR="00EA3FD1" w:rsidRPr="003A50DE">
          <w:rPr>
            <w:rStyle w:val="af7"/>
            <w:rFonts w:hint="eastAsia"/>
            <w:bCs/>
            <w:noProof/>
          </w:rPr>
          <w:t>其他约定事项</w:t>
        </w:r>
        <w:r w:rsidR="00EA3FD1" w:rsidRPr="003A50DE">
          <w:rPr>
            <w:noProof/>
          </w:rPr>
          <w:tab/>
        </w:r>
        <w:r w:rsidR="00EA3FD1" w:rsidRPr="003A50DE">
          <w:rPr>
            <w:noProof/>
          </w:rPr>
          <w:fldChar w:fldCharType="begin"/>
        </w:r>
        <w:r w:rsidR="00EA3FD1" w:rsidRPr="003A50DE">
          <w:rPr>
            <w:noProof/>
          </w:rPr>
          <w:instrText xml:space="preserve"> PAGEREF _Toc44321723 \h </w:instrText>
        </w:r>
        <w:r w:rsidR="00EA3FD1" w:rsidRPr="003A50DE">
          <w:rPr>
            <w:noProof/>
          </w:rPr>
        </w:r>
        <w:r w:rsidR="00EA3FD1" w:rsidRPr="003A50DE">
          <w:rPr>
            <w:noProof/>
          </w:rPr>
          <w:fldChar w:fldCharType="separate"/>
        </w:r>
        <w:r w:rsidR="00FE7551">
          <w:rPr>
            <w:noProof/>
          </w:rPr>
          <w:t>44</w:t>
        </w:r>
        <w:r w:rsidR="00EA3FD1" w:rsidRPr="003A50DE">
          <w:rPr>
            <w:noProof/>
          </w:rPr>
          <w:fldChar w:fldCharType="end"/>
        </w:r>
      </w:hyperlink>
    </w:p>
    <w:p w14:paraId="41B7247F" w14:textId="5811AB58" w:rsidR="00EA3FD1" w:rsidRPr="003A50DE" w:rsidRDefault="00EA3FD1" w:rsidP="003A50DE">
      <w:pPr>
        <w:snapToGrid w:val="0"/>
        <w:spacing w:line="360" w:lineRule="auto"/>
        <w:jc w:val="center"/>
        <w:rPr>
          <w:rFonts w:ascii="宋体" w:hAnsi="宋体"/>
          <w:b/>
          <w:sz w:val="24"/>
        </w:rPr>
      </w:pPr>
      <w:r w:rsidRPr="003A50DE">
        <w:rPr>
          <w:rFonts w:ascii="宋体" w:hAnsi="宋体"/>
          <w:b/>
          <w:sz w:val="28"/>
          <w:szCs w:val="28"/>
        </w:rPr>
        <w:fldChar w:fldCharType="end"/>
      </w:r>
      <w:r w:rsidRPr="003A50DE">
        <w:rPr>
          <w:rFonts w:ascii="宋体" w:hAnsi="宋体"/>
          <w:b/>
          <w:sz w:val="28"/>
          <w:szCs w:val="28"/>
        </w:rPr>
        <w:br w:type="page"/>
      </w:r>
    </w:p>
    <w:p w14:paraId="72E5B35D" w14:textId="77777777" w:rsidR="00EA3FD1" w:rsidRPr="003A50DE" w:rsidRDefault="00EA3FD1" w:rsidP="00EA3FD1">
      <w:pPr>
        <w:tabs>
          <w:tab w:val="left" w:pos="5940"/>
        </w:tabs>
        <w:adjustRightInd w:val="0"/>
        <w:snapToGrid w:val="0"/>
        <w:spacing w:line="520" w:lineRule="atLeast"/>
        <w:rPr>
          <w:rFonts w:ascii="宋体" w:hAnsi="宋体"/>
          <w:b/>
          <w:sz w:val="24"/>
          <w:szCs w:val="24"/>
        </w:rPr>
      </w:pPr>
    </w:p>
    <w:p w14:paraId="711EE740" w14:textId="053DE93D" w:rsidR="00EA3FD1" w:rsidRPr="003A50DE" w:rsidRDefault="00EA3FD1" w:rsidP="00EA3FD1">
      <w:pPr>
        <w:tabs>
          <w:tab w:val="left" w:pos="5940"/>
        </w:tabs>
        <w:adjustRightInd w:val="0"/>
        <w:snapToGrid w:val="0"/>
        <w:spacing w:line="520" w:lineRule="atLeast"/>
        <w:rPr>
          <w:rFonts w:ascii="宋体" w:hAnsi="宋体"/>
          <w:b/>
          <w:sz w:val="24"/>
          <w:szCs w:val="24"/>
        </w:rPr>
      </w:pPr>
      <w:r w:rsidRPr="003A50DE">
        <w:rPr>
          <w:rFonts w:ascii="宋体" w:hAnsi="宋体" w:hint="eastAsia"/>
          <w:b/>
          <w:sz w:val="24"/>
          <w:szCs w:val="24"/>
        </w:rPr>
        <w:t>基金管理人：</w:t>
      </w:r>
      <w:proofErr w:type="gramStart"/>
      <w:r w:rsidRPr="003A50DE">
        <w:rPr>
          <w:rFonts w:ascii="宋体" w:hAnsi="宋体" w:hint="eastAsia"/>
          <w:b/>
          <w:sz w:val="24"/>
          <w:szCs w:val="24"/>
        </w:rPr>
        <w:t>兴证全球</w:t>
      </w:r>
      <w:proofErr w:type="gramEnd"/>
      <w:r w:rsidRPr="003A50DE">
        <w:rPr>
          <w:rFonts w:ascii="宋体" w:hAnsi="宋体" w:hint="eastAsia"/>
          <w:b/>
          <w:sz w:val="24"/>
          <w:szCs w:val="24"/>
        </w:rPr>
        <w:t xml:space="preserve">基金管理有限公司 </w:t>
      </w:r>
    </w:p>
    <w:p w14:paraId="499A74D1" w14:textId="332981BB" w:rsidR="00EA3FD1" w:rsidRPr="003A50DE" w:rsidRDefault="00EA3FD1" w:rsidP="00EA3FD1">
      <w:pPr>
        <w:tabs>
          <w:tab w:val="left" w:pos="5940"/>
        </w:tabs>
        <w:adjustRightInd w:val="0"/>
        <w:snapToGrid w:val="0"/>
        <w:spacing w:line="520" w:lineRule="atLeast"/>
        <w:rPr>
          <w:rFonts w:ascii="宋体" w:hAnsi="宋体"/>
          <w:sz w:val="24"/>
          <w:szCs w:val="24"/>
        </w:rPr>
      </w:pPr>
      <w:r w:rsidRPr="003A50DE">
        <w:rPr>
          <w:rFonts w:ascii="宋体" w:hAnsi="宋体" w:hint="eastAsia"/>
          <w:sz w:val="24"/>
          <w:szCs w:val="24"/>
        </w:rPr>
        <w:t>法定代表人：杨华辉</w:t>
      </w:r>
    </w:p>
    <w:p w14:paraId="4580456D" w14:textId="5A62C217" w:rsidR="00EA3FD1" w:rsidRPr="003A50DE" w:rsidRDefault="00EA3FD1" w:rsidP="00EA3FD1">
      <w:pPr>
        <w:tabs>
          <w:tab w:val="left" w:pos="5940"/>
        </w:tabs>
        <w:adjustRightInd w:val="0"/>
        <w:snapToGrid w:val="0"/>
        <w:spacing w:line="520" w:lineRule="atLeast"/>
        <w:rPr>
          <w:rFonts w:ascii="宋体" w:hAnsi="宋体"/>
          <w:sz w:val="24"/>
          <w:szCs w:val="24"/>
        </w:rPr>
      </w:pPr>
      <w:r w:rsidRPr="003A50DE">
        <w:rPr>
          <w:rFonts w:ascii="宋体" w:hAnsi="宋体" w:hint="eastAsia"/>
          <w:sz w:val="24"/>
          <w:szCs w:val="24"/>
        </w:rPr>
        <w:t>住    所：上海市黄浦区金陵东路368号</w:t>
      </w:r>
    </w:p>
    <w:p w14:paraId="64F435B8" w14:textId="77777777" w:rsidR="00EA3FD1" w:rsidRPr="003A50DE" w:rsidRDefault="00EA3FD1" w:rsidP="00EA3FD1">
      <w:pPr>
        <w:adjustRightInd w:val="0"/>
        <w:snapToGrid w:val="0"/>
        <w:spacing w:line="520" w:lineRule="atLeast"/>
        <w:rPr>
          <w:rFonts w:ascii="宋体" w:hAnsi="宋体"/>
          <w:sz w:val="24"/>
          <w:szCs w:val="24"/>
        </w:rPr>
      </w:pPr>
    </w:p>
    <w:p w14:paraId="07BDCCDB" w14:textId="06F1D9DE" w:rsidR="00EA3FD1" w:rsidRPr="003A50DE" w:rsidRDefault="00EA3FD1" w:rsidP="00EA3FD1">
      <w:pPr>
        <w:tabs>
          <w:tab w:val="left" w:pos="5940"/>
        </w:tabs>
        <w:adjustRightInd w:val="0"/>
        <w:snapToGrid w:val="0"/>
        <w:spacing w:line="520" w:lineRule="atLeast"/>
        <w:rPr>
          <w:rFonts w:ascii="宋体" w:hAnsi="宋体"/>
          <w:b/>
          <w:sz w:val="24"/>
          <w:szCs w:val="24"/>
        </w:rPr>
      </w:pPr>
      <w:r w:rsidRPr="003A50DE">
        <w:rPr>
          <w:rFonts w:ascii="宋体" w:hAnsi="宋体" w:hint="eastAsia"/>
          <w:b/>
          <w:sz w:val="24"/>
          <w:szCs w:val="24"/>
        </w:rPr>
        <w:t>基金托管人：中信银行股份有限公司</w:t>
      </w:r>
    </w:p>
    <w:p w14:paraId="1768AE73" w14:textId="7174246B" w:rsidR="00EA3FD1" w:rsidRPr="003A50DE" w:rsidRDefault="00EA3FD1" w:rsidP="00EA3FD1">
      <w:pPr>
        <w:tabs>
          <w:tab w:val="left" w:pos="5940"/>
        </w:tabs>
        <w:adjustRightInd w:val="0"/>
        <w:snapToGrid w:val="0"/>
        <w:spacing w:line="520" w:lineRule="atLeast"/>
        <w:rPr>
          <w:rFonts w:ascii="宋体" w:hAnsi="宋体"/>
          <w:sz w:val="24"/>
          <w:szCs w:val="24"/>
        </w:rPr>
      </w:pPr>
      <w:r w:rsidRPr="003A50DE">
        <w:rPr>
          <w:rFonts w:ascii="宋体" w:hAnsi="宋体" w:hint="eastAsia"/>
          <w:sz w:val="24"/>
          <w:szCs w:val="24"/>
        </w:rPr>
        <w:t>法定代表人：</w:t>
      </w:r>
      <w:r w:rsidR="00EE6FB8" w:rsidRPr="00EE6FB8">
        <w:rPr>
          <w:rFonts w:ascii="宋体" w:hAnsi="宋体" w:hint="eastAsia"/>
          <w:sz w:val="24"/>
          <w:szCs w:val="24"/>
        </w:rPr>
        <w:t>方合英</w:t>
      </w:r>
    </w:p>
    <w:p w14:paraId="25F930CB" w14:textId="29F00965" w:rsidR="00EA3FD1" w:rsidRPr="003A50DE" w:rsidRDefault="00EA3FD1" w:rsidP="00EA3FD1">
      <w:pPr>
        <w:tabs>
          <w:tab w:val="left" w:pos="5940"/>
        </w:tabs>
        <w:adjustRightInd w:val="0"/>
        <w:snapToGrid w:val="0"/>
        <w:spacing w:line="520" w:lineRule="atLeast"/>
        <w:rPr>
          <w:rFonts w:ascii="宋体" w:hAnsi="宋体"/>
          <w:sz w:val="24"/>
          <w:szCs w:val="24"/>
        </w:rPr>
      </w:pPr>
      <w:r w:rsidRPr="003A50DE">
        <w:rPr>
          <w:rFonts w:ascii="宋体" w:hAnsi="宋体" w:hint="eastAsia"/>
          <w:sz w:val="24"/>
          <w:szCs w:val="24"/>
        </w:rPr>
        <w:t>住    所：</w:t>
      </w:r>
      <w:r w:rsidR="00393B56" w:rsidRPr="003A50DE">
        <w:rPr>
          <w:rFonts w:ascii="宋体" w:hAnsi="宋体" w:hint="eastAsia"/>
          <w:sz w:val="24"/>
          <w:szCs w:val="24"/>
        </w:rPr>
        <w:t>北京市朝阳区光华路10号院1号楼6-30层、32-42层</w:t>
      </w:r>
    </w:p>
    <w:p w14:paraId="63D1AC5E" w14:textId="77777777" w:rsidR="00EA3FD1" w:rsidRPr="003A50DE" w:rsidRDefault="00EA3FD1" w:rsidP="00EA3FD1">
      <w:pPr>
        <w:autoSpaceDE w:val="0"/>
        <w:autoSpaceDN w:val="0"/>
        <w:adjustRightInd w:val="0"/>
        <w:snapToGrid w:val="0"/>
        <w:spacing w:line="520" w:lineRule="atLeast"/>
        <w:rPr>
          <w:rFonts w:ascii="宋体" w:hAnsi="宋体"/>
          <w:sz w:val="24"/>
          <w:szCs w:val="24"/>
        </w:rPr>
      </w:pPr>
    </w:p>
    <w:p w14:paraId="7DCE7D11" w14:textId="77777777" w:rsidR="00BB1718" w:rsidRPr="003A50DE" w:rsidRDefault="00BB1718">
      <w:pPr>
        <w:widowControl/>
        <w:jc w:val="left"/>
        <w:rPr>
          <w:rFonts w:ascii="宋体" w:hAnsi="宋体"/>
          <w:b/>
          <w:sz w:val="24"/>
          <w:szCs w:val="24"/>
        </w:rPr>
      </w:pPr>
      <w:r w:rsidRPr="003A50DE">
        <w:rPr>
          <w:rFonts w:ascii="宋体" w:hAnsi="宋体"/>
          <w:b/>
          <w:sz w:val="24"/>
          <w:szCs w:val="24"/>
        </w:rPr>
        <w:br w:type="page"/>
      </w:r>
    </w:p>
    <w:p w14:paraId="75A0FD18" w14:textId="77777777" w:rsidR="00EA3FD1" w:rsidRPr="003A50DE" w:rsidRDefault="00EA3FD1" w:rsidP="00EA3FD1">
      <w:pPr>
        <w:autoSpaceDE w:val="0"/>
        <w:autoSpaceDN w:val="0"/>
        <w:adjustRightInd w:val="0"/>
        <w:snapToGrid w:val="0"/>
        <w:spacing w:line="520" w:lineRule="atLeast"/>
        <w:ind w:firstLineChars="200" w:firstLine="482"/>
        <w:rPr>
          <w:rFonts w:ascii="宋体" w:hAnsi="宋体"/>
          <w:b/>
          <w:sz w:val="24"/>
          <w:szCs w:val="24"/>
        </w:rPr>
      </w:pPr>
      <w:r w:rsidRPr="003A50DE">
        <w:rPr>
          <w:rFonts w:ascii="宋体" w:hAnsi="宋体" w:hint="eastAsia"/>
          <w:b/>
          <w:sz w:val="24"/>
          <w:szCs w:val="24"/>
        </w:rPr>
        <w:lastRenderedPageBreak/>
        <w:t>鉴于：</w:t>
      </w:r>
    </w:p>
    <w:p w14:paraId="3C1A6EBD" w14:textId="223519CA"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w:t>
      </w:r>
      <w:proofErr w:type="gramStart"/>
      <w:r w:rsidRPr="003A50DE">
        <w:rPr>
          <w:rFonts w:hAnsi="宋体" w:hint="eastAsia"/>
          <w:szCs w:val="24"/>
        </w:rPr>
        <w:t>兴证全球</w:t>
      </w:r>
      <w:proofErr w:type="gramEnd"/>
      <w:r w:rsidRPr="003A50DE">
        <w:rPr>
          <w:rFonts w:hAnsi="宋体" w:hint="eastAsia"/>
          <w:szCs w:val="24"/>
        </w:rPr>
        <w:t>基金管理有限公司系一家依照中国法律合法成立并有效存续的</w:t>
      </w:r>
      <w:r w:rsidR="00262C1E" w:rsidRPr="003A50DE">
        <w:rPr>
          <w:rFonts w:hAnsi="宋体" w:hint="eastAsia"/>
          <w:szCs w:val="24"/>
        </w:rPr>
        <w:t>有限责任公司</w:t>
      </w:r>
      <w:r w:rsidRPr="003A50DE">
        <w:rPr>
          <w:rFonts w:hAnsi="宋体" w:hint="eastAsia"/>
          <w:szCs w:val="24"/>
        </w:rPr>
        <w:t>，按照相关法律法规的规定具备担任基金管理人的资格和能力；</w:t>
      </w:r>
    </w:p>
    <w:p w14:paraId="5D172D96" w14:textId="6A2B283B"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2.中信银行股份有限公司系一家依照中国法律合法成立并有效存续的银行，按照相关法律法规的规定具备担任基金托管人的资格和能力；</w:t>
      </w:r>
    </w:p>
    <w:p w14:paraId="5D3CC708" w14:textId="198958BF"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w:t>
      </w:r>
      <w:proofErr w:type="gramStart"/>
      <w:r w:rsidRPr="003A50DE">
        <w:rPr>
          <w:rFonts w:hAnsi="宋体" w:hint="eastAsia"/>
          <w:szCs w:val="24"/>
        </w:rPr>
        <w:t>兴证全球</w:t>
      </w:r>
      <w:proofErr w:type="gramEnd"/>
      <w:r w:rsidRPr="003A50DE">
        <w:rPr>
          <w:rFonts w:hAnsi="宋体" w:hint="eastAsia"/>
          <w:szCs w:val="24"/>
        </w:rPr>
        <w:t>基金管理有限公司拟担任</w:t>
      </w:r>
      <w:proofErr w:type="gramStart"/>
      <w:r w:rsidRPr="003A50DE">
        <w:rPr>
          <w:rFonts w:hAnsi="宋体" w:hint="eastAsia"/>
          <w:szCs w:val="24"/>
        </w:rPr>
        <w:t>兴证全球</w:t>
      </w:r>
      <w:proofErr w:type="gramEnd"/>
      <w:r w:rsidR="00FC3927" w:rsidRPr="003A50DE">
        <w:rPr>
          <w:rFonts w:hAnsi="宋体" w:hint="eastAsia"/>
          <w:szCs w:val="24"/>
        </w:rPr>
        <w:t>创新优势</w:t>
      </w:r>
      <w:r w:rsidRPr="003A50DE">
        <w:rPr>
          <w:rFonts w:hAnsi="宋体" w:hint="eastAsia"/>
          <w:szCs w:val="24"/>
        </w:rPr>
        <w:t>混合型证券投资基金的基金管理人，中信银行股份有限公司拟担任</w:t>
      </w:r>
      <w:proofErr w:type="gramStart"/>
      <w:r w:rsidRPr="003A50DE">
        <w:rPr>
          <w:rFonts w:hAnsi="宋体" w:hint="eastAsia"/>
          <w:bCs/>
          <w:szCs w:val="24"/>
        </w:rPr>
        <w:t>兴证全球</w:t>
      </w:r>
      <w:proofErr w:type="gramEnd"/>
      <w:r w:rsidR="00FC3927" w:rsidRPr="003A50DE">
        <w:rPr>
          <w:rFonts w:hAnsi="宋体" w:hint="eastAsia"/>
          <w:bCs/>
          <w:szCs w:val="24"/>
        </w:rPr>
        <w:t>创新优势</w:t>
      </w:r>
      <w:r w:rsidRPr="003A50DE">
        <w:rPr>
          <w:rFonts w:hAnsi="宋体" w:hint="eastAsia"/>
          <w:bCs/>
          <w:szCs w:val="24"/>
        </w:rPr>
        <w:t>混合型</w:t>
      </w:r>
      <w:r w:rsidRPr="003A50DE">
        <w:rPr>
          <w:rFonts w:hAnsi="宋体" w:hint="eastAsia"/>
          <w:szCs w:val="24"/>
        </w:rPr>
        <w:t>证券投资基金的基金托管人；</w:t>
      </w:r>
    </w:p>
    <w:p w14:paraId="7FAC5B3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1233461D" w14:textId="77777777" w:rsidR="00EA3FD1" w:rsidRPr="003A50DE" w:rsidRDefault="00EA3FD1" w:rsidP="00EA3FD1">
      <w:pPr>
        <w:pStyle w:val="21"/>
        <w:adjustRightInd w:val="0"/>
        <w:snapToGrid w:val="0"/>
        <w:spacing w:before="0" w:after="0" w:line="520" w:lineRule="atLeast"/>
        <w:ind w:left="0" w:firstLine="541"/>
        <w:rPr>
          <w:rFonts w:hAnsi="宋体"/>
          <w:b/>
          <w:bCs/>
          <w:szCs w:val="24"/>
        </w:rPr>
      </w:pPr>
      <w:r w:rsidRPr="003A50DE">
        <w:rPr>
          <w:rFonts w:hAnsi="宋体" w:hint="eastAsia"/>
          <w:b/>
          <w:bCs/>
          <w:szCs w:val="24"/>
        </w:rPr>
        <w:t>释义：</w:t>
      </w:r>
    </w:p>
    <w:p w14:paraId="54157BCF" w14:textId="451E591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除非另有约定，《兴证全球</w:t>
      </w:r>
      <w:r w:rsidR="00FC3927" w:rsidRPr="003A50DE">
        <w:rPr>
          <w:rFonts w:hAnsi="宋体" w:hint="eastAsia"/>
          <w:szCs w:val="24"/>
        </w:rPr>
        <w:t>创新优势</w:t>
      </w:r>
      <w:r w:rsidRPr="003A50DE">
        <w:rPr>
          <w:rFonts w:hAnsi="宋体" w:hint="eastAsia"/>
          <w:szCs w:val="24"/>
        </w:rPr>
        <w:t xml:space="preserve">混合型证券投资基金基金合同》(以下简称“基金合同”)中定义的术语在用于本托管协议时应具有相同的含义；若有抵触，应以基金合同为准，并依其条款解释。 </w:t>
      </w:r>
    </w:p>
    <w:p w14:paraId="573B93A8" w14:textId="77777777" w:rsidR="00EA3FD1" w:rsidRPr="003A50DE" w:rsidRDefault="00EA3FD1" w:rsidP="00EA3FD1">
      <w:pPr>
        <w:pStyle w:val="1"/>
        <w:adjustRightInd w:val="0"/>
        <w:spacing w:line="520" w:lineRule="atLeast"/>
        <w:ind w:firstLineChars="200" w:firstLine="482"/>
        <w:rPr>
          <w:bCs/>
          <w:color w:val="auto"/>
          <w:szCs w:val="24"/>
        </w:rPr>
      </w:pPr>
      <w:bookmarkStart w:id="19" w:name="_Toc296551337"/>
      <w:bookmarkStart w:id="20" w:name="_Toc44321700"/>
      <w:r w:rsidRPr="003A50DE">
        <w:rPr>
          <w:rFonts w:hint="eastAsia"/>
          <w:bCs/>
          <w:color w:val="auto"/>
          <w:szCs w:val="24"/>
        </w:rPr>
        <w:t>第一条 本协议当事人</w:t>
      </w:r>
      <w:bookmarkEnd w:id="19"/>
      <w:bookmarkEnd w:id="20"/>
    </w:p>
    <w:p w14:paraId="239C7D9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1.1基金管理人：</w:t>
      </w:r>
    </w:p>
    <w:p w14:paraId="458B7A86" w14:textId="384CF96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名称：</w:t>
      </w:r>
      <w:proofErr w:type="gramStart"/>
      <w:r w:rsidRPr="003A50DE">
        <w:rPr>
          <w:rFonts w:hAnsi="宋体" w:hint="eastAsia"/>
          <w:szCs w:val="24"/>
        </w:rPr>
        <w:t>兴证全球</w:t>
      </w:r>
      <w:proofErr w:type="gramEnd"/>
      <w:r w:rsidRPr="003A50DE">
        <w:rPr>
          <w:rFonts w:hAnsi="宋体" w:hint="eastAsia"/>
          <w:szCs w:val="24"/>
        </w:rPr>
        <w:t>基金管理有限公司</w:t>
      </w:r>
    </w:p>
    <w:p w14:paraId="12E85102" w14:textId="7C08149E"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住所：上海市黄浦区金陵东路368号</w:t>
      </w:r>
    </w:p>
    <w:p w14:paraId="75786389" w14:textId="5D0BE07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法定代表人：杨华辉</w:t>
      </w:r>
    </w:p>
    <w:p w14:paraId="268F663F" w14:textId="5482F79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成立时间：2003年9月30日</w:t>
      </w:r>
    </w:p>
    <w:p w14:paraId="665252E1" w14:textId="6E417C54"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批准设立机关：中国证监会</w:t>
      </w:r>
    </w:p>
    <w:p w14:paraId="7F427353" w14:textId="614B8DB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批准设立文号：</w:t>
      </w:r>
      <w:proofErr w:type="gramStart"/>
      <w:r w:rsidRPr="003A50DE">
        <w:rPr>
          <w:rFonts w:hAnsi="宋体" w:hint="eastAsia"/>
          <w:szCs w:val="24"/>
        </w:rPr>
        <w:t>证监基字</w:t>
      </w:r>
      <w:proofErr w:type="gramEnd"/>
      <w:r w:rsidRPr="003A50DE">
        <w:rPr>
          <w:rFonts w:hAnsi="宋体" w:hint="eastAsia"/>
          <w:szCs w:val="24"/>
        </w:rPr>
        <w:t xml:space="preserve">[2003]100号 </w:t>
      </w:r>
    </w:p>
    <w:p w14:paraId="334F4571" w14:textId="2A8962CE"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组织形式：有限责任公司</w:t>
      </w:r>
    </w:p>
    <w:p w14:paraId="0327D77F" w14:textId="73A035D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注册资本：1.5亿元人民币</w:t>
      </w:r>
    </w:p>
    <w:p w14:paraId="784AB863" w14:textId="23BB42C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存续期间：持续经营</w:t>
      </w:r>
    </w:p>
    <w:p w14:paraId="6590AD9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1.2基金托管人：</w:t>
      </w:r>
    </w:p>
    <w:p w14:paraId="7A5F7A66" w14:textId="61FDEDC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名称：中信银行股份有限公司</w:t>
      </w:r>
    </w:p>
    <w:p w14:paraId="3BE79C62" w14:textId="65973C6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住所：</w:t>
      </w:r>
      <w:r w:rsidR="008E2C70" w:rsidRPr="003A50DE">
        <w:rPr>
          <w:rFonts w:hAnsi="宋体" w:hint="eastAsia"/>
          <w:szCs w:val="24"/>
        </w:rPr>
        <w:t>北京市朝阳区光华路10号院1号楼6-30层、32-42层</w:t>
      </w:r>
    </w:p>
    <w:p w14:paraId="3F6722DC" w14:textId="2A32DDCF"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法定代表人：</w:t>
      </w:r>
      <w:bookmarkStart w:id="21" w:name="_GoBack"/>
      <w:r w:rsidR="00D47DC9" w:rsidRPr="00D47DC9">
        <w:rPr>
          <w:rFonts w:hAnsi="宋体" w:hint="eastAsia"/>
          <w:szCs w:val="24"/>
        </w:rPr>
        <w:t>方合英</w:t>
      </w:r>
      <w:bookmarkEnd w:id="21"/>
    </w:p>
    <w:p w14:paraId="72B121C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成立时间：1987年4月20日</w:t>
      </w:r>
    </w:p>
    <w:p w14:paraId="106A5AB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批准设立文号：国办函[1987]14号</w:t>
      </w:r>
    </w:p>
    <w:p w14:paraId="5B26DC9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基金托管业务批准文号：证</w:t>
      </w:r>
      <w:proofErr w:type="gramStart"/>
      <w:r w:rsidRPr="003A50DE">
        <w:rPr>
          <w:rFonts w:hAnsi="宋体" w:hint="eastAsia"/>
          <w:szCs w:val="24"/>
        </w:rPr>
        <w:t>监基金字</w:t>
      </w:r>
      <w:proofErr w:type="gramEnd"/>
      <w:r w:rsidRPr="003A50DE">
        <w:rPr>
          <w:rFonts w:hAnsi="宋体" w:hint="eastAsia"/>
          <w:szCs w:val="24"/>
        </w:rPr>
        <w:t>[2004]125号</w:t>
      </w:r>
    </w:p>
    <w:p w14:paraId="7CE9A34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组织形式：股份有限公司</w:t>
      </w:r>
    </w:p>
    <w:p w14:paraId="2A2B03B7" w14:textId="40ED8C1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注册资本：</w:t>
      </w:r>
      <w:r w:rsidR="008E2C70" w:rsidRPr="003A50DE">
        <w:rPr>
          <w:rFonts w:hAnsi="宋体" w:hint="eastAsia"/>
          <w:szCs w:val="24"/>
        </w:rPr>
        <w:t>489.35亿元人民币</w:t>
      </w:r>
    </w:p>
    <w:p w14:paraId="4F3A3A4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存续期间：持续经营</w:t>
      </w:r>
    </w:p>
    <w:p w14:paraId="07D9A0FD" w14:textId="77777777" w:rsidR="00EA3FD1" w:rsidRPr="003A50DE" w:rsidRDefault="00EA3FD1" w:rsidP="00EA3FD1">
      <w:pPr>
        <w:pStyle w:val="1"/>
        <w:adjustRightInd w:val="0"/>
        <w:spacing w:line="520" w:lineRule="atLeast"/>
        <w:ind w:firstLineChars="200" w:firstLine="482"/>
        <w:rPr>
          <w:bCs/>
          <w:color w:val="auto"/>
          <w:szCs w:val="24"/>
        </w:rPr>
      </w:pPr>
      <w:bookmarkStart w:id="22" w:name="_Toc44321701"/>
      <w:bookmarkStart w:id="23" w:name="_Toc296551338"/>
      <w:r w:rsidRPr="003A50DE">
        <w:rPr>
          <w:rFonts w:hint="eastAsia"/>
          <w:bCs/>
          <w:color w:val="auto"/>
          <w:szCs w:val="24"/>
        </w:rPr>
        <w:t>第二条 本协议的依据、目的和原则</w:t>
      </w:r>
      <w:bookmarkEnd w:id="22"/>
      <w:bookmarkEnd w:id="23"/>
    </w:p>
    <w:p w14:paraId="4301C76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2.1本协议的依据</w:t>
      </w:r>
    </w:p>
    <w:p w14:paraId="364C7F4F" w14:textId="5DBB7560"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订立本协议的依据是《中华人民共和国证券投资基金法》（以下简称“《基金法》”）、《公开募集证券投资基金运作管理办法》（以下简称“《运作办法》”）、《</w:t>
      </w:r>
      <w:r w:rsidR="00262C1E" w:rsidRPr="003A50DE">
        <w:rPr>
          <w:rFonts w:hAnsi="宋体" w:hint="eastAsia"/>
          <w:szCs w:val="24"/>
        </w:rPr>
        <w:t>公开募集</w:t>
      </w:r>
      <w:r w:rsidRPr="003A50DE">
        <w:rPr>
          <w:rFonts w:hAnsi="宋体" w:hint="eastAsia"/>
          <w:szCs w:val="24"/>
        </w:rPr>
        <w:t>证券投资基金销售</w:t>
      </w:r>
      <w:r w:rsidR="00FE3046" w:rsidRPr="003A50DE">
        <w:rPr>
          <w:rFonts w:hAnsi="宋体" w:hint="eastAsia"/>
          <w:szCs w:val="24"/>
        </w:rPr>
        <w:t>机构监督</w:t>
      </w:r>
      <w:r w:rsidRPr="003A50DE">
        <w:rPr>
          <w:rFonts w:hAnsi="宋体" w:hint="eastAsia"/>
          <w:szCs w:val="24"/>
        </w:rPr>
        <w:t>管理办法》、《公开募集证券投资基金信息披露管理办法》（以下简称“《信息披露办法》”）、</w:t>
      </w:r>
      <w:r w:rsidRPr="003A50DE">
        <w:rPr>
          <w:rFonts w:hAnsi="宋体" w:hint="eastAsia"/>
          <w:bCs/>
          <w:szCs w:val="24"/>
        </w:rPr>
        <w:t>《公开募集开放式证券投资基金流动性风险管理规定》（以下简称“《流动性风险管理规定》”）、</w:t>
      </w:r>
      <w:r w:rsidRPr="003A50DE">
        <w:rPr>
          <w:rFonts w:hAnsi="宋体" w:hint="eastAsia"/>
          <w:szCs w:val="24"/>
        </w:rPr>
        <w:t>《证券投资基金信息披露内容与格式准则第7号〈托管协议的内容与格式〉》、《</w:t>
      </w:r>
      <w:r w:rsidRPr="003A50DE">
        <w:rPr>
          <w:rFonts w:hAnsi="宋体" w:hint="eastAsia"/>
          <w:bCs/>
          <w:szCs w:val="24"/>
        </w:rPr>
        <w:t>兴证全球</w:t>
      </w:r>
      <w:r w:rsidR="00FC3927" w:rsidRPr="003A50DE">
        <w:rPr>
          <w:rFonts w:hAnsi="宋体" w:hint="eastAsia"/>
          <w:bCs/>
          <w:szCs w:val="24"/>
        </w:rPr>
        <w:t>创新优势</w:t>
      </w:r>
      <w:r w:rsidRPr="003A50DE">
        <w:rPr>
          <w:rFonts w:hAnsi="宋体" w:hint="eastAsia"/>
          <w:bCs/>
          <w:szCs w:val="24"/>
        </w:rPr>
        <w:t>混合型</w:t>
      </w:r>
      <w:r w:rsidRPr="003A50DE">
        <w:rPr>
          <w:rFonts w:hAnsi="宋体" w:hint="eastAsia"/>
          <w:szCs w:val="24"/>
        </w:rPr>
        <w:t>证券投资基金基金合同》（以下简称“基金合同”）及其他有关规定。</w:t>
      </w:r>
    </w:p>
    <w:p w14:paraId="2FBCC3F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2.2本协议的目的</w:t>
      </w:r>
    </w:p>
    <w:p w14:paraId="77B641B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037CF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2.3本协议的原则</w:t>
      </w:r>
    </w:p>
    <w:p w14:paraId="6EDE033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基金管理人和基金托管人本着平等自愿、诚实信用、充分保护基金份额持有人合法权益的原则，经协商一致，签订本协议。</w:t>
      </w:r>
    </w:p>
    <w:p w14:paraId="562D6B7B" w14:textId="77777777" w:rsidR="00EA3FD1" w:rsidRPr="003A50DE" w:rsidRDefault="00EA3FD1" w:rsidP="00EA3FD1">
      <w:pPr>
        <w:pStyle w:val="1"/>
        <w:adjustRightInd w:val="0"/>
        <w:spacing w:line="520" w:lineRule="atLeast"/>
        <w:ind w:firstLineChars="200" w:firstLine="482"/>
        <w:rPr>
          <w:bCs/>
          <w:color w:val="auto"/>
          <w:szCs w:val="24"/>
        </w:rPr>
      </w:pPr>
      <w:bookmarkStart w:id="24" w:name="_Toc296551339"/>
      <w:bookmarkStart w:id="25" w:name="_Toc44321702"/>
      <w:r w:rsidRPr="003A50DE">
        <w:rPr>
          <w:rFonts w:hint="eastAsia"/>
          <w:bCs/>
          <w:color w:val="auto"/>
          <w:szCs w:val="24"/>
        </w:rPr>
        <w:t>第三条 基金托管人对基金管理人的业务监督和核查</w:t>
      </w:r>
      <w:bookmarkEnd w:id="24"/>
      <w:bookmarkEnd w:id="25"/>
    </w:p>
    <w:p w14:paraId="2781311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3.1基金托管人对基金管理人的投资行为行使监督权</w:t>
      </w:r>
    </w:p>
    <w:p w14:paraId="224600CD" w14:textId="7B92CE6B"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3.1.1基金托管人根据有关法律法规的规定和基金合同的约定，对下述基金投资范围、投资对象进行监督。</w:t>
      </w:r>
    </w:p>
    <w:p w14:paraId="6BD82C53" w14:textId="77777777" w:rsidR="00EA3FD1" w:rsidRPr="003A50DE" w:rsidRDefault="00EA3FD1" w:rsidP="00EA3FD1">
      <w:pPr>
        <w:adjustRightInd w:val="0"/>
        <w:snapToGrid w:val="0"/>
        <w:spacing w:line="520" w:lineRule="atLeast"/>
        <w:ind w:firstLine="480"/>
        <w:rPr>
          <w:rFonts w:ascii="宋体" w:hAnsi="宋体"/>
          <w:sz w:val="24"/>
          <w:szCs w:val="24"/>
        </w:rPr>
      </w:pPr>
      <w:r w:rsidRPr="003A50DE">
        <w:rPr>
          <w:rFonts w:ascii="宋体" w:hAnsi="宋体" w:hint="eastAsia"/>
          <w:sz w:val="24"/>
          <w:szCs w:val="24"/>
        </w:rPr>
        <w:lastRenderedPageBreak/>
        <w:t>本基金的投资范围为具有良好流动性的金融工具，包括国内依法发行上市的股票及存托凭证（包括主板、创业板及其他经中国证监会核准或注册发行的股票及存托凭证）、港股通标的股票</w:t>
      </w:r>
      <w:r w:rsidRPr="003A50DE">
        <w:rPr>
          <w:rFonts w:ascii="宋体" w:hAnsi="宋体"/>
          <w:sz w:val="24"/>
          <w:szCs w:val="24"/>
        </w:rPr>
        <w:t>、</w:t>
      </w:r>
      <w:r w:rsidRPr="003A50DE">
        <w:rPr>
          <w:rFonts w:ascii="宋体" w:hAnsi="宋体" w:hint="eastAsia"/>
          <w:sz w:val="24"/>
          <w:szCs w:val="24"/>
        </w:rPr>
        <w:t>债券（包括国债、地方政府债、金融债、企业债、公司债、公开发行的次级债、可转换债券、分离交易可转债</w:t>
      </w:r>
      <w:proofErr w:type="gramStart"/>
      <w:r w:rsidRPr="003A50DE">
        <w:rPr>
          <w:rFonts w:ascii="宋体" w:hAnsi="宋体" w:hint="eastAsia"/>
          <w:sz w:val="24"/>
          <w:szCs w:val="24"/>
        </w:rPr>
        <w:t>的纯债部分</w:t>
      </w:r>
      <w:proofErr w:type="gramEnd"/>
      <w:r w:rsidRPr="003A50DE">
        <w:rPr>
          <w:rFonts w:ascii="宋体" w:hAnsi="宋体" w:hint="eastAsia"/>
          <w:sz w:val="24"/>
          <w:szCs w:val="24"/>
        </w:rPr>
        <w:t>、可交换债券、央行票据、中期票据、证券公司短期公司债券、短期融资</w:t>
      </w:r>
      <w:proofErr w:type="gramStart"/>
      <w:r w:rsidRPr="003A50DE">
        <w:rPr>
          <w:rFonts w:ascii="宋体" w:hAnsi="宋体" w:hint="eastAsia"/>
          <w:sz w:val="24"/>
          <w:szCs w:val="24"/>
        </w:rPr>
        <w:t>券</w:t>
      </w:r>
      <w:proofErr w:type="gramEnd"/>
      <w:r w:rsidRPr="003A50DE">
        <w:rPr>
          <w:rFonts w:ascii="宋体" w:hAnsi="宋体" w:hint="eastAsia"/>
          <w:sz w:val="24"/>
          <w:szCs w:val="24"/>
        </w:rPr>
        <w:t>、超短期融资</w:t>
      </w:r>
      <w:proofErr w:type="gramStart"/>
      <w:r w:rsidRPr="003A50DE">
        <w:rPr>
          <w:rFonts w:ascii="宋体" w:hAnsi="宋体" w:hint="eastAsia"/>
          <w:sz w:val="24"/>
          <w:szCs w:val="24"/>
        </w:rPr>
        <w:t>券</w:t>
      </w:r>
      <w:proofErr w:type="gramEnd"/>
      <w:r w:rsidRPr="003A50DE">
        <w:rPr>
          <w:rFonts w:ascii="宋体" w:hAnsi="宋体" w:hint="eastAsia"/>
          <w:sz w:val="24"/>
          <w:szCs w:val="24"/>
        </w:rPr>
        <w:t>等）、债券回购、货币市场工具、银行存款、同业存单、资产支持证券、股指期货、国债期货以及法律法规或中国证监会允许基金投资的其他金融工具(但须符合中国证监会相关规定)。</w:t>
      </w:r>
    </w:p>
    <w:p w14:paraId="5F296815" w14:textId="77777777" w:rsidR="00FE3046" w:rsidRPr="003A50DE" w:rsidRDefault="00EA3FD1" w:rsidP="00EA3FD1">
      <w:pPr>
        <w:adjustRightInd w:val="0"/>
        <w:snapToGrid w:val="0"/>
        <w:spacing w:line="520" w:lineRule="atLeast"/>
        <w:ind w:firstLine="480"/>
        <w:rPr>
          <w:rFonts w:ascii="宋体" w:hAnsi="宋体"/>
          <w:sz w:val="24"/>
          <w:szCs w:val="24"/>
        </w:rPr>
      </w:pPr>
      <w:r w:rsidRPr="003A50DE">
        <w:rPr>
          <w:rFonts w:ascii="宋体" w:hAnsi="宋体" w:hint="eastAsia"/>
          <w:sz w:val="24"/>
          <w:szCs w:val="24"/>
        </w:rPr>
        <w:t>本基金将根据法律法规的规定参与融资业务。如法律法规或监管机构以后允许基金投资其他品种，基金管理人在履行适当程序后，可以将其纳入投资范围。</w:t>
      </w:r>
    </w:p>
    <w:p w14:paraId="528AD840" w14:textId="77777777" w:rsidR="00EA3FD1" w:rsidRPr="003A50DE" w:rsidRDefault="00EA3FD1" w:rsidP="00EA3FD1">
      <w:pPr>
        <w:adjustRightInd w:val="0"/>
        <w:snapToGrid w:val="0"/>
        <w:spacing w:line="520" w:lineRule="atLeast"/>
        <w:ind w:firstLine="480"/>
        <w:rPr>
          <w:rFonts w:ascii="宋体" w:hAnsi="宋体"/>
          <w:sz w:val="24"/>
          <w:szCs w:val="24"/>
        </w:rPr>
      </w:pPr>
      <w:r w:rsidRPr="003A50DE">
        <w:rPr>
          <w:rFonts w:ascii="宋体" w:hAnsi="宋体" w:hint="eastAsia"/>
          <w:sz w:val="24"/>
          <w:szCs w:val="24"/>
        </w:rPr>
        <w:t>本基金各类资产的投资比例范围为：</w:t>
      </w:r>
    </w:p>
    <w:p w14:paraId="3396FB4C" w14:textId="77777777" w:rsidR="00EA3FD1" w:rsidRPr="003A50DE" w:rsidRDefault="00EA3FD1" w:rsidP="004239B7">
      <w:pPr>
        <w:adjustRightInd w:val="0"/>
        <w:snapToGrid w:val="0"/>
        <w:spacing w:line="520" w:lineRule="atLeast"/>
        <w:ind w:firstLineChars="200" w:firstLine="480"/>
        <w:rPr>
          <w:rFonts w:ascii="宋体" w:hAnsi="宋体"/>
          <w:sz w:val="24"/>
          <w:szCs w:val="24"/>
        </w:rPr>
      </w:pPr>
      <w:r w:rsidRPr="003A50DE">
        <w:rPr>
          <w:rFonts w:ascii="宋体" w:hAnsi="宋体" w:hint="eastAsia"/>
          <w:sz w:val="24"/>
          <w:szCs w:val="24"/>
        </w:rPr>
        <w:t>股票资产投资比例为基金资产的60%</w:t>
      </w:r>
      <w:r w:rsidRPr="003A50DE">
        <w:rPr>
          <w:rFonts w:ascii="宋体" w:hAnsi="宋体"/>
          <w:sz w:val="24"/>
          <w:szCs w:val="24"/>
        </w:rPr>
        <w:t>—</w:t>
      </w:r>
      <w:r w:rsidRPr="003A50DE">
        <w:rPr>
          <w:rFonts w:ascii="宋体" w:hAnsi="宋体" w:hint="eastAsia"/>
          <w:sz w:val="24"/>
          <w:szCs w:val="24"/>
        </w:rPr>
        <w:t>95</w:t>
      </w:r>
      <w:r w:rsidRPr="003A50DE">
        <w:rPr>
          <w:rFonts w:ascii="宋体" w:hAnsi="宋体"/>
          <w:sz w:val="24"/>
          <w:szCs w:val="24"/>
        </w:rPr>
        <w:t>%（其中投资于港股通标的股票的比例占股票资产的 0-50%）；</w:t>
      </w:r>
      <w:r w:rsidRPr="003A50DE">
        <w:rPr>
          <w:rFonts w:ascii="宋体" w:hAnsi="宋体" w:hint="eastAsia"/>
          <w:sz w:val="24"/>
          <w:szCs w:val="24"/>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49670E5D" w14:textId="19137915" w:rsidR="00EA3FD1" w:rsidRPr="003A50DE" w:rsidRDefault="00EA3FD1" w:rsidP="00EA3FD1">
      <w:pPr>
        <w:adjustRightInd w:val="0"/>
        <w:snapToGrid w:val="0"/>
        <w:spacing w:line="520" w:lineRule="atLeast"/>
        <w:rPr>
          <w:rFonts w:ascii="宋体" w:hAnsi="宋体"/>
          <w:sz w:val="24"/>
          <w:szCs w:val="24"/>
        </w:rPr>
      </w:pPr>
      <w:r w:rsidRPr="003A50DE">
        <w:rPr>
          <w:rFonts w:ascii="宋体" w:hAnsi="宋体" w:hint="eastAsia"/>
          <w:sz w:val="24"/>
          <w:szCs w:val="24"/>
        </w:rPr>
        <w:t xml:space="preserve">    3.1.2基金托管人根据有关法律法规的规定及基金合同的约定对下述基金投融资比例进行监督： </w:t>
      </w:r>
    </w:p>
    <w:p w14:paraId="119EE253" w14:textId="1B18DAEC" w:rsidR="00EA3FD1" w:rsidRPr="003A50DE" w:rsidRDefault="00EA3FD1" w:rsidP="00EA3FD1">
      <w:pPr>
        <w:adjustRightInd w:val="0"/>
        <w:snapToGrid w:val="0"/>
        <w:spacing w:line="520" w:lineRule="atLeast"/>
        <w:rPr>
          <w:rFonts w:ascii="宋体" w:hAnsi="宋体"/>
          <w:sz w:val="24"/>
          <w:szCs w:val="24"/>
        </w:rPr>
      </w:pPr>
      <w:r w:rsidRPr="003A50DE">
        <w:rPr>
          <w:rFonts w:ascii="宋体" w:hAnsi="宋体" w:hint="eastAsia"/>
          <w:sz w:val="24"/>
          <w:szCs w:val="24"/>
        </w:rPr>
        <w:t xml:space="preserve">    </w:t>
      </w:r>
      <w:bookmarkStart w:id="26" w:name="_Hlk130830091"/>
      <w:r w:rsidRPr="003A50DE">
        <w:rPr>
          <w:rFonts w:ascii="宋体" w:hAnsi="宋体" w:hint="eastAsia"/>
          <w:sz w:val="24"/>
        </w:rPr>
        <w:t>（</w:t>
      </w:r>
      <w:r w:rsidRPr="003A50DE">
        <w:rPr>
          <w:rFonts w:ascii="宋体" w:hAnsi="宋体"/>
          <w:sz w:val="24"/>
        </w:rPr>
        <w:t>1</w:t>
      </w:r>
      <w:r w:rsidRPr="003A50DE">
        <w:rPr>
          <w:rFonts w:ascii="宋体" w:hAnsi="宋体" w:hint="eastAsia"/>
          <w:sz w:val="24"/>
        </w:rPr>
        <w:t>）本基金</w:t>
      </w:r>
      <w:r w:rsidRPr="003A50DE">
        <w:rPr>
          <w:rFonts w:ascii="宋体" w:hAnsi="宋体" w:hint="eastAsia"/>
          <w:bCs/>
          <w:sz w:val="24"/>
          <w:szCs w:val="24"/>
        </w:rPr>
        <w:t>股票资产投资比例为基金资产的60%</w:t>
      </w:r>
      <w:r w:rsidRPr="003A50DE">
        <w:rPr>
          <w:rFonts w:ascii="宋体" w:hAnsi="宋体"/>
          <w:bCs/>
          <w:sz w:val="24"/>
          <w:szCs w:val="24"/>
        </w:rPr>
        <w:t>—</w:t>
      </w:r>
      <w:r w:rsidRPr="003A50DE">
        <w:rPr>
          <w:rFonts w:ascii="宋体" w:hAnsi="宋体" w:hint="eastAsia"/>
          <w:bCs/>
          <w:sz w:val="24"/>
          <w:szCs w:val="24"/>
        </w:rPr>
        <w:t>95</w:t>
      </w:r>
      <w:r w:rsidRPr="003A50DE">
        <w:rPr>
          <w:rFonts w:ascii="宋体" w:hAnsi="宋体"/>
          <w:bCs/>
          <w:sz w:val="24"/>
          <w:szCs w:val="24"/>
        </w:rPr>
        <w:t>%（其中投资于港股通标的股票的比例占股票资产的 0-50%）；</w:t>
      </w:r>
      <w:r w:rsidRPr="003A50DE" w:rsidDel="00B30159">
        <w:rPr>
          <w:rFonts w:ascii="宋体" w:hAnsi="宋体" w:hint="eastAsia"/>
          <w:bCs/>
          <w:sz w:val="24"/>
          <w:szCs w:val="24"/>
        </w:rPr>
        <w:t xml:space="preserve"> </w:t>
      </w:r>
    </w:p>
    <w:p w14:paraId="175D4A25"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2）基金财产参与股票发行申购，本基金所申报的金额不超过本基金的总资产，本基金所申报的股票数量不超过拟发行股票公司本次发行股票的总量；</w:t>
      </w:r>
    </w:p>
    <w:p w14:paraId="70F2258F"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3</w:t>
      </w:r>
      <w:r w:rsidRPr="003A50DE">
        <w:rPr>
          <w:rFonts w:ascii="宋体" w:hAnsi="宋体" w:hint="eastAsia"/>
          <w:sz w:val="24"/>
          <w:szCs w:val="24"/>
        </w:rPr>
        <w:t>）每个交易日日终，在扣除股指期货和国债期货合约需缴纳的交易保证金后，本基金保持不低于基金资产净值</w:t>
      </w:r>
      <w:r w:rsidRPr="003A50DE">
        <w:rPr>
          <w:rFonts w:ascii="宋体" w:hAnsi="宋体"/>
          <w:sz w:val="24"/>
          <w:szCs w:val="24"/>
        </w:rPr>
        <w:t>5%</w:t>
      </w:r>
      <w:r w:rsidRPr="003A50DE">
        <w:rPr>
          <w:rFonts w:ascii="宋体" w:hAnsi="宋体" w:hint="eastAsia"/>
          <w:sz w:val="24"/>
          <w:szCs w:val="24"/>
        </w:rPr>
        <w:t>的现金或者到期日在一年以内的政府债券，其中现金不包括结算备付金、存出保证金、应收申购款等；</w:t>
      </w:r>
    </w:p>
    <w:p w14:paraId="1497E107" w14:textId="77777777" w:rsidR="00EA3FD1" w:rsidRPr="003A50DE" w:rsidRDefault="00EA3FD1" w:rsidP="004239B7">
      <w:pPr>
        <w:adjustRightInd w:val="0"/>
        <w:snapToGrid w:val="0"/>
        <w:spacing w:line="520" w:lineRule="atLeast"/>
        <w:ind w:firstLineChars="177" w:firstLine="425"/>
        <w:rPr>
          <w:rFonts w:ascii="宋体" w:hAnsi="宋体"/>
          <w:sz w:val="24"/>
        </w:rPr>
      </w:pPr>
      <w:r w:rsidRPr="003A50DE">
        <w:rPr>
          <w:rFonts w:ascii="宋体" w:hAnsi="宋体" w:hint="eastAsia"/>
          <w:sz w:val="24"/>
          <w:szCs w:val="24"/>
        </w:rPr>
        <w:t>（</w:t>
      </w:r>
      <w:r w:rsidRPr="003A50DE">
        <w:rPr>
          <w:rFonts w:ascii="宋体" w:hAnsi="宋体"/>
          <w:sz w:val="24"/>
          <w:szCs w:val="24"/>
        </w:rPr>
        <w:t>4</w:t>
      </w:r>
      <w:r w:rsidRPr="003A50DE">
        <w:rPr>
          <w:rFonts w:ascii="宋体" w:hAnsi="宋体" w:hint="eastAsia"/>
          <w:sz w:val="24"/>
          <w:szCs w:val="24"/>
        </w:rPr>
        <w:t>）本基金</w:t>
      </w:r>
      <w:r w:rsidRPr="003A50DE">
        <w:rPr>
          <w:rFonts w:ascii="宋体" w:hAnsi="宋体" w:hint="eastAsia"/>
          <w:sz w:val="24"/>
        </w:rPr>
        <w:t>持有一家公司发行的证券，其市值</w:t>
      </w:r>
      <w:r w:rsidRPr="003A50DE">
        <w:rPr>
          <w:rFonts w:ascii="宋体" w:hAnsi="宋体" w:hint="eastAsia"/>
          <w:sz w:val="24"/>
          <w:szCs w:val="24"/>
        </w:rPr>
        <w:t>（同一家公司在境内和香港市场同时上市的</w:t>
      </w:r>
      <w:r w:rsidRPr="003A50DE">
        <w:rPr>
          <w:rFonts w:ascii="宋体" w:hAnsi="宋体"/>
          <w:sz w:val="24"/>
          <w:szCs w:val="24"/>
        </w:rPr>
        <w:t>A+H股合</w:t>
      </w:r>
      <w:r w:rsidRPr="003A50DE">
        <w:rPr>
          <w:rFonts w:ascii="宋体" w:hAnsi="宋体" w:hint="eastAsia"/>
          <w:sz w:val="24"/>
          <w:szCs w:val="24"/>
        </w:rPr>
        <w:t>并计算）</w:t>
      </w:r>
      <w:r w:rsidRPr="003A50DE">
        <w:rPr>
          <w:rFonts w:ascii="宋体" w:hAnsi="宋体" w:hint="eastAsia"/>
          <w:sz w:val="24"/>
        </w:rPr>
        <w:t>不超过基金资产净值的</w:t>
      </w:r>
      <w:r w:rsidRPr="003A50DE">
        <w:rPr>
          <w:rFonts w:ascii="宋体" w:hAnsi="宋体"/>
          <w:sz w:val="24"/>
        </w:rPr>
        <w:t>10</w:t>
      </w:r>
      <w:r w:rsidR="006D5C69" w:rsidRPr="003A50DE">
        <w:rPr>
          <w:rFonts w:ascii="宋体" w:hAnsi="宋体" w:hint="eastAsia"/>
          <w:color w:val="000000" w:themeColor="text1"/>
          <w:sz w:val="24"/>
          <w:szCs w:val="24"/>
        </w:rPr>
        <w:t>%</w:t>
      </w:r>
      <w:r w:rsidRPr="003A50DE">
        <w:rPr>
          <w:rFonts w:ascii="宋体" w:hAnsi="宋体" w:hint="eastAsia"/>
          <w:sz w:val="24"/>
          <w:szCs w:val="24"/>
        </w:rPr>
        <w:t>；</w:t>
      </w:r>
    </w:p>
    <w:p w14:paraId="21A0899C"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5</w:t>
      </w:r>
      <w:r w:rsidRPr="003A50DE">
        <w:rPr>
          <w:rFonts w:ascii="宋体" w:hAnsi="宋体" w:hint="eastAsia"/>
          <w:sz w:val="24"/>
          <w:szCs w:val="24"/>
        </w:rPr>
        <w:t>）本基金管理人管理的全部基金持有一家公司发行的证券（同一家公司在境</w:t>
      </w:r>
      <w:r w:rsidRPr="003A50DE">
        <w:rPr>
          <w:rFonts w:ascii="宋体" w:hAnsi="宋体" w:hint="eastAsia"/>
          <w:sz w:val="24"/>
          <w:szCs w:val="24"/>
        </w:rPr>
        <w:lastRenderedPageBreak/>
        <w:t>内和香港市场同时上市的</w:t>
      </w:r>
      <w:r w:rsidRPr="003A50DE">
        <w:rPr>
          <w:rFonts w:ascii="宋体" w:hAnsi="宋体"/>
          <w:sz w:val="24"/>
          <w:szCs w:val="24"/>
        </w:rPr>
        <w:t>A+H股合</w:t>
      </w:r>
      <w:r w:rsidRPr="003A50DE">
        <w:rPr>
          <w:rFonts w:ascii="宋体" w:hAnsi="宋体" w:hint="eastAsia"/>
          <w:sz w:val="24"/>
          <w:szCs w:val="24"/>
        </w:rPr>
        <w:t>并计算），不超过该证券的</w:t>
      </w:r>
      <w:r w:rsidRPr="003A50DE">
        <w:rPr>
          <w:rFonts w:ascii="宋体" w:hAnsi="宋体"/>
          <w:sz w:val="24"/>
          <w:szCs w:val="24"/>
        </w:rPr>
        <w:t>10</w:t>
      </w:r>
      <w:r w:rsidR="006D5C69" w:rsidRPr="003A50DE">
        <w:rPr>
          <w:rFonts w:ascii="宋体" w:hAnsi="宋体" w:hint="eastAsia"/>
          <w:sz w:val="24"/>
          <w:szCs w:val="24"/>
        </w:rPr>
        <w:t>%</w:t>
      </w:r>
      <w:r w:rsidRPr="003A50DE">
        <w:rPr>
          <w:rFonts w:ascii="宋体" w:hAnsi="宋体" w:hint="eastAsia"/>
          <w:sz w:val="24"/>
          <w:szCs w:val="24"/>
        </w:rPr>
        <w:t>；</w:t>
      </w:r>
    </w:p>
    <w:p w14:paraId="26CBE4C3"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6</w:t>
      </w:r>
      <w:r w:rsidRPr="003A50DE">
        <w:rPr>
          <w:rFonts w:ascii="宋体" w:hAnsi="宋体" w:hint="eastAsia"/>
          <w:sz w:val="24"/>
          <w:szCs w:val="24"/>
        </w:rPr>
        <w:t>）本基金投资于同一原始权益人的各类资产支持证券的比例，不得超过基金资产净值的</w:t>
      </w:r>
      <w:r w:rsidRPr="003A50DE">
        <w:rPr>
          <w:rFonts w:ascii="宋体" w:hAnsi="宋体"/>
          <w:sz w:val="24"/>
          <w:szCs w:val="24"/>
        </w:rPr>
        <w:t>10</w:t>
      </w:r>
      <w:r w:rsidR="006D5C69" w:rsidRPr="003A50DE">
        <w:rPr>
          <w:rFonts w:ascii="宋体" w:hAnsi="宋体" w:hint="eastAsia"/>
          <w:sz w:val="24"/>
          <w:szCs w:val="24"/>
        </w:rPr>
        <w:t>%</w:t>
      </w:r>
      <w:r w:rsidRPr="003A50DE">
        <w:rPr>
          <w:rFonts w:ascii="宋体" w:hAnsi="宋体" w:hint="eastAsia"/>
          <w:sz w:val="24"/>
          <w:szCs w:val="24"/>
        </w:rPr>
        <w:t>；</w:t>
      </w:r>
    </w:p>
    <w:p w14:paraId="7713E46E"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7</w:t>
      </w:r>
      <w:r w:rsidRPr="003A50DE">
        <w:rPr>
          <w:rFonts w:ascii="宋体" w:hAnsi="宋体" w:hint="eastAsia"/>
          <w:sz w:val="24"/>
          <w:szCs w:val="24"/>
        </w:rPr>
        <w:t>）本基金持有的全部资产支持证券，其市值不得超过基金资产净值的</w:t>
      </w:r>
      <w:r w:rsidRPr="003A50DE">
        <w:rPr>
          <w:rFonts w:ascii="宋体" w:hAnsi="宋体"/>
          <w:sz w:val="24"/>
          <w:szCs w:val="24"/>
        </w:rPr>
        <w:t>20</w:t>
      </w:r>
      <w:r w:rsidR="006D5C69" w:rsidRPr="003A50DE">
        <w:rPr>
          <w:rFonts w:ascii="宋体" w:hAnsi="宋体" w:hint="eastAsia"/>
          <w:sz w:val="24"/>
          <w:szCs w:val="24"/>
        </w:rPr>
        <w:t>%</w:t>
      </w:r>
      <w:r w:rsidRPr="003A50DE">
        <w:rPr>
          <w:rFonts w:ascii="宋体" w:hAnsi="宋体" w:hint="eastAsia"/>
          <w:sz w:val="24"/>
          <w:szCs w:val="24"/>
        </w:rPr>
        <w:t>；</w:t>
      </w:r>
    </w:p>
    <w:p w14:paraId="512F36C3"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8</w:t>
      </w:r>
      <w:r w:rsidRPr="003A50DE">
        <w:rPr>
          <w:rFonts w:ascii="宋体" w:hAnsi="宋体" w:hint="eastAsia"/>
          <w:sz w:val="24"/>
          <w:szCs w:val="24"/>
        </w:rPr>
        <w:t>）本基金持有的同一</w:t>
      </w:r>
      <w:r w:rsidRPr="003A50DE">
        <w:rPr>
          <w:rFonts w:ascii="宋体" w:hAnsi="宋体"/>
          <w:sz w:val="24"/>
          <w:szCs w:val="24"/>
        </w:rPr>
        <w:t>(</w:t>
      </w:r>
      <w:r w:rsidRPr="003A50DE">
        <w:rPr>
          <w:rFonts w:ascii="宋体" w:hAnsi="宋体" w:hint="eastAsia"/>
          <w:sz w:val="24"/>
          <w:szCs w:val="24"/>
        </w:rPr>
        <w:t>指同一信用级别</w:t>
      </w:r>
      <w:r w:rsidRPr="003A50DE">
        <w:rPr>
          <w:rFonts w:ascii="宋体" w:hAnsi="宋体"/>
          <w:sz w:val="24"/>
          <w:szCs w:val="24"/>
        </w:rPr>
        <w:t>)</w:t>
      </w:r>
      <w:r w:rsidRPr="003A50DE">
        <w:rPr>
          <w:rFonts w:ascii="宋体" w:hAnsi="宋体" w:hint="eastAsia"/>
          <w:sz w:val="24"/>
          <w:szCs w:val="24"/>
        </w:rPr>
        <w:t>资产支持证券的比例，不得超过该资产支持证券规模的</w:t>
      </w:r>
      <w:r w:rsidRPr="003A50DE">
        <w:rPr>
          <w:rFonts w:ascii="宋体" w:hAnsi="宋体"/>
          <w:sz w:val="24"/>
          <w:szCs w:val="24"/>
        </w:rPr>
        <w:t>10</w:t>
      </w:r>
      <w:r w:rsidR="006D5C69" w:rsidRPr="003A50DE">
        <w:rPr>
          <w:rFonts w:ascii="宋体" w:hAnsi="宋体" w:hint="eastAsia"/>
          <w:sz w:val="24"/>
          <w:szCs w:val="24"/>
        </w:rPr>
        <w:t>%</w:t>
      </w:r>
      <w:r w:rsidRPr="003A50DE">
        <w:rPr>
          <w:rFonts w:ascii="宋体" w:hAnsi="宋体" w:hint="eastAsia"/>
          <w:sz w:val="24"/>
          <w:szCs w:val="24"/>
        </w:rPr>
        <w:t>；</w:t>
      </w:r>
    </w:p>
    <w:p w14:paraId="1B54B8C6"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9</w:t>
      </w:r>
      <w:r w:rsidRPr="003A50DE">
        <w:rPr>
          <w:rFonts w:ascii="宋体" w:hAnsi="宋体" w:hint="eastAsia"/>
          <w:sz w:val="24"/>
          <w:szCs w:val="24"/>
        </w:rPr>
        <w:t>）本基金管理人管理的全部基金投资于同一原始权益人的各类资产支持证券，不得超过其各类资产支持证券合计规模的</w:t>
      </w:r>
      <w:r w:rsidRPr="003A50DE">
        <w:rPr>
          <w:rFonts w:ascii="宋体" w:hAnsi="宋体"/>
          <w:sz w:val="24"/>
          <w:szCs w:val="24"/>
        </w:rPr>
        <w:t>10</w:t>
      </w:r>
      <w:r w:rsidR="006D5C69" w:rsidRPr="003A50DE">
        <w:rPr>
          <w:rFonts w:ascii="宋体" w:hAnsi="宋体" w:hint="eastAsia"/>
          <w:sz w:val="24"/>
          <w:szCs w:val="24"/>
        </w:rPr>
        <w:t>%</w:t>
      </w:r>
      <w:r w:rsidRPr="003A50DE">
        <w:rPr>
          <w:rFonts w:ascii="宋体" w:hAnsi="宋体" w:hint="eastAsia"/>
          <w:sz w:val="24"/>
          <w:szCs w:val="24"/>
        </w:rPr>
        <w:t>；</w:t>
      </w:r>
    </w:p>
    <w:p w14:paraId="1C4146EB"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10</w:t>
      </w:r>
      <w:r w:rsidRPr="003A50DE">
        <w:rPr>
          <w:rFonts w:ascii="宋体" w:hAnsi="宋体" w:hint="eastAsia"/>
          <w:sz w:val="24"/>
          <w:szCs w:val="24"/>
        </w:rPr>
        <w:t>）本基金应投资于信用级别评级为</w:t>
      </w:r>
      <w:r w:rsidRPr="003A50DE">
        <w:rPr>
          <w:rFonts w:ascii="宋体" w:hAnsi="宋体"/>
          <w:sz w:val="24"/>
          <w:szCs w:val="24"/>
        </w:rPr>
        <w:t>BBB</w:t>
      </w:r>
      <w:r w:rsidRPr="003A50DE">
        <w:rPr>
          <w:rFonts w:ascii="宋体" w:hAnsi="宋体" w:hint="eastAsia"/>
          <w:sz w:val="24"/>
          <w:szCs w:val="24"/>
        </w:rPr>
        <w:t>以上</w:t>
      </w:r>
      <w:r w:rsidRPr="003A50DE">
        <w:rPr>
          <w:rFonts w:ascii="宋体" w:hAnsi="宋体"/>
          <w:sz w:val="24"/>
          <w:szCs w:val="24"/>
        </w:rPr>
        <w:t>(</w:t>
      </w:r>
      <w:r w:rsidRPr="003A50DE">
        <w:rPr>
          <w:rFonts w:ascii="宋体" w:hAnsi="宋体" w:hint="eastAsia"/>
          <w:sz w:val="24"/>
          <w:szCs w:val="24"/>
        </w:rPr>
        <w:t>含</w:t>
      </w:r>
      <w:r w:rsidRPr="003A50DE">
        <w:rPr>
          <w:rFonts w:ascii="宋体" w:hAnsi="宋体"/>
          <w:sz w:val="24"/>
          <w:szCs w:val="24"/>
        </w:rPr>
        <w:t>BBB)</w:t>
      </w:r>
      <w:r w:rsidRPr="003A50DE">
        <w:rPr>
          <w:rFonts w:ascii="宋体" w:hAnsi="宋体" w:hint="eastAsia"/>
          <w:sz w:val="24"/>
          <w:szCs w:val="24"/>
        </w:rPr>
        <w:t>的资产支持证券。基金持有资产支持证券期间，如果其信用等级下降、不再符合投资标准，应在评级报告发布之日起</w:t>
      </w:r>
      <w:r w:rsidRPr="003A50DE">
        <w:rPr>
          <w:rFonts w:ascii="宋体" w:hAnsi="宋体"/>
          <w:sz w:val="24"/>
          <w:szCs w:val="24"/>
        </w:rPr>
        <w:t>3</w:t>
      </w:r>
      <w:r w:rsidRPr="003A50DE">
        <w:rPr>
          <w:rFonts w:ascii="宋体" w:hAnsi="宋体" w:hint="eastAsia"/>
          <w:sz w:val="24"/>
          <w:szCs w:val="24"/>
        </w:rPr>
        <w:t>个月内予以全部卖出；</w:t>
      </w:r>
    </w:p>
    <w:p w14:paraId="0F4A67B0"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11</w:t>
      </w:r>
      <w:r w:rsidRPr="003A50DE">
        <w:rPr>
          <w:rFonts w:ascii="宋体" w:hAnsi="宋体" w:hint="eastAsia"/>
          <w:sz w:val="24"/>
          <w:szCs w:val="24"/>
        </w:rPr>
        <w:t>）本基金总资产不得超过基金净资产的</w:t>
      </w:r>
      <w:r w:rsidRPr="003A50DE">
        <w:rPr>
          <w:rFonts w:ascii="宋体" w:hAnsi="宋体"/>
          <w:sz w:val="24"/>
          <w:szCs w:val="24"/>
        </w:rPr>
        <w:t>140%；</w:t>
      </w:r>
    </w:p>
    <w:p w14:paraId="347874E6"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12）本基金参与国债期货、股指期货交易，需遵守下列投资比例限制：</w:t>
      </w:r>
    </w:p>
    <w:p w14:paraId="0C296A9C" w14:textId="77777777" w:rsidR="00EA3FD1" w:rsidRPr="003A50DE" w:rsidRDefault="004239B7"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①</w:t>
      </w:r>
      <w:r w:rsidR="00EA3FD1" w:rsidRPr="003A50DE">
        <w:rPr>
          <w:rFonts w:ascii="宋体" w:hAnsi="宋体"/>
          <w:sz w:val="24"/>
          <w:szCs w:val="24"/>
        </w:rPr>
        <w:t>本基金在任何交易日日终，持有的买入股指期货合约价值，不得超过基金资产净值的10%；本基金在任何交易日日终，持有的买入国债期货合约价值，不得超过基金资产净值的15%；</w:t>
      </w:r>
    </w:p>
    <w:p w14:paraId="2BEB87FD" w14:textId="77777777" w:rsidR="00EA3FD1" w:rsidRPr="003A50DE" w:rsidRDefault="004239B7"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②</w:t>
      </w:r>
      <w:r w:rsidR="00EA3FD1" w:rsidRPr="003A50DE">
        <w:rPr>
          <w:rFonts w:ascii="宋体" w:hAnsi="宋体" w:hint="eastAsia"/>
          <w:sz w:val="24"/>
          <w:szCs w:val="24"/>
        </w:rPr>
        <w:t>本基金在任何交易日日终，持有的买入国债期货和股指期货合约价值和有价证券市值之和，不得超过基金资产净值的</w:t>
      </w:r>
      <w:r w:rsidR="00EA3FD1" w:rsidRPr="003A50DE">
        <w:rPr>
          <w:rFonts w:ascii="宋体" w:hAnsi="宋体"/>
          <w:sz w:val="24"/>
          <w:szCs w:val="24"/>
        </w:rPr>
        <w:t>95%；其中，有价证券指股票、债券（不含到期日在一年以内的政府债券）、资产支持证券、买入返售金融资产（不含质押式回购）等；</w:t>
      </w:r>
    </w:p>
    <w:p w14:paraId="05CCB9EC" w14:textId="77777777" w:rsidR="00EA3FD1" w:rsidRPr="003A50DE" w:rsidRDefault="004239B7"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③</w:t>
      </w:r>
      <w:r w:rsidR="00EA3FD1" w:rsidRPr="003A50DE">
        <w:rPr>
          <w:rFonts w:ascii="宋体" w:hAnsi="宋体"/>
          <w:sz w:val="24"/>
          <w:szCs w:val="24"/>
        </w:rPr>
        <w:t>本基金在任何交易日日终，持有的卖出股指期货合约价值不得超过基金持有的股票总市值的20%；本基金在任何交易日日终，持有的卖出国债期货合约价值不得超过基金持有的债券总市值的30%；</w:t>
      </w:r>
    </w:p>
    <w:p w14:paraId="1A055161" w14:textId="77777777" w:rsidR="00EA3FD1" w:rsidRPr="003A50DE" w:rsidRDefault="004239B7"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④</w:t>
      </w:r>
      <w:r w:rsidR="00EA3FD1" w:rsidRPr="003A50DE">
        <w:rPr>
          <w:rFonts w:ascii="宋体" w:hAnsi="宋体"/>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90FA405" w14:textId="77777777"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sz w:val="24"/>
          <w:szCs w:val="24"/>
        </w:rPr>
        <w:t>5）本基金在任何交易日内交易（不包括平仓）的股指期货合约的成交金额不得</w:t>
      </w:r>
      <w:r w:rsidRPr="003A50DE">
        <w:rPr>
          <w:rFonts w:ascii="宋体" w:hAnsi="宋体"/>
          <w:sz w:val="24"/>
          <w:szCs w:val="24"/>
        </w:rPr>
        <w:lastRenderedPageBreak/>
        <w:t>超过上一交易日基金资产净值的20%；本基金在任何交易日内交易（不包括平仓）的国债期货合约的成交金额不得超过上一交易日基金资产净值的30%；</w:t>
      </w:r>
    </w:p>
    <w:p w14:paraId="490E78DE" w14:textId="4A028E55"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1</w:t>
      </w:r>
      <w:r w:rsidR="00262C1E" w:rsidRPr="003A50DE">
        <w:rPr>
          <w:rFonts w:ascii="宋体" w:hAnsi="宋体" w:hint="eastAsia"/>
          <w:sz w:val="24"/>
          <w:szCs w:val="24"/>
        </w:rPr>
        <w:t>3</w:t>
      </w:r>
      <w:r w:rsidRPr="003A50DE">
        <w:rPr>
          <w:rFonts w:ascii="宋体" w:hAnsi="宋体"/>
          <w:sz w:val="24"/>
          <w:szCs w:val="24"/>
        </w:rPr>
        <w:t>）本基金参与融资</w:t>
      </w:r>
      <w:r w:rsidRPr="003A50DE">
        <w:rPr>
          <w:rFonts w:ascii="宋体" w:hAnsi="宋体" w:hint="eastAsia"/>
          <w:sz w:val="24"/>
          <w:szCs w:val="24"/>
        </w:rPr>
        <w:t>业务</w:t>
      </w:r>
      <w:r w:rsidRPr="003A50DE">
        <w:rPr>
          <w:rFonts w:ascii="宋体" w:hAnsi="宋体"/>
          <w:sz w:val="24"/>
          <w:szCs w:val="24"/>
        </w:rPr>
        <w:t>的，每个交易日日终，本基金持有的融资买入股票与其他有价证券市值之和，不得超过基金资产净值的95%；</w:t>
      </w:r>
    </w:p>
    <w:p w14:paraId="66068E0E" w14:textId="600E964E" w:rsidR="00EA3FD1" w:rsidRPr="003A50DE" w:rsidRDefault="00EA3FD1" w:rsidP="004239B7">
      <w:pPr>
        <w:adjustRightInd w:val="0"/>
        <w:snapToGrid w:val="0"/>
        <w:spacing w:line="520" w:lineRule="atLeast"/>
        <w:ind w:firstLineChars="177" w:firstLine="425"/>
        <w:rPr>
          <w:rFonts w:ascii="宋体" w:hAnsi="宋体"/>
          <w:sz w:val="24"/>
        </w:rPr>
      </w:pPr>
      <w:r w:rsidRPr="003A50DE">
        <w:rPr>
          <w:rFonts w:ascii="宋体" w:hAnsi="宋体" w:hint="eastAsia"/>
          <w:sz w:val="24"/>
          <w:szCs w:val="24"/>
        </w:rPr>
        <w:t>（</w:t>
      </w:r>
      <w:r w:rsidRPr="003A50DE">
        <w:rPr>
          <w:rFonts w:ascii="宋体" w:hAnsi="宋体"/>
          <w:sz w:val="24"/>
          <w:szCs w:val="24"/>
        </w:rPr>
        <w:t>1</w:t>
      </w:r>
      <w:r w:rsidR="00262C1E" w:rsidRPr="003A50DE">
        <w:rPr>
          <w:rFonts w:ascii="宋体" w:hAnsi="宋体" w:hint="eastAsia"/>
          <w:sz w:val="24"/>
          <w:szCs w:val="24"/>
        </w:rPr>
        <w:t>4</w:t>
      </w:r>
      <w:r w:rsidRPr="003A50DE">
        <w:rPr>
          <w:rFonts w:ascii="宋体" w:hAnsi="宋体" w:hint="eastAsia"/>
          <w:sz w:val="24"/>
          <w:szCs w:val="24"/>
        </w:rPr>
        <w:t>）</w:t>
      </w:r>
      <w:r w:rsidRPr="003A50DE">
        <w:rPr>
          <w:rFonts w:ascii="宋体" w:hAnsi="宋体" w:hint="eastAsia"/>
          <w:sz w:val="24"/>
        </w:rPr>
        <w:t>本基金管理人管理的全部开放式基金</w:t>
      </w:r>
      <w:r w:rsidRPr="003A50DE">
        <w:rPr>
          <w:rFonts w:ascii="宋体" w:hAnsi="宋体"/>
          <w:sz w:val="24"/>
          <w:szCs w:val="24"/>
        </w:rPr>
        <w:t>(</w:t>
      </w:r>
      <w:r w:rsidRPr="003A50DE">
        <w:rPr>
          <w:rFonts w:ascii="宋体" w:hAnsi="宋体" w:hint="eastAsia"/>
          <w:sz w:val="24"/>
        </w:rPr>
        <w:t>包括开放式基金以及处于开放期的定期开放基金</w:t>
      </w:r>
      <w:r w:rsidRPr="003A50DE">
        <w:rPr>
          <w:rFonts w:ascii="宋体" w:hAnsi="宋体"/>
          <w:sz w:val="24"/>
          <w:szCs w:val="24"/>
        </w:rPr>
        <w:t>)</w:t>
      </w:r>
      <w:r w:rsidRPr="003A50DE">
        <w:rPr>
          <w:rFonts w:ascii="宋体" w:hAnsi="宋体" w:hint="eastAsia"/>
          <w:sz w:val="24"/>
        </w:rPr>
        <w:t>持有一家上市公司发行的可流通股票，不得超过该上市公司可流通股票的</w:t>
      </w:r>
      <w:r w:rsidRPr="003A50DE">
        <w:rPr>
          <w:rFonts w:ascii="宋体" w:hAnsi="宋体"/>
          <w:sz w:val="24"/>
          <w:szCs w:val="24"/>
        </w:rPr>
        <w:t xml:space="preserve"> </w:t>
      </w:r>
      <w:r w:rsidRPr="003A50DE">
        <w:rPr>
          <w:rFonts w:ascii="宋体" w:hAnsi="宋体"/>
          <w:sz w:val="24"/>
        </w:rPr>
        <w:t>15%</w:t>
      </w:r>
      <w:r w:rsidRPr="003A50DE">
        <w:rPr>
          <w:rFonts w:ascii="宋体" w:hAnsi="宋体" w:hint="eastAsia"/>
          <w:sz w:val="24"/>
        </w:rPr>
        <w:t>；本基金管理人管理的全部投资组合持有一家上市公司发行的可流通股票，不得超过该上市公司可流通股票的</w:t>
      </w:r>
      <w:r w:rsidRPr="003A50DE">
        <w:rPr>
          <w:rFonts w:ascii="宋体" w:hAnsi="宋体"/>
          <w:sz w:val="24"/>
        </w:rPr>
        <w:t>30%</w:t>
      </w:r>
      <w:r w:rsidRPr="003A50DE">
        <w:rPr>
          <w:rFonts w:ascii="宋体" w:hAnsi="宋体" w:hint="eastAsia"/>
          <w:sz w:val="24"/>
        </w:rPr>
        <w:t>；</w:t>
      </w:r>
      <w:r w:rsidRPr="003A50DE">
        <w:rPr>
          <w:rFonts w:ascii="宋体" w:hAnsi="宋体"/>
          <w:sz w:val="24"/>
          <w:szCs w:val="24"/>
        </w:rPr>
        <w:t xml:space="preserve"> </w:t>
      </w:r>
    </w:p>
    <w:p w14:paraId="256526E7" w14:textId="4E8222C4"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hint="eastAsia"/>
          <w:sz w:val="24"/>
          <w:szCs w:val="24"/>
        </w:rPr>
        <w:t>（</w:t>
      </w:r>
      <w:r w:rsidRPr="003A50DE">
        <w:rPr>
          <w:rFonts w:ascii="宋体" w:hAnsi="宋体"/>
          <w:sz w:val="24"/>
          <w:szCs w:val="24"/>
        </w:rPr>
        <w:t>1</w:t>
      </w:r>
      <w:r w:rsidR="00262C1E" w:rsidRPr="003A50DE">
        <w:rPr>
          <w:rFonts w:ascii="宋体" w:hAnsi="宋体" w:hint="eastAsia"/>
          <w:sz w:val="24"/>
          <w:szCs w:val="24"/>
        </w:rPr>
        <w:t>5</w:t>
      </w:r>
      <w:r w:rsidRPr="003A50DE">
        <w:rPr>
          <w:rFonts w:ascii="宋体" w:hAnsi="宋体"/>
          <w:sz w:val="24"/>
          <w:szCs w:val="24"/>
        </w:rPr>
        <w:t>）本基金与私募类</w:t>
      </w:r>
      <w:proofErr w:type="gramStart"/>
      <w:r w:rsidRPr="003A50DE">
        <w:rPr>
          <w:rFonts w:ascii="宋体" w:hAnsi="宋体" w:hint="eastAsia"/>
          <w:sz w:val="24"/>
          <w:szCs w:val="24"/>
        </w:rPr>
        <w:t>证券资管产品</w:t>
      </w:r>
      <w:proofErr w:type="gramEnd"/>
      <w:r w:rsidRPr="003A50DE">
        <w:rPr>
          <w:rFonts w:ascii="宋体" w:hAnsi="宋体" w:hint="eastAsia"/>
          <w:sz w:val="24"/>
          <w:szCs w:val="24"/>
        </w:rPr>
        <w:t>及中国证监会认定的其他主体为交易对手开展逆回购交易的，可接受质押品的资质要求应当与基金合同约定的投资范围保持一致；</w:t>
      </w:r>
    </w:p>
    <w:p w14:paraId="34922F6E" w14:textId="04FF52E8" w:rsidR="00EA3FD1" w:rsidRPr="003A50DE" w:rsidRDefault="00EA3FD1" w:rsidP="006D5C69">
      <w:pPr>
        <w:adjustRightInd w:val="0"/>
        <w:snapToGrid w:val="0"/>
        <w:spacing w:line="520" w:lineRule="atLeast"/>
        <w:ind w:firstLineChars="177" w:firstLine="425"/>
        <w:rPr>
          <w:rFonts w:ascii="宋体" w:hAnsi="宋体"/>
          <w:sz w:val="24"/>
        </w:rPr>
      </w:pPr>
      <w:r w:rsidRPr="003A50DE">
        <w:rPr>
          <w:rFonts w:ascii="宋体" w:hAnsi="宋体" w:hint="eastAsia"/>
          <w:sz w:val="24"/>
          <w:szCs w:val="24"/>
        </w:rPr>
        <w:t>（</w:t>
      </w:r>
      <w:r w:rsidRPr="003A50DE">
        <w:rPr>
          <w:rFonts w:ascii="宋体" w:hAnsi="宋体"/>
          <w:sz w:val="24"/>
          <w:szCs w:val="24"/>
        </w:rPr>
        <w:t>1</w:t>
      </w:r>
      <w:r w:rsidR="00262C1E" w:rsidRPr="003A50DE">
        <w:rPr>
          <w:rFonts w:ascii="宋体" w:hAnsi="宋体" w:hint="eastAsia"/>
          <w:sz w:val="24"/>
          <w:szCs w:val="24"/>
        </w:rPr>
        <w:t>6</w:t>
      </w:r>
      <w:r w:rsidRPr="003A50DE">
        <w:rPr>
          <w:rFonts w:ascii="宋体" w:hAnsi="宋体" w:hint="eastAsia"/>
          <w:sz w:val="24"/>
        </w:rPr>
        <w:t>）本基金主动投资于流动性受限资产的市值合计不得超过基金资产净值的</w:t>
      </w:r>
      <w:r w:rsidRPr="003A50DE">
        <w:rPr>
          <w:rFonts w:ascii="宋体" w:hAnsi="宋体"/>
          <w:sz w:val="24"/>
        </w:rPr>
        <w:t>15%</w:t>
      </w:r>
      <w:r w:rsidRPr="003A50DE">
        <w:rPr>
          <w:rFonts w:ascii="宋体" w:hAnsi="宋体" w:hint="eastAsia"/>
          <w:sz w:val="24"/>
          <w:szCs w:val="24"/>
        </w:rPr>
        <w:t>。</w:t>
      </w:r>
      <w:r w:rsidRPr="003A50DE">
        <w:rPr>
          <w:rFonts w:ascii="宋体" w:hAnsi="宋体" w:hint="eastAsia"/>
          <w:sz w:val="24"/>
        </w:rPr>
        <w:t>因证券市场波动、上市公司股票停牌、基金规模变动等基金管理人之外的因素致使基金不符合</w:t>
      </w:r>
      <w:r w:rsidRPr="003A50DE">
        <w:rPr>
          <w:rFonts w:ascii="宋体" w:hAnsi="宋体" w:hint="eastAsia"/>
          <w:sz w:val="24"/>
          <w:szCs w:val="24"/>
        </w:rPr>
        <w:t>本条</w:t>
      </w:r>
      <w:r w:rsidRPr="003A50DE">
        <w:rPr>
          <w:rFonts w:ascii="宋体" w:hAnsi="宋体" w:hint="eastAsia"/>
          <w:sz w:val="24"/>
        </w:rPr>
        <w:t>规定比例限制的，基金管理人不得主动新增流动性受限资产的投资；</w:t>
      </w:r>
    </w:p>
    <w:p w14:paraId="67325BAF" w14:textId="521C4EDE" w:rsidR="00EA3FD1" w:rsidRPr="003A50DE" w:rsidRDefault="00EA3FD1" w:rsidP="006D5C69">
      <w:pPr>
        <w:adjustRightInd w:val="0"/>
        <w:snapToGrid w:val="0"/>
        <w:spacing w:line="520" w:lineRule="atLeast"/>
        <w:ind w:firstLineChars="177" w:firstLine="425"/>
        <w:rPr>
          <w:rFonts w:ascii="宋体" w:hAnsi="宋体"/>
          <w:sz w:val="24"/>
        </w:rPr>
      </w:pPr>
      <w:r w:rsidRPr="003A50DE">
        <w:rPr>
          <w:rFonts w:ascii="宋体" w:hAnsi="宋体" w:hint="eastAsia"/>
          <w:sz w:val="24"/>
        </w:rPr>
        <w:t>（</w:t>
      </w:r>
      <w:r w:rsidRPr="003A50DE">
        <w:rPr>
          <w:rFonts w:ascii="宋体" w:hAnsi="宋体" w:hint="eastAsia"/>
          <w:sz w:val="24"/>
          <w:szCs w:val="24"/>
        </w:rPr>
        <w:t>1</w:t>
      </w:r>
      <w:r w:rsidR="00262C1E" w:rsidRPr="003A50DE">
        <w:rPr>
          <w:rFonts w:ascii="宋体" w:hAnsi="宋体" w:hint="eastAsia"/>
          <w:sz w:val="24"/>
          <w:szCs w:val="24"/>
        </w:rPr>
        <w:t>7</w:t>
      </w:r>
      <w:r w:rsidRPr="003A50DE">
        <w:rPr>
          <w:rFonts w:ascii="宋体" w:hAnsi="宋体" w:hint="eastAsia"/>
          <w:sz w:val="24"/>
          <w:szCs w:val="24"/>
        </w:rPr>
        <w:t>）本基金</w:t>
      </w:r>
      <w:r w:rsidRPr="003A50DE">
        <w:rPr>
          <w:rFonts w:ascii="宋体" w:hAnsi="宋体" w:hint="eastAsia"/>
          <w:sz w:val="24"/>
        </w:rPr>
        <w:t>投资</w:t>
      </w:r>
      <w:r w:rsidRPr="003A50DE">
        <w:rPr>
          <w:rFonts w:ascii="宋体" w:hAnsi="宋体" w:hint="eastAsia"/>
          <w:sz w:val="24"/>
          <w:szCs w:val="24"/>
        </w:rPr>
        <w:t>存托凭证的</w:t>
      </w:r>
      <w:r w:rsidRPr="003A50DE">
        <w:rPr>
          <w:rFonts w:ascii="宋体" w:hAnsi="宋体" w:hint="eastAsia"/>
          <w:sz w:val="24"/>
        </w:rPr>
        <w:t>比例限制</w:t>
      </w:r>
      <w:r w:rsidRPr="003A50DE">
        <w:rPr>
          <w:rFonts w:ascii="宋体" w:hAnsi="宋体" w:hint="eastAsia"/>
          <w:sz w:val="24"/>
          <w:szCs w:val="24"/>
        </w:rPr>
        <w:t>依照境内上市交易的股票进行，与境内上市交易的股票合并计算</w:t>
      </w:r>
      <w:r w:rsidRPr="003A50DE">
        <w:rPr>
          <w:rFonts w:ascii="宋体" w:hAnsi="宋体" w:hint="eastAsia"/>
          <w:sz w:val="24"/>
        </w:rPr>
        <w:t>；</w:t>
      </w:r>
    </w:p>
    <w:p w14:paraId="11F448C8" w14:textId="13930A3D" w:rsidR="00EA3FD1" w:rsidRPr="003A50DE" w:rsidRDefault="00EA3FD1" w:rsidP="006D5C69">
      <w:pPr>
        <w:adjustRightInd w:val="0"/>
        <w:snapToGrid w:val="0"/>
        <w:spacing w:line="520" w:lineRule="atLeast"/>
        <w:ind w:firstLineChars="177" w:firstLine="425"/>
        <w:rPr>
          <w:rFonts w:ascii="宋体" w:hAnsi="宋体"/>
          <w:sz w:val="24"/>
        </w:rPr>
      </w:pPr>
      <w:r w:rsidRPr="003A50DE">
        <w:rPr>
          <w:rFonts w:ascii="宋体" w:hAnsi="宋体" w:hint="eastAsia"/>
          <w:sz w:val="24"/>
          <w:szCs w:val="24"/>
        </w:rPr>
        <w:t>（</w:t>
      </w:r>
      <w:r w:rsidRPr="003A50DE">
        <w:rPr>
          <w:rFonts w:ascii="宋体" w:hAnsi="宋体"/>
          <w:sz w:val="24"/>
          <w:szCs w:val="24"/>
        </w:rPr>
        <w:t>1</w:t>
      </w:r>
      <w:r w:rsidR="00262C1E" w:rsidRPr="003A50DE">
        <w:rPr>
          <w:rFonts w:ascii="宋体" w:hAnsi="宋体" w:hint="eastAsia"/>
          <w:sz w:val="24"/>
          <w:szCs w:val="24"/>
        </w:rPr>
        <w:t>8</w:t>
      </w:r>
      <w:r w:rsidRPr="003A50DE">
        <w:rPr>
          <w:rFonts w:ascii="宋体" w:hAnsi="宋体" w:hint="eastAsia"/>
          <w:sz w:val="24"/>
          <w:szCs w:val="24"/>
        </w:rPr>
        <w:t>）法律法规及中国证监会规定的和</w:t>
      </w:r>
      <w:r w:rsidRPr="003A50DE">
        <w:rPr>
          <w:rFonts w:ascii="宋体" w:hAnsi="宋体" w:hint="eastAsia"/>
          <w:sz w:val="24"/>
        </w:rPr>
        <w:t>基金合同约定的</w:t>
      </w:r>
      <w:r w:rsidRPr="003A50DE">
        <w:rPr>
          <w:rFonts w:ascii="宋体" w:hAnsi="宋体" w:hint="eastAsia"/>
          <w:sz w:val="24"/>
          <w:szCs w:val="24"/>
        </w:rPr>
        <w:t>其他</w:t>
      </w:r>
      <w:r w:rsidRPr="003A50DE">
        <w:rPr>
          <w:rFonts w:ascii="宋体" w:hAnsi="宋体" w:hint="eastAsia"/>
          <w:sz w:val="24"/>
        </w:rPr>
        <w:t>投资</w:t>
      </w:r>
      <w:r w:rsidRPr="003A50DE">
        <w:rPr>
          <w:rFonts w:ascii="宋体" w:hAnsi="宋体" w:hint="eastAsia"/>
          <w:sz w:val="24"/>
          <w:szCs w:val="24"/>
        </w:rPr>
        <w:t>限制</w:t>
      </w:r>
      <w:r w:rsidRPr="003A50DE">
        <w:rPr>
          <w:rFonts w:ascii="宋体" w:hAnsi="宋体" w:hint="eastAsia"/>
          <w:sz w:val="24"/>
        </w:rPr>
        <w:t>。</w:t>
      </w:r>
    </w:p>
    <w:p w14:paraId="6398CBF7" w14:textId="61EF418E" w:rsidR="00EA3FD1" w:rsidRPr="003A50DE" w:rsidRDefault="00EA3FD1" w:rsidP="006D5C69">
      <w:pPr>
        <w:adjustRightInd w:val="0"/>
        <w:snapToGrid w:val="0"/>
        <w:spacing w:line="520" w:lineRule="atLeast"/>
        <w:ind w:firstLineChars="177" w:firstLine="425"/>
        <w:rPr>
          <w:rFonts w:ascii="宋体" w:hAnsi="宋体"/>
          <w:sz w:val="24"/>
        </w:rPr>
      </w:pPr>
      <w:r w:rsidRPr="003A50DE">
        <w:rPr>
          <w:rFonts w:ascii="宋体" w:hAnsi="宋体" w:hint="eastAsia"/>
          <w:sz w:val="24"/>
          <w:szCs w:val="24"/>
        </w:rPr>
        <w:t>除上述</w:t>
      </w:r>
      <w:r w:rsidRPr="003A50DE">
        <w:rPr>
          <w:rFonts w:ascii="宋体" w:hAnsi="宋体" w:hint="eastAsia"/>
          <w:bCs/>
          <w:sz w:val="24"/>
          <w:szCs w:val="24"/>
        </w:rPr>
        <w:t>第（</w:t>
      </w:r>
      <w:r w:rsidRPr="003A50DE">
        <w:rPr>
          <w:rFonts w:ascii="宋体" w:hAnsi="宋体"/>
          <w:bCs/>
          <w:sz w:val="24"/>
          <w:szCs w:val="24"/>
        </w:rPr>
        <w:t>3）、（10）、（1</w:t>
      </w:r>
      <w:r w:rsidR="00262C1E" w:rsidRPr="003A50DE">
        <w:rPr>
          <w:rFonts w:ascii="宋体" w:hAnsi="宋体" w:hint="eastAsia"/>
          <w:bCs/>
          <w:sz w:val="24"/>
          <w:szCs w:val="24"/>
        </w:rPr>
        <w:t>5</w:t>
      </w:r>
      <w:r w:rsidRPr="003A50DE">
        <w:rPr>
          <w:rFonts w:ascii="宋体" w:hAnsi="宋体"/>
          <w:bCs/>
          <w:sz w:val="24"/>
          <w:szCs w:val="24"/>
        </w:rPr>
        <w:t>）、（</w:t>
      </w:r>
      <w:r w:rsidRPr="003A50DE">
        <w:rPr>
          <w:rFonts w:ascii="宋体" w:hAnsi="宋体" w:hint="eastAsia"/>
          <w:bCs/>
          <w:sz w:val="24"/>
          <w:szCs w:val="24"/>
        </w:rPr>
        <w:t>1</w:t>
      </w:r>
      <w:r w:rsidR="00262C1E" w:rsidRPr="003A50DE">
        <w:rPr>
          <w:rFonts w:ascii="宋体" w:hAnsi="宋体" w:hint="eastAsia"/>
          <w:bCs/>
          <w:sz w:val="24"/>
          <w:szCs w:val="24"/>
        </w:rPr>
        <w:t>6</w:t>
      </w:r>
      <w:r w:rsidRPr="003A50DE">
        <w:rPr>
          <w:rFonts w:ascii="宋体" w:hAnsi="宋体"/>
          <w:bCs/>
          <w:sz w:val="24"/>
          <w:szCs w:val="24"/>
        </w:rPr>
        <w:t>）项</w:t>
      </w:r>
      <w:r w:rsidRPr="003A50DE">
        <w:rPr>
          <w:rFonts w:ascii="宋体" w:hAnsi="宋体"/>
          <w:sz w:val="24"/>
        </w:rPr>
        <w:t>外</w:t>
      </w:r>
      <w:r w:rsidRPr="003A50DE">
        <w:rPr>
          <w:rFonts w:ascii="宋体" w:hAnsi="宋体" w:hint="eastAsia"/>
          <w:sz w:val="24"/>
        </w:rPr>
        <w:t>，</w:t>
      </w:r>
      <w:r w:rsidRPr="003A50DE">
        <w:rPr>
          <w:rFonts w:ascii="宋体" w:hAnsi="宋体"/>
          <w:sz w:val="24"/>
        </w:rPr>
        <w:t>因证券</w:t>
      </w:r>
      <w:r w:rsidRPr="003A50DE">
        <w:rPr>
          <w:rFonts w:ascii="宋体" w:hAnsi="宋体" w:hint="eastAsia"/>
          <w:sz w:val="24"/>
        </w:rPr>
        <w:t>、期货</w:t>
      </w:r>
      <w:r w:rsidRPr="003A50DE">
        <w:rPr>
          <w:rFonts w:ascii="宋体" w:hAnsi="宋体"/>
          <w:sz w:val="24"/>
        </w:rPr>
        <w:t>市场波动、</w:t>
      </w:r>
      <w:r w:rsidRPr="003A50DE">
        <w:rPr>
          <w:rFonts w:ascii="宋体" w:hAnsi="宋体" w:hint="eastAsia"/>
          <w:sz w:val="24"/>
        </w:rPr>
        <w:t>证券发行人</w:t>
      </w:r>
      <w:r w:rsidRPr="003A50DE">
        <w:rPr>
          <w:rFonts w:ascii="宋体" w:hAnsi="宋体"/>
          <w:sz w:val="24"/>
        </w:rPr>
        <w:t>合并、基金规模变动等基金管理人之外的因素致使基金投资比例不符合上述规定投资比例的，基金管理人应当在10个交易日内进行调整</w:t>
      </w:r>
      <w:r w:rsidRPr="003A50DE">
        <w:rPr>
          <w:rFonts w:ascii="宋体" w:hAnsi="宋体" w:hint="eastAsia"/>
          <w:sz w:val="24"/>
          <w:szCs w:val="24"/>
        </w:rPr>
        <w:t>，但中国证监会规定的特殊情形除外。</w:t>
      </w:r>
      <w:r w:rsidRPr="003A50DE">
        <w:rPr>
          <w:rFonts w:ascii="宋体" w:hAnsi="宋体" w:hint="eastAsia"/>
          <w:sz w:val="24"/>
        </w:rPr>
        <w:t>法律法规另有规定的，从其规定。</w:t>
      </w:r>
    </w:p>
    <w:p w14:paraId="77D59C1E" w14:textId="32B2D0C9" w:rsidR="00EA3FD1" w:rsidRPr="003A50DE" w:rsidRDefault="00EA3FD1" w:rsidP="006D5C69">
      <w:pPr>
        <w:adjustRightInd w:val="0"/>
        <w:snapToGrid w:val="0"/>
        <w:spacing w:line="520" w:lineRule="atLeast"/>
        <w:ind w:firstLineChars="177" w:firstLine="425"/>
        <w:rPr>
          <w:rFonts w:ascii="宋体" w:hAnsi="宋体"/>
          <w:sz w:val="24"/>
        </w:rPr>
      </w:pPr>
      <w:r w:rsidRPr="003A50DE">
        <w:rPr>
          <w:rFonts w:ascii="宋体" w:hAnsi="宋体"/>
          <w:sz w:val="24"/>
        </w:rPr>
        <w:t>基金管理人应当自基金合同生效之日起6个月内使基金的投资组合比例符合基金合同的有关约定。</w:t>
      </w:r>
      <w:r w:rsidRPr="003A50DE">
        <w:rPr>
          <w:rFonts w:ascii="宋体" w:hAnsi="宋体" w:hint="eastAsia"/>
          <w:sz w:val="24"/>
        </w:rPr>
        <w:t>在上述期间内，本基金的投资范围、投资策略应当符合基金合同的约定。</w:t>
      </w:r>
      <w:r w:rsidRPr="003A50DE">
        <w:rPr>
          <w:rFonts w:ascii="宋体" w:hAnsi="宋体"/>
          <w:sz w:val="24"/>
        </w:rPr>
        <w:t>基金托管人对基金的投资的监督与检查自基金合同生效之日起开始。</w:t>
      </w:r>
    </w:p>
    <w:p w14:paraId="58D31F7C" w14:textId="304FDD68" w:rsidR="00EA3FD1" w:rsidRPr="003A50DE" w:rsidRDefault="00EA3FD1" w:rsidP="00EA3FD1">
      <w:pPr>
        <w:adjustRightInd w:val="0"/>
        <w:snapToGrid w:val="0"/>
        <w:spacing w:line="520" w:lineRule="atLeast"/>
        <w:ind w:firstLineChars="177" w:firstLine="425"/>
        <w:rPr>
          <w:rFonts w:ascii="宋体" w:hAnsi="宋体"/>
          <w:sz w:val="24"/>
          <w:szCs w:val="24"/>
        </w:rPr>
      </w:pPr>
      <w:r w:rsidRPr="003A50DE">
        <w:rPr>
          <w:rFonts w:ascii="宋体" w:hAnsi="宋体"/>
          <w:sz w:val="24"/>
        </w:rPr>
        <w:t>法律法规或监管部门取消</w:t>
      </w:r>
      <w:r w:rsidRPr="003A50DE">
        <w:rPr>
          <w:rFonts w:ascii="宋体" w:hAnsi="宋体" w:hint="eastAsia"/>
          <w:bCs/>
          <w:sz w:val="24"/>
          <w:szCs w:val="24"/>
        </w:rPr>
        <w:t>或调整</w:t>
      </w:r>
      <w:r w:rsidRPr="003A50DE">
        <w:rPr>
          <w:rFonts w:ascii="宋体" w:hAnsi="宋体"/>
          <w:sz w:val="24"/>
        </w:rPr>
        <w:t>上述限制，如适用于本基金，</w:t>
      </w:r>
      <w:r w:rsidRPr="003A50DE">
        <w:rPr>
          <w:rFonts w:ascii="宋体" w:hAnsi="宋体"/>
          <w:sz w:val="24"/>
          <w:szCs w:val="24"/>
        </w:rPr>
        <w:t>基金管理人</w:t>
      </w:r>
      <w:r w:rsidRPr="003A50DE">
        <w:rPr>
          <w:rFonts w:ascii="宋体" w:hAnsi="宋体" w:hint="eastAsia"/>
          <w:sz w:val="24"/>
          <w:szCs w:val="24"/>
        </w:rPr>
        <w:t>在</w:t>
      </w:r>
      <w:r w:rsidRPr="003A50DE">
        <w:rPr>
          <w:rFonts w:ascii="宋体" w:hAnsi="宋体"/>
          <w:sz w:val="24"/>
          <w:szCs w:val="24"/>
        </w:rPr>
        <w:t>履行适当程序后，</w:t>
      </w:r>
      <w:r w:rsidRPr="003A50DE">
        <w:rPr>
          <w:rFonts w:ascii="宋体" w:hAnsi="宋体"/>
          <w:sz w:val="24"/>
        </w:rPr>
        <w:t>则本基金投资不再受相关限制</w:t>
      </w:r>
      <w:r w:rsidRPr="003A50DE">
        <w:rPr>
          <w:rFonts w:ascii="宋体" w:hAnsi="宋体" w:hint="eastAsia"/>
          <w:bCs/>
          <w:sz w:val="24"/>
          <w:szCs w:val="24"/>
        </w:rPr>
        <w:t>或按调整后的规定执行，但须提前公告</w:t>
      </w:r>
      <w:r w:rsidRPr="003A50DE">
        <w:rPr>
          <w:rFonts w:ascii="宋体" w:hAnsi="宋体"/>
          <w:sz w:val="24"/>
          <w:szCs w:val="24"/>
        </w:rPr>
        <w:t>。</w:t>
      </w:r>
    </w:p>
    <w:bookmarkEnd w:id="26"/>
    <w:p w14:paraId="366BCA2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3.1.3基金托管人根据有关法律法规的规定及基金合同的约定对下述基金投资禁止行为进行监督：</w:t>
      </w:r>
    </w:p>
    <w:p w14:paraId="6037793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根据法律法规的规定及基金合同的约定，本基金禁止从事下列行为：</w:t>
      </w:r>
    </w:p>
    <w:p w14:paraId="4B32D3A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27" w:name="_Hlk130830202"/>
      <w:r w:rsidRPr="003A50DE">
        <w:rPr>
          <w:rFonts w:hAnsi="宋体" w:hint="eastAsia"/>
          <w:szCs w:val="24"/>
        </w:rPr>
        <w:t>（1）承销证券；</w:t>
      </w:r>
    </w:p>
    <w:p w14:paraId="77EF8EB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（2）违反规定向他人贷款或者提供担保；</w:t>
      </w:r>
    </w:p>
    <w:p w14:paraId="3C43719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（3）从事承担无限责任的投资；</w:t>
      </w:r>
    </w:p>
    <w:p w14:paraId="026905E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（4）买卖其他基金份额，但法律法规或中国证监会另有规定的除外；</w:t>
      </w:r>
    </w:p>
    <w:p w14:paraId="1214E95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（5）向其基金管理人、基金托管人出资；</w:t>
      </w:r>
    </w:p>
    <w:p w14:paraId="4748170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（6）从事内幕交易、操纵证券交易价格及其他不正当的证券交易活动；</w:t>
      </w:r>
    </w:p>
    <w:p w14:paraId="33A769E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（7）法律、行政法规和中国证监会规定禁止的其他活动。</w:t>
      </w:r>
    </w:p>
    <w:p w14:paraId="38961237" w14:textId="5C62C3AF"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法律</w:t>
      </w:r>
      <w:r w:rsidR="00A5336A" w:rsidRPr="003A50DE">
        <w:rPr>
          <w:rFonts w:hAnsi="宋体" w:hint="eastAsia"/>
          <w:szCs w:val="24"/>
        </w:rPr>
        <w:t>、行政</w:t>
      </w:r>
      <w:r w:rsidRPr="003A50DE">
        <w:rPr>
          <w:rFonts w:hAnsi="宋体" w:hint="eastAsia"/>
          <w:szCs w:val="24"/>
        </w:rPr>
        <w:t>法规或监管部门取消</w:t>
      </w:r>
      <w:r w:rsidR="00262C1E" w:rsidRPr="003A50DE">
        <w:rPr>
          <w:rFonts w:hAnsi="宋体" w:hint="eastAsia"/>
          <w:szCs w:val="24"/>
        </w:rPr>
        <w:t>或调整</w:t>
      </w:r>
      <w:r w:rsidRPr="003A50DE">
        <w:rPr>
          <w:rFonts w:hAnsi="宋体" w:hint="eastAsia"/>
          <w:szCs w:val="24"/>
        </w:rPr>
        <w:t>上述禁止性规定，如适用于本基金，基金管理人在履行适当程序后，</w:t>
      </w:r>
      <w:r w:rsidR="00A5336A" w:rsidRPr="003A50DE">
        <w:rPr>
          <w:rFonts w:hAnsi="宋体" w:hint="eastAsia"/>
          <w:bCs/>
          <w:szCs w:val="24"/>
        </w:rPr>
        <w:t>则本基金投资不再受相关限制</w:t>
      </w:r>
      <w:r w:rsidR="00262C1E" w:rsidRPr="003A50DE">
        <w:rPr>
          <w:rFonts w:hAnsi="宋体" w:hint="eastAsia"/>
          <w:bCs/>
          <w:szCs w:val="24"/>
        </w:rPr>
        <w:t>或按调整后的规定执行</w:t>
      </w:r>
      <w:r w:rsidR="00A5336A" w:rsidRPr="003A50DE">
        <w:rPr>
          <w:rFonts w:hAnsi="宋体" w:hint="eastAsia"/>
          <w:bCs/>
          <w:szCs w:val="24"/>
        </w:rPr>
        <w:t>。</w:t>
      </w:r>
    </w:p>
    <w:bookmarkEnd w:id="27"/>
    <w:p w14:paraId="70459F4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3.1.4基金托管人依据有关法律法规的规定和基金合同的约定对于基金关联投资限制进行监督：</w:t>
      </w:r>
    </w:p>
    <w:p w14:paraId="39FC0B5C" w14:textId="5DBFE63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28" w:name="_Hlk130830221"/>
      <w:r w:rsidRPr="003A50DE">
        <w:rPr>
          <w:rFonts w:hAnsi="宋体" w:hint="eastAsia"/>
          <w:szCs w:val="24"/>
        </w:rPr>
        <w:t>基金管理人运用基金财产买卖基金管理人、基金托管人及其控股股东、实际控制人</w:t>
      </w:r>
      <w:bookmarkStart w:id="29" w:name="_Hlk130830214"/>
      <w:r w:rsidRPr="003A50DE">
        <w:rPr>
          <w:rFonts w:hAnsi="宋体" w:hint="eastAsia"/>
          <w:szCs w:val="24"/>
        </w:rPr>
        <w:t>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8"/>
    <w:bookmarkEnd w:id="29"/>
    <w:p w14:paraId="154C947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w:t>
      </w:r>
      <w:r w:rsidRPr="003A50DE">
        <w:rPr>
          <w:rFonts w:hAnsi="宋体" w:hint="eastAsia"/>
          <w:szCs w:val="24"/>
        </w:rPr>
        <w:lastRenderedPageBreak/>
        <w:t>和责任。</w:t>
      </w:r>
    </w:p>
    <w:p w14:paraId="3F2C4E9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3.1.5基金托管人依据有关法律法规的规定和基金合同的约定对基金管理人参与银行间债券市场进行监督：</w:t>
      </w:r>
    </w:p>
    <w:p w14:paraId="21D0199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（1）基金托管人对于基金管理人参与银行间债券市场交易时是否按交易对手名单进行</w:t>
      </w:r>
      <w:r w:rsidRPr="003A50DE">
        <w:rPr>
          <w:rFonts w:hAnsi="宋体"/>
          <w:szCs w:val="24"/>
        </w:rPr>
        <w:t>交易</w:t>
      </w:r>
      <w:r w:rsidRPr="003A50DE">
        <w:rPr>
          <w:rFonts w:hAnsi="宋体" w:hint="eastAsia"/>
          <w:szCs w:val="24"/>
        </w:rPr>
        <w:t>进行监督。</w:t>
      </w:r>
    </w:p>
    <w:p w14:paraId="4772F08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1F814A40" w14:textId="77777777" w:rsidR="00EA3FD1" w:rsidRPr="003F78E3" w:rsidRDefault="00EA3FD1" w:rsidP="00EA3FD1">
      <w:pPr>
        <w:pStyle w:val="21"/>
        <w:adjustRightInd w:val="0"/>
        <w:snapToGrid w:val="0"/>
        <w:spacing w:before="0" w:after="0" w:line="520" w:lineRule="atLeast"/>
        <w:ind w:left="0" w:firstLineChars="200" w:firstLine="480"/>
        <w:rPr>
          <w:rFonts w:hAnsi="宋体"/>
          <w:szCs w:val="24"/>
        </w:rPr>
      </w:pPr>
      <w:r w:rsidRPr="003F78E3">
        <w:rPr>
          <w:rFonts w:hAnsi="宋体" w:hint="eastAsia"/>
          <w:szCs w:val="24"/>
        </w:rPr>
        <w:t>如果基金托管人发现基金管理人与不在名单内的银行间债券市场交易对手进行交易，应及时提醒基金管理人撤销交易，</w:t>
      </w:r>
      <w:r w:rsidRPr="003F78E3">
        <w:rPr>
          <w:rFonts w:hAnsi="宋体" w:hint="eastAsia"/>
          <w:bCs/>
          <w:szCs w:val="24"/>
        </w:rPr>
        <w:t>经提醒后基金管理人仍执行交易并造成基金资产损失的，基金托管人不承担责任。</w:t>
      </w:r>
    </w:p>
    <w:p w14:paraId="3E0A345E" w14:textId="77777777" w:rsidR="00EA3FD1" w:rsidRPr="003F78E3" w:rsidRDefault="00EA3FD1" w:rsidP="00EA3FD1">
      <w:pPr>
        <w:pStyle w:val="21"/>
        <w:adjustRightInd w:val="0"/>
        <w:snapToGrid w:val="0"/>
        <w:spacing w:before="0" w:after="0" w:line="520" w:lineRule="atLeast"/>
        <w:ind w:left="0" w:firstLineChars="200" w:firstLine="480"/>
        <w:rPr>
          <w:rFonts w:hAnsi="宋体"/>
          <w:szCs w:val="24"/>
        </w:rPr>
      </w:pPr>
      <w:r w:rsidRPr="003F78E3">
        <w:rPr>
          <w:rFonts w:hAnsi="宋体" w:hint="eastAsia"/>
          <w:szCs w:val="24"/>
        </w:rPr>
        <w:t>（2）基金托管人对于基金管理人参与银行间债券市场交易的交易方式的控制</w:t>
      </w:r>
    </w:p>
    <w:p w14:paraId="2887E00D" w14:textId="77777777" w:rsidR="00EA3FD1" w:rsidRPr="003F78E3" w:rsidRDefault="00EA3FD1" w:rsidP="00EA3FD1">
      <w:pPr>
        <w:pStyle w:val="21"/>
        <w:adjustRightInd w:val="0"/>
        <w:snapToGrid w:val="0"/>
        <w:spacing w:before="0" w:after="0" w:line="520" w:lineRule="atLeast"/>
        <w:ind w:left="0" w:firstLineChars="200" w:firstLine="480"/>
        <w:rPr>
          <w:rFonts w:hAnsi="宋体"/>
          <w:bCs/>
          <w:szCs w:val="24"/>
        </w:rPr>
      </w:pPr>
      <w:r w:rsidRPr="003F78E3">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3F78E3">
        <w:rPr>
          <w:rFonts w:hAnsi="宋体" w:hint="eastAsia"/>
          <w:bCs/>
          <w:szCs w:val="24"/>
        </w:rPr>
        <w:t>经提醒后仍未改正并造成基金资产损失的，基金托管人不承担责任。</w:t>
      </w:r>
    </w:p>
    <w:p w14:paraId="7FAB2DC2" w14:textId="77777777" w:rsidR="00EA3FD1" w:rsidRPr="003F78E3" w:rsidRDefault="00EA3FD1" w:rsidP="00EA3FD1">
      <w:pPr>
        <w:pStyle w:val="21"/>
        <w:adjustRightInd w:val="0"/>
        <w:snapToGrid w:val="0"/>
        <w:spacing w:before="0" w:after="0" w:line="520" w:lineRule="atLeast"/>
        <w:ind w:left="0" w:firstLineChars="200" w:firstLine="480"/>
        <w:rPr>
          <w:rFonts w:hAnsi="宋体"/>
          <w:szCs w:val="24"/>
        </w:rPr>
      </w:pPr>
      <w:r w:rsidRPr="003F78E3">
        <w:rPr>
          <w:rFonts w:hAnsi="宋体" w:hint="eastAsia"/>
          <w:szCs w:val="24"/>
        </w:rPr>
        <w:t>（3）基金管理人有责任控制交易对手的资信风险。</w:t>
      </w:r>
    </w:p>
    <w:p w14:paraId="65075FE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66F7785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3.1.6基金托管人对基金投资流通受限证券的监督：</w:t>
      </w:r>
    </w:p>
    <w:p w14:paraId="3ED05D6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A50DE">
        <w:rPr>
          <w:rFonts w:hAnsi="宋体" w:hint="eastAsia"/>
          <w:szCs w:val="24"/>
        </w:rPr>
        <w:t>券</w:t>
      </w:r>
      <w:proofErr w:type="gramEnd"/>
      <w:r w:rsidRPr="003A50DE">
        <w:rPr>
          <w:rFonts w:hAnsi="宋体" w:hint="eastAsia"/>
          <w:szCs w:val="24"/>
        </w:rPr>
        <w:t>等流通受限证券。</w:t>
      </w:r>
    </w:p>
    <w:p w14:paraId="5A9BE9F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A6AC53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基金管理人应至少</w:t>
      </w:r>
      <w:proofErr w:type="gramStart"/>
      <w:r w:rsidRPr="003A50DE">
        <w:rPr>
          <w:rFonts w:hAnsi="宋体" w:hint="eastAsia"/>
          <w:szCs w:val="24"/>
        </w:rPr>
        <w:t>于首次</w:t>
      </w:r>
      <w:proofErr w:type="gramEnd"/>
      <w:r w:rsidRPr="003A50DE">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5D1D138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sidRPr="003A50DE">
        <w:rPr>
          <w:rFonts w:hAnsi="宋体" w:hint="eastAsia"/>
          <w:szCs w:val="24"/>
        </w:rPr>
        <w:t>于拟执行</w:t>
      </w:r>
      <w:proofErr w:type="gramEnd"/>
      <w:r w:rsidRPr="003A50DE">
        <w:rPr>
          <w:rFonts w:hAnsi="宋体" w:hint="eastAsia"/>
          <w:szCs w:val="24"/>
        </w:rPr>
        <w:t>投资指令前将上述信息书面发至基金托管人。</w:t>
      </w:r>
    </w:p>
    <w:p w14:paraId="3F8299C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w:t>
      </w:r>
      <w:r w:rsidRPr="003A50DE">
        <w:rPr>
          <w:rFonts w:hAnsi="宋体"/>
          <w:szCs w:val="24"/>
        </w:rPr>
        <w:t>调整</w:t>
      </w:r>
      <w:r w:rsidRPr="003A50DE">
        <w:rPr>
          <w:rFonts w:hAnsi="宋体" w:hint="eastAsia"/>
          <w:szCs w:val="24"/>
        </w:rPr>
        <w:t>，否则，基金托管人有权拒绝执行有关指令。因拒绝执行该指令造成基金财产损失的，基金托管人不承担任何责任，并有权报告中国证监会。</w:t>
      </w:r>
    </w:p>
    <w:p w14:paraId="1053281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134B870" w14:textId="77777777" w:rsidR="00EA3FD1" w:rsidRPr="003A50DE" w:rsidRDefault="00EA3FD1" w:rsidP="00EA3FD1">
      <w:pPr>
        <w:pStyle w:val="21"/>
        <w:adjustRightInd w:val="0"/>
        <w:snapToGrid w:val="0"/>
        <w:spacing w:before="0" w:after="0" w:line="520" w:lineRule="atLeast"/>
        <w:rPr>
          <w:rFonts w:hAnsi="宋体"/>
          <w:szCs w:val="24"/>
        </w:rPr>
      </w:pPr>
      <w:r w:rsidRPr="003A50DE">
        <w:rPr>
          <w:rFonts w:hAnsi="宋体" w:hint="eastAsia"/>
          <w:szCs w:val="24"/>
        </w:rPr>
        <w:t>3.1.7基金托管人对基金投资中期票据的监督：</w:t>
      </w:r>
    </w:p>
    <w:p w14:paraId="3E949D9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w:t>
      </w:r>
      <w:r w:rsidRPr="003A50DE">
        <w:rPr>
          <w:rFonts w:hAnsi="宋体" w:hint="eastAsia"/>
          <w:szCs w:val="24"/>
        </w:rPr>
        <w:lastRenderedPageBreak/>
        <w:t>中期票据的额度和比例进行监督。</w:t>
      </w:r>
    </w:p>
    <w:p w14:paraId="666EA23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（2）如未来有关监管部门发布的法律法规对证券投资基金投资中期票据另有规定的，从其规定。</w:t>
      </w:r>
    </w:p>
    <w:p w14:paraId="3D5100B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定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916037D" w14:textId="06129E30"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3.1.</w:t>
      </w:r>
      <w:r w:rsidR="00FE3046" w:rsidRPr="003A50DE">
        <w:rPr>
          <w:rFonts w:hAnsi="宋体"/>
          <w:szCs w:val="24"/>
        </w:rPr>
        <w:t>8</w:t>
      </w:r>
      <w:r w:rsidRPr="003A50DE">
        <w:rPr>
          <w:rFonts w:hAnsi="宋体" w:hint="eastAsia"/>
          <w:szCs w:val="24"/>
        </w:rPr>
        <w:t>基金托管人根据有关法律法规的规定及基金合同的约定，对基金管理人选择存款银行进行监督：</w:t>
      </w:r>
    </w:p>
    <w:p w14:paraId="0C90D4B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B3D1F1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本基金投资银行存款应符合如下规定：</w:t>
      </w:r>
    </w:p>
    <w:p w14:paraId="62DE681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（1）基金管理人、基金托管人应当与存款银行建立定期对账机制，确保基金银行存款业务账目及核算的真实、准确。</w:t>
      </w:r>
    </w:p>
    <w:p w14:paraId="094BC65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B04FA3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（3）基金托管人应对基金银行存款业务进行监督与核查，审查、复核相关协议、账户资料、投资指令、存款证实书等有关文件，履行托管职责。</w:t>
      </w:r>
    </w:p>
    <w:p w14:paraId="48FF8DB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（4）基金管理人与基金托管人在开展基金存款业务时，应严格遵守《基金法》、《运作办法》等有关法律法规，以及国家有关账户管理、利率管理、支付结算等的</w:t>
      </w:r>
      <w:r w:rsidRPr="003A50DE">
        <w:rPr>
          <w:rFonts w:hAnsi="宋体" w:hint="eastAsia"/>
          <w:szCs w:val="24"/>
        </w:rPr>
        <w:lastRenderedPageBreak/>
        <w:t>各项规定。</w:t>
      </w:r>
    </w:p>
    <w:p w14:paraId="0EED2DE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3.2基金托管人对基金管理人业务进行监督和核查的有关措施：</w:t>
      </w:r>
    </w:p>
    <w:p w14:paraId="3C06D12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3.2.1基金托管人应根据有关法律法规的规定及基金合同的约定，对基金资产净值计算、</w:t>
      </w:r>
      <w:r w:rsidR="00262C1E" w:rsidRPr="003A50DE">
        <w:rPr>
          <w:rFonts w:hAnsi="宋体" w:hint="eastAsia"/>
          <w:szCs w:val="24"/>
        </w:rPr>
        <w:t>各类</w:t>
      </w:r>
      <w:r w:rsidRPr="003A50DE">
        <w:rPr>
          <w:rFonts w:hAnsi="宋体" w:hint="eastAsia"/>
          <w:szCs w:val="24"/>
        </w:rPr>
        <w:t>基金份额净值计算、应收资金到账、基金费用开支及收入确定、基金收益分配、相关信息披露、基金宣传推介材料中登载基金业绩表现数据等进行监督和核查。</w:t>
      </w:r>
    </w:p>
    <w:p w14:paraId="6C91D38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16BC0A6" w14:textId="65F07B1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r w:rsidR="003A71DB" w:rsidRPr="003A50DE">
        <w:rPr>
          <w:rFonts w:hAnsi="宋体" w:hint="eastAsia"/>
          <w:szCs w:val="24"/>
        </w:rPr>
        <w:t>，由此造成的损失由基金管理人承担</w:t>
      </w:r>
      <w:r w:rsidRPr="003A50DE">
        <w:rPr>
          <w:rFonts w:hAnsi="宋体" w:hint="eastAsia"/>
          <w:szCs w:val="24"/>
        </w:rPr>
        <w:t>。</w:t>
      </w:r>
    </w:p>
    <w:p w14:paraId="0DCA708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3.2.4基金托管人发现基金管理人的投资指令违反</w:t>
      </w:r>
      <w:proofErr w:type="gramStart"/>
      <w:r w:rsidRPr="003A50DE">
        <w:rPr>
          <w:rFonts w:hAnsi="宋体" w:hint="eastAsia"/>
          <w:szCs w:val="24"/>
        </w:rPr>
        <w:t>关法律</w:t>
      </w:r>
      <w:proofErr w:type="gramEnd"/>
      <w:r w:rsidRPr="003A50DE">
        <w:rPr>
          <w:rFonts w:hAnsi="宋体" w:hint="eastAsia"/>
          <w:szCs w:val="24"/>
        </w:rPr>
        <w:t>法规规定或者违反基金合同约定的，应当拒绝执行，立即通知基金管理人。</w:t>
      </w:r>
    </w:p>
    <w:p w14:paraId="2A4CBFA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D61D2E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0CE56C5F" w14:textId="10930ED6"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3.2.7基金托管人发现基金管理人有重大违规行为，应立即报告中国证监会，同时通知基金管理人限期纠正</w:t>
      </w:r>
      <w:r w:rsidR="003A71DB" w:rsidRPr="003A50DE">
        <w:rPr>
          <w:rFonts w:hAnsi="宋体" w:hint="eastAsia"/>
          <w:szCs w:val="24"/>
        </w:rPr>
        <w:t>，由此造成的损失由基金管理人承担</w:t>
      </w:r>
      <w:r w:rsidRPr="003A50DE">
        <w:rPr>
          <w:rFonts w:hAnsi="宋体" w:hint="eastAsia"/>
          <w:szCs w:val="24"/>
        </w:rPr>
        <w:t>。</w:t>
      </w:r>
    </w:p>
    <w:p w14:paraId="587B3AAC" w14:textId="74ACCF74"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r w:rsidR="003A71DB" w:rsidRPr="003A50DE">
        <w:rPr>
          <w:rFonts w:hAnsi="宋体" w:hint="eastAsia"/>
          <w:szCs w:val="24"/>
        </w:rPr>
        <w:t>，由此造成的损失由基金管理人承担</w:t>
      </w:r>
      <w:r w:rsidRPr="003A50DE">
        <w:rPr>
          <w:rFonts w:hAnsi="宋体" w:hint="eastAsia"/>
          <w:szCs w:val="24"/>
        </w:rPr>
        <w:t>。</w:t>
      </w:r>
    </w:p>
    <w:p w14:paraId="0A86C13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szCs w:val="24"/>
        </w:rPr>
        <w:lastRenderedPageBreak/>
        <w:t>3.2.9</w:t>
      </w:r>
      <w:r w:rsidRPr="003A50DE">
        <w:rPr>
          <w:rFonts w:hAnsi="宋体" w:hint="eastAsia"/>
          <w:szCs w:val="24"/>
        </w:rPr>
        <w:t>基金托管人对资金来源、投资收益及投资安全不承担审核责任，特别是对于本基金所投标的</w:t>
      </w:r>
      <w:proofErr w:type="gramStart"/>
      <w:r w:rsidRPr="003A50DE">
        <w:rPr>
          <w:rFonts w:hAnsi="宋体" w:hint="eastAsia"/>
          <w:szCs w:val="24"/>
        </w:rPr>
        <w:t>的</w:t>
      </w:r>
      <w:proofErr w:type="gramEnd"/>
      <w:r w:rsidRPr="003A50DE">
        <w:rPr>
          <w:rFonts w:hAnsi="宋体" w:hint="eastAsia"/>
          <w:szCs w:val="24"/>
        </w:rPr>
        <w:t>后续资金使用情况无审核责任，不保证托管财产投资不受损失，不保证最低收益。</w:t>
      </w:r>
    </w:p>
    <w:p w14:paraId="6EAFF216" w14:textId="3475D82E"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3.2.</w:t>
      </w:r>
      <w:r w:rsidRPr="003A50DE">
        <w:rPr>
          <w:rFonts w:hAnsi="宋体"/>
          <w:szCs w:val="24"/>
        </w:rPr>
        <w:t>10</w:t>
      </w:r>
      <w:r w:rsidRPr="003A50DE">
        <w:rPr>
          <w:rFonts w:hAnsi="宋体" w:hint="eastAsia"/>
          <w:szCs w:val="24"/>
        </w:rPr>
        <w:t>基金管理人应遵守中华人民共和国反洗</w:t>
      </w:r>
      <w:proofErr w:type="gramStart"/>
      <w:r w:rsidRPr="003A50DE">
        <w:rPr>
          <w:rFonts w:hAnsi="宋体" w:hint="eastAsia"/>
          <w:szCs w:val="24"/>
        </w:rPr>
        <w:t>钱法律</w:t>
      </w:r>
      <w:proofErr w:type="gramEnd"/>
      <w:r w:rsidRPr="003A50DE">
        <w:rPr>
          <w:rFonts w:hAnsi="宋体" w:hint="eastAsia"/>
          <w:szCs w:val="24"/>
        </w:rPr>
        <w:t>法规，不参与涉嫌洗钱、恐怖融资、扩散融资等违法犯罪活动；</w:t>
      </w:r>
      <w:r w:rsidR="004B0679" w:rsidRPr="003A50DE">
        <w:rPr>
          <w:rFonts w:hAnsi="宋体" w:hint="eastAsia"/>
          <w:szCs w:val="24"/>
        </w:rPr>
        <w:t>在法律法规规定的范围内，</w:t>
      </w:r>
      <w:r w:rsidRPr="003A50DE">
        <w:rPr>
          <w:rFonts w:hAnsi="宋体" w:hint="eastAsia"/>
          <w:szCs w:val="24"/>
        </w:rPr>
        <w:t>主动配合基金托管</w:t>
      </w:r>
      <w:proofErr w:type="gramStart"/>
      <w:r w:rsidRPr="003A50DE">
        <w:rPr>
          <w:rFonts w:hAnsi="宋体" w:hint="eastAsia"/>
          <w:szCs w:val="24"/>
        </w:rPr>
        <w:t>人客户</w:t>
      </w:r>
      <w:proofErr w:type="gramEnd"/>
      <w:r w:rsidRPr="003A50DE">
        <w:rPr>
          <w:rFonts w:hAnsi="宋体" w:hint="eastAsia"/>
          <w:szCs w:val="24"/>
        </w:rPr>
        <w:t>身份识别与尽职调查，</w:t>
      </w:r>
      <w:r w:rsidR="004B0679" w:rsidRPr="003A50DE">
        <w:rPr>
          <w:rFonts w:hAnsi="宋体" w:hint="eastAsia"/>
          <w:szCs w:val="24"/>
        </w:rPr>
        <w:t>依据法律法规的强制性要求</w:t>
      </w:r>
      <w:r w:rsidRPr="003A50DE">
        <w:rPr>
          <w:rFonts w:hAnsi="宋体" w:hint="eastAsia"/>
          <w:szCs w:val="24"/>
        </w:rPr>
        <w:t>提供真实、准确、完整客户资料，遵守基金托管人反洗钱与反恐怖融资相关管理规定。对具备合理理由怀疑涉嫌洗钱、恐怖融资的客户，基金托管人将按照中国人民银行反洗钱监管规定采取必要管控措施</w:t>
      </w:r>
      <w:r w:rsidR="004B0679" w:rsidRPr="003A50DE">
        <w:rPr>
          <w:rFonts w:hAnsi="宋体" w:hint="eastAsia"/>
          <w:szCs w:val="24"/>
        </w:rPr>
        <w:t>，基金管理人在法律法规的强制性规定范围内予以配合</w:t>
      </w:r>
      <w:r w:rsidRPr="003A50DE">
        <w:rPr>
          <w:rFonts w:hAnsi="宋体" w:hint="eastAsia"/>
          <w:szCs w:val="24"/>
        </w:rPr>
        <w:t>。</w:t>
      </w:r>
    </w:p>
    <w:p w14:paraId="6EE72748" w14:textId="17446E24" w:rsidR="00EA3FD1" w:rsidRPr="003A50DE" w:rsidRDefault="00EA3FD1" w:rsidP="00EA3FD1">
      <w:pPr>
        <w:pStyle w:val="1"/>
        <w:adjustRightInd w:val="0"/>
        <w:spacing w:line="520" w:lineRule="atLeast"/>
        <w:ind w:firstLineChars="200" w:firstLine="482"/>
        <w:rPr>
          <w:bCs/>
          <w:color w:val="auto"/>
          <w:szCs w:val="24"/>
        </w:rPr>
      </w:pPr>
      <w:bookmarkStart w:id="30" w:name="_Toc44321703"/>
      <w:bookmarkStart w:id="31" w:name="_Toc296551340"/>
      <w:r w:rsidRPr="003A50DE">
        <w:rPr>
          <w:rFonts w:hint="eastAsia"/>
          <w:bCs/>
          <w:color w:val="auto"/>
          <w:szCs w:val="24"/>
        </w:rPr>
        <w:t>第四条 基金管理人对基金托管人的业务核查</w:t>
      </w:r>
      <w:bookmarkEnd w:id="30"/>
      <w:bookmarkEnd w:id="31"/>
    </w:p>
    <w:p w14:paraId="34DAE79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262C1E" w:rsidRPr="003A50DE">
        <w:rPr>
          <w:rFonts w:hAnsi="宋体" w:hint="eastAsia"/>
          <w:szCs w:val="24"/>
        </w:rPr>
        <w:t>各类</w:t>
      </w:r>
      <w:r w:rsidRPr="003A50DE">
        <w:rPr>
          <w:rFonts w:hAnsi="宋体" w:hint="eastAsia"/>
          <w:szCs w:val="24"/>
        </w:rPr>
        <w:t>基金份额净值、根据基金管理人指令办理清算交收、相关信息披露和监督基金投资运作等行为。</w:t>
      </w:r>
    </w:p>
    <w:p w14:paraId="4CF2B3F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15EEE21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4.3基金管理人发现基金托管人有重大违规行为，应立即报告中国证监会和银行业监督管理机构，同时通知基金托管人限期纠正。</w:t>
      </w:r>
    </w:p>
    <w:p w14:paraId="0864AAF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4.4基金托管人应积极配合基金管理人的核查行为，包括但不限于：提交相关资料以</w:t>
      </w:r>
      <w:proofErr w:type="gramStart"/>
      <w:r w:rsidRPr="003A50DE">
        <w:rPr>
          <w:rFonts w:hAnsi="宋体" w:hint="eastAsia"/>
          <w:szCs w:val="24"/>
        </w:rPr>
        <w:t>供基金</w:t>
      </w:r>
      <w:proofErr w:type="gramEnd"/>
      <w:r w:rsidRPr="003A50DE">
        <w:rPr>
          <w:rFonts w:hAnsi="宋体" w:hint="eastAsia"/>
          <w:szCs w:val="24"/>
        </w:rPr>
        <w:t>管理人核查托管财产的完整性和真实性，在规定时间内答复基金管理人并改正。</w:t>
      </w:r>
    </w:p>
    <w:p w14:paraId="1900271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4.5基金托管人无正当理由，拒绝、阻挠基金管理人根据本协议规定行使监督权，或采取拖延、欺诈等手段妨碍基金管理人进行有效监督，情节严重或经基金管</w:t>
      </w:r>
      <w:r w:rsidRPr="003A50DE">
        <w:rPr>
          <w:rFonts w:hAnsi="宋体" w:hint="eastAsia"/>
          <w:szCs w:val="24"/>
        </w:rPr>
        <w:lastRenderedPageBreak/>
        <w:t>理人提出警告仍不改正的，基金管理人应报告中国证监会。</w:t>
      </w:r>
    </w:p>
    <w:p w14:paraId="35E96BC3" w14:textId="77777777" w:rsidR="00EA3FD1" w:rsidRPr="003A50DE" w:rsidRDefault="00EA3FD1" w:rsidP="00EA3FD1">
      <w:pPr>
        <w:pStyle w:val="1"/>
        <w:adjustRightInd w:val="0"/>
        <w:spacing w:line="520" w:lineRule="atLeast"/>
        <w:ind w:firstLineChars="200" w:firstLine="482"/>
        <w:rPr>
          <w:bCs/>
          <w:color w:val="auto"/>
          <w:szCs w:val="24"/>
        </w:rPr>
      </w:pPr>
      <w:bookmarkStart w:id="32" w:name="_Toc44321704"/>
      <w:bookmarkStart w:id="33" w:name="_Toc296551341"/>
      <w:r w:rsidRPr="003A50DE">
        <w:rPr>
          <w:rFonts w:hint="eastAsia"/>
          <w:bCs/>
          <w:color w:val="auto"/>
          <w:szCs w:val="24"/>
        </w:rPr>
        <w:t>第五条 基金财产保管</w:t>
      </w:r>
      <w:bookmarkEnd w:id="32"/>
      <w:bookmarkEnd w:id="33"/>
    </w:p>
    <w:p w14:paraId="56D7E4B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5.1基金财产保管的原则</w:t>
      </w:r>
    </w:p>
    <w:p w14:paraId="336E284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5.1.1基金财产应独立于基金管理人、基金托管人的固有财产。</w:t>
      </w:r>
    </w:p>
    <w:p w14:paraId="240B356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5.1.2基金托管人应安全保管基金财产。除依据法律法规规定、基金合同和本托管协议约定及基金管理人的正当指令外，不得自行运用、处分、分配基金的任何财产。</w:t>
      </w:r>
    </w:p>
    <w:p w14:paraId="5D0CB0E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5.1.3基金托管人按照规定开设基金财产的资金账户和证券账户等投资所需的其他账户。</w:t>
      </w:r>
    </w:p>
    <w:p w14:paraId="4AEC14E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5.1.4基金托管人对所托管的不同基金财产分别设置账户，与基金托管人的其他业务和其他基金的托管业务实行严格的分账管理，</w:t>
      </w:r>
      <w:r w:rsidR="00262C1E" w:rsidRPr="003A50DE">
        <w:rPr>
          <w:rFonts w:hAnsi="宋体" w:hint="eastAsia"/>
          <w:szCs w:val="24"/>
        </w:rPr>
        <w:t>独立核算，</w:t>
      </w:r>
      <w:r w:rsidRPr="003A50DE">
        <w:rPr>
          <w:rFonts w:hAnsi="宋体" w:hint="eastAsia"/>
          <w:szCs w:val="24"/>
        </w:rPr>
        <w:t>确保基金财产的完整与独立。</w:t>
      </w:r>
    </w:p>
    <w:p w14:paraId="5DEB444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5.1.5基金托管人根据基金管理人的指令，按照基金合同和本协议的约定保管基金财产，如有特殊情况双方可另行协商解决。</w:t>
      </w:r>
    </w:p>
    <w:p w14:paraId="0E492461" w14:textId="77777777" w:rsidR="003A71DB"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5.1.6</w:t>
      </w:r>
      <w:r w:rsidR="003A71DB" w:rsidRPr="003A50DE">
        <w:rPr>
          <w:rFonts w:hAnsi="宋体" w:hint="eastAsia"/>
          <w:szCs w:val="24"/>
        </w:rPr>
        <w:t>基金托管人仅对托管账户内的基金财产承担托管职责，对于该账户之外的财产或已从该托管账户支付出去的财产的损失不承担任何责任。</w:t>
      </w:r>
    </w:p>
    <w:p w14:paraId="25A72785" w14:textId="11D3CFB5" w:rsidR="00EA3FD1" w:rsidRPr="003A50DE" w:rsidRDefault="003A71DB" w:rsidP="00EA3FD1">
      <w:pPr>
        <w:pStyle w:val="21"/>
        <w:adjustRightInd w:val="0"/>
        <w:snapToGrid w:val="0"/>
        <w:spacing w:before="0" w:after="0" w:line="520" w:lineRule="atLeast"/>
        <w:ind w:left="0" w:firstLineChars="200" w:firstLine="480"/>
        <w:rPr>
          <w:rFonts w:hAnsi="宋体"/>
          <w:szCs w:val="24"/>
        </w:rPr>
      </w:pPr>
      <w:r w:rsidRPr="003A50DE">
        <w:rPr>
          <w:rFonts w:hAnsi="宋体"/>
          <w:szCs w:val="24"/>
        </w:rPr>
        <w:t>5.1.7</w:t>
      </w:r>
      <w:r w:rsidR="00EA3FD1" w:rsidRPr="003A50DE">
        <w:rPr>
          <w:rFonts w:hAnsi="宋体" w:hint="eastAsia"/>
          <w:szCs w:val="24"/>
        </w:rPr>
        <w:t>除依据法律法规和基金合同的规定外，基金托管人不得委托第三人托管基金资产。</w:t>
      </w:r>
    </w:p>
    <w:p w14:paraId="18A3D6F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5.2募集资金的验资</w:t>
      </w:r>
    </w:p>
    <w:p w14:paraId="607B47D4" w14:textId="4D5A208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5.2.1基金募集期间募集的资金应存于基金管理人在基金托管人的营业机构或在其他银行开立的</w:t>
      </w:r>
      <w:r w:rsidR="001075EF" w:rsidRPr="003A50DE">
        <w:rPr>
          <w:rFonts w:hAnsi="宋体" w:hint="eastAsia"/>
          <w:szCs w:val="24"/>
        </w:rPr>
        <w:t>基金募集专户</w:t>
      </w:r>
      <w:r w:rsidRPr="003A50DE">
        <w:rPr>
          <w:rFonts w:hAnsi="宋体" w:hint="eastAsia"/>
          <w:szCs w:val="24"/>
        </w:rPr>
        <w:t>，该账户由</w:t>
      </w:r>
      <w:proofErr w:type="gramStart"/>
      <w:r w:rsidRPr="003A50DE">
        <w:rPr>
          <w:rFonts w:hAnsi="宋体" w:hint="eastAsia"/>
          <w:szCs w:val="24"/>
        </w:rPr>
        <w:t>兴证全球</w:t>
      </w:r>
      <w:proofErr w:type="gramEnd"/>
      <w:r w:rsidRPr="003A50DE">
        <w:rPr>
          <w:rFonts w:hAnsi="宋体" w:hint="eastAsia"/>
          <w:szCs w:val="24"/>
        </w:rPr>
        <w:t>基金管理有限公司开立并管理。</w:t>
      </w:r>
    </w:p>
    <w:p w14:paraId="747F786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Pr="003A50DE">
        <w:rPr>
          <w:rFonts w:hAnsi="宋体" w:hint="eastAsia"/>
          <w:szCs w:val="24"/>
        </w:rPr>
        <w:t>请具备</w:t>
      </w:r>
      <w:proofErr w:type="gramEnd"/>
      <w:r w:rsidRPr="003A50DE">
        <w:rPr>
          <w:rFonts w:hAnsi="宋体" w:hint="eastAsia"/>
          <w:szCs w:val="24"/>
        </w:rPr>
        <w:t>相关业务资质的会计师事务所进行验资，出具验资报告，出具的验资报告应由参加验资的2名以上（含2名）中国注册会计师签字有效。</w:t>
      </w:r>
    </w:p>
    <w:p w14:paraId="593A6F2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5.2.3</w:t>
      </w:r>
      <w:proofErr w:type="gramStart"/>
      <w:r w:rsidRPr="003A50DE">
        <w:rPr>
          <w:rFonts w:hAnsi="宋体" w:hint="eastAsia"/>
          <w:szCs w:val="24"/>
        </w:rPr>
        <w:t>若基金</w:t>
      </w:r>
      <w:proofErr w:type="gramEnd"/>
      <w:r w:rsidRPr="003A50DE">
        <w:rPr>
          <w:rFonts w:hAnsi="宋体" w:hint="eastAsia"/>
          <w:szCs w:val="24"/>
        </w:rPr>
        <w:t>募集期限届满，未能达到基金备案条件，由基金管理人按规定办</w:t>
      </w:r>
      <w:r w:rsidRPr="003A50DE">
        <w:rPr>
          <w:rFonts w:hAnsi="宋体" w:hint="eastAsia"/>
          <w:szCs w:val="24"/>
        </w:rPr>
        <w:lastRenderedPageBreak/>
        <w:t>理退款事宜。</w:t>
      </w:r>
    </w:p>
    <w:p w14:paraId="31C6979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5.3基金的银行账户的开立和管理</w:t>
      </w:r>
    </w:p>
    <w:p w14:paraId="2AB32C37" w14:textId="4B06984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5.3.1基金托管人以本基金的名义在其营业机构开立基金的银行账户</w:t>
      </w:r>
      <w:r w:rsidR="003A71DB" w:rsidRPr="003A50DE">
        <w:rPr>
          <w:rFonts w:hAnsi="宋体" w:hint="eastAsia"/>
          <w:szCs w:val="24"/>
        </w:rPr>
        <w:t>（账户具体名称以实际开立为准）</w:t>
      </w:r>
      <w:r w:rsidRPr="003A50DE">
        <w:rPr>
          <w:rFonts w:hAnsi="宋体" w:hint="eastAsia"/>
          <w:szCs w:val="24"/>
        </w:rPr>
        <w:t>，并根据基金管理人合法合</w:t>
      </w:r>
      <w:proofErr w:type="gramStart"/>
      <w:r w:rsidRPr="003A50DE">
        <w:rPr>
          <w:rFonts w:hAnsi="宋体" w:hint="eastAsia"/>
          <w:szCs w:val="24"/>
        </w:rPr>
        <w:t>规</w:t>
      </w:r>
      <w:proofErr w:type="gramEnd"/>
      <w:r w:rsidRPr="003A50DE">
        <w:rPr>
          <w:rFonts w:hAnsi="宋体" w:hint="eastAsia"/>
          <w:szCs w:val="24"/>
        </w:rPr>
        <w:t>的指令办理资金收付。本基金的银行预留印鉴由基金托管人刻制、保管和使用。</w:t>
      </w:r>
    </w:p>
    <w:p w14:paraId="36B40D1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34667C9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5.3.3基金银行账户的开立和管理应符合有关法律法规以及银行业监督管理机构的有关规定。</w:t>
      </w:r>
    </w:p>
    <w:p w14:paraId="5AC6EC98" w14:textId="159F6EC8"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5.4基金证券账户与证券资金账户的开设和管理</w:t>
      </w:r>
    </w:p>
    <w:p w14:paraId="0637B544" w14:textId="77777777" w:rsidR="008F64C2" w:rsidRPr="003A50DE" w:rsidRDefault="00EA3FD1" w:rsidP="0064768B">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5.4.1基金托管人以基金托管人和本基金联名的方式在中国证券登记结算有限责任公司（以下简称“中登公司”）上海分公司/深圳分公司开设证券账户。</w:t>
      </w:r>
    </w:p>
    <w:p w14:paraId="0C280C28" w14:textId="48D749D1" w:rsidR="0064768B" w:rsidRPr="003A50DE" w:rsidRDefault="00EA3FD1" w:rsidP="0064768B">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5.4.2</w:t>
      </w:r>
      <w:r w:rsidR="0064768B" w:rsidRPr="003A50DE">
        <w:rPr>
          <w:rFonts w:hAnsi="宋体" w:hint="eastAsia"/>
          <w:szCs w:val="24"/>
        </w:rPr>
        <w:t>基金管理人以基金名义在基金管理人选择的证券经营机构开立证券资金账户。证券经营机构根据相关法律法规、规范性文件为本基金开立相关资金账户并按照该证券经营机构开户的流程和要求与基金管理人签订相关协议。</w:t>
      </w:r>
    </w:p>
    <w:p w14:paraId="466E5B4D" w14:textId="77777777" w:rsidR="008F64C2" w:rsidRPr="003A50DE" w:rsidRDefault="0064768B" w:rsidP="0064768B">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交易所证券交易资金采用第三方存管模式，即用于证券交易结算的资金全额存放在基金管理人为基金开设的证券资金账户中，场内的证券交易资金清算由基金管理人所选择的证券公司负责。</w:t>
      </w:r>
    </w:p>
    <w:p w14:paraId="176900D8" w14:textId="2EC493FF" w:rsidR="00EA3FD1" w:rsidRPr="003A50DE" w:rsidRDefault="00EA3FD1" w:rsidP="0064768B">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5.4.3基金证券账户与证券资金账户的开立和使用，限于满足开展本基金业务的需要。基金托管人和基金管理人不得出借和未经对方同意擅自转让基金的任何证券账户或证券资金账户；亦不得使用基金的任何账户进行本基金业务以外的活动。</w:t>
      </w:r>
    </w:p>
    <w:p w14:paraId="325209DA" w14:textId="3D3F99C5"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5.4.4基金证券账户与证券资金账户相关证明文件的保管由基金托管人负责，账户资产的管理和运用由基金管理人负责。</w:t>
      </w:r>
    </w:p>
    <w:p w14:paraId="1050D08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5.5债券托管账户的开立和管理</w:t>
      </w:r>
    </w:p>
    <w:p w14:paraId="075DA1B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w:t>
      </w:r>
      <w:r w:rsidRPr="003A50DE">
        <w:rPr>
          <w:rFonts w:hAnsi="宋体" w:hint="eastAsia"/>
          <w:szCs w:val="24"/>
        </w:rPr>
        <w:lastRenderedPageBreak/>
        <w:t>间债券市场债券托管账户，并由基金托管人负责基金的债券的后台匹配及资金的清算。</w:t>
      </w:r>
    </w:p>
    <w:p w14:paraId="2E10CF6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5.5.2基金管理人和基金托管人应一起负责为基金对外签订全国银行间国债市场回购主协议，正本由基金管理人保存。</w:t>
      </w:r>
    </w:p>
    <w:p w14:paraId="55F2776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5.6其他账户的开设和管理</w:t>
      </w:r>
    </w:p>
    <w:p w14:paraId="51DC1026" w14:textId="573C5F40"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576526" w:rsidRPr="003A50DE">
        <w:rPr>
          <w:rFonts w:hAnsi="宋体" w:hint="eastAsia"/>
          <w:szCs w:val="24"/>
        </w:rPr>
        <w:t>基金</w:t>
      </w:r>
      <w:r w:rsidRPr="003A50DE">
        <w:rPr>
          <w:rFonts w:hAnsi="宋体" w:hint="eastAsia"/>
          <w:szCs w:val="24"/>
        </w:rPr>
        <w:t>托管人根据有关法律法规的规定和基金合同的约定，开立有关账户。该账户按有关规则使用并管理。</w:t>
      </w:r>
    </w:p>
    <w:p w14:paraId="0264583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5.7基金财产投资的有关实物证券、银行定期存款存单等有价凭证的保管</w:t>
      </w:r>
    </w:p>
    <w:p w14:paraId="5E98609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16BD4B7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5.8与基金财产有关的重大合同的保管</w:t>
      </w:r>
    </w:p>
    <w:p w14:paraId="77049B7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Pr="003A50DE">
        <w:rPr>
          <w:rFonts w:hAnsi="宋体"/>
          <w:szCs w:val="24"/>
        </w:rPr>
        <w:t>20</w:t>
      </w:r>
      <w:r w:rsidRPr="003A50DE">
        <w:rPr>
          <w:rFonts w:hAnsi="宋体" w:hint="eastAsia"/>
          <w:szCs w:val="24"/>
        </w:rPr>
        <w:t>年以上，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p>
    <w:p w14:paraId="06CE48BB" w14:textId="77777777" w:rsidR="00EA3FD1" w:rsidRPr="003A50DE" w:rsidRDefault="00EA3FD1" w:rsidP="00EA3FD1">
      <w:pPr>
        <w:pStyle w:val="1"/>
        <w:adjustRightInd w:val="0"/>
        <w:spacing w:line="520" w:lineRule="atLeast"/>
        <w:ind w:firstLineChars="200" w:firstLine="482"/>
        <w:rPr>
          <w:bCs/>
          <w:color w:val="auto"/>
          <w:szCs w:val="24"/>
        </w:rPr>
      </w:pPr>
      <w:bookmarkStart w:id="34" w:name="_Toc44321705"/>
      <w:bookmarkStart w:id="35" w:name="_Toc296551342"/>
      <w:r w:rsidRPr="003A50DE">
        <w:rPr>
          <w:rFonts w:hint="eastAsia"/>
          <w:bCs/>
          <w:color w:val="auto"/>
          <w:szCs w:val="24"/>
        </w:rPr>
        <w:t>第六条 指令的发送、确认和执行</w:t>
      </w:r>
      <w:bookmarkEnd w:id="34"/>
      <w:bookmarkEnd w:id="35"/>
    </w:p>
    <w:p w14:paraId="32C8EF7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6.1基金管理人对发送指令人员的书面授权</w:t>
      </w:r>
    </w:p>
    <w:p w14:paraId="6198B28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一致，若有不一致的，以基金托管人收到的传真为准。</w:t>
      </w:r>
    </w:p>
    <w:p w14:paraId="3A04D0C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基金管理人和基金托管人对授权文件负有保密义务，其内容不得向被授权人及相关操作人员以外的任何人泄露，除本协议另有约定或法律法规另有规定或有权机关另有要求的除外。</w:t>
      </w:r>
    </w:p>
    <w:p w14:paraId="65C990C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6.2指令的内容</w:t>
      </w:r>
    </w:p>
    <w:p w14:paraId="00C3BDC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7054E19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6.3指令的发送、确认和执行的时间和程序</w:t>
      </w:r>
    </w:p>
    <w:p w14:paraId="0360788B" w14:textId="2584C7F8"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6.3.1指令由“授权通知”确定的被授权人代表基金管理人用传真的方式或</w:t>
      </w:r>
      <w:r w:rsidR="00E1393C" w:rsidRPr="003A50DE">
        <w:rPr>
          <w:rFonts w:hAnsi="宋体" w:hint="eastAsia"/>
          <w:szCs w:val="24"/>
        </w:rPr>
        <w:t>深证通电子传输</w:t>
      </w:r>
      <w:r w:rsidR="004646C7" w:rsidRPr="003A50DE">
        <w:rPr>
          <w:rFonts w:hAnsi="宋体" w:hint="eastAsia"/>
          <w:szCs w:val="24"/>
        </w:rPr>
        <w:t>的方式</w:t>
      </w:r>
      <w:r w:rsidR="00E1393C" w:rsidRPr="003A50DE">
        <w:rPr>
          <w:rFonts w:hAnsi="宋体" w:hint="eastAsia"/>
          <w:szCs w:val="24"/>
        </w:rPr>
        <w:t>或</w:t>
      </w:r>
      <w:r w:rsidRPr="003A50DE">
        <w:rPr>
          <w:rFonts w:hAnsi="宋体" w:hint="eastAsia"/>
          <w:szCs w:val="24"/>
        </w:rPr>
        <w:t>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w:t>
      </w:r>
      <w:r w:rsidR="00E1393C" w:rsidRPr="003A50DE">
        <w:t>对于基金管理人于15:00以后发送</w:t>
      </w:r>
      <w:r w:rsidR="00E1393C" w:rsidRPr="003A50DE">
        <w:lastRenderedPageBreak/>
        <w:t>至基金托管人的指令，基金托管人应配合出款。</w:t>
      </w:r>
      <w:r w:rsidRPr="003A50DE">
        <w:rPr>
          <w:rFonts w:hAnsi="宋体" w:hint="eastAsia"/>
          <w:szCs w:val="24"/>
        </w:rPr>
        <w:t>由基金管理</w:t>
      </w:r>
      <w:proofErr w:type="gramStart"/>
      <w:r w:rsidRPr="003A50DE">
        <w:rPr>
          <w:rFonts w:hAnsi="宋体" w:hint="eastAsia"/>
          <w:szCs w:val="24"/>
        </w:rPr>
        <w:t>人原因</w:t>
      </w:r>
      <w:proofErr w:type="gramEnd"/>
      <w:r w:rsidRPr="003A50DE">
        <w:rPr>
          <w:rFonts w:hAnsi="宋体" w:hint="eastAsia"/>
          <w:szCs w:val="24"/>
        </w:rPr>
        <w:t>造成的指令传输不及时、未能留出足够划款所需时间，基金托管人不承担资金未能及时到账所造成的损失。</w:t>
      </w:r>
    </w:p>
    <w:p w14:paraId="26FD1B2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6.3.2</w:t>
      </w:r>
      <w:r w:rsidRPr="003A50DE">
        <w:rPr>
          <w:rFonts w:hAnsi="宋体" w:hint="eastAsia"/>
          <w:b/>
          <w:bCs/>
          <w:szCs w:val="24"/>
        </w:rPr>
        <w:t>基金托管人根据本协议相关约定仅履行表面一致形式审核职责，对指令的真实性不承担责任。</w:t>
      </w:r>
      <w:r w:rsidRPr="003A50DE">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3A50DE">
        <w:rPr>
          <w:rFonts w:hAnsi="宋体" w:hint="eastAsia"/>
          <w:szCs w:val="24"/>
        </w:rPr>
        <w:t>方带来</w:t>
      </w:r>
      <w:proofErr w:type="gramEnd"/>
      <w:r w:rsidRPr="003A50DE">
        <w:rPr>
          <w:rFonts w:hAnsi="宋体" w:hint="eastAsia"/>
          <w:szCs w:val="24"/>
        </w:rPr>
        <w:t>的损失，全部责任由基金管理人承担，基金托管人由此遭受的损失，由基金管理人负责赔偿，但基金托管人未按协议约定</w:t>
      </w:r>
      <w:proofErr w:type="gramStart"/>
      <w:r w:rsidRPr="003A50DE">
        <w:rPr>
          <w:rFonts w:hAnsi="宋体" w:hint="eastAsia"/>
          <w:szCs w:val="24"/>
        </w:rPr>
        <w:t>尽形式</w:t>
      </w:r>
      <w:proofErr w:type="gramEnd"/>
      <w:r w:rsidRPr="003A50DE">
        <w:rPr>
          <w:rFonts w:hAnsi="宋体" w:hint="eastAsia"/>
          <w:szCs w:val="24"/>
        </w:rPr>
        <w:t>审核义务执行指令而造成损失的情形除外。</w:t>
      </w:r>
    </w:p>
    <w:p w14:paraId="57086D6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795A035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sidRPr="003A50DE">
        <w:rPr>
          <w:rFonts w:hAnsi="宋体" w:hint="eastAsia"/>
          <w:szCs w:val="24"/>
        </w:rPr>
        <w:t>指令仅</w:t>
      </w:r>
      <w:proofErr w:type="gramEnd"/>
      <w:r w:rsidRPr="003A50DE">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0D40567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6.3.5基金管理人向基金托管人下达指令时，应确保基金银行账户有足够的资金余额，对基金管理人在没有充足资金的情况下向基金托管人发出的指令，基金托</w:t>
      </w:r>
      <w:r w:rsidRPr="003A50DE">
        <w:rPr>
          <w:rFonts w:hAnsi="宋体" w:hint="eastAsia"/>
          <w:szCs w:val="24"/>
        </w:rPr>
        <w:lastRenderedPageBreak/>
        <w:t>管人可不予执行，并立即通知基金管理人，基金托管人不承担因为不执行该指令而造成损失的责任。</w:t>
      </w:r>
    </w:p>
    <w:p w14:paraId="33DAB08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6.4基金管理人发送错误指令的情形和处理程序</w:t>
      </w:r>
    </w:p>
    <w:p w14:paraId="67B26DD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432C287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6.4.2基金托管人在履行监督职能时，发现基金管理人的指令错误时，有权拒绝执行，并及时通知基金管理人改正。</w:t>
      </w:r>
    </w:p>
    <w:p w14:paraId="101A58B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6.5基金托管人依照法律法规暂缓、拒绝执行指令的情形和处理程序</w:t>
      </w:r>
    </w:p>
    <w:p w14:paraId="5DCB4B3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14:paraId="5B12314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6.6基金托管人未按照基金管理人指令执行的处理方法</w:t>
      </w:r>
    </w:p>
    <w:p w14:paraId="63FA8ED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人由于自身过错原因造成未按照或者未及时按照基金管理人发送的符合法律法规规定以及基金合同、本协议约定的指令执行，给基金份额持有人或基金财产造成损失的，应承担相应的责任，但如遇到不可抗力的情况除外。</w:t>
      </w:r>
    </w:p>
    <w:p w14:paraId="1E46EAE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6.7更换被授权人的程序</w:t>
      </w:r>
    </w:p>
    <w:p w14:paraId="21AF8CF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66BFDE22" w14:textId="77777777" w:rsidR="00EA3FD1" w:rsidRPr="003A50DE" w:rsidRDefault="00EA3FD1" w:rsidP="00EA3FD1">
      <w:pPr>
        <w:pStyle w:val="1"/>
        <w:adjustRightInd w:val="0"/>
        <w:spacing w:line="520" w:lineRule="atLeast"/>
        <w:ind w:firstLineChars="200" w:firstLine="482"/>
        <w:rPr>
          <w:bCs/>
          <w:color w:val="auto"/>
          <w:szCs w:val="24"/>
        </w:rPr>
      </w:pPr>
      <w:bookmarkStart w:id="36" w:name="_Toc44321706"/>
      <w:r w:rsidRPr="003A50DE">
        <w:rPr>
          <w:rFonts w:hint="eastAsia"/>
          <w:bCs/>
          <w:color w:val="auto"/>
          <w:szCs w:val="24"/>
        </w:rPr>
        <w:lastRenderedPageBreak/>
        <w:t>第七条 交易及清算交收安排</w:t>
      </w:r>
      <w:bookmarkEnd w:id="36"/>
      <w:r w:rsidRPr="003A50DE">
        <w:rPr>
          <w:rFonts w:hint="eastAsia"/>
          <w:bCs/>
          <w:color w:val="auto"/>
          <w:szCs w:val="24"/>
        </w:rPr>
        <w:t xml:space="preserve"> </w:t>
      </w:r>
    </w:p>
    <w:p w14:paraId="69B9A899" w14:textId="563B91A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7.1选择代理证券</w:t>
      </w:r>
      <w:r w:rsidR="00852E31" w:rsidRPr="003A50DE">
        <w:rPr>
          <w:rFonts w:hAnsi="宋体" w:hint="eastAsia"/>
          <w:szCs w:val="24"/>
        </w:rPr>
        <w:t>、期货</w:t>
      </w:r>
      <w:r w:rsidRPr="003A50DE">
        <w:rPr>
          <w:rFonts w:hAnsi="宋体" w:hint="eastAsia"/>
          <w:szCs w:val="24"/>
        </w:rPr>
        <w:t>买卖的证券</w:t>
      </w:r>
      <w:r w:rsidR="00852E31" w:rsidRPr="003A50DE">
        <w:rPr>
          <w:rFonts w:hAnsi="宋体" w:hint="eastAsia"/>
          <w:szCs w:val="24"/>
        </w:rPr>
        <w:t>、期货</w:t>
      </w:r>
      <w:r w:rsidRPr="003A50DE">
        <w:rPr>
          <w:rFonts w:hAnsi="宋体" w:hint="eastAsia"/>
          <w:szCs w:val="24"/>
        </w:rPr>
        <w:t>经营机构</w:t>
      </w:r>
    </w:p>
    <w:p w14:paraId="1285E52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7.1.1基金管理人负责选择代理本基金证券买卖的证券经纪机构，并与其签订证券经纪合同，基金管理人、基金托管人和证券经纪机构就基金参与证券交易的具体事项另行签订协议，明确三方在本基金参与场内证券买卖中各类证券交易、证券交收及相关资金交</w:t>
      </w:r>
      <w:proofErr w:type="gramStart"/>
      <w:r w:rsidRPr="003A50DE">
        <w:rPr>
          <w:rFonts w:hAnsi="宋体" w:hint="eastAsia"/>
          <w:szCs w:val="24"/>
        </w:rPr>
        <w:t>收过程</w:t>
      </w:r>
      <w:proofErr w:type="gramEnd"/>
      <w:r w:rsidRPr="003A50DE">
        <w:rPr>
          <w:rFonts w:hAnsi="宋体" w:hint="eastAsia"/>
          <w:szCs w:val="24"/>
        </w:rPr>
        <w:t>中的职责和义务。</w:t>
      </w:r>
    </w:p>
    <w:p w14:paraId="35B4CE67" w14:textId="464FD6DD"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7.1.2基金管理人应及时将本基金财产的佣金费率等基本信息以及变更情况以书面形式通知基金托管人，以便基金托管人估值核算使用。</w:t>
      </w:r>
    </w:p>
    <w:p w14:paraId="7FF2A749" w14:textId="30013527" w:rsidR="00852E31" w:rsidRPr="003A50DE" w:rsidRDefault="00852E3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45F18F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7.2清算与交割</w:t>
      </w:r>
    </w:p>
    <w:p w14:paraId="7F4D838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7.2.1基金投资证券后的清算交收安排</w:t>
      </w:r>
    </w:p>
    <w:p w14:paraId="5BBB130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本基金通过证券经纪机构进行的交易由证券经纪机构作为结算参与人代理本基金进行结算；本基金其它证券交易由基金托管人或相关机构负责结算。</w:t>
      </w:r>
    </w:p>
    <w:p w14:paraId="32D5D6A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7.2.2证券交易所证券资金结算</w:t>
      </w:r>
    </w:p>
    <w:p w14:paraId="50996A3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基金托管人、基金管理人应共同遵守中登公司制定的相关业务规则和规定，该等规则和规定自动成为本条款约定内容。</w:t>
      </w:r>
    </w:p>
    <w:p w14:paraId="288D734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基金管理人在投资前，应充分知晓与理解中登公司针对各类交易品种制定的结算业务规则和规定。</w:t>
      </w:r>
    </w:p>
    <w:p w14:paraId="558BA7A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证券经纪机构代理本基金与中登公司完成证券交易及</w:t>
      </w:r>
      <w:proofErr w:type="gramStart"/>
      <w:r w:rsidRPr="003A50DE">
        <w:rPr>
          <w:rFonts w:hAnsi="宋体" w:hint="eastAsia"/>
          <w:szCs w:val="24"/>
        </w:rPr>
        <w:t>非交易</w:t>
      </w:r>
      <w:proofErr w:type="gramEnd"/>
      <w:r w:rsidRPr="003A50DE">
        <w:rPr>
          <w:rFonts w:hAnsi="宋体" w:hint="eastAsia"/>
          <w:szCs w:val="24"/>
        </w:rPr>
        <w:t>涉及的证券资金结算业务，并承担由证券经纪机构原因造成的正常结算、交收业务无法完成的责任；若由于基金管理</w:t>
      </w:r>
      <w:proofErr w:type="gramStart"/>
      <w:r w:rsidRPr="003A50DE">
        <w:rPr>
          <w:rFonts w:hAnsi="宋体" w:hint="eastAsia"/>
          <w:szCs w:val="24"/>
        </w:rPr>
        <w:t>人原因</w:t>
      </w:r>
      <w:proofErr w:type="gramEnd"/>
      <w:r w:rsidRPr="003A50DE">
        <w:rPr>
          <w:rFonts w:hAnsi="宋体" w:hint="eastAsia"/>
          <w:szCs w:val="24"/>
        </w:rPr>
        <w:t>造成的正常结算业务无法完成，责任由基金管理人承担。</w:t>
      </w:r>
    </w:p>
    <w:p w14:paraId="69ABBB7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对于任何原因发生的证券资金交收违约事件，相关各方应当及时协商解决。</w:t>
      </w:r>
    </w:p>
    <w:p w14:paraId="7C43792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7.2.</w:t>
      </w:r>
      <w:r w:rsidRPr="003A50DE">
        <w:rPr>
          <w:rFonts w:hAnsi="宋体"/>
          <w:szCs w:val="24"/>
        </w:rPr>
        <w:t>3</w:t>
      </w:r>
      <w:r w:rsidRPr="003A50DE">
        <w:rPr>
          <w:rFonts w:hAnsi="宋体" w:hint="eastAsia"/>
          <w:szCs w:val="24"/>
        </w:rPr>
        <w:t>场外交易资金结算</w:t>
      </w:r>
    </w:p>
    <w:p w14:paraId="438AC9F8" w14:textId="61A48ABA"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场外资金对外投资划款由基金托管人</w:t>
      </w:r>
      <w:proofErr w:type="gramStart"/>
      <w:r w:rsidRPr="003A50DE">
        <w:rPr>
          <w:rFonts w:hAnsi="宋体" w:hint="eastAsia"/>
          <w:szCs w:val="24"/>
        </w:rPr>
        <w:t>凭基金</w:t>
      </w:r>
      <w:proofErr w:type="gramEnd"/>
      <w:r w:rsidRPr="003A50DE">
        <w:rPr>
          <w:rFonts w:hAnsi="宋体" w:hint="eastAsia"/>
          <w:szCs w:val="24"/>
        </w:rPr>
        <w:t>管理人符合本托管协议约定的有效资金划拨指令和相关投资合同（如有）进行资金划拨；</w:t>
      </w:r>
      <w:proofErr w:type="gramStart"/>
      <w:r w:rsidRPr="003A50DE">
        <w:rPr>
          <w:rFonts w:hAnsi="宋体" w:hint="eastAsia"/>
          <w:szCs w:val="24"/>
        </w:rPr>
        <w:t>场外投资</w:t>
      </w:r>
      <w:proofErr w:type="gramEnd"/>
      <w:r w:rsidRPr="003A50DE">
        <w:rPr>
          <w:rFonts w:hAnsi="宋体" w:hint="eastAsia"/>
          <w:szCs w:val="24"/>
        </w:rPr>
        <w:t>本金及收益的划回，由</w:t>
      </w:r>
      <w:r w:rsidR="000F7BDB" w:rsidRPr="003A50DE">
        <w:rPr>
          <w:rFonts w:hAnsi="宋体" w:hint="eastAsia"/>
          <w:szCs w:val="24"/>
        </w:rPr>
        <w:t>基金</w:t>
      </w:r>
      <w:r w:rsidRPr="003A50DE">
        <w:rPr>
          <w:rFonts w:hAnsi="宋体" w:hint="eastAsia"/>
          <w:szCs w:val="24"/>
        </w:rPr>
        <w:t>管理人负责协调相关资金</w:t>
      </w:r>
      <w:proofErr w:type="gramStart"/>
      <w:r w:rsidRPr="003A50DE">
        <w:rPr>
          <w:rFonts w:hAnsi="宋体" w:hint="eastAsia"/>
          <w:szCs w:val="24"/>
        </w:rPr>
        <w:t>划拨回产品托管户</w:t>
      </w:r>
      <w:proofErr w:type="gramEnd"/>
      <w:r w:rsidRPr="003A50DE">
        <w:rPr>
          <w:rFonts w:hAnsi="宋体" w:hint="eastAsia"/>
          <w:szCs w:val="24"/>
        </w:rPr>
        <w:t>事宜。</w:t>
      </w:r>
    </w:p>
    <w:p w14:paraId="3E7306F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7.3资金、证券账目及交易记录的核对</w:t>
      </w:r>
    </w:p>
    <w:p w14:paraId="5DDFCDD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DE9425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7.3.2对基金的资金账目，由相关各方每日对账一次，确保相关各方账</w:t>
      </w:r>
      <w:proofErr w:type="gramStart"/>
      <w:r w:rsidRPr="003A50DE">
        <w:rPr>
          <w:rFonts w:hAnsi="宋体" w:hint="eastAsia"/>
          <w:szCs w:val="24"/>
        </w:rPr>
        <w:t>账</w:t>
      </w:r>
      <w:proofErr w:type="gramEnd"/>
      <w:r w:rsidRPr="003A50DE">
        <w:rPr>
          <w:rFonts w:hAnsi="宋体" w:hint="eastAsia"/>
          <w:szCs w:val="24"/>
        </w:rPr>
        <w:t>相符。对基金证券账目，由相关各方每日进行对账。对实物</w:t>
      </w:r>
      <w:proofErr w:type="gramStart"/>
      <w:r w:rsidRPr="003A50DE">
        <w:rPr>
          <w:rFonts w:hAnsi="宋体" w:hint="eastAsia"/>
          <w:szCs w:val="24"/>
        </w:rPr>
        <w:t>券</w:t>
      </w:r>
      <w:proofErr w:type="gramEnd"/>
      <w:r w:rsidRPr="003A50DE">
        <w:rPr>
          <w:rFonts w:hAnsi="宋体" w:hint="eastAsia"/>
          <w:szCs w:val="24"/>
        </w:rPr>
        <w:t>账目，每月月末由相关各方进行账实核对。对交易记录，由相关各方每日对账一次。</w:t>
      </w:r>
    </w:p>
    <w:p w14:paraId="28A3FAF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7.4申购、赎回、转换开放式基金的资金清算、数据传递及基金管理人、基金托管人的责任</w:t>
      </w:r>
    </w:p>
    <w:p w14:paraId="35E0E36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7.4.1基金管理人和基金托管人在基金的申购赎回、转换中的责任</w:t>
      </w:r>
    </w:p>
    <w:p w14:paraId="0F7FB27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0ED675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7.4.2基金的数据传递</w:t>
      </w:r>
    </w:p>
    <w:p w14:paraId="1EA2BA6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63D662B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登记机构应通过与基金管理人建立的系统发送有关数据，如因各种原因，该系统无法正常发送，双方可协商解决处理方式。</w:t>
      </w:r>
    </w:p>
    <w:p w14:paraId="32965AD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7.4.3基金的资金清算</w:t>
      </w:r>
    </w:p>
    <w:p w14:paraId="4D27480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基金托管专户与“基金清算账户”间的资金结算遵循“全额清算、净额交收”的原则，每日按照托管专户应收资金与应付资金的差额来确定托管</w:t>
      </w:r>
      <w:proofErr w:type="gramStart"/>
      <w:r w:rsidRPr="003A50DE">
        <w:rPr>
          <w:rFonts w:hAnsi="宋体" w:hint="eastAsia"/>
          <w:szCs w:val="24"/>
        </w:rPr>
        <w:t>专户净应收</w:t>
      </w:r>
      <w:proofErr w:type="gramEnd"/>
      <w:r w:rsidRPr="003A50DE">
        <w:rPr>
          <w:rFonts w:hAnsi="宋体" w:hint="eastAsia"/>
          <w:szCs w:val="24"/>
        </w:rPr>
        <w:t>额或净应付额，以此确定资金交收额。</w:t>
      </w:r>
    </w:p>
    <w:p w14:paraId="7702827D" w14:textId="20128F7D"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如果当日基金为净应收款，基金</w:t>
      </w:r>
      <w:r w:rsidR="00940E72" w:rsidRPr="003A50DE">
        <w:rPr>
          <w:rFonts w:hAnsi="宋体" w:hint="eastAsia"/>
          <w:szCs w:val="24"/>
        </w:rPr>
        <w:t>管理</w:t>
      </w:r>
      <w:r w:rsidRPr="003A50DE">
        <w:rPr>
          <w:rFonts w:hAnsi="宋体" w:hint="eastAsia"/>
          <w:szCs w:val="24"/>
        </w:rPr>
        <w:t>人应在</w:t>
      </w:r>
      <w:proofErr w:type="gramStart"/>
      <w:r w:rsidR="00A5336A" w:rsidRPr="003A50DE">
        <w:rPr>
          <w:rFonts w:hAnsi="宋体" w:hint="eastAsia"/>
          <w:szCs w:val="24"/>
        </w:rPr>
        <w:t>交收日</w:t>
      </w:r>
      <w:proofErr w:type="gramEnd"/>
      <w:r w:rsidRPr="003A50DE">
        <w:rPr>
          <w:rFonts w:hAnsi="宋体"/>
          <w:szCs w:val="24"/>
        </w:rPr>
        <w:t>15:00之前</w:t>
      </w:r>
      <w:r w:rsidR="00940E72" w:rsidRPr="003A50DE">
        <w:rPr>
          <w:rFonts w:hAnsi="宋体" w:hint="eastAsia"/>
          <w:szCs w:val="24"/>
        </w:rPr>
        <w:t>及时进行划付</w:t>
      </w:r>
      <w:r w:rsidRPr="003A50DE">
        <w:rPr>
          <w:rFonts w:hAnsi="宋体"/>
          <w:szCs w:val="24"/>
        </w:rPr>
        <w:t>，对于未准时到账的资金，基金托管人应及时通知基金管理人划付。如果当日基金为净应付款，</w:t>
      </w:r>
      <w:r w:rsidR="003D680F" w:rsidRPr="003A50DE">
        <w:rPr>
          <w:rFonts w:hAnsi="宋体" w:hint="eastAsia"/>
          <w:szCs w:val="24"/>
        </w:rPr>
        <w:t>基金托管人应根据基金管理人的指令在</w:t>
      </w:r>
      <w:proofErr w:type="gramStart"/>
      <w:r w:rsidR="003D680F" w:rsidRPr="003A50DE">
        <w:rPr>
          <w:rFonts w:hAnsi="宋体" w:hint="eastAsia"/>
          <w:szCs w:val="24"/>
        </w:rPr>
        <w:t>交收日</w:t>
      </w:r>
      <w:proofErr w:type="gramEnd"/>
      <w:r w:rsidR="003D680F" w:rsidRPr="003A50DE">
        <w:rPr>
          <w:rFonts w:hAnsi="宋体"/>
          <w:szCs w:val="24"/>
        </w:rPr>
        <w:t>12</w:t>
      </w:r>
      <w:r w:rsidR="003D680F" w:rsidRPr="003A50DE">
        <w:rPr>
          <w:rFonts w:hAnsi="宋体" w:hint="eastAsia"/>
          <w:szCs w:val="24"/>
        </w:rPr>
        <w:t>：</w:t>
      </w:r>
      <w:r w:rsidR="003D680F" w:rsidRPr="003A50DE">
        <w:rPr>
          <w:rFonts w:hAnsi="宋体"/>
          <w:szCs w:val="24"/>
        </w:rPr>
        <w:t>00</w:t>
      </w:r>
      <w:r w:rsidR="003D680F" w:rsidRPr="003A50DE">
        <w:rPr>
          <w:rFonts w:hAnsi="宋体" w:hint="eastAsia"/>
          <w:szCs w:val="24"/>
        </w:rPr>
        <w:t>前及时进行划付</w:t>
      </w:r>
      <w:r w:rsidRPr="003A50DE">
        <w:rPr>
          <w:rFonts w:hAnsi="宋体" w:hint="eastAsia"/>
          <w:szCs w:val="24"/>
        </w:rPr>
        <w:t>，</w:t>
      </w:r>
      <w:r w:rsidRPr="003A50DE">
        <w:rPr>
          <w:rFonts w:hAnsi="宋体" w:hint="eastAsia"/>
          <w:szCs w:val="24"/>
        </w:rPr>
        <w:lastRenderedPageBreak/>
        <w:t>对于未准时划付的资金，基金管理人应及时通知基金托管人划付。因基金托管专户没有足够的资金，导致基金托管人不能按时拨付，基金托管人应及时通知基金管理人。</w:t>
      </w:r>
    </w:p>
    <w:p w14:paraId="3654E8BA" w14:textId="77777777" w:rsidR="00EA3FD1" w:rsidRPr="003A50DE" w:rsidRDefault="00EA3FD1" w:rsidP="00EA3FD1">
      <w:pPr>
        <w:pStyle w:val="1"/>
        <w:adjustRightInd w:val="0"/>
        <w:spacing w:line="520" w:lineRule="atLeast"/>
        <w:ind w:firstLineChars="200" w:firstLine="482"/>
        <w:rPr>
          <w:bCs/>
          <w:color w:val="auto"/>
          <w:szCs w:val="24"/>
        </w:rPr>
      </w:pPr>
      <w:bookmarkStart w:id="37" w:name="_Toc296551344"/>
      <w:bookmarkStart w:id="38" w:name="_Toc44321707"/>
      <w:r w:rsidRPr="003A50DE">
        <w:rPr>
          <w:rFonts w:hint="eastAsia"/>
          <w:bCs/>
          <w:color w:val="auto"/>
          <w:szCs w:val="24"/>
        </w:rPr>
        <w:t>第八条 基金净值计算和会计核算</w:t>
      </w:r>
      <w:bookmarkEnd w:id="37"/>
      <w:bookmarkEnd w:id="38"/>
    </w:p>
    <w:p w14:paraId="7270F00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8.1基金净值的计算、复核的时间和程序</w:t>
      </w:r>
    </w:p>
    <w:p w14:paraId="71B508D1" w14:textId="3604314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8.1.1基金净值包括基金资产净值、基金份额净值、基金份额累计净值。基金资产净值是指基金资产总值减去</w:t>
      </w:r>
      <w:r w:rsidR="00852E31" w:rsidRPr="003A50DE">
        <w:rPr>
          <w:rFonts w:hAnsi="宋体" w:hint="eastAsia"/>
          <w:szCs w:val="24"/>
        </w:rPr>
        <w:t>基金</w:t>
      </w:r>
      <w:r w:rsidRPr="003A50DE">
        <w:rPr>
          <w:rFonts w:hAnsi="宋体" w:hint="eastAsia"/>
          <w:szCs w:val="24"/>
        </w:rPr>
        <w:t>负债后的</w:t>
      </w:r>
      <w:r w:rsidR="00852E31" w:rsidRPr="003A50DE">
        <w:rPr>
          <w:rFonts w:hAnsi="宋体" w:hint="eastAsia"/>
          <w:szCs w:val="24"/>
        </w:rPr>
        <w:t>价</w:t>
      </w:r>
      <w:r w:rsidRPr="003A50DE">
        <w:rPr>
          <w:rFonts w:hAnsi="宋体" w:hint="eastAsia"/>
          <w:szCs w:val="24"/>
        </w:rPr>
        <w:t>值。基金份额净值是指计算日基金资产净值除以该计算日基金份额总</w:t>
      </w:r>
      <w:r w:rsidR="00852E31" w:rsidRPr="003A50DE">
        <w:rPr>
          <w:rFonts w:hAnsi="宋体" w:hint="eastAsia"/>
          <w:szCs w:val="24"/>
        </w:rPr>
        <w:t>数</w:t>
      </w:r>
      <w:r w:rsidRPr="003A50DE">
        <w:rPr>
          <w:rFonts w:hAnsi="宋体" w:hint="eastAsia"/>
          <w:szCs w:val="24"/>
        </w:rPr>
        <w:t>后的数值。基金份额累计净值是指基金份额净值与基金历来分红累计金额之</w:t>
      </w:r>
      <w:proofErr w:type="gramStart"/>
      <w:r w:rsidRPr="003A50DE">
        <w:rPr>
          <w:rFonts w:hAnsi="宋体" w:hint="eastAsia"/>
          <w:szCs w:val="24"/>
        </w:rPr>
        <w:t>和</w:t>
      </w:r>
      <w:proofErr w:type="gramEnd"/>
      <w:r w:rsidRPr="003A50DE">
        <w:rPr>
          <w:rFonts w:hAnsi="宋体" w:hint="eastAsia"/>
          <w:szCs w:val="24"/>
        </w:rPr>
        <w:t>。</w:t>
      </w:r>
      <w:r w:rsidR="00852E31" w:rsidRPr="003A50DE">
        <w:rPr>
          <w:rFonts w:hAnsi="宋体" w:hint="eastAsia"/>
          <w:szCs w:val="24"/>
        </w:rPr>
        <w:t>本</w:t>
      </w:r>
      <w:r w:rsidRPr="003A50DE">
        <w:rPr>
          <w:rFonts w:hAnsi="宋体" w:hint="eastAsia"/>
          <w:szCs w:val="24"/>
        </w:rPr>
        <w:t>基金</w:t>
      </w:r>
      <w:r w:rsidR="00852E31" w:rsidRPr="003A50DE">
        <w:rPr>
          <w:rFonts w:hAnsi="宋体" w:hint="eastAsia"/>
          <w:szCs w:val="24"/>
        </w:rPr>
        <w:t>份额</w:t>
      </w:r>
      <w:r w:rsidRPr="003A50DE">
        <w:rPr>
          <w:rFonts w:hAnsi="宋体" w:hint="eastAsia"/>
          <w:szCs w:val="24"/>
        </w:rPr>
        <w:t>净值的计算</w:t>
      </w:r>
      <w:r w:rsidR="00852E31" w:rsidRPr="003A50DE">
        <w:rPr>
          <w:rFonts w:hAnsi="宋体" w:hint="eastAsia"/>
          <w:szCs w:val="24"/>
        </w:rPr>
        <w:t>，</w:t>
      </w:r>
      <w:r w:rsidRPr="003A50DE">
        <w:rPr>
          <w:rFonts w:hAnsi="宋体" w:hint="eastAsia"/>
          <w:szCs w:val="24"/>
        </w:rPr>
        <w:t>保留到小数点后4位，小数点后第5位四舍五入，由此产生的</w:t>
      </w:r>
      <w:r w:rsidR="00852E31" w:rsidRPr="003A50DE">
        <w:rPr>
          <w:rFonts w:hAnsi="宋体" w:hint="eastAsia"/>
          <w:szCs w:val="24"/>
        </w:rPr>
        <w:t>收益或损失由基金财产承担</w:t>
      </w:r>
      <w:r w:rsidRPr="003A50DE">
        <w:rPr>
          <w:rFonts w:hAnsi="宋体" w:hint="eastAsia"/>
          <w:szCs w:val="24"/>
        </w:rPr>
        <w:t>。基金管理人可以设立大额赎回情形下的净值精度应急调整机制。国家</w:t>
      </w:r>
      <w:r w:rsidR="00852E31" w:rsidRPr="003A50DE">
        <w:rPr>
          <w:rFonts w:hAnsi="宋体" w:hint="eastAsia"/>
          <w:szCs w:val="24"/>
        </w:rPr>
        <w:t>法律法规</w:t>
      </w:r>
      <w:r w:rsidRPr="003A50DE">
        <w:rPr>
          <w:rFonts w:hAnsi="宋体" w:hint="eastAsia"/>
          <w:szCs w:val="24"/>
        </w:rPr>
        <w:t>另有规定的，从其规定。</w:t>
      </w:r>
    </w:p>
    <w:p w14:paraId="492036D5" w14:textId="6847BE1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8.1.2基金管理人</w:t>
      </w:r>
      <w:proofErr w:type="gramStart"/>
      <w:r w:rsidRPr="003A50DE">
        <w:rPr>
          <w:rFonts w:hAnsi="宋体" w:hint="eastAsia"/>
          <w:szCs w:val="24"/>
        </w:rPr>
        <w:t>应每</w:t>
      </w:r>
      <w:r w:rsidR="00A5336A" w:rsidRPr="003A50DE">
        <w:rPr>
          <w:rFonts w:hAnsi="宋体" w:hint="eastAsia"/>
          <w:szCs w:val="24"/>
        </w:rPr>
        <w:t>个</w:t>
      </w:r>
      <w:proofErr w:type="gramEnd"/>
      <w:r w:rsidR="003A71DB" w:rsidRPr="003A50DE">
        <w:rPr>
          <w:rFonts w:hAnsi="宋体" w:hint="eastAsia"/>
          <w:szCs w:val="24"/>
        </w:rPr>
        <w:t>估值日</w:t>
      </w:r>
      <w:r w:rsidRPr="003A50DE">
        <w:rPr>
          <w:rFonts w:hAnsi="宋体" w:hint="eastAsia"/>
          <w:szCs w:val="24"/>
        </w:rPr>
        <w:t>对基金资产估值，但基金管理人根据法律法规或基金合同的规定暂停估值时除外。估值原则应符合基金合同、《证券投资基金会计核算业务指引》</w:t>
      </w:r>
      <w:r w:rsidR="00852E31" w:rsidRPr="003A50DE">
        <w:rPr>
          <w:rFonts w:hAnsi="宋体" w:hint="eastAsia"/>
          <w:szCs w:val="24"/>
        </w:rPr>
        <w:t>、《企业会计准则》</w:t>
      </w:r>
      <w:r w:rsidRPr="003A50DE">
        <w:rPr>
          <w:rFonts w:hAnsi="宋体" w:hint="eastAsia"/>
          <w:szCs w:val="24"/>
        </w:rPr>
        <w:t>及其他法律、法规的规定。基金资产净值、</w:t>
      </w:r>
      <w:r w:rsidR="00852E31" w:rsidRPr="003A50DE">
        <w:rPr>
          <w:rFonts w:hAnsi="宋体" w:hint="eastAsia"/>
          <w:szCs w:val="24"/>
        </w:rPr>
        <w:t>各类</w:t>
      </w:r>
      <w:r w:rsidRPr="003A50DE">
        <w:rPr>
          <w:rFonts w:hAnsi="宋体" w:hint="eastAsia"/>
          <w:szCs w:val="24"/>
        </w:rPr>
        <w:t>基金份额净值和基金份额累计净值由基金管理人负责计算，基金托管人复核。基金管理人应于每个</w:t>
      </w:r>
      <w:r w:rsidR="00852E31" w:rsidRPr="003A50DE">
        <w:rPr>
          <w:rFonts w:hAnsi="宋体" w:hint="eastAsia"/>
          <w:szCs w:val="24"/>
        </w:rPr>
        <w:t>估值</w:t>
      </w:r>
      <w:r w:rsidRPr="003A50DE">
        <w:rPr>
          <w:rFonts w:hAnsi="宋体" w:hint="eastAsia"/>
          <w:szCs w:val="24"/>
        </w:rPr>
        <w:t>日交易结束后计算当日的基金净值并以双方认可的方式发送给基金托管人。基金托管人对净值计算结果复核后以双方认可的方式发送给基金管理人，基金管理人在不晚于每个开放日的次日，通过</w:t>
      </w:r>
      <w:r w:rsidR="00852E31" w:rsidRPr="003A50DE">
        <w:rPr>
          <w:rFonts w:hAnsi="宋体" w:hint="eastAsia"/>
          <w:szCs w:val="24"/>
        </w:rPr>
        <w:t>规定</w:t>
      </w:r>
      <w:r w:rsidRPr="003A50DE">
        <w:rPr>
          <w:rFonts w:hAnsi="宋体" w:hint="eastAsia"/>
          <w:szCs w:val="24"/>
        </w:rPr>
        <w:t>网站披露开放日的</w:t>
      </w:r>
      <w:r w:rsidR="00E1393C" w:rsidRPr="003A50DE">
        <w:rPr>
          <w:rFonts w:hAnsi="宋体" w:hint="eastAsia"/>
          <w:szCs w:val="24"/>
        </w:rPr>
        <w:t>各类</w:t>
      </w:r>
      <w:r w:rsidRPr="003A50DE">
        <w:rPr>
          <w:rFonts w:hAnsi="宋体" w:hint="eastAsia"/>
          <w:szCs w:val="24"/>
        </w:rPr>
        <w:t>基金</w:t>
      </w:r>
      <w:r w:rsidR="00E1393C" w:rsidRPr="003A50DE">
        <w:rPr>
          <w:rFonts w:hAnsi="宋体" w:hint="eastAsia"/>
          <w:szCs w:val="24"/>
        </w:rPr>
        <w:t>份额</w:t>
      </w:r>
      <w:r w:rsidRPr="003A50DE">
        <w:rPr>
          <w:rFonts w:hAnsi="宋体" w:hint="eastAsia"/>
          <w:szCs w:val="24"/>
        </w:rPr>
        <w:t>净值</w:t>
      </w:r>
      <w:r w:rsidR="00875FDE" w:rsidRPr="003A50DE">
        <w:rPr>
          <w:rFonts w:hAnsi="宋体" w:hint="eastAsia"/>
          <w:szCs w:val="24"/>
        </w:rPr>
        <w:t>和</w:t>
      </w:r>
      <w:r w:rsidR="00E1393C" w:rsidRPr="003A50DE">
        <w:rPr>
          <w:rFonts w:hAnsi="宋体" w:hint="eastAsia"/>
        </w:rPr>
        <w:t>基金份额累计净值</w:t>
      </w:r>
      <w:r w:rsidRPr="003A50DE">
        <w:rPr>
          <w:rFonts w:hAnsi="宋体" w:hint="eastAsia"/>
          <w:szCs w:val="24"/>
        </w:rPr>
        <w:t>，并在不晚于半年度和年度最后一日的次日，在</w:t>
      </w:r>
      <w:r w:rsidR="00852E31" w:rsidRPr="003A50DE">
        <w:rPr>
          <w:rFonts w:hAnsi="宋体" w:hint="eastAsia"/>
          <w:szCs w:val="24"/>
        </w:rPr>
        <w:t>规定</w:t>
      </w:r>
      <w:r w:rsidRPr="003A50DE">
        <w:rPr>
          <w:rFonts w:hAnsi="宋体" w:hint="eastAsia"/>
          <w:szCs w:val="24"/>
        </w:rPr>
        <w:t>网站披露半年度和年度最后一日的</w:t>
      </w:r>
      <w:r w:rsidR="00E1393C" w:rsidRPr="003A50DE">
        <w:rPr>
          <w:rFonts w:hAnsi="宋体" w:hint="eastAsia"/>
          <w:szCs w:val="24"/>
        </w:rPr>
        <w:t>各类</w:t>
      </w:r>
      <w:r w:rsidR="00E1393C" w:rsidRPr="003A50DE">
        <w:rPr>
          <w:rFonts w:hAnsi="宋体"/>
          <w:szCs w:val="24"/>
        </w:rPr>
        <w:t>基金份额净值和基金份额累计净值</w:t>
      </w:r>
      <w:r w:rsidRPr="003A50DE">
        <w:rPr>
          <w:rFonts w:hAnsi="宋体" w:hint="eastAsia"/>
          <w:szCs w:val="24"/>
        </w:rPr>
        <w:t>。</w:t>
      </w:r>
    </w:p>
    <w:p w14:paraId="73E45B6C" w14:textId="2353DE22"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14:paraId="1A943A7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8.2基金资产估值方法</w:t>
      </w:r>
    </w:p>
    <w:p w14:paraId="4393C75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8.2.1估值对象</w:t>
      </w:r>
    </w:p>
    <w:p w14:paraId="1754165A" w14:textId="649E474F"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39" w:name="_Hlk130834984"/>
      <w:r w:rsidRPr="003A50DE">
        <w:rPr>
          <w:rFonts w:hAnsi="宋体" w:hint="eastAsia"/>
          <w:szCs w:val="24"/>
        </w:rPr>
        <w:t>基金所拥有的股票、债券、</w:t>
      </w:r>
      <w:r w:rsidR="00C052D8" w:rsidRPr="003A50DE">
        <w:rPr>
          <w:rFonts w:hAnsi="宋体" w:hint="eastAsia"/>
          <w:bCs/>
          <w:szCs w:val="24"/>
        </w:rPr>
        <w:t>股指期货合约、国债期货合约</w:t>
      </w:r>
      <w:r w:rsidR="00C052D8" w:rsidRPr="003A50DE">
        <w:rPr>
          <w:rFonts w:hAnsi="宋体"/>
          <w:szCs w:val="24"/>
        </w:rPr>
        <w:t>和</w:t>
      </w:r>
      <w:r w:rsidRPr="003A50DE">
        <w:rPr>
          <w:rFonts w:hAnsi="宋体" w:hint="eastAsia"/>
          <w:szCs w:val="24"/>
        </w:rPr>
        <w:t>银行存款本息、应</w:t>
      </w:r>
      <w:r w:rsidRPr="003A50DE">
        <w:rPr>
          <w:rFonts w:hAnsi="宋体" w:hint="eastAsia"/>
          <w:szCs w:val="24"/>
        </w:rPr>
        <w:lastRenderedPageBreak/>
        <w:t>收款项、其</w:t>
      </w:r>
      <w:r w:rsidR="00C052D8" w:rsidRPr="003A50DE">
        <w:rPr>
          <w:rFonts w:hAnsi="宋体" w:hint="eastAsia"/>
          <w:szCs w:val="24"/>
        </w:rPr>
        <w:t>它</w:t>
      </w:r>
      <w:r w:rsidRPr="003A50DE">
        <w:rPr>
          <w:rFonts w:hAnsi="宋体" w:hint="eastAsia"/>
          <w:szCs w:val="24"/>
        </w:rPr>
        <w:t>投资等资产及负债。</w:t>
      </w:r>
    </w:p>
    <w:p w14:paraId="0FEA2CD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8.2.2估值方法</w:t>
      </w:r>
    </w:p>
    <w:p w14:paraId="25C661FC" w14:textId="77777777" w:rsidR="00C052D8" w:rsidRPr="003A50DE" w:rsidRDefault="00EA3FD1" w:rsidP="00C052D8">
      <w:pPr>
        <w:adjustRightInd w:val="0"/>
        <w:snapToGrid w:val="0"/>
        <w:spacing w:line="520" w:lineRule="atLeast"/>
        <w:rPr>
          <w:rFonts w:ascii="宋体" w:hAnsi="宋体"/>
          <w:bCs/>
          <w:sz w:val="24"/>
          <w:szCs w:val="24"/>
        </w:rPr>
      </w:pPr>
      <w:r w:rsidRPr="003A50DE">
        <w:rPr>
          <w:rFonts w:ascii="宋体" w:hAnsi="宋体" w:hint="eastAsia"/>
          <w:bCs/>
          <w:sz w:val="24"/>
          <w:szCs w:val="24"/>
        </w:rPr>
        <w:t xml:space="preserve">    </w:t>
      </w:r>
      <w:r w:rsidR="00C052D8" w:rsidRPr="003A50DE">
        <w:rPr>
          <w:rFonts w:ascii="宋体" w:hAnsi="宋体" w:hint="eastAsia"/>
          <w:bCs/>
          <w:sz w:val="24"/>
          <w:szCs w:val="24"/>
        </w:rPr>
        <w:t>（1）已上市的有价证券的估值</w:t>
      </w:r>
    </w:p>
    <w:p w14:paraId="46A9D764"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①</w:t>
      </w:r>
      <w:r w:rsidRPr="003A50DE">
        <w:rPr>
          <w:rFonts w:ascii="宋体" w:hAnsi="宋体"/>
          <w:bCs/>
          <w:sz w:val="24"/>
          <w:szCs w:val="24"/>
        </w:rPr>
        <w:t>交易所上市的有价证券（包括股票等），以其估值日在证券交易所挂牌的市价（收盘价）估值；估值日无交易的，且最近交易日后经济环境未发生重大变化</w:t>
      </w:r>
      <w:r w:rsidRPr="003A50DE">
        <w:rPr>
          <w:rFonts w:ascii="宋体" w:hAnsi="宋体" w:hint="eastAsia"/>
          <w:bCs/>
          <w:sz w:val="24"/>
          <w:szCs w:val="24"/>
        </w:rPr>
        <w:t>或</w:t>
      </w:r>
      <w:r w:rsidRPr="003A50DE">
        <w:rPr>
          <w:rFonts w:ascii="宋体" w:hAnsi="宋体"/>
          <w:bCs/>
          <w:sz w:val="24"/>
          <w:szCs w:val="24"/>
        </w:rPr>
        <w:t>证券发行机构未发生影响证券价格的重大事件的，以最近交易日的市价（收盘价）估值；如最近交易日后经济环境发生了重大变化</w:t>
      </w:r>
      <w:r w:rsidRPr="003A50DE">
        <w:rPr>
          <w:rFonts w:ascii="宋体" w:hAnsi="宋体" w:hint="eastAsia"/>
          <w:bCs/>
          <w:sz w:val="24"/>
          <w:szCs w:val="24"/>
        </w:rPr>
        <w:t>或</w:t>
      </w:r>
      <w:r w:rsidRPr="003A50DE">
        <w:rPr>
          <w:rFonts w:ascii="宋体" w:hAnsi="宋体"/>
          <w:bCs/>
          <w:sz w:val="24"/>
          <w:szCs w:val="24"/>
        </w:rPr>
        <w:t>证券发行机构发生影响证券价格的重大事件的，可参考类似投资品种的现行市价及重大变化因素，调整最近交易市价，确定公允价格</w:t>
      </w:r>
      <w:r w:rsidRPr="003A50DE">
        <w:rPr>
          <w:rFonts w:ascii="宋体" w:hAnsi="宋体" w:hint="eastAsia"/>
          <w:bCs/>
          <w:sz w:val="24"/>
          <w:szCs w:val="24"/>
        </w:rPr>
        <w:t>；</w:t>
      </w:r>
    </w:p>
    <w:p w14:paraId="7CB8DECE"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②对于已上市或已挂牌转让的不含</w:t>
      </w:r>
      <w:proofErr w:type="gramStart"/>
      <w:r w:rsidRPr="003A50DE">
        <w:rPr>
          <w:rFonts w:ascii="宋体" w:hAnsi="宋体" w:hint="eastAsia"/>
          <w:bCs/>
          <w:sz w:val="24"/>
          <w:szCs w:val="24"/>
        </w:rPr>
        <w:t>权固定</w:t>
      </w:r>
      <w:proofErr w:type="gramEnd"/>
      <w:r w:rsidRPr="003A50DE">
        <w:rPr>
          <w:rFonts w:ascii="宋体" w:hAnsi="宋体" w:hint="eastAsia"/>
          <w:bCs/>
          <w:sz w:val="24"/>
          <w:szCs w:val="24"/>
        </w:rPr>
        <w:t>收益品种，选取第三方估值基准服务机构提供的相应品种当日的估值全价进行估值；</w:t>
      </w:r>
    </w:p>
    <w:p w14:paraId="5B488FFA"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③对于已上市或已挂牌转让的含</w:t>
      </w:r>
      <w:proofErr w:type="gramStart"/>
      <w:r w:rsidRPr="003A50DE">
        <w:rPr>
          <w:rFonts w:ascii="宋体" w:hAnsi="宋体" w:hint="eastAsia"/>
          <w:bCs/>
          <w:sz w:val="24"/>
          <w:szCs w:val="24"/>
        </w:rPr>
        <w:t>权固定</w:t>
      </w:r>
      <w:proofErr w:type="gramEnd"/>
      <w:r w:rsidRPr="003A50DE">
        <w:rPr>
          <w:rFonts w:ascii="宋体" w:hAnsi="宋体" w:hint="eastAsia"/>
          <w:bCs/>
          <w:sz w:val="24"/>
          <w:szCs w:val="24"/>
        </w:rPr>
        <w:t>收益品种（含转股权的债券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09C84F80"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④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49EA7A2"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（2）</w:t>
      </w:r>
      <w:r w:rsidRPr="003A50DE">
        <w:rPr>
          <w:rFonts w:ascii="宋体" w:hAnsi="宋体"/>
          <w:bCs/>
          <w:sz w:val="24"/>
          <w:szCs w:val="24"/>
        </w:rPr>
        <w:t>处于未上市期间的有价证券应区分如下情况处理：</w:t>
      </w:r>
    </w:p>
    <w:p w14:paraId="3591CC4A"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①</w:t>
      </w:r>
      <w:r w:rsidRPr="003A50DE">
        <w:rPr>
          <w:rFonts w:ascii="宋体" w:hAnsi="宋体"/>
          <w:bCs/>
          <w:sz w:val="24"/>
          <w:szCs w:val="24"/>
        </w:rPr>
        <w:t>送股、转增股、配股和公开增发的新股，按估值日在证券交易所挂牌的同一股票的估值方法估值；该日无交易的，以最近一日的市价（收盘价）估值</w:t>
      </w:r>
      <w:r w:rsidRPr="003A50DE">
        <w:rPr>
          <w:rFonts w:ascii="宋体" w:hAnsi="宋体" w:hint="eastAsia"/>
          <w:bCs/>
          <w:sz w:val="24"/>
          <w:szCs w:val="24"/>
        </w:rPr>
        <w:t>。</w:t>
      </w:r>
    </w:p>
    <w:p w14:paraId="355715F0"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②</w:t>
      </w:r>
      <w:r w:rsidRPr="003A50DE">
        <w:rPr>
          <w:rFonts w:ascii="宋体" w:hAnsi="宋体"/>
          <w:bCs/>
          <w:sz w:val="24"/>
          <w:szCs w:val="24"/>
        </w:rPr>
        <w:t>首次公开发行未上市的股票，采用估值技术确定公允价值，在估值技术难以可靠计量公允价值的情况下，按成本估值。</w:t>
      </w:r>
    </w:p>
    <w:p w14:paraId="68F176F8"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③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w:t>
      </w:r>
      <w:r w:rsidRPr="003A50DE">
        <w:rPr>
          <w:rFonts w:ascii="宋体" w:hAnsi="宋体" w:hint="eastAsia"/>
          <w:bCs/>
          <w:sz w:val="24"/>
          <w:szCs w:val="24"/>
        </w:rPr>
        <w:lastRenderedPageBreak/>
        <w:t>在活跃市场的情况下，应采用当前情况下适用并且有足够可利用数据和其他信息支持的估值技术确定其公允价值。</w:t>
      </w:r>
    </w:p>
    <w:p w14:paraId="126DFFAF"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④流通受限股票，包括非公开发行股票、首次公开发行股票时公司股东公开发售股份、通过大宗交易取得的带限售期的股票等，按监管机构或行业协会有关规定确定公允价值</w:t>
      </w:r>
      <w:r w:rsidRPr="003A50DE">
        <w:rPr>
          <w:rFonts w:ascii="宋体" w:hAnsi="宋体"/>
          <w:bCs/>
          <w:sz w:val="24"/>
          <w:szCs w:val="24"/>
        </w:rPr>
        <w:t>。</w:t>
      </w:r>
    </w:p>
    <w:p w14:paraId="20F68C28"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（3）</w:t>
      </w:r>
      <w:r w:rsidRPr="003A50DE">
        <w:rPr>
          <w:rFonts w:ascii="宋体" w:hAnsi="宋体"/>
          <w:bCs/>
          <w:sz w:val="24"/>
          <w:szCs w:val="24"/>
        </w:rPr>
        <w:t>同一债券或股票同时在两个或两个以上</w:t>
      </w:r>
      <w:r w:rsidRPr="003A50DE">
        <w:rPr>
          <w:rFonts w:ascii="宋体" w:hAnsi="宋体" w:hint="eastAsia"/>
          <w:bCs/>
          <w:sz w:val="24"/>
          <w:szCs w:val="24"/>
        </w:rPr>
        <w:t>市场交易的，按债券或股票所处的市场分别估值。</w:t>
      </w:r>
    </w:p>
    <w:p w14:paraId="2D6B9B1F"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w:t>
      </w:r>
      <w:r w:rsidRPr="003A50DE">
        <w:rPr>
          <w:rFonts w:ascii="宋体" w:hAnsi="宋体"/>
          <w:bCs/>
          <w:sz w:val="24"/>
          <w:szCs w:val="24"/>
        </w:rPr>
        <w:t>4</w:t>
      </w:r>
      <w:r w:rsidRPr="003A50DE">
        <w:rPr>
          <w:rFonts w:ascii="宋体" w:hAnsi="宋体" w:hint="eastAsia"/>
          <w:bCs/>
          <w:sz w:val="24"/>
          <w:szCs w:val="24"/>
        </w:rPr>
        <w:t>）</w:t>
      </w:r>
      <w:r w:rsidRPr="003A50DE">
        <w:rPr>
          <w:rFonts w:ascii="宋体" w:hAnsi="宋体"/>
          <w:bCs/>
          <w:sz w:val="24"/>
          <w:szCs w:val="24"/>
        </w:rPr>
        <w:t>投资证券衍生品的估值方法</w:t>
      </w:r>
    </w:p>
    <w:p w14:paraId="142ABDC5"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①</w:t>
      </w:r>
      <w:r w:rsidRPr="003A50DE">
        <w:rPr>
          <w:rFonts w:ascii="宋体" w:hAnsi="宋体"/>
          <w:bCs/>
          <w:sz w:val="24"/>
          <w:szCs w:val="24"/>
        </w:rPr>
        <w:t>因持有股票而享有的配股权，采用估值技术确定公允价值进行估值。在估值技术难以可靠计量公允价值的情况下，按成本进行估值。</w:t>
      </w:r>
    </w:p>
    <w:p w14:paraId="46BEE94F"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②</w:t>
      </w:r>
      <w:r w:rsidRPr="003A50DE">
        <w:rPr>
          <w:rFonts w:ascii="宋体" w:hAnsi="宋体"/>
          <w:bCs/>
          <w:sz w:val="24"/>
          <w:szCs w:val="24"/>
        </w:rPr>
        <w:t>股指期货合约以估值日金融期货交易所的当日结算价估值，该日无交易的，以最近一日的结算价估值。</w:t>
      </w:r>
    </w:p>
    <w:p w14:paraId="25096520"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③</w:t>
      </w:r>
      <w:r w:rsidRPr="003A50DE">
        <w:rPr>
          <w:rFonts w:ascii="宋体" w:hAnsi="宋体"/>
          <w:bCs/>
          <w:sz w:val="24"/>
          <w:szCs w:val="24"/>
        </w:rPr>
        <w:t>国债期货合约，一般以估值当日结算价进行估值，估值当日无结算价的，且最近交易日后经济环境未发生重大变化的，采用最近交易日结算价估值。</w:t>
      </w:r>
    </w:p>
    <w:p w14:paraId="747945E7"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（5）</w:t>
      </w:r>
      <w:r w:rsidRPr="003A50DE">
        <w:rPr>
          <w:rFonts w:ascii="宋体" w:hAnsi="宋体"/>
          <w:bCs/>
          <w:sz w:val="24"/>
          <w:szCs w:val="24"/>
        </w:rPr>
        <w:t>存款的估值方法</w:t>
      </w:r>
    </w:p>
    <w:p w14:paraId="6B7BA17B"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持有的银行定期存款或通知存款以本金列示，按协议或合同利率逐日确认利息收入。如提前支取或利率发生变化，基金管理人及时进行账务调整。</w:t>
      </w:r>
    </w:p>
    <w:p w14:paraId="00EEE18D"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（6）在基金估值日，港股通投资的股票按其在港交所的收盘价估值；估值日无交易的，以最近交易日的收盘价估值。</w:t>
      </w:r>
    </w:p>
    <w:p w14:paraId="674F870E"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在基金估值日，港股通投资持有外币证券资产估值涉及到港币对人民币汇率的，可参考当日中国人民银行或其授权机构公布的人民币汇率中间价，或其他可以反映公允价值的汇率进行估值。</w:t>
      </w:r>
    </w:p>
    <w:p w14:paraId="70FD2410"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3A5D6868"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（7）当发生大额申购或赎回情形时，可以采用摆动定价机制，以确保基金估值的公平性。</w:t>
      </w:r>
    </w:p>
    <w:p w14:paraId="2C7B3B85"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（8）本基金投资存托凭证的估值核算，依照境内上市交易的股票执行。</w:t>
      </w:r>
    </w:p>
    <w:p w14:paraId="0EA719B6"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lastRenderedPageBreak/>
        <w:t>（9）</w:t>
      </w:r>
      <w:r w:rsidRPr="003A50DE">
        <w:rPr>
          <w:rFonts w:ascii="宋体" w:hAnsi="宋体"/>
          <w:bCs/>
          <w:sz w:val="24"/>
          <w:szCs w:val="24"/>
        </w:rPr>
        <w:t>如有确凿证据表明按上述方法进行估值不能客观反映其公允价值的，基金管理人可根据具体情况与基金托管人商定后，按最能反映公允价值的价格估值。</w:t>
      </w:r>
    </w:p>
    <w:p w14:paraId="3B921E07" w14:textId="77777777" w:rsidR="00C052D8" w:rsidRPr="003A50DE" w:rsidRDefault="00C052D8" w:rsidP="00F823E1">
      <w:pPr>
        <w:adjustRightInd w:val="0"/>
        <w:snapToGrid w:val="0"/>
        <w:spacing w:line="520" w:lineRule="atLeast"/>
        <w:ind w:firstLineChars="177" w:firstLine="425"/>
        <w:rPr>
          <w:rFonts w:ascii="宋体" w:hAnsi="宋体"/>
          <w:bCs/>
          <w:sz w:val="24"/>
          <w:szCs w:val="24"/>
        </w:rPr>
      </w:pPr>
      <w:r w:rsidRPr="003A50DE">
        <w:rPr>
          <w:rFonts w:ascii="宋体" w:hAnsi="宋体" w:hint="eastAsia"/>
          <w:bCs/>
          <w:sz w:val="24"/>
          <w:szCs w:val="24"/>
        </w:rPr>
        <w:t>（1</w:t>
      </w:r>
      <w:r w:rsidRPr="003A50DE">
        <w:rPr>
          <w:rFonts w:ascii="宋体" w:hAnsi="宋体"/>
          <w:bCs/>
          <w:sz w:val="24"/>
          <w:szCs w:val="24"/>
        </w:rPr>
        <w:t>0</w:t>
      </w:r>
      <w:r w:rsidRPr="003A50DE">
        <w:rPr>
          <w:rFonts w:ascii="宋体" w:hAnsi="宋体" w:hint="eastAsia"/>
          <w:bCs/>
          <w:sz w:val="24"/>
          <w:szCs w:val="24"/>
        </w:rPr>
        <w:t>）相关法律法规以及监管部门有强制规定的，从其规定。如有新增事项，按国家最新规定估值。</w:t>
      </w:r>
    </w:p>
    <w:p w14:paraId="4088C27E" w14:textId="77777777" w:rsidR="00EA3FD1" w:rsidRPr="003A50DE" w:rsidRDefault="00EA3FD1" w:rsidP="00EA3FD1">
      <w:pPr>
        <w:adjustRightInd w:val="0"/>
        <w:snapToGrid w:val="0"/>
        <w:spacing w:line="520" w:lineRule="atLeast"/>
        <w:ind w:firstLineChars="200" w:firstLine="480"/>
        <w:rPr>
          <w:rFonts w:ascii="宋体" w:hAnsi="宋体"/>
          <w:sz w:val="24"/>
          <w:szCs w:val="24"/>
        </w:rPr>
      </w:pPr>
      <w:r w:rsidRPr="003A50DE">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99A4126" w14:textId="7C01EF3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bCs/>
          <w:szCs w:val="24"/>
        </w:rPr>
        <w:t>根据有关法律法规，基金</w:t>
      </w:r>
      <w:r w:rsidR="00A5336A" w:rsidRPr="003A50DE">
        <w:rPr>
          <w:rFonts w:hAnsi="宋体" w:hint="eastAsia"/>
          <w:bCs/>
          <w:szCs w:val="24"/>
        </w:rPr>
        <w:t>资产</w:t>
      </w:r>
      <w:r w:rsidRPr="003A50DE">
        <w:rPr>
          <w:rFonts w:hAnsi="宋体" w:hint="eastAsia"/>
          <w:bCs/>
          <w:szCs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2E31" w:rsidRPr="003A50DE">
        <w:rPr>
          <w:rFonts w:hAnsi="宋体" w:hint="eastAsia"/>
          <w:bCs/>
          <w:szCs w:val="24"/>
        </w:rPr>
        <w:t>信息</w:t>
      </w:r>
      <w:r w:rsidRPr="003A50DE">
        <w:rPr>
          <w:rFonts w:hAnsi="宋体" w:hint="eastAsia"/>
          <w:bCs/>
          <w:szCs w:val="24"/>
        </w:rPr>
        <w:t>的计算结果对外予以公布</w:t>
      </w:r>
      <w:r w:rsidRPr="003A50DE">
        <w:rPr>
          <w:rFonts w:hAnsi="宋体" w:hint="eastAsia"/>
          <w:szCs w:val="24"/>
        </w:rPr>
        <w:t>。</w:t>
      </w:r>
    </w:p>
    <w:bookmarkEnd w:id="39"/>
    <w:p w14:paraId="0DC245CB" w14:textId="08993B6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8.3估值差错处理</w:t>
      </w:r>
    </w:p>
    <w:p w14:paraId="5D7D4DEA"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基金管理人和基金托管人将采取必要、适当、合理的措施确保基金资产估值的准确性、及时性。当</w:t>
      </w:r>
      <w:r w:rsidRPr="003A50DE">
        <w:rPr>
          <w:rFonts w:ascii="宋体" w:hAnsi="宋体" w:hint="eastAsia"/>
          <w:sz w:val="24"/>
          <w:szCs w:val="24"/>
        </w:rPr>
        <w:t>某一类</w:t>
      </w:r>
      <w:r w:rsidRPr="003A50DE">
        <w:rPr>
          <w:rFonts w:ascii="宋体" w:hAnsi="宋体"/>
          <w:sz w:val="24"/>
          <w:szCs w:val="24"/>
        </w:rPr>
        <w:t>基金份额净值小数点后4位以内(含第4位)发生估值错误时，视为</w:t>
      </w:r>
      <w:r w:rsidRPr="003A50DE">
        <w:rPr>
          <w:rFonts w:ascii="宋体" w:hAnsi="宋体" w:hint="eastAsia"/>
          <w:sz w:val="24"/>
          <w:szCs w:val="24"/>
        </w:rPr>
        <w:t>该类</w:t>
      </w:r>
      <w:r w:rsidRPr="003A50DE">
        <w:rPr>
          <w:rFonts w:ascii="宋体" w:hAnsi="宋体"/>
          <w:sz w:val="24"/>
          <w:szCs w:val="24"/>
        </w:rPr>
        <w:t>基金份额净值错误。</w:t>
      </w:r>
    </w:p>
    <w:p w14:paraId="2B22F049"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本基金合同的当事人应按照以下约定处理：</w:t>
      </w:r>
    </w:p>
    <w:p w14:paraId="7668F808" w14:textId="6AD14306"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8.3.1估值错误类型</w:t>
      </w:r>
    </w:p>
    <w:p w14:paraId="3400511B"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B343893"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上述估值错误的主要类型包括但不限于：资料申报差错、数据传输差错、数据计算差错、系统故障差错、下达指令差错等。</w:t>
      </w:r>
    </w:p>
    <w:p w14:paraId="6D6B28FB" w14:textId="0D3600E3"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8.3.2估值错误处理原则</w:t>
      </w:r>
    </w:p>
    <w:p w14:paraId="43100D42"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w:t>
      </w:r>
      <w:r w:rsidRPr="003A50DE">
        <w:rPr>
          <w:rFonts w:ascii="宋体" w:hAnsi="宋体"/>
          <w:sz w:val="24"/>
          <w:szCs w:val="24"/>
        </w:rPr>
        <w:lastRenderedPageBreak/>
        <w:t>义务的当事人有足够的时间进行更正而未更正，则其应当承担相应赔偿责任。估值错误责任方应对更正的情况向有关当事人进行确认，确保估值错误已得到更正。</w:t>
      </w:r>
    </w:p>
    <w:p w14:paraId="59D9825A"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（2）估值错误的责任方对有关当事人的直接损失负责，不对间接损失负责，并且仅对估值错误的有关直接当事人负责，不对第三方负责。</w:t>
      </w:r>
    </w:p>
    <w:p w14:paraId="086AADAF"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（3）因估值错误而获得不当得利的当事人负有及时返还不当得利的义务。但估值错误责任方仍应对估值错误负责。如果由于获得不当得利的当事人</w:t>
      </w:r>
      <w:proofErr w:type="gramStart"/>
      <w:r w:rsidRPr="003A50DE">
        <w:rPr>
          <w:rFonts w:ascii="宋体" w:hAnsi="宋体"/>
          <w:sz w:val="24"/>
          <w:szCs w:val="24"/>
        </w:rPr>
        <w:t>不</w:t>
      </w:r>
      <w:proofErr w:type="gramEnd"/>
      <w:r w:rsidRPr="003A50DE">
        <w:rPr>
          <w:rFonts w:ascii="宋体" w:hAnsi="宋体"/>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95D721"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（4）估值错误调整采用尽量恢复至假设未发生估值错误的正确情形的方式。</w:t>
      </w:r>
    </w:p>
    <w:p w14:paraId="326B14E9" w14:textId="12793AF2"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8.3.3估值错误处理程序</w:t>
      </w:r>
    </w:p>
    <w:p w14:paraId="510DF54D"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估值错误被发现后，有关的当事人应当及时进行处理，处理的程序如下：</w:t>
      </w:r>
    </w:p>
    <w:p w14:paraId="1F886FD4"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（1）查明估值错误发生的原因，列明所有的当事人，并根据估值错误发生的原因确定估值错误的责任方；</w:t>
      </w:r>
    </w:p>
    <w:p w14:paraId="5036DE39"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（2）根据估值错误处理原则或当事人协商的方法对因估值错误造成的损失进行评估；</w:t>
      </w:r>
    </w:p>
    <w:p w14:paraId="63F8121D"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（3）根据估值错误处理原则或当事人协商的方法由估值错误的责任方进行更正和赔偿损失；</w:t>
      </w:r>
    </w:p>
    <w:p w14:paraId="3EDBC178"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（4）根据估值错误处理的方法，需要修改基金登记机构交易数据的，由基金登记机构进行更正，并就估值错误的更正向有关当事人进行确认。</w:t>
      </w:r>
    </w:p>
    <w:p w14:paraId="0F99F7C2" w14:textId="09030CB8"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8.3.4基金份额净值估值错误处理的方法如下：</w:t>
      </w:r>
    </w:p>
    <w:p w14:paraId="20C274D1"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（1）基金份额净值计算出现错误时，基金管理人应当立即予以纠正，通报基金托管人，并采取合理的措施防止损失进一步扩大。</w:t>
      </w:r>
    </w:p>
    <w:p w14:paraId="5F083743" w14:textId="77777777"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sz w:val="24"/>
          <w:szCs w:val="24"/>
        </w:rPr>
        <w:t>（2）错误偏差达到</w:t>
      </w:r>
      <w:r w:rsidRPr="003A50DE">
        <w:rPr>
          <w:rFonts w:ascii="宋体" w:hAnsi="宋体" w:hint="eastAsia"/>
          <w:sz w:val="24"/>
          <w:szCs w:val="24"/>
        </w:rPr>
        <w:t>该类</w:t>
      </w:r>
      <w:r w:rsidRPr="003A50DE">
        <w:rPr>
          <w:rFonts w:ascii="宋体" w:hAnsi="宋体"/>
          <w:sz w:val="24"/>
          <w:szCs w:val="24"/>
        </w:rPr>
        <w:t>基金份额净值的0.25%时，基金管理人应当通报基金托管人并报中国证监会备案；错误偏差达到</w:t>
      </w:r>
      <w:r w:rsidRPr="003A50DE">
        <w:rPr>
          <w:rFonts w:ascii="宋体" w:hAnsi="宋体" w:hint="eastAsia"/>
          <w:sz w:val="24"/>
          <w:szCs w:val="24"/>
        </w:rPr>
        <w:t>该类</w:t>
      </w:r>
      <w:r w:rsidRPr="003A50DE">
        <w:rPr>
          <w:rFonts w:ascii="宋体" w:hAnsi="宋体"/>
          <w:sz w:val="24"/>
          <w:szCs w:val="24"/>
        </w:rPr>
        <w:t>基金份额净值的0.5%时，基金管理人应当公告，并报中国证监会备案。</w:t>
      </w:r>
    </w:p>
    <w:p w14:paraId="7988D9F9" w14:textId="593CEE2A" w:rsidR="00993FEA" w:rsidRPr="003A50DE" w:rsidRDefault="00993FEA" w:rsidP="00993FEA">
      <w:pPr>
        <w:adjustRightInd w:val="0"/>
        <w:snapToGrid w:val="0"/>
        <w:spacing w:line="520" w:lineRule="atLeast"/>
        <w:ind w:firstLineChars="200" w:firstLine="480"/>
        <w:rPr>
          <w:rFonts w:ascii="宋体" w:hAnsi="宋体"/>
          <w:sz w:val="24"/>
          <w:szCs w:val="24"/>
        </w:rPr>
      </w:pPr>
      <w:r w:rsidRPr="003A50DE">
        <w:rPr>
          <w:rFonts w:ascii="宋体" w:hAnsi="宋体" w:hint="eastAsia"/>
          <w:sz w:val="24"/>
          <w:szCs w:val="24"/>
        </w:rPr>
        <w:lastRenderedPageBreak/>
        <w:t>（</w:t>
      </w:r>
      <w:r w:rsidRPr="003A50DE">
        <w:rPr>
          <w:rFonts w:ascii="宋体" w:hAnsi="宋体"/>
          <w:sz w:val="24"/>
          <w:szCs w:val="24"/>
        </w:rPr>
        <w:t>3）前述内容如法律法规或监管机关另有规定的，从其规定处理。</w:t>
      </w:r>
      <w:r w:rsidRPr="003A50DE">
        <w:rPr>
          <w:rFonts w:ascii="宋体" w:hAnsi="宋体" w:hint="eastAsia"/>
          <w:sz w:val="24"/>
          <w:szCs w:val="24"/>
        </w:rPr>
        <w:t>如果行业有通行做法，在不违背法律法规且不损害投资者利益的前提下，基金管理人、基金托管人应本着平等和保护基金份额持有人利益的原则重新协商确定处理原则。</w:t>
      </w:r>
    </w:p>
    <w:p w14:paraId="6BA8ACE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8.4基金账册的建立</w:t>
      </w:r>
    </w:p>
    <w:p w14:paraId="40FEBFA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80AAB4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C58AAB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8.5基金定期报告的编制和复核</w:t>
      </w:r>
    </w:p>
    <w:p w14:paraId="1099061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8.5.1基金财务报告由基金管理人编制，基金托管人复核。月度报告的编制，应于每月终了后5个工作日内完成。</w:t>
      </w:r>
    </w:p>
    <w:p w14:paraId="598C811E" w14:textId="2AD2604B"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8.5.2基金管理人应当在每年结束之日起三个月内，编制完成基金年度报告，将年度报告登载在</w:t>
      </w:r>
      <w:r w:rsidR="00852E31" w:rsidRPr="003A50DE">
        <w:rPr>
          <w:rFonts w:hAnsi="宋体" w:hint="eastAsia"/>
          <w:szCs w:val="24"/>
        </w:rPr>
        <w:t>规定</w:t>
      </w:r>
      <w:r w:rsidRPr="003A50DE">
        <w:rPr>
          <w:rFonts w:hAnsi="宋体" w:hint="eastAsia"/>
          <w:szCs w:val="24"/>
        </w:rPr>
        <w:t>网站上，并将年度报告提示性公告登载在</w:t>
      </w:r>
      <w:r w:rsidR="00852E31" w:rsidRPr="003A50DE">
        <w:rPr>
          <w:rFonts w:hAnsi="宋体" w:hint="eastAsia"/>
          <w:szCs w:val="24"/>
        </w:rPr>
        <w:t>规定</w:t>
      </w:r>
      <w:r w:rsidRPr="003A50DE">
        <w:rPr>
          <w:rFonts w:hAnsi="宋体" w:hint="eastAsia"/>
          <w:szCs w:val="24"/>
        </w:rPr>
        <w:t>报刊上。基金年度报告中的财务会计报告应当经过</w:t>
      </w:r>
      <w:r w:rsidR="00852E31" w:rsidRPr="003A50DE">
        <w:rPr>
          <w:rFonts w:hAnsi="宋体" w:hint="eastAsia"/>
          <w:szCs w:val="24"/>
        </w:rPr>
        <w:t>符合《中华人民共和国证券法》规定的</w:t>
      </w:r>
      <w:r w:rsidRPr="003A50DE">
        <w:rPr>
          <w:rFonts w:hAnsi="宋体" w:hint="eastAsia"/>
          <w:szCs w:val="24"/>
        </w:rPr>
        <w:t>会计师事务所审计。基金管理人应当在上半年结束之日起两个月内，编制完成基金中期报告，将中期报告登载在</w:t>
      </w:r>
      <w:r w:rsidR="00852E31" w:rsidRPr="003A50DE">
        <w:rPr>
          <w:rFonts w:hAnsi="宋体" w:hint="eastAsia"/>
          <w:szCs w:val="24"/>
        </w:rPr>
        <w:t>规定</w:t>
      </w:r>
      <w:r w:rsidRPr="003A50DE">
        <w:rPr>
          <w:rFonts w:hAnsi="宋体" w:hint="eastAsia"/>
          <w:szCs w:val="24"/>
        </w:rPr>
        <w:t>网站上，并将中期报告提示性公告登载在</w:t>
      </w:r>
      <w:r w:rsidR="00852E31" w:rsidRPr="003A50DE">
        <w:rPr>
          <w:rFonts w:hAnsi="宋体" w:hint="eastAsia"/>
          <w:szCs w:val="24"/>
        </w:rPr>
        <w:t>规定</w:t>
      </w:r>
      <w:r w:rsidRPr="003A50DE">
        <w:rPr>
          <w:rFonts w:hAnsi="宋体" w:hint="eastAsia"/>
          <w:szCs w:val="24"/>
        </w:rPr>
        <w:t>报刊上。基金管理人应当在季度结束之日起15个工作日内，编制完成基金季度报告，将季度报告登载在</w:t>
      </w:r>
      <w:r w:rsidR="00852E31" w:rsidRPr="003A50DE">
        <w:rPr>
          <w:rFonts w:hAnsi="宋体" w:hint="eastAsia"/>
          <w:szCs w:val="24"/>
        </w:rPr>
        <w:t>规定</w:t>
      </w:r>
      <w:r w:rsidRPr="003A50DE">
        <w:rPr>
          <w:rFonts w:hAnsi="宋体" w:hint="eastAsia"/>
          <w:szCs w:val="24"/>
        </w:rPr>
        <w:t>网站上，并将季度报告提示性公告登载在</w:t>
      </w:r>
      <w:r w:rsidR="00852E31" w:rsidRPr="003A50DE">
        <w:rPr>
          <w:rFonts w:hAnsi="宋体" w:hint="eastAsia"/>
          <w:szCs w:val="24"/>
        </w:rPr>
        <w:t>规定</w:t>
      </w:r>
      <w:r w:rsidRPr="003A50DE">
        <w:rPr>
          <w:rFonts w:hAnsi="宋体" w:hint="eastAsia"/>
          <w:szCs w:val="24"/>
        </w:rPr>
        <w:t>报刊上。《基金合同》生效不足2个月的，基金管理人可以不编制当期季度报告、中期报告或者年度报告。</w:t>
      </w:r>
    </w:p>
    <w:p w14:paraId="7E423C07" w14:textId="63C4EC72"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852E31" w:rsidRPr="003A50DE">
        <w:rPr>
          <w:rFonts w:hAnsi="宋体" w:hint="eastAsia"/>
          <w:szCs w:val="24"/>
        </w:rPr>
        <w:t>规定</w:t>
      </w:r>
      <w:r w:rsidRPr="003A50DE">
        <w:rPr>
          <w:rFonts w:hAnsi="宋体" w:hint="eastAsia"/>
          <w:szCs w:val="24"/>
        </w:rPr>
        <w:t>网站上，并将基金产品资料概要登载在</w:t>
      </w:r>
      <w:r w:rsidR="00852E31" w:rsidRPr="003A50DE">
        <w:rPr>
          <w:rFonts w:hAnsi="宋体" w:hint="eastAsia"/>
          <w:szCs w:val="24"/>
        </w:rPr>
        <w:t>规定网站及</w:t>
      </w:r>
      <w:r w:rsidRPr="003A50DE">
        <w:rPr>
          <w:rFonts w:hAnsi="宋体" w:hint="eastAsia"/>
          <w:szCs w:val="24"/>
        </w:rPr>
        <w:t>基金销售机构网站或营业网点。基金招募说明书、基金产品资料概要其他信息发生变更的，</w:t>
      </w:r>
      <w:r w:rsidRPr="003A50DE">
        <w:rPr>
          <w:rFonts w:hAnsi="宋体" w:hint="eastAsia"/>
          <w:szCs w:val="24"/>
        </w:rPr>
        <w:lastRenderedPageBreak/>
        <w:t>基金管理人至少每年更新一次。</w:t>
      </w:r>
    </w:p>
    <w:p w14:paraId="4E05DA78" w14:textId="5B95FC35"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40" w:name="_DV_C270"/>
      <w:r w:rsidRPr="003A50DE">
        <w:rPr>
          <w:rFonts w:hAnsi="宋体" w:hint="eastAsia"/>
          <w:szCs w:val="24"/>
        </w:rPr>
        <w:t>8.5.4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日内完成基金年度报告的</w:t>
      </w:r>
      <w:bookmarkEnd w:id="40"/>
      <w:r w:rsidRPr="003A50DE">
        <w:rPr>
          <w:rFonts w:hAnsi="宋体" w:hint="eastAsia"/>
          <w:szCs w:val="24"/>
        </w:rPr>
        <w:t>复核。基金托管人在复核过程中，发现双方的数据、信息存在不符时，基金管理人和基金托管人应共同查明原因，进行调整，调整以国家有关规定为准。</w:t>
      </w:r>
    </w:p>
    <w:p w14:paraId="519B063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8.5.5基金托管人在对财务会计报告、季度、中期报告或年度报告复核完毕后，需盖章确认或出具相应的复核确认书，以</w:t>
      </w:r>
      <w:proofErr w:type="gramStart"/>
      <w:r w:rsidRPr="003A50DE">
        <w:rPr>
          <w:rFonts w:hAnsi="宋体" w:hint="eastAsia"/>
          <w:szCs w:val="24"/>
        </w:rPr>
        <w:t>备有权</w:t>
      </w:r>
      <w:proofErr w:type="gramEnd"/>
      <w:r w:rsidRPr="003A50DE">
        <w:rPr>
          <w:rFonts w:hAnsi="宋体" w:hint="eastAsia"/>
          <w:szCs w:val="24"/>
        </w:rPr>
        <w:t>机构对相关文件审核时提示。</w:t>
      </w:r>
    </w:p>
    <w:p w14:paraId="434B011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41" w:name="_Hlk130835372"/>
      <w:r w:rsidRPr="003A50DE">
        <w:rPr>
          <w:rFonts w:hAnsi="宋体" w:hint="eastAsia"/>
          <w:szCs w:val="24"/>
        </w:rPr>
        <w:t>8.6暂停估值的情形</w:t>
      </w:r>
    </w:p>
    <w:p w14:paraId="2F74B7C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（1）基金投资所涉及的证券</w:t>
      </w:r>
      <w:r w:rsidR="00EF7C1D" w:rsidRPr="003A50DE">
        <w:rPr>
          <w:rFonts w:hAnsi="宋体" w:hint="eastAsia"/>
          <w:szCs w:val="24"/>
        </w:rPr>
        <w:t>、期货</w:t>
      </w:r>
      <w:r w:rsidRPr="003A50DE">
        <w:rPr>
          <w:rFonts w:hAnsi="宋体" w:hint="eastAsia"/>
          <w:szCs w:val="24"/>
        </w:rPr>
        <w:t>交易市场遇法定节假日或因其他原因暂停营业时；</w:t>
      </w:r>
    </w:p>
    <w:p w14:paraId="2BBB158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（2）因不可抗力致使基金管理人、基金托管人无法准确评估基金资产价值时；</w:t>
      </w:r>
    </w:p>
    <w:p w14:paraId="4335936A" w14:textId="04DCC23E" w:rsidR="00EA3FD1" w:rsidRPr="003A50DE" w:rsidRDefault="00EA3FD1" w:rsidP="00EA3FD1">
      <w:pPr>
        <w:pStyle w:val="21"/>
        <w:adjustRightInd w:val="0"/>
        <w:snapToGrid w:val="0"/>
        <w:spacing w:before="0" w:after="0" w:line="520" w:lineRule="atLeast"/>
        <w:ind w:left="0" w:firstLineChars="200" w:firstLine="480"/>
        <w:rPr>
          <w:rFonts w:hAnsi="宋体"/>
          <w:bCs/>
          <w:szCs w:val="24"/>
        </w:rPr>
      </w:pPr>
      <w:r w:rsidRPr="003A50DE">
        <w:rPr>
          <w:rFonts w:hAnsi="宋体" w:hint="eastAsia"/>
          <w:bCs/>
          <w:szCs w:val="24"/>
        </w:rPr>
        <w:t>（3）</w:t>
      </w:r>
      <w:r w:rsidR="00EF7C1D" w:rsidRPr="003A50DE">
        <w:rPr>
          <w:rFonts w:hAnsi="宋体" w:hint="eastAsia"/>
          <w:bCs/>
          <w:szCs w:val="24"/>
        </w:rPr>
        <w:t>当特定资产占前一估值日基金资产净值</w:t>
      </w:r>
      <w:r w:rsidR="00EF7C1D" w:rsidRPr="003A50DE">
        <w:rPr>
          <w:rFonts w:hAnsi="宋体"/>
          <w:bCs/>
          <w:szCs w:val="24"/>
        </w:rPr>
        <w:t>50%</w:t>
      </w:r>
      <w:r w:rsidR="00EF7C1D" w:rsidRPr="003A50DE">
        <w:rPr>
          <w:rFonts w:hAnsi="宋体" w:hint="eastAsia"/>
          <w:bCs/>
          <w:szCs w:val="24"/>
        </w:rPr>
        <w:t>以上的，经与基金托管人协商确认后，基金管理人应当暂停估值；</w:t>
      </w:r>
    </w:p>
    <w:p w14:paraId="79652C4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（4）法律法规、中国证监会和基金合同认定的其他情形。</w:t>
      </w:r>
    </w:p>
    <w:p w14:paraId="395FEF9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8.7特殊情况的处理</w:t>
      </w:r>
      <w:r w:rsidRPr="003A50DE">
        <w:rPr>
          <w:rFonts w:hAnsi="宋体" w:cs="Calibri" w:hint="eastAsia"/>
          <w:szCs w:val="24"/>
        </w:rPr>
        <w:t> </w:t>
      </w:r>
    </w:p>
    <w:p w14:paraId="30783BD1" w14:textId="24146B4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（1）基金管理人或基金托管人按《基金合同》规定估值方法</w:t>
      </w:r>
      <w:r w:rsidR="00EF7C1D" w:rsidRPr="003A50DE">
        <w:rPr>
          <w:rFonts w:hAnsi="宋体" w:hint="eastAsia"/>
          <w:szCs w:val="24"/>
        </w:rPr>
        <w:t>的第9项</w:t>
      </w:r>
      <w:r w:rsidRPr="003A50DE">
        <w:rPr>
          <w:rFonts w:hAnsi="宋体" w:hint="eastAsia"/>
          <w:szCs w:val="24"/>
        </w:rPr>
        <w:t>进行估值时，所造成的误差不作为基金</w:t>
      </w:r>
      <w:r w:rsidR="00852E31" w:rsidRPr="003A50DE">
        <w:rPr>
          <w:rFonts w:hAnsi="宋体" w:hint="eastAsia"/>
          <w:szCs w:val="24"/>
        </w:rPr>
        <w:t>资产估值</w:t>
      </w:r>
      <w:r w:rsidRPr="003A50DE">
        <w:rPr>
          <w:rFonts w:hAnsi="宋体" w:hint="eastAsia"/>
          <w:szCs w:val="24"/>
        </w:rPr>
        <w:t>错误处理。</w:t>
      </w:r>
      <w:r w:rsidRPr="003A50DE">
        <w:rPr>
          <w:rFonts w:hAnsi="宋体" w:cs="Calibri" w:hint="eastAsia"/>
          <w:szCs w:val="24"/>
        </w:rPr>
        <w:t> </w:t>
      </w:r>
    </w:p>
    <w:p w14:paraId="0F9B9C57" w14:textId="4A029AE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（2）由于不可抗力，或</w:t>
      </w:r>
      <w:r w:rsidR="00852E31" w:rsidRPr="003A50DE">
        <w:rPr>
          <w:rFonts w:hAnsi="宋体" w:hint="eastAsia"/>
          <w:szCs w:val="24"/>
        </w:rPr>
        <w:t>由于</w:t>
      </w:r>
      <w:r w:rsidRPr="003A50DE">
        <w:rPr>
          <w:rFonts w:hAnsi="宋体" w:hint="eastAsia"/>
          <w:szCs w:val="24"/>
        </w:rPr>
        <w:t>证券</w:t>
      </w:r>
      <w:r w:rsidR="00EF7C1D" w:rsidRPr="003A50DE">
        <w:rPr>
          <w:rFonts w:hAnsi="宋体" w:hint="eastAsia"/>
          <w:szCs w:val="24"/>
        </w:rPr>
        <w:t>/期货</w:t>
      </w:r>
      <w:r w:rsidRPr="003A50DE">
        <w:rPr>
          <w:rFonts w:hAnsi="宋体" w:hint="eastAsia"/>
          <w:szCs w:val="24"/>
        </w:rPr>
        <w:t>交易所、登记</w:t>
      </w:r>
      <w:r w:rsidR="00852E31" w:rsidRPr="003A50DE">
        <w:rPr>
          <w:rFonts w:hAnsi="宋体" w:hint="eastAsia"/>
          <w:szCs w:val="24"/>
        </w:rPr>
        <w:t>结算公司等</w:t>
      </w:r>
      <w:r w:rsidRPr="003A50DE">
        <w:rPr>
          <w:rFonts w:hAnsi="宋体" w:hint="eastAsia"/>
          <w:szCs w:val="24"/>
        </w:rPr>
        <w:t>发送的数据错误等原因，基金管理人和基金托管人虽然已经采取必要、适当、合理的措施进行检查，但未能发现错误</w:t>
      </w:r>
      <w:r w:rsidR="000C6E9A" w:rsidRPr="003A50DE">
        <w:rPr>
          <w:rFonts w:hAnsi="宋体" w:hint="eastAsia"/>
          <w:szCs w:val="24"/>
        </w:rPr>
        <w:t>或未能避免错误发生或</w:t>
      </w:r>
      <w:proofErr w:type="gramStart"/>
      <w:r w:rsidR="000C6E9A" w:rsidRPr="003A50DE">
        <w:rPr>
          <w:rFonts w:hAnsi="宋体" w:hint="eastAsia"/>
          <w:szCs w:val="24"/>
        </w:rPr>
        <w:t>虽发现</w:t>
      </w:r>
      <w:proofErr w:type="gramEnd"/>
      <w:r w:rsidR="000C6E9A" w:rsidRPr="003A50DE">
        <w:rPr>
          <w:rFonts w:hAnsi="宋体" w:hint="eastAsia"/>
          <w:szCs w:val="24"/>
        </w:rPr>
        <w:t>错误但因前述原因无法及时更正</w:t>
      </w:r>
      <w:r w:rsidRPr="003A50DE">
        <w:rPr>
          <w:rFonts w:hAnsi="宋体" w:hint="eastAsia"/>
          <w:szCs w:val="24"/>
        </w:rPr>
        <w:t>的，由此造成的基金资产估值错误，基金管理人和基金托管人免除赔偿责任。但基金管理人、基金托管人应当积极采取必要的措施减轻或消除由此造成的影响。</w:t>
      </w:r>
    </w:p>
    <w:p w14:paraId="5FC98028" w14:textId="1CC905F7" w:rsidR="00EA3FD1" w:rsidRPr="003A50DE" w:rsidRDefault="00EA3FD1" w:rsidP="00EA3FD1">
      <w:pPr>
        <w:pStyle w:val="1"/>
        <w:adjustRightInd w:val="0"/>
        <w:spacing w:line="520" w:lineRule="atLeast"/>
        <w:ind w:firstLineChars="200" w:firstLine="482"/>
        <w:rPr>
          <w:bCs/>
          <w:color w:val="auto"/>
          <w:szCs w:val="24"/>
        </w:rPr>
      </w:pPr>
      <w:bookmarkStart w:id="42" w:name="_Toc44321708"/>
      <w:bookmarkStart w:id="43" w:name="_Toc296551345"/>
      <w:bookmarkEnd w:id="41"/>
      <w:r w:rsidRPr="003A50DE">
        <w:rPr>
          <w:rFonts w:hint="eastAsia"/>
          <w:bCs/>
          <w:color w:val="auto"/>
          <w:szCs w:val="24"/>
        </w:rPr>
        <w:t>第九条 基金收益分配</w:t>
      </w:r>
      <w:bookmarkEnd w:id="42"/>
      <w:bookmarkEnd w:id="43"/>
    </w:p>
    <w:p w14:paraId="5046747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44" w:name="_Hlk130835460"/>
      <w:r w:rsidRPr="003A50DE">
        <w:rPr>
          <w:rFonts w:hAnsi="宋体" w:hint="eastAsia"/>
          <w:szCs w:val="24"/>
        </w:rPr>
        <w:t>9.1基金利润的构成</w:t>
      </w:r>
    </w:p>
    <w:p w14:paraId="39EEF5B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基金利润指基金利息收入、投资收益、公允价值变动收益和其他收入扣除相关费用后的余额；基金已实现收益指基金利润减去公允价值变动收益后的余额。</w:t>
      </w:r>
    </w:p>
    <w:p w14:paraId="1F542F77"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9.2基金可供分配利润</w:t>
      </w:r>
    </w:p>
    <w:p w14:paraId="7BADA97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基金可供分配利润指截至收益分配基准日基金未分配利润与未分配利润中已实现收益的孰低数。</w:t>
      </w:r>
    </w:p>
    <w:p w14:paraId="504C28A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9.3收益分配原则</w:t>
      </w:r>
    </w:p>
    <w:p w14:paraId="13451330" w14:textId="0A85DB3C" w:rsidR="00EA3FD1" w:rsidRPr="003A50DE" w:rsidRDefault="00EA3FD1" w:rsidP="00EA3FD1">
      <w:pPr>
        <w:adjustRightInd w:val="0"/>
        <w:snapToGrid w:val="0"/>
        <w:spacing w:line="520" w:lineRule="atLeast"/>
        <w:ind w:firstLineChars="225" w:firstLine="540"/>
        <w:rPr>
          <w:rFonts w:ascii="宋体" w:hAnsi="宋体"/>
          <w:bCs/>
          <w:sz w:val="24"/>
          <w:szCs w:val="24"/>
        </w:rPr>
      </w:pPr>
      <w:r w:rsidRPr="003A50DE">
        <w:rPr>
          <w:rFonts w:ascii="宋体" w:hAnsi="宋体" w:hint="eastAsia"/>
          <w:bCs/>
          <w:sz w:val="24"/>
          <w:szCs w:val="24"/>
        </w:rPr>
        <w:t>（1）</w:t>
      </w:r>
      <w:r w:rsidRPr="003A50DE">
        <w:rPr>
          <w:rFonts w:ascii="宋体" w:hAnsi="宋体"/>
          <w:bCs/>
          <w:sz w:val="24"/>
          <w:szCs w:val="24"/>
        </w:rPr>
        <w:t>本基金收益分配方式分两种：现金分红与红利再投资，投资者可选择现金红利或将现金红利自动转为</w:t>
      </w:r>
      <w:r w:rsidRPr="003A50DE">
        <w:rPr>
          <w:rFonts w:ascii="宋体" w:hAnsi="宋体" w:hint="eastAsia"/>
          <w:bCs/>
          <w:sz w:val="24"/>
          <w:szCs w:val="24"/>
        </w:rPr>
        <w:t>相应类别的</w:t>
      </w:r>
      <w:r w:rsidRPr="003A50DE">
        <w:rPr>
          <w:rFonts w:ascii="宋体" w:hAnsi="宋体"/>
          <w:bCs/>
          <w:sz w:val="24"/>
          <w:szCs w:val="24"/>
        </w:rPr>
        <w:t>基金份额进行再投资；若投资者不选择，本基金默认的收益分配方式是现金分红；</w:t>
      </w:r>
    </w:p>
    <w:p w14:paraId="5BFDE024" w14:textId="273CD5A0" w:rsidR="00EA3FD1" w:rsidRPr="003A50DE" w:rsidRDefault="00EA3FD1" w:rsidP="00EA3FD1">
      <w:pPr>
        <w:adjustRightInd w:val="0"/>
        <w:snapToGrid w:val="0"/>
        <w:spacing w:line="520" w:lineRule="atLeast"/>
        <w:ind w:firstLineChars="225" w:firstLine="540"/>
        <w:rPr>
          <w:rFonts w:ascii="宋体" w:hAnsi="宋体"/>
          <w:bCs/>
          <w:sz w:val="24"/>
          <w:szCs w:val="24"/>
        </w:rPr>
      </w:pPr>
      <w:r w:rsidRPr="003A50DE">
        <w:rPr>
          <w:rFonts w:ascii="宋体" w:hAnsi="宋体" w:hint="eastAsia"/>
          <w:bCs/>
          <w:sz w:val="24"/>
          <w:szCs w:val="24"/>
        </w:rPr>
        <w:t>（2）</w:t>
      </w:r>
      <w:r w:rsidRPr="003A50DE">
        <w:rPr>
          <w:rFonts w:ascii="宋体" w:hAnsi="宋体"/>
          <w:bCs/>
          <w:sz w:val="24"/>
          <w:szCs w:val="24"/>
        </w:rPr>
        <w:t>基金收益分配后</w:t>
      </w:r>
      <w:r w:rsidRPr="003A50DE">
        <w:rPr>
          <w:rFonts w:ascii="宋体" w:hAnsi="宋体" w:hint="eastAsia"/>
          <w:bCs/>
          <w:sz w:val="24"/>
          <w:szCs w:val="24"/>
        </w:rPr>
        <w:t>各类</w:t>
      </w:r>
      <w:r w:rsidRPr="003A50DE">
        <w:rPr>
          <w:rFonts w:ascii="宋体" w:hAnsi="宋体"/>
          <w:bCs/>
          <w:sz w:val="24"/>
          <w:szCs w:val="24"/>
        </w:rPr>
        <w:t>基金份额净值不能低于面值</w:t>
      </w:r>
      <w:r w:rsidRPr="003A50DE">
        <w:rPr>
          <w:rFonts w:ascii="宋体" w:hAnsi="宋体" w:hint="eastAsia"/>
          <w:bCs/>
          <w:sz w:val="24"/>
          <w:szCs w:val="24"/>
        </w:rPr>
        <w:t>，</w:t>
      </w:r>
      <w:r w:rsidRPr="003A50DE">
        <w:rPr>
          <w:rFonts w:ascii="宋体" w:hAnsi="宋体"/>
          <w:bCs/>
          <w:sz w:val="24"/>
          <w:szCs w:val="24"/>
        </w:rPr>
        <w:t>即基金收益分配基准日的</w:t>
      </w:r>
      <w:r w:rsidRPr="003A50DE">
        <w:rPr>
          <w:rFonts w:ascii="宋体" w:hAnsi="宋体" w:hint="eastAsia"/>
          <w:bCs/>
          <w:sz w:val="24"/>
          <w:szCs w:val="24"/>
        </w:rPr>
        <w:t>各类</w:t>
      </w:r>
      <w:r w:rsidRPr="003A50DE">
        <w:rPr>
          <w:rFonts w:ascii="宋体" w:hAnsi="宋体"/>
          <w:bCs/>
          <w:sz w:val="24"/>
          <w:szCs w:val="24"/>
        </w:rPr>
        <w:t>基金份额净值减去每单位</w:t>
      </w:r>
      <w:r w:rsidRPr="003A50DE">
        <w:rPr>
          <w:rFonts w:ascii="宋体" w:hAnsi="宋体" w:hint="eastAsia"/>
          <w:bCs/>
          <w:sz w:val="24"/>
          <w:szCs w:val="24"/>
        </w:rPr>
        <w:t>该类</w:t>
      </w:r>
      <w:r w:rsidRPr="003A50DE">
        <w:rPr>
          <w:rFonts w:ascii="宋体" w:hAnsi="宋体"/>
          <w:bCs/>
          <w:sz w:val="24"/>
          <w:szCs w:val="24"/>
        </w:rPr>
        <w:t>基金份额收益分配金额后不能低于面值</w:t>
      </w:r>
      <w:r w:rsidRPr="003A50DE">
        <w:rPr>
          <w:rFonts w:ascii="宋体" w:hAnsi="宋体" w:hint="eastAsia"/>
          <w:bCs/>
          <w:sz w:val="24"/>
          <w:szCs w:val="24"/>
        </w:rPr>
        <w:t>；</w:t>
      </w:r>
    </w:p>
    <w:p w14:paraId="358CBEC3" w14:textId="77777777" w:rsidR="00EA3FD1" w:rsidRPr="003A50DE" w:rsidRDefault="00EA3FD1" w:rsidP="00EA3FD1">
      <w:pPr>
        <w:adjustRightInd w:val="0"/>
        <w:snapToGrid w:val="0"/>
        <w:spacing w:line="520" w:lineRule="atLeast"/>
        <w:ind w:firstLineChars="225" w:firstLine="540"/>
        <w:rPr>
          <w:rFonts w:ascii="宋体" w:hAnsi="宋体"/>
          <w:bCs/>
          <w:sz w:val="24"/>
          <w:szCs w:val="24"/>
        </w:rPr>
      </w:pPr>
      <w:r w:rsidRPr="003A50DE">
        <w:rPr>
          <w:rFonts w:ascii="宋体" w:hAnsi="宋体" w:hint="eastAsia"/>
          <w:bCs/>
          <w:sz w:val="24"/>
          <w:szCs w:val="24"/>
        </w:rPr>
        <w:t>（3）</w:t>
      </w:r>
      <w:r w:rsidRPr="003A50DE">
        <w:rPr>
          <w:rFonts w:ascii="宋体" w:hAnsi="宋体"/>
          <w:bCs/>
          <w:sz w:val="24"/>
          <w:szCs w:val="24"/>
        </w:rPr>
        <w:t>由于本基金A类基金份额不收取销售服务费，而C类基金份额收取销售服务费，各基金份额类别对应的可分配收益将有所不同。本基金同一类别的每一基金份额享有同等分配权；</w:t>
      </w:r>
    </w:p>
    <w:p w14:paraId="737F1814" w14:textId="77777777" w:rsidR="006066EE" w:rsidRPr="003A50DE" w:rsidRDefault="00EA3FD1" w:rsidP="00EA3FD1">
      <w:pPr>
        <w:adjustRightInd w:val="0"/>
        <w:snapToGrid w:val="0"/>
        <w:spacing w:line="520" w:lineRule="atLeast"/>
        <w:ind w:firstLineChars="225" w:firstLine="540"/>
        <w:rPr>
          <w:rFonts w:ascii="宋体" w:hAnsi="宋体"/>
          <w:bCs/>
          <w:sz w:val="24"/>
          <w:szCs w:val="24"/>
        </w:rPr>
      </w:pPr>
      <w:r w:rsidRPr="003A50DE">
        <w:rPr>
          <w:rFonts w:ascii="宋体" w:hAnsi="宋体" w:hint="eastAsia"/>
          <w:bCs/>
          <w:sz w:val="24"/>
          <w:szCs w:val="24"/>
        </w:rPr>
        <w:t>（4）</w:t>
      </w:r>
      <w:r w:rsidRPr="003A50DE">
        <w:rPr>
          <w:rFonts w:ascii="宋体" w:hAnsi="宋体"/>
          <w:bCs/>
          <w:sz w:val="24"/>
          <w:szCs w:val="24"/>
        </w:rPr>
        <w:t>法律法规或监管机关另有规定的，从其规定。</w:t>
      </w:r>
    </w:p>
    <w:p w14:paraId="6DCB9DEA" w14:textId="63DC2E4B" w:rsidR="00EA3FD1" w:rsidRPr="003A50DE" w:rsidRDefault="006066EE" w:rsidP="00EA3FD1">
      <w:pPr>
        <w:adjustRightInd w:val="0"/>
        <w:snapToGrid w:val="0"/>
        <w:spacing w:line="520" w:lineRule="atLeast"/>
        <w:ind w:firstLineChars="225" w:firstLine="540"/>
        <w:rPr>
          <w:rFonts w:ascii="宋体" w:hAnsi="宋体"/>
          <w:bCs/>
          <w:sz w:val="24"/>
          <w:szCs w:val="24"/>
        </w:rPr>
      </w:pPr>
      <w:r w:rsidRPr="003A50DE">
        <w:rPr>
          <w:rFonts w:ascii="宋体" w:hAnsi="宋体" w:hint="eastAsia"/>
          <w:bCs/>
          <w:sz w:val="24"/>
          <w:szCs w:val="24"/>
        </w:rPr>
        <w:t>在符合法律法规及基金合同约定，并对基金份额持有人利益无实质不利影响的前提下，基金管理人可对基金收益分配原则进行调整，不需召开基金份额持有人大会。</w:t>
      </w:r>
    </w:p>
    <w:p w14:paraId="3776148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9.4收益分配方案</w:t>
      </w:r>
    </w:p>
    <w:p w14:paraId="47FDE531" w14:textId="10E8E4EA"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基金收益分配方案中应载明</w:t>
      </w:r>
      <w:r w:rsidR="00852E31" w:rsidRPr="003A50DE">
        <w:rPr>
          <w:rFonts w:hAnsi="宋体"/>
        </w:rPr>
        <w:t>截</w:t>
      </w:r>
      <w:r w:rsidR="00852E31" w:rsidRPr="003A50DE">
        <w:rPr>
          <w:rFonts w:hAnsi="宋体" w:hint="eastAsia"/>
        </w:rPr>
        <w:t>至</w:t>
      </w:r>
      <w:r w:rsidRPr="003A50DE">
        <w:rPr>
          <w:rFonts w:hAnsi="宋体" w:hint="eastAsia"/>
          <w:szCs w:val="24"/>
        </w:rPr>
        <w:t>收益分配基准日的可供分配利润、基金收益分配对象、分配时间、分配数额及比例、分配方式等内容。</w:t>
      </w:r>
    </w:p>
    <w:bookmarkEnd w:id="44"/>
    <w:p w14:paraId="724E6F7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9.5收益分配的时间和程序</w:t>
      </w:r>
    </w:p>
    <w:p w14:paraId="46168923" w14:textId="3789C31F" w:rsidR="00EA3FD1" w:rsidRPr="003A50DE" w:rsidRDefault="00EA3FD1" w:rsidP="00EA3FD1">
      <w:pPr>
        <w:pStyle w:val="21"/>
        <w:adjustRightInd w:val="0"/>
        <w:snapToGrid w:val="0"/>
        <w:spacing w:before="0" w:after="0" w:line="520" w:lineRule="atLeast"/>
        <w:ind w:left="0" w:firstLineChars="200" w:firstLine="480"/>
        <w:rPr>
          <w:rFonts w:hAnsi="宋体"/>
          <w:bCs/>
          <w:szCs w:val="24"/>
        </w:rPr>
      </w:pPr>
      <w:r w:rsidRPr="003A50DE">
        <w:rPr>
          <w:rFonts w:hAnsi="宋体" w:hint="eastAsia"/>
          <w:szCs w:val="24"/>
        </w:rPr>
        <w:t>9.5.1本基金收益分配方案由基金管理人拟定，并由基金托管人复核，</w:t>
      </w:r>
      <w:r w:rsidR="00852E31" w:rsidRPr="003A50DE">
        <w:rPr>
          <w:rFonts w:hAnsi="宋体" w:hint="eastAsia"/>
          <w:szCs w:val="24"/>
        </w:rPr>
        <w:t>依据</w:t>
      </w:r>
      <w:r w:rsidRPr="003A50DE">
        <w:rPr>
          <w:rFonts w:hAnsi="宋体" w:hint="eastAsia"/>
          <w:szCs w:val="24"/>
        </w:rPr>
        <w:t>《信息披露办法》</w:t>
      </w:r>
      <w:r w:rsidR="00852E31" w:rsidRPr="003A50DE">
        <w:rPr>
          <w:rFonts w:hAnsi="宋体" w:hint="eastAsia"/>
          <w:szCs w:val="24"/>
        </w:rPr>
        <w:t>的</w:t>
      </w:r>
      <w:r w:rsidRPr="003A50DE">
        <w:rPr>
          <w:rFonts w:hAnsi="宋体" w:hint="eastAsia"/>
          <w:szCs w:val="24"/>
        </w:rPr>
        <w:t>有关规定在</w:t>
      </w:r>
      <w:r w:rsidR="00852E31" w:rsidRPr="003A50DE">
        <w:rPr>
          <w:rFonts w:hAnsi="宋体" w:hint="eastAsia"/>
          <w:szCs w:val="24"/>
        </w:rPr>
        <w:t>规定</w:t>
      </w:r>
      <w:r w:rsidRPr="003A50DE">
        <w:rPr>
          <w:rFonts w:hAnsi="宋体" w:hint="eastAsia"/>
          <w:szCs w:val="24"/>
        </w:rPr>
        <w:t>媒介公告。</w:t>
      </w:r>
    </w:p>
    <w:p w14:paraId="6997CF0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7FEDBB5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9.5.3法律法规或监管机关另有规定的，从其规定。</w:t>
      </w:r>
    </w:p>
    <w:p w14:paraId="5E391893" w14:textId="77777777" w:rsidR="00EA3FD1" w:rsidRPr="003A50DE" w:rsidRDefault="00EA3FD1" w:rsidP="00EA3FD1">
      <w:pPr>
        <w:pStyle w:val="1"/>
        <w:adjustRightInd w:val="0"/>
        <w:spacing w:line="520" w:lineRule="atLeast"/>
        <w:ind w:firstLineChars="200" w:firstLine="482"/>
        <w:rPr>
          <w:bCs/>
          <w:color w:val="auto"/>
          <w:szCs w:val="24"/>
        </w:rPr>
      </w:pPr>
      <w:bookmarkStart w:id="45" w:name="_Toc44321709"/>
      <w:bookmarkStart w:id="46" w:name="_Toc296551346"/>
      <w:r w:rsidRPr="003A50DE">
        <w:rPr>
          <w:rFonts w:hint="eastAsia"/>
          <w:bCs/>
          <w:color w:val="auto"/>
          <w:szCs w:val="24"/>
        </w:rPr>
        <w:lastRenderedPageBreak/>
        <w:t>第十条 信息披露</w:t>
      </w:r>
      <w:bookmarkEnd w:id="45"/>
      <w:bookmarkEnd w:id="46"/>
    </w:p>
    <w:p w14:paraId="4F70B81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10.1保密义务</w:t>
      </w:r>
    </w:p>
    <w:p w14:paraId="3253FBE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AF40F8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（1）非因基金管理人和基金托管人的原因导致保密信息被披露、泄露或公开；</w:t>
      </w:r>
    </w:p>
    <w:p w14:paraId="6003BD5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（2）基金管理人和基金托管人为遵守和服从法院判决或裁定、仲裁裁决或中国证监会等监管机构的命令、决定所做出的信息披露或公开。</w:t>
      </w:r>
    </w:p>
    <w:p w14:paraId="0A83F85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10.2基金管理人和基金托管人在信息披露中的职责和信息披露程序</w:t>
      </w:r>
    </w:p>
    <w:p w14:paraId="03DB08D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4EF9EF1" w14:textId="357B5DE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00852E31" w:rsidRPr="003A50DE">
        <w:rPr>
          <w:rFonts w:hAnsi="宋体" w:hint="eastAsia"/>
          <w:szCs w:val="24"/>
        </w:rPr>
        <w:t>清算报告、</w:t>
      </w:r>
      <w:r w:rsidRPr="003A50DE">
        <w:rPr>
          <w:rFonts w:hAnsi="宋体" w:hint="eastAsia"/>
          <w:szCs w:val="24"/>
        </w:rPr>
        <w:t>投资资产支持证券</w:t>
      </w:r>
      <w:r w:rsidR="00852E31" w:rsidRPr="003A50DE">
        <w:rPr>
          <w:rFonts w:hAnsi="宋体" w:hint="eastAsia"/>
          <w:szCs w:val="24"/>
        </w:rPr>
        <w:t>的信息披露</w:t>
      </w:r>
      <w:r w:rsidRPr="003A50DE">
        <w:rPr>
          <w:rFonts w:hAnsi="宋体" w:hint="eastAsia"/>
          <w:szCs w:val="24"/>
        </w:rPr>
        <w:t>、</w:t>
      </w:r>
      <w:r w:rsidR="00852E31" w:rsidRPr="003A50DE">
        <w:rPr>
          <w:rFonts w:hAnsi="宋体" w:hint="eastAsia"/>
          <w:szCs w:val="24"/>
        </w:rPr>
        <w:t>参与</w:t>
      </w:r>
      <w:r w:rsidRPr="003A50DE">
        <w:rPr>
          <w:rFonts w:hAnsi="宋体" w:hint="eastAsia"/>
          <w:szCs w:val="24"/>
        </w:rPr>
        <w:t>国债期货</w:t>
      </w:r>
      <w:r w:rsidR="00852E31" w:rsidRPr="003A50DE">
        <w:rPr>
          <w:rFonts w:hAnsi="宋体" w:hint="eastAsia"/>
          <w:szCs w:val="24"/>
        </w:rPr>
        <w:t>、股指期货交易</w:t>
      </w:r>
      <w:r w:rsidRPr="003A50DE">
        <w:rPr>
          <w:rFonts w:hAnsi="宋体" w:hint="eastAsia"/>
          <w:szCs w:val="24"/>
        </w:rPr>
        <w:t>的信息披露</w:t>
      </w:r>
      <w:r w:rsidR="00852E31" w:rsidRPr="003A50DE">
        <w:rPr>
          <w:rFonts w:hAnsi="宋体" w:hint="eastAsia"/>
          <w:szCs w:val="24"/>
        </w:rPr>
        <w:t>、参与融资交易的信息披露、参与港股</w:t>
      </w:r>
      <w:proofErr w:type="gramStart"/>
      <w:r w:rsidR="00852E31" w:rsidRPr="003A50DE">
        <w:rPr>
          <w:rFonts w:hAnsi="宋体" w:hint="eastAsia"/>
          <w:szCs w:val="24"/>
        </w:rPr>
        <w:t>通交易</w:t>
      </w:r>
      <w:proofErr w:type="gramEnd"/>
      <w:r w:rsidR="00852E31" w:rsidRPr="003A50DE">
        <w:rPr>
          <w:rFonts w:hAnsi="宋体" w:hint="eastAsia"/>
          <w:szCs w:val="24"/>
        </w:rPr>
        <w:t>的信息披露、实施</w:t>
      </w:r>
      <w:proofErr w:type="gramStart"/>
      <w:r w:rsidR="00852E31" w:rsidRPr="003A50DE">
        <w:rPr>
          <w:rFonts w:hAnsi="宋体" w:hint="eastAsia"/>
          <w:szCs w:val="24"/>
        </w:rPr>
        <w:t>侧袋机制</w:t>
      </w:r>
      <w:proofErr w:type="gramEnd"/>
      <w:r w:rsidR="00852E31" w:rsidRPr="003A50DE">
        <w:rPr>
          <w:rFonts w:hAnsi="宋体" w:hint="eastAsia"/>
          <w:szCs w:val="24"/>
        </w:rPr>
        <w:t>期间的信息披露</w:t>
      </w:r>
      <w:r w:rsidRPr="003A50DE">
        <w:rPr>
          <w:rFonts w:hAnsi="宋体" w:hint="eastAsia"/>
          <w:szCs w:val="24"/>
        </w:rPr>
        <w:t>以及中国证监会规定的其他信息。</w:t>
      </w:r>
    </w:p>
    <w:p w14:paraId="77B12DCF" w14:textId="6AA6DCD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10.2.3</w:t>
      </w:r>
      <w:bookmarkStart w:id="47" w:name="_Hlk130835758"/>
      <w:r w:rsidRPr="003A50DE">
        <w:rPr>
          <w:rFonts w:hAnsi="宋体" w:hint="eastAsia"/>
          <w:szCs w:val="24"/>
        </w:rPr>
        <w:t>基金募集申请经中国证监会注册后，基金管理人应当在基金份额发售的三日前，将基金份额发售公告、基金招募说明书提示性公告和基金合同提示性公告登载在</w:t>
      </w:r>
      <w:r w:rsidR="00852E31" w:rsidRPr="003A50DE">
        <w:rPr>
          <w:rFonts w:hAnsi="宋体" w:hint="eastAsia"/>
          <w:szCs w:val="24"/>
        </w:rPr>
        <w:t>规定</w:t>
      </w:r>
      <w:r w:rsidRPr="003A50DE">
        <w:rPr>
          <w:rFonts w:hAnsi="宋体" w:hint="eastAsia"/>
          <w:szCs w:val="24"/>
        </w:rPr>
        <w:t>报刊上，将基金份额发售公告、基金招募说明书、基金产品资料概要、基金合同和基金托管协议登载在</w:t>
      </w:r>
      <w:r w:rsidR="00852E31" w:rsidRPr="003A50DE">
        <w:rPr>
          <w:rFonts w:hAnsi="宋体" w:hint="eastAsia"/>
          <w:szCs w:val="24"/>
        </w:rPr>
        <w:t>规定</w:t>
      </w:r>
      <w:r w:rsidRPr="003A50DE">
        <w:rPr>
          <w:rFonts w:hAnsi="宋体" w:hint="eastAsia"/>
          <w:szCs w:val="24"/>
        </w:rPr>
        <w:t>网站上</w:t>
      </w:r>
      <w:r w:rsidR="00852E31" w:rsidRPr="003A50DE">
        <w:rPr>
          <w:rFonts w:hAnsi="宋体" w:hint="eastAsia"/>
          <w:szCs w:val="24"/>
        </w:rPr>
        <w:t>，并将基金产品资料概要登载在基金销售机构网站或营业网点</w:t>
      </w:r>
      <w:r w:rsidRPr="003A50DE">
        <w:rPr>
          <w:rFonts w:hAnsi="宋体" w:hint="eastAsia"/>
          <w:szCs w:val="24"/>
        </w:rPr>
        <w:t>；基金托管人应当同时将基金合同、基金托管协议登载在网站上。</w:t>
      </w:r>
      <w:bookmarkEnd w:id="47"/>
    </w:p>
    <w:p w14:paraId="6337491F" w14:textId="183475B8"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10.2.4</w:t>
      </w:r>
      <w:bookmarkStart w:id="48" w:name="_Hlk130835834"/>
      <w:r w:rsidRPr="003A50DE">
        <w:rPr>
          <w:rFonts w:hAnsi="宋体" w:hint="eastAsia"/>
          <w:szCs w:val="24"/>
        </w:rPr>
        <w:t>基金托管人应当按照相关法律法规、中国证监会的规定和《基金合同》的约定，对基金管理人编制的基金资产净值、</w:t>
      </w:r>
      <w:r w:rsidR="00852E31" w:rsidRPr="003A50DE">
        <w:rPr>
          <w:rFonts w:hAnsi="宋体" w:hint="eastAsia"/>
          <w:szCs w:val="24"/>
        </w:rPr>
        <w:t>各类基金份额的</w:t>
      </w:r>
      <w:r w:rsidRPr="003A50DE">
        <w:rPr>
          <w:rFonts w:hAnsi="宋体" w:hint="eastAsia"/>
          <w:szCs w:val="24"/>
        </w:rPr>
        <w:t>基金份额净值、基金份额申购赎回价格、基金定期报告、更新的招募说明书、基金产品资料概要、基金清算报告等公开披露的相关基金信息进行复核、审查，并向基金管理人</w:t>
      </w:r>
      <w:r w:rsidR="00852E31" w:rsidRPr="003A50DE">
        <w:rPr>
          <w:rFonts w:hAnsi="宋体" w:hint="eastAsia"/>
          <w:szCs w:val="24"/>
        </w:rPr>
        <w:t>进行</w:t>
      </w:r>
      <w:r w:rsidRPr="003A50DE">
        <w:rPr>
          <w:rFonts w:hAnsi="宋体" w:hint="eastAsia"/>
          <w:szCs w:val="24"/>
        </w:rPr>
        <w:t>书面</w:t>
      </w:r>
      <w:r w:rsidR="00852E31" w:rsidRPr="003A50DE">
        <w:rPr>
          <w:rFonts w:hAnsi="宋体" w:hint="eastAsia"/>
          <w:szCs w:val="24"/>
        </w:rPr>
        <w:t>或电子</w:t>
      </w:r>
      <w:r w:rsidRPr="003A50DE">
        <w:rPr>
          <w:rFonts w:hAnsi="宋体" w:hint="eastAsia"/>
          <w:szCs w:val="24"/>
        </w:rPr>
        <w:t>确认。</w:t>
      </w:r>
    </w:p>
    <w:bookmarkEnd w:id="48"/>
    <w:p w14:paraId="5AFD0BE4" w14:textId="4F2FCB1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10.2.5基金年度报告中的财务</w:t>
      </w:r>
      <w:r w:rsidR="00852E31" w:rsidRPr="003A50DE">
        <w:rPr>
          <w:rFonts w:hAnsi="宋体" w:hint="eastAsia"/>
          <w:szCs w:val="24"/>
        </w:rPr>
        <w:t>会计</w:t>
      </w:r>
      <w:r w:rsidRPr="003A50DE">
        <w:rPr>
          <w:rFonts w:hAnsi="宋体" w:hint="eastAsia"/>
          <w:szCs w:val="24"/>
        </w:rPr>
        <w:t>报告部分，</w:t>
      </w:r>
      <w:proofErr w:type="gramStart"/>
      <w:r w:rsidRPr="003A50DE">
        <w:rPr>
          <w:rFonts w:hAnsi="宋体" w:hint="eastAsia"/>
          <w:szCs w:val="24"/>
        </w:rPr>
        <w:t>经</w:t>
      </w:r>
      <w:r w:rsidR="00852E31" w:rsidRPr="003A50DE">
        <w:rPr>
          <w:rFonts w:hAnsi="宋体" w:hint="eastAsia"/>
          <w:szCs w:val="24"/>
        </w:rPr>
        <w:t>符合</w:t>
      </w:r>
      <w:proofErr w:type="gramEnd"/>
      <w:r w:rsidR="00852E31" w:rsidRPr="003A50DE">
        <w:rPr>
          <w:rFonts w:hAnsi="宋体" w:hint="eastAsia"/>
          <w:szCs w:val="24"/>
        </w:rPr>
        <w:t>《中华人民共和国证券法》规定的</w:t>
      </w:r>
      <w:r w:rsidRPr="003A50DE">
        <w:rPr>
          <w:rFonts w:hAnsi="宋体" w:hint="eastAsia"/>
          <w:szCs w:val="24"/>
        </w:rPr>
        <w:t>会计师事务所审计后，方可披露。</w:t>
      </w:r>
    </w:p>
    <w:p w14:paraId="38BE1DAB" w14:textId="51ED61BE"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10.2.6基金管理人应当在中国证监会规定的时间内，将应予披露的基金信息通过基金管理人网站和中国证监会</w:t>
      </w:r>
      <w:r w:rsidR="00852E31" w:rsidRPr="003A50DE">
        <w:rPr>
          <w:rFonts w:hAnsi="宋体" w:hint="eastAsia"/>
          <w:szCs w:val="24"/>
        </w:rPr>
        <w:t>规定</w:t>
      </w:r>
      <w:r w:rsidRPr="003A50DE">
        <w:rPr>
          <w:rFonts w:hAnsi="宋体" w:hint="eastAsia"/>
          <w:szCs w:val="24"/>
        </w:rPr>
        <w:t>媒介披露。根据法律法规应由基金托管人公开披露的信息，基金托管人将通过中国证监会</w:t>
      </w:r>
      <w:r w:rsidR="00852E31" w:rsidRPr="003A50DE">
        <w:rPr>
          <w:rFonts w:hAnsi="宋体" w:hint="eastAsia"/>
          <w:szCs w:val="24"/>
        </w:rPr>
        <w:t>规定</w:t>
      </w:r>
      <w:r w:rsidRPr="003A50DE">
        <w:rPr>
          <w:rFonts w:hAnsi="宋体" w:hint="eastAsia"/>
          <w:szCs w:val="24"/>
        </w:rPr>
        <w:t>媒介公开披露。</w:t>
      </w:r>
    </w:p>
    <w:p w14:paraId="7084FBEA" w14:textId="1ACB87E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10.2.7</w:t>
      </w:r>
      <w:r w:rsidR="00852E31" w:rsidRPr="003A50DE">
        <w:rPr>
          <w:rFonts w:hAnsi="宋体" w:hint="eastAsia"/>
          <w:szCs w:val="24"/>
        </w:rPr>
        <w:t>依法必须披露的信息发布后，基金管理人、基金托管人应当按照相关法律法规规定将信息置备于各自住所，供社会公众查阅、复制</w:t>
      </w:r>
      <w:r w:rsidRPr="003A50DE">
        <w:rPr>
          <w:rFonts w:hAnsi="宋体" w:hint="eastAsia"/>
          <w:szCs w:val="24"/>
        </w:rPr>
        <w:t>。</w:t>
      </w:r>
      <w:r w:rsidR="00852E31" w:rsidRPr="003A50DE">
        <w:rPr>
          <w:rFonts w:hAnsi="宋体" w:hint="eastAsia"/>
          <w:szCs w:val="24"/>
        </w:rPr>
        <w:t>投资人</w:t>
      </w:r>
      <w:r w:rsidRPr="003A50DE">
        <w:rPr>
          <w:rFonts w:hAnsi="宋体" w:hint="eastAsia"/>
          <w:szCs w:val="24"/>
        </w:rPr>
        <w:t>在支付工本费后可在合理时间获得上述文件的复制件或复印件。基金管理人和基金托管人应保证文本的内容与所公告的内容完全一致。</w:t>
      </w:r>
    </w:p>
    <w:p w14:paraId="38C1353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10.3暂停或延迟信息披露的情形</w:t>
      </w:r>
    </w:p>
    <w:p w14:paraId="35D30759" w14:textId="4AED8002"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w:t>
      </w:r>
      <w:r w:rsidR="006066EE" w:rsidRPr="003A50DE">
        <w:rPr>
          <w:rFonts w:hAnsi="宋体"/>
          <w:szCs w:val="24"/>
        </w:rPr>
        <w:t>1</w:t>
      </w:r>
      <w:r w:rsidRPr="003A50DE">
        <w:rPr>
          <w:rFonts w:hAnsi="宋体" w:hint="eastAsia"/>
          <w:szCs w:val="24"/>
        </w:rPr>
        <w:t>）不可抗力；</w:t>
      </w:r>
    </w:p>
    <w:p w14:paraId="7BCD9ED8" w14:textId="1454BC9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w:t>
      </w:r>
      <w:r w:rsidR="006066EE" w:rsidRPr="003A50DE">
        <w:rPr>
          <w:rFonts w:hAnsi="宋体"/>
          <w:szCs w:val="24"/>
        </w:rPr>
        <w:t>2</w:t>
      </w:r>
      <w:r w:rsidRPr="003A50DE">
        <w:rPr>
          <w:rFonts w:hAnsi="宋体" w:hint="eastAsia"/>
          <w:szCs w:val="24"/>
        </w:rPr>
        <w:t>）</w:t>
      </w:r>
      <w:r w:rsidRPr="003A50DE">
        <w:rPr>
          <w:rFonts w:hAnsi="宋体" w:hint="eastAsia"/>
          <w:bCs/>
          <w:szCs w:val="24"/>
        </w:rPr>
        <w:t>发生暂停估值的情形；</w:t>
      </w:r>
    </w:p>
    <w:p w14:paraId="1A53C98B" w14:textId="59C92DB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w:t>
      </w:r>
      <w:r w:rsidR="006066EE" w:rsidRPr="003A50DE">
        <w:rPr>
          <w:rFonts w:hAnsi="宋体"/>
          <w:szCs w:val="24"/>
        </w:rPr>
        <w:t>3</w:t>
      </w:r>
      <w:r w:rsidRPr="003A50DE">
        <w:rPr>
          <w:rFonts w:hAnsi="宋体" w:hint="eastAsia"/>
          <w:szCs w:val="24"/>
        </w:rPr>
        <w:t>）</w:t>
      </w:r>
      <w:r w:rsidR="006066EE" w:rsidRPr="003A50DE">
        <w:rPr>
          <w:rFonts w:hAnsi="宋体"/>
          <w:bCs/>
          <w:szCs w:val="24"/>
        </w:rPr>
        <w:t>法律法规、中国证监会规定或基金合同认定的</w:t>
      </w:r>
      <w:bookmarkStart w:id="49" w:name="_Hlk85461415"/>
      <w:r w:rsidR="006066EE" w:rsidRPr="003A50DE">
        <w:rPr>
          <w:rFonts w:hAnsi="宋体"/>
          <w:bCs/>
          <w:szCs w:val="24"/>
        </w:rPr>
        <w:t>其他情形</w:t>
      </w:r>
      <w:bookmarkEnd w:id="49"/>
      <w:r w:rsidRPr="003A50DE">
        <w:rPr>
          <w:rFonts w:hAnsi="宋体" w:hint="eastAsia"/>
          <w:szCs w:val="24"/>
        </w:rPr>
        <w:t>。</w:t>
      </w:r>
    </w:p>
    <w:p w14:paraId="1B67A3C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10.4基金托管人报告</w:t>
      </w:r>
    </w:p>
    <w:p w14:paraId="7201D6D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基金托管人应按《基金法》、《运作办法》、《信息披露办法》和其他有关法律法规的规定于每个上半年度结束后两个月内、每个会计年度结束后三个月</w:t>
      </w:r>
      <w:proofErr w:type="gramStart"/>
      <w:r w:rsidRPr="003A50DE">
        <w:rPr>
          <w:rFonts w:hAnsi="宋体" w:hint="eastAsia"/>
          <w:szCs w:val="24"/>
        </w:rPr>
        <w:t>内在基金</w:t>
      </w:r>
      <w:proofErr w:type="gramEnd"/>
      <w:r w:rsidRPr="003A50DE">
        <w:rPr>
          <w:rFonts w:hAnsi="宋体" w:hint="eastAsia"/>
          <w:szCs w:val="24"/>
        </w:rPr>
        <w:t>中期报告及年度报告中分别出具基金托管人报告，并提交给基金管理人。</w:t>
      </w:r>
    </w:p>
    <w:p w14:paraId="4B9AD024" w14:textId="77777777" w:rsidR="00EA3FD1" w:rsidRPr="003A50DE" w:rsidRDefault="00EA3FD1" w:rsidP="00EA3FD1">
      <w:pPr>
        <w:pStyle w:val="1"/>
        <w:adjustRightInd w:val="0"/>
        <w:spacing w:line="520" w:lineRule="atLeast"/>
        <w:ind w:firstLineChars="200" w:firstLine="482"/>
        <w:rPr>
          <w:bCs/>
          <w:color w:val="auto"/>
          <w:szCs w:val="24"/>
        </w:rPr>
      </w:pPr>
      <w:bookmarkStart w:id="50" w:name="_Toc44321710"/>
      <w:bookmarkStart w:id="51" w:name="_Toc296551347"/>
      <w:r w:rsidRPr="003A50DE">
        <w:rPr>
          <w:rFonts w:hint="eastAsia"/>
          <w:bCs/>
          <w:color w:val="auto"/>
          <w:szCs w:val="24"/>
        </w:rPr>
        <w:t>第十一条 基金费用</w:t>
      </w:r>
      <w:bookmarkEnd w:id="50"/>
      <w:bookmarkEnd w:id="51"/>
    </w:p>
    <w:p w14:paraId="0D2FC22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52" w:name="_Hlk130835965"/>
      <w:r w:rsidRPr="003A50DE">
        <w:rPr>
          <w:rFonts w:hAnsi="宋体" w:hint="eastAsia"/>
          <w:szCs w:val="24"/>
        </w:rPr>
        <w:t>11.1基金管理费的计提比例和计提方法</w:t>
      </w:r>
    </w:p>
    <w:p w14:paraId="7C393506" w14:textId="69570D9F"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本基金的管理费按前一日基金资产净值的1</w:t>
      </w:r>
      <w:r w:rsidRPr="003A50DE">
        <w:rPr>
          <w:rFonts w:hAnsi="宋体"/>
          <w:szCs w:val="24"/>
        </w:rPr>
        <w:t>.</w:t>
      </w:r>
      <w:r w:rsidR="00036353">
        <w:rPr>
          <w:rFonts w:hAnsi="宋体"/>
          <w:szCs w:val="24"/>
        </w:rPr>
        <w:t>2</w:t>
      </w:r>
      <w:r w:rsidRPr="003A50DE">
        <w:rPr>
          <w:rFonts w:hAnsi="宋体" w:hint="eastAsia"/>
          <w:szCs w:val="24"/>
        </w:rPr>
        <w:t>%年费率计提。管理费的计算方法如下：</w:t>
      </w:r>
    </w:p>
    <w:p w14:paraId="39B430F9" w14:textId="4BB26E65"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H＝E×1</w:t>
      </w:r>
      <w:r w:rsidRPr="003A50DE">
        <w:rPr>
          <w:rFonts w:hAnsi="宋体"/>
          <w:szCs w:val="24"/>
        </w:rPr>
        <w:t>.</w:t>
      </w:r>
      <w:r w:rsidR="00036353">
        <w:rPr>
          <w:rFonts w:hAnsi="宋体"/>
          <w:szCs w:val="24"/>
        </w:rPr>
        <w:t>2</w:t>
      </w:r>
      <w:r w:rsidRPr="003A50DE">
        <w:rPr>
          <w:rFonts w:hAnsi="宋体" w:hint="eastAsia"/>
          <w:szCs w:val="24"/>
        </w:rPr>
        <w:t>%÷当年天数</w:t>
      </w:r>
    </w:p>
    <w:p w14:paraId="50C79BC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H为每日应计提的基金管理费</w:t>
      </w:r>
    </w:p>
    <w:p w14:paraId="14B0A4B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E为前一日的基金资产净值</w:t>
      </w:r>
    </w:p>
    <w:p w14:paraId="57AB145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5938E32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11.2基金托管费的计提比例和计提方法</w:t>
      </w:r>
    </w:p>
    <w:p w14:paraId="766EAE1F" w14:textId="1741E62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本基金的托管费按前一日基金资产净值的0</w:t>
      </w:r>
      <w:r w:rsidRPr="003A50DE">
        <w:rPr>
          <w:rFonts w:hAnsi="宋体"/>
          <w:szCs w:val="24"/>
        </w:rPr>
        <w:t>.</w:t>
      </w:r>
      <w:r w:rsidR="00036353" w:rsidRPr="003A50DE">
        <w:rPr>
          <w:rFonts w:hAnsi="宋体"/>
          <w:szCs w:val="24"/>
        </w:rPr>
        <w:t>2</w:t>
      </w:r>
      <w:r w:rsidR="00036353">
        <w:rPr>
          <w:rFonts w:hAnsi="宋体"/>
          <w:szCs w:val="24"/>
        </w:rPr>
        <w:t>0</w:t>
      </w:r>
      <w:r w:rsidRPr="003A50DE">
        <w:rPr>
          <w:rFonts w:hAnsi="宋体" w:hint="eastAsia"/>
          <w:szCs w:val="24"/>
        </w:rPr>
        <w:t>%的年费率计提。托管费的计算方法如下：</w:t>
      </w:r>
    </w:p>
    <w:p w14:paraId="0F1AD77F" w14:textId="5627D26A"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H＝E×0</w:t>
      </w:r>
      <w:r w:rsidRPr="003A50DE">
        <w:rPr>
          <w:rFonts w:hAnsi="宋体"/>
          <w:szCs w:val="24"/>
        </w:rPr>
        <w:t>.</w:t>
      </w:r>
      <w:r w:rsidR="00036353" w:rsidRPr="003A50DE">
        <w:rPr>
          <w:rFonts w:hAnsi="宋体"/>
          <w:szCs w:val="24"/>
        </w:rPr>
        <w:t>2</w:t>
      </w:r>
      <w:r w:rsidR="00036353">
        <w:rPr>
          <w:rFonts w:hAnsi="宋体"/>
          <w:szCs w:val="24"/>
        </w:rPr>
        <w:t>0</w:t>
      </w:r>
      <w:r w:rsidRPr="003A50DE">
        <w:rPr>
          <w:rFonts w:hAnsi="宋体" w:hint="eastAsia"/>
          <w:szCs w:val="24"/>
        </w:rPr>
        <w:t>%÷当年天数</w:t>
      </w:r>
    </w:p>
    <w:p w14:paraId="13C9DCE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H为每日应计提的基金托管费</w:t>
      </w:r>
    </w:p>
    <w:p w14:paraId="422C8BD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E为前一日的基金资产净值</w:t>
      </w:r>
    </w:p>
    <w:p w14:paraId="41FDB5F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3D3A65B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11.3</w:t>
      </w:r>
      <w:r w:rsidR="006066EE" w:rsidRPr="003A50DE">
        <w:rPr>
          <w:rFonts w:hAnsi="宋体"/>
          <w:szCs w:val="24"/>
        </w:rPr>
        <w:t xml:space="preserve"> </w:t>
      </w:r>
      <w:r w:rsidR="006066EE" w:rsidRPr="003A50DE">
        <w:rPr>
          <w:rFonts w:hAnsi="宋体" w:hint="eastAsia"/>
          <w:szCs w:val="24"/>
        </w:rPr>
        <w:t>C类基金份额的</w:t>
      </w:r>
      <w:r w:rsidRPr="003A50DE">
        <w:rPr>
          <w:rFonts w:hAnsi="宋体" w:hint="eastAsia"/>
          <w:szCs w:val="24"/>
        </w:rPr>
        <w:t>销售服务费的计提比例和计提方法</w:t>
      </w:r>
    </w:p>
    <w:p w14:paraId="045C5AE0" w14:textId="77777777" w:rsidR="00EA3FD1" w:rsidRPr="003A50DE" w:rsidRDefault="00EA3FD1" w:rsidP="00FA5EAD">
      <w:pPr>
        <w:pStyle w:val="21"/>
        <w:adjustRightInd w:val="0"/>
        <w:snapToGrid w:val="0"/>
        <w:spacing w:line="520" w:lineRule="atLeast"/>
        <w:ind w:left="0" w:firstLineChars="236" w:firstLine="566"/>
        <w:rPr>
          <w:rFonts w:hAnsi="宋体"/>
          <w:bCs/>
          <w:szCs w:val="24"/>
        </w:rPr>
      </w:pPr>
      <w:r w:rsidRPr="003A50DE">
        <w:rPr>
          <w:rFonts w:hAnsi="宋体"/>
          <w:bCs/>
          <w:szCs w:val="24"/>
        </w:rPr>
        <w:t>本基金A类基金份额不收取销售服务费，C类基金份额的销售服务费年费率为0.60%</w:t>
      </w:r>
      <w:r w:rsidRPr="003A50DE">
        <w:rPr>
          <w:rFonts w:hAnsi="宋体" w:hint="eastAsia"/>
          <w:bCs/>
          <w:szCs w:val="24"/>
        </w:rPr>
        <w:t>。</w:t>
      </w:r>
      <w:r w:rsidRPr="003A50DE">
        <w:rPr>
          <w:rFonts w:hAnsi="宋体"/>
          <w:bCs/>
          <w:szCs w:val="24"/>
        </w:rPr>
        <w:t>本基金销售服务费将专门用于本基金的市场推广、销售与基金份额持有人服务。</w:t>
      </w:r>
    </w:p>
    <w:p w14:paraId="17489A8E" w14:textId="639A248E"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bCs/>
          <w:szCs w:val="24"/>
        </w:rPr>
        <w:t>C类基金份额的销售服务费按前一日C类基金份额资产净值的</w:t>
      </w:r>
      <w:r w:rsidRPr="003A50DE">
        <w:rPr>
          <w:rFonts w:hAnsi="宋体" w:hint="eastAsia"/>
          <w:bCs/>
          <w:szCs w:val="24"/>
        </w:rPr>
        <w:t>0.</w:t>
      </w:r>
      <w:r w:rsidRPr="003A50DE">
        <w:rPr>
          <w:rFonts w:hAnsi="宋体"/>
          <w:bCs/>
          <w:szCs w:val="24"/>
        </w:rPr>
        <w:t>60%年费率计提。计算方法如下：</w:t>
      </w:r>
    </w:p>
    <w:p w14:paraId="575DF8D3" w14:textId="70DA31F6"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H＝E×0</w:t>
      </w:r>
      <w:r w:rsidRPr="003A50DE">
        <w:rPr>
          <w:rFonts w:hAnsi="宋体"/>
          <w:szCs w:val="24"/>
        </w:rPr>
        <w:t>.60</w:t>
      </w:r>
      <w:r w:rsidRPr="003A50DE">
        <w:rPr>
          <w:rFonts w:hAnsi="宋体" w:hint="eastAsia"/>
          <w:szCs w:val="24"/>
        </w:rPr>
        <w:t xml:space="preserve">%÷当年天数 </w:t>
      </w:r>
    </w:p>
    <w:p w14:paraId="4B1F9C2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H为</w:t>
      </w:r>
      <w:r w:rsidRPr="003A50DE">
        <w:rPr>
          <w:rFonts w:hAnsi="宋体"/>
          <w:bCs/>
        </w:rPr>
        <w:t>C类</w:t>
      </w:r>
      <w:r w:rsidRPr="003A50DE">
        <w:rPr>
          <w:rFonts w:hAnsi="宋体" w:hint="eastAsia"/>
          <w:szCs w:val="24"/>
        </w:rPr>
        <w:t xml:space="preserve">基金份额每日应计提的销售服务费 </w:t>
      </w:r>
    </w:p>
    <w:p w14:paraId="16B76F4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E为</w:t>
      </w:r>
      <w:r w:rsidRPr="003A50DE">
        <w:rPr>
          <w:rFonts w:hAnsi="宋体"/>
          <w:bCs/>
        </w:rPr>
        <w:t>C类</w:t>
      </w:r>
      <w:r w:rsidRPr="003A50DE">
        <w:rPr>
          <w:rFonts w:hAnsi="宋体" w:hint="eastAsia"/>
          <w:szCs w:val="24"/>
        </w:rPr>
        <w:t xml:space="preserve">基金份额前一日基金资产净值 </w:t>
      </w:r>
    </w:p>
    <w:p w14:paraId="16348CC0" w14:textId="7DBB9FC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基金销售服务费</w:t>
      </w:r>
      <w:r w:rsidR="000D7DFB" w:rsidRPr="003A50DE">
        <w:rPr>
          <w:rFonts w:hAnsi="宋体" w:hint="eastAsia"/>
          <w:szCs w:val="24"/>
        </w:rPr>
        <w:t>每日计算，逐日累计至每月月末，按月支付，</w:t>
      </w:r>
      <w:r w:rsidRPr="003A50DE">
        <w:rPr>
          <w:rFonts w:hAnsi="宋体" w:hint="eastAsia"/>
          <w:szCs w:val="24"/>
        </w:rPr>
        <w:t>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休息日或不可抗力致使无</w:t>
      </w:r>
      <w:r w:rsidRPr="003A50DE">
        <w:rPr>
          <w:rFonts w:hAnsi="宋体" w:hint="eastAsia"/>
          <w:szCs w:val="24"/>
        </w:rPr>
        <w:lastRenderedPageBreak/>
        <w:t>法按时支付的，支付日期顺延。</w:t>
      </w:r>
    </w:p>
    <w:bookmarkEnd w:id="52"/>
    <w:p w14:paraId="79085DB1" w14:textId="66FF9B36"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11.4</w:t>
      </w:r>
      <w:r w:rsidR="00852E31" w:rsidRPr="003A50DE">
        <w:rPr>
          <w:rFonts w:hAnsi="宋体" w:hint="eastAsia"/>
          <w:szCs w:val="24"/>
        </w:rPr>
        <w:t>基金</w:t>
      </w:r>
      <w:r w:rsidRPr="003A50DE">
        <w:rPr>
          <w:rFonts w:hAnsi="宋体" w:hint="eastAsia"/>
          <w:szCs w:val="24"/>
        </w:rPr>
        <w:t>的</w:t>
      </w:r>
      <w:r w:rsidR="00852E31" w:rsidRPr="003A50DE">
        <w:rPr>
          <w:rFonts w:hAnsi="宋体" w:hint="eastAsia"/>
          <w:szCs w:val="24"/>
        </w:rPr>
        <w:t>账户</w:t>
      </w:r>
      <w:r w:rsidRPr="003A50DE">
        <w:rPr>
          <w:rFonts w:hAnsi="宋体" w:hint="eastAsia"/>
          <w:szCs w:val="24"/>
        </w:rPr>
        <w:t>开户费和维护费、证券</w:t>
      </w:r>
      <w:r w:rsidR="006066EE" w:rsidRPr="003A50DE">
        <w:rPr>
          <w:rFonts w:hAnsi="宋体" w:hint="eastAsia"/>
          <w:szCs w:val="24"/>
        </w:rPr>
        <w:t>/期货</w:t>
      </w:r>
      <w:r w:rsidRPr="003A50DE">
        <w:rPr>
          <w:rFonts w:hAnsi="宋体" w:hint="eastAsia"/>
          <w:szCs w:val="24"/>
        </w:rPr>
        <w:t>交易费用、基金合同生效后与基金相关的信息披露费用、基金份额持有人大会费用、基金合同生效后与基金相关的会计师费、律师费</w:t>
      </w:r>
      <w:r w:rsidRPr="003A50DE">
        <w:rPr>
          <w:rFonts w:hAnsi="宋体" w:hint="eastAsia"/>
          <w:bCs/>
          <w:szCs w:val="24"/>
        </w:rPr>
        <w:t>、仲裁费和诉讼费、基金的银行划款费用</w:t>
      </w:r>
      <w:r w:rsidR="00852E31" w:rsidRPr="003A50DE">
        <w:rPr>
          <w:rFonts w:hAnsi="宋体" w:hint="eastAsia"/>
          <w:bCs/>
          <w:szCs w:val="24"/>
        </w:rPr>
        <w:t>、投资港股通标的股票的相关费用</w:t>
      </w:r>
      <w:r w:rsidRPr="003A50DE">
        <w:rPr>
          <w:rFonts w:hAnsi="宋体" w:hint="eastAsia"/>
          <w:szCs w:val="24"/>
        </w:rPr>
        <w:t>等根据有关法律法规、基金合同及相应协议的规定，由基金托管人按基金管理人的划款指令并根据费用实际支出金额支付，列入或摊入当期基金费用。</w:t>
      </w:r>
    </w:p>
    <w:p w14:paraId="50FF352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11.5不列入基金费用的项目</w:t>
      </w:r>
    </w:p>
    <w:p w14:paraId="69A6072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216C7C85" w14:textId="76F2548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11.6基金管理费</w:t>
      </w:r>
      <w:r w:rsidR="00852E31" w:rsidRPr="003A50DE">
        <w:rPr>
          <w:rFonts w:hAnsi="宋体" w:hint="eastAsia"/>
          <w:szCs w:val="24"/>
        </w:rPr>
        <w:t>、</w:t>
      </w:r>
      <w:r w:rsidRPr="003A50DE">
        <w:rPr>
          <w:rFonts w:hAnsi="宋体" w:hint="eastAsia"/>
          <w:szCs w:val="24"/>
        </w:rPr>
        <w:t>基金托管费</w:t>
      </w:r>
      <w:r w:rsidR="00852E31" w:rsidRPr="003A50DE">
        <w:rPr>
          <w:rFonts w:hAnsi="宋体" w:hint="eastAsia"/>
          <w:szCs w:val="24"/>
        </w:rPr>
        <w:t>和销售服务费</w:t>
      </w:r>
      <w:r w:rsidRPr="003A50DE">
        <w:rPr>
          <w:rFonts w:hAnsi="宋体" w:hint="eastAsia"/>
          <w:szCs w:val="24"/>
        </w:rPr>
        <w:t>的调整</w:t>
      </w:r>
    </w:p>
    <w:p w14:paraId="59F1B3A3" w14:textId="77473B02" w:rsidR="00EA3FD1" w:rsidRPr="003A50DE" w:rsidRDefault="00EA3FD1" w:rsidP="00EA3FD1">
      <w:pPr>
        <w:adjustRightInd w:val="0"/>
        <w:snapToGrid w:val="0"/>
        <w:spacing w:line="520" w:lineRule="atLeast"/>
        <w:ind w:firstLineChars="200" w:firstLine="480"/>
        <w:rPr>
          <w:rFonts w:ascii="宋体" w:hAnsi="宋体"/>
          <w:bCs/>
          <w:sz w:val="24"/>
          <w:szCs w:val="24"/>
        </w:rPr>
      </w:pPr>
      <w:r w:rsidRPr="003A50DE">
        <w:rPr>
          <w:rFonts w:ascii="宋体" w:hAnsi="宋体" w:hint="eastAsia"/>
          <w:bCs/>
          <w:sz w:val="24"/>
          <w:szCs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w:t>
      </w:r>
      <w:r w:rsidR="00852E31" w:rsidRPr="003A50DE">
        <w:rPr>
          <w:rFonts w:ascii="宋体" w:hAnsi="宋体" w:hint="eastAsia"/>
          <w:bCs/>
          <w:sz w:val="24"/>
          <w:szCs w:val="24"/>
        </w:rPr>
        <w:t>和销售服务费率</w:t>
      </w:r>
      <w:r w:rsidRPr="003A50DE">
        <w:rPr>
          <w:rFonts w:ascii="宋体" w:hAnsi="宋体" w:hint="eastAsia"/>
          <w:bCs/>
          <w:sz w:val="24"/>
          <w:szCs w:val="24"/>
        </w:rPr>
        <w:t>等相关费率。</w:t>
      </w:r>
    </w:p>
    <w:p w14:paraId="28854C55" w14:textId="49A1F784" w:rsidR="00EA3FD1" w:rsidRPr="003A50DE" w:rsidRDefault="00EA3FD1" w:rsidP="00EA3FD1">
      <w:pPr>
        <w:adjustRightInd w:val="0"/>
        <w:snapToGrid w:val="0"/>
        <w:spacing w:line="520" w:lineRule="atLeast"/>
        <w:ind w:firstLineChars="200" w:firstLine="480"/>
        <w:rPr>
          <w:rFonts w:ascii="宋体" w:hAnsi="宋体"/>
          <w:bCs/>
          <w:sz w:val="24"/>
          <w:szCs w:val="24"/>
        </w:rPr>
      </w:pPr>
      <w:r w:rsidRPr="003A50DE">
        <w:rPr>
          <w:rFonts w:ascii="宋体" w:hAnsi="宋体" w:hint="eastAsia"/>
          <w:bCs/>
          <w:sz w:val="24"/>
          <w:szCs w:val="24"/>
        </w:rPr>
        <w:t>基金管理人必须于新的费率实施日前依照《信息披露办法》的规定在</w:t>
      </w:r>
      <w:r w:rsidR="00852E31" w:rsidRPr="003A50DE">
        <w:rPr>
          <w:rFonts w:ascii="宋体" w:hAnsi="宋体" w:hint="eastAsia"/>
          <w:bCs/>
          <w:sz w:val="24"/>
          <w:szCs w:val="24"/>
        </w:rPr>
        <w:t>规定</w:t>
      </w:r>
      <w:r w:rsidRPr="003A50DE">
        <w:rPr>
          <w:rFonts w:ascii="宋体" w:hAnsi="宋体" w:hint="eastAsia"/>
          <w:bCs/>
          <w:sz w:val="24"/>
          <w:szCs w:val="24"/>
        </w:rPr>
        <w:t>媒介上公告。</w:t>
      </w:r>
    </w:p>
    <w:p w14:paraId="1CCE23B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11.7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B3DA862" w14:textId="77777777" w:rsidR="00EA3FD1" w:rsidRPr="003A50DE" w:rsidRDefault="00EA3FD1" w:rsidP="00EA3FD1">
      <w:pPr>
        <w:pStyle w:val="1"/>
        <w:adjustRightInd w:val="0"/>
        <w:spacing w:line="520" w:lineRule="atLeast"/>
        <w:ind w:firstLineChars="200" w:firstLine="482"/>
        <w:rPr>
          <w:bCs/>
          <w:color w:val="auto"/>
          <w:szCs w:val="24"/>
        </w:rPr>
      </w:pPr>
      <w:bookmarkStart w:id="53" w:name="_Toc296551348"/>
      <w:bookmarkStart w:id="54" w:name="_Toc44321711"/>
      <w:r w:rsidRPr="003A50DE">
        <w:rPr>
          <w:rFonts w:hint="eastAsia"/>
          <w:bCs/>
          <w:color w:val="auto"/>
          <w:szCs w:val="24"/>
        </w:rPr>
        <w:t>第十二条 基金份额持有人名册的保管</w:t>
      </w:r>
      <w:bookmarkEnd w:id="53"/>
      <w:bookmarkEnd w:id="54"/>
    </w:p>
    <w:p w14:paraId="77717D3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12.1基金管理人和基金托管人须分别妥善保管基金份额持有人名册，基金份额持有人名册的内容必须包括基金份额持有人的名称和持有的基金份额。</w:t>
      </w:r>
    </w:p>
    <w:p w14:paraId="57DD50A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3A50DE">
        <w:rPr>
          <w:rFonts w:hAnsi="宋体"/>
          <w:szCs w:val="24"/>
        </w:rPr>
        <w:t>20</w:t>
      </w:r>
      <w:r w:rsidRPr="003A50DE">
        <w:rPr>
          <w:rFonts w:hAnsi="宋体" w:hint="eastAsia"/>
          <w:szCs w:val="24"/>
        </w:rPr>
        <w:t>年，法律法规或监管规则另有规定的，从其规定。</w:t>
      </w:r>
    </w:p>
    <w:p w14:paraId="606B7D1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lastRenderedPageBreak/>
        <w:t>12.3</w:t>
      </w:r>
      <w:proofErr w:type="gramStart"/>
      <w:r w:rsidRPr="003A50DE">
        <w:rPr>
          <w:rFonts w:hAnsi="宋体" w:hint="eastAsia"/>
          <w:szCs w:val="24"/>
        </w:rPr>
        <w:t>若基金</w:t>
      </w:r>
      <w:proofErr w:type="gramEnd"/>
      <w:r w:rsidRPr="003A50DE">
        <w:rPr>
          <w:rFonts w:hAnsi="宋体" w:hint="eastAsia"/>
          <w:szCs w:val="24"/>
        </w:rPr>
        <w:t>管理人或基金托管人由于自身原因无法妥善保管基金份额持有人名册，应按有关法规规定各自承担相应的责任。</w:t>
      </w:r>
    </w:p>
    <w:p w14:paraId="16ABC410" w14:textId="77777777" w:rsidR="00EA3FD1" w:rsidRPr="003A50DE" w:rsidRDefault="00EA3FD1" w:rsidP="00EA3FD1">
      <w:pPr>
        <w:pStyle w:val="1"/>
        <w:adjustRightInd w:val="0"/>
        <w:spacing w:line="520" w:lineRule="atLeast"/>
        <w:ind w:firstLineChars="200" w:firstLine="482"/>
        <w:rPr>
          <w:bCs/>
          <w:color w:val="auto"/>
          <w:szCs w:val="24"/>
        </w:rPr>
      </w:pPr>
      <w:bookmarkStart w:id="55" w:name="_Toc296551349"/>
      <w:bookmarkStart w:id="56" w:name="_Toc44321712"/>
      <w:r w:rsidRPr="003A50DE">
        <w:rPr>
          <w:rFonts w:hint="eastAsia"/>
          <w:bCs/>
          <w:color w:val="auto"/>
          <w:szCs w:val="24"/>
        </w:rPr>
        <w:t>第十三条 基金有关文件和档案的保存</w:t>
      </w:r>
      <w:bookmarkEnd w:id="55"/>
      <w:bookmarkEnd w:id="56"/>
    </w:p>
    <w:p w14:paraId="568D5D5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13.1基金管理人、基金托管人按各自职责完整保存原始凭证、记账凭证、基金账册、交易记录和重要合同等，保存期限不少于</w:t>
      </w:r>
      <w:r w:rsidRPr="003A50DE">
        <w:rPr>
          <w:rFonts w:hAnsi="宋体"/>
          <w:szCs w:val="24"/>
        </w:rPr>
        <w:t>20</w:t>
      </w:r>
      <w:r w:rsidRPr="003A50DE">
        <w:rPr>
          <w:rFonts w:hAnsi="宋体" w:hint="eastAsia"/>
          <w:szCs w:val="24"/>
        </w:rPr>
        <w:t>年，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14:paraId="084205E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67E86293" w14:textId="65A16495"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13.3基金管理人或基金托管人变更后，未变更的一方有义务协助接任人</w:t>
      </w:r>
      <w:r w:rsidR="00600170" w:rsidRPr="003A50DE">
        <w:rPr>
          <w:rFonts w:hAnsi="宋体" w:hint="eastAsia"/>
          <w:szCs w:val="24"/>
        </w:rPr>
        <w:t>接收</w:t>
      </w:r>
      <w:r w:rsidRPr="003A50DE">
        <w:rPr>
          <w:rFonts w:hAnsi="宋体" w:hint="eastAsia"/>
          <w:szCs w:val="24"/>
        </w:rPr>
        <w:t>基金的有关文件。</w:t>
      </w:r>
    </w:p>
    <w:p w14:paraId="591A9970" w14:textId="55BA471B" w:rsidR="00EA3FD1" w:rsidRPr="003A50DE" w:rsidRDefault="00EA3FD1" w:rsidP="00EA3FD1">
      <w:pPr>
        <w:pStyle w:val="1"/>
        <w:adjustRightInd w:val="0"/>
        <w:spacing w:line="520" w:lineRule="atLeast"/>
        <w:ind w:firstLineChars="200" w:firstLine="482"/>
        <w:rPr>
          <w:bCs/>
          <w:color w:val="auto"/>
          <w:szCs w:val="24"/>
        </w:rPr>
      </w:pPr>
      <w:bookmarkStart w:id="57" w:name="_Toc296551350"/>
      <w:bookmarkStart w:id="58" w:name="_Toc44321713"/>
      <w:r w:rsidRPr="003A50DE">
        <w:rPr>
          <w:rFonts w:hint="eastAsia"/>
          <w:bCs/>
          <w:color w:val="auto"/>
          <w:szCs w:val="24"/>
        </w:rPr>
        <w:t>第十四条 基金管理人和基金托管人的更换</w:t>
      </w:r>
      <w:bookmarkEnd w:id="57"/>
      <w:bookmarkEnd w:id="58"/>
    </w:p>
    <w:p w14:paraId="6C7D371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59" w:name="_Hlk130836136"/>
      <w:r w:rsidRPr="003A50DE">
        <w:rPr>
          <w:rFonts w:hAnsi="宋体" w:hint="eastAsia"/>
          <w:szCs w:val="24"/>
        </w:rPr>
        <w:t>14.1基金管理人的更换</w:t>
      </w:r>
    </w:p>
    <w:p w14:paraId="1AB6C87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14.1.1基金管理人的更换条件</w:t>
      </w:r>
    </w:p>
    <w:p w14:paraId="7136558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有下列情形之一的，基金管理人职责终止：</w:t>
      </w:r>
    </w:p>
    <w:p w14:paraId="4C7BE80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（1）基金管理人被依法取消基金管理资格；</w:t>
      </w:r>
    </w:p>
    <w:p w14:paraId="4880E8D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（2）基金管理人依法解散、被依法撤销或者被依法宣告破产；</w:t>
      </w:r>
    </w:p>
    <w:p w14:paraId="1471AF4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（3）基金管理人被基金份额持有人大会解任；</w:t>
      </w:r>
    </w:p>
    <w:p w14:paraId="685E7748" w14:textId="7B9C9BF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（4）法律法规</w:t>
      </w:r>
      <w:r w:rsidRPr="003A50DE">
        <w:rPr>
          <w:rFonts w:hAnsi="宋体" w:hint="eastAsia"/>
          <w:bCs/>
          <w:szCs w:val="24"/>
        </w:rPr>
        <w:t>及中国证监会规定的</w:t>
      </w:r>
      <w:r w:rsidRPr="003A50DE">
        <w:rPr>
          <w:rFonts w:hAnsi="宋体" w:hint="eastAsia"/>
          <w:szCs w:val="24"/>
        </w:rPr>
        <w:t>和基金合同</w:t>
      </w:r>
      <w:r w:rsidR="00852E31" w:rsidRPr="003A50DE">
        <w:rPr>
          <w:rFonts w:hAnsi="宋体" w:hint="eastAsia"/>
          <w:szCs w:val="24"/>
        </w:rPr>
        <w:t>约定</w:t>
      </w:r>
      <w:r w:rsidRPr="003A50DE">
        <w:rPr>
          <w:rFonts w:hAnsi="宋体" w:hint="eastAsia"/>
          <w:szCs w:val="24"/>
        </w:rPr>
        <w:t>的其他情形。</w:t>
      </w:r>
    </w:p>
    <w:p w14:paraId="0B12F75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14.1.2基金管理人的更换程序</w:t>
      </w:r>
    </w:p>
    <w:p w14:paraId="71A7E44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更换基金管理人必须依照如下程序进行：</w:t>
      </w:r>
    </w:p>
    <w:p w14:paraId="50ED548E" w14:textId="77777777"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w:t>
      </w:r>
      <w:r w:rsidRPr="003A50DE">
        <w:rPr>
          <w:rFonts w:hAnsi="宋体"/>
          <w:szCs w:val="24"/>
        </w:rPr>
        <w:t>1</w:t>
      </w:r>
      <w:r w:rsidRPr="003A50DE">
        <w:rPr>
          <w:rFonts w:hAnsi="宋体" w:hint="eastAsia"/>
          <w:szCs w:val="24"/>
        </w:rPr>
        <w:t>）</w:t>
      </w:r>
      <w:r w:rsidRPr="003A50DE">
        <w:rPr>
          <w:rFonts w:hAnsi="宋体"/>
          <w:szCs w:val="24"/>
        </w:rPr>
        <w:t>提名：</w:t>
      </w:r>
      <w:proofErr w:type="gramStart"/>
      <w:r w:rsidRPr="003A50DE">
        <w:rPr>
          <w:rFonts w:hAnsi="宋体"/>
          <w:szCs w:val="24"/>
        </w:rPr>
        <w:t>新任基金</w:t>
      </w:r>
      <w:proofErr w:type="gramEnd"/>
      <w:r w:rsidRPr="003A50DE">
        <w:rPr>
          <w:rFonts w:hAnsi="宋体"/>
          <w:szCs w:val="24"/>
        </w:rPr>
        <w:t>管理人由基金托管人或由单独或合计持有10%以上（含10%）基金份额的基金份额持有人提名；</w:t>
      </w:r>
    </w:p>
    <w:p w14:paraId="3BD1A0A1" w14:textId="3DA11BAD"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（2）</w:t>
      </w:r>
      <w:r w:rsidRPr="003A50DE">
        <w:rPr>
          <w:rFonts w:hAnsi="宋体"/>
          <w:szCs w:val="24"/>
        </w:rPr>
        <w:t>决议：基金份额持有人大会在基金管理人职责终止后6个月内对被提名的基金管理人形成决议，该决议需经参加大会的基金份额持有人所持表决权的</w:t>
      </w:r>
      <w:r w:rsidRPr="003A50DE">
        <w:rPr>
          <w:rFonts w:hAnsi="宋体" w:hint="eastAsia"/>
          <w:szCs w:val="24"/>
        </w:rPr>
        <w:t>三分之二</w:t>
      </w:r>
      <w:r w:rsidRPr="003A50DE">
        <w:rPr>
          <w:rFonts w:hAnsi="宋体"/>
          <w:szCs w:val="24"/>
        </w:rPr>
        <w:t>以上（含</w:t>
      </w:r>
      <w:r w:rsidRPr="003A50DE">
        <w:rPr>
          <w:rFonts w:hAnsi="宋体" w:hint="eastAsia"/>
          <w:szCs w:val="24"/>
        </w:rPr>
        <w:t>三分之二</w:t>
      </w:r>
      <w:r w:rsidRPr="003A50DE">
        <w:rPr>
          <w:rFonts w:hAnsi="宋体"/>
          <w:szCs w:val="24"/>
        </w:rPr>
        <w:t>）表决通过</w:t>
      </w:r>
      <w:r w:rsidRPr="003A50DE">
        <w:rPr>
          <w:rFonts w:hAnsi="宋体" w:hint="eastAsia"/>
          <w:szCs w:val="24"/>
        </w:rPr>
        <w:t>，</w:t>
      </w:r>
      <w:r w:rsidRPr="003A50DE">
        <w:rPr>
          <w:rFonts w:hAnsi="宋体" w:hint="eastAsia"/>
          <w:bCs/>
          <w:szCs w:val="24"/>
        </w:rPr>
        <w:t>并</w:t>
      </w:r>
      <w:r w:rsidRPr="003A50DE">
        <w:rPr>
          <w:rFonts w:hAnsi="宋体" w:hint="eastAsia"/>
          <w:szCs w:val="24"/>
        </w:rPr>
        <w:t>自表决通过之日起生效</w:t>
      </w:r>
      <w:r w:rsidRPr="003A50DE">
        <w:rPr>
          <w:rFonts w:hAnsi="宋体"/>
          <w:szCs w:val="24"/>
        </w:rPr>
        <w:t>；</w:t>
      </w:r>
    </w:p>
    <w:p w14:paraId="740C208B" w14:textId="77777777"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lastRenderedPageBreak/>
        <w:t>（3）</w:t>
      </w:r>
      <w:r w:rsidRPr="003A50DE">
        <w:rPr>
          <w:rFonts w:hAnsi="宋体"/>
          <w:szCs w:val="24"/>
        </w:rPr>
        <w:t>临时基金管理人：</w:t>
      </w:r>
      <w:proofErr w:type="gramStart"/>
      <w:r w:rsidRPr="003A50DE">
        <w:rPr>
          <w:rFonts w:hAnsi="宋体"/>
          <w:szCs w:val="24"/>
        </w:rPr>
        <w:t>新任基金</w:t>
      </w:r>
      <w:proofErr w:type="gramEnd"/>
      <w:r w:rsidRPr="003A50DE">
        <w:rPr>
          <w:rFonts w:hAnsi="宋体"/>
          <w:szCs w:val="24"/>
        </w:rPr>
        <w:t>管理人产生之前，由中国证监会指定临时基金管理人；</w:t>
      </w:r>
    </w:p>
    <w:p w14:paraId="10496F75" w14:textId="68AF8919"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（4）备案</w:t>
      </w:r>
      <w:r w:rsidRPr="003A50DE">
        <w:rPr>
          <w:rFonts w:hAnsi="宋体"/>
          <w:szCs w:val="24"/>
        </w:rPr>
        <w:t>：基金份额持有人大会</w:t>
      </w:r>
      <w:r w:rsidRPr="003A50DE">
        <w:rPr>
          <w:rFonts w:hAnsi="宋体" w:hint="eastAsia"/>
          <w:szCs w:val="24"/>
        </w:rPr>
        <w:t>更换</w:t>
      </w:r>
      <w:r w:rsidRPr="003A50DE">
        <w:rPr>
          <w:rFonts w:hAnsi="宋体"/>
          <w:szCs w:val="24"/>
        </w:rPr>
        <w:t>基金管理人的决议须</w:t>
      </w:r>
      <w:r w:rsidRPr="003A50DE">
        <w:rPr>
          <w:rFonts w:hAnsi="宋体" w:hint="eastAsia"/>
          <w:szCs w:val="24"/>
        </w:rPr>
        <w:t>报</w:t>
      </w:r>
      <w:r w:rsidRPr="003A50DE">
        <w:rPr>
          <w:rFonts w:hAnsi="宋体"/>
          <w:szCs w:val="24"/>
        </w:rPr>
        <w:t>中国证监会</w:t>
      </w:r>
      <w:r w:rsidRPr="003A50DE">
        <w:rPr>
          <w:rFonts w:hAnsi="宋体" w:hint="eastAsia"/>
          <w:szCs w:val="24"/>
        </w:rPr>
        <w:t>备案</w:t>
      </w:r>
      <w:r w:rsidRPr="003A50DE">
        <w:rPr>
          <w:rFonts w:hAnsi="宋体"/>
          <w:szCs w:val="24"/>
        </w:rPr>
        <w:t>；</w:t>
      </w:r>
    </w:p>
    <w:p w14:paraId="6C4591D3" w14:textId="048805FA"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（5）</w:t>
      </w:r>
      <w:r w:rsidRPr="003A50DE">
        <w:rPr>
          <w:rFonts w:hAnsi="宋体"/>
          <w:szCs w:val="24"/>
        </w:rPr>
        <w:t>公告：基金管理人更换后，由基金托管人在</w:t>
      </w:r>
      <w:r w:rsidRPr="003A50DE">
        <w:rPr>
          <w:rFonts w:hAnsi="宋体" w:hint="eastAsia"/>
          <w:szCs w:val="24"/>
        </w:rPr>
        <w:t>更换基金管理人的基金份额持有人大会决议生效</w:t>
      </w:r>
      <w:r w:rsidRPr="003A50DE">
        <w:rPr>
          <w:rFonts w:hAnsi="宋体"/>
          <w:szCs w:val="24"/>
        </w:rPr>
        <w:t>后2日内在</w:t>
      </w:r>
      <w:r w:rsidRPr="003A50DE">
        <w:rPr>
          <w:rFonts w:hAnsi="宋体" w:hint="eastAsia"/>
          <w:szCs w:val="24"/>
        </w:rPr>
        <w:t>规定媒介</w:t>
      </w:r>
      <w:r w:rsidRPr="003A50DE">
        <w:rPr>
          <w:rFonts w:hAnsi="宋体"/>
          <w:szCs w:val="24"/>
        </w:rPr>
        <w:t>公告</w:t>
      </w:r>
      <w:r w:rsidRPr="003A50DE">
        <w:rPr>
          <w:rFonts w:hAnsi="宋体" w:hint="eastAsia"/>
          <w:bCs/>
          <w:szCs w:val="24"/>
        </w:rPr>
        <w:t>；</w:t>
      </w:r>
    </w:p>
    <w:p w14:paraId="43F83FF1" w14:textId="245AE0AA"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（6）</w:t>
      </w:r>
      <w:r w:rsidRPr="003A50DE">
        <w:rPr>
          <w:rFonts w:hAnsi="宋体"/>
          <w:szCs w:val="24"/>
        </w:rPr>
        <w:t>交接：基金管理人职责终止的，基金管理人应妥善保管基金管理业务资料，及时向临时基金管理人或</w:t>
      </w:r>
      <w:proofErr w:type="gramStart"/>
      <w:r w:rsidRPr="003A50DE">
        <w:rPr>
          <w:rFonts w:hAnsi="宋体"/>
          <w:szCs w:val="24"/>
        </w:rPr>
        <w:t>新任基金</w:t>
      </w:r>
      <w:proofErr w:type="gramEnd"/>
      <w:r w:rsidRPr="003A50DE">
        <w:rPr>
          <w:rFonts w:hAnsi="宋体"/>
          <w:szCs w:val="24"/>
        </w:rPr>
        <w:t>管理人办理基金管理业务的移交手续，临时基金管理人或</w:t>
      </w:r>
      <w:proofErr w:type="gramStart"/>
      <w:r w:rsidRPr="003A50DE">
        <w:rPr>
          <w:rFonts w:hAnsi="宋体"/>
          <w:szCs w:val="24"/>
        </w:rPr>
        <w:t>新任基金</w:t>
      </w:r>
      <w:proofErr w:type="gramEnd"/>
      <w:r w:rsidRPr="003A50DE">
        <w:rPr>
          <w:rFonts w:hAnsi="宋体"/>
          <w:szCs w:val="24"/>
        </w:rPr>
        <w:t>管理人应及时接收。</w:t>
      </w:r>
      <w:proofErr w:type="gramStart"/>
      <w:r w:rsidRPr="003A50DE">
        <w:rPr>
          <w:rFonts w:hAnsi="宋体"/>
          <w:szCs w:val="24"/>
        </w:rPr>
        <w:t>新任</w:t>
      </w:r>
      <w:r w:rsidRPr="003A50DE">
        <w:rPr>
          <w:rFonts w:hAnsi="宋体"/>
          <w:bCs/>
          <w:szCs w:val="24"/>
        </w:rPr>
        <w:t>基金</w:t>
      </w:r>
      <w:proofErr w:type="gramEnd"/>
      <w:r w:rsidRPr="003A50DE">
        <w:rPr>
          <w:rFonts w:hAnsi="宋体"/>
          <w:bCs/>
          <w:szCs w:val="24"/>
        </w:rPr>
        <w:t>管理人</w:t>
      </w:r>
      <w:r w:rsidRPr="003A50DE">
        <w:rPr>
          <w:rFonts w:hAnsi="宋体" w:hint="eastAsia"/>
          <w:bCs/>
          <w:szCs w:val="24"/>
        </w:rPr>
        <w:t>或临时</w:t>
      </w:r>
      <w:r w:rsidRPr="003A50DE">
        <w:rPr>
          <w:rFonts w:hAnsi="宋体" w:hint="eastAsia"/>
          <w:szCs w:val="24"/>
        </w:rPr>
        <w:t>基金管理人</w:t>
      </w:r>
      <w:r w:rsidRPr="003A50DE">
        <w:rPr>
          <w:rFonts w:hAnsi="宋体"/>
          <w:szCs w:val="24"/>
        </w:rPr>
        <w:t>应与基金托管人核对基金资产总值和净值；</w:t>
      </w:r>
    </w:p>
    <w:p w14:paraId="25B9D6CC" w14:textId="65450980"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（7）</w:t>
      </w:r>
      <w:r w:rsidRPr="003A50DE">
        <w:rPr>
          <w:rFonts w:hAnsi="宋体"/>
          <w:szCs w:val="24"/>
        </w:rPr>
        <w:t>审计：基金管理人职责终止的，应当按照法律法规规定聘请会计师事务所对基金财产进行审计，并将审计结果予以公告，同时报中国证监会备案</w:t>
      </w:r>
      <w:r w:rsidRPr="003A50DE">
        <w:rPr>
          <w:rFonts w:hAnsi="宋体" w:hint="eastAsia"/>
          <w:bCs/>
          <w:szCs w:val="24"/>
        </w:rPr>
        <w:t>，审计费用在基金财产中列支</w:t>
      </w:r>
      <w:r w:rsidRPr="003A50DE">
        <w:rPr>
          <w:rFonts w:hAnsi="宋体"/>
          <w:szCs w:val="24"/>
        </w:rPr>
        <w:t>；</w:t>
      </w:r>
    </w:p>
    <w:p w14:paraId="65720635" w14:textId="77777777"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（8）</w:t>
      </w:r>
      <w:r w:rsidRPr="003A50DE">
        <w:rPr>
          <w:rFonts w:hAnsi="宋体"/>
          <w:szCs w:val="24"/>
        </w:rPr>
        <w:t>基金名称变更：基金管理人更换后，如果原任或</w:t>
      </w:r>
      <w:proofErr w:type="gramStart"/>
      <w:r w:rsidRPr="003A50DE">
        <w:rPr>
          <w:rFonts w:hAnsi="宋体"/>
          <w:szCs w:val="24"/>
        </w:rPr>
        <w:t>新任基金</w:t>
      </w:r>
      <w:proofErr w:type="gramEnd"/>
      <w:r w:rsidRPr="003A50DE">
        <w:rPr>
          <w:rFonts w:hAnsi="宋体"/>
          <w:szCs w:val="24"/>
        </w:rPr>
        <w:t>管理人要求，应按其要求替换或删除基金名称中与</w:t>
      </w:r>
      <w:proofErr w:type="gramStart"/>
      <w:r w:rsidRPr="003A50DE">
        <w:rPr>
          <w:rFonts w:hAnsi="宋体"/>
          <w:szCs w:val="24"/>
        </w:rPr>
        <w:t>原基金</w:t>
      </w:r>
      <w:proofErr w:type="gramEnd"/>
      <w:r w:rsidRPr="003A50DE">
        <w:rPr>
          <w:rFonts w:hAnsi="宋体"/>
          <w:szCs w:val="24"/>
        </w:rPr>
        <w:t>管理人有关的名称字样。</w:t>
      </w:r>
    </w:p>
    <w:p w14:paraId="6264FEA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14.2基金托管人的更换</w:t>
      </w:r>
    </w:p>
    <w:p w14:paraId="578995D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14.2.1基金托管人的更换条件</w:t>
      </w:r>
    </w:p>
    <w:p w14:paraId="544574A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有下列情形之一的，基金托管人职责终止：</w:t>
      </w:r>
    </w:p>
    <w:p w14:paraId="0798081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（1）基金托管人被依法取消基金托管资格；</w:t>
      </w:r>
    </w:p>
    <w:p w14:paraId="6E7A9498" w14:textId="248A6DD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（2）基金托管人依法解散、被依法撤销或者被依法</w:t>
      </w:r>
      <w:r w:rsidR="00852E31" w:rsidRPr="003A50DE">
        <w:rPr>
          <w:rFonts w:hAnsi="宋体" w:hint="eastAsia"/>
          <w:szCs w:val="24"/>
        </w:rPr>
        <w:t>宣告</w:t>
      </w:r>
      <w:r w:rsidRPr="003A50DE">
        <w:rPr>
          <w:rFonts w:hAnsi="宋体" w:hint="eastAsia"/>
          <w:szCs w:val="24"/>
        </w:rPr>
        <w:t>破产；</w:t>
      </w:r>
    </w:p>
    <w:p w14:paraId="6FA3874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（3）基金托管人被基金份额持有人大会解任；</w:t>
      </w:r>
    </w:p>
    <w:p w14:paraId="6F8A6704" w14:textId="6DA55C26"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（4）法律法规</w:t>
      </w:r>
      <w:r w:rsidRPr="003A50DE">
        <w:rPr>
          <w:rFonts w:hAnsi="宋体" w:hint="eastAsia"/>
          <w:bCs/>
          <w:szCs w:val="24"/>
        </w:rPr>
        <w:t>及中国证监会规定的</w:t>
      </w:r>
      <w:r w:rsidRPr="003A50DE">
        <w:rPr>
          <w:rFonts w:hAnsi="宋体" w:hint="eastAsia"/>
          <w:szCs w:val="24"/>
        </w:rPr>
        <w:t>和基金合同</w:t>
      </w:r>
      <w:r w:rsidR="00852E31" w:rsidRPr="003A50DE">
        <w:rPr>
          <w:rFonts w:hAnsi="宋体" w:hint="eastAsia"/>
          <w:szCs w:val="24"/>
        </w:rPr>
        <w:t>约定</w:t>
      </w:r>
      <w:r w:rsidRPr="003A50DE">
        <w:rPr>
          <w:rFonts w:hAnsi="宋体" w:hint="eastAsia"/>
          <w:szCs w:val="24"/>
        </w:rPr>
        <w:t>的其他情形。</w:t>
      </w:r>
    </w:p>
    <w:p w14:paraId="2B9F00C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14.2.2基金托管人的更换程序</w:t>
      </w:r>
    </w:p>
    <w:p w14:paraId="0DECF982" w14:textId="77777777"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（1）</w:t>
      </w:r>
      <w:r w:rsidRPr="003A50DE">
        <w:rPr>
          <w:rFonts w:hAnsi="宋体"/>
          <w:szCs w:val="24"/>
        </w:rPr>
        <w:t>提名：</w:t>
      </w:r>
      <w:proofErr w:type="gramStart"/>
      <w:r w:rsidRPr="003A50DE">
        <w:rPr>
          <w:rFonts w:hAnsi="宋体"/>
          <w:szCs w:val="24"/>
        </w:rPr>
        <w:t>新任基金</w:t>
      </w:r>
      <w:proofErr w:type="gramEnd"/>
      <w:r w:rsidRPr="003A50DE">
        <w:rPr>
          <w:rFonts w:hAnsi="宋体"/>
          <w:szCs w:val="24"/>
        </w:rPr>
        <w:t>托管人由基金管理人或由单独或合计持有10%以上（含10%）基金份额的基金</w:t>
      </w:r>
      <w:r w:rsidRPr="003A50DE">
        <w:rPr>
          <w:rFonts w:hAnsi="宋体" w:hint="eastAsia"/>
          <w:szCs w:val="24"/>
        </w:rPr>
        <w:t>份额</w:t>
      </w:r>
      <w:r w:rsidRPr="003A50DE">
        <w:rPr>
          <w:rFonts w:hAnsi="宋体"/>
          <w:szCs w:val="24"/>
        </w:rPr>
        <w:t>持有人提名；</w:t>
      </w:r>
    </w:p>
    <w:p w14:paraId="572C9A56" w14:textId="556B71D0"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（2）</w:t>
      </w:r>
      <w:r w:rsidRPr="003A50DE">
        <w:rPr>
          <w:rFonts w:hAnsi="宋体"/>
          <w:szCs w:val="24"/>
        </w:rPr>
        <w:t>决议：基金份额持有人大会在基金托管人职责终止后6个月内对被提名的基金托管人形成决议，该决议需经参加大会的基金份额持有人所持表决权的</w:t>
      </w:r>
      <w:r w:rsidRPr="003A50DE">
        <w:rPr>
          <w:rFonts w:hAnsi="宋体" w:hint="eastAsia"/>
          <w:szCs w:val="24"/>
        </w:rPr>
        <w:t>三分之二</w:t>
      </w:r>
      <w:r w:rsidRPr="003A50DE">
        <w:rPr>
          <w:rFonts w:hAnsi="宋体"/>
          <w:szCs w:val="24"/>
        </w:rPr>
        <w:t>以上（含</w:t>
      </w:r>
      <w:r w:rsidRPr="003A50DE">
        <w:rPr>
          <w:rFonts w:hAnsi="宋体" w:hint="eastAsia"/>
          <w:szCs w:val="24"/>
        </w:rPr>
        <w:t>三分之二</w:t>
      </w:r>
      <w:r w:rsidRPr="003A50DE">
        <w:rPr>
          <w:rFonts w:hAnsi="宋体"/>
          <w:szCs w:val="24"/>
        </w:rPr>
        <w:t>）表决通过</w:t>
      </w:r>
      <w:r w:rsidRPr="003A50DE">
        <w:rPr>
          <w:rFonts w:hAnsi="宋体" w:hint="eastAsia"/>
          <w:szCs w:val="24"/>
        </w:rPr>
        <w:t>，</w:t>
      </w:r>
      <w:r w:rsidRPr="003A50DE">
        <w:rPr>
          <w:rFonts w:hAnsi="宋体" w:hint="eastAsia"/>
          <w:bCs/>
          <w:szCs w:val="24"/>
        </w:rPr>
        <w:t>并</w:t>
      </w:r>
      <w:r w:rsidRPr="003A50DE">
        <w:rPr>
          <w:rFonts w:hAnsi="宋体" w:hint="eastAsia"/>
          <w:szCs w:val="24"/>
        </w:rPr>
        <w:t>自表决通过之日起生效</w:t>
      </w:r>
      <w:r w:rsidRPr="003A50DE">
        <w:rPr>
          <w:rFonts w:hAnsi="宋体"/>
          <w:szCs w:val="24"/>
        </w:rPr>
        <w:t>；</w:t>
      </w:r>
    </w:p>
    <w:p w14:paraId="6529B23A" w14:textId="77777777"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lastRenderedPageBreak/>
        <w:t>（3）</w:t>
      </w:r>
      <w:r w:rsidRPr="003A50DE">
        <w:rPr>
          <w:rFonts w:hAnsi="宋体"/>
          <w:szCs w:val="24"/>
        </w:rPr>
        <w:t>临时基金托管人：</w:t>
      </w:r>
      <w:proofErr w:type="gramStart"/>
      <w:r w:rsidRPr="003A50DE">
        <w:rPr>
          <w:rFonts w:hAnsi="宋体"/>
          <w:szCs w:val="24"/>
        </w:rPr>
        <w:t>新任基金</w:t>
      </w:r>
      <w:proofErr w:type="gramEnd"/>
      <w:r w:rsidRPr="003A50DE">
        <w:rPr>
          <w:rFonts w:hAnsi="宋体"/>
          <w:szCs w:val="24"/>
        </w:rPr>
        <w:t>托管人产生之前，由中国证监会指定临时基金托管人；</w:t>
      </w:r>
    </w:p>
    <w:p w14:paraId="0BA744DF" w14:textId="15FA29B5"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（4）备案</w:t>
      </w:r>
      <w:r w:rsidRPr="003A50DE">
        <w:rPr>
          <w:rFonts w:hAnsi="宋体"/>
          <w:szCs w:val="24"/>
        </w:rPr>
        <w:t>：基金份额持有人大会更换基金托管人的决议须</w:t>
      </w:r>
      <w:r w:rsidRPr="003A50DE">
        <w:rPr>
          <w:rFonts w:hAnsi="宋体" w:hint="eastAsia"/>
          <w:szCs w:val="24"/>
        </w:rPr>
        <w:t>报</w:t>
      </w:r>
      <w:r w:rsidRPr="003A50DE">
        <w:rPr>
          <w:rFonts w:hAnsi="宋体"/>
          <w:szCs w:val="24"/>
        </w:rPr>
        <w:t>中国证监会</w:t>
      </w:r>
      <w:r w:rsidRPr="003A50DE">
        <w:rPr>
          <w:rFonts w:hAnsi="宋体" w:hint="eastAsia"/>
          <w:szCs w:val="24"/>
        </w:rPr>
        <w:t>备案</w:t>
      </w:r>
      <w:r w:rsidRPr="003A50DE">
        <w:rPr>
          <w:rFonts w:hAnsi="宋体"/>
          <w:szCs w:val="24"/>
        </w:rPr>
        <w:t>；</w:t>
      </w:r>
    </w:p>
    <w:p w14:paraId="2B09E4C6" w14:textId="6C26AEBD"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（5）</w:t>
      </w:r>
      <w:r w:rsidRPr="003A50DE">
        <w:rPr>
          <w:rFonts w:hAnsi="宋体"/>
          <w:szCs w:val="24"/>
        </w:rPr>
        <w:t>公告：基金托管人更换后，由基金管理人在</w:t>
      </w:r>
      <w:r w:rsidRPr="003A50DE">
        <w:rPr>
          <w:rFonts w:hAnsi="宋体" w:hint="eastAsia"/>
          <w:szCs w:val="24"/>
        </w:rPr>
        <w:t>更换基金托管人的基金份额持有人大会决议生效</w:t>
      </w:r>
      <w:r w:rsidRPr="003A50DE">
        <w:rPr>
          <w:rFonts w:hAnsi="宋体"/>
          <w:szCs w:val="24"/>
        </w:rPr>
        <w:t>后2日内在</w:t>
      </w:r>
      <w:r w:rsidRPr="003A50DE">
        <w:rPr>
          <w:rFonts w:hAnsi="宋体" w:hint="eastAsia"/>
          <w:szCs w:val="24"/>
        </w:rPr>
        <w:t>规定媒介</w:t>
      </w:r>
      <w:r w:rsidRPr="003A50DE">
        <w:rPr>
          <w:rFonts w:hAnsi="宋体"/>
          <w:szCs w:val="24"/>
        </w:rPr>
        <w:t>公告</w:t>
      </w:r>
      <w:r w:rsidRPr="003A50DE">
        <w:rPr>
          <w:rFonts w:hAnsi="宋体" w:hint="eastAsia"/>
          <w:bCs/>
          <w:szCs w:val="24"/>
        </w:rPr>
        <w:t>；</w:t>
      </w:r>
    </w:p>
    <w:p w14:paraId="359A3787" w14:textId="78A2CA21"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（6）</w:t>
      </w:r>
      <w:r w:rsidRPr="003A50DE">
        <w:rPr>
          <w:rFonts w:hAnsi="宋体"/>
          <w:szCs w:val="24"/>
        </w:rPr>
        <w:t>交接：基金托管人职责终止的，应当妥善保管基金财产和基金托管业务资料，及时办理基金财产和基金托管业务的移交手续，</w:t>
      </w:r>
      <w:proofErr w:type="gramStart"/>
      <w:r w:rsidRPr="003A50DE">
        <w:rPr>
          <w:rFonts w:hAnsi="宋体"/>
          <w:szCs w:val="24"/>
        </w:rPr>
        <w:t>新任基金</w:t>
      </w:r>
      <w:proofErr w:type="gramEnd"/>
      <w:r w:rsidRPr="003A50DE">
        <w:rPr>
          <w:rFonts w:hAnsi="宋体"/>
          <w:szCs w:val="24"/>
        </w:rPr>
        <w:t>托管人或者临时基金托管人应当及时接收。</w:t>
      </w:r>
      <w:proofErr w:type="gramStart"/>
      <w:r w:rsidRPr="003A50DE">
        <w:rPr>
          <w:rFonts w:hAnsi="宋体"/>
          <w:szCs w:val="24"/>
        </w:rPr>
        <w:t>新任基金</w:t>
      </w:r>
      <w:proofErr w:type="gramEnd"/>
      <w:r w:rsidRPr="003A50DE">
        <w:rPr>
          <w:rFonts w:hAnsi="宋体"/>
          <w:szCs w:val="24"/>
        </w:rPr>
        <w:t>托管人</w:t>
      </w:r>
      <w:r w:rsidRPr="003A50DE">
        <w:rPr>
          <w:rFonts w:hAnsi="宋体" w:hint="eastAsia"/>
          <w:bCs/>
          <w:szCs w:val="24"/>
        </w:rPr>
        <w:t>或临时基金托管人应</w:t>
      </w:r>
      <w:r w:rsidRPr="003A50DE">
        <w:rPr>
          <w:rFonts w:hAnsi="宋体"/>
          <w:szCs w:val="24"/>
        </w:rPr>
        <w:t>与基金管理人核对基金资产总值和净值；</w:t>
      </w:r>
    </w:p>
    <w:p w14:paraId="78510756" w14:textId="3E25219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w:t>
      </w:r>
      <w:r w:rsidRPr="003A50DE">
        <w:rPr>
          <w:rFonts w:hAnsi="宋体"/>
          <w:szCs w:val="24"/>
        </w:rPr>
        <w:t>审计：基金托管人职责终止的，应当按照法律法规规定聘请会计师事务所对基金财产进行审计，并将审计结果予以公告，同时报中国证监会备案</w:t>
      </w:r>
      <w:r w:rsidRPr="003A50DE">
        <w:rPr>
          <w:rFonts w:hAnsi="宋体" w:hint="eastAsia"/>
          <w:bCs/>
          <w:szCs w:val="24"/>
        </w:rPr>
        <w:t>，审计费用在基金财产中列支</w:t>
      </w:r>
      <w:r w:rsidRPr="003A50DE">
        <w:rPr>
          <w:rFonts w:hAnsi="宋体"/>
          <w:szCs w:val="24"/>
        </w:rPr>
        <w:t>。</w:t>
      </w:r>
    </w:p>
    <w:p w14:paraId="5793718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14.3基金管理人与基金托管人同时更换</w:t>
      </w:r>
    </w:p>
    <w:p w14:paraId="4E76B7C8" w14:textId="6B96CD59"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（1）</w:t>
      </w:r>
      <w:r w:rsidRPr="003A50DE">
        <w:rPr>
          <w:rFonts w:hAnsi="宋体"/>
          <w:szCs w:val="24"/>
        </w:rPr>
        <w:t>提名：如果基金管理人和基金托管人同时更换，由单独或合计持有基金总份额10%以上（含10%）的基金份额持有人提名新的基金管理人和基金托管人；</w:t>
      </w:r>
    </w:p>
    <w:p w14:paraId="3B7563E6" w14:textId="1BC3E8B6" w:rsidR="00EA3FD1" w:rsidRPr="003A50DE" w:rsidRDefault="00EA3FD1" w:rsidP="00F823E1">
      <w:pPr>
        <w:pStyle w:val="21"/>
        <w:adjustRightInd w:val="0"/>
        <w:snapToGrid w:val="0"/>
        <w:spacing w:line="520" w:lineRule="atLeast"/>
        <w:ind w:left="0" w:firstLineChars="236" w:firstLine="566"/>
        <w:rPr>
          <w:rFonts w:hAnsi="宋体"/>
          <w:szCs w:val="24"/>
        </w:rPr>
      </w:pPr>
      <w:r w:rsidRPr="003A50DE">
        <w:rPr>
          <w:rFonts w:hAnsi="宋体" w:hint="eastAsia"/>
          <w:szCs w:val="24"/>
        </w:rPr>
        <w:t>（2）</w:t>
      </w:r>
      <w:r w:rsidRPr="003A50DE">
        <w:rPr>
          <w:rFonts w:hAnsi="宋体"/>
          <w:szCs w:val="24"/>
        </w:rPr>
        <w:t>基金管理人和基金托管人的更换分别按上述程序进行；</w:t>
      </w:r>
    </w:p>
    <w:p w14:paraId="21864C24" w14:textId="2E43FD9A" w:rsidR="00EA3FD1" w:rsidRPr="003A50DE" w:rsidRDefault="00EA3FD1" w:rsidP="00FA5EAD">
      <w:pPr>
        <w:pStyle w:val="21"/>
        <w:adjustRightInd w:val="0"/>
        <w:snapToGrid w:val="0"/>
        <w:spacing w:line="520" w:lineRule="atLeast"/>
        <w:ind w:left="0" w:firstLineChars="236" w:firstLine="566"/>
        <w:rPr>
          <w:rFonts w:hAnsi="宋体"/>
          <w:szCs w:val="24"/>
        </w:rPr>
      </w:pPr>
      <w:r w:rsidRPr="003A50DE">
        <w:rPr>
          <w:rFonts w:hAnsi="宋体" w:hint="eastAsia"/>
          <w:szCs w:val="24"/>
        </w:rPr>
        <w:t>（3）</w:t>
      </w:r>
      <w:r w:rsidRPr="003A50DE">
        <w:rPr>
          <w:rFonts w:hAnsi="宋体"/>
          <w:szCs w:val="24"/>
        </w:rPr>
        <w:t>公告：</w:t>
      </w:r>
      <w:proofErr w:type="gramStart"/>
      <w:r w:rsidRPr="003A50DE">
        <w:rPr>
          <w:rFonts w:hAnsi="宋体"/>
          <w:szCs w:val="24"/>
        </w:rPr>
        <w:t>新任基金</w:t>
      </w:r>
      <w:proofErr w:type="gramEnd"/>
      <w:r w:rsidRPr="003A50DE">
        <w:rPr>
          <w:rFonts w:hAnsi="宋体"/>
          <w:szCs w:val="24"/>
        </w:rPr>
        <w:t>管理人和</w:t>
      </w:r>
      <w:proofErr w:type="gramStart"/>
      <w:r w:rsidRPr="003A50DE">
        <w:rPr>
          <w:rFonts w:hAnsi="宋体"/>
          <w:szCs w:val="24"/>
        </w:rPr>
        <w:t>新任基金</w:t>
      </w:r>
      <w:proofErr w:type="gramEnd"/>
      <w:r w:rsidRPr="003A50DE">
        <w:rPr>
          <w:rFonts w:hAnsi="宋体"/>
          <w:szCs w:val="24"/>
        </w:rPr>
        <w:t>托管人应在更换基金管理人和基金托管人的基金份额持有人大会决议</w:t>
      </w:r>
      <w:r w:rsidRPr="003A50DE">
        <w:rPr>
          <w:rFonts w:hAnsi="宋体" w:hint="eastAsia"/>
          <w:szCs w:val="24"/>
        </w:rPr>
        <w:t>生效</w:t>
      </w:r>
      <w:r w:rsidRPr="003A50DE">
        <w:rPr>
          <w:rFonts w:hAnsi="宋体"/>
          <w:szCs w:val="24"/>
        </w:rPr>
        <w:t>后2日内在规定媒介上联合公告。</w:t>
      </w:r>
    </w:p>
    <w:p w14:paraId="3823D5E6" w14:textId="2A41C36A" w:rsidR="00EA3FD1" w:rsidRPr="003A50DE" w:rsidRDefault="00EA3FD1" w:rsidP="00EA3FD1">
      <w:pPr>
        <w:pStyle w:val="21"/>
        <w:adjustRightInd w:val="0"/>
        <w:snapToGrid w:val="0"/>
        <w:spacing w:before="0" w:after="0" w:line="520" w:lineRule="atLeast"/>
        <w:ind w:left="0" w:firstLineChars="200" w:firstLine="480"/>
        <w:rPr>
          <w:rFonts w:hAnsi="宋体"/>
          <w:bCs/>
          <w:szCs w:val="24"/>
        </w:rPr>
      </w:pPr>
      <w:r w:rsidRPr="003A50DE">
        <w:rPr>
          <w:rFonts w:hAnsi="宋体" w:hint="eastAsia"/>
          <w:szCs w:val="24"/>
        </w:rPr>
        <w:t>14.4新</w:t>
      </w:r>
      <w:r w:rsidR="00852E31" w:rsidRPr="003A50DE">
        <w:rPr>
          <w:rFonts w:hAnsi="宋体" w:hint="eastAsia"/>
          <w:szCs w:val="24"/>
        </w:rPr>
        <w:t>基金管理人</w:t>
      </w:r>
      <w:r w:rsidRPr="003A50DE">
        <w:rPr>
          <w:rFonts w:hAnsi="宋体" w:hint="eastAsia"/>
          <w:szCs w:val="24"/>
        </w:rPr>
        <w:t>或临时基金管理人</w:t>
      </w:r>
      <w:r w:rsidR="00852E31" w:rsidRPr="003A50DE">
        <w:rPr>
          <w:rFonts w:hAnsi="宋体" w:hint="eastAsia"/>
          <w:bCs/>
          <w:szCs w:val="24"/>
        </w:rPr>
        <w:t>接收</w:t>
      </w:r>
      <w:r w:rsidRPr="003A50DE">
        <w:rPr>
          <w:rFonts w:hAnsi="宋体" w:hint="eastAsia"/>
          <w:szCs w:val="24"/>
        </w:rPr>
        <w:t>基金管理业务</w:t>
      </w:r>
      <w:r w:rsidR="00852E31" w:rsidRPr="003A50DE">
        <w:rPr>
          <w:rFonts w:hAnsi="宋体" w:hint="eastAsia"/>
          <w:szCs w:val="24"/>
        </w:rPr>
        <w:t>，</w:t>
      </w:r>
      <w:r w:rsidRPr="003A50DE">
        <w:rPr>
          <w:rFonts w:hAnsi="宋体" w:hint="eastAsia"/>
          <w:szCs w:val="24"/>
        </w:rPr>
        <w:t>或新</w:t>
      </w:r>
      <w:r w:rsidR="00852E31" w:rsidRPr="003A50DE">
        <w:rPr>
          <w:rFonts w:hAnsi="宋体" w:hint="eastAsia"/>
          <w:szCs w:val="24"/>
        </w:rPr>
        <w:t>基金托管人</w:t>
      </w:r>
      <w:r w:rsidRPr="003A50DE">
        <w:rPr>
          <w:rFonts w:hAnsi="宋体" w:hint="eastAsia"/>
          <w:szCs w:val="24"/>
        </w:rPr>
        <w:t>或临时基金托管人</w:t>
      </w:r>
      <w:r w:rsidR="00852E31" w:rsidRPr="003A50DE">
        <w:rPr>
          <w:rFonts w:hAnsi="宋体" w:hint="eastAsia"/>
          <w:bCs/>
          <w:szCs w:val="24"/>
        </w:rPr>
        <w:t>接收</w:t>
      </w:r>
      <w:r w:rsidRPr="003A50DE">
        <w:rPr>
          <w:rFonts w:hAnsi="宋体" w:hint="eastAsia"/>
          <w:szCs w:val="24"/>
        </w:rPr>
        <w:t>基金财产和基金托管业务前，</w:t>
      </w:r>
      <w:proofErr w:type="gramStart"/>
      <w:r w:rsidRPr="003A50DE">
        <w:rPr>
          <w:rFonts w:hAnsi="宋体" w:hint="eastAsia"/>
          <w:szCs w:val="24"/>
        </w:rPr>
        <w:t>原基金</w:t>
      </w:r>
      <w:proofErr w:type="gramEnd"/>
      <w:r w:rsidRPr="003A50DE">
        <w:rPr>
          <w:rFonts w:hAnsi="宋体" w:hint="eastAsia"/>
          <w:szCs w:val="24"/>
        </w:rPr>
        <w:t>管理人或</w:t>
      </w:r>
      <w:proofErr w:type="gramStart"/>
      <w:r w:rsidRPr="003A50DE">
        <w:rPr>
          <w:rFonts w:hAnsi="宋体" w:hint="eastAsia"/>
          <w:szCs w:val="24"/>
        </w:rPr>
        <w:t>原基金</w:t>
      </w:r>
      <w:proofErr w:type="gramEnd"/>
      <w:r w:rsidRPr="003A50DE">
        <w:rPr>
          <w:rFonts w:hAnsi="宋体" w:hint="eastAsia"/>
          <w:szCs w:val="24"/>
        </w:rPr>
        <w:t>托管人应继续履行相关职责，并保证不</w:t>
      </w:r>
      <w:r w:rsidR="00852E31" w:rsidRPr="003A50DE">
        <w:rPr>
          <w:rFonts w:hAnsi="宋体" w:hint="eastAsia"/>
          <w:szCs w:val="24"/>
        </w:rPr>
        <w:t>做出</w:t>
      </w:r>
      <w:r w:rsidRPr="003A50DE">
        <w:rPr>
          <w:rFonts w:hAnsi="宋体" w:hint="eastAsia"/>
          <w:szCs w:val="24"/>
        </w:rPr>
        <w:t>对基金份额持有人的利益造成损害</w:t>
      </w:r>
      <w:r w:rsidR="00852E31" w:rsidRPr="003A50DE">
        <w:rPr>
          <w:rFonts w:hAnsi="宋体" w:hint="eastAsia"/>
          <w:szCs w:val="24"/>
        </w:rPr>
        <w:t>的行为</w:t>
      </w:r>
      <w:r w:rsidRPr="003A50DE">
        <w:rPr>
          <w:rFonts w:hAnsi="宋体" w:hint="eastAsia"/>
          <w:szCs w:val="24"/>
        </w:rPr>
        <w:t>。</w:t>
      </w:r>
      <w:proofErr w:type="gramStart"/>
      <w:r w:rsidRPr="003A50DE">
        <w:rPr>
          <w:rFonts w:hAnsi="宋体" w:hint="eastAsia"/>
          <w:bCs/>
          <w:szCs w:val="24"/>
        </w:rPr>
        <w:t>原基金</w:t>
      </w:r>
      <w:proofErr w:type="gramEnd"/>
      <w:r w:rsidRPr="003A50DE">
        <w:rPr>
          <w:rFonts w:hAnsi="宋体" w:hint="eastAsia"/>
          <w:bCs/>
          <w:szCs w:val="24"/>
        </w:rPr>
        <w:t>管理人或</w:t>
      </w:r>
      <w:proofErr w:type="gramStart"/>
      <w:r w:rsidRPr="003A50DE">
        <w:rPr>
          <w:rFonts w:hAnsi="宋体" w:hint="eastAsia"/>
          <w:bCs/>
          <w:szCs w:val="24"/>
        </w:rPr>
        <w:t>原基金</w:t>
      </w:r>
      <w:proofErr w:type="gramEnd"/>
      <w:r w:rsidRPr="003A50DE">
        <w:rPr>
          <w:rFonts w:hAnsi="宋体" w:hint="eastAsia"/>
          <w:bCs/>
          <w:szCs w:val="24"/>
        </w:rPr>
        <w:t>托管人在继续履行相关职责期间，仍有权按照基金合同的规定收取基金管理费或基金托管费。</w:t>
      </w:r>
    </w:p>
    <w:p w14:paraId="51D1A3B5" w14:textId="6E84A09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14.5本部</w:t>
      </w:r>
      <w:proofErr w:type="gramStart"/>
      <w:r w:rsidRPr="003A50DE">
        <w:rPr>
          <w:rFonts w:hAnsi="宋体" w:hint="eastAsia"/>
          <w:szCs w:val="24"/>
        </w:rPr>
        <w:t>分关于</w:t>
      </w:r>
      <w:proofErr w:type="gramEnd"/>
      <w:r w:rsidRPr="003A50DE">
        <w:rPr>
          <w:rFonts w:hAnsi="宋体" w:hint="eastAsia"/>
          <w:szCs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728237B5" w14:textId="77777777" w:rsidR="00EA3FD1" w:rsidRPr="003A50DE" w:rsidRDefault="00EA3FD1" w:rsidP="00EA3FD1">
      <w:pPr>
        <w:pStyle w:val="1"/>
        <w:adjustRightInd w:val="0"/>
        <w:spacing w:line="520" w:lineRule="atLeast"/>
        <w:ind w:firstLineChars="200" w:firstLine="482"/>
        <w:rPr>
          <w:bCs/>
          <w:color w:val="auto"/>
          <w:szCs w:val="24"/>
        </w:rPr>
      </w:pPr>
      <w:bookmarkStart w:id="60" w:name="_Toc44321714"/>
      <w:bookmarkStart w:id="61" w:name="_Toc296551351"/>
      <w:r w:rsidRPr="003A50DE">
        <w:rPr>
          <w:rFonts w:hint="eastAsia"/>
          <w:bCs/>
          <w:color w:val="auto"/>
          <w:szCs w:val="24"/>
        </w:rPr>
        <w:lastRenderedPageBreak/>
        <w:t>第十五条 禁止行为</w:t>
      </w:r>
      <w:bookmarkEnd w:id="60"/>
      <w:bookmarkEnd w:id="61"/>
    </w:p>
    <w:bookmarkEnd w:id="59"/>
    <w:p w14:paraId="08A01C9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15.1基金管理人、基金托管人禁止从事的行为，包括但不限于：</w:t>
      </w:r>
    </w:p>
    <w:p w14:paraId="017637E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15.1.1基金管理人、基金托管人将其固有财产或者他人财产混同于基金财产从事证券投资。</w:t>
      </w:r>
    </w:p>
    <w:p w14:paraId="2F4B91B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15.1.2基金管理人不公平地对待其管理的不同基金财产，基金托管人不公平地对待其托管的不同基金财产。</w:t>
      </w:r>
    </w:p>
    <w:p w14:paraId="012178B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15.1.3基金管理人、基金托管人利用基金财产为基金份额持有人以外的第三人牟取利益。</w:t>
      </w:r>
    </w:p>
    <w:p w14:paraId="7C21C18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15.1.4基金管理人、基金托管人向基金份额持有人违规承诺收益或者承担损失。</w:t>
      </w:r>
    </w:p>
    <w:p w14:paraId="360AA94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15.1.5基金管理人、基金托管人对他人泄漏基金运作和管理过程中任何尚未按法律法规规定的方式公开披露的信息。</w:t>
      </w:r>
    </w:p>
    <w:p w14:paraId="520D0A3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15.1.6基金管理人在没有充足资金的情况下向基金托管人发出投资指令和赎回、分红资金的划拨指令，或违规向基金托管人发出指令。</w:t>
      </w:r>
    </w:p>
    <w:p w14:paraId="594CEE3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15.1.7基金管理人、基金托管人在行政上、财务上不独立，其高级管理人员和其他从业人员相互兼职。</w:t>
      </w:r>
    </w:p>
    <w:p w14:paraId="775C7E5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15.1.8基金托管人私自动用或处分基金财产，根据基金管理人的合法指令、基金合同或本协议的规定进行处分的除外。</w:t>
      </w:r>
    </w:p>
    <w:p w14:paraId="3267A3D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15.1.9基金财产用于下列投资或者活动：</w:t>
      </w:r>
    </w:p>
    <w:p w14:paraId="4D04B5C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62" w:name="_Hlk130836342"/>
      <w:r w:rsidRPr="003A50DE">
        <w:rPr>
          <w:rFonts w:hAnsi="宋体" w:hint="eastAsia"/>
          <w:szCs w:val="24"/>
        </w:rPr>
        <w:t>（1）承销证券；</w:t>
      </w:r>
    </w:p>
    <w:p w14:paraId="48BEBB9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w:t>
      </w:r>
      <w:r w:rsidRPr="003A50DE">
        <w:rPr>
          <w:rFonts w:hAnsi="宋体" w:hint="eastAsia"/>
          <w:bCs/>
          <w:szCs w:val="24"/>
        </w:rPr>
        <w:t>违反规定</w:t>
      </w:r>
      <w:r w:rsidRPr="003A50DE">
        <w:rPr>
          <w:rFonts w:hAnsi="宋体" w:hint="eastAsia"/>
          <w:szCs w:val="24"/>
        </w:rPr>
        <w:t>向他人贷款或者提供担保；</w:t>
      </w:r>
    </w:p>
    <w:p w14:paraId="582F1B9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（3）从事承担无限责任的投资；</w:t>
      </w:r>
    </w:p>
    <w:p w14:paraId="22436A1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（4）买卖其他基金份额，但法律法规或中国证监会另有规定的除外；</w:t>
      </w:r>
    </w:p>
    <w:p w14:paraId="0F49F190" w14:textId="049778E3"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（5）向其基金管理人、基金托管人出资；</w:t>
      </w:r>
    </w:p>
    <w:p w14:paraId="22C4E8C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（6）从事内幕交易、操纵证券交易价格及其他不正当的证券交易活动；</w:t>
      </w:r>
    </w:p>
    <w:p w14:paraId="7723988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bCs/>
          <w:szCs w:val="24"/>
        </w:rPr>
        <w:t>（7）法律、行政法规和中国证监会规定禁止的其他活动</w:t>
      </w:r>
      <w:r w:rsidRPr="003A50DE">
        <w:rPr>
          <w:rFonts w:hAnsi="宋体" w:hint="eastAsia"/>
          <w:szCs w:val="24"/>
        </w:rPr>
        <w:t>。</w:t>
      </w:r>
    </w:p>
    <w:bookmarkEnd w:id="62"/>
    <w:p w14:paraId="2B9F3249" w14:textId="5E18EBC0"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15.1.</w:t>
      </w:r>
      <w:bookmarkStart w:id="63" w:name="_Hlk130836344"/>
      <w:r w:rsidRPr="003A50DE">
        <w:rPr>
          <w:rFonts w:hAnsi="宋体" w:hint="eastAsia"/>
          <w:szCs w:val="24"/>
        </w:rPr>
        <w:t>10</w:t>
      </w:r>
      <w:r w:rsidR="00235319" w:rsidRPr="003A50DE">
        <w:rPr>
          <w:rFonts w:hAnsi="宋体" w:hint="eastAsia"/>
          <w:bCs/>
          <w:szCs w:val="24"/>
        </w:rPr>
        <w:t>法律、行政法规或监管部门取消</w:t>
      </w:r>
      <w:r w:rsidR="00852E31" w:rsidRPr="003A50DE">
        <w:rPr>
          <w:rFonts w:hAnsi="宋体" w:hint="eastAsia"/>
          <w:bCs/>
          <w:szCs w:val="24"/>
        </w:rPr>
        <w:t>或调整</w:t>
      </w:r>
      <w:r w:rsidR="00235319" w:rsidRPr="003A50DE">
        <w:rPr>
          <w:rFonts w:hAnsi="宋体" w:hint="eastAsia"/>
          <w:bCs/>
          <w:szCs w:val="24"/>
        </w:rPr>
        <w:t>上述禁止性规定，如适用于本基金，基金管理人在履行适当程序后，则本基金投资不再受相关限制</w:t>
      </w:r>
      <w:r w:rsidR="00852E31" w:rsidRPr="003A50DE">
        <w:rPr>
          <w:rFonts w:hAnsi="宋体" w:hint="eastAsia"/>
          <w:bCs/>
          <w:szCs w:val="24"/>
        </w:rPr>
        <w:t>或按调整后的</w:t>
      </w:r>
      <w:r w:rsidR="00852E31" w:rsidRPr="003A50DE">
        <w:rPr>
          <w:rFonts w:hAnsi="宋体" w:hint="eastAsia"/>
          <w:bCs/>
          <w:szCs w:val="24"/>
        </w:rPr>
        <w:lastRenderedPageBreak/>
        <w:t>规定执行</w:t>
      </w:r>
      <w:r w:rsidR="00235319" w:rsidRPr="003A50DE">
        <w:rPr>
          <w:rFonts w:hAnsi="宋体" w:hint="eastAsia"/>
          <w:bCs/>
          <w:szCs w:val="24"/>
        </w:rPr>
        <w:t>。</w:t>
      </w:r>
      <w:bookmarkEnd w:id="63"/>
    </w:p>
    <w:p w14:paraId="1558D9B0" w14:textId="77777777" w:rsidR="00EA3FD1" w:rsidRPr="003A50DE" w:rsidRDefault="00EA3FD1" w:rsidP="00EA3FD1">
      <w:pPr>
        <w:pStyle w:val="1"/>
        <w:adjustRightInd w:val="0"/>
        <w:spacing w:line="520" w:lineRule="atLeast"/>
        <w:ind w:firstLineChars="200" w:firstLine="482"/>
        <w:rPr>
          <w:bCs/>
          <w:color w:val="auto"/>
          <w:szCs w:val="24"/>
        </w:rPr>
      </w:pPr>
      <w:bookmarkStart w:id="64" w:name="_Toc44321715"/>
      <w:bookmarkStart w:id="65" w:name="_Toc296551352"/>
      <w:r w:rsidRPr="003A50DE">
        <w:rPr>
          <w:rFonts w:hint="eastAsia"/>
          <w:bCs/>
          <w:color w:val="auto"/>
          <w:szCs w:val="24"/>
        </w:rPr>
        <w:t>第十六条 本协议的变更、终止与基金财产的清算</w:t>
      </w:r>
      <w:bookmarkEnd w:id="64"/>
      <w:bookmarkEnd w:id="65"/>
    </w:p>
    <w:p w14:paraId="0CA3ED23"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16.1本协议的变更与终止</w:t>
      </w:r>
    </w:p>
    <w:p w14:paraId="07CD1409" w14:textId="6D8264B5"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16.1.1本协议的变更程序</w:t>
      </w:r>
    </w:p>
    <w:p w14:paraId="61865936" w14:textId="7D19121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本协议双方当事人经协商一致，可以对协议的内容进行变更，并另行签署书面协议予以明确。变更后的托管协议，其内容不得与基金合同的规定有任何冲突。本协议的变更报中国证监会备案。</w:t>
      </w:r>
    </w:p>
    <w:p w14:paraId="7A19527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16.1.2本协议终止的情形</w:t>
      </w:r>
    </w:p>
    <w:p w14:paraId="387CB37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发生以下情况，本协议终止：</w:t>
      </w:r>
    </w:p>
    <w:p w14:paraId="22FE6E6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（1）基金合同终止；</w:t>
      </w:r>
    </w:p>
    <w:p w14:paraId="15DDE41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（2）基金托管人解散、依法被撤销、破产或由其他基金托管人接管基金资产；</w:t>
      </w:r>
    </w:p>
    <w:p w14:paraId="7C83560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（3）基金管理人解散、依法被撤销、破产或由其他基金管理人接管基金管理权；</w:t>
      </w:r>
    </w:p>
    <w:p w14:paraId="651A6D61" w14:textId="6E9FEA9D" w:rsidR="00EA3FD1" w:rsidRPr="003A50DE" w:rsidRDefault="00EA3FD1" w:rsidP="003A50DE">
      <w:pPr>
        <w:pStyle w:val="21"/>
        <w:spacing w:before="0" w:after="0" w:line="520" w:lineRule="atLeast"/>
        <w:ind w:left="0" w:firstLineChars="200" w:firstLine="480"/>
        <w:rPr>
          <w:rFonts w:hAnsi="宋体"/>
          <w:szCs w:val="24"/>
        </w:rPr>
      </w:pPr>
      <w:r w:rsidRPr="003A50DE">
        <w:rPr>
          <w:rFonts w:hAnsi="宋体" w:hint="eastAsia"/>
          <w:szCs w:val="24"/>
        </w:rPr>
        <w:t>（</w:t>
      </w:r>
      <w:r w:rsidR="004B0679" w:rsidRPr="003A50DE">
        <w:rPr>
          <w:rFonts w:hAnsi="宋体" w:hint="eastAsia"/>
          <w:szCs w:val="24"/>
        </w:rPr>
        <w:t>4</w:t>
      </w:r>
      <w:r w:rsidRPr="003A50DE">
        <w:rPr>
          <w:rFonts w:hAnsi="宋体" w:hint="eastAsia"/>
          <w:szCs w:val="24"/>
        </w:rPr>
        <w:t>）发生法律法规或基金合同规定的终止事项。</w:t>
      </w:r>
    </w:p>
    <w:p w14:paraId="41E3081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16.2基金财产的清算</w:t>
      </w:r>
    </w:p>
    <w:p w14:paraId="3DB9483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bookmarkStart w:id="66" w:name="_Hlk130836416"/>
      <w:r w:rsidRPr="003A50DE">
        <w:rPr>
          <w:rFonts w:hAnsi="宋体" w:hint="eastAsia"/>
          <w:szCs w:val="24"/>
        </w:rPr>
        <w:t>16.2.1基金财产清算小组</w:t>
      </w:r>
    </w:p>
    <w:p w14:paraId="08156B1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（1）自出现基金合同终止事由之日起30个工作日内成立基金财产清算小组，基金管理人组织基金财产清算小组并在中国证监会的监督下进行基金清算。</w:t>
      </w:r>
    </w:p>
    <w:p w14:paraId="38B9E86F" w14:textId="73222082"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（2）基金财产清算小组成员由基金管理人、基金托管人、具</w:t>
      </w:r>
      <w:r w:rsidR="00852E31" w:rsidRPr="003A50DE">
        <w:rPr>
          <w:rFonts w:hAnsi="宋体" w:hint="eastAsia"/>
          <w:szCs w:val="24"/>
        </w:rPr>
        <w:t>有</w:t>
      </w:r>
      <w:r w:rsidR="00235319" w:rsidRPr="003A50DE">
        <w:rPr>
          <w:rFonts w:hAnsi="宋体" w:hint="eastAsia"/>
          <w:szCs w:val="24"/>
        </w:rPr>
        <w:t>证券、期货</w:t>
      </w:r>
      <w:r w:rsidRPr="003A50DE">
        <w:rPr>
          <w:rFonts w:hAnsi="宋体" w:hint="eastAsia"/>
          <w:szCs w:val="24"/>
        </w:rPr>
        <w:t>相关业务</w:t>
      </w:r>
      <w:r w:rsidR="00235319" w:rsidRPr="003A50DE">
        <w:rPr>
          <w:rFonts w:hAnsi="宋体" w:hint="eastAsia"/>
          <w:szCs w:val="24"/>
        </w:rPr>
        <w:t>资格</w:t>
      </w:r>
      <w:r w:rsidRPr="003A50DE">
        <w:rPr>
          <w:rFonts w:hAnsi="宋体" w:hint="eastAsia"/>
          <w:szCs w:val="24"/>
        </w:rPr>
        <w:t>的注册会计师、律师以及中国证监会指定的人员组成。基金财产清算小组可以聘用必要的工作人员。</w:t>
      </w:r>
    </w:p>
    <w:p w14:paraId="4F16C21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371FD48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（4）基金财产清算小组负责基金财产的保管、清理、估价、变现和分配。基金财产清算小组可以依法进行必要的民事活动。</w:t>
      </w:r>
    </w:p>
    <w:p w14:paraId="5B29FEE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16.2.2基金财产清算程序</w:t>
      </w:r>
    </w:p>
    <w:p w14:paraId="75251AB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基金合同终止，应当按法律法规和基金合同的有关规定对基金财产进行清算。</w:t>
      </w:r>
      <w:r w:rsidRPr="003A50DE">
        <w:rPr>
          <w:rFonts w:hAnsi="宋体" w:hint="eastAsia"/>
          <w:szCs w:val="24"/>
        </w:rPr>
        <w:lastRenderedPageBreak/>
        <w:t>基金财产清算程序主要包括：</w:t>
      </w:r>
    </w:p>
    <w:p w14:paraId="2B7FCCA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（1）基金合同终止情形出现时，由基金财产清算小组统一接管基金财产；</w:t>
      </w:r>
    </w:p>
    <w:p w14:paraId="60DB169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（2）对基金财产和债权债务进行清理和确认；</w:t>
      </w:r>
    </w:p>
    <w:p w14:paraId="4FFE2BE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（3）对基金财产进行估值和变现；</w:t>
      </w:r>
    </w:p>
    <w:p w14:paraId="64E6BAE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（4）制作清算报告；</w:t>
      </w:r>
    </w:p>
    <w:p w14:paraId="029CC0B5"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（5）聘请会计师事务所对清算报告进行外部审计，聘请律师事务所对清算报告出具法律意见书；</w:t>
      </w:r>
    </w:p>
    <w:p w14:paraId="5299873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（6）将清算报告报中国证监会备案并公告；</w:t>
      </w:r>
    </w:p>
    <w:p w14:paraId="66E624C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（7）对基金剩余财产进行分配。</w:t>
      </w:r>
    </w:p>
    <w:p w14:paraId="261E9DB2" w14:textId="6DB8AC28" w:rsidR="00EA3FD1" w:rsidRPr="003A50DE" w:rsidRDefault="00EA3FD1" w:rsidP="00EA3FD1">
      <w:pPr>
        <w:pStyle w:val="21"/>
        <w:adjustRightInd w:val="0"/>
        <w:snapToGrid w:val="0"/>
        <w:spacing w:before="0" w:after="0" w:line="520" w:lineRule="atLeast"/>
        <w:ind w:left="0" w:firstLineChars="200" w:firstLine="480"/>
        <w:rPr>
          <w:rFonts w:hAnsi="宋体"/>
          <w:bCs/>
          <w:szCs w:val="24"/>
        </w:rPr>
      </w:pPr>
      <w:r w:rsidRPr="003A50DE">
        <w:rPr>
          <w:rFonts w:hAnsi="宋体" w:hint="eastAsia"/>
          <w:bCs/>
          <w:szCs w:val="24"/>
        </w:rPr>
        <w:t>基金财产清算的期限为6个月，但因本基金所持证券的流动性受到限制而不能及时变现的，清算期限</w:t>
      </w:r>
      <w:r w:rsidR="00852E31" w:rsidRPr="003A50DE">
        <w:rPr>
          <w:rFonts w:hAnsi="宋体" w:hint="eastAsia"/>
          <w:bCs/>
          <w:szCs w:val="24"/>
        </w:rPr>
        <w:t>可</w:t>
      </w:r>
      <w:r w:rsidRPr="003A50DE">
        <w:rPr>
          <w:rFonts w:hAnsi="宋体" w:hint="eastAsia"/>
          <w:bCs/>
          <w:szCs w:val="24"/>
        </w:rPr>
        <w:t>相应顺延。</w:t>
      </w:r>
    </w:p>
    <w:p w14:paraId="7F948B9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16.2.3清算费用</w:t>
      </w:r>
    </w:p>
    <w:p w14:paraId="00BCA044" w14:textId="7F4608B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清算费用是指基金财产清算小组在进行基金清算过程中发生的所有合理费用，清算费用由基金财产清算小组优先从基金剩余财产中支付。</w:t>
      </w:r>
    </w:p>
    <w:p w14:paraId="5F5CF3F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16.2.4基金财产按下列顺序清偿：</w:t>
      </w:r>
    </w:p>
    <w:p w14:paraId="0C094652" w14:textId="22975271"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（1）支付</w:t>
      </w:r>
      <w:r w:rsidR="00852E31" w:rsidRPr="003A50DE">
        <w:rPr>
          <w:rFonts w:hAnsi="宋体" w:hint="eastAsia"/>
          <w:szCs w:val="24"/>
        </w:rPr>
        <w:t>基金财产</w:t>
      </w:r>
      <w:r w:rsidRPr="003A50DE">
        <w:rPr>
          <w:rFonts w:hAnsi="宋体" w:hint="eastAsia"/>
          <w:szCs w:val="24"/>
        </w:rPr>
        <w:t>清算费用；</w:t>
      </w:r>
    </w:p>
    <w:p w14:paraId="5ADB7E1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（2）交纳所欠税款；</w:t>
      </w:r>
    </w:p>
    <w:p w14:paraId="318060E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（3）清偿基金债务；</w:t>
      </w:r>
    </w:p>
    <w:p w14:paraId="2512CBD3" w14:textId="3CC87D0A"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（4）按基金份额持有人持有的基金份额比例进行分配。</w:t>
      </w:r>
    </w:p>
    <w:p w14:paraId="5D2216D2"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基金财产未按前款（1）－（3）项规定清偿前，不分配给基金份额持有人。</w:t>
      </w:r>
    </w:p>
    <w:p w14:paraId="7FD266D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16.2.5基金财产清算的公告</w:t>
      </w:r>
    </w:p>
    <w:p w14:paraId="45BFCC79" w14:textId="7BD1BBD7" w:rsidR="00EA3FD1" w:rsidRPr="003A50DE" w:rsidRDefault="00EA3FD1" w:rsidP="00EA3FD1">
      <w:pPr>
        <w:adjustRightInd w:val="0"/>
        <w:snapToGrid w:val="0"/>
        <w:spacing w:line="520" w:lineRule="atLeast"/>
        <w:ind w:firstLineChars="200" w:firstLine="480"/>
        <w:rPr>
          <w:rFonts w:ascii="宋体" w:hAnsi="宋体"/>
          <w:bCs/>
          <w:sz w:val="24"/>
          <w:szCs w:val="24"/>
        </w:rPr>
      </w:pPr>
      <w:bookmarkStart w:id="67" w:name="_Hlk130836609"/>
      <w:r w:rsidRPr="003A50DE">
        <w:rPr>
          <w:rFonts w:ascii="宋体" w:hAnsi="宋体" w:hint="eastAsia"/>
          <w:bCs/>
          <w:sz w:val="24"/>
          <w:szCs w:val="24"/>
        </w:rPr>
        <w:t>清算过程中的有关重大事项须及时公告；基金财产清算报告</w:t>
      </w:r>
      <w:proofErr w:type="gramStart"/>
      <w:r w:rsidRPr="003A50DE">
        <w:rPr>
          <w:rFonts w:ascii="宋体" w:hAnsi="宋体" w:hint="eastAsia"/>
          <w:bCs/>
          <w:sz w:val="24"/>
          <w:szCs w:val="24"/>
        </w:rPr>
        <w:t>经</w:t>
      </w:r>
      <w:r w:rsidR="00852E31" w:rsidRPr="003A50DE">
        <w:rPr>
          <w:rFonts w:ascii="宋体" w:hAnsi="宋体" w:hint="eastAsia"/>
          <w:bCs/>
          <w:sz w:val="24"/>
          <w:szCs w:val="24"/>
        </w:rPr>
        <w:t>符合</w:t>
      </w:r>
      <w:proofErr w:type="gramEnd"/>
      <w:r w:rsidR="00852E31" w:rsidRPr="003A50DE">
        <w:rPr>
          <w:rFonts w:ascii="宋体" w:hAnsi="宋体" w:hint="eastAsia"/>
          <w:bCs/>
          <w:sz w:val="24"/>
          <w:szCs w:val="24"/>
        </w:rPr>
        <w:t>《中华人民共和国证券法》规定的</w:t>
      </w:r>
      <w:r w:rsidRPr="003A50DE">
        <w:rPr>
          <w:rFonts w:ascii="宋体" w:hAnsi="宋体" w:hint="eastAsia"/>
          <w:bCs/>
          <w:sz w:val="24"/>
          <w:szCs w:val="24"/>
        </w:rPr>
        <w:t>会计师事务所审计</w:t>
      </w:r>
      <w:r w:rsidR="00852E31" w:rsidRPr="003A50DE">
        <w:rPr>
          <w:rFonts w:ascii="宋体" w:hAnsi="宋体" w:hint="eastAsia"/>
          <w:bCs/>
          <w:sz w:val="24"/>
          <w:szCs w:val="24"/>
        </w:rPr>
        <w:t>并由</w:t>
      </w:r>
      <w:r w:rsidRPr="003A50DE">
        <w:rPr>
          <w:rFonts w:ascii="宋体" w:hAnsi="宋体" w:hint="eastAsia"/>
          <w:bCs/>
          <w:sz w:val="24"/>
          <w:szCs w:val="24"/>
        </w:rPr>
        <w:t>律师事务所出具法律意见书后报中国证监会备案并公告</w:t>
      </w:r>
      <w:r w:rsidR="00852E31" w:rsidRPr="003A50DE">
        <w:rPr>
          <w:rFonts w:ascii="宋体" w:hAnsi="宋体" w:hint="eastAsia"/>
          <w:bCs/>
          <w:sz w:val="24"/>
          <w:szCs w:val="24"/>
        </w:rPr>
        <w:t>。基金财产清算公告于基金财产清算报告报中国证监会备案后5个工作日内由基金财产清算小组进行公告</w:t>
      </w:r>
      <w:r w:rsidRPr="003A50DE">
        <w:rPr>
          <w:rFonts w:ascii="宋体" w:hAnsi="宋体" w:hint="eastAsia"/>
          <w:bCs/>
          <w:sz w:val="24"/>
          <w:szCs w:val="24"/>
        </w:rPr>
        <w:t>，基金财产清算小组应当将清算报告登载在</w:t>
      </w:r>
      <w:r w:rsidR="00852E31" w:rsidRPr="003A50DE">
        <w:rPr>
          <w:rFonts w:ascii="宋体" w:hAnsi="宋体" w:hint="eastAsia"/>
          <w:bCs/>
          <w:sz w:val="24"/>
          <w:szCs w:val="24"/>
        </w:rPr>
        <w:t>规定</w:t>
      </w:r>
      <w:r w:rsidRPr="003A50DE">
        <w:rPr>
          <w:rFonts w:ascii="宋体" w:hAnsi="宋体" w:hint="eastAsia"/>
          <w:bCs/>
          <w:sz w:val="24"/>
          <w:szCs w:val="24"/>
        </w:rPr>
        <w:t>网站上，并将清算报告提示性公告登载在</w:t>
      </w:r>
      <w:r w:rsidR="00852E31" w:rsidRPr="003A50DE">
        <w:rPr>
          <w:rFonts w:ascii="宋体" w:hAnsi="宋体" w:hint="eastAsia"/>
          <w:bCs/>
          <w:sz w:val="24"/>
          <w:szCs w:val="24"/>
        </w:rPr>
        <w:t>规定</w:t>
      </w:r>
      <w:r w:rsidRPr="003A50DE">
        <w:rPr>
          <w:rFonts w:ascii="宋体" w:hAnsi="宋体" w:hint="eastAsia"/>
          <w:bCs/>
          <w:sz w:val="24"/>
          <w:szCs w:val="24"/>
        </w:rPr>
        <w:t>报刊上</w:t>
      </w:r>
      <w:bookmarkEnd w:id="67"/>
      <w:r w:rsidRPr="003A50DE">
        <w:rPr>
          <w:rFonts w:ascii="宋体" w:hAnsi="宋体" w:hint="eastAsia"/>
          <w:bCs/>
          <w:sz w:val="24"/>
          <w:szCs w:val="24"/>
        </w:rPr>
        <w:t>。</w:t>
      </w:r>
    </w:p>
    <w:p w14:paraId="6A1428B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16.2.6基金财产清算账册及文件的保存</w:t>
      </w:r>
    </w:p>
    <w:p w14:paraId="226B618E" w14:textId="0B728EF6" w:rsidR="00EA3FD1" w:rsidRPr="003A50DE" w:rsidRDefault="00235319" w:rsidP="00EA3FD1">
      <w:pPr>
        <w:pStyle w:val="21"/>
        <w:adjustRightInd w:val="0"/>
        <w:snapToGrid w:val="0"/>
        <w:spacing w:before="0" w:after="0" w:line="520" w:lineRule="atLeast"/>
        <w:ind w:left="0" w:firstLineChars="200" w:firstLine="480"/>
        <w:rPr>
          <w:rFonts w:hAnsi="宋体"/>
          <w:szCs w:val="24"/>
        </w:rPr>
      </w:pPr>
      <w:r w:rsidRPr="003A50DE">
        <w:rPr>
          <w:rFonts w:hAnsi="宋体"/>
          <w:szCs w:val="24"/>
        </w:rPr>
        <w:t>基金财产清算账册及有关文件由基金托管人保存</w:t>
      </w:r>
      <w:r w:rsidRPr="003A50DE">
        <w:rPr>
          <w:rFonts w:hAnsi="宋体" w:hint="eastAsia"/>
          <w:szCs w:val="24"/>
        </w:rPr>
        <w:t>，保存期限</w:t>
      </w:r>
      <w:r w:rsidRPr="003A50DE">
        <w:rPr>
          <w:rFonts w:hAnsi="宋体" w:hint="eastAsia"/>
          <w:bCs/>
          <w:szCs w:val="24"/>
        </w:rPr>
        <w:t>不低于法律法规规</w:t>
      </w:r>
      <w:r w:rsidRPr="003A50DE">
        <w:rPr>
          <w:rFonts w:hAnsi="宋体" w:hint="eastAsia"/>
          <w:bCs/>
          <w:szCs w:val="24"/>
        </w:rPr>
        <w:lastRenderedPageBreak/>
        <w:t>定的最低期限</w:t>
      </w:r>
      <w:r w:rsidRPr="003A50DE">
        <w:rPr>
          <w:rFonts w:hAnsi="宋体"/>
          <w:szCs w:val="24"/>
        </w:rPr>
        <w:t>。</w:t>
      </w:r>
      <w:bookmarkStart w:id="68" w:name="_Toc296551353"/>
      <w:bookmarkEnd w:id="66"/>
    </w:p>
    <w:p w14:paraId="0C8A5357" w14:textId="77777777" w:rsidR="00EA3FD1" w:rsidRPr="003A50DE" w:rsidRDefault="00EA3FD1" w:rsidP="00EA3FD1">
      <w:pPr>
        <w:pStyle w:val="1"/>
        <w:adjustRightInd w:val="0"/>
        <w:spacing w:line="520" w:lineRule="atLeast"/>
        <w:ind w:firstLineChars="200" w:firstLine="482"/>
        <w:rPr>
          <w:bCs/>
          <w:color w:val="auto"/>
          <w:szCs w:val="24"/>
        </w:rPr>
      </w:pPr>
      <w:bookmarkStart w:id="69" w:name="_Toc44321716"/>
      <w:r w:rsidRPr="003A50DE">
        <w:rPr>
          <w:rFonts w:hint="eastAsia"/>
          <w:bCs/>
          <w:color w:val="auto"/>
          <w:szCs w:val="24"/>
        </w:rPr>
        <w:t>第十七条 违约责任</w:t>
      </w:r>
      <w:bookmarkEnd w:id="68"/>
      <w:bookmarkEnd w:id="69"/>
    </w:p>
    <w:p w14:paraId="31ABE06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17.1如果基金管理人或基金托管人不履行本协议或者履行本协议不符合约定的，应当承担违约责任。</w:t>
      </w:r>
    </w:p>
    <w:p w14:paraId="29CCF1A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17.2</w:t>
      </w:r>
      <w:r w:rsidRPr="003A50DE">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sidRPr="003A50DE">
        <w:rPr>
          <w:rFonts w:hAnsi="宋体" w:hint="eastAsia"/>
          <w:szCs w:val="24"/>
        </w:rPr>
        <w:t>但是发生下列情况，当事人可以免责：</w:t>
      </w:r>
    </w:p>
    <w:p w14:paraId="365EDDB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（1）不可抗力；</w:t>
      </w:r>
    </w:p>
    <w:p w14:paraId="706CBE12" w14:textId="3371AB3D"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（2）基金管理人</w:t>
      </w:r>
      <w:r w:rsidRPr="003A50DE">
        <w:rPr>
          <w:rFonts w:hAnsi="宋体" w:hint="eastAsia"/>
          <w:bCs/>
          <w:szCs w:val="24"/>
        </w:rPr>
        <w:t>和/或</w:t>
      </w:r>
      <w:r w:rsidRPr="003A50DE">
        <w:rPr>
          <w:rFonts w:hAnsi="宋体" w:hint="eastAsia"/>
          <w:szCs w:val="24"/>
        </w:rPr>
        <w:t>基金托管人按照</w:t>
      </w:r>
      <w:r w:rsidR="00852E31" w:rsidRPr="003A50DE">
        <w:rPr>
          <w:rFonts w:hAnsi="宋体" w:hint="eastAsia"/>
          <w:bCs/>
          <w:szCs w:val="24"/>
        </w:rPr>
        <w:t>当时</w:t>
      </w:r>
      <w:r w:rsidRPr="003A50DE">
        <w:rPr>
          <w:rFonts w:hAnsi="宋体" w:hint="eastAsia"/>
          <w:szCs w:val="24"/>
        </w:rPr>
        <w:t>有效的法律法规或中国证监会的规定作为或不作为而造成的损失等；</w:t>
      </w:r>
    </w:p>
    <w:p w14:paraId="21EA88CC" w14:textId="77777777" w:rsidR="005657B8" w:rsidRPr="003A50DE" w:rsidRDefault="00EA3FD1" w:rsidP="005657B8">
      <w:pPr>
        <w:pStyle w:val="21"/>
        <w:spacing w:before="0" w:after="0" w:line="520" w:lineRule="atLeast"/>
        <w:ind w:left="0" w:firstLineChars="200" w:firstLine="480"/>
        <w:rPr>
          <w:rFonts w:hAnsi="宋体"/>
          <w:szCs w:val="24"/>
        </w:rPr>
      </w:pPr>
      <w:r w:rsidRPr="003A50DE">
        <w:rPr>
          <w:rFonts w:hAnsi="宋体" w:hint="eastAsia"/>
          <w:szCs w:val="24"/>
        </w:rPr>
        <w:t>（3）基金管理人由于按照基金合同规定的投资原则</w:t>
      </w:r>
      <w:r w:rsidR="00852E31" w:rsidRPr="003A50DE">
        <w:rPr>
          <w:rFonts w:hAnsi="宋体"/>
          <w:bCs/>
        </w:rPr>
        <w:t>行使或不行使其投资权</w:t>
      </w:r>
      <w:r w:rsidRPr="003A50DE">
        <w:rPr>
          <w:rFonts w:hAnsi="宋体" w:hint="eastAsia"/>
          <w:szCs w:val="24"/>
        </w:rPr>
        <w:t>而造成的损失等</w:t>
      </w:r>
      <w:r w:rsidR="005657B8" w:rsidRPr="003A50DE">
        <w:rPr>
          <w:rFonts w:hAnsi="宋体" w:hint="eastAsia"/>
          <w:szCs w:val="24"/>
        </w:rPr>
        <w:t>；</w:t>
      </w:r>
    </w:p>
    <w:p w14:paraId="3D8EB754" w14:textId="77777777" w:rsidR="005657B8" w:rsidRPr="003A50DE" w:rsidRDefault="005657B8" w:rsidP="005657B8">
      <w:pPr>
        <w:pStyle w:val="21"/>
        <w:spacing w:before="0" w:after="0" w:line="520" w:lineRule="atLeast"/>
        <w:ind w:left="0" w:firstLineChars="200" w:firstLine="480"/>
        <w:rPr>
          <w:rFonts w:hAnsi="宋体"/>
          <w:szCs w:val="24"/>
        </w:rPr>
      </w:pPr>
      <w:r w:rsidRPr="003A50DE">
        <w:rPr>
          <w:rFonts w:hAnsi="宋体" w:hint="eastAsia"/>
          <w:szCs w:val="24"/>
        </w:rPr>
        <w:t>（4）基金托管人对存放或存管在基金托管人以外机构的基金资产，或交由证券公司等其他机构负责清算交收的基金资产及其收益不承担任何责任；</w:t>
      </w:r>
    </w:p>
    <w:p w14:paraId="16C4BDC4" w14:textId="271BD45A" w:rsidR="00EA3FD1" w:rsidRPr="003A50DE" w:rsidRDefault="005657B8" w:rsidP="005657B8">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（5）计算机系统故障、网络故障、通讯故障、电力故障、计算机病毒攻击及其它</w:t>
      </w:r>
      <w:proofErr w:type="gramStart"/>
      <w:r w:rsidRPr="003A50DE">
        <w:rPr>
          <w:rFonts w:hAnsi="宋体" w:hint="eastAsia"/>
          <w:szCs w:val="24"/>
        </w:rPr>
        <w:t>非基金</w:t>
      </w:r>
      <w:proofErr w:type="gramEnd"/>
      <w:r w:rsidRPr="003A50DE">
        <w:rPr>
          <w:rFonts w:hAnsi="宋体" w:hint="eastAsia"/>
          <w:szCs w:val="24"/>
        </w:rPr>
        <w:t>管理人及基金托管</w:t>
      </w:r>
      <w:proofErr w:type="gramStart"/>
      <w:r w:rsidRPr="003A50DE">
        <w:rPr>
          <w:rFonts w:hAnsi="宋体" w:hint="eastAsia"/>
          <w:szCs w:val="24"/>
        </w:rPr>
        <w:t>人原因</w:t>
      </w:r>
      <w:proofErr w:type="gramEnd"/>
      <w:r w:rsidRPr="003A50DE">
        <w:rPr>
          <w:rFonts w:hAnsi="宋体" w:hint="eastAsia"/>
          <w:szCs w:val="24"/>
        </w:rPr>
        <w:t>造成的意外事故</w:t>
      </w:r>
      <w:r w:rsidR="00EA3FD1" w:rsidRPr="003A50DE">
        <w:rPr>
          <w:rFonts w:hAnsi="宋体" w:hint="eastAsia"/>
          <w:szCs w:val="24"/>
        </w:rPr>
        <w:t>。</w:t>
      </w:r>
    </w:p>
    <w:p w14:paraId="14B0BA2F"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5AE3567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E7918AD"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17.5违约行为虽已发生，但本协议能够继续履行的，在最大限度地保护基金份额持有人利益的前提下，基金管理人和基金托管人应当继续履行本协议。</w:t>
      </w:r>
    </w:p>
    <w:p w14:paraId="66B491F1" w14:textId="3514BE4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17.6由于基金管理人、基金托管人不可控制的因素导致业务出现差错，基金管理人和基金托管人虽然已经采取必要、适当、合理的措施进行检查，但是未能发</w:t>
      </w:r>
      <w:r w:rsidRPr="003A50DE">
        <w:rPr>
          <w:rFonts w:hAnsi="宋体" w:hint="eastAsia"/>
          <w:szCs w:val="24"/>
        </w:rPr>
        <w:lastRenderedPageBreak/>
        <w:t>现错误</w:t>
      </w:r>
      <w:r w:rsidR="005657B8" w:rsidRPr="003A50DE">
        <w:rPr>
          <w:rFonts w:hAnsi="宋体" w:hint="eastAsia"/>
          <w:szCs w:val="24"/>
        </w:rPr>
        <w:t>或未能避免错误发生或</w:t>
      </w:r>
      <w:proofErr w:type="gramStart"/>
      <w:r w:rsidR="005657B8" w:rsidRPr="003A50DE">
        <w:rPr>
          <w:rFonts w:hAnsi="宋体" w:hint="eastAsia"/>
          <w:szCs w:val="24"/>
        </w:rPr>
        <w:t>虽发现</w:t>
      </w:r>
      <w:proofErr w:type="gramEnd"/>
      <w:r w:rsidR="005657B8" w:rsidRPr="003A50DE">
        <w:rPr>
          <w:rFonts w:hAnsi="宋体" w:hint="eastAsia"/>
          <w:szCs w:val="24"/>
        </w:rPr>
        <w:t>错误但因前述原因无法及时更正</w:t>
      </w:r>
      <w:r w:rsidRPr="003A50DE">
        <w:rPr>
          <w:rFonts w:hAnsi="宋体" w:hint="eastAsia"/>
          <w:szCs w:val="24"/>
        </w:rPr>
        <w:t>的，由此造成基金财产或基金份额持有人损失，基金管理人和基金托管人免除赔偿责任。但是基金管理人和基金托管人应积极采取必要的措施减轻或消除由此造成的影响。</w:t>
      </w:r>
    </w:p>
    <w:p w14:paraId="384FB660"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17.7本协议所指损失均为直接损失。</w:t>
      </w:r>
    </w:p>
    <w:p w14:paraId="651442F6" w14:textId="77777777" w:rsidR="00EA3FD1" w:rsidRPr="003A50DE" w:rsidRDefault="00EA3FD1" w:rsidP="00EA3FD1">
      <w:pPr>
        <w:pStyle w:val="1"/>
        <w:adjustRightInd w:val="0"/>
        <w:spacing w:line="520" w:lineRule="atLeast"/>
        <w:ind w:firstLineChars="200" w:firstLine="482"/>
        <w:rPr>
          <w:bCs/>
          <w:color w:val="auto"/>
          <w:szCs w:val="24"/>
        </w:rPr>
      </w:pPr>
      <w:bookmarkStart w:id="70" w:name="_Toc44321717"/>
      <w:bookmarkStart w:id="71" w:name="_Toc296551354"/>
      <w:r w:rsidRPr="003A50DE">
        <w:rPr>
          <w:rFonts w:hint="eastAsia"/>
          <w:bCs/>
          <w:color w:val="auto"/>
          <w:szCs w:val="24"/>
        </w:rPr>
        <w:t>第十八条 法律适用和争议解决</w:t>
      </w:r>
      <w:bookmarkEnd w:id="70"/>
      <w:bookmarkEnd w:id="71"/>
    </w:p>
    <w:p w14:paraId="5559B92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6E20C237" w14:textId="2BE4A754" w:rsidR="00EA3FD1" w:rsidRPr="003A50DE" w:rsidRDefault="00EA3FD1" w:rsidP="00EA3FD1">
      <w:pPr>
        <w:pStyle w:val="21"/>
        <w:adjustRightInd w:val="0"/>
        <w:snapToGrid w:val="0"/>
        <w:spacing w:before="0" w:after="0" w:line="520" w:lineRule="atLeast"/>
        <w:ind w:left="0" w:firstLineChars="200" w:firstLine="482"/>
        <w:rPr>
          <w:rFonts w:hAnsi="宋体"/>
          <w:b/>
          <w:bCs/>
          <w:szCs w:val="24"/>
        </w:rPr>
      </w:pPr>
      <w:r w:rsidRPr="003A50DE">
        <w:rPr>
          <w:rFonts w:hAnsi="宋体" w:hint="eastAsia"/>
          <w:b/>
          <w:bCs/>
          <w:szCs w:val="24"/>
        </w:rPr>
        <w:t>凡因本协议产生的及与本协议有关的争议，双方均应协商解决；协商不成的，双方均同意采取以下第1种方式解决：</w:t>
      </w:r>
    </w:p>
    <w:p w14:paraId="79C7A8E5" w14:textId="60D327A7" w:rsidR="00EA3FD1" w:rsidRPr="003A50DE" w:rsidRDefault="00EA3FD1" w:rsidP="00EA3FD1">
      <w:pPr>
        <w:pStyle w:val="21"/>
        <w:adjustRightInd w:val="0"/>
        <w:snapToGrid w:val="0"/>
        <w:spacing w:before="0" w:after="0" w:line="520" w:lineRule="atLeast"/>
        <w:ind w:left="0" w:firstLineChars="200" w:firstLine="482"/>
        <w:rPr>
          <w:rFonts w:hAnsi="宋体"/>
          <w:b/>
          <w:bCs/>
          <w:szCs w:val="24"/>
        </w:rPr>
      </w:pPr>
      <w:r w:rsidRPr="003A50DE">
        <w:rPr>
          <w:rFonts w:hAnsi="宋体"/>
          <w:b/>
          <w:bCs/>
          <w:szCs w:val="24"/>
        </w:rPr>
        <w:t>1.向</w:t>
      </w:r>
      <w:r w:rsidR="00064399" w:rsidRPr="003A50DE">
        <w:rPr>
          <w:rFonts w:hAnsi="宋体" w:hint="eastAsia"/>
          <w:b/>
          <w:bCs/>
          <w:szCs w:val="24"/>
        </w:rPr>
        <w:t>中国</w:t>
      </w:r>
      <w:r w:rsidRPr="003A50DE">
        <w:rPr>
          <w:rFonts w:hAnsi="宋体" w:hint="eastAsia"/>
          <w:b/>
          <w:bCs/>
          <w:szCs w:val="24"/>
        </w:rPr>
        <w:t>国际经济贸易仲裁委员会申请仲裁，</w:t>
      </w:r>
      <w:bookmarkStart w:id="72" w:name="OLE_LINK36"/>
      <w:bookmarkStart w:id="73" w:name="OLE_LINK37"/>
      <w:r w:rsidRPr="003A50DE">
        <w:rPr>
          <w:rFonts w:hAnsi="宋体" w:hint="eastAsia"/>
          <w:b/>
          <w:bCs/>
          <w:szCs w:val="24"/>
        </w:rPr>
        <w:t>仲裁地为</w:t>
      </w:r>
      <w:bookmarkEnd w:id="72"/>
      <w:bookmarkEnd w:id="73"/>
      <w:r w:rsidR="00064399" w:rsidRPr="003A50DE">
        <w:rPr>
          <w:rFonts w:hAnsi="宋体" w:hint="eastAsia"/>
          <w:b/>
          <w:bCs/>
          <w:szCs w:val="24"/>
        </w:rPr>
        <w:t>北京市</w:t>
      </w:r>
      <w:r w:rsidRPr="003A50DE">
        <w:rPr>
          <w:rFonts w:hAnsi="宋体" w:hint="eastAsia"/>
          <w:b/>
          <w:bCs/>
          <w:szCs w:val="24"/>
        </w:rPr>
        <w:t>，并适用申请仲裁时该仲裁机构现行有效的仲裁规则</w:t>
      </w:r>
      <w:r w:rsidR="00852E31" w:rsidRPr="003A50DE">
        <w:rPr>
          <w:rFonts w:hAnsi="宋体" w:hint="eastAsia"/>
          <w:b/>
          <w:bCs/>
          <w:szCs w:val="24"/>
        </w:rPr>
        <w:t>。仲裁裁决是终局的，对双方当事人均有约束力。除非仲裁裁决另有决定，仲裁费用由败诉方承担</w:t>
      </w:r>
      <w:r w:rsidRPr="003A50DE">
        <w:rPr>
          <w:rFonts w:hAnsi="宋体" w:hint="eastAsia"/>
          <w:b/>
          <w:bCs/>
          <w:szCs w:val="24"/>
        </w:rPr>
        <w:t>；</w:t>
      </w:r>
    </w:p>
    <w:p w14:paraId="7BA74F33" w14:textId="77777777" w:rsidR="00EA3FD1" w:rsidRPr="003A50DE" w:rsidRDefault="00EA3FD1" w:rsidP="00EA3FD1">
      <w:pPr>
        <w:pStyle w:val="21"/>
        <w:adjustRightInd w:val="0"/>
        <w:snapToGrid w:val="0"/>
        <w:spacing w:before="0" w:after="0" w:line="520" w:lineRule="atLeast"/>
        <w:ind w:left="0" w:firstLineChars="200" w:firstLine="482"/>
        <w:rPr>
          <w:rFonts w:hAnsi="宋体"/>
          <w:b/>
          <w:bCs/>
          <w:szCs w:val="24"/>
        </w:rPr>
      </w:pPr>
      <w:r w:rsidRPr="003A50DE">
        <w:rPr>
          <w:rFonts w:hAnsi="宋体"/>
          <w:b/>
          <w:bCs/>
          <w:szCs w:val="24"/>
        </w:rPr>
        <w:t>2.向基金托管人住所地有管辖权的人民法院提起诉讼。</w:t>
      </w:r>
    </w:p>
    <w:p w14:paraId="5C965B06"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争议处理期间，双方当事人应恪守基金管理人和基金托管人职责，继续忠实、勤勉、尽责地履行基金合同和本协议规定的义务，维护基金份额持有人的合法权益。</w:t>
      </w:r>
    </w:p>
    <w:p w14:paraId="0F2EECFE" w14:textId="77777777" w:rsidR="00EA3FD1" w:rsidRPr="003A50DE" w:rsidRDefault="00EA3FD1" w:rsidP="00EA3FD1">
      <w:pPr>
        <w:pStyle w:val="1"/>
        <w:adjustRightInd w:val="0"/>
        <w:spacing w:line="520" w:lineRule="atLeast"/>
        <w:ind w:firstLineChars="200" w:firstLine="482"/>
        <w:rPr>
          <w:bCs/>
          <w:color w:val="auto"/>
          <w:szCs w:val="24"/>
        </w:rPr>
      </w:pPr>
      <w:bookmarkStart w:id="74" w:name="_Toc296551355"/>
      <w:bookmarkStart w:id="75" w:name="_Toc44321718"/>
      <w:r w:rsidRPr="003A50DE">
        <w:rPr>
          <w:rFonts w:hint="eastAsia"/>
          <w:bCs/>
          <w:color w:val="auto"/>
          <w:szCs w:val="24"/>
        </w:rPr>
        <w:t>第十九条 本协议的效力</w:t>
      </w:r>
      <w:bookmarkEnd w:id="74"/>
      <w:bookmarkEnd w:id="75"/>
    </w:p>
    <w:p w14:paraId="164690C3" w14:textId="0F988F76"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19.1基金管理人在向中国证监会申请发售基金份额时提交的托管协议草案，应经托管协议当事人加盖公章或合同专用章以及双方法定代表人或授权代理人签章（签字或加盖名章），本协议当事人双方可能不时根据中国证监会的意见修改托管协议草案。本协议以中国证监会注册的最终文本为正式文本。</w:t>
      </w:r>
    </w:p>
    <w:p w14:paraId="2C2C3D11" w14:textId="1FA51879"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19.2本协议</w:t>
      </w:r>
      <w:r w:rsidR="00852E31" w:rsidRPr="003A50DE">
        <w:rPr>
          <w:rFonts w:hAnsi="宋体" w:cs="宋体" w:hint="eastAsia"/>
          <w:color w:val="333333"/>
          <w:kern w:val="0"/>
          <w:szCs w:val="21"/>
        </w:rPr>
        <w:t>自基金合同成立之日起成立</w:t>
      </w:r>
      <w:r w:rsidRPr="003A50DE">
        <w:rPr>
          <w:rFonts w:hAnsi="宋体" w:hint="eastAsia"/>
          <w:szCs w:val="24"/>
        </w:rPr>
        <w:t>，自基金合同生效之日起生效。本协议的有效期自其生效之日起至该基金财产清算结果报中国证监会备案并公告之日止。</w:t>
      </w:r>
    </w:p>
    <w:p w14:paraId="382F7FC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19.3本协议自生效之日起对双方具有同等的法律约束力。</w:t>
      </w:r>
    </w:p>
    <w:p w14:paraId="1146D862" w14:textId="47A34ECC"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19.4本协议正本一式</w:t>
      </w:r>
      <w:r w:rsidR="00235319" w:rsidRPr="003A50DE">
        <w:rPr>
          <w:rFonts w:hAnsi="宋体" w:hint="eastAsia"/>
          <w:szCs w:val="24"/>
        </w:rPr>
        <w:t>三</w:t>
      </w:r>
      <w:r w:rsidRPr="003A50DE">
        <w:rPr>
          <w:rFonts w:hAnsi="宋体" w:hint="eastAsia"/>
          <w:szCs w:val="24"/>
        </w:rPr>
        <w:t>份，除上报有关监管机构</w:t>
      </w:r>
      <w:r w:rsidR="00235319" w:rsidRPr="003A50DE">
        <w:rPr>
          <w:rFonts w:hAnsi="宋体" w:hint="eastAsia"/>
          <w:szCs w:val="24"/>
        </w:rPr>
        <w:t>一</w:t>
      </w:r>
      <w:r w:rsidRPr="003A50DE">
        <w:rPr>
          <w:rFonts w:hAnsi="宋体" w:hint="eastAsia"/>
          <w:szCs w:val="24"/>
        </w:rPr>
        <w:t>份外，基金管理人和基金托管人分别持有</w:t>
      </w:r>
      <w:r w:rsidR="00235319" w:rsidRPr="003A50DE">
        <w:rPr>
          <w:rFonts w:hAnsi="宋体" w:hint="eastAsia"/>
          <w:szCs w:val="24"/>
        </w:rPr>
        <w:t>一</w:t>
      </w:r>
      <w:r w:rsidRPr="003A50DE">
        <w:rPr>
          <w:rFonts w:hAnsi="宋体" w:hint="eastAsia"/>
          <w:szCs w:val="24"/>
        </w:rPr>
        <w:t>份，每份具有同等的法律效力。</w:t>
      </w:r>
    </w:p>
    <w:p w14:paraId="65E7D335" w14:textId="77777777" w:rsidR="00EA3FD1" w:rsidRPr="003A50DE" w:rsidRDefault="00EA3FD1" w:rsidP="00EA3FD1">
      <w:pPr>
        <w:pStyle w:val="1"/>
        <w:adjustRightInd w:val="0"/>
        <w:spacing w:line="520" w:lineRule="atLeast"/>
        <w:ind w:firstLineChars="200" w:firstLine="482"/>
        <w:rPr>
          <w:bCs/>
          <w:color w:val="auto"/>
          <w:szCs w:val="24"/>
        </w:rPr>
      </w:pPr>
      <w:bookmarkStart w:id="76" w:name="_Toc296551356"/>
      <w:bookmarkStart w:id="77" w:name="_Toc44321719"/>
      <w:r w:rsidRPr="003A50DE">
        <w:rPr>
          <w:rFonts w:hint="eastAsia"/>
          <w:bCs/>
          <w:color w:val="auto"/>
          <w:szCs w:val="24"/>
        </w:rPr>
        <w:lastRenderedPageBreak/>
        <w:t>第二十条 本协议的签订</w:t>
      </w:r>
      <w:bookmarkEnd w:id="76"/>
      <w:bookmarkEnd w:id="77"/>
    </w:p>
    <w:p w14:paraId="099E8D85" w14:textId="6F454653" w:rsidR="00EA3FD1" w:rsidRPr="003A50DE" w:rsidRDefault="00EA3FD1" w:rsidP="00EA3FD1">
      <w:pPr>
        <w:adjustRightInd w:val="0"/>
        <w:snapToGrid w:val="0"/>
        <w:spacing w:line="520" w:lineRule="atLeast"/>
        <w:ind w:firstLineChars="200" w:firstLine="480"/>
        <w:rPr>
          <w:rFonts w:ascii="宋体" w:hAnsi="宋体"/>
          <w:sz w:val="24"/>
          <w:szCs w:val="24"/>
        </w:rPr>
      </w:pPr>
      <w:r w:rsidRPr="003A50DE">
        <w:rPr>
          <w:rFonts w:ascii="宋体" w:hAnsi="宋体" w:hint="eastAsia"/>
          <w:sz w:val="24"/>
          <w:szCs w:val="24"/>
        </w:rPr>
        <w:t>20.1本协议经基金管理人和基金托管人认可后，由双方当事人在本协议上加盖公章或合同专用章，并由各自的法定代表人或授权代理人签章（签字或加盖名章），并注明本托管协议的签订地点和签订日期。</w:t>
      </w:r>
    </w:p>
    <w:p w14:paraId="22A7E50F" w14:textId="77777777" w:rsidR="00EA3FD1" w:rsidRPr="003A50DE" w:rsidRDefault="00EA3FD1" w:rsidP="00EA3FD1">
      <w:pPr>
        <w:pStyle w:val="1"/>
        <w:adjustRightInd w:val="0"/>
        <w:spacing w:line="520" w:lineRule="atLeast"/>
        <w:ind w:firstLineChars="200" w:firstLine="482"/>
        <w:rPr>
          <w:bCs/>
          <w:color w:val="auto"/>
          <w:szCs w:val="24"/>
        </w:rPr>
      </w:pPr>
      <w:bookmarkStart w:id="78" w:name="_Toc44321720"/>
      <w:r w:rsidRPr="003A50DE">
        <w:rPr>
          <w:rFonts w:hint="eastAsia"/>
          <w:bCs/>
          <w:color w:val="auto"/>
          <w:szCs w:val="24"/>
        </w:rPr>
        <w:t>第二十一条 不可抗力</w:t>
      </w:r>
      <w:bookmarkEnd w:id="78"/>
    </w:p>
    <w:p w14:paraId="1E0B3DB4"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21.1如果本协议任何一方因受不可抗力事件影响而未能履行其在本协议下的全部或部分义务，该义务的履行在不可抗力事件妨碍其履行期间应予中止。</w:t>
      </w:r>
    </w:p>
    <w:p w14:paraId="304AE04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38B055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4758DCFB"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21.4本条所述的不可抗力事件是指不能预见、不能避免并不能克服的客观情况。</w:t>
      </w:r>
    </w:p>
    <w:p w14:paraId="3722651F" w14:textId="77777777" w:rsidR="00EA3FD1" w:rsidRPr="003A50DE" w:rsidRDefault="00EA3FD1" w:rsidP="00EA3FD1">
      <w:pPr>
        <w:pStyle w:val="1"/>
        <w:adjustRightInd w:val="0"/>
        <w:spacing w:line="520" w:lineRule="atLeast"/>
        <w:ind w:firstLineChars="200" w:firstLine="482"/>
        <w:rPr>
          <w:bCs/>
          <w:szCs w:val="24"/>
        </w:rPr>
      </w:pPr>
      <w:bookmarkStart w:id="79" w:name="_Toc132794324"/>
      <w:bookmarkStart w:id="80" w:name="_Toc132794326"/>
      <w:bookmarkStart w:id="81" w:name="_Toc132794327"/>
      <w:bookmarkStart w:id="82" w:name="_Toc132794328"/>
      <w:bookmarkStart w:id="83" w:name="_Toc132794325"/>
      <w:bookmarkStart w:id="84" w:name="_Toc132794329"/>
      <w:bookmarkStart w:id="85" w:name="_Toc132794330"/>
      <w:bookmarkStart w:id="86" w:name="_Toc44321721"/>
      <w:bookmarkEnd w:id="79"/>
      <w:bookmarkEnd w:id="80"/>
      <w:bookmarkEnd w:id="81"/>
      <w:bookmarkEnd w:id="82"/>
      <w:bookmarkEnd w:id="83"/>
      <w:bookmarkEnd w:id="84"/>
      <w:bookmarkEnd w:id="85"/>
      <w:r w:rsidRPr="003A50DE">
        <w:rPr>
          <w:rFonts w:hint="eastAsia"/>
          <w:bCs/>
          <w:color w:val="auto"/>
          <w:szCs w:val="24"/>
        </w:rPr>
        <w:t>第二十二条 可分割性</w:t>
      </w:r>
      <w:bookmarkEnd w:id="86"/>
    </w:p>
    <w:p w14:paraId="3D8E2B3B" w14:textId="3B6B9FAB" w:rsidR="00EA3FD1" w:rsidRPr="003A50DE" w:rsidRDefault="00EA3FD1" w:rsidP="00EA3FD1">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22.1如果本协议任何约定依现行法律被确定为无效或无法实施，本协议的其他条款将继续有效。此种情况下，双方将积极协商</w:t>
      </w:r>
      <w:bookmarkStart w:id="87" w:name="OLE_LINK42"/>
      <w:bookmarkStart w:id="88" w:name="OLE_LINK43"/>
      <w:r w:rsidRPr="003A50DE">
        <w:rPr>
          <w:rFonts w:hAnsi="宋体" w:hint="eastAsia"/>
          <w:szCs w:val="24"/>
        </w:rPr>
        <w:t>解决并另行签署书面协议予以明确</w:t>
      </w:r>
      <w:bookmarkEnd w:id="87"/>
      <w:bookmarkEnd w:id="88"/>
      <w:r w:rsidRPr="003A50DE">
        <w:rPr>
          <w:rFonts w:hAnsi="宋体" w:hint="eastAsia"/>
          <w:szCs w:val="24"/>
        </w:rPr>
        <w:t>，且该协议应尽可能接近原规定和本协议相应的精神和宗旨。</w:t>
      </w:r>
    </w:p>
    <w:p w14:paraId="121D4F87" w14:textId="77777777" w:rsidR="00EA3FD1" w:rsidRPr="003A50DE" w:rsidRDefault="00EA3FD1" w:rsidP="00EA3FD1">
      <w:pPr>
        <w:pStyle w:val="1"/>
        <w:adjustRightInd w:val="0"/>
        <w:spacing w:line="520" w:lineRule="atLeast"/>
        <w:ind w:firstLineChars="200" w:firstLine="482"/>
        <w:rPr>
          <w:bCs/>
          <w:szCs w:val="24"/>
        </w:rPr>
      </w:pPr>
      <w:bookmarkStart w:id="89" w:name="_Toc44321722"/>
      <w:r w:rsidRPr="003A50DE">
        <w:rPr>
          <w:rFonts w:hint="eastAsia"/>
          <w:bCs/>
          <w:color w:val="auto"/>
          <w:szCs w:val="24"/>
        </w:rPr>
        <w:t>第二十三条 通知与送达</w:t>
      </w:r>
      <w:bookmarkEnd w:id="89"/>
    </w:p>
    <w:p w14:paraId="214CDC8A" w14:textId="77777777" w:rsidR="001C6BBE" w:rsidRPr="003A50DE" w:rsidRDefault="001C6BBE" w:rsidP="001C6BBE">
      <w:pPr>
        <w:pStyle w:val="21"/>
        <w:adjustRightInd w:val="0"/>
        <w:snapToGrid w:val="0"/>
        <w:spacing w:line="520" w:lineRule="atLeast"/>
        <w:ind w:left="0" w:firstLineChars="200" w:firstLine="480"/>
        <w:rPr>
          <w:rFonts w:hAnsi="宋体"/>
          <w:szCs w:val="24"/>
        </w:rPr>
      </w:pPr>
      <w:bookmarkStart w:id="90" w:name="OLE_LINK47"/>
      <w:bookmarkStart w:id="91" w:name="OLE_LINK46"/>
      <w:r w:rsidRPr="003A50DE">
        <w:rPr>
          <w:rFonts w:hAnsi="宋体" w:hint="eastAsia"/>
          <w:szCs w:val="24"/>
        </w:rPr>
        <w:t>23.1除本协议另有约定外，按本协议约定由任何一方发给其他方的正式通知或者书面通讯，应以挂号邮寄、图文传真、快递或者其他通讯形式发出，送至各方通知地址。</w:t>
      </w:r>
    </w:p>
    <w:p w14:paraId="1CB54DC3" w14:textId="77777777" w:rsidR="001C6BBE" w:rsidRPr="003A50DE" w:rsidRDefault="001C6BBE" w:rsidP="001C6BBE">
      <w:pPr>
        <w:pStyle w:val="21"/>
        <w:adjustRightInd w:val="0"/>
        <w:snapToGrid w:val="0"/>
        <w:spacing w:line="520" w:lineRule="atLeast"/>
        <w:ind w:left="0" w:firstLineChars="200" w:firstLine="480"/>
        <w:rPr>
          <w:rFonts w:hAnsi="宋体"/>
          <w:szCs w:val="24"/>
        </w:rPr>
      </w:pPr>
      <w:r w:rsidRPr="003A50DE">
        <w:rPr>
          <w:rFonts w:hAnsi="宋体" w:hint="eastAsia"/>
          <w:szCs w:val="24"/>
        </w:rPr>
        <w:t>23.2如采用挂号邮寄方式，上述文件或通知在投邮后第4日，即视为送达；如采用快递方式，上述文件或通知在投邮后第2日，即视为送达；如采用图文传真方式，发送成功回执所示之日，即视为送达。</w:t>
      </w:r>
    </w:p>
    <w:p w14:paraId="430C4997" w14:textId="7274EB15" w:rsidR="001C6BBE" w:rsidRPr="003A50DE" w:rsidRDefault="001C6BBE" w:rsidP="001C6BBE">
      <w:pPr>
        <w:pStyle w:val="21"/>
        <w:adjustRightInd w:val="0"/>
        <w:snapToGrid w:val="0"/>
        <w:spacing w:before="0" w:after="0" w:line="520" w:lineRule="atLeast"/>
        <w:ind w:left="0" w:firstLineChars="200" w:firstLine="480"/>
        <w:rPr>
          <w:rFonts w:hAnsi="宋体"/>
          <w:szCs w:val="24"/>
        </w:rPr>
      </w:pPr>
      <w:r w:rsidRPr="003A50DE">
        <w:rPr>
          <w:rFonts w:hAnsi="宋体" w:hint="eastAsia"/>
          <w:szCs w:val="24"/>
        </w:rPr>
        <w:t>23.3如果联系方式之任何一项发生变更，相关方应在变更后7日内将更改后</w:t>
      </w:r>
      <w:r w:rsidRPr="003A50DE">
        <w:rPr>
          <w:rFonts w:hAnsi="宋体" w:hint="eastAsia"/>
          <w:szCs w:val="24"/>
        </w:rPr>
        <w:lastRenderedPageBreak/>
        <w:t>的联系方式按本条的约定书面通知对方。此后，本条约定的文件或通知应按变更后的联系方式送达，如相关方未能及时通知的，由此引发的全部不利后果由责任方承担。</w:t>
      </w:r>
    </w:p>
    <w:bookmarkEnd w:id="90"/>
    <w:bookmarkEnd w:id="91"/>
    <w:p w14:paraId="5CCA08F1"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4DC5E54F" w14:textId="77777777" w:rsidR="00EA3FD1" w:rsidRPr="003A50DE" w:rsidRDefault="00EA3FD1" w:rsidP="00EA3FD1">
      <w:pPr>
        <w:pStyle w:val="1"/>
        <w:adjustRightInd w:val="0"/>
        <w:spacing w:line="520" w:lineRule="atLeast"/>
        <w:ind w:firstLineChars="200" w:firstLine="482"/>
        <w:rPr>
          <w:bCs/>
          <w:szCs w:val="24"/>
        </w:rPr>
      </w:pPr>
      <w:bookmarkStart w:id="92" w:name="_Toc44321723"/>
      <w:r w:rsidRPr="003A50DE">
        <w:rPr>
          <w:rFonts w:hint="eastAsia"/>
          <w:bCs/>
          <w:color w:val="auto"/>
          <w:szCs w:val="24"/>
        </w:rPr>
        <w:t>第二十四条 其他约定事项</w:t>
      </w:r>
      <w:bookmarkEnd w:id="92"/>
    </w:p>
    <w:p w14:paraId="237473C1" w14:textId="77777777" w:rsidR="00EA3FD1" w:rsidRPr="003A50DE" w:rsidRDefault="00EA3FD1" w:rsidP="00EA3FD1">
      <w:pPr>
        <w:pStyle w:val="21"/>
        <w:adjustRightInd w:val="0"/>
        <w:snapToGrid w:val="0"/>
        <w:spacing w:before="0" w:after="0" w:line="520" w:lineRule="atLeast"/>
        <w:rPr>
          <w:rFonts w:hAnsi="宋体"/>
          <w:szCs w:val="24"/>
        </w:rPr>
      </w:pPr>
      <w:r w:rsidRPr="003A50DE">
        <w:rPr>
          <w:rFonts w:hAnsi="宋体" w:hint="eastAsia"/>
          <w:b/>
          <w:szCs w:val="24"/>
        </w:rPr>
        <w:t>无。</w:t>
      </w:r>
    </w:p>
    <w:p w14:paraId="45897892" w14:textId="77777777" w:rsidR="00EA3FD1" w:rsidRPr="003A50DE" w:rsidRDefault="00EA3FD1" w:rsidP="00EA3FD1">
      <w:pPr>
        <w:pStyle w:val="21"/>
        <w:adjustRightInd w:val="0"/>
        <w:snapToGrid w:val="0"/>
        <w:spacing w:before="0" w:after="0" w:line="520" w:lineRule="atLeast"/>
        <w:ind w:left="0" w:firstLine="480"/>
        <w:rPr>
          <w:rFonts w:hAnsi="宋体"/>
          <w:b/>
          <w:bCs/>
          <w:szCs w:val="24"/>
        </w:rPr>
      </w:pPr>
      <w:r w:rsidRPr="003A50DE">
        <w:rPr>
          <w:rFonts w:hAnsi="宋体" w:hint="eastAsia"/>
          <w:b/>
          <w:bCs/>
          <w:szCs w:val="24"/>
        </w:rPr>
        <w:t>如本条约定与其他条款约定冲突的，应以本条约定为准。</w:t>
      </w:r>
    </w:p>
    <w:p w14:paraId="45E3617D" w14:textId="77777777" w:rsidR="00EA3FD1" w:rsidRPr="003A50DE" w:rsidRDefault="00EA3FD1" w:rsidP="00EA3FD1">
      <w:pPr>
        <w:pStyle w:val="21"/>
        <w:adjustRightInd w:val="0"/>
        <w:snapToGrid w:val="0"/>
        <w:spacing w:before="0" w:after="0" w:line="520" w:lineRule="atLeast"/>
        <w:ind w:left="0" w:firstLine="480"/>
        <w:rPr>
          <w:rFonts w:hAnsi="宋体"/>
          <w:b/>
          <w:bCs/>
          <w:szCs w:val="24"/>
        </w:rPr>
      </w:pPr>
      <w:r w:rsidRPr="003A50DE">
        <w:rPr>
          <w:rFonts w:hAnsi="宋体"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3F1FDA31" w14:textId="77777777" w:rsidR="00EA3FD1" w:rsidRPr="003A50DE" w:rsidRDefault="00EA3FD1" w:rsidP="00EA3FD1">
      <w:pPr>
        <w:widowControl/>
        <w:adjustRightInd w:val="0"/>
        <w:snapToGrid w:val="0"/>
        <w:spacing w:line="520" w:lineRule="atLeast"/>
        <w:ind w:firstLineChars="100" w:firstLine="240"/>
        <w:jc w:val="left"/>
        <w:rPr>
          <w:rFonts w:ascii="宋体" w:hAnsi="宋体"/>
          <w:sz w:val="24"/>
          <w:szCs w:val="24"/>
        </w:rPr>
      </w:pPr>
      <w:r w:rsidRPr="003A50DE">
        <w:rPr>
          <w:rFonts w:ascii="宋体" w:hAnsi="宋体" w:hint="eastAsia"/>
          <w:sz w:val="24"/>
          <w:szCs w:val="24"/>
        </w:rPr>
        <w:t>（以下无正文）</w:t>
      </w:r>
    </w:p>
    <w:p w14:paraId="44026537" w14:textId="77777777" w:rsidR="00EA3FD1" w:rsidRPr="003A50DE" w:rsidRDefault="00EA3FD1" w:rsidP="00EA3FD1">
      <w:pPr>
        <w:widowControl/>
        <w:jc w:val="left"/>
        <w:rPr>
          <w:rFonts w:ascii="宋体" w:hAnsi="宋体"/>
          <w:sz w:val="24"/>
          <w:szCs w:val="24"/>
        </w:rPr>
      </w:pPr>
      <w:r w:rsidRPr="003A50DE">
        <w:rPr>
          <w:rFonts w:ascii="宋体" w:hAnsi="宋体"/>
          <w:szCs w:val="24"/>
        </w:rPr>
        <w:br w:type="page"/>
      </w:r>
    </w:p>
    <w:p w14:paraId="2AF1B989" w14:textId="6497DD09"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lastRenderedPageBreak/>
        <w:t>（本页无正文，为《兴证全球</w:t>
      </w:r>
      <w:r w:rsidR="00FC3927" w:rsidRPr="003A50DE">
        <w:rPr>
          <w:rFonts w:hAnsi="宋体" w:hint="eastAsia"/>
          <w:szCs w:val="24"/>
        </w:rPr>
        <w:t>创新优势</w:t>
      </w:r>
      <w:r w:rsidRPr="003A50DE">
        <w:rPr>
          <w:rFonts w:hAnsi="宋体" w:hint="eastAsia"/>
          <w:szCs w:val="24"/>
        </w:rPr>
        <w:t>混合型证券投资基金托管协议》的</w:t>
      </w:r>
      <w:r w:rsidR="00A926FC" w:rsidRPr="003A50DE">
        <w:rPr>
          <w:rFonts w:hAnsi="宋体" w:hint="eastAsia"/>
          <w:szCs w:val="24"/>
        </w:rPr>
        <w:t>签署</w:t>
      </w:r>
      <w:r w:rsidRPr="003A50DE">
        <w:rPr>
          <w:rFonts w:hAnsi="宋体" w:hint="eastAsia"/>
          <w:szCs w:val="24"/>
        </w:rPr>
        <w:t>页）</w:t>
      </w:r>
    </w:p>
    <w:p w14:paraId="16678C59"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1D7FE210" w14:textId="77777777" w:rsidR="00EA3FD1" w:rsidRPr="003A50DE" w:rsidRDefault="00EA3FD1" w:rsidP="00EA3FD1">
      <w:pPr>
        <w:pStyle w:val="21"/>
        <w:adjustRightInd w:val="0"/>
        <w:snapToGrid w:val="0"/>
        <w:spacing w:before="0" w:after="0" w:line="520" w:lineRule="atLeast"/>
        <w:ind w:left="0"/>
        <w:rPr>
          <w:rFonts w:hAnsi="宋体"/>
          <w:szCs w:val="24"/>
        </w:rPr>
      </w:pPr>
    </w:p>
    <w:p w14:paraId="4E104E56" w14:textId="51DE84B0"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基金管理人：</w:t>
      </w:r>
      <w:proofErr w:type="gramStart"/>
      <w:r w:rsidRPr="003A50DE">
        <w:rPr>
          <w:rFonts w:hAnsi="宋体" w:hint="eastAsia"/>
          <w:szCs w:val="24"/>
        </w:rPr>
        <w:t>兴证全球</w:t>
      </w:r>
      <w:proofErr w:type="gramEnd"/>
      <w:r w:rsidRPr="003A50DE">
        <w:rPr>
          <w:rFonts w:hAnsi="宋体" w:hint="eastAsia"/>
          <w:szCs w:val="24"/>
        </w:rPr>
        <w:t>基金管理有限公司（公章或合同专用章）</w:t>
      </w:r>
    </w:p>
    <w:p w14:paraId="629A20DE" w14:textId="77777777" w:rsidR="00EA3FD1" w:rsidRPr="003A50DE" w:rsidRDefault="00EA3FD1" w:rsidP="00EA3FD1">
      <w:pPr>
        <w:pStyle w:val="21"/>
        <w:adjustRightInd w:val="0"/>
        <w:snapToGrid w:val="0"/>
        <w:spacing w:before="0" w:after="0" w:line="520" w:lineRule="atLeast"/>
        <w:ind w:left="0"/>
        <w:rPr>
          <w:rFonts w:hAnsi="宋体"/>
          <w:szCs w:val="24"/>
        </w:rPr>
      </w:pPr>
    </w:p>
    <w:p w14:paraId="4DEBC681" w14:textId="77777777"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法定代表人</w:t>
      </w:r>
    </w:p>
    <w:p w14:paraId="692B253E" w14:textId="77777777"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 xml:space="preserve">（或授权代理人）：           </w:t>
      </w:r>
    </w:p>
    <w:p w14:paraId="3740A852" w14:textId="77777777" w:rsidR="00EA3FD1" w:rsidRPr="003A50DE" w:rsidRDefault="00EA3FD1" w:rsidP="00EA3FD1">
      <w:pPr>
        <w:pStyle w:val="21"/>
        <w:adjustRightInd w:val="0"/>
        <w:snapToGrid w:val="0"/>
        <w:spacing w:before="0" w:after="0" w:line="520" w:lineRule="atLeast"/>
        <w:ind w:left="0"/>
        <w:rPr>
          <w:rFonts w:hAnsi="宋体"/>
          <w:szCs w:val="24"/>
        </w:rPr>
      </w:pPr>
    </w:p>
    <w:p w14:paraId="468621BD" w14:textId="77777777"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签署日期：</w:t>
      </w:r>
    </w:p>
    <w:p w14:paraId="22C9223C"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193311B8"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573B82FA"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211CA76F" w14:textId="609539EA"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基金托管人：中信银行股份有限公司（公章或合同专用章）</w:t>
      </w:r>
    </w:p>
    <w:p w14:paraId="63501567" w14:textId="77777777" w:rsidR="00EA3FD1" w:rsidRPr="003A50DE" w:rsidRDefault="00EA3FD1" w:rsidP="00EA3FD1">
      <w:pPr>
        <w:pStyle w:val="21"/>
        <w:adjustRightInd w:val="0"/>
        <w:snapToGrid w:val="0"/>
        <w:spacing w:before="0" w:after="0" w:line="520" w:lineRule="atLeast"/>
        <w:ind w:left="0"/>
        <w:rPr>
          <w:rFonts w:hAnsi="宋体"/>
          <w:szCs w:val="24"/>
        </w:rPr>
      </w:pPr>
    </w:p>
    <w:p w14:paraId="12520695" w14:textId="20C96B69"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法定代表人</w:t>
      </w:r>
    </w:p>
    <w:p w14:paraId="6FD346C3" w14:textId="77777777"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（或授权代理人）：</w:t>
      </w:r>
    </w:p>
    <w:p w14:paraId="174E8F5E" w14:textId="77777777" w:rsidR="00EA3FD1" w:rsidRPr="003A50DE" w:rsidRDefault="00EA3FD1" w:rsidP="00EA3FD1">
      <w:pPr>
        <w:pStyle w:val="21"/>
        <w:adjustRightInd w:val="0"/>
        <w:snapToGrid w:val="0"/>
        <w:spacing w:before="0" w:after="0" w:line="520" w:lineRule="atLeast"/>
        <w:ind w:left="0"/>
        <w:rPr>
          <w:rFonts w:hAnsi="宋体"/>
          <w:szCs w:val="24"/>
        </w:rPr>
      </w:pPr>
    </w:p>
    <w:p w14:paraId="3BDECB9C" w14:textId="77777777" w:rsidR="00EA3FD1" w:rsidRPr="003A50DE"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 xml:space="preserve">签署日期：                 </w:t>
      </w:r>
    </w:p>
    <w:p w14:paraId="6D35FDEE" w14:textId="77777777" w:rsidR="00EA3FD1" w:rsidRPr="003A50DE" w:rsidRDefault="00EA3FD1" w:rsidP="00EA3FD1">
      <w:pPr>
        <w:pStyle w:val="21"/>
        <w:adjustRightInd w:val="0"/>
        <w:snapToGrid w:val="0"/>
        <w:spacing w:before="0" w:after="0" w:line="520" w:lineRule="atLeast"/>
        <w:ind w:left="0" w:firstLineChars="200" w:firstLine="480"/>
        <w:rPr>
          <w:rFonts w:hAnsi="宋体"/>
          <w:szCs w:val="24"/>
        </w:rPr>
      </w:pPr>
    </w:p>
    <w:p w14:paraId="4B5B80A2" w14:textId="77777777" w:rsidR="00EA3FD1" w:rsidRPr="003A50DE" w:rsidRDefault="00EA3FD1" w:rsidP="00EA3FD1">
      <w:pPr>
        <w:pStyle w:val="21"/>
        <w:adjustRightInd w:val="0"/>
        <w:snapToGrid w:val="0"/>
        <w:spacing w:before="0" w:after="0" w:line="520" w:lineRule="atLeast"/>
        <w:ind w:left="0"/>
        <w:rPr>
          <w:rFonts w:hAnsi="宋体"/>
          <w:szCs w:val="24"/>
        </w:rPr>
      </w:pPr>
    </w:p>
    <w:p w14:paraId="1062935B" w14:textId="77777777" w:rsidR="00EA3FD1" w:rsidRPr="003A50DE" w:rsidRDefault="00EA3FD1" w:rsidP="00EA3FD1">
      <w:pPr>
        <w:pStyle w:val="21"/>
        <w:adjustRightInd w:val="0"/>
        <w:snapToGrid w:val="0"/>
        <w:spacing w:before="0" w:after="0" w:line="520" w:lineRule="atLeast"/>
        <w:ind w:left="0"/>
        <w:rPr>
          <w:rFonts w:hAnsi="宋体"/>
          <w:szCs w:val="24"/>
        </w:rPr>
      </w:pPr>
    </w:p>
    <w:p w14:paraId="30BBCEFE" w14:textId="77777777" w:rsidR="00EA3FD1" w:rsidRPr="003A50DE" w:rsidRDefault="00EA3FD1" w:rsidP="00EA3FD1">
      <w:pPr>
        <w:pStyle w:val="21"/>
        <w:adjustRightInd w:val="0"/>
        <w:snapToGrid w:val="0"/>
        <w:spacing w:before="0" w:after="0" w:line="520" w:lineRule="atLeast"/>
        <w:ind w:left="0"/>
        <w:rPr>
          <w:rFonts w:hAnsi="宋体"/>
          <w:szCs w:val="24"/>
        </w:rPr>
      </w:pPr>
    </w:p>
    <w:p w14:paraId="3000C44F" w14:textId="77777777" w:rsidR="00EA3FD1" w:rsidRPr="003A50DE" w:rsidRDefault="00EA3FD1" w:rsidP="00EA3FD1">
      <w:pPr>
        <w:pStyle w:val="21"/>
        <w:adjustRightInd w:val="0"/>
        <w:snapToGrid w:val="0"/>
        <w:spacing w:before="0" w:after="0" w:line="520" w:lineRule="atLeast"/>
        <w:ind w:left="0"/>
        <w:rPr>
          <w:rFonts w:hAnsi="宋体"/>
          <w:szCs w:val="24"/>
        </w:rPr>
      </w:pPr>
    </w:p>
    <w:p w14:paraId="2877E2F7" w14:textId="77777777" w:rsidR="00EA3FD1" w:rsidRPr="00CC51F7" w:rsidRDefault="00EA3FD1" w:rsidP="00EA3FD1">
      <w:pPr>
        <w:pStyle w:val="21"/>
        <w:adjustRightInd w:val="0"/>
        <w:snapToGrid w:val="0"/>
        <w:spacing w:before="0" w:after="0" w:line="520" w:lineRule="atLeast"/>
        <w:ind w:left="0"/>
        <w:rPr>
          <w:rFonts w:hAnsi="宋体"/>
          <w:szCs w:val="24"/>
        </w:rPr>
      </w:pPr>
      <w:r w:rsidRPr="003A50DE">
        <w:rPr>
          <w:rFonts w:hAnsi="宋体" w:hint="eastAsia"/>
          <w:szCs w:val="24"/>
        </w:rPr>
        <w:t>签订地：</w:t>
      </w:r>
      <w:r w:rsidRPr="00CC51F7">
        <w:rPr>
          <w:rFonts w:hAnsi="宋体" w:hint="eastAsia"/>
          <w:szCs w:val="24"/>
        </w:rPr>
        <w:t xml:space="preserve"> </w:t>
      </w:r>
    </w:p>
    <w:p w14:paraId="1A4AF686" w14:textId="77777777" w:rsidR="00EA3FD1" w:rsidRPr="00CC51F7" w:rsidRDefault="00EA3FD1" w:rsidP="00EA3FD1">
      <w:pPr>
        <w:pStyle w:val="21"/>
        <w:spacing w:before="0" w:after="0" w:line="520" w:lineRule="exact"/>
        <w:ind w:left="0" w:firstLineChars="200" w:firstLine="480"/>
        <w:rPr>
          <w:rFonts w:hAnsi="宋体"/>
          <w:szCs w:val="24"/>
        </w:rPr>
      </w:pPr>
    </w:p>
    <w:p w14:paraId="48E02F85" w14:textId="77777777" w:rsidR="00EA3FD1" w:rsidRPr="00CC51F7" w:rsidRDefault="00EA3FD1" w:rsidP="00EA3FD1">
      <w:pPr>
        <w:pStyle w:val="21"/>
        <w:autoSpaceDE w:val="0"/>
        <w:autoSpaceDN w:val="0"/>
        <w:adjustRightInd w:val="0"/>
        <w:spacing w:before="0" w:after="0" w:line="520" w:lineRule="exact"/>
        <w:ind w:left="0" w:rightChars="11" w:right="23"/>
        <w:rPr>
          <w:rFonts w:hAnsi="宋体"/>
        </w:rPr>
      </w:pPr>
      <w:r w:rsidRPr="00CC51F7">
        <w:rPr>
          <w:rFonts w:hAnsi="宋体" w:hint="eastAsia"/>
          <w:szCs w:val="24"/>
        </w:rPr>
        <w:t xml:space="preserve"> </w:t>
      </w:r>
      <w:r w:rsidRPr="00CC51F7">
        <w:rPr>
          <w:rFonts w:hAnsi="宋体" w:hint="eastAsia"/>
          <w:sz w:val="28"/>
          <w:szCs w:val="28"/>
        </w:rPr>
        <w:t xml:space="preserve">  </w:t>
      </w:r>
    </w:p>
    <w:p w14:paraId="5B8BEE09" w14:textId="77777777" w:rsidR="007B6290" w:rsidRPr="00F823E1" w:rsidRDefault="007B6290">
      <w:pPr>
        <w:rPr>
          <w:rFonts w:ascii="宋体" w:hAnsi="宋体"/>
        </w:rPr>
      </w:pPr>
    </w:p>
    <w:sectPr w:rsidR="007B6290" w:rsidRPr="00F823E1">
      <w:footerReference w:type="even" r:id="rId8"/>
      <w:footerReference w:type="default" r:id="rId9"/>
      <w:pgSz w:w="11907" w:h="16840"/>
      <w:pgMar w:top="1090" w:right="1678" w:bottom="935" w:left="1678" w:header="720" w:footer="720"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5A35" w16cid:durableId="27E103C2"/>
  <w16cid:commentId w16cid:paraId="4F79EDED" w16cid:durableId="27E103C3"/>
  <w16cid:commentId w16cid:paraId="534B250E" w16cid:durableId="27E103C4"/>
  <w16cid:commentId w16cid:paraId="5DCDE68C" w16cid:durableId="27E103C5"/>
  <w16cid:commentId w16cid:paraId="5C6D327B" w16cid:durableId="27E103C6"/>
  <w16cid:commentId w16cid:paraId="4358593B" w16cid:durableId="27E103C7"/>
  <w16cid:commentId w16cid:paraId="041EC8C7" w16cid:durableId="27E103C8"/>
  <w16cid:commentId w16cid:paraId="0E89B649" w16cid:durableId="27E103C9"/>
  <w16cid:commentId w16cid:paraId="54E993FA" w16cid:durableId="27E103CA"/>
  <w16cid:commentId w16cid:paraId="78425A58" w16cid:durableId="27E1113F"/>
  <w16cid:commentId w16cid:paraId="26A0F217" w16cid:durableId="27E103CB"/>
  <w16cid:commentId w16cid:paraId="37E99FE6" w16cid:durableId="27E103CC"/>
  <w16cid:commentId w16cid:paraId="370A49B1" w16cid:durableId="27E103CD"/>
  <w16cid:commentId w16cid:paraId="56A2C64C" w16cid:durableId="27E103CE"/>
  <w16cid:commentId w16cid:paraId="4C222763" w16cid:durableId="27E11160"/>
  <w16cid:commentId w16cid:paraId="77D48A73" w16cid:durableId="27E103CF"/>
  <w16cid:commentId w16cid:paraId="368A105F" w16cid:durableId="27E11172"/>
  <w16cid:commentId w16cid:paraId="3A9F8428" w16cid:durableId="27E103D0"/>
  <w16cid:commentId w16cid:paraId="1221B109" w16cid:durableId="27E103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7921" w14:textId="77777777" w:rsidR="004541D2" w:rsidRDefault="004541D2">
      <w:r>
        <w:separator/>
      </w:r>
    </w:p>
  </w:endnote>
  <w:endnote w:type="continuationSeparator" w:id="0">
    <w:p w14:paraId="72FCF755" w14:textId="77777777" w:rsidR="004541D2" w:rsidRDefault="004541D2">
      <w:r>
        <w:continuationSeparator/>
      </w:r>
    </w:p>
  </w:endnote>
  <w:endnote w:type="continuationNotice" w:id="1">
    <w:p w14:paraId="16B60EBB" w14:textId="77777777" w:rsidR="004541D2" w:rsidRDefault="0045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25B3" w14:textId="77777777" w:rsidR="003A71DB" w:rsidRDefault="003A71DB">
    <w:pPr>
      <w:pStyle w:val="af1"/>
      <w:framePr w:wrap="around" w:vAnchor="text" w:hAnchor="margin" w:xAlign="center" w:y="1"/>
      <w:rPr>
        <w:rStyle w:val="af5"/>
      </w:rPr>
    </w:pPr>
    <w:r>
      <w:fldChar w:fldCharType="begin"/>
    </w:r>
    <w:r>
      <w:rPr>
        <w:rStyle w:val="af5"/>
      </w:rPr>
      <w:instrText xml:space="preserve">PAGE  </w:instrText>
    </w:r>
    <w:r>
      <w:fldChar w:fldCharType="end"/>
    </w:r>
  </w:p>
  <w:p w14:paraId="5E8E20DD" w14:textId="77777777" w:rsidR="003A71DB" w:rsidRDefault="003A71D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71CE" w14:textId="42D46D2E" w:rsidR="003A71DB" w:rsidRDefault="003A71DB">
    <w:pPr>
      <w:pStyle w:val="af1"/>
      <w:framePr w:wrap="around" w:vAnchor="text" w:hAnchor="margin" w:xAlign="center" w:y="1"/>
      <w:rPr>
        <w:rStyle w:val="af5"/>
      </w:rPr>
    </w:pPr>
    <w:r>
      <w:fldChar w:fldCharType="begin"/>
    </w:r>
    <w:r>
      <w:rPr>
        <w:rStyle w:val="af5"/>
      </w:rPr>
      <w:instrText xml:space="preserve">PAGE  </w:instrText>
    </w:r>
    <w:r>
      <w:fldChar w:fldCharType="separate"/>
    </w:r>
    <w:r w:rsidR="00D47DC9">
      <w:rPr>
        <w:rStyle w:val="af5"/>
        <w:noProof/>
      </w:rPr>
      <w:t>20</w:t>
    </w:r>
    <w:r>
      <w:fldChar w:fldCharType="end"/>
    </w:r>
  </w:p>
  <w:p w14:paraId="402FC90C" w14:textId="77777777" w:rsidR="003A71DB" w:rsidRDefault="003A71D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0B7D" w14:textId="77777777" w:rsidR="004541D2" w:rsidRDefault="004541D2">
      <w:r>
        <w:separator/>
      </w:r>
    </w:p>
  </w:footnote>
  <w:footnote w:type="continuationSeparator" w:id="0">
    <w:p w14:paraId="7337F3F6" w14:textId="77777777" w:rsidR="004541D2" w:rsidRDefault="004541D2">
      <w:r>
        <w:continuationSeparator/>
      </w:r>
    </w:p>
  </w:footnote>
  <w:footnote w:type="continuationNotice" w:id="1">
    <w:p w14:paraId="711B9822" w14:textId="77777777" w:rsidR="004541D2" w:rsidRDefault="004541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D1"/>
    <w:rsid w:val="00036353"/>
    <w:rsid w:val="00050DE8"/>
    <w:rsid w:val="00064399"/>
    <w:rsid w:val="000C6E9A"/>
    <w:rsid w:val="000D7D8C"/>
    <w:rsid w:val="000D7DFB"/>
    <w:rsid w:val="000E6A41"/>
    <w:rsid w:val="000F1570"/>
    <w:rsid w:val="000F7BDB"/>
    <w:rsid w:val="001075EF"/>
    <w:rsid w:val="00175119"/>
    <w:rsid w:val="001B1213"/>
    <w:rsid w:val="001B5BE1"/>
    <w:rsid w:val="001C6BBE"/>
    <w:rsid w:val="001F2CE4"/>
    <w:rsid w:val="00235319"/>
    <w:rsid w:val="002557EC"/>
    <w:rsid w:val="00262C1E"/>
    <w:rsid w:val="00376890"/>
    <w:rsid w:val="00383CAA"/>
    <w:rsid w:val="00393B56"/>
    <w:rsid w:val="003A50DE"/>
    <w:rsid w:val="003A71DB"/>
    <w:rsid w:val="003D680F"/>
    <w:rsid w:val="003E4D08"/>
    <w:rsid w:val="003F78E3"/>
    <w:rsid w:val="00404E66"/>
    <w:rsid w:val="004239B7"/>
    <w:rsid w:val="004541D2"/>
    <w:rsid w:val="004616E2"/>
    <w:rsid w:val="004646C7"/>
    <w:rsid w:val="00464AB5"/>
    <w:rsid w:val="00490336"/>
    <w:rsid w:val="004B0679"/>
    <w:rsid w:val="004B5ADF"/>
    <w:rsid w:val="004C35EE"/>
    <w:rsid w:val="004C7BFA"/>
    <w:rsid w:val="004D1827"/>
    <w:rsid w:val="00564BB5"/>
    <w:rsid w:val="005657B8"/>
    <w:rsid w:val="00576526"/>
    <w:rsid w:val="00590491"/>
    <w:rsid w:val="005C61BB"/>
    <w:rsid w:val="00600170"/>
    <w:rsid w:val="00600647"/>
    <w:rsid w:val="006066EE"/>
    <w:rsid w:val="00631AED"/>
    <w:rsid w:val="0064768B"/>
    <w:rsid w:val="006566BB"/>
    <w:rsid w:val="00667DC4"/>
    <w:rsid w:val="006D5C69"/>
    <w:rsid w:val="006F7536"/>
    <w:rsid w:val="00722315"/>
    <w:rsid w:val="0073569E"/>
    <w:rsid w:val="007538DC"/>
    <w:rsid w:val="00757A28"/>
    <w:rsid w:val="007743A8"/>
    <w:rsid w:val="00787EF3"/>
    <w:rsid w:val="007B6290"/>
    <w:rsid w:val="007C0001"/>
    <w:rsid w:val="007C164E"/>
    <w:rsid w:val="007D4DBB"/>
    <w:rsid w:val="00834D19"/>
    <w:rsid w:val="00852E31"/>
    <w:rsid w:val="00856940"/>
    <w:rsid w:val="00871929"/>
    <w:rsid w:val="00875FDE"/>
    <w:rsid w:val="008A2436"/>
    <w:rsid w:val="008D67A9"/>
    <w:rsid w:val="008E1B08"/>
    <w:rsid w:val="008E2C70"/>
    <w:rsid w:val="008F64C2"/>
    <w:rsid w:val="0092086A"/>
    <w:rsid w:val="00940E72"/>
    <w:rsid w:val="00980315"/>
    <w:rsid w:val="009816D1"/>
    <w:rsid w:val="00993FEA"/>
    <w:rsid w:val="009F3A7B"/>
    <w:rsid w:val="00A400F3"/>
    <w:rsid w:val="00A4610F"/>
    <w:rsid w:val="00A5336A"/>
    <w:rsid w:val="00A8505D"/>
    <w:rsid w:val="00A926FC"/>
    <w:rsid w:val="00AD257B"/>
    <w:rsid w:val="00AD44A9"/>
    <w:rsid w:val="00B0238F"/>
    <w:rsid w:val="00B035D9"/>
    <w:rsid w:val="00B16432"/>
    <w:rsid w:val="00B33BA7"/>
    <w:rsid w:val="00B71EE3"/>
    <w:rsid w:val="00B87873"/>
    <w:rsid w:val="00BA4EF6"/>
    <w:rsid w:val="00BA5685"/>
    <w:rsid w:val="00BB1718"/>
    <w:rsid w:val="00BD7B5C"/>
    <w:rsid w:val="00BE208D"/>
    <w:rsid w:val="00C052D8"/>
    <w:rsid w:val="00C62122"/>
    <w:rsid w:val="00CC51F7"/>
    <w:rsid w:val="00CC5F2F"/>
    <w:rsid w:val="00D406D7"/>
    <w:rsid w:val="00D47DC9"/>
    <w:rsid w:val="00D64B4D"/>
    <w:rsid w:val="00DD5641"/>
    <w:rsid w:val="00DE276A"/>
    <w:rsid w:val="00E1199D"/>
    <w:rsid w:val="00E1393C"/>
    <w:rsid w:val="00E24E23"/>
    <w:rsid w:val="00E25FB7"/>
    <w:rsid w:val="00E56BDD"/>
    <w:rsid w:val="00E722BB"/>
    <w:rsid w:val="00EA3FD1"/>
    <w:rsid w:val="00EE6990"/>
    <w:rsid w:val="00EE6FB8"/>
    <w:rsid w:val="00EF7C1D"/>
    <w:rsid w:val="00F56A2C"/>
    <w:rsid w:val="00F823E1"/>
    <w:rsid w:val="00FA5EAD"/>
    <w:rsid w:val="00FC3927"/>
    <w:rsid w:val="00FD3FEC"/>
    <w:rsid w:val="00FE3046"/>
    <w:rsid w:val="00FE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278B"/>
  <w15:chartTrackingRefBased/>
  <w15:docId w15:val="{E8A74238-E2C4-44C9-9E95-23BA57D6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FD1"/>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EA3FD1"/>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0"/>
    <w:qFormat/>
    <w:rsid w:val="00EA3FD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EA3FD1"/>
    <w:pPr>
      <w:keepNext/>
      <w:keepLines/>
      <w:spacing w:before="260" w:after="260" w:line="416" w:lineRule="auto"/>
      <w:outlineLvl w:val="2"/>
    </w:pPr>
    <w:rPr>
      <w:b/>
      <w:bCs/>
      <w:sz w:val="32"/>
      <w:szCs w:val="32"/>
    </w:rPr>
  </w:style>
  <w:style w:type="paragraph" w:styleId="7">
    <w:name w:val="heading 7"/>
    <w:basedOn w:val="a"/>
    <w:next w:val="a"/>
    <w:link w:val="70"/>
    <w:semiHidden/>
    <w:unhideWhenUsed/>
    <w:qFormat/>
    <w:rsid w:val="00EA3F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FD1"/>
    <w:rPr>
      <w:rFonts w:ascii="宋体" w:eastAsia="宋体" w:hAnsi="宋体" w:cs="Times New Roman"/>
      <w:b/>
      <w:color w:val="000000"/>
      <w:sz w:val="24"/>
      <w:szCs w:val="20"/>
    </w:rPr>
  </w:style>
  <w:style w:type="character" w:customStyle="1" w:styleId="20">
    <w:name w:val="标题 2 字符"/>
    <w:basedOn w:val="a0"/>
    <w:link w:val="2"/>
    <w:rsid w:val="00EA3FD1"/>
    <w:rPr>
      <w:rFonts w:ascii="Arial" w:eastAsia="黑体" w:hAnsi="Arial" w:cs="Times New Roman"/>
      <w:b/>
      <w:bCs/>
      <w:sz w:val="32"/>
      <w:szCs w:val="32"/>
    </w:rPr>
  </w:style>
  <w:style w:type="character" w:customStyle="1" w:styleId="30">
    <w:name w:val="标题 3 字符"/>
    <w:basedOn w:val="a0"/>
    <w:link w:val="3"/>
    <w:rsid w:val="00EA3FD1"/>
    <w:rPr>
      <w:rFonts w:ascii="Times New Roman" w:eastAsia="宋体" w:hAnsi="Times New Roman" w:cs="Times New Roman"/>
      <w:b/>
      <w:bCs/>
      <w:sz w:val="32"/>
      <w:szCs w:val="32"/>
    </w:rPr>
  </w:style>
  <w:style w:type="character" w:customStyle="1" w:styleId="70">
    <w:name w:val="标题 7 字符"/>
    <w:basedOn w:val="a0"/>
    <w:link w:val="7"/>
    <w:semiHidden/>
    <w:rsid w:val="00EA3FD1"/>
    <w:rPr>
      <w:rFonts w:ascii="Times New Roman" w:eastAsia="宋体" w:hAnsi="Times New Roman" w:cs="Times New Roman"/>
      <w:b/>
      <w:bCs/>
      <w:sz w:val="24"/>
      <w:szCs w:val="24"/>
    </w:rPr>
  </w:style>
  <w:style w:type="paragraph" w:styleId="a3">
    <w:name w:val="annotation text"/>
    <w:basedOn w:val="a"/>
    <w:link w:val="a4"/>
    <w:uiPriority w:val="99"/>
    <w:unhideWhenUsed/>
    <w:qFormat/>
    <w:rsid w:val="00EA3FD1"/>
    <w:pPr>
      <w:jc w:val="left"/>
    </w:pPr>
  </w:style>
  <w:style w:type="character" w:customStyle="1" w:styleId="a4">
    <w:name w:val="批注文字 字符"/>
    <w:basedOn w:val="a0"/>
    <w:link w:val="a3"/>
    <w:qFormat/>
    <w:rsid w:val="00EA3FD1"/>
    <w:rPr>
      <w:rFonts w:ascii="Times New Roman" w:eastAsia="宋体" w:hAnsi="Times New Roman" w:cs="Times New Roman"/>
      <w:szCs w:val="20"/>
    </w:rPr>
  </w:style>
  <w:style w:type="paragraph" w:styleId="a5">
    <w:name w:val="annotation subject"/>
    <w:basedOn w:val="a3"/>
    <w:next w:val="a3"/>
    <w:link w:val="a6"/>
    <w:uiPriority w:val="99"/>
    <w:semiHidden/>
    <w:qFormat/>
    <w:rsid w:val="00EA3FD1"/>
    <w:rPr>
      <w:b/>
      <w:bCs/>
    </w:rPr>
  </w:style>
  <w:style w:type="character" w:customStyle="1" w:styleId="a6">
    <w:name w:val="批注主题 字符"/>
    <w:basedOn w:val="a4"/>
    <w:link w:val="a5"/>
    <w:uiPriority w:val="99"/>
    <w:semiHidden/>
    <w:rsid w:val="00EA3FD1"/>
    <w:rPr>
      <w:rFonts w:ascii="Times New Roman" w:eastAsia="宋体" w:hAnsi="Times New Roman" w:cs="Times New Roman"/>
      <w:b/>
      <w:bCs/>
      <w:szCs w:val="20"/>
    </w:rPr>
  </w:style>
  <w:style w:type="paragraph" w:styleId="a7">
    <w:name w:val="Document Map"/>
    <w:basedOn w:val="a"/>
    <w:link w:val="a8"/>
    <w:uiPriority w:val="99"/>
    <w:unhideWhenUsed/>
    <w:qFormat/>
    <w:rsid w:val="00EA3FD1"/>
    <w:rPr>
      <w:rFonts w:ascii="宋体" w:hAnsi="Calibri"/>
      <w:kern w:val="0"/>
      <w:sz w:val="18"/>
      <w:szCs w:val="18"/>
    </w:rPr>
  </w:style>
  <w:style w:type="character" w:customStyle="1" w:styleId="a8">
    <w:name w:val="文档结构图 字符"/>
    <w:basedOn w:val="a0"/>
    <w:link w:val="a7"/>
    <w:uiPriority w:val="99"/>
    <w:qFormat/>
    <w:rsid w:val="00EA3FD1"/>
    <w:rPr>
      <w:rFonts w:ascii="宋体" w:eastAsia="宋体" w:hAnsi="Calibri" w:cs="Times New Roman"/>
      <w:kern w:val="0"/>
      <w:sz w:val="18"/>
      <w:szCs w:val="18"/>
    </w:rPr>
  </w:style>
  <w:style w:type="paragraph" w:styleId="a9">
    <w:name w:val="Body Text Indent"/>
    <w:basedOn w:val="a"/>
    <w:link w:val="aa"/>
    <w:qFormat/>
    <w:rsid w:val="00EA3FD1"/>
    <w:pPr>
      <w:autoSpaceDE w:val="0"/>
      <w:autoSpaceDN w:val="0"/>
      <w:adjustRightInd w:val="0"/>
      <w:spacing w:line="360" w:lineRule="auto"/>
      <w:ind w:firstLineChars="199" w:firstLine="478"/>
    </w:pPr>
    <w:rPr>
      <w:rFonts w:ascii="宋体" w:hAnsi="宋体"/>
      <w:kern w:val="0"/>
      <w:sz w:val="24"/>
      <w:szCs w:val="21"/>
    </w:rPr>
  </w:style>
  <w:style w:type="character" w:customStyle="1" w:styleId="aa">
    <w:name w:val="正文文本缩进 字符"/>
    <w:basedOn w:val="a0"/>
    <w:link w:val="a9"/>
    <w:qFormat/>
    <w:rsid w:val="00EA3FD1"/>
    <w:rPr>
      <w:rFonts w:ascii="宋体" w:eastAsia="宋体" w:hAnsi="宋体" w:cs="Times New Roman"/>
      <w:kern w:val="0"/>
      <w:sz w:val="24"/>
      <w:szCs w:val="21"/>
    </w:rPr>
  </w:style>
  <w:style w:type="paragraph" w:styleId="ab">
    <w:name w:val="Plain Text"/>
    <w:basedOn w:val="a"/>
    <w:link w:val="ac"/>
    <w:rsid w:val="00EA3FD1"/>
    <w:rPr>
      <w:rFonts w:ascii="宋体" w:hAnsi="Courier New"/>
      <w:szCs w:val="21"/>
    </w:rPr>
  </w:style>
  <w:style w:type="character" w:customStyle="1" w:styleId="ac">
    <w:name w:val="纯文本 字符"/>
    <w:basedOn w:val="a0"/>
    <w:link w:val="ab"/>
    <w:qFormat/>
    <w:rsid w:val="00EA3FD1"/>
    <w:rPr>
      <w:rFonts w:ascii="宋体" w:eastAsia="宋体" w:hAnsi="Courier New" w:cs="Times New Roman"/>
      <w:szCs w:val="21"/>
    </w:rPr>
  </w:style>
  <w:style w:type="paragraph" w:styleId="ad">
    <w:name w:val="Date"/>
    <w:basedOn w:val="a"/>
    <w:next w:val="a"/>
    <w:link w:val="ae"/>
    <w:qFormat/>
    <w:rsid w:val="00EA3FD1"/>
    <w:pPr>
      <w:ind w:leftChars="2500" w:left="100"/>
    </w:pPr>
    <w:rPr>
      <w:rFonts w:ascii="宋体" w:hAnsi="宋体"/>
      <w:sz w:val="24"/>
    </w:rPr>
  </w:style>
  <w:style w:type="character" w:customStyle="1" w:styleId="ae">
    <w:name w:val="日期 字符"/>
    <w:basedOn w:val="a0"/>
    <w:link w:val="ad"/>
    <w:rsid w:val="00EA3FD1"/>
    <w:rPr>
      <w:rFonts w:ascii="宋体" w:eastAsia="宋体" w:hAnsi="宋体" w:cs="Times New Roman"/>
      <w:sz w:val="24"/>
      <w:szCs w:val="20"/>
    </w:rPr>
  </w:style>
  <w:style w:type="paragraph" w:styleId="21">
    <w:name w:val="Body Text Indent 2"/>
    <w:basedOn w:val="a"/>
    <w:link w:val="22"/>
    <w:qFormat/>
    <w:rsid w:val="00EA3FD1"/>
    <w:pPr>
      <w:spacing w:before="60" w:after="60"/>
      <w:ind w:left="479"/>
    </w:pPr>
    <w:rPr>
      <w:rFonts w:ascii="宋体"/>
      <w:sz w:val="24"/>
    </w:rPr>
  </w:style>
  <w:style w:type="character" w:customStyle="1" w:styleId="22">
    <w:name w:val="正文文本缩进 2 字符"/>
    <w:basedOn w:val="a0"/>
    <w:link w:val="21"/>
    <w:qFormat/>
    <w:rsid w:val="00EA3FD1"/>
    <w:rPr>
      <w:rFonts w:ascii="宋体" w:eastAsia="宋体" w:hAnsi="Times New Roman" w:cs="Times New Roman"/>
      <w:sz w:val="24"/>
      <w:szCs w:val="20"/>
    </w:rPr>
  </w:style>
  <w:style w:type="paragraph" w:styleId="af">
    <w:name w:val="Balloon Text"/>
    <w:basedOn w:val="a"/>
    <w:link w:val="af0"/>
    <w:uiPriority w:val="99"/>
    <w:semiHidden/>
    <w:qFormat/>
    <w:rsid w:val="00EA3FD1"/>
    <w:rPr>
      <w:sz w:val="18"/>
      <w:szCs w:val="18"/>
    </w:rPr>
  </w:style>
  <w:style w:type="character" w:customStyle="1" w:styleId="af0">
    <w:name w:val="批注框文本 字符"/>
    <w:basedOn w:val="a0"/>
    <w:link w:val="af"/>
    <w:uiPriority w:val="99"/>
    <w:semiHidden/>
    <w:qFormat/>
    <w:rsid w:val="00EA3FD1"/>
    <w:rPr>
      <w:rFonts w:ascii="Times New Roman" w:eastAsia="宋体" w:hAnsi="Times New Roman" w:cs="Times New Roman"/>
      <w:sz w:val="18"/>
      <w:szCs w:val="18"/>
    </w:rPr>
  </w:style>
  <w:style w:type="paragraph" w:styleId="af1">
    <w:name w:val="footer"/>
    <w:basedOn w:val="a"/>
    <w:link w:val="af2"/>
    <w:qFormat/>
    <w:rsid w:val="00EA3FD1"/>
    <w:pPr>
      <w:tabs>
        <w:tab w:val="center" w:pos="4153"/>
        <w:tab w:val="right" w:pos="8306"/>
      </w:tabs>
      <w:snapToGrid w:val="0"/>
      <w:jc w:val="left"/>
    </w:pPr>
    <w:rPr>
      <w:sz w:val="18"/>
      <w:szCs w:val="18"/>
    </w:rPr>
  </w:style>
  <w:style w:type="character" w:customStyle="1" w:styleId="af2">
    <w:name w:val="页脚 字符"/>
    <w:basedOn w:val="a0"/>
    <w:link w:val="af1"/>
    <w:qFormat/>
    <w:rsid w:val="00EA3FD1"/>
    <w:rPr>
      <w:rFonts w:ascii="Times New Roman" w:eastAsia="宋体" w:hAnsi="Times New Roman" w:cs="Times New Roman"/>
      <w:sz w:val="18"/>
      <w:szCs w:val="18"/>
    </w:rPr>
  </w:style>
  <w:style w:type="paragraph" w:styleId="af3">
    <w:name w:val="header"/>
    <w:basedOn w:val="a"/>
    <w:link w:val="af4"/>
    <w:uiPriority w:val="99"/>
    <w:qFormat/>
    <w:rsid w:val="00EA3FD1"/>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qFormat/>
    <w:rsid w:val="00EA3FD1"/>
    <w:rPr>
      <w:rFonts w:ascii="Times New Roman" w:eastAsia="宋体" w:hAnsi="Times New Roman" w:cs="Times New Roman"/>
      <w:sz w:val="18"/>
      <w:szCs w:val="18"/>
    </w:rPr>
  </w:style>
  <w:style w:type="paragraph" w:styleId="11">
    <w:name w:val="toc 1"/>
    <w:basedOn w:val="a"/>
    <w:next w:val="a"/>
    <w:uiPriority w:val="39"/>
    <w:unhideWhenUsed/>
    <w:qFormat/>
    <w:rsid w:val="00EA3FD1"/>
    <w:pPr>
      <w:tabs>
        <w:tab w:val="right" w:leader="hyphen" w:pos="8296"/>
      </w:tabs>
      <w:spacing w:line="360" w:lineRule="auto"/>
    </w:pPr>
    <w:rPr>
      <w:rFonts w:ascii="宋体" w:hAnsi="宋体"/>
      <w:sz w:val="24"/>
      <w:szCs w:val="24"/>
    </w:rPr>
  </w:style>
  <w:style w:type="character" w:styleId="af5">
    <w:name w:val="page number"/>
    <w:basedOn w:val="a0"/>
    <w:rsid w:val="00EA3FD1"/>
  </w:style>
  <w:style w:type="character" w:styleId="af6">
    <w:name w:val="FollowedHyperlink"/>
    <w:qFormat/>
    <w:rsid w:val="00EA3FD1"/>
    <w:rPr>
      <w:color w:val="800080"/>
      <w:u w:val="single"/>
    </w:rPr>
  </w:style>
  <w:style w:type="character" w:styleId="af7">
    <w:name w:val="Hyperlink"/>
    <w:uiPriority w:val="99"/>
    <w:rsid w:val="00EA3FD1"/>
    <w:rPr>
      <w:color w:val="0000FF"/>
      <w:u w:val="single"/>
    </w:rPr>
  </w:style>
  <w:style w:type="character" w:styleId="af8">
    <w:name w:val="annotation reference"/>
    <w:semiHidden/>
    <w:qFormat/>
    <w:rsid w:val="00EA3FD1"/>
    <w:rPr>
      <w:sz w:val="21"/>
      <w:szCs w:val="21"/>
    </w:rPr>
  </w:style>
  <w:style w:type="character" w:customStyle="1" w:styleId="DeltaViewInsertion">
    <w:name w:val="DeltaView Insertion"/>
    <w:rsid w:val="00EA3FD1"/>
    <w:rPr>
      <w:color w:val="0000FF"/>
      <w:spacing w:val="0"/>
      <w:u w:val="double"/>
    </w:rPr>
  </w:style>
  <w:style w:type="character" w:customStyle="1" w:styleId="e-arialb101">
    <w:name w:val="e-arialb101"/>
    <w:qFormat/>
    <w:rsid w:val="00EA3FD1"/>
    <w:rPr>
      <w:rFonts w:ascii="Arial" w:hAnsi="Arial" w:cs="Arial" w:hint="default"/>
      <w:color w:val="000000"/>
      <w:sz w:val="14"/>
      <w:szCs w:val="14"/>
    </w:rPr>
  </w:style>
  <w:style w:type="character" w:customStyle="1" w:styleId="12">
    <w:name w:val="批注文字 字符1"/>
    <w:qFormat/>
    <w:rsid w:val="00EA3FD1"/>
    <w:rPr>
      <w:kern w:val="2"/>
      <w:sz w:val="21"/>
    </w:rPr>
  </w:style>
  <w:style w:type="character" w:customStyle="1" w:styleId="apple-style-span">
    <w:name w:val="apple-style-span"/>
    <w:rsid w:val="00EA3FD1"/>
  </w:style>
  <w:style w:type="paragraph" w:customStyle="1" w:styleId="13">
    <w:name w:val="修订1"/>
    <w:uiPriority w:val="99"/>
    <w:semiHidden/>
    <w:rsid w:val="00EA3FD1"/>
    <w:rPr>
      <w:rFonts w:ascii="Calibri" w:eastAsia="宋体" w:hAnsi="Calibri" w:cs="Times New Roman"/>
    </w:rPr>
  </w:style>
  <w:style w:type="paragraph" w:customStyle="1" w:styleId="NormalJustified">
    <w:name w:val="Normal (Justified)"/>
    <w:basedOn w:val="a"/>
    <w:semiHidden/>
    <w:qFormat/>
    <w:rsid w:val="00EA3FD1"/>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EA3FD1"/>
    <w:rPr>
      <w:rFonts w:ascii="Tahoma" w:hAnsi="Tahoma"/>
      <w:sz w:val="24"/>
      <w:szCs w:val="24"/>
    </w:rPr>
  </w:style>
  <w:style w:type="paragraph" w:customStyle="1" w:styleId="Default">
    <w:name w:val="Default"/>
    <w:qFormat/>
    <w:rsid w:val="00EA3FD1"/>
    <w:pPr>
      <w:widowControl w:val="0"/>
      <w:autoSpaceDE w:val="0"/>
      <w:autoSpaceDN w:val="0"/>
      <w:adjustRightInd w:val="0"/>
    </w:pPr>
    <w:rPr>
      <w:rFonts w:ascii="宋体" w:eastAsia="宋体" w:hAnsi="Calibri" w:cs="宋体"/>
      <w:color w:val="000000"/>
      <w:kern w:val="0"/>
      <w:sz w:val="24"/>
      <w:szCs w:val="24"/>
    </w:rPr>
  </w:style>
  <w:style w:type="paragraph" w:customStyle="1" w:styleId="Char">
    <w:name w:val="Char"/>
    <w:basedOn w:val="a"/>
    <w:qFormat/>
    <w:rsid w:val="00EA3FD1"/>
    <w:pPr>
      <w:widowControl/>
      <w:spacing w:after="160" w:line="240" w:lineRule="exact"/>
      <w:jc w:val="left"/>
    </w:pPr>
  </w:style>
  <w:style w:type="paragraph" w:customStyle="1" w:styleId="CharCharChar">
    <w:name w:val="Char Char Char"/>
    <w:basedOn w:val="a"/>
    <w:qFormat/>
    <w:rsid w:val="00EA3FD1"/>
    <w:rPr>
      <w:szCs w:val="24"/>
    </w:rPr>
  </w:style>
  <w:style w:type="paragraph" w:customStyle="1" w:styleId="CharCharCharCharCharCharChar">
    <w:name w:val="Char Char Char Char Char Char Char"/>
    <w:basedOn w:val="a"/>
    <w:qFormat/>
    <w:rsid w:val="00EA3FD1"/>
    <w:pPr>
      <w:tabs>
        <w:tab w:val="left" w:pos="360"/>
      </w:tabs>
      <w:adjustRightInd w:val="0"/>
      <w:textAlignment w:val="baseline"/>
    </w:pPr>
    <w:rPr>
      <w:sz w:val="24"/>
    </w:rPr>
  </w:style>
  <w:style w:type="paragraph" w:customStyle="1" w:styleId="CM16">
    <w:name w:val="CM16"/>
    <w:basedOn w:val="Default"/>
    <w:next w:val="Default"/>
    <w:qFormat/>
    <w:rsid w:val="00EA3FD1"/>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EA3FD1"/>
    <w:pPr>
      <w:tabs>
        <w:tab w:val="left" w:pos="360"/>
      </w:tabs>
    </w:pPr>
    <w:rPr>
      <w:sz w:val="24"/>
      <w:szCs w:val="24"/>
    </w:rPr>
  </w:style>
  <w:style w:type="paragraph" w:customStyle="1" w:styleId="4CharCharCharChar">
    <w:name w:val="4 Char Char Char Char"/>
    <w:basedOn w:val="a"/>
    <w:qFormat/>
    <w:rsid w:val="00EA3FD1"/>
    <w:rPr>
      <w:rFonts w:ascii="Tahoma" w:hAnsi="Tahoma"/>
      <w:sz w:val="24"/>
    </w:rPr>
  </w:style>
  <w:style w:type="paragraph" w:customStyle="1" w:styleId="CharCharCharCharCharChar1CharCharChar">
    <w:name w:val="Char Char Char Char Char Char1 Char Char Char"/>
    <w:basedOn w:val="a"/>
    <w:qFormat/>
    <w:rsid w:val="00EA3FD1"/>
    <w:pPr>
      <w:autoSpaceDE w:val="0"/>
      <w:autoSpaceDN w:val="0"/>
      <w:adjustRightInd w:val="0"/>
      <w:jc w:val="left"/>
      <w:textAlignment w:val="baseline"/>
    </w:pPr>
  </w:style>
  <w:style w:type="paragraph" w:customStyle="1" w:styleId="23">
    <w:name w:val="修订2"/>
    <w:hidden/>
    <w:uiPriority w:val="99"/>
    <w:semiHidden/>
    <w:rsid w:val="00EA3FD1"/>
    <w:rPr>
      <w:rFonts w:ascii="Times New Roman" w:eastAsia="宋体" w:hAnsi="Times New Roman" w:cs="Times New Roman"/>
      <w:szCs w:val="20"/>
    </w:rPr>
  </w:style>
  <w:style w:type="character" w:customStyle="1" w:styleId="Char0">
    <w:name w:val="批注文字 Char"/>
    <w:qFormat/>
    <w:rsid w:val="00EA3FD1"/>
    <w:rPr>
      <w:kern w:val="2"/>
      <w:sz w:val="21"/>
      <w:szCs w:val="24"/>
    </w:rPr>
  </w:style>
  <w:style w:type="character" w:customStyle="1" w:styleId="Char1">
    <w:name w:val="页脚 Char"/>
    <w:qFormat/>
    <w:rsid w:val="00EA3FD1"/>
    <w:rPr>
      <w:sz w:val="18"/>
      <w:szCs w:val="18"/>
    </w:rPr>
  </w:style>
  <w:style w:type="paragraph" w:styleId="af9">
    <w:name w:val="Revision"/>
    <w:hidden/>
    <w:uiPriority w:val="99"/>
    <w:semiHidden/>
    <w:rsid w:val="003E4D0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1E66-04CC-4812-9B9B-9811F2A9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46</Pages>
  <Words>5190</Words>
  <Characters>29585</Characters>
  <Application>Microsoft Office Word</Application>
  <DocSecurity>0</DocSecurity>
  <Lines>246</Lines>
  <Paragraphs>69</Paragraphs>
  <ScaleCrop>false</ScaleCrop>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肖霄</dc:creator>
  <cp:keywords/>
  <dc:description/>
  <cp:lastModifiedBy>肖培嘉</cp:lastModifiedBy>
  <cp:revision>68</cp:revision>
  <cp:lastPrinted>2023-04-20T03:26:00Z</cp:lastPrinted>
  <dcterms:created xsi:type="dcterms:W3CDTF">2023-03-25T07:14:00Z</dcterms:created>
  <dcterms:modified xsi:type="dcterms:W3CDTF">2024-02-19T06:57:00Z</dcterms:modified>
</cp:coreProperties>
</file>