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E407" w14:textId="57CABFE6" w:rsidR="00700034" w:rsidRDefault="00700034">
      <w:pPr>
        <w:spacing w:line="360" w:lineRule="auto"/>
        <w:rPr>
          <w:rFonts w:ascii="宋体" w:hAnsi="宋体"/>
          <w:color w:val="0D0D0D"/>
        </w:rPr>
      </w:pPr>
    </w:p>
    <w:p w14:paraId="31D7D56F" w14:textId="77777777" w:rsidR="00700034" w:rsidRDefault="00700034">
      <w:pPr>
        <w:spacing w:line="360" w:lineRule="auto"/>
        <w:rPr>
          <w:rFonts w:ascii="宋体" w:hAnsi="宋体"/>
          <w:color w:val="0D0D0D"/>
          <w:sz w:val="24"/>
          <w:szCs w:val="24"/>
        </w:rPr>
      </w:pPr>
    </w:p>
    <w:p w14:paraId="4023C496" w14:textId="77777777" w:rsidR="00700034" w:rsidRDefault="00700034">
      <w:pPr>
        <w:spacing w:line="360" w:lineRule="auto"/>
        <w:rPr>
          <w:rFonts w:ascii="宋体" w:hAnsi="宋体"/>
          <w:color w:val="0D0D0D"/>
          <w:sz w:val="24"/>
          <w:szCs w:val="24"/>
        </w:rPr>
      </w:pPr>
    </w:p>
    <w:p w14:paraId="37399059" w14:textId="77777777" w:rsidR="00700034" w:rsidRDefault="00700034">
      <w:pPr>
        <w:spacing w:line="360" w:lineRule="auto"/>
        <w:rPr>
          <w:rFonts w:ascii="宋体" w:hAnsi="宋体"/>
          <w:color w:val="0D0D0D"/>
          <w:sz w:val="24"/>
          <w:szCs w:val="24"/>
        </w:rPr>
      </w:pPr>
    </w:p>
    <w:p w14:paraId="366388B7" w14:textId="0F9EB849" w:rsidR="00700034" w:rsidRDefault="00780929">
      <w:pPr>
        <w:spacing w:line="360" w:lineRule="auto"/>
        <w:jc w:val="center"/>
        <w:rPr>
          <w:rFonts w:ascii="宋体" w:hAnsi="宋体"/>
          <w:b/>
          <w:color w:val="0D0D0D"/>
          <w:sz w:val="44"/>
          <w:szCs w:val="44"/>
        </w:rPr>
      </w:pPr>
      <w:r w:rsidRPr="00780929">
        <w:rPr>
          <w:rFonts w:ascii="宋体" w:hAnsi="宋体" w:hint="eastAsia"/>
          <w:b/>
          <w:color w:val="0D0D0D"/>
          <w:sz w:val="44"/>
          <w:szCs w:val="44"/>
        </w:rPr>
        <w:t>富达基金管理（中国）有限公司</w:t>
      </w:r>
    </w:p>
    <w:p w14:paraId="57107C39" w14:textId="77777777" w:rsidR="00780929" w:rsidRPr="00780929" w:rsidRDefault="00780929">
      <w:pPr>
        <w:spacing w:line="360" w:lineRule="auto"/>
        <w:jc w:val="center"/>
        <w:rPr>
          <w:rFonts w:ascii="宋体" w:hAnsi="宋体"/>
          <w:b/>
          <w:color w:val="0D0D0D"/>
          <w:sz w:val="44"/>
          <w:szCs w:val="44"/>
        </w:rPr>
      </w:pPr>
    </w:p>
    <w:p w14:paraId="4D3887FC" w14:textId="77777777" w:rsidR="008A679E" w:rsidRDefault="00780929" w:rsidP="00780929">
      <w:pPr>
        <w:spacing w:beforeLines="100" w:before="312" w:line="480" w:lineRule="auto"/>
        <w:jc w:val="center"/>
        <w:rPr>
          <w:rFonts w:ascii="宋体" w:hAnsi="宋体"/>
          <w:b/>
          <w:color w:val="0D0D0D"/>
          <w:sz w:val="44"/>
          <w:szCs w:val="44"/>
        </w:rPr>
      </w:pPr>
      <w:bookmarkStart w:id="0" w:name="_Hlk150427976"/>
      <w:r>
        <w:rPr>
          <w:rFonts w:ascii="宋体" w:hAnsi="宋体" w:hint="eastAsia"/>
          <w:b/>
          <w:color w:val="0D0D0D"/>
          <w:sz w:val="44"/>
          <w:szCs w:val="44"/>
        </w:rPr>
        <w:t>富达悦享红利优选</w:t>
      </w:r>
      <w:r w:rsidR="00700034">
        <w:rPr>
          <w:rFonts w:ascii="宋体" w:hAnsi="宋体" w:hint="eastAsia"/>
          <w:b/>
          <w:color w:val="0D0D0D"/>
          <w:sz w:val="44"/>
          <w:szCs w:val="44"/>
        </w:rPr>
        <w:t>混合型证券投资基金</w:t>
      </w:r>
      <w:bookmarkEnd w:id="0"/>
    </w:p>
    <w:p w14:paraId="17C3D2F6" w14:textId="5E85C738" w:rsidR="00700034" w:rsidRPr="00780929" w:rsidRDefault="00700034" w:rsidP="00780929">
      <w:pPr>
        <w:spacing w:beforeLines="100" w:before="312" w:line="480" w:lineRule="auto"/>
        <w:jc w:val="center"/>
        <w:rPr>
          <w:rFonts w:ascii="宋体" w:hAnsi="宋体"/>
          <w:b/>
          <w:color w:val="0D0D0D"/>
          <w:sz w:val="44"/>
          <w:szCs w:val="44"/>
        </w:rPr>
      </w:pPr>
      <w:r>
        <w:rPr>
          <w:rFonts w:ascii="宋体" w:hAnsi="宋体" w:hint="eastAsia"/>
          <w:b/>
          <w:color w:val="0D0D0D"/>
          <w:sz w:val="44"/>
          <w:szCs w:val="44"/>
        </w:rPr>
        <w:t>托管协议</w:t>
      </w:r>
    </w:p>
    <w:p w14:paraId="4E80D393" w14:textId="77777777" w:rsidR="00700034" w:rsidRDefault="00700034">
      <w:pPr>
        <w:spacing w:line="360" w:lineRule="auto"/>
        <w:ind w:firstLineChars="200" w:firstLine="482"/>
        <w:rPr>
          <w:rFonts w:ascii="宋体" w:hAnsi="宋体"/>
          <w:b/>
          <w:color w:val="0D0D0D"/>
          <w:sz w:val="24"/>
          <w:szCs w:val="24"/>
        </w:rPr>
      </w:pPr>
    </w:p>
    <w:p w14:paraId="3F418EB0" w14:textId="77777777" w:rsidR="00700034" w:rsidRDefault="00700034">
      <w:pPr>
        <w:spacing w:line="360" w:lineRule="auto"/>
        <w:ind w:firstLineChars="200" w:firstLine="482"/>
        <w:rPr>
          <w:rFonts w:ascii="宋体" w:hAnsi="宋体"/>
          <w:b/>
          <w:color w:val="0D0D0D"/>
          <w:sz w:val="24"/>
          <w:szCs w:val="24"/>
        </w:rPr>
      </w:pPr>
    </w:p>
    <w:p w14:paraId="510BB913" w14:textId="77777777" w:rsidR="00700034" w:rsidRDefault="00700034">
      <w:pPr>
        <w:spacing w:line="360" w:lineRule="auto"/>
        <w:ind w:firstLineChars="200" w:firstLine="482"/>
        <w:rPr>
          <w:rFonts w:ascii="宋体" w:hAnsi="宋体"/>
          <w:b/>
          <w:color w:val="0D0D0D"/>
          <w:sz w:val="24"/>
          <w:szCs w:val="24"/>
        </w:rPr>
      </w:pPr>
    </w:p>
    <w:p w14:paraId="49C7DE26" w14:textId="77777777" w:rsidR="00700034" w:rsidRDefault="00700034">
      <w:pPr>
        <w:spacing w:line="360" w:lineRule="auto"/>
        <w:ind w:firstLineChars="200" w:firstLine="482"/>
        <w:rPr>
          <w:rFonts w:ascii="宋体" w:hAnsi="宋体"/>
          <w:b/>
          <w:color w:val="0D0D0D"/>
          <w:sz w:val="24"/>
          <w:szCs w:val="24"/>
        </w:rPr>
      </w:pPr>
    </w:p>
    <w:p w14:paraId="536DD50C" w14:textId="77777777" w:rsidR="00700034" w:rsidRDefault="00700034">
      <w:pPr>
        <w:spacing w:line="360" w:lineRule="auto"/>
        <w:ind w:firstLineChars="200" w:firstLine="482"/>
        <w:rPr>
          <w:rFonts w:ascii="宋体" w:hAnsi="宋体"/>
          <w:b/>
          <w:color w:val="0D0D0D"/>
          <w:sz w:val="24"/>
          <w:szCs w:val="24"/>
        </w:rPr>
      </w:pPr>
    </w:p>
    <w:p w14:paraId="3793185C" w14:textId="22B7A372" w:rsidR="00700034" w:rsidRDefault="00700034">
      <w:pPr>
        <w:spacing w:line="360" w:lineRule="auto"/>
        <w:ind w:firstLineChars="200" w:firstLine="482"/>
        <w:rPr>
          <w:rFonts w:ascii="宋体" w:hAnsi="宋体"/>
          <w:b/>
          <w:color w:val="0D0D0D"/>
          <w:sz w:val="24"/>
          <w:szCs w:val="24"/>
        </w:rPr>
      </w:pPr>
    </w:p>
    <w:p w14:paraId="7A062008" w14:textId="0FBC114A" w:rsidR="00780929" w:rsidRDefault="00780929">
      <w:pPr>
        <w:spacing w:line="360" w:lineRule="auto"/>
        <w:ind w:firstLineChars="200" w:firstLine="482"/>
        <w:rPr>
          <w:rFonts w:ascii="宋体" w:hAnsi="宋体"/>
          <w:b/>
          <w:color w:val="0D0D0D"/>
          <w:sz w:val="24"/>
          <w:szCs w:val="24"/>
        </w:rPr>
      </w:pPr>
    </w:p>
    <w:p w14:paraId="3CEFF6AF" w14:textId="77777777" w:rsidR="00780929" w:rsidRDefault="00780929">
      <w:pPr>
        <w:spacing w:line="360" w:lineRule="auto"/>
        <w:ind w:firstLineChars="200" w:firstLine="482"/>
        <w:rPr>
          <w:rFonts w:ascii="宋体" w:hAnsi="宋体"/>
          <w:b/>
          <w:color w:val="0D0D0D"/>
          <w:sz w:val="24"/>
          <w:szCs w:val="24"/>
        </w:rPr>
      </w:pPr>
    </w:p>
    <w:p w14:paraId="211A4396" w14:textId="77777777" w:rsidR="00700034" w:rsidRDefault="00700034">
      <w:pPr>
        <w:spacing w:line="360" w:lineRule="auto"/>
        <w:ind w:firstLineChars="200" w:firstLine="482"/>
        <w:rPr>
          <w:rFonts w:ascii="宋体" w:hAnsi="宋体"/>
          <w:b/>
          <w:color w:val="0D0D0D"/>
          <w:sz w:val="24"/>
          <w:szCs w:val="24"/>
        </w:rPr>
      </w:pPr>
    </w:p>
    <w:p w14:paraId="079F93E2" w14:textId="77777777" w:rsidR="00700034" w:rsidRDefault="00700034">
      <w:pPr>
        <w:spacing w:line="360" w:lineRule="auto"/>
        <w:ind w:firstLineChars="200" w:firstLine="482"/>
        <w:rPr>
          <w:rFonts w:ascii="宋体" w:hAnsi="宋体"/>
          <w:b/>
          <w:color w:val="0D0D0D"/>
          <w:sz w:val="24"/>
          <w:szCs w:val="24"/>
        </w:rPr>
      </w:pPr>
    </w:p>
    <w:p w14:paraId="0FF8F608" w14:textId="77D1F25C" w:rsidR="00700034" w:rsidRDefault="00700034">
      <w:pPr>
        <w:spacing w:line="360" w:lineRule="auto"/>
        <w:jc w:val="center"/>
        <w:rPr>
          <w:rFonts w:ascii="宋体" w:hAnsi="宋体"/>
          <w:b/>
          <w:color w:val="0D0D0D"/>
          <w:sz w:val="28"/>
          <w:szCs w:val="28"/>
        </w:rPr>
      </w:pPr>
      <w:r>
        <w:rPr>
          <w:rFonts w:ascii="宋体" w:hAnsi="宋体" w:hint="eastAsia"/>
          <w:b/>
          <w:color w:val="0D0D0D"/>
          <w:sz w:val="28"/>
          <w:szCs w:val="28"/>
        </w:rPr>
        <w:t>基金管理人：</w:t>
      </w:r>
      <w:r w:rsidR="00780929">
        <w:rPr>
          <w:rFonts w:ascii="宋体" w:hAnsi="宋体" w:hint="eastAsia"/>
          <w:b/>
          <w:color w:val="0D0D0D"/>
          <w:sz w:val="28"/>
          <w:szCs w:val="28"/>
        </w:rPr>
        <w:t>富达基金管理（中国）有限公司</w:t>
      </w:r>
    </w:p>
    <w:p w14:paraId="5D035BD5" w14:textId="77777777" w:rsidR="00700034" w:rsidRDefault="00700034">
      <w:pPr>
        <w:spacing w:line="360" w:lineRule="auto"/>
        <w:jc w:val="center"/>
        <w:rPr>
          <w:rFonts w:ascii="宋体" w:hAnsi="宋体"/>
          <w:b/>
          <w:color w:val="0D0D0D"/>
          <w:sz w:val="24"/>
          <w:szCs w:val="24"/>
        </w:rPr>
      </w:pPr>
      <w:r>
        <w:rPr>
          <w:rFonts w:ascii="宋体" w:hAnsi="宋体" w:hint="eastAsia"/>
          <w:b/>
          <w:color w:val="0D0D0D"/>
          <w:sz w:val="28"/>
          <w:szCs w:val="28"/>
        </w:rPr>
        <w:t>基金托管人：中信银行股份有限公司</w:t>
      </w:r>
    </w:p>
    <w:p w14:paraId="64E6ECCB" w14:textId="77777777" w:rsidR="00700034" w:rsidRDefault="00700034">
      <w:pPr>
        <w:spacing w:line="360" w:lineRule="auto"/>
        <w:ind w:firstLineChars="200" w:firstLine="482"/>
        <w:rPr>
          <w:rFonts w:ascii="宋体" w:hAnsi="宋体"/>
          <w:b/>
          <w:color w:val="0D0D0D"/>
          <w:sz w:val="24"/>
          <w:szCs w:val="24"/>
        </w:rPr>
      </w:pPr>
    </w:p>
    <w:p w14:paraId="0A170F9A" w14:textId="77777777" w:rsidR="00700034" w:rsidRDefault="00700034">
      <w:pPr>
        <w:spacing w:line="360" w:lineRule="auto"/>
        <w:ind w:firstLineChars="200" w:firstLine="482"/>
        <w:rPr>
          <w:rFonts w:ascii="宋体" w:hAnsi="宋体"/>
          <w:b/>
          <w:color w:val="0D0D0D"/>
          <w:sz w:val="24"/>
          <w:szCs w:val="24"/>
        </w:rPr>
      </w:pPr>
    </w:p>
    <w:p w14:paraId="31BE30FB" w14:textId="771C6DC1" w:rsidR="00700034" w:rsidRDefault="00700034">
      <w:pPr>
        <w:spacing w:line="360" w:lineRule="auto"/>
        <w:jc w:val="center"/>
        <w:rPr>
          <w:rFonts w:ascii="宋体" w:hAnsi="宋体"/>
          <w:color w:val="0D0D0D"/>
          <w:sz w:val="28"/>
          <w:szCs w:val="28"/>
        </w:rPr>
      </w:pPr>
      <w:r>
        <w:rPr>
          <w:rFonts w:ascii="宋体" w:hAnsi="宋体" w:hint="eastAsia"/>
          <w:b/>
          <w:color w:val="0D0D0D"/>
          <w:sz w:val="28"/>
          <w:szCs w:val="28"/>
        </w:rPr>
        <w:t>二〇二</w:t>
      </w:r>
      <w:r w:rsidR="00F75445">
        <w:rPr>
          <w:rFonts w:ascii="宋体" w:hAnsi="宋体" w:hint="eastAsia"/>
          <w:b/>
          <w:color w:val="0D0D0D"/>
          <w:sz w:val="28"/>
          <w:szCs w:val="28"/>
        </w:rPr>
        <w:t>四</w:t>
      </w:r>
      <w:r>
        <w:rPr>
          <w:rFonts w:ascii="宋体" w:hAnsi="宋体" w:hint="eastAsia"/>
          <w:b/>
          <w:color w:val="0D0D0D"/>
          <w:sz w:val="28"/>
          <w:szCs w:val="28"/>
        </w:rPr>
        <w:t>年</w:t>
      </w:r>
      <w:r w:rsidR="00F7241B">
        <w:rPr>
          <w:rFonts w:ascii="宋体" w:hAnsi="宋体" w:hint="eastAsia"/>
          <w:b/>
          <w:color w:val="0D0D0D"/>
          <w:sz w:val="28"/>
          <w:szCs w:val="28"/>
        </w:rPr>
        <w:t>一</w:t>
      </w:r>
      <w:r>
        <w:rPr>
          <w:rFonts w:ascii="宋体" w:hAnsi="宋体" w:hint="eastAsia"/>
          <w:b/>
          <w:color w:val="0D0D0D"/>
          <w:sz w:val="28"/>
          <w:szCs w:val="28"/>
        </w:rPr>
        <w:t>月</w:t>
      </w:r>
    </w:p>
    <w:p w14:paraId="413E0973" w14:textId="330F0451" w:rsidR="00700034" w:rsidRDefault="00240AA2">
      <w:pPr>
        <w:spacing w:line="360" w:lineRule="auto"/>
        <w:jc w:val="center"/>
        <w:rPr>
          <w:rFonts w:ascii="宋体" w:hAnsi="宋体"/>
          <w:color w:val="0D0D0D"/>
          <w:sz w:val="24"/>
          <w:szCs w:val="24"/>
        </w:rPr>
      </w:pPr>
      <w:r>
        <w:rPr>
          <w:rFonts w:ascii="宋体" w:hAnsi="宋体"/>
          <w:color w:val="0D0D0D"/>
          <w:sz w:val="24"/>
          <w:szCs w:val="24"/>
        </w:rPr>
        <w:br w:type="page"/>
      </w:r>
    </w:p>
    <w:p w14:paraId="26797461" w14:textId="00B3512B" w:rsidR="00700034" w:rsidRDefault="00700034">
      <w:pPr>
        <w:spacing w:line="360" w:lineRule="auto"/>
        <w:jc w:val="center"/>
        <w:rPr>
          <w:rFonts w:ascii="宋体" w:hAnsi="宋体"/>
          <w:b/>
          <w:color w:val="0D0D0D"/>
          <w:sz w:val="28"/>
          <w:szCs w:val="28"/>
        </w:rPr>
      </w:pPr>
      <w:r>
        <w:rPr>
          <w:rFonts w:ascii="宋体" w:hAnsi="宋体" w:hint="eastAsia"/>
          <w:b/>
          <w:color w:val="0D0D0D"/>
          <w:sz w:val="28"/>
          <w:szCs w:val="28"/>
        </w:rPr>
        <w:t>目</w:t>
      </w:r>
      <w:r w:rsidR="00D963B0">
        <w:rPr>
          <w:rFonts w:ascii="宋体" w:hAnsi="宋体" w:hint="eastAsia"/>
          <w:b/>
          <w:color w:val="0D0D0D"/>
          <w:sz w:val="28"/>
          <w:szCs w:val="28"/>
        </w:rPr>
        <w:t xml:space="preserve"> </w:t>
      </w:r>
      <w:r>
        <w:rPr>
          <w:rFonts w:ascii="宋体" w:hAnsi="宋体" w:hint="eastAsia"/>
          <w:b/>
          <w:color w:val="0D0D0D"/>
          <w:sz w:val="28"/>
          <w:szCs w:val="28"/>
        </w:rPr>
        <w:t>录</w:t>
      </w:r>
    </w:p>
    <w:p w14:paraId="1C726CC8" w14:textId="77777777" w:rsidR="00700034" w:rsidRDefault="00700034">
      <w:pPr>
        <w:spacing w:line="360" w:lineRule="auto"/>
        <w:jc w:val="center"/>
        <w:rPr>
          <w:rFonts w:ascii="宋体" w:hAnsi="宋体"/>
          <w:color w:val="0D0D0D"/>
          <w:sz w:val="28"/>
          <w:szCs w:val="28"/>
        </w:rPr>
      </w:pPr>
    </w:p>
    <w:p w14:paraId="48366E4B" w14:textId="1B55D6CF" w:rsidR="003E5F43" w:rsidRPr="003E5F43" w:rsidRDefault="00700034">
      <w:pPr>
        <w:pStyle w:val="TOC1"/>
        <w:tabs>
          <w:tab w:val="right" w:leader="hyphen" w:pos="8302"/>
        </w:tabs>
        <w:rPr>
          <w:rFonts w:ascii="等线" w:eastAsia="等线" w:hAnsi="等线"/>
          <w:noProof/>
        </w:rPr>
      </w:pPr>
      <w:r w:rsidRPr="000B2C71">
        <w:rPr>
          <w:color w:val="0D0D0D"/>
          <w:sz w:val="44"/>
          <w:szCs w:val="44"/>
        </w:rPr>
        <w:fldChar w:fldCharType="begin"/>
      </w:r>
      <w:r w:rsidRPr="000B2C71">
        <w:rPr>
          <w:color w:val="0D0D0D"/>
          <w:sz w:val="44"/>
          <w:szCs w:val="44"/>
        </w:rPr>
        <w:instrText xml:space="preserve"> </w:instrText>
      </w:r>
      <w:r w:rsidRPr="000B2C71">
        <w:rPr>
          <w:rFonts w:hint="eastAsia"/>
          <w:color w:val="0D0D0D"/>
          <w:sz w:val="44"/>
          <w:szCs w:val="44"/>
        </w:rPr>
        <w:instrText>TOC \o "1-1" \h \z \u</w:instrText>
      </w:r>
      <w:r w:rsidRPr="000B2C71">
        <w:rPr>
          <w:color w:val="0D0D0D"/>
          <w:sz w:val="44"/>
          <w:szCs w:val="44"/>
        </w:rPr>
        <w:instrText xml:space="preserve"> </w:instrText>
      </w:r>
      <w:r w:rsidRPr="000B2C71">
        <w:rPr>
          <w:color w:val="0D0D0D"/>
          <w:sz w:val="44"/>
          <w:szCs w:val="44"/>
        </w:rPr>
        <w:fldChar w:fldCharType="separate"/>
      </w:r>
      <w:hyperlink w:anchor="_Toc155088978" w:history="1">
        <w:r w:rsidR="003E5F43" w:rsidRPr="005D5979">
          <w:rPr>
            <w:rStyle w:val="af3"/>
            <w:rFonts w:ascii="宋体" w:hAnsi="宋体"/>
            <w:noProof/>
          </w:rPr>
          <w:t>一、基金托管协议当事人</w:t>
        </w:r>
        <w:r w:rsidR="003E5F43">
          <w:rPr>
            <w:noProof/>
            <w:webHidden/>
          </w:rPr>
          <w:tab/>
        </w:r>
        <w:r w:rsidR="003E5F43">
          <w:rPr>
            <w:noProof/>
            <w:webHidden/>
          </w:rPr>
          <w:fldChar w:fldCharType="begin"/>
        </w:r>
        <w:r w:rsidR="003E5F43">
          <w:rPr>
            <w:noProof/>
            <w:webHidden/>
          </w:rPr>
          <w:instrText xml:space="preserve"> PAGEREF _Toc155088978 \h </w:instrText>
        </w:r>
        <w:r w:rsidR="003E5F43">
          <w:rPr>
            <w:noProof/>
            <w:webHidden/>
          </w:rPr>
        </w:r>
        <w:r w:rsidR="003E5F43">
          <w:rPr>
            <w:noProof/>
            <w:webHidden/>
          </w:rPr>
          <w:fldChar w:fldCharType="separate"/>
        </w:r>
        <w:r w:rsidR="003E5F43">
          <w:rPr>
            <w:noProof/>
            <w:webHidden/>
          </w:rPr>
          <w:t>3</w:t>
        </w:r>
        <w:r w:rsidR="003E5F43">
          <w:rPr>
            <w:noProof/>
            <w:webHidden/>
          </w:rPr>
          <w:fldChar w:fldCharType="end"/>
        </w:r>
      </w:hyperlink>
    </w:p>
    <w:p w14:paraId="6B31FF25" w14:textId="7550B28D" w:rsidR="003E5F43" w:rsidRPr="003E5F43" w:rsidRDefault="00F75445">
      <w:pPr>
        <w:pStyle w:val="TOC1"/>
        <w:tabs>
          <w:tab w:val="right" w:leader="hyphen" w:pos="8302"/>
        </w:tabs>
        <w:rPr>
          <w:rFonts w:ascii="等线" w:eastAsia="等线" w:hAnsi="等线"/>
          <w:noProof/>
        </w:rPr>
      </w:pPr>
      <w:hyperlink w:anchor="_Toc155088979" w:history="1">
        <w:r w:rsidR="003E5F43" w:rsidRPr="005D5979">
          <w:rPr>
            <w:rStyle w:val="af3"/>
            <w:rFonts w:ascii="宋体" w:hAnsi="宋体"/>
            <w:noProof/>
          </w:rPr>
          <w:t>二、基金托管协议的依据、目的和原则</w:t>
        </w:r>
        <w:r w:rsidR="003E5F43">
          <w:rPr>
            <w:noProof/>
            <w:webHidden/>
          </w:rPr>
          <w:tab/>
        </w:r>
        <w:r w:rsidR="003E5F43">
          <w:rPr>
            <w:noProof/>
            <w:webHidden/>
          </w:rPr>
          <w:fldChar w:fldCharType="begin"/>
        </w:r>
        <w:r w:rsidR="003E5F43">
          <w:rPr>
            <w:noProof/>
            <w:webHidden/>
          </w:rPr>
          <w:instrText xml:space="preserve"> PAGEREF _Toc155088979 \h </w:instrText>
        </w:r>
        <w:r w:rsidR="003E5F43">
          <w:rPr>
            <w:noProof/>
            <w:webHidden/>
          </w:rPr>
        </w:r>
        <w:r w:rsidR="003E5F43">
          <w:rPr>
            <w:noProof/>
            <w:webHidden/>
          </w:rPr>
          <w:fldChar w:fldCharType="separate"/>
        </w:r>
        <w:r w:rsidR="003E5F43">
          <w:rPr>
            <w:noProof/>
            <w:webHidden/>
          </w:rPr>
          <w:t>5</w:t>
        </w:r>
        <w:r w:rsidR="003E5F43">
          <w:rPr>
            <w:noProof/>
            <w:webHidden/>
          </w:rPr>
          <w:fldChar w:fldCharType="end"/>
        </w:r>
      </w:hyperlink>
    </w:p>
    <w:p w14:paraId="78162EB7" w14:textId="3D02E0FA" w:rsidR="003E5F43" w:rsidRPr="003E5F43" w:rsidRDefault="00F75445">
      <w:pPr>
        <w:pStyle w:val="TOC1"/>
        <w:tabs>
          <w:tab w:val="right" w:leader="hyphen" w:pos="8302"/>
        </w:tabs>
        <w:rPr>
          <w:rFonts w:ascii="等线" w:eastAsia="等线" w:hAnsi="等线"/>
          <w:noProof/>
        </w:rPr>
      </w:pPr>
      <w:hyperlink w:anchor="_Toc155088980" w:history="1">
        <w:r w:rsidR="003E5F43" w:rsidRPr="005D5979">
          <w:rPr>
            <w:rStyle w:val="af3"/>
            <w:rFonts w:ascii="宋体" w:hAnsi="宋体"/>
            <w:noProof/>
          </w:rPr>
          <w:t>三、基金托管人对基金管理人的业务监督和核查</w:t>
        </w:r>
        <w:r w:rsidR="003E5F43">
          <w:rPr>
            <w:noProof/>
            <w:webHidden/>
          </w:rPr>
          <w:tab/>
        </w:r>
        <w:r w:rsidR="003E5F43">
          <w:rPr>
            <w:noProof/>
            <w:webHidden/>
          </w:rPr>
          <w:fldChar w:fldCharType="begin"/>
        </w:r>
        <w:r w:rsidR="003E5F43">
          <w:rPr>
            <w:noProof/>
            <w:webHidden/>
          </w:rPr>
          <w:instrText xml:space="preserve"> PAGEREF _Toc155088980 \h </w:instrText>
        </w:r>
        <w:r w:rsidR="003E5F43">
          <w:rPr>
            <w:noProof/>
            <w:webHidden/>
          </w:rPr>
        </w:r>
        <w:r w:rsidR="003E5F43">
          <w:rPr>
            <w:noProof/>
            <w:webHidden/>
          </w:rPr>
          <w:fldChar w:fldCharType="separate"/>
        </w:r>
        <w:r w:rsidR="003E5F43">
          <w:rPr>
            <w:noProof/>
            <w:webHidden/>
          </w:rPr>
          <w:t>6</w:t>
        </w:r>
        <w:r w:rsidR="003E5F43">
          <w:rPr>
            <w:noProof/>
            <w:webHidden/>
          </w:rPr>
          <w:fldChar w:fldCharType="end"/>
        </w:r>
      </w:hyperlink>
    </w:p>
    <w:p w14:paraId="060B217D" w14:textId="3183316F" w:rsidR="003E5F43" w:rsidRPr="003E5F43" w:rsidRDefault="00F75445">
      <w:pPr>
        <w:pStyle w:val="TOC1"/>
        <w:tabs>
          <w:tab w:val="right" w:leader="hyphen" w:pos="8302"/>
        </w:tabs>
        <w:rPr>
          <w:rFonts w:ascii="等线" w:eastAsia="等线" w:hAnsi="等线"/>
          <w:noProof/>
        </w:rPr>
      </w:pPr>
      <w:hyperlink w:anchor="_Toc155088981" w:history="1">
        <w:r w:rsidR="003E5F43" w:rsidRPr="005D5979">
          <w:rPr>
            <w:rStyle w:val="af3"/>
            <w:rFonts w:ascii="宋体" w:hAnsi="宋体"/>
            <w:noProof/>
          </w:rPr>
          <w:t>四、基金管理人对基金托管人的业务核查</w:t>
        </w:r>
        <w:r w:rsidR="003E5F43">
          <w:rPr>
            <w:noProof/>
            <w:webHidden/>
          </w:rPr>
          <w:tab/>
        </w:r>
        <w:r w:rsidR="003E5F43">
          <w:rPr>
            <w:noProof/>
            <w:webHidden/>
          </w:rPr>
          <w:fldChar w:fldCharType="begin"/>
        </w:r>
        <w:r w:rsidR="003E5F43">
          <w:rPr>
            <w:noProof/>
            <w:webHidden/>
          </w:rPr>
          <w:instrText xml:space="preserve"> PAGEREF _Toc155088981 \h </w:instrText>
        </w:r>
        <w:r w:rsidR="003E5F43">
          <w:rPr>
            <w:noProof/>
            <w:webHidden/>
          </w:rPr>
        </w:r>
        <w:r w:rsidR="003E5F43">
          <w:rPr>
            <w:noProof/>
            <w:webHidden/>
          </w:rPr>
          <w:fldChar w:fldCharType="separate"/>
        </w:r>
        <w:r w:rsidR="003E5F43">
          <w:rPr>
            <w:noProof/>
            <w:webHidden/>
          </w:rPr>
          <w:t>14</w:t>
        </w:r>
        <w:r w:rsidR="003E5F43">
          <w:rPr>
            <w:noProof/>
            <w:webHidden/>
          </w:rPr>
          <w:fldChar w:fldCharType="end"/>
        </w:r>
      </w:hyperlink>
    </w:p>
    <w:p w14:paraId="74106763" w14:textId="520F6D60" w:rsidR="003E5F43" w:rsidRPr="003E5F43" w:rsidRDefault="00F75445">
      <w:pPr>
        <w:pStyle w:val="TOC1"/>
        <w:tabs>
          <w:tab w:val="right" w:leader="hyphen" w:pos="8302"/>
        </w:tabs>
        <w:rPr>
          <w:rFonts w:ascii="等线" w:eastAsia="等线" w:hAnsi="等线"/>
          <w:noProof/>
        </w:rPr>
      </w:pPr>
      <w:hyperlink w:anchor="_Toc155088982" w:history="1">
        <w:r w:rsidR="003E5F43" w:rsidRPr="005D5979">
          <w:rPr>
            <w:rStyle w:val="af3"/>
            <w:rFonts w:ascii="宋体" w:hAnsi="宋体"/>
            <w:noProof/>
          </w:rPr>
          <w:t>五、基金财产保管</w:t>
        </w:r>
        <w:r w:rsidR="003E5F43">
          <w:rPr>
            <w:noProof/>
            <w:webHidden/>
          </w:rPr>
          <w:tab/>
        </w:r>
        <w:r w:rsidR="003E5F43">
          <w:rPr>
            <w:noProof/>
            <w:webHidden/>
          </w:rPr>
          <w:fldChar w:fldCharType="begin"/>
        </w:r>
        <w:r w:rsidR="003E5F43">
          <w:rPr>
            <w:noProof/>
            <w:webHidden/>
          </w:rPr>
          <w:instrText xml:space="preserve"> PAGEREF _Toc155088982 \h </w:instrText>
        </w:r>
        <w:r w:rsidR="003E5F43">
          <w:rPr>
            <w:noProof/>
            <w:webHidden/>
          </w:rPr>
        </w:r>
        <w:r w:rsidR="003E5F43">
          <w:rPr>
            <w:noProof/>
            <w:webHidden/>
          </w:rPr>
          <w:fldChar w:fldCharType="separate"/>
        </w:r>
        <w:r w:rsidR="003E5F43">
          <w:rPr>
            <w:noProof/>
            <w:webHidden/>
          </w:rPr>
          <w:t>15</w:t>
        </w:r>
        <w:r w:rsidR="003E5F43">
          <w:rPr>
            <w:noProof/>
            <w:webHidden/>
          </w:rPr>
          <w:fldChar w:fldCharType="end"/>
        </w:r>
      </w:hyperlink>
    </w:p>
    <w:p w14:paraId="345B3CE6" w14:textId="6FCAC7E5" w:rsidR="003E5F43" w:rsidRPr="003E5F43" w:rsidRDefault="00F75445">
      <w:pPr>
        <w:pStyle w:val="TOC1"/>
        <w:tabs>
          <w:tab w:val="right" w:leader="hyphen" w:pos="8302"/>
        </w:tabs>
        <w:rPr>
          <w:rFonts w:ascii="等线" w:eastAsia="等线" w:hAnsi="等线"/>
          <w:noProof/>
        </w:rPr>
      </w:pPr>
      <w:hyperlink w:anchor="_Toc155088983" w:history="1">
        <w:r w:rsidR="003E5F43" w:rsidRPr="005D5979">
          <w:rPr>
            <w:rStyle w:val="af3"/>
            <w:rFonts w:ascii="宋体" w:hAnsi="宋体"/>
            <w:noProof/>
          </w:rPr>
          <w:t>六、指令的发送、确认和执行</w:t>
        </w:r>
        <w:r w:rsidR="003E5F43">
          <w:rPr>
            <w:noProof/>
            <w:webHidden/>
          </w:rPr>
          <w:tab/>
        </w:r>
        <w:r w:rsidR="003E5F43">
          <w:rPr>
            <w:noProof/>
            <w:webHidden/>
          </w:rPr>
          <w:fldChar w:fldCharType="begin"/>
        </w:r>
        <w:r w:rsidR="003E5F43">
          <w:rPr>
            <w:noProof/>
            <w:webHidden/>
          </w:rPr>
          <w:instrText xml:space="preserve"> PAGEREF _Toc155088983 \h </w:instrText>
        </w:r>
        <w:r w:rsidR="003E5F43">
          <w:rPr>
            <w:noProof/>
            <w:webHidden/>
          </w:rPr>
        </w:r>
        <w:r w:rsidR="003E5F43">
          <w:rPr>
            <w:noProof/>
            <w:webHidden/>
          </w:rPr>
          <w:fldChar w:fldCharType="separate"/>
        </w:r>
        <w:r w:rsidR="003E5F43">
          <w:rPr>
            <w:noProof/>
            <w:webHidden/>
          </w:rPr>
          <w:t>18</w:t>
        </w:r>
        <w:r w:rsidR="003E5F43">
          <w:rPr>
            <w:noProof/>
            <w:webHidden/>
          </w:rPr>
          <w:fldChar w:fldCharType="end"/>
        </w:r>
      </w:hyperlink>
    </w:p>
    <w:p w14:paraId="2B3C07D1" w14:textId="343F051B" w:rsidR="003E5F43" w:rsidRPr="003E5F43" w:rsidRDefault="00F75445">
      <w:pPr>
        <w:pStyle w:val="TOC1"/>
        <w:tabs>
          <w:tab w:val="right" w:leader="hyphen" w:pos="8302"/>
        </w:tabs>
        <w:rPr>
          <w:rFonts w:ascii="等线" w:eastAsia="等线" w:hAnsi="等线"/>
          <w:noProof/>
        </w:rPr>
      </w:pPr>
      <w:hyperlink w:anchor="_Toc155088984" w:history="1">
        <w:r w:rsidR="003E5F43" w:rsidRPr="005D5979">
          <w:rPr>
            <w:rStyle w:val="af3"/>
            <w:rFonts w:ascii="宋体" w:hAnsi="宋体"/>
            <w:noProof/>
          </w:rPr>
          <w:t>七、交易及清算交收安排</w:t>
        </w:r>
        <w:r w:rsidR="003E5F43">
          <w:rPr>
            <w:noProof/>
            <w:webHidden/>
          </w:rPr>
          <w:tab/>
        </w:r>
        <w:r w:rsidR="003E5F43">
          <w:rPr>
            <w:noProof/>
            <w:webHidden/>
          </w:rPr>
          <w:fldChar w:fldCharType="begin"/>
        </w:r>
        <w:r w:rsidR="003E5F43">
          <w:rPr>
            <w:noProof/>
            <w:webHidden/>
          </w:rPr>
          <w:instrText xml:space="preserve"> PAGEREF _Toc155088984 \h </w:instrText>
        </w:r>
        <w:r w:rsidR="003E5F43">
          <w:rPr>
            <w:noProof/>
            <w:webHidden/>
          </w:rPr>
        </w:r>
        <w:r w:rsidR="003E5F43">
          <w:rPr>
            <w:noProof/>
            <w:webHidden/>
          </w:rPr>
          <w:fldChar w:fldCharType="separate"/>
        </w:r>
        <w:r w:rsidR="003E5F43">
          <w:rPr>
            <w:noProof/>
            <w:webHidden/>
          </w:rPr>
          <w:t>21</w:t>
        </w:r>
        <w:r w:rsidR="003E5F43">
          <w:rPr>
            <w:noProof/>
            <w:webHidden/>
          </w:rPr>
          <w:fldChar w:fldCharType="end"/>
        </w:r>
      </w:hyperlink>
    </w:p>
    <w:p w14:paraId="3904A29C" w14:textId="5C1BF82A" w:rsidR="003E5F43" w:rsidRPr="003E5F43" w:rsidRDefault="00F75445">
      <w:pPr>
        <w:pStyle w:val="TOC1"/>
        <w:tabs>
          <w:tab w:val="right" w:leader="hyphen" w:pos="8302"/>
        </w:tabs>
        <w:rPr>
          <w:rFonts w:ascii="等线" w:eastAsia="等线" w:hAnsi="等线"/>
          <w:noProof/>
        </w:rPr>
      </w:pPr>
      <w:hyperlink w:anchor="_Toc155088985" w:history="1">
        <w:r w:rsidR="003E5F43" w:rsidRPr="005D5979">
          <w:rPr>
            <w:rStyle w:val="af3"/>
            <w:rFonts w:ascii="宋体" w:hAnsi="宋体"/>
            <w:noProof/>
          </w:rPr>
          <w:t>八、基金资产净值计算和会计核算</w:t>
        </w:r>
        <w:r w:rsidR="003E5F43">
          <w:rPr>
            <w:noProof/>
            <w:webHidden/>
          </w:rPr>
          <w:tab/>
        </w:r>
        <w:r w:rsidR="003E5F43">
          <w:rPr>
            <w:noProof/>
            <w:webHidden/>
          </w:rPr>
          <w:fldChar w:fldCharType="begin"/>
        </w:r>
        <w:r w:rsidR="003E5F43">
          <w:rPr>
            <w:noProof/>
            <w:webHidden/>
          </w:rPr>
          <w:instrText xml:space="preserve"> PAGEREF _Toc155088985 \h </w:instrText>
        </w:r>
        <w:r w:rsidR="003E5F43">
          <w:rPr>
            <w:noProof/>
            <w:webHidden/>
          </w:rPr>
        </w:r>
        <w:r w:rsidR="003E5F43">
          <w:rPr>
            <w:noProof/>
            <w:webHidden/>
          </w:rPr>
          <w:fldChar w:fldCharType="separate"/>
        </w:r>
        <w:r w:rsidR="003E5F43">
          <w:rPr>
            <w:noProof/>
            <w:webHidden/>
          </w:rPr>
          <w:t>24</w:t>
        </w:r>
        <w:r w:rsidR="003E5F43">
          <w:rPr>
            <w:noProof/>
            <w:webHidden/>
          </w:rPr>
          <w:fldChar w:fldCharType="end"/>
        </w:r>
      </w:hyperlink>
    </w:p>
    <w:p w14:paraId="01DF11AB" w14:textId="35D3D5AA" w:rsidR="003E5F43" w:rsidRPr="003E5F43" w:rsidRDefault="00F75445">
      <w:pPr>
        <w:pStyle w:val="TOC1"/>
        <w:tabs>
          <w:tab w:val="right" w:leader="hyphen" w:pos="8302"/>
        </w:tabs>
        <w:rPr>
          <w:rFonts w:ascii="等线" w:eastAsia="等线" w:hAnsi="等线"/>
          <w:noProof/>
        </w:rPr>
      </w:pPr>
      <w:hyperlink w:anchor="_Toc155088986" w:history="1">
        <w:r w:rsidR="003E5F43" w:rsidRPr="005D5979">
          <w:rPr>
            <w:rStyle w:val="af3"/>
            <w:rFonts w:ascii="宋体" w:hAnsi="宋体"/>
            <w:noProof/>
          </w:rPr>
          <w:t>九、基金收益分配</w:t>
        </w:r>
        <w:r w:rsidR="003E5F43">
          <w:rPr>
            <w:noProof/>
            <w:webHidden/>
          </w:rPr>
          <w:tab/>
        </w:r>
        <w:r w:rsidR="003E5F43">
          <w:rPr>
            <w:noProof/>
            <w:webHidden/>
          </w:rPr>
          <w:fldChar w:fldCharType="begin"/>
        </w:r>
        <w:r w:rsidR="003E5F43">
          <w:rPr>
            <w:noProof/>
            <w:webHidden/>
          </w:rPr>
          <w:instrText xml:space="preserve"> PAGEREF _Toc155088986 \h </w:instrText>
        </w:r>
        <w:r w:rsidR="003E5F43">
          <w:rPr>
            <w:noProof/>
            <w:webHidden/>
          </w:rPr>
        </w:r>
        <w:r w:rsidR="003E5F43">
          <w:rPr>
            <w:noProof/>
            <w:webHidden/>
          </w:rPr>
          <w:fldChar w:fldCharType="separate"/>
        </w:r>
        <w:r w:rsidR="003E5F43">
          <w:rPr>
            <w:noProof/>
            <w:webHidden/>
          </w:rPr>
          <w:t>32</w:t>
        </w:r>
        <w:r w:rsidR="003E5F43">
          <w:rPr>
            <w:noProof/>
            <w:webHidden/>
          </w:rPr>
          <w:fldChar w:fldCharType="end"/>
        </w:r>
      </w:hyperlink>
    </w:p>
    <w:p w14:paraId="65B57C2D" w14:textId="40B35714" w:rsidR="003E5F43" w:rsidRPr="003E5F43" w:rsidRDefault="00F75445">
      <w:pPr>
        <w:pStyle w:val="TOC1"/>
        <w:tabs>
          <w:tab w:val="right" w:leader="hyphen" w:pos="8302"/>
        </w:tabs>
        <w:rPr>
          <w:rFonts w:ascii="等线" w:eastAsia="等线" w:hAnsi="等线"/>
          <w:noProof/>
        </w:rPr>
      </w:pPr>
      <w:hyperlink w:anchor="_Toc155088987" w:history="1">
        <w:r w:rsidR="003E5F43" w:rsidRPr="005D5979">
          <w:rPr>
            <w:rStyle w:val="af3"/>
            <w:rFonts w:ascii="宋体" w:hAnsi="宋体"/>
            <w:noProof/>
          </w:rPr>
          <w:t>十、信息披露</w:t>
        </w:r>
        <w:r w:rsidR="003E5F43">
          <w:rPr>
            <w:noProof/>
            <w:webHidden/>
          </w:rPr>
          <w:tab/>
        </w:r>
        <w:r w:rsidR="003E5F43">
          <w:rPr>
            <w:noProof/>
            <w:webHidden/>
          </w:rPr>
          <w:fldChar w:fldCharType="begin"/>
        </w:r>
        <w:r w:rsidR="003E5F43">
          <w:rPr>
            <w:noProof/>
            <w:webHidden/>
          </w:rPr>
          <w:instrText xml:space="preserve"> PAGEREF _Toc155088987 \h </w:instrText>
        </w:r>
        <w:r w:rsidR="003E5F43">
          <w:rPr>
            <w:noProof/>
            <w:webHidden/>
          </w:rPr>
        </w:r>
        <w:r w:rsidR="003E5F43">
          <w:rPr>
            <w:noProof/>
            <w:webHidden/>
          </w:rPr>
          <w:fldChar w:fldCharType="separate"/>
        </w:r>
        <w:r w:rsidR="003E5F43">
          <w:rPr>
            <w:noProof/>
            <w:webHidden/>
          </w:rPr>
          <w:t>34</w:t>
        </w:r>
        <w:r w:rsidR="003E5F43">
          <w:rPr>
            <w:noProof/>
            <w:webHidden/>
          </w:rPr>
          <w:fldChar w:fldCharType="end"/>
        </w:r>
      </w:hyperlink>
    </w:p>
    <w:p w14:paraId="7E69A6E2" w14:textId="7F6AA537" w:rsidR="003E5F43" w:rsidRPr="003E5F43" w:rsidRDefault="00F75445">
      <w:pPr>
        <w:pStyle w:val="TOC1"/>
        <w:tabs>
          <w:tab w:val="right" w:leader="hyphen" w:pos="8302"/>
        </w:tabs>
        <w:rPr>
          <w:rFonts w:ascii="等线" w:eastAsia="等线" w:hAnsi="等线"/>
          <w:noProof/>
        </w:rPr>
      </w:pPr>
      <w:hyperlink w:anchor="_Toc155088988" w:history="1">
        <w:r w:rsidR="003E5F43" w:rsidRPr="005D5979">
          <w:rPr>
            <w:rStyle w:val="af3"/>
            <w:rFonts w:ascii="宋体" w:hAnsi="宋体"/>
            <w:noProof/>
          </w:rPr>
          <w:t>十一、基金费用</w:t>
        </w:r>
        <w:r w:rsidR="003E5F43">
          <w:rPr>
            <w:noProof/>
            <w:webHidden/>
          </w:rPr>
          <w:tab/>
        </w:r>
        <w:r w:rsidR="003E5F43">
          <w:rPr>
            <w:noProof/>
            <w:webHidden/>
          </w:rPr>
          <w:fldChar w:fldCharType="begin"/>
        </w:r>
        <w:r w:rsidR="003E5F43">
          <w:rPr>
            <w:noProof/>
            <w:webHidden/>
          </w:rPr>
          <w:instrText xml:space="preserve"> PAGEREF _Toc155088988 \h </w:instrText>
        </w:r>
        <w:r w:rsidR="003E5F43">
          <w:rPr>
            <w:noProof/>
            <w:webHidden/>
          </w:rPr>
        </w:r>
        <w:r w:rsidR="003E5F43">
          <w:rPr>
            <w:noProof/>
            <w:webHidden/>
          </w:rPr>
          <w:fldChar w:fldCharType="separate"/>
        </w:r>
        <w:r w:rsidR="003E5F43">
          <w:rPr>
            <w:noProof/>
            <w:webHidden/>
          </w:rPr>
          <w:t>36</w:t>
        </w:r>
        <w:r w:rsidR="003E5F43">
          <w:rPr>
            <w:noProof/>
            <w:webHidden/>
          </w:rPr>
          <w:fldChar w:fldCharType="end"/>
        </w:r>
      </w:hyperlink>
    </w:p>
    <w:p w14:paraId="36342975" w14:textId="2A99ECDE" w:rsidR="003E5F43" w:rsidRPr="003E5F43" w:rsidRDefault="00F75445">
      <w:pPr>
        <w:pStyle w:val="TOC1"/>
        <w:tabs>
          <w:tab w:val="right" w:leader="hyphen" w:pos="8302"/>
        </w:tabs>
        <w:rPr>
          <w:rFonts w:ascii="等线" w:eastAsia="等线" w:hAnsi="等线"/>
          <w:noProof/>
        </w:rPr>
      </w:pPr>
      <w:hyperlink w:anchor="_Toc155088989" w:history="1">
        <w:r w:rsidR="003E5F43" w:rsidRPr="005D5979">
          <w:rPr>
            <w:rStyle w:val="af3"/>
            <w:rFonts w:ascii="宋体" w:hAnsi="宋体"/>
            <w:noProof/>
          </w:rPr>
          <w:t>十二、基金份额持有人名册的保管</w:t>
        </w:r>
        <w:r w:rsidR="003E5F43">
          <w:rPr>
            <w:noProof/>
            <w:webHidden/>
          </w:rPr>
          <w:tab/>
        </w:r>
        <w:r w:rsidR="003E5F43">
          <w:rPr>
            <w:noProof/>
            <w:webHidden/>
          </w:rPr>
          <w:fldChar w:fldCharType="begin"/>
        </w:r>
        <w:r w:rsidR="003E5F43">
          <w:rPr>
            <w:noProof/>
            <w:webHidden/>
          </w:rPr>
          <w:instrText xml:space="preserve"> PAGEREF _Toc155088989 \h </w:instrText>
        </w:r>
        <w:r w:rsidR="003E5F43">
          <w:rPr>
            <w:noProof/>
            <w:webHidden/>
          </w:rPr>
        </w:r>
        <w:r w:rsidR="003E5F43">
          <w:rPr>
            <w:noProof/>
            <w:webHidden/>
          </w:rPr>
          <w:fldChar w:fldCharType="separate"/>
        </w:r>
        <w:r w:rsidR="003E5F43">
          <w:rPr>
            <w:noProof/>
            <w:webHidden/>
          </w:rPr>
          <w:t>38</w:t>
        </w:r>
        <w:r w:rsidR="003E5F43">
          <w:rPr>
            <w:noProof/>
            <w:webHidden/>
          </w:rPr>
          <w:fldChar w:fldCharType="end"/>
        </w:r>
      </w:hyperlink>
    </w:p>
    <w:p w14:paraId="0A274300" w14:textId="7CBDD0A7" w:rsidR="003E5F43" w:rsidRPr="003E5F43" w:rsidRDefault="00F75445">
      <w:pPr>
        <w:pStyle w:val="TOC1"/>
        <w:tabs>
          <w:tab w:val="right" w:leader="hyphen" w:pos="8302"/>
        </w:tabs>
        <w:rPr>
          <w:rFonts w:ascii="等线" w:eastAsia="等线" w:hAnsi="等线"/>
          <w:noProof/>
        </w:rPr>
      </w:pPr>
      <w:hyperlink w:anchor="_Toc155088990" w:history="1">
        <w:r w:rsidR="003E5F43" w:rsidRPr="005D5979">
          <w:rPr>
            <w:rStyle w:val="af3"/>
            <w:rFonts w:ascii="宋体" w:hAnsi="宋体"/>
            <w:noProof/>
          </w:rPr>
          <w:t>十三、基金有关文件和档案的保存</w:t>
        </w:r>
        <w:r w:rsidR="003E5F43">
          <w:rPr>
            <w:noProof/>
            <w:webHidden/>
          </w:rPr>
          <w:tab/>
        </w:r>
        <w:r w:rsidR="003E5F43">
          <w:rPr>
            <w:noProof/>
            <w:webHidden/>
          </w:rPr>
          <w:fldChar w:fldCharType="begin"/>
        </w:r>
        <w:r w:rsidR="003E5F43">
          <w:rPr>
            <w:noProof/>
            <w:webHidden/>
          </w:rPr>
          <w:instrText xml:space="preserve"> PAGEREF _Toc155088990 \h </w:instrText>
        </w:r>
        <w:r w:rsidR="003E5F43">
          <w:rPr>
            <w:noProof/>
            <w:webHidden/>
          </w:rPr>
        </w:r>
        <w:r w:rsidR="003E5F43">
          <w:rPr>
            <w:noProof/>
            <w:webHidden/>
          </w:rPr>
          <w:fldChar w:fldCharType="separate"/>
        </w:r>
        <w:r w:rsidR="003E5F43">
          <w:rPr>
            <w:noProof/>
            <w:webHidden/>
          </w:rPr>
          <w:t>39</w:t>
        </w:r>
        <w:r w:rsidR="003E5F43">
          <w:rPr>
            <w:noProof/>
            <w:webHidden/>
          </w:rPr>
          <w:fldChar w:fldCharType="end"/>
        </w:r>
      </w:hyperlink>
    </w:p>
    <w:p w14:paraId="1F421425" w14:textId="10A65E55" w:rsidR="003E5F43" w:rsidRPr="003E5F43" w:rsidRDefault="00F75445">
      <w:pPr>
        <w:pStyle w:val="TOC1"/>
        <w:tabs>
          <w:tab w:val="right" w:leader="hyphen" w:pos="8302"/>
        </w:tabs>
        <w:rPr>
          <w:rFonts w:ascii="等线" w:eastAsia="等线" w:hAnsi="等线"/>
          <w:noProof/>
        </w:rPr>
      </w:pPr>
      <w:hyperlink w:anchor="_Toc155088991" w:history="1">
        <w:r w:rsidR="003E5F43" w:rsidRPr="005D5979">
          <w:rPr>
            <w:rStyle w:val="af3"/>
            <w:rFonts w:ascii="宋体" w:hAnsi="宋体"/>
            <w:noProof/>
          </w:rPr>
          <w:t>十四、基金管理人和基金托管人的更换</w:t>
        </w:r>
        <w:r w:rsidR="003E5F43">
          <w:rPr>
            <w:noProof/>
            <w:webHidden/>
          </w:rPr>
          <w:tab/>
        </w:r>
        <w:r w:rsidR="003E5F43">
          <w:rPr>
            <w:noProof/>
            <w:webHidden/>
          </w:rPr>
          <w:fldChar w:fldCharType="begin"/>
        </w:r>
        <w:r w:rsidR="003E5F43">
          <w:rPr>
            <w:noProof/>
            <w:webHidden/>
          </w:rPr>
          <w:instrText xml:space="preserve"> PAGEREF _Toc155088991 \h </w:instrText>
        </w:r>
        <w:r w:rsidR="003E5F43">
          <w:rPr>
            <w:noProof/>
            <w:webHidden/>
          </w:rPr>
        </w:r>
        <w:r w:rsidR="003E5F43">
          <w:rPr>
            <w:noProof/>
            <w:webHidden/>
          </w:rPr>
          <w:fldChar w:fldCharType="separate"/>
        </w:r>
        <w:r w:rsidR="003E5F43">
          <w:rPr>
            <w:noProof/>
            <w:webHidden/>
          </w:rPr>
          <w:t>40</w:t>
        </w:r>
        <w:r w:rsidR="003E5F43">
          <w:rPr>
            <w:noProof/>
            <w:webHidden/>
          </w:rPr>
          <w:fldChar w:fldCharType="end"/>
        </w:r>
      </w:hyperlink>
    </w:p>
    <w:p w14:paraId="450B8B4F" w14:textId="3A6EA500" w:rsidR="003E5F43" w:rsidRPr="003E5F43" w:rsidRDefault="00F75445">
      <w:pPr>
        <w:pStyle w:val="TOC1"/>
        <w:tabs>
          <w:tab w:val="right" w:leader="hyphen" w:pos="8302"/>
        </w:tabs>
        <w:rPr>
          <w:rFonts w:ascii="等线" w:eastAsia="等线" w:hAnsi="等线"/>
          <w:noProof/>
        </w:rPr>
      </w:pPr>
      <w:hyperlink w:anchor="_Toc155088992" w:history="1">
        <w:r w:rsidR="003E5F43" w:rsidRPr="005D5979">
          <w:rPr>
            <w:rStyle w:val="af3"/>
            <w:rFonts w:ascii="宋体" w:hAnsi="宋体"/>
            <w:noProof/>
          </w:rPr>
          <w:t>十五、禁止行为</w:t>
        </w:r>
        <w:r w:rsidR="003E5F43">
          <w:rPr>
            <w:noProof/>
            <w:webHidden/>
          </w:rPr>
          <w:tab/>
        </w:r>
        <w:r w:rsidR="003E5F43">
          <w:rPr>
            <w:noProof/>
            <w:webHidden/>
          </w:rPr>
          <w:fldChar w:fldCharType="begin"/>
        </w:r>
        <w:r w:rsidR="003E5F43">
          <w:rPr>
            <w:noProof/>
            <w:webHidden/>
          </w:rPr>
          <w:instrText xml:space="preserve"> PAGEREF _Toc155088992 \h </w:instrText>
        </w:r>
        <w:r w:rsidR="003E5F43">
          <w:rPr>
            <w:noProof/>
            <w:webHidden/>
          </w:rPr>
        </w:r>
        <w:r w:rsidR="003E5F43">
          <w:rPr>
            <w:noProof/>
            <w:webHidden/>
          </w:rPr>
          <w:fldChar w:fldCharType="separate"/>
        </w:r>
        <w:r w:rsidR="003E5F43">
          <w:rPr>
            <w:noProof/>
            <w:webHidden/>
          </w:rPr>
          <w:t>43</w:t>
        </w:r>
        <w:r w:rsidR="003E5F43">
          <w:rPr>
            <w:noProof/>
            <w:webHidden/>
          </w:rPr>
          <w:fldChar w:fldCharType="end"/>
        </w:r>
      </w:hyperlink>
    </w:p>
    <w:p w14:paraId="66EC348E" w14:textId="0DDD7FFC" w:rsidR="003E5F43" w:rsidRPr="003E5F43" w:rsidRDefault="00F75445">
      <w:pPr>
        <w:pStyle w:val="TOC1"/>
        <w:tabs>
          <w:tab w:val="right" w:leader="hyphen" w:pos="8302"/>
        </w:tabs>
        <w:rPr>
          <w:rFonts w:ascii="等线" w:eastAsia="等线" w:hAnsi="等线"/>
          <w:noProof/>
        </w:rPr>
      </w:pPr>
      <w:hyperlink w:anchor="_Toc155088993" w:history="1">
        <w:r w:rsidR="003E5F43" w:rsidRPr="005D5979">
          <w:rPr>
            <w:rStyle w:val="af3"/>
            <w:rFonts w:ascii="宋体" w:hAnsi="宋体"/>
            <w:noProof/>
          </w:rPr>
          <w:t>十六、基金托管协议的变更、终止与基金财产的清算</w:t>
        </w:r>
        <w:r w:rsidR="003E5F43">
          <w:rPr>
            <w:noProof/>
            <w:webHidden/>
          </w:rPr>
          <w:tab/>
        </w:r>
        <w:r w:rsidR="003E5F43">
          <w:rPr>
            <w:noProof/>
            <w:webHidden/>
          </w:rPr>
          <w:fldChar w:fldCharType="begin"/>
        </w:r>
        <w:r w:rsidR="003E5F43">
          <w:rPr>
            <w:noProof/>
            <w:webHidden/>
          </w:rPr>
          <w:instrText xml:space="preserve"> PAGEREF _Toc155088993 \h </w:instrText>
        </w:r>
        <w:r w:rsidR="003E5F43">
          <w:rPr>
            <w:noProof/>
            <w:webHidden/>
          </w:rPr>
        </w:r>
        <w:r w:rsidR="003E5F43">
          <w:rPr>
            <w:noProof/>
            <w:webHidden/>
          </w:rPr>
          <w:fldChar w:fldCharType="separate"/>
        </w:r>
        <w:r w:rsidR="003E5F43">
          <w:rPr>
            <w:noProof/>
            <w:webHidden/>
          </w:rPr>
          <w:t>44</w:t>
        </w:r>
        <w:r w:rsidR="003E5F43">
          <w:rPr>
            <w:noProof/>
            <w:webHidden/>
          </w:rPr>
          <w:fldChar w:fldCharType="end"/>
        </w:r>
      </w:hyperlink>
    </w:p>
    <w:p w14:paraId="0EA92A25" w14:textId="16C4F1FC" w:rsidR="003E5F43" w:rsidRPr="003E5F43" w:rsidRDefault="00F75445">
      <w:pPr>
        <w:pStyle w:val="TOC1"/>
        <w:tabs>
          <w:tab w:val="right" w:leader="hyphen" w:pos="8302"/>
        </w:tabs>
        <w:rPr>
          <w:rFonts w:ascii="等线" w:eastAsia="等线" w:hAnsi="等线"/>
          <w:noProof/>
        </w:rPr>
      </w:pPr>
      <w:hyperlink w:anchor="_Toc155088994" w:history="1">
        <w:r w:rsidR="003E5F43" w:rsidRPr="005D5979">
          <w:rPr>
            <w:rStyle w:val="af3"/>
            <w:rFonts w:ascii="宋体" w:hAnsi="宋体"/>
            <w:noProof/>
          </w:rPr>
          <w:t>十七、违约责任</w:t>
        </w:r>
        <w:r w:rsidR="003E5F43">
          <w:rPr>
            <w:noProof/>
            <w:webHidden/>
          </w:rPr>
          <w:tab/>
        </w:r>
        <w:r w:rsidR="003E5F43">
          <w:rPr>
            <w:noProof/>
            <w:webHidden/>
          </w:rPr>
          <w:fldChar w:fldCharType="begin"/>
        </w:r>
        <w:r w:rsidR="003E5F43">
          <w:rPr>
            <w:noProof/>
            <w:webHidden/>
          </w:rPr>
          <w:instrText xml:space="preserve"> PAGEREF _Toc155088994 \h </w:instrText>
        </w:r>
        <w:r w:rsidR="003E5F43">
          <w:rPr>
            <w:noProof/>
            <w:webHidden/>
          </w:rPr>
        </w:r>
        <w:r w:rsidR="003E5F43">
          <w:rPr>
            <w:noProof/>
            <w:webHidden/>
          </w:rPr>
          <w:fldChar w:fldCharType="separate"/>
        </w:r>
        <w:r w:rsidR="003E5F43">
          <w:rPr>
            <w:noProof/>
            <w:webHidden/>
          </w:rPr>
          <w:t>46</w:t>
        </w:r>
        <w:r w:rsidR="003E5F43">
          <w:rPr>
            <w:noProof/>
            <w:webHidden/>
          </w:rPr>
          <w:fldChar w:fldCharType="end"/>
        </w:r>
      </w:hyperlink>
    </w:p>
    <w:p w14:paraId="0AC278E7" w14:textId="3631583B" w:rsidR="003E5F43" w:rsidRPr="003E5F43" w:rsidRDefault="00F75445">
      <w:pPr>
        <w:pStyle w:val="TOC1"/>
        <w:tabs>
          <w:tab w:val="right" w:leader="hyphen" w:pos="8302"/>
        </w:tabs>
        <w:rPr>
          <w:rFonts w:ascii="等线" w:eastAsia="等线" w:hAnsi="等线"/>
          <w:noProof/>
        </w:rPr>
      </w:pPr>
      <w:hyperlink w:anchor="_Toc155088995" w:history="1">
        <w:r w:rsidR="003E5F43" w:rsidRPr="005D5979">
          <w:rPr>
            <w:rStyle w:val="af3"/>
            <w:rFonts w:ascii="宋体" w:hAnsi="宋体"/>
            <w:noProof/>
          </w:rPr>
          <w:t>十八、争议解决方式</w:t>
        </w:r>
        <w:r w:rsidR="003E5F43">
          <w:rPr>
            <w:noProof/>
            <w:webHidden/>
          </w:rPr>
          <w:tab/>
        </w:r>
        <w:r w:rsidR="003E5F43">
          <w:rPr>
            <w:noProof/>
            <w:webHidden/>
          </w:rPr>
          <w:fldChar w:fldCharType="begin"/>
        </w:r>
        <w:r w:rsidR="003E5F43">
          <w:rPr>
            <w:noProof/>
            <w:webHidden/>
          </w:rPr>
          <w:instrText xml:space="preserve"> PAGEREF _Toc155088995 \h </w:instrText>
        </w:r>
        <w:r w:rsidR="003E5F43">
          <w:rPr>
            <w:noProof/>
            <w:webHidden/>
          </w:rPr>
        </w:r>
        <w:r w:rsidR="003E5F43">
          <w:rPr>
            <w:noProof/>
            <w:webHidden/>
          </w:rPr>
          <w:fldChar w:fldCharType="separate"/>
        </w:r>
        <w:r w:rsidR="003E5F43">
          <w:rPr>
            <w:noProof/>
            <w:webHidden/>
          </w:rPr>
          <w:t>48</w:t>
        </w:r>
        <w:r w:rsidR="003E5F43">
          <w:rPr>
            <w:noProof/>
            <w:webHidden/>
          </w:rPr>
          <w:fldChar w:fldCharType="end"/>
        </w:r>
      </w:hyperlink>
    </w:p>
    <w:p w14:paraId="61A4F6E1" w14:textId="42F33530" w:rsidR="003E5F43" w:rsidRPr="003E5F43" w:rsidRDefault="00F75445">
      <w:pPr>
        <w:pStyle w:val="TOC1"/>
        <w:tabs>
          <w:tab w:val="right" w:leader="hyphen" w:pos="8302"/>
        </w:tabs>
        <w:rPr>
          <w:rFonts w:ascii="等线" w:eastAsia="等线" w:hAnsi="等线"/>
          <w:noProof/>
        </w:rPr>
      </w:pPr>
      <w:hyperlink w:anchor="_Toc155088996" w:history="1">
        <w:r w:rsidR="003E5F43" w:rsidRPr="005D5979">
          <w:rPr>
            <w:rStyle w:val="af3"/>
            <w:rFonts w:ascii="宋体" w:hAnsi="宋体"/>
            <w:noProof/>
          </w:rPr>
          <w:t>十九、基金托管协议的效力</w:t>
        </w:r>
        <w:r w:rsidR="003E5F43">
          <w:rPr>
            <w:noProof/>
            <w:webHidden/>
          </w:rPr>
          <w:tab/>
        </w:r>
        <w:r w:rsidR="003E5F43">
          <w:rPr>
            <w:noProof/>
            <w:webHidden/>
          </w:rPr>
          <w:fldChar w:fldCharType="begin"/>
        </w:r>
        <w:r w:rsidR="003E5F43">
          <w:rPr>
            <w:noProof/>
            <w:webHidden/>
          </w:rPr>
          <w:instrText xml:space="preserve"> PAGEREF _Toc155088996 \h </w:instrText>
        </w:r>
        <w:r w:rsidR="003E5F43">
          <w:rPr>
            <w:noProof/>
            <w:webHidden/>
          </w:rPr>
        </w:r>
        <w:r w:rsidR="003E5F43">
          <w:rPr>
            <w:noProof/>
            <w:webHidden/>
          </w:rPr>
          <w:fldChar w:fldCharType="separate"/>
        </w:r>
        <w:r w:rsidR="003E5F43">
          <w:rPr>
            <w:noProof/>
            <w:webHidden/>
          </w:rPr>
          <w:t>49</w:t>
        </w:r>
        <w:r w:rsidR="003E5F43">
          <w:rPr>
            <w:noProof/>
            <w:webHidden/>
          </w:rPr>
          <w:fldChar w:fldCharType="end"/>
        </w:r>
      </w:hyperlink>
    </w:p>
    <w:p w14:paraId="10A00216" w14:textId="57991633" w:rsidR="003E5F43" w:rsidRPr="003E5F43" w:rsidRDefault="00F75445">
      <w:pPr>
        <w:pStyle w:val="TOC1"/>
        <w:tabs>
          <w:tab w:val="right" w:leader="hyphen" w:pos="8302"/>
        </w:tabs>
        <w:rPr>
          <w:rFonts w:ascii="等线" w:eastAsia="等线" w:hAnsi="等线"/>
          <w:noProof/>
        </w:rPr>
      </w:pPr>
      <w:hyperlink w:anchor="_Toc155088997" w:history="1">
        <w:r w:rsidR="003E5F43" w:rsidRPr="005D5979">
          <w:rPr>
            <w:rStyle w:val="af3"/>
            <w:rFonts w:ascii="宋体" w:hAnsi="宋体"/>
            <w:noProof/>
          </w:rPr>
          <w:t>二十、通知与送达</w:t>
        </w:r>
        <w:r w:rsidR="003E5F43">
          <w:rPr>
            <w:noProof/>
            <w:webHidden/>
          </w:rPr>
          <w:tab/>
        </w:r>
        <w:r w:rsidR="003E5F43">
          <w:rPr>
            <w:noProof/>
            <w:webHidden/>
          </w:rPr>
          <w:fldChar w:fldCharType="begin"/>
        </w:r>
        <w:r w:rsidR="003E5F43">
          <w:rPr>
            <w:noProof/>
            <w:webHidden/>
          </w:rPr>
          <w:instrText xml:space="preserve"> PAGEREF _Toc155088997 \h </w:instrText>
        </w:r>
        <w:r w:rsidR="003E5F43">
          <w:rPr>
            <w:noProof/>
            <w:webHidden/>
          </w:rPr>
        </w:r>
        <w:r w:rsidR="003E5F43">
          <w:rPr>
            <w:noProof/>
            <w:webHidden/>
          </w:rPr>
          <w:fldChar w:fldCharType="separate"/>
        </w:r>
        <w:r w:rsidR="003E5F43">
          <w:rPr>
            <w:noProof/>
            <w:webHidden/>
          </w:rPr>
          <w:t>50</w:t>
        </w:r>
        <w:r w:rsidR="003E5F43">
          <w:rPr>
            <w:noProof/>
            <w:webHidden/>
          </w:rPr>
          <w:fldChar w:fldCharType="end"/>
        </w:r>
      </w:hyperlink>
    </w:p>
    <w:p w14:paraId="657CD27E" w14:textId="22661361" w:rsidR="003E5F43" w:rsidRPr="003E5F43" w:rsidRDefault="00F75445">
      <w:pPr>
        <w:pStyle w:val="TOC1"/>
        <w:tabs>
          <w:tab w:val="right" w:leader="hyphen" w:pos="8302"/>
        </w:tabs>
        <w:rPr>
          <w:rFonts w:ascii="等线" w:eastAsia="等线" w:hAnsi="等线"/>
          <w:noProof/>
        </w:rPr>
      </w:pPr>
      <w:hyperlink w:anchor="_Toc155088998" w:history="1">
        <w:r w:rsidR="003E5F43" w:rsidRPr="005D5979">
          <w:rPr>
            <w:rStyle w:val="af3"/>
            <w:rFonts w:ascii="宋体" w:hAnsi="宋体"/>
            <w:noProof/>
          </w:rPr>
          <w:t>二十一、基金托管协议的签订</w:t>
        </w:r>
        <w:r w:rsidR="003E5F43">
          <w:rPr>
            <w:noProof/>
            <w:webHidden/>
          </w:rPr>
          <w:tab/>
        </w:r>
        <w:r w:rsidR="003E5F43">
          <w:rPr>
            <w:noProof/>
            <w:webHidden/>
          </w:rPr>
          <w:fldChar w:fldCharType="begin"/>
        </w:r>
        <w:r w:rsidR="003E5F43">
          <w:rPr>
            <w:noProof/>
            <w:webHidden/>
          </w:rPr>
          <w:instrText xml:space="preserve"> PAGEREF _Toc155088998 \h </w:instrText>
        </w:r>
        <w:r w:rsidR="003E5F43">
          <w:rPr>
            <w:noProof/>
            <w:webHidden/>
          </w:rPr>
        </w:r>
        <w:r w:rsidR="003E5F43">
          <w:rPr>
            <w:noProof/>
            <w:webHidden/>
          </w:rPr>
          <w:fldChar w:fldCharType="separate"/>
        </w:r>
        <w:r w:rsidR="003E5F43">
          <w:rPr>
            <w:noProof/>
            <w:webHidden/>
          </w:rPr>
          <w:t>52</w:t>
        </w:r>
        <w:r w:rsidR="003E5F43">
          <w:rPr>
            <w:noProof/>
            <w:webHidden/>
          </w:rPr>
          <w:fldChar w:fldCharType="end"/>
        </w:r>
      </w:hyperlink>
    </w:p>
    <w:p w14:paraId="522EC278" w14:textId="00A41713" w:rsidR="00700034" w:rsidRPr="008A679E" w:rsidRDefault="00700034" w:rsidP="00D963B0">
      <w:pPr>
        <w:spacing w:line="360" w:lineRule="auto"/>
        <w:ind w:firstLineChars="1100" w:firstLine="4840"/>
        <w:rPr>
          <w:rFonts w:ascii="宋体" w:hAnsi="宋体"/>
          <w:color w:val="0D0D0D"/>
          <w:sz w:val="28"/>
          <w:szCs w:val="28"/>
        </w:rPr>
      </w:pPr>
      <w:r w:rsidRPr="000B2C71">
        <w:rPr>
          <w:rFonts w:ascii="宋体" w:hAnsi="宋体"/>
          <w:color w:val="0D0D0D"/>
          <w:sz w:val="44"/>
          <w:szCs w:val="44"/>
        </w:rPr>
        <w:fldChar w:fldCharType="end"/>
      </w:r>
      <w:r w:rsidR="001E3F7E">
        <w:rPr>
          <w:rFonts w:ascii="宋体" w:hAnsi="宋体"/>
          <w:color w:val="0D0D0D"/>
          <w:sz w:val="28"/>
          <w:szCs w:val="28"/>
        </w:rPr>
        <w:br w:type="page"/>
      </w:r>
      <w:r w:rsidRPr="00240AA2">
        <w:rPr>
          <w:rFonts w:ascii="宋体" w:hAnsi="宋体" w:hint="eastAsia"/>
          <w:bCs/>
          <w:sz w:val="24"/>
          <w:szCs w:val="20"/>
        </w:rPr>
        <w:lastRenderedPageBreak/>
        <w:t>鉴于</w:t>
      </w:r>
      <w:r w:rsidR="00780929" w:rsidRPr="00240AA2">
        <w:rPr>
          <w:rFonts w:ascii="宋体" w:hAnsi="宋体" w:hint="eastAsia"/>
          <w:bCs/>
          <w:sz w:val="24"/>
          <w:szCs w:val="20"/>
        </w:rPr>
        <w:t>富达基金管理（中国）有限公司</w:t>
      </w:r>
      <w:r w:rsidRPr="00240AA2">
        <w:rPr>
          <w:rFonts w:ascii="宋体" w:hAnsi="宋体" w:hint="eastAsia"/>
          <w:bCs/>
          <w:sz w:val="24"/>
          <w:szCs w:val="20"/>
        </w:rPr>
        <w:t>系一家依照中国法律合法成立并有效存续的有限责任公司，按照相关法律法规的规定具备担任基金管理人的资格和能力，拟募集发行</w:t>
      </w:r>
      <w:r w:rsidR="00780929" w:rsidRPr="00240AA2">
        <w:rPr>
          <w:rFonts w:ascii="宋体" w:hAnsi="宋体" w:hint="eastAsia"/>
          <w:bCs/>
          <w:sz w:val="24"/>
          <w:szCs w:val="20"/>
        </w:rPr>
        <w:t>富达悦享红利优选</w:t>
      </w:r>
      <w:r w:rsidRPr="00240AA2">
        <w:rPr>
          <w:rFonts w:ascii="宋体" w:hAnsi="宋体" w:hint="eastAsia"/>
          <w:bCs/>
          <w:sz w:val="24"/>
          <w:szCs w:val="20"/>
        </w:rPr>
        <w:t>混合型证券投资基金</w:t>
      </w:r>
      <w:r w:rsidR="00780929" w:rsidRPr="00240AA2">
        <w:rPr>
          <w:rFonts w:ascii="宋体" w:hAnsi="宋体"/>
          <w:bCs/>
          <w:sz w:val="24"/>
          <w:szCs w:val="20"/>
        </w:rPr>
        <w:t>（以下简称“本基金”或“基金”）</w:t>
      </w:r>
      <w:r w:rsidRPr="00240AA2">
        <w:rPr>
          <w:rFonts w:ascii="宋体" w:hAnsi="宋体" w:hint="eastAsia"/>
          <w:bCs/>
          <w:sz w:val="24"/>
          <w:szCs w:val="20"/>
        </w:rPr>
        <w:t>；</w:t>
      </w:r>
    </w:p>
    <w:p w14:paraId="66E75859" w14:textId="77777777" w:rsidR="00700034" w:rsidRPr="00240AA2" w:rsidRDefault="00700034">
      <w:pPr>
        <w:spacing w:line="360" w:lineRule="auto"/>
        <w:ind w:firstLineChars="200" w:firstLine="480"/>
        <w:rPr>
          <w:rFonts w:ascii="宋体" w:hAnsi="宋体"/>
          <w:bCs/>
          <w:sz w:val="24"/>
          <w:szCs w:val="20"/>
        </w:rPr>
      </w:pPr>
      <w:r w:rsidRPr="00240AA2">
        <w:rPr>
          <w:rFonts w:ascii="宋体" w:hAnsi="宋体" w:hint="eastAsia"/>
          <w:bCs/>
          <w:sz w:val="24"/>
          <w:szCs w:val="20"/>
        </w:rPr>
        <w:t>鉴于中信银行股份有限公司系一家依照中国法律合法成立并有效存续的银行，按照相关法律法规的规定具备担任基金托管人的资格和能力；</w:t>
      </w:r>
    </w:p>
    <w:p w14:paraId="54354E9C" w14:textId="216F8BBE" w:rsidR="00700034" w:rsidRPr="00240AA2" w:rsidRDefault="00700034">
      <w:pPr>
        <w:spacing w:line="360" w:lineRule="auto"/>
        <w:ind w:firstLineChars="200" w:firstLine="480"/>
        <w:rPr>
          <w:rFonts w:ascii="宋体" w:hAnsi="宋体"/>
          <w:bCs/>
          <w:sz w:val="24"/>
          <w:szCs w:val="20"/>
        </w:rPr>
      </w:pPr>
      <w:r w:rsidRPr="00240AA2">
        <w:rPr>
          <w:rFonts w:ascii="宋体" w:hAnsi="宋体" w:hint="eastAsia"/>
          <w:bCs/>
          <w:sz w:val="24"/>
          <w:szCs w:val="20"/>
        </w:rPr>
        <w:t>鉴于</w:t>
      </w:r>
      <w:r w:rsidR="00780929" w:rsidRPr="00240AA2">
        <w:rPr>
          <w:rFonts w:ascii="宋体" w:hAnsi="宋体" w:hint="eastAsia"/>
          <w:bCs/>
          <w:sz w:val="24"/>
          <w:szCs w:val="20"/>
        </w:rPr>
        <w:t>富达基金管理（中国）有限公司</w:t>
      </w:r>
      <w:r w:rsidRPr="00240AA2">
        <w:rPr>
          <w:rFonts w:ascii="宋体" w:hAnsi="宋体" w:hint="eastAsia"/>
          <w:bCs/>
          <w:sz w:val="24"/>
          <w:szCs w:val="20"/>
        </w:rPr>
        <w:t>拟担任</w:t>
      </w:r>
      <w:r w:rsidR="00780929" w:rsidRPr="00240AA2">
        <w:rPr>
          <w:rFonts w:ascii="宋体" w:hAnsi="宋体" w:hint="eastAsia"/>
          <w:bCs/>
          <w:sz w:val="24"/>
          <w:szCs w:val="20"/>
        </w:rPr>
        <w:t>富达悦享红利优选</w:t>
      </w:r>
      <w:r w:rsidRPr="00240AA2">
        <w:rPr>
          <w:rFonts w:ascii="宋体" w:hAnsi="宋体" w:hint="eastAsia"/>
          <w:bCs/>
          <w:sz w:val="24"/>
          <w:szCs w:val="20"/>
        </w:rPr>
        <w:t>混合型证券投资基金的基金管理人，中信银行股份有限公司拟担任</w:t>
      </w:r>
      <w:r w:rsidR="00780929" w:rsidRPr="00240AA2">
        <w:rPr>
          <w:rFonts w:ascii="宋体" w:hAnsi="宋体" w:hint="eastAsia"/>
          <w:bCs/>
          <w:sz w:val="24"/>
          <w:szCs w:val="20"/>
        </w:rPr>
        <w:t>富达悦享红利优选</w:t>
      </w:r>
      <w:r w:rsidRPr="00240AA2">
        <w:rPr>
          <w:rFonts w:ascii="宋体" w:hAnsi="宋体" w:hint="eastAsia"/>
          <w:bCs/>
          <w:sz w:val="24"/>
          <w:szCs w:val="20"/>
        </w:rPr>
        <w:t>混合型证券投资基金的基金托管人；</w:t>
      </w:r>
    </w:p>
    <w:p w14:paraId="1C158F51" w14:textId="672BC403" w:rsidR="00700034" w:rsidRPr="00240AA2" w:rsidRDefault="00700034">
      <w:pPr>
        <w:spacing w:line="360" w:lineRule="auto"/>
        <w:ind w:firstLineChars="200" w:firstLine="480"/>
        <w:rPr>
          <w:rFonts w:ascii="宋体" w:hAnsi="宋体"/>
          <w:bCs/>
          <w:sz w:val="24"/>
          <w:szCs w:val="20"/>
        </w:rPr>
      </w:pPr>
      <w:r w:rsidRPr="00240AA2">
        <w:rPr>
          <w:rFonts w:ascii="宋体" w:hAnsi="宋体" w:hint="eastAsia"/>
          <w:bCs/>
          <w:sz w:val="24"/>
          <w:szCs w:val="20"/>
        </w:rPr>
        <w:t>为明确</w:t>
      </w:r>
      <w:r w:rsidR="00780929" w:rsidRPr="00240AA2">
        <w:rPr>
          <w:rFonts w:ascii="宋体" w:hAnsi="宋体" w:hint="eastAsia"/>
          <w:bCs/>
          <w:sz w:val="24"/>
          <w:szCs w:val="20"/>
        </w:rPr>
        <w:t>富达悦享红利优选</w:t>
      </w:r>
      <w:r w:rsidRPr="00240AA2">
        <w:rPr>
          <w:rFonts w:ascii="宋体" w:hAnsi="宋体" w:hint="eastAsia"/>
          <w:bCs/>
          <w:sz w:val="24"/>
          <w:szCs w:val="20"/>
        </w:rPr>
        <w:t>混合型证券投资基金的基金管理人和基金托管人之间的权利义务关系，特制订本托管协议；</w:t>
      </w:r>
    </w:p>
    <w:p w14:paraId="4ACA1C7A" w14:textId="799D0E81" w:rsidR="00700034" w:rsidRPr="00240AA2" w:rsidRDefault="00700034" w:rsidP="00002611">
      <w:pPr>
        <w:spacing w:line="360" w:lineRule="auto"/>
        <w:ind w:firstLineChars="200" w:firstLine="480"/>
        <w:rPr>
          <w:rFonts w:ascii="宋体" w:hAnsi="宋体"/>
          <w:bCs/>
          <w:sz w:val="24"/>
          <w:szCs w:val="20"/>
        </w:rPr>
      </w:pPr>
      <w:r w:rsidRPr="00240AA2">
        <w:rPr>
          <w:rFonts w:ascii="宋体" w:hAnsi="宋体" w:hint="eastAsia"/>
          <w:bCs/>
          <w:sz w:val="24"/>
          <w:szCs w:val="20"/>
        </w:rPr>
        <w:t>除非另有约定，《</w:t>
      </w:r>
      <w:r w:rsidR="00780929" w:rsidRPr="00240AA2">
        <w:rPr>
          <w:rFonts w:ascii="宋体" w:hAnsi="宋体" w:hint="eastAsia"/>
          <w:bCs/>
          <w:sz w:val="24"/>
          <w:szCs w:val="20"/>
        </w:rPr>
        <w:t>富达悦享红利优选</w:t>
      </w:r>
      <w:r w:rsidRPr="00240AA2">
        <w:rPr>
          <w:rFonts w:ascii="宋体" w:hAnsi="宋体" w:hint="eastAsia"/>
          <w:bCs/>
          <w:sz w:val="24"/>
          <w:szCs w:val="20"/>
        </w:rPr>
        <w:t>混合型证券投资基金基金合同》（以下简称“基金合同”）中定义的术语在用于本托管协议时应具有相同的含义；若有抵触应以基金合同为准，并依其条款解释。</w:t>
      </w:r>
    </w:p>
    <w:p w14:paraId="46B362EB" w14:textId="105EE6AB" w:rsidR="00700034" w:rsidRDefault="00700034">
      <w:pPr>
        <w:pStyle w:val="1"/>
        <w:jc w:val="center"/>
        <w:rPr>
          <w:rFonts w:ascii="宋体" w:hAnsi="宋体"/>
          <w:color w:val="0D0D0D"/>
        </w:rPr>
      </w:pPr>
      <w:r>
        <w:rPr>
          <w:rFonts w:ascii="宋体" w:hAnsi="宋体"/>
          <w:color w:val="0D0D0D"/>
        </w:rPr>
        <w:br w:type="page"/>
      </w:r>
      <w:bookmarkStart w:id="1" w:name="_Toc155088978"/>
      <w:r>
        <w:rPr>
          <w:rFonts w:ascii="宋体" w:hAnsi="宋体" w:hint="eastAsia"/>
          <w:color w:val="0D0D0D"/>
        </w:rPr>
        <w:lastRenderedPageBreak/>
        <w:t>一、基金托管协议当事人</w:t>
      </w:r>
      <w:bookmarkEnd w:id="1"/>
    </w:p>
    <w:p w14:paraId="23C3D982" w14:textId="77777777" w:rsidR="00240AA2" w:rsidRPr="00240AA2" w:rsidRDefault="00240AA2" w:rsidP="00240AA2"/>
    <w:p w14:paraId="6AE69FBE"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（一）基金管理人</w:t>
      </w:r>
    </w:p>
    <w:p w14:paraId="4E71E0C1" w14:textId="37284D92"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名称：富达基金管理（中国）有限公司</w:t>
      </w:r>
    </w:p>
    <w:p w14:paraId="01C81EC3" w14:textId="77777777" w:rsidR="00393496" w:rsidRDefault="00393496" w:rsidP="00393496">
      <w:pPr>
        <w:spacing w:line="360" w:lineRule="auto"/>
        <w:ind w:firstLineChars="200" w:firstLine="480"/>
        <w:rPr>
          <w:rFonts w:ascii="宋体" w:hAnsi="宋体"/>
          <w:bCs/>
          <w:sz w:val="24"/>
          <w:szCs w:val="20"/>
        </w:rPr>
      </w:pPr>
      <w:r>
        <w:rPr>
          <w:rFonts w:ascii="宋体" w:hAnsi="宋体" w:hint="eastAsia"/>
          <w:color w:val="0D0D0D"/>
          <w:sz w:val="24"/>
          <w:szCs w:val="24"/>
        </w:rPr>
        <w:t>注册地址：</w:t>
      </w:r>
      <w:r>
        <w:rPr>
          <w:rFonts w:ascii="宋体" w:hAnsi="宋体" w:hint="eastAsia"/>
          <w:bCs/>
          <w:sz w:val="24"/>
          <w:szCs w:val="20"/>
        </w:rPr>
        <w:t>中国（上海）自由贸易试验区世纪大道</w:t>
      </w:r>
      <w:r>
        <w:rPr>
          <w:rFonts w:ascii="宋体" w:hAnsi="宋体"/>
          <w:bCs/>
          <w:sz w:val="24"/>
          <w:szCs w:val="20"/>
        </w:rPr>
        <w:t>8号上海国金中心办公楼二期7层701室</w:t>
      </w:r>
    </w:p>
    <w:p w14:paraId="7550DFBA" w14:textId="77777777" w:rsidR="00393496" w:rsidRDefault="00393496" w:rsidP="00393496">
      <w:pPr>
        <w:spacing w:line="360" w:lineRule="auto"/>
        <w:ind w:firstLineChars="200" w:firstLine="480"/>
        <w:rPr>
          <w:rFonts w:ascii="宋体" w:hAnsi="宋体"/>
          <w:bCs/>
          <w:sz w:val="24"/>
          <w:szCs w:val="20"/>
        </w:rPr>
      </w:pPr>
      <w:r>
        <w:rPr>
          <w:rFonts w:ascii="宋体" w:hAnsi="宋体" w:hint="eastAsia"/>
          <w:color w:val="0D0D0D"/>
          <w:sz w:val="24"/>
          <w:szCs w:val="24"/>
        </w:rPr>
        <w:t>办公地址：</w:t>
      </w:r>
      <w:r>
        <w:rPr>
          <w:rFonts w:ascii="宋体" w:hAnsi="宋体" w:hint="eastAsia"/>
          <w:bCs/>
          <w:sz w:val="24"/>
          <w:szCs w:val="20"/>
        </w:rPr>
        <w:t>中国（上海）自由贸易试验区世纪大道</w:t>
      </w:r>
      <w:r>
        <w:rPr>
          <w:rFonts w:ascii="宋体" w:hAnsi="宋体"/>
          <w:bCs/>
          <w:sz w:val="24"/>
          <w:szCs w:val="20"/>
        </w:rPr>
        <w:t>8号上海国金中心办公楼二期7层701室</w:t>
      </w:r>
    </w:p>
    <w:p w14:paraId="3AA3C7F4"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邮政编码：200120</w:t>
      </w:r>
    </w:p>
    <w:p w14:paraId="383A9CE7" w14:textId="77777777" w:rsidR="00393496" w:rsidRDefault="00393496" w:rsidP="00393496">
      <w:pPr>
        <w:spacing w:line="360" w:lineRule="auto"/>
        <w:ind w:firstLineChars="200" w:firstLine="480"/>
        <w:rPr>
          <w:rFonts w:ascii="宋体" w:hAnsi="宋体"/>
          <w:bCs/>
          <w:sz w:val="24"/>
          <w:szCs w:val="20"/>
        </w:rPr>
      </w:pPr>
      <w:r>
        <w:rPr>
          <w:rFonts w:ascii="宋体" w:hAnsi="宋体" w:hint="eastAsia"/>
          <w:color w:val="0D0D0D"/>
          <w:sz w:val="24"/>
          <w:szCs w:val="24"/>
        </w:rPr>
        <w:t>法定代表人：</w:t>
      </w:r>
      <w:r>
        <w:rPr>
          <w:rFonts w:ascii="宋体" w:hAnsi="宋体"/>
          <w:bCs/>
          <w:sz w:val="24"/>
          <w:szCs w:val="20"/>
        </w:rPr>
        <w:t>XIAOYI HELEN HUANG</w:t>
      </w:r>
    </w:p>
    <w:p w14:paraId="3BA22BC6"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成立日期：</w:t>
      </w:r>
      <w:r>
        <w:rPr>
          <w:rFonts w:ascii="宋体" w:hAnsi="宋体"/>
          <w:bCs/>
          <w:sz w:val="24"/>
          <w:szCs w:val="20"/>
        </w:rPr>
        <w:t xml:space="preserve">2021年5 </w:t>
      </w:r>
      <w:r>
        <w:rPr>
          <w:rFonts w:ascii="宋体" w:hAnsi="宋体" w:hint="eastAsia"/>
          <w:bCs/>
          <w:sz w:val="24"/>
          <w:szCs w:val="20"/>
        </w:rPr>
        <w:t>月</w:t>
      </w:r>
      <w:r>
        <w:rPr>
          <w:rFonts w:ascii="宋体" w:hAnsi="宋体"/>
          <w:bCs/>
          <w:sz w:val="24"/>
          <w:szCs w:val="20"/>
        </w:rPr>
        <w:t xml:space="preserve">27 </w:t>
      </w:r>
      <w:r>
        <w:rPr>
          <w:rFonts w:ascii="宋体" w:hAnsi="宋体" w:hint="eastAsia"/>
          <w:bCs/>
          <w:sz w:val="24"/>
          <w:szCs w:val="20"/>
        </w:rPr>
        <w:t>日</w:t>
      </w:r>
    </w:p>
    <w:p w14:paraId="57762D4F"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批准设立机关及批准设立文号：</w:t>
      </w:r>
      <w:r>
        <w:rPr>
          <w:rFonts w:ascii="宋体" w:hAnsi="宋体" w:hint="eastAsia"/>
          <w:bCs/>
          <w:sz w:val="24"/>
          <w:szCs w:val="20"/>
        </w:rPr>
        <w:t>证监许可</w:t>
      </w:r>
      <w:r>
        <w:rPr>
          <w:rFonts w:ascii="宋体" w:hAnsi="宋体"/>
          <w:bCs/>
          <w:sz w:val="24"/>
          <w:szCs w:val="20"/>
        </w:rPr>
        <w:t>[2021]2605号</w:t>
      </w:r>
    </w:p>
    <w:p w14:paraId="6BB51C7E"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组织形式：</w:t>
      </w:r>
      <w:r>
        <w:rPr>
          <w:rFonts w:ascii="宋体" w:hAnsi="宋体" w:hint="eastAsia"/>
          <w:bCs/>
          <w:sz w:val="24"/>
          <w:szCs w:val="20"/>
        </w:rPr>
        <w:t>有限责任公司（外国法人独资）</w:t>
      </w:r>
    </w:p>
    <w:p w14:paraId="1E130416"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注册资本：</w:t>
      </w:r>
      <w:r>
        <w:rPr>
          <w:rFonts w:ascii="宋体" w:hAnsi="宋体"/>
          <w:bCs/>
          <w:sz w:val="24"/>
          <w:szCs w:val="20"/>
        </w:rPr>
        <w:t>13,000万美元</w:t>
      </w:r>
    </w:p>
    <w:p w14:paraId="5A9092A3"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存续期间：持续经营</w:t>
      </w:r>
    </w:p>
    <w:p w14:paraId="77565E77" w14:textId="77777777" w:rsidR="00393496" w:rsidRDefault="00393496" w:rsidP="00393496">
      <w:pPr>
        <w:spacing w:line="360" w:lineRule="auto"/>
        <w:ind w:firstLineChars="200" w:firstLine="480"/>
        <w:rPr>
          <w:rFonts w:ascii="宋体" w:hAnsi="宋体"/>
          <w:color w:val="0D0D0D"/>
          <w:sz w:val="24"/>
          <w:szCs w:val="24"/>
        </w:rPr>
      </w:pPr>
      <w:r>
        <w:rPr>
          <w:rFonts w:ascii="宋体" w:hAnsi="宋体" w:hint="eastAsia"/>
          <w:color w:val="0D0D0D"/>
          <w:sz w:val="24"/>
          <w:szCs w:val="24"/>
        </w:rPr>
        <w:t>经营范围：</w:t>
      </w:r>
      <w:r>
        <w:rPr>
          <w:rFonts w:hint="eastAsia"/>
          <w:kern w:val="0"/>
          <w:sz w:val="24"/>
        </w:rPr>
        <w:t>公募基金管理业务</w:t>
      </w:r>
    </w:p>
    <w:p w14:paraId="7E6D7C0C" w14:textId="4772E09C" w:rsidR="00700034" w:rsidRPr="00393496" w:rsidRDefault="00700034">
      <w:pPr>
        <w:spacing w:line="360" w:lineRule="auto"/>
        <w:ind w:firstLineChars="200" w:firstLine="480"/>
        <w:rPr>
          <w:rFonts w:ascii="宋体" w:hAnsi="宋体"/>
          <w:color w:val="0D0D0D"/>
          <w:sz w:val="24"/>
          <w:szCs w:val="24"/>
        </w:rPr>
      </w:pPr>
    </w:p>
    <w:p w14:paraId="493CC920"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（二）基金托管人</w:t>
      </w:r>
    </w:p>
    <w:p w14:paraId="3BFCB8B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名称：中信银行股份有限公司</w:t>
      </w:r>
    </w:p>
    <w:p w14:paraId="6946905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住所：北京市朝阳区光华路10号院1号楼6-30层、32-42层</w:t>
      </w:r>
    </w:p>
    <w:p w14:paraId="531BD688" w14:textId="1045F5D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法定代表人：</w:t>
      </w:r>
      <w:r w:rsidR="00393496">
        <w:rPr>
          <w:rFonts w:hint="eastAsia"/>
          <w:bCs/>
          <w:sz w:val="24"/>
        </w:rPr>
        <w:t>方合英</w:t>
      </w:r>
    </w:p>
    <w:p w14:paraId="6E020E7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成立时间：1987年4月20日</w:t>
      </w:r>
    </w:p>
    <w:p w14:paraId="5FF132F5"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批准设立文号：中华人民共和国国务院办公厅国办函[1987]14号</w:t>
      </w:r>
    </w:p>
    <w:p w14:paraId="433CD17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基金托管业务批准文号：中国证监会证监基金字[2004]125号</w:t>
      </w:r>
    </w:p>
    <w:p w14:paraId="0F3CDB1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组织形式：股份有限公司</w:t>
      </w:r>
    </w:p>
    <w:p w14:paraId="2CADA37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注册资本：489.35亿元人民币</w:t>
      </w:r>
    </w:p>
    <w:p w14:paraId="1C643F0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存续期间：持续经营</w:t>
      </w:r>
    </w:p>
    <w:p w14:paraId="4CD3D27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经营范围：保险兼业代理业务；吸收公众存款；发放短期、中期和长期贷款；办理国内外结算；办理票据承兑与贴现；发行金融债券；代理发行、代理兑付、</w:t>
      </w:r>
      <w:r>
        <w:rPr>
          <w:rFonts w:ascii="宋体" w:hAnsi="宋体" w:hint="eastAsia"/>
          <w:color w:val="0D0D0D"/>
          <w:sz w:val="24"/>
          <w:szCs w:val="24"/>
        </w:rPr>
        <w:lastRenderedPageBreak/>
        <w:t>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94375FB" w14:textId="54F5A12F" w:rsidR="00700034" w:rsidRDefault="00700034">
      <w:pPr>
        <w:pStyle w:val="1"/>
        <w:jc w:val="center"/>
        <w:rPr>
          <w:rFonts w:ascii="宋体" w:hAnsi="宋体"/>
          <w:color w:val="0D0D0D"/>
        </w:rPr>
      </w:pPr>
      <w:r>
        <w:rPr>
          <w:rFonts w:ascii="宋体" w:hAnsi="宋体"/>
          <w:color w:val="0D0D0D"/>
          <w:sz w:val="24"/>
          <w:szCs w:val="24"/>
        </w:rPr>
        <w:br w:type="page"/>
      </w:r>
      <w:bookmarkStart w:id="2" w:name="_Toc155088979"/>
      <w:r>
        <w:rPr>
          <w:rFonts w:ascii="宋体" w:hAnsi="宋体" w:hint="eastAsia"/>
          <w:color w:val="0D0D0D"/>
        </w:rPr>
        <w:lastRenderedPageBreak/>
        <w:t>二、基金托管协议的依据、目的和原则</w:t>
      </w:r>
      <w:bookmarkEnd w:id="2"/>
    </w:p>
    <w:p w14:paraId="6E355DDD" w14:textId="77777777" w:rsidR="00240AA2" w:rsidRPr="00240AA2" w:rsidRDefault="00240AA2" w:rsidP="00240AA2"/>
    <w:p w14:paraId="2C1227FA" w14:textId="7DDF9CEE"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订立本协议的依据是《中华人民共和国证券投资基金法》（以下简称“《基金法》”）、《公开募集证券投资基金运作管理办法》（以下简称“《运作办法》”）、《</w:t>
      </w:r>
      <w:r>
        <w:rPr>
          <w:bCs/>
          <w:sz w:val="24"/>
        </w:rPr>
        <w:t>公开募集证券投资基金销售机构监督管理办法</w:t>
      </w:r>
      <w:r>
        <w:rPr>
          <w:rFonts w:ascii="宋体" w:hAnsi="宋体" w:hint="eastAsia"/>
          <w:color w:val="0D0D0D"/>
          <w:sz w:val="24"/>
          <w:szCs w:val="24"/>
        </w:rPr>
        <w:t>》、《公开募集证券投资基金信息披露管理办法》（以下简称“《信息披露办法》”）、《证券基金经营机构参与内地与香港股票市场交易互联互通指引》、《公开募集开放式证券投资基金流动性风险管理规定》、《证券投资基金信息披露内容与格式准则第7号〈托管协议的内容与格式〉》、《</w:t>
      </w:r>
      <w:r w:rsidR="00780929">
        <w:rPr>
          <w:rFonts w:ascii="宋体" w:hAnsi="宋体" w:hint="eastAsia"/>
          <w:color w:val="0D0D0D"/>
          <w:sz w:val="24"/>
          <w:szCs w:val="24"/>
        </w:rPr>
        <w:t>富达悦享红利优选</w:t>
      </w:r>
      <w:r>
        <w:rPr>
          <w:rFonts w:ascii="宋体" w:hAnsi="宋体" w:hint="eastAsia"/>
          <w:color w:val="0D0D0D"/>
          <w:sz w:val="24"/>
          <w:szCs w:val="24"/>
        </w:rPr>
        <w:t>混合型证券投资基金基金合同》（以下简称“基金合同”）及其他有关规定。</w:t>
      </w:r>
    </w:p>
    <w:p w14:paraId="4F947D2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E92517C" w14:textId="33E796B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基金管理人和基金托管人本着平等自愿、诚实信用、充分保护基金份额持有人合法权益的原则，经协商一致，签订本协议。</w:t>
      </w:r>
    </w:p>
    <w:p w14:paraId="7EF0F1F4" w14:textId="2A38829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若本基金实施侧袋机制的，侧袋机制实施期间的相关安排见基金合同和招募说明书的规定。</w:t>
      </w:r>
    </w:p>
    <w:p w14:paraId="7C7F160C" w14:textId="77777777" w:rsidR="00700034" w:rsidRDefault="00700034">
      <w:pPr>
        <w:pStyle w:val="1"/>
        <w:jc w:val="center"/>
        <w:rPr>
          <w:rFonts w:ascii="宋体" w:hAnsi="宋体"/>
          <w:color w:val="0D0D0D"/>
        </w:rPr>
      </w:pPr>
      <w:r>
        <w:rPr>
          <w:rFonts w:ascii="宋体" w:hAnsi="宋体"/>
          <w:color w:val="0D0D0D"/>
          <w:sz w:val="24"/>
          <w:szCs w:val="24"/>
        </w:rPr>
        <w:br w:type="page"/>
      </w:r>
      <w:bookmarkStart w:id="3" w:name="_Toc155088980"/>
      <w:r>
        <w:rPr>
          <w:rFonts w:ascii="宋体" w:hAnsi="宋体" w:hint="eastAsia"/>
          <w:color w:val="0D0D0D"/>
        </w:rPr>
        <w:lastRenderedPageBreak/>
        <w:t>三、基金托管人对基金管理人的业务监督和核查</w:t>
      </w:r>
      <w:bookmarkEnd w:id="3"/>
    </w:p>
    <w:p w14:paraId="327DC6AB" w14:textId="77777777" w:rsidR="00700034" w:rsidRDefault="00700034">
      <w:pPr>
        <w:spacing w:line="360" w:lineRule="auto"/>
        <w:ind w:firstLineChars="200" w:firstLine="480"/>
        <w:rPr>
          <w:rFonts w:ascii="宋体" w:hAnsi="宋体"/>
          <w:color w:val="0D0D0D"/>
          <w:sz w:val="24"/>
          <w:szCs w:val="24"/>
        </w:rPr>
      </w:pPr>
    </w:p>
    <w:p w14:paraId="1E3B4EC9" w14:textId="77777777" w:rsidR="00700034" w:rsidRDefault="00700034">
      <w:pPr>
        <w:spacing w:line="360" w:lineRule="auto"/>
        <w:ind w:firstLineChars="200" w:firstLine="480"/>
        <w:rPr>
          <w:rFonts w:ascii="宋体" w:hAnsi="宋体"/>
          <w:color w:val="0D0D0D"/>
          <w:sz w:val="24"/>
          <w:szCs w:val="24"/>
        </w:rPr>
      </w:pPr>
      <w:bookmarkStart w:id="4" w:name="_Hlk151825456"/>
      <w:r>
        <w:rPr>
          <w:rFonts w:ascii="宋体" w:hAnsi="宋体" w:hint="eastAsia"/>
          <w:color w:val="0D0D0D"/>
          <w:sz w:val="24"/>
          <w:szCs w:val="24"/>
        </w:rPr>
        <w:t>（一）基金托管人对基金管理人的投资行为行使监督权</w:t>
      </w:r>
    </w:p>
    <w:p w14:paraId="72ED0B14" w14:textId="77777777" w:rsidR="00BB38FD" w:rsidRDefault="00700034" w:rsidP="003366DE">
      <w:pPr>
        <w:spacing w:line="360" w:lineRule="auto"/>
        <w:ind w:firstLine="480"/>
        <w:rPr>
          <w:rFonts w:ascii="宋体" w:hAnsi="宋体"/>
          <w:color w:val="0D0D0D"/>
          <w:sz w:val="24"/>
          <w:szCs w:val="24"/>
        </w:rPr>
      </w:pPr>
      <w:r>
        <w:rPr>
          <w:rFonts w:ascii="宋体" w:hAnsi="宋体" w:hint="eastAsia"/>
          <w:color w:val="0D0D0D"/>
          <w:sz w:val="24"/>
          <w:szCs w:val="24"/>
        </w:rPr>
        <w:t>1．基金托管人根据有关法律法规的规定和基金合同的约定，对下述基金投资范围、投资对象进行监督。</w:t>
      </w:r>
    </w:p>
    <w:p w14:paraId="08048840" w14:textId="19427184" w:rsidR="00002611" w:rsidRDefault="00700034" w:rsidP="00002611">
      <w:pPr>
        <w:spacing w:line="360" w:lineRule="auto"/>
        <w:ind w:firstLine="480"/>
        <w:rPr>
          <w:bCs/>
          <w:sz w:val="24"/>
        </w:rPr>
      </w:pPr>
      <w:r>
        <w:rPr>
          <w:rFonts w:ascii="宋体" w:hAnsi="宋体" w:hint="eastAsia"/>
          <w:color w:val="0D0D0D"/>
          <w:sz w:val="24"/>
          <w:szCs w:val="24"/>
        </w:rPr>
        <w:t>本基金将投资于以下金融工具：</w:t>
      </w:r>
      <w:bookmarkStart w:id="5" w:name="_Hlk129720672"/>
      <w:bookmarkStart w:id="6" w:name="_Hlk108607913"/>
      <w:bookmarkStart w:id="7" w:name="_Hlk118118359"/>
      <w:bookmarkStart w:id="8" w:name="_Hlk132717946"/>
      <w:bookmarkStart w:id="9" w:name="_Hlk108906698"/>
      <w:bookmarkStart w:id="10" w:name="_Hlk149991500"/>
      <w:bookmarkStart w:id="11" w:name="_Hlk129461638"/>
      <w:r w:rsidR="00002611" w:rsidRPr="00EA11DF">
        <w:rPr>
          <w:rFonts w:hint="eastAsia"/>
          <w:bCs/>
          <w:sz w:val="24"/>
        </w:rPr>
        <w:t>本基金的投资范围为具有良好流动性的金融工具，包括国内依法发行上市的股票（包括主板、创业板及其他中国证监会允许基金投资的股票、存托凭证）、</w:t>
      </w:r>
      <w:bookmarkStart w:id="12" w:name="_Hlk118118369"/>
      <w:r w:rsidR="00002611" w:rsidRPr="00EA11DF">
        <w:rPr>
          <w:rFonts w:hint="eastAsia"/>
          <w:bCs/>
          <w:sz w:val="24"/>
        </w:rPr>
        <w:t>港股通标的股票、</w:t>
      </w:r>
      <w:bookmarkStart w:id="13" w:name="_Hlk78878515"/>
      <w:r w:rsidR="00002611" w:rsidRPr="00EA11DF">
        <w:rPr>
          <w:rFonts w:hint="eastAsia"/>
          <w:bCs/>
          <w:sz w:val="24"/>
        </w:rPr>
        <w:t>债券</w:t>
      </w:r>
      <w:bookmarkEnd w:id="12"/>
      <w:r w:rsidR="00002611" w:rsidRPr="00EA11DF">
        <w:rPr>
          <w:rFonts w:hint="eastAsia"/>
          <w:bCs/>
          <w:sz w:val="24"/>
        </w:rPr>
        <w:t>（国债、央行票据、金融债、地方政府债券、</w:t>
      </w:r>
      <w:bookmarkEnd w:id="13"/>
      <w:r w:rsidR="00002611" w:rsidRPr="00EA11DF">
        <w:rPr>
          <w:rFonts w:hint="eastAsia"/>
          <w:bCs/>
          <w:sz w:val="24"/>
        </w:rPr>
        <w:t>公司债、企业债、政府支持机构债、中期票据、短期融资券、超短期融资券、次级债、可转换债券、可交换债券）</w:t>
      </w:r>
      <w:bookmarkStart w:id="14" w:name="_Hlk118118386"/>
      <w:r w:rsidR="00002611" w:rsidRPr="00EA11DF">
        <w:rPr>
          <w:rFonts w:hint="eastAsia"/>
          <w:bCs/>
          <w:sz w:val="24"/>
        </w:rPr>
        <w:t>、债券回购、银行存款</w:t>
      </w:r>
      <w:bookmarkEnd w:id="14"/>
      <w:r w:rsidR="00002611" w:rsidRPr="00EA11DF">
        <w:rPr>
          <w:rFonts w:hint="eastAsia"/>
          <w:bCs/>
          <w:sz w:val="24"/>
        </w:rPr>
        <w:t>（包括定期存款、协议存款、通知存款等）</w:t>
      </w:r>
      <w:bookmarkStart w:id="15" w:name="_Hlk118118394"/>
      <w:r w:rsidR="00002611" w:rsidRPr="00EA11DF">
        <w:rPr>
          <w:rFonts w:hint="eastAsia"/>
          <w:bCs/>
          <w:sz w:val="24"/>
        </w:rPr>
        <w:t>、同业存单、货币市场工具、股指期货、国债期货</w:t>
      </w:r>
      <w:bookmarkEnd w:id="15"/>
      <w:r w:rsidR="00002611" w:rsidRPr="00EA11DF">
        <w:rPr>
          <w:rFonts w:hint="eastAsia"/>
          <w:bCs/>
          <w:sz w:val="24"/>
        </w:rPr>
        <w:t>以及法律法规或中国证监会允许基金投资的其他金融工具</w:t>
      </w:r>
      <w:r w:rsidR="00002611" w:rsidRPr="00EA11DF">
        <w:rPr>
          <w:rFonts w:hint="eastAsia"/>
          <w:bCs/>
          <w:sz w:val="24"/>
        </w:rPr>
        <w:t>(</w:t>
      </w:r>
      <w:r w:rsidR="00002611" w:rsidRPr="00EA11DF">
        <w:rPr>
          <w:rFonts w:hint="eastAsia"/>
          <w:bCs/>
          <w:sz w:val="24"/>
        </w:rPr>
        <w:t>但须符合中国证监会相关规定</w:t>
      </w:r>
      <w:r w:rsidR="00002611" w:rsidRPr="00EA11DF">
        <w:rPr>
          <w:rFonts w:hint="eastAsia"/>
          <w:bCs/>
          <w:sz w:val="24"/>
        </w:rPr>
        <w:t>)</w:t>
      </w:r>
      <w:r w:rsidR="00002611" w:rsidRPr="00EA11DF">
        <w:rPr>
          <w:rFonts w:hint="eastAsia"/>
          <w:bCs/>
          <w:sz w:val="24"/>
        </w:rPr>
        <w:t>。如法律法规或监管机构以后允许基金投资其他品种，基金管理人在履行适当程序后，可以将其纳入投资范围。</w:t>
      </w:r>
      <w:bookmarkEnd w:id="5"/>
      <w:bookmarkEnd w:id="6"/>
      <w:bookmarkEnd w:id="7"/>
    </w:p>
    <w:p w14:paraId="65959721" w14:textId="79CF351D" w:rsidR="00BB38FD" w:rsidRPr="003366DE" w:rsidRDefault="00002611" w:rsidP="003366DE">
      <w:pPr>
        <w:spacing w:line="360" w:lineRule="auto"/>
        <w:ind w:firstLine="480"/>
        <w:rPr>
          <w:rFonts w:ascii="宋体" w:hAnsi="宋体"/>
          <w:color w:val="0D0D0D"/>
          <w:sz w:val="24"/>
          <w:szCs w:val="24"/>
        </w:rPr>
      </w:pPr>
      <w:bookmarkStart w:id="16" w:name="_Hlk108608111"/>
      <w:bookmarkStart w:id="17" w:name="_Hlk129721053"/>
      <w:bookmarkStart w:id="18" w:name="_Hlk132718013"/>
      <w:bookmarkEnd w:id="8"/>
      <w:r>
        <w:rPr>
          <w:rFonts w:hint="eastAsia"/>
          <w:bCs/>
          <w:sz w:val="24"/>
        </w:rPr>
        <w:t>本</w:t>
      </w:r>
      <w:r w:rsidRPr="00EA11DF">
        <w:rPr>
          <w:rFonts w:hint="eastAsia"/>
          <w:bCs/>
          <w:sz w:val="24"/>
        </w:rPr>
        <w:t>基金的投资组合比例：</w:t>
      </w:r>
      <w:bookmarkStart w:id="19" w:name="_Hlk118118422"/>
      <w:r w:rsidRPr="00EA11DF">
        <w:rPr>
          <w:rFonts w:hint="eastAsia"/>
          <w:bCs/>
          <w:sz w:val="24"/>
        </w:rPr>
        <w:t>股票资产占基金资产的</w:t>
      </w:r>
      <w:r w:rsidRPr="00EA11DF">
        <w:rPr>
          <w:rFonts w:hint="eastAsia"/>
          <w:bCs/>
          <w:sz w:val="24"/>
        </w:rPr>
        <w:t>6</w:t>
      </w:r>
      <w:r w:rsidRPr="00EA11DF">
        <w:rPr>
          <w:bCs/>
          <w:sz w:val="24"/>
        </w:rPr>
        <w:t>0</w:t>
      </w:r>
      <w:r w:rsidRPr="00EA11DF">
        <w:rPr>
          <w:rFonts w:hint="eastAsia"/>
          <w:bCs/>
          <w:sz w:val="24"/>
        </w:rPr>
        <w:t>%-</w:t>
      </w:r>
      <w:r w:rsidRPr="00EA11DF">
        <w:rPr>
          <w:bCs/>
          <w:sz w:val="24"/>
        </w:rPr>
        <w:t>95</w:t>
      </w:r>
      <w:r w:rsidRPr="00EA11DF">
        <w:rPr>
          <w:rFonts w:hint="eastAsia"/>
          <w:bCs/>
          <w:sz w:val="24"/>
        </w:rPr>
        <w:t>%</w:t>
      </w:r>
      <w:r w:rsidRPr="00EA11DF">
        <w:rPr>
          <w:rFonts w:hint="eastAsia"/>
          <w:bCs/>
          <w:sz w:val="24"/>
        </w:rPr>
        <w:t>；港股通标的股票投资比例不超过全部股票资产的</w:t>
      </w:r>
      <w:r w:rsidRPr="00EA11DF">
        <w:rPr>
          <w:rFonts w:hint="eastAsia"/>
          <w:bCs/>
          <w:sz w:val="24"/>
        </w:rPr>
        <w:t>50%</w:t>
      </w:r>
      <w:bookmarkEnd w:id="19"/>
      <w:r w:rsidRPr="00EA11DF">
        <w:rPr>
          <w:rFonts w:hint="eastAsia"/>
          <w:bCs/>
          <w:sz w:val="24"/>
        </w:rPr>
        <w:t>；</w:t>
      </w:r>
      <w:r w:rsidRPr="00EA11DF">
        <w:rPr>
          <w:bCs/>
          <w:sz w:val="24"/>
        </w:rPr>
        <w:t>投资于本基金界定的红利</w:t>
      </w:r>
      <w:r>
        <w:rPr>
          <w:rFonts w:hint="eastAsia"/>
          <w:bCs/>
          <w:sz w:val="24"/>
        </w:rPr>
        <w:t>主题</w:t>
      </w:r>
      <w:r w:rsidRPr="00EA11DF">
        <w:rPr>
          <w:bCs/>
          <w:sz w:val="24"/>
        </w:rPr>
        <w:t>股票的比例占非现金基金资产的比例不低于</w:t>
      </w:r>
      <w:r w:rsidRPr="00EA11DF">
        <w:rPr>
          <w:bCs/>
          <w:sz w:val="24"/>
        </w:rPr>
        <w:t>80%</w:t>
      </w:r>
      <w:r w:rsidRPr="00EA11DF">
        <w:rPr>
          <w:bCs/>
          <w:sz w:val="24"/>
        </w:rPr>
        <w:t>；</w:t>
      </w:r>
      <w:r w:rsidRPr="00EA11DF">
        <w:rPr>
          <w:rFonts w:hint="eastAsia"/>
          <w:bCs/>
          <w:sz w:val="24"/>
        </w:rPr>
        <w:t>每个交易日日终在扣除股指期货合约和国债期货合约需缴纳的交易保证金后，应保持现金或者到期日在一年以内的政府债券不低于基金资产净值的</w:t>
      </w:r>
      <w:r w:rsidRPr="00EA11DF">
        <w:rPr>
          <w:rFonts w:hint="eastAsia"/>
          <w:bCs/>
          <w:sz w:val="24"/>
        </w:rPr>
        <w:t>5%</w:t>
      </w:r>
      <w:r w:rsidRPr="00EA11DF">
        <w:rPr>
          <w:rFonts w:hint="eastAsia"/>
          <w:bCs/>
          <w:sz w:val="24"/>
        </w:rPr>
        <w:t>，其中现金不包括结算备付金、存出保证金、应收申购款等。股指期货、国债期货及其他金融工具的投资比例依照法律法规或监管机构的规定执行。如果法律法规对该比例要求有变更的，基金管理人在履行适当程序后，本基金的投资比例相应调整。</w:t>
      </w:r>
      <w:bookmarkEnd w:id="9"/>
      <w:bookmarkEnd w:id="10"/>
      <w:bookmarkEnd w:id="16"/>
      <w:bookmarkEnd w:id="17"/>
      <w:bookmarkEnd w:id="18"/>
    </w:p>
    <w:p w14:paraId="70468593" w14:textId="7C52ADF5" w:rsidR="00002611" w:rsidRDefault="00700034" w:rsidP="00BB38FD">
      <w:pPr>
        <w:spacing w:line="360" w:lineRule="auto"/>
        <w:ind w:firstLineChars="200" w:firstLine="480"/>
        <w:rPr>
          <w:bCs/>
          <w:sz w:val="24"/>
        </w:rPr>
      </w:pPr>
      <w:r>
        <w:rPr>
          <w:rFonts w:ascii="宋体" w:hAnsi="宋体" w:hint="eastAsia"/>
          <w:color w:val="0D0D0D"/>
          <w:sz w:val="24"/>
          <w:szCs w:val="24"/>
        </w:rPr>
        <w:t>2．基金托管人根据有关法律法规的规定及基金合同的约定对下述基金投融资比例进行监督</w:t>
      </w:r>
      <w:bookmarkStart w:id="20" w:name="_Hlk149991556"/>
      <w:r w:rsidR="0056362C">
        <w:rPr>
          <w:rFonts w:ascii="宋体" w:hAnsi="宋体" w:hint="eastAsia"/>
          <w:color w:val="0D0D0D"/>
          <w:sz w:val="24"/>
          <w:szCs w:val="24"/>
        </w:rPr>
        <w:t>。</w:t>
      </w:r>
    </w:p>
    <w:p w14:paraId="3812C8F8" w14:textId="5AB1C103" w:rsidR="00BB38FD" w:rsidRPr="00EA11DF" w:rsidRDefault="00BB38FD" w:rsidP="00BB38FD">
      <w:pPr>
        <w:spacing w:line="360" w:lineRule="auto"/>
        <w:ind w:firstLineChars="200" w:firstLine="480"/>
        <w:rPr>
          <w:bCs/>
          <w:sz w:val="24"/>
        </w:rPr>
      </w:pPr>
      <w:r w:rsidRPr="00EA11DF">
        <w:rPr>
          <w:rFonts w:hint="eastAsia"/>
          <w:bCs/>
          <w:sz w:val="24"/>
        </w:rPr>
        <w:t>（</w:t>
      </w:r>
      <w:r w:rsidRPr="00EA11DF">
        <w:rPr>
          <w:bCs/>
          <w:sz w:val="24"/>
        </w:rPr>
        <w:t>1</w:t>
      </w:r>
      <w:r w:rsidRPr="00EA11DF">
        <w:rPr>
          <w:rFonts w:hint="eastAsia"/>
          <w:bCs/>
          <w:sz w:val="24"/>
        </w:rPr>
        <w:t>）股票投资占基金资产的比例为</w:t>
      </w:r>
      <w:r w:rsidRPr="00EA11DF">
        <w:rPr>
          <w:rFonts w:hint="eastAsia"/>
          <w:bCs/>
          <w:sz w:val="24"/>
        </w:rPr>
        <w:t>6</w:t>
      </w:r>
      <w:r w:rsidRPr="00EA11DF">
        <w:rPr>
          <w:bCs/>
          <w:sz w:val="24"/>
        </w:rPr>
        <w:t>0</w:t>
      </w:r>
      <w:r w:rsidRPr="00EA11DF">
        <w:rPr>
          <w:rFonts w:hint="eastAsia"/>
          <w:bCs/>
          <w:sz w:val="24"/>
        </w:rPr>
        <w:t>%-95%</w:t>
      </w:r>
      <w:r w:rsidRPr="00EA11DF">
        <w:rPr>
          <w:rFonts w:hint="eastAsia"/>
          <w:bCs/>
          <w:sz w:val="24"/>
        </w:rPr>
        <w:t>；港股通标的股票投资比例不超过全部股票资产的</w:t>
      </w:r>
      <w:r w:rsidRPr="00EA11DF">
        <w:rPr>
          <w:rFonts w:hint="eastAsia"/>
          <w:bCs/>
          <w:sz w:val="24"/>
        </w:rPr>
        <w:t>50%</w:t>
      </w:r>
      <w:r w:rsidRPr="00EA11DF">
        <w:rPr>
          <w:rFonts w:hint="eastAsia"/>
          <w:bCs/>
          <w:sz w:val="24"/>
        </w:rPr>
        <w:t>；</w:t>
      </w:r>
      <w:r w:rsidRPr="00EA11DF">
        <w:rPr>
          <w:bCs/>
          <w:sz w:val="24"/>
        </w:rPr>
        <w:t>本基金投资于本基金界定的红利主题股票的比例占非现金基金资产的比例不低于</w:t>
      </w:r>
      <w:r w:rsidRPr="00EA11DF">
        <w:rPr>
          <w:bCs/>
          <w:sz w:val="24"/>
        </w:rPr>
        <w:t>80%</w:t>
      </w:r>
      <w:r w:rsidRPr="00EA11DF">
        <w:rPr>
          <w:rFonts w:hint="eastAsia"/>
          <w:bCs/>
          <w:sz w:val="24"/>
        </w:rPr>
        <w:t>；</w:t>
      </w:r>
    </w:p>
    <w:p w14:paraId="43B49FA5" w14:textId="77777777" w:rsidR="00BB38FD" w:rsidRPr="00EA11DF" w:rsidRDefault="00BB38FD" w:rsidP="00BB38FD">
      <w:pPr>
        <w:spacing w:line="360" w:lineRule="auto"/>
        <w:ind w:firstLineChars="200" w:firstLine="480"/>
        <w:rPr>
          <w:bCs/>
          <w:sz w:val="24"/>
        </w:rPr>
      </w:pPr>
      <w:r w:rsidRPr="00EA11DF">
        <w:rPr>
          <w:bCs/>
          <w:sz w:val="24"/>
        </w:rPr>
        <w:t>（</w:t>
      </w:r>
      <w:r w:rsidRPr="00EA11DF">
        <w:rPr>
          <w:rFonts w:hint="eastAsia"/>
          <w:bCs/>
          <w:sz w:val="24"/>
        </w:rPr>
        <w:t>2</w:t>
      </w:r>
      <w:r w:rsidRPr="00EA11DF">
        <w:rPr>
          <w:bCs/>
          <w:sz w:val="24"/>
        </w:rPr>
        <w:t>）</w:t>
      </w:r>
      <w:r w:rsidRPr="00EA11DF">
        <w:rPr>
          <w:rFonts w:hint="eastAsia"/>
          <w:bCs/>
          <w:sz w:val="24"/>
        </w:rPr>
        <w:t>每个交易日日终在扣除股指期货合约和国债期货合约需缴纳的交易保证金后，</w:t>
      </w:r>
      <w:r w:rsidRPr="00EA11DF">
        <w:rPr>
          <w:bCs/>
          <w:sz w:val="24"/>
        </w:rPr>
        <w:t>保持不低于基金资产净值</w:t>
      </w:r>
      <w:r w:rsidRPr="00EA11DF">
        <w:rPr>
          <w:bCs/>
          <w:sz w:val="24"/>
        </w:rPr>
        <w:t>5</w:t>
      </w:r>
      <w:r w:rsidRPr="00EA11DF">
        <w:rPr>
          <w:bCs/>
          <w:sz w:val="24"/>
        </w:rPr>
        <w:t>％的现金或者到期日在一年以内的政府债券</w:t>
      </w:r>
      <w:r w:rsidRPr="00EA11DF">
        <w:rPr>
          <w:rFonts w:hint="eastAsia"/>
          <w:bCs/>
          <w:sz w:val="24"/>
        </w:rPr>
        <w:t>，</w:t>
      </w:r>
      <w:r w:rsidRPr="00EA11DF">
        <w:rPr>
          <w:rFonts w:hint="eastAsia"/>
          <w:bCs/>
          <w:sz w:val="24"/>
        </w:rPr>
        <w:lastRenderedPageBreak/>
        <w:t>其中现金不包括结算备付金、存出保证金和应收申购款等；</w:t>
      </w:r>
    </w:p>
    <w:p w14:paraId="035D56B6" w14:textId="77777777" w:rsidR="00BB38FD" w:rsidRPr="00EA11DF" w:rsidRDefault="00BB38FD" w:rsidP="00BB38FD">
      <w:pPr>
        <w:spacing w:line="360" w:lineRule="auto"/>
        <w:ind w:firstLineChars="200" w:firstLine="480"/>
        <w:rPr>
          <w:bCs/>
          <w:sz w:val="24"/>
        </w:rPr>
      </w:pPr>
      <w:r w:rsidRPr="00EA11DF">
        <w:rPr>
          <w:bCs/>
          <w:sz w:val="24"/>
        </w:rPr>
        <w:t>（</w:t>
      </w:r>
      <w:r w:rsidRPr="00EA11DF">
        <w:rPr>
          <w:rFonts w:hint="eastAsia"/>
          <w:bCs/>
          <w:sz w:val="24"/>
        </w:rPr>
        <w:t>3</w:t>
      </w:r>
      <w:r w:rsidRPr="00EA11DF">
        <w:rPr>
          <w:bCs/>
          <w:sz w:val="24"/>
        </w:rPr>
        <w:t>）本基金持有一家公司</w:t>
      </w:r>
      <w:r w:rsidRPr="00EA11DF">
        <w:rPr>
          <w:rFonts w:hint="eastAsia"/>
          <w:bCs/>
          <w:sz w:val="24"/>
        </w:rPr>
        <w:t>发行</w:t>
      </w:r>
      <w:r w:rsidRPr="00EA11DF">
        <w:rPr>
          <w:bCs/>
          <w:sz w:val="24"/>
        </w:rPr>
        <w:t>的</w:t>
      </w:r>
      <w:r w:rsidRPr="00EA11DF">
        <w:rPr>
          <w:rFonts w:hint="eastAsia"/>
          <w:bCs/>
          <w:sz w:val="24"/>
        </w:rPr>
        <w:t>证券</w:t>
      </w:r>
      <w:r w:rsidRPr="00EA11DF">
        <w:rPr>
          <w:bCs/>
          <w:sz w:val="24"/>
        </w:rPr>
        <w:t>，其市值</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不超过基金资产净值的</w:t>
      </w:r>
      <w:r w:rsidRPr="00EA11DF">
        <w:rPr>
          <w:bCs/>
          <w:sz w:val="24"/>
        </w:rPr>
        <w:t>10</w:t>
      </w:r>
      <w:r w:rsidRPr="00EA11DF">
        <w:rPr>
          <w:rFonts w:hint="eastAsia"/>
          <w:bCs/>
          <w:sz w:val="24"/>
        </w:rPr>
        <w:t>%</w:t>
      </w:r>
      <w:r w:rsidRPr="00EA11DF">
        <w:rPr>
          <w:bCs/>
          <w:sz w:val="24"/>
        </w:rPr>
        <w:t>；</w:t>
      </w:r>
    </w:p>
    <w:p w14:paraId="2ED42875" w14:textId="77777777" w:rsidR="00BB38FD" w:rsidRPr="00EA11DF" w:rsidRDefault="00BB38FD" w:rsidP="00BB38FD">
      <w:pPr>
        <w:spacing w:line="360" w:lineRule="auto"/>
        <w:ind w:firstLineChars="200" w:firstLine="480"/>
        <w:rPr>
          <w:bCs/>
          <w:sz w:val="24"/>
        </w:rPr>
      </w:pPr>
      <w:r w:rsidRPr="00EA11DF">
        <w:rPr>
          <w:bCs/>
          <w:sz w:val="24"/>
        </w:rPr>
        <w:t>（</w:t>
      </w:r>
      <w:r w:rsidRPr="00EA11DF">
        <w:rPr>
          <w:rFonts w:hint="eastAsia"/>
          <w:bCs/>
          <w:sz w:val="24"/>
        </w:rPr>
        <w:t>4</w:t>
      </w:r>
      <w:r w:rsidRPr="00EA11DF">
        <w:rPr>
          <w:bCs/>
          <w:sz w:val="24"/>
        </w:rPr>
        <w:t>）本基金管理人管理的全部基金持有一家公司发行的证券</w:t>
      </w:r>
      <w:r w:rsidRPr="00EA11DF">
        <w:rPr>
          <w:rFonts w:hint="eastAsia"/>
          <w:bCs/>
          <w:sz w:val="24"/>
        </w:rPr>
        <w:t>（同一家公司在内地和香港同时上市的</w:t>
      </w:r>
      <w:r w:rsidRPr="00EA11DF">
        <w:rPr>
          <w:rFonts w:hint="eastAsia"/>
          <w:bCs/>
          <w:sz w:val="24"/>
        </w:rPr>
        <w:t>A+H</w:t>
      </w:r>
      <w:r w:rsidRPr="00EA11DF">
        <w:rPr>
          <w:rFonts w:hint="eastAsia"/>
          <w:bCs/>
          <w:sz w:val="24"/>
        </w:rPr>
        <w:t>股合并计算）</w:t>
      </w:r>
      <w:r w:rsidRPr="00EA11DF">
        <w:rPr>
          <w:bCs/>
          <w:sz w:val="24"/>
        </w:rPr>
        <w:t>，不超过该证券的</w:t>
      </w:r>
      <w:r w:rsidRPr="00EA11DF">
        <w:rPr>
          <w:bCs/>
          <w:sz w:val="24"/>
        </w:rPr>
        <w:t>10%</w:t>
      </w:r>
      <w:r w:rsidRPr="00EA11DF">
        <w:rPr>
          <w:bCs/>
          <w:sz w:val="24"/>
        </w:rPr>
        <w:t>；</w:t>
      </w:r>
      <w:r w:rsidRPr="00EA11DF">
        <w:rPr>
          <w:rFonts w:hint="eastAsia"/>
          <w:bCs/>
          <w:sz w:val="24"/>
        </w:rPr>
        <w:t>完全按照有关指数的构成比例进行证券投资的基金品种可以不受此条款规定的比例限制</w:t>
      </w:r>
      <w:r w:rsidRPr="00EA11DF">
        <w:rPr>
          <w:bCs/>
          <w:sz w:val="24"/>
        </w:rPr>
        <w:t>；</w:t>
      </w:r>
    </w:p>
    <w:p w14:paraId="1C20EE04" w14:textId="77777777" w:rsidR="00BB38FD" w:rsidRPr="00EA11DF" w:rsidRDefault="00BB38FD" w:rsidP="00BB38FD">
      <w:pPr>
        <w:spacing w:line="360" w:lineRule="auto"/>
        <w:ind w:firstLineChars="200" w:firstLine="480"/>
        <w:rPr>
          <w:bCs/>
          <w:sz w:val="24"/>
        </w:rPr>
      </w:pPr>
      <w:r w:rsidRPr="00EA11DF">
        <w:rPr>
          <w:bCs/>
          <w:sz w:val="24"/>
        </w:rPr>
        <w:t>（</w:t>
      </w:r>
      <w:r w:rsidRPr="00EA11DF">
        <w:rPr>
          <w:rFonts w:hint="eastAsia"/>
          <w:bCs/>
          <w:sz w:val="24"/>
        </w:rPr>
        <w:t>5</w:t>
      </w:r>
      <w:r w:rsidRPr="00EA11DF">
        <w:rPr>
          <w:bCs/>
          <w:sz w:val="24"/>
        </w:rPr>
        <w:t>）基金财产参与股票发行申购，本基金所申报的金额不超过本基金的总资产，本基金所申报的股票数量不超过拟发行股票公司本次发行股票的总量；</w:t>
      </w:r>
    </w:p>
    <w:p w14:paraId="3657DD4E" w14:textId="77777777" w:rsidR="00BB38FD" w:rsidRPr="00EA11DF" w:rsidRDefault="00BB38FD" w:rsidP="00BB38FD">
      <w:pPr>
        <w:spacing w:line="360" w:lineRule="auto"/>
        <w:ind w:firstLineChars="200" w:firstLine="480"/>
        <w:rPr>
          <w:bCs/>
          <w:sz w:val="24"/>
        </w:rPr>
      </w:pPr>
      <w:r w:rsidRPr="00EA11DF">
        <w:rPr>
          <w:bCs/>
          <w:sz w:val="24"/>
        </w:rPr>
        <w:t>（</w:t>
      </w:r>
      <w:r w:rsidRPr="00EA11DF">
        <w:rPr>
          <w:rFonts w:hint="eastAsia"/>
          <w:bCs/>
          <w:sz w:val="24"/>
        </w:rPr>
        <w:t>6</w:t>
      </w:r>
      <w:r w:rsidRPr="00EA11DF">
        <w:rPr>
          <w:bCs/>
          <w:sz w:val="24"/>
        </w:rPr>
        <w:t>）本基金</w:t>
      </w:r>
      <w:r w:rsidRPr="00EA11DF">
        <w:rPr>
          <w:rFonts w:hint="eastAsia"/>
          <w:bCs/>
          <w:sz w:val="24"/>
        </w:rPr>
        <w:t>管理人管理的全部开放式基金（包括开放式基金以及处于开放期的定期开放基金）持有一家上市公司发行的可流通股票，不得超过该上市公司可流通股票的</w:t>
      </w:r>
      <w:r w:rsidRPr="00EA11DF">
        <w:rPr>
          <w:rFonts w:hint="eastAsia"/>
          <w:bCs/>
          <w:sz w:val="24"/>
        </w:rPr>
        <w:t>15%</w:t>
      </w:r>
      <w:r w:rsidRPr="00EA11DF">
        <w:rPr>
          <w:bCs/>
          <w:sz w:val="24"/>
        </w:rPr>
        <w:t>；</w:t>
      </w:r>
      <w:r w:rsidRPr="00EA11DF">
        <w:rPr>
          <w:rFonts w:hint="eastAsia"/>
          <w:bCs/>
          <w:sz w:val="24"/>
        </w:rPr>
        <w:t>本基金管理人管理的全部投资组合持有一家上市公司发行的可流通股票，不得超过该上市公司可流通股票的</w:t>
      </w:r>
      <w:r w:rsidRPr="00EA11DF">
        <w:rPr>
          <w:rFonts w:hint="eastAsia"/>
          <w:bCs/>
          <w:sz w:val="24"/>
        </w:rPr>
        <w:t>30%</w:t>
      </w:r>
      <w:r w:rsidRPr="00EA11DF">
        <w:rPr>
          <w:rFonts w:hint="eastAsia"/>
          <w:bCs/>
          <w:sz w:val="24"/>
        </w:rPr>
        <w:t>；完全按照有关指数的构成比例进行证券投资的开放式基金以及中国证监会认定的特殊投资组合可不受前述比例限制；</w:t>
      </w:r>
    </w:p>
    <w:p w14:paraId="63D1C89C" w14:textId="77777777" w:rsidR="00BB38FD" w:rsidRPr="00EA11DF" w:rsidRDefault="00BB38FD" w:rsidP="00BB38FD">
      <w:pPr>
        <w:spacing w:line="360" w:lineRule="auto"/>
        <w:ind w:firstLineChars="200" w:firstLine="480"/>
        <w:rPr>
          <w:bCs/>
          <w:sz w:val="24"/>
        </w:rPr>
      </w:pPr>
      <w:r w:rsidRPr="00EA11DF">
        <w:rPr>
          <w:rFonts w:hint="eastAsia"/>
          <w:bCs/>
          <w:sz w:val="24"/>
        </w:rPr>
        <w:t>（</w:t>
      </w:r>
      <w:r w:rsidRPr="00EA11DF">
        <w:rPr>
          <w:rFonts w:hint="eastAsia"/>
          <w:bCs/>
          <w:sz w:val="24"/>
        </w:rPr>
        <w:t>7</w:t>
      </w:r>
      <w:r w:rsidRPr="00EA11DF">
        <w:rPr>
          <w:rFonts w:hint="eastAsia"/>
          <w:bCs/>
          <w:sz w:val="24"/>
        </w:rPr>
        <w:t>）</w:t>
      </w:r>
      <w:r w:rsidRPr="00EA11DF">
        <w:rPr>
          <w:bCs/>
          <w:sz w:val="24"/>
        </w:rPr>
        <w:t>本基金主动投资于流动性受限资产的市值合计不得超过基金资产净值的</w:t>
      </w:r>
      <w:r w:rsidRPr="00EA11DF">
        <w:rPr>
          <w:bCs/>
          <w:sz w:val="24"/>
        </w:rPr>
        <w:t>15%</w:t>
      </w:r>
      <w:r w:rsidRPr="00EA11DF">
        <w:rPr>
          <w:bCs/>
          <w:sz w:val="24"/>
        </w:rPr>
        <w:t>；</w:t>
      </w:r>
      <w:r w:rsidRPr="00EA11DF">
        <w:rPr>
          <w:rFonts w:hint="eastAsia"/>
          <w:bCs/>
          <w:sz w:val="24"/>
        </w:rPr>
        <w:t>因证券市场波动、上市公司股票停牌、</w:t>
      </w:r>
      <w:r w:rsidRPr="00EA11DF">
        <w:rPr>
          <w:bCs/>
          <w:sz w:val="24"/>
        </w:rPr>
        <w:t>基金规模变动等基金管理人之外的因素致使基金不符合该比例限制的</w:t>
      </w:r>
      <w:r w:rsidRPr="00EA11DF">
        <w:rPr>
          <w:rFonts w:hint="eastAsia"/>
          <w:bCs/>
          <w:sz w:val="24"/>
        </w:rPr>
        <w:t>，基金管理人不得主动新增流动性受限资产的投资；</w:t>
      </w:r>
    </w:p>
    <w:p w14:paraId="0209E942" w14:textId="45940ECF" w:rsidR="00BB38FD" w:rsidRPr="00EA11DF" w:rsidRDefault="00BB38FD" w:rsidP="00BB38FD">
      <w:pPr>
        <w:spacing w:line="360" w:lineRule="auto"/>
        <w:ind w:firstLineChars="200" w:firstLine="480"/>
        <w:rPr>
          <w:bCs/>
          <w:sz w:val="24"/>
        </w:rPr>
      </w:pPr>
      <w:r w:rsidRPr="00EA11DF">
        <w:rPr>
          <w:rFonts w:hint="eastAsia"/>
          <w:bCs/>
          <w:sz w:val="24"/>
        </w:rPr>
        <w:t>（</w:t>
      </w:r>
      <w:r w:rsidRPr="00EA11DF">
        <w:rPr>
          <w:rFonts w:hint="eastAsia"/>
          <w:bCs/>
          <w:sz w:val="24"/>
        </w:rPr>
        <w:t>8</w:t>
      </w:r>
      <w:r w:rsidRPr="00EA11DF">
        <w:rPr>
          <w:rFonts w:hint="eastAsia"/>
          <w:bCs/>
          <w:sz w:val="24"/>
        </w:rPr>
        <w:t>）本基金与私募类证券资管产品及中国证监会认定的其他主体为交易对手开展逆回购交易的，</w:t>
      </w:r>
      <w:r w:rsidRPr="00EA11DF">
        <w:rPr>
          <w:bCs/>
          <w:sz w:val="24"/>
        </w:rPr>
        <w:t>可接受质押品的资质要求应当与基金合同约定的投资范围保持一致</w:t>
      </w:r>
      <w:r w:rsidRPr="00EA11DF">
        <w:rPr>
          <w:rFonts w:hint="eastAsia"/>
          <w:bCs/>
          <w:sz w:val="24"/>
        </w:rPr>
        <w:t>；</w:t>
      </w:r>
    </w:p>
    <w:p w14:paraId="5146419F" w14:textId="77777777" w:rsidR="00BB38FD" w:rsidRPr="00EA11DF" w:rsidRDefault="00BB38FD" w:rsidP="00BB38FD">
      <w:pPr>
        <w:spacing w:line="360" w:lineRule="auto"/>
        <w:ind w:firstLineChars="200" w:firstLine="480"/>
        <w:rPr>
          <w:bCs/>
          <w:sz w:val="24"/>
        </w:rPr>
      </w:pPr>
      <w:r w:rsidRPr="00EA11DF">
        <w:rPr>
          <w:rFonts w:hint="eastAsia"/>
          <w:bCs/>
          <w:sz w:val="24"/>
        </w:rPr>
        <w:t>（</w:t>
      </w:r>
      <w:r w:rsidRPr="00EA11DF">
        <w:rPr>
          <w:rFonts w:hint="eastAsia"/>
          <w:bCs/>
          <w:sz w:val="24"/>
        </w:rPr>
        <w:t>9</w:t>
      </w:r>
      <w:r w:rsidRPr="00EA11DF">
        <w:rPr>
          <w:rFonts w:hint="eastAsia"/>
          <w:bCs/>
          <w:sz w:val="24"/>
        </w:rPr>
        <w:t>）</w:t>
      </w:r>
      <w:r w:rsidRPr="00EA11DF">
        <w:rPr>
          <w:bCs/>
          <w:sz w:val="24"/>
        </w:rPr>
        <w:t>本基金资产总值不超过基金资产净值的</w:t>
      </w:r>
      <w:r w:rsidRPr="00EA11DF">
        <w:rPr>
          <w:bCs/>
          <w:sz w:val="24"/>
        </w:rPr>
        <w:t>140%</w:t>
      </w:r>
      <w:r w:rsidRPr="00EA11DF">
        <w:rPr>
          <w:bCs/>
          <w:sz w:val="24"/>
        </w:rPr>
        <w:t>；</w:t>
      </w:r>
    </w:p>
    <w:p w14:paraId="0F5056E5" w14:textId="77777777" w:rsidR="00BB38FD" w:rsidRPr="00EA11DF" w:rsidRDefault="00BB38FD" w:rsidP="00BB38FD">
      <w:pPr>
        <w:spacing w:line="360" w:lineRule="auto"/>
        <w:ind w:firstLineChars="200" w:firstLine="480"/>
        <w:rPr>
          <w:bCs/>
          <w:sz w:val="24"/>
        </w:rPr>
      </w:pPr>
      <w:r w:rsidRPr="00EA11DF">
        <w:rPr>
          <w:rFonts w:hint="eastAsia"/>
          <w:bCs/>
          <w:sz w:val="24"/>
        </w:rPr>
        <w:t>（</w:t>
      </w:r>
      <w:r w:rsidRPr="00EA11DF">
        <w:rPr>
          <w:bCs/>
          <w:sz w:val="24"/>
        </w:rPr>
        <w:t>10</w:t>
      </w:r>
      <w:r w:rsidRPr="00EA11DF">
        <w:rPr>
          <w:rFonts w:hint="eastAsia"/>
          <w:bCs/>
          <w:sz w:val="24"/>
        </w:rPr>
        <w:t>）本基金投资存托凭证的比例限制依照境内上市交易的股票执行，与境内上市交易的股票合并计算，法律法规或监管部门另有要求的除外；</w:t>
      </w:r>
    </w:p>
    <w:p w14:paraId="1822496A" w14:textId="77777777" w:rsidR="00BB38FD" w:rsidRPr="00EA11DF" w:rsidRDefault="00BB38FD" w:rsidP="00BB38FD">
      <w:pPr>
        <w:spacing w:line="360" w:lineRule="auto"/>
        <w:ind w:firstLineChars="200" w:firstLine="480"/>
        <w:rPr>
          <w:bCs/>
          <w:sz w:val="24"/>
        </w:rPr>
      </w:pPr>
      <w:r w:rsidRPr="00EA11DF">
        <w:rPr>
          <w:rFonts w:hint="eastAsia"/>
          <w:bCs/>
          <w:sz w:val="24"/>
        </w:rPr>
        <w:t>（</w:t>
      </w:r>
      <w:r w:rsidRPr="00EA11DF">
        <w:rPr>
          <w:rFonts w:hint="eastAsia"/>
          <w:bCs/>
          <w:sz w:val="24"/>
        </w:rPr>
        <w:t>1</w:t>
      </w:r>
      <w:r w:rsidRPr="00EA11DF">
        <w:rPr>
          <w:bCs/>
          <w:sz w:val="24"/>
        </w:rPr>
        <w:t>1</w:t>
      </w:r>
      <w:r w:rsidRPr="00EA11DF">
        <w:rPr>
          <w:rFonts w:hint="eastAsia"/>
          <w:bCs/>
          <w:sz w:val="24"/>
        </w:rPr>
        <w:t>）本基金若参与股指期货、国债期货交易，应当遵守下列要求：</w:t>
      </w:r>
    </w:p>
    <w:p w14:paraId="76672027" w14:textId="77777777" w:rsidR="00BB38FD" w:rsidRPr="00EA11DF" w:rsidRDefault="00BB38FD" w:rsidP="00BB38FD">
      <w:pPr>
        <w:spacing w:line="360" w:lineRule="auto"/>
        <w:ind w:firstLineChars="200" w:firstLine="480"/>
        <w:rPr>
          <w:bCs/>
          <w:sz w:val="24"/>
        </w:rPr>
      </w:pPr>
      <w:r w:rsidRPr="00EA11DF">
        <w:rPr>
          <w:rFonts w:hint="eastAsia"/>
          <w:bCs/>
          <w:sz w:val="24"/>
        </w:rPr>
        <w:t>a.</w:t>
      </w:r>
      <w:r w:rsidRPr="00EA11DF">
        <w:rPr>
          <w:rFonts w:hint="eastAsia"/>
          <w:bCs/>
          <w:sz w:val="24"/>
        </w:rPr>
        <w:t>在任何交易日日终，持有的买入股指期货和国债期货合约价值与有价证券市值之和，不得超过基金资产净值的</w:t>
      </w:r>
      <w:r w:rsidRPr="00EA11DF">
        <w:rPr>
          <w:rFonts w:hint="eastAsia"/>
          <w:bCs/>
          <w:sz w:val="24"/>
        </w:rPr>
        <w:t>95%</w:t>
      </w:r>
      <w:r w:rsidRPr="00EA11DF">
        <w:rPr>
          <w:rFonts w:hint="eastAsia"/>
          <w:bCs/>
          <w:sz w:val="24"/>
        </w:rPr>
        <w:t>。其中，有价证券指股票、债券（不含到期日在一年以内的政府债券）、资产支持证券、买入返售金融资产（不含质押式回购）等；</w:t>
      </w:r>
    </w:p>
    <w:p w14:paraId="6D495E4B" w14:textId="77777777" w:rsidR="00BB38FD" w:rsidRPr="00EA11DF" w:rsidRDefault="00BB38FD" w:rsidP="00BB38FD">
      <w:pPr>
        <w:spacing w:line="360" w:lineRule="auto"/>
        <w:ind w:firstLineChars="200" w:firstLine="480"/>
        <w:rPr>
          <w:bCs/>
          <w:sz w:val="24"/>
        </w:rPr>
      </w:pPr>
      <w:r w:rsidRPr="00EA11DF">
        <w:rPr>
          <w:rFonts w:hint="eastAsia"/>
          <w:bCs/>
          <w:sz w:val="24"/>
        </w:rPr>
        <w:lastRenderedPageBreak/>
        <w:t>b.</w:t>
      </w:r>
      <w:r w:rsidRPr="00EA11DF">
        <w:rPr>
          <w:rFonts w:hint="eastAsia"/>
          <w:bCs/>
          <w:sz w:val="24"/>
        </w:rPr>
        <w:t>在任何交易日日终，持有的买入股指期货合约价值，不得超过基金资产净值的</w:t>
      </w:r>
      <w:r w:rsidRPr="00EA11DF">
        <w:rPr>
          <w:rFonts w:hint="eastAsia"/>
          <w:bCs/>
          <w:sz w:val="24"/>
        </w:rPr>
        <w:t>10%</w:t>
      </w:r>
      <w:r w:rsidRPr="00EA11DF">
        <w:rPr>
          <w:rFonts w:hint="eastAsia"/>
          <w:bCs/>
          <w:sz w:val="24"/>
        </w:rPr>
        <w:t>；在任何交易日日终，持有的卖出股指期货合约价值不得超过本基金持有的股票总市值的</w:t>
      </w:r>
      <w:r w:rsidRPr="00EA11DF">
        <w:rPr>
          <w:rFonts w:hint="eastAsia"/>
          <w:bCs/>
          <w:sz w:val="24"/>
        </w:rPr>
        <w:t>20%</w:t>
      </w:r>
      <w:r w:rsidRPr="00EA11DF">
        <w:rPr>
          <w:rFonts w:hint="eastAsia"/>
          <w:bCs/>
          <w:sz w:val="24"/>
        </w:rPr>
        <w:t>；在任何交易日内交易（不包括平仓）的股指期货合约的成交金额不得超过上一交易日基金资产净值的</w:t>
      </w:r>
      <w:r w:rsidRPr="00EA11DF">
        <w:rPr>
          <w:rFonts w:hint="eastAsia"/>
          <w:bCs/>
          <w:sz w:val="24"/>
        </w:rPr>
        <w:t>20%</w:t>
      </w:r>
      <w:r w:rsidRPr="00EA11DF">
        <w:rPr>
          <w:rFonts w:hint="eastAsia"/>
          <w:bCs/>
          <w:sz w:val="24"/>
        </w:rPr>
        <w:t>；本基金所持有的股票市值和买入、卖出股指期货合约价值，合计（轧差计算）应当符合基金合同关于股票投资比例的有关约定；</w:t>
      </w:r>
    </w:p>
    <w:p w14:paraId="32B35344" w14:textId="77777777" w:rsidR="00BB38FD" w:rsidRPr="00EA11DF" w:rsidRDefault="00BB38FD" w:rsidP="00BB38FD">
      <w:pPr>
        <w:spacing w:line="360" w:lineRule="auto"/>
        <w:ind w:firstLineChars="200" w:firstLine="480"/>
        <w:rPr>
          <w:bCs/>
          <w:sz w:val="24"/>
        </w:rPr>
      </w:pPr>
      <w:r w:rsidRPr="00EA11DF">
        <w:rPr>
          <w:rFonts w:hint="eastAsia"/>
          <w:bCs/>
          <w:sz w:val="24"/>
        </w:rPr>
        <w:t>c.</w:t>
      </w:r>
      <w:r w:rsidRPr="00EA11DF">
        <w:rPr>
          <w:rFonts w:hint="eastAsia"/>
          <w:bCs/>
          <w:sz w:val="24"/>
        </w:rPr>
        <w:t>在任何交易日日终，持有的买入国债期货合约价值，不得超过基金资产净值的</w:t>
      </w:r>
      <w:r w:rsidRPr="00EA11DF">
        <w:rPr>
          <w:rFonts w:hint="eastAsia"/>
          <w:bCs/>
          <w:sz w:val="24"/>
        </w:rPr>
        <w:t>15%</w:t>
      </w:r>
      <w:r w:rsidRPr="00EA11DF">
        <w:rPr>
          <w:rFonts w:hint="eastAsia"/>
          <w:bCs/>
          <w:sz w:val="24"/>
        </w:rPr>
        <w:t>；在任何交易日日终，持有的卖出国债期货合约价值不得超过本基金持有的债券总市值的</w:t>
      </w:r>
      <w:r w:rsidRPr="00EA11DF">
        <w:rPr>
          <w:rFonts w:hint="eastAsia"/>
          <w:bCs/>
          <w:sz w:val="24"/>
        </w:rPr>
        <w:t>30%</w:t>
      </w:r>
      <w:r w:rsidRPr="00EA11DF">
        <w:rPr>
          <w:rFonts w:hint="eastAsia"/>
          <w:bCs/>
          <w:sz w:val="24"/>
        </w:rPr>
        <w:t>；在任何交易日内交易（不包括平仓）的国债期货合约的成交金额不得超过上一交易日基金资产净值的</w:t>
      </w:r>
      <w:r w:rsidRPr="00EA11DF">
        <w:rPr>
          <w:rFonts w:hint="eastAsia"/>
          <w:bCs/>
          <w:sz w:val="24"/>
        </w:rPr>
        <w:t>30%</w:t>
      </w:r>
      <w:r w:rsidRPr="00EA11DF">
        <w:rPr>
          <w:rFonts w:hint="eastAsia"/>
          <w:bCs/>
          <w:sz w:val="24"/>
        </w:rPr>
        <w:t>；本基金所持有的债券（不含到期日在一年以内的政府债券）市值和买入、卖出国债期货合约价值，合计（轧差计算）应当符合基金合同关于债券投资比例的有关约定；</w:t>
      </w:r>
    </w:p>
    <w:p w14:paraId="248E2076" w14:textId="77777777" w:rsidR="00BB38FD" w:rsidRPr="00EA11DF" w:rsidRDefault="00BB38FD" w:rsidP="00BB38FD">
      <w:pPr>
        <w:spacing w:line="360" w:lineRule="auto"/>
        <w:ind w:firstLineChars="200" w:firstLine="480"/>
        <w:rPr>
          <w:bCs/>
          <w:sz w:val="24"/>
        </w:rPr>
      </w:pPr>
      <w:r w:rsidRPr="00EA11DF">
        <w:rPr>
          <w:bCs/>
          <w:sz w:val="24"/>
        </w:rPr>
        <w:t>（</w:t>
      </w:r>
      <w:r w:rsidRPr="00EA11DF">
        <w:rPr>
          <w:bCs/>
          <w:sz w:val="24"/>
        </w:rPr>
        <w:t>12</w:t>
      </w:r>
      <w:r w:rsidRPr="00EA11DF">
        <w:rPr>
          <w:bCs/>
          <w:sz w:val="24"/>
        </w:rPr>
        <w:t>）</w:t>
      </w:r>
      <w:r w:rsidRPr="00EA11DF">
        <w:rPr>
          <w:rFonts w:hint="eastAsia"/>
          <w:bCs/>
          <w:sz w:val="24"/>
        </w:rPr>
        <w:t>法律法规及中国证监会规定的和《基金合同》约定的其他投资限制。</w:t>
      </w:r>
    </w:p>
    <w:p w14:paraId="7B8010A7" w14:textId="77777777" w:rsidR="00BB38FD" w:rsidRDefault="00BB38FD" w:rsidP="00BB38FD">
      <w:pPr>
        <w:spacing w:line="360" w:lineRule="auto"/>
        <w:ind w:firstLineChars="200" w:firstLine="480"/>
        <w:rPr>
          <w:bCs/>
          <w:sz w:val="24"/>
        </w:rPr>
      </w:pPr>
      <w:bookmarkStart w:id="21" w:name="_Hlk108608290"/>
      <w:r w:rsidRPr="00EA11DF">
        <w:rPr>
          <w:rFonts w:hint="eastAsia"/>
          <w:bCs/>
          <w:sz w:val="24"/>
        </w:rPr>
        <w:t>除上述第（</w:t>
      </w:r>
      <w:r w:rsidRPr="00EA11DF">
        <w:rPr>
          <w:rFonts w:hint="eastAsia"/>
          <w:bCs/>
          <w:sz w:val="24"/>
        </w:rPr>
        <w:t>2</w:t>
      </w:r>
      <w:r w:rsidRPr="00EA11DF">
        <w:rPr>
          <w:rFonts w:hint="eastAsia"/>
          <w:bCs/>
          <w:sz w:val="24"/>
        </w:rPr>
        <w:t>）、（</w:t>
      </w:r>
      <w:r w:rsidRPr="00EA11DF">
        <w:rPr>
          <w:rFonts w:hint="eastAsia"/>
          <w:bCs/>
          <w:sz w:val="24"/>
        </w:rPr>
        <w:t>7</w:t>
      </w:r>
      <w:r w:rsidRPr="00EA11DF">
        <w:rPr>
          <w:rFonts w:hint="eastAsia"/>
          <w:bCs/>
          <w:sz w:val="24"/>
        </w:rPr>
        <w:t>）、（</w:t>
      </w:r>
      <w:r w:rsidRPr="00EA11DF">
        <w:rPr>
          <w:rFonts w:hint="eastAsia"/>
          <w:bCs/>
          <w:sz w:val="24"/>
        </w:rPr>
        <w:t>8</w:t>
      </w:r>
      <w:r w:rsidRPr="00EA11DF">
        <w:rPr>
          <w:rFonts w:hint="eastAsia"/>
          <w:bCs/>
          <w:sz w:val="24"/>
        </w:rPr>
        <w:t>）项情形</w:t>
      </w:r>
      <w:r w:rsidRPr="00EA11DF">
        <w:rPr>
          <w:bCs/>
          <w:sz w:val="24"/>
        </w:rPr>
        <w:t>之</w:t>
      </w:r>
      <w:r w:rsidRPr="00EA11DF">
        <w:rPr>
          <w:rFonts w:hint="eastAsia"/>
          <w:bCs/>
          <w:sz w:val="24"/>
        </w:rPr>
        <w:t>外，</w:t>
      </w:r>
      <w:r w:rsidRPr="00EA11DF">
        <w:rPr>
          <w:bCs/>
          <w:sz w:val="24"/>
        </w:rPr>
        <w:t>因证券</w:t>
      </w:r>
      <w:r w:rsidRPr="00EA11DF">
        <w:rPr>
          <w:rFonts w:hint="eastAsia"/>
          <w:bCs/>
          <w:sz w:val="24"/>
        </w:rPr>
        <w:t>、期货</w:t>
      </w:r>
      <w:r w:rsidRPr="00EA11DF">
        <w:rPr>
          <w:bCs/>
          <w:sz w:val="24"/>
        </w:rPr>
        <w:t>市场波动、</w:t>
      </w:r>
      <w:r w:rsidRPr="00EA11DF">
        <w:rPr>
          <w:rFonts w:hint="eastAsia"/>
          <w:bCs/>
          <w:sz w:val="24"/>
        </w:rPr>
        <w:t>证券发行人</w:t>
      </w:r>
      <w:r w:rsidRPr="00EA11DF">
        <w:rPr>
          <w:bCs/>
          <w:sz w:val="24"/>
        </w:rPr>
        <w:t>合并、基金规模变动等基金管理人之外的因素致使基金投资比例不符合上述规定投资比例的，基金管理人应当在</w:t>
      </w:r>
      <w:r w:rsidRPr="00EA11DF">
        <w:rPr>
          <w:bCs/>
          <w:sz w:val="24"/>
        </w:rPr>
        <w:t>10</w:t>
      </w:r>
      <w:r w:rsidRPr="00EA11DF">
        <w:rPr>
          <w:bCs/>
          <w:sz w:val="24"/>
        </w:rPr>
        <w:t>个交易日内进行调整</w:t>
      </w:r>
      <w:r w:rsidRPr="00EA11DF">
        <w:rPr>
          <w:rFonts w:hint="eastAsia"/>
          <w:bCs/>
          <w:sz w:val="24"/>
        </w:rPr>
        <w:t>，但中国证监会规定的特殊情形除外</w:t>
      </w:r>
      <w:r w:rsidRPr="00EA11DF">
        <w:rPr>
          <w:bCs/>
          <w:sz w:val="24"/>
        </w:rPr>
        <w:t>。法律法规另有规定的，从其规定。</w:t>
      </w:r>
      <w:bookmarkEnd w:id="21"/>
    </w:p>
    <w:p w14:paraId="7B0BC2F0" w14:textId="072F7AC9" w:rsidR="00BB38FD" w:rsidRDefault="00BB38FD" w:rsidP="00BB38FD">
      <w:pPr>
        <w:spacing w:line="360" w:lineRule="auto"/>
        <w:ind w:firstLine="480"/>
        <w:rPr>
          <w:bCs/>
          <w:sz w:val="24"/>
        </w:rPr>
      </w:pPr>
      <w:bookmarkStart w:id="22" w:name="_Hlk129721242"/>
      <w:bookmarkStart w:id="23" w:name="_Hlk108608257"/>
      <w:bookmarkStart w:id="24" w:name="_Hlk132718183"/>
      <w:bookmarkEnd w:id="20"/>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w:t>
      </w:r>
      <w:bookmarkEnd w:id="22"/>
      <w:bookmarkEnd w:id="23"/>
      <w:r>
        <w:rPr>
          <w:rFonts w:hint="eastAsia"/>
          <w:bCs/>
          <w:sz w:val="24"/>
        </w:rPr>
        <w:t>基金托管人对基金的投资的监督与检查自基金合同生效之日起开始。</w:t>
      </w:r>
    </w:p>
    <w:p w14:paraId="0D425D2A" w14:textId="77777777" w:rsidR="00BB38FD" w:rsidRDefault="00BB38FD" w:rsidP="00BB38FD">
      <w:pPr>
        <w:spacing w:line="360" w:lineRule="auto"/>
        <w:ind w:firstLine="480"/>
        <w:rPr>
          <w:bCs/>
          <w:sz w:val="24"/>
        </w:rPr>
      </w:pPr>
      <w:bookmarkStart w:id="25" w:name="_Hlk108608536"/>
      <w:r>
        <w:rPr>
          <w:bCs/>
          <w:sz w:val="24"/>
        </w:rPr>
        <w:t>法律法规或监管部门取消</w:t>
      </w:r>
      <w:bookmarkStart w:id="26" w:name="_Hlk142384159"/>
      <w:r>
        <w:rPr>
          <w:rFonts w:hint="eastAsia"/>
          <w:bCs/>
          <w:sz w:val="24"/>
        </w:rPr>
        <w:t>或变更</w:t>
      </w:r>
      <w:bookmarkEnd w:id="26"/>
      <w:r>
        <w:rPr>
          <w:bCs/>
          <w:sz w:val="24"/>
        </w:rPr>
        <w:t>上述限制，如适用于本基金，基金管理人</w:t>
      </w:r>
      <w:r>
        <w:rPr>
          <w:rFonts w:hint="eastAsia"/>
          <w:bCs/>
          <w:sz w:val="24"/>
        </w:rPr>
        <w:t>在</w:t>
      </w:r>
      <w:r>
        <w:rPr>
          <w:bCs/>
          <w:sz w:val="24"/>
        </w:rPr>
        <w:t>履行适当程序后，则本基金投资不再受相关限制</w:t>
      </w:r>
      <w:bookmarkStart w:id="27" w:name="_Hlk142384172"/>
      <w:r>
        <w:rPr>
          <w:rFonts w:hint="eastAsia"/>
          <w:bCs/>
          <w:sz w:val="24"/>
        </w:rPr>
        <w:t>或以变更后的规定为准</w:t>
      </w:r>
      <w:bookmarkEnd w:id="27"/>
      <w:r>
        <w:rPr>
          <w:bCs/>
          <w:sz w:val="24"/>
        </w:rPr>
        <w:t>。</w:t>
      </w:r>
      <w:bookmarkEnd w:id="25"/>
    </w:p>
    <w:bookmarkEnd w:id="24"/>
    <w:p w14:paraId="668451FF" w14:textId="43F6429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3．基金托管人根据有关法律法规的规定及基金合同的约定对下述基金投资禁止行为进行监督</w:t>
      </w:r>
      <w:r w:rsidR="0056362C">
        <w:rPr>
          <w:rFonts w:ascii="宋体" w:hAnsi="宋体" w:hint="eastAsia"/>
          <w:color w:val="0D0D0D"/>
          <w:sz w:val="24"/>
          <w:szCs w:val="24"/>
        </w:rPr>
        <w:t>。</w:t>
      </w:r>
    </w:p>
    <w:p w14:paraId="7D4A9D9E" w14:textId="77777777" w:rsidR="00700034" w:rsidRDefault="00700034">
      <w:pPr>
        <w:spacing w:line="360" w:lineRule="auto"/>
        <w:ind w:firstLineChars="200" w:firstLine="480"/>
        <w:rPr>
          <w:rFonts w:ascii="宋体" w:hAnsi="宋体"/>
          <w:color w:val="0D0D0D"/>
          <w:sz w:val="24"/>
          <w:szCs w:val="24"/>
        </w:rPr>
      </w:pPr>
      <w:bookmarkStart w:id="28" w:name="_Hlk151824947"/>
      <w:r>
        <w:rPr>
          <w:rFonts w:ascii="宋体" w:hAnsi="宋体" w:hint="eastAsia"/>
          <w:color w:val="0D0D0D"/>
          <w:sz w:val="24"/>
          <w:szCs w:val="24"/>
        </w:rPr>
        <w:t>为维护基金份额持有人的合法权益，基金财产不得用于下列投资或者活动：</w:t>
      </w:r>
    </w:p>
    <w:p w14:paraId="328DAB8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（1）承销证券；</w:t>
      </w:r>
    </w:p>
    <w:p w14:paraId="7FF996D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（2）违反规定向他人贷款或者提供担保；</w:t>
      </w:r>
    </w:p>
    <w:p w14:paraId="251C45D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（3）从事承担无限责任的投资；</w:t>
      </w:r>
    </w:p>
    <w:p w14:paraId="48B028A4" w14:textId="427BB7F1"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（4）买卖其他基金份额，但</w:t>
      </w:r>
      <w:r w:rsidR="00BB38FD">
        <w:rPr>
          <w:rFonts w:hint="eastAsia"/>
          <w:sz w:val="24"/>
        </w:rPr>
        <w:t>法律法规或</w:t>
      </w:r>
      <w:r>
        <w:rPr>
          <w:rFonts w:ascii="宋体" w:hAnsi="宋体" w:hint="eastAsia"/>
          <w:color w:val="0D0D0D"/>
          <w:sz w:val="24"/>
          <w:szCs w:val="24"/>
        </w:rPr>
        <w:t>中国证监会另有规定的除外；</w:t>
      </w:r>
    </w:p>
    <w:p w14:paraId="2913E5C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（5）向其基金管理人、基金托管人出资；</w:t>
      </w:r>
    </w:p>
    <w:p w14:paraId="7B62169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（6）从事内幕交易、操纵证券交易价格及其他不正当的证券交易活动；</w:t>
      </w:r>
    </w:p>
    <w:p w14:paraId="7D08C9B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（7）法律、行政法规和中国证监会规定禁止的其他活动。</w:t>
      </w:r>
    </w:p>
    <w:p w14:paraId="55302450" w14:textId="1B63107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法律、行政法规或监管部门取消或变更上述</w:t>
      </w:r>
      <w:r w:rsidR="00BB38FD">
        <w:rPr>
          <w:rFonts w:ascii="宋体" w:hAnsi="宋体" w:hint="eastAsia"/>
          <w:color w:val="0D0D0D"/>
          <w:sz w:val="24"/>
          <w:szCs w:val="24"/>
        </w:rPr>
        <w:t>限制性</w:t>
      </w:r>
      <w:r>
        <w:rPr>
          <w:rFonts w:ascii="宋体" w:hAnsi="宋体" w:hint="eastAsia"/>
          <w:color w:val="0D0D0D"/>
          <w:sz w:val="24"/>
          <w:szCs w:val="24"/>
        </w:rPr>
        <w:t>规定，如适用于本基金，基金管理人在履行适当程序后，</w:t>
      </w:r>
      <w:r w:rsidR="00BB38FD">
        <w:rPr>
          <w:bCs/>
          <w:sz w:val="24"/>
        </w:rPr>
        <w:t>则本基金投资不再受相关限制</w:t>
      </w:r>
      <w:r w:rsidR="00BB38FD">
        <w:rPr>
          <w:rFonts w:hint="eastAsia"/>
          <w:bCs/>
          <w:sz w:val="24"/>
        </w:rPr>
        <w:t>或以变更后的规定为准</w:t>
      </w:r>
      <w:r>
        <w:rPr>
          <w:rFonts w:ascii="宋体" w:hAnsi="宋体" w:hint="eastAsia"/>
          <w:color w:val="0D0D0D"/>
          <w:sz w:val="24"/>
          <w:szCs w:val="24"/>
        </w:rPr>
        <w:t>。</w:t>
      </w:r>
    </w:p>
    <w:bookmarkEnd w:id="28"/>
    <w:p w14:paraId="32EDE402" w14:textId="053E5AA3"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4．基金托管人依据有关法律法规的规定和基金合同的约定对于基金关联投资进行监督</w:t>
      </w:r>
      <w:r w:rsidR="0056362C">
        <w:rPr>
          <w:rFonts w:ascii="宋体" w:hAnsi="宋体" w:hint="eastAsia"/>
          <w:color w:val="0D0D0D"/>
          <w:sz w:val="24"/>
          <w:szCs w:val="24"/>
        </w:rPr>
        <w:t>。</w:t>
      </w:r>
    </w:p>
    <w:p w14:paraId="6B50FD7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19794E" w14:textId="78F490D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法律、行政法规或监管部门取消或变更上述</w:t>
      </w:r>
      <w:r w:rsidR="00B373EB">
        <w:rPr>
          <w:rFonts w:ascii="宋体" w:hAnsi="宋体" w:hint="eastAsia"/>
          <w:color w:val="0D0D0D"/>
          <w:sz w:val="24"/>
          <w:szCs w:val="24"/>
        </w:rPr>
        <w:t>限制</w:t>
      </w:r>
      <w:r w:rsidR="0030582A">
        <w:rPr>
          <w:rFonts w:ascii="宋体" w:hAnsi="宋体" w:hint="eastAsia"/>
          <w:color w:val="0D0D0D"/>
          <w:sz w:val="24"/>
          <w:szCs w:val="24"/>
        </w:rPr>
        <w:t>性</w:t>
      </w:r>
      <w:r>
        <w:rPr>
          <w:rFonts w:ascii="宋体" w:hAnsi="宋体" w:hint="eastAsia"/>
          <w:color w:val="0D0D0D"/>
          <w:sz w:val="24"/>
          <w:szCs w:val="24"/>
        </w:rPr>
        <w:t>规定，如适用于本基金，基金管理人在履行适当程序后，</w:t>
      </w:r>
      <w:r w:rsidR="0030582A">
        <w:rPr>
          <w:bCs/>
          <w:sz w:val="24"/>
        </w:rPr>
        <w:t>则本基金投资不再受相关限制</w:t>
      </w:r>
      <w:r w:rsidR="0030582A">
        <w:rPr>
          <w:rFonts w:hint="eastAsia"/>
          <w:bCs/>
          <w:sz w:val="24"/>
        </w:rPr>
        <w:t>或以变更后的规定为准</w:t>
      </w:r>
      <w:r>
        <w:rPr>
          <w:rFonts w:ascii="宋体" w:hAnsi="宋体" w:hint="eastAsia"/>
          <w:color w:val="0D0D0D"/>
          <w:sz w:val="24"/>
          <w:szCs w:val="24"/>
        </w:rPr>
        <w:t>。</w:t>
      </w:r>
    </w:p>
    <w:bookmarkEnd w:id="11"/>
    <w:p w14:paraId="754F778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相应损失和责任。</w:t>
      </w:r>
    </w:p>
    <w:p w14:paraId="04A9803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相关交易必须事先得到基金托管人的同意，若基金托管人发现基金管理人与关联方进行违反法律法规规定的关联交易时，基金托管人应及时提醒并协助基金</w:t>
      </w:r>
      <w:r>
        <w:rPr>
          <w:rFonts w:ascii="宋体" w:hAnsi="宋体" w:hint="eastAsia"/>
          <w:color w:val="0D0D0D"/>
          <w:sz w:val="24"/>
          <w:szCs w:val="24"/>
        </w:rPr>
        <w:lastRenderedPageBreak/>
        <w:t>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5A86F5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5．基金托管人依据有关法律法规的规定和基金合同的约定对基金管理人参与银行间债券市场进行监督。</w:t>
      </w:r>
    </w:p>
    <w:p w14:paraId="59C4EACC" w14:textId="77777777" w:rsidR="00700034" w:rsidRDefault="00700034">
      <w:pPr>
        <w:spacing w:line="360" w:lineRule="auto"/>
        <w:ind w:firstLineChars="200" w:firstLine="480"/>
        <w:rPr>
          <w:rFonts w:ascii="宋体" w:hAnsi="宋体"/>
          <w:color w:val="0D0D0D"/>
          <w:sz w:val="24"/>
          <w:szCs w:val="24"/>
        </w:rPr>
      </w:pPr>
      <w:bookmarkStart w:id="29" w:name="_Hlk151825266"/>
      <w:r>
        <w:rPr>
          <w:rFonts w:ascii="宋体" w:hAnsi="宋体" w:hint="eastAsia"/>
          <w:color w:val="0D0D0D"/>
          <w:sz w:val="24"/>
          <w:szCs w:val="24"/>
        </w:rPr>
        <w:t>（1）基金托管人依据有关法律法规的规定和基金合同的约定对于基金管理人参与银行间债券市场交易时面临的交易对手资信风险进行监督。</w:t>
      </w:r>
    </w:p>
    <w:p w14:paraId="72706DF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5E36D4F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如果基金托管人发现基金管理人与不在名单内的银行间债券市场交易对手进行交易，应及时提醒基金管理人撤销交易，经提醒后基金管理人仍执行交易并造成基金资产损失的，基金托管人不承担相应责任。</w:t>
      </w:r>
    </w:p>
    <w:p w14:paraId="789447D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相应损失和责任。</w:t>
      </w:r>
    </w:p>
    <w:bookmarkEnd w:id="29"/>
    <w:p w14:paraId="6B93F91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w:t>
      </w:r>
      <w:bookmarkStart w:id="30" w:name="_Hlk151825309"/>
      <w:r>
        <w:rPr>
          <w:rFonts w:ascii="宋体" w:hAnsi="宋体" w:hint="eastAsia"/>
          <w:color w:val="0D0D0D"/>
          <w:sz w:val="24"/>
          <w:szCs w:val="24"/>
        </w:rPr>
        <w:t>基金托管人对基金投资流通受限证券的监督</w:t>
      </w:r>
    </w:p>
    <w:p w14:paraId="26C7AB05" w14:textId="611BA2C5" w:rsidR="00700034" w:rsidRDefault="00700034">
      <w:pPr>
        <w:spacing w:line="360" w:lineRule="auto"/>
        <w:ind w:firstLineChars="200" w:firstLine="480"/>
        <w:rPr>
          <w:rFonts w:ascii="宋体" w:hAnsi="宋体"/>
          <w:color w:val="0D0D0D"/>
          <w:sz w:val="24"/>
          <w:szCs w:val="24"/>
        </w:rPr>
      </w:pPr>
      <w:bookmarkStart w:id="31" w:name="_Hlk151825337"/>
      <w:bookmarkEnd w:id="30"/>
      <w:r>
        <w:rPr>
          <w:rFonts w:ascii="宋体" w:hAnsi="宋体" w:hint="eastAsia"/>
          <w:color w:val="0D0D0D"/>
          <w:sz w:val="24"/>
          <w:szCs w:val="24"/>
        </w:rPr>
        <w:t>（1）基金投资流通受限证券，应遵守有关法律法规规定。</w:t>
      </w:r>
      <w:r w:rsidR="0030582A">
        <w:rPr>
          <w:rFonts w:ascii="宋体" w:hAnsi="宋体" w:hint="eastAsia"/>
          <w:color w:val="0D0D0D"/>
          <w:sz w:val="24"/>
          <w:szCs w:val="24"/>
        </w:rPr>
        <w:t>此处</w:t>
      </w:r>
      <w:r>
        <w:rPr>
          <w:rFonts w:ascii="宋体" w:hAnsi="宋体" w:hint="eastAsia"/>
          <w:color w:val="0D0D0D"/>
          <w:sz w:val="24"/>
          <w:szCs w:val="24"/>
        </w:rPr>
        <w:t>流通受限证券</w:t>
      </w:r>
      <w:r w:rsidR="0030582A" w:rsidRPr="00F23329">
        <w:rPr>
          <w:rFonts w:ascii="宋体" w:hAnsi="宋体"/>
          <w:color w:val="0D0D0D"/>
          <w:sz w:val="24"/>
          <w:szCs w:val="24"/>
        </w:rPr>
        <w:t>与上文所述的流动性受限资产并不完全一致，</w:t>
      </w:r>
      <w:r>
        <w:rPr>
          <w:rFonts w:ascii="宋体" w:hAnsi="宋体" w:hint="eastAsia"/>
          <w:color w:val="0D0D0D"/>
          <w:sz w:val="24"/>
          <w:szCs w:val="24"/>
        </w:rPr>
        <w:t>包括由《上市公司证券发行</w:t>
      </w:r>
      <w:r w:rsidR="0030582A">
        <w:rPr>
          <w:rFonts w:ascii="宋体" w:hAnsi="宋体" w:hint="eastAsia"/>
          <w:color w:val="0D0D0D"/>
          <w:sz w:val="24"/>
          <w:szCs w:val="24"/>
        </w:rPr>
        <w:t>注册</w:t>
      </w:r>
      <w:r>
        <w:rPr>
          <w:rFonts w:ascii="宋体" w:hAnsi="宋体" w:hint="eastAsia"/>
          <w:color w:val="0D0D0D"/>
          <w:sz w:val="24"/>
          <w:szCs w:val="24"/>
        </w:rPr>
        <w:t>管理办法》规范的在发行时明确一定期限锁定期的可交易证券，不包括由于发布</w:t>
      </w:r>
      <w:r>
        <w:rPr>
          <w:rFonts w:ascii="宋体" w:hAnsi="宋体" w:hint="eastAsia"/>
          <w:color w:val="0D0D0D"/>
          <w:sz w:val="24"/>
          <w:szCs w:val="24"/>
        </w:rPr>
        <w:lastRenderedPageBreak/>
        <w:t>重大消息或其他原因而临时停牌的证券、已发行未上市证券、回购交易中的质押券等流通受限证券。</w:t>
      </w:r>
    </w:p>
    <w:p w14:paraId="54F8933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5F33975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942BF7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投资流通受限证券前，基金管理人应向基金托管人提供符合法律法规要求的有关必要书面信息。基金管理人应保证上述信息的真实、完整，并应至少于拟执行投资指令前将上述信息书面发至基金托管人。</w:t>
      </w:r>
    </w:p>
    <w:p w14:paraId="70B7717F" w14:textId="77777777" w:rsidR="00700034" w:rsidRDefault="00700034">
      <w:pPr>
        <w:spacing w:line="360" w:lineRule="auto"/>
        <w:ind w:firstLineChars="200" w:firstLine="480"/>
        <w:rPr>
          <w:rFonts w:ascii="宋体" w:hAnsi="宋体"/>
          <w:sz w:val="24"/>
          <w:szCs w:val="24"/>
        </w:rPr>
      </w:pPr>
      <w:r>
        <w:rPr>
          <w:rFonts w:ascii="宋体" w:hAnsi="宋体" w:hint="eastAsia"/>
          <w:color w:val="0D0D0D"/>
          <w:sz w:val="24"/>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w:t>
      </w:r>
      <w:r>
        <w:rPr>
          <w:rFonts w:ascii="宋体" w:hAnsi="宋体" w:hint="eastAsia"/>
          <w:sz w:val="24"/>
          <w:szCs w:val="24"/>
        </w:rPr>
        <w:t>会。</w:t>
      </w:r>
      <w:r>
        <w:rPr>
          <w:rFonts w:ascii="宋体" w:hAnsi="宋体" w:cs="宋体" w:hint="eastAsia"/>
          <w:kern w:val="0"/>
          <w:sz w:val="24"/>
          <w:szCs w:val="24"/>
          <w:lang w:val="zh-CN"/>
        </w:rPr>
        <w:t>因拒绝执行该指令造成基金财产损失的，基金托管人不承担相应责任，但基金托管人未经提前告知基金管理人于合理时间内提供说明的除外。</w:t>
      </w:r>
    </w:p>
    <w:p w14:paraId="488A035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如基金管理人和基金托管人无法达成一致，应及时上报中国证监会请求解决。</w:t>
      </w:r>
    </w:p>
    <w:bookmarkEnd w:id="31"/>
    <w:p w14:paraId="71AF9B63" w14:textId="77777777" w:rsidR="00700034" w:rsidRDefault="00700034">
      <w:pPr>
        <w:spacing w:line="360" w:lineRule="auto"/>
        <w:ind w:firstLineChars="200" w:firstLine="480"/>
        <w:rPr>
          <w:rFonts w:ascii="宋体" w:hAnsi="宋体"/>
          <w:color w:val="0D0D0D"/>
          <w:sz w:val="24"/>
          <w:szCs w:val="24"/>
        </w:rPr>
      </w:pPr>
      <w:r>
        <w:rPr>
          <w:rFonts w:ascii="宋体" w:hAnsi="宋体"/>
          <w:color w:val="0D0D0D"/>
          <w:sz w:val="24"/>
          <w:szCs w:val="24"/>
        </w:rPr>
        <w:t>7</w:t>
      </w:r>
      <w:r>
        <w:rPr>
          <w:rFonts w:ascii="宋体" w:hAnsi="宋体" w:hint="eastAsia"/>
          <w:color w:val="0D0D0D"/>
          <w:sz w:val="24"/>
          <w:szCs w:val="24"/>
        </w:rPr>
        <w:t>.</w:t>
      </w:r>
      <w:bookmarkStart w:id="32" w:name="_Hlk151825353"/>
      <w:r>
        <w:rPr>
          <w:rFonts w:ascii="宋体" w:hAnsi="宋体" w:hint="eastAsia"/>
          <w:color w:val="0D0D0D"/>
          <w:sz w:val="24"/>
          <w:szCs w:val="24"/>
        </w:rPr>
        <w:t>基金托管人根据有关法律法规的规定及基金合同的约定，对基金管理人选择存款银行进行监督。</w:t>
      </w:r>
      <w:bookmarkEnd w:id="32"/>
    </w:p>
    <w:p w14:paraId="78E9234A" w14:textId="77777777" w:rsidR="00700034" w:rsidRDefault="00700034">
      <w:pPr>
        <w:spacing w:line="360" w:lineRule="auto"/>
        <w:ind w:firstLineChars="200" w:firstLine="480"/>
        <w:rPr>
          <w:rFonts w:ascii="宋体" w:hAnsi="宋体"/>
          <w:color w:val="0D0D0D"/>
          <w:sz w:val="24"/>
          <w:szCs w:val="24"/>
        </w:rPr>
      </w:pPr>
      <w:bookmarkStart w:id="33" w:name="_Hlk151825372"/>
      <w:r>
        <w:rPr>
          <w:rFonts w:ascii="宋体" w:hAnsi="宋体" w:hint="eastAsia"/>
          <w:color w:val="0D0D0D"/>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2FBD7A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本基金投资银行存款应符合如下规定：</w:t>
      </w:r>
    </w:p>
    <w:p w14:paraId="328DE33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1</w:t>
      </w:r>
      <w:r>
        <w:rPr>
          <w:rFonts w:ascii="宋体" w:hAnsi="宋体" w:hint="eastAsia"/>
          <w:color w:val="0D0D0D"/>
          <w:sz w:val="24"/>
          <w:szCs w:val="24"/>
        </w:rPr>
        <w:t>）基金管理人、基金托管人应当与存款银行建立定期对账机制，确保基金银行存款业务账目及核算的真实、准确。</w:t>
      </w:r>
    </w:p>
    <w:p w14:paraId="08516C0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（2）基金托管人应加强对基金银行存款业务的监督与核查，严格审查、复核相关协议、账户资料、投资指令、存款证实书等有关文件，切实履行托管职责。</w:t>
      </w:r>
    </w:p>
    <w:p w14:paraId="36A9F5E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（3）基金管理人与基金托管人在开展基金存款业务时，应严格遵守《基金法》、《运作办法》等有关法律法规，以及国家有关账户管理、利率管理、支付结算等的各项规定。</w:t>
      </w:r>
    </w:p>
    <w:p w14:paraId="314A681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0E8832C5" w14:textId="09BD32AB" w:rsidR="00700034" w:rsidRDefault="00700034">
      <w:pPr>
        <w:spacing w:line="360" w:lineRule="auto"/>
        <w:ind w:firstLineChars="200" w:firstLine="480"/>
        <w:rPr>
          <w:rFonts w:ascii="宋体" w:hAnsi="宋体"/>
          <w:color w:val="0D0D0D"/>
          <w:sz w:val="24"/>
          <w:szCs w:val="24"/>
        </w:rPr>
      </w:pPr>
      <w:bookmarkStart w:id="34" w:name="_Hlk151825587"/>
      <w:bookmarkEnd w:id="33"/>
      <w:bookmarkEnd w:id="4"/>
      <w:r>
        <w:rPr>
          <w:rFonts w:ascii="宋体" w:hAnsi="宋体" w:hint="eastAsia"/>
          <w:color w:val="0D0D0D"/>
          <w:sz w:val="24"/>
          <w:szCs w:val="24"/>
        </w:rPr>
        <w:t>（二）基金托管人应根据有关法律法规的规定及基金合同的约定，对各类基金份额的基金资产净值计算、</w:t>
      </w:r>
      <w:r w:rsidR="0030582A">
        <w:rPr>
          <w:rFonts w:ascii="宋体" w:hAnsi="宋体" w:hint="eastAsia"/>
          <w:color w:val="0D0D0D"/>
          <w:sz w:val="24"/>
          <w:szCs w:val="24"/>
        </w:rPr>
        <w:t>各类</w:t>
      </w:r>
      <w:r>
        <w:rPr>
          <w:rFonts w:ascii="宋体" w:hAnsi="宋体" w:hint="eastAsia"/>
          <w:color w:val="0D0D0D"/>
          <w:sz w:val="24"/>
          <w:szCs w:val="24"/>
        </w:rPr>
        <w:t>基金份额净值计算、应收资金到账、基金费用开支及收入确定、基金收益分配、相关信息披露、基金宣传推介材料中登载基金业绩表现数据等进行监督和核查。</w:t>
      </w:r>
    </w:p>
    <w:p w14:paraId="1A105F1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11C158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在限期内，基金托管人有权随时对通知事项进行复查，督促基金管理人改正。基金管理人对基金托管人通知的违规事项未能在限期内纠正的，基金托管人应报告中国证监会。</w:t>
      </w:r>
    </w:p>
    <w:p w14:paraId="2D72834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基金托管人发现基金管理人的投资指令违反有关法律法规规定或者违反基金合同约定的，应当拒绝执行，立即通知基金管理人。</w:t>
      </w:r>
    </w:p>
    <w:p w14:paraId="1D24281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F220CA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284B1C4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基金托管人发现基金管理人有重大违规行为，应立即报告中国证监会，同时通知基金管理人限期纠正。</w:t>
      </w:r>
    </w:p>
    <w:p w14:paraId="64895A5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45BFC83" w14:textId="1B10FC0B"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基金管理人应遵守中华人民共和国反洗钱法律法规，不参与涉嫌洗钱、扩散融资等违法犯罪活动；</w:t>
      </w:r>
      <w:r w:rsidR="0030582A" w:rsidRPr="00F23329">
        <w:rPr>
          <w:rFonts w:ascii="宋体" w:hAnsi="宋体"/>
          <w:color w:val="0D0D0D"/>
          <w:sz w:val="24"/>
          <w:szCs w:val="24"/>
        </w:rPr>
        <w:t>在法律法规和监管要求下，</w:t>
      </w:r>
      <w:r>
        <w:rPr>
          <w:rFonts w:ascii="宋体" w:hAnsi="宋体" w:hint="eastAsia"/>
          <w:color w:val="0D0D0D"/>
          <w:sz w:val="24"/>
          <w:szCs w:val="24"/>
        </w:rPr>
        <w:t>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14:paraId="57F2E63C" w14:textId="695AA879" w:rsidR="00700034" w:rsidRDefault="0056008E" w:rsidP="00002611">
      <w:pPr>
        <w:spacing w:line="360" w:lineRule="auto"/>
        <w:ind w:firstLineChars="200" w:firstLine="480"/>
        <w:rPr>
          <w:rFonts w:ascii="宋体" w:hAnsi="宋体"/>
          <w:color w:val="0D0D0D"/>
          <w:sz w:val="24"/>
          <w:szCs w:val="24"/>
        </w:rPr>
      </w:pPr>
      <w:r w:rsidRPr="00002611">
        <w:rPr>
          <w:rFonts w:ascii="宋体" w:hAnsi="宋体" w:hint="eastAsia"/>
          <w:color w:val="0D0D0D"/>
          <w:sz w:val="24"/>
          <w:szCs w:val="24"/>
        </w:rPr>
        <w:t>基金托管人应当依照法律法规和基金合同约定，加强对侧袋机制启用、特定资产处置和信息披露等方面的复核和监督。不满足中国证监会规定和基金合同约定实施条件的，不得启用侧袋机制。</w:t>
      </w:r>
    </w:p>
    <w:bookmarkEnd w:id="34"/>
    <w:p w14:paraId="1C7771ED" w14:textId="77777777" w:rsidR="00700034" w:rsidRDefault="00700034">
      <w:pPr>
        <w:pStyle w:val="1"/>
        <w:jc w:val="center"/>
        <w:rPr>
          <w:rFonts w:ascii="宋体" w:hAnsi="宋体"/>
          <w:color w:val="0D0D0D"/>
        </w:rPr>
      </w:pPr>
      <w:r>
        <w:rPr>
          <w:rFonts w:ascii="宋体" w:hAnsi="宋体"/>
          <w:color w:val="0D0D0D"/>
          <w:sz w:val="24"/>
          <w:szCs w:val="24"/>
        </w:rPr>
        <w:br w:type="page"/>
      </w:r>
      <w:bookmarkStart w:id="35" w:name="_Toc155088981"/>
      <w:r>
        <w:rPr>
          <w:rFonts w:ascii="宋体" w:hAnsi="宋体" w:hint="eastAsia"/>
          <w:color w:val="0D0D0D"/>
        </w:rPr>
        <w:lastRenderedPageBreak/>
        <w:t>四</w:t>
      </w:r>
      <w:r w:rsidRPr="00002611">
        <w:rPr>
          <w:rFonts w:ascii="宋体" w:hAnsi="宋体" w:hint="eastAsia"/>
          <w:color w:val="0D0D0D"/>
        </w:rPr>
        <w:t>、基金管理人对基金托管人的业务核查</w:t>
      </w:r>
      <w:bookmarkEnd w:id="35"/>
    </w:p>
    <w:p w14:paraId="183CBB05" w14:textId="77777777" w:rsidR="0056008E" w:rsidRDefault="0056008E">
      <w:pPr>
        <w:spacing w:line="360" w:lineRule="auto"/>
        <w:ind w:firstLineChars="200" w:firstLine="480"/>
        <w:rPr>
          <w:rFonts w:ascii="宋体" w:hAnsi="宋体"/>
          <w:color w:val="0D0D0D"/>
          <w:sz w:val="24"/>
          <w:szCs w:val="24"/>
        </w:rPr>
      </w:pPr>
    </w:p>
    <w:p w14:paraId="2D5A5AAE" w14:textId="0F8A55B7" w:rsidR="00700034" w:rsidRDefault="0056008E">
      <w:pPr>
        <w:spacing w:line="360" w:lineRule="auto"/>
        <w:ind w:firstLineChars="200" w:firstLine="480"/>
        <w:rPr>
          <w:rFonts w:ascii="宋体" w:hAnsi="宋体"/>
          <w:color w:val="0D0D0D"/>
          <w:sz w:val="24"/>
          <w:szCs w:val="24"/>
        </w:rPr>
      </w:pPr>
      <w:bookmarkStart w:id="36" w:name="_Hlk151825662"/>
      <w:r w:rsidRPr="00002611">
        <w:rPr>
          <w:rFonts w:ascii="宋体" w:hAnsi="宋体" w:hint="eastAsia"/>
          <w:color w:val="0D0D0D"/>
          <w:sz w:val="24"/>
          <w:szCs w:val="24"/>
        </w:rPr>
        <w:t>根据《基金法》及其他有关法规的规定和《基金合同》及本协议约定，</w:t>
      </w:r>
      <w:r w:rsidR="00700034">
        <w:rPr>
          <w:rFonts w:ascii="宋体" w:hAnsi="宋体" w:hint="eastAsia"/>
          <w:color w:val="0D0D0D"/>
          <w:sz w:val="24"/>
          <w:szCs w:val="24"/>
        </w:rPr>
        <w:t>基金管理人对基金托管人履行托管职责情况进行核查，核查事项包括但不限于基金托管人安全保管基金财产、开设基金财产的资金账户</w:t>
      </w:r>
      <w:r w:rsidR="00883DB0">
        <w:rPr>
          <w:rFonts w:ascii="宋体" w:hAnsi="宋体" w:hint="eastAsia"/>
          <w:color w:val="0D0D0D"/>
          <w:sz w:val="24"/>
          <w:szCs w:val="24"/>
        </w:rPr>
        <w:t>、</w:t>
      </w:r>
      <w:r w:rsidR="00700034">
        <w:rPr>
          <w:rFonts w:ascii="宋体" w:hAnsi="宋体" w:hint="eastAsia"/>
          <w:color w:val="0D0D0D"/>
          <w:sz w:val="24"/>
          <w:szCs w:val="24"/>
        </w:rPr>
        <w:t>证券账户</w:t>
      </w:r>
      <w:r w:rsidR="00883DB0">
        <w:rPr>
          <w:rFonts w:hint="eastAsia"/>
          <w:bCs/>
          <w:sz w:val="24"/>
        </w:rPr>
        <w:t>和债券托管账户</w:t>
      </w:r>
      <w:r w:rsidR="00700034">
        <w:rPr>
          <w:rFonts w:ascii="宋体" w:hAnsi="宋体" w:hint="eastAsia"/>
          <w:color w:val="0D0D0D"/>
          <w:sz w:val="24"/>
          <w:szCs w:val="24"/>
        </w:rPr>
        <w:t>等投资所需账户、复核基金管理人计算的各类基金份额的基金资产净值和</w:t>
      </w:r>
      <w:r w:rsidR="0030582A">
        <w:rPr>
          <w:rFonts w:ascii="宋体" w:hAnsi="宋体" w:hint="eastAsia"/>
          <w:color w:val="0D0D0D"/>
          <w:sz w:val="24"/>
          <w:szCs w:val="24"/>
        </w:rPr>
        <w:t>各类</w:t>
      </w:r>
      <w:r w:rsidR="00700034">
        <w:rPr>
          <w:rFonts w:ascii="宋体" w:hAnsi="宋体" w:hint="eastAsia"/>
          <w:color w:val="0D0D0D"/>
          <w:sz w:val="24"/>
          <w:szCs w:val="24"/>
        </w:rPr>
        <w:t>基金份额净值、根据基金管理人指令办理清算交收、相关信息披露和监督基金投资运作等行为。</w:t>
      </w:r>
    </w:p>
    <w:p w14:paraId="7E5586E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本基金、基金管理人因此所遭受的损失。</w:t>
      </w:r>
    </w:p>
    <w:p w14:paraId="3225F10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基金管理人发现基金托管人有重大违规行为，应立即报告中国证监会和银行业监督管理机构，同时通知基金托管人限期纠正。</w:t>
      </w:r>
    </w:p>
    <w:p w14:paraId="749CD64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基金托管人应积极配合基金管理人的核查行为，包括但不限于：提交相关资料以供基金管理人核查托管财产的完整性和真实性，在规定时间内答复基金管理人并改正。</w:t>
      </w:r>
    </w:p>
    <w:p w14:paraId="3FD59D9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AA957E9" w14:textId="2B7C0A39" w:rsidR="00700034" w:rsidRDefault="00700034">
      <w:pPr>
        <w:pStyle w:val="1"/>
        <w:jc w:val="center"/>
        <w:rPr>
          <w:rFonts w:ascii="宋体" w:hAnsi="宋体"/>
          <w:color w:val="0D0D0D"/>
        </w:rPr>
      </w:pPr>
      <w:r>
        <w:rPr>
          <w:rFonts w:ascii="宋体" w:hAnsi="宋体"/>
          <w:color w:val="0D0D0D"/>
          <w:sz w:val="24"/>
          <w:szCs w:val="24"/>
        </w:rPr>
        <w:br w:type="page"/>
      </w:r>
      <w:bookmarkStart w:id="37" w:name="_Hlk49173376"/>
      <w:bookmarkStart w:id="38" w:name="_Toc155088982"/>
      <w:bookmarkEnd w:id="36"/>
      <w:r>
        <w:rPr>
          <w:rFonts w:ascii="宋体" w:hAnsi="宋体" w:hint="eastAsia"/>
          <w:color w:val="0D0D0D"/>
        </w:rPr>
        <w:lastRenderedPageBreak/>
        <w:t>五、基金财产保管</w:t>
      </w:r>
      <w:bookmarkEnd w:id="37"/>
      <w:bookmarkEnd w:id="38"/>
    </w:p>
    <w:p w14:paraId="50A0F6CF" w14:textId="77777777" w:rsidR="00240AA2" w:rsidRPr="00240AA2" w:rsidRDefault="00240AA2" w:rsidP="00240AA2"/>
    <w:p w14:paraId="1D9E4291" w14:textId="77777777" w:rsidR="00700034" w:rsidRDefault="00700034" w:rsidP="00143A8D">
      <w:pPr>
        <w:spacing w:line="360" w:lineRule="auto"/>
        <w:ind w:firstLineChars="200" w:firstLine="480"/>
        <w:rPr>
          <w:rFonts w:ascii="宋体" w:hAnsi="宋体"/>
          <w:color w:val="0D0D0D"/>
          <w:sz w:val="24"/>
          <w:szCs w:val="24"/>
        </w:rPr>
      </w:pPr>
      <w:bookmarkStart w:id="39" w:name="_Hlk151825725"/>
      <w:r w:rsidRPr="00002611">
        <w:rPr>
          <w:rFonts w:ascii="宋体" w:hAnsi="宋体" w:hint="eastAsia"/>
          <w:color w:val="0D0D0D"/>
          <w:sz w:val="24"/>
          <w:szCs w:val="24"/>
        </w:rPr>
        <w:t>（一）基金财产保管的原则</w:t>
      </w:r>
    </w:p>
    <w:p w14:paraId="5B6C672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1．基金财产应独立于基金管理人、基金托管人和证券经纪机构的固有财产。</w:t>
      </w:r>
    </w:p>
    <w:p w14:paraId="68BDA395"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2．基金托管人应安全保管基金财产。除依据法律法规规定、基金合同和本托管协议约定及基金管理人的正当指令外，不得自行运用、处分、分配基金的任何财产。</w:t>
      </w:r>
    </w:p>
    <w:p w14:paraId="4E398902" w14:textId="5CB1DB7D"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3．基金托管人按照规定开设基金财产的资金账户</w:t>
      </w:r>
      <w:r w:rsidR="00883DB0">
        <w:rPr>
          <w:rFonts w:ascii="宋体" w:hAnsi="宋体" w:hint="eastAsia"/>
          <w:color w:val="0D0D0D"/>
          <w:sz w:val="24"/>
          <w:szCs w:val="24"/>
        </w:rPr>
        <w:t>、</w:t>
      </w:r>
      <w:r>
        <w:rPr>
          <w:rFonts w:ascii="宋体" w:hAnsi="宋体" w:hint="eastAsia"/>
          <w:color w:val="0D0D0D"/>
          <w:sz w:val="24"/>
          <w:szCs w:val="24"/>
        </w:rPr>
        <w:t>证券账户</w:t>
      </w:r>
      <w:r w:rsidR="00883DB0" w:rsidRPr="00883DB0">
        <w:rPr>
          <w:rFonts w:ascii="宋体" w:hAnsi="宋体" w:hint="eastAsia"/>
          <w:color w:val="0D0D0D"/>
          <w:sz w:val="24"/>
          <w:szCs w:val="24"/>
        </w:rPr>
        <w:t>和债券托管账户</w:t>
      </w:r>
      <w:r>
        <w:rPr>
          <w:rFonts w:ascii="宋体" w:hAnsi="宋体" w:hint="eastAsia"/>
          <w:color w:val="0D0D0D"/>
          <w:sz w:val="24"/>
          <w:szCs w:val="24"/>
        </w:rPr>
        <w:t>等投资所需账户。</w:t>
      </w:r>
    </w:p>
    <w:p w14:paraId="1049F190" w14:textId="0FEB3CAA"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4．基金托管人对所托管的不同基金财产分别设置账户，与基金托管人的其他业务和其他基金的托管业务实行严格的分账管理，</w:t>
      </w:r>
      <w:r w:rsidR="00D164B2">
        <w:rPr>
          <w:rFonts w:ascii="宋体" w:hAnsi="宋体" w:hint="eastAsia"/>
          <w:color w:val="0D0D0D"/>
          <w:sz w:val="24"/>
          <w:szCs w:val="24"/>
        </w:rPr>
        <w:t>独立核算、分账管理，</w:t>
      </w:r>
      <w:r>
        <w:rPr>
          <w:rFonts w:ascii="宋体" w:hAnsi="宋体" w:hint="eastAsia"/>
          <w:color w:val="0D0D0D"/>
          <w:sz w:val="24"/>
          <w:szCs w:val="24"/>
        </w:rPr>
        <w:t>确保基金财产的完整与独立。</w:t>
      </w:r>
    </w:p>
    <w:p w14:paraId="7FC4E0F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5．基金托管人根据基金管理人的指令，按照基金合同和本协议的约定保管基金财产，如有特殊情况双方可另行协商解决。</w:t>
      </w:r>
    </w:p>
    <w:p w14:paraId="3EF8A5FA" w14:textId="00BA7F3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6．除依据法律法规和基金合同的规定外，基金托管人不得委托第三人托管基金资产。</w:t>
      </w:r>
    </w:p>
    <w:p w14:paraId="64042DBA"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（二）募集资金的验资</w:t>
      </w:r>
    </w:p>
    <w:p w14:paraId="0F5B247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基金募集期间募集认购款项应存于基金认购专用账户，该账户由基金管理人或基金管理人委托的登记机构开立并管理。</w:t>
      </w:r>
    </w:p>
    <w:p w14:paraId="3692D8A6" w14:textId="24853FE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w:t>
      </w:r>
      <w:r w:rsidR="000668D3">
        <w:rPr>
          <w:rFonts w:ascii="宋体" w:hAnsi="宋体" w:hint="eastAsia"/>
          <w:color w:val="0D0D0D"/>
          <w:sz w:val="24"/>
          <w:szCs w:val="24"/>
        </w:rPr>
        <w:t>金</w:t>
      </w:r>
      <w:r>
        <w:rPr>
          <w:rFonts w:ascii="宋体" w:hAnsi="宋体" w:hint="eastAsia"/>
          <w:color w:val="0D0D0D"/>
          <w:sz w:val="24"/>
          <w:szCs w:val="24"/>
        </w:rPr>
        <w:t>托管</w:t>
      </w:r>
      <w:r w:rsidR="000668D3">
        <w:rPr>
          <w:rFonts w:ascii="宋体" w:hAnsi="宋体" w:hint="eastAsia"/>
          <w:color w:val="0D0D0D"/>
          <w:sz w:val="24"/>
          <w:szCs w:val="24"/>
        </w:rPr>
        <w:t>账</w:t>
      </w:r>
      <w:r>
        <w:rPr>
          <w:rFonts w:ascii="宋体" w:hAnsi="宋体" w:hint="eastAsia"/>
          <w:color w:val="0D0D0D"/>
          <w:sz w:val="24"/>
          <w:szCs w:val="24"/>
        </w:rPr>
        <w:t>户中，基金托管人在收到资金当日出具确认文件。同时，基金管理人应聘请符合《中华人民共和国证券法》规定的会计师事务所进行验资，出具验资报告，出具的验资报告应由参加验资的2名以上（含2名）中国注册会计师签字有效。</w:t>
      </w:r>
    </w:p>
    <w:p w14:paraId="3A8E35F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若基金募集期限届满，未能达到基金备案条件，由基金管理人按规定办理退款事宜</w:t>
      </w:r>
      <w:r w:rsidRPr="00143A8D">
        <w:rPr>
          <w:rFonts w:ascii="宋体" w:hAnsi="宋体" w:hint="eastAsia"/>
          <w:color w:val="0D0D0D"/>
          <w:sz w:val="24"/>
          <w:szCs w:val="24"/>
        </w:rPr>
        <w:t>，</w:t>
      </w:r>
      <w:r>
        <w:rPr>
          <w:rFonts w:ascii="宋体" w:hAnsi="宋体" w:hint="eastAsia"/>
          <w:color w:val="0D0D0D"/>
          <w:sz w:val="24"/>
          <w:szCs w:val="24"/>
        </w:rPr>
        <w:t>基金托管人应提供充分协助。</w:t>
      </w:r>
    </w:p>
    <w:p w14:paraId="7CB92084" w14:textId="3593D5C1"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（三）基金的银行账户的开立和管理</w:t>
      </w:r>
    </w:p>
    <w:p w14:paraId="76526F4C" w14:textId="00D8BFEF" w:rsidR="00D164B2"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w:t>
      </w:r>
      <w:r w:rsidR="00D164B2">
        <w:rPr>
          <w:rFonts w:ascii="宋体" w:hAnsi="宋体" w:hint="eastAsia"/>
          <w:color w:val="0D0D0D"/>
          <w:sz w:val="24"/>
          <w:szCs w:val="24"/>
        </w:rPr>
        <w:t>基金托管人负责本基金的资金托管</w:t>
      </w:r>
      <w:r w:rsidR="000668D3">
        <w:rPr>
          <w:rFonts w:ascii="宋体" w:hAnsi="宋体" w:hint="eastAsia"/>
          <w:color w:val="0D0D0D"/>
          <w:sz w:val="24"/>
          <w:szCs w:val="24"/>
        </w:rPr>
        <w:t>账户的开设和管理。</w:t>
      </w:r>
    </w:p>
    <w:p w14:paraId="65215559" w14:textId="1CE8E878" w:rsidR="00700034" w:rsidRDefault="00D164B2">
      <w:pPr>
        <w:spacing w:line="360" w:lineRule="auto"/>
        <w:ind w:firstLineChars="200" w:firstLine="480"/>
        <w:rPr>
          <w:rFonts w:ascii="宋体" w:hAnsi="宋体"/>
          <w:color w:val="0D0D0D"/>
          <w:sz w:val="24"/>
          <w:szCs w:val="24"/>
        </w:rPr>
      </w:pPr>
      <w:r>
        <w:rPr>
          <w:rFonts w:ascii="宋体" w:hAnsi="宋体"/>
          <w:color w:val="0D0D0D"/>
          <w:sz w:val="24"/>
          <w:szCs w:val="24"/>
        </w:rPr>
        <w:lastRenderedPageBreak/>
        <w:t>2.</w:t>
      </w:r>
      <w:r w:rsidR="00700034">
        <w:rPr>
          <w:rFonts w:ascii="宋体" w:hAnsi="宋体" w:hint="eastAsia"/>
          <w:color w:val="0D0D0D"/>
          <w:sz w:val="24"/>
          <w:szCs w:val="24"/>
        </w:rPr>
        <w:t>基金托管人以本基金的名义在其营业机构开立基金的</w:t>
      </w:r>
      <w:r w:rsidR="000668D3">
        <w:rPr>
          <w:rFonts w:ascii="宋体" w:hAnsi="宋体" w:hint="eastAsia"/>
          <w:color w:val="0D0D0D"/>
          <w:sz w:val="24"/>
          <w:szCs w:val="24"/>
        </w:rPr>
        <w:t>资金托管</w:t>
      </w:r>
      <w:r w:rsidR="00700034">
        <w:rPr>
          <w:rFonts w:ascii="宋体" w:hAnsi="宋体" w:hint="eastAsia"/>
          <w:color w:val="0D0D0D"/>
          <w:sz w:val="24"/>
          <w:szCs w:val="24"/>
        </w:rPr>
        <w:t>账户。本基金的银行预留印鉴由基金托管人保管和使用。</w:t>
      </w:r>
      <w:r w:rsidR="000668D3">
        <w:rPr>
          <w:rFonts w:ascii="宋体" w:hAnsi="宋体" w:hint="eastAsia"/>
          <w:color w:val="0D0D0D"/>
          <w:sz w:val="24"/>
          <w:szCs w:val="24"/>
        </w:rPr>
        <w:t>本基金的一切货币收支活动，包括但不限于投资、支付赎回金额、支付基金收益、收取申购款，均需通过本基金的资金托管账户进行。</w:t>
      </w:r>
    </w:p>
    <w:p w14:paraId="4AD418AA" w14:textId="2E2B096E" w:rsidR="00700034" w:rsidRDefault="00FF0F61">
      <w:pPr>
        <w:spacing w:line="360" w:lineRule="auto"/>
        <w:ind w:firstLineChars="200" w:firstLine="480"/>
        <w:rPr>
          <w:rFonts w:ascii="宋体" w:hAnsi="宋体"/>
          <w:color w:val="0D0D0D"/>
          <w:sz w:val="24"/>
          <w:szCs w:val="24"/>
        </w:rPr>
      </w:pPr>
      <w:r>
        <w:rPr>
          <w:rFonts w:ascii="宋体" w:hAnsi="宋体"/>
          <w:color w:val="0D0D0D"/>
          <w:sz w:val="24"/>
          <w:szCs w:val="24"/>
        </w:rPr>
        <w:t>3</w:t>
      </w:r>
      <w:r w:rsidR="00700034">
        <w:rPr>
          <w:rFonts w:ascii="宋体" w:hAnsi="宋体" w:hint="eastAsia"/>
          <w:color w:val="0D0D0D"/>
          <w:sz w:val="24"/>
          <w:szCs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45C309B9" w14:textId="44157F87" w:rsidR="00700034" w:rsidRDefault="00FF0F61">
      <w:pPr>
        <w:spacing w:line="360" w:lineRule="auto"/>
        <w:ind w:firstLineChars="200" w:firstLine="480"/>
        <w:rPr>
          <w:rFonts w:ascii="宋体" w:hAnsi="宋体"/>
          <w:color w:val="0D0D0D"/>
          <w:sz w:val="24"/>
          <w:szCs w:val="24"/>
        </w:rPr>
      </w:pPr>
      <w:r>
        <w:rPr>
          <w:rFonts w:ascii="宋体" w:hAnsi="宋体"/>
          <w:color w:val="0D0D0D"/>
          <w:sz w:val="24"/>
          <w:szCs w:val="24"/>
        </w:rPr>
        <w:t>4</w:t>
      </w:r>
      <w:r w:rsidR="00700034">
        <w:rPr>
          <w:rFonts w:ascii="宋体" w:hAnsi="宋体" w:hint="eastAsia"/>
          <w:color w:val="0D0D0D"/>
          <w:sz w:val="24"/>
          <w:szCs w:val="24"/>
        </w:rPr>
        <w:t>．基金银行账户的开立和管理应符合有关法律法规以及银行业监督管理机构的有关规定。</w:t>
      </w:r>
    </w:p>
    <w:p w14:paraId="6658E17C"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（四）基金证券账户与证券交易资金账户的开设和管理</w:t>
      </w:r>
    </w:p>
    <w:p w14:paraId="7ACF45B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基金托管人以基金托管人和本基金联名的方式在中国证券登记结算有限责任公司（以下简称“中登公司”）上海分公司/深圳分公司开设证券账户。</w:t>
      </w:r>
    </w:p>
    <w:p w14:paraId="7CB32884" w14:textId="4B851D76"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A972890" w14:textId="07CA2B39" w:rsidR="000668D3" w:rsidRPr="000668D3" w:rsidRDefault="000668D3" w:rsidP="000668D3">
      <w:pPr>
        <w:spacing w:line="360" w:lineRule="auto"/>
        <w:ind w:firstLineChars="200" w:firstLine="480"/>
        <w:rPr>
          <w:rFonts w:ascii="宋体" w:hAnsi="宋体"/>
          <w:color w:val="0D0D0D"/>
          <w:sz w:val="24"/>
          <w:szCs w:val="24"/>
        </w:rPr>
      </w:pPr>
      <w:bookmarkStart w:id="40" w:name="_Hlk150519573"/>
      <w:r w:rsidRPr="000668D3">
        <w:rPr>
          <w:rFonts w:ascii="宋体" w:hAnsi="宋体" w:hint="eastAsia"/>
          <w:color w:val="0D0D0D"/>
          <w:sz w:val="24"/>
          <w:szCs w:val="24"/>
        </w:rPr>
        <w:t>基金管理人为基金财产在证券经纪机构开立证券交易资金账户，用于基金财产证券交易结算资金的存管、记载交易结算资金的变动明细以及场内证券交易清算。</w:t>
      </w:r>
    </w:p>
    <w:p w14:paraId="53FBFA59" w14:textId="77777777" w:rsidR="000668D3" w:rsidRPr="000668D3" w:rsidRDefault="000668D3" w:rsidP="000668D3">
      <w:pPr>
        <w:spacing w:line="360" w:lineRule="auto"/>
        <w:ind w:firstLineChars="200" w:firstLine="480"/>
        <w:rPr>
          <w:rFonts w:ascii="宋体" w:hAnsi="宋体"/>
          <w:color w:val="0D0D0D"/>
          <w:sz w:val="24"/>
          <w:szCs w:val="24"/>
        </w:rPr>
      </w:pPr>
      <w:r w:rsidRPr="000668D3">
        <w:rPr>
          <w:rFonts w:ascii="宋体" w:hAnsi="宋体" w:hint="eastAsia"/>
          <w:color w:val="0D0D0D"/>
          <w:sz w:val="24"/>
          <w:szCs w:val="24"/>
        </w:rPr>
        <w:t>基金托管人和基金管理人不得出借或转让证券账户、证券交易资金账户，亦不得使用证券账户或证券交易资金账户进行本基金业务以外的活动。本基金通过证券经纪机构进行的交易由证券经纪机构作为结算参与人代理本基金进行结算。</w:t>
      </w:r>
    </w:p>
    <w:p w14:paraId="4CC819CC" w14:textId="0DFE5FCD" w:rsidR="000668D3" w:rsidRDefault="000668D3" w:rsidP="000668D3">
      <w:pPr>
        <w:spacing w:line="360" w:lineRule="auto"/>
        <w:ind w:firstLineChars="200" w:firstLine="480"/>
        <w:rPr>
          <w:rFonts w:ascii="宋体" w:hAnsi="宋体"/>
          <w:color w:val="0D0D0D"/>
          <w:sz w:val="24"/>
          <w:szCs w:val="24"/>
        </w:rPr>
      </w:pPr>
      <w:r w:rsidRPr="000668D3">
        <w:rPr>
          <w:rFonts w:ascii="宋体" w:hAnsi="宋体" w:hint="eastAsia"/>
          <w:color w:val="0D0D0D"/>
          <w:sz w:val="24"/>
          <w:szCs w:val="24"/>
        </w:rPr>
        <w:t>基金管理人承诺证券交易资金账户为主资金账户，不开立任何辅助资金账户</w:t>
      </w:r>
      <w:r w:rsidR="00AD29D3">
        <w:rPr>
          <w:rFonts w:ascii="宋体" w:hAnsi="宋体" w:hint="eastAsia"/>
          <w:color w:val="0D0D0D"/>
          <w:sz w:val="24"/>
          <w:szCs w:val="24"/>
        </w:rPr>
        <w:t>。</w:t>
      </w:r>
    </w:p>
    <w:bookmarkEnd w:id="40"/>
    <w:p w14:paraId="510B0016"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（五）债券托管账户的开立和管理</w:t>
      </w:r>
    </w:p>
    <w:p w14:paraId="2E0F3D5C" w14:textId="7928B782"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合同生效后，基金管理人负责以本基金的名义申请并取得进入全国银行间同业拆借市场的交易资格，并代表本基金进行交易；基金托管人负责以本基金的名义在中央国债登记结算有限责任公司和银行间市场清算所股份有限公司开设银行间债券市场债券托管账户</w:t>
      </w:r>
      <w:r w:rsidR="00C93AFC">
        <w:rPr>
          <w:rFonts w:ascii="宋体" w:hAnsi="宋体" w:hint="eastAsia"/>
          <w:color w:val="0D0D0D"/>
          <w:sz w:val="24"/>
          <w:szCs w:val="24"/>
        </w:rPr>
        <w:t>和资金结算专户</w:t>
      </w:r>
      <w:r>
        <w:rPr>
          <w:rFonts w:ascii="宋体" w:hAnsi="宋体" w:hint="eastAsia"/>
          <w:color w:val="0D0D0D"/>
          <w:sz w:val="24"/>
          <w:szCs w:val="24"/>
        </w:rPr>
        <w:t>，并由基金托管人负责本基金的债券的后台匹配及资金的清算。</w:t>
      </w:r>
    </w:p>
    <w:p w14:paraId="19B1C572" w14:textId="1ACEAE3F"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2．基金管理人和基金托管人应一起负责为本基金对外签订全国银行间国债市场回购主协议，正本由基金托管人保管，基金管理人保存副本。</w:t>
      </w:r>
    </w:p>
    <w:p w14:paraId="53F063C8" w14:textId="46F580CE"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（六）其他账户的开设和管理</w:t>
      </w:r>
    </w:p>
    <w:p w14:paraId="4830C06E" w14:textId="7B57CEA8"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11530E76" w14:textId="535B27D1" w:rsidR="00700034" w:rsidRPr="00002611" w:rsidRDefault="00700034" w:rsidP="00143A8D">
      <w:pPr>
        <w:spacing w:line="360" w:lineRule="auto"/>
        <w:ind w:firstLineChars="200" w:firstLine="480"/>
        <w:rPr>
          <w:rFonts w:ascii="宋体" w:hAnsi="宋体"/>
          <w:color w:val="0D0D0D"/>
          <w:sz w:val="24"/>
          <w:szCs w:val="24"/>
        </w:rPr>
      </w:pPr>
      <w:r w:rsidRPr="00002611">
        <w:rPr>
          <w:rFonts w:ascii="宋体" w:hAnsi="宋体" w:hint="eastAsia"/>
          <w:color w:val="0D0D0D"/>
          <w:sz w:val="24"/>
          <w:szCs w:val="24"/>
        </w:rPr>
        <w:t>（七）基金财产投资的有关实物证券、银行定期存款存单等有价凭证的保管</w:t>
      </w:r>
    </w:p>
    <w:p w14:paraId="3A5E77D2" w14:textId="54BBAF5A" w:rsidR="00700034" w:rsidRDefault="00700034">
      <w:pPr>
        <w:spacing w:line="360" w:lineRule="auto"/>
        <w:ind w:firstLineChars="200" w:firstLine="480"/>
        <w:rPr>
          <w:rFonts w:ascii="宋体" w:hAnsi="宋体"/>
          <w:color w:val="0D0D0D"/>
          <w:sz w:val="24"/>
          <w:szCs w:val="24"/>
        </w:rPr>
      </w:pPr>
      <w:r w:rsidRPr="0060353A">
        <w:rPr>
          <w:rFonts w:ascii="宋体" w:hAnsi="宋体" w:hint="eastAsia"/>
          <w:color w:val="0D0D0D"/>
          <w:sz w:val="24"/>
          <w:szCs w:val="24"/>
        </w:rPr>
        <w:t>基金财产投资的有关实物证券由基金托管人存放于基金托管人的保管库；其中实物证券也可存入中央国债登记结算有限责任公司或银行间市场清算所股份有限公司或中登公司上海分公司</w:t>
      </w:r>
      <w:r w:rsidRPr="0060353A">
        <w:rPr>
          <w:rFonts w:ascii="宋体" w:hAnsi="宋体"/>
          <w:color w:val="0D0D0D"/>
          <w:sz w:val="24"/>
          <w:szCs w:val="24"/>
        </w:rPr>
        <w:t>/深圳分公司或票据营业中心的代保管库。实物证券的购买和转让，由基金托管人根据基金管理人的指令办理。</w:t>
      </w:r>
      <w:bookmarkStart w:id="41" w:name="_Hlk151721442"/>
      <w:r w:rsidRPr="00002611">
        <w:rPr>
          <w:rFonts w:ascii="宋体" w:hAnsi="宋体"/>
          <w:color w:val="0D0D0D"/>
          <w:sz w:val="24"/>
          <w:szCs w:val="24"/>
        </w:rPr>
        <w:t>属于基金托管人控制下的实物证券在基金托管人保管期间</w:t>
      </w:r>
      <w:r w:rsidR="0060353A" w:rsidRPr="00002611">
        <w:rPr>
          <w:rFonts w:ascii="宋体" w:hAnsi="宋体" w:hint="eastAsia"/>
          <w:color w:val="0D0D0D"/>
          <w:sz w:val="24"/>
          <w:szCs w:val="24"/>
        </w:rPr>
        <w:t>因托管人</w:t>
      </w:r>
      <w:r w:rsidR="00AD29D3" w:rsidRPr="00002611">
        <w:rPr>
          <w:rFonts w:ascii="宋体" w:hAnsi="宋体" w:hint="eastAsia"/>
          <w:color w:val="0D0D0D"/>
          <w:sz w:val="24"/>
          <w:szCs w:val="24"/>
        </w:rPr>
        <w:t>原因</w:t>
      </w:r>
      <w:r w:rsidR="0060353A" w:rsidRPr="00002611">
        <w:rPr>
          <w:rFonts w:ascii="宋体" w:hAnsi="宋体" w:hint="eastAsia"/>
          <w:color w:val="0D0D0D"/>
          <w:sz w:val="24"/>
          <w:szCs w:val="24"/>
        </w:rPr>
        <w:t>导致的</w:t>
      </w:r>
      <w:r w:rsidRPr="00002611">
        <w:rPr>
          <w:rFonts w:ascii="宋体" w:hAnsi="宋体"/>
          <w:color w:val="0D0D0D"/>
          <w:sz w:val="24"/>
          <w:szCs w:val="24"/>
        </w:rPr>
        <w:t>损坏、灭失，由此产生的责任应由基金托管人承担。基金托管人对基金托管人以外机构实际有效控制的证券不承担保管责任。</w:t>
      </w:r>
    </w:p>
    <w:bookmarkEnd w:id="41"/>
    <w:p w14:paraId="55277A8B" w14:textId="2AD5BA35"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（八）与基金财产有关的重大合同的保管</w:t>
      </w:r>
    </w:p>
    <w:p w14:paraId="017C23E7" w14:textId="4A2955B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合同应存放于基金管理人和基金托管人各自文件保管部门不低于法律法规规定的最低期限。对于无法取得二份以上的正本的，基金管理人应向基金托管人提供加盖授权业务章的合同传真件，未经双方协商或未在合同约定范围内，合同原件不得转移，由基金管理人保管。</w:t>
      </w:r>
    </w:p>
    <w:bookmarkEnd w:id="39"/>
    <w:p w14:paraId="127A12F6" w14:textId="2EC92FC2" w:rsidR="00700034" w:rsidRDefault="00700034">
      <w:pPr>
        <w:pStyle w:val="1"/>
        <w:jc w:val="center"/>
        <w:rPr>
          <w:rFonts w:ascii="宋体" w:hAnsi="宋体"/>
          <w:color w:val="0D0D0D"/>
        </w:rPr>
      </w:pPr>
      <w:r>
        <w:rPr>
          <w:rFonts w:ascii="宋体" w:hAnsi="宋体"/>
          <w:color w:val="0D0D0D"/>
          <w:sz w:val="24"/>
          <w:szCs w:val="24"/>
        </w:rPr>
        <w:br w:type="page"/>
      </w:r>
      <w:bookmarkStart w:id="42" w:name="_Hlk49173329"/>
      <w:bookmarkStart w:id="43" w:name="_Toc155088983"/>
      <w:r>
        <w:rPr>
          <w:rFonts w:ascii="宋体" w:hAnsi="宋体" w:hint="eastAsia"/>
          <w:color w:val="0D0D0D"/>
        </w:rPr>
        <w:lastRenderedPageBreak/>
        <w:t>六、指令的发送、确认和执行</w:t>
      </w:r>
      <w:bookmarkEnd w:id="42"/>
      <w:bookmarkEnd w:id="43"/>
    </w:p>
    <w:p w14:paraId="7739F1C0" w14:textId="77777777" w:rsidR="00240AA2" w:rsidRPr="00240AA2" w:rsidRDefault="00240AA2" w:rsidP="00240AA2"/>
    <w:p w14:paraId="70362A20"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（一）基金管理人对发送指令人员的书面授权</w:t>
      </w:r>
    </w:p>
    <w:p w14:paraId="129ACDD5" w14:textId="00F5605F" w:rsidR="00371FF7" w:rsidRPr="00371FF7" w:rsidRDefault="00700034" w:rsidP="00371FF7">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向基金托管人提供预留印鉴和被授权人签字样本，事先书面通知（以下简称“授权通知”）基金托管人有权发送指令的人员名单，注明相应的交易权限，并规定基金管理人向基金托管人发送指令时基金托管人确认有权发送人员身份的方法。</w:t>
      </w:r>
      <w:r w:rsidR="00371FF7" w:rsidRPr="00002611">
        <w:rPr>
          <w:rFonts w:ascii="宋体" w:hAnsi="宋体" w:hint="eastAsia"/>
          <w:color w:val="0D0D0D"/>
          <w:sz w:val="24"/>
          <w:szCs w:val="24"/>
        </w:rPr>
        <w:t>基金管理人向基金托管人发出的授权通知应加盖公章或授权印章</w:t>
      </w:r>
      <w:r w:rsidR="0060353A" w:rsidRPr="00002611">
        <w:rPr>
          <w:rFonts w:ascii="宋体" w:hAnsi="宋体" w:hint="eastAsia"/>
          <w:color w:val="0D0D0D"/>
          <w:sz w:val="24"/>
          <w:szCs w:val="24"/>
        </w:rPr>
        <w:t>，并由基金管理人法定代表人或其授权代表签章（签字或加盖名章），如为授权代表签章，还应附上法定代表人的授权委托书。</w:t>
      </w:r>
      <w:r w:rsidR="00371FF7" w:rsidRPr="00371FF7">
        <w:rPr>
          <w:rFonts w:ascii="宋体" w:hAnsi="宋体" w:hint="eastAsia"/>
          <w:color w:val="0D0D0D"/>
          <w:sz w:val="24"/>
          <w:szCs w:val="24"/>
        </w:rPr>
        <w:t>基金管理人以传真或其他与基金托管人约定的方式发出授权通知后，以电话或其他双方共同认可的形式向基金托管人确认，授权通知自其上面注明的启用日期开始生效，该生效时间不得早于基金托管人收到授权文件并经电话或其他双方共同认可的形式确认的时点。如早于，则以基金托管人收到授权文件并经电话或其他双方共同认可的形式确认的时点为授权文件的生效时间。</w:t>
      </w:r>
    </w:p>
    <w:p w14:paraId="57D71096" w14:textId="77777777" w:rsidR="00371FF7" w:rsidRPr="00371FF7" w:rsidRDefault="00371FF7" w:rsidP="00371FF7">
      <w:pPr>
        <w:spacing w:line="360" w:lineRule="auto"/>
        <w:ind w:firstLineChars="200" w:firstLine="480"/>
        <w:rPr>
          <w:rFonts w:ascii="宋体" w:hAnsi="宋体"/>
          <w:color w:val="0D0D0D"/>
          <w:sz w:val="24"/>
          <w:szCs w:val="24"/>
        </w:rPr>
      </w:pPr>
      <w:r w:rsidRPr="00371FF7">
        <w:rPr>
          <w:rFonts w:ascii="宋体" w:hAnsi="宋体" w:hint="eastAsia"/>
          <w:color w:val="0D0D0D"/>
          <w:sz w:val="24"/>
          <w:szCs w:val="24"/>
        </w:rPr>
        <w:t>基金托管人收到授权通知后，将签字和印鉴与预留样本核对无误后，应在收到授权通知当日电话向基金管理人确认。</w:t>
      </w:r>
    </w:p>
    <w:p w14:paraId="70A42AC6" w14:textId="77777777" w:rsidR="00371FF7" w:rsidRPr="00371FF7" w:rsidRDefault="00371FF7" w:rsidP="00371FF7">
      <w:pPr>
        <w:spacing w:line="360" w:lineRule="auto"/>
        <w:ind w:firstLineChars="200" w:firstLine="480"/>
        <w:rPr>
          <w:rFonts w:ascii="宋体" w:hAnsi="宋体"/>
          <w:color w:val="0D0D0D"/>
          <w:sz w:val="24"/>
          <w:szCs w:val="24"/>
        </w:rPr>
      </w:pPr>
      <w:r w:rsidRPr="00371FF7">
        <w:rPr>
          <w:rFonts w:ascii="宋体" w:hAnsi="宋体" w:hint="eastAsia"/>
          <w:color w:val="0D0D0D"/>
          <w:sz w:val="24"/>
          <w:szCs w:val="24"/>
        </w:rPr>
        <w:t>基金托管人收到的传真件或扫描件与事后收到的原件不一致的，以基金托管人收到的传真件或扫描件为准。</w:t>
      </w:r>
    </w:p>
    <w:p w14:paraId="68FB1342" w14:textId="3075BAA3" w:rsidR="00700034" w:rsidRDefault="00371FF7" w:rsidP="00371FF7">
      <w:pPr>
        <w:spacing w:line="360" w:lineRule="auto"/>
        <w:ind w:firstLineChars="200" w:firstLine="480"/>
        <w:rPr>
          <w:rFonts w:ascii="宋体" w:hAnsi="宋体"/>
          <w:color w:val="0D0D0D"/>
          <w:sz w:val="24"/>
          <w:szCs w:val="24"/>
        </w:rPr>
      </w:pPr>
      <w:r w:rsidRPr="00371FF7">
        <w:rPr>
          <w:rFonts w:ascii="宋体" w:hAnsi="宋体" w:hint="eastAsia"/>
          <w:color w:val="0D0D0D"/>
          <w:sz w:val="24"/>
          <w:szCs w:val="24"/>
        </w:rPr>
        <w:t>基金管理人和基金托管人对授权文件负有保密义务，其内容不得向授权人、被授权人及相关操作人员以外的任何人泄露。但法律法规规定或有权机关要求的除外。</w:t>
      </w:r>
    </w:p>
    <w:p w14:paraId="031EB65A"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（二）指令的内容</w:t>
      </w:r>
    </w:p>
    <w:p w14:paraId="4C465956" w14:textId="729FF91E"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指令是基金管理人在运用基金资产时，向基金托管人发出的资金划拨及其他款项支付的指令</w:t>
      </w:r>
      <w:r w:rsidR="00371FF7">
        <w:rPr>
          <w:rFonts w:ascii="宋体" w:hAnsi="宋体" w:hint="eastAsia"/>
          <w:color w:val="0D0D0D"/>
          <w:sz w:val="24"/>
          <w:szCs w:val="24"/>
        </w:rPr>
        <w:t>，</w:t>
      </w:r>
      <w:r w:rsidR="00371FF7">
        <w:rPr>
          <w:rFonts w:hAnsi="宋体" w:hint="eastAsia"/>
          <w:kern w:val="0"/>
          <w:sz w:val="24"/>
        </w:rPr>
        <w:t>包括电子指令和纸质指令</w:t>
      </w:r>
      <w:r w:rsidR="00371FF7">
        <w:rPr>
          <w:rFonts w:hAnsi="宋体"/>
          <w:kern w:val="0"/>
          <w:sz w:val="24"/>
        </w:rPr>
        <w:t>。指令应写明款项事由、支付时间、到账时间、金额、账户等执行支付所需内容，</w:t>
      </w:r>
      <w:r w:rsidR="00371FF7">
        <w:rPr>
          <w:rFonts w:hAnsi="宋体" w:hint="eastAsia"/>
          <w:kern w:val="0"/>
          <w:sz w:val="24"/>
        </w:rPr>
        <w:t>其中纸质指令应</w:t>
      </w:r>
      <w:r w:rsidR="00371FF7">
        <w:rPr>
          <w:rFonts w:hAnsi="宋体"/>
          <w:kern w:val="0"/>
          <w:sz w:val="24"/>
        </w:rPr>
        <w:t>加盖预留印鉴并有被授权人的签字。</w:t>
      </w:r>
    </w:p>
    <w:p w14:paraId="41DE0C64" w14:textId="77777777" w:rsidR="00700034" w:rsidRDefault="00700034" w:rsidP="00143A8D">
      <w:pPr>
        <w:spacing w:line="360" w:lineRule="auto"/>
        <w:ind w:firstLineChars="200" w:firstLine="480"/>
        <w:rPr>
          <w:rFonts w:ascii="宋体" w:hAnsi="宋体"/>
          <w:color w:val="0D0D0D"/>
          <w:sz w:val="24"/>
          <w:szCs w:val="24"/>
        </w:rPr>
      </w:pPr>
      <w:bookmarkStart w:id="44" w:name="_Hlk49173351"/>
      <w:r w:rsidRPr="00002611">
        <w:rPr>
          <w:rFonts w:ascii="宋体" w:hAnsi="宋体" w:hint="eastAsia"/>
          <w:color w:val="0D0D0D"/>
          <w:sz w:val="24"/>
          <w:szCs w:val="24"/>
        </w:rPr>
        <w:t>（三）指令的发送、确认和执行的时间和程序</w:t>
      </w:r>
      <w:bookmarkEnd w:id="44"/>
    </w:p>
    <w:p w14:paraId="7E8E2221" w14:textId="025AC265"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指令由“授权通知”确定的有权发送人（以下简称“被授权人”）代表基金管理人用传真的方式或其他基金托管人和基金管理人书面确认过的方式向基金</w:t>
      </w:r>
      <w:r>
        <w:rPr>
          <w:rFonts w:ascii="宋体" w:hAnsi="宋体" w:hint="eastAsia"/>
          <w:color w:val="0D0D0D"/>
          <w:sz w:val="24"/>
          <w:szCs w:val="24"/>
        </w:rPr>
        <w:lastRenderedPageBreak/>
        <w:t>托管人发送。基金管理人有义务在发送指令后及时与基金托管人进行确认，因基金管理人未能及时与基金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基金管理人原因造成的指令传输不及时、未能留出足够划款所需时间，基金托管人不承担资金未能及时到账所造成的损失。</w:t>
      </w:r>
      <w:r w:rsidR="0089264C" w:rsidRPr="0089264C">
        <w:rPr>
          <w:rFonts w:ascii="宋体" w:hAnsi="宋体" w:hint="eastAsia"/>
          <w:color w:val="0D0D0D"/>
          <w:sz w:val="24"/>
          <w:szCs w:val="24"/>
        </w:rPr>
        <w:t>对于要求当天到账的指令，应在当天15:00前发送；对于要求当天某一时点到账，则指令需提前2个工作小时发送，并相关付款条件已经具备。</w:t>
      </w:r>
      <w:r w:rsidR="0060353A" w:rsidRPr="00F203DE">
        <w:rPr>
          <w:rFonts w:ascii="宋体" w:hAnsi="宋体" w:hint="eastAsia"/>
          <w:color w:val="0D0D0D"/>
          <w:sz w:val="24"/>
          <w:szCs w:val="24"/>
        </w:rPr>
        <w:t>对于要求当天到账的指令，应在当天15:00前发送，如在15:00后的指令，托管人尽量执行但不保证一定完成支付</w:t>
      </w:r>
      <w:r w:rsidR="00B373EB" w:rsidRPr="00F203DE">
        <w:rPr>
          <w:rFonts w:ascii="宋体" w:hAnsi="宋体" w:hint="eastAsia"/>
          <w:color w:val="0D0D0D"/>
          <w:sz w:val="24"/>
          <w:szCs w:val="24"/>
        </w:rPr>
        <w:t>。</w:t>
      </w:r>
    </w:p>
    <w:p w14:paraId="2DC048F8" w14:textId="58629BE5" w:rsidR="00700034" w:rsidRDefault="00700034">
      <w:pPr>
        <w:spacing w:line="360" w:lineRule="auto"/>
        <w:ind w:firstLineChars="200" w:firstLine="480"/>
        <w:rPr>
          <w:rFonts w:ascii="宋体" w:hAnsi="宋体"/>
          <w:color w:val="0D0D0D"/>
          <w:sz w:val="24"/>
          <w:szCs w:val="24"/>
        </w:rPr>
      </w:pPr>
      <w:bookmarkStart w:id="45" w:name="_Hlk49173314"/>
      <w:r>
        <w:rPr>
          <w:rFonts w:ascii="宋体" w:hAnsi="宋体" w:hint="eastAsia"/>
          <w:color w:val="0D0D0D"/>
          <w:sz w:val="24"/>
          <w:szCs w:val="24"/>
        </w:rPr>
        <w:t>基金托管人应指定专人接收基金管理人的指令，预先通知基金管理人其名单，并与基金管理人商定指令发送和接收方式。基金托管人收到基金管理人发送的指令后，应立即依照授权通知、有关法律法规和基金合同的规定对有关内容及印鉴、签名及权限等进行表面一致性验证，复核无误后应在规定期限内执行，不得延误。</w:t>
      </w:r>
      <w:bookmarkEnd w:id="45"/>
    </w:p>
    <w:p w14:paraId="5A037815" w14:textId="4300EF44" w:rsidR="001738E2" w:rsidRDefault="001738E2">
      <w:pPr>
        <w:spacing w:line="360" w:lineRule="auto"/>
        <w:ind w:firstLineChars="200" w:firstLine="480"/>
        <w:rPr>
          <w:rFonts w:ascii="宋体" w:hAnsi="宋体"/>
          <w:color w:val="0D0D0D"/>
          <w:sz w:val="24"/>
          <w:szCs w:val="24"/>
        </w:rPr>
      </w:pPr>
      <w:bookmarkStart w:id="46" w:name="_Hlk151721815"/>
      <w:r w:rsidRPr="00F203DE">
        <w:rPr>
          <w:rFonts w:ascii="宋体" w:hAnsi="宋体" w:hint="eastAsia"/>
          <w:color w:val="0D0D0D"/>
          <w:sz w:val="24"/>
          <w:szCs w:val="24"/>
        </w:rPr>
        <w:t>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方带来的损失，</w:t>
      </w:r>
      <w:r w:rsidR="00B373EB" w:rsidRPr="00F203DE">
        <w:rPr>
          <w:rFonts w:ascii="宋体" w:hAnsi="宋体" w:hint="eastAsia"/>
          <w:color w:val="0D0D0D"/>
          <w:sz w:val="24"/>
          <w:szCs w:val="24"/>
        </w:rPr>
        <w:t>相应</w:t>
      </w:r>
      <w:r w:rsidRPr="00F203DE">
        <w:rPr>
          <w:rFonts w:ascii="宋体" w:hAnsi="宋体" w:hint="eastAsia"/>
          <w:color w:val="0D0D0D"/>
          <w:sz w:val="24"/>
          <w:szCs w:val="24"/>
        </w:rPr>
        <w:t>责任由基金管理人承担，基金托管人由此遭受的损失，由基金管理人负责赔偿，但基金托管人未按协议约定尽形式审核义务执行指令而造成损失的情形除外。</w:t>
      </w:r>
    </w:p>
    <w:bookmarkEnd w:id="46"/>
    <w:p w14:paraId="44BC2B0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向基金托管人下达指令时，应确保基金银行账户有足够的资金余额，对基金管理人在没有充足资金的情况下向基金托管人发出的指令，基金托管人可不予执行，并立即通知基金管理人，在及时通知后，基金托管人不承担因为不执行该指令而造成损失的责任。</w:t>
      </w:r>
    </w:p>
    <w:p w14:paraId="01CBC30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基金管理人应将同业市场国债交易通知单加盖印章后通过约定方式给基金托管人。</w:t>
      </w:r>
    </w:p>
    <w:p w14:paraId="010687D8"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（四）基金管理人发送错误指令的情形和处理程序</w:t>
      </w:r>
    </w:p>
    <w:p w14:paraId="72960CD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基金管理人发送错误指令的情形包括指令违反相关法律法规或基金合同、指令发送人员无权或超越权限发送指令及交割信息错误，指令中重要信息模糊不清或不全等。</w:t>
      </w:r>
    </w:p>
    <w:p w14:paraId="0177546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基金托管人在履行监督职能时，发现基金管理人的指令错误时，有权拒绝执行，并及时通知基金管理人改正。</w:t>
      </w:r>
    </w:p>
    <w:p w14:paraId="59ED414A"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（五）基金托管人依照法律法规暂缓、拒绝执行指令的情形和处理程序</w:t>
      </w:r>
    </w:p>
    <w:p w14:paraId="7DEEA03A" w14:textId="667C8BD1"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发现基金管理人发送的指令违反《基金法》、基金合同、本协议或有关基金法规的有关规定，有权不予执行，并应及时通知基金管理人纠正，基金托管人不承担相应损失和责任。对基金管理人更正并重新发送后的指令经基金托管人核对确认后方能执行。</w:t>
      </w:r>
    </w:p>
    <w:p w14:paraId="4685CF66"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（六）基金托管人未按照基金管理人指令执行的处理方法</w:t>
      </w:r>
    </w:p>
    <w:p w14:paraId="16725F7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由于自身原因造成未按照或者未及时按照基金管理人发送的符合法律法规规定以及基金合同约定的指令执行，应在发现后及时采取措施予以补救。给基金份额持有人、基金管理人造成直接损失的，应负赔偿责任。</w:t>
      </w:r>
    </w:p>
    <w:p w14:paraId="3CC5F34F" w14:textId="77777777" w:rsidR="00700034" w:rsidRDefault="00700034" w:rsidP="00143A8D">
      <w:pPr>
        <w:spacing w:line="360" w:lineRule="auto"/>
        <w:ind w:firstLineChars="200" w:firstLine="480"/>
        <w:rPr>
          <w:rFonts w:ascii="宋体" w:hAnsi="宋体"/>
          <w:color w:val="0D0D0D"/>
          <w:sz w:val="24"/>
          <w:szCs w:val="24"/>
        </w:rPr>
      </w:pPr>
      <w:r w:rsidRPr="00F203DE">
        <w:rPr>
          <w:rFonts w:ascii="宋体" w:hAnsi="宋体" w:hint="eastAsia"/>
          <w:color w:val="0D0D0D"/>
          <w:sz w:val="24"/>
          <w:szCs w:val="24"/>
        </w:rPr>
        <w:t>（七）更换被授权人的程序</w:t>
      </w:r>
    </w:p>
    <w:p w14:paraId="476AEB07" w14:textId="04FC4F82"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基金管理人撤换被授权人或改变被授权人的权限，必须提前至少一个交易日，使用传真</w:t>
      </w:r>
      <w:r w:rsidR="0003136C">
        <w:rPr>
          <w:rFonts w:ascii="宋体" w:hAnsi="宋体" w:hint="eastAsia"/>
          <w:color w:val="0D0D0D"/>
          <w:sz w:val="24"/>
          <w:szCs w:val="24"/>
        </w:rPr>
        <w:t>或双方共同认可的方式</w:t>
      </w:r>
      <w:r>
        <w:rPr>
          <w:rFonts w:ascii="宋体" w:hAnsi="宋体" w:hint="eastAsia"/>
          <w:color w:val="0D0D0D"/>
          <w:sz w:val="24"/>
          <w:szCs w:val="24"/>
        </w:rPr>
        <w:t>向基金托管人发出由基金管理人签字和盖章的被授权人变更通知，同时电话</w:t>
      </w:r>
      <w:r w:rsidR="0003136C">
        <w:rPr>
          <w:rFonts w:ascii="宋体" w:hAnsi="宋体" w:hint="eastAsia"/>
          <w:color w:val="0D0D0D"/>
          <w:sz w:val="24"/>
          <w:szCs w:val="24"/>
        </w:rPr>
        <w:t>或双方共同认可的方式</w:t>
      </w:r>
      <w:r>
        <w:rPr>
          <w:rFonts w:ascii="宋体" w:hAnsi="宋体" w:hint="eastAsia"/>
          <w:color w:val="0D0D0D"/>
          <w:sz w:val="24"/>
          <w:szCs w:val="24"/>
        </w:rPr>
        <w:t>通知基金托管人</w:t>
      </w:r>
      <w:r w:rsidR="0003136C">
        <w:rPr>
          <w:rFonts w:ascii="宋体" w:hAnsi="宋体" w:hint="eastAsia"/>
          <w:color w:val="0D0D0D"/>
          <w:sz w:val="24"/>
          <w:szCs w:val="24"/>
        </w:rPr>
        <w:t>。</w:t>
      </w:r>
      <w:r w:rsidR="0003136C">
        <w:rPr>
          <w:rFonts w:hint="eastAsia"/>
          <w:sz w:val="23"/>
          <w:szCs w:val="23"/>
        </w:rPr>
        <w:t>被授权人变更通知自其上面注明的启用日期起开始生效，该生效时间不得早于基金托管人收到被授权人变更通知并经电话或其他双方共同认可的方式确认的时点。如早于，则以基金托管人收到被授权人变更通知并经电话或其他双方共同认可的方式确认的时点为被授权人变更通知的生效时间。</w:t>
      </w:r>
      <w:r w:rsidR="00D05140" w:rsidRPr="00C034E8">
        <w:rPr>
          <w:rFonts w:ascii="宋体" w:hAnsi="宋体" w:hint="eastAsia"/>
          <w:color w:val="0D0D0D"/>
          <w:sz w:val="24"/>
          <w:szCs w:val="24"/>
        </w:rPr>
        <w:t>基金管理人向基金托管人发出的</w:t>
      </w:r>
      <w:r w:rsidR="00D05140">
        <w:rPr>
          <w:rFonts w:ascii="宋体" w:hAnsi="宋体" w:hint="eastAsia"/>
          <w:color w:val="0D0D0D"/>
          <w:sz w:val="24"/>
          <w:szCs w:val="24"/>
        </w:rPr>
        <w:t>变更</w:t>
      </w:r>
      <w:r w:rsidR="00D05140" w:rsidRPr="00C034E8">
        <w:rPr>
          <w:rFonts w:ascii="宋体" w:hAnsi="宋体" w:hint="eastAsia"/>
          <w:color w:val="0D0D0D"/>
          <w:sz w:val="24"/>
          <w:szCs w:val="24"/>
        </w:rPr>
        <w:t>通知应加盖基金管理人公章，并由基金管理人法定代表人或其授权代表签章（签字或加盖名章），如为授权代表签章，还应附上法定代表人的授权委托书。</w:t>
      </w:r>
      <w:r>
        <w:rPr>
          <w:rFonts w:ascii="宋体" w:hAnsi="宋体" w:hint="eastAsia"/>
          <w:color w:val="0D0D0D"/>
          <w:sz w:val="24"/>
          <w:szCs w:val="24"/>
        </w:rPr>
        <w:t>基金管理人在此后5日内将被授权人变更通知的正本送交基金托管人。被授权人变更通知的正本应与传真内容一致，若有不一致的，以基金托管人收到的传真件为准。基金管理人更换被授权人通知生效后，对于已被撤换的人员无权发送的指令，或被改变授权人员超权限发送的指令，基金管理人不承担责任。</w:t>
      </w:r>
    </w:p>
    <w:p w14:paraId="6BC740E2" w14:textId="5E82F256" w:rsidR="00700034" w:rsidRDefault="00700034">
      <w:pPr>
        <w:pStyle w:val="1"/>
        <w:jc w:val="center"/>
        <w:rPr>
          <w:rFonts w:ascii="宋体" w:hAnsi="宋体"/>
          <w:color w:val="0D0D0D"/>
        </w:rPr>
      </w:pPr>
      <w:r>
        <w:rPr>
          <w:rFonts w:ascii="宋体" w:hAnsi="宋体"/>
          <w:color w:val="0D0D0D"/>
          <w:sz w:val="24"/>
          <w:szCs w:val="24"/>
        </w:rPr>
        <w:br w:type="page"/>
      </w:r>
      <w:bookmarkStart w:id="47" w:name="_Toc155088984"/>
      <w:r>
        <w:rPr>
          <w:rFonts w:ascii="宋体" w:hAnsi="宋体" w:hint="eastAsia"/>
          <w:color w:val="0D0D0D"/>
        </w:rPr>
        <w:lastRenderedPageBreak/>
        <w:t>七、交易及清算交收安排</w:t>
      </w:r>
      <w:bookmarkEnd w:id="47"/>
    </w:p>
    <w:p w14:paraId="6097AB5A" w14:textId="77777777" w:rsidR="00240AA2" w:rsidRPr="00240AA2" w:rsidRDefault="00240AA2" w:rsidP="00240AA2"/>
    <w:p w14:paraId="56111A08"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（一）选择代理证券、期货买卖的证券、期货经纪机构</w:t>
      </w:r>
    </w:p>
    <w:p w14:paraId="69208F8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负责选择代理本基金证券买卖的证券经纪机构，并与其签订证券经纪合同，基金管理人、基金托管人和证券经纪机构就本基金参与证券交易的具体事项另行签订协议，明确三方在本基金参与场内证券买卖中各类证券交易、证券交收及相关资金交收过程中的职责和义务。</w:t>
      </w:r>
    </w:p>
    <w:p w14:paraId="212F1A17" w14:textId="003BEBD4"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基金管理人负责选择本基金期货交易的期货经纪机构，并与其签订期货经纪合同，其他事宜根据法律法规、基金合同的相关规定执行，若无明确规定的，可参照有关证券买卖、证券经纪机构选择的规则执行。</w:t>
      </w:r>
    </w:p>
    <w:p w14:paraId="2708BB5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基金管理人应及时将本基金财产的佣金费率等基本信息以及变更情况以书面形式通知基金托管人，以便基金托管人估值核算使用。</w:t>
      </w:r>
    </w:p>
    <w:p w14:paraId="15081AC1"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（二）清算与交割</w:t>
      </w:r>
    </w:p>
    <w:p w14:paraId="72F71449"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1.基金投资证券后的清算交收安排</w:t>
      </w:r>
    </w:p>
    <w:p w14:paraId="0BD21AE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本基金通过证券经纪机构进行的交易由证券经纪机构作为结算参与人代理本基金进行结算；本基金其它证券交易由基金托管人或相关机构负责结算。</w:t>
      </w:r>
    </w:p>
    <w:p w14:paraId="165DBBA6"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2.证券交易所证券资金结算</w:t>
      </w:r>
    </w:p>
    <w:p w14:paraId="24F4929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基金托管人、基金管理人应共同遵守中登公司制定的相关业务规则和规定，该等规则和规定自动成为本托管协议约定内容。</w:t>
      </w:r>
    </w:p>
    <w:p w14:paraId="55A8890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基金管理人在投资前，应充分知晓与理解中登公司针对各类交易品种制定的结算业务规则和规定。</w:t>
      </w:r>
    </w:p>
    <w:p w14:paraId="3D9E2AD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证券经纪机构代理本基金与中登公司完成证券交易及非交易涉及的证券资金结算业务，并承担由证券经纪机构原因造成的正常结算、交收业务无法完成的责任；若由于基金管理人原因造成的正常结算业务无法完成，由基金管理人承担相应责任。</w:t>
      </w:r>
    </w:p>
    <w:p w14:paraId="77DE244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对于任何原因发生的证券资金交收违约事件，相关各方应当及时协商解决。</w:t>
      </w:r>
    </w:p>
    <w:p w14:paraId="20230ED7" w14:textId="77777777" w:rsidR="00700034" w:rsidRPr="00F203DE" w:rsidRDefault="00700034" w:rsidP="00143A8D">
      <w:pPr>
        <w:spacing w:line="360" w:lineRule="auto"/>
        <w:ind w:firstLineChars="200" w:firstLine="480"/>
        <w:rPr>
          <w:rFonts w:ascii="宋体" w:hAnsi="宋体"/>
          <w:color w:val="0D0D0D"/>
          <w:sz w:val="24"/>
          <w:szCs w:val="24"/>
        </w:rPr>
      </w:pPr>
      <w:r w:rsidRPr="00F203DE">
        <w:rPr>
          <w:rFonts w:ascii="宋体" w:hAnsi="宋体"/>
          <w:color w:val="0D0D0D"/>
          <w:sz w:val="24"/>
          <w:szCs w:val="24"/>
        </w:rPr>
        <w:t>3.场外交易资金结算</w:t>
      </w:r>
    </w:p>
    <w:p w14:paraId="7BFD0D91" w14:textId="7B75C7C7" w:rsidR="00700034" w:rsidRDefault="00700034">
      <w:pPr>
        <w:spacing w:line="360" w:lineRule="auto"/>
        <w:ind w:firstLineChars="200" w:firstLine="480"/>
        <w:rPr>
          <w:rFonts w:ascii="宋体" w:hAnsi="宋体"/>
          <w:color w:val="0D0D0D"/>
          <w:sz w:val="24"/>
          <w:szCs w:val="24"/>
        </w:rPr>
      </w:pPr>
      <w:r w:rsidRPr="00F203DE">
        <w:rPr>
          <w:rFonts w:ascii="宋体" w:hAnsi="宋体" w:hint="eastAsia"/>
          <w:color w:val="0D0D0D"/>
          <w:sz w:val="24"/>
          <w:szCs w:val="24"/>
        </w:rPr>
        <w:t>场外资金对外投资划款由基金托管人凭基金管理人符合本托管协议约定的有效资金划拨指令和相关投资合同（如有）进行资金划拨；场外投资本金及收益</w:t>
      </w:r>
      <w:r w:rsidRPr="00F203DE">
        <w:rPr>
          <w:rFonts w:ascii="宋体" w:hAnsi="宋体" w:hint="eastAsia"/>
          <w:color w:val="0D0D0D"/>
          <w:sz w:val="24"/>
          <w:szCs w:val="24"/>
        </w:rPr>
        <w:lastRenderedPageBreak/>
        <w:t>的划回，由基金管理人负责协调相关资金划拨回产品托管户事宜。</w:t>
      </w:r>
      <w:r w:rsidR="0060353A" w:rsidRPr="00F203DE">
        <w:rPr>
          <w:rFonts w:ascii="宋体" w:hAnsi="宋体" w:hint="eastAsia"/>
          <w:color w:val="0D0D0D"/>
          <w:sz w:val="24"/>
          <w:szCs w:val="24"/>
        </w:rPr>
        <w:t>基金清算交收过程中，出现基金财产中资金或证券不足以交收的，基金托管人应当及时通知基金管理人，督促基金管理人积极采取措施、最大程度控制违约交收风险与相关损失，并报告中国证监会。</w:t>
      </w:r>
    </w:p>
    <w:p w14:paraId="35FE6E1C"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（三）资金、证券账目及交易记录的核对</w:t>
      </w:r>
    </w:p>
    <w:p w14:paraId="7CD2FA84" w14:textId="4D86723C"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基金管理人与基金托管人按日进行交易记录的核对。每日对外披露</w:t>
      </w:r>
      <w:r w:rsidR="0030582A">
        <w:rPr>
          <w:rFonts w:ascii="宋体" w:hAnsi="宋体" w:hint="eastAsia"/>
          <w:color w:val="0D0D0D"/>
          <w:sz w:val="24"/>
          <w:szCs w:val="24"/>
        </w:rPr>
        <w:t>各类</w:t>
      </w:r>
      <w:r>
        <w:rPr>
          <w:rFonts w:ascii="宋体" w:hAnsi="宋体" w:hint="eastAsia"/>
          <w:color w:val="0D0D0D"/>
          <w:sz w:val="24"/>
          <w:szCs w:val="24"/>
        </w:rPr>
        <w:t>基金份额净值之前，必须保证当天所有实际交易记录与基金会计账簿上的交易记录完全一致。如果实际交易记录与会计账簿记录不一致，造成基金会计核算不完整或不真实，由此导致的损失由责任方承担。</w:t>
      </w:r>
    </w:p>
    <w:p w14:paraId="44E18BB2" w14:textId="30A74FEB"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对基金的资金账目，由相关各方每日对账一次，确保相关各方账账相符。</w:t>
      </w:r>
    </w:p>
    <w:p w14:paraId="1BB8FB51" w14:textId="252E7F13"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对基金证券账目，由相关各方每日进行对账。</w:t>
      </w:r>
    </w:p>
    <w:p w14:paraId="228E0920" w14:textId="07465176"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对实物券账目，每月月末由相关各方进行账实核对。</w:t>
      </w:r>
    </w:p>
    <w:p w14:paraId="3E00DB07" w14:textId="08BD5D1B"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对交易记录，由相关各方每日对账一次。</w:t>
      </w:r>
    </w:p>
    <w:p w14:paraId="41DF838B"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（四）申购、赎回、转换开放式基金的资金清算、数据传递及托管协议当事人的责任</w:t>
      </w:r>
    </w:p>
    <w:p w14:paraId="36C649D5"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1．托管协议当事人在基金的申购赎回、转换中的责任</w:t>
      </w:r>
    </w:p>
    <w:p w14:paraId="700B3E2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投资人可通过基金管理人的直销中心和销售机构的销售网点进行申购和赎回申请，基金份额申购、赎回的确认、清算由基金管理人或其委托的登记机构负责。基金托管人负责接收并确认资金的到账情况，以及依照基金管理人的投资指令来划付赎回款项。</w:t>
      </w:r>
    </w:p>
    <w:p w14:paraId="7A5C4CD5"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2．基金的数据传递</w:t>
      </w:r>
    </w:p>
    <w:p w14:paraId="41FC9285"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基金管理人应保证本基金（或本基金管理人委托）的登记机构于每个开放日16：00之前将本基金的申购、赎回、转换的数据传送给基金托管人。基金管理人应对传递的数据的真实性、准确性和完整性负责。</w:t>
      </w:r>
    </w:p>
    <w:p w14:paraId="118DDDFF" w14:textId="77777777" w:rsidR="00700034" w:rsidRDefault="00700034">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0A8A45C6"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3．基金的资金清算</w:t>
      </w:r>
    </w:p>
    <w:p w14:paraId="75A3710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基金托管账户与“基金清算账户”间的资金结算遵循“全额清算、净额交收”</w:t>
      </w:r>
      <w:r>
        <w:rPr>
          <w:rFonts w:ascii="宋体" w:hAnsi="宋体" w:hint="eastAsia"/>
          <w:color w:val="0D0D0D"/>
          <w:sz w:val="24"/>
          <w:szCs w:val="24"/>
        </w:rPr>
        <w:lastRenderedPageBreak/>
        <w:t>的原则，每日按照托管账户应收资金与应付资金的差额来确定托管账户净应收额或净应付额，以此确定资金交收额。</w:t>
      </w:r>
    </w:p>
    <w:p w14:paraId="1A33166C" w14:textId="77777777" w:rsidR="00700034" w:rsidRPr="00143A8D"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如果当日基金为净应付款，基金托管人应根据基金管理人的指令在资金交收日中午12:00前进行划付。对于未准时划付的资金，基金管理人应及时通知基金托管人划付托管账户净应付额。因基金托管账户没有足够的资金或基金管理人并未及时发送划款指令，导致基金托管人不能按时拨付，基金托管人应及时通知基金管理人，并对此造成的延误不承担相应责任。</w:t>
      </w:r>
    </w:p>
    <w:p w14:paraId="34EFE5CE" w14:textId="77777777" w:rsidR="00700034" w:rsidRPr="00143A8D" w:rsidRDefault="00700034" w:rsidP="00143A8D">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（五）基金现金分红</w:t>
      </w:r>
    </w:p>
    <w:p w14:paraId="724FEEFE" w14:textId="77777777" w:rsidR="00700034" w:rsidRPr="00143A8D" w:rsidRDefault="00700034" w:rsidP="00143A8D">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1、基金管理人确定分红方案后通知基金托管人，双方核定后依照《信息披露办法》的有关规定在中国证监会规定媒介上公告。</w:t>
      </w:r>
    </w:p>
    <w:p w14:paraId="7F907A55" w14:textId="77777777" w:rsidR="00700034" w:rsidRPr="00143A8D" w:rsidRDefault="00700034" w:rsidP="00143A8D">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2、基金托管人和基金管理人对基金分红进行账务处理并核对后，基金管理人向基金托管人发送现金红利的划款指令，基金托管人应在</w:t>
      </w:r>
      <w:r>
        <w:rPr>
          <w:rFonts w:ascii="宋体" w:hAnsi="宋体" w:hint="eastAsia"/>
          <w:color w:val="0D0D0D"/>
          <w:sz w:val="24"/>
          <w:szCs w:val="24"/>
        </w:rPr>
        <w:t>交收日中午12:00前</w:t>
      </w:r>
      <w:r w:rsidRPr="00143A8D">
        <w:rPr>
          <w:rFonts w:ascii="宋体" w:hAnsi="宋体" w:hint="eastAsia"/>
          <w:color w:val="0D0D0D"/>
          <w:sz w:val="24"/>
          <w:szCs w:val="24"/>
        </w:rPr>
        <w:t>将资金划入专用账户。</w:t>
      </w:r>
    </w:p>
    <w:p w14:paraId="20101253" w14:textId="35957AEE" w:rsidR="00700034" w:rsidRDefault="00700034">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3、基金管理人在下达指令时，应给基金托管人留出必需的划款时间。</w:t>
      </w:r>
    </w:p>
    <w:p w14:paraId="239BB4E6" w14:textId="4299D121" w:rsidR="00700034" w:rsidRDefault="00700034">
      <w:pPr>
        <w:pStyle w:val="1"/>
        <w:jc w:val="center"/>
        <w:rPr>
          <w:rFonts w:ascii="宋体" w:hAnsi="宋体"/>
          <w:color w:val="0D0D0D"/>
        </w:rPr>
      </w:pPr>
      <w:r>
        <w:rPr>
          <w:rFonts w:ascii="宋体" w:hAnsi="宋体"/>
          <w:color w:val="0D0D0D"/>
          <w:sz w:val="24"/>
          <w:szCs w:val="24"/>
        </w:rPr>
        <w:br w:type="page"/>
      </w:r>
      <w:bookmarkStart w:id="48" w:name="_Toc155088985"/>
      <w:r>
        <w:rPr>
          <w:rFonts w:ascii="宋体" w:hAnsi="宋体" w:hint="eastAsia"/>
          <w:color w:val="0D0D0D"/>
        </w:rPr>
        <w:lastRenderedPageBreak/>
        <w:t>八、基金资产净值计算和会计核算</w:t>
      </w:r>
      <w:bookmarkEnd w:id="48"/>
    </w:p>
    <w:p w14:paraId="21F8C292" w14:textId="77777777" w:rsidR="00240AA2" w:rsidRPr="00240AA2" w:rsidRDefault="00240AA2" w:rsidP="00240AA2"/>
    <w:p w14:paraId="27779E9E" w14:textId="77777777" w:rsidR="00700034" w:rsidRDefault="00700034" w:rsidP="00143A8D">
      <w:pPr>
        <w:spacing w:line="360" w:lineRule="auto"/>
        <w:ind w:firstLineChars="200" w:firstLine="480"/>
        <w:rPr>
          <w:rFonts w:ascii="宋体" w:hAnsi="宋体"/>
          <w:color w:val="0D0D0D"/>
          <w:sz w:val="24"/>
          <w:szCs w:val="24"/>
        </w:rPr>
      </w:pPr>
      <w:bookmarkStart w:id="49" w:name="_Hlk151825821"/>
      <w:r>
        <w:rPr>
          <w:rFonts w:ascii="宋体" w:hAnsi="宋体" w:hint="eastAsia"/>
          <w:color w:val="0D0D0D"/>
          <w:sz w:val="24"/>
          <w:szCs w:val="24"/>
        </w:rPr>
        <w:t>（一）基金资产净值的计算</w:t>
      </w:r>
    </w:p>
    <w:p w14:paraId="330CDCA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1．基金资产净值的计算、复核的时间和程序</w:t>
      </w:r>
    </w:p>
    <w:p w14:paraId="0F7ACB6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基金资产净值是指基金资产总值减去基金负债后的价值。各类基金份额的基金份额净值是指按照每个工作日闭市后，该类基金份额的基金资产净值除以当日该类基金份额的</w:t>
      </w:r>
      <w:r w:rsidRPr="00143A8D">
        <w:rPr>
          <w:rFonts w:ascii="宋体" w:hAnsi="宋体"/>
          <w:color w:val="0D0D0D"/>
          <w:sz w:val="24"/>
          <w:szCs w:val="24"/>
        </w:rPr>
        <w:t>余额数量计算，精确到</w:t>
      </w:r>
      <w:r>
        <w:rPr>
          <w:rFonts w:ascii="宋体" w:hAnsi="宋体" w:hint="eastAsia"/>
          <w:color w:val="0D0D0D"/>
          <w:sz w:val="24"/>
          <w:szCs w:val="24"/>
        </w:rPr>
        <w:t>0.0001</w:t>
      </w:r>
      <w:r w:rsidRPr="00143A8D">
        <w:rPr>
          <w:rFonts w:ascii="宋体" w:hAnsi="宋体"/>
          <w:color w:val="0D0D0D"/>
          <w:sz w:val="24"/>
          <w:szCs w:val="24"/>
        </w:rPr>
        <w:t>元</w:t>
      </w:r>
      <w:r>
        <w:rPr>
          <w:rFonts w:ascii="宋体" w:hAnsi="宋体" w:hint="eastAsia"/>
          <w:color w:val="0D0D0D"/>
          <w:sz w:val="24"/>
          <w:szCs w:val="24"/>
        </w:rPr>
        <w:t>，小数点后第5位四舍五入。</w:t>
      </w:r>
      <w:r w:rsidRPr="00143A8D">
        <w:rPr>
          <w:rFonts w:ascii="宋体" w:hAnsi="宋体" w:hint="eastAsia"/>
          <w:color w:val="0D0D0D"/>
          <w:sz w:val="24"/>
          <w:szCs w:val="24"/>
        </w:rPr>
        <w:t>基金管理人可以设立大额赎回情形下的净值精度应急调整机制，具体可参见相关公告。</w:t>
      </w:r>
      <w:r w:rsidRPr="00143A8D">
        <w:rPr>
          <w:rFonts w:ascii="宋体" w:hAnsi="宋体"/>
          <w:color w:val="0D0D0D"/>
          <w:sz w:val="24"/>
          <w:szCs w:val="24"/>
        </w:rPr>
        <w:t>国家另有规定的，从其规定。</w:t>
      </w:r>
    </w:p>
    <w:p w14:paraId="74DA70EE" w14:textId="71FB303C"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基金管理人应每个</w:t>
      </w:r>
      <w:r w:rsidR="0030582A">
        <w:rPr>
          <w:rFonts w:ascii="宋体" w:hAnsi="宋体" w:hint="eastAsia"/>
          <w:color w:val="0D0D0D"/>
          <w:sz w:val="24"/>
          <w:szCs w:val="24"/>
        </w:rPr>
        <w:t>工作日</w:t>
      </w:r>
      <w:r>
        <w:rPr>
          <w:rFonts w:ascii="宋体" w:hAnsi="宋体" w:hint="eastAsia"/>
          <w:color w:val="0D0D0D"/>
          <w:sz w:val="24"/>
          <w:szCs w:val="24"/>
        </w:rPr>
        <w:t>对各类基金份额的基金资产估值，</w:t>
      </w:r>
      <w:r>
        <w:rPr>
          <w:rFonts w:ascii="宋体" w:hAnsi="宋体"/>
          <w:color w:val="0D0D0D"/>
          <w:sz w:val="24"/>
          <w:szCs w:val="24"/>
        </w:rPr>
        <w:t>但基金管理人根据法律法规或基金合同的规定暂停估值时除外</w:t>
      </w:r>
      <w:r>
        <w:rPr>
          <w:rFonts w:ascii="宋体" w:hAnsi="宋体" w:hint="eastAsia"/>
          <w:color w:val="0D0D0D"/>
          <w:sz w:val="24"/>
          <w:szCs w:val="24"/>
        </w:rPr>
        <w:t>。估值原则应符合基金合同及相关法律、法规的规定。基金资产净值和</w:t>
      </w:r>
      <w:r w:rsidR="0030582A">
        <w:rPr>
          <w:rFonts w:ascii="宋体" w:hAnsi="宋体" w:hint="eastAsia"/>
          <w:color w:val="0D0D0D"/>
          <w:sz w:val="24"/>
          <w:szCs w:val="24"/>
        </w:rPr>
        <w:t>各类基金份额的</w:t>
      </w:r>
      <w:r>
        <w:rPr>
          <w:rFonts w:ascii="宋体" w:hAnsi="宋体" w:hint="eastAsia"/>
          <w:color w:val="0D0D0D"/>
          <w:sz w:val="24"/>
          <w:szCs w:val="24"/>
        </w:rPr>
        <w:t>基金份额净值由基金管理人负责计算，基金托管人复核。基金管理人应于每个</w:t>
      </w:r>
      <w:r w:rsidR="0030582A">
        <w:rPr>
          <w:rFonts w:ascii="宋体" w:hAnsi="宋体" w:hint="eastAsia"/>
          <w:color w:val="0D0D0D"/>
          <w:sz w:val="24"/>
          <w:szCs w:val="24"/>
        </w:rPr>
        <w:t>工作日</w:t>
      </w:r>
      <w:r>
        <w:rPr>
          <w:rFonts w:ascii="宋体" w:hAnsi="宋体" w:hint="eastAsia"/>
          <w:color w:val="0D0D0D"/>
          <w:sz w:val="24"/>
          <w:szCs w:val="24"/>
        </w:rPr>
        <w:t>交易结束后计算当日的各类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7B2B48FA" w14:textId="5B8C60BC"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根据《基金法》，基金管理人计算并公告各类基金份额的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14:paraId="469B9C07"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（二）基金资产估值方法</w:t>
      </w:r>
    </w:p>
    <w:p w14:paraId="5ABD8019" w14:textId="77777777" w:rsidR="00700034" w:rsidRDefault="00700034" w:rsidP="00143A8D">
      <w:pPr>
        <w:spacing w:line="360" w:lineRule="auto"/>
        <w:ind w:firstLineChars="200" w:firstLine="480"/>
        <w:rPr>
          <w:rFonts w:ascii="宋体" w:hAnsi="宋体"/>
          <w:color w:val="0D0D0D"/>
          <w:sz w:val="24"/>
          <w:szCs w:val="24"/>
        </w:rPr>
      </w:pPr>
      <w:bookmarkStart w:id="50" w:name="_Hlk129468789"/>
      <w:r>
        <w:rPr>
          <w:rFonts w:ascii="宋体" w:hAnsi="宋体" w:hint="eastAsia"/>
          <w:color w:val="0D0D0D"/>
          <w:sz w:val="24"/>
          <w:szCs w:val="24"/>
        </w:rPr>
        <w:t>1．估值对象</w:t>
      </w:r>
    </w:p>
    <w:p w14:paraId="331A2C36" w14:textId="77777777" w:rsidR="00005BAD" w:rsidRDefault="00005BAD" w:rsidP="00005BAD">
      <w:pPr>
        <w:spacing w:line="360" w:lineRule="auto"/>
        <w:ind w:firstLine="480"/>
        <w:rPr>
          <w:sz w:val="24"/>
        </w:rPr>
      </w:pPr>
      <w:r w:rsidRPr="00F203DE">
        <w:rPr>
          <w:rFonts w:hint="eastAsia"/>
          <w:sz w:val="24"/>
        </w:rPr>
        <w:t>基金所拥有的股票、存托凭证、债券、货币市场工具</w:t>
      </w:r>
      <w:r w:rsidRPr="00F203DE">
        <w:rPr>
          <w:rFonts w:hint="eastAsia"/>
          <w:bCs/>
          <w:sz w:val="24"/>
        </w:rPr>
        <w:t>、股指期货合约、国债期货合约和</w:t>
      </w:r>
      <w:r w:rsidRPr="00F203DE">
        <w:rPr>
          <w:sz w:val="24"/>
        </w:rPr>
        <w:t>银行存款本息、应收款项、其它投资等资产及负债</w:t>
      </w:r>
      <w:r w:rsidRPr="00F203DE">
        <w:rPr>
          <w:rFonts w:hint="eastAsia"/>
          <w:sz w:val="24"/>
        </w:rPr>
        <w:t>。</w:t>
      </w:r>
    </w:p>
    <w:p w14:paraId="0FBFE880"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color w:val="0D0D0D"/>
          <w:sz w:val="24"/>
          <w:szCs w:val="24"/>
        </w:rPr>
        <w:t>2</w:t>
      </w:r>
      <w:r>
        <w:rPr>
          <w:rFonts w:ascii="宋体" w:hAnsi="宋体" w:hint="eastAsia"/>
          <w:color w:val="0D0D0D"/>
          <w:sz w:val="24"/>
          <w:szCs w:val="24"/>
        </w:rPr>
        <w:t>．估值原则</w:t>
      </w:r>
    </w:p>
    <w:p w14:paraId="5047360A" w14:textId="5D3B4A3B"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基金管理人在</w:t>
      </w:r>
      <w:r w:rsidR="00005BAD">
        <w:rPr>
          <w:rFonts w:hint="eastAsia"/>
          <w:bCs/>
          <w:sz w:val="24"/>
        </w:rPr>
        <w:t>与其委托的基金服务机构</w:t>
      </w:r>
      <w:r>
        <w:rPr>
          <w:rFonts w:ascii="宋体" w:hAnsi="宋体" w:hint="eastAsia"/>
          <w:color w:val="0D0D0D"/>
          <w:sz w:val="24"/>
          <w:szCs w:val="24"/>
        </w:rPr>
        <w:t>确定相关金融资产和金融负债的公允价值时，应符合《企业会计准则》、监管部门有关规定。</w:t>
      </w:r>
    </w:p>
    <w:p w14:paraId="56F0F8A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580AC8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与上述投资品种</w:t>
      </w:r>
      <w:r w:rsidRPr="00143A8D">
        <w:rPr>
          <w:rFonts w:ascii="宋体" w:hAnsi="宋体" w:hint="eastAsia"/>
          <w:color w:val="0D0D0D"/>
          <w:sz w:val="24"/>
          <w:szCs w:val="24"/>
        </w:rPr>
        <w:t>相同</w:t>
      </w:r>
      <w:r>
        <w:rPr>
          <w:rFonts w:ascii="宋体" w:hAnsi="宋体" w:hint="eastAsia"/>
          <w:color w:val="0D0D0D"/>
          <w:sz w:val="24"/>
          <w:szCs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468CE2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B89C4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（3）如经济环境发生重大变化或证券发行人发生影响证券价格的重大事件，使潜在估值调整对前一估值日的基金资产净值的影响在0.25%以上的，应对估值进行调整并确定公允价值。</w:t>
      </w:r>
    </w:p>
    <w:p w14:paraId="7C505D41"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color w:val="0D0D0D"/>
          <w:sz w:val="24"/>
          <w:szCs w:val="24"/>
        </w:rPr>
        <w:t>3</w:t>
      </w:r>
      <w:r>
        <w:rPr>
          <w:rFonts w:ascii="宋体" w:hAnsi="宋体" w:hint="eastAsia"/>
          <w:color w:val="0D0D0D"/>
          <w:sz w:val="24"/>
          <w:szCs w:val="24"/>
        </w:rPr>
        <w:t>．估值方法</w:t>
      </w:r>
    </w:p>
    <w:p w14:paraId="4B39DCBB" w14:textId="10370537" w:rsidR="00F203DE" w:rsidRDefault="00F203DE" w:rsidP="00F203DE">
      <w:pPr>
        <w:snapToGrid w:val="0"/>
        <w:spacing w:line="360" w:lineRule="auto"/>
        <w:ind w:firstLine="480"/>
        <w:rPr>
          <w:bCs/>
          <w:sz w:val="24"/>
        </w:rPr>
      </w:pPr>
      <w:bookmarkStart w:id="51" w:name="_Hlk150119558"/>
      <w:bookmarkStart w:id="52" w:name="_Hlk150119887"/>
      <w:r>
        <w:rPr>
          <w:rFonts w:hint="eastAsia"/>
          <w:bCs/>
          <w:sz w:val="24"/>
        </w:rPr>
        <w:t>I.</w:t>
      </w:r>
      <w:r>
        <w:rPr>
          <w:bCs/>
          <w:sz w:val="24"/>
        </w:rPr>
        <w:t xml:space="preserve"> </w:t>
      </w:r>
      <w:r>
        <w:rPr>
          <w:rFonts w:hint="eastAsia"/>
          <w:bCs/>
          <w:sz w:val="24"/>
        </w:rPr>
        <w:t>上市或挂牌转让的有价证券的估值</w:t>
      </w:r>
      <w:bookmarkEnd w:id="51"/>
    </w:p>
    <w:p w14:paraId="05D5C1D0" w14:textId="77777777" w:rsidR="00F203DE" w:rsidRDefault="00F203DE" w:rsidP="00F203DE">
      <w:pPr>
        <w:snapToGrid w:val="0"/>
        <w:spacing w:line="360" w:lineRule="auto"/>
        <w:ind w:firstLineChars="200" w:firstLine="480"/>
        <w:rPr>
          <w:bCs/>
          <w:sz w:val="24"/>
        </w:rPr>
      </w:pPr>
      <w:r>
        <w:rPr>
          <w:rFonts w:hint="eastAsia"/>
          <w:bCs/>
          <w:sz w:val="24"/>
        </w:rPr>
        <w:t>（</w:t>
      </w:r>
      <w:r>
        <w:rPr>
          <w:bCs/>
          <w:sz w:val="24"/>
        </w:rPr>
        <w:t>1</w:t>
      </w:r>
      <w:r>
        <w:rPr>
          <w:rFonts w:hint="eastAsia"/>
          <w:bCs/>
          <w:sz w:val="24"/>
        </w:rPr>
        <w:t>）</w:t>
      </w:r>
      <w:r>
        <w:rPr>
          <w:bCs/>
          <w:sz w:val="24"/>
        </w:rPr>
        <w:t>上市</w:t>
      </w:r>
      <w:r>
        <w:rPr>
          <w:rFonts w:hint="eastAsia"/>
          <w:bCs/>
          <w:sz w:val="24"/>
        </w:rPr>
        <w:t>或挂牌转让的</w:t>
      </w:r>
      <w:r>
        <w:rPr>
          <w:bCs/>
          <w:sz w:val="24"/>
        </w:rPr>
        <w:t>有价证券（包括股票等），以其估值日挂牌的市价（收盘价）估值；估值日无交易的，且最近交易日后经济环境未发生重大变化</w:t>
      </w:r>
      <w:r>
        <w:rPr>
          <w:rFonts w:hint="eastAsia"/>
          <w:bCs/>
          <w:sz w:val="24"/>
        </w:rPr>
        <w:t>以及</w:t>
      </w:r>
      <w:r>
        <w:rPr>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bCs/>
          <w:sz w:val="24"/>
        </w:rPr>
        <w:t>；</w:t>
      </w:r>
    </w:p>
    <w:p w14:paraId="7478EDCD" w14:textId="77777777" w:rsidR="00F203DE" w:rsidRDefault="00F203DE" w:rsidP="00F203DE">
      <w:pPr>
        <w:snapToGrid w:val="0"/>
        <w:spacing w:line="360" w:lineRule="auto"/>
        <w:ind w:firstLine="480"/>
        <w:rPr>
          <w:bCs/>
          <w:sz w:val="24"/>
        </w:rPr>
      </w:pPr>
      <w:r>
        <w:rPr>
          <w:rFonts w:hint="eastAsia"/>
          <w:bCs/>
          <w:sz w:val="24"/>
        </w:rPr>
        <w:t>（</w:t>
      </w:r>
      <w:r>
        <w:rPr>
          <w:rFonts w:hint="eastAsia"/>
          <w:bCs/>
          <w:sz w:val="24"/>
        </w:rPr>
        <w:t>2</w:t>
      </w:r>
      <w:r>
        <w:rPr>
          <w:rFonts w:hint="eastAsia"/>
          <w:bCs/>
          <w:sz w:val="24"/>
        </w:rPr>
        <w:t>）除本部分另有约定的品种外，已上市交易或挂牌转让的不含权固定收益品种，选取估值日第三方估值基准服务机构提供的相应品种当日的估值全价进行估值；</w:t>
      </w:r>
    </w:p>
    <w:p w14:paraId="5E47B5E0" w14:textId="77777777" w:rsidR="00F203DE" w:rsidRDefault="00F203DE" w:rsidP="00F203DE">
      <w:pPr>
        <w:snapToGrid w:val="0"/>
        <w:spacing w:line="360" w:lineRule="auto"/>
        <w:ind w:firstLine="480"/>
        <w:rPr>
          <w:bCs/>
          <w:sz w:val="24"/>
        </w:rPr>
      </w:pPr>
      <w:r>
        <w:rPr>
          <w:rFonts w:hint="eastAsia"/>
          <w:bCs/>
          <w:sz w:val="24"/>
        </w:rPr>
        <w:t>（</w:t>
      </w:r>
      <w:r>
        <w:rPr>
          <w:bCs/>
          <w:sz w:val="24"/>
        </w:rPr>
        <w:t>3</w:t>
      </w:r>
      <w:r>
        <w:rPr>
          <w:rFonts w:hint="eastAsia"/>
          <w:bCs/>
          <w:sz w:val="24"/>
        </w:rPr>
        <w:t>）除本部分另有约定的品种外，已上市交易或挂牌转让的含权固定收益</w:t>
      </w:r>
      <w:r>
        <w:rPr>
          <w:rFonts w:hint="eastAsia"/>
          <w:bCs/>
          <w:sz w:val="24"/>
        </w:rPr>
        <w:lastRenderedPageBreak/>
        <w:t>品种，选取估值日第三方估值基准服务机构提供的相应品种当日的唯一估值全价或推荐估值全价进行估值；</w:t>
      </w:r>
    </w:p>
    <w:p w14:paraId="00193B81" w14:textId="77777777" w:rsidR="00F203DE" w:rsidRPr="00256F1C" w:rsidRDefault="00F203DE" w:rsidP="00F203DE">
      <w:pPr>
        <w:snapToGrid w:val="0"/>
        <w:spacing w:line="360" w:lineRule="auto"/>
        <w:ind w:firstLine="480"/>
        <w:rPr>
          <w:bCs/>
          <w:sz w:val="24"/>
        </w:rPr>
      </w:pPr>
      <w:r>
        <w:rPr>
          <w:rFonts w:hint="eastAsia"/>
          <w:bCs/>
          <w:sz w:val="24"/>
        </w:rPr>
        <w:t>（</w:t>
      </w:r>
      <w:r>
        <w:rPr>
          <w:bCs/>
          <w:sz w:val="24"/>
        </w:rPr>
        <w:t>4</w:t>
      </w:r>
      <w:r>
        <w:rPr>
          <w:rFonts w:hint="eastAsia"/>
          <w:bCs/>
          <w:sz w:val="24"/>
        </w:rPr>
        <w:t>）</w:t>
      </w:r>
      <w:bookmarkStart w:id="53" w:name="_Hlk150262771"/>
      <w:r w:rsidRPr="00256F1C">
        <w:rPr>
          <w:rFonts w:hint="eastAsia"/>
          <w:bCs/>
          <w:sz w:val="24"/>
        </w:rPr>
        <w:t>对于交易所上市交易的公开发行的可转债等有活跃市场的含转股权的债券，实行全价交易的债券以估值日收盘价作为估值全价；实行净价交易的债券以估值日收盘价并加计每百元税前应计利息作为估值全价；</w:t>
      </w:r>
      <w:bookmarkEnd w:id="53"/>
    </w:p>
    <w:p w14:paraId="630C7145" w14:textId="77777777" w:rsidR="00F203DE" w:rsidRDefault="00F203DE" w:rsidP="00F203DE">
      <w:pPr>
        <w:snapToGrid w:val="0"/>
        <w:spacing w:line="360" w:lineRule="auto"/>
        <w:ind w:firstLine="480"/>
        <w:rPr>
          <w:bCs/>
          <w:sz w:val="24"/>
        </w:rPr>
      </w:pPr>
      <w:r>
        <w:rPr>
          <w:rFonts w:hint="eastAsia"/>
          <w:bCs/>
          <w:sz w:val="24"/>
        </w:rPr>
        <w:t>（</w:t>
      </w:r>
      <w:r>
        <w:rPr>
          <w:bCs/>
          <w:sz w:val="24"/>
        </w:rPr>
        <w:t>5</w:t>
      </w:r>
      <w:r>
        <w:rPr>
          <w:rFonts w:hint="eastAsia"/>
          <w:bCs/>
          <w:sz w:val="24"/>
        </w:rPr>
        <w:t>）对于含投资人回售权的固定收益品种，行使回售权的，在回售登记日至实际收款日期间以第三方估值基准服务机构提供的相应品种当日的唯一估值全价或推荐估值全价进行估值，同时充分考虑发行人的信用风险变化对公允价值的影响。回售登记期截止日（含当日）后未行使回售权的按照长待偿期所对应的价格进行估值；</w:t>
      </w:r>
    </w:p>
    <w:p w14:paraId="6F6240C0" w14:textId="77777777" w:rsidR="00F203DE" w:rsidRDefault="00F203DE" w:rsidP="00F203DE">
      <w:pPr>
        <w:snapToGrid w:val="0"/>
        <w:spacing w:line="360" w:lineRule="auto"/>
        <w:ind w:firstLine="480"/>
        <w:rPr>
          <w:bCs/>
          <w:sz w:val="24"/>
        </w:rPr>
      </w:pPr>
      <w:r>
        <w:rPr>
          <w:rFonts w:hint="eastAsia"/>
          <w:bCs/>
          <w:sz w:val="24"/>
        </w:rPr>
        <w:t>（</w:t>
      </w:r>
      <w:r>
        <w:rPr>
          <w:bCs/>
          <w:sz w:val="24"/>
        </w:rPr>
        <w:t>6</w:t>
      </w:r>
      <w:r>
        <w:rPr>
          <w:rFonts w:hint="eastAsia"/>
          <w:bCs/>
          <w:sz w:val="24"/>
        </w:rPr>
        <w:t>）已上市或挂牌转让且不存在活跃市场的有价证券，采用估值技术确定公允价值。</w:t>
      </w:r>
    </w:p>
    <w:p w14:paraId="275B07AD" w14:textId="4534D5C4" w:rsidR="00F203DE" w:rsidRDefault="00F203DE" w:rsidP="00F203DE">
      <w:pPr>
        <w:snapToGrid w:val="0"/>
        <w:spacing w:line="360" w:lineRule="auto"/>
        <w:ind w:firstLine="480"/>
        <w:rPr>
          <w:bCs/>
          <w:sz w:val="24"/>
        </w:rPr>
      </w:pPr>
      <w:r>
        <w:rPr>
          <w:bCs/>
          <w:sz w:val="24"/>
        </w:rPr>
        <w:t xml:space="preserve">II. </w:t>
      </w:r>
      <w:r>
        <w:rPr>
          <w:rFonts w:hint="eastAsia"/>
          <w:bCs/>
          <w:sz w:val="24"/>
        </w:rPr>
        <w:t>处于未上市或未挂牌转让期间的有价证券应区分如下情况处理：</w:t>
      </w:r>
    </w:p>
    <w:p w14:paraId="6A42507C" w14:textId="77777777" w:rsidR="00F203DE" w:rsidRDefault="00F203DE" w:rsidP="00F203DE">
      <w:pPr>
        <w:spacing w:line="360" w:lineRule="auto"/>
        <w:ind w:firstLine="480"/>
        <w:rPr>
          <w:bCs/>
          <w:sz w:val="24"/>
        </w:rPr>
      </w:pPr>
      <w:r>
        <w:rPr>
          <w:rFonts w:hint="eastAsia"/>
          <w:bCs/>
          <w:sz w:val="24"/>
        </w:rPr>
        <w:t>（</w:t>
      </w:r>
      <w:r>
        <w:rPr>
          <w:bCs/>
          <w:sz w:val="24"/>
        </w:rPr>
        <w:t>1</w:t>
      </w:r>
      <w:r>
        <w:rPr>
          <w:rFonts w:hint="eastAsia"/>
          <w:bCs/>
          <w:sz w:val="24"/>
        </w:rPr>
        <w:t>）</w:t>
      </w:r>
      <w:r>
        <w:rPr>
          <w:bCs/>
          <w:sz w:val="24"/>
        </w:rPr>
        <w:t>送股、转增股、配股和公开增发的新股，按估值日在证券交易所挂牌的同一股票的估值方法估值；该日无交易的，以最近一日的市价（收盘价）估值；</w:t>
      </w:r>
    </w:p>
    <w:p w14:paraId="0D16A0AF" w14:textId="77777777" w:rsidR="00F203DE" w:rsidRDefault="00F203DE" w:rsidP="00F203DE">
      <w:pPr>
        <w:snapToGrid w:val="0"/>
        <w:spacing w:line="360" w:lineRule="auto"/>
        <w:ind w:firstLine="480"/>
        <w:rPr>
          <w:bCs/>
          <w:sz w:val="24"/>
        </w:rPr>
      </w:pPr>
      <w:r>
        <w:rPr>
          <w:rFonts w:hint="eastAsia"/>
          <w:bCs/>
          <w:sz w:val="24"/>
        </w:rPr>
        <w:t>（</w:t>
      </w:r>
      <w:r>
        <w:rPr>
          <w:rFonts w:hint="eastAsia"/>
          <w:bCs/>
          <w:sz w:val="24"/>
        </w:rPr>
        <w:t>2</w:t>
      </w:r>
      <w:r>
        <w:rPr>
          <w:rFonts w:hint="eastAsia"/>
          <w:bCs/>
          <w:sz w:val="24"/>
        </w:rPr>
        <w:t>）首次公开发行未上市的股票、债券，采用估值技术确定公允价值；</w:t>
      </w:r>
    </w:p>
    <w:p w14:paraId="381F01D0" w14:textId="77777777" w:rsidR="00F203DE" w:rsidRDefault="00F203DE" w:rsidP="00F203DE">
      <w:pPr>
        <w:snapToGrid w:val="0"/>
        <w:spacing w:line="360" w:lineRule="auto"/>
        <w:ind w:firstLine="480"/>
        <w:rPr>
          <w:bCs/>
          <w:sz w:val="24"/>
        </w:rPr>
      </w:pPr>
      <w:r>
        <w:rPr>
          <w:rFonts w:hint="eastAsia"/>
          <w:bCs/>
          <w:sz w:val="24"/>
        </w:rPr>
        <w:t>（</w:t>
      </w:r>
      <w:r>
        <w:rPr>
          <w:bCs/>
          <w:sz w:val="24"/>
        </w:rPr>
        <w:t>3</w:t>
      </w:r>
      <w:r>
        <w:rPr>
          <w:rFonts w:hint="eastAsia"/>
          <w:bCs/>
          <w:sz w:val="24"/>
        </w:rPr>
        <w:t>）对于未上市或未挂牌转让且不存在活跃市场的固定收益品种，应采用在当前情况下适用并且有足够可利用数据和其他信息支持的估值技术确定其公允价值；</w:t>
      </w:r>
    </w:p>
    <w:p w14:paraId="189550CC" w14:textId="77777777" w:rsidR="00F203DE" w:rsidRPr="000A3207" w:rsidRDefault="00F203DE" w:rsidP="00F203DE">
      <w:pPr>
        <w:snapToGrid w:val="0"/>
        <w:spacing w:line="360" w:lineRule="auto"/>
        <w:ind w:firstLine="480"/>
        <w:rPr>
          <w:bCs/>
          <w:sz w:val="24"/>
        </w:rPr>
      </w:pPr>
      <w:r>
        <w:rPr>
          <w:bCs/>
          <w:sz w:val="24"/>
        </w:rPr>
        <w:t>（</w:t>
      </w:r>
      <w:r>
        <w:rPr>
          <w:bCs/>
          <w:sz w:val="24"/>
        </w:rPr>
        <w:t>4</w:t>
      </w:r>
      <w:r>
        <w:rPr>
          <w:bCs/>
          <w:sz w:val="24"/>
        </w:rPr>
        <w:t>）</w:t>
      </w:r>
      <w:r>
        <w:rPr>
          <w:rFonts w:hint="eastAsia"/>
          <w:bCs/>
          <w:sz w:val="24"/>
        </w:rPr>
        <w:t>在发行时明确一定期限限售期的股票，包括但不限于非</w:t>
      </w:r>
      <w:r>
        <w:rPr>
          <w:bCs/>
          <w:sz w:val="24"/>
        </w:rPr>
        <w:t>公开发行股票</w:t>
      </w:r>
      <w:r>
        <w:rPr>
          <w:rFonts w:hint="eastAsia"/>
          <w:bCs/>
          <w:sz w:val="24"/>
        </w:rPr>
        <w:t>、</w:t>
      </w:r>
      <w:r>
        <w:rPr>
          <w:bCs/>
          <w:sz w:val="24"/>
        </w:rPr>
        <w:t>首次公开发行股票</w:t>
      </w:r>
      <w:r>
        <w:rPr>
          <w:rFonts w:hint="eastAsia"/>
          <w:bCs/>
          <w:sz w:val="24"/>
        </w:rPr>
        <w:t>时公司股东公开发售股份、通过大宗交易取得的带限售</w:t>
      </w:r>
      <w:r>
        <w:rPr>
          <w:bCs/>
          <w:sz w:val="24"/>
        </w:rPr>
        <w:t>期的股票</w:t>
      </w:r>
      <w:r>
        <w:rPr>
          <w:rFonts w:hint="eastAsia"/>
          <w:bCs/>
          <w:sz w:val="24"/>
        </w:rPr>
        <w:t>等（不包括停牌、新发行未上市、回购交易中的质押券等流通受限股票），</w:t>
      </w:r>
      <w:r>
        <w:rPr>
          <w:bCs/>
          <w:sz w:val="24"/>
        </w:rPr>
        <w:t>按监管机构或行业协会有关规定确定公允价值。</w:t>
      </w:r>
    </w:p>
    <w:p w14:paraId="3349597C" w14:textId="08C74FAF" w:rsidR="00F203DE" w:rsidRDefault="00F203DE" w:rsidP="00F203DE">
      <w:pPr>
        <w:snapToGrid w:val="0"/>
        <w:spacing w:line="360" w:lineRule="auto"/>
        <w:ind w:firstLine="480"/>
        <w:rPr>
          <w:bCs/>
          <w:sz w:val="24"/>
        </w:rPr>
      </w:pPr>
      <w:r>
        <w:rPr>
          <w:rFonts w:hint="eastAsia"/>
          <w:bCs/>
          <w:sz w:val="24"/>
        </w:rPr>
        <w:t>I</w:t>
      </w:r>
      <w:r>
        <w:rPr>
          <w:bCs/>
          <w:sz w:val="24"/>
        </w:rPr>
        <w:t xml:space="preserve">II. </w:t>
      </w:r>
      <w:r>
        <w:rPr>
          <w:rFonts w:hint="eastAsia"/>
          <w:bCs/>
          <w:sz w:val="24"/>
        </w:rPr>
        <w:t>对于发行人已破产、发行人未能按时足额偿付本金或利息，或者有其它可靠信息表明本金或利息无法按时足额偿付的债券投资品种，第三方估值基准服务机构如在提供推荐价格的同时提供价格区间作为公允价值的参考范围以及公允价值存在重大不确定性的相关提示的，基金管理人在与基金托管人协商一致后，可采用价格区间中的数据作为该债券投资品种的公允价值。</w:t>
      </w:r>
    </w:p>
    <w:p w14:paraId="1FFAA671" w14:textId="4CEB329E" w:rsidR="00F203DE" w:rsidRDefault="00F203DE" w:rsidP="00F203DE">
      <w:pPr>
        <w:snapToGrid w:val="0"/>
        <w:spacing w:line="360" w:lineRule="auto"/>
        <w:ind w:firstLine="480"/>
        <w:rPr>
          <w:sz w:val="24"/>
        </w:rPr>
      </w:pPr>
      <w:r>
        <w:rPr>
          <w:rFonts w:hint="eastAsia"/>
          <w:bCs/>
          <w:sz w:val="24"/>
        </w:rPr>
        <w:t>I</w:t>
      </w:r>
      <w:r>
        <w:rPr>
          <w:bCs/>
          <w:sz w:val="24"/>
        </w:rPr>
        <w:t xml:space="preserve">V. </w:t>
      </w:r>
      <w:r>
        <w:rPr>
          <w:rFonts w:hint="eastAsia"/>
          <w:sz w:val="24"/>
        </w:rPr>
        <w:t>存款的估值方法</w:t>
      </w:r>
    </w:p>
    <w:p w14:paraId="6DCFFFF6" w14:textId="77777777" w:rsidR="00F203DE" w:rsidRDefault="00F203DE" w:rsidP="00F203DE">
      <w:pPr>
        <w:snapToGrid w:val="0"/>
        <w:spacing w:line="360" w:lineRule="auto"/>
        <w:ind w:firstLine="480"/>
        <w:rPr>
          <w:bCs/>
          <w:sz w:val="24"/>
        </w:rPr>
      </w:pPr>
      <w:r>
        <w:rPr>
          <w:rFonts w:hint="eastAsia"/>
          <w:bCs/>
          <w:sz w:val="24"/>
        </w:rPr>
        <w:t>持有的银行定期存款或通知存款以本金列示，按协议或合同利率逐日确认利</w:t>
      </w:r>
      <w:r>
        <w:rPr>
          <w:rFonts w:hint="eastAsia"/>
          <w:bCs/>
          <w:sz w:val="24"/>
        </w:rPr>
        <w:lastRenderedPageBreak/>
        <w:t>息收入。</w:t>
      </w:r>
    </w:p>
    <w:p w14:paraId="5F9B6212" w14:textId="1FEFC3AA" w:rsidR="00F203DE" w:rsidRDefault="00F203DE" w:rsidP="00F203DE">
      <w:pPr>
        <w:snapToGrid w:val="0"/>
        <w:spacing w:line="360" w:lineRule="auto"/>
        <w:ind w:firstLine="480"/>
        <w:rPr>
          <w:bCs/>
          <w:sz w:val="24"/>
        </w:rPr>
      </w:pPr>
      <w:r>
        <w:rPr>
          <w:bCs/>
          <w:sz w:val="24"/>
        </w:rPr>
        <w:t xml:space="preserve">V. </w:t>
      </w:r>
      <w:r>
        <w:rPr>
          <w:rFonts w:hint="eastAsia"/>
          <w:bCs/>
          <w:sz w:val="24"/>
        </w:rPr>
        <w:t>回购的估值方法</w:t>
      </w:r>
    </w:p>
    <w:p w14:paraId="670E4758" w14:textId="77777777" w:rsidR="00F203DE" w:rsidRDefault="00F203DE" w:rsidP="00F203DE">
      <w:pPr>
        <w:snapToGrid w:val="0"/>
        <w:spacing w:line="360" w:lineRule="auto"/>
        <w:ind w:firstLine="480"/>
        <w:rPr>
          <w:bCs/>
          <w:sz w:val="24"/>
        </w:rPr>
      </w:pPr>
      <w:r>
        <w:rPr>
          <w:rFonts w:hint="eastAsia"/>
          <w:bCs/>
          <w:sz w:val="24"/>
        </w:rPr>
        <w:t>本基金持有的回购以成本列示，按合同利率在回购期间内逐日计提应收或应付利息。</w:t>
      </w:r>
    </w:p>
    <w:p w14:paraId="29D3F002" w14:textId="48C924E2" w:rsidR="00F203DE" w:rsidRDefault="00F203DE" w:rsidP="00F203DE">
      <w:pPr>
        <w:snapToGrid w:val="0"/>
        <w:spacing w:line="360" w:lineRule="auto"/>
        <w:ind w:firstLine="480"/>
        <w:rPr>
          <w:bCs/>
          <w:sz w:val="24"/>
        </w:rPr>
      </w:pPr>
      <w:r>
        <w:rPr>
          <w:bCs/>
          <w:sz w:val="24"/>
        </w:rPr>
        <w:t xml:space="preserve">VI. </w:t>
      </w:r>
      <w:r>
        <w:rPr>
          <w:rFonts w:hint="eastAsia"/>
          <w:bCs/>
          <w:sz w:val="24"/>
        </w:rPr>
        <w:t>同业存单的估值方法</w:t>
      </w:r>
    </w:p>
    <w:p w14:paraId="42AB4BED" w14:textId="77777777" w:rsidR="00F203DE" w:rsidRDefault="00F203DE" w:rsidP="00F203DE">
      <w:pPr>
        <w:snapToGrid w:val="0"/>
        <w:spacing w:line="360" w:lineRule="auto"/>
        <w:ind w:firstLine="480"/>
        <w:rPr>
          <w:bCs/>
          <w:sz w:val="24"/>
        </w:rPr>
      </w:pPr>
      <w:r>
        <w:rPr>
          <w:rFonts w:hint="eastAsia"/>
          <w:bCs/>
          <w:sz w:val="24"/>
        </w:rPr>
        <w:t>本基金投资同业存单，采用估值日第三方估值机构提供的估值价格数据进行估值。</w:t>
      </w:r>
    </w:p>
    <w:p w14:paraId="408C9CB6" w14:textId="4C23A84C" w:rsidR="00F203DE" w:rsidRDefault="00F203DE" w:rsidP="00F203DE">
      <w:pPr>
        <w:snapToGrid w:val="0"/>
        <w:spacing w:line="360" w:lineRule="auto"/>
        <w:ind w:firstLine="480"/>
        <w:rPr>
          <w:bCs/>
          <w:sz w:val="24"/>
        </w:rPr>
      </w:pPr>
      <w:r>
        <w:rPr>
          <w:bCs/>
          <w:sz w:val="24"/>
        </w:rPr>
        <w:t xml:space="preserve">VII. </w:t>
      </w:r>
      <w:r>
        <w:rPr>
          <w:bCs/>
          <w:sz w:val="24"/>
        </w:rPr>
        <w:t>投资</w:t>
      </w:r>
      <w:r>
        <w:rPr>
          <w:rFonts w:hint="eastAsia"/>
          <w:bCs/>
          <w:sz w:val="24"/>
        </w:rPr>
        <w:t>金融</w:t>
      </w:r>
      <w:r>
        <w:rPr>
          <w:bCs/>
          <w:sz w:val="24"/>
        </w:rPr>
        <w:t>衍生品的估值方法</w:t>
      </w:r>
    </w:p>
    <w:p w14:paraId="6D64D53F" w14:textId="77777777" w:rsidR="00F203DE" w:rsidRDefault="00F203DE" w:rsidP="00F203DE">
      <w:pPr>
        <w:snapToGrid w:val="0"/>
        <w:spacing w:line="360" w:lineRule="auto"/>
        <w:ind w:firstLine="480"/>
        <w:rPr>
          <w:bCs/>
          <w:sz w:val="24"/>
        </w:rPr>
      </w:pPr>
      <w:r>
        <w:rPr>
          <w:rFonts w:hint="eastAsia"/>
          <w:bCs/>
          <w:sz w:val="24"/>
        </w:rPr>
        <w:t>本基金投资</w:t>
      </w:r>
      <w:r>
        <w:rPr>
          <w:bCs/>
          <w:sz w:val="24"/>
        </w:rPr>
        <w:t>股指期货合约</w:t>
      </w:r>
      <w:r>
        <w:rPr>
          <w:rFonts w:hint="eastAsia"/>
          <w:bCs/>
          <w:sz w:val="24"/>
        </w:rPr>
        <w:t>与国债期货合约，一般</w:t>
      </w:r>
      <w:r>
        <w:rPr>
          <w:bCs/>
          <w:sz w:val="24"/>
        </w:rPr>
        <w:t>以估值当日结算价进行估值，估值当日无结算价的，且最近交易日后经济环境未发生重大变化的，采用最近交易日结算价估值</w:t>
      </w:r>
      <w:r>
        <w:rPr>
          <w:rFonts w:hint="eastAsia"/>
          <w:bCs/>
          <w:sz w:val="24"/>
        </w:rPr>
        <w:t>。</w:t>
      </w:r>
    </w:p>
    <w:p w14:paraId="5055B7A4" w14:textId="6E483474" w:rsidR="00F203DE" w:rsidRDefault="00F203DE" w:rsidP="00F203DE">
      <w:pPr>
        <w:snapToGrid w:val="0"/>
        <w:spacing w:line="360" w:lineRule="auto"/>
        <w:ind w:firstLine="480"/>
        <w:rPr>
          <w:bCs/>
          <w:sz w:val="24"/>
        </w:rPr>
      </w:pPr>
      <w:r>
        <w:rPr>
          <w:rFonts w:hint="eastAsia"/>
          <w:bCs/>
          <w:sz w:val="24"/>
        </w:rPr>
        <w:t>V</w:t>
      </w:r>
      <w:r>
        <w:rPr>
          <w:bCs/>
          <w:sz w:val="24"/>
        </w:rPr>
        <w:t xml:space="preserve">III. </w:t>
      </w:r>
      <w:r>
        <w:rPr>
          <w:bCs/>
          <w:sz w:val="24"/>
        </w:rPr>
        <w:t>同一证券同时在两个或两个以上市场交易的，按证券所处的市场分别估值。</w:t>
      </w:r>
    </w:p>
    <w:p w14:paraId="0372DBD5" w14:textId="4DC177CE" w:rsidR="00F203DE" w:rsidRDefault="00F203DE" w:rsidP="00F203DE">
      <w:pPr>
        <w:spacing w:line="360" w:lineRule="auto"/>
        <w:ind w:firstLine="480"/>
        <w:rPr>
          <w:bCs/>
          <w:sz w:val="24"/>
        </w:rPr>
      </w:pPr>
      <w:r>
        <w:rPr>
          <w:bCs/>
          <w:sz w:val="24"/>
        </w:rPr>
        <w:t xml:space="preserve">IX. </w:t>
      </w:r>
      <w:r>
        <w:rPr>
          <w:rFonts w:hint="eastAsia"/>
          <w:bCs/>
          <w:sz w:val="24"/>
        </w:rPr>
        <w:t>估值计算中涉及港币对人民币汇率的，将依据下列信息提供机构所提供的汇率为基准：当日中国人民银行或其授权机构公布的人民币汇率中间价或其他能反映公允价值的汇率。</w:t>
      </w:r>
    </w:p>
    <w:p w14:paraId="68683844" w14:textId="2AC699F4" w:rsidR="00F203DE" w:rsidRDefault="00F203DE" w:rsidP="00F203DE">
      <w:pPr>
        <w:spacing w:line="360" w:lineRule="auto"/>
        <w:ind w:firstLine="480"/>
        <w:rPr>
          <w:bCs/>
          <w:sz w:val="24"/>
        </w:rPr>
      </w:pPr>
      <w:r>
        <w:rPr>
          <w:bCs/>
          <w:sz w:val="24"/>
        </w:rPr>
        <w:t xml:space="preserve">X. </w:t>
      </w:r>
      <w:r>
        <w:rPr>
          <w:rFonts w:hint="eastAsia"/>
          <w:bCs/>
          <w:sz w:val="24"/>
        </w:rPr>
        <w:t>对于按照中国法律法规和基金投资港股通标的股票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1438A42" w14:textId="67490607" w:rsidR="00F203DE" w:rsidRDefault="00F203DE" w:rsidP="00F203DE">
      <w:pPr>
        <w:spacing w:line="360" w:lineRule="auto"/>
        <w:ind w:firstLine="480"/>
        <w:rPr>
          <w:bCs/>
          <w:sz w:val="24"/>
        </w:rPr>
      </w:pPr>
      <w:r>
        <w:rPr>
          <w:bCs/>
          <w:sz w:val="24"/>
        </w:rPr>
        <w:t xml:space="preserve">XI. </w:t>
      </w:r>
      <w:r>
        <w:rPr>
          <w:rFonts w:hint="eastAsia"/>
          <w:bCs/>
          <w:sz w:val="24"/>
        </w:rPr>
        <w:t>本基金投资存托凭证的估值核算，依照境内上市交易的股票执行。</w:t>
      </w:r>
    </w:p>
    <w:p w14:paraId="171BBBA1" w14:textId="768A07AB" w:rsidR="00F203DE" w:rsidRDefault="00F203DE" w:rsidP="00F203DE">
      <w:pPr>
        <w:spacing w:line="360" w:lineRule="auto"/>
        <w:ind w:firstLine="480"/>
        <w:rPr>
          <w:sz w:val="24"/>
        </w:rPr>
      </w:pPr>
      <w:r>
        <w:rPr>
          <w:bCs/>
          <w:sz w:val="24"/>
        </w:rPr>
        <w:t xml:space="preserve">XII. </w:t>
      </w:r>
      <w:r>
        <w:rPr>
          <w:rFonts w:hint="eastAsia"/>
          <w:bCs/>
          <w:sz w:val="24"/>
        </w:rPr>
        <w:t>如有确凿证据表明按上述方法进行估值不能客观反映其公允价值的，基金管理人可根据具体情况与基金托管人商定后，按最能反映公允价值的价格估值。</w:t>
      </w:r>
    </w:p>
    <w:p w14:paraId="1DF9C511" w14:textId="5DD553F8" w:rsidR="00F203DE" w:rsidRDefault="00F203DE" w:rsidP="00F203DE">
      <w:pPr>
        <w:spacing w:line="360" w:lineRule="auto"/>
        <w:ind w:firstLine="480"/>
        <w:rPr>
          <w:bCs/>
          <w:sz w:val="24"/>
        </w:rPr>
      </w:pPr>
      <w:r>
        <w:rPr>
          <w:bCs/>
          <w:sz w:val="24"/>
        </w:rPr>
        <w:t xml:space="preserve">XIII. </w:t>
      </w:r>
      <w:r>
        <w:rPr>
          <w:rFonts w:hint="eastAsia"/>
          <w:bCs/>
          <w:sz w:val="24"/>
        </w:rPr>
        <w:t>当发生大额申购或赎回情形时，基金管理人可以采用摆动定价机制，以确保基金估值的公平性。</w:t>
      </w:r>
    </w:p>
    <w:p w14:paraId="1209D749" w14:textId="0EB664DE" w:rsidR="00F203DE" w:rsidRDefault="00F203DE" w:rsidP="00F203DE">
      <w:pPr>
        <w:spacing w:line="360" w:lineRule="auto"/>
        <w:ind w:firstLine="480"/>
        <w:rPr>
          <w:bCs/>
          <w:sz w:val="24"/>
        </w:rPr>
      </w:pPr>
      <w:r>
        <w:rPr>
          <w:bCs/>
          <w:sz w:val="24"/>
        </w:rPr>
        <w:t xml:space="preserve">XIV. </w:t>
      </w:r>
      <w:r>
        <w:rPr>
          <w:rFonts w:hint="eastAsia"/>
          <w:bCs/>
          <w:sz w:val="24"/>
        </w:rPr>
        <w:t>相关法律法规以及监管部门有强制规定的，从其规定。如有新增事项，按国家最新规定估值。</w:t>
      </w:r>
    </w:p>
    <w:p w14:paraId="1E94CCE6" w14:textId="77777777" w:rsidR="00F203DE" w:rsidRDefault="00F203DE" w:rsidP="00F203DE">
      <w:pPr>
        <w:spacing w:line="360" w:lineRule="auto"/>
        <w:ind w:firstLine="480"/>
        <w:rPr>
          <w:bCs/>
          <w:sz w:val="24"/>
        </w:rPr>
      </w:pPr>
      <w:r>
        <w:rPr>
          <w:bCs/>
          <w:sz w:val="24"/>
        </w:rPr>
        <w:t>如基金管理人或基金托管人发现基金估值违反基金合同订明的估值方法、程序及相关法律法规的规定或者未能充分维护基金份额持有人利益时，应立即通知</w:t>
      </w:r>
      <w:r>
        <w:rPr>
          <w:bCs/>
          <w:sz w:val="24"/>
        </w:rPr>
        <w:lastRenderedPageBreak/>
        <w:t>对方，共同查明原因，双方协商解决。</w:t>
      </w:r>
    </w:p>
    <w:p w14:paraId="3B9B225A" w14:textId="7D829D98" w:rsidR="00B15602" w:rsidRPr="00F203DE" w:rsidRDefault="00F203DE" w:rsidP="00F203DE">
      <w:pPr>
        <w:spacing w:line="360" w:lineRule="auto"/>
        <w:ind w:firstLine="480"/>
        <w:rPr>
          <w:rFonts w:ascii="宋体" w:hAnsi="宋体"/>
          <w:color w:val="0D0D0D"/>
          <w:sz w:val="24"/>
          <w:szCs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w:t>
      </w:r>
      <w:r>
        <w:rPr>
          <w:rFonts w:hint="eastAsia"/>
          <w:bCs/>
          <w:sz w:val="24"/>
        </w:rPr>
        <w:t>按规定</w:t>
      </w:r>
      <w:r>
        <w:rPr>
          <w:bCs/>
          <w:sz w:val="24"/>
        </w:rPr>
        <w:t>对外予以公布。</w:t>
      </w:r>
      <w:bookmarkEnd w:id="52"/>
    </w:p>
    <w:p w14:paraId="73666C6B"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（三）估值错误处理</w:t>
      </w:r>
    </w:p>
    <w:p w14:paraId="006D6C76" w14:textId="7A8AE788" w:rsidR="00953003" w:rsidRDefault="00953003" w:rsidP="00953003">
      <w:pPr>
        <w:spacing w:line="360" w:lineRule="auto"/>
        <w:ind w:firstLine="480"/>
        <w:rPr>
          <w:bCs/>
          <w:sz w:val="24"/>
        </w:rPr>
      </w:pPr>
      <w:bookmarkStart w:id="54" w:name="_Hlk129728906"/>
      <w:r>
        <w:rPr>
          <w:bCs/>
          <w:sz w:val="24"/>
        </w:rPr>
        <w:t>基金管理人和基金托管人将采取必要、适当、合理的措施确保基金资产估值的准确性、及时性。当</w:t>
      </w:r>
      <w:r>
        <w:rPr>
          <w:rFonts w:hint="eastAsia"/>
          <w:bCs/>
          <w:sz w:val="24"/>
        </w:rPr>
        <w:t>任一类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w:t>
      </w:r>
      <w:r>
        <w:rPr>
          <w:rFonts w:hint="eastAsia"/>
          <w:bCs/>
          <w:sz w:val="24"/>
        </w:rPr>
        <w:t>该类</w:t>
      </w:r>
      <w:r>
        <w:rPr>
          <w:bCs/>
          <w:sz w:val="24"/>
        </w:rPr>
        <w:t>基金份额净值错误。</w:t>
      </w:r>
    </w:p>
    <w:p w14:paraId="00E6AC6F" w14:textId="174F4231" w:rsidR="00953003" w:rsidRDefault="00953003" w:rsidP="00953003">
      <w:pPr>
        <w:spacing w:line="360" w:lineRule="auto"/>
        <w:ind w:firstLine="480"/>
        <w:rPr>
          <w:bCs/>
          <w:sz w:val="24"/>
        </w:rPr>
      </w:pPr>
      <w:bookmarkStart w:id="55" w:name="_Hlk129728932"/>
      <w:bookmarkEnd w:id="54"/>
      <w:r>
        <w:rPr>
          <w:bCs/>
          <w:sz w:val="24"/>
        </w:rPr>
        <w:t>基金合同的当事人应按照以下约定处理：</w:t>
      </w:r>
    </w:p>
    <w:p w14:paraId="2C71CF54" w14:textId="77777777" w:rsidR="00953003" w:rsidRDefault="00953003" w:rsidP="00953003">
      <w:pPr>
        <w:spacing w:line="360" w:lineRule="auto"/>
        <w:ind w:firstLine="480"/>
        <w:rPr>
          <w:bCs/>
          <w:sz w:val="24"/>
        </w:rPr>
      </w:pPr>
      <w:r>
        <w:rPr>
          <w:bCs/>
          <w:sz w:val="24"/>
        </w:rPr>
        <w:t>1</w:t>
      </w:r>
      <w:r>
        <w:rPr>
          <w:bCs/>
          <w:sz w:val="24"/>
        </w:rPr>
        <w:t>、估值错误类型</w:t>
      </w:r>
    </w:p>
    <w:p w14:paraId="252BA6EA" w14:textId="77777777" w:rsidR="00953003" w:rsidRDefault="00953003" w:rsidP="00953003">
      <w:pPr>
        <w:spacing w:line="360" w:lineRule="auto"/>
        <w:ind w:firstLine="480"/>
        <w:rPr>
          <w:bCs/>
          <w:sz w:val="24"/>
        </w:rPr>
      </w:pPr>
      <w:r>
        <w:rPr>
          <w:bCs/>
          <w:sz w:val="24"/>
        </w:rPr>
        <w:t>本基金运作过程中，如果由于基金管理人或基金托管人、或</w:t>
      </w:r>
      <w:r>
        <w:rPr>
          <w:rFonts w:hint="eastAsia"/>
          <w:bCs/>
          <w:sz w:val="24"/>
        </w:rPr>
        <w:t>基金服务</w:t>
      </w:r>
      <w:r>
        <w:rPr>
          <w:bCs/>
          <w:sz w:val="24"/>
        </w:rPr>
        <w:t>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6AF1E96" w14:textId="77777777" w:rsidR="00953003" w:rsidRDefault="00953003" w:rsidP="00953003">
      <w:pPr>
        <w:spacing w:line="360" w:lineRule="auto"/>
        <w:ind w:firstLine="480"/>
        <w:rPr>
          <w:bCs/>
          <w:sz w:val="24"/>
        </w:rPr>
      </w:pPr>
      <w:r>
        <w:rPr>
          <w:bCs/>
          <w:sz w:val="24"/>
        </w:rPr>
        <w:t>上述估值错误的主要类型包括但不限于：资料申报差错、数据传输差错、数据计算差错、系统故障差错、下达指令差错等。</w:t>
      </w:r>
    </w:p>
    <w:p w14:paraId="57352BD5" w14:textId="77777777" w:rsidR="00953003" w:rsidRDefault="00953003" w:rsidP="00953003">
      <w:pPr>
        <w:spacing w:line="360" w:lineRule="auto"/>
        <w:ind w:firstLine="480"/>
        <w:rPr>
          <w:bCs/>
          <w:sz w:val="24"/>
        </w:rPr>
      </w:pPr>
      <w:r>
        <w:rPr>
          <w:bCs/>
          <w:sz w:val="24"/>
        </w:rPr>
        <w:t>2</w:t>
      </w:r>
      <w:r>
        <w:rPr>
          <w:bCs/>
          <w:sz w:val="24"/>
        </w:rPr>
        <w:t>、估值错误处理原则</w:t>
      </w:r>
    </w:p>
    <w:p w14:paraId="2DDF6994" w14:textId="77777777" w:rsidR="00953003" w:rsidRDefault="00953003" w:rsidP="00953003">
      <w:pPr>
        <w:spacing w:line="360" w:lineRule="auto"/>
        <w:ind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EE210CE" w14:textId="77777777" w:rsidR="00953003" w:rsidRDefault="00953003" w:rsidP="00953003">
      <w:pPr>
        <w:spacing w:line="360" w:lineRule="auto"/>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1AB97F5" w14:textId="77777777" w:rsidR="00953003" w:rsidRDefault="00953003" w:rsidP="00953003">
      <w:pPr>
        <w:spacing w:line="360" w:lineRule="auto"/>
        <w:ind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w:t>
      </w:r>
      <w:r>
        <w:rPr>
          <w:bCs/>
          <w:sz w:val="24"/>
        </w:rPr>
        <w:lastRenderedPageBreak/>
        <w:t>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EF18C36" w14:textId="77777777" w:rsidR="00953003" w:rsidRDefault="00953003" w:rsidP="00953003">
      <w:pPr>
        <w:spacing w:line="360" w:lineRule="auto"/>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39CD758" w14:textId="77777777" w:rsidR="00953003" w:rsidRDefault="00953003" w:rsidP="00953003">
      <w:pPr>
        <w:spacing w:line="360" w:lineRule="auto"/>
        <w:ind w:firstLine="480"/>
        <w:rPr>
          <w:bCs/>
          <w:sz w:val="24"/>
        </w:rPr>
      </w:pPr>
      <w:r>
        <w:rPr>
          <w:rFonts w:ascii="宋体" w:hAnsi="宋体" w:hint="eastAsia"/>
          <w:sz w:val="24"/>
        </w:rPr>
        <w:t>（</w:t>
      </w:r>
      <w:r w:rsidRPr="00FF0F61">
        <w:rPr>
          <w:bCs/>
          <w:sz w:val="24"/>
        </w:rPr>
        <w:t>5</w:t>
      </w:r>
      <w:r>
        <w:rPr>
          <w:rFonts w:ascii="宋体" w:hAnsi="宋体" w:hint="eastAsia"/>
          <w:sz w:val="24"/>
        </w:rPr>
        <w:t>）按法律法规规定的其他原则处理估值错误。</w:t>
      </w:r>
    </w:p>
    <w:p w14:paraId="62FE421A" w14:textId="77777777" w:rsidR="00953003" w:rsidRDefault="00953003" w:rsidP="00953003">
      <w:pPr>
        <w:spacing w:line="360" w:lineRule="auto"/>
        <w:ind w:firstLine="480"/>
        <w:rPr>
          <w:bCs/>
          <w:sz w:val="24"/>
        </w:rPr>
      </w:pPr>
      <w:r>
        <w:rPr>
          <w:bCs/>
          <w:sz w:val="24"/>
        </w:rPr>
        <w:t>3</w:t>
      </w:r>
      <w:r>
        <w:rPr>
          <w:bCs/>
          <w:sz w:val="24"/>
        </w:rPr>
        <w:t>、估值错误处理程序</w:t>
      </w:r>
    </w:p>
    <w:p w14:paraId="4F3AD874" w14:textId="77777777" w:rsidR="00953003" w:rsidRDefault="00953003" w:rsidP="00953003">
      <w:pPr>
        <w:spacing w:line="360" w:lineRule="auto"/>
        <w:ind w:firstLine="480"/>
        <w:rPr>
          <w:bCs/>
          <w:sz w:val="24"/>
        </w:rPr>
      </w:pPr>
      <w:r>
        <w:rPr>
          <w:bCs/>
          <w:sz w:val="24"/>
        </w:rPr>
        <w:t>估值错误被发现后，有关的当事人应当及时进行处理，处理的程序如下：</w:t>
      </w:r>
    </w:p>
    <w:p w14:paraId="1F8EC165" w14:textId="77777777" w:rsidR="00953003" w:rsidRDefault="00953003" w:rsidP="00953003">
      <w:pPr>
        <w:spacing w:line="360" w:lineRule="auto"/>
        <w:ind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429DFEB5" w14:textId="77777777" w:rsidR="00953003" w:rsidRDefault="00953003" w:rsidP="00953003">
      <w:pPr>
        <w:spacing w:line="360" w:lineRule="auto"/>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2413660" w14:textId="77777777" w:rsidR="00953003" w:rsidRDefault="00953003" w:rsidP="00953003">
      <w:pPr>
        <w:spacing w:line="360" w:lineRule="auto"/>
        <w:ind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5ACFEBCC" w14:textId="77777777" w:rsidR="00953003" w:rsidRDefault="00953003" w:rsidP="00953003">
      <w:pPr>
        <w:spacing w:line="360" w:lineRule="auto"/>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7595D2AA" w14:textId="77777777" w:rsidR="00953003" w:rsidRDefault="00953003" w:rsidP="00953003">
      <w:pPr>
        <w:spacing w:line="360" w:lineRule="auto"/>
        <w:ind w:firstLine="480"/>
        <w:rPr>
          <w:bCs/>
          <w:sz w:val="24"/>
        </w:rPr>
      </w:pPr>
      <w:r>
        <w:rPr>
          <w:bCs/>
          <w:sz w:val="24"/>
        </w:rPr>
        <w:t>4</w:t>
      </w:r>
      <w:r>
        <w:rPr>
          <w:bCs/>
          <w:sz w:val="24"/>
        </w:rPr>
        <w:t>、基金份额净值估值错误处理的方法如下：</w:t>
      </w:r>
    </w:p>
    <w:p w14:paraId="0FBFB0A2" w14:textId="77777777" w:rsidR="00953003" w:rsidRDefault="00953003" w:rsidP="00953003">
      <w:pPr>
        <w:spacing w:line="360" w:lineRule="auto"/>
        <w:ind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7E7E77B" w14:textId="77777777" w:rsidR="00953003" w:rsidRDefault="00953003" w:rsidP="00953003">
      <w:pPr>
        <w:spacing w:line="360" w:lineRule="auto"/>
        <w:ind w:firstLine="480"/>
        <w:rPr>
          <w:bCs/>
          <w:sz w:val="24"/>
        </w:rPr>
      </w:pPr>
      <w:r>
        <w:rPr>
          <w:bCs/>
          <w:sz w:val="24"/>
        </w:rPr>
        <w:t>（</w:t>
      </w:r>
      <w:r>
        <w:rPr>
          <w:rFonts w:hint="eastAsia"/>
          <w:bCs/>
          <w:sz w:val="24"/>
        </w:rPr>
        <w:t>2</w:t>
      </w:r>
      <w:r>
        <w:rPr>
          <w:bCs/>
          <w:sz w:val="24"/>
        </w:rPr>
        <w:t>）错误偏差达到</w:t>
      </w:r>
      <w:r>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Pr>
          <w:rFonts w:hint="eastAsia"/>
          <w:bCs/>
          <w:sz w:val="24"/>
        </w:rPr>
        <w:t>该类</w:t>
      </w:r>
      <w:r>
        <w:rPr>
          <w:bCs/>
          <w:sz w:val="24"/>
        </w:rPr>
        <w:t>基金份额净值的</w:t>
      </w:r>
      <w:r>
        <w:rPr>
          <w:bCs/>
          <w:sz w:val="24"/>
        </w:rPr>
        <w:t>0.5%</w:t>
      </w:r>
      <w:r>
        <w:rPr>
          <w:bCs/>
          <w:sz w:val="24"/>
        </w:rPr>
        <w:t>时，基金管理人应当公告，并报中国证监会备案。</w:t>
      </w:r>
    </w:p>
    <w:p w14:paraId="26A82F1B" w14:textId="77777777" w:rsidR="00953003" w:rsidRDefault="00953003" w:rsidP="00953003">
      <w:pPr>
        <w:spacing w:line="360" w:lineRule="auto"/>
        <w:ind w:firstLine="480"/>
        <w:rPr>
          <w:bCs/>
          <w:sz w:val="24"/>
        </w:rPr>
      </w:pPr>
      <w:r>
        <w:rPr>
          <w:rFonts w:hint="eastAsia"/>
          <w:bCs/>
          <w:sz w:val="24"/>
        </w:rPr>
        <w:t>（</w:t>
      </w:r>
      <w:r>
        <w:rPr>
          <w:rFonts w:hint="eastAsia"/>
          <w:bCs/>
          <w:sz w:val="24"/>
        </w:rPr>
        <w:t>3</w:t>
      </w:r>
      <w:r>
        <w:rPr>
          <w:rFonts w:hint="eastAsia"/>
          <w:bCs/>
          <w:sz w:val="24"/>
        </w:rPr>
        <w:t>）</w:t>
      </w:r>
      <w:r>
        <w:rPr>
          <w:bCs/>
          <w:sz w:val="24"/>
        </w:rPr>
        <w:t>前述内容如法律法规或监管机关另有规定的，从其规定处理。</w:t>
      </w:r>
      <w:bookmarkEnd w:id="55"/>
    </w:p>
    <w:bookmarkEnd w:id="50"/>
    <w:p w14:paraId="4643BB53"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（四）基金账册的建立</w:t>
      </w:r>
    </w:p>
    <w:p w14:paraId="2F764BE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849995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6A8D0EC0"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（五）基金定期报告、招募说明书、基金产品资料概要的编制和复核</w:t>
      </w:r>
    </w:p>
    <w:p w14:paraId="65DB090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w:t>
      </w:r>
      <w:r w:rsidRPr="00143A8D">
        <w:rPr>
          <w:rFonts w:ascii="宋体" w:hAnsi="宋体" w:hint="eastAsia"/>
          <w:color w:val="0D0D0D"/>
          <w:sz w:val="24"/>
          <w:szCs w:val="24"/>
        </w:rPr>
        <w:t>基金终止运作</w:t>
      </w:r>
      <w:r>
        <w:rPr>
          <w:rFonts w:ascii="宋体" w:hAnsi="宋体" w:hint="eastAsia"/>
          <w:color w:val="0D0D0D"/>
          <w:sz w:val="24"/>
          <w:szCs w:val="24"/>
        </w:rPr>
        <w:t>的，基金管理人不再更新基金招募说明书。</w:t>
      </w:r>
    </w:p>
    <w:p w14:paraId="1EF71C9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09101FF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基金管理人在季度结束之日起15个工作日内完成季度报告编制并公告；在上半年结束之日</w:t>
      </w:r>
      <w:r>
        <w:rPr>
          <w:rFonts w:ascii="宋体" w:hAnsi="宋体"/>
          <w:color w:val="0D0D0D"/>
          <w:sz w:val="24"/>
          <w:szCs w:val="24"/>
        </w:rPr>
        <w:t>起</w:t>
      </w:r>
      <w:r>
        <w:rPr>
          <w:rFonts w:ascii="宋体" w:hAnsi="宋体" w:hint="eastAsia"/>
          <w:color w:val="0D0D0D"/>
          <w:sz w:val="24"/>
          <w:szCs w:val="24"/>
        </w:rPr>
        <w:t>两个月内完成中期报告编制并公告；在每年结束之日</w:t>
      </w:r>
      <w:r>
        <w:rPr>
          <w:rFonts w:ascii="宋体" w:hAnsi="宋体"/>
          <w:color w:val="0D0D0D"/>
          <w:sz w:val="24"/>
          <w:szCs w:val="24"/>
        </w:rPr>
        <w:t>起</w:t>
      </w:r>
      <w:r>
        <w:rPr>
          <w:rFonts w:ascii="宋体" w:hAnsi="宋体" w:hint="eastAsia"/>
          <w:color w:val="0D0D0D"/>
          <w:sz w:val="24"/>
          <w:szCs w:val="24"/>
        </w:rPr>
        <w:t>三个月内完成年度报告编制并公告。基金合同生效不足</w:t>
      </w:r>
      <w:r>
        <w:rPr>
          <w:rFonts w:ascii="宋体" w:hAnsi="宋体"/>
          <w:color w:val="0D0D0D"/>
          <w:sz w:val="24"/>
          <w:szCs w:val="24"/>
        </w:rPr>
        <w:t>2</w:t>
      </w:r>
      <w:r>
        <w:rPr>
          <w:rFonts w:ascii="宋体" w:hAnsi="宋体" w:hint="eastAsia"/>
          <w:color w:val="0D0D0D"/>
          <w:sz w:val="24"/>
          <w:szCs w:val="24"/>
        </w:rPr>
        <w:t>个月的，基金管理人可以不编制当期季度报告、中期报告或者年度报告。</w:t>
      </w:r>
    </w:p>
    <w:p w14:paraId="4AA774DD" w14:textId="6D12D04C" w:rsidR="00700034" w:rsidRDefault="00700034">
      <w:pPr>
        <w:spacing w:line="360" w:lineRule="auto"/>
        <w:ind w:firstLineChars="200" w:firstLine="480"/>
        <w:rPr>
          <w:rFonts w:ascii="宋体" w:hAnsi="宋体"/>
          <w:color w:val="0D0D0D"/>
          <w:sz w:val="24"/>
          <w:szCs w:val="24"/>
        </w:rPr>
      </w:pPr>
      <w:bookmarkStart w:id="56" w:name="_DV_C270"/>
      <w:r>
        <w:rPr>
          <w:rFonts w:ascii="宋体" w:hAnsi="宋体" w:hint="eastAsia"/>
          <w:color w:val="0D0D0D"/>
          <w:sz w:val="24"/>
          <w:szCs w:val="24"/>
        </w:rPr>
        <w:t>基金管理人应及时完成报表编制，将有关报表提供基金托管人复核；基金托管人应当在收到报告之日起</w:t>
      </w:r>
      <w:r>
        <w:rPr>
          <w:rFonts w:ascii="宋体" w:hAnsi="宋体"/>
          <w:color w:val="0D0D0D"/>
          <w:sz w:val="24"/>
          <w:szCs w:val="24"/>
        </w:rPr>
        <w:t>7</w:t>
      </w:r>
      <w:r>
        <w:rPr>
          <w:rFonts w:ascii="宋体" w:hAnsi="宋体" w:hint="eastAsia"/>
          <w:color w:val="0D0D0D"/>
          <w:sz w:val="24"/>
          <w:szCs w:val="24"/>
        </w:rPr>
        <w:t>个工作日内完成基金季度报告的复核；在收到报告之日起</w:t>
      </w:r>
      <w:r>
        <w:rPr>
          <w:rFonts w:ascii="宋体" w:hAnsi="宋体"/>
          <w:color w:val="0D0D0D"/>
          <w:sz w:val="24"/>
          <w:szCs w:val="24"/>
        </w:rPr>
        <w:t>20</w:t>
      </w:r>
      <w:r>
        <w:rPr>
          <w:rFonts w:ascii="宋体" w:hAnsi="宋体" w:hint="eastAsia"/>
          <w:color w:val="0D0D0D"/>
          <w:sz w:val="24"/>
          <w:szCs w:val="24"/>
        </w:rPr>
        <w:t>日内完成基金中期报告的复核；在收到报告之日起</w:t>
      </w:r>
      <w:r>
        <w:rPr>
          <w:rFonts w:ascii="宋体" w:hAnsi="宋体"/>
          <w:color w:val="0D0D0D"/>
          <w:sz w:val="24"/>
          <w:szCs w:val="24"/>
        </w:rPr>
        <w:t>30</w:t>
      </w:r>
      <w:r>
        <w:rPr>
          <w:rFonts w:ascii="宋体" w:hAnsi="宋体" w:hint="eastAsia"/>
          <w:color w:val="0D0D0D"/>
          <w:sz w:val="24"/>
          <w:szCs w:val="24"/>
        </w:rPr>
        <w:t>日内完成基金年度报告的</w:t>
      </w:r>
      <w:bookmarkEnd w:id="56"/>
      <w:r>
        <w:rPr>
          <w:rFonts w:ascii="宋体" w:hAnsi="宋体" w:hint="eastAsia"/>
          <w:color w:val="0D0D0D"/>
          <w:sz w:val="24"/>
          <w:szCs w:val="24"/>
        </w:rPr>
        <w:t>复核。基金托管人在复核过程中，发现双方的报表存在不符时，基金管理人和基金托管人应共同查明原因，进行调整，调整以国家有关规定为准。</w:t>
      </w:r>
    </w:p>
    <w:p w14:paraId="153B213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核对无误后，基金托管人在基金管理人提供的报告上加盖业务印鉴或者出具加盖托管业务部门公章的复核意见书，相关各方各自留存一份。</w:t>
      </w:r>
    </w:p>
    <w:p w14:paraId="18764081" w14:textId="05CDE91A"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基金托管人在对季度</w:t>
      </w:r>
      <w:r w:rsidR="005D072A">
        <w:rPr>
          <w:rFonts w:ascii="宋体" w:hAnsi="宋体" w:hint="eastAsia"/>
          <w:color w:val="0D0D0D"/>
          <w:sz w:val="24"/>
          <w:szCs w:val="24"/>
        </w:rPr>
        <w:t>报告</w:t>
      </w:r>
      <w:r>
        <w:rPr>
          <w:rFonts w:ascii="宋体" w:hAnsi="宋体" w:hint="eastAsia"/>
          <w:color w:val="0D0D0D"/>
          <w:sz w:val="24"/>
          <w:szCs w:val="24"/>
        </w:rPr>
        <w:t>、中期报告或年度报告复核完毕后，需盖章确认或出具相应的复核确认书，以备有权机构对相关文件审核时提示。</w:t>
      </w:r>
    </w:p>
    <w:p w14:paraId="0B956291" w14:textId="77777777" w:rsidR="00700034" w:rsidRPr="00143A8D" w:rsidRDefault="00700034" w:rsidP="00143A8D">
      <w:pPr>
        <w:spacing w:line="360" w:lineRule="auto"/>
        <w:ind w:firstLineChars="200" w:firstLine="480"/>
        <w:rPr>
          <w:rFonts w:ascii="宋体" w:hAnsi="宋体"/>
          <w:color w:val="0D0D0D"/>
          <w:sz w:val="24"/>
          <w:szCs w:val="24"/>
        </w:rPr>
      </w:pPr>
      <w:r w:rsidRPr="00143A8D">
        <w:rPr>
          <w:rFonts w:ascii="宋体" w:hAnsi="宋体" w:hint="eastAsia"/>
          <w:color w:val="0D0D0D"/>
          <w:sz w:val="24"/>
          <w:szCs w:val="24"/>
        </w:rPr>
        <w:t>（六）暂停估值的情形</w:t>
      </w:r>
    </w:p>
    <w:p w14:paraId="7CF3160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1、基金投资所涉及的证券、期货交易市场遇法定节假日或因其他原因暂停营业时；</w:t>
      </w:r>
    </w:p>
    <w:p w14:paraId="14A059E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2、因不可抗力致使基金管理人、基金托管人无法准确评估基金资产价值时；</w:t>
      </w:r>
    </w:p>
    <w:p w14:paraId="66A6445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3、当</w:t>
      </w:r>
      <w:r w:rsidRPr="00143A8D">
        <w:rPr>
          <w:rFonts w:ascii="宋体" w:hAnsi="宋体" w:hint="eastAsia"/>
          <w:color w:val="0D0D0D"/>
          <w:sz w:val="24"/>
          <w:szCs w:val="24"/>
        </w:rPr>
        <w:t>特定</w:t>
      </w:r>
      <w:r w:rsidRPr="00143A8D">
        <w:rPr>
          <w:rFonts w:ascii="宋体" w:hAnsi="宋体"/>
          <w:color w:val="0D0D0D"/>
          <w:sz w:val="24"/>
          <w:szCs w:val="24"/>
        </w:rPr>
        <w:t>资产占</w:t>
      </w:r>
      <w:r>
        <w:rPr>
          <w:rFonts w:ascii="宋体" w:hAnsi="宋体" w:hint="eastAsia"/>
          <w:color w:val="0D0D0D"/>
          <w:sz w:val="24"/>
          <w:szCs w:val="24"/>
        </w:rPr>
        <w:t>前一估值日基金资产净值50%以上的，经与基金托管人协商确认后，基金管理人应当暂停估值；</w:t>
      </w:r>
    </w:p>
    <w:p w14:paraId="1398B1BF" w14:textId="5E3893BE" w:rsidR="00700034" w:rsidRPr="00143A8D"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4、法律法规</w:t>
      </w:r>
      <w:r w:rsidR="008133F1" w:rsidRPr="008133F1">
        <w:rPr>
          <w:rFonts w:ascii="宋体" w:hAnsi="宋体" w:hint="eastAsia"/>
          <w:color w:val="0D0D0D"/>
          <w:sz w:val="24"/>
          <w:szCs w:val="24"/>
        </w:rPr>
        <w:t>规定</w:t>
      </w:r>
      <w:r>
        <w:rPr>
          <w:rFonts w:ascii="宋体" w:hAnsi="宋体" w:hint="eastAsia"/>
          <w:color w:val="0D0D0D"/>
          <w:sz w:val="24"/>
          <w:szCs w:val="24"/>
        </w:rPr>
        <w:t>、中国证监会和基金合同认定的其它情形。</w:t>
      </w:r>
    </w:p>
    <w:p w14:paraId="63E7B4B1"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（七）实施侧袋机制期间的基金资产估值</w:t>
      </w:r>
    </w:p>
    <w:p w14:paraId="4B0BCF0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本基金实施侧袋机制的，应根据基金合同的约定对主袋账户资产进行估值并披露主袋账户的基金净值信息，暂停披露侧袋账户份额净值。</w:t>
      </w:r>
    </w:p>
    <w:bookmarkEnd w:id="49"/>
    <w:p w14:paraId="1F113800" w14:textId="5F4D1DE0" w:rsidR="00700034" w:rsidRDefault="00700034">
      <w:pPr>
        <w:pStyle w:val="1"/>
        <w:jc w:val="center"/>
        <w:rPr>
          <w:rFonts w:ascii="宋体" w:hAnsi="宋体"/>
          <w:color w:val="0D0D0D"/>
        </w:rPr>
      </w:pPr>
      <w:r>
        <w:rPr>
          <w:rFonts w:ascii="宋体" w:hAnsi="宋体"/>
          <w:color w:val="0D0D0D"/>
          <w:sz w:val="24"/>
          <w:szCs w:val="24"/>
        </w:rPr>
        <w:br w:type="page"/>
      </w:r>
      <w:bookmarkStart w:id="57" w:name="_Toc155088986"/>
      <w:bookmarkStart w:id="58" w:name="_Hlk129470138"/>
      <w:r>
        <w:rPr>
          <w:rFonts w:ascii="宋体" w:hAnsi="宋体" w:hint="eastAsia"/>
          <w:color w:val="0D0D0D"/>
        </w:rPr>
        <w:lastRenderedPageBreak/>
        <w:t>九、基金收益分配</w:t>
      </w:r>
      <w:bookmarkEnd w:id="57"/>
    </w:p>
    <w:p w14:paraId="2C7FF51D" w14:textId="77777777" w:rsidR="00240AA2" w:rsidRPr="00240AA2" w:rsidRDefault="00240AA2" w:rsidP="00240AA2"/>
    <w:p w14:paraId="6AC8C5B1" w14:textId="77777777" w:rsidR="00F203DE" w:rsidRDefault="00F203DE" w:rsidP="00F203DE">
      <w:pPr>
        <w:spacing w:line="360" w:lineRule="auto"/>
        <w:ind w:firstLine="480"/>
        <w:rPr>
          <w:bCs/>
          <w:sz w:val="24"/>
        </w:rPr>
      </w:pPr>
      <w:bookmarkStart w:id="59" w:name="_Hlk151736532"/>
      <w:r>
        <w:rPr>
          <w:rFonts w:hint="eastAsia"/>
          <w:bCs/>
          <w:sz w:val="24"/>
        </w:rPr>
        <w:t>（</w:t>
      </w:r>
      <w:r>
        <w:rPr>
          <w:bCs/>
          <w:sz w:val="24"/>
        </w:rPr>
        <w:t>一</w:t>
      </w:r>
      <w:r>
        <w:rPr>
          <w:rFonts w:hint="eastAsia"/>
          <w:bCs/>
          <w:sz w:val="24"/>
        </w:rPr>
        <w:t>）</w:t>
      </w:r>
      <w:r>
        <w:rPr>
          <w:bCs/>
          <w:sz w:val="24"/>
        </w:rPr>
        <w:t>基金利润的构成</w:t>
      </w:r>
    </w:p>
    <w:p w14:paraId="33550A51" w14:textId="77777777" w:rsidR="00F203DE" w:rsidRDefault="00F203DE" w:rsidP="00F203DE">
      <w:pPr>
        <w:spacing w:line="360" w:lineRule="auto"/>
        <w:ind w:firstLine="480"/>
        <w:rPr>
          <w:bCs/>
          <w:sz w:val="24"/>
        </w:rPr>
      </w:pPr>
      <w:bookmarkStart w:id="60" w:name="_Hlk117855759"/>
      <w:r>
        <w:rPr>
          <w:bCs/>
          <w:sz w:val="24"/>
        </w:rPr>
        <w:t>基金利润指基金利息收入、投资收益、公允价值变动收益和其他收入扣除相关费用后的余额，基金已实现收益指基金利润减去公允价值变动收益后的余额。</w:t>
      </w:r>
      <w:bookmarkEnd w:id="60"/>
    </w:p>
    <w:p w14:paraId="6079985F" w14:textId="77777777" w:rsidR="00F203DE" w:rsidRDefault="00F203DE" w:rsidP="00F203DE">
      <w:pPr>
        <w:spacing w:line="360" w:lineRule="auto"/>
        <w:ind w:firstLine="480"/>
        <w:rPr>
          <w:bCs/>
          <w:sz w:val="24"/>
        </w:rPr>
      </w:pPr>
      <w:r>
        <w:rPr>
          <w:rFonts w:hint="eastAsia"/>
          <w:bCs/>
          <w:sz w:val="24"/>
        </w:rPr>
        <w:t>（</w:t>
      </w:r>
      <w:r>
        <w:rPr>
          <w:bCs/>
          <w:sz w:val="24"/>
        </w:rPr>
        <w:t>二</w:t>
      </w:r>
      <w:r>
        <w:rPr>
          <w:rFonts w:hint="eastAsia"/>
          <w:bCs/>
          <w:sz w:val="24"/>
        </w:rPr>
        <w:t>）</w:t>
      </w:r>
      <w:r>
        <w:rPr>
          <w:bCs/>
          <w:sz w:val="24"/>
        </w:rPr>
        <w:t>基金可供分配利润</w:t>
      </w:r>
    </w:p>
    <w:p w14:paraId="33D75146" w14:textId="77777777" w:rsidR="00F203DE" w:rsidRDefault="00F203DE" w:rsidP="00F203DE">
      <w:pPr>
        <w:spacing w:line="360" w:lineRule="auto"/>
        <w:ind w:firstLine="480"/>
        <w:rPr>
          <w:bCs/>
          <w:sz w:val="24"/>
        </w:rPr>
      </w:pPr>
      <w:bookmarkStart w:id="61" w:name="_Hlk117855766"/>
      <w:r>
        <w:rPr>
          <w:bCs/>
          <w:sz w:val="24"/>
        </w:rPr>
        <w:t>基金可供分配利润指截至收益分配基准日基金未分配利润与未分配利润中已实现收益的孰低数。</w:t>
      </w:r>
    </w:p>
    <w:p w14:paraId="6655BF52" w14:textId="77777777" w:rsidR="00F203DE" w:rsidRDefault="00F203DE" w:rsidP="00F203DE">
      <w:pPr>
        <w:spacing w:line="360" w:lineRule="auto"/>
        <w:ind w:firstLine="480"/>
        <w:rPr>
          <w:bCs/>
          <w:sz w:val="24"/>
        </w:rPr>
      </w:pPr>
      <w:r>
        <w:rPr>
          <w:rFonts w:hint="eastAsia"/>
          <w:bCs/>
          <w:sz w:val="24"/>
        </w:rPr>
        <w:t>（</w:t>
      </w:r>
      <w:r w:rsidRPr="00C81293">
        <w:rPr>
          <w:rFonts w:hint="eastAsia"/>
          <w:bCs/>
          <w:sz w:val="24"/>
        </w:rPr>
        <w:t>三</w:t>
      </w:r>
      <w:r>
        <w:rPr>
          <w:rFonts w:hint="eastAsia"/>
          <w:bCs/>
          <w:sz w:val="24"/>
        </w:rPr>
        <w:t>）</w:t>
      </w:r>
      <w:bookmarkEnd w:id="61"/>
      <w:r w:rsidRPr="00C81293">
        <w:rPr>
          <w:bCs/>
          <w:sz w:val="24"/>
        </w:rPr>
        <w:t>基金收益分配原则</w:t>
      </w:r>
    </w:p>
    <w:p w14:paraId="0299A547" w14:textId="5BBB5A48" w:rsidR="00F203DE" w:rsidRPr="00CE4D25" w:rsidRDefault="00F203DE" w:rsidP="00F203DE">
      <w:pPr>
        <w:spacing w:line="360" w:lineRule="auto"/>
        <w:ind w:firstLineChars="200" w:firstLine="480"/>
        <w:rPr>
          <w:bCs/>
          <w:sz w:val="24"/>
        </w:rPr>
      </w:pPr>
      <w:bookmarkStart w:id="62" w:name="_Hlk150191858"/>
      <w:r w:rsidRPr="00CE4D25">
        <w:rPr>
          <w:rFonts w:hint="eastAsia"/>
          <w:bCs/>
          <w:sz w:val="24"/>
        </w:rPr>
        <w:t>1</w:t>
      </w:r>
      <w:r w:rsidRPr="00CE4D25">
        <w:rPr>
          <w:rFonts w:hint="eastAsia"/>
          <w:bCs/>
          <w:sz w:val="24"/>
        </w:rPr>
        <w:t>、</w:t>
      </w:r>
      <w:r w:rsidRPr="00CE4D25">
        <w:rPr>
          <w:bCs/>
          <w:sz w:val="24"/>
        </w:rPr>
        <w:t>在符合有关基金分红条件的前提下，</w:t>
      </w:r>
      <w:r w:rsidRPr="002F4F27">
        <w:rPr>
          <w:rFonts w:hint="eastAsia"/>
          <w:bCs/>
          <w:sz w:val="24"/>
        </w:rPr>
        <w:t>基金管理人可对本基金进行基金分红</w:t>
      </w:r>
      <w:r w:rsidRPr="00CE4D25">
        <w:rPr>
          <w:rFonts w:hint="eastAsia"/>
          <w:bCs/>
          <w:sz w:val="24"/>
        </w:rPr>
        <w:t>；</w:t>
      </w:r>
    </w:p>
    <w:p w14:paraId="5B664B44" w14:textId="77777777" w:rsidR="00F203DE" w:rsidRPr="00CE4D25" w:rsidRDefault="00F203DE" w:rsidP="00F203DE">
      <w:pPr>
        <w:spacing w:line="360" w:lineRule="auto"/>
        <w:ind w:firstLineChars="200" w:firstLine="480"/>
        <w:rPr>
          <w:bCs/>
          <w:sz w:val="24"/>
        </w:rPr>
      </w:pPr>
      <w:r>
        <w:rPr>
          <w:bCs/>
          <w:sz w:val="24"/>
        </w:rPr>
        <w:t>2</w:t>
      </w:r>
      <w:r w:rsidRPr="00CE4D25">
        <w:rPr>
          <w:rFonts w:hint="eastAsia"/>
          <w:bCs/>
          <w:sz w:val="24"/>
        </w:rPr>
        <w:t>、</w:t>
      </w:r>
      <w:r w:rsidRPr="00CE4D25">
        <w:rPr>
          <w:bCs/>
          <w:sz w:val="24"/>
        </w:rPr>
        <w:t>若基金合同生效不满</w:t>
      </w:r>
      <w:r w:rsidRPr="00CE4D25">
        <w:rPr>
          <w:bCs/>
          <w:sz w:val="24"/>
        </w:rPr>
        <w:t>3</w:t>
      </w:r>
      <w:r w:rsidRPr="00CE4D25">
        <w:rPr>
          <w:bCs/>
          <w:sz w:val="24"/>
        </w:rPr>
        <w:t>个月，本基金可不进行收益分配；</w:t>
      </w:r>
    </w:p>
    <w:p w14:paraId="7E624B90" w14:textId="77777777" w:rsidR="00F203DE" w:rsidRPr="00CE4D25" w:rsidRDefault="00F203DE" w:rsidP="00F203DE">
      <w:pPr>
        <w:spacing w:line="360" w:lineRule="auto"/>
        <w:ind w:firstLineChars="200" w:firstLine="480"/>
        <w:rPr>
          <w:bCs/>
          <w:sz w:val="24"/>
        </w:rPr>
      </w:pPr>
      <w:r>
        <w:rPr>
          <w:bCs/>
          <w:sz w:val="24"/>
        </w:rPr>
        <w:t>3</w:t>
      </w:r>
      <w:r w:rsidRPr="00CE4D25">
        <w:rPr>
          <w:rFonts w:hint="eastAsia"/>
          <w:bCs/>
          <w:sz w:val="24"/>
        </w:rPr>
        <w:t>、</w:t>
      </w:r>
      <w:r w:rsidRPr="00CE4D25">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1BF9DEAF" w14:textId="77777777" w:rsidR="00F203DE" w:rsidRPr="00CE4D25" w:rsidRDefault="00F203DE" w:rsidP="00F203DE">
      <w:pPr>
        <w:spacing w:line="360" w:lineRule="auto"/>
        <w:ind w:firstLineChars="200" w:firstLine="480"/>
        <w:rPr>
          <w:bCs/>
          <w:sz w:val="24"/>
        </w:rPr>
      </w:pPr>
      <w:r>
        <w:rPr>
          <w:bCs/>
          <w:sz w:val="24"/>
        </w:rPr>
        <w:t>4</w:t>
      </w:r>
      <w:r w:rsidRPr="00CE4D25">
        <w:rPr>
          <w:rFonts w:hint="eastAsia"/>
          <w:bCs/>
          <w:sz w:val="24"/>
        </w:rPr>
        <w:t>、</w:t>
      </w:r>
      <w:r w:rsidRPr="00CE4D25">
        <w:rPr>
          <w:bCs/>
          <w:sz w:val="24"/>
        </w:rPr>
        <w:t>由于本基金</w:t>
      </w:r>
      <w:r w:rsidRPr="00CE4D25">
        <w:rPr>
          <w:bCs/>
          <w:sz w:val="24"/>
        </w:rPr>
        <w:t>A</w:t>
      </w:r>
      <w:r w:rsidRPr="00CE4D25">
        <w:rPr>
          <w:bCs/>
          <w:sz w:val="24"/>
        </w:rPr>
        <w:t>类基金份额不收取销售服务费，而</w:t>
      </w:r>
      <w:r w:rsidRPr="00CE4D25">
        <w:rPr>
          <w:bCs/>
          <w:sz w:val="24"/>
        </w:rPr>
        <w:t>C</w:t>
      </w:r>
      <w:r w:rsidRPr="00CE4D25">
        <w:rPr>
          <w:bCs/>
          <w:sz w:val="24"/>
        </w:rPr>
        <w:t>类基金份额收取销售服务费，各类别基金份额对应的可供分配利润将有所不同；</w:t>
      </w:r>
    </w:p>
    <w:p w14:paraId="5BE08D5B" w14:textId="77777777" w:rsidR="00F203DE" w:rsidRDefault="00F203DE" w:rsidP="00F203DE">
      <w:pPr>
        <w:spacing w:line="360" w:lineRule="auto"/>
        <w:ind w:firstLineChars="200" w:firstLine="480"/>
        <w:rPr>
          <w:bCs/>
          <w:sz w:val="24"/>
        </w:rPr>
      </w:pPr>
      <w:r>
        <w:rPr>
          <w:bCs/>
          <w:sz w:val="24"/>
        </w:rPr>
        <w:t>5</w:t>
      </w:r>
      <w:r w:rsidRPr="00CE4D25">
        <w:rPr>
          <w:rFonts w:hint="eastAsia"/>
          <w:bCs/>
          <w:sz w:val="24"/>
        </w:rPr>
        <w:t>、</w:t>
      </w:r>
      <w:r w:rsidRPr="00CE4D25">
        <w:rPr>
          <w:bCs/>
          <w:sz w:val="24"/>
        </w:rPr>
        <w:t>基金收益分配后各类基金份额净值不能低于面值</w:t>
      </w:r>
      <w:r w:rsidRPr="00CE4D25">
        <w:rPr>
          <w:rFonts w:hint="eastAsia"/>
          <w:bCs/>
          <w:sz w:val="24"/>
        </w:rPr>
        <w:t>，</w:t>
      </w:r>
      <w:r w:rsidRPr="00CE4D25">
        <w:rPr>
          <w:bCs/>
          <w:sz w:val="24"/>
        </w:rPr>
        <w:t>即基金收益分配基准日的各类基金份额净值减去每单位该类基金份额收益分配金额后不能低于面值；</w:t>
      </w:r>
    </w:p>
    <w:p w14:paraId="509BB539" w14:textId="77777777" w:rsidR="00F203DE" w:rsidRDefault="00F203DE" w:rsidP="00F203DE">
      <w:pPr>
        <w:spacing w:line="360" w:lineRule="auto"/>
        <w:ind w:firstLineChars="200" w:firstLine="480"/>
        <w:rPr>
          <w:bCs/>
          <w:sz w:val="24"/>
        </w:rPr>
      </w:pPr>
      <w:r>
        <w:rPr>
          <w:bCs/>
          <w:sz w:val="24"/>
        </w:rPr>
        <w:t>6</w:t>
      </w:r>
      <w:r w:rsidRPr="00CE4D25">
        <w:rPr>
          <w:rFonts w:hint="eastAsia"/>
          <w:bCs/>
          <w:sz w:val="24"/>
        </w:rPr>
        <w:t>、</w:t>
      </w:r>
      <w:r w:rsidRPr="00CE4D25">
        <w:rPr>
          <w:bCs/>
          <w:sz w:val="24"/>
        </w:rPr>
        <w:t>本基金同一类别的每一基金份额享有同等分配权；</w:t>
      </w:r>
    </w:p>
    <w:p w14:paraId="00842B65" w14:textId="77777777" w:rsidR="00F203DE" w:rsidRDefault="00F203DE" w:rsidP="00F203DE">
      <w:pPr>
        <w:spacing w:line="360" w:lineRule="auto"/>
        <w:ind w:firstLineChars="200" w:firstLine="480"/>
        <w:rPr>
          <w:bCs/>
          <w:sz w:val="24"/>
        </w:rPr>
      </w:pPr>
      <w:r>
        <w:rPr>
          <w:bCs/>
          <w:sz w:val="24"/>
        </w:rPr>
        <w:t>7</w:t>
      </w:r>
      <w:r w:rsidRPr="00CE4D25">
        <w:rPr>
          <w:rFonts w:hint="eastAsia"/>
          <w:bCs/>
          <w:sz w:val="24"/>
        </w:rPr>
        <w:t>、</w:t>
      </w:r>
      <w:r w:rsidRPr="00CE4D25">
        <w:rPr>
          <w:bCs/>
          <w:sz w:val="24"/>
        </w:rPr>
        <w:t>法律法规或监管机关另有规定的，从其规定。</w:t>
      </w:r>
    </w:p>
    <w:bookmarkEnd w:id="62"/>
    <w:p w14:paraId="69817371" w14:textId="77777777" w:rsidR="00F203DE" w:rsidRDefault="00F203DE" w:rsidP="00F203DE">
      <w:pPr>
        <w:spacing w:line="360" w:lineRule="auto"/>
        <w:ind w:firstLine="480"/>
        <w:rPr>
          <w:bCs/>
          <w:sz w:val="24"/>
        </w:rPr>
      </w:pPr>
      <w:r>
        <w:rPr>
          <w:rFonts w:hint="eastAsia"/>
          <w:bCs/>
          <w:sz w:val="24"/>
        </w:rPr>
        <w:t>在不违背法律法规及基金合同的规定、且对基金份额持有人利益无实质性不利影响的前提下，基金管理人经与基金托管人协商一致后可调整以上基金收益的分配原则，不需召开基金份额持有人大会。</w:t>
      </w:r>
    </w:p>
    <w:p w14:paraId="2636A745" w14:textId="77777777" w:rsidR="00F203DE" w:rsidRDefault="00F203DE" w:rsidP="00F203DE">
      <w:pPr>
        <w:spacing w:line="360" w:lineRule="auto"/>
        <w:ind w:firstLine="480"/>
        <w:rPr>
          <w:bCs/>
          <w:sz w:val="24"/>
        </w:rPr>
      </w:pPr>
      <w:r>
        <w:rPr>
          <w:rFonts w:hint="eastAsia"/>
          <w:bCs/>
          <w:sz w:val="24"/>
        </w:rPr>
        <w:t>（</w:t>
      </w:r>
      <w:r w:rsidRPr="00FE13E9">
        <w:rPr>
          <w:rFonts w:hint="eastAsia"/>
          <w:bCs/>
          <w:sz w:val="24"/>
        </w:rPr>
        <w:t>四</w:t>
      </w:r>
      <w:r>
        <w:rPr>
          <w:rFonts w:hint="eastAsia"/>
          <w:bCs/>
          <w:sz w:val="24"/>
        </w:rPr>
        <w:t>）</w:t>
      </w:r>
      <w:r w:rsidRPr="00FE13E9">
        <w:rPr>
          <w:bCs/>
          <w:sz w:val="24"/>
        </w:rPr>
        <w:t>收益分配方案</w:t>
      </w:r>
    </w:p>
    <w:p w14:paraId="19BBD29E" w14:textId="77777777" w:rsidR="00F203DE" w:rsidRDefault="00F203DE" w:rsidP="00F203DE">
      <w:pPr>
        <w:spacing w:line="360" w:lineRule="auto"/>
        <w:ind w:firstLine="480"/>
        <w:rPr>
          <w:bCs/>
          <w:sz w:val="24"/>
        </w:rPr>
      </w:pPr>
      <w:bookmarkStart w:id="63" w:name="_Hlk117855793"/>
      <w:r>
        <w:rPr>
          <w:bCs/>
          <w:sz w:val="24"/>
        </w:rPr>
        <w:t>基金收益分配方案中应载明截止收益分配基准日的可供分配利润、基金收益分配对象、分配时间、分配数额及比例、分配方式等内容。</w:t>
      </w:r>
    </w:p>
    <w:bookmarkEnd w:id="63"/>
    <w:p w14:paraId="558BB4FD" w14:textId="77777777" w:rsidR="00F203DE" w:rsidRDefault="00F203DE" w:rsidP="00F203DE">
      <w:pPr>
        <w:spacing w:line="360" w:lineRule="auto"/>
        <w:ind w:firstLineChars="200" w:firstLine="480"/>
        <w:rPr>
          <w:bCs/>
          <w:sz w:val="24"/>
        </w:rPr>
      </w:pPr>
      <w:r>
        <w:rPr>
          <w:rFonts w:hint="eastAsia"/>
          <w:bCs/>
          <w:sz w:val="24"/>
        </w:rPr>
        <w:t>（五）</w:t>
      </w:r>
      <w:r>
        <w:rPr>
          <w:bCs/>
          <w:sz w:val="24"/>
        </w:rPr>
        <w:t>收益分配方案的确定、公告与实施</w:t>
      </w:r>
    </w:p>
    <w:p w14:paraId="6BAB3396" w14:textId="77777777" w:rsidR="00F203DE" w:rsidRDefault="00F203DE" w:rsidP="00F203DE">
      <w:pPr>
        <w:spacing w:line="360" w:lineRule="auto"/>
        <w:ind w:firstLineChars="200" w:firstLine="480"/>
        <w:rPr>
          <w:bCs/>
          <w:sz w:val="24"/>
        </w:rPr>
      </w:pPr>
      <w:r w:rsidRPr="00C81293">
        <w:rPr>
          <w:rFonts w:hint="eastAsia"/>
          <w:bCs/>
          <w:sz w:val="24"/>
        </w:rPr>
        <w:t>本基金收益分配方案由基金管理人拟定，并由基金托管人复核，依照《信息</w:t>
      </w:r>
      <w:r w:rsidRPr="00C81293">
        <w:rPr>
          <w:rFonts w:hint="eastAsia"/>
          <w:bCs/>
          <w:sz w:val="24"/>
        </w:rPr>
        <w:lastRenderedPageBreak/>
        <w:t>披露办法》的有关规定在规定媒介公告。</w:t>
      </w:r>
    </w:p>
    <w:p w14:paraId="21E6EDFE" w14:textId="77777777" w:rsidR="00F203DE" w:rsidRDefault="00F203DE" w:rsidP="00F203DE">
      <w:pPr>
        <w:spacing w:line="360" w:lineRule="auto"/>
        <w:ind w:firstLine="540"/>
        <w:rPr>
          <w:bCs/>
          <w:sz w:val="24"/>
        </w:rPr>
      </w:pPr>
      <w:bookmarkStart w:id="64" w:name="_Hlk150120473"/>
      <w:r>
        <w:rPr>
          <w:rFonts w:hint="eastAsia"/>
          <w:bCs/>
          <w:sz w:val="24"/>
        </w:rPr>
        <w:t>（六）</w:t>
      </w:r>
      <w:r>
        <w:rPr>
          <w:bCs/>
          <w:sz w:val="24"/>
        </w:rPr>
        <w:t>基金收益分配中发生的费用</w:t>
      </w:r>
    </w:p>
    <w:p w14:paraId="3344DD5A" w14:textId="77777777" w:rsidR="00F203DE" w:rsidRDefault="00F203DE" w:rsidP="00F203DE">
      <w:pPr>
        <w:spacing w:line="360" w:lineRule="auto"/>
        <w:ind w:firstLine="540"/>
        <w:rPr>
          <w:bCs/>
          <w:sz w:val="24"/>
        </w:rPr>
      </w:pPr>
      <w:bookmarkStart w:id="65" w:name="_Hlk117855806"/>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相应类别的</w:t>
      </w:r>
      <w:r>
        <w:rPr>
          <w:bCs/>
          <w:sz w:val="24"/>
        </w:rPr>
        <w:t>基金份额。红利再投资的计算方法，依照《业务规则》执行。</w:t>
      </w:r>
    </w:p>
    <w:p w14:paraId="73EC8262" w14:textId="5D676245" w:rsidR="00F203DE" w:rsidRDefault="00F203DE" w:rsidP="00F203DE">
      <w:pPr>
        <w:spacing w:line="360" w:lineRule="auto"/>
        <w:ind w:firstLine="540"/>
        <w:rPr>
          <w:bCs/>
          <w:sz w:val="24"/>
        </w:rPr>
      </w:pPr>
      <w:bookmarkStart w:id="66" w:name="_Hlk151483099"/>
      <w:bookmarkEnd w:id="65"/>
      <w:r>
        <w:rPr>
          <w:rFonts w:hint="eastAsia"/>
          <w:bCs/>
          <w:sz w:val="24"/>
        </w:rPr>
        <w:t>（</w:t>
      </w:r>
      <w:r w:rsidRPr="00C81293">
        <w:rPr>
          <w:rFonts w:hint="eastAsia"/>
          <w:bCs/>
          <w:sz w:val="24"/>
        </w:rPr>
        <w:t>七</w:t>
      </w:r>
      <w:r>
        <w:rPr>
          <w:rFonts w:hint="eastAsia"/>
          <w:bCs/>
          <w:sz w:val="24"/>
        </w:rPr>
        <w:t>）</w:t>
      </w:r>
      <w:r w:rsidRPr="00C81293">
        <w:rPr>
          <w:rFonts w:hint="eastAsia"/>
          <w:bCs/>
          <w:sz w:val="24"/>
        </w:rPr>
        <w:t>实施侧袋机制期间的收益分配</w:t>
      </w:r>
    </w:p>
    <w:p w14:paraId="17909ABE" w14:textId="43EB321A" w:rsidR="00DA341C" w:rsidRPr="006D39A0" w:rsidRDefault="00F203DE" w:rsidP="00240AA2">
      <w:pPr>
        <w:spacing w:line="360" w:lineRule="auto"/>
        <w:ind w:firstLine="540"/>
        <w:rPr>
          <w:rFonts w:ascii="宋体" w:hAnsi="宋体"/>
          <w:color w:val="0D0D0D"/>
          <w:sz w:val="24"/>
          <w:szCs w:val="24"/>
        </w:rPr>
      </w:pPr>
      <w:r>
        <w:rPr>
          <w:rFonts w:hint="eastAsia"/>
          <w:bCs/>
          <w:sz w:val="24"/>
        </w:rPr>
        <w:t>本基金实施侧袋机制的，侧袋账户不进行收益分配，详见招募说明书的规定。</w:t>
      </w:r>
      <w:bookmarkEnd w:id="59"/>
      <w:bookmarkEnd w:id="64"/>
      <w:bookmarkEnd w:id="66"/>
    </w:p>
    <w:p w14:paraId="68633C49" w14:textId="30EDDDBF" w:rsidR="00700034" w:rsidRDefault="00700034" w:rsidP="000C7F64">
      <w:pPr>
        <w:pStyle w:val="1"/>
        <w:jc w:val="center"/>
        <w:rPr>
          <w:rFonts w:ascii="宋体" w:hAnsi="宋体"/>
          <w:color w:val="0D0D0D"/>
        </w:rPr>
      </w:pPr>
      <w:r>
        <w:rPr>
          <w:rFonts w:ascii="宋体" w:hAnsi="宋体"/>
          <w:color w:val="0D0D0D"/>
          <w:sz w:val="24"/>
          <w:szCs w:val="24"/>
        </w:rPr>
        <w:br w:type="page"/>
      </w:r>
      <w:bookmarkStart w:id="67" w:name="_Toc155088987"/>
      <w:bookmarkEnd w:id="58"/>
      <w:r>
        <w:rPr>
          <w:rFonts w:ascii="宋体" w:hAnsi="宋体" w:hint="eastAsia"/>
          <w:color w:val="0D0D0D"/>
        </w:rPr>
        <w:lastRenderedPageBreak/>
        <w:t>十、信息披露</w:t>
      </w:r>
      <w:bookmarkEnd w:id="67"/>
    </w:p>
    <w:p w14:paraId="3060BB1C" w14:textId="77777777" w:rsidR="00240AA2" w:rsidRPr="00240AA2" w:rsidRDefault="00240AA2" w:rsidP="00240AA2"/>
    <w:p w14:paraId="420CB155"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（一）保密义务</w:t>
      </w:r>
    </w:p>
    <w:p w14:paraId="7BFBEA8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A616FC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1．非因基金管理人和基金托管人的原因导致保密信息被披露、泄露或公开；</w:t>
      </w:r>
    </w:p>
    <w:p w14:paraId="5708D47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2．基金管理人和基金托管人为遵守和服从法院判决或裁定、仲裁裁决或中国证监会等监管机构的命令、决定所做出的信息披露或公开。</w:t>
      </w:r>
    </w:p>
    <w:p w14:paraId="08CBD085"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（二）基金管理人和基金托管人在信息披露中的职责和信息披露程序</w:t>
      </w:r>
    </w:p>
    <w:p w14:paraId="0E0B386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5F7EFF09" w14:textId="4813B42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本基金信息披露的文件主要包括招募说明书、基金合同、本托管协议、</w:t>
      </w:r>
      <w:r w:rsidRPr="00143A8D">
        <w:rPr>
          <w:rFonts w:ascii="宋体" w:hAnsi="宋体" w:hint="eastAsia"/>
          <w:color w:val="0D0D0D"/>
          <w:sz w:val="24"/>
          <w:szCs w:val="24"/>
        </w:rPr>
        <w:t>基金产品资料概要、</w:t>
      </w:r>
      <w:r>
        <w:rPr>
          <w:rFonts w:ascii="宋体" w:hAnsi="宋体" w:hint="eastAsia"/>
          <w:color w:val="0D0D0D"/>
          <w:sz w:val="24"/>
          <w:szCs w:val="24"/>
        </w:rPr>
        <w:t>基金份额发售公告、基金合同生效公告、</w:t>
      </w:r>
      <w:r w:rsidRPr="00143A8D">
        <w:rPr>
          <w:rFonts w:ascii="宋体" w:hAnsi="宋体"/>
          <w:color w:val="0D0D0D"/>
          <w:sz w:val="24"/>
          <w:szCs w:val="24"/>
        </w:rPr>
        <w:t>基金份额申购、赎回价格</w:t>
      </w:r>
      <w:r>
        <w:rPr>
          <w:rFonts w:ascii="宋体" w:hAnsi="宋体" w:hint="eastAsia"/>
          <w:color w:val="0D0D0D"/>
          <w:sz w:val="24"/>
          <w:szCs w:val="24"/>
        </w:rPr>
        <w:t>、基金合同规定的定期报告、临时报告、基金净值信息、</w:t>
      </w:r>
      <w:r w:rsidRPr="00143A8D">
        <w:rPr>
          <w:rFonts w:ascii="宋体" w:hAnsi="宋体"/>
          <w:color w:val="0D0D0D"/>
          <w:sz w:val="24"/>
          <w:szCs w:val="24"/>
        </w:rPr>
        <w:t>澄清公告</w:t>
      </w:r>
      <w:r w:rsidRPr="00143A8D">
        <w:rPr>
          <w:rFonts w:ascii="宋体" w:hAnsi="宋体" w:hint="eastAsia"/>
          <w:color w:val="0D0D0D"/>
          <w:sz w:val="24"/>
          <w:szCs w:val="24"/>
        </w:rPr>
        <w:t>、</w:t>
      </w:r>
      <w:r w:rsidRPr="00143A8D">
        <w:rPr>
          <w:rFonts w:ascii="宋体" w:hAnsi="宋体"/>
          <w:color w:val="0D0D0D"/>
          <w:sz w:val="24"/>
          <w:szCs w:val="24"/>
        </w:rPr>
        <w:t>基金份额持有人大会决议</w:t>
      </w:r>
      <w:r w:rsidRPr="00143A8D">
        <w:rPr>
          <w:rFonts w:ascii="宋体" w:hAnsi="宋体" w:hint="eastAsia"/>
          <w:color w:val="0D0D0D"/>
          <w:sz w:val="24"/>
          <w:szCs w:val="24"/>
        </w:rPr>
        <w:t>、清算报告、投资股指期货情况、</w:t>
      </w:r>
      <w:r w:rsidR="005D072A" w:rsidRPr="00143A8D">
        <w:rPr>
          <w:rFonts w:ascii="宋体" w:hAnsi="宋体" w:hint="eastAsia"/>
          <w:color w:val="0D0D0D"/>
          <w:sz w:val="24"/>
          <w:szCs w:val="24"/>
        </w:rPr>
        <w:t>投资</w:t>
      </w:r>
      <w:r w:rsidR="005D072A">
        <w:rPr>
          <w:rFonts w:ascii="宋体" w:hAnsi="宋体" w:hint="eastAsia"/>
          <w:color w:val="0D0D0D"/>
          <w:sz w:val="24"/>
          <w:szCs w:val="24"/>
        </w:rPr>
        <w:t>国债</w:t>
      </w:r>
      <w:r w:rsidR="005D072A" w:rsidRPr="00143A8D">
        <w:rPr>
          <w:rFonts w:ascii="宋体" w:hAnsi="宋体" w:hint="eastAsia"/>
          <w:color w:val="0D0D0D"/>
          <w:sz w:val="24"/>
          <w:szCs w:val="24"/>
        </w:rPr>
        <w:t>期货情况</w:t>
      </w:r>
      <w:r w:rsidR="005D072A">
        <w:rPr>
          <w:rFonts w:ascii="宋体" w:hAnsi="宋体" w:hint="eastAsia"/>
          <w:color w:val="0D0D0D"/>
          <w:sz w:val="24"/>
          <w:szCs w:val="24"/>
        </w:rPr>
        <w:t>、</w:t>
      </w:r>
      <w:r w:rsidRPr="00143A8D">
        <w:rPr>
          <w:rFonts w:ascii="宋体" w:hAnsi="宋体" w:hint="eastAsia"/>
          <w:color w:val="0D0D0D"/>
          <w:sz w:val="24"/>
          <w:szCs w:val="24"/>
        </w:rPr>
        <w:t>投资港股通标的股票情况、实施侧袋机制期间的信息披露、中国证监会规定的其他信息</w:t>
      </w:r>
      <w:r>
        <w:rPr>
          <w:rFonts w:ascii="宋体" w:hAnsi="宋体" w:hint="eastAsia"/>
          <w:color w:val="0D0D0D"/>
          <w:sz w:val="24"/>
          <w:szCs w:val="24"/>
        </w:rPr>
        <w:t>及其他必要的公告文件，由基金管理人和基金托管人按照有关法律法规的规定予以公布。</w:t>
      </w:r>
    </w:p>
    <w:p w14:paraId="260AEAA4" w14:textId="6BFC444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基金托管人应当按照相关法律、行政法规、中国证监会的规定和基金合同的约定，对基金管理人编制的基金净值信息、</w:t>
      </w:r>
      <w:r w:rsidR="005D072A">
        <w:rPr>
          <w:rFonts w:ascii="宋体" w:hAnsi="宋体" w:hint="eastAsia"/>
          <w:color w:val="0D0D0D"/>
          <w:sz w:val="24"/>
          <w:szCs w:val="24"/>
        </w:rPr>
        <w:t>基金份额申购赎回价格、</w:t>
      </w:r>
      <w:r>
        <w:rPr>
          <w:rFonts w:ascii="宋体" w:hAnsi="宋体" w:hint="eastAsia"/>
          <w:color w:val="0D0D0D"/>
          <w:sz w:val="24"/>
          <w:szCs w:val="24"/>
        </w:rPr>
        <w:t>基金业绩表现数据、基金定期报告和更新的招募说明书</w:t>
      </w:r>
      <w:r w:rsidR="005D072A">
        <w:rPr>
          <w:rFonts w:ascii="宋体" w:hAnsi="宋体" w:hint="eastAsia"/>
          <w:color w:val="0D0D0D"/>
          <w:sz w:val="24"/>
          <w:szCs w:val="24"/>
        </w:rPr>
        <w:t>、更新的基金产品资料概要、基金清算报告</w:t>
      </w:r>
      <w:r>
        <w:rPr>
          <w:rFonts w:ascii="宋体" w:hAnsi="宋体" w:hint="eastAsia"/>
          <w:color w:val="0D0D0D"/>
          <w:sz w:val="24"/>
          <w:szCs w:val="24"/>
        </w:rPr>
        <w:t>等公开披露的相关基金信息进行复核、审查，并向基金管理人出具书面文件或者盖章确认。</w:t>
      </w:r>
    </w:p>
    <w:p w14:paraId="0BD85E6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基金年</w:t>
      </w:r>
      <w:r>
        <w:rPr>
          <w:rFonts w:ascii="宋体" w:hAnsi="宋体"/>
          <w:color w:val="0D0D0D"/>
          <w:sz w:val="24"/>
          <w:szCs w:val="24"/>
        </w:rPr>
        <w:t>度报告</w:t>
      </w:r>
      <w:r>
        <w:rPr>
          <w:rFonts w:ascii="宋体" w:hAnsi="宋体" w:hint="eastAsia"/>
          <w:color w:val="0D0D0D"/>
          <w:sz w:val="24"/>
          <w:szCs w:val="24"/>
        </w:rPr>
        <w:t>中的财务报告部分，经符合《中华人民共和国证券法》规定的会计师事务所审计后，方可披露。</w:t>
      </w:r>
    </w:p>
    <w:p w14:paraId="06AAAAE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基金管理人应当在中国证监会规定的时间内，将应予披露的基金信息通过符合中国证监会规定条件的</w:t>
      </w:r>
      <w:r w:rsidRPr="00143A8D">
        <w:rPr>
          <w:rFonts w:ascii="宋体" w:hAnsi="宋体" w:hint="eastAsia"/>
          <w:color w:val="0D0D0D"/>
          <w:sz w:val="24"/>
          <w:szCs w:val="24"/>
        </w:rPr>
        <w:t>全国性报刊及《信息披露办法》规定的</w:t>
      </w:r>
      <w:r w:rsidRPr="00143A8D">
        <w:rPr>
          <w:rFonts w:ascii="宋体" w:hAnsi="宋体"/>
          <w:color w:val="0D0D0D"/>
          <w:sz w:val="24"/>
          <w:szCs w:val="24"/>
        </w:rPr>
        <w:t>互联网网站等</w:t>
      </w:r>
      <w:r>
        <w:rPr>
          <w:rFonts w:ascii="宋体" w:hAnsi="宋体" w:hint="eastAsia"/>
          <w:color w:val="0D0D0D"/>
          <w:sz w:val="24"/>
          <w:szCs w:val="24"/>
        </w:rPr>
        <w:t>媒介披露。根据法律法规应由基金托管人公开披露的信息，基金托管人将通过中国证监会规定媒介或基金托管人的互联网网站公开披露。</w:t>
      </w:r>
    </w:p>
    <w:p w14:paraId="5C6B21B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予以披露的信息文本，存放在基金管理人/基金托管人处，投资人可以免费查阅。在支付工本费后可在合理时间获得上述文件的复制件或复印件。基金管理人和基金托管人应保证文本的内容与所公告的内容完全一致。</w:t>
      </w:r>
    </w:p>
    <w:p w14:paraId="14F8E2AA"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（三）可暂停或延迟相关信息披露的情形</w:t>
      </w:r>
    </w:p>
    <w:p w14:paraId="2B1C594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1、基金投资所涉及的证券、期货交易市场遇法定节假日或因其他原因暂停营业时；</w:t>
      </w:r>
    </w:p>
    <w:p w14:paraId="799A5B4C" w14:textId="34F6D74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2、不可抗力；</w:t>
      </w:r>
    </w:p>
    <w:p w14:paraId="31AD76A2" w14:textId="7CAC84D1"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3、当特定资产占前一估值日基金资产净值50%以上的，经与基金托管人协商确认后暂停估值</w:t>
      </w:r>
      <w:r w:rsidR="005D072A">
        <w:rPr>
          <w:rFonts w:ascii="宋体" w:hAnsi="宋体" w:hint="eastAsia"/>
          <w:color w:val="0D0D0D"/>
          <w:sz w:val="24"/>
          <w:szCs w:val="24"/>
        </w:rPr>
        <w:t>的</w:t>
      </w:r>
      <w:r>
        <w:rPr>
          <w:rFonts w:ascii="宋体" w:hAnsi="宋体" w:hint="eastAsia"/>
          <w:color w:val="0D0D0D"/>
          <w:sz w:val="24"/>
          <w:szCs w:val="24"/>
        </w:rPr>
        <w:t>；</w:t>
      </w:r>
    </w:p>
    <w:p w14:paraId="66AD00C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4、法律法规、中国证监会和基金合同认定的其它情形。</w:t>
      </w:r>
    </w:p>
    <w:p w14:paraId="16041A5B"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（四）基金托管人报告</w:t>
      </w:r>
    </w:p>
    <w:p w14:paraId="3673C7C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基金托管人应按《基金法》、《运作办法》、《信息披露办法》和其他有关法律法规的规定于每个上半年度结束后两个月内、每年结束后三个月内在基金中期报告及年度报告中分别出具基金托管人报告。</w:t>
      </w:r>
    </w:p>
    <w:p w14:paraId="12C442BD" w14:textId="6C0849FE" w:rsidR="00700034" w:rsidRDefault="00700034">
      <w:pPr>
        <w:pStyle w:val="1"/>
        <w:jc w:val="center"/>
        <w:rPr>
          <w:rFonts w:ascii="宋体" w:hAnsi="宋体"/>
          <w:color w:val="0D0D0D"/>
        </w:rPr>
      </w:pPr>
      <w:r>
        <w:rPr>
          <w:rFonts w:ascii="宋体" w:hAnsi="宋体"/>
          <w:color w:val="0D0D0D"/>
          <w:sz w:val="24"/>
          <w:szCs w:val="24"/>
        </w:rPr>
        <w:br w:type="page"/>
      </w:r>
      <w:bookmarkStart w:id="68" w:name="_Toc155088988"/>
      <w:r>
        <w:rPr>
          <w:rFonts w:ascii="宋体" w:hAnsi="宋体" w:hint="eastAsia"/>
          <w:color w:val="0D0D0D"/>
        </w:rPr>
        <w:lastRenderedPageBreak/>
        <w:t>十一、基金费用</w:t>
      </w:r>
      <w:bookmarkEnd w:id="68"/>
    </w:p>
    <w:p w14:paraId="150B8897" w14:textId="77777777" w:rsidR="00240AA2" w:rsidRPr="00240AA2" w:rsidRDefault="00240AA2" w:rsidP="00240AA2"/>
    <w:p w14:paraId="0E41028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（一）基金管理费的计提比例和计提方法</w:t>
      </w:r>
    </w:p>
    <w:p w14:paraId="6F0B0C3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本基金的管理费按前一日基金资产净值的</w:t>
      </w:r>
      <w:r>
        <w:rPr>
          <w:rFonts w:ascii="宋体" w:hAnsi="宋体"/>
          <w:color w:val="0D0D0D"/>
          <w:sz w:val="24"/>
          <w:szCs w:val="24"/>
        </w:rPr>
        <w:t>1.</w:t>
      </w:r>
      <w:r w:rsidR="0007080E">
        <w:rPr>
          <w:rFonts w:ascii="宋体" w:hAnsi="宋体"/>
          <w:color w:val="0D0D0D"/>
          <w:sz w:val="24"/>
          <w:szCs w:val="24"/>
        </w:rPr>
        <w:t>2</w:t>
      </w:r>
      <w:r>
        <w:rPr>
          <w:rFonts w:ascii="宋体" w:hAnsi="宋体" w:hint="eastAsia"/>
          <w:color w:val="0D0D0D"/>
          <w:sz w:val="24"/>
          <w:szCs w:val="24"/>
        </w:rPr>
        <w:t>%年费率计提。管理费的计算方法如下：</w:t>
      </w:r>
    </w:p>
    <w:p w14:paraId="15E1BBD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H＝E×</w:t>
      </w:r>
      <w:r>
        <w:rPr>
          <w:rFonts w:ascii="宋体" w:hAnsi="宋体"/>
          <w:color w:val="0D0D0D"/>
          <w:sz w:val="24"/>
          <w:szCs w:val="24"/>
        </w:rPr>
        <w:t>1.</w:t>
      </w:r>
      <w:r w:rsidR="0007080E">
        <w:rPr>
          <w:rFonts w:ascii="宋体" w:hAnsi="宋体"/>
          <w:color w:val="0D0D0D"/>
          <w:sz w:val="24"/>
          <w:szCs w:val="24"/>
        </w:rPr>
        <w:t>2</w:t>
      </w:r>
      <w:r>
        <w:rPr>
          <w:rFonts w:ascii="宋体" w:hAnsi="宋体" w:hint="eastAsia"/>
          <w:color w:val="0D0D0D"/>
          <w:sz w:val="24"/>
          <w:szCs w:val="24"/>
        </w:rPr>
        <w:t>%÷当年天数</w:t>
      </w:r>
    </w:p>
    <w:p w14:paraId="0FF09AD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H为每日应计提的基金管理费</w:t>
      </w:r>
    </w:p>
    <w:p w14:paraId="1C714BF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E为前一日的基金资产净值</w:t>
      </w:r>
    </w:p>
    <w:p w14:paraId="3FABAED8" w14:textId="77777777" w:rsidR="00DA341C" w:rsidRDefault="00DA341C" w:rsidP="00DA341C">
      <w:pPr>
        <w:spacing w:line="360" w:lineRule="auto"/>
        <w:ind w:firstLine="480"/>
        <w:rPr>
          <w:bCs/>
          <w:sz w:val="24"/>
        </w:rPr>
      </w:pPr>
      <w:bookmarkStart w:id="69" w:name="_Hlk129729444"/>
      <w:r>
        <w:rPr>
          <w:bCs/>
          <w:sz w:val="24"/>
        </w:rPr>
        <w:t>基金管理费每日计</w:t>
      </w:r>
      <w:r>
        <w:rPr>
          <w:rFonts w:hint="eastAsia"/>
          <w:bCs/>
          <w:sz w:val="24"/>
        </w:rPr>
        <w:t>提</w:t>
      </w:r>
      <w:r>
        <w:rPr>
          <w:bCs/>
          <w:sz w:val="24"/>
        </w:rPr>
        <w:t>，逐日累计至每月月末，按月支付，由基金托管人</w:t>
      </w:r>
      <w:bookmarkStart w:id="70" w:name="_Hlk149988412"/>
      <w:r>
        <w:rPr>
          <w:bCs/>
          <w:sz w:val="24"/>
        </w:rPr>
        <w:t>根据与基金管理人核对一致的财务数据</w:t>
      </w:r>
      <w:bookmarkEnd w:id="70"/>
      <w:r>
        <w:rPr>
          <w:bCs/>
          <w:sz w:val="24"/>
        </w:rPr>
        <w:t>，</w:t>
      </w:r>
      <w:bookmarkStart w:id="71" w:name="_Hlk108615648"/>
      <w:r>
        <w:rPr>
          <w:rFonts w:hint="eastAsia"/>
          <w:bCs/>
          <w:sz w:val="24"/>
        </w:rPr>
        <w:t>以协商一致的方式</w:t>
      </w:r>
      <w:bookmarkEnd w:id="71"/>
      <w:r>
        <w:rPr>
          <w:bCs/>
          <w:sz w:val="24"/>
        </w:rPr>
        <w:t>自动在次月初五个工作日内、按照指定的账户路径进行资金支付，基金管理人无需再出具资金划拨指令。</w:t>
      </w:r>
      <w:bookmarkStart w:id="72" w:name="_Hlk108615812"/>
      <w:r>
        <w:rPr>
          <w:bCs/>
          <w:sz w:val="24"/>
        </w:rPr>
        <w:t>若遇法定节假日、公休假等</w:t>
      </w:r>
      <w:r>
        <w:rPr>
          <w:rFonts w:hint="eastAsia"/>
          <w:bCs/>
          <w:sz w:val="24"/>
        </w:rPr>
        <w:t>，</w:t>
      </w:r>
      <w:r>
        <w:rPr>
          <w:bCs/>
          <w:sz w:val="24"/>
        </w:rPr>
        <w:t>支付日期顺延。</w:t>
      </w:r>
      <w:bookmarkEnd w:id="72"/>
    </w:p>
    <w:bookmarkEnd w:id="69"/>
    <w:p w14:paraId="2966723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（二）基金托管费的计提比例和计提方法</w:t>
      </w:r>
    </w:p>
    <w:p w14:paraId="5A375ED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本基金的托管费按前一日基金资产净值的0.</w:t>
      </w:r>
      <w:r>
        <w:rPr>
          <w:rFonts w:ascii="宋体" w:hAnsi="宋体"/>
          <w:color w:val="0D0D0D"/>
          <w:sz w:val="24"/>
          <w:szCs w:val="24"/>
        </w:rPr>
        <w:t>2</w:t>
      </w:r>
      <w:r>
        <w:rPr>
          <w:rFonts w:ascii="宋体" w:hAnsi="宋体" w:hint="eastAsia"/>
          <w:color w:val="0D0D0D"/>
          <w:sz w:val="24"/>
          <w:szCs w:val="24"/>
        </w:rPr>
        <w:t>%年费率计提。托管费的计算方法如下：</w:t>
      </w:r>
    </w:p>
    <w:p w14:paraId="193F7D2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H＝E×0.</w:t>
      </w:r>
      <w:r>
        <w:rPr>
          <w:rFonts w:ascii="宋体" w:hAnsi="宋体"/>
          <w:color w:val="0D0D0D"/>
          <w:sz w:val="24"/>
          <w:szCs w:val="24"/>
        </w:rPr>
        <w:t>2</w:t>
      </w:r>
      <w:r>
        <w:rPr>
          <w:rFonts w:ascii="宋体" w:hAnsi="宋体" w:hint="eastAsia"/>
          <w:color w:val="0D0D0D"/>
          <w:sz w:val="24"/>
          <w:szCs w:val="24"/>
        </w:rPr>
        <w:t>%÷当年天数</w:t>
      </w:r>
    </w:p>
    <w:p w14:paraId="33B05F5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H为每日应计提的基金托管费</w:t>
      </w:r>
    </w:p>
    <w:p w14:paraId="1045515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E为前一日的基金资产净值</w:t>
      </w:r>
    </w:p>
    <w:p w14:paraId="56C3ED6E" w14:textId="77777777" w:rsidR="00DA341C" w:rsidRPr="00240AA2" w:rsidRDefault="00DA341C" w:rsidP="00240AA2">
      <w:pPr>
        <w:spacing w:line="360" w:lineRule="auto"/>
        <w:ind w:firstLineChars="200" w:firstLine="480"/>
        <w:rPr>
          <w:rFonts w:ascii="宋体" w:hAnsi="宋体"/>
          <w:color w:val="0D0D0D"/>
          <w:sz w:val="24"/>
          <w:szCs w:val="24"/>
        </w:rPr>
      </w:pPr>
      <w:bookmarkStart w:id="73" w:name="_Hlk129729470"/>
      <w:r>
        <w:rPr>
          <w:bCs/>
          <w:sz w:val="24"/>
        </w:rPr>
        <w:t>基金托管费每日计</w:t>
      </w:r>
      <w:r>
        <w:rPr>
          <w:rFonts w:hint="eastAsia"/>
          <w:bCs/>
          <w:sz w:val="24"/>
        </w:rPr>
        <w:t>提</w:t>
      </w:r>
      <w:r>
        <w:rPr>
          <w:bCs/>
          <w:sz w:val="24"/>
        </w:rPr>
        <w:t>，逐日累计至每月月末，按月支付，由基金托管人根据与基金管理人核对一致的财务数据，</w:t>
      </w:r>
      <w:bookmarkStart w:id="74" w:name="_Hlk74478705"/>
      <w:r>
        <w:rPr>
          <w:rFonts w:hint="eastAsia"/>
          <w:bCs/>
          <w:sz w:val="24"/>
        </w:rPr>
        <w:t>以协商一致的方式</w:t>
      </w:r>
      <w:bookmarkEnd w:id="74"/>
      <w:r>
        <w:rPr>
          <w:bCs/>
          <w:sz w:val="24"/>
        </w:rPr>
        <w:t>自动在次月初五个工作日内</w:t>
      </w:r>
      <w:r w:rsidRPr="00240AA2">
        <w:rPr>
          <w:rFonts w:ascii="宋体" w:hAnsi="宋体"/>
          <w:color w:val="0D0D0D"/>
          <w:sz w:val="24"/>
          <w:szCs w:val="24"/>
        </w:rPr>
        <w:t>、按照指定的账户路径进行资金支付，基金管理人无需再出具资金划拨指令。若遇法定节假日、公休假等</w:t>
      </w:r>
      <w:r w:rsidRPr="00240AA2">
        <w:rPr>
          <w:rFonts w:ascii="宋体" w:hAnsi="宋体" w:hint="eastAsia"/>
          <w:color w:val="0D0D0D"/>
          <w:sz w:val="24"/>
          <w:szCs w:val="24"/>
        </w:rPr>
        <w:t>，</w:t>
      </w:r>
      <w:r w:rsidRPr="00240AA2">
        <w:rPr>
          <w:rFonts w:ascii="宋体" w:hAnsi="宋体"/>
          <w:color w:val="0D0D0D"/>
          <w:sz w:val="24"/>
          <w:szCs w:val="24"/>
        </w:rPr>
        <w:t>支付日期顺延。</w:t>
      </w:r>
      <w:bookmarkEnd w:id="73"/>
    </w:p>
    <w:p w14:paraId="4B2DBDFF" w14:textId="77777777" w:rsidR="00700034" w:rsidRPr="00240AA2"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w:t>
      </w:r>
      <w:r w:rsidRPr="00240AA2">
        <w:rPr>
          <w:rFonts w:ascii="宋体" w:hAnsi="宋体" w:hint="eastAsia"/>
          <w:color w:val="0D0D0D"/>
          <w:sz w:val="24"/>
          <w:szCs w:val="24"/>
        </w:rPr>
        <w:t>C类基金份额的销售服务费的计提比例和计提方法</w:t>
      </w:r>
    </w:p>
    <w:p w14:paraId="34DEBD39" w14:textId="77777777" w:rsidR="00700034" w:rsidRPr="00240AA2" w:rsidRDefault="00700034">
      <w:pPr>
        <w:spacing w:line="360" w:lineRule="auto"/>
        <w:ind w:firstLineChars="200" w:firstLine="480"/>
        <w:rPr>
          <w:rFonts w:ascii="宋体" w:hAnsi="宋体"/>
          <w:color w:val="0D0D0D"/>
          <w:sz w:val="24"/>
          <w:szCs w:val="24"/>
        </w:rPr>
      </w:pPr>
      <w:r w:rsidRPr="00240AA2">
        <w:rPr>
          <w:rFonts w:ascii="宋体" w:hAnsi="宋体" w:hint="eastAsia"/>
          <w:color w:val="0D0D0D"/>
          <w:sz w:val="24"/>
          <w:szCs w:val="24"/>
        </w:rPr>
        <w:t>本基金A类基金份额不收取销售服务费，C类基金份额的销售服务费按前一日C类基金资产净值的0.6%年费率计提。计算方法如下：</w:t>
      </w:r>
    </w:p>
    <w:p w14:paraId="600E0886" w14:textId="77777777" w:rsidR="00700034" w:rsidRPr="00240AA2" w:rsidRDefault="00700034">
      <w:pPr>
        <w:spacing w:line="360" w:lineRule="auto"/>
        <w:ind w:firstLineChars="200" w:firstLine="480"/>
        <w:rPr>
          <w:rFonts w:ascii="宋体" w:hAnsi="宋体"/>
          <w:color w:val="0D0D0D"/>
          <w:sz w:val="24"/>
          <w:szCs w:val="24"/>
        </w:rPr>
      </w:pPr>
      <w:r w:rsidRPr="00240AA2">
        <w:rPr>
          <w:rFonts w:ascii="宋体" w:hAnsi="宋体" w:hint="eastAsia"/>
          <w:color w:val="0D0D0D"/>
          <w:sz w:val="24"/>
          <w:szCs w:val="24"/>
        </w:rPr>
        <w:t>H＝E×0.6%÷当年天数</w:t>
      </w:r>
    </w:p>
    <w:p w14:paraId="1569EE33" w14:textId="77777777" w:rsidR="00700034" w:rsidRPr="00240AA2" w:rsidRDefault="00700034">
      <w:pPr>
        <w:spacing w:line="360" w:lineRule="auto"/>
        <w:ind w:firstLineChars="200" w:firstLine="480"/>
        <w:rPr>
          <w:rFonts w:ascii="宋体" w:hAnsi="宋体"/>
          <w:color w:val="0D0D0D"/>
          <w:sz w:val="24"/>
          <w:szCs w:val="24"/>
        </w:rPr>
      </w:pPr>
      <w:r w:rsidRPr="00240AA2">
        <w:rPr>
          <w:rFonts w:ascii="宋体" w:hAnsi="宋体" w:hint="eastAsia"/>
          <w:color w:val="0D0D0D"/>
          <w:sz w:val="24"/>
          <w:szCs w:val="24"/>
        </w:rPr>
        <w:t>H为C类基金份额每日应计提的销售服务费</w:t>
      </w:r>
    </w:p>
    <w:p w14:paraId="1BE3D520" w14:textId="77777777" w:rsidR="00700034" w:rsidRPr="00240AA2" w:rsidRDefault="00700034">
      <w:pPr>
        <w:spacing w:line="360" w:lineRule="auto"/>
        <w:ind w:firstLineChars="200" w:firstLine="480"/>
        <w:rPr>
          <w:rFonts w:ascii="宋体" w:hAnsi="宋体"/>
          <w:color w:val="0D0D0D"/>
          <w:sz w:val="24"/>
          <w:szCs w:val="24"/>
        </w:rPr>
      </w:pPr>
      <w:r w:rsidRPr="00240AA2">
        <w:rPr>
          <w:rFonts w:ascii="宋体" w:hAnsi="宋体" w:hint="eastAsia"/>
          <w:color w:val="0D0D0D"/>
          <w:sz w:val="24"/>
          <w:szCs w:val="24"/>
        </w:rPr>
        <w:t>E为C类基金份额前一日基金资产净值</w:t>
      </w:r>
    </w:p>
    <w:p w14:paraId="638DA0E3" w14:textId="203D2A84" w:rsidR="00DA341C" w:rsidRDefault="00DA341C" w:rsidP="00240AA2">
      <w:pPr>
        <w:spacing w:line="360" w:lineRule="auto"/>
        <w:ind w:firstLineChars="200" w:firstLine="480"/>
        <w:rPr>
          <w:bCs/>
          <w:sz w:val="24"/>
        </w:rPr>
      </w:pPr>
      <w:r w:rsidRPr="00240AA2">
        <w:rPr>
          <w:rFonts w:ascii="宋体" w:hAnsi="宋体" w:hint="eastAsia"/>
          <w:color w:val="0D0D0D"/>
          <w:sz w:val="24"/>
          <w:szCs w:val="24"/>
        </w:rPr>
        <w:t>C类</w:t>
      </w:r>
      <w:r w:rsidRPr="00240AA2">
        <w:rPr>
          <w:rFonts w:ascii="宋体" w:hAnsi="宋体"/>
          <w:color w:val="0D0D0D"/>
          <w:sz w:val="24"/>
          <w:szCs w:val="24"/>
        </w:rPr>
        <w:t>基金销售服务费每日计</w:t>
      </w:r>
      <w:r w:rsidRPr="00240AA2">
        <w:rPr>
          <w:rFonts w:ascii="宋体" w:hAnsi="宋体" w:hint="eastAsia"/>
          <w:color w:val="0D0D0D"/>
          <w:sz w:val="24"/>
          <w:szCs w:val="24"/>
        </w:rPr>
        <w:t>提</w:t>
      </w:r>
      <w:r w:rsidRPr="00240AA2">
        <w:rPr>
          <w:rFonts w:ascii="宋体" w:hAnsi="宋体"/>
          <w:color w:val="0D0D0D"/>
          <w:sz w:val="24"/>
          <w:szCs w:val="24"/>
        </w:rPr>
        <w:t>，</w:t>
      </w:r>
      <w:r>
        <w:rPr>
          <w:bCs/>
          <w:sz w:val="24"/>
        </w:rPr>
        <w:t>逐日累计至每月月末，按月支付，由基金托</w:t>
      </w:r>
      <w:r>
        <w:rPr>
          <w:bCs/>
          <w:sz w:val="24"/>
        </w:rPr>
        <w:lastRenderedPageBreak/>
        <w:t>管人根据与基金管理人核对一致的财务数据，</w:t>
      </w:r>
      <w:r>
        <w:rPr>
          <w:rFonts w:hint="eastAsia"/>
          <w:bCs/>
          <w:sz w:val="24"/>
        </w:rPr>
        <w:t>以协商一致的方式</w:t>
      </w:r>
      <w:r>
        <w:rPr>
          <w:bCs/>
          <w:sz w:val="24"/>
        </w:rPr>
        <w:t>自动在次月初五个工作日内、按照指定的账户路径进行资金支付，基金管理人无需再出具资金划拨指令。若遇法定节假日、公休假等</w:t>
      </w:r>
      <w:r>
        <w:rPr>
          <w:rFonts w:hint="eastAsia"/>
          <w:bCs/>
          <w:sz w:val="24"/>
        </w:rPr>
        <w:t>，</w:t>
      </w:r>
      <w:r>
        <w:rPr>
          <w:bCs/>
          <w:sz w:val="24"/>
        </w:rPr>
        <w:t>支付日期顺延。</w:t>
      </w:r>
    </w:p>
    <w:p w14:paraId="0EA8544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四）为基金财产及基金运作所开立账户的开户费和维护费、基金的证券、期货交易费用、基金合同生效后与基金相关的基金信息披露费用、基金份额持有人大会费用、基金合同生效后与基金相关的会计师费、律师费、仲裁费和诉讼费、基金的银行汇划费用、</w:t>
      </w:r>
      <w:r>
        <w:rPr>
          <w:rFonts w:hint="eastAsia"/>
          <w:bCs/>
          <w:sz w:val="24"/>
        </w:rPr>
        <w:t>因投资港股通标的股票而产生的各项合理费用</w:t>
      </w:r>
      <w:r>
        <w:rPr>
          <w:rFonts w:ascii="宋体" w:hAnsi="宋体" w:hint="eastAsia"/>
          <w:color w:val="0D0D0D"/>
          <w:sz w:val="24"/>
          <w:szCs w:val="24"/>
        </w:rPr>
        <w:t>及</w:t>
      </w:r>
      <w:r>
        <w:rPr>
          <w:rFonts w:ascii="宋体" w:hAnsi="宋体"/>
          <w:color w:val="0D0D0D"/>
          <w:sz w:val="24"/>
          <w:szCs w:val="24"/>
        </w:rPr>
        <w:t>按照国家有关规定和基金合同约定</w:t>
      </w:r>
      <w:r>
        <w:rPr>
          <w:rFonts w:ascii="宋体" w:hAnsi="宋体" w:hint="eastAsia"/>
          <w:color w:val="0D0D0D"/>
          <w:sz w:val="24"/>
          <w:szCs w:val="24"/>
        </w:rPr>
        <w:t>可以在基金财产中列支的其他费用，由基金托管人按基金管理人的划款指令并根据费用实际支出金额支付，列入或摊入当期基金费用。</w:t>
      </w:r>
    </w:p>
    <w:p w14:paraId="6AB5CCE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五</w:t>
      </w:r>
      <w:r>
        <w:rPr>
          <w:rFonts w:ascii="宋体" w:hAnsi="宋体" w:hint="eastAsia"/>
          <w:color w:val="0D0D0D"/>
          <w:sz w:val="24"/>
          <w:szCs w:val="24"/>
        </w:rPr>
        <w:t>）不列入基金费用的项目</w:t>
      </w:r>
    </w:p>
    <w:p w14:paraId="5B81D09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下列费用不列入基金费用：</w:t>
      </w:r>
    </w:p>
    <w:p w14:paraId="1E2B3C0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1．基金管理人和基金托管人因未履行或未完全履行义务导致的费用支出或基金财产的损失；</w:t>
      </w:r>
    </w:p>
    <w:p w14:paraId="7BAB450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2．基金管理人和基金托管人处理与基金运作无关的事项发生的费用；</w:t>
      </w:r>
    </w:p>
    <w:p w14:paraId="74838E2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3．《基金合同》生效前的相关费用；</w:t>
      </w:r>
    </w:p>
    <w:p w14:paraId="75F271E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4．其他根据相关法律法规及中国证监会的有关规定不得列入基金费用的项目。</w:t>
      </w:r>
    </w:p>
    <w:p w14:paraId="71094445" w14:textId="77777777" w:rsidR="00700034" w:rsidRDefault="00700034">
      <w:pPr>
        <w:spacing w:line="360" w:lineRule="auto"/>
        <w:ind w:firstLineChars="200" w:firstLine="480"/>
        <w:rPr>
          <w:bCs/>
          <w:sz w:val="24"/>
        </w:rPr>
      </w:pPr>
      <w:r>
        <w:rPr>
          <w:rFonts w:hint="eastAsia"/>
          <w:bCs/>
          <w:sz w:val="24"/>
        </w:rPr>
        <w:t>（</w:t>
      </w:r>
      <w:r>
        <w:rPr>
          <w:bCs/>
          <w:sz w:val="24"/>
        </w:rPr>
        <w:t>六</w:t>
      </w:r>
      <w:r>
        <w:rPr>
          <w:rFonts w:hint="eastAsia"/>
          <w:bCs/>
          <w:sz w:val="24"/>
        </w:rPr>
        <w:t>）实施侧袋机制期间的基金费用</w:t>
      </w:r>
    </w:p>
    <w:p w14:paraId="0B8D0DAC" w14:textId="77777777" w:rsidR="00700034" w:rsidRDefault="00700034">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132F736D" w14:textId="772E17EC"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七</w:t>
      </w:r>
      <w:r>
        <w:rPr>
          <w:rFonts w:ascii="宋体" w:hAnsi="宋体" w:hint="eastAsia"/>
          <w:color w:val="0D0D0D"/>
          <w:sz w:val="24"/>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1E6BCC54" w14:textId="2C3FA658" w:rsidR="00700034" w:rsidRDefault="00700034">
      <w:pPr>
        <w:pStyle w:val="1"/>
        <w:jc w:val="center"/>
        <w:rPr>
          <w:rFonts w:ascii="宋体" w:hAnsi="宋体"/>
          <w:color w:val="0D0D0D"/>
        </w:rPr>
      </w:pPr>
      <w:r>
        <w:rPr>
          <w:rFonts w:ascii="宋体" w:hAnsi="宋体"/>
          <w:color w:val="0D0D0D"/>
          <w:sz w:val="24"/>
          <w:szCs w:val="24"/>
        </w:rPr>
        <w:br w:type="page"/>
      </w:r>
      <w:bookmarkStart w:id="75" w:name="_Toc155088989"/>
      <w:r w:rsidRPr="00952FF5">
        <w:rPr>
          <w:rFonts w:ascii="宋体" w:hAnsi="宋体" w:hint="eastAsia"/>
          <w:color w:val="0D0D0D"/>
        </w:rPr>
        <w:lastRenderedPageBreak/>
        <w:t>十二、基金份额持有人名册的保管</w:t>
      </w:r>
      <w:bookmarkEnd w:id="75"/>
    </w:p>
    <w:p w14:paraId="20DD49A6" w14:textId="77777777" w:rsidR="00BC636E" w:rsidRPr="00BC636E" w:rsidRDefault="00BC636E" w:rsidP="00BC636E"/>
    <w:p w14:paraId="288A810B" w14:textId="77777777" w:rsidR="00700034" w:rsidRDefault="00700034">
      <w:pPr>
        <w:spacing w:line="360" w:lineRule="auto"/>
        <w:ind w:firstLineChars="200" w:firstLine="480"/>
        <w:rPr>
          <w:rFonts w:ascii="宋体" w:hAnsi="宋体"/>
          <w:color w:val="0D0D0D"/>
          <w:sz w:val="24"/>
          <w:szCs w:val="24"/>
        </w:rPr>
      </w:pPr>
      <w:bookmarkStart w:id="76" w:name="_Hlk151825870"/>
      <w:r>
        <w:rPr>
          <w:rFonts w:ascii="宋体" w:hAnsi="宋体" w:hint="eastAsia"/>
          <w:color w:val="0D0D0D"/>
          <w:sz w:val="24"/>
          <w:szCs w:val="24"/>
        </w:rPr>
        <w:t>基金管理人和基金托管人须分别妥善保管的基金份额持有人名册，基金份额持有人名册的内容必须包括基金份额持有人的名称和持有的基金份额。</w:t>
      </w:r>
    </w:p>
    <w:p w14:paraId="6485444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14:paraId="679879D5"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14:paraId="5F86C2C2" w14:textId="4CC3B84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若基金管理人或基金托管人由于自身原因无法妥善保管基金份额持有人名册，应按有关法规规定各自承担相应的责任。</w:t>
      </w:r>
    </w:p>
    <w:p w14:paraId="4FEA7946" w14:textId="645F2A50" w:rsidR="00700034" w:rsidRDefault="0060353A">
      <w:pPr>
        <w:spacing w:line="360" w:lineRule="auto"/>
        <w:ind w:firstLineChars="200" w:firstLine="480"/>
        <w:rPr>
          <w:rFonts w:ascii="宋体" w:hAnsi="宋体"/>
          <w:color w:val="0D0D0D"/>
          <w:sz w:val="24"/>
          <w:szCs w:val="24"/>
        </w:rPr>
      </w:pPr>
      <w:r w:rsidRPr="00952FF5">
        <w:rPr>
          <w:rFonts w:ascii="宋体" w:hAnsi="宋体" w:hint="eastAsia"/>
          <w:color w:val="0D0D0D"/>
          <w:sz w:val="24"/>
          <w:szCs w:val="24"/>
        </w:rPr>
        <w:t>对于每半年度最后一个工作日的基金份额持有人名册，基金管理人应在每半年年度结束后5个工作日内定期向基金托管人提供。对于基金募集期结束时的基金份额持有人名册、收益分配基准日的基金份额持有人名册以及基金份额持有人大会权益登记日的基金份额持有人名册，基金管理人应在相关名册生成后5个工作日内向基金托管人提供。</w:t>
      </w:r>
    </w:p>
    <w:p w14:paraId="713B4260" w14:textId="31E72411" w:rsidR="00700034" w:rsidRDefault="00700034">
      <w:pPr>
        <w:pStyle w:val="1"/>
        <w:jc w:val="center"/>
        <w:rPr>
          <w:rFonts w:ascii="宋体" w:hAnsi="宋体"/>
          <w:color w:val="0D0D0D"/>
        </w:rPr>
      </w:pPr>
      <w:r>
        <w:rPr>
          <w:rFonts w:ascii="宋体" w:hAnsi="宋体"/>
          <w:color w:val="0D0D0D"/>
        </w:rPr>
        <w:br w:type="page"/>
      </w:r>
      <w:bookmarkStart w:id="77" w:name="_Toc155088990"/>
      <w:bookmarkEnd w:id="76"/>
      <w:r>
        <w:rPr>
          <w:rFonts w:ascii="宋体" w:hAnsi="宋体" w:hint="eastAsia"/>
          <w:color w:val="0D0D0D"/>
        </w:rPr>
        <w:lastRenderedPageBreak/>
        <w:t>十三、基金有关文件和档案的保存</w:t>
      </w:r>
      <w:bookmarkEnd w:id="77"/>
    </w:p>
    <w:p w14:paraId="0B5F7453" w14:textId="77777777" w:rsidR="00BC636E" w:rsidRPr="00BC636E" w:rsidRDefault="00BC636E" w:rsidP="00BC636E"/>
    <w:p w14:paraId="096E55D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基金托管人按各自职责完整保存原始凭证、记账凭证、基金账册、交易记录和重要合同等，保存期限不低于法律法规规定的最低期限，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68DEC6A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基金管理人签署重大合同文本后，应及时将合同文本正本送达基金托管人处。基金管理人应及时将与本基金账务处理、资金划拨等有关的合同、协议传真给基金托管人。</w:t>
      </w:r>
    </w:p>
    <w:p w14:paraId="022B1D1C" w14:textId="1190B2F5"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基金管理人或基金托管人变更后，未变更的一方有义务协助接任人接受基金的有关文件。</w:t>
      </w:r>
    </w:p>
    <w:p w14:paraId="4B085DA3" w14:textId="67FE46F4" w:rsidR="00700034" w:rsidRDefault="00700034">
      <w:pPr>
        <w:pStyle w:val="1"/>
        <w:jc w:val="center"/>
        <w:rPr>
          <w:rFonts w:ascii="宋体" w:hAnsi="宋体"/>
          <w:color w:val="0D0D0D"/>
        </w:rPr>
      </w:pPr>
      <w:r>
        <w:rPr>
          <w:rFonts w:ascii="宋体" w:hAnsi="宋体"/>
          <w:color w:val="0D0D0D"/>
        </w:rPr>
        <w:br w:type="page"/>
      </w:r>
      <w:bookmarkStart w:id="78" w:name="_Toc155088991"/>
      <w:bookmarkStart w:id="79" w:name="_Hlk129471696"/>
      <w:r>
        <w:rPr>
          <w:rFonts w:ascii="宋体" w:hAnsi="宋体" w:hint="eastAsia"/>
          <w:color w:val="0D0D0D"/>
        </w:rPr>
        <w:lastRenderedPageBreak/>
        <w:t>十四、基金管理人和基金托管人的更换</w:t>
      </w:r>
      <w:bookmarkEnd w:id="78"/>
    </w:p>
    <w:p w14:paraId="20F4DE54" w14:textId="77777777" w:rsidR="00BC636E" w:rsidRPr="00BC636E" w:rsidRDefault="00BC636E" w:rsidP="00BC636E"/>
    <w:p w14:paraId="1AFD255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（一）基金管理人的更换</w:t>
      </w:r>
    </w:p>
    <w:p w14:paraId="7C8E2D07"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1．基金管理人的更换条件</w:t>
      </w:r>
    </w:p>
    <w:p w14:paraId="75626F1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有下列情形之一的，基金管理人职责终止：</w:t>
      </w:r>
    </w:p>
    <w:p w14:paraId="5C4D71E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（1）被依法取消基金管理资格；</w:t>
      </w:r>
    </w:p>
    <w:p w14:paraId="2217274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2</w:t>
      </w:r>
      <w:r>
        <w:rPr>
          <w:rFonts w:ascii="宋体" w:hAnsi="宋体" w:hint="eastAsia"/>
          <w:color w:val="0D0D0D"/>
          <w:sz w:val="24"/>
          <w:szCs w:val="24"/>
        </w:rPr>
        <w:t>）被基金份额持有人大会解任；</w:t>
      </w:r>
    </w:p>
    <w:p w14:paraId="6D49798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3</w:t>
      </w:r>
      <w:r>
        <w:rPr>
          <w:rFonts w:ascii="宋体" w:hAnsi="宋体" w:hint="eastAsia"/>
          <w:color w:val="0D0D0D"/>
          <w:sz w:val="24"/>
          <w:szCs w:val="24"/>
        </w:rPr>
        <w:t>）依法解散、被依法撤销或被依法宣告破产；</w:t>
      </w:r>
    </w:p>
    <w:p w14:paraId="36C8CBA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w:t>
      </w:r>
      <w:r>
        <w:rPr>
          <w:rFonts w:ascii="宋体" w:hAnsi="宋体"/>
          <w:color w:val="0D0D0D"/>
          <w:sz w:val="24"/>
          <w:szCs w:val="24"/>
        </w:rPr>
        <w:t>4</w:t>
      </w:r>
      <w:r>
        <w:rPr>
          <w:rFonts w:ascii="宋体" w:hAnsi="宋体" w:hint="eastAsia"/>
          <w:color w:val="0D0D0D"/>
          <w:sz w:val="24"/>
          <w:szCs w:val="24"/>
        </w:rPr>
        <w:t>）法律法规及中国证监会规定的和《基金合同》约定的其他情形。</w:t>
      </w:r>
    </w:p>
    <w:p w14:paraId="50396669"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2．基金管理人的更换程序</w:t>
      </w:r>
    </w:p>
    <w:p w14:paraId="451AB27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更换基金管理人必须依照如下程序进行：</w:t>
      </w:r>
    </w:p>
    <w:p w14:paraId="2C3C934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（1）提名：新任基金管理人由基金托管人或由单独或合计持有10%以上（含10%）基金份额的基金份额持有人提名；</w:t>
      </w:r>
    </w:p>
    <w:p w14:paraId="2AEA2EA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决议：基金份额持有人大会在基金管理人职责终止后6个月内对被提名的新任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750BC6A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（3）临时基金管理人：新任基金管理人产生之前，由中国证监会指定临时基金管理人；</w:t>
      </w:r>
    </w:p>
    <w:p w14:paraId="5FD0F1A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（4）备案：基金份额持有人大会更换基金管理人的决议须报中国证监会备案；</w:t>
      </w:r>
    </w:p>
    <w:p w14:paraId="6DD3463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（5）公告：基金管理人更换后，由基金托管人在更换基金管理人的基金份额持有人大会决议生效后依照《信息披露办法》的规定在规定媒介公告；</w:t>
      </w:r>
    </w:p>
    <w:p w14:paraId="5D3AA9A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或者临时基金管理人应与基金托管人核对基金资产总值和净值；</w:t>
      </w:r>
    </w:p>
    <w:p w14:paraId="2E8BC363" w14:textId="5813750A"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（7）审计：基金管理人职责终止的，应当按照法律法规规定聘请</w:t>
      </w:r>
      <w:r w:rsidR="005D072A" w:rsidRPr="005A137E">
        <w:rPr>
          <w:rFonts w:ascii="宋体" w:hAnsi="宋体" w:hint="eastAsia"/>
          <w:bCs/>
          <w:color w:val="0D0D0D"/>
          <w:sz w:val="24"/>
          <w:szCs w:val="24"/>
        </w:rPr>
        <w:t>符合《中华人民共和国证券法》规定的</w:t>
      </w:r>
      <w:r>
        <w:rPr>
          <w:rFonts w:ascii="宋体" w:hAnsi="宋体" w:hint="eastAsia"/>
          <w:color w:val="0D0D0D"/>
          <w:sz w:val="24"/>
          <w:szCs w:val="24"/>
        </w:rPr>
        <w:t>会计师事务所对基金财产进行审计，并将审计结果</w:t>
      </w:r>
      <w:r>
        <w:rPr>
          <w:rFonts w:ascii="宋体" w:hAnsi="宋体" w:hint="eastAsia"/>
          <w:color w:val="0D0D0D"/>
          <w:sz w:val="24"/>
          <w:szCs w:val="24"/>
        </w:rPr>
        <w:lastRenderedPageBreak/>
        <w:t>予以公告，同时报中国证监会备案，审计费用在基金财产中列支；</w:t>
      </w:r>
    </w:p>
    <w:p w14:paraId="42D384A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（8）基金名称变更：基金管理人更换后，如果原任或新任基金管理人要求，应按其要求替换或删除基金名称中与原基金管理人有关的名称字样。</w:t>
      </w:r>
    </w:p>
    <w:p w14:paraId="4794024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（二）基金托管人的更换</w:t>
      </w:r>
    </w:p>
    <w:p w14:paraId="14277BCA"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1．基金托管人的更换条件</w:t>
      </w:r>
    </w:p>
    <w:p w14:paraId="49C4B7B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有下列情形之一的，基金托管人职责终止：</w:t>
      </w:r>
    </w:p>
    <w:p w14:paraId="1AC9D92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（1）被依法取消基金托管资格；</w:t>
      </w:r>
    </w:p>
    <w:p w14:paraId="4C9D756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（2）被基金份额持有人大会解任；</w:t>
      </w:r>
    </w:p>
    <w:p w14:paraId="4FAECDE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（3）依法解散、被依法撤销或被依法宣告破产；</w:t>
      </w:r>
    </w:p>
    <w:p w14:paraId="001D378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（4）法律法规及中国证监会规定的和《基金合同》约定的其他情形。</w:t>
      </w:r>
    </w:p>
    <w:p w14:paraId="7BE853D7"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2．基金托管人的更换程序</w:t>
      </w:r>
    </w:p>
    <w:p w14:paraId="1AE54D7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（1）提名：新任基金托管人由基金管理人或由单独或合计持有10%以上（含10%）基金份额的基金份额持有人提名；</w:t>
      </w:r>
    </w:p>
    <w:p w14:paraId="69DA189C"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决议：基金份额持有人大会在基金托管人职责终止后6个月内对被提名的新任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6EEF09F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（3）临时基金托管人：新任基金托管人产生之前，由中国证监会指定临时基金托管人；</w:t>
      </w:r>
    </w:p>
    <w:p w14:paraId="635E14C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（4）备案：基金份额持有人大会更换基金托管人的决议须报中国证监会备案；</w:t>
      </w:r>
    </w:p>
    <w:p w14:paraId="2B502495"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（5）公告：基金托管人更换后，由基金管理人在更换基金托管人的基金份额持有人大会决议生效后依照《信息披露办法》的规定在规定媒介公告；</w:t>
      </w:r>
    </w:p>
    <w:p w14:paraId="3C983F7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37C8BD09" w14:textId="3A6171CB"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（7）审计：基金托管人职责终止的，应当按照法律法规规定聘请</w:t>
      </w:r>
      <w:r w:rsidR="005D072A" w:rsidRPr="005A137E">
        <w:rPr>
          <w:rFonts w:ascii="宋体" w:hAnsi="宋体" w:hint="eastAsia"/>
          <w:bCs/>
          <w:color w:val="0D0D0D"/>
          <w:sz w:val="24"/>
          <w:szCs w:val="24"/>
        </w:rPr>
        <w:t>符合《中华人民共和国证券法》规定的</w:t>
      </w:r>
      <w:r>
        <w:rPr>
          <w:rFonts w:ascii="宋体" w:hAnsi="宋体" w:hint="eastAsia"/>
          <w:color w:val="0D0D0D"/>
          <w:sz w:val="24"/>
          <w:szCs w:val="24"/>
        </w:rPr>
        <w:t>会计师事务所对基金财产进行审计，并将审计结果</w:t>
      </w:r>
      <w:r>
        <w:rPr>
          <w:rFonts w:ascii="宋体" w:hAnsi="宋体" w:hint="eastAsia"/>
          <w:color w:val="0D0D0D"/>
          <w:sz w:val="24"/>
          <w:szCs w:val="24"/>
        </w:rPr>
        <w:lastRenderedPageBreak/>
        <w:t>予以公告，同时报中国证监会备案，审计费用从基金财产中列支。</w:t>
      </w:r>
    </w:p>
    <w:p w14:paraId="2B08CA3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（三）基金管理人与基金托管人同时更换</w:t>
      </w:r>
    </w:p>
    <w:p w14:paraId="0B41EEC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（1）提名：如果基金管理人和基金托管人同时更换，由单独或合计持有基金总份额10%以上（含10%）的基金份额持有人提名新的基金管理人和基金托管人；</w:t>
      </w:r>
    </w:p>
    <w:p w14:paraId="7B712EF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（2）基金管理人和基金托管人的更换分别按上述程序进行；</w:t>
      </w:r>
    </w:p>
    <w:p w14:paraId="402487B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（3）公告：新任基金管理人和新任基金托管人应在更换基金管理人和基金托管人的基金份额持有人大会决议生效后依照《信息披露办法》的规定在规定媒介上联合公告。</w:t>
      </w:r>
    </w:p>
    <w:p w14:paraId="5476347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四）新基金管理人或临时基金管理人接收基金管理业务或新基金托管人或临时基金托管人接收基金财产和基金托管业务前，原基金管理人或基金托管人应继续履行相关职责，并保证不做出对基金份额持有人的利益造成损害的行为。原基金管理人或基金托管人在继续履行相关职责期间，仍有权按照基金合同的约定收取基金管理费或基金托管费。</w:t>
      </w:r>
    </w:p>
    <w:p w14:paraId="55C6B428" w14:textId="17781DE1"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（五）本部分关于基金管理人、基金托管人更换条件和程序的约定，凡是直接引用法律法规或监管规则的部分，如将来法律法规或监管规则修改导致相关内容被取消或变更的，基金管理人和基金托管人</w:t>
      </w:r>
      <w:r w:rsidR="005D072A" w:rsidRPr="005A137E">
        <w:rPr>
          <w:rFonts w:ascii="宋体" w:hAnsi="宋体" w:hint="eastAsia"/>
          <w:color w:val="0D0D0D"/>
          <w:sz w:val="24"/>
          <w:szCs w:val="24"/>
        </w:rPr>
        <w:t>根据新颁布的法律法规或监管规则</w:t>
      </w:r>
      <w:r>
        <w:rPr>
          <w:rFonts w:ascii="宋体" w:hAnsi="宋体" w:hint="eastAsia"/>
          <w:color w:val="0D0D0D"/>
          <w:sz w:val="24"/>
          <w:szCs w:val="24"/>
        </w:rPr>
        <w:t>协商一致并提前公告后，可直接对相应内容进行修改和调整，无需召开基金份额持有人大会审议。</w:t>
      </w:r>
    </w:p>
    <w:p w14:paraId="42FA4BF5" w14:textId="6D01EE44" w:rsidR="00700034" w:rsidRDefault="00700034">
      <w:pPr>
        <w:pStyle w:val="1"/>
        <w:jc w:val="center"/>
        <w:rPr>
          <w:rFonts w:ascii="宋体" w:hAnsi="宋体"/>
          <w:color w:val="0D0D0D"/>
        </w:rPr>
      </w:pPr>
      <w:r>
        <w:rPr>
          <w:rFonts w:ascii="宋体" w:hAnsi="宋体"/>
          <w:color w:val="0D0D0D"/>
        </w:rPr>
        <w:br w:type="page"/>
      </w:r>
      <w:bookmarkStart w:id="80" w:name="_Toc155088992"/>
      <w:bookmarkEnd w:id="79"/>
      <w:r>
        <w:rPr>
          <w:rFonts w:ascii="宋体" w:hAnsi="宋体" w:hint="eastAsia"/>
          <w:color w:val="0D0D0D"/>
        </w:rPr>
        <w:lastRenderedPageBreak/>
        <w:t>十五、禁止行为</w:t>
      </w:r>
      <w:bookmarkEnd w:id="80"/>
    </w:p>
    <w:p w14:paraId="7E1E97EB" w14:textId="77777777" w:rsidR="00BC636E" w:rsidRPr="00BC636E" w:rsidRDefault="00BC636E" w:rsidP="00BC636E"/>
    <w:p w14:paraId="1740BF4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本协议当事人禁止从事的行为，包括但不限于：</w:t>
      </w:r>
    </w:p>
    <w:p w14:paraId="29F71FB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（一）基金管理人、基金托管人将其固有财产或者他人财产混同于基金财产从事证券投资。</w:t>
      </w:r>
    </w:p>
    <w:p w14:paraId="0888CBA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（二）基金管理人不公平地对待其管理的不同基金财产，基金托管人不公平地对待其托管的不同基金财产。</w:t>
      </w:r>
    </w:p>
    <w:p w14:paraId="02F8CE0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（三）基金管理人、基金托管人利用基金财产为基金份额持有人以外的第三人牟取利益。</w:t>
      </w:r>
    </w:p>
    <w:p w14:paraId="1E03F97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（四）基金管理人、基金托管人向基金份额持有人违规承诺收益或者承担损失。</w:t>
      </w:r>
    </w:p>
    <w:p w14:paraId="19873DA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（五）基金管理人、基金托管人对他人泄露基金运作和管理过程中任何尚未按法律法规规定的方式公开披露的信息。</w:t>
      </w:r>
    </w:p>
    <w:p w14:paraId="7455093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（六）基金管理人在没有充足资金的情况下向基金托管人发出投资指令和付款指令，或违规向基金托管人发出指令。</w:t>
      </w:r>
    </w:p>
    <w:p w14:paraId="7D4F126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（七）基金管理人、基金托管人在行政上、财务上未能独立，其高级管理人员和其他从业人员相互兼职。</w:t>
      </w:r>
    </w:p>
    <w:p w14:paraId="5D82568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（八）基金托管人私自动用或处分基金财产，根据基金管理人的合法指令、基金合同或托管协议的规定进行处分的除外。</w:t>
      </w:r>
    </w:p>
    <w:p w14:paraId="6C3E7A24" w14:textId="317D6BEF"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（九）基金财产用于下列投资或者活动：（1）承销证券；（2）违反规定向他人贷款或者提供担保；（3）从事承担无限责任的投资；（4）买卖其他基金份额，但是</w:t>
      </w:r>
      <w:r w:rsidR="005D072A">
        <w:rPr>
          <w:rFonts w:ascii="宋体" w:hAnsi="宋体" w:hint="eastAsia"/>
          <w:color w:val="0D0D0D"/>
          <w:sz w:val="24"/>
          <w:szCs w:val="24"/>
        </w:rPr>
        <w:t>法律法规或</w:t>
      </w:r>
      <w:r>
        <w:rPr>
          <w:rFonts w:ascii="宋体" w:hAnsi="宋体" w:hint="eastAsia"/>
          <w:color w:val="0D0D0D"/>
          <w:sz w:val="24"/>
          <w:szCs w:val="24"/>
        </w:rPr>
        <w:t>中国证监会另有规定的除外；（5）向其基金管理人、基金托管人出资；（6）从事内幕交易、操纵证券交易价格及其他不正当的证券交易活动；（7）法律、行政法规和中国证监会规定禁止的其他活动。法律、行政法规或监管部门取消或变更上述</w:t>
      </w:r>
      <w:r w:rsidR="0094673C">
        <w:rPr>
          <w:rFonts w:ascii="宋体" w:hAnsi="宋体" w:hint="eastAsia"/>
          <w:color w:val="0D0D0D"/>
          <w:sz w:val="24"/>
          <w:szCs w:val="24"/>
        </w:rPr>
        <w:t>限制</w:t>
      </w:r>
      <w:r w:rsidR="005D072A">
        <w:rPr>
          <w:rFonts w:ascii="宋体" w:hAnsi="宋体" w:hint="eastAsia"/>
          <w:color w:val="0D0D0D"/>
          <w:sz w:val="24"/>
          <w:szCs w:val="24"/>
        </w:rPr>
        <w:t>性</w:t>
      </w:r>
      <w:r>
        <w:rPr>
          <w:rFonts w:ascii="宋体" w:hAnsi="宋体" w:hint="eastAsia"/>
          <w:color w:val="0D0D0D"/>
          <w:sz w:val="24"/>
          <w:szCs w:val="24"/>
        </w:rPr>
        <w:t>规定，如适用于本基金，基金管理人在履行适当程序后，</w:t>
      </w:r>
      <w:bookmarkStart w:id="81" w:name="_Hlk150118677"/>
      <w:r w:rsidR="005D072A" w:rsidRPr="00B46732">
        <w:rPr>
          <w:rFonts w:ascii="宋体" w:hAnsi="宋体"/>
          <w:bCs/>
          <w:color w:val="0D0D0D"/>
          <w:sz w:val="24"/>
          <w:szCs w:val="24"/>
        </w:rPr>
        <w:t>则本基金投资不再受相关限制</w:t>
      </w:r>
      <w:r w:rsidR="005D072A" w:rsidRPr="00B46732">
        <w:rPr>
          <w:rFonts w:ascii="宋体" w:hAnsi="宋体" w:hint="eastAsia"/>
          <w:bCs/>
          <w:color w:val="0D0D0D"/>
          <w:sz w:val="24"/>
          <w:szCs w:val="24"/>
        </w:rPr>
        <w:t>或以变更后的规定为准</w:t>
      </w:r>
      <w:bookmarkEnd w:id="81"/>
      <w:r>
        <w:rPr>
          <w:rFonts w:ascii="宋体" w:hAnsi="宋体" w:hint="eastAsia"/>
          <w:color w:val="0D0D0D"/>
          <w:sz w:val="24"/>
          <w:szCs w:val="24"/>
        </w:rPr>
        <w:t>。</w:t>
      </w:r>
    </w:p>
    <w:p w14:paraId="4EB3392D" w14:textId="790ED16D"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（十）法律法规和基金合同禁止的其他行为，以及依照法律、行政法规有关规定，由中国证监会规定禁止基金管理人、基金托管人从事的其他行为。</w:t>
      </w:r>
    </w:p>
    <w:p w14:paraId="4CA55401" w14:textId="416F4245" w:rsidR="00700034" w:rsidRDefault="00700034">
      <w:pPr>
        <w:pStyle w:val="1"/>
        <w:jc w:val="center"/>
        <w:rPr>
          <w:rFonts w:ascii="宋体" w:hAnsi="宋体"/>
          <w:color w:val="0D0D0D"/>
        </w:rPr>
      </w:pPr>
      <w:r>
        <w:rPr>
          <w:rFonts w:ascii="宋体" w:hAnsi="宋体"/>
          <w:color w:val="0D0D0D"/>
          <w:sz w:val="24"/>
          <w:szCs w:val="24"/>
        </w:rPr>
        <w:br w:type="page"/>
      </w:r>
      <w:bookmarkStart w:id="82" w:name="_Toc155088993"/>
      <w:r>
        <w:rPr>
          <w:rFonts w:ascii="宋体" w:hAnsi="宋体" w:hint="eastAsia"/>
          <w:color w:val="0D0D0D"/>
        </w:rPr>
        <w:lastRenderedPageBreak/>
        <w:t>十六、基金托管协议的变更、终止与基金财产的清算</w:t>
      </w:r>
      <w:bookmarkEnd w:id="82"/>
    </w:p>
    <w:p w14:paraId="644E25F5" w14:textId="77777777" w:rsidR="00BC636E" w:rsidRPr="00BC636E" w:rsidRDefault="00BC636E" w:rsidP="00BC636E"/>
    <w:p w14:paraId="7D949056" w14:textId="77777777" w:rsidR="00700034" w:rsidRDefault="00700034" w:rsidP="00143A8D">
      <w:pPr>
        <w:spacing w:line="360" w:lineRule="auto"/>
        <w:ind w:firstLineChars="200" w:firstLine="480"/>
        <w:rPr>
          <w:rFonts w:ascii="宋体" w:hAnsi="宋体"/>
          <w:color w:val="0D0D0D"/>
          <w:sz w:val="24"/>
          <w:szCs w:val="24"/>
        </w:rPr>
      </w:pPr>
      <w:bookmarkStart w:id="83" w:name="_Hlk151825969"/>
      <w:r>
        <w:rPr>
          <w:rFonts w:ascii="宋体" w:hAnsi="宋体" w:hint="eastAsia"/>
          <w:color w:val="0D0D0D"/>
          <w:sz w:val="24"/>
          <w:szCs w:val="24"/>
        </w:rPr>
        <w:t>（一）托管协议的变更与终止</w:t>
      </w:r>
    </w:p>
    <w:p w14:paraId="47723B9D" w14:textId="77777777" w:rsidR="00700034" w:rsidRDefault="00700034" w:rsidP="00143A8D">
      <w:pPr>
        <w:spacing w:line="360" w:lineRule="auto"/>
        <w:ind w:firstLineChars="200" w:firstLine="480"/>
        <w:rPr>
          <w:rFonts w:ascii="宋体" w:hAnsi="宋体"/>
          <w:color w:val="0D0D0D"/>
          <w:sz w:val="24"/>
          <w:szCs w:val="24"/>
        </w:rPr>
      </w:pPr>
      <w:r>
        <w:rPr>
          <w:rFonts w:ascii="宋体" w:hAnsi="宋体" w:hint="eastAsia"/>
          <w:color w:val="0D0D0D"/>
          <w:sz w:val="24"/>
          <w:szCs w:val="24"/>
        </w:rPr>
        <w:t>1．托管协议的变更程序</w:t>
      </w:r>
    </w:p>
    <w:p w14:paraId="0465BFFE" w14:textId="0BB3AFDA"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本协议双方当事人经协商一致，可以对协议的内容进行变更。变更后的托管协议，其内容不得与基金合同的规定有任何冲突。</w:t>
      </w:r>
    </w:p>
    <w:p w14:paraId="4E833177" w14:textId="77777777" w:rsidR="00700034" w:rsidRDefault="00700034" w:rsidP="00143A8D">
      <w:pPr>
        <w:spacing w:line="360" w:lineRule="auto"/>
        <w:ind w:firstLineChars="200" w:firstLine="480"/>
        <w:rPr>
          <w:rFonts w:ascii="宋体" w:hAnsi="宋体"/>
          <w:color w:val="0D0D0D"/>
          <w:sz w:val="24"/>
          <w:szCs w:val="24"/>
        </w:rPr>
      </w:pPr>
      <w:r w:rsidRPr="00952FF5">
        <w:rPr>
          <w:rFonts w:ascii="宋体" w:hAnsi="宋体"/>
          <w:color w:val="0D0D0D"/>
          <w:sz w:val="24"/>
          <w:szCs w:val="24"/>
        </w:rPr>
        <w:t>2．基金托管协议终止的</w:t>
      </w:r>
      <w:r w:rsidRPr="00952FF5">
        <w:rPr>
          <w:rFonts w:ascii="宋体" w:hAnsi="宋体" w:hint="eastAsia"/>
          <w:color w:val="0D0D0D"/>
          <w:sz w:val="24"/>
          <w:szCs w:val="24"/>
        </w:rPr>
        <w:t>情形</w:t>
      </w:r>
    </w:p>
    <w:p w14:paraId="1A0D72E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发生以下情况，本托管协议终止：</w:t>
      </w:r>
    </w:p>
    <w:p w14:paraId="10FEDFF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（1）基金合同终止；</w:t>
      </w:r>
    </w:p>
    <w:p w14:paraId="1CE3CA5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（2）基金托管人解散、依法被撤销、破产或由其他基金托管人接管基金资产；</w:t>
      </w:r>
    </w:p>
    <w:p w14:paraId="69D67F3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（3）基金管理人解散、依法被撤销、破产或由其他基金管理人接管基金管理权；</w:t>
      </w:r>
    </w:p>
    <w:p w14:paraId="64DB3460" w14:textId="5CDD05F9"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（4）发生法律法规或基金合同规定的终止事项。</w:t>
      </w:r>
    </w:p>
    <w:p w14:paraId="263B0FD4" w14:textId="218F5127" w:rsidR="00B838BE" w:rsidRDefault="00B838BE">
      <w:pPr>
        <w:spacing w:line="360" w:lineRule="auto"/>
        <w:ind w:firstLineChars="200" w:firstLine="480"/>
        <w:rPr>
          <w:rFonts w:ascii="宋体" w:hAnsi="宋体"/>
          <w:color w:val="0D0D0D"/>
          <w:sz w:val="24"/>
          <w:szCs w:val="24"/>
        </w:rPr>
      </w:pPr>
      <w:r>
        <w:rPr>
          <w:rFonts w:ascii="宋体" w:hAnsi="宋体" w:hint="eastAsia"/>
          <w:color w:val="0D0D0D"/>
          <w:sz w:val="24"/>
          <w:szCs w:val="24"/>
        </w:rPr>
        <w:t>（5）</w:t>
      </w:r>
      <w:r w:rsidRPr="00952FF5">
        <w:rPr>
          <w:rFonts w:ascii="宋体" w:hAnsi="宋体" w:hint="eastAsia"/>
          <w:color w:val="0D0D0D"/>
          <w:sz w:val="24"/>
          <w:szCs w:val="24"/>
        </w:rPr>
        <w:t>基金托管人发现基金管理人有下列情形的，有权终止本协议，并要求基金管理人赔偿损失：①</w:t>
      </w:r>
      <w:r w:rsidR="00952FF5" w:rsidRPr="00952FF5">
        <w:rPr>
          <w:rFonts w:ascii="宋体" w:hAnsi="宋体" w:hint="eastAsia"/>
          <w:color w:val="0D0D0D"/>
          <w:sz w:val="24"/>
          <w:szCs w:val="24"/>
        </w:rPr>
        <w:t>被依法取消基金管理人资质或经营异常；</w:t>
      </w:r>
      <w:r w:rsidRPr="00952FF5">
        <w:rPr>
          <w:rFonts w:ascii="宋体" w:hAnsi="宋体" w:hint="eastAsia"/>
          <w:color w:val="0D0D0D"/>
          <w:sz w:val="24"/>
          <w:szCs w:val="24"/>
        </w:rPr>
        <w:t>②</w:t>
      </w:r>
      <w:r w:rsidR="00952FF5" w:rsidRPr="00952FF5">
        <w:rPr>
          <w:rFonts w:ascii="宋体" w:hAnsi="宋体" w:hint="eastAsia"/>
          <w:color w:val="0D0D0D"/>
          <w:sz w:val="24"/>
          <w:szCs w:val="24"/>
        </w:rPr>
        <w:t>被依法解散、被依法撤销、被依法宣告破产或失联；</w:t>
      </w:r>
      <w:r w:rsidRPr="00952FF5">
        <w:rPr>
          <w:rFonts w:ascii="宋体" w:hAnsi="宋体" w:hint="eastAsia"/>
          <w:color w:val="0D0D0D"/>
          <w:sz w:val="24"/>
          <w:szCs w:val="24"/>
        </w:rPr>
        <w:t>③</w:t>
      </w:r>
      <w:r w:rsidR="00952FF5" w:rsidRPr="00952FF5">
        <w:rPr>
          <w:rFonts w:ascii="宋体" w:hAnsi="宋体" w:hint="eastAsia"/>
          <w:color w:val="0D0D0D"/>
          <w:sz w:val="24"/>
          <w:szCs w:val="24"/>
        </w:rPr>
        <w:t>法律法规明确规定和本协议约定的其他情形。</w:t>
      </w:r>
    </w:p>
    <w:p w14:paraId="48752715" w14:textId="77777777" w:rsidR="00700034" w:rsidRDefault="00700034" w:rsidP="00143A8D">
      <w:pPr>
        <w:spacing w:line="360" w:lineRule="auto"/>
        <w:ind w:firstLineChars="200" w:firstLine="480"/>
        <w:rPr>
          <w:rFonts w:ascii="宋体" w:hAnsi="宋体"/>
          <w:color w:val="0D0D0D"/>
          <w:sz w:val="24"/>
          <w:szCs w:val="24"/>
        </w:rPr>
      </w:pPr>
      <w:r w:rsidRPr="00B838BE">
        <w:rPr>
          <w:rFonts w:ascii="宋体" w:hAnsi="宋体" w:hint="eastAsia"/>
          <w:color w:val="0D0D0D"/>
          <w:sz w:val="24"/>
          <w:szCs w:val="24"/>
        </w:rPr>
        <w:t>（二）基金财产的清算</w:t>
      </w:r>
    </w:p>
    <w:p w14:paraId="51693329" w14:textId="77777777" w:rsidR="00700034" w:rsidRDefault="00700034">
      <w:pPr>
        <w:spacing w:line="360" w:lineRule="auto"/>
        <w:ind w:firstLineChars="200" w:firstLine="480"/>
        <w:rPr>
          <w:rFonts w:ascii="宋体" w:hAnsi="宋体"/>
          <w:color w:val="0D0D0D"/>
          <w:sz w:val="24"/>
          <w:szCs w:val="24"/>
        </w:rPr>
      </w:pPr>
      <w:r>
        <w:rPr>
          <w:rFonts w:ascii="宋体" w:hAnsi="宋体"/>
          <w:color w:val="0D0D0D"/>
          <w:sz w:val="24"/>
          <w:szCs w:val="24"/>
        </w:rPr>
        <w:t>1</w:t>
      </w:r>
      <w:r>
        <w:rPr>
          <w:rFonts w:ascii="宋体" w:hAnsi="宋体" w:hint="eastAsia"/>
          <w:color w:val="0D0D0D"/>
          <w:sz w:val="24"/>
          <w:szCs w:val="24"/>
        </w:rPr>
        <w:t>、基金财产的清算</w:t>
      </w:r>
    </w:p>
    <w:p w14:paraId="4BDC804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（1）基金财产清算小组：自出现《基金合同》终止事由之日起30个工作日内成立清算小组，基金管理人组织基金财产清算小组并在中国证监会的监督下进行基金清算。</w:t>
      </w:r>
    </w:p>
    <w:p w14:paraId="6531786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5E52777"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（3）基金财产清算小组职责：基金财产清算小组负责基金财产的保管、清理、估价、变现和分配。基金财产清算小组可以依法进行必要的民事活动。</w:t>
      </w:r>
    </w:p>
    <w:p w14:paraId="3327D979"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（4）基金财产清算程序：</w:t>
      </w:r>
    </w:p>
    <w:p w14:paraId="1ACEB74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①《基金合同》终止情形出现时，由基金财产清算小组统一接管基金；</w:t>
      </w:r>
    </w:p>
    <w:p w14:paraId="0758BFE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②对基金财产和债权债务进行清理和确认；</w:t>
      </w:r>
    </w:p>
    <w:p w14:paraId="72C60C5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③对基金财产进行估值和变现；</w:t>
      </w:r>
    </w:p>
    <w:p w14:paraId="32D3DA7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④制作清算报告；</w:t>
      </w:r>
    </w:p>
    <w:p w14:paraId="046FF87F"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⑤聘请会计师事务所对清算报告进行外部审计，聘请律师事务所对清算报告出具法律意见书；</w:t>
      </w:r>
    </w:p>
    <w:p w14:paraId="569CD2A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⑥将清算报告报中国证监会备案并公告；</w:t>
      </w:r>
    </w:p>
    <w:p w14:paraId="5949A163"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⑦对基金剩余财产进行分配。</w:t>
      </w:r>
    </w:p>
    <w:p w14:paraId="78C13B9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（5）基金财产清算的期限为6个月，但因本基金所持证券的流动性受到限制而不能及时变现的，清算期限相应顺延。</w:t>
      </w:r>
    </w:p>
    <w:p w14:paraId="2816F30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3．清算费用</w:t>
      </w:r>
    </w:p>
    <w:p w14:paraId="13764D28" w14:textId="189FD050"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清算费用是指基金财产清算小组在进行基金</w:t>
      </w:r>
      <w:r w:rsidR="005D072A">
        <w:rPr>
          <w:rFonts w:ascii="宋体" w:hAnsi="宋体" w:hint="eastAsia"/>
          <w:color w:val="0D0D0D"/>
          <w:sz w:val="24"/>
          <w:szCs w:val="24"/>
        </w:rPr>
        <w:t>财产</w:t>
      </w:r>
      <w:r>
        <w:rPr>
          <w:rFonts w:ascii="宋体" w:hAnsi="宋体" w:hint="eastAsia"/>
          <w:color w:val="0D0D0D"/>
          <w:sz w:val="24"/>
          <w:szCs w:val="24"/>
        </w:rPr>
        <w:t>清算过程中发生的所有合理费用，清算费用由基金财产清算小组优先从基金</w:t>
      </w:r>
      <w:r w:rsidR="005D072A">
        <w:rPr>
          <w:rFonts w:ascii="宋体" w:hAnsi="宋体" w:hint="eastAsia"/>
          <w:color w:val="0D0D0D"/>
          <w:sz w:val="24"/>
          <w:szCs w:val="24"/>
        </w:rPr>
        <w:t>剩余</w:t>
      </w:r>
      <w:r>
        <w:rPr>
          <w:rFonts w:ascii="宋体" w:hAnsi="宋体" w:hint="eastAsia"/>
          <w:color w:val="0D0D0D"/>
          <w:sz w:val="24"/>
          <w:szCs w:val="24"/>
        </w:rPr>
        <w:t>财产中支付。</w:t>
      </w:r>
    </w:p>
    <w:p w14:paraId="3C7AA37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4．基金财产清算剩余资产的分配</w:t>
      </w:r>
    </w:p>
    <w:p w14:paraId="47DCEA76"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依据基金财产清算的分配方案，将基金财产清算后的全部剩余资产扣除基金财产清算费用、交纳所欠税款并清偿基金债务后，按基金份额持有人持有的基金份额比例进行分配。</w:t>
      </w:r>
    </w:p>
    <w:p w14:paraId="011B847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5．基金财产清算的公告</w:t>
      </w:r>
    </w:p>
    <w:p w14:paraId="17B67E2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4F12C11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6．基金财产清算账册及文件的保存</w:t>
      </w:r>
    </w:p>
    <w:p w14:paraId="2152C807" w14:textId="2513207E"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基金财产清算账册及有关文件由基金托管人保存</w:t>
      </w:r>
      <w:r w:rsidRPr="00143A8D">
        <w:rPr>
          <w:rFonts w:ascii="宋体" w:hAnsi="宋体" w:hint="eastAsia"/>
          <w:color w:val="0D0D0D"/>
          <w:sz w:val="24"/>
          <w:szCs w:val="24"/>
        </w:rPr>
        <w:t>不低于法律法规规定的最低期限</w:t>
      </w:r>
      <w:r>
        <w:rPr>
          <w:rFonts w:ascii="宋体" w:hAnsi="宋体" w:hint="eastAsia"/>
          <w:color w:val="0D0D0D"/>
          <w:sz w:val="24"/>
          <w:szCs w:val="24"/>
        </w:rPr>
        <w:t>。</w:t>
      </w:r>
    </w:p>
    <w:bookmarkEnd w:id="83"/>
    <w:p w14:paraId="7FD0877C" w14:textId="69D2383E" w:rsidR="00700034" w:rsidRDefault="00700034">
      <w:pPr>
        <w:pStyle w:val="1"/>
        <w:jc w:val="center"/>
        <w:rPr>
          <w:rFonts w:ascii="宋体" w:hAnsi="宋体"/>
          <w:color w:val="0D0D0D"/>
        </w:rPr>
      </w:pPr>
      <w:r>
        <w:rPr>
          <w:rFonts w:ascii="宋体" w:hAnsi="宋体"/>
          <w:color w:val="0D0D0D"/>
          <w:sz w:val="24"/>
          <w:szCs w:val="24"/>
        </w:rPr>
        <w:br w:type="page"/>
      </w:r>
      <w:bookmarkStart w:id="84" w:name="_Toc155088994"/>
      <w:r>
        <w:rPr>
          <w:rFonts w:ascii="宋体" w:hAnsi="宋体" w:hint="eastAsia"/>
          <w:color w:val="0D0D0D"/>
        </w:rPr>
        <w:lastRenderedPageBreak/>
        <w:t>十七、违约责任</w:t>
      </w:r>
      <w:bookmarkEnd w:id="84"/>
    </w:p>
    <w:p w14:paraId="40C4A4C0" w14:textId="77777777" w:rsidR="00BC636E" w:rsidRPr="00BC636E" w:rsidRDefault="00BC636E" w:rsidP="00BC636E"/>
    <w:p w14:paraId="7DEAA32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（一）如果基金管理人或基金托管人不履行本托管协议或者履行本托管协议不符合约定的，应当承担违约责任。</w:t>
      </w:r>
    </w:p>
    <w:p w14:paraId="2D82A408"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07DB80AE"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1．不可抗力；</w:t>
      </w:r>
    </w:p>
    <w:p w14:paraId="0AE4486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2．基金管理人</w:t>
      </w:r>
      <w:r>
        <w:rPr>
          <w:rFonts w:ascii="宋体" w:hAnsi="宋体"/>
          <w:color w:val="0D0D0D"/>
          <w:sz w:val="24"/>
          <w:szCs w:val="24"/>
        </w:rPr>
        <w:t>和/或</w:t>
      </w:r>
      <w:r>
        <w:rPr>
          <w:rFonts w:ascii="宋体" w:hAnsi="宋体" w:hint="eastAsia"/>
          <w:color w:val="0D0D0D"/>
          <w:sz w:val="24"/>
          <w:szCs w:val="24"/>
        </w:rPr>
        <w:t>基金托管人按照当时有效的法律法规或中国证监会的规定作为或不作为而造成的损失等；</w:t>
      </w:r>
    </w:p>
    <w:p w14:paraId="72BABCA2" w14:textId="2FA6F105"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3．基金管理人由于按照基金合同规定的投资原则行使或不行使其投资权而造成的损失等</w:t>
      </w:r>
      <w:r w:rsidR="0094673C">
        <w:rPr>
          <w:rFonts w:ascii="宋体" w:hAnsi="宋体" w:hint="eastAsia"/>
          <w:color w:val="0D0D0D"/>
          <w:sz w:val="24"/>
          <w:szCs w:val="24"/>
        </w:rPr>
        <w:t>；</w:t>
      </w:r>
    </w:p>
    <w:p w14:paraId="41C0D868" w14:textId="42B031A7" w:rsidR="00D36956" w:rsidRPr="00952FF5" w:rsidRDefault="00D36956" w:rsidP="00D36956">
      <w:pPr>
        <w:spacing w:line="360" w:lineRule="auto"/>
        <w:ind w:firstLineChars="200" w:firstLine="480"/>
        <w:rPr>
          <w:rFonts w:ascii="宋体" w:hAnsi="宋体"/>
          <w:color w:val="0D0D0D"/>
          <w:sz w:val="24"/>
          <w:szCs w:val="24"/>
        </w:rPr>
      </w:pPr>
      <w:r w:rsidRPr="00952FF5">
        <w:rPr>
          <w:rFonts w:ascii="宋体" w:hAnsi="宋体"/>
          <w:color w:val="0D0D0D"/>
          <w:sz w:val="24"/>
          <w:szCs w:val="24"/>
        </w:rPr>
        <w:t>4、</w:t>
      </w:r>
      <w:r w:rsidRPr="00952FF5">
        <w:rPr>
          <w:rFonts w:ascii="宋体" w:hAnsi="宋体" w:hint="eastAsia"/>
          <w:color w:val="0D0D0D"/>
          <w:sz w:val="24"/>
          <w:szCs w:val="24"/>
        </w:rPr>
        <w:t>基金托管人对存放或存管在基金托管人以外机构的基金资产，或交由证券公司等其他机构负责清算交收的基金资产及其收益不承担任何责任</w:t>
      </w:r>
      <w:r w:rsidR="0094673C" w:rsidRPr="00952FF5">
        <w:rPr>
          <w:rFonts w:ascii="宋体" w:hAnsi="宋体" w:hint="eastAsia"/>
          <w:color w:val="0D0D0D"/>
          <w:sz w:val="24"/>
          <w:szCs w:val="24"/>
        </w:rPr>
        <w:t>；</w:t>
      </w:r>
    </w:p>
    <w:p w14:paraId="5CF67ECB" w14:textId="321C41AD" w:rsidR="00D36956" w:rsidRDefault="00D36956" w:rsidP="00D36956">
      <w:pPr>
        <w:spacing w:line="360" w:lineRule="auto"/>
        <w:ind w:firstLineChars="200" w:firstLine="480"/>
        <w:rPr>
          <w:rFonts w:ascii="宋体" w:hAnsi="宋体"/>
          <w:color w:val="0D0D0D"/>
          <w:sz w:val="24"/>
          <w:szCs w:val="24"/>
        </w:rPr>
      </w:pPr>
      <w:r w:rsidRPr="00952FF5">
        <w:rPr>
          <w:rFonts w:ascii="宋体" w:hAnsi="宋体"/>
          <w:color w:val="0D0D0D"/>
          <w:sz w:val="24"/>
          <w:szCs w:val="24"/>
        </w:rPr>
        <w:t>5</w:t>
      </w:r>
      <w:r w:rsidRPr="00952FF5">
        <w:rPr>
          <w:rFonts w:ascii="宋体" w:hAnsi="宋体" w:hint="eastAsia"/>
          <w:color w:val="0D0D0D"/>
          <w:sz w:val="24"/>
          <w:szCs w:val="24"/>
        </w:rPr>
        <w:t>、计算机系统故障、网络故障、通讯故障、电力故障、计算机病毒攻击及其它非基金管理人及基金托管人原因造成的意外事故</w:t>
      </w:r>
      <w:r w:rsidR="0094673C" w:rsidRPr="00952FF5">
        <w:rPr>
          <w:rFonts w:ascii="宋体" w:hAnsi="宋体" w:hint="eastAsia"/>
          <w:color w:val="0D0D0D"/>
          <w:sz w:val="24"/>
          <w:szCs w:val="24"/>
        </w:rPr>
        <w:t>。</w:t>
      </w:r>
    </w:p>
    <w:p w14:paraId="00E3808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如果由于本协议一方当事人（以下简称“违约方”）的违约行为给基金财产或基金投资人造成损失，另一方当事人（以下简称“守约方”）有权利并且有义务代表基金对违约方进行追偿；如果由于违约方的违约行为导致守约方赔偿了本基金财产或基金投资人所遭受的损失，则守约方有权向违约方追索，违约方应赔偿和补偿守约方由此发生的所有成本、费用和支出，以及由此遭受的损失。</w:t>
      </w:r>
    </w:p>
    <w:p w14:paraId="32C751B4"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（四）托管协议当事人违反托管协议，给另一方当事人造成损失的，应承担赔偿责任。</w:t>
      </w:r>
    </w:p>
    <w:p w14:paraId="23962DE0"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五）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36AB44A"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（六）违约行为虽已发生，但本托管协议能够继续履行的，在最大限度地保护基金份额持有人利益的前提下，基金管理人和基金托管人应当继续履行本协议。</w:t>
      </w:r>
    </w:p>
    <w:p w14:paraId="3F936F22"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lastRenderedPageBreak/>
        <w:t>（七）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310905A7" w14:textId="139C7891"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（八）本协议所指损失均为直接损失。</w:t>
      </w:r>
    </w:p>
    <w:p w14:paraId="422AA5BE" w14:textId="2BBEB1D6" w:rsidR="00700034" w:rsidRDefault="00700034">
      <w:pPr>
        <w:pStyle w:val="1"/>
        <w:jc w:val="center"/>
        <w:rPr>
          <w:rFonts w:ascii="宋体" w:hAnsi="宋体"/>
          <w:color w:val="0D0D0D"/>
        </w:rPr>
      </w:pPr>
      <w:r>
        <w:rPr>
          <w:rFonts w:ascii="宋体" w:hAnsi="宋体"/>
          <w:color w:val="0D0D0D"/>
          <w:sz w:val="24"/>
          <w:szCs w:val="24"/>
        </w:rPr>
        <w:br w:type="page"/>
      </w:r>
      <w:bookmarkStart w:id="85" w:name="_Toc155088995"/>
      <w:r>
        <w:rPr>
          <w:rFonts w:ascii="宋体" w:hAnsi="宋体" w:hint="eastAsia"/>
          <w:color w:val="0D0D0D"/>
        </w:rPr>
        <w:lastRenderedPageBreak/>
        <w:t>十八、争议解决方式</w:t>
      </w:r>
      <w:bookmarkEnd w:id="85"/>
    </w:p>
    <w:p w14:paraId="4DB92600" w14:textId="77777777" w:rsidR="00BC636E" w:rsidRPr="00BC636E" w:rsidRDefault="00BC636E" w:rsidP="00BC636E"/>
    <w:p w14:paraId="79254E33" w14:textId="0CAAD99C" w:rsidR="00700034" w:rsidRDefault="00700034">
      <w:pPr>
        <w:spacing w:line="360" w:lineRule="auto"/>
        <w:ind w:firstLineChars="200" w:firstLine="480"/>
        <w:rPr>
          <w:rFonts w:ascii="宋体" w:hAnsi="宋体"/>
          <w:color w:val="0D0D0D"/>
          <w:sz w:val="24"/>
          <w:szCs w:val="24"/>
        </w:rPr>
      </w:pPr>
      <w:bookmarkStart w:id="86" w:name="_Hlk151825909"/>
      <w:r>
        <w:rPr>
          <w:rFonts w:ascii="宋体" w:hAnsi="宋体" w:hint="eastAsia"/>
          <w:color w:val="0D0D0D"/>
          <w:sz w:val="24"/>
          <w:szCs w:val="24"/>
        </w:rPr>
        <w:t>双方当事人同意，因本协议而产生的或与本协议有关的一切争议，</w:t>
      </w:r>
      <w:r w:rsidRPr="00952FF5">
        <w:rPr>
          <w:rFonts w:ascii="宋体" w:hAnsi="宋体"/>
          <w:color w:val="0D0D0D"/>
          <w:sz w:val="24"/>
          <w:szCs w:val="24"/>
        </w:rPr>
        <w:t>如经友好协商未能解决的，</w:t>
      </w:r>
      <w:r w:rsidRPr="00952FF5">
        <w:rPr>
          <w:rFonts w:ascii="宋体" w:hAnsi="宋体" w:hint="eastAsia"/>
          <w:color w:val="0D0D0D"/>
          <w:sz w:val="24"/>
          <w:szCs w:val="24"/>
        </w:rPr>
        <w:t>任何一方均有权将争议提交中国国际经济贸易仲裁委员会，按照中国国际经济贸易仲裁委员会</w:t>
      </w:r>
      <w:r w:rsidR="001E3F7E" w:rsidRPr="00952FF5">
        <w:rPr>
          <w:rFonts w:ascii="宋体" w:hAnsi="宋体" w:hint="eastAsia"/>
          <w:color w:val="0D0D0D"/>
          <w:sz w:val="24"/>
          <w:szCs w:val="24"/>
        </w:rPr>
        <w:t>该会</w:t>
      </w:r>
      <w:r w:rsidRPr="00952FF5">
        <w:rPr>
          <w:rFonts w:ascii="宋体" w:hAnsi="宋体" w:hint="eastAsia"/>
          <w:color w:val="0D0D0D"/>
          <w:sz w:val="24"/>
          <w:szCs w:val="24"/>
        </w:rPr>
        <w:t>届时有效的仲裁规则进行仲裁。仲裁地点为北京市。仲裁裁决是终局的，对双方当事人均有约束力，除非仲裁裁决另有规定，仲裁费由败诉方承担</w:t>
      </w:r>
      <w:r w:rsidRPr="00952FF5">
        <w:rPr>
          <w:rFonts w:ascii="宋体" w:hAnsi="宋体"/>
          <w:color w:val="0D0D0D"/>
          <w:sz w:val="24"/>
          <w:szCs w:val="24"/>
        </w:rPr>
        <w:t>。</w:t>
      </w:r>
    </w:p>
    <w:p w14:paraId="2735F51D"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争议处理期间，双方当事人应恪守基金管理人和基金托管人职责，继续忠实、勤勉、尽责地履行基金合同和托管协议规定的义务，维护基金份额持有人的合法权益。</w:t>
      </w:r>
    </w:p>
    <w:p w14:paraId="633672E6" w14:textId="52F39DDF"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本协议受中国法律（不含港澳台地区法律）管辖</w:t>
      </w:r>
      <w:r w:rsidR="001E3F7E">
        <w:rPr>
          <w:rFonts w:hint="eastAsia"/>
          <w:bCs/>
          <w:sz w:val="24"/>
        </w:rPr>
        <w:t>并从其解释</w:t>
      </w:r>
      <w:r>
        <w:rPr>
          <w:rFonts w:ascii="宋体" w:hAnsi="宋体" w:hint="eastAsia"/>
          <w:color w:val="0D0D0D"/>
          <w:sz w:val="24"/>
          <w:szCs w:val="24"/>
        </w:rPr>
        <w:t>。</w:t>
      </w:r>
    </w:p>
    <w:bookmarkEnd w:id="86"/>
    <w:p w14:paraId="3AE2BA0C" w14:textId="66FC65FA" w:rsidR="00700034" w:rsidRDefault="00700034">
      <w:pPr>
        <w:pStyle w:val="1"/>
        <w:jc w:val="center"/>
        <w:rPr>
          <w:rFonts w:ascii="宋体" w:hAnsi="宋体"/>
          <w:color w:val="0D0D0D"/>
        </w:rPr>
      </w:pPr>
      <w:r>
        <w:rPr>
          <w:rFonts w:ascii="宋体" w:hAnsi="宋体"/>
          <w:color w:val="0D0D0D"/>
        </w:rPr>
        <w:br w:type="page"/>
      </w:r>
      <w:bookmarkStart w:id="87" w:name="_Toc155088996"/>
      <w:r>
        <w:rPr>
          <w:rFonts w:ascii="宋体" w:hAnsi="宋体" w:hint="eastAsia"/>
          <w:color w:val="0D0D0D"/>
        </w:rPr>
        <w:lastRenderedPageBreak/>
        <w:t>十九、基金托管协议的效力</w:t>
      </w:r>
      <w:bookmarkEnd w:id="87"/>
    </w:p>
    <w:p w14:paraId="7BE10C39" w14:textId="77777777" w:rsidR="00BC636E" w:rsidRPr="00BC636E" w:rsidRDefault="00BC636E" w:rsidP="00BC636E"/>
    <w:p w14:paraId="270825B1"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一）基金管理人在向中国证监会申请募集注册本基金时提交的本基金托管协议草案，该等草案系经托管协议当事人加盖公章以及双方法定代表人或授权代理人签章，协议当事人双方可能不时根据中国证监会的意见修改托管协议草案。托管协议以中国证监会注册的文本为正式文本。</w:t>
      </w:r>
    </w:p>
    <w:p w14:paraId="666D0C2C" w14:textId="27D49D90" w:rsidR="00B838BE" w:rsidRPr="00952FF5" w:rsidRDefault="00700034">
      <w:pPr>
        <w:spacing w:line="360" w:lineRule="auto"/>
        <w:ind w:firstLineChars="200" w:firstLine="480"/>
        <w:rPr>
          <w:rFonts w:ascii="宋体" w:hAnsi="宋体"/>
          <w:color w:val="0D0D0D"/>
          <w:sz w:val="24"/>
          <w:szCs w:val="24"/>
        </w:rPr>
      </w:pPr>
      <w:r w:rsidRPr="00952FF5">
        <w:rPr>
          <w:rFonts w:ascii="宋体" w:hAnsi="宋体" w:hint="eastAsia"/>
          <w:color w:val="0D0D0D"/>
          <w:sz w:val="24"/>
          <w:szCs w:val="24"/>
        </w:rPr>
        <w:t>（二）</w:t>
      </w:r>
      <w:r w:rsidR="00B838BE" w:rsidRPr="00952FF5">
        <w:rPr>
          <w:rFonts w:ascii="宋体" w:hAnsi="宋体" w:hint="eastAsia"/>
          <w:color w:val="0D0D0D"/>
          <w:sz w:val="24"/>
          <w:szCs w:val="24"/>
        </w:rPr>
        <w:t>托管协议自本协议签订且基金合同成立之日起成立，自基金合同生效之日起生效。</w:t>
      </w:r>
      <w:r w:rsidRPr="00B838BE">
        <w:rPr>
          <w:rFonts w:ascii="宋体" w:hAnsi="宋体" w:hint="eastAsia"/>
          <w:color w:val="0D0D0D"/>
          <w:sz w:val="24"/>
          <w:szCs w:val="24"/>
        </w:rPr>
        <w:t>本托管协议的有效期自其生效之日起至本基金财产清算结果报中国证监会备案并公告之日止。</w:t>
      </w:r>
    </w:p>
    <w:p w14:paraId="13E328ED" w14:textId="2AD91E52"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（三）本托管协议自生效之日起对托管协议当事人具有同等的法律约束力。</w:t>
      </w:r>
    </w:p>
    <w:p w14:paraId="0CA5CAAB" w14:textId="77777777"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（四）本托管协议正本一式三份，除上报有关监管机构一份外，基金管理人和基金托管人分别持有一份，每份具有同等的法律效力。</w:t>
      </w:r>
    </w:p>
    <w:p w14:paraId="55F7ECA3" w14:textId="039ECFD6" w:rsidR="00B838BE" w:rsidRDefault="00B838BE" w:rsidP="00952FF5">
      <w:pPr>
        <w:pStyle w:val="1"/>
        <w:jc w:val="center"/>
        <w:rPr>
          <w:rFonts w:ascii="宋体" w:hAnsi="宋体"/>
          <w:color w:val="0D0D0D"/>
        </w:rPr>
      </w:pPr>
      <w:r>
        <w:rPr>
          <w:rFonts w:ascii="等线" w:eastAsia="等线" w:hAnsi="等线"/>
          <w:szCs w:val="24"/>
        </w:rPr>
        <w:br w:type="page"/>
      </w:r>
      <w:bookmarkStart w:id="88" w:name="_Toc155088997"/>
      <w:r w:rsidRPr="00952FF5">
        <w:rPr>
          <w:rFonts w:ascii="宋体" w:hAnsi="宋体" w:hint="eastAsia"/>
          <w:color w:val="0D0D0D"/>
        </w:rPr>
        <w:lastRenderedPageBreak/>
        <w:t>二十、通知与送达</w:t>
      </w:r>
      <w:bookmarkEnd w:id="88"/>
    </w:p>
    <w:p w14:paraId="7E97F238" w14:textId="77777777" w:rsidR="00BC636E" w:rsidRPr="00BC636E" w:rsidRDefault="00BC636E" w:rsidP="00BC636E"/>
    <w:p w14:paraId="1B635552" w14:textId="77777777" w:rsidR="002B1557" w:rsidRPr="00952FF5" w:rsidRDefault="002B1557" w:rsidP="002B1557">
      <w:pPr>
        <w:pStyle w:val="2"/>
        <w:adjustRightInd w:val="0"/>
        <w:snapToGrid w:val="0"/>
        <w:spacing w:after="0" w:line="520" w:lineRule="atLeast"/>
        <w:ind w:leftChars="0" w:left="0" w:firstLineChars="200" w:firstLine="480"/>
        <w:rPr>
          <w:rFonts w:ascii="宋体" w:hAnsi="宋体"/>
          <w:color w:val="0D0D0D"/>
          <w:sz w:val="24"/>
          <w:szCs w:val="24"/>
        </w:rPr>
      </w:pPr>
      <w:bookmarkStart w:id="89" w:name="OLE_LINK47"/>
      <w:bookmarkStart w:id="90" w:name="OLE_LINK46"/>
      <w:r w:rsidRPr="00952FF5">
        <w:rPr>
          <w:rFonts w:ascii="宋体" w:hAnsi="宋体" w:hint="eastAsia"/>
          <w:color w:val="0D0D0D"/>
          <w:sz w:val="24"/>
          <w:szCs w:val="24"/>
        </w:rPr>
        <w:t>除本协议另有约定外，双方就本协议中涉及各类通知、函件、附件、协议等文件以及就本协议发生纠纷时相关文件和法律文书送达时的送达地址（含联系方式，下同）及法律后果作如下约定：</w:t>
      </w:r>
    </w:p>
    <w:p w14:paraId="4CCCFB7D"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t>（一）</w:t>
      </w:r>
      <w:r w:rsidRPr="00952FF5">
        <w:rPr>
          <w:rFonts w:ascii="宋体" w:hAnsi="宋体" w:hint="eastAsia"/>
          <w:color w:val="0D0D0D"/>
          <w:sz w:val="24"/>
          <w:szCs w:val="24"/>
        </w:rPr>
        <w:t>本条款中双方确认的送达地址如发生变更的，应当在发生变更之日起三日内通过书面方式通知对方，但双方同意并认可，中信银行及其分支机构通过中信银行网上银行、手机银行、官方网站等渠道展示与本协议相关的提示、公告、通知、联系地址及邮政编码变更等信息的，该等信息一经展示（如展示信息载明生效日期的，以该载明日期为准）即视为已通知</w:t>
      </w:r>
      <w:r w:rsidRPr="00952FF5">
        <w:rPr>
          <w:rFonts w:ascii="宋体" w:hAnsi="宋体"/>
          <w:color w:val="0D0D0D"/>
          <w:sz w:val="24"/>
          <w:szCs w:val="24"/>
        </w:rPr>
        <w:t>/</w:t>
      </w:r>
      <w:r w:rsidRPr="00952FF5">
        <w:rPr>
          <w:rFonts w:ascii="宋体" w:hAnsi="宋体" w:hint="eastAsia"/>
          <w:color w:val="0D0D0D"/>
          <w:sz w:val="24"/>
          <w:szCs w:val="24"/>
        </w:rPr>
        <w:t>送达基金管理人。在涉及仲裁及民事诉讼、执行程序时，任何一方送达地址发生变更的，应当在发生变更当日通过书面方式告知仲裁机构、法院。任何一方未按前述方式履行通知、告知义务的，该方所确认的送达地址仍视为有效送达地址。</w:t>
      </w:r>
    </w:p>
    <w:p w14:paraId="6ED8B5EF"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t>（二）</w:t>
      </w:r>
      <w:r w:rsidRPr="00952FF5">
        <w:rPr>
          <w:rFonts w:ascii="宋体" w:hAnsi="宋体" w:hint="eastAsia"/>
          <w:color w:val="0D0D0D"/>
          <w:sz w:val="24"/>
          <w:szCs w:val="24"/>
        </w:rPr>
        <w:t>双方在本条款确认的送达地址适用范围包括双方在履行本协议过程中的各类通知、函件、附件、协议等文件以及就本协议发生纠纷时相关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除上述第2条另有约定外，一方按照送达地址发送上述文件，即应视作在下列日期被送达：</w:t>
      </w:r>
    </w:p>
    <w:p w14:paraId="0AC895A0"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sidRPr="00952FF5">
        <w:rPr>
          <w:rFonts w:ascii="宋体" w:hAnsi="宋体" w:hint="eastAsia"/>
          <w:color w:val="0D0D0D"/>
          <w:sz w:val="24"/>
          <w:szCs w:val="24"/>
        </w:rPr>
        <w:t>1</w:t>
      </w:r>
      <w:r>
        <w:rPr>
          <w:rFonts w:ascii="宋体" w:hAnsi="宋体"/>
          <w:color w:val="0D0D0D"/>
          <w:sz w:val="24"/>
          <w:szCs w:val="24"/>
        </w:rPr>
        <w:t>.</w:t>
      </w:r>
      <w:r w:rsidRPr="00952FF5">
        <w:rPr>
          <w:rFonts w:ascii="宋体" w:hAnsi="宋体" w:hint="eastAsia"/>
          <w:color w:val="0D0D0D"/>
          <w:sz w:val="24"/>
          <w:szCs w:val="24"/>
        </w:rPr>
        <w:t>邮递（包括特快专递、平信邮寄、挂号邮寄），以投递之日后的第三日视为送达日；</w:t>
      </w:r>
    </w:p>
    <w:p w14:paraId="4C20E215"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t>2</w:t>
      </w:r>
      <w:r>
        <w:rPr>
          <w:rFonts w:ascii="宋体" w:hAnsi="宋体"/>
          <w:color w:val="0D0D0D"/>
          <w:sz w:val="24"/>
          <w:szCs w:val="24"/>
        </w:rPr>
        <w:t>.</w:t>
      </w:r>
      <w:r w:rsidRPr="00952FF5">
        <w:rPr>
          <w:rFonts w:ascii="宋体" w:hAnsi="宋体" w:hint="eastAsia"/>
          <w:color w:val="0D0D0D"/>
          <w:sz w:val="24"/>
          <w:szCs w:val="24"/>
        </w:rPr>
        <w:t>电话、传真、电子邮箱、微信或其他电子通讯方式，以发送之日视为送达日；</w:t>
      </w:r>
    </w:p>
    <w:p w14:paraId="248E19FF"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t>3</w:t>
      </w:r>
      <w:r>
        <w:rPr>
          <w:rFonts w:ascii="宋体" w:hAnsi="宋体"/>
          <w:color w:val="0D0D0D"/>
          <w:sz w:val="24"/>
          <w:szCs w:val="24"/>
        </w:rPr>
        <w:t>.</w:t>
      </w:r>
      <w:r w:rsidRPr="00952FF5">
        <w:rPr>
          <w:rFonts w:ascii="宋体" w:hAnsi="宋体" w:hint="eastAsia"/>
          <w:color w:val="0D0D0D"/>
          <w:sz w:val="24"/>
          <w:szCs w:val="24"/>
        </w:rPr>
        <w:t>专人送达，以收件人签收之日视为送达日；收件人拒收或无人接收的，送达人可采取拍照、录像方式记录送达过程，并将文书留置，亦视为送达；</w:t>
      </w:r>
    </w:p>
    <w:p w14:paraId="7A88015B"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lastRenderedPageBreak/>
        <w:t>4</w:t>
      </w:r>
      <w:r>
        <w:rPr>
          <w:rFonts w:ascii="宋体" w:hAnsi="宋体"/>
          <w:color w:val="0D0D0D"/>
          <w:sz w:val="24"/>
          <w:szCs w:val="24"/>
        </w:rPr>
        <w:t>.</w:t>
      </w:r>
      <w:r w:rsidRPr="00952FF5">
        <w:rPr>
          <w:rFonts w:ascii="宋体" w:hAnsi="宋体" w:hint="eastAsia"/>
          <w:color w:val="0D0D0D"/>
          <w:sz w:val="24"/>
          <w:szCs w:val="24"/>
        </w:rPr>
        <w:t>同时采用上述几种方式的，以其中最快达到对方者为准。</w:t>
      </w:r>
    </w:p>
    <w:p w14:paraId="4EA90954" w14:textId="77777777" w:rsidR="002B1557" w:rsidRPr="00952FF5" w:rsidRDefault="002B1557" w:rsidP="002B1557">
      <w:pPr>
        <w:snapToGrid w:val="0"/>
        <w:spacing w:line="520" w:lineRule="atLeast"/>
        <w:ind w:firstLineChars="200" w:firstLine="480"/>
        <w:rPr>
          <w:rFonts w:ascii="宋体" w:hAnsi="宋体"/>
          <w:color w:val="0D0D0D"/>
          <w:sz w:val="24"/>
          <w:szCs w:val="24"/>
        </w:rPr>
      </w:pPr>
      <w:r w:rsidRPr="00952FF5">
        <w:rPr>
          <w:rFonts w:ascii="宋体" w:hAnsi="宋体" w:hint="eastAsia"/>
          <w:color w:val="0D0D0D"/>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p>
    <w:p w14:paraId="45D7AC5D" w14:textId="77777777" w:rsidR="002B1557" w:rsidRPr="00B838BE" w:rsidRDefault="002B1557" w:rsidP="002B1557">
      <w:pPr>
        <w:snapToGrid w:val="0"/>
        <w:spacing w:line="520" w:lineRule="atLeast"/>
        <w:ind w:firstLineChars="200" w:firstLine="480"/>
        <w:rPr>
          <w:rFonts w:ascii="宋体" w:hAnsi="宋体"/>
          <w:color w:val="0D0D0D"/>
          <w:sz w:val="24"/>
          <w:szCs w:val="24"/>
        </w:rPr>
      </w:pPr>
      <w:r>
        <w:rPr>
          <w:rFonts w:ascii="宋体" w:hAnsi="宋体" w:hint="eastAsia"/>
          <w:color w:val="0D0D0D"/>
          <w:sz w:val="24"/>
          <w:szCs w:val="24"/>
        </w:rPr>
        <w:t>（三）</w:t>
      </w:r>
      <w:r w:rsidRPr="00952FF5">
        <w:rPr>
          <w:rFonts w:ascii="宋体" w:hAnsi="宋体" w:hint="eastAsia"/>
          <w:color w:val="0D0D0D"/>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bookmarkEnd w:id="89"/>
      <w:bookmarkEnd w:id="90"/>
    </w:p>
    <w:p w14:paraId="30C9B61C" w14:textId="7F0998BC" w:rsidR="00700034" w:rsidRDefault="00700034">
      <w:pPr>
        <w:pStyle w:val="1"/>
        <w:jc w:val="center"/>
        <w:rPr>
          <w:rFonts w:ascii="宋体" w:hAnsi="宋体"/>
          <w:color w:val="0D0D0D"/>
        </w:rPr>
      </w:pPr>
      <w:r>
        <w:rPr>
          <w:rFonts w:ascii="宋体" w:hAnsi="宋体"/>
          <w:color w:val="0D0D0D"/>
          <w:sz w:val="24"/>
          <w:szCs w:val="24"/>
        </w:rPr>
        <w:br w:type="page"/>
      </w:r>
      <w:bookmarkStart w:id="91" w:name="_Toc155088998"/>
      <w:r>
        <w:rPr>
          <w:rFonts w:ascii="宋体" w:hAnsi="宋体" w:hint="eastAsia"/>
          <w:color w:val="0D0D0D"/>
        </w:rPr>
        <w:lastRenderedPageBreak/>
        <w:t>二十</w:t>
      </w:r>
      <w:r w:rsidR="00240AA2">
        <w:rPr>
          <w:rFonts w:ascii="宋体" w:hAnsi="宋体" w:hint="eastAsia"/>
          <w:color w:val="0D0D0D"/>
        </w:rPr>
        <w:t>一</w:t>
      </w:r>
      <w:r>
        <w:rPr>
          <w:rFonts w:ascii="宋体" w:hAnsi="宋体" w:hint="eastAsia"/>
          <w:color w:val="0D0D0D"/>
        </w:rPr>
        <w:t>、基金托管协议的签订</w:t>
      </w:r>
      <w:bookmarkEnd w:id="91"/>
    </w:p>
    <w:p w14:paraId="2E356819" w14:textId="77777777" w:rsidR="00BC636E" w:rsidRPr="00BC636E" w:rsidRDefault="00BC636E" w:rsidP="00BC636E"/>
    <w:p w14:paraId="7C965D51" w14:textId="4D7EC6C6" w:rsidR="00700034" w:rsidRDefault="00700034">
      <w:pPr>
        <w:spacing w:line="360" w:lineRule="auto"/>
        <w:ind w:firstLineChars="200" w:firstLine="480"/>
        <w:rPr>
          <w:rFonts w:ascii="宋体" w:hAnsi="宋体"/>
          <w:color w:val="0D0D0D"/>
          <w:sz w:val="24"/>
          <w:szCs w:val="24"/>
        </w:rPr>
      </w:pPr>
      <w:r>
        <w:rPr>
          <w:rFonts w:ascii="宋体" w:hAnsi="宋体" w:hint="eastAsia"/>
          <w:color w:val="0D0D0D"/>
          <w:sz w:val="24"/>
          <w:szCs w:val="24"/>
        </w:rPr>
        <w:t>本托管协议经基金管理人和基金托管人认可后，由双方当事人在本托管协议上加盖公章，并由各自的法定代表人或授权代理人签章，并注明本托管协议的签订地点和签订日期。</w:t>
      </w:r>
    </w:p>
    <w:p w14:paraId="1D6DFB92" w14:textId="2502B382" w:rsidR="006E58E0" w:rsidRDefault="00700034" w:rsidP="006E58E0">
      <w:pPr>
        <w:spacing w:line="360" w:lineRule="auto"/>
        <w:rPr>
          <w:rFonts w:ascii="宋体" w:hAnsi="宋体"/>
          <w:color w:val="0D0D0D"/>
          <w:sz w:val="28"/>
          <w:szCs w:val="28"/>
        </w:rPr>
      </w:pPr>
      <w:r>
        <w:rPr>
          <w:rFonts w:ascii="宋体" w:hAnsi="宋体"/>
          <w:color w:val="0D0D0D"/>
          <w:sz w:val="24"/>
          <w:szCs w:val="24"/>
        </w:rPr>
        <w:br w:type="page"/>
      </w:r>
      <w:bookmarkStart w:id="92" w:name="_Hlk152065713"/>
      <w:bookmarkStart w:id="93" w:name="_Hlk152065613"/>
      <w:r w:rsidR="006E58E0">
        <w:rPr>
          <w:rFonts w:ascii="宋体" w:hAnsi="宋体" w:hint="eastAsia"/>
          <w:b/>
          <w:color w:val="0D0D0D"/>
          <w:sz w:val="28"/>
          <w:szCs w:val="28"/>
        </w:rPr>
        <w:lastRenderedPageBreak/>
        <w:t>本页无正文，为《富达悦享红利优选混合型证券投资基金托管协议》的签字盖章页。</w:t>
      </w:r>
      <w:bookmarkEnd w:id="92"/>
    </w:p>
    <w:p w14:paraId="6708449C" w14:textId="77777777" w:rsidR="00700034" w:rsidRDefault="00700034">
      <w:pPr>
        <w:spacing w:line="360" w:lineRule="auto"/>
        <w:ind w:right="26"/>
        <w:rPr>
          <w:rFonts w:ascii="宋体" w:hAnsi="宋体"/>
          <w:b/>
          <w:bCs/>
          <w:color w:val="0D0D0D"/>
          <w:sz w:val="28"/>
          <w:szCs w:val="28"/>
        </w:rPr>
      </w:pPr>
    </w:p>
    <w:p w14:paraId="433CF9D3" w14:textId="77777777" w:rsidR="00700034" w:rsidRDefault="00700034">
      <w:pPr>
        <w:spacing w:line="360" w:lineRule="auto"/>
        <w:ind w:right="26"/>
        <w:rPr>
          <w:rFonts w:ascii="宋体" w:hAnsi="宋体"/>
          <w:b/>
          <w:bCs/>
          <w:color w:val="0D0D0D"/>
          <w:sz w:val="28"/>
          <w:szCs w:val="28"/>
        </w:rPr>
      </w:pPr>
    </w:p>
    <w:p w14:paraId="1548F5BD" w14:textId="61BECDE1" w:rsidR="00700034" w:rsidRDefault="00700034">
      <w:pPr>
        <w:spacing w:line="360" w:lineRule="auto"/>
        <w:ind w:right="26"/>
        <w:rPr>
          <w:rFonts w:ascii="宋体" w:hAnsi="宋体"/>
          <w:b/>
          <w:color w:val="0D0D0D"/>
          <w:sz w:val="28"/>
          <w:szCs w:val="28"/>
        </w:rPr>
      </w:pPr>
      <w:r>
        <w:rPr>
          <w:rFonts w:ascii="宋体" w:hAnsi="宋体" w:hint="eastAsia"/>
          <w:b/>
          <w:color w:val="0D0D0D"/>
          <w:sz w:val="28"/>
          <w:szCs w:val="28"/>
        </w:rPr>
        <w:t>基金管理人：</w:t>
      </w:r>
      <w:r w:rsidR="00780929">
        <w:rPr>
          <w:rFonts w:ascii="宋体" w:hAnsi="宋体" w:hint="eastAsia"/>
          <w:b/>
          <w:color w:val="0D0D0D"/>
          <w:sz w:val="28"/>
          <w:szCs w:val="28"/>
        </w:rPr>
        <w:t>富达基金管理（中国）有限公司</w:t>
      </w:r>
      <w:r>
        <w:rPr>
          <w:rFonts w:ascii="宋体" w:hAnsi="宋体" w:hint="eastAsia"/>
          <w:b/>
          <w:color w:val="0D0D0D"/>
          <w:sz w:val="28"/>
          <w:szCs w:val="28"/>
        </w:rPr>
        <w:t>（公章）</w:t>
      </w:r>
    </w:p>
    <w:p w14:paraId="2B07FE39" w14:textId="77777777" w:rsidR="00700034" w:rsidRDefault="00700034">
      <w:pPr>
        <w:spacing w:line="360" w:lineRule="auto"/>
        <w:ind w:right="26"/>
        <w:rPr>
          <w:rFonts w:ascii="宋体" w:hAnsi="宋体"/>
          <w:b/>
          <w:color w:val="0D0D0D"/>
          <w:sz w:val="28"/>
          <w:szCs w:val="28"/>
        </w:rPr>
      </w:pPr>
    </w:p>
    <w:p w14:paraId="6CB08AC6" w14:textId="77777777" w:rsidR="00700034" w:rsidRDefault="00700034">
      <w:pPr>
        <w:spacing w:line="360" w:lineRule="auto"/>
        <w:ind w:right="26"/>
        <w:rPr>
          <w:rFonts w:ascii="宋体" w:hAnsi="宋体"/>
          <w:b/>
          <w:color w:val="0D0D0D"/>
          <w:sz w:val="28"/>
          <w:szCs w:val="28"/>
        </w:rPr>
      </w:pPr>
    </w:p>
    <w:p w14:paraId="4BC8C55D" w14:textId="77777777" w:rsidR="00700034" w:rsidRDefault="00700034">
      <w:pPr>
        <w:spacing w:line="360" w:lineRule="auto"/>
        <w:ind w:right="26"/>
        <w:rPr>
          <w:rFonts w:ascii="宋体" w:hAnsi="宋体"/>
          <w:b/>
          <w:color w:val="0D0D0D"/>
          <w:sz w:val="28"/>
          <w:szCs w:val="28"/>
        </w:rPr>
      </w:pPr>
    </w:p>
    <w:p w14:paraId="70486F4D" w14:textId="77777777" w:rsidR="00700034" w:rsidRDefault="00700034">
      <w:pPr>
        <w:spacing w:line="360" w:lineRule="auto"/>
        <w:ind w:right="26"/>
        <w:rPr>
          <w:rFonts w:ascii="宋体" w:hAnsi="宋体"/>
          <w:b/>
          <w:color w:val="0D0D0D"/>
          <w:sz w:val="28"/>
          <w:szCs w:val="28"/>
        </w:rPr>
      </w:pPr>
      <w:r>
        <w:rPr>
          <w:rFonts w:ascii="宋体" w:hAnsi="宋体" w:hint="eastAsia"/>
          <w:b/>
          <w:color w:val="0D0D0D"/>
          <w:sz w:val="28"/>
          <w:szCs w:val="28"/>
        </w:rPr>
        <w:t xml:space="preserve">法定代表人或授权代理人： </w:t>
      </w:r>
    </w:p>
    <w:p w14:paraId="25E2DA1B" w14:textId="77777777" w:rsidR="00700034" w:rsidRDefault="00700034">
      <w:pPr>
        <w:spacing w:line="360" w:lineRule="auto"/>
        <w:ind w:right="26"/>
        <w:rPr>
          <w:rFonts w:ascii="宋体" w:hAnsi="宋体"/>
          <w:b/>
          <w:color w:val="0D0D0D"/>
          <w:sz w:val="28"/>
          <w:szCs w:val="28"/>
        </w:rPr>
      </w:pPr>
    </w:p>
    <w:p w14:paraId="0AD5FE7A" w14:textId="77777777" w:rsidR="00700034" w:rsidRDefault="00700034">
      <w:pPr>
        <w:spacing w:line="360" w:lineRule="auto"/>
        <w:ind w:right="26"/>
        <w:rPr>
          <w:rFonts w:ascii="宋体" w:hAnsi="宋体"/>
          <w:b/>
          <w:color w:val="0D0D0D"/>
          <w:sz w:val="28"/>
          <w:szCs w:val="28"/>
        </w:rPr>
      </w:pPr>
    </w:p>
    <w:p w14:paraId="4E90386E" w14:textId="77777777" w:rsidR="00700034" w:rsidRDefault="00700034">
      <w:pPr>
        <w:spacing w:line="360" w:lineRule="auto"/>
        <w:ind w:right="26"/>
        <w:rPr>
          <w:rFonts w:ascii="宋体" w:hAnsi="宋体"/>
          <w:b/>
          <w:color w:val="0D0D0D"/>
          <w:sz w:val="28"/>
          <w:szCs w:val="28"/>
        </w:rPr>
      </w:pPr>
    </w:p>
    <w:p w14:paraId="0DD1B0F3" w14:textId="77777777" w:rsidR="00700034" w:rsidRDefault="00700034">
      <w:pPr>
        <w:spacing w:line="360" w:lineRule="auto"/>
        <w:ind w:right="26"/>
        <w:rPr>
          <w:rFonts w:ascii="宋体" w:hAnsi="宋体"/>
          <w:b/>
          <w:color w:val="0D0D0D"/>
          <w:sz w:val="28"/>
          <w:szCs w:val="28"/>
        </w:rPr>
      </w:pPr>
      <w:r>
        <w:rPr>
          <w:rFonts w:ascii="宋体" w:hAnsi="宋体" w:hint="eastAsia"/>
          <w:b/>
          <w:color w:val="0D0D0D"/>
          <w:sz w:val="28"/>
          <w:szCs w:val="28"/>
        </w:rPr>
        <w:t>基金托管人：中信银行股份有限公司（公章）</w:t>
      </w:r>
    </w:p>
    <w:p w14:paraId="407E1DB7" w14:textId="77777777" w:rsidR="00700034" w:rsidRDefault="00700034">
      <w:pPr>
        <w:spacing w:line="360" w:lineRule="auto"/>
        <w:ind w:right="26"/>
        <w:rPr>
          <w:rFonts w:ascii="宋体" w:hAnsi="宋体"/>
          <w:b/>
          <w:color w:val="0D0D0D"/>
          <w:sz w:val="28"/>
          <w:szCs w:val="28"/>
        </w:rPr>
      </w:pPr>
    </w:p>
    <w:p w14:paraId="4146BB3D" w14:textId="77777777" w:rsidR="00700034" w:rsidRDefault="00700034">
      <w:pPr>
        <w:spacing w:line="360" w:lineRule="auto"/>
        <w:ind w:right="26"/>
        <w:rPr>
          <w:rFonts w:ascii="宋体" w:hAnsi="宋体"/>
          <w:b/>
          <w:color w:val="0D0D0D"/>
          <w:sz w:val="28"/>
          <w:szCs w:val="28"/>
        </w:rPr>
      </w:pPr>
    </w:p>
    <w:p w14:paraId="5189F11F" w14:textId="77777777" w:rsidR="00700034" w:rsidRDefault="00700034">
      <w:pPr>
        <w:spacing w:line="360" w:lineRule="auto"/>
        <w:ind w:right="26"/>
        <w:rPr>
          <w:rFonts w:ascii="宋体" w:hAnsi="宋体"/>
          <w:b/>
          <w:color w:val="0D0D0D"/>
          <w:sz w:val="28"/>
          <w:szCs w:val="28"/>
        </w:rPr>
      </w:pPr>
    </w:p>
    <w:p w14:paraId="33F4038F" w14:textId="77777777" w:rsidR="00700034" w:rsidRDefault="00700034">
      <w:pPr>
        <w:spacing w:line="360" w:lineRule="auto"/>
        <w:ind w:right="26"/>
        <w:rPr>
          <w:rFonts w:ascii="宋体" w:hAnsi="宋体"/>
          <w:b/>
          <w:color w:val="0D0D0D"/>
          <w:sz w:val="28"/>
          <w:szCs w:val="28"/>
        </w:rPr>
      </w:pPr>
      <w:r>
        <w:rPr>
          <w:rFonts w:ascii="宋体" w:hAnsi="宋体" w:hint="eastAsia"/>
          <w:b/>
          <w:color w:val="0D0D0D"/>
          <w:sz w:val="28"/>
          <w:szCs w:val="28"/>
        </w:rPr>
        <w:t>法定代表人或授权代理人：</w:t>
      </w:r>
    </w:p>
    <w:p w14:paraId="333961DD" w14:textId="77777777" w:rsidR="00700034" w:rsidRDefault="00700034">
      <w:pPr>
        <w:spacing w:line="360" w:lineRule="auto"/>
        <w:ind w:right="26"/>
        <w:rPr>
          <w:rFonts w:ascii="宋体" w:hAnsi="宋体"/>
          <w:b/>
          <w:color w:val="0D0D0D"/>
          <w:sz w:val="28"/>
          <w:szCs w:val="28"/>
        </w:rPr>
      </w:pPr>
    </w:p>
    <w:p w14:paraId="3B6C17C1" w14:textId="77777777" w:rsidR="00700034" w:rsidRDefault="00700034">
      <w:pPr>
        <w:spacing w:line="360" w:lineRule="auto"/>
        <w:ind w:right="26"/>
        <w:rPr>
          <w:rFonts w:ascii="宋体" w:hAnsi="宋体"/>
          <w:b/>
          <w:color w:val="0D0D0D"/>
          <w:sz w:val="28"/>
          <w:szCs w:val="28"/>
        </w:rPr>
      </w:pPr>
    </w:p>
    <w:p w14:paraId="3CD810FE" w14:textId="77777777" w:rsidR="00700034" w:rsidRDefault="00700034">
      <w:pPr>
        <w:spacing w:line="360" w:lineRule="auto"/>
        <w:ind w:right="26"/>
        <w:rPr>
          <w:rFonts w:ascii="宋体" w:hAnsi="宋体"/>
          <w:b/>
          <w:color w:val="0D0D0D"/>
          <w:sz w:val="28"/>
          <w:szCs w:val="28"/>
        </w:rPr>
      </w:pPr>
      <w:r>
        <w:rPr>
          <w:rFonts w:ascii="宋体" w:hAnsi="宋体" w:hint="eastAsia"/>
          <w:b/>
          <w:color w:val="0D0D0D"/>
          <w:sz w:val="28"/>
          <w:szCs w:val="28"/>
        </w:rPr>
        <w:t>签订地点：</w:t>
      </w:r>
    </w:p>
    <w:p w14:paraId="4810BDDC" w14:textId="67FCD250" w:rsidR="00342CB5" w:rsidRDefault="00700034">
      <w:pPr>
        <w:spacing w:line="360" w:lineRule="auto"/>
        <w:rPr>
          <w:rFonts w:ascii="宋体" w:hAnsi="宋体" w:cs="Arial"/>
          <w:b/>
          <w:color w:val="0D0D0D"/>
          <w:sz w:val="28"/>
          <w:szCs w:val="28"/>
        </w:rPr>
        <w:sectPr w:rsidR="00342CB5" w:rsidSect="003E1424">
          <w:headerReference w:type="default" r:id="rId7"/>
          <w:footerReference w:type="default" r:id="rId8"/>
          <w:type w:val="continuous"/>
          <w:pgSz w:w="11906" w:h="16838"/>
          <w:pgMar w:top="1440" w:right="1797" w:bottom="1440" w:left="1797" w:header="851" w:footer="992" w:gutter="0"/>
          <w:pgNumType w:start="0"/>
          <w:cols w:space="720"/>
          <w:titlePg/>
          <w:docGrid w:type="lines" w:linePitch="312"/>
        </w:sectPr>
      </w:pPr>
      <w:r>
        <w:rPr>
          <w:rFonts w:ascii="宋体" w:hAnsi="宋体" w:hint="eastAsia"/>
          <w:b/>
          <w:color w:val="0D0D0D"/>
          <w:sz w:val="28"/>
          <w:szCs w:val="28"/>
        </w:rPr>
        <w:t>签 订 日：</w:t>
      </w:r>
      <w:r>
        <w:rPr>
          <w:rFonts w:ascii="宋体" w:hAnsi="宋体" w:cs="Arial"/>
          <w:b/>
          <w:color w:val="0D0D0D"/>
          <w:sz w:val="28"/>
          <w:szCs w:val="28"/>
        </w:rPr>
        <w:t>二〇</w:t>
      </w:r>
      <w:r>
        <w:rPr>
          <w:rFonts w:ascii="宋体" w:hAnsi="宋体" w:cs="Arial" w:hint="eastAsia"/>
          <w:b/>
          <w:color w:val="0D0D0D"/>
          <w:sz w:val="28"/>
          <w:szCs w:val="28"/>
        </w:rPr>
        <w:t>____</w:t>
      </w:r>
      <w:r>
        <w:rPr>
          <w:rFonts w:ascii="宋体" w:hAnsi="宋体" w:cs="Arial"/>
          <w:b/>
          <w:color w:val="0D0D0D"/>
          <w:sz w:val="28"/>
          <w:szCs w:val="28"/>
        </w:rPr>
        <w:t>年</w:t>
      </w:r>
      <w:r>
        <w:rPr>
          <w:rFonts w:ascii="宋体" w:hAnsi="宋体" w:cs="Arial" w:hint="eastAsia"/>
          <w:b/>
          <w:color w:val="0D0D0D"/>
          <w:sz w:val="28"/>
          <w:szCs w:val="28"/>
        </w:rPr>
        <w:t>____</w:t>
      </w:r>
      <w:r>
        <w:rPr>
          <w:rFonts w:ascii="宋体" w:hAnsi="宋体" w:cs="Arial"/>
          <w:b/>
          <w:color w:val="0D0D0D"/>
          <w:sz w:val="28"/>
          <w:szCs w:val="28"/>
        </w:rPr>
        <w:t>月</w:t>
      </w:r>
      <w:r>
        <w:rPr>
          <w:rFonts w:ascii="宋体" w:hAnsi="宋体" w:cs="Arial" w:hint="eastAsia"/>
          <w:b/>
          <w:color w:val="0D0D0D"/>
          <w:sz w:val="28"/>
          <w:szCs w:val="28"/>
        </w:rPr>
        <w:t>____</w:t>
      </w:r>
      <w:r>
        <w:rPr>
          <w:rFonts w:ascii="宋体" w:hAnsi="宋体" w:cs="Arial"/>
          <w:b/>
          <w:color w:val="0D0D0D"/>
          <w:sz w:val="28"/>
          <w:szCs w:val="28"/>
        </w:rPr>
        <w:t>日</w:t>
      </w:r>
    </w:p>
    <w:bookmarkEnd w:id="93"/>
    <w:p w14:paraId="455075BE" w14:textId="77777777" w:rsidR="00700034" w:rsidRDefault="00700034">
      <w:pPr>
        <w:spacing w:line="360" w:lineRule="auto"/>
        <w:rPr>
          <w:rFonts w:ascii="宋体" w:hAnsi="宋体"/>
          <w:color w:val="0D0D0D"/>
          <w:sz w:val="28"/>
          <w:szCs w:val="28"/>
        </w:rPr>
      </w:pPr>
    </w:p>
    <w:sectPr w:rsidR="00700034">
      <w:type w:val="continuous"/>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5A5D" w14:textId="77777777" w:rsidR="000A7D2B" w:rsidRDefault="000A7D2B">
      <w:r>
        <w:separator/>
      </w:r>
    </w:p>
  </w:endnote>
  <w:endnote w:type="continuationSeparator" w:id="0">
    <w:p w14:paraId="611DFD45" w14:textId="77777777" w:rsidR="000A7D2B" w:rsidRDefault="000A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948" w14:textId="77777777" w:rsidR="003E5F43" w:rsidRDefault="003E5F43">
    <w:pPr>
      <w:pStyle w:val="ad"/>
      <w:jc w:val="center"/>
    </w:pPr>
    <w:r>
      <w:fldChar w:fldCharType="begin"/>
    </w:r>
    <w:r>
      <w:instrText>PAGE   \* MERGEFORMAT</w:instrText>
    </w:r>
    <w:r>
      <w:fldChar w:fldCharType="separate"/>
    </w:r>
    <w:r>
      <w:rPr>
        <w:lang w:val="zh-CN"/>
      </w:rPr>
      <w:t>2</w:t>
    </w:r>
    <w:r>
      <w:fldChar w:fldCharType="end"/>
    </w:r>
  </w:p>
  <w:p w14:paraId="02995D50" w14:textId="77777777" w:rsidR="00B15602" w:rsidRDefault="00B15602">
    <w:pPr>
      <w:pStyle w:val="ad"/>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63DE" w14:textId="77777777" w:rsidR="000A7D2B" w:rsidRDefault="000A7D2B">
      <w:r>
        <w:rPr>
          <w:rFonts w:hint="eastAsia"/>
        </w:rPr>
        <w:separator/>
      </w:r>
    </w:p>
  </w:footnote>
  <w:footnote w:type="continuationSeparator" w:id="0">
    <w:p w14:paraId="519EFB46" w14:textId="77777777" w:rsidR="000A7D2B" w:rsidRDefault="000A7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8A7E" w14:textId="28734EEB" w:rsidR="00B15602" w:rsidRPr="00D963B0" w:rsidRDefault="00D963B0" w:rsidP="00D963B0">
    <w:pPr>
      <w:pStyle w:val="af"/>
      <w:jc w:val="both"/>
    </w:pPr>
    <w:r>
      <w:rPr>
        <w:rFonts w:hint="eastAsia"/>
      </w:rPr>
      <w:t>富达悦享红利优选混合型证券投资基金</w:t>
    </w:r>
    <w:r>
      <w:rPr>
        <w:rFonts w:hint="eastAsia"/>
      </w:rPr>
      <w:t xml:space="preserve"> </w:t>
    </w:r>
    <w:r>
      <w:t xml:space="preserve">                                                 </w:t>
    </w:r>
    <w:r>
      <w:rPr>
        <w:rFonts w:hint="eastAsia"/>
      </w:rPr>
      <w:t>托管协议</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3DE"/>
    <w:rsid w:val="00001231"/>
    <w:rsid w:val="00001A79"/>
    <w:rsid w:val="00002147"/>
    <w:rsid w:val="00002611"/>
    <w:rsid w:val="000043C0"/>
    <w:rsid w:val="00005BAD"/>
    <w:rsid w:val="00006E17"/>
    <w:rsid w:val="000075D2"/>
    <w:rsid w:val="00007C55"/>
    <w:rsid w:val="00010AB8"/>
    <w:rsid w:val="00010BF1"/>
    <w:rsid w:val="00010DF4"/>
    <w:rsid w:val="0001143B"/>
    <w:rsid w:val="00011DE0"/>
    <w:rsid w:val="000121B2"/>
    <w:rsid w:val="000130EB"/>
    <w:rsid w:val="00015DE8"/>
    <w:rsid w:val="000171E1"/>
    <w:rsid w:val="00020DF6"/>
    <w:rsid w:val="00020E97"/>
    <w:rsid w:val="000241BA"/>
    <w:rsid w:val="00025A03"/>
    <w:rsid w:val="00026B66"/>
    <w:rsid w:val="00026D26"/>
    <w:rsid w:val="00026D72"/>
    <w:rsid w:val="00026FDA"/>
    <w:rsid w:val="00027619"/>
    <w:rsid w:val="0003136C"/>
    <w:rsid w:val="00031C86"/>
    <w:rsid w:val="00032D1D"/>
    <w:rsid w:val="00032FA3"/>
    <w:rsid w:val="00035E1E"/>
    <w:rsid w:val="00036664"/>
    <w:rsid w:val="00036B54"/>
    <w:rsid w:val="00042B3D"/>
    <w:rsid w:val="00042E5C"/>
    <w:rsid w:val="000454A6"/>
    <w:rsid w:val="00046499"/>
    <w:rsid w:val="00047B6C"/>
    <w:rsid w:val="000501E5"/>
    <w:rsid w:val="00050662"/>
    <w:rsid w:val="000514E2"/>
    <w:rsid w:val="00055045"/>
    <w:rsid w:val="00057A4C"/>
    <w:rsid w:val="00057F4C"/>
    <w:rsid w:val="000614B9"/>
    <w:rsid w:val="000668D3"/>
    <w:rsid w:val="00066E06"/>
    <w:rsid w:val="00067E30"/>
    <w:rsid w:val="0007080E"/>
    <w:rsid w:val="00073C98"/>
    <w:rsid w:val="00073FA8"/>
    <w:rsid w:val="000756C3"/>
    <w:rsid w:val="00076DFA"/>
    <w:rsid w:val="0007796A"/>
    <w:rsid w:val="00077B5E"/>
    <w:rsid w:val="0008016A"/>
    <w:rsid w:val="0008047D"/>
    <w:rsid w:val="00081E36"/>
    <w:rsid w:val="00082093"/>
    <w:rsid w:val="00084605"/>
    <w:rsid w:val="00085413"/>
    <w:rsid w:val="0008543D"/>
    <w:rsid w:val="000856BD"/>
    <w:rsid w:val="00085A8C"/>
    <w:rsid w:val="000877BB"/>
    <w:rsid w:val="00087CAC"/>
    <w:rsid w:val="00087EEC"/>
    <w:rsid w:val="000900E1"/>
    <w:rsid w:val="000923FF"/>
    <w:rsid w:val="00092733"/>
    <w:rsid w:val="0009336C"/>
    <w:rsid w:val="0009349F"/>
    <w:rsid w:val="000943F2"/>
    <w:rsid w:val="0009461F"/>
    <w:rsid w:val="00096C35"/>
    <w:rsid w:val="000A0AED"/>
    <w:rsid w:val="000A1C94"/>
    <w:rsid w:val="000A2BEC"/>
    <w:rsid w:val="000A3ACB"/>
    <w:rsid w:val="000A45E1"/>
    <w:rsid w:val="000A4D4C"/>
    <w:rsid w:val="000A79D0"/>
    <w:rsid w:val="000A7D2B"/>
    <w:rsid w:val="000B0933"/>
    <w:rsid w:val="000B096F"/>
    <w:rsid w:val="000B0D5D"/>
    <w:rsid w:val="000B2C71"/>
    <w:rsid w:val="000B3EFB"/>
    <w:rsid w:val="000B4440"/>
    <w:rsid w:val="000B5E86"/>
    <w:rsid w:val="000B6E6E"/>
    <w:rsid w:val="000B7B4B"/>
    <w:rsid w:val="000B7F1F"/>
    <w:rsid w:val="000C5247"/>
    <w:rsid w:val="000C6E29"/>
    <w:rsid w:val="000C7F64"/>
    <w:rsid w:val="000D22AB"/>
    <w:rsid w:val="000D23E4"/>
    <w:rsid w:val="000D39E6"/>
    <w:rsid w:val="000D402D"/>
    <w:rsid w:val="000D465B"/>
    <w:rsid w:val="000D5081"/>
    <w:rsid w:val="000D554C"/>
    <w:rsid w:val="000D6A87"/>
    <w:rsid w:val="000E26D5"/>
    <w:rsid w:val="000E42E8"/>
    <w:rsid w:val="000E56AA"/>
    <w:rsid w:val="000F0411"/>
    <w:rsid w:val="000F528E"/>
    <w:rsid w:val="000F5FDE"/>
    <w:rsid w:val="000F6035"/>
    <w:rsid w:val="000F7B10"/>
    <w:rsid w:val="001000D9"/>
    <w:rsid w:val="00100635"/>
    <w:rsid w:val="001006E3"/>
    <w:rsid w:val="0010084B"/>
    <w:rsid w:val="00100CC0"/>
    <w:rsid w:val="00101337"/>
    <w:rsid w:val="00101FEF"/>
    <w:rsid w:val="00104382"/>
    <w:rsid w:val="0010473E"/>
    <w:rsid w:val="00105076"/>
    <w:rsid w:val="001068B5"/>
    <w:rsid w:val="00111D57"/>
    <w:rsid w:val="00113618"/>
    <w:rsid w:val="00113EDC"/>
    <w:rsid w:val="00115D8F"/>
    <w:rsid w:val="001174EB"/>
    <w:rsid w:val="00117CB9"/>
    <w:rsid w:val="00122609"/>
    <w:rsid w:val="001249E5"/>
    <w:rsid w:val="001307E0"/>
    <w:rsid w:val="00131563"/>
    <w:rsid w:val="00131B65"/>
    <w:rsid w:val="00132BB5"/>
    <w:rsid w:val="00133DB0"/>
    <w:rsid w:val="001359A5"/>
    <w:rsid w:val="0013785A"/>
    <w:rsid w:val="00143A8D"/>
    <w:rsid w:val="00143F78"/>
    <w:rsid w:val="001449B1"/>
    <w:rsid w:val="00144BFA"/>
    <w:rsid w:val="00146068"/>
    <w:rsid w:val="001474F0"/>
    <w:rsid w:val="001476AB"/>
    <w:rsid w:val="00147C90"/>
    <w:rsid w:val="0015139A"/>
    <w:rsid w:val="00151C06"/>
    <w:rsid w:val="0015354F"/>
    <w:rsid w:val="001537C1"/>
    <w:rsid w:val="001542E4"/>
    <w:rsid w:val="00154A2D"/>
    <w:rsid w:val="00154FFB"/>
    <w:rsid w:val="001553F2"/>
    <w:rsid w:val="0015584C"/>
    <w:rsid w:val="0015621C"/>
    <w:rsid w:val="00156ED3"/>
    <w:rsid w:val="00157587"/>
    <w:rsid w:val="00157740"/>
    <w:rsid w:val="00157ACE"/>
    <w:rsid w:val="001618BF"/>
    <w:rsid w:val="00162E78"/>
    <w:rsid w:val="00164515"/>
    <w:rsid w:val="00164E6F"/>
    <w:rsid w:val="0016559E"/>
    <w:rsid w:val="00167DBF"/>
    <w:rsid w:val="00171752"/>
    <w:rsid w:val="00171800"/>
    <w:rsid w:val="00171EEA"/>
    <w:rsid w:val="001723CF"/>
    <w:rsid w:val="00172C1E"/>
    <w:rsid w:val="001738E2"/>
    <w:rsid w:val="00174143"/>
    <w:rsid w:val="00175B1C"/>
    <w:rsid w:val="00176A95"/>
    <w:rsid w:val="0018100D"/>
    <w:rsid w:val="001811DB"/>
    <w:rsid w:val="00182875"/>
    <w:rsid w:val="00182C70"/>
    <w:rsid w:val="00184263"/>
    <w:rsid w:val="00184CC8"/>
    <w:rsid w:val="0018698D"/>
    <w:rsid w:val="001869F6"/>
    <w:rsid w:val="00190500"/>
    <w:rsid w:val="00191C2E"/>
    <w:rsid w:val="00194B03"/>
    <w:rsid w:val="001958FE"/>
    <w:rsid w:val="00195F85"/>
    <w:rsid w:val="001965F6"/>
    <w:rsid w:val="001A3009"/>
    <w:rsid w:val="001A6B04"/>
    <w:rsid w:val="001B0E2D"/>
    <w:rsid w:val="001B329A"/>
    <w:rsid w:val="001B4A9B"/>
    <w:rsid w:val="001B556C"/>
    <w:rsid w:val="001B7C5A"/>
    <w:rsid w:val="001C0012"/>
    <w:rsid w:val="001C1B89"/>
    <w:rsid w:val="001C388A"/>
    <w:rsid w:val="001C6EDF"/>
    <w:rsid w:val="001D0146"/>
    <w:rsid w:val="001D054D"/>
    <w:rsid w:val="001D1A4D"/>
    <w:rsid w:val="001D21DE"/>
    <w:rsid w:val="001D33DF"/>
    <w:rsid w:val="001D3E55"/>
    <w:rsid w:val="001D3EF6"/>
    <w:rsid w:val="001D41D0"/>
    <w:rsid w:val="001D4834"/>
    <w:rsid w:val="001D4DA3"/>
    <w:rsid w:val="001D644F"/>
    <w:rsid w:val="001E343E"/>
    <w:rsid w:val="001E3F7E"/>
    <w:rsid w:val="001E4AA8"/>
    <w:rsid w:val="001E7FE3"/>
    <w:rsid w:val="001F1503"/>
    <w:rsid w:val="001F302C"/>
    <w:rsid w:val="001F3625"/>
    <w:rsid w:val="001F3E96"/>
    <w:rsid w:val="001F4C20"/>
    <w:rsid w:val="001F59D2"/>
    <w:rsid w:val="001F5E45"/>
    <w:rsid w:val="001F6315"/>
    <w:rsid w:val="001F7451"/>
    <w:rsid w:val="001F7E3F"/>
    <w:rsid w:val="00200D9F"/>
    <w:rsid w:val="0020244B"/>
    <w:rsid w:val="00202A3A"/>
    <w:rsid w:val="002033EC"/>
    <w:rsid w:val="00203EAB"/>
    <w:rsid w:val="00207CA1"/>
    <w:rsid w:val="00214370"/>
    <w:rsid w:val="0021497A"/>
    <w:rsid w:val="00214A6F"/>
    <w:rsid w:val="00214CB8"/>
    <w:rsid w:val="00217724"/>
    <w:rsid w:val="00217F19"/>
    <w:rsid w:val="0022107E"/>
    <w:rsid w:val="00221A63"/>
    <w:rsid w:val="0022222E"/>
    <w:rsid w:val="002236F8"/>
    <w:rsid w:val="002257A9"/>
    <w:rsid w:val="002278DE"/>
    <w:rsid w:val="00227C3F"/>
    <w:rsid w:val="00232B5B"/>
    <w:rsid w:val="00233B02"/>
    <w:rsid w:val="002355D7"/>
    <w:rsid w:val="00237035"/>
    <w:rsid w:val="00240AA2"/>
    <w:rsid w:val="002415EF"/>
    <w:rsid w:val="002453A4"/>
    <w:rsid w:val="00245A20"/>
    <w:rsid w:val="00247D5E"/>
    <w:rsid w:val="00252B5D"/>
    <w:rsid w:val="002531D1"/>
    <w:rsid w:val="00253E0F"/>
    <w:rsid w:val="00254270"/>
    <w:rsid w:val="00255FF6"/>
    <w:rsid w:val="00256EE8"/>
    <w:rsid w:val="002570A5"/>
    <w:rsid w:val="0025795A"/>
    <w:rsid w:val="00260A1A"/>
    <w:rsid w:val="00262D65"/>
    <w:rsid w:val="00265F18"/>
    <w:rsid w:val="0026611C"/>
    <w:rsid w:val="002709EE"/>
    <w:rsid w:val="00270C6D"/>
    <w:rsid w:val="00271228"/>
    <w:rsid w:val="00274B2E"/>
    <w:rsid w:val="00275562"/>
    <w:rsid w:val="00277EE0"/>
    <w:rsid w:val="002848A0"/>
    <w:rsid w:val="00285D1F"/>
    <w:rsid w:val="00287492"/>
    <w:rsid w:val="002876FE"/>
    <w:rsid w:val="00290424"/>
    <w:rsid w:val="0029073D"/>
    <w:rsid w:val="00291F10"/>
    <w:rsid w:val="002926F8"/>
    <w:rsid w:val="00293112"/>
    <w:rsid w:val="00294607"/>
    <w:rsid w:val="002A17A8"/>
    <w:rsid w:val="002A3627"/>
    <w:rsid w:val="002A3AC9"/>
    <w:rsid w:val="002A3AE7"/>
    <w:rsid w:val="002A433C"/>
    <w:rsid w:val="002A6595"/>
    <w:rsid w:val="002A6A91"/>
    <w:rsid w:val="002A72EF"/>
    <w:rsid w:val="002B0F39"/>
    <w:rsid w:val="002B1557"/>
    <w:rsid w:val="002B1E3B"/>
    <w:rsid w:val="002B2A8D"/>
    <w:rsid w:val="002B33EF"/>
    <w:rsid w:val="002B3E0A"/>
    <w:rsid w:val="002B3FE3"/>
    <w:rsid w:val="002B4B97"/>
    <w:rsid w:val="002B57A1"/>
    <w:rsid w:val="002B57DE"/>
    <w:rsid w:val="002B7DCC"/>
    <w:rsid w:val="002C14EF"/>
    <w:rsid w:val="002C3C42"/>
    <w:rsid w:val="002C42D2"/>
    <w:rsid w:val="002C4B01"/>
    <w:rsid w:val="002C62AA"/>
    <w:rsid w:val="002C7B9E"/>
    <w:rsid w:val="002D58A4"/>
    <w:rsid w:val="002D683E"/>
    <w:rsid w:val="002D7756"/>
    <w:rsid w:val="002E023C"/>
    <w:rsid w:val="002E25FD"/>
    <w:rsid w:val="002E2FF2"/>
    <w:rsid w:val="002E3E7D"/>
    <w:rsid w:val="002F1839"/>
    <w:rsid w:val="002F43BA"/>
    <w:rsid w:val="002F6B66"/>
    <w:rsid w:val="002F7CB5"/>
    <w:rsid w:val="00300070"/>
    <w:rsid w:val="00300175"/>
    <w:rsid w:val="00301F0D"/>
    <w:rsid w:val="00303611"/>
    <w:rsid w:val="0030389C"/>
    <w:rsid w:val="00304F51"/>
    <w:rsid w:val="0030582A"/>
    <w:rsid w:val="0030703C"/>
    <w:rsid w:val="00307F65"/>
    <w:rsid w:val="00313BC4"/>
    <w:rsid w:val="00315433"/>
    <w:rsid w:val="00316250"/>
    <w:rsid w:val="003165DC"/>
    <w:rsid w:val="00316CB4"/>
    <w:rsid w:val="00316CCB"/>
    <w:rsid w:val="00317690"/>
    <w:rsid w:val="003178B9"/>
    <w:rsid w:val="00320028"/>
    <w:rsid w:val="00321858"/>
    <w:rsid w:val="00322664"/>
    <w:rsid w:val="00326961"/>
    <w:rsid w:val="00327412"/>
    <w:rsid w:val="00327F21"/>
    <w:rsid w:val="003334C7"/>
    <w:rsid w:val="00334D89"/>
    <w:rsid w:val="00335106"/>
    <w:rsid w:val="003355F2"/>
    <w:rsid w:val="00336544"/>
    <w:rsid w:val="003366DE"/>
    <w:rsid w:val="00337F74"/>
    <w:rsid w:val="00340191"/>
    <w:rsid w:val="00342C98"/>
    <w:rsid w:val="00342CB5"/>
    <w:rsid w:val="00342F96"/>
    <w:rsid w:val="00347226"/>
    <w:rsid w:val="00347C52"/>
    <w:rsid w:val="00351603"/>
    <w:rsid w:val="00351C43"/>
    <w:rsid w:val="0035203C"/>
    <w:rsid w:val="00353EA6"/>
    <w:rsid w:val="00354D18"/>
    <w:rsid w:val="00354FBE"/>
    <w:rsid w:val="003565FF"/>
    <w:rsid w:val="0035670F"/>
    <w:rsid w:val="00356EAD"/>
    <w:rsid w:val="00357221"/>
    <w:rsid w:val="00361DCE"/>
    <w:rsid w:val="00363098"/>
    <w:rsid w:val="00367C3F"/>
    <w:rsid w:val="00371FF7"/>
    <w:rsid w:val="00374348"/>
    <w:rsid w:val="0037492A"/>
    <w:rsid w:val="00375321"/>
    <w:rsid w:val="00375504"/>
    <w:rsid w:val="003772FB"/>
    <w:rsid w:val="00380B96"/>
    <w:rsid w:val="00381E90"/>
    <w:rsid w:val="00382E99"/>
    <w:rsid w:val="0038383C"/>
    <w:rsid w:val="00386A71"/>
    <w:rsid w:val="003903F6"/>
    <w:rsid w:val="00390499"/>
    <w:rsid w:val="00393496"/>
    <w:rsid w:val="00394B43"/>
    <w:rsid w:val="0039742D"/>
    <w:rsid w:val="0039774B"/>
    <w:rsid w:val="003A033D"/>
    <w:rsid w:val="003A159E"/>
    <w:rsid w:val="003A2B8E"/>
    <w:rsid w:val="003A3DD0"/>
    <w:rsid w:val="003A4664"/>
    <w:rsid w:val="003A4789"/>
    <w:rsid w:val="003A48F7"/>
    <w:rsid w:val="003A67F8"/>
    <w:rsid w:val="003B04D0"/>
    <w:rsid w:val="003B0AD1"/>
    <w:rsid w:val="003B393E"/>
    <w:rsid w:val="003B52E7"/>
    <w:rsid w:val="003B577D"/>
    <w:rsid w:val="003B5ECB"/>
    <w:rsid w:val="003B7173"/>
    <w:rsid w:val="003C0140"/>
    <w:rsid w:val="003C165F"/>
    <w:rsid w:val="003C3DE4"/>
    <w:rsid w:val="003C44AC"/>
    <w:rsid w:val="003C4853"/>
    <w:rsid w:val="003D20DB"/>
    <w:rsid w:val="003D23D1"/>
    <w:rsid w:val="003D5353"/>
    <w:rsid w:val="003E1341"/>
    <w:rsid w:val="003E1424"/>
    <w:rsid w:val="003E260B"/>
    <w:rsid w:val="003E2B6B"/>
    <w:rsid w:val="003E308D"/>
    <w:rsid w:val="003E3B4B"/>
    <w:rsid w:val="003E3C67"/>
    <w:rsid w:val="003E57DA"/>
    <w:rsid w:val="003E5952"/>
    <w:rsid w:val="003E5F43"/>
    <w:rsid w:val="003E695C"/>
    <w:rsid w:val="003E7ED5"/>
    <w:rsid w:val="003F127C"/>
    <w:rsid w:val="003F5797"/>
    <w:rsid w:val="003F6042"/>
    <w:rsid w:val="003F66AA"/>
    <w:rsid w:val="003F6AA8"/>
    <w:rsid w:val="003F7171"/>
    <w:rsid w:val="003F7899"/>
    <w:rsid w:val="004004F8"/>
    <w:rsid w:val="00400670"/>
    <w:rsid w:val="00404D85"/>
    <w:rsid w:val="00405452"/>
    <w:rsid w:val="0040567B"/>
    <w:rsid w:val="00411973"/>
    <w:rsid w:val="00411CAE"/>
    <w:rsid w:val="00412A18"/>
    <w:rsid w:val="004165E7"/>
    <w:rsid w:val="00421284"/>
    <w:rsid w:val="00421CA7"/>
    <w:rsid w:val="00426125"/>
    <w:rsid w:val="0042760A"/>
    <w:rsid w:val="00427F3B"/>
    <w:rsid w:val="00432495"/>
    <w:rsid w:val="00432F17"/>
    <w:rsid w:val="00434829"/>
    <w:rsid w:val="00440E40"/>
    <w:rsid w:val="004435E2"/>
    <w:rsid w:val="00444016"/>
    <w:rsid w:val="0044583D"/>
    <w:rsid w:val="00452365"/>
    <w:rsid w:val="00452BE4"/>
    <w:rsid w:val="00452F25"/>
    <w:rsid w:val="00453D4A"/>
    <w:rsid w:val="00456A9F"/>
    <w:rsid w:val="004605C3"/>
    <w:rsid w:val="0046237F"/>
    <w:rsid w:val="00462A97"/>
    <w:rsid w:val="004635AC"/>
    <w:rsid w:val="00464806"/>
    <w:rsid w:val="00464CC8"/>
    <w:rsid w:val="00464FCC"/>
    <w:rsid w:val="00465B8F"/>
    <w:rsid w:val="004672F5"/>
    <w:rsid w:val="00467D4F"/>
    <w:rsid w:val="00470E9B"/>
    <w:rsid w:val="00471B28"/>
    <w:rsid w:val="0047328C"/>
    <w:rsid w:val="004745A5"/>
    <w:rsid w:val="004758B8"/>
    <w:rsid w:val="00476F00"/>
    <w:rsid w:val="00483417"/>
    <w:rsid w:val="00483635"/>
    <w:rsid w:val="004873C9"/>
    <w:rsid w:val="004906F9"/>
    <w:rsid w:val="0049123E"/>
    <w:rsid w:val="0049227B"/>
    <w:rsid w:val="00494A13"/>
    <w:rsid w:val="004950FB"/>
    <w:rsid w:val="004962B9"/>
    <w:rsid w:val="00496487"/>
    <w:rsid w:val="00496C3E"/>
    <w:rsid w:val="00496F28"/>
    <w:rsid w:val="004A1070"/>
    <w:rsid w:val="004A10CF"/>
    <w:rsid w:val="004A218D"/>
    <w:rsid w:val="004A2526"/>
    <w:rsid w:val="004A2C8D"/>
    <w:rsid w:val="004A339E"/>
    <w:rsid w:val="004A3AD7"/>
    <w:rsid w:val="004A528B"/>
    <w:rsid w:val="004A53C8"/>
    <w:rsid w:val="004B025B"/>
    <w:rsid w:val="004B322A"/>
    <w:rsid w:val="004B3372"/>
    <w:rsid w:val="004B33F2"/>
    <w:rsid w:val="004B5084"/>
    <w:rsid w:val="004B5411"/>
    <w:rsid w:val="004B5A83"/>
    <w:rsid w:val="004B699E"/>
    <w:rsid w:val="004B7DFF"/>
    <w:rsid w:val="004C0EF1"/>
    <w:rsid w:val="004C3366"/>
    <w:rsid w:val="004C3A0D"/>
    <w:rsid w:val="004C3FFF"/>
    <w:rsid w:val="004C40AA"/>
    <w:rsid w:val="004C56E0"/>
    <w:rsid w:val="004C714B"/>
    <w:rsid w:val="004D15CE"/>
    <w:rsid w:val="004D1F19"/>
    <w:rsid w:val="004D303E"/>
    <w:rsid w:val="004E34B0"/>
    <w:rsid w:val="004E4200"/>
    <w:rsid w:val="004E472C"/>
    <w:rsid w:val="004E512B"/>
    <w:rsid w:val="004E5722"/>
    <w:rsid w:val="004E60E3"/>
    <w:rsid w:val="004F018D"/>
    <w:rsid w:val="004F05EA"/>
    <w:rsid w:val="004F21C2"/>
    <w:rsid w:val="004F3570"/>
    <w:rsid w:val="004F5C47"/>
    <w:rsid w:val="00501F77"/>
    <w:rsid w:val="0050745C"/>
    <w:rsid w:val="00507CFE"/>
    <w:rsid w:val="00511031"/>
    <w:rsid w:val="0051407B"/>
    <w:rsid w:val="00514F18"/>
    <w:rsid w:val="00516A68"/>
    <w:rsid w:val="00524C9E"/>
    <w:rsid w:val="0052526C"/>
    <w:rsid w:val="0052640C"/>
    <w:rsid w:val="00527114"/>
    <w:rsid w:val="0052788C"/>
    <w:rsid w:val="00530535"/>
    <w:rsid w:val="0053113E"/>
    <w:rsid w:val="005316F1"/>
    <w:rsid w:val="0053443A"/>
    <w:rsid w:val="00534659"/>
    <w:rsid w:val="00535803"/>
    <w:rsid w:val="005431C1"/>
    <w:rsid w:val="005434BE"/>
    <w:rsid w:val="005437FD"/>
    <w:rsid w:val="0054463B"/>
    <w:rsid w:val="00547E2F"/>
    <w:rsid w:val="0055011A"/>
    <w:rsid w:val="0055018A"/>
    <w:rsid w:val="0055377E"/>
    <w:rsid w:val="005540C4"/>
    <w:rsid w:val="00554776"/>
    <w:rsid w:val="005566C9"/>
    <w:rsid w:val="00556947"/>
    <w:rsid w:val="0056008E"/>
    <w:rsid w:val="00560E3B"/>
    <w:rsid w:val="00560FA9"/>
    <w:rsid w:val="0056362C"/>
    <w:rsid w:val="00563AFF"/>
    <w:rsid w:val="0056420A"/>
    <w:rsid w:val="005656F5"/>
    <w:rsid w:val="005657C0"/>
    <w:rsid w:val="00565C69"/>
    <w:rsid w:val="0056681C"/>
    <w:rsid w:val="0056729A"/>
    <w:rsid w:val="005707AE"/>
    <w:rsid w:val="00571639"/>
    <w:rsid w:val="00571C58"/>
    <w:rsid w:val="00572191"/>
    <w:rsid w:val="00573F21"/>
    <w:rsid w:val="0057453B"/>
    <w:rsid w:val="00574795"/>
    <w:rsid w:val="00575440"/>
    <w:rsid w:val="005804A4"/>
    <w:rsid w:val="00581287"/>
    <w:rsid w:val="00582756"/>
    <w:rsid w:val="00583D18"/>
    <w:rsid w:val="0058429F"/>
    <w:rsid w:val="0058445E"/>
    <w:rsid w:val="00584A6D"/>
    <w:rsid w:val="005872DA"/>
    <w:rsid w:val="00587471"/>
    <w:rsid w:val="0059005A"/>
    <w:rsid w:val="00590503"/>
    <w:rsid w:val="00591861"/>
    <w:rsid w:val="0059259F"/>
    <w:rsid w:val="005927E0"/>
    <w:rsid w:val="00593916"/>
    <w:rsid w:val="00593C75"/>
    <w:rsid w:val="00594BE0"/>
    <w:rsid w:val="0059650A"/>
    <w:rsid w:val="00597923"/>
    <w:rsid w:val="005A00F4"/>
    <w:rsid w:val="005A0CA7"/>
    <w:rsid w:val="005A0F8F"/>
    <w:rsid w:val="005A1CAE"/>
    <w:rsid w:val="005A2427"/>
    <w:rsid w:val="005A2C48"/>
    <w:rsid w:val="005A62D3"/>
    <w:rsid w:val="005A7831"/>
    <w:rsid w:val="005B1596"/>
    <w:rsid w:val="005B18CA"/>
    <w:rsid w:val="005B1AD1"/>
    <w:rsid w:val="005B66C7"/>
    <w:rsid w:val="005C0ABD"/>
    <w:rsid w:val="005C1925"/>
    <w:rsid w:val="005C2AA7"/>
    <w:rsid w:val="005C488F"/>
    <w:rsid w:val="005C4991"/>
    <w:rsid w:val="005C6662"/>
    <w:rsid w:val="005C6A47"/>
    <w:rsid w:val="005C6BC0"/>
    <w:rsid w:val="005D072A"/>
    <w:rsid w:val="005D2598"/>
    <w:rsid w:val="005D3152"/>
    <w:rsid w:val="005D385C"/>
    <w:rsid w:val="005D42A7"/>
    <w:rsid w:val="005E0725"/>
    <w:rsid w:val="005E1708"/>
    <w:rsid w:val="005E2C9E"/>
    <w:rsid w:val="005E3262"/>
    <w:rsid w:val="005E3316"/>
    <w:rsid w:val="005E355E"/>
    <w:rsid w:val="005E35D3"/>
    <w:rsid w:val="005E51ED"/>
    <w:rsid w:val="005E5A25"/>
    <w:rsid w:val="005E5D8B"/>
    <w:rsid w:val="005E6507"/>
    <w:rsid w:val="005E7D49"/>
    <w:rsid w:val="005F0326"/>
    <w:rsid w:val="005F142D"/>
    <w:rsid w:val="005F1543"/>
    <w:rsid w:val="005F177C"/>
    <w:rsid w:val="005F2B6E"/>
    <w:rsid w:val="005F4DFC"/>
    <w:rsid w:val="005F63DE"/>
    <w:rsid w:val="005F6485"/>
    <w:rsid w:val="006003A4"/>
    <w:rsid w:val="0060173E"/>
    <w:rsid w:val="006021E1"/>
    <w:rsid w:val="0060311D"/>
    <w:rsid w:val="0060353A"/>
    <w:rsid w:val="006043EF"/>
    <w:rsid w:val="006047BE"/>
    <w:rsid w:val="00604A35"/>
    <w:rsid w:val="00605023"/>
    <w:rsid w:val="00605693"/>
    <w:rsid w:val="0060572A"/>
    <w:rsid w:val="00606DB8"/>
    <w:rsid w:val="00607850"/>
    <w:rsid w:val="00610705"/>
    <w:rsid w:val="00610F94"/>
    <w:rsid w:val="006145CD"/>
    <w:rsid w:val="00614626"/>
    <w:rsid w:val="00615DB2"/>
    <w:rsid w:val="00616510"/>
    <w:rsid w:val="00616583"/>
    <w:rsid w:val="00616E3E"/>
    <w:rsid w:val="00617CE0"/>
    <w:rsid w:val="00622507"/>
    <w:rsid w:val="0062360B"/>
    <w:rsid w:val="006249C8"/>
    <w:rsid w:val="00625CA1"/>
    <w:rsid w:val="00627025"/>
    <w:rsid w:val="00627257"/>
    <w:rsid w:val="006331AC"/>
    <w:rsid w:val="00635234"/>
    <w:rsid w:val="00637679"/>
    <w:rsid w:val="006377DF"/>
    <w:rsid w:val="0064293C"/>
    <w:rsid w:val="00642B76"/>
    <w:rsid w:val="00643716"/>
    <w:rsid w:val="0064594F"/>
    <w:rsid w:val="006459C5"/>
    <w:rsid w:val="0064628F"/>
    <w:rsid w:val="00646D6C"/>
    <w:rsid w:val="00646FD2"/>
    <w:rsid w:val="00650157"/>
    <w:rsid w:val="006530F8"/>
    <w:rsid w:val="0065469E"/>
    <w:rsid w:val="00655075"/>
    <w:rsid w:val="006554CB"/>
    <w:rsid w:val="00655B36"/>
    <w:rsid w:val="00660B2A"/>
    <w:rsid w:val="00662542"/>
    <w:rsid w:val="006625FA"/>
    <w:rsid w:val="006627E1"/>
    <w:rsid w:val="00662915"/>
    <w:rsid w:val="006642FF"/>
    <w:rsid w:val="00665859"/>
    <w:rsid w:val="006671A5"/>
    <w:rsid w:val="00667724"/>
    <w:rsid w:val="00670030"/>
    <w:rsid w:val="00670308"/>
    <w:rsid w:val="00670E6B"/>
    <w:rsid w:val="0067180B"/>
    <w:rsid w:val="00672174"/>
    <w:rsid w:val="00672535"/>
    <w:rsid w:val="00674218"/>
    <w:rsid w:val="0067505E"/>
    <w:rsid w:val="00675191"/>
    <w:rsid w:val="00675D7E"/>
    <w:rsid w:val="00676846"/>
    <w:rsid w:val="006775A9"/>
    <w:rsid w:val="006805C6"/>
    <w:rsid w:val="006816BE"/>
    <w:rsid w:val="00682AFB"/>
    <w:rsid w:val="0068380C"/>
    <w:rsid w:val="006867BD"/>
    <w:rsid w:val="00687F87"/>
    <w:rsid w:val="00690A5B"/>
    <w:rsid w:val="00693E37"/>
    <w:rsid w:val="006943AB"/>
    <w:rsid w:val="006944D8"/>
    <w:rsid w:val="00694CF9"/>
    <w:rsid w:val="00695B21"/>
    <w:rsid w:val="00695C52"/>
    <w:rsid w:val="00696285"/>
    <w:rsid w:val="0069697A"/>
    <w:rsid w:val="006969FE"/>
    <w:rsid w:val="00696FB2"/>
    <w:rsid w:val="006A0328"/>
    <w:rsid w:val="006A19FE"/>
    <w:rsid w:val="006A2A90"/>
    <w:rsid w:val="006B1F53"/>
    <w:rsid w:val="006B4320"/>
    <w:rsid w:val="006B5711"/>
    <w:rsid w:val="006C05A3"/>
    <w:rsid w:val="006C09BD"/>
    <w:rsid w:val="006C1184"/>
    <w:rsid w:val="006C2616"/>
    <w:rsid w:val="006C3406"/>
    <w:rsid w:val="006C4BE0"/>
    <w:rsid w:val="006C6731"/>
    <w:rsid w:val="006D0D8E"/>
    <w:rsid w:val="006D1C64"/>
    <w:rsid w:val="006D39A0"/>
    <w:rsid w:val="006D6814"/>
    <w:rsid w:val="006D7BF0"/>
    <w:rsid w:val="006E1544"/>
    <w:rsid w:val="006E1748"/>
    <w:rsid w:val="006E294C"/>
    <w:rsid w:val="006E5460"/>
    <w:rsid w:val="006E58E0"/>
    <w:rsid w:val="006E59C3"/>
    <w:rsid w:val="006E6863"/>
    <w:rsid w:val="006F3142"/>
    <w:rsid w:val="006F31CD"/>
    <w:rsid w:val="006F47DE"/>
    <w:rsid w:val="006F554A"/>
    <w:rsid w:val="006F61E7"/>
    <w:rsid w:val="006F787C"/>
    <w:rsid w:val="00700034"/>
    <w:rsid w:val="007007A5"/>
    <w:rsid w:val="007008F2"/>
    <w:rsid w:val="00700CD3"/>
    <w:rsid w:val="007018B9"/>
    <w:rsid w:val="0070320A"/>
    <w:rsid w:val="00703F02"/>
    <w:rsid w:val="007052A5"/>
    <w:rsid w:val="00710352"/>
    <w:rsid w:val="0071049C"/>
    <w:rsid w:val="007121B9"/>
    <w:rsid w:val="007130AA"/>
    <w:rsid w:val="007131F6"/>
    <w:rsid w:val="0071333D"/>
    <w:rsid w:val="007141BB"/>
    <w:rsid w:val="00714A5D"/>
    <w:rsid w:val="00714D05"/>
    <w:rsid w:val="00714D53"/>
    <w:rsid w:val="00715883"/>
    <w:rsid w:val="00717A52"/>
    <w:rsid w:val="00720020"/>
    <w:rsid w:val="00722CF3"/>
    <w:rsid w:val="007244B2"/>
    <w:rsid w:val="0072577D"/>
    <w:rsid w:val="007278A5"/>
    <w:rsid w:val="0073006B"/>
    <w:rsid w:val="00731003"/>
    <w:rsid w:val="00731067"/>
    <w:rsid w:val="00731777"/>
    <w:rsid w:val="00731F0D"/>
    <w:rsid w:val="00734F75"/>
    <w:rsid w:val="00744EC3"/>
    <w:rsid w:val="00745CBC"/>
    <w:rsid w:val="007467CF"/>
    <w:rsid w:val="00747E75"/>
    <w:rsid w:val="00750846"/>
    <w:rsid w:val="0075240C"/>
    <w:rsid w:val="0075364B"/>
    <w:rsid w:val="00754590"/>
    <w:rsid w:val="00754B83"/>
    <w:rsid w:val="007556D5"/>
    <w:rsid w:val="0075653B"/>
    <w:rsid w:val="00756E94"/>
    <w:rsid w:val="007604EF"/>
    <w:rsid w:val="00763346"/>
    <w:rsid w:val="00765FFA"/>
    <w:rsid w:val="00767237"/>
    <w:rsid w:val="00773EF8"/>
    <w:rsid w:val="00774690"/>
    <w:rsid w:val="00775235"/>
    <w:rsid w:val="00776ECE"/>
    <w:rsid w:val="00777E1F"/>
    <w:rsid w:val="00780929"/>
    <w:rsid w:val="00780D16"/>
    <w:rsid w:val="00781524"/>
    <w:rsid w:val="007875D5"/>
    <w:rsid w:val="00787F13"/>
    <w:rsid w:val="00791BDA"/>
    <w:rsid w:val="0079309A"/>
    <w:rsid w:val="00793AD8"/>
    <w:rsid w:val="00795A5B"/>
    <w:rsid w:val="007976E5"/>
    <w:rsid w:val="007A376A"/>
    <w:rsid w:val="007A47EE"/>
    <w:rsid w:val="007A62CE"/>
    <w:rsid w:val="007A7E36"/>
    <w:rsid w:val="007A7E4D"/>
    <w:rsid w:val="007B0B80"/>
    <w:rsid w:val="007B1FCF"/>
    <w:rsid w:val="007B21B3"/>
    <w:rsid w:val="007B4E38"/>
    <w:rsid w:val="007B531A"/>
    <w:rsid w:val="007B554D"/>
    <w:rsid w:val="007B65C0"/>
    <w:rsid w:val="007C3DB6"/>
    <w:rsid w:val="007C46B2"/>
    <w:rsid w:val="007C50E0"/>
    <w:rsid w:val="007C6085"/>
    <w:rsid w:val="007C6A02"/>
    <w:rsid w:val="007C6F99"/>
    <w:rsid w:val="007C71DC"/>
    <w:rsid w:val="007D186A"/>
    <w:rsid w:val="007D29D7"/>
    <w:rsid w:val="007D375B"/>
    <w:rsid w:val="007D61BE"/>
    <w:rsid w:val="007E0204"/>
    <w:rsid w:val="007E3B66"/>
    <w:rsid w:val="007F079A"/>
    <w:rsid w:val="007F19C1"/>
    <w:rsid w:val="007F19EF"/>
    <w:rsid w:val="007F20B4"/>
    <w:rsid w:val="007F30E4"/>
    <w:rsid w:val="007F5852"/>
    <w:rsid w:val="007F7758"/>
    <w:rsid w:val="007F7854"/>
    <w:rsid w:val="00800B2A"/>
    <w:rsid w:val="00800CF2"/>
    <w:rsid w:val="00801218"/>
    <w:rsid w:val="00802B4A"/>
    <w:rsid w:val="00804C08"/>
    <w:rsid w:val="008070D0"/>
    <w:rsid w:val="00807114"/>
    <w:rsid w:val="00811900"/>
    <w:rsid w:val="008133F1"/>
    <w:rsid w:val="0081393B"/>
    <w:rsid w:val="0081441C"/>
    <w:rsid w:val="00814EC2"/>
    <w:rsid w:val="00816B98"/>
    <w:rsid w:val="00817EA6"/>
    <w:rsid w:val="0082179A"/>
    <w:rsid w:val="008219E0"/>
    <w:rsid w:val="00825A12"/>
    <w:rsid w:val="0082601E"/>
    <w:rsid w:val="00826202"/>
    <w:rsid w:val="00827447"/>
    <w:rsid w:val="00827EA2"/>
    <w:rsid w:val="008309CD"/>
    <w:rsid w:val="00830DC4"/>
    <w:rsid w:val="00831B4A"/>
    <w:rsid w:val="0083400C"/>
    <w:rsid w:val="0083437C"/>
    <w:rsid w:val="00837B4F"/>
    <w:rsid w:val="0084152B"/>
    <w:rsid w:val="00842DB0"/>
    <w:rsid w:val="00843281"/>
    <w:rsid w:val="008434DA"/>
    <w:rsid w:val="00844CB4"/>
    <w:rsid w:val="00844F16"/>
    <w:rsid w:val="00847EFA"/>
    <w:rsid w:val="008504B3"/>
    <w:rsid w:val="00850C89"/>
    <w:rsid w:val="00850EAE"/>
    <w:rsid w:val="00853987"/>
    <w:rsid w:val="00853B88"/>
    <w:rsid w:val="00853E26"/>
    <w:rsid w:val="00855202"/>
    <w:rsid w:val="008552CC"/>
    <w:rsid w:val="00855533"/>
    <w:rsid w:val="00855C79"/>
    <w:rsid w:val="0085713E"/>
    <w:rsid w:val="00863484"/>
    <w:rsid w:val="00866278"/>
    <w:rsid w:val="0086687D"/>
    <w:rsid w:val="00871AB9"/>
    <w:rsid w:val="0087381F"/>
    <w:rsid w:val="008748CA"/>
    <w:rsid w:val="008753F4"/>
    <w:rsid w:val="00876867"/>
    <w:rsid w:val="00880EAE"/>
    <w:rsid w:val="00881547"/>
    <w:rsid w:val="00883DB0"/>
    <w:rsid w:val="00884D54"/>
    <w:rsid w:val="008859F4"/>
    <w:rsid w:val="00886456"/>
    <w:rsid w:val="00887207"/>
    <w:rsid w:val="00891B7D"/>
    <w:rsid w:val="0089264C"/>
    <w:rsid w:val="00893E72"/>
    <w:rsid w:val="00895760"/>
    <w:rsid w:val="00895F41"/>
    <w:rsid w:val="008964E0"/>
    <w:rsid w:val="00896C7A"/>
    <w:rsid w:val="00896D43"/>
    <w:rsid w:val="00896F65"/>
    <w:rsid w:val="008971F0"/>
    <w:rsid w:val="00897736"/>
    <w:rsid w:val="008A1642"/>
    <w:rsid w:val="008A3DA1"/>
    <w:rsid w:val="008A3E1A"/>
    <w:rsid w:val="008A679E"/>
    <w:rsid w:val="008A7640"/>
    <w:rsid w:val="008A772F"/>
    <w:rsid w:val="008B0F84"/>
    <w:rsid w:val="008B1120"/>
    <w:rsid w:val="008B2E59"/>
    <w:rsid w:val="008B5BD7"/>
    <w:rsid w:val="008B70EE"/>
    <w:rsid w:val="008B7CA9"/>
    <w:rsid w:val="008C30E8"/>
    <w:rsid w:val="008C3778"/>
    <w:rsid w:val="008C4A46"/>
    <w:rsid w:val="008C4DEC"/>
    <w:rsid w:val="008C598E"/>
    <w:rsid w:val="008C6437"/>
    <w:rsid w:val="008C7FED"/>
    <w:rsid w:val="008C7FF0"/>
    <w:rsid w:val="008D07B6"/>
    <w:rsid w:val="008D1A4E"/>
    <w:rsid w:val="008D203C"/>
    <w:rsid w:val="008D3DCB"/>
    <w:rsid w:val="008D48B2"/>
    <w:rsid w:val="008D4C7E"/>
    <w:rsid w:val="008D732C"/>
    <w:rsid w:val="008E0288"/>
    <w:rsid w:val="008E06AE"/>
    <w:rsid w:val="008E2C9B"/>
    <w:rsid w:val="008E4AED"/>
    <w:rsid w:val="008E5EE1"/>
    <w:rsid w:val="008F1014"/>
    <w:rsid w:val="008F56F4"/>
    <w:rsid w:val="008F62ED"/>
    <w:rsid w:val="008F7039"/>
    <w:rsid w:val="008F7882"/>
    <w:rsid w:val="00901DF9"/>
    <w:rsid w:val="00904845"/>
    <w:rsid w:val="00904AFE"/>
    <w:rsid w:val="0090644E"/>
    <w:rsid w:val="00910DFE"/>
    <w:rsid w:val="009127F9"/>
    <w:rsid w:val="009131ED"/>
    <w:rsid w:val="0091362B"/>
    <w:rsid w:val="00913B8E"/>
    <w:rsid w:val="00914F7D"/>
    <w:rsid w:val="00915040"/>
    <w:rsid w:val="00916A74"/>
    <w:rsid w:val="00922F10"/>
    <w:rsid w:val="009246B8"/>
    <w:rsid w:val="00925281"/>
    <w:rsid w:val="00926085"/>
    <w:rsid w:val="00931473"/>
    <w:rsid w:val="009323A2"/>
    <w:rsid w:val="009323B6"/>
    <w:rsid w:val="00933ED6"/>
    <w:rsid w:val="00934E1E"/>
    <w:rsid w:val="00935524"/>
    <w:rsid w:val="00936504"/>
    <w:rsid w:val="009412E5"/>
    <w:rsid w:val="00941A97"/>
    <w:rsid w:val="00942F54"/>
    <w:rsid w:val="00945234"/>
    <w:rsid w:val="0094673C"/>
    <w:rsid w:val="00947817"/>
    <w:rsid w:val="0095087D"/>
    <w:rsid w:val="00952FF5"/>
    <w:rsid w:val="00953003"/>
    <w:rsid w:val="00955DDC"/>
    <w:rsid w:val="00957396"/>
    <w:rsid w:val="00960AEC"/>
    <w:rsid w:val="00963418"/>
    <w:rsid w:val="0096392E"/>
    <w:rsid w:val="0096526D"/>
    <w:rsid w:val="009662B1"/>
    <w:rsid w:val="00970C4C"/>
    <w:rsid w:val="009727BF"/>
    <w:rsid w:val="00972C71"/>
    <w:rsid w:val="009743B3"/>
    <w:rsid w:val="00980914"/>
    <w:rsid w:val="00981A58"/>
    <w:rsid w:val="0098232A"/>
    <w:rsid w:val="00983AC9"/>
    <w:rsid w:val="009843F5"/>
    <w:rsid w:val="00986739"/>
    <w:rsid w:val="009872D2"/>
    <w:rsid w:val="009879CB"/>
    <w:rsid w:val="00990E3F"/>
    <w:rsid w:val="00991218"/>
    <w:rsid w:val="00992715"/>
    <w:rsid w:val="00993C8A"/>
    <w:rsid w:val="00994A75"/>
    <w:rsid w:val="00994E74"/>
    <w:rsid w:val="00995E31"/>
    <w:rsid w:val="00995E7D"/>
    <w:rsid w:val="00996AA7"/>
    <w:rsid w:val="00997138"/>
    <w:rsid w:val="00997372"/>
    <w:rsid w:val="009A0988"/>
    <w:rsid w:val="009A15F9"/>
    <w:rsid w:val="009A1A03"/>
    <w:rsid w:val="009A23D4"/>
    <w:rsid w:val="009A29A9"/>
    <w:rsid w:val="009A2E0B"/>
    <w:rsid w:val="009A44AB"/>
    <w:rsid w:val="009A47C5"/>
    <w:rsid w:val="009A5F75"/>
    <w:rsid w:val="009A6040"/>
    <w:rsid w:val="009A63AF"/>
    <w:rsid w:val="009A742A"/>
    <w:rsid w:val="009A7842"/>
    <w:rsid w:val="009B2B08"/>
    <w:rsid w:val="009B3071"/>
    <w:rsid w:val="009B3078"/>
    <w:rsid w:val="009B334A"/>
    <w:rsid w:val="009B4282"/>
    <w:rsid w:val="009B533A"/>
    <w:rsid w:val="009B6005"/>
    <w:rsid w:val="009B6357"/>
    <w:rsid w:val="009C0660"/>
    <w:rsid w:val="009C1A05"/>
    <w:rsid w:val="009C1A15"/>
    <w:rsid w:val="009C2061"/>
    <w:rsid w:val="009C50EA"/>
    <w:rsid w:val="009C5CFD"/>
    <w:rsid w:val="009C7652"/>
    <w:rsid w:val="009C7FB6"/>
    <w:rsid w:val="009D1F2B"/>
    <w:rsid w:val="009D2B24"/>
    <w:rsid w:val="009D2D01"/>
    <w:rsid w:val="009D345C"/>
    <w:rsid w:val="009D4CB6"/>
    <w:rsid w:val="009D5907"/>
    <w:rsid w:val="009D5B21"/>
    <w:rsid w:val="009D76B3"/>
    <w:rsid w:val="009E0B83"/>
    <w:rsid w:val="009E1A49"/>
    <w:rsid w:val="009E1E49"/>
    <w:rsid w:val="009E3FEE"/>
    <w:rsid w:val="009E40B1"/>
    <w:rsid w:val="009E4D72"/>
    <w:rsid w:val="009E5BA6"/>
    <w:rsid w:val="009E7A2E"/>
    <w:rsid w:val="009F2311"/>
    <w:rsid w:val="009F246B"/>
    <w:rsid w:val="009F3935"/>
    <w:rsid w:val="009F4E30"/>
    <w:rsid w:val="009F568D"/>
    <w:rsid w:val="00A01345"/>
    <w:rsid w:val="00A017DE"/>
    <w:rsid w:val="00A033F9"/>
    <w:rsid w:val="00A03981"/>
    <w:rsid w:val="00A041B2"/>
    <w:rsid w:val="00A06796"/>
    <w:rsid w:val="00A12056"/>
    <w:rsid w:val="00A16B41"/>
    <w:rsid w:val="00A175D6"/>
    <w:rsid w:val="00A222D5"/>
    <w:rsid w:val="00A24E56"/>
    <w:rsid w:val="00A25B59"/>
    <w:rsid w:val="00A25EAD"/>
    <w:rsid w:val="00A2653C"/>
    <w:rsid w:val="00A308CA"/>
    <w:rsid w:val="00A318B6"/>
    <w:rsid w:val="00A32203"/>
    <w:rsid w:val="00A324FE"/>
    <w:rsid w:val="00A33239"/>
    <w:rsid w:val="00A333D9"/>
    <w:rsid w:val="00A33F40"/>
    <w:rsid w:val="00A33F98"/>
    <w:rsid w:val="00A354E8"/>
    <w:rsid w:val="00A35AC7"/>
    <w:rsid w:val="00A3614A"/>
    <w:rsid w:val="00A409C6"/>
    <w:rsid w:val="00A40BCA"/>
    <w:rsid w:val="00A420D4"/>
    <w:rsid w:val="00A42A3E"/>
    <w:rsid w:val="00A4639E"/>
    <w:rsid w:val="00A514D0"/>
    <w:rsid w:val="00A5160C"/>
    <w:rsid w:val="00A51C15"/>
    <w:rsid w:val="00A51E8C"/>
    <w:rsid w:val="00A53CD9"/>
    <w:rsid w:val="00A55B7F"/>
    <w:rsid w:val="00A56060"/>
    <w:rsid w:val="00A56321"/>
    <w:rsid w:val="00A62654"/>
    <w:rsid w:val="00A631C2"/>
    <w:rsid w:val="00A650D8"/>
    <w:rsid w:val="00A653C1"/>
    <w:rsid w:val="00A66011"/>
    <w:rsid w:val="00A67553"/>
    <w:rsid w:val="00A71342"/>
    <w:rsid w:val="00A71B70"/>
    <w:rsid w:val="00A722E7"/>
    <w:rsid w:val="00A76960"/>
    <w:rsid w:val="00A83CD8"/>
    <w:rsid w:val="00A84BC2"/>
    <w:rsid w:val="00A85858"/>
    <w:rsid w:val="00A85B62"/>
    <w:rsid w:val="00A867A5"/>
    <w:rsid w:val="00A90529"/>
    <w:rsid w:val="00A919BD"/>
    <w:rsid w:val="00A93156"/>
    <w:rsid w:val="00A935A0"/>
    <w:rsid w:val="00A94D30"/>
    <w:rsid w:val="00A95917"/>
    <w:rsid w:val="00A95930"/>
    <w:rsid w:val="00A95E5C"/>
    <w:rsid w:val="00A95F30"/>
    <w:rsid w:val="00A96D82"/>
    <w:rsid w:val="00A96EDA"/>
    <w:rsid w:val="00A973C6"/>
    <w:rsid w:val="00AA047A"/>
    <w:rsid w:val="00AA56C8"/>
    <w:rsid w:val="00AA6076"/>
    <w:rsid w:val="00AB157C"/>
    <w:rsid w:val="00AB396D"/>
    <w:rsid w:val="00AB59AD"/>
    <w:rsid w:val="00AB5E99"/>
    <w:rsid w:val="00AC0651"/>
    <w:rsid w:val="00AC07F3"/>
    <w:rsid w:val="00AC22D4"/>
    <w:rsid w:val="00AC2CE6"/>
    <w:rsid w:val="00AC3F15"/>
    <w:rsid w:val="00AC3F7A"/>
    <w:rsid w:val="00AC43DD"/>
    <w:rsid w:val="00AC5643"/>
    <w:rsid w:val="00AC571F"/>
    <w:rsid w:val="00AC66BA"/>
    <w:rsid w:val="00AC7C66"/>
    <w:rsid w:val="00AC7FD6"/>
    <w:rsid w:val="00AD258C"/>
    <w:rsid w:val="00AD29D3"/>
    <w:rsid w:val="00AD2C63"/>
    <w:rsid w:val="00AE0E66"/>
    <w:rsid w:val="00AE123F"/>
    <w:rsid w:val="00AE13EC"/>
    <w:rsid w:val="00AE399B"/>
    <w:rsid w:val="00AE7040"/>
    <w:rsid w:val="00AF0674"/>
    <w:rsid w:val="00AF10FA"/>
    <w:rsid w:val="00AF2E9C"/>
    <w:rsid w:val="00AF4162"/>
    <w:rsid w:val="00AF4E5F"/>
    <w:rsid w:val="00AF6E31"/>
    <w:rsid w:val="00AF70AB"/>
    <w:rsid w:val="00AF780B"/>
    <w:rsid w:val="00B00B00"/>
    <w:rsid w:val="00B00BC0"/>
    <w:rsid w:val="00B01562"/>
    <w:rsid w:val="00B015E8"/>
    <w:rsid w:val="00B01CA1"/>
    <w:rsid w:val="00B0326C"/>
    <w:rsid w:val="00B04221"/>
    <w:rsid w:val="00B05909"/>
    <w:rsid w:val="00B065C2"/>
    <w:rsid w:val="00B06F1D"/>
    <w:rsid w:val="00B11536"/>
    <w:rsid w:val="00B13699"/>
    <w:rsid w:val="00B13BB3"/>
    <w:rsid w:val="00B150E8"/>
    <w:rsid w:val="00B15602"/>
    <w:rsid w:val="00B16FBE"/>
    <w:rsid w:val="00B1700A"/>
    <w:rsid w:val="00B21E25"/>
    <w:rsid w:val="00B238C4"/>
    <w:rsid w:val="00B3215E"/>
    <w:rsid w:val="00B34126"/>
    <w:rsid w:val="00B35C8F"/>
    <w:rsid w:val="00B35F3D"/>
    <w:rsid w:val="00B369E3"/>
    <w:rsid w:val="00B37306"/>
    <w:rsid w:val="00B373EB"/>
    <w:rsid w:val="00B37B2F"/>
    <w:rsid w:val="00B37CC6"/>
    <w:rsid w:val="00B40977"/>
    <w:rsid w:val="00B44369"/>
    <w:rsid w:val="00B447A5"/>
    <w:rsid w:val="00B44EED"/>
    <w:rsid w:val="00B45295"/>
    <w:rsid w:val="00B461DB"/>
    <w:rsid w:val="00B51520"/>
    <w:rsid w:val="00B52E54"/>
    <w:rsid w:val="00B53D08"/>
    <w:rsid w:val="00B54689"/>
    <w:rsid w:val="00B559D3"/>
    <w:rsid w:val="00B56752"/>
    <w:rsid w:val="00B61692"/>
    <w:rsid w:val="00B631B3"/>
    <w:rsid w:val="00B638B5"/>
    <w:rsid w:val="00B6672B"/>
    <w:rsid w:val="00B66BB1"/>
    <w:rsid w:val="00B716D0"/>
    <w:rsid w:val="00B72FB3"/>
    <w:rsid w:val="00B7532F"/>
    <w:rsid w:val="00B77B2E"/>
    <w:rsid w:val="00B8092B"/>
    <w:rsid w:val="00B82149"/>
    <w:rsid w:val="00B838BE"/>
    <w:rsid w:val="00B851A9"/>
    <w:rsid w:val="00B8574A"/>
    <w:rsid w:val="00B860B3"/>
    <w:rsid w:val="00B91A2D"/>
    <w:rsid w:val="00B92901"/>
    <w:rsid w:val="00B93309"/>
    <w:rsid w:val="00B93FEA"/>
    <w:rsid w:val="00B95E83"/>
    <w:rsid w:val="00B974E6"/>
    <w:rsid w:val="00B979EF"/>
    <w:rsid w:val="00BA1767"/>
    <w:rsid w:val="00BA5ABB"/>
    <w:rsid w:val="00BA62AF"/>
    <w:rsid w:val="00BA6484"/>
    <w:rsid w:val="00BA798A"/>
    <w:rsid w:val="00BA7BCF"/>
    <w:rsid w:val="00BB0065"/>
    <w:rsid w:val="00BB0320"/>
    <w:rsid w:val="00BB19A9"/>
    <w:rsid w:val="00BB1D16"/>
    <w:rsid w:val="00BB323C"/>
    <w:rsid w:val="00BB38FD"/>
    <w:rsid w:val="00BB4418"/>
    <w:rsid w:val="00BB49BB"/>
    <w:rsid w:val="00BB4C20"/>
    <w:rsid w:val="00BB6575"/>
    <w:rsid w:val="00BB712B"/>
    <w:rsid w:val="00BC04DF"/>
    <w:rsid w:val="00BC0DC4"/>
    <w:rsid w:val="00BC29D4"/>
    <w:rsid w:val="00BC60A8"/>
    <w:rsid w:val="00BC636E"/>
    <w:rsid w:val="00BD085F"/>
    <w:rsid w:val="00BD14C1"/>
    <w:rsid w:val="00BD188C"/>
    <w:rsid w:val="00BD2264"/>
    <w:rsid w:val="00BD241B"/>
    <w:rsid w:val="00BD2896"/>
    <w:rsid w:val="00BD3DFA"/>
    <w:rsid w:val="00BD502B"/>
    <w:rsid w:val="00BD517A"/>
    <w:rsid w:val="00BD63D0"/>
    <w:rsid w:val="00BD74D0"/>
    <w:rsid w:val="00BE3A99"/>
    <w:rsid w:val="00BE4F1F"/>
    <w:rsid w:val="00BE4F53"/>
    <w:rsid w:val="00BE5A40"/>
    <w:rsid w:val="00BF3428"/>
    <w:rsid w:val="00BF3B57"/>
    <w:rsid w:val="00BF55B8"/>
    <w:rsid w:val="00BF7C53"/>
    <w:rsid w:val="00C004FD"/>
    <w:rsid w:val="00C021BC"/>
    <w:rsid w:val="00C026AF"/>
    <w:rsid w:val="00C030E9"/>
    <w:rsid w:val="00C04546"/>
    <w:rsid w:val="00C1335F"/>
    <w:rsid w:val="00C13FBA"/>
    <w:rsid w:val="00C15418"/>
    <w:rsid w:val="00C16358"/>
    <w:rsid w:val="00C1736D"/>
    <w:rsid w:val="00C23A02"/>
    <w:rsid w:val="00C23FE8"/>
    <w:rsid w:val="00C24C63"/>
    <w:rsid w:val="00C33008"/>
    <w:rsid w:val="00C330F5"/>
    <w:rsid w:val="00C3447A"/>
    <w:rsid w:val="00C42269"/>
    <w:rsid w:val="00C426CD"/>
    <w:rsid w:val="00C4301B"/>
    <w:rsid w:val="00C43DA8"/>
    <w:rsid w:val="00C4468D"/>
    <w:rsid w:val="00C449C7"/>
    <w:rsid w:val="00C47AF2"/>
    <w:rsid w:val="00C52828"/>
    <w:rsid w:val="00C53A49"/>
    <w:rsid w:val="00C5472A"/>
    <w:rsid w:val="00C557EB"/>
    <w:rsid w:val="00C55E39"/>
    <w:rsid w:val="00C564F1"/>
    <w:rsid w:val="00C56997"/>
    <w:rsid w:val="00C60E41"/>
    <w:rsid w:val="00C61EDA"/>
    <w:rsid w:val="00C6384E"/>
    <w:rsid w:val="00C63DC0"/>
    <w:rsid w:val="00C65AE9"/>
    <w:rsid w:val="00C70198"/>
    <w:rsid w:val="00C71596"/>
    <w:rsid w:val="00C75259"/>
    <w:rsid w:val="00C765F9"/>
    <w:rsid w:val="00C84400"/>
    <w:rsid w:val="00C866ED"/>
    <w:rsid w:val="00C86E7B"/>
    <w:rsid w:val="00C9017B"/>
    <w:rsid w:val="00C903A7"/>
    <w:rsid w:val="00C93849"/>
    <w:rsid w:val="00C93AFC"/>
    <w:rsid w:val="00C94B64"/>
    <w:rsid w:val="00C9742B"/>
    <w:rsid w:val="00C9764E"/>
    <w:rsid w:val="00CA04DE"/>
    <w:rsid w:val="00CA0D9F"/>
    <w:rsid w:val="00CA2638"/>
    <w:rsid w:val="00CA28A2"/>
    <w:rsid w:val="00CA39E7"/>
    <w:rsid w:val="00CA4A11"/>
    <w:rsid w:val="00CA59F2"/>
    <w:rsid w:val="00CA5F78"/>
    <w:rsid w:val="00CA61FB"/>
    <w:rsid w:val="00CA6905"/>
    <w:rsid w:val="00CA6CED"/>
    <w:rsid w:val="00CB0026"/>
    <w:rsid w:val="00CB53DB"/>
    <w:rsid w:val="00CB65CC"/>
    <w:rsid w:val="00CB7D40"/>
    <w:rsid w:val="00CC05CC"/>
    <w:rsid w:val="00CC07AA"/>
    <w:rsid w:val="00CC350D"/>
    <w:rsid w:val="00CC3A33"/>
    <w:rsid w:val="00CC7765"/>
    <w:rsid w:val="00CD0672"/>
    <w:rsid w:val="00CD0F02"/>
    <w:rsid w:val="00CD15C9"/>
    <w:rsid w:val="00CD1AA6"/>
    <w:rsid w:val="00CD24D7"/>
    <w:rsid w:val="00CD277D"/>
    <w:rsid w:val="00CD281C"/>
    <w:rsid w:val="00CD32D3"/>
    <w:rsid w:val="00CE03D3"/>
    <w:rsid w:val="00CE1252"/>
    <w:rsid w:val="00CE1AE4"/>
    <w:rsid w:val="00CE1FB4"/>
    <w:rsid w:val="00CE27F0"/>
    <w:rsid w:val="00CE28E1"/>
    <w:rsid w:val="00CE3303"/>
    <w:rsid w:val="00CE482F"/>
    <w:rsid w:val="00CE7363"/>
    <w:rsid w:val="00CE7639"/>
    <w:rsid w:val="00CF1D19"/>
    <w:rsid w:val="00CF1D37"/>
    <w:rsid w:val="00CF4C9A"/>
    <w:rsid w:val="00CF55F6"/>
    <w:rsid w:val="00CF566D"/>
    <w:rsid w:val="00CF7977"/>
    <w:rsid w:val="00D0058C"/>
    <w:rsid w:val="00D03108"/>
    <w:rsid w:val="00D05140"/>
    <w:rsid w:val="00D05FC4"/>
    <w:rsid w:val="00D06E1A"/>
    <w:rsid w:val="00D075FB"/>
    <w:rsid w:val="00D1012B"/>
    <w:rsid w:val="00D1084F"/>
    <w:rsid w:val="00D10F55"/>
    <w:rsid w:val="00D139B7"/>
    <w:rsid w:val="00D139D9"/>
    <w:rsid w:val="00D13F9D"/>
    <w:rsid w:val="00D164B2"/>
    <w:rsid w:val="00D16E3F"/>
    <w:rsid w:val="00D16FBF"/>
    <w:rsid w:val="00D17195"/>
    <w:rsid w:val="00D17424"/>
    <w:rsid w:val="00D17644"/>
    <w:rsid w:val="00D20E1E"/>
    <w:rsid w:val="00D22592"/>
    <w:rsid w:val="00D22D6E"/>
    <w:rsid w:val="00D30355"/>
    <w:rsid w:val="00D30848"/>
    <w:rsid w:val="00D31199"/>
    <w:rsid w:val="00D32431"/>
    <w:rsid w:val="00D35ACC"/>
    <w:rsid w:val="00D362B3"/>
    <w:rsid w:val="00D36956"/>
    <w:rsid w:val="00D369F4"/>
    <w:rsid w:val="00D372E2"/>
    <w:rsid w:val="00D37602"/>
    <w:rsid w:val="00D37BFE"/>
    <w:rsid w:val="00D37D53"/>
    <w:rsid w:val="00D41008"/>
    <w:rsid w:val="00D415A1"/>
    <w:rsid w:val="00D44DFD"/>
    <w:rsid w:val="00D44F67"/>
    <w:rsid w:val="00D46894"/>
    <w:rsid w:val="00D477CB"/>
    <w:rsid w:val="00D47FEE"/>
    <w:rsid w:val="00D5167B"/>
    <w:rsid w:val="00D54DC6"/>
    <w:rsid w:val="00D557DE"/>
    <w:rsid w:val="00D57A96"/>
    <w:rsid w:val="00D6035F"/>
    <w:rsid w:val="00D62B48"/>
    <w:rsid w:val="00D63723"/>
    <w:rsid w:val="00D6724F"/>
    <w:rsid w:val="00D7127A"/>
    <w:rsid w:val="00D72106"/>
    <w:rsid w:val="00D72784"/>
    <w:rsid w:val="00D72BD6"/>
    <w:rsid w:val="00D72EB2"/>
    <w:rsid w:val="00D736C6"/>
    <w:rsid w:val="00D75905"/>
    <w:rsid w:val="00D7642F"/>
    <w:rsid w:val="00D77850"/>
    <w:rsid w:val="00D801A2"/>
    <w:rsid w:val="00D81468"/>
    <w:rsid w:val="00D8199E"/>
    <w:rsid w:val="00D81AD3"/>
    <w:rsid w:val="00D825BF"/>
    <w:rsid w:val="00D82C4B"/>
    <w:rsid w:val="00D82D21"/>
    <w:rsid w:val="00D840F2"/>
    <w:rsid w:val="00D864DA"/>
    <w:rsid w:val="00D86FEB"/>
    <w:rsid w:val="00D8798A"/>
    <w:rsid w:val="00D90B49"/>
    <w:rsid w:val="00D91C68"/>
    <w:rsid w:val="00D92706"/>
    <w:rsid w:val="00D92BA3"/>
    <w:rsid w:val="00D93F77"/>
    <w:rsid w:val="00D9557D"/>
    <w:rsid w:val="00D963B0"/>
    <w:rsid w:val="00D971E8"/>
    <w:rsid w:val="00D97A6B"/>
    <w:rsid w:val="00DA15A9"/>
    <w:rsid w:val="00DA1F66"/>
    <w:rsid w:val="00DA233F"/>
    <w:rsid w:val="00DA341C"/>
    <w:rsid w:val="00DA3E54"/>
    <w:rsid w:val="00DA45CD"/>
    <w:rsid w:val="00DA4F4D"/>
    <w:rsid w:val="00DA529D"/>
    <w:rsid w:val="00DB0558"/>
    <w:rsid w:val="00DB0FEF"/>
    <w:rsid w:val="00DB1AB7"/>
    <w:rsid w:val="00DB253F"/>
    <w:rsid w:val="00DB3EFE"/>
    <w:rsid w:val="00DB4120"/>
    <w:rsid w:val="00DB77D3"/>
    <w:rsid w:val="00DB79B0"/>
    <w:rsid w:val="00DC0547"/>
    <w:rsid w:val="00DC1386"/>
    <w:rsid w:val="00DC2994"/>
    <w:rsid w:val="00DC4083"/>
    <w:rsid w:val="00DC45F6"/>
    <w:rsid w:val="00DC4A87"/>
    <w:rsid w:val="00DC5999"/>
    <w:rsid w:val="00DC5B41"/>
    <w:rsid w:val="00DD3144"/>
    <w:rsid w:val="00DD3F6F"/>
    <w:rsid w:val="00DD4C35"/>
    <w:rsid w:val="00DD59F0"/>
    <w:rsid w:val="00DE08D5"/>
    <w:rsid w:val="00DE0E8E"/>
    <w:rsid w:val="00DE1B8F"/>
    <w:rsid w:val="00DE4004"/>
    <w:rsid w:val="00DE4380"/>
    <w:rsid w:val="00DE4CEB"/>
    <w:rsid w:val="00DE68A1"/>
    <w:rsid w:val="00DF2726"/>
    <w:rsid w:val="00DF3DA3"/>
    <w:rsid w:val="00DF3EC2"/>
    <w:rsid w:val="00DF4E8D"/>
    <w:rsid w:val="00DF567E"/>
    <w:rsid w:val="00E00064"/>
    <w:rsid w:val="00E000C5"/>
    <w:rsid w:val="00E00815"/>
    <w:rsid w:val="00E0247F"/>
    <w:rsid w:val="00E056F1"/>
    <w:rsid w:val="00E063F8"/>
    <w:rsid w:val="00E0663F"/>
    <w:rsid w:val="00E12E7A"/>
    <w:rsid w:val="00E13AB2"/>
    <w:rsid w:val="00E13FB3"/>
    <w:rsid w:val="00E223E6"/>
    <w:rsid w:val="00E22C79"/>
    <w:rsid w:val="00E23991"/>
    <w:rsid w:val="00E26A57"/>
    <w:rsid w:val="00E31A5B"/>
    <w:rsid w:val="00E32011"/>
    <w:rsid w:val="00E321F6"/>
    <w:rsid w:val="00E36D78"/>
    <w:rsid w:val="00E40167"/>
    <w:rsid w:val="00E4140F"/>
    <w:rsid w:val="00E447E7"/>
    <w:rsid w:val="00E44FB0"/>
    <w:rsid w:val="00E46AAA"/>
    <w:rsid w:val="00E5341A"/>
    <w:rsid w:val="00E54940"/>
    <w:rsid w:val="00E57789"/>
    <w:rsid w:val="00E60B6E"/>
    <w:rsid w:val="00E6205B"/>
    <w:rsid w:val="00E631C3"/>
    <w:rsid w:val="00E638FB"/>
    <w:rsid w:val="00E64C99"/>
    <w:rsid w:val="00E65B73"/>
    <w:rsid w:val="00E70277"/>
    <w:rsid w:val="00E70BCD"/>
    <w:rsid w:val="00E70EAC"/>
    <w:rsid w:val="00E71C65"/>
    <w:rsid w:val="00E74EF6"/>
    <w:rsid w:val="00E75091"/>
    <w:rsid w:val="00E75BB9"/>
    <w:rsid w:val="00E800C3"/>
    <w:rsid w:val="00E8055D"/>
    <w:rsid w:val="00E81025"/>
    <w:rsid w:val="00E825C8"/>
    <w:rsid w:val="00E82DA3"/>
    <w:rsid w:val="00E8426F"/>
    <w:rsid w:val="00E8468C"/>
    <w:rsid w:val="00E8504A"/>
    <w:rsid w:val="00E851C0"/>
    <w:rsid w:val="00E861AC"/>
    <w:rsid w:val="00E868AA"/>
    <w:rsid w:val="00E868B1"/>
    <w:rsid w:val="00E87DA7"/>
    <w:rsid w:val="00E90A2C"/>
    <w:rsid w:val="00E91249"/>
    <w:rsid w:val="00E922D2"/>
    <w:rsid w:val="00E92EE9"/>
    <w:rsid w:val="00E93C18"/>
    <w:rsid w:val="00E94373"/>
    <w:rsid w:val="00E945A8"/>
    <w:rsid w:val="00EA19D3"/>
    <w:rsid w:val="00EA1BB6"/>
    <w:rsid w:val="00EA1FF5"/>
    <w:rsid w:val="00EA4FBA"/>
    <w:rsid w:val="00EA5A2F"/>
    <w:rsid w:val="00EA5E43"/>
    <w:rsid w:val="00EB07E4"/>
    <w:rsid w:val="00EB0DE3"/>
    <w:rsid w:val="00EB2B3D"/>
    <w:rsid w:val="00EB2BF2"/>
    <w:rsid w:val="00EB4A0A"/>
    <w:rsid w:val="00EB4D82"/>
    <w:rsid w:val="00EC05B0"/>
    <w:rsid w:val="00EC0B28"/>
    <w:rsid w:val="00EC0D8D"/>
    <w:rsid w:val="00EC24D4"/>
    <w:rsid w:val="00EC2A5A"/>
    <w:rsid w:val="00EC4CBE"/>
    <w:rsid w:val="00EC5006"/>
    <w:rsid w:val="00EC58E5"/>
    <w:rsid w:val="00ED0DCA"/>
    <w:rsid w:val="00ED0E13"/>
    <w:rsid w:val="00ED0E95"/>
    <w:rsid w:val="00ED2CDD"/>
    <w:rsid w:val="00ED41F5"/>
    <w:rsid w:val="00ED52C1"/>
    <w:rsid w:val="00ED58D2"/>
    <w:rsid w:val="00ED650D"/>
    <w:rsid w:val="00ED760C"/>
    <w:rsid w:val="00EE2915"/>
    <w:rsid w:val="00EE2DEE"/>
    <w:rsid w:val="00EE5938"/>
    <w:rsid w:val="00EE6D0D"/>
    <w:rsid w:val="00EE726E"/>
    <w:rsid w:val="00EF0DBF"/>
    <w:rsid w:val="00EF0DEB"/>
    <w:rsid w:val="00EF0E9A"/>
    <w:rsid w:val="00EF1704"/>
    <w:rsid w:val="00EF180F"/>
    <w:rsid w:val="00EF2E97"/>
    <w:rsid w:val="00EF2F75"/>
    <w:rsid w:val="00EF327D"/>
    <w:rsid w:val="00EF3A3D"/>
    <w:rsid w:val="00EF3F5E"/>
    <w:rsid w:val="00EF6393"/>
    <w:rsid w:val="00EF695F"/>
    <w:rsid w:val="00EF7A5A"/>
    <w:rsid w:val="00F00074"/>
    <w:rsid w:val="00F00E51"/>
    <w:rsid w:val="00F017E1"/>
    <w:rsid w:val="00F030C8"/>
    <w:rsid w:val="00F04944"/>
    <w:rsid w:val="00F054D2"/>
    <w:rsid w:val="00F06871"/>
    <w:rsid w:val="00F0725D"/>
    <w:rsid w:val="00F078E2"/>
    <w:rsid w:val="00F07CED"/>
    <w:rsid w:val="00F10B23"/>
    <w:rsid w:val="00F10F74"/>
    <w:rsid w:val="00F113C3"/>
    <w:rsid w:val="00F11437"/>
    <w:rsid w:val="00F133C1"/>
    <w:rsid w:val="00F174A7"/>
    <w:rsid w:val="00F17DA5"/>
    <w:rsid w:val="00F203DE"/>
    <w:rsid w:val="00F20598"/>
    <w:rsid w:val="00F23141"/>
    <w:rsid w:val="00F23A61"/>
    <w:rsid w:val="00F24180"/>
    <w:rsid w:val="00F326B5"/>
    <w:rsid w:val="00F32ACB"/>
    <w:rsid w:val="00F33971"/>
    <w:rsid w:val="00F41822"/>
    <w:rsid w:val="00F43473"/>
    <w:rsid w:val="00F43943"/>
    <w:rsid w:val="00F448C8"/>
    <w:rsid w:val="00F44A1E"/>
    <w:rsid w:val="00F46128"/>
    <w:rsid w:val="00F466BF"/>
    <w:rsid w:val="00F47469"/>
    <w:rsid w:val="00F47493"/>
    <w:rsid w:val="00F50283"/>
    <w:rsid w:val="00F51DD0"/>
    <w:rsid w:val="00F5421C"/>
    <w:rsid w:val="00F548A6"/>
    <w:rsid w:val="00F56ECC"/>
    <w:rsid w:val="00F57C36"/>
    <w:rsid w:val="00F605BA"/>
    <w:rsid w:val="00F613BB"/>
    <w:rsid w:val="00F62CC3"/>
    <w:rsid w:val="00F630E8"/>
    <w:rsid w:val="00F63A97"/>
    <w:rsid w:val="00F63F60"/>
    <w:rsid w:val="00F64007"/>
    <w:rsid w:val="00F658B9"/>
    <w:rsid w:val="00F665B4"/>
    <w:rsid w:val="00F66A17"/>
    <w:rsid w:val="00F66E44"/>
    <w:rsid w:val="00F7220E"/>
    <w:rsid w:val="00F7241B"/>
    <w:rsid w:val="00F7372A"/>
    <w:rsid w:val="00F73A60"/>
    <w:rsid w:val="00F75186"/>
    <w:rsid w:val="00F75445"/>
    <w:rsid w:val="00F769EC"/>
    <w:rsid w:val="00F77724"/>
    <w:rsid w:val="00F77785"/>
    <w:rsid w:val="00F80683"/>
    <w:rsid w:val="00F809F8"/>
    <w:rsid w:val="00F81C73"/>
    <w:rsid w:val="00F83E0A"/>
    <w:rsid w:val="00F876DA"/>
    <w:rsid w:val="00F9113A"/>
    <w:rsid w:val="00F945F6"/>
    <w:rsid w:val="00F95999"/>
    <w:rsid w:val="00FA03A8"/>
    <w:rsid w:val="00FA1642"/>
    <w:rsid w:val="00FA264B"/>
    <w:rsid w:val="00FA2A42"/>
    <w:rsid w:val="00FA3B19"/>
    <w:rsid w:val="00FA3E24"/>
    <w:rsid w:val="00FA4DC1"/>
    <w:rsid w:val="00FB2194"/>
    <w:rsid w:val="00FB3D32"/>
    <w:rsid w:val="00FB433D"/>
    <w:rsid w:val="00FB70B0"/>
    <w:rsid w:val="00FC0A20"/>
    <w:rsid w:val="00FC3E74"/>
    <w:rsid w:val="00FC4251"/>
    <w:rsid w:val="00FC4AE7"/>
    <w:rsid w:val="00FC652B"/>
    <w:rsid w:val="00FD03AA"/>
    <w:rsid w:val="00FD0915"/>
    <w:rsid w:val="00FD4BCF"/>
    <w:rsid w:val="00FD4BE2"/>
    <w:rsid w:val="00FD6774"/>
    <w:rsid w:val="00FD7008"/>
    <w:rsid w:val="00FE3302"/>
    <w:rsid w:val="00FE3B9B"/>
    <w:rsid w:val="00FE3F4C"/>
    <w:rsid w:val="00FE424E"/>
    <w:rsid w:val="00FE7523"/>
    <w:rsid w:val="00FE7F25"/>
    <w:rsid w:val="00FF0F61"/>
    <w:rsid w:val="00FF231B"/>
    <w:rsid w:val="00FF2EF9"/>
    <w:rsid w:val="00FF33E2"/>
    <w:rsid w:val="00FF3E79"/>
    <w:rsid w:val="00FF4D3C"/>
    <w:rsid w:val="00FF54E6"/>
    <w:rsid w:val="00FF6226"/>
    <w:rsid w:val="00FF6EF3"/>
    <w:rsid w:val="00FF7EF1"/>
    <w:rsid w:val="13F1460F"/>
    <w:rsid w:val="32E213CD"/>
    <w:rsid w:val="46866665"/>
    <w:rsid w:val="5CCB577A"/>
    <w:rsid w:val="6EE13FD1"/>
    <w:rsid w:val="78811D9D"/>
    <w:rsid w:val="78D85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o:shapedefaults>
    <o:shapelayout v:ext="edit">
      <o:idmap v:ext="edit" data="1"/>
    </o:shapelayout>
  </w:shapeDefaults>
  <w:decimalSymbol w:val="."/>
  <w:listSeparator w:val=","/>
  <w14:docId w14:val="658CBE43"/>
  <w15:chartTrackingRefBased/>
  <w15:docId w15:val="{D3F5DC3D-95BD-4C84-B968-0D154E62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line="360"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b/>
      <w:bCs/>
      <w:kern w:val="44"/>
      <w:sz w:val="28"/>
      <w:szCs w:val="44"/>
    </w:rPr>
  </w:style>
  <w:style w:type="paragraph" w:styleId="a3">
    <w:name w:val="Document Map"/>
    <w:basedOn w:val="a"/>
    <w:link w:val="a4"/>
    <w:uiPriority w:val="99"/>
    <w:unhideWhenUsed/>
    <w:rPr>
      <w:rFonts w:ascii="宋体"/>
      <w:kern w:val="0"/>
      <w:sz w:val="18"/>
      <w:szCs w:val="18"/>
    </w:rPr>
  </w:style>
  <w:style w:type="character" w:customStyle="1" w:styleId="a4">
    <w:name w:val="文档结构图 字符"/>
    <w:link w:val="a3"/>
    <w:uiPriority w:val="99"/>
    <w:semiHidden/>
    <w:rPr>
      <w:rFonts w:ascii="宋体" w:eastAsia="宋体"/>
      <w:sz w:val="18"/>
      <w:szCs w:val="18"/>
    </w:rPr>
  </w:style>
  <w:style w:type="paragraph" w:styleId="a5">
    <w:name w:val="annotation text"/>
    <w:basedOn w:val="a"/>
    <w:link w:val="a6"/>
    <w:unhideWhenUsed/>
    <w:qFormat/>
    <w:pPr>
      <w:jc w:val="left"/>
    </w:pPr>
  </w:style>
  <w:style w:type="character" w:customStyle="1" w:styleId="a6">
    <w:name w:val="批注文字 字符"/>
    <w:link w:val="a5"/>
    <w:qFormat/>
    <w:rPr>
      <w:kern w:val="2"/>
      <w:sz w:val="21"/>
      <w:szCs w:val="22"/>
    </w:rPr>
  </w:style>
  <w:style w:type="paragraph" w:styleId="a7">
    <w:name w:val="Body Text Indent"/>
    <w:basedOn w:val="a"/>
    <w:link w:val="a8"/>
    <w:pPr>
      <w:spacing w:line="400" w:lineRule="exact"/>
      <w:ind w:firstLineChars="192" w:firstLine="538"/>
    </w:pPr>
    <w:rPr>
      <w:rFonts w:ascii="仿宋_GB2312" w:eastAsia="仿宋_GB2312" w:hAnsi="宋体"/>
      <w:color w:val="000000"/>
      <w:sz w:val="28"/>
      <w:szCs w:val="24"/>
    </w:rPr>
  </w:style>
  <w:style w:type="character" w:customStyle="1" w:styleId="a8">
    <w:name w:val="正文文本缩进 字符"/>
    <w:link w:val="a7"/>
    <w:rPr>
      <w:rFonts w:ascii="仿宋_GB2312" w:eastAsia="仿宋_GB2312" w:hAnsi="宋体"/>
      <w:color w:val="000000"/>
      <w:kern w:val="2"/>
      <w:sz w:val="28"/>
      <w:szCs w:val="24"/>
    </w:rPr>
  </w:style>
  <w:style w:type="paragraph" w:styleId="a9">
    <w:name w:val="Plain Text"/>
    <w:basedOn w:val="a"/>
    <w:link w:val="aa"/>
    <w:rPr>
      <w:rFonts w:ascii="宋体" w:hAnsi="Courier New"/>
      <w:szCs w:val="21"/>
    </w:rPr>
  </w:style>
  <w:style w:type="character" w:customStyle="1" w:styleId="aa">
    <w:name w:val="纯文本 字符"/>
    <w:link w:val="a9"/>
    <w:rPr>
      <w:rFonts w:ascii="宋体" w:hAnsi="Courier New"/>
      <w:kern w:val="2"/>
      <w:sz w:val="21"/>
      <w:szCs w:val="21"/>
    </w:rPr>
  </w:style>
  <w:style w:type="paragraph" w:styleId="2">
    <w:name w:val="Body Text Indent 2"/>
    <w:basedOn w:val="a"/>
    <w:link w:val="20"/>
    <w:uiPriority w:val="99"/>
    <w:unhideWhenUsed/>
    <w:pPr>
      <w:spacing w:after="120" w:line="480" w:lineRule="auto"/>
      <w:ind w:leftChars="200" w:left="420"/>
    </w:pPr>
  </w:style>
  <w:style w:type="character" w:customStyle="1" w:styleId="20">
    <w:name w:val="正文文本缩进 2 字符"/>
    <w:link w:val="2"/>
    <w:uiPriority w:val="99"/>
    <w:semiHidden/>
    <w:rPr>
      <w:kern w:val="2"/>
      <w:sz w:val="21"/>
      <w:szCs w:val="22"/>
    </w:rPr>
  </w:style>
  <w:style w:type="paragraph" w:styleId="ab">
    <w:name w:val="Balloon Text"/>
    <w:basedOn w:val="a"/>
    <w:link w:val="ac"/>
    <w:uiPriority w:val="99"/>
    <w:unhideWhenUsed/>
    <w:rPr>
      <w:kern w:val="0"/>
      <w:sz w:val="18"/>
      <w:szCs w:val="18"/>
    </w:rPr>
  </w:style>
  <w:style w:type="character" w:customStyle="1" w:styleId="ac">
    <w:name w:val="批注框文本 字符"/>
    <w:link w:val="ab"/>
    <w:uiPriority w:val="99"/>
    <w:semiHidden/>
    <w:rPr>
      <w:sz w:val="18"/>
      <w:szCs w:val="18"/>
    </w:rPr>
  </w:style>
  <w:style w:type="paragraph" w:styleId="ad">
    <w:name w:val="footer"/>
    <w:basedOn w:val="a"/>
    <w:link w:val="ae"/>
    <w:uiPriority w:val="99"/>
    <w:unhideWhenUsed/>
    <w:pPr>
      <w:tabs>
        <w:tab w:val="center" w:pos="4153"/>
        <w:tab w:val="right" w:pos="8306"/>
      </w:tabs>
      <w:snapToGrid w:val="0"/>
      <w:jc w:val="left"/>
    </w:pPr>
    <w:rPr>
      <w:kern w:val="0"/>
      <w:sz w:val="18"/>
      <w:szCs w:val="18"/>
    </w:rPr>
  </w:style>
  <w:style w:type="character" w:customStyle="1" w:styleId="ae">
    <w:name w:val="页脚 字符"/>
    <w:link w:val="ad"/>
    <w:uiPriority w:val="99"/>
    <w:rPr>
      <w:sz w:val="18"/>
      <w:szCs w:val="18"/>
    </w:rPr>
  </w:style>
  <w:style w:type="paragraph" w:styleId="af">
    <w:name w:val="header"/>
    <w:basedOn w:val="a"/>
    <w:link w:val="af0"/>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af0">
    <w:name w:val="页眉 字符"/>
    <w:link w:val="af"/>
    <w:uiPriority w:val="99"/>
    <w:rPr>
      <w:sz w:val="18"/>
      <w:szCs w:val="18"/>
    </w:rPr>
  </w:style>
  <w:style w:type="paragraph" w:customStyle="1" w:styleId="11">
    <w:name w:val="目录 1"/>
    <w:basedOn w:val="a"/>
    <w:next w:val="a"/>
    <w:uiPriority w:val="39"/>
    <w:unhideWhenUsed/>
    <w:pPr>
      <w:tabs>
        <w:tab w:val="right" w:leader="hyphen" w:pos="8296"/>
      </w:tabs>
      <w:spacing w:line="360" w:lineRule="auto"/>
    </w:pPr>
    <w:rPr>
      <w:rFonts w:ascii="宋体" w:hAnsi="宋体"/>
      <w:sz w:val="24"/>
      <w:szCs w:val="24"/>
    </w:rPr>
  </w:style>
  <w:style w:type="paragraph" w:styleId="af1">
    <w:name w:val="annotation subject"/>
    <w:basedOn w:val="a5"/>
    <w:next w:val="a5"/>
    <w:link w:val="af2"/>
    <w:uiPriority w:val="99"/>
    <w:unhideWhenUsed/>
    <w:rPr>
      <w:b/>
      <w:bCs/>
    </w:rPr>
  </w:style>
  <w:style w:type="character" w:customStyle="1" w:styleId="af2">
    <w:name w:val="批注主题 字符"/>
    <w:link w:val="af1"/>
    <w:uiPriority w:val="99"/>
    <w:semiHidden/>
    <w:rPr>
      <w:b/>
      <w:bCs/>
      <w:kern w:val="2"/>
      <w:sz w:val="21"/>
      <w:szCs w:val="22"/>
    </w:rPr>
  </w:style>
  <w:style w:type="character" w:styleId="af3">
    <w:name w:val="Hyperlink"/>
    <w:uiPriority w:val="99"/>
    <w:unhideWhenUsed/>
    <w:rPr>
      <w:color w:val="0000FF"/>
      <w:u w:val="single"/>
    </w:rPr>
  </w:style>
  <w:style w:type="character" w:styleId="af4">
    <w:name w:val="annotation reference"/>
    <w:uiPriority w:val="99"/>
    <w:unhideWhenUsed/>
    <w:qFormat/>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CharCharCharCharCharCharCharChar1CharCharCharChar">
    <w:name w:val="Char Char Char Char Char Char Char Char Char Char Char Char Char1 Char Char Char Char"/>
    <w:basedOn w:val="a"/>
    <w:rPr>
      <w:rFonts w:ascii="Tahoma" w:hAnsi="Tahoma"/>
      <w:sz w:val="24"/>
      <w:szCs w:val="24"/>
    </w:rPr>
  </w:style>
  <w:style w:type="character" w:customStyle="1" w:styleId="apple-style-span">
    <w:name w:val="apple-style-span"/>
  </w:style>
  <w:style w:type="paragraph" w:styleId="af5">
    <w:name w:val="Revision"/>
    <w:uiPriority w:val="99"/>
    <w:semiHidden/>
    <w:rPr>
      <w:kern w:val="2"/>
      <w:sz w:val="21"/>
      <w:szCs w:val="22"/>
    </w:rPr>
  </w:style>
  <w:style w:type="paragraph" w:customStyle="1" w:styleId="CharCharChar">
    <w:name w:val="Char Char Char"/>
    <w:basedOn w:val="a"/>
    <w:rPr>
      <w:rFonts w:ascii="Times New Roman" w:hAnsi="Times New Roman"/>
      <w:szCs w:val="24"/>
    </w:r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hAnsi="Times New Roman"/>
      <w:szCs w:val="20"/>
    </w:rPr>
  </w:style>
  <w:style w:type="paragraph" w:customStyle="1" w:styleId="CM16">
    <w:name w:val="CM16"/>
    <w:basedOn w:val="Default"/>
    <w:next w:val="Default"/>
    <w:pPr>
      <w:spacing w:line="471" w:lineRule="atLeast"/>
    </w:pPr>
    <w:rPr>
      <w:rFonts w:ascii="黑体" w:eastAsia="黑体" w:hAnsi="Times New Roman" w:cs="Times New Roman"/>
      <w:color w:val="auto"/>
    </w:rPr>
  </w:style>
  <w:style w:type="character" w:customStyle="1" w:styleId="DeltaViewInsertion">
    <w:name w:val="DeltaView Insertion"/>
    <w:rPr>
      <w:color w:val="0000FF"/>
      <w:spacing w:val="0"/>
      <w:u w:val="double"/>
    </w:rPr>
  </w:style>
  <w:style w:type="character" w:customStyle="1" w:styleId="read">
    <w:name w:val="read"/>
    <w:basedOn w:val="a0"/>
    <w:qFormat/>
    <w:rsid w:val="00005BAD"/>
  </w:style>
  <w:style w:type="character" w:customStyle="1" w:styleId="12">
    <w:name w:val="批注文字 字符1"/>
    <w:qFormat/>
    <w:rsid w:val="006D39A0"/>
    <w:rPr>
      <w:sz w:val="21"/>
    </w:rPr>
  </w:style>
  <w:style w:type="paragraph" w:styleId="af6">
    <w:name w:val="Body Text"/>
    <w:basedOn w:val="a"/>
    <w:link w:val="af7"/>
    <w:uiPriority w:val="99"/>
    <w:semiHidden/>
    <w:unhideWhenUsed/>
    <w:rsid w:val="0060353A"/>
    <w:pPr>
      <w:spacing w:after="120"/>
    </w:pPr>
  </w:style>
  <w:style w:type="character" w:customStyle="1" w:styleId="af7">
    <w:name w:val="正文文本 字符"/>
    <w:link w:val="af6"/>
    <w:uiPriority w:val="99"/>
    <w:semiHidden/>
    <w:rsid w:val="0060353A"/>
    <w:rPr>
      <w:kern w:val="2"/>
      <w:sz w:val="21"/>
      <w:szCs w:val="22"/>
    </w:rPr>
  </w:style>
  <w:style w:type="paragraph" w:styleId="af8">
    <w:name w:val="Body Text First Indent"/>
    <w:basedOn w:val="af6"/>
    <w:link w:val="af9"/>
    <w:uiPriority w:val="99"/>
    <w:unhideWhenUsed/>
    <w:qFormat/>
    <w:rsid w:val="0060353A"/>
    <w:pPr>
      <w:ind w:firstLineChars="100" w:firstLine="420"/>
    </w:pPr>
    <w:rPr>
      <w:rFonts w:ascii="Times New Roman" w:hAnsi="Times New Roman"/>
      <w:szCs w:val="24"/>
    </w:rPr>
  </w:style>
  <w:style w:type="character" w:customStyle="1" w:styleId="af9">
    <w:name w:val="正文文本首行缩进 字符"/>
    <w:link w:val="af8"/>
    <w:uiPriority w:val="99"/>
    <w:rsid w:val="0060353A"/>
    <w:rPr>
      <w:rFonts w:ascii="Times New Roman" w:hAnsi="Times New Roman"/>
      <w:kern w:val="2"/>
      <w:sz w:val="21"/>
      <w:szCs w:val="24"/>
    </w:rPr>
  </w:style>
  <w:style w:type="paragraph" w:styleId="TOC1">
    <w:name w:val="toc 1"/>
    <w:basedOn w:val="a"/>
    <w:next w:val="a"/>
    <w:autoRedefine/>
    <w:uiPriority w:val="39"/>
    <w:unhideWhenUsed/>
    <w:rsid w:val="0024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B1CC-C773-4402-9451-521B9F02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54</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34262</CharactersWithSpaces>
  <SharedDoc>false</SharedDoc>
  <HLinks>
    <vt:vector size="120" baseType="variant">
      <vt:variant>
        <vt:i4>2031666</vt:i4>
      </vt:variant>
      <vt:variant>
        <vt:i4>116</vt:i4>
      </vt:variant>
      <vt:variant>
        <vt:i4>0</vt:i4>
      </vt:variant>
      <vt:variant>
        <vt:i4>5</vt:i4>
      </vt:variant>
      <vt:variant>
        <vt:lpwstr/>
      </vt:variant>
      <vt:variant>
        <vt:lpwstr>_Toc296551356</vt:lpwstr>
      </vt:variant>
      <vt:variant>
        <vt:i4>2031666</vt:i4>
      </vt:variant>
      <vt:variant>
        <vt:i4>110</vt:i4>
      </vt:variant>
      <vt:variant>
        <vt:i4>0</vt:i4>
      </vt:variant>
      <vt:variant>
        <vt:i4>5</vt:i4>
      </vt:variant>
      <vt:variant>
        <vt:lpwstr/>
      </vt:variant>
      <vt:variant>
        <vt:lpwstr>_Toc296551355</vt:lpwstr>
      </vt:variant>
      <vt:variant>
        <vt:i4>2031666</vt:i4>
      </vt:variant>
      <vt:variant>
        <vt:i4>104</vt:i4>
      </vt:variant>
      <vt:variant>
        <vt:i4>0</vt:i4>
      </vt:variant>
      <vt:variant>
        <vt:i4>5</vt:i4>
      </vt:variant>
      <vt:variant>
        <vt:lpwstr/>
      </vt:variant>
      <vt:variant>
        <vt:lpwstr>_Toc296551354</vt:lpwstr>
      </vt:variant>
      <vt:variant>
        <vt:i4>2031666</vt:i4>
      </vt:variant>
      <vt:variant>
        <vt:i4>98</vt:i4>
      </vt:variant>
      <vt:variant>
        <vt:i4>0</vt:i4>
      </vt:variant>
      <vt:variant>
        <vt:i4>5</vt:i4>
      </vt:variant>
      <vt:variant>
        <vt:lpwstr/>
      </vt:variant>
      <vt:variant>
        <vt:lpwstr>_Toc296551353</vt:lpwstr>
      </vt:variant>
      <vt:variant>
        <vt:i4>2031666</vt:i4>
      </vt:variant>
      <vt:variant>
        <vt:i4>92</vt:i4>
      </vt:variant>
      <vt:variant>
        <vt:i4>0</vt:i4>
      </vt:variant>
      <vt:variant>
        <vt:i4>5</vt:i4>
      </vt:variant>
      <vt:variant>
        <vt:lpwstr/>
      </vt:variant>
      <vt:variant>
        <vt:lpwstr>_Toc296551352</vt:lpwstr>
      </vt:variant>
      <vt:variant>
        <vt:i4>2031666</vt:i4>
      </vt:variant>
      <vt:variant>
        <vt:i4>86</vt:i4>
      </vt:variant>
      <vt:variant>
        <vt:i4>0</vt:i4>
      </vt:variant>
      <vt:variant>
        <vt:i4>5</vt:i4>
      </vt:variant>
      <vt:variant>
        <vt:lpwstr/>
      </vt:variant>
      <vt:variant>
        <vt:lpwstr>_Toc296551351</vt:lpwstr>
      </vt:variant>
      <vt:variant>
        <vt:i4>2031666</vt:i4>
      </vt:variant>
      <vt:variant>
        <vt:i4>80</vt:i4>
      </vt:variant>
      <vt:variant>
        <vt:i4>0</vt:i4>
      </vt:variant>
      <vt:variant>
        <vt:i4>5</vt:i4>
      </vt:variant>
      <vt:variant>
        <vt:lpwstr/>
      </vt:variant>
      <vt:variant>
        <vt:lpwstr>_Toc296551350</vt:lpwstr>
      </vt:variant>
      <vt:variant>
        <vt:i4>1966130</vt:i4>
      </vt:variant>
      <vt:variant>
        <vt:i4>74</vt:i4>
      </vt:variant>
      <vt:variant>
        <vt:i4>0</vt:i4>
      </vt:variant>
      <vt:variant>
        <vt:i4>5</vt:i4>
      </vt:variant>
      <vt:variant>
        <vt:lpwstr/>
      </vt:variant>
      <vt:variant>
        <vt:lpwstr>_Toc296551349</vt:lpwstr>
      </vt:variant>
      <vt:variant>
        <vt:i4>1966130</vt:i4>
      </vt:variant>
      <vt:variant>
        <vt:i4>68</vt:i4>
      </vt:variant>
      <vt:variant>
        <vt:i4>0</vt:i4>
      </vt:variant>
      <vt:variant>
        <vt:i4>5</vt:i4>
      </vt:variant>
      <vt:variant>
        <vt:lpwstr/>
      </vt:variant>
      <vt:variant>
        <vt:lpwstr>_Toc296551348</vt:lpwstr>
      </vt:variant>
      <vt:variant>
        <vt:i4>1966130</vt:i4>
      </vt:variant>
      <vt:variant>
        <vt:i4>62</vt:i4>
      </vt:variant>
      <vt:variant>
        <vt:i4>0</vt:i4>
      </vt:variant>
      <vt:variant>
        <vt:i4>5</vt:i4>
      </vt:variant>
      <vt:variant>
        <vt:lpwstr/>
      </vt:variant>
      <vt:variant>
        <vt:lpwstr>_Toc296551347</vt:lpwstr>
      </vt:variant>
      <vt:variant>
        <vt:i4>1966130</vt:i4>
      </vt:variant>
      <vt:variant>
        <vt:i4>56</vt:i4>
      </vt:variant>
      <vt:variant>
        <vt:i4>0</vt:i4>
      </vt:variant>
      <vt:variant>
        <vt:i4>5</vt:i4>
      </vt:variant>
      <vt:variant>
        <vt:lpwstr/>
      </vt:variant>
      <vt:variant>
        <vt:lpwstr>_Toc296551346</vt:lpwstr>
      </vt:variant>
      <vt:variant>
        <vt:i4>1966130</vt:i4>
      </vt:variant>
      <vt:variant>
        <vt:i4>50</vt:i4>
      </vt:variant>
      <vt:variant>
        <vt:i4>0</vt:i4>
      </vt:variant>
      <vt:variant>
        <vt:i4>5</vt:i4>
      </vt:variant>
      <vt:variant>
        <vt:lpwstr/>
      </vt:variant>
      <vt:variant>
        <vt:lpwstr>_Toc296551345</vt:lpwstr>
      </vt:variant>
      <vt:variant>
        <vt:i4>1966130</vt:i4>
      </vt:variant>
      <vt:variant>
        <vt:i4>44</vt:i4>
      </vt:variant>
      <vt:variant>
        <vt:i4>0</vt:i4>
      </vt:variant>
      <vt:variant>
        <vt:i4>5</vt:i4>
      </vt:variant>
      <vt:variant>
        <vt:lpwstr/>
      </vt:variant>
      <vt:variant>
        <vt:lpwstr>_Toc296551344</vt:lpwstr>
      </vt:variant>
      <vt:variant>
        <vt:i4>1966130</vt:i4>
      </vt:variant>
      <vt:variant>
        <vt:i4>38</vt:i4>
      </vt:variant>
      <vt:variant>
        <vt:i4>0</vt:i4>
      </vt:variant>
      <vt:variant>
        <vt:i4>5</vt:i4>
      </vt:variant>
      <vt:variant>
        <vt:lpwstr/>
      </vt:variant>
      <vt:variant>
        <vt:lpwstr>_Toc296551343</vt:lpwstr>
      </vt:variant>
      <vt:variant>
        <vt:i4>1966130</vt:i4>
      </vt:variant>
      <vt:variant>
        <vt:i4>32</vt:i4>
      </vt:variant>
      <vt:variant>
        <vt:i4>0</vt:i4>
      </vt:variant>
      <vt:variant>
        <vt:i4>5</vt:i4>
      </vt:variant>
      <vt:variant>
        <vt:lpwstr/>
      </vt:variant>
      <vt:variant>
        <vt:lpwstr>_Toc296551342</vt:lpwstr>
      </vt:variant>
      <vt:variant>
        <vt:i4>1966130</vt:i4>
      </vt:variant>
      <vt:variant>
        <vt:i4>26</vt:i4>
      </vt:variant>
      <vt:variant>
        <vt:i4>0</vt:i4>
      </vt:variant>
      <vt:variant>
        <vt:i4>5</vt:i4>
      </vt:variant>
      <vt:variant>
        <vt:lpwstr/>
      </vt:variant>
      <vt:variant>
        <vt:lpwstr>_Toc296551341</vt:lpwstr>
      </vt:variant>
      <vt:variant>
        <vt:i4>1966130</vt:i4>
      </vt:variant>
      <vt:variant>
        <vt:i4>20</vt:i4>
      </vt:variant>
      <vt:variant>
        <vt:i4>0</vt:i4>
      </vt:variant>
      <vt:variant>
        <vt:i4>5</vt:i4>
      </vt:variant>
      <vt:variant>
        <vt:lpwstr/>
      </vt:variant>
      <vt:variant>
        <vt:lpwstr>_Toc296551340</vt:lpwstr>
      </vt:variant>
      <vt:variant>
        <vt:i4>1638450</vt:i4>
      </vt:variant>
      <vt:variant>
        <vt:i4>14</vt:i4>
      </vt:variant>
      <vt:variant>
        <vt:i4>0</vt:i4>
      </vt:variant>
      <vt:variant>
        <vt:i4>5</vt:i4>
      </vt:variant>
      <vt:variant>
        <vt:lpwstr/>
      </vt:variant>
      <vt:variant>
        <vt:lpwstr>_Toc296551339</vt:lpwstr>
      </vt:variant>
      <vt:variant>
        <vt:i4>1638450</vt:i4>
      </vt:variant>
      <vt:variant>
        <vt:i4>8</vt:i4>
      </vt:variant>
      <vt:variant>
        <vt:i4>0</vt:i4>
      </vt:variant>
      <vt:variant>
        <vt:i4>5</vt:i4>
      </vt:variant>
      <vt:variant>
        <vt:lpwstr/>
      </vt:variant>
      <vt:variant>
        <vt:lpwstr>_Toc296551338</vt:lpwstr>
      </vt:variant>
      <vt:variant>
        <vt:i4>1638450</vt:i4>
      </vt:variant>
      <vt:variant>
        <vt:i4>2</vt:i4>
      </vt:variant>
      <vt:variant>
        <vt:i4>0</vt:i4>
      </vt:variant>
      <vt:variant>
        <vt:i4>5</vt:i4>
      </vt:variant>
      <vt:variant>
        <vt:lpwstr/>
      </vt:variant>
      <vt:variant>
        <vt:lpwstr>_Toc296551337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中银基金</dc:creator>
  <cp:keywords/>
  <cp:lastModifiedBy>Liu, Wen</cp:lastModifiedBy>
  <cp:revision>15</cp:revision>
  <cp:lastPrinted>2021-03-31T07:53:00Z</cp:lastPrinted>
  <dcterms:created xsi:type="dcterms:W3CDTF">2023-12-21T10:09:00Z</dcterms:created>
  <dcterms:modified xsi:type="dcterms:W3CDTF">2024-03-15T05:39:00Z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