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FF6B" w14:textId="77777777" w:rsidR="00D315D6" w:rsidRPr="00770E34" w:rsidRDefault="00C14E5E">
      <w:pPr>
        <w:spacing w:line="520" w:lineRule="exact"/>
        <w:jc w:val="right"/>
        <w:rPr>
          <w:rFonts w:ascii="宋体" w:hAnsi="宋体"/>
          <w:shadow/>
          <w:sz w:val="28"/>
          <w:szCs w:val="28"/>
        </w:rPr>
      </w:pPr>
      <w:permStart w:id="1744242507" w:edGrp="everyone"/>
      <w:r w:rsidRPr="00770E34">
        <w:rPr>
          <w:rFonts w:ascii="宋体" w:hint="eastAsia"/>
          <w:sz w:val="24"/>
          <w:szCs w:val="28"/>
        </w:rPr>
        <w:t>编号：银【 】字/第【 】号</w:t>
      </w:r>
      <w:permEnd w:id="1744242507"/>
    </w:p>
    <w:p w14:paraId="3E8ED1C1" w14:textId="77777777" w:rsidR="00D315D6" w:rsidRPr="00770E34" w:rsidRDefault="00C14E5E">
      <w:pPr>
        <w:spacing w:line="520" w:lineRule="exact"/>
        <w:jc w:val="center"/>
        <w:rPr>
          <w:rFonts w:ascii="宋体" w:hAnsi="宋体"/>
          <w:shadow/>
          <w:sz w:val="28"/>
          <w:szCs w:val="28"/>
        </w:rPr>
      </w:pPr>
      <w:r w:rsidRPr="00770E34">
        <w:rPr>
          <w:rFonts w:ascii="宋体" w:hAnsi="宋体" w:hint="eastAsia"/>
          <w:szCs w:val="28"/>
        </w:rPr>
        <w:t xml:space="preserve">                             </w:t>
      </w:r>
    </w:p>
    <w:p w14:paraId="0811A565" w14:textId="77777777" w:rsidR="00D315D6" w:rsidRPr="00770E34" w:rsidRDefault="00D315D6">
      <w:pPr>
        <w:spacing w:line="520" w:lineRule="exact"/>
        <w:jc w:val="center"/>
        <w:rPr>
          <w:rFonts w:ascii="宋体" w:hAnsi="宋体"/>
          <w:shadow/>
          <w:sz w:val="28"/>
          <w:szCs w:val="28"/>
        </w:rPr>
      </w:pPr>
    </w:p>
    <w:p w14:paraId="2802C3B9" w14:textId="77777777" w:rsidR="00D315D6" w:rsidRPr="00770E34" w:rsidRDefault="00D315D6">
      <w:pPr>
        <w:spacing w:line="520" w:lineRule="exact"/>
        <w:jc w:val="center"/>
        <w:rPr>
          <w:rFonts w:ascii="宋体" w:hAnsi="宋体"/>
          <w:shadow/>
          <w:sz w:val="28"/>
          <w:szCs w:val="28"/>
        </w:rPr>
      </w:pPr>
    </w:p>
    <w:p w14:paraId="0D1B543F" w14:textId="77777777" w:rsidR="00D315D6" w:rsidRPr="00770E34" w:rsidRDefault="00D315D6">
      <w:pPr>
        <w:spacing w:line="520" w:lineRule="exact"/>
        <w:jc w:val="center"/>
        <w:rPr>
          <w:rFonts w:ascii="宋体" w:hAnsi="宋体"/>
          <w:shadow/>
          <w:sz w:val="28"/>
          <w:szCs w:val="28"/>
        </w:rPr>
      </w:pPr>
    </w:p>
    <w:p w14:paraId="6C7BA5AA" w14:textId="77777777" w:rsidR="00D315D6" w:rsidRPr="00770E34" w:rsidRDefault="00D315D6">
      <w:pPr>
        <w:spacing w:line="520" w:lineRule="exact"/>
        <w:jc w:val="center"/>
        <w:rPr>
          <w:rFonts w:ascii="宋体" w:hAnsi="宋体"/>
          <w:shadow/>
          <w:sz w:val="28"/>
          <w:szCs w:val="28"/>
        </w:rPr>
      </w:pPr>
    </w:p>
    <w:p w14:paraId="3AB482FB" w14:textId="5A38A16D" w:rsidR="00D315D6" w:rsidRPr="00770E34" w:rsidRDefault="00C14E5E">
      <w:pPr>
        <w:spacing w:line="360" w:lineRule="auto"/>
        <w:jc w:val="center"/>
        <w:rPr>
          <w:rFonts w:ascii="宋体" w:hAnsi="宋体"/>
          <w:b/>
          <w:sz w:val="48"/>
        </w:rPr>
      </w:pPr>
      <w:bookmarkStart w:id="0" w:name="_Toc139992299"/>
      <w:bookmarkStart w:id="1" w:name="_Toc123701381"/>
      <w:bookmarkStart w:id="2" w:name="_Toc123112261"/>
      <w:bookmarkStart w:id="3" w:name="_Toc123112222"/>
      <w:bookmarkStart w:id="4" w:name="_Toc139991724"/>
      <w:permStart w:id="1048329778" w:edGrp="everyone"/>
      <w:r w:rsidRPr="00770E34">
        <w:rPr>
          <w:rFonts w:ascii="宋体" w:hAnsi="宋体" w:hint="eastAsia"/>
          <w:b/>
          <w:sz w:val="48"/>
        </w:rPr>
        <w:t>【银河中证机器人指数发起式】证券投资基金</w:t>
      </w:r>
      <w:bookmarkEnd w:id="0"/>
      <w:bookmarkEnd w:id="1"/>
      <w:bookmarkEnd w:id="2"/>
      <w:bookmarkEnd w:id="3"/>
      <w:bookmarkEnd w:id="4"/>
      <w:r w:rsidRPr="00770E34">
        <w:rPr>
          <w:rFonts w:ascii="宋体" w:hAnsi="宋体" w:hint="eastAsia"/>
          <w:b/>
          <w:sz w:val="48"/>
        </w:rPr>
        <w:t>托管协议</w:t>
      </w:r>
    </w:p>
    <w:permEnd w:id="1048329778"/>
    <w:p w14:paraId="7FE856DF" w14:textId="77777777" w:rsidR="00D315D6" w:rsidRPr="00770E34" w:rsidRDefault="00D315D6">
      <w:pPr>
        <w:pStyle w:val="20"/>
        <w:spacing w:line="520" w:lineRule="exact"/>
        <w:ind w:firstLine="560"/>
        <w:rPr>
          <w:rFonts w:hAnsi="宋体"/>
          <w:sz w:val="28"/>
          <w:szCs w:val="28"/>
        </w:rPr>
      </w:pPr>
    </w:p>
    <w:p w14:paraId="0F59B282" w14:textId="4995BCD9" w:rsidR="00D315D6" w:rsidRPr="00770E34" w:rsidRDefault="00632979" w:rsidP="00632979">
      <w:pPr>
        <w:pStyle w:val="20"/>
        <w:tabs>
          <w:tab w:val="left" w:pos="6690"/>
        </w:tabs>
        <w:spacing w:line="520" w:lineRule="exact"/>
        <w:ind w:firstLine="560"/>
        <w:rPr>
          <w:rFonts w:hAnsi="宋体"/>
          <w:sz w:val="28"/>
          <w:szCs w:val="28"/>
        </w:rPr>
      </w:pPr>
      <w:r>
        <w:rPr>
          <w:rFonts w:hAnsi="宋体"/>
          <w:sz w:val="28"/>
          <w:szCs w:val="28"/>
        </w:rPr>
        <w:tab/>
      </w:r>
    </w:p>
    <w:p w14:paraId="7F21E4B0" w14:textId="77777777" w:rsidR="00D315D6" w:rsidRPr="00770E34" w:rsidRDefault="00D315D6">
      <w:pPr>
        <w:pStyle w:val="20"/>
        <w:spacing w:line="520" w:lineRule="exact"/>
        <w:ind w:firstLine="560"/>
        <w:rPr>
          <w:rFonts w:hAnsi="宋体"/>
          <w:sz w:val="28"/>
          <w:szCs w:val="28"/>
        </w:rPr>
      </w:pPr>
    </w:p>
    <w:p w14:paraId="524F2E5F" w14:textId="77777777" w:rsidR="00D315D6" w:rsidRPr="00770E34" w:rsidRDefault="00D315D6">
      <w:pPr>
        <w:pStyle w:val="20"/>
        <w:spacing w:line="520" w:lineRule="exact"/>
        <w:ind w:firstLine="560"/>
        <w:rPr>
          <w:rFonts w:hAnsi="宋体"/>
          <w:sz w:val="28"/>
          <w:szCs w:val="28"/>
        </w:rPr>
      </w:pPr>
    </w:p>
    <w:p w14:paraId="42B2C4DC" w14:textId="77777777" w:rsidR="00D315D6" w:rsidRPr="00770E34" w:rsidRDefault="00C14E5E">
      <w:pPr>
        <w:jc w:val="center"/>
        <w:rPr>
          <w:rFonts w:ascii="宋体" w:hAnsi="宋体"/>
          <w:b/>
          <w:sz w:val="36"/>
        </w:rPr>
      </w:pPr>
      <w:bookmarkStart w:id="5" w:name="_Toc123701383"/>
      <w:bookmarkStart w:id="6" w:name="_Toc123112263"/>
      <w:bookmarkStart w:id="7" w:name="_Toc139991726"/>
      <w:bookmarkStart w:id="8" w:name="_Toc139992301"/>
      <w:bookmarkStart w:id="9" w:name="_Toc123112224"/>
      <w:permStart w:id="1509449319" w:edGrp="everyone"/>
      <w:r w:rsidRPr="00770E34">
        <w:rPr>
          <w:rFonts w:ascii="宋体" w:hAnsi="宋体"/>
          <w:b/>
          <w:sz w:val="36"/>
        </w:rPr>
        <w:t>基金管理人：</w:t>
      </w:r>
      <w:bookmarkEnd w:id="5"/>
      <w:bookmarkEnd w:id="6"/>
      <w:bookmarkEnd w:id="7"/>
      <w:bookmarkEnd w:id="8"/>
      <w:bookmarkEnd w:id="9"/>
      <w:r w:rsidRPr="00770E34">
        <w:rPr>
          <w:rFonts w:ascii="宋体" w:hAnsi="宋体" w:hint="eastAsia"/>
          <w:b/>
          <w:sz w:val="36"/>
        </w:rPr>
        <w:t>【</w:t>
      </w:r>
      <w:r w:rsidRPr="00770E34">
        <w:rPr>
          <w:rFonts w:hint="eastAsia"/>
          <w:b/>
          <w:color w:val="000000" w:themeColor="text1"/>
          <w:sz w:val="36"/>
        </w:rPr>
        <w:t>银河基金管理有限公司</w:t>
      </w:r>
      <w:r w:rsidRPr="00770E34">
        <w:rPr>
          <w:rFonts w:ascii="宋体" w:hAnsi="宋体" w:hint="eastAsia"/>
          <w:b/>
          <w:sz w:val="36"/>
        </w:rPr>
        <w:t xml:space="preserve">】 </w:t>
      </w:r>
    </w:p>
    <w:p w14:paraId="5F36F74C" w14:textId="77777777" w:rsidR="00D315D6" w:rsidRPr="00770E34" w:rsidRDefault="00C14E5E">
      <w:pPr>
        <w:spacing w:line="360" w:lineRule="auto"/>
        <w:jc w:val="center"/>
        <w:rPr>
          <w:rFonts w:ascii="宋体" w:hAnsi="宋体"/>
          <w:b/>
          <w:sz w:val="36"/>
        </w:rPr>
      </w:pPr>
      <w:bookmarkStart w:id="10" w:name="_Toc123701384"/>
      <w:bookmarkStart w:id="11" w:name="_Toc139991727"/>
      <w:bookmarkStart w:id="12" w:name="_Toc123112225"/>
      <w:bookmarkStart w:id="13" w:name="_Toc139992302"/>
      <w:bookmarkStart w:id="14" w:name="_Toc123112264"/>
      <w:r w:rsidRPr="00770E34">
        <w:rPr>
          <w:rFonts w:ascii="宋体" w:hAnsi="宋体"/>
          <w:b/>
          <w:sz w:val="36"/>
        </w:rPr>
        <w:t>基金托管人：</w:t>
      </w:r>
      <w:r w:rsidRPr="00770E34">
        <w:rPr>
          <w:rFonts w:ascii="宋体" w:hAnsi="宋体" w:hint="eastAsia"/>
          <w:b/>
          <w:sz w:val="36"/>
        </w:rPr>
        <w:t>中信银行股份有限公司</w:t>
      </w:r>
      <w:bookmarkEnd w:id="10"/>
      <w:bookmarkEnd w:id="11"/>
      <w:bookmarkEnd w:id="12"/>
      <w:bookmarkEnd w:id="13"/>
      <w:bookmarkEnd w:id="14"/>
    </w:p>
    <w:permEnd w:id="1509449319"/>
    <w:p w14:paraId="15F13947" w14:textId="77777777" w:rsidR="00D315D6" w:rsidRPr="00770E34" w:rsidRDefault="00D315D6">
      <w:pPr>
        <w:spacing w:line="360" w:lineRule="auto"/>
        <w:jc w:val="center"/>
        <w:rPr>
          <w:rFonts w:ascii="宋体" w:hAnsi="宋体"/>
          <w:b/>
          <w:sz w:val="44"/>
          <w:szCs w:val="44"/>
        </w:rPr>
      </w:pPr>
    </w:p>
    <w:p w14:paraId="622F19AE" w14:textId="77777777" w:rsidR="00D315D6" w:rsidRPr="00770E34" w:rsidRDefault="00D315D6">
      <w:pPr>
        <w:spacing w:line="360" w:lineRule="auto"/>
        <w:rPr>
          <w:rFonts w:ascii="宋体" w:hAnsi="宋体"/>
          <w:b/>
          <w:szCs w:val="28"/>
        </w:rPr>
      </w:pPr>
    </w:p>
    <w:p w14:paraId="43F90D97" w14:textId="77777777" w:rsidR="00D315D6" w:rsidRPr="00770E34" w:rsidRDefault="00D315D6">
      <w:pPr>
        <w:spacing w:line="360" w:lineRule="auto"/>
        <w:ind w:firstLineChars="200" w:firstLine="562"/>
        <w:jc w:val="center"/>
        <w:rPr>
          <w:rFonts w:ascii="宋体" w:hAnsi="宋体"/>
          <w:b/>
          <w:bCs/>
          <w:sz w:val="28"/>
          <w:szCs w:val="28"/>
        </w:rPr>
      </w:pPr>
    </w:p>
    <w:p w14:paraId="448B2A7A" w14:textId="77777777" w:rsidR="00D315D6" w:rsidRPr="00770E34" w:rsidRDefault="00D315D6">
      <w:pPr>
        <w:spacing w:line="360" w:lineRule="auto"/>
        <w:ind w:firstLineChars="200" w:firstLine="562"/>
        <w:jc w:val="center"/>
        <w:rPr>
          <w:rFonts w:ascii="宋体" w:hAnsi="宋体"/>
          <w:b/>
          <w:bCs/>
          <w:sz w:val="28"/>
          <w:szCs w:val="28"/>
        </w:rPr>
      </w:pPr>
    </w:p>
    <w:p w14:paraId="29E9753F" w14:textId="77777777" w:rsidR="00D315D6" w:rsidRPr="00770E34" w:rsidRDefault="00D315D6">
      <w:pPr>
        <w:spacing w:line="360" w:lineRule="auto"/>
        <w:rPr>
          <w:rFonts w:ascii="宋体" w:hAnsi="宋体"/>
          <w:b/>
          <w:bCs/>
          <w:sz w:val="28"/>
          <w:szCs w:val="28"/>
        </w:rPr>
      </w:pPr>
    </w:p>
    <w:p w14:paraId="7C43AD14" w14:textId="77777777" w:rsidR="00D315D6" w:rsidRPr="00770E34" w:rsidRDefault="00C14E5E">
      <w:pPr>
        <w:spacing w:line="360" w:lineRule="auto"/>
        <w:ind w:firstLineChars="200" w:firstLine="562"/>
        <w:jc w:val="center"/>
        <w:rPr>
          <w:rFonts w:ascii="宋体" w:hAnsi="宋体"/>
          <w:b/>
          <w:bCs/>
          <w:sz w:val="28"/>
          <w:szCs w:val="28"/>
        </w:rPr>
      </w:pPr>
      <w:r w:rsidRPr="00770E34">
        <w:rPr>
          <w:rFonts w:ascii="宋体" w:hAnsi="宋体"/>
          <w:b/>
          <w:bCs/>
          <w:noProof/>
          <w:sz w:val="28"/>
          <w:szCs w:val="28"/>
        </w:rPr>
        <w:drawing>
          <wp:anchor distT="0" distB="0" distL="114300" distR="114300" simplePos="0" relativeHeight="251659264" behindDoc="0" locked="0" layoutInCell="1" allowOverlap="1" wp14:anchorId="47E335B8" wp14:editId="7290A00B">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sidRPr="00770E34">
        <w:rPr>
          <w:rFonts w:ascii="宋体" w:hAnsi="宋体" w:hint="eastAsia"/>
          <w:b/>
          <w:bCs/>
          <w:sz w:val="28"/>
          <w:szCs w:val="28"/>
        </w:rPr>
        <w:br w:type="page"/>
      </w:r>
    </w:p>
    <w:p w14:paraId="4B53C523" w14:textId="77777777" w:rsidR="00D315D6" w:rsidRPr="00770E34" w:rsidRDefault="00D315D6">
      <w:pPr>
        <w:spacing w:line="360" w:lineRule="auto"/>
        <w:rPr>
          <w:rFonts w:ascii="宋体" w:hAnsi="宋体"/>
          <w:b/>
          <w:bCs/>
          <w:sz w:val="28"/>
          <w:szCs w:val="28"/>
        </w:rPr>
      </w:pPr>
    </w:p>
    <w:p w14:paraId="67BEA6B4" w14:textId="77777777" w:rsidR="00D315D6" w:rsidRPr="00770E34" w:rsidRDefault="00C14E5E">
      <w:pPr>
        <w:snapToGrid w:val="0"/>
        <w:spacing w:line="360" w:lineRule="auto"/>
        <w:jc w:val="center"/>
        <w:rPr>
          <w:rFonts w:ascii="仿宋" w:eastAsia="仿宋" w:hAnsi="仿宋"/>
          <w:b/>
          <w:sz w:val="28"/>
          <w:szCs w:val="44"/>
        </w:rPr>
      </w:pPr>
      <w:r w:rsidRPr="00770E34">
        <w:rPr>
          <w:rFonts w:ascii="仿宋" w:eastAsia="仿宋" w:hAnsi="仿宋" w:hint="eastAsia"/>
          <w:b/>
          <w:sz w:val="28"/>
          <w:szCs w:val="44"/>
        </w:rPr>
        <w:t>填写说明</w:t>
      </w:r>
    </w:p>
    <w:p w14:paraId="180E432D" w14:textId="77777777" w:rsidR="00D315D6" w:rsidRPr="00770E34" w:rsidRDefault="00D315D6">
      <w:pPr>
        <w:snapToGrid w:val="0"/>
        <w:spacing w:line="360" w:lineRule="auto"/>
        <w:ind w:firstLineChars="200" w:firstLine="560"/>
        <w:rPr>
          <w:rFonts w:ascii="仿宋" w:eastAsia="仿宋" w:hAnsi="仿宋"/>
          <w:bCs/>
          <w:sz w:val="28"/>
          <w:szCs w:val="28"/>
        </w:rPr>
      </w:pPr>
    </w:p>
    <w:p w14:paraId="7633CB85" w14:textId="77777777" w:rsidR="00D315D6" w:rsidRPr="00770E34" w:rsidRDefault="00C14E5E">
      <w:pPr>
        <w:snapToGrid w:val="0"/>
        <w:spacing w:line="360" w:lineRule="auto"/>
        <w:ind w:firstLineChars="200" w:firstLine="560"/>
        <w:rPr>
          <w:rFonts w:ascii="仿宋" w:eastAsia="仿宋" w:hAnsi="仿宋"/>
          <w:b/>
          <w:bCs/>
          <w:sz w:val="28"/>
          <w:szCs w:val="28"/>
        </w:rPr>
      </w:pPr>
      <w:r w:rsidRPr="00770E34">
        <w:rPr>
          <w:rFonts w:ascii="仿宋" w:eastAsia="仿宋" w:hAnsi="仿宋" w:hint="eastAsia"/>
          <w:bCs/>
          <w:sz w:val="28"/>
          <w:szCs w:val="28"/>
        </w:rPr>
        <w:t>一、</w:t>
      </w:r>
      <w:r w:rsidRPr="00770E34">
        <w:rPr>
          <w:rFonts w:ascii="仿宋" w:eastAsia="仿宋" w:hAnsi="仿宋" w:hint="eastAsia"/>
          <w:b/>
          <w:bCs/>
          <w:sz w:val="28"/>
          <w:szCs w:val="28"/>
        </w:rPr>
        <w:t>本协议应使用蓝黑色或黑色签字笔或钢笔填写。</w:t>
      </w:r>
    </w:p>
    <w:p w14:paraId="3C1393AB" w14:textId="77777777" w:rsidR="00D315D6" w:rsidRPr="00770E34" w:rsidRDefault="00C14E5E">
      <w:pPr>
        <w:snapToGrid w:val="0"/>
        <w:spacing w:line="360" w:lineRule="auto"/>
        <w:ind w:firstLineChars="200" w:firstLine="562"/>
        <w:rPr>
          <w:rFonts w:ascii="仿宋" w:eastAsia="仿宋" w:hAnsi="仿宋"/>
          <w:b/>
          <w:bCs/>
          <w:sz w:val="28"/>
          <w:szCs w:val="28"/>
        </w:rPr>
      </w:pPr>
      <w:r w:rsidRPr="00770E34">
        <w:rPr>
          <w:rFonts w:ascii="仿宋" w:eastAsia="仿宋" w:hAnsi="仿宋" w:hint="eastAsia"/>
          <w:b/>
          <w:bCs/>
          <w:sz w:val="28"/>
          <w:szCs w:val="28"/>
        </w:rPr>
        <w:t>二、本协议应填写完整，字迹清楚、工整。</w:t>
      </w:r>
    </w:p>
    <w:p w14:paraId="5614E5C1" w14:textId="77777777" w:rsidR="00D315D6" w:rsidRPr="00770E34" w:rsidRDefault="00C14E5E">
      <w:pPr>
        <w:snapToGrid w:val="0"/>
        <w:spacing w:line="360" w:lineRule="auto"/>
        <w:ind w:firstLineChars="200" w:firstLine="562"/>
        <w:rPr>
          <w:rFonts w:ascii="仿宋" w:eastAsia="仿宋" w:hAnsi="仿宋"/>
          <w:b/>
          <w:bCs/>
          <w:sz w:val="28"/>
          <w:szCs w:val="28"/>
        </w:rPr>
      </w:pPr>
      <w:r w:rsidRPr="00770E34">
        <w:rPr>
          <w:rFonts w:ascii="仿宋" w:eastAsia="仿宋" w:hAnsi="仿宋" w:hint="eastAsia"/>
          <w:b/>
          <w:bCs/>
          <w:sz w:val="28"/>
          <w:szCs w:val="28"/>
        </w:rPr>
        <w:t>三、货币币种应以中文填写，不能以货币符号代替，货币金额大写前应</w:t>
      </w:r>
      <w:proofErr w:type="gramStart"/>
      <w:r w:rsidRPr="00770E34">
        <w:rPr>
          <w:rFonts w:ascii="仿宋" w:eastAsia="仿宋" w:hAnsi="仿宋" w:hint="eastAsia"/>
          <w:b/>
          <w:bCs/>
          <w:sz w:val="28"/>
          <w:szCs w:val="28"/>
        </w:rPr>
        <w:t>加货币</w:t>
      </w:r>
      <w:proofErr w:type="gramEnd"/>
      <w:r w:rsidRPr="00770E34">
        <w:rPr>
          <w:rFonts w:ascii="仿宋" w:eastAsia="仿宋" w:hAnsi="仿宋" w:hint="eastAsia"/>
          <w:b/>
          <w:bCs/>
          <w:sz w:val="28"/>
          <w:szCs w:val="28"/>
        </w:rPr>
        <w:t>中文名称，小写前应</w:t>
      </w:r>
      <w:proofErr w:type="gramStart"/>
      <w:r w:rsidRPr="00770E34">
        <w:rPr>
          <w:rFonts w:ascii="仿宋" w:eastAsia="仿宋" w:hAnsi="仿宋" w:hint="eastAsia"/>
          <w:b/>
          <w:bCs/>
          <w:sz w:val="28"/>
          <w:szCs w:val="28"/>
        </w:rPr>
        <w:t>加货</w:t>
      </w:r>
      <w:proofErr w:type="gramEnd"/>
      <w:r w:rsidRPr="00770E34">
        <w:rPr>
          <w:rFonts w:ascii="仿宋" w:eastAsia="仿宋" w:hAnsi="仿宋" w:hint="eastAsia"/>
          <w:b/>
          <w:bCs/>
          <w:sz w:val="28"/>
          <w:szCs w:val="28"/>
        </w:rPr>
        <w:t>币符号。</w:t>
      </w:r>
    </w:p>
    <w:p w14:paraId="7ABF06C2" w14:textId="77777777" w:rsidR="00D315D6" w:rsidRPr="00770E34" w:rsidRDefault="00C14E5E">
      <w:pPr>
        <w:snapToGrid w:val="0"/>
        <w:spacing w:line="360" w:lineRule="auto"/>
        <w:ind w:firstLineChars="200" w:firstLine="562"/>
        <w:rPr>
          <w:rFonts w:ascii="仿宋" w:eastAsia="仿宋" w:hAnsi="仿宋"/>
          <w:b/>
          <w:bCs/>
          <w:sz w:val="28"/>
          <w:szCs w:val="28"/>
        </w:rPr>
      </w:pPr>
      <w:r w:rsidRPr="00770E34">
        <w:rPr>
          <w:rFonts w:ascii="仿宋" w:eastAsia="仿宋" w:hAnsi="仿宋" w:hint="eastAsia"/>
          <w:b/>
          <w:bCs/>
          <w:sz w:val="28"/>
          <w:szCs w:val="28"/>
        </w:rPr>
        <w:t>四、本协议多余空格或不予填写的空格可采用划折线、划斜线、加盖“以下空白”章或填写“以下空白”字样之一处理。</w:t>
      </w:r>
    </w:p>
    <w:p w14:paraId="0D734507" w14:textId="77777777" w:rsidR="00D315D6" w:rsidRPr="00770E34" w:rsidRDefault="00C14E5E">
      <w:pPr>
        <w:snapToGrid w:val="0"/>
        <w:spacing w:line="360" w:lineRule="auto"/>
        <w:ind w:firstLineChars="200" w:firstLine="562"/>
        <w:rPr>
          <w:rFonts w:ascii="仿宋" w:eastAsia="仿宋" w:hAnsi="仿宋"/>
          <w:b/>
          <w:bCs/>
          <w:sz w:val="28"/>
          <w:szCs w:val="28"/>
        </w:rPr>
      </w:pPr>
      <w:r w:rsidRPr="00770E34">
        <w:rPr>
          <w:rFonts w:ascii="仿宋" w:eastAsia="仿宋" w:hAnsi="仿宋" w:hint="eastAsia"/>
          <w:b/>
          <w:bCs/>
          <w:sz w:val="28"/>
          <w:szCs w:val="28"/>
        </w:rPr>
        <w:t>五、基金管理人应认真阅读并充分理解本协议条款，清楚相应法律后果等内容，签署本协议后即视为同意并接受本协议全部条款。</w:t>
      </w:r>
    </w:p>
    <w:p w14:paraId="1A2BDD76" w14:textId="77777777" w:rsidR="00D315D6" w:rsidRPr="00770E34" w:rsidRDefault="00D315D6">
      <w:pPr>
        <w:snapToGrid w:val="0"/>
        <w:spacing w:line="360" w:lineRule="auto"/>
        <w:ind w:firstLineChars="200" w:firstLine="562"/>
        <w:rPr>
          <w:rFonts w:ascii="仿宋" w:eastAsia="仿宋" w:hAnsi="仿宋"/>
          <w:b/>
          <w:bCs/>
          <w:sz w:val="28"/>
          <w:szCs w:val="28"/>
        </w:rPr>
      </w:pPr>
    </w:p>
    <w:p w14:paraId="1FDBA906" w14:textId="77777777" w:rsidR="00D315D6" w:rsidRPr="00770E34" w:rsidRDefault="00D315D6">
      <w:pPr>
        <w:spacing w:line="360" w:lineRule="auto"/>
        <w:jc w:val="center"/>
        <w:rPr>
          <w:rFonts w:ascii="宋体" w:hAnsi="宋体"/>
          <w:b/>
          <w:bCs/>
          <w:sz w:val="28"/>
          <w:szCs w:val="28"/>
        </w:rPr>
      </w:pPr>
    </w:p>
    <w:p w14:paraId="48F004A6" w14:textId="77777777" w:rsidR="00D315D6" w:rsidRPr="00770E34" w:rsidRDefault="00D315D6">
      <w:pPr>
        <w:spacing w:line="360" w:lineRule="auto"/>
        <w:jc w:val="center"/>
        <w:rPr>
          <w:rFonts w:ascii="宋体" w:hAnsi="宋体"/>
          <w:b/>
          <w:bCs/>
          <w:sz w:val="28"/>
          <w:szCs w:val="28"/>
        </w:rPr>
      </w:pPr>
    </w:p>
    <w:p w14:paraId="3AEF3A5C" w14:textId="77777777" w:rsidR="00D315D6" w:rsidRPr="00770E34" w:rsidRDefault="00D315D6">
      <w:pPr>
        <w:spacing w:line="360" w:lineRule="auto"/>
        <w:jc w:val="center"/>
        <w:rPr>
          <w:rFonts w:ascii="宋体" w:hAnsi="宋体"/>
          <w:b/>
          <w:bCs/>
          <w:sz w:val="28"/>
          <w:szCs w:val="28"/>
        </w:rPr>
      </w:pPr>
    </w:p>
    <w:p w14:paraId="069E9E09" w14:textId="77777777" w:rsidR="00D315D6" w:rsidRPr="00770E34" w:rsidRDefault="00D315D6">
      <w:pPr>
        <w:spacing w:line="360" w:lineRule="auto"/>
        <w:jc w:val="center"/>
        <w:rPr>
          <w:rFonts w:ascii="宋体" w:hAnsi="宋体"/>
          <w:b/>
          <w:bCs/>
          <w:sz w:val="28"/>
          <w:szCs w:val="28"/>
        </w:rPr>
      </w:pPr>
    </w:p>
    <w:p w14:paraId="0E21851B" w14:textId="77777777" w:rsidR="00D315D6" w:rsidRPr="00770E34" w:rsidRDefault="00D315D6">
      <w:pPr>
        <w:spacing w:line="360" w:lineRule="auto"/>
        <w:jc w:val="center"/>
        <w:rPr>
          <w:rFonts w:ascii="宋体" w:hAnsi="宋体"/>
          <w:b/>
          <w:bCs/>
          <w:sz w:val="28"/>
          <w:szCs w:val="28"/>
        </w:rPr>
      </w:pPr>
    </w:p>
    <w:p w14:paraId="36FC1B60" w14:textId="77777777" w:rsidR="00D315D6" w:rsidRPr="00770E34" w:rsidRDefault="00D315D6">
      <w:pPr>
        <w:spacing w:line="360" w:lineRule="auto"/>
        <w:jc w:val="center"/>
        <w:rPr>
          <w:rFonts w:ascii="宋体" w:hAnsi="宋体"/>
          <w:b/>
          <w:bCs/>
          <w:sz w:val="28"/>
          <w:szCs w:val="28"/>
        </w:rPr>
      </w:pPr>
    </w:p>
    <w:p w14:paraId="00B2FF0E" w14:textId="77777777" w:rsidR="00D315D6" w:rsidRPr="00770E34" w:rsidRDefault="00D315D6">
      <w:pPr>
        <w:spacing w:line="360" w:lineRule="auto"/>
        <w:jc w:val="center"/>
        <w:rPr>
          <w:rFonts w:ascii="宋体" w:hAnsi="宋体"/>
          <w:b/>
          <w:bCs/>
          <w:sz w:val="28"/>
          <w:szCs w:val="28"/>
        </w:rPr>
      </w:pPr>
    </w:p>
    <w:p w14:paraId="6DEF7302" w14:textId="77777777" w:rsidR="00D315D6" w:rsidRPr="00770E34" w:rsidRDefault="00D315D6">
      <w:pPr>
        <w:spacing w:line="360" w:lineRule="auto"/>
        <w:jc w:val="center"/>
        <w:rPr>
          <w:rFonts w:ascii="宋体" w:hAnsi="宋体"/>
          <w:b/>
          <w:bCs/>
          <w:sz w:val="28"/>
          <w:szCs w:val="28"/>
        </w:rPr>
      </w:pPr>
    </w:p>
    <w:p w14:paraId="161BF30A" w14:textId="77777777" w:rsidR="00D315D6" w:rsidRPr="00770E34" w:rsidRDefault="00D315D6">
      <w:pPr>
        <w:spacing w:line="360" w:lineRule="auto"/>
        <w:jc w:val="center"/>
        <w:rPr>
          <w:rFonts w:ascii="宋体" w:hAnsi="宋体"/>
          <w:b/>
          <w:bCs/>
          <w:sz w:val="28"/>
          <w:szCs w:val="28"/>
        </w:rPr>
      </w:pPr>
    </w:p>
    <w:p w14:paraId="49478772" w14:textId="77777777" w:rsidR="00D315D6" w:rsidRPr="00770E34" w:rsidRDefault="00D315D6">
      <w:pPr>
        <w:spacing w:line="360" w:lineRule="auto"/>
        <w:jc w:val="center"/>
        <w:rPr>
          <w:rFonts w:ascii="宋体" w:hAnsi="宋体"/>
          <w:b/>
          <w:bCs/>
          <w:sz w:val="28"/>
          <w:szCs w:val="28"/>
        </w:rPr>
      </w:pPr>
    </w:p>
    <w:p w14:paraId="5823FED3" w14:textId="77777777" w:rsidR="00D315D6" w:rsidRPr="00770E34" w:rsidRDefault="00D315D6">
      <w:pPr>
        <w:spacing w:line="360" w:lineRule="auto"/>
        <w:jc w:val="center"/>
        <w:rPr>
          <w:rFonts w:ascii="宋体" w:hAnsi="宋体"/>
          <w:b/>
          <w:bCs/>
          <w:sz w:val="28"/>
          <w:szCs w:val="28"/>
        </w:rPr>
      </w:pPr>
    </w:p>
    <w:p w14:paraId="77F3B965" w14:textId="77777777" w:rsidR="00D315D6" w:rsidRPr="00770E34" w:rsidRDefault="00D315D6">
      <w:pPr>
        <w:spacing w:line="360" w:lineRule="auto"/>
        <w:jc w:val="center"/>
        <w:rPr>
          <w:rFonts w:ascii="宋体" w:hAnsi="宋体"/>
          <w:b/>
          <w:bCs/>
          <w:sz w:val="28"/>
          <w:szCs w:val="28"/>
        </w:rPr>
      </w:pPr>
    </w:p>
    <w:p w14:paraId="5C1C423D" w14:textId="77777777" w:rsidR="00D315D6" w:rsidRPr="00770E34" w:rsidRDefault="00D315D6">
      <w:pPr>
        <w:spacing w:line="360" w:lineRule="auto"/>
        <w:jc w:val="center"/>
        <w:rPr>
          <w:rFonts w:ascii="宋体" w:hAnsi="宋体"/>
          <w:b/>
          <w:bCs/>
          <w:sz w:val="28"/>
          <w:szCs w:val="28"/>
        </w:rPr>
      </w:pPr>
    </w:p>
    <w:p w14:paraId="43260363" w14:textId="77777777" w:rsidR="00D315D6" w:rsidRPr="00770E34" w:rsidRDefault="00D315D6">
      <w:pPr>
        <w:spacing w:line="360" w:lineRule="auto"/>
        <w:jc w:val="center"/>
        <w:rPr>
          <w:rFonts w:ascii="宋体" w:hAnsi="宋体"/>
          <w:b/>
          <w:bCs/>
          <w:sz w:val="28"/>
          <w:szCs w:val="28"/>
        </w:rPr>
      </w:pPr>
    </w:p>
    <w:p w14:paraId="245CD604" w14:textId="77777777" w:rsidR="00D315D6" w:rsidRPr="00770E34" w:rsidRDefault="00D315D6">
      <w:pPr>
        <w:spacing w:line="360" w:lineRule="auto"/>
        <w:jc w:val="center"/>
        <w:rPr>
          <w:rFonts w:ascii="宋体" w:hAnsi="宋体"/>
          <w:b/>
          <w:bCs/>
          <w:sz w:val="28"/>
          <w:szCs w:val="28"/>
        </w:rPr>
      </w:pPr>
    </w:p>
    <w:p w14:paraId="188B2442" w14:textId="77777777" w:rsidR="00D315D6" w:rsidRPr="00770E34" w:rsidRDefault="00D315D6">
      <w:pPr>
        <w:spacing w:line="360" w:lineRule="auto"/>
        <w:jc w:val="center"/>
        <w:rPr>
          <w:rFonts w:ascii="宋体" w:hAnsi="宋体"/>
          <w:b/>
          <w:bCs/>
          <w:sz w:val="28"/>
          <w:szCs w:val="28"/>
        </w:rPr>
      </w:pPr>
    </w:p>
    <w:p w14:paraId="2CFAB26C" w14:textId="77777777" w:rsidR="00D315D6" w:rsidRPr="00770E34" w:rsidRDefault="00D315D6">
      <w:pPr>
        <w:spacing w:line="360" w:lineRule="auto"/>
        <w:jc w:val="center"/>
        <w:rPr>
          <w:rFonts w:ascii="宋体" w:hAnsi="宋体"/>
          <w:b/>
          <w:bCs/>
          <w:sz w:val="28"/>
          <w:szCs w:val="28"/>
        </w:rPr>
      </w:pPr>
    </w:p>
    <w:p w14:paraId="289BA6C9" w14:textId="77777777" w:rsidR="00D315D6" w:rsidRPr="00770E34" w:rsidRDefault="00D315D6">
      <w:pPr>
        <w:spacing w:line="360" w:lineRule="auto"/>
        <w:jc w:val="center"/>
        <w:rPr>
          <w:rFonts w:ascii="宋体" w:hAnsi="宋体"/>
          <w:b/>
          <w:bCs/>
          <w:sz w:val="28"/>
          <w:szCs w:val="28"/>
        </w:rPr>
      </w:pPr>
    </w:p>
    <w:p w14:paraId="765A46C8" w14:textId="77777777" w:rsidR="00D315D6" w:rsidRPr="00770E34" w:rsidRDefault="00C14E5E">
      <w:pPr>
        <w:spacing w:line="360" w:lineRule="auto"/>
        <w:jc w:val="center"/>
        <w:rPr>
          <w:rFonts w:ascii="宋体" w:hAnsi="宋体"/>
          <w:b/>
          <w:bCs/>
          <w:sz w:val="28"/>
          <w:szCs w:val="28"/>
        </w:rPr>
      </w:pPr>
      <w:r w:rsidRPr="00770E34">
        <w:rPr>
          <w:rFonts w:ascii="宋体" w:hAnsi="宋体" w:hint="eastAsia"/>
          <w:b/>
          <w:bCs/>
          <w:sz w:val="28"/>
          <w:szCs w:val="28"/>
        </w:rPr>
        <w:t>目录</w:t>
      </w:r>
    </w:p>
    <w:p w14:paraId="61570D91" w14:textId="77777777" w:rsidR="00D315D6" w:rsidRPr="00770E34" w:rsidRDefault="00D315D6">
      <w:pPr>
        <w:spacing w:line="360" w:lineRule="auto"/>
        <w:ind w:firstLineChars="200" w:firstLine="562"/>
        <w:jc w:val="center"/>
        <w:rPr>
          <w:rFonts w:ascii="宋体" w:hAnsi="宋体"/>
          <w:b/>
          <w:bCs/>
          <w:sz w:val="28"/>
          <w:szCs w:val="28"/>
        </w:rPr>
      </w:pPr>
    </w:p>
    <w:permStart w:id="899831638" w:edGrp="everyone"/>
    <w:p w14:paraId="22D9185E" w14:textId="2626F396" w:rsidR="00D02186" w:rsidRPr="00770E34" w:rsidRDefault="00C14E5E">
      <w:pPr>
        <w:pStyle w:val="TOC1"/>
        <w:rPr>
          <w:rFonts w:asciiTheme="minorHAnsi" w:eastAsiaTheme="minorEastAsia" w:hAnsiTheme="minorHAnsi" w:cstheme="minorBidi"/>
          <w:noProof/>
          <w:sz w:val="21"/>
          <w:szCs w:val="22"/>
        </w:rPr>
      </w:pPr>
      <w:r w:rsidRPr="00770E34">
        <w:rPr>
          <w:b/>
          <w:sz w:val="28"/>
          <w:szCs w:val="28"/>
        </w:rPr>
        <w:fldChar w:fldCharType="begin"/>
      </w:r>
      <w:r w:rsidRPr="00770E34">
        <w:rPr>
          <w:b/>
          <w:sz w:val="28"/>
          <w:szCs w:val="28"/>
        </w:rPr>
        <w:instrText xml:space="preserve"> </w:instrText>
      </w:r>
      <w:r w:rsidRPr="00770E34">
        <w:rPr>
          <w:rFonts w:hint="eastAsia"/>
          <w:b/>
          <w:sz w:val="28"/>
          <w:szCs w:val="28"/>
        </w:rPr>
        <w:instrText>TOC \o "1-1" \h \z \u</w:instrText>
      </w:r>
      <w:r w:rsidRPr="00770E34">
        <w:rPr>
          <w:b/>
          <w:sz w:val="28"/>
          <w:szCs w:val="28"/>
        </w:rPr>
        <w:instrText xml:space="preserve"> </w:instrText>
      </w:r>
      <w:r w:rsidRPr="00770E34">
        <w:rPr>
          <w:b/>
          <w:sz w:val="28"/>
          <w:szCs w:val="28"/>
        </w:rPr>
        <w:fldChar w:fldCharType="separate"/>
      </w:r>
      <w:hyperlink w:anchor="_Toc157264218" w:history="1">
        <w:r w:rsidR="00D02186" w:rsidRPr="00770E34">
          <w:rPr>
            <w:rStyle w:val="af6"/>
            <w:bCs/>
            <w:noProof/>
          </w:rPr>
          <w:t>第一条 本协议当事人</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_Toc157264218 \h </w:instrText>
        </w:r>
        <w:r w:rsidR="00D02186" w:rsidRPr="00770E34">
          <w:rPr>
            <w:noProof/>
            <w:webHidden/>
          </w:rPr>
        </w:r>
        <w:r w:rsidR="00D02186" w:rsidRPr="00770E34">
          <w:rPr>
            <w:noProof/>
            <w:webHidden/>
          </w:rPr>
          <w:fldChar w:fldCharType="separate"/>
        </w:r>
        <w:r w:rsidR="00EE049A">
          <w:rPr>
            <w:noProof/>
            <w:webHidden/>
          </w:rPr>
          <w:t>3</w:t>
        </w:r>
        <w:r w:rsidR="00D02186" w:rsidRPr="00770E34">
          <w:rPr>
            <w:noProof/>
            <w:webHidden/>
          </w:rPr>
          <w:fldChar w:fldCharType="end"/>
        </w:r>
      </w:hyperlink>
    </w:p>
    <w:p w14:paraId="7D888B83" w14:textId="4A87D8A9" w:rsidR="00D02186" w:rsidRPr="00770E34" w:rsidRDefault="00393A88">
      <w:pPr>
        <w:pStyle w:val="TOC1"/>
        <w:rPr>
          <w:rFonts w:asciiTheme="minorHAnsi" w:eastAsiaTheme="minorEastAsia" w:hAnsiTheme="minorHAnsi" w:cstheme="minorBidi"/>
          <w:noProof/>
          <w:sz w:val="21"/>
          <w:szCs w:val="22"/>
        </w:rPr>
      </w:pPr>
      <w:hyperlink w:anchor="_Toc157264219" w:history="1">
        <w:r w:rsidR="00D02186" w:rsidRPr="00770E34">
          <w:rPr>
            <w:rStyle w:val="af6"/>
            <w:bCs/>
            <w:noProof/>
          </w:rPr>
          <w:t>第二条 本协议的依据、目的和原则</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_Toc157264219 \h </w:instrText>
        </w:r>
        <w:r w:rsidR="00D02186" w:rsidRPr="00770E34">
          <w:rPr>
            <w:noProof/>
            <w:webHidden/>
          </w:rPr>
        </w:r>
        <w:r w:rsidR="00D02186" w:rsidRPr="00770E34">
          <w:rPr>
            <w:noProof/>
            <w:webHidden/>
          </w:rPr>
          <w:fldChar w:fldCharType="separate"/>
        </w:r>
        <w:r w:rsidR="00EE049A">
          <w:rPr>
            <w:noProof/>
            <w:webHidden/>
          </w:rPr>
          <w:t>4</w:t>
        </w:r>
        <w:r w:rsidR="00D02186" w:rsidRPr="00770E34">
          <w:rPr>
            <w:noProof/>
            <w:webHidden/>
          </w:rPr>
          <w:fldChar w:fldCharType="end"/>
        </w:r>
      </w:hyperlink>
    </w:p>
    <w:p w14:paraId="7A5D17B9" w14:textId="6F6F813D" w:rsidR="00D02186" w:rsidRPr="00770E34" w:rsidRDefault="00393A88">
      <w:pPr>
        <w:pStyle w:val="TOC1"/>
        <w:rPr>
          <w:rFonts w:asciiTheme="minorHAnsi" w:eastAsiaTheme="minorEastAsia" w:hAnsiTheme="minorHAnsi" w:cstheme="minorBidi"/>
          <w:noProof/>
          <w:sz w:val="21"/>
          <w:szCs w:val="22"/>
        </w:rPr>
      </w:pPr>
      <w:hyperlink w:anchor="_Toc157264220" w:history="1">
        <w:r w:rsidR="00D02186" w:rsidRPr="00770E34">
          <w:rPr>
            <w:rStyle w:val="af6"/>
            <w:bCs/>
            <w:noProof/>
          </w:rPr>
          <w:t>第三条 基金托管人对基金管理人的业务监督和核查</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_Toc157264220 \h </w:instrText>
        </w:r>
        <w:r w:rsidR="00D02186" w:rsidRPr="00770E34">
          <w:rPr>
            <w:noProof/>
            <w:webHidden/>
          </w:rPr>
        </w:r>
        <w:r w:rsidR="00D02186" w:rsidRPr="00770E34">
          <w:rPr>
            <w:noProof/>
            <w:webHidden/>
          </w:rPr>
          <w:fldChar w:fldCharType="separate"/>
        </w:r>
        <w:r w:rsidR="00EE049A">
          <w:rPr>
            <w:noProof/>
            <w:webHidden/>
          </w:rPr>
          <w:t>5</w:t>
        </w:r>
        <w:r w:rsidR="00D02186" w:rsidRPr="00770E34">
          <w:rPr>
            <w:noProof/>
            <w:webHidden/>
          </w:rPr>
          <w:fldChar w:fldCharType="end"/>
        </w:r>
      </w:hyperlink>
    </w:p>
    <w:p w14:paraId="60640D37" w14:textId="27C5380C" w:rsidR="00D02186" w:rsidRPr="00770E34" w:rsidRDefault="00393A88">
      <w:pPr>
        <w:pStyle w:val="TOC1"/>
        <w:rPr>
          <w:rFonts w:asciiTheme="minorHAnsi" w:eastAsiaTheme="minorEastAsia" w:hAnsiTheme="minorHAnsi" w:cstheme="minorBidi"/>
          <w:noProof/>
          <w:sz w:val="21"/>
          <w:szCs w:val="22"/>
        </w:rPr>
      </w:pPr>
      <w:hyperlink w:anchor="_Toc157264221" w:history="1">
        <w:r w:rsidR="00D02186" w:rsidRPr="00770E34">
          <w:rPr>
            <w:rStyle w:val="af6"/>
            <w:bCs/>
            <w:noProof/>
          </w:rPr>
          <w:t>第四条 基金管理人对基金托管人的业务核查</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_Toc157264221 \h </w:instrText>
        </w:r>
        <w:r w:rsidR="00D02186" w:rsidRPr="00770E34">
          <w:rPr>
            <w:noProof/>
            <w:webHidden/>
          </w:rPr>
        </w:r>
        <w:r w:rsidR="00D02186" w:rsidRPr="00770E34">
          <w:rPr>
            <w:noProof/>
            <w:webHidden/>
          </w:rPr>
          <w:fldChar w:fldCharType="separate"/>
        </w:r>
        <w:r w:rsidR="00EE049A">
          <w:rPr>
            <w:noProof/>
            <w:webHidden/>
          </w:rPr>
          <w:t>14</w:t>
        </w:r>
        <w:r w:rsidR="00D02186" w:rsidRPr="00770E34">
          <w:rPr>
            <w:noProof/>
            <w:webHidden/>
          </w:rPr>
          <w:fldChar w:fldCharType="end"/>
        </w:r>
      </w:hyperlink>
    </w:p>
    <w:p w14:paraId="795BDE4E" w14:textId="2BAF3E4B" w:rsidR="00D02186" w:rsidRPr="00770E34" w:rsidRDefault="00393A88">
      <w:pPr>
        <w:pStyle w:val="TOC1"/>
        <w:rPr>
          <w:rFonts w:asciiTheme="minorHAnsi" w:eastAsiaTheme="minorEastAsia" w:hAnsiTheme="minorHAnsi" w:cstheme="minorBidi"/>
          <w:noProof/>
          <w:sz w:val="21"/>
          <w:szCs w:val="22"/>
        </w:rPr>
      </w:pPr>
      <w:hyperlink w:anchor="_Toc157264222" w:history="1">
        <w:r w:rsidR="00D02186" w:rsidRPr="00770E34">
          <w:rPr>
            <w:rStyle w:val="af6"/>
            <w:bCs/>
            <w:noProof/>
          </w:rPr>
          <w:t>第五条 基金财产保管</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_Toc157264222 \h </w:instrText>
        </w:r>
        <w:r w:rsidR="00D02186" w:rsidRPr="00770E34">
          <w:rPr>
            <w:noProof/>
            <w:webHidden/>
          </w:rPr>
        </w:r>
        <w:r w:rsidR="00D02186" w:rsidRPr="00770E34">
          <w:rPr>
            <w:noProof/>
            <w:webHidden/>
          </w:rPr>
          <w:fldChar w:fldCharType="separate"/>
        </w:r>
        <w:r w:rsidR="00EE049A">
          <w:rPr>
            <w:noProof/>
            <w:webHidden/>
          </w:rPr>
          <w:t>15</w:t>
        </w:r>
        <w:r w:rsidR="00D02186" w:rsidRPr="00770E34">
          <w:rPr>
            <w:noProof/>
            <w:webHidden/>
          </w:rPr>
          <w:fldChar w:fldCharType="end"/>
        </w:r>
      </w:hyperlink>
    </w:p>
    <w:p w14:paraId="546C42AE" w14:textId="7D6B4A09" w:rsidR="00D02186" w:rsidRPr="00770E34" w:rsidRDefault="00393A88">
      <w:pPr>
        <w:pStyle w:val="TOC1"/>
        <w:rPr>
          <w:rFonts w:asciiTheme="minorHAnsi" w:eastAsiaTheme="minorEastAsia" w:hAnsiTheme="minorHAnsi" w:cstheme="minorBidi"/>
          <w:noProof/>
          <w:sz w:val="21"/>
          <w:szCs w:val="22"/>
        </w:rPr>
      </w:pPr>
      <w:hyperlink w:anchor="_Toc157264223" w:history="1">
        <w:r w:rsidR="00D02186" w:rsidRPr="00770E34">
          <w:rPr>
            <w:rStyle w:val="af6"/>
            <w:bCs/>
            <w:noProof/>
          </w:rPr>
          <w:t>第六条 指令的发送、确认和执行</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_Toc157264223 \h </w:instrText>
        </w:r>
        <w:r w:rsidR="00D02186" w:rsidRPr="00770E34">
          <w:rPr>
            <w:noProof/>
            <w:webHidden/>
          </w:rPr>
        </w:r>
        <w:r w:rsidR="00D02186" w:rsidRPr="00770E34">
          <w:rPr>
            <w:noProof/>
            <w:webHidden/>
          </w:rPr>
          <w:fldChar w:fldCharType="separate"/>
        </w:r>
        <w:r w:rsidR="00EE049A">
          <w:rPr>
            <w:noProof/>
            <w:webHidden/>
          </w:rPr>
          <w:t>18</w:t>
        </w:r>
        <w:r w:rsidR="00D02186" w:rsidRPr="00770E34">
          <w:rPr>
            <w:noProof/>
            <w:webHidden/>
          </w:rPr>
          <w:fldChar w:fldCharType="end"/>
        </w:r>
      </w:hyperlink>
    </w:p>
    <w:p w14:paraId="5847003A" w14:textId="52D55C8C" w:rsidR="00D02186" w:rsidRPr="00770E34" w:rsidRDefault="00393A88">
      <w:pPr>
        <w:pStyle w:val="TOC1"/>
        <w:rPr>
          <w:rFonts w:asciiTheme="minorHAnsi" w:eastAsiaTheme="minorEastAsia" w:hAnsiTheme="minorHAnsi" w:cstheme="minorBidi"/>
          <w:noProof/>
          <w:sz w:val="21"/>
          <w:szCs w:val="22"/>
        </w:rPr>
      </w:pPr>
      <w:hyperlink w:anchor="_Toc157264224" w:history="1">
        <w:r w:rsidR="00D02186" w:rsidRPr="00770E34">
          <w:rPr>
            <w:rStyle w:val="af6"/>
            <w:bCs/>
            <w:noProof/>
          </w:rPr>
          <w:t>第七条 交易及清算交收安排</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_Toc157264224 \h </w:instrText>
        </w:r>
        <w:r w:rsidR="00D02186" w:rsidRPr="00770E34">
          <w:rPr>
            <w:noProof/>
            <w:webHidden/>
          </w:rPr>
        </w:r>
        <w:r w:rsidR="00D02186" w:rsidRPr="00770E34">
          <w:rPr>
            <w:noProof/>
            <w:webHidden/>
          </w:rPr>
          <w:fldChar w:fldCharType="separate"/>
        </w:r>
        <w:r w:rsidR="00EE049A">
          <w:rPr>
            <w:noProof/>
            <w:webHidden/>
          </w:rPr>
          <w:t>21</w:t>
        </w:r>
        <w:r w:rsidR="00D02186" w:rsidRPr="00770E34">
          <w:rPr>
            <w:noProof/>
            <w:webHidden/>
          </w:rPr>
          <w:fldChar w:fldCharType="end"/>
        </w:r>
      </w:hyperlink>
    </w:p>
    <w:p w14:paraId="36E083F1" w14:textId="6589233E" w:rsidR="00D02186" w:rsidRPr="00770E34" w:rsidRDefault="00393A88">
      <w:pPr>
        <w:pStyle w:val="TOC1"/>
        <w:rPr>
          <w:rFonts w:asciiTheme="minorHAnsi" w:eastAsiaTheme="minorEastAsia" w:hAnsiTheme="minorHAnsi" w:cstheme="minorBidi"/>
          <w:noProof/>
          <w:sz w:val="21"/>
          <w:szCs w:val="22"/>
        </w:rPr>
      </w:pPr>
      <w:hyperlink w:anchor="_Toc157264225" w:history="1">
        <w:r w:rsidR="00D02186" w:rsidRPr="00770E34">
          <w:rPr>
            <w:rStyle w:val="af6"/>
            <w:bCs/>
            <w:noProof/>
          </w:rPr>
          <w:t>第八条 基金净值计算和会计核算</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_Toc157264225 \h </w:instrText>
        </w:r>
        <w:r w:rsidR="00D02186" w:rsidRPr="00770E34">
          <w:rPr>
            <w:noProof/>
            <w:webHidden/>
          </w:rPr>
        </w:r>
        <w:r w:rsidR="00D02186" w:rsidRPr="00770E34">
          <w:rPr>
            <w:noProof/>
            <w:webHidden/>
          </w:rPr>
          <w:fldChar w:fldCharType="separate"/>
        </w:r>
        <w:r w:rsidR="00EE049A">
          <w:rPr>
            <w:noProof/>
            <w:webHidden/>
          </w:rPr>
          <w:t>23</w:t>
        </w:r>
        <w:r w:rsidR="00D02186" w:rsidRPr="00770E34">
          <w:rPr>
            <w:noProof/>
            <w:webHidden/>
          </w:rPr>
          <w:fldChar w:fldCharType="end"/>
        </w:r>
      </w:hyperlink>
    </w:p>
    <w:p w14:paraId="5E328A58" w14:textId="3DF22AE9" w:rsidR="00D02186" w:rsidRPr="00770E34" w:rsidRDefault="00393A88">
      <w:pPr>
        <w:pStyle w:val="TOC1"/>
        <w:rPr>
          <w:rFonts w:asciiTheme="minorHAnsi" w:eastAsiaTheme="minorEastAsia" w:hAnsiTheme="minorHAnsi" w:cstheme="minorBidi"/>
          <w:noProof/>
          <w:sz w:val="21"/>
          <w:szCs w:val="22"/>
        </w:rPr>
      </w:pPr>
      <w:hyperlink w:anchor="_Toc157264226" w:history="1">
        <w:r w:rsidR="00D02186" w:rsidRPr="00770E34">
          <w:rPr>
            <w:rStyle w:val="af6"/>
            <w:bCs/>
            <w:noProof/>
          </w:rPr>
          <w:t>第九条 基金收益分配</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_Toc157264226 \h </w:instrText>
        </w:r>
        <w:r w:rsidR="00D02186" w:rsidRPr="00770E34">
          <w:rPr>
            <w:noProof/>
            <w:webHidden/>
          </w:rPr>
        </w:r>
        <w:r w:rsidR="00D02186" w:rsidRPr="00770E34">
          <w:rPr>
            <w:noProof/>
            <w:webHidden/>
          </w:rPr>
          <w:fldChar w:fldCharType="separate"/>
        </w:r>
        <w:r w:rsidR="00EE049A">
          <w:rPr>
            <w:noProof/>
            <w:webHidden/>
          </w:rPr>
          <w:t>30</w:t>
        </w:r>
        <w:r w:rsidR="00D02186" w:rsidRPr="00770E34">
          <w:rPr>
            <w:noProof/>
            <w:webHidden/>
          </w:rPr>
          <w:fldChar w:fldCharType="end"/>
        </w:r>
      </w:hyperlink>
    </w:p>
    <w:p w14:paraId="53F22AFC" w14:textId="1932B043" w:rsidR="00D02186" w:rsidRPr="00770E34" w:rsidRDefault="00393A88">
      <w:pPr>
        <w:pStyle w:val="TOC1"/>
        <w:rPr>
          <w:rFonts w:asciiTheme="minorHAnsi" w:eastAsiaTheme="minorEastAsia" w:hAnsiTheme="minorHAnsi" w:cstheme="minorBidi"/>
          <w:noProof/>
          <w:sz w:val="21"/>
          <w:szCs w:val="22"/>
        </w:rPr>
      </w:pPr>
      <w:hyperlink w:anchor="_Toc157264227" w:history="1">
        <w:r w:rsidR="00D02186" w:rsidRPr="00770E34">
          <w:rPr>
            <w:rStyle w:val="af6"/>
            <w:bCs/>
            <w:noProof/>
          </w:rPr>
          <w:t>第十条 信息披露</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_Toc157264227 \h </w:instrText>
        </w:r>
        <w:r w:rsidR="00D02186" w:rsidRPr="00770E34">
          <w:rPr>
            <w:noProof/>
            <w:webHidden/>
          </w:rPr>
        </w:r>
        <w:r w:rsidR="00D02186" w:rsidRPr="00770E34">
          <w:rPr>
            <w:noProof/>
            <w:webHidden/>
          </w:rPr>
          <w:fldChar w:fldCharType="separate"/>
        </w:r>
        <w:r w:rsidR="00EE049A">
          <w:rPr>
            <w:noProof/>
            <w:webHidden/>
          </w:rPr>
          <w:t>31</w:t>
        </w:r>
        <w:r w:rsidR="00D02186" w:rsidRPr="00770E34">
          <w:rPr>
            <w:noProof/>
            <w:webHidden/>
          </w:rPr>
          <w:fldChar w:fldCharType="end"/>
        </w:r>
      </w:hyperlink>
    </w:p>
    <w:p w14:paraId="0C67D74C" w14:textId="29FD4618" w:rsidR="00D02186" w:rsidRPr="00770E34" w:rsidRDefault="00393A88">
      <w:pPr>
        <w:pStyle w:val="TOC1"/>
        <w:rPr>
          <w:rFonts w:asciiTheme="minorHAnsi" w:eastAsiaTheme="minorEastAsia" w:hAnsiTheme="minorHAnsi" w:cstheme="minorBidi"/>
          <w:noProof/>
          <w:sz w:val="21"/>
          <w:szCs w:val="22"/>
        </w:rPr>
      </w:pPr>
      <w:hyperlink w:anchor="_Toc157264228" w:history="1">
        <w:r w:rsidR="00D02186" w:rsidRPr="00770E34">
          <w:rPr>
            <w:rStyle w:val="af6"/>
            <w:bCs/>
            <w:noProof/>
          </w:rPr>
          <w:t>第十一条 基金费用</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_Toc157264228 \h </w:instrText>
        </w:r>
        <w:r w:rsidR="00D02186" w:rsidRPr="00770E34">
          <w:rPr>
            <w:noProof/>
            <w:webHidden/>
          </w:rPr>
        </w:r>
        <w:r w:rsidR="00D02186" w:rsidRPr="00770E34">
          <w:rPr>
            <w:noProof/>
            <w:webHidden/>
          </w:rPr>
          <w:fldChar w:fldCharType="separate"/>
        </w:r>
        <w:r w:rsidR="00EE049A">
          <w:rPr>
            <w:noProof/>
            <w:webHidden/>
          </w:rPr>
          <w:t>33</w:t>
        </w:r>
        <w:r w:rsidR="00D02186" w:rsidRPr="00770E34">
          <w:rPr>
            <w:noProof/>
            <w:webHidden/>
          </w:rPr>
          <w:fldChar w:fldCharType="end"/>
        </w:r>
      </w:hyperlink>
    </w:p>
    <w:p w14:paraId="06BB389C" w14:textId="063DBACD" w:rsidR="00D02186" w:rsidRPr="00770E34" w:rsidRDefault="00393A88">
      <w:pPr>
        <w:pStyle w:val="TOC1"/>
        <w:rPr>
          <w:rFonts w:asciiTheme="minorHAnsi" w:eastAsiaTheme="minorEastAsia" w:hAnsiTheme="minorHAnsi" w:cstheme="minorBidi"/>
          <w:noProof/>
          <w:sz w:val="21"/>
          <w:szCs w:val="22"/>
        </w:rPr>
      </w:pPr>
      <w:hyperlink w:anchor="_Toc157264229" w:history="1">
        <w:r w:rsidR="00D02186" w:rsidRPr="00770E34">
          <w:rPr>
            <w:rStyle w:val="af6"/>
            <w:bCs/>
            <w:noProof/>
          </w:rPr>
          <w:t>第十二条 基金份额持有人名册的保管</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_Toc157264229 \h </w:instrText>
        </w:r>
        <w:r w:rsidR="00D02186" w:rsidRPr="00770E34">
          <w:rPr>
            <w:noProof/>
            <w:webHidden/>
          </w:rPr>
        </w:r>
        <w:r w:rsidR="00D02186" w:rsidRPr="00770E34">
          <w:rPr>
            <w:noProof/>
            <w:webHidden/>
          </w:rPr>
          <w:fldChar w:fldCharType="separate"/>
        </w:r>
        <w:r w:rsidR="00EE049A">
          <w:rPr>
            <w:noProof/>
            <w:webHidden/>
          </w:rPr>
          <w:t>35</w:t>
        </w:r>
        <w:r w:rsidR="00D02186" w:rsidRPr="00770E34">
          <w:rPr>
            <w:noProof/>
            <w:webHidden/>
          </w:rPr>
          <w:fldChar w:fldCharType="end"/>
        </w:r>
      </w:hyperlink>
    </w:p>
    <w:p w14:paraId="57775C69" w14:textId="4CC466C7" w:rsidR="00D02186" w:rsidRPr="00770E34" w:rsidRDefault="00393A88">
      <w:pPr>
        <w:pStyle w:val="TOC1"/>
        <w:rPr>
          <w:rFonts w:asciiTheme="minorHAnsi" w:eastAsiaTheme="minorEastAsia" w:hAnsiTheme="minorHAnsi" w:cstheme="minorBidi"/>
          <w:noProof/>
          <w:sz w:val="21"/>
          <w:szCs w:val="22"/>
        </w:rPr>
      </w:pPr>
      <w:hyperlink w:anchor="_Toc157264230" w:history="1">
        <w:r w:rsidR="00D02186" w:rsidRPr="00770E34">
          <w:rPr>
            <w:rStyle w:val="af6"/>
            <w:bCs/>
            <w:noProof/>
          </w:rPr>
          <w:t>第十三条 基金有关文件和档案的保存</w:t>
        </w:r>
        <w:bookmarkStart w:id="15" w:name="_GoBack"/>
        <w:bookmarkEnd w:id="15"/>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_Toc157264230 \h </w:instrText>
        </w:r>
        <w:r w:rsidR="00D02186" w:rsidRPr="00770E34">
          <w:rPr>
            <w:noProof/>
            <w:webHidden/>
          </w:rPr>
        </w:r>
        <w:r w:rsidR="00D02186" w:rsidRPr="00770E34">
          <w:rPr>
            <w:noProof/>
            <w:webHidden/>
          </w:rPr>
          <w:fldChar w:fldCharType="separate"/>
        </w:r>
        <w:r w:rsidR="00EE049A">
          <w:rPr>
            <w:noProof/>
            <w:webHidden/>
          </w:rPr>
          <w:t>35</w:t>
        </w:r>
        <w:r w:rsidR="00D02186" w:rsidRPr="00770E34">
          <w:rPr>
            <w:noProof/>
            <w:webHidden/>
          </w:rPr>
          <w:fldChar w:fldCharType="end"/>
        </w:r>
      </w:hyperlink>
    </w:p>
    <w:p w14:paraId="19211AA3" w14:textId="3050FA14" w:rsidR="00D02186" w:rsidRPr="00770E34" w:rsidRDefault="00393A88">
      <w:pPr>
        <w:pStyle w:val="TOC1"/>
        <w:rPr>
          <w:rFonts w:asciiTheme="minorHAnsi" w:eastAsiaTheme="minorEastAsia" w:hAnsiTheme="minorHAnsi" w:cstheme="minorBidi"/>
          <w:noProof/>
          <w:sz w:val="21"/>
          <w:szCs w:val="22"/>
        </w:rPr>
      </w:pPr>
      <w:hyperlink w:anchor="_Toc157264231" w:history="1">
        <w:r w:rsidR="00D02186" w:rsidRPr="00770E34">
          <w:rPr>
            <w:rStyle w:val="af6"/>
            <w:bCs/>
            <w:noProof/>
          </w:rPr>
          <w:t>第十四条 基金管理人和基金托管人的更换</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_Toc157264231 \h </w:instrText>
        </w:r>
        <w:r w:rsidR="00D02186" w:rsidRPr="00770E34">
          <w:rPr>
            <w:noProof/>
            <w:webHidden/>
          </w:rPr>
        </w:r>
        <w:r w:rsidR="00D02186" w:rsidRPr="00770E34">
          <w:rPr>
            <w:noProof/>
            <w:webHidden/>
          </w:rPr>
          <w:fldChar w:fldCharType="separate"/>
        </w:r>
        <w:r w:rsidR="00EE049A">
          <w:rPr>
            <w:noProof/>
            <w:webHidden/>
          </w:rPr>
          <w:t>35</w:t>
        </w:r>
        <w:r w:rsidR="00D02186" w:rsidRPr="00770E34">
          <w:rPr>
            <w:noProof/>
            <w:webHidden/>
          </w:rPr>
          <w:fldChar w:fldCharType="end"/>
        </w:r>
      </w:hyperlink>
    </w:p>
    <w:p w14:paraId="2607A7AC" w14:textId="4B5A0F83" w:rsidR="00D02186" w:rsidRPr="00770E34" w:rsidRDefault="00393A88">
      <w:pPr>
        <w:pStyle w:val="TOC1"/>
        <w:rPr>
          <w:rFonts w:asciiTheme="minorHAnsi" w:eastAsiaTheme="minorEastAsia" w:hAnsiTheme="minorHAnsi" w:cstheme="minorBidi"/>
          <w:noProof/>
          <w:sz w:val="21"/>
          <w:szCs w:val="22"/>
        </w:rPr>
      </w:pPr>
      <w:hyperlink w:anchor="_Toc157264232" w:history="1">
        <w:r w:rsidR="00D02186" w:rsidRPr="00770E34">
          <w:rPr>
            <w:rStyle w:val="af6"/>
            <w:bCs/>
            <w:noProof/>
          </w:rPr>
          <w:t>第十五条 禁止行为</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_Toc157264232 \h </w:instrText>
        </w:r>
        <w:r w:rsidR="00D02186" w:rsidRPr="00770E34">
          <w:rPr>
            <w:noProof/>
            <w:webHidden/>
          </w:rPr>
        </w:r>
        <w:r w:rsidR="00D02186" w:rsidRPr="00770E34">
          <w:rPr>
            <w:noProof/>
            <w:webHidden/>
          </w:rPr>
          <w:fldChar w:fldCharType="separate"/>
        </w:r>
        <w:r w:rsidR="00EE049A">
          <w:rPr>
            <w:noProof/>
            <w:webHidden/>
          </w:rPr>
          <w:t>38</w:t>
        </w:r>
        <w:r w:rsidR="00D02186" w:rsidRPr="00770E34">
          <w:rPr>
            <w:noProof/>
            <w:webHidden/>
          </w:rPr>
          <w:fldChar w:fldCharType="end"/>
        </w:r>
      </w:hyperlink>
    </w:p>
    <w:p w14:paraId="0EB83DC4" w14:textId="2F752376" w:rsidR="00D02186" w:rsidRPr="00770E34" w:rsidRDefault="00393A88">
      <w:pPr>
        <w:pStyle w:val="TOC1"/>
        <w:rPr>
          <w:rFonts w:asciiTheme="minorHAnsi" w:eastAsiaTheme="minorEastAsia" w:hAnsiTheme="minorHAnsi" w:cstheme="minorBidi"/>
          <w:noProof/>
          <w:sz w:val="21"/>
          <w:szCs w:val="22"/>
        </w:rPr>
      </w:pPr>
      <w:hyperlink w:anchor="_Toc157264233" w:history="1">
        <w:r w:rsidR="00D02186" w:rsidRPr="00770E34">
          <w:rPr>
            <w:rStyle w:val="af6"/>
            <w:bCs/>
            <w:noProof/>
          </w:rPr>
          <w:t>第十六条 本协议的变更、终止与基金财产的清算</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_Toc157264233 \h </w:instrText>
        </w:r>
        <w:r w:rsidR="00D02186" w:rsidRPr="00770E34">
          <w:rPr>
            <w:noProof/>
            <w:webHidden/>
          </w:rPr>
        </w:r>
        <w:r w:rsidR="00D02186" w:rsidRPr="00770E34">
          <w:rPr>
            <w:noProof/>
            <w:webHidden/>
          </w:rPr>
          <w:fldChar w:fldCharType="separate"/>
        </w:r>
        <w:r w:rsidR="00EE049A">
          <w:rPr>
            <w:noProof/>
            <w:webHidden/>
          </w:rPr>
          <w:t>39</w:t>
        </w:r>
        <w:r w:rsidR="00D02186" w:rsidRPr="00770E34">
          <w:rPr>
            <w:noProof/>
            <w:webHidden/>
          </w:rPr>
          <w:fldChar w:fldCharType="end"/>
        </w:r>
      </w:hyperlink>
    </w:p>
    <w:p w14:paraId="4D26383B" w14:textId="6A05F307" w:rsidR="00D02186" w:rsidRPr="00770E34" w:rsidRDefault="00393A88">
      <w:pPr>
        <w:pStyle w:val="TOC1"/>
        <w:rPr>
          <w:rFonts w:asciiTheme="minorHAnsi" w:eastAsiaTheme="minorEastAsia" w:hAnsiTheme="minorHAnsi" w:cstheme="minorBidi"/>
          <w:noProof/>
          <w:sz w:val="21"/>
          <w:szCs w:val="22"/>
        </w:rPr>
      </w:pPr>
      <w:hyperlink w:anchor="_Toc157264234" w:history="1">
        <w:r w:rsidR="00D02186" w:rsidRPr="00770E34">
          <w:rPr>
            <w:rStyle w:val="af6"/>
            <w:bCs/>
            <w:noProof/>
          </w:rPr>
          <w:t>第十七条 违约责任</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_Toc157264234 \h </w:instrText>
        </w:r>
        <w:r w:rsidR="00D02186" w:rsidRPr="00770E34">
          <w:rPr>
            <w:noProof/>
            <w:webHidden/>
          </w:rPr>
        </w:r>
        <w:r w:rsidR="00D02186" w:rsidRPr="00770E34">
          <w:rPr>
            <w:noProof/>
            <w:webHidden/>
          </w:rPr>
          <w:fldChar w:fldCharType="separate"/>
        </w:r>
        <w:r w:rsidR="00EE049A">
          <w:rPr>
            <w:noProof/>
            <w:webHidden/>
          </w:rPr>
          <w:t>41</w:t>
        </w:r>
        <w:r w:rsidR="00D02186" w:rsidRPr="00770E34">
          <w:rPr>
            <w:noProof/>
            <w:webHidden/>
          </w:rPr>
          <w:fldChar w:fldCharType="end"/>
        </w:r>
      </w:hyperlink>
    </w:p>
    <w:p w14:paraId="4E4819D5" w14:textId="1902BC03" w:rsidR="00D02186" w:rsidRPr="00770E34" w:rsidRDefault="00393A88">
      <w:pPr>
        <w:pStyle w:val="TOC1"/>
        <w:rPr>
          <w:rFonts w:asciiTheme="minorHAnsi" w:eastAsiaTheme="minorEastAsia" w:hAnsiTheme="minorHAnsi" w:cstheme="minorBidi"/>
          <w:noProof/>
          <w:sz w:val="21"/>
          <w:szCs w:val="22"/>
        </w:rPr>
      </w:pPr>
      <w:hyperlink w:anchor="_Toc157264235" w:history="1">
        <w:r w:rsidR="00D02186" w:rsidRPr="00770E34">
          <w:rPr>
            <w:rStyle w:val="af6"/>
            <w:bCs/>
            <w:noProof/>
          </w:rPr>
          <w:t>第十八条 法律适用和争议解决</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_Toc157264235 \h </w:instrText>
        </w:r>
        <w:r w:rsidR="00D02186" w:rsidRPr="00770E34">
          <w:rPr>
            <w:noProof/>
            <w:webHidden/>
          </w:rPr>
        </w:r>
        <w:r w:rsidR="00D02186" w:rsidRPr="00770E34">
          <w:rPr>
            <w:noProof/>
            <w:webHidden/>
          </w:rPr>
          <w:fldChar w:fldCharType="separate"/>
        </w:r>
        <w:r w:rsidR="00EE049A">
          <w:rPr>
            <w:noProof/>
            <w:webHidden/>
          </w:rPr>
          <w:t>42</w:t>
        </w:r>
        <w:r w:rsidR="00D02186" w:rsidRPr="00770E34">
          <w:rPr>
            <w:noProof/>
            <w:webHidden/>
          </w:rPr>
          <w:fldChar w:fldCharType="end"/>
        </w:r>
      </w:hyperlink>
    </w:p>
    <w:p w14:paraId="3F13D785" w14:textId="3C408DAB" w:rsidR="00D02186" w:rsidRPr="00770E34" w:rsidRDefault="00393A88">
      <w:pPr>
        <w:pStyle w:val="TOC1"/>
        <w:rPr>
          <w:rFonts w:asciiTheme="minorHAnsi" w:eastAsiaTheme="minorEastAsia" w:hAnsiTheme="minorHAnsi" w:cstheme="minorBidi"/>
          <w:noProof/>
          <w:sz w:val="21"/>
          <w:szCs w:val="22"/>
        </w:rPr>
      </w:pPr>
      <w:hyperlink w:anchor="_Toc157264236" w:history="1">
        <w:r w:rsidR="00D02186" w:rsidRPr="00770E34">
          <w:rPr>
            <w:rStyle w:val="af6"/>
            <w:bCs/>
            <w:noProof/>
          </w:rPr>
          <w:t>第十九条 本协议的效力</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_Toc157264236 \h </w:instrText>
        </w:r>
        <w:r w:rsidR="00D02186" w:rsidRPr="00770E34">
          <w:rPr>
            <w:noProof/>
            <w:webHidden/>
          </w:rPr>
        </w:r>
        <w:r w:rsidR="00D02186" w:rsidRPr="00770E34">
          <w:rPr>
            <w:noProof/>
            <w:webHidden/>
          </w:rPr>
          <w:fldChar w:fldCharType="separate"/>
        </w:r>
        <w:r w:rsidR="00EE049A">
          <w:rPr>
            <w:noProof/>
            <w:webHidden/>
          </w:rPr>
          <w:t>42</w:t>
        </w:r>
        <w:r w:rsidR="00D02186" w:rsidRPr="00770E34">
          <w:rPr>
            <w:noProof/>
            <w:webHidden/>
          </w:rPr>
          <w:fldChar w:fldCharType="end"/>
        </w:r>
      </w:hyperlink>
    </w:p>
    <w:p w14:paraId="773FECAB" w14:textId="264F00A9" w:rsidR="00D02186" w:rsidRPr="00770E34" w:rsidRDefault="00393A88">
      <w:pPr>
        <w:pStyle w:val="TOC1"/>
        <w:rPr>
          <w:rFonts w:asciiTheme="minorHAnsi" w:eastAsiaTheme="minorEastAsia" w:hAnsiTheme="minorHAnsi" w:cstheme="minorBidi"/>
          <w:noProof/>
          <w:sz w:val="21"/>
          <w:szCs w:val="22"/>
        </w:rPr>
      </w:pPr>
      <w:hyperlink w:anchor="_Toc157264237" w:history="1">
        <w:r w:rsidR="00D02186" w:rsidRPr="00770E34">
          <w:rPr>
            <w:rStyle w:val="af6"/>
            <w:bCs/>
            <w:noProof/>
          </w:rPr>
          <w:t>第二十条 本协议的签订</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_Toc157264237 \h </w:instrText>
        </w:r>
        <w:r w:rsidR="00D02186" w:rsidRPr="00770E34">
          <w:rPr>
            <w:noProof/>
            <w:webHidden/>
          </w:rPr>
        </w:r>
        <w:r w:rsidR="00D02186" w:rsidRPr="00770E34">
          <w:rPr>
            <w:noProof/>
            <w:webHidden/>
          </w:rPr>
          <w:fldChar w:fldCharType="separate"/>
        </w:r>
        <w:r w:rsidR="00EE049A">
          <w:rPr>
            <w:noProof/>
            <w:webHidden/>
          </w:rPr>
          <w:t>43</w:t>
        </w:r>
        <w:r w:rsidR="00D02186" w:rsidRPr="00770E34">
          <w:rPr>
            <w:noProof/>
            <w:webHidden/>
          </w:rPr>
          <w:fldChar w:fldCharType="end"/>
        </w:r>
      </w:hyperlink>
    </w:p>
    <w:p w14:paraId="6A6756C7" w14:textId="5B0EA523" w:rsidR="00D02186" w:rsidRPr="00770E34" w:rsidRDefault="00393A88">
      <w:pPr>
        <w:pStyle w:val="TOC1"/>
        <w:rPr>
          <w:rFonts w:asciiTheme="minorHAnsi" w:eastAsiaTheme="minorEastAsia" w:hAnsiTheme="minorHAnsi" w:cstheme="minorBidi"/>
          <w:noProof/>
          <w:sz w:val="21"/>
          <w:szCs w:val="22"/>
        </w:rPr>
      </w:pPr>
      <w:hyperlink w:anchor="_Toc157264238" w:history="1">
        <w:r w:rsidR="00D02186" w:rsidRPr="00770E34">
          <w:rPr>
            <w:rStyle w:val="af6"/>
            <w:bCs/>
            <w:noProof/>
          </w:rPr>
          <w:t>第二十一条 不可抗力</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_Toc157264238 \h </w:instrText>
        </w:r>
        <w:r w:rsidR="00D02186" w:rsidRPr="00770E34">
          <w:rPr>
            <w:noProof/>
            <w:webHidden/>
          </w:rPr>
        </w:r>
        <w:r w:rsidR="00D02186" w:rsidRPr="00770E34">
          <w:rPr>
            <w:noProof/>
            <w:webHidden/>
          </w:rPr>
          <w:fldChar w:fldCharType="separate"/>
        </w:r>
        <w:r w:rsidR="00EE049A">
          <w:rPr>
            <w:noProof/>
            <w:webHidden/>
          </w:rPr>
          <w:t>43</w:t>
        </w:r>
        <w:r w:rsidR="00D02186" w:rsidRPr="00770E34">
          <w:rPr>
            <w:noProof/>
            <w:webHidden/>
          </w:rPr>
          <w:fldChar w:fldCharType="end"/>
        </w:r>
      </w:hyperlink>
    </w:p>
    <w:p w14:paraId="1978F779" w14:textId="323CF71C" w:rsidR="00D02186" w:rsidRPr="00770E34" w:rsidRDefault="00393A88">
      <w:pPr>
        <w:pStyle w:val="TOC1"/>
        <w:rPr>
          <w:rFonts w:asciiTheme="minorHAnsi" w:eastAsiaTheme="minorEastAsia" w:hAnsiTheme="minorHAnsi" w:cstheme="minorBidi"/>
          <w:noProof/>
          <w:sz w:val="21"/>
          <w:szCs w:val="22"/>
        </w:rPr>
      </w:pPr>
      <w:hyperlink w:anchor="_Toc157264239" w:history="1">
        <w:r w:rsidR="00D02186" w:rsidRPr="00770E34">
          <w:rPr>
            <w:rStyle w:val="af6"/>
            <w:bCs/>
            <w:noProof/>
          </w:rPr>
          <w:t>第二十二条 可分割性</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_Toc157264239 \h </w:instrText>
        </w:r>
        <w:r w:rsidR="00D02186" w:rsidRPr="00770E34">
          <w:rPr>
            <w:noProof/>
            <w:webHidden/>
          </w:rPr>
        </w:r>
        <w:r w:rsidR="00D02186" w:rsidRPr="00770E34">
          <w:rPr>
            <w:noProof/>
            <w:webHidden/>
          </w:rPr>
          <w:fldChar w:fldCharType="separate"/>
        </w:r>
        <w:r w:rsidR="00EE049A">
          <w:rPr>
            <w:noProof/>
            <w:webHidden/>
          </w:rPr>
          <w:t>43</w:t>
        </w:r>
        <w:r w:rsidR="00D02186" w:rsidRPr="00770E34">
          <w:rPr>
            <w:noProof/>
            <w:webHidden/>
          </w:rPr>
          <w:fldChar w:fldCharType="end"/>
        </w:r>
      </w:hyperlink>
    </w:p>
    <w:p w14:paraId="50BA9501" w14:textId="33DCBAD8" w:rsidR="00D02186" w:rsidRPr="00770E34" w:rsidRDefault="00393A88">
      <w:pPr>
        <w:pStyle w:val="TOC1"/>
        <w:rPr>
          <w:rFonts w:asciiTheme="minorHAnsi" w:eastAsiaTheme="minorEastAsia" w:hAnsiTheme="minorHAnsi" w:cstheme="minorBidi"/>
          <w:noProof/>
          <w:sz w:val="21"/>
          <w:szCs w:val="22"/>
        </w:rPr>
      </w:pPr>
      <w:hyperlink w:anchor="_Toc157264240" w:history="1">
        <w:r w:rsidR="00D02186" w:rsidRPr="00770E34">
          <w:rPr>
            <w:rStyle w:val="af6"/>
            <w:bCs/>
            <w:noProof/>
          </w:rPr>
          <w:t>第二十三条 通知与送达</w:t>
        </w:r>
        <w:r w:rsidR="00D02186" w:rsidRPr="00770E34">
          <w:rPr>
            <w:noProof/>
            <w:webHidden/>
          </w:rPr>
          <w:tab/>
        </w:r>
        <w:r w:rsidR="00D02186" w:rsidRPr="00770E34">
          <w:rPr>
            <w:noProof/>
            <w:webHidden/>
          </w:rPr>
          <w:fldChar w:fldCharType="begin"/>
        </w:r>
        <w:r w:rsidR="00D02186" w:rsidRPr="00770E34">
          <w:rPr>
            <w:noProof/>
            <w:webHidden/>
          </w:rPr>
          <w:instrText xml:space="preserve"> PAGEREF _Toc157264240 \h </w:instrText>
        </w:r>
        <w:r w:rsidR="00D02186" w:rsidRPr="00770E34">
          <w:rPr>
            <w:noProof/>
            <w:webHidden/>
          </w:rPr>
        </w:r>
        <w:r w:rsidR="00D02186" w:rsidRPr="00770E34">
          <w:rPr>
            <w:noProof/>
            <w:webHidden/>
          </w:rPr>
          <w:fldChar w:fldCharType="separate"/>
        </w:r>
        <w:r w:rsidR="00EE049A">
          <w:rPr>
            <w:noProof/>
            <w:webHidden/>
          </w:rPr>
          <w:t>43</w:t>
        </w:r>
        <w:r w:rsidR="00D02186" w:rsidRPr="00770E34">
          <w:rPr>
            <w:noProof/>
            <w:webHidden/>
          </w:rPr>
          <w:fldChar w:fldCharType="end"/>
        </w:r>
      </w:hyperlink>
    </w:p>
    <w:p w14:paraId="1F751C7D" w14:textId="48B35538" w:rsidR="00D315D6" w:rsidRPr="00770E34" w:rsidRDefault="00C14E5E">
      <w:pPr>
        <w:snapToGrid w:val="0"/>
        <w:spacing w:line="360" w:lineRule="auto"/>
        <w:jc w:val="center"/>
        <w:rPr>
          <w:rFonts w:ascii="宋体" w:hAnsi="宋体"/>
          <w:b/>
          <w:sz w:val="28"/>
          <w:szCs w:val="28"/>
        </w:rPr>
      </w:pPr>
      <w:r w:rsidRPr="00770E34">
        <w:rPr>
          <w:rFonts w:ascii="宋体" w:hAnsi="宋体"/>
          <w:b/>
          <w:sz w:val="28"/>
          <w:szCs w:val="28"/>
        </w:rPr>
        <w:fldChar w:fldCharType="end"/>
      </w:r>
      <w:permEnd w:id="899831638"/>
    </w:p>
    <w:p w14:paraId="744AA304" w14:textId="77777777" w:rsidR="00D315D6" w:rsidRPr="00770E34" w:rsidRDefault="00C14E5E">
      <w:pPr>
        <w:adjustRightInd w:val="0"/>
        <w:snapToGrid w:val="0"/>
        <w:spacing w:line="520" w:lineRule="atLeast"/>
        <w:jc w:val="center"/>
        <w:rPr>
          <w:rFonts w:ascii="宋体" w:hAnsi="宋体"/>
          <w:b/>
          <w:sz w:val="28"/>
          <w:szCs w:val="28"/>
        </w:rPr>
      </w:pPr>
      <w:r w:rsidRPr="00770E34">
        <w:rPr>
          <w:rFonts w:ascii="宋体" w:hAnsi="宋体"/>
          <w:b/>
          <w:sz w:val="28"/>
          <w:szCs w:val="28"/>
        </w:rPr>
        <w:br w:type="page"/>
      </w:r>
      <w:permStart w:id="1088247308" w:edGrp="everyone"/>
      <w:r w:rsidRPr="00770E34">
        <w:rPr>
          <w:rFonts w:ascii="宋体" w:hAnsi="宋体" w:hint="eastAsia"/>
          <w:b/>
          <w:sz w:val="28"/>
          <w:szCs w:val="28"/>
        </w:rPr>
        <w:lastRenderedPageBreak/>
        <w:t>【银河中证机器人指数发起式】证券投资基金托管协议</w:t>
      </w:r>
    </w:p>
    <w:permEnd w:id="1088247308"/>
    <w:p w14:paraId="72889982" w14:textId="77777777" w:rsidR="00D315D6" w:rsidRPr="00770E34" w:rsidRDefault="00D315D6">
      <w:pPr>
        <w:adjustRightInd w:val="0"/>
        <w:snapToGrid w:val="0"/>
        <w:spacing w:line="520" w:lineRule="atLeast"/>
        <w:jc w:val="center"/>
        <w:rPr>
          <w:rFonts w:ascii="宋体" w:hAnsi="宋体"/>
          <w:b/>
          <w:sz w:val="28"/>
          <w:szCs w:val="28"/>
        </w:rPr>
      </w:pPr>
    </w:p>
    <w:p w14:paraId="7D760F87" w14:textId="77777777" w:rsidR="00D315D6" w:rsidRPr="00770E34" w:rsidRDefault="00C14E5E">
      <w:pPr>
        <w:tabs>
          <w:tab w:val="left" w:pos="5940"/>
        </w:tabs>
        <w:adjustRightInd w:val="0"/>
        <w:snapToGrid w:val="0"/>
        <w:spacing w:line="520" w:lineRule="atLeast"/>
        <w:rPr>
          <w:rFonts w:ascii="宋体" w:hAnsi="宋体"/>
          <w:b/>
          <w:sz w:val="24"/>
          <w:szCs w:val="24"/>
        </w:rPr>
      </w:pPr>
      <w:permStart w:id="1533820366" w:edGrp="everyone"/>
      <w:r w:rsidRPr="00770E34">
        <w:rPr>
          <w:rFonts w:ascii="宋体" w:hAnsi="宋体" w:hint="eastAsia"/>
          <w:b/>
          <w:sz w:val="24"/>
          <w:szCs w:val="24"/>
        </w:rPr>
        <w:t xml:space="preserve">基金管理人：【银河基金管理有限公司】 </w:t>
      </w:r>
    </w:p>
    <w:p w14:paraId="353E9F43" w14:textId="77777777" w:rsidR="00D315D6" w:rsidRPr="00770E34" w:rsidRDefault="00C14E5E">
      <w:pPr>
        <w:tabs>
          <w:tab w:val="left" w:pos="5940"/>
        </w:tabs>
        <w:adjustRightInd w:val="0"/>
        <w:snapToGrid w:val="0"/>
        <w:spacing w:line="520" w:lineRule="atLeast"/>
        <w:rPr>
          <w:rFonts w:ascii="宋体" w:hAnsi="宋体"/>
          <w:sz w:val="24"/>
          <w:szCs w:val="24"/>
        </w:rPr>
      </w:pPr>
      <w:r w:rsidRPr="00770E34">
        <w:rPr>
          <w:rFonts w:ascii="宋体" w:hAnsi="宋体" w:hint="eastAsia"/>
          <w:sz w:val="24"/>
          <w:szCs w:val="24"/>
        </w:rPr>
        <w:t>法定代表人：</w:t>
      </w:r>
      <w:r w:rsidRPr="00770E34">
        <w:rPr>
          <w:rFonts w:ascii="宋体" w:hAnsi="宋体" w:hint="eastAsia"/>
          <w:b/>
          <w:sz w:val="24"/>
          <w:szCs w:val="24"/>
        </w:rPr>
        <w:t>【</w:t>
      </w:r>
      <w:r w:rsidRPr="00770E34">
        <w:rPr>
          <w:rFonts w:ascii="Calibri" w:hAnsi="Calibri" w:hint="eastAsia"/>
          <w:bCs/>
          <w:color w:val="000000" w:themeColor="text1"/>
          <w:sz w:val="24"/>
        </w:rPr>
        <w:t>宋卫刚</w:t>
      </w:r>
      <w:r w:rsidRPr="00770E34">
        <w:rPr>
          <w:rFonts w:ascii="宋体" w:hAnsi="宋体" w:hint="eastAsia"/>
          <w:b/>
          <w:sz w:val="24"/>
          <w:szCs w:val="24"/>
        </w:rPr>
        <w:t>】</w:t>
      </w:r>
    </w:p>
    <w:p w14:paraId="3E709280" w14:textId="77777777" w:rsidR="00D315D6" w:rsidRPr="00770E34" w:rsidRDefault="00C14E5E">
      <w:pPr>
        <w:tabs>
          <w:tab w:val="left" w:pos="5940"/>
        </w:tabs>
        <w:adjustRightInd w:val="0"/>
        <w:snapToGrid w:val="0"/>
        <w:spacing w:line="520" w:lineRule="atLeast"/>
        <w:rPr>
          <w:rFonts w:ascii="宋体" w:hAnsi="宋体"/>
          <w:sz w:val="24"/>
          <w:szCs w:val="24"/>
        </w:rPr>
      </w:pPr>
      <w:r w:rsidRPr="00770E34">
        <w:rPr>
          <w:rFonts w:ascii="宋体" w:hAnsi="宋体" w:hint="eastAsia"/>
          <w:sz w:val="24"/>
          <w:szCs w:val="24"/>
        </w:rPr>
        <w:t>住    所：</w:t>
      </w:r>
      <w:r w:rsidRPr="00770E34">
        <w:rPr>
          <w:rFonts w:ascii="宋体" w:hAnsi="宋体" w:hint="eastAsia"/>
          <w:b/>
          <w:sz w:val="24"/>
          <w:szCs w:val="24"/>
        </w:rPr>
        <w:t>【中国（上海）自由贸易试验区富城路99号21-22层】</w:t>
      </w:r>
    </w:p>
    <w:p w14:paraId="7FB10513" w14:textId="77777777" w:rsidR="00D315D6" w:rsidRPr="00770E34" w:rsidRDefault="00D315D6">
      <w:pPr>
        <w:snapToGrid w:val="0"/>
        <w:spacing w:line="520" w:lineRule="atLeast"/>
        <w:rPr>
          <w:rFonts w:ascii="宋体" w:hAnsi="宋体"/>
          <w:sz w:val="24"/>
          <w:szCs w:val="24"/>
        </w:rPr>
      </w:pPr>
    </w:p>
    <w:p w14:paraId="451C9C2B" w14:textId="77777777" w:rsidR="00D315D6" w:rsidRPr="00770E34" w:rsidRDefault="00C14E5E">
      <w:pPr>
        <w:tabs>
          <w:tab w:val="left" w:pos="5940"/>
        </w:tabs>
        <w:snapToGrid w:val="0"/>
        <w:spacing w:line="520" w:lineRule="atLeast"/>
        <w:rPr>
          <w:rFonts w:ascii="宋体" w:hAnsi="宋体"/>
          <w:b/>
          <w:sz w:val="24"/>
          <w:szCs w:val="24"/>
        </w:rPr>
      </w:pPr>
      <w:r w:rsidRPr="00770E34">
        <w:rPr>
          <w:rFonts w:ascii="宋体" w:hAnsi="宋体" w:hint="eastAsia"/>
          <w:b/>
          <w:sz w:val="24"/>
          <w:szCs w:val="24"/>
        </w:rPr>
        <w:t>基金托管人：中信银行股份有限公司</w:t>
      </w:r>
    </w:p>
    <w:p w14:paraId="759FF79B" w14:textId="1ADD2CF9" w:rsidR="00D315D6" w:rsidRPr="00770E34" w:rsidRDefault="00C14E5E">
      <w:pPr>
        <w:tabs>
          <w:tab w:val="left" w:pos="5940"/>
        </w:tabs>
        <w:snapToGrid w:val="0"/>
        <w:spacing w:line="520" w:lineRule="atLeast"/>
        <w:rPr>
          <w:rFonts w:ascii="宋体" w:hAnsi="宋体"/>
          <w:sz w:val="24"/>
          <w:szCs w:val="24"/>
        </w:rPr>
      </w:pPr>
      <w:r w:rsidRPr="00770E34">
        <w:rPr>
          <w:rFonts w:ascii="宋体" w:hAnsi="宋体" w:hint="eastAsia"/>
          <w:sz w:val="24"/>
          <w:szCs w:val="24"/>
        </w:rPr>
        <w:t>法定代表人：</w:t>
      </w:r>
      <w:r w:rsidRPr="00770E34">
        <w:rPr>
          <w:rFonts w:ascii="宋体" w:hAnsi="宋体" w:hint="eastAsia"/>
          <w:b/>
          <w:sz w:val="24"/>
          <w:szCs w:val="24"/>
        </w:rPr>
        <w:t>【</w:t>
      </w:r>
      <w:r w:rsidR="00301DE1" w:rsidRPr="00770E34">
        <w:rPr>
          <w:rFonts w:ascii="宋体" w:hAnsi="宋体" w:hint="eastAsia"/>
          <w:sz w:val="24"/>
          <w:szCs w:val="24"/>
        </w:rPr>
        <w:t>方合英</w:t>
      </w:r>
      <w:r w:rsidRPr="00770E34">
        <w:rPr>
          <w:rFonts w:ascii="宋体" w:hAnsi="宋体" w:hint="eastAsia"/>
          <w:b/>
          <w:sz w:val="24"/>
          <w:szCs w:val="24"/>
        </w:rPr>
        <w:t>】</w:t>
      </w:r>
    </w:p>
    <w:p w14:paraId="14EAFB49" w14:textId="5F087D54" w:rsidR="00D315D6" w:rsidRPr="00770E34" w:rsidRDefault="00C14E5E">
      <w:pPr>
        <w:tabs>
          <w:tab w:val="left" w:pos="5940"/>
        </w:tabs>
        <w:snapToGrid w:val="0"/>
        <w:spacing w:line="520" w:lineRule="atLeast"/>
        <w:rPr>
          <w:rFonts w:ascii="宋体" w:hAnsi="宋体"/>
          <w:sz w:val="24"/>
          <w:szCs w:val="24"/>
        </w:rPr>
      </w:pPr>
      <w:r w:rsidRPr="00770E34">
        <w:rPr>
          <w:rFonts w:ascii="宋体" w:hAnsi="宋体" w:hint="eastAsia"/>
          <w:sz w:val="24"/>
          <w:szCs w:val="24"/>
        </w:rPr>
        <w:t>住    所：</w:t>
      </w:r>
      <w:r w:rsidRPr="00770E34">
        <w:rPr>
          <w:rFonts w:ascii="宋体" w:hAnsi="宋体" w:hint="eastAsia"/>
          <w:b/>
          <w:sz w:val="24"/>
          <w:szCs w:val="24"/>
        </w:rPr>
        <w:t>【</w:t>
      </w:r>
      <w:r w:rsidR="00301DE1" w:rsidRPr="00770E34">
        <w:rPr>
          <w:rFonts w:ascii="宋体" w:hAnsi="宋体" w:hint="eastAsia"/>
          <w:b/>
          <w:sz w:val="24"/>
          <w:szCs w:val="24"/>
        </w:rPr>
        <w:t>北京市朝阳区光华路10号院1号楼</w:t>
      </w:r>
      <w:r w:rsidRPr="00770E34">
        <w:rPr>
          <w:rFonts w:ascii="宋体" w:hAnsi="宋体" w:hint="eastAsia"/>
          <w:b/>
          <w:sz w:val="24"/>
          <w:szCs w:val="24"/>
        </w:rPr>
        <w:t>】</w:t>
      </w:r>
    </w:p>
    <w:permEnd w:id="1533820366"/>
    <w:p w14:paraId="752F3B0F" w14:textId="77777777" w:rsidR="00D315D6" w:rsidRPr="00770E34" w:rsidRDefault="00D315D6">
      <w:pPr>
        <w:autoSpaceDE w:val="0"/>
        <w:autoSpaceDN w:val="0"/>
        <w:adjustRightInd w:val="0"/>
        <w:spacing w:line="520" w:lineRule="atLeast"/>
        <w:rPr>
          <w:rFonts w:ascii="宋体" w:hAnsi="宋体"/>
          <w:sz w:val="24"/>
          <w:szCs w:val="24"/>
        </w:rPr>
      </w:pPr>
    </w:p>
    <w:p w14:paraId="2FF99314" w14:textId="77777777" w:rsidR="00D315D6" w:rsidRPr="00770E34" w:rsidRDefault="00C14E5E">
      <w:pPr>
        <w:autoSpaceDE w:val="0"/>
        <w:autoSpaceDN w:val="0"/>
        <w:adjustRightInd w:val="0"/>
        <w:spacing w:line="520" w:lineRule="atLeast"/>
        <w:ind w:firstLineChars="200" w:firstLine="482"/>
        <w:rPr>
          <w:rFonts w:ascii="宋体" w:hAnsi="宋体"/>
          <w:b/>
          <w:sz w:val="24"/>
          <w:szCs w:val="24"/>
        </w:rPr>
      </w:pPr>
      <w:r w:rsidRPr="00770E34">
        <w:rPr>
          <w:rFonts w:ascii="宋体" w:hAnsi="宋体" w:hint="eastAsia"/>
          <w:b/>
          <w:sz w:val="24"/>
          <w:szCs w:val="24"/>
        </w:rPr>
        <w:t>鉴于：</w:t>
      </w:r>
    </w:p>
    <w:p w14:paraId="148C3E0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w:t>
      </w:r>
      <w:permStart w:id="868513944" w:edGrp="everyone"/>
      <w:r w:rsidRPr="00770E34">
        <w:rPr>
          <w:rFonts w:hAnsi="宋体" w:hint="eastAsia"/>
          <w:szCs w:val="24"/>
        </w:rPr>
        <w:t>【银河基金管理有限公司】</w:t>
      </w:r>
      <w:permEnd w:id="868513944"/>
      <w:r w:rsidRPr="00770E34">
        <w:rPr>
          <w:rFonts w:hAnsi="宋体" w:hint="eastAsia"/>
          <w:szCs w:val="24"/>
        </w:rPr>
        <w:t>系一家依照中国法律合法成立并有效存续的法人或非法人</w:t>
      </w:r>
      <w:r w:rsidRPr="00770E34">
        <w:rPr>
          <w:rFonts w:hAnsi="宋体"/>
          <w:szCs w:val="24"/>
        </w:rPr>
        <w:t>组织</w:t>
      </w:r>
      <w:r w:rsidRPr="00770E34">
        <w:rPr>
          <w:rFonts w:hAnsi="宋体" w:hint="eastAsia"/>
          <w:szCs w:val="24"/>
        </w:rPr>
        <w:t>，按照相关法律法规的规定具备担任基金管理人的资格和能力；</w:t>
      </w:r>
    </w:p>
    <w:p w14:paraId="0CE7CE7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w:t>
      </w:r>
      <w:permStart w:id="1413424302" w:edGrp="everyone"/>
      <w:r w:rsidRPr="00770E34">
        <w:rPr>
          <w:rFonts w:hAnsi="宋体" w:hint="eastAsia"/>
          <w:szCs w:val="24"/>
        </w:rPr>
        <w:t>中信银行股份有限公司</w:t>
      </w:r>
      <w:permEnd w:id="1413424302"/>
      <w:r w:rsidRPr="00770E34">
        <w:rPr>
          <w:rFonts w:hAnsi="宋体" w:hint="eastAsia"/>
          <w:szCs w:val="24"/>
        </w:rPr>
        <w:t>系一家依照中国法律合法成立并有效存续的银行，按照相关法律法规的规定具备担任基金托管人的资格和能力；</w:t>
      </w:r>
    </w:p>
    <w:p w14:paraId="7D5D368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w:t>
      </w:r>
      <w:permStart w:id="734281719" w:edGrp="everyone"/>
      <w:r w:rsidRPr="00770E34">
        <w:rPr>
          <w:rFonts w:hAnsi="宋体" w:hint="eastAsia"/>
          <w:szCs w:val="24"/>
        </w:rPr>
        <w:t>【银河基金管理有限公司】</w:t>
      </w:r>
      <w:permEnd w:id="734281719"/>
      <w:r w:rsidRPr="00770E34">
        <w:rPr>
          <w:rFonts w:hAnsi="宋体" w:hint="eastAsia"/>
          <w:szCs w:val="24"/>
        </w:rPr>
        <w:t>拟担任</w:t>
      </w:r>
      <w:permStart w:id="925317708" w:edGrp="everyone"/>
      <w:r w:rsidRPr="00770E34">
        <w:rPr>
          <w:rFonts w:hAnsi="宋体" w:hint="eastAsia"/>
          <w:szCs w:val="24"/>
        </w:rPr>
        <w:t>【银河中证机器人指数发起式】证券投资基金</w:t>
      </w:r>
      <w:permEnd w:id="925317708"/>
      <w:r w:rsidRPr="00770E34">
        <w:rPr>
          <w:rFonts w:hAnsi="宋体" w:hint="eastAsia"/>
          <w:szCs w:val="24"/>
        </w:rPr>
        <w:t>的基金管理人，</w:t>
      </w:r>
      <w:permStart w:id="1956841615" w:edGrp="everyone"/>
      <w:r w:rsidRPr="00770E34">
        <w:rPr>
          <w:rFonts w:hAnsi="宋体" w:hint="eastAsia"/>
          <w:szCs w:val="24"/>
        </w:rPr>
        <w:t>中信银行股份有限公司</w:t>
      </w:r>
      <w:permEnd w:id="1956841615"/>
      <w:r w:rsidRPr="00770E34">
        <w:rPr>
          <w:rFonts w:hAnsi="宋体" w:hint="eastAsia"/>
          <w:szCs w:val="24"/>
        </w:rPr>
        <w:t>拟担任</w:t>
      </w:r>
      <w:permStart w:id="1592226252" w:edGrp="everyone"/>
      <w:r w:rsidRPr="00770E34">
        <w:rPr>
          <w:rFonts w:hAnsi="宋体" w:hint="eastAsia"/>
          <w:szCs w:val="24"/>
        </w:rPr>
        <w:t>【银河中证机器人指数发起式】证券投资基金</w:t>
      </w:r>
      <w:permEnd w:id="1592226252"/>
      <w:r w:rsidRPr="00770E34">
        <w:rPr>
          <w:rFonts w:hAnsi="宋体" w:hint="eastAsia"/>
          <w:szCs w:val="24"/>
        </w:rPr>
        <w:t>的基金托管人；</w:t>
      </w:r>
    </w:p>
    <w:p w14:paraId="3802D48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为明确双方在基金托管中的权利、义务及责任，确保基金财产的安全，保护基金份额持有人的合法权益，依据相关法律法规和监管规定，双方本着平等自愿、诚实守信的原则特签订本协议。</w:t>
      </w:r>
    </w:p>
    <w:p w14:paraId="5FA092B7" w14:textId="77777777" w:rsidR="00D315D6" w:rsidRPr="00770E34" w:rsidRDefault="00C14E5E">
      <w:pPr>
        <w:pStyle w:val="20"/>
        <w:spacing w:before="0" w:after="0" w:line="520" w:lineRule="atLeast"/>
        <w:ind w:left="0" w:firstLine="541"/>
        <w:rPr>
          <w:rFonts w:hAnsi="宋体"/>
          <w:b/>
          <w:bCs/>
          <w:szCs w:val="24"/>
        </w:rPr>
      </w:pPr>
      <w:r w:rsidRPr="00770E34">
        <w:rPr>
          <w:rFonts w:hAnsi="宋体" w:hint="eastAsia"/>
          <w:b/>
          <w:bCs/>
          <w:szCs w:val="24"/>
        </w:rPr>
        <w:t>释义：</w:t>
      </w:r>
    </w:p>
    <w:p w14:paraId="2E29557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除非另有约定，《</w:t>
      </w:r>
      <w:permStart w:id="1993309051" w:edGrp="everyone"/>
      <w:r w:rsidRPr="00770E34">
        <w:rPr>
          <w:rFonts w:hAnsi="宋体" w:hint="eastAsia"/>
          <w:szCs w:val="24"/>
        </w:rPr>
        <w:t>【银河中证机器人指数发起式】证券投资基金基金合同</w:t>
      </w:r>
      <w:permEnd w:id="1993309051"/>
      <w:r w:rsidRPr="00770E34">
        <w:rPr>
          <w:rFonts w:hAnsi="宋体" w:hint="eastAsia"/>
          <w:szCs w:val="24"/>
        </w:rPr>
        <w:t xml:space="preserve">》(以下简称“基金合同”)中定义的术语在用于本托管协议时应具有相同的含义；若有抵触，应以基金合同为准，并依其条款解释。 </w:t>
      </w:r>
    </w:p>
    <w:p w14:paraId="72E37B31" w14:textId="77777777" w:rsidR="00D315D6" w:rsidRPr="00770E34" w:rsidRDefault="00C14E5E">
      <w:pPr>
        <w:pStyle w:val="1"/>
        <w:spacing w:line="520" w:lineRule="atLeast"/>
        <w:ind w:firstLineChars="200" w:firstLine="482"/>
        <w:rPr>
          <w:bCs/>
          <w:color w:val="auto"/>
          <w:szCs w:val="24"/>
        </w:rPr>
      </w:pPr>
      <w:bookmarkStart w:id="16" w:name="_Toc296551337"/>
      <w:bookmarkStart w:id="17" w:name="_Toc157264218"/>
      <w:r w:rsidRPr="00770E34">
        <w:rPr>
          <w:rFonts w:hint="eastAsia"/>
          <w:bCs/>
          <w:color w:val="auto"/>
          <w:szCs w:val="24"/>
        </w:rPr>
        <w:t>第一条 本协议当事人</w:t>
      </w:r>
      <w:bookmarkEnd w:id="16"/>
      <w:bookmarkEnd w:id="17"/>
    </w:p>
    <w:p w14:paraId="1BFA031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1.1基金管理人：</w:t>
      </w:r>
    </w:p>
    <w:p w14:paraId="615609D5" w14:textId="77777777" w:rsidR="00D315D6" w:rsidRPr="00770E34" w:rsidRDefault="00C14E5E">
      <w:pPr>
        <w:pStyle w:val="20"/>
        <w:spacing w:before="0" w:after="0" w:line="520" w:lineRule="atLeast"/>
        <w:ind w:left="0" w:firstLineChars="200" w:firstLine="480"/>
        <w:rPr>
          <w:rFonts w:hAnsi="宋体"/>
        </w:rPr>
      </w:pPr>
      <w:permStart w:id="1835347803" w:edGrp="everyone"/>
      <w:r w:rsidRPr="00770E34">
        <w:rPr>
          <w:rFonts w:hAnsi="宋体" w:hint="eastAsia"/>
          <w:szCs w:val="24"/>
        </w:rPr>
        <w:t>名称：银河基金管理有限公司</w:t>
      </w:r>
    </w:p>
    <w:p w14:paraId="3CC42737" w14:textId="0D5D1D9D"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lastRenderedPageBreak/>
        <w:t>注册地址：</w:t>
      </w:r>
      <w:r w:rsidR="00576B8B" w:rsidRPr="00576B8B">
        <w:rPr>
          <w:rFonts w:hAnsi="宋体" w:hint="eastAsia"/>
          <w:szCs w:val="24"/>
        </w:rPr>
        <w:t>中国（上海）自由贸易试验区富城路99号21-22层</w:t>
      </w:r>
    </w:p>
    <w:p w14:paraId="4C2145F7" w14:textId="3254D5B5"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办公地址：</w:t>
      </w:r>
      <w:r w:rsidR="00254A5E" w:rsidRPr="00254A5E">
        <w:rPr>
          <w:rFonts w:hAnsi="宋体" w:hint="eastAsia"/>
          <w:color w:val="000000"/>
        </w:rPr>
        <w:t>上海市浦东新区富城路99号震旦国际大楼21楼,22楼</w:t>
      </w:r>
    </w:p>
    <w:p w14:paraId="3385FE88"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邮政编码：</w:t>
      </w:r>
      <w:r w:rsidRPr="00770E34">
        <w:rPr>
          <w:rFonts w:hAnsi="宋体"/>
          <w:szCs w:val="24"/>
        </w:rPr>
        <w:t>200122</w:t>
      </w:r>
    </w:p>
    <w:p w14:paraId="36826D2A"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法定代表人：宋卫刚</w:t>
      </w:r>
    </w:p>
    <w:p w14:paraId="44A2C238"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成立日期：</w:t>
      </w:r>
      <w:r w:rsidRPr="00770E34">
        <w:rPr>
          <w:rFonts w:hAnsi="宋体"/>
          <w:szCs w:val="24"/>
        </w:rPr>
        <w:t>2002年6月14日</w:t>
      </w:r>
    </w:p>
    <w:p w14:paraId="3301AFA4"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批准设立机关及批准设立文号：中国证监会证</w:t>
      </w:r>
      <w:proofErr w:type="gramStart"/>
      <w:r w:rsidRPr="00770E34">
        <w:rPr>
          <w:rFonts w:hAnsi="宋体" w:hint="eastAsia"/>
          <w:szCs w:val="24"/>
        </w:rPr>
        <w:t>监基金字</w:t>
      </w:r>
      <w:proofErr w:type="gramEnd"/>
      <w:r w:rsidRPr="00770E34">
        <w:rPr>
          <w:rFonts w:hAnsi="宋体"/>
          <w:szCs w:val="24"/>
        </w:rPr>
        <w:t>[2002]21号</w:t>
      </w:r>
    </w:p>
    <w:p w14:paraId="62BC037D"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组织形式：有限责任公司</w:t>
      </w:r>
    </w:p>
    <w:p w14:paraId="61DEB53D"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注册资本：</w:t>
      </w:r>
      <w:r w:rsidRPr="00770E34">
        <w:rPr>
          <w:rFonts w:hAnsi="宋体"/>
          <w:szCs w:val="24"/>
        </w:rPr>
        <w:t>2.0亿元</w:t>
      </w:r>
    </w:p>
    <w:p w14:paraId="37DBD567" w14:textId="77777777" w:rsidR="00D315D6" w:rsidRPr="00770E34" w:rsidRDefault="00C14E5E">
      <w:pPr>
        <w:pStyle w:val="20"/>
        <w:spacing w:before="0" w:after="0" w:line="520" w:lineRule="atLeast"/>
        <w:ind w:left="0" w:firstLineChars="200" w:firstLine="480"/>
        <w:rPr>
          <w:rFonts w:hAnsi="宋体"/>
        </w:rPr>
      </w:pPr>
      <w:r w:rsidRPr="00770E34">
        <w:rPr>
          <w:rFonts w:hAnsi="宋体" w:hint="eastAsia"/>
          <w:szCs w:val="24"/>
        </w:rPr>
        <w:t>存续期间：持续经营</w:t>
      </w:r>
    </w:p>
    <w:p w14:paraId="0CFEB9C6" w14:textId="77777777" w:rsidR="00192658"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 xml:space="preserve">经营范围：基金募集、基金销售、资产管理，中国证监会许可的其他业务 </w:t>
      </w:r>
    </w:p>
    <w:permEnd w:id="1835347803"/>
    <w:p w14:paraId="3A9E312F" w14:textId="3A4F3DB2"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1.2基金托管人：</w:t>
      </w:r>
    </w:p>
    <w:p w14:paraId="557FED08" w14:textId="77777777" w:rsidR="00D315D6" w:rsidRPr="00770E34" w:rsidRDefault="00C14E5E">
      <w:pPr>
        <w:pStyle w:val="20"/>
        <w:spacing w:before="0" w:after="0" w:line="520" w:lineRule="atLeast"/>
        <w:ind w:left="0" w:firstLineChars="200" w:firstLine="480"/>
        <w:rPr>
          <w:rFonts w:hAnsi="宋体"/>
          <w:szCs w:val="24"/>
        </w:rPr>
      </w:pPr>
      <w:permStart w:id="891035093" w:edGrp="everyone"/>
      <w:r w:rsidRPr="00770E34">
        <w:rPr>
          <w:rFonts w:hAnsi="宋体" w:hint="eastAsia"/>
          <w:szCs w:val="24"/>
        </w:rPr>
        <w:t>名称：中信银行股份有限公司</w:t>
      </w:r>
    </w:p>
    <w:p w14:paraId="27B51D6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住所：</w:t>
      </w:r>
      <w:r w:rsidRPr="00770E34">
        <w:rPr>
          <w:rFonts w:ascii="Calibri" w:hAnsi="Calibri" w:hint="eastAsia"/>
          <w:bCs/>
          <w:color w:val="000000" w:themeColor="text1"/>
        </w:rPr>
        <w:t>北京市朝阳区光华路</w:t>
      </w:r>
      <w:r w:rsidRPr="00770E34">
        <w:rPr>
          <w:rFonts w:ascii="Calibri" w:hAnsi="Calibri" w:hint="eastAsia"/>
          <w:bCs/>
          <w:color w:val="000000" w:themeColor="text1"/>
        </w:rPr>
        <w:t>10</w:t>
      </w:r>
      <w:r w:rsidRPr="00770E34">
        <w:rPr>
          <w:rFonts w:ascii="Calibri" w:hAnsi="Calibri" w:hint="eastAsia"/>
          <w:bCs/>
          <w:color w:val="000000" w:themeColor="text1"/>
        </w:rPr>
        <w:t>号院</w:t>
      </w:r>
      <w:r w:rsidRPr="00770E34">
        <w:rPr>
          <w:rFonts w:ascii="Calibri" w:hAnsi="Calibri" w:hint="eastAsia"/>
          <w:bCs/>
          <w:color w:val="000000" w:themeColor="text1"/>
        </w:rPr>
        <w:t>1</w:t>
      </w:r>
      <w:r w:rsidRPr="00770E34">
        <w:rPr>
          <w:rFonts w:ascii="Calibri" w:hAnsi="Calibri" w:hint="eastAsia"/>
          <w:bCs/>
          <w:color w:val="000000" w:themeColor="text1"/>
        </w:rPr>
        <w:t>号楼</w:t>
      </w:r>
    </w:p>
    <w:p w14:paraId="6A36D06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法定代表人：方合英</w:t>
      </w:r>
    </w:p>
    <w:p w14:paraId="53E648F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成立时间：1987年4月</w:t>
      </w:r>
      <w:r w:rsidRPr="00770E34">
        <w:rPr>
          <w:rFonts w:hAnsi="宋体"/>
          <w:szCs w:val="24"/>
        </w:rPr>
        <w:t>20</w:t>
      </w:r>
      <w:r w:rsidRPr="00770E34">
        <w:rPr>
          <w:rFonts w:hAnsi="宋体" w:hint="eastAsia"/>
          <w:szCs w:val="24"/>
        </w:rPr>
        <w:t>日</w:t>
      </w:r>
    </w:p>
    <w:p w14:paraId="448A69D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批准设立文号：国办函[1987]14号</w:t>
      </w:r>
    </w:p>
    <w:p w14:paraId="0D0A96A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基金托管业务批准文号：证</w:t>
      </w:r>
      <w:proofErr w:type="gramStart"/>
      <w:r w:rsidRPr="00770E34">
        <w:rPr>
          <w:rFonts w:hAnsi="宋体" w:hint="eastAsia"/>
          <w:szCs w:val="24"/>
        </w:rPr>
        <w:t>监基金字</w:t>
      </w:r>
      <w:proofErr w:type="gramEnd"/>
      <w:r w:rsidRPr="00770E34">
        <w:rPr>
          <w:rFonts w:hAnsi="宋体" w:hint="eastAsia"/>
          <w:szCs w:val="24"/>
        </w:rPr>
        <w:t>[2004]125号</w:t>
      </w:r>
    </w:p>
    <w:p w14:paraId="6A43283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组织形式：股份有限公司</w:t>
      </w:r>
    </w:p>
    <w:p w14:paraId="2D6A96C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注册资本：</w:t>
      </w:r>
      <w:r w:rsidRPr="00770E34">
        <w:rPr>
          <w:rFonts w:ascii="Calibri" w:hAnsi="Calibri" w:hint="eastAsia"/>
          <w:bCs/>
          <w:color w:val="000000" w:themeColor="text1"/>
        </w:rPr>
        <w:t>4893479.6573</w:t>
      </w:r>
      <w:r w:rsidRPr="00770E34">
        <w:rPr>
          <w:rFonts w:ascii="Calibri" w:hAnsi="Calibri" w:hint="eastAsia"/>
          <w:bCs/>
          <w:color w:val="000000" w:themeColor="text1"/>
        </w:rPr>
        <w:t>万元人民币</w:t>
      </w:r>
    </w:p>
    <w:p w14:paraId="6D263C9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存续期间：持续经营</w:t>
      </w:r>
      <w:permEnd w:id="891035093"/>
    </w:p>
    <w:p w14:paraId="0BE87B93" w14:textId="77777777" w:rsidR="00D315D6" w:rsidRPr="00770E34" w:rsidRDefault="00C14E5E">
      <w:pPr>
        <w:pStyle w:val="1"/>
        <w:spacing w:line="520" w:lineRule="atLeast"/>
        <w:ind w:firstLineChars="200" w:firstLine="482"/>
        <w:rPr>
          <w:bCs/>
          <w:color w:val="auto"/>
          <w:szCs w:val="24"/>
        </w:rPr>
      </w:pPr>
      <w:bookmarkStart w:id="18" w:name="_Toc296551338"/>
      <w:bookmarkStart w:id="19" w:name="_Toc157264219"/>
      <w:r w:rsidRPr="00770E34">
        <w:rPr>
          <w:rFonts w:hint="eastAsia"/>
          <w:bCs/>
          <w:color w:val="auto"/>
          <w:szCs w:val="24"/>
        </w:rPr>
        <w:t>第二条 本协议的依据、目的和原则</w:t>
      </w:r>
      <w:bookmarkEnd w:id="18"/>
      <w:bookmarkEnd w:id="19"/>
    </w:p>
    <w:p w14:paraId="70D9629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2.1本协议的依据</w:t>
      </w:r>
    </w:p>
    <w:p w14:paraId="5EA8DAF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订立本协议的依据是《中华人民共和国证券投资基金法》（以下简称“《基金法》”）、《公开募集证券投资基金运作管理办法》（以下简称“《运作办法》”）、《公开募集证券投资基金销售机构监督管理办法》（以下简称“《销售办法》”）、《公开</w:t>
      </w:r>
      <w:r w:rsidRPr="00770E34">
        <w:rPr>
          <w:rFonts w:hAnsi="宋体"/>
          <w:szCs w:val="24"/>
        </w:rPr>
        <w:t>募集</w:t>
      </w:r>
      <w:r w:rsidRPr="00770E34">
        <w:rPr>
          <w:rFonts w:hAnsi="宋体" w:hint="eastAsia"/>
          <w:szCs w:val="24"/>
        </w:rPr>
        <w:t>证券投资基金信息披露管理办法》（以下简称“《信息披露办法》”）、</w:t>
      </w:r>
      <w:r w:rsidRPr="00770E34">
        <w:rPr>
          <w:rFonts w:hint="eastAsia"/>
          <w:bCs/>
        </w:rPr>
        <w:t>《公开募集开放式证券投资基金流动性风险管理规定》（以下简称“《流动性风险管理规定》”）、《公开募集证券投资基金运作指引第3号——指数基金指引》、</w:t>
      </w:r>
      <w:r w:rsidRPr="00770E34">
        <w:rPr>
          <w:rFonts w:hAnsi="宋体" w:hint="eastAsia"/>
          <w:szCs w:val="24"/>
        </w:rPr>
        <w:t>《证券投资基金信息披露</w:t>
      </w:r>
      <w:r w:rsidRPr="00770E34">
        <w:rPr>
          <w:rFonts w:hAnsi="宋体" w:hint="eastAsia"/>
          <w:szCs w:val="24"/>
        </w:rPr>
        <w:lastRenderedPageBreak/>
        <w:t>内容与格式准则第7号〈托管协议的内容与格式〉》、《</w:t>
      </w:r>
      <w:permStart w:id="1252140883" w:edGrp="everyone"/>
      <w:r w:rsidRPr="00770E34">
        <w:rPr>
          <w:rFonts w:hAnsi="宋体" w:hint="eastAsia"/>
          <w:szCs w:val="24"/>
        </w:rPr>
        <w:t>【银河中证机器人指数发起式】证券投资基金基金合同</w:t>
      </w:r>
      <w:permEnd w:id="1252140883"/>
      <w:r w:rsidRPr="00770E34">
        <w:rPr>
          <w:rFonts w:hAnsi="宋体" w:hint="eastAsia"/>
          <w:szCs w:val="24"/>
        </w:rPr>
        <w:t>》（以下简称“基金合同”）及其他有关规定。</w:t>
      </w:r>
    </w:p>
    <w:p w14:paraId="6B62157C"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2.2本协议的目的</w:t>
      </w:r>
    </w:p>
    <w:p w14:paraId="2CDF2CA9"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08C1178E"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2.3本协议的原则</w:t>
      </w:r>
    </w:p>
    <w:p w14:paraId="72B152FD"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基金管理人和基金托管人本着平等自愿、诚实信用、充分保护基金份额持有人合法权益的原则，经协商一致，签订本协议。</w:t>
      </w:r>
    </w:p>
    <w:p w14:paraId="17C99ACA"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2</w:t>
      </w:r>
      <w:r w:rsidRPr="00770E34">
        <w:rPr>
          <w:rFonts w:hAnsi="宋体"/>
          <w:szCs w:val="24"/>
        </w:rPr>
        <w:t>.4</w:t>
      </w:r>
      <w:r w:rsidRPr="00770E34">
        <w:rPr>
          <w:rFonts w:hAnsi="宋体" w:hint="eastAsia"/>
          <w:szCs w:val="24"/>
        </w:rPr>
        <w:t>若本基金实施</w:t>
      </w:r>
      <w:proofErr w:type="gramStart"/>
      <w:r w:rsidRPr="00770E34">
        <w:rPr>
          <w:rFonts w:hAnsi="宋体" w:hint="eastAsia"/>
          <w:szCs w:val="24"/>
        </w:rPr>
        <w:t>侧袋机制</w:t>
      </w:r>
      <w:proofErr w:type="gramEnd"/>
      <w:r w:rsidRPr="00770E34">
        <w:rPr>
          <w:rFonts w:hAnsi="宋体" w:hint="eastAsia"/>
          <w:szCs w:val="24"/>
        </w:rPr>
        <w:t>的，</w:t>
      </w:r>
      <w:proofErr w:type="gramStart"/>
      <w:r w:rsidRPr="00770E34">
        <w:rPr>
          <w:rFonts w:hAnsi="宋体" w:hint="eastAsia"/>
          <w:szCs w:val="24"/>
        </w:rPr>
        <w:t>侧袋机</w:t>
      </w:r>
      <w:proofErr w:type="gramEnd"/>
      <w:r w:rsidRPr="00770E34">
        <w:rPr>
          <w:rFonts w:hAnsi="宋体" w:hint="eastAsia"/>
          <w:szCs w:val="24"/>
        </w:rPr>
        <w:t>制实施期间的相关安排</w:t>
      </w:r>
      <w:proofErr w:type="gramStart"/>
      <w:r w:rsidRPr="00770E34">
        <w:rPr>
          <w:rFonts w:hAnsi="宋体" w:hint="eastAsia"/>
          <w:szCs w:val="24"/>
        </w:rPr>
        <w:t>见基</w:t>
      </w:r>
      <w:proofErr w:type="gramEnd"/>
      <w:r w:rsidRPr="00770E34">
        <w:rPr>
          <w:rFonts w:hAnsi="宋体" w:hint="eastAsia"/>
          <w:szCs w:val="24"/>
        </w:rPr>
        <w:t>金合同和招募说明书的规定。</w:t>
      </w:r>
    </w:p>
    <w:p w14:paraId="2C43F9FF" w14:textId="77777777" w:rsidR="00D315D6" w:rsidRPr="00770E34" w:rsidRDefault="00C14E5E">
      <w:pPr>
        <w:pStyle w:val="1"/>
        <w:adjustRightInd w:val="0"/>
        <w:spacing w:line="520" w:lineRule="atLeast"/>
        <w:ind w:firstLineChars="200" w:firstLine="482"/>
        <w:rPr>
          <w:bCs/>
          <w:color w:val="auto"/>
          <w:szCs w:val="24"/>
        </w:rPr>
      </w:pPr>
      <w:bookmarkStart w:id="20" w:name="_Toc296551339"/>
      <w:bookmarkStart w:id="21" w:name="_Toc157264220"/>
      <w:r w:rsidRPr="00770E34">
        <w:rPr>
          <w:rFonts w:hint="eastAsia"/>
          <w:bCs/>
          <w:color w:val="auto"/>
          <w:szCs w:val="24"/>
        </w:rPr>
        <w:t>第三条 基金托管人对基金管理人的业务监督和核查</w:t>
      </w:r>
      <w:bookmarkEnd w:id="20"/>
      <w:bookmarkEnd w:id="21"/>
    </w:p>
    <w:p w14:paraId="46DA7178"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3.1基金托管人对基金管理人的投资行为行使监督权</w:t>
      </w:r>
    </w:p>
    <w:p w14:paraId="453FED86"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3.1.1基金托管人根据有关法律法规的规定和基金合同的约定，对下述基金投资范围、投资对象进行监督。本基金将投资于以下金融工具：</w:t>
      </w:r>
    </w:p>
    <w:p w14:paraId="4087FADB" w14:textId="77777777" w:rsidR="00D315D6" w:rsidRPr="00770E34" w:rsidRDefault="00C14E5E">
      <w:pPr>
        <w:adjustRightInd w:val="0"/>
        <w:snapToGrid w:val="0"/>
        <w:spacing w:line="520" w:lineRule="atLeast"/>
        <w:ind w:firstLine="480"/>
        <w:rPr>
          <w:rFonts w:ascii="宋体" w:hAnsi="宋体"/>
          <w:sz w:val="24"/>
          <w:szCs w:val="24"/>
        </w:rPr>
      </w:pPr>
      <w:r w:rsidRPr="00770E34">
        <w:rPr>
          <w:rFonts w:ascii="宋体" w:hAnsi="宋体" w:hint="eastAsia"/>
          <w:sz w:val="24"/>
          <w:szCs w:val="24"/>
        </w:rPr>
        <w:t xml:space="preserve">本基金的投资范围包括具有良好流动性的金融工具，包括：                                                              </w:t>
      </w:r>
    </w:p>
    <w:p w14:paraId="3BAF80D8" w14:textId="77777777" w:rsidR="00D315D6" w:rsidRPr="00770E34" w:rsidRDefault="00C14E5E">
      <w:pPr>
        <w:spacing w:line="520" w:lineRule="atLeast"/>
        <w:ind w:firstLine="480"/>
        <w:rPr>
          <w:rFonts w:ascii="宋体" w:hAnsi="宋体"/>
          <w:sz w:val="24"/>
          <w:szCs w:val="24"/>
        </w:rPr>
      </w:pPr>
      <w:r w:rsidRPr="00770E34">
        <w:rPr>
          <w:rFonts w:ascii="宋体" w:hAnsi="宋体"/>
          <w:sz w:val="24"/>
          <w:szCs w:val="24"/>
        </w:rPr>
        <w:t xml:space="preserve"> </w:t>
      </w:r>
      <w:bookmarkStart w:id="22" w:name="_Hlk156148282"/>
      <w:permStart w:id="1008299276" w:edGrp="everyone"/>
      <w:proofErr w:type="gramStart"/>
      <w:r w:rsidRPr="00770E34">
        <w:rPr>
          <w:rFonts w:ascii="宋体" w:hAnsi="宋体" w:hint="eastAsia"/>
          <w:sz w:val="24"/>
          <w:szCs w:val="24"/>
        </w:rPr>
        <w:t>【</w:t>
      </w:r>
      <w:proofErr w:type="gramEnd"/>
      <w:r w:rsidRPr="00770E34">
        <w:rPr>
          <w:rFonts w:ascii="宋体" w:hAnsi="宋体" w:hint="eastAsia"/>
          <w:sz w:val="24"/>
          <w:szCs w:val="24"/>
        </w:rPr>
        <w:t>标的指数成份股及其备选成份股（含存托凭证，下同）、国内依法发行或上市的其他股票和存托凭证（包括主板、创业板和其他经中国证监会核准或注册上市的股票和存托凭证）、债券（包括国债、央行票据、金融债券、企业债券、公司债券、中期票据、短期融资券、超短期融资券、公开发行的次级债券、地方政府债券、政府支持机构债券、可转换债券、可交换债券、可分离交易可转债及其他经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56EEBDC7"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本基金根据相关法律法规可以参与融资及转融通证券出借业务。</w:t>
      </w:r>
    </w:p>
    <w:p w14:paraId="1FF356EF"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如法律法规或监管机构以后允许基金投资其他品种，基金管理人在履行适当程序后，可以将其纳入投资范围。】</w:t>
      </w:r>
      <w:permEnd w:id="1008299276"/>
      <w:r w:rsidRPr="00770E34">
        <w:rPr>
          <w:rFonts w:ascii="宋体" w:hAnsi="宋体"/>
          <w:sz w:val="24"/>
          <w:szCs w:val="24"/>
        </w:rPr>
        <w:t xml:space="preserve">                                                                                                                            </w:t>
      </w:r>
    </w:p>
    <w:p w14:paraId="229DFA22"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lastRenderedPageBreak/>
        <w:t>本基金各类资产的投资比例范围为：</w:t>
      </w:r>
    </w:p>
    <w:p w14:paraId="2191AE50" w14:textId="77777777" w:rsidR="00D315D6" w:rsidRPr="00770E34" w:rsidRDefault="00C14E5E">
      <w:pPr>
        <w:spacing w:line="520" w:lineRule="atLeast"/>
        <w:ind w:firstLine="480"/>
        <w:rPr>
          <w:rFonts w:ascii="宋体" w:hAnsi="宋体"/>
          <w:sz w:val="24"/>
          <w:szCs w:val="24"/>
        </w:rPr>
      </w:pPr>
      <w:r w:rsidRPr="00770E34">
        <w:rPr>
          <w:rFonts w:ascii="宋体" w:hAnsi="宋体"/>
          <w:sz w:val="24"/>
          <w:szCs w:val="24"/>
        </w:rPr>
        <w:t xml:space="preserve"> </w:t>
      </w:r>
      <w:permStart w:id="74275735" w:edGrp="everyone"/>
      <w:r w:rsidRPr="00770E34">
        <w:rPr>
          <w:rFonts w:ascii="宋体" w:hAnsi="宋体" w:hint="eastAsia"/>
          <w:sz w:val="24"/>
          <w:szCs w:val="24"/>
        </w:rPr>
        <w:t>【本基金投资于标的指数成份股及备选成份股的比例</w:t>
      </w:r>
      <w:r w:rsidRPr="00770E34">
        <w:rPr>
          <w:rFonts w:hint="eastAsia"/>
          <w:sz w:val="24"/>
        </w:rPr>
        <w:t>不低于基金资产净值的</w:t>
      </w:r>
      <w:r w:rsidRPr="00770E34">
        <w:rPr>
          <w:rFonts w:hint="eastAsia"/>
          <w:sz w:val="24"/>
        </w:rPr>
        <w:t>90%</w:t>
      </w:r>
      <w:r w:rsidRPr="00770E34">
        <w:rPr>
          <w:rFonts w:hint="eastAsia"/>
          <w:bCs/>
          <w:color w:val="000000" w:themeColor="text1"/>
          <w:sz w:val="24"/>
        </w:rPr>
        <w:t>且</w:t>
      </w:r>
      <w:r w:rsidRPr="00770E34">
        <w:rPr>
          <w:rFonts w:ascii="宋体" w:hAnsi="宋体" w:hint="eastAsia"/>
          <w:sz w:val="24"/>
          <w:szCs w:val="24"/>
        </w:rPr>
        <w:t>不低于非现金基金资产的80%；每个交易日日终在扣除股指期货合约、国债期货合约需缴纳的交易保证金后，基金保留的现金或到期日在一年以内的政府债券的比例合计不低于基金资产净值的5%，其中现金不包括结算备付金、存出保证金、应收申购款等。】</w:t>
      </w:r>
      <w:permEnd w:id="74275735"/>
      <w:r w:rsidRPr="00770E34">
        <w:rPr>
          <w:rFonts w:ascii="宋体" w:hAnsi="宋体"/>
          <w:sz w:val="24"/>
          <w:szCs w:val="24"/>
        </w:rPr>
        <w:t xml:space="preserve">                                                                                                                                 </w:t>
      </w:r>
    </w:p>
    <w:p w14:paraId="1CA3DD6D" w14:textId="77777777" w:rsidR="00D315D6" w:rsidRPr="00770E34" w:rsidRDefault="00C14E5E">
      <w:pPr>
        <w:spacing w:line="520" w:lineRule="atLeast"/>
        <w:ind w:firstLine="480"/>
        <w:rPr>
          <w:rFonts w:ascii="宋体" w:hAnsi="宋体"/>
          <w:sz w:val="24"/>
        </w:rPr>
      </w:pPr>
      <w:r w:rsidRPr="00770E34">
        <w:rPr>
          <w:rFonts w:ascii="宋体" w:hAnsi="宋体" w:hint="eastAsia"/>
          <w:sz w:val="24"/>
        </w:rPr>
        <w:t>如法律法规或中国证监会变更上述投资品种的比例限制，基金管理人在履行适当程序后以变更后的比例为准，本基金的投资比例会做相应调整。</w:t>
      </w:r>
    </w:p>
    <w:p w14:paraId="557269D3" w14:textId="77777777" w:rsidR="00D315D6" w:rsidRPr="00770E34" w:rsidRDefault="00C14E5E">
      <w:pPr>
        <w:spacing w:line="520" w:lineRule="atLeast"/>
        <w:jc w:val="left"/>
        <w:rPr>
          <w:rFonts w:ascii="宋体" w:hAnsi="宋体"/>
          <w:sz w:val="24"/>
        </w:rPr>
      </w:pPr>
      <w:r w:rsidRPr="00770E34">
        <w:rPr>
          <w:rFonts w:ascii="宋体" w:hAnsi="宋体" w:hint="eastAsia"/>
          <w:sz w:val="24"/>
        </w:rPr>
        <w:t xml:space="preserve">    3.1.2基金托管人根据有关法律法规的规定及基金合同的约定对下述基金投融资比例进行监督：    </w:t>
      </w:r>
    </w:p>
    <w:p w14:paraId="2152AB95"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sz w:val="24"/>
          <w:szCs w:val="24"/>
        </w:rPr>
        <w:t xml:space="preserve">    </w:t>
      </w:r>
      <w:permStart w:id="1307640456" w:edGrp="everyone"/>
      <w:proofErr w:type="gramStart"/>
      <w:r w:rsidRPr="00770E34">
        <w:rPr>
          <w:rFonts w:ascii="宋体" w:hAnsi="宋体" w:hint="eastAsia"/>
          <w:sz w:val="24"/>
          <w:szCs w:val="24"/>
        </w:rPr>
        <w:t>【</w:t>
      </w:r>
      <w:proofErr w:type="gramEnd"/>
      <w:r w:rsidRPr="00770E34">
        <w:rPr>
          <w:rFonts w:ascii="宋体" w:hAnsi="宋体" w:hint="eastAsia"/>
          <w:color w:val="000000" w:themeColor="text1"/>
          <w:sz w:val="24"/>
          <w:szCs w:val="24"/>
        </w:rPr>
        <w:t>（1）本基金投资于标的指数成份股及备选成份股的比例</w:t>
      </w:r>
      <w:r w:rsidRPr="00770E34">
        <w:rPr>
          <w:rFonts w:hint="eastAsia"/>
          <w:sz w:val="24"/>
        </w:rPr>
        <w:t>不低于基金资产净值的</w:t>
      </w:r>
      <w:r w:rsidRPr="00770E34">
        <w:rPr>
          <w:rFonts w:hint="eastAsia"/>
          <w:sz w:val="24"/>
        </w:rPr>
        <w:t>90%</w:t>
      </w:r>
      <w:r w:rsidRPr="00770E34">
        <w:rPr>
          <w:rFonts w:hint="eastAsia"/>
          <w:bCs/>
          <w:color w:val="000000" w:themeColor="text1"/>
          <w:sz w:val="24"/>
        </w:rPr>
        <w:t>且</w:t>
      </w:r>
      <w:r w:rsidRPr="00770E34">
        <w:rPr>
          <w:rFonts w:ascii="宋体" w:hAnsi="宋体" w:hint="eastAsia"/>
          <w:color w:val="000000" w:themeColor="text1"/>
          <w:sz w:val="24"/>
          <w:szCs w:val="24"/>
        </w:rPr>
        <w:t>不低于非现金基金资产的80%；</w:t>
      </w:r>
    </w:p>
    <w:p w14:paraId="7B8D2421"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2）本基金每个交易日日终在扣除股指期货合约、国债期货合约需缴纳的交易保证金后，基金保留的现金或到期日在一年以内的政府债券的比例合计不低于基金资产净值的5%，其中现金不包括结算备付金、存出保证金、应收申购款等；</w:t>
      </w:r>
    </w:p>
    <w:p w14:paraId="70AFFE3F"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3</w:t>
      </w:r>
      <w:r w:rsidRPr="00770E34">
        <w:rPr>
          <w:rFonts w:ascii="宋体" w:hAnsi="宋体" w:hint="eastAsia"/>
          <w:color w:val="000000" w:themeColor="text1"/>
          <w:sz w:val="24"/>
          <w:szCs w:val="24"/>
        </w:rPr>
        <w:t>）本基金投资于同一原始权益人的各类资产支持证券的比例，不得超过基金资产净值的10%；</w:t>
      </w:r>
    </w:p>
    <w:p w14:paraId="2AB9A542"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4</w:t>
      </w:r>
      <w:r w:rsidRPr="00770E34">
        <w:rPr>
          <w:rFonts w:ascii="宋体" w:hAnsi="宋体" w:hint="eastAsia"/>
          <w:color w:val="000000" w:themeColor="text1"/>
          <w:sz w:val="24"/>
          <w:szCs w:val="24"/>
        </w:rPr>
        <w:t>）本基金持有的全部资产支持证券，其市值不得超过基金资产净值的20%；</w:t>
      </w:r>
    </w:p>
    <w:p w14:paraId="2F059DE2"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5</w:t>
      </w:r>
      <w:r w:rsidRPr="00770E34">
        <w:rPr>
          <w:rFonts w:ascii="宋体" w:hAnsi="宋体" w:hint="eastAsia"/>
          <w:color w:val="000000" w:themeColor="text1"/>
          <w:sz w:val="24"/>
          <w:szCs w:val="24"/>
        </w:rPr>
        <w:t>）本基金持有的同一(指同一信用级别)资产支持证券的比例，不得超过该资产支持证券规模的10%；</w:t>
      </w:r>
    </w:p>
    <w:p w14:paraId="0586B6D4"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6</w:t>
      </w:r>
      <w:r w:rsidRPr="00770E34">
        <w:rPr>
          <w:rFonts w:ascii="宋体" w:hAnsi="宋体" w:hint="eastAsia"/>
          <w:color w:val="000000" w:themeColor="text1"/>
          <w:sz w:val="24"/>
          <w:szCs w:val="24"/>
        </w:rPr>
        <w:t>）本基金管理人管理的全部基金投资于同一原始权益人的各类资产支持证券，不得超过其各类资产支持证券合计规模的10%；</w:t>
      </w:r>
    </w:p>
    <w:p w14:paraId="1C20A0AF"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7</w:t>
      </w:r>
      <w:r w:rsidRPr="00770E34">
        <w:rPr>
          <w:rFonts w:ascii="宋体" w:hAnsi="宋体" w:hint="eastAsia"/>
          <w:color w:val="000000" w:themeColor="text1"/>
          <w:sz w:val="24"/>
          <w:szCs w:val="24"/>
        </w:rPr>
        <w:t>）本基金应投资于信用级别评级为BBB以上(含BBB)的资产支持证券。基金持有资产支持证券期间，如果其信用等级下降、不再符合投资标准，应在评级报告发布之日起3个月内予以全部卖出；</w:t>
      </w:r>
    </w:p>
    <w:p w14:paraId="2AC11FDC"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8</w:t>
      </w:r>
      <w:r w:rsidRPr="00770E34">
        <w:rPr>
          <w:rFonts w:ascii="宋体" w:hAnsi="宋体" w:hint="eastAsia"/>
          <w:color w:val="000000" w:themeColor="text1"/>
          <w:sz w:val="24"/>
          <w:szCs w:val="24"/>
        </w:rPr>
        <w:t>）基金财产参与股票发行申购，本基金所申报的金额不超过本基金的总资产，本基金所申报的股票数量不超过拟发行股票公司本次发行股票的总量；</w:t>
      </w:r>
    </w:p>
    <w:p w14:paraId="4DEFFCEF" w14:textId="107A9A0A"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9</w:t>
      </w:r>
      <w:r w:rsidRPr="00770E34">
        <w:rPr>
          <w:rFonts w:ascii="宋体" w:hAnsi="宋体" w:hint="eastAsia"/>
          <w:color w:val="000000" w:themeColor="text1"/>
          <w:sz w:val="24"/>
          <w:szCs w:val="24"/>
        </w:rPr>
        <w:t>）本基金</w:t>
      </w:r>
      <w:proofErr w:type="gramStart"/>
      <w:r w:rsidRPr="00770E34">
        <w:rPr>
          <w:rFonts w:ascii="宋体" w:hAnsi="宋体" w:hint="eastAsia"/>
          <w:color w:val="000000" w:themeColor="text1"/>
          <w:sz w:val="24"/>
          <w:szCs w:val="24"/>
        </w:rPr>
        <w:t>若参</w:t>
      </w:r>
      <w:proofErr w:type="gramEnd"/>
      <w:r w:rsidRPr="00770E34">
        <w:rPr>
          <w:rFonts w:ascii="宋体" w:hAnsi="宋体" w:hint="eastAsia"/>
          <w:color w:val="000000" w:themeColor="text1"/>
          <w:sz w:val="24"/>
          <w:szCs w:val="24"/>
        </w:rPr>
        <w:t>与股指期货、国债期货交易，应当符合下列投资限制：</w:t>
      </w:r>
    </w:p>
    <w:p w14:paraId="0AC737A4"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lastRenderedPageBreak/>
        <w:t>1）在任何交易日日终，持有的买入股指期货合约价值，不得超过基金资产净值的10%；在任何交易日日终，持有的卖出股指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14:paraId="17AE47C0"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2）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所持有的债券（不含到期日在一年以内的政府债券）市值和买入、卖出国债期货合约价值，合计（轧差计算）应当符合基金合同关于债券投资比例的有关约定；</w:t>
      </w:r>
    </w:p>
    <w:p w14:paraId="14035AEF"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3）在任何交易日日终，持有的买入国债期货和股指期货合约价值与有价证券市值之和，不得超过基金资产净值的</w:t>
      </w:r>
      <w:r w:rsidRPr="00770E34">
        <w:rPr>
          <w:rFonts w:ascii="宋体" w:hAnsi="宋体"/>
          <w:color w:val="000000" w:themeColor="text1"/>
          <w:sz w:val="24"/>
          <w:szCs w:val="24"/>
        </w:rPr>
        <w:t>100</w:t>
      </w:r>
      <w:r w:rsidRPr="00770E34">
        <w:rPr>
          <w:rFonts w:ascii="宋体" w:hAnsi="宋体" w:hint="eastAsia"/>
          <w:color w:val="000000" w:themeColor="text1"/>
          <w:sz w:val="24"/>
          <w:szCs w:val="24"/>
        </w:rPr>
        <w:t>%。其中，有价证券指股票、债券（不含到期日在一年以内的政府债券）、资产支持证券、买入返售金融资产（不含质押式回购）等；</w:t>
      </w:r>
    </w:p>
    <w:p w14:paraId="5FC42F8E"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10</w:t>
      </w:r>
      <w:r w:rsidRPr="00770E34">
        <w:rPr>
          <w:rFonts w:ascii="宋体" w:hAnsi="宋体" w:hint="eastAsia"/>
          <w:color w:val="000000" w:themeColor="text1"/>
          <w:sz w:val="24"/>
          <w:szCs w:val="24"/>
        </w:rPr>
        <w:t>）本基金参与融资业务后，在任何交易日日终，持有的融资买入股票与其他有价证券市值之和，不得超过基金资产净值的95%；</w:t>
      </w:r>
    </w:p>
    <w:p w14:paraId="0461454A"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11</w:t>
      </w:r>
      <w:r w:rsidRPr="00770E34">
        <w:rPr>
          <w:rFonts w:ascii="宋体" w:hAnsi="宋体" w:hint="eastAsia"/>
          <w:color w:val="000000" w:themeColor="text1"/>
          <w:sz w:val="24"/>
          <w:szCs w:val="24"/>
        </w:rPr>
        <w:t>）本基金参与转融通证券出借业务，应当符合下列投资限制：</w:t>
      </w:r>
    </w:p>
    <w:p w14:paraId="22ABCE2C"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 xml:space="preserve">1）出借证券资产不得超过基金资产净值的30%，出借期限在10个交易日以上的出借证券应纳入《流动性风险管理规定》所述流动性受限证券的范围； </w:t>
      </w:r>
    </w:p>
    <w:p w14:paraId="341140DB"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 xml:space="preserve">2）本基金参与出借业务的单只证券不得超过基金持有该证券总量的50%； </w:t>
      </w:r>
    </w:p>
    <w:p w14:paraId="14F1E75B"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3）最近6个月内日均基金资产净值不得低于2亿元；</w:t>
      </w:r>
    </w:p>
    <w:p w14:paraId="1F4540B6"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4）证券出借的平均剩余期限不得超过30天，平均剩余期限按照市值加权平均计算；</w:t>
      </w:r>
    </w:p>
    <w:p w14:paraId="3ED057DD"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12</w:t>
      </w:r>
      <w:r w:rsidRPr="00770E34">
        <w:rPr>
          <w:rFonts w:ascii="宋体" w:hAnsi="宋体" w:hint="eastAsia"/>
          <w:color w:val="000000" w:themeColor="text1"/>
          <w:sz w:val="24"/>
          <w:szCs w:val="24"/>
        </w:rPr>
        <w:t>）本基金资产总值不得超过基金资产净值的140%；</w:t>
      </w:r>
    </w:p>
    <w:p w14:paraId="59C799A4"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13</w:t>
      </w:r>
      <w:r w:rsidRPr="00770E34">
        <w:rPr>
          <w:rFonts w:ascii="宋体" w:hAnsi="宋体" w:hint="eastAsia"/>
          <w:color w:val="000000" w:themeColor="text1"/>
          <w:sz w:val="24"/>
          <w:szCs w:val="24"/>
        </w:rPr>
        <w:t>）本基金主动投资于流动性受限资产的市值合计不得超过基金资产净值的15%；因证券市场波动、上市公司股票停牌、基金规模变动等基金管理人之外的因素致使基金不符合该比例限制的，本基金管理人不得主动新增流动性受限资产的投</w:t>
      </w:r>
      <w:r w:rsidRPr="00770E34">
        <w:rPr>
          <w:rFonts w:ascii="宋体" w:hAnsi="宋体" w:hint="eastAsia"/>
          <w:color w:val="000000" w:themeColor="text1"/>
          <w:sz w:val="24"/>
          <w:szCs w:val="24"/>
        </w:rPr>
        <w:lastRenderedPageBreak/>
        <w:t>资；</w:t>
      </w:r>
    </w:p>
    <w:p w14:paraId="595E190B"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14</w:t>
      </w:r>
      <w:r w:rsidRPr="00770E34">
        <w:rPr>
          <w:rFonts w:ascii="宋体" w:hAnsi="宋体" w:hint="eastAsia"/>
          <w:color w:val="000000" w:themeColor="text1"/>
          <w:sz w:val="24"/>
          <w:szCs w:val="24"/>
        </w:rPr>
        <w:t>）本基金与私募类</w:t>
      </w:r>
      <w:proofErr w:type="gramStart"/>
      <w:r w:rsidRPr="00770E34">
        <w:rPr>
          <w:rFonts w:ascii="宋体" w:hAnsi="宋体" w:hint="eastAsia"/>
          <w:color w:val="000000" w:themeColor="text1"/>
          <w:sz w:val="24"/>
          <w:szCs w:val="24"/>
        </w:rPr>
        <w:t>证券资管产品</w:t>
      </w:r>
      <w:proofErr w:type="gramEnd"/>
      <w:r w:rsidRPr="00770E34">
        <w:rPr>
          <w:rFonts w:ascii="宋体" w:hAnsi="宋体" w:hint="eastAsia"/>
          <w:color w:val="000000" w:themeColor="text1"/>
          <w:sz w:val="24"/>
          <w:szCs w:val="24"/>
        </w:rPr>
        <w:t>及中国证监会认定的其他主体为交易对手开展逆回购交易的，可接受质押品的资质要求应当与基金合同约定的投资范围保持一致；</w:t>
      </w:r>
    </w:p>
    <w:p w14:paraId="09F3AD7D"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15</w:t>
      </w:r>
      <w:r w:rsidRPr="00770E34">
        <w:rPr>
          <w:rFonts w:ascii="宋体" w:hAnsi="宋体" w:hint="eastAsia"/>
          <w:color w:val="000000" w:themeColor="text1"/>
          <w:sz w:val="24"/>
          <w:szCs w:val="24"/>
        </w:rPr>
        <w:t>）本基金投资存托凭证的比例限制依照境内上市交易的股票执行，与境内上市交易的股票合并计算，法律法规或监管机构另有规定的，从其规定；</w:t>
      </w:r>
    </w:p>
    <w:p w14:paraId="64535CDD"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w:t>
      </w:r>
      <w:r w:rsidRPr="00770E34">
        <w:rPr>
          <w:rFonts w:ascii="宋体" w:hAnsi="宋体"/>
          <w:color w:val="000000" w:themeColor="text1"/>
          <w:sz w:val="24"/>
          <w:szCs w:val="24"/>
        </w:rPr>
        <w:t>16</w:t>
      </w:r>
      <w:r w:rsidRPr="00770E34">
        <w:rPr>
          <w:rFonts w:ascii="宋体" w:hAnsi="宋体" w:hint="eastAsia"/>
          <w:color w:val="000000" w:themeColor="text1"/>
          <w:sz w:val="24"/>
          <w:szCs w:val="24"/>
        </w:rPr>
        <w:t>）法律法规及中国证监会规定的和《基金合同》约定的其他投资限制。</w:t>
      </w:r>
    </w:p>
    <w:p w14:paraId="6D1E7CEC"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除上述第（2）、（</w:t>
      </w:r>
      <w:r w:rsidRPr="00770E34">
        <w:rPr>
          <w:rFonts w:ascii="宋体" w:hAnsi="宋体"/>
          <w:color w:val="000000" w:themeColor="text1"/>
          <w:sz w:val="24"/>
          <w:szCs w:val="24"/>
        </w:rPr>
        <w:t>7</w:t>
      </w:r>
      <w:r w:rsidRPr="00770E34">
        <w:rPr>
          <w:rFonts w:ascii="宋体" w:hAnsi="宋体" w:hint="eastAsia"/>
          <w:color w:val="000000" w:themeColor="text1"/>
          <w:sz w:val="24"/>
          <w:szCs w:val="24"/>
        </w:rPr>
        <w:t>）、（1</w:t>
      </w:r>
      <w:r w:rsidRPr="00770E34">
        <w:rPr>
          <w:rFonts w:ascii="宋体" w:hAnsi="宋体"/>
          <w:color w:val="000000" w:themeColor="text1"/>
          <w:sz w:val="24"/>
          <w:szCs w:val="24"/>
        </w:rPr>
        <w:t>1</w:t>
      </w:r>
      <w:r w:rsidRPr="00770E34">
        <w:rPr>
          <w:rFonts w:ascii="宋体" w:hAnsi="宋体" w:hint="eastAsia"/>
          <w:color w:val="000000" w:themeColor="text1"/>
          <w:sz w:val="24"/>
          <w:szCs w:val="24"/>
        </w:rPr>
        <w:t>）、（13）、（1</w:t>
      </w:r>
      <w:r w:rsidRPr="00770E34">
        <w:rPr>
          <w:rFonts w:ascii="宋体" w:hAnsi="宋体"/>
          <w:color w:val="000000" w:themeColor="text1"/>
          <w:sz w:val="24"/>
          <w:szCs w:val="24"/>
        </w:rPr>
        <w:t>4</w:t>
      </w:r>
      <w:r w:rsidRPr="00770E34">
        <w:rPr>
          <w:rFonts w:ascii="宋体" w:hAnsi="宋体" w:hint="eastAsia"/>
          <w:color w:val="000000" w:themeColor="text1"/>
          <w:sz w:val="24"/>
          <w:szCs w:val="24"/>
        </w:rPr>
        <w:t>）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因证券市场波动、上市公司合并、基金规模变动等基金管理人之外的因素致使基金投资不符合第（</w:t>
      </w:r>
      <w:r w:rsidRPr="00770E34">
        <w:rPr>
          <w:rFonts w:ascii="宋体" w:hAnsi="宋体"/>
          <w:color w:val="000000" w:themeColor="text1"/>
          <w:sz w:val="24"/>
          <w:szCs w:val="24"/>
        </w:rPr>
        <w:t>11</w:t>
      </w:r>
      <w:r w:rsidRPr="00770E34">
        <w:rPr>
          <w:rFonts w:ascii="宋体" w:hAnsi="宋体" w:hint="eastAsia"/>
          <w:color w:val="000000" w:themeColor="text1"/>
          <w:sz w:val="24"/>
          <w:szCs w:val="24"/>
        </w:rPr>
        <w:t>）项规定的，基金管理人不得新增出借业务。法律法规另有规定的，从其规定。</w:t>
      </w:r>
    </w:p>
    <w:p w14:paraId="45AB667D" w14:textId="77777777" w:rsidR="00D315D6" w:rsidRPr="00770E34" w:rsidRDefault="00C14E5E">
      <w:pPr>
        <w:spacing w:line="520" w:lineRule="atLeast"/>
        <w:ind w:firstLineChars="200" w:firstLine="480"/>
        <w:rPr>
          <w:rFonts w:ascii="宋体" w:hAnsi="宋体"/>
          <w:color w:val="000000" w:themeColor="text1"/>
          <w:sz w:val="24"/>
          <w:szCs w:val="24"/>
        </w:rPr>
      </w:pPr>
      <w:r w:rsidRPr="00770E34">
        <w:rPr>
          <w:rFonts w:ascii="宋体" w:hAnsi="宋体" w:hint="eastAsia"/>
          <w:color w:val="000000" w:themeColor="text1"/>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B87B3E2" w14:textId="77777777" w:rsidR="00D315D6" w:rsidRPr="00770E34" w:rsidRDefault="00C14E5E">
      <w:pPr>
        <w:spacing w:line="520" w:lineRule="atLeast"/>
        <w:rPr>
          <w:rFonts w:hAnsi="宋体"/>
          <w:szCs w:val="24"/>
        </w:rPr>
      </w:pPr>
      <w:r w:rsidRPr="00770E34">
        <w:rPr>
          <w:rFonts w:ascii="宋体" w:hAnsi="宋体" w:hint="eastAsia"/>
          <w:color w:val="000000" w:themeColor="text1"/>
          <w:sz w:val="24"/>
          <w:szCs w:val="24"/>
        </w:rPr>
        <w:t>法律法规或监管部门取消或变更上述限制，如适用于本基金，基金管理人在履行适当程序后，则本基金投资不再受相关限制或以变更后的规定为准。</w:t>
      </w:r>
      <w:r w:rsidRPr="00770E34">
        <w:rPr>
          <w:rFonts w:ascii="宋体" w:hAnsi="宋体" w:hint="eastAsia"/>
          <w:sz w:val="24"/>
          <w:szCs w:val="24"/>
        </w:rPr>
        <w:t>】</w:t>
      </w:r>
      <w:permEnd w:id="1307640456"/>
    </w:p>
    <w:p w14:paraId="014AF8D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3.1.3基金托管人根据有关法律法规的规定及基金合同的约定对下述基金投资禁止行为进行监督：</w:t>
      </w:r>
    </w:p>
    <w:p w14:paraId="343A2786"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1</w:t>
      </w:r>
      <w:r w:rsidRPr="00770E34">
        <w:rPr>
          <w:rFonts w:ascii="宋体" w:hAnsi="宋体" w:hint="eastAsia"/>
          <w:sz w:val="24"/>
          <w:szCs w:val="24"/>
        </w:rPr>
        <w:t>）承销证券；</w:t>
      </w:r>
    </w:p>
    <w:p w14:paraId="360AFCEB"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2</w:t>
      </w:r>
      <w:r w:rsidRPr="00770E34">
        <w:rPr>
          <w:rFonts w:ascii="宋体" w:hAnsi="宋体" w:hint="eastAsia"/>
          <w:sz w:val="24"/>
          <w:szCs w:val="24"/>
        </w:rPr>
        <w:t>）违反规定向他人贷款或者提供担保；</w:t>
      </w:r>
    </w:p>
    <w:p w14:paraId="5E9589D7"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3</w:t>
      </w:r>
      <w:r w:rsidRPr="00770E34">
        <w:rPr>
          <w:rFonts w:ascii="宋体" w:hAnsi="宋体" w:hint="eastAsia"/>
          <w:sz w:val="24"/>
          <w:szCs w:val="24"/>
        </w:rPr>
        <w:t>）从事承担无限责任的投资；</w:t>
      </w:r>
    </w:p>
    <w:p w14:paraId="29D5E3C2"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4</w:t>
      </w:r>
      <w:r w:rsidRPr="00770E34">
        <w:rPr>
          <w:rFonts w:ascii="宋体" w:hAnsi="宋体" w:hint="eastAsia"/>
          <w:sz w:val="24"/>
          <w:szCs w:val="24"/>
        </w:rPr>
        <w:t>）买卖其他基金份额，但是中国证监会另有规定的除外；</w:t>
      </w:r>
    </w:p>
    <w:p w14:paraId="0D8F5D79"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5</w:t>
      </w:r>
      <w:r w:rsidRPr="00770E34">
        <w:rPr>
          <w:rFonts w:ascii="宋体" w:hAnsi="宋体" w:hint="eastAsia"/>
          <w:sz w:val="24"/>
          <w:szCs w:val="24"/>
        </w:rPr>
        <w:t>）向其基金管理人、基金托管人出资；</w:t>
      </w:r>
    </w:p>
    <w:p w14:paraId="5001B62F"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6</w:t>
      </w:r>
      <w:r w:rsidRPr="00770E34">
        <w:rPr>
          <w:rFonts w:ascii="宋体" w:hAnsi="宋体" w:hint="eastAsia"/>
          <w:sz w:val="24"/>
          <w:szCs w:val="24"/>
        </w:rPr>
        <w:t>）从事内幕交易、操纵证券交易价格及其他不正当的证券交易活动；</w:t>
      </w:r>
    </w:p>
    <w:p w14:paraId="6CB710FF" w14:textId="77777777" w:rsidR="00D315D6" w:rsidRPr="00770E34" w:rsidRDefault="00C14E5E">
      <w:pPr>
        <w:spacing w:line="520" w:lineRule="atLeast"/>
        <w:ind w:firstLine="480"/>
        <w:rPr>
          <w:rFonts w:ascii="宋体" w:hAnsi="宋体"/>
          <w:sz w:val="24"/>
          <w:szCs w:val="24"/>
        </w:rPr>
      </w:pPr>
      <w:r w:rsidRPr="00770E34">
        <w:rPr>
          <w:rFonts w:ascii="宋体" w:hAnsi="宋体" w:hint="eastAsia"/>
          <w:sz w:val="24"/>
          <w:szCs w:val="24"/>
        </w:rPr>
        <w:t>（</w:t>
      </w:r>
      <w:r w:rsidRPr="00770E34">
        <w:rPr>
          <w:rFonts w:ascii="宋体" w:hAnsi="宋体"/>
          <w:sz w:val="24"/>
          <w:szCs w:val="24"/>
        </w:rPr>
        <w:t>7</w:t>
      </w:r>
      <w:r w:rsidRPr="00770E34">
        <w:rPr>
          <w:rFonts w:ascii="宋体" w:hAnsi="宋体" w:hint="eastAsia"/>
          <w:sz w:val="24"/>
          <w:szCs w:val="24"/>
        </w:rPr>
        <w:t>）法律、行政法规和中国证监会规定禁止的其他活动。</w:t>
      </w:r>
    </w:p>
    <w:p w14:paraId="4614045E" w14:textId="77777777" w:rsidR="00D315D6" w:rsidRPr="00770E34" w:rsidRDefault="00C14E5E">
      <w:pPr>
        <w:spacing w:line="520" w:lineRule="atLeast"/>
        <w:ind w:left="1" w:firstLine="540"/>
        <w:contextualSpacing/>
        <w:rPr>
          <w:rFonts w:ascii="宋体" w:hAnsi="宋体"/>
          <w:sz w:val="24"/>
          <w:szCs w:val="24"/>
        </w:rPr>
      </w:pPr>
      <w:r w:rsidRPr="00770E34">
        <w:rPr>
          <w:rFonts w:ascii="宋体" w:hAnsi="宋体"/>
          <w:sz w:val="24"/>
          <w:szCs w:val="24"/>
        </w:rPr>
        <w:lastRenderedPageBreak/>
        <w:t>法律法规或监管部门取消</w:t>
      </w:r>
      <w:r w:rsidRPr="00770E34">
        <w:rPr>
          <w:rFonts w:ascii="宋体" w:hAnsi="宋体" w:hint="eastAsia"/>
          <w:sz w:val="24"/>
          <w:szCs w:val="24"/>
        </w:rPr>
        <w:t>或变更</w:t>
      </w:r>
      <w:r w:rsidRPr="00770E34">
        <w:rPr>
          <w:rFonts w:ascii="宋体" w:hAnsi="宋体"/>
          <w:sz w:val="24"/>
          <w:szCs w:val="24"/>
        </w:rPr>
        <w:t>上述限制，如适用于本基金，基金管理人</w:t>
      </w:r>
      <w:r w:rsidRPr="00770E34">
        <w:rPr>
          <w:rFonts w:ascii="宋体" w:hAnsi="宋体" w:hint="eastAsia"/>
          <w:sz w:val="24"/>
          <w:szCs w:val="24"/>
        </w:rPr>
        <w:t>在</w:t>
      </w:r>
      <w:r w:rsidRPr="00770E34">
        <w:rPr>
          <w:rFonts w:ascii="宋体" w:hAnsi="宋体"/>
          <w:sz w:val="24"/>
          <w:szCs w:val="24"/>
        </w:rPr>
        <w:t>履行适当程序后，则本基金投资不再受相关限制</w:t>
      </w:r>
      <w:r w:rsidRPr="00770E34">
        <w:rPr>
          <w:rFonts w:ascii="宋体" w:hAnsi="宋体" w:hint="eastAsia"/>
          <w:sz w:val="24"/>
          <w:szCs w:val="24"/>
        </w:rPr>
        <w:t>或按变更后的规定执行。</w:t>
      </w:r>
    </w:p>
    <w:bookmarkEnd w:id="22"/>
    <w:p w14:paraId="3AF5C00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3.1.4基金托管人依据有关法律法规的规定和基金合同的约定对于基金关联投资限制进行监督：</w:t>
      </w:r>
    </w:p>
    <w:p w14:paraId="00D4D2E5" w14:textId="77777777" w:rsidR="00D315D6" w:rsidRPr="00770E34" w:rsidRDefault="00C14E5E">
      <w:pPr>
        <w:pStyle w:val="20"/>
        <w:spacing w:before="0" w:after="0" w:line="520" w:lineRule="atLeast"/>
        <w:ind w:left="0" w:firstLineChars="200" w:firstLine="480"/>
        <w:rPr>
          <w:rFonts w:hAnsi="宋体"/>
          <w:szCs w:val="24"/>
        </w:rPr>
      </w:pPr>
      <w:bookmarkStart w:id="23" w:name="_Hlk156148577"/>
      <w:r w:rsidRPr="00770E34">
        <w:rPr>
          <w:rFonts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23"/>
    <w:p w14:paraId="7FAB427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根据法律法规有关基金从事关联交易的规定，基金管理人和基金托管人应事先相互提供与本机构有控股关系的股东或与本机构有其他重大利害关系的公司名单及其更新，加盖公章并相互书面提交，并确保所提供名单的真实性、完整性、全面性。名单变更后基金管理人和基金托管人应及时发送给对方，接收方于2个工作日内进行回函确认已知名单的变更。名单变更时间以发送</w:t>
      </w:r>
      <w:proofErr w:type="gramStart"/>
      <w:r w:rsidRPr="00770E34">
        <w:rPr>
          <w:rFonts w:hAnsi="宋体" w:hint="eastAsia"/>
          <w:szCs w:val="24"/>
        </w:rPr>
        <w:t>方收到</w:t>
      </w:r>
      <w:proofErr w:type="gramEnd"/>
      <w:r w:rsidRPr="00770E34">
        <w:rPr>
          <w:rFonts w:hAnsi="宋体" w:hint="eastAsia"/>
          <w:szCs w:val="24"/>
        </w:rPr>
        <w:t>对方回函确认的时间为准。如果基金托管人在运作中严格遵循了监督流程，基金管理人仍违规进行交易，并造成基金资产损失的，由基金管理人承担责任，基金托管人不承担任何损失和责任。</w:t>
      </w:r>
    </w:p>
    <w:p w14:paraId="68213CDF" w14:textId="77777777" w:rsidR="00D315D6" w:rsidRPr="00770E34" w:rsidRDefault="00C14E5E">
      <w:pPr>
        <w:pStyle w:val="20"/>
        <w:spacing w:before="0" w:after="0" w:line="520" w:lineRule="atLeast"/>
        <w:ind w:left="0" w:firstLineChars="200" w:firstLine="480"/>
        <w:rPr>
          <w:rFonts w:hAnsi="宋体"/>
          <w:szCs w:val="24"/>
        </w:rPr>
      </w:pPr>
      <w:proofErr w:type="gramStart"/>
      <w:r w:rsidRPr="00770E34">
        <w:rPr>
          <w:rFonts w:hAnsi="宋体" w:hint="eastAsia"/>
          <w:szCs w:val="24"/>
        </w:rPr>
        <w:t>若基金</w:t>
      </w:r>
      <w:proofErr w:type="gramEnd"/>
      <w:r w:rsidRPr="00770E34">
        <w:rPr>
          <w:rFonts w:hAnsi="宋体" w:hint="eastAsia"/>
          <w:szCs w:val="24"/>
        </w:rPr>
        <w:t>托管人发现基金管理人与关联方进行法律法规禁止基金从事的交易时，基金托管人应及时提醒并协助基金管理人采取必要措施阻止该交易的发生，</w:t>
      </w:r>
      <w:proofErr w:type="gramStart"/>
      <w:r w:rsidRPr="00770E34">
        <w:rPr>
          <w:rFonts w:hAnsi="宋体" w:hint="eastAsia"/>
          <w:szCs w:val="24"/>
        </w:rPr>
        <w:t>若基</w:t>
      </w:r>
      <w:proofErr w:type="gramEnd"/>
      <w:r w:rsidRPr="00770E34">
        <w:rPr>
          <w:rFonts w:hAnsi="宋体" w:hint="eastAsia"/>
          <w:szCs w:val="24"/>
        </w:rPr>
        <w:t>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5E292F9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3.1.5基金托管人依据有关法律法规的规定和基金合同的约定对基金管理人参与银行间债券市场进行监督：</w:t>
      </w:r>
    </w:p>
    <w:p w14:paraId="6D12D7D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（1）基金托管人对于基金管理人参与银行间债券市场交易时是否按交易对手</w:t>
      </w:r>
      <w:r w:rsidRPr="00770E34">
        <w:rPr>
          <w:rFonts w:hAnsi="宋体" w:hint="eastAsia"/>
          <w:szCs w:val="24"/>
        </w:rPr>
        <w:lastRenderedPageBreak/>
        <w:t>名单进行交易进行监督。</w:t>
      </w:r>
    </w:p>
    <w:p w14:paraId="06EF513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260B531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如果基金托管人发现基金管理人与不在名单内的银行间债券市场交易对手进行交易，应及时提醒基金管理人撤销交易，</w:t>
      </w:r>
      <w:r w:rsidRPr="00770E34">
        <w:rPr>
          <w:rFonts w:hAnsi="宋体" w:hint="eastAsia"/>
          <w:b/>
          <w:bCs/>
          <w:szCs w:val="24"/>
        </w:rPr>
        <w:t>经提醒后基金管理人仍执行交易并造成基金资产损失的，基金托管人不承担责任。</w:t>
      </w:r>
    </w:p>
    <w:p w14:paraId="1B7E93D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（2）基金托管人对于基金管理人参与银行间债券市场交易的交易方式的控制</w:t>
      </w:r>
    </w:p>
    <w:p w14:paraId="61FA385B" w14:textId="77777777" w:rsidR="00D315D6" w:rsidRPr="00770E34" w:rsidRDefault="00C14E5E">
      <w:pPr>
        <w:pStyle w:val="20"/>
        <w:spacing w:before="0" w:after="0" w:line="520" w:lineRule="atLeast"/>
        <w:ind w:left="0" w:firstLineChars="200" w:firstLine="480"/>
        <w:rPr>
          <w:rFonts w:hAnsi="宋体"/>
          <w:b/>
          <w:bCs/>
          <w:szCs w:val="24"/>
        </w:rPr>
      </w:pPr>
      <w:r w:rsidRPr="00770E34">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sidRPr="00770E34">
        <w:rPr>
          <w:rFonts w:hAnsi="宋体" w:hint="eastAsia"/>
          <w:b/>
          <w:bCs/>
          <w:szCs w:val="24"/>
        </w:rPr>
        <w:t>经提醒后仍未改正并造成基金资产损失的，基金托管人不承担责任。</w:t>
      </w:r>
    </w:p>
    <w:p w14:paraId="5750DD1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（3）基金管理人有责任控制交易对手的资信风险。</w:t>
      </w:r>
    </w:p>
    <w:p w14:paraId="543D9F2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w:t>
      </w:r>
      <w:r w:rsidRPr="00770E34">
        <w:rPr>
          <w:rFonts w:hAnsi="宋体"/>
          <w:szCs w:val="24"/>
        </w:rPr>
        <w:t>管理人</w:t>
      </w:r>
      <w:r w:rsidRPr="00770E34">
        <w:rPr>
          <w:rFonts w:hAnsi="宋体" w:hint="eastAsia"/>
          <w:szCs w:val="24"/>
        </w:rPr>
        <w:t>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14:paraId="5B0E998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3.1.6基金托管人对基金投资流通受限证券的监督：</w:t>
      </w:r>
    </w:p>
    <w:p w14:paraId="5A253A3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投资流通受限证券，应遵守有关法律法规规定。流通受限证券指由相关法律法规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70E34">
        <w:rPr>
          <w:rFonts w:hAnsi="宋体" w:hint="eastAsia"/>
          <w:szCs w:val="24"/>
        </w:rPr>
        <w:t>券</w:t>
      </w:r>
      <w:proofErr w:type="gramEnd"/>
      <w:r w:rsidRPr="00770E34">
        <w:rPr>
          <w:rFonts w:hAnsi="宋体" w:hint="eastAsia"/>
          <w:szCs w:val="24"/>
        </w:rPr>
        <w:t>等流通受限证券。</w:t>
      </w:r>
    </w:p>
    <w:p w14:paraId="7D6872B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B06838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基金管理人应至少</w:t>
      </w:r>
      <w:proofErr w:type="gramStart"/>
      <w:r w:rsidRPr="00770E34">
        <w:rPr>
          <w:rFonts w:hAnsi="宋体" w:hint="eastAsia"/>
          <w:szCs w:val="24"/>
        </w:rPr>
        <w:t>于首次</w:t>
      </w:r>
      <w:proofErr w:type="gramEnd"/>
      <w:r w:rsidRPr="00770E34">
        <w:rPr>
          <w:rFonts w:hAnsi="宋体" w:hint="eastAsia"/>
          <w:szCs w:val="24"/>
        </w:rPr>
        <w:t>执行投资指令之前2个工作日将上述资料书面发至基金托管人，保证基金托管人有足够的时间进行审核。基金托管人应在收到上述资料后2个工作日内，以书面或其他双方认可的方式确认收到上述资料。</w:t>
      </w:r>
    </w:p>
    <w:p w14:paraId="33F13F0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（3）基金投资流通受限证券前，基金管理人应向基金托管人提供符合法律法规要求的有关必要书面信息。基金管理人应保证上述信息的真实、完整，并应至少</w:t>
      </w:r>
      <w:proofErr w:type="gramStart"/>
      <w:r w:rsidRPr="00770E34">
        <w:rPr>
          <w:rFonts w:hAnsi="宋体" w:hint="eastAsia"/>
          <w:szCs w:val="24"/>
        </w:rPr>
        <w:t>于拟执行</w:t>
      </w:r>
      <w:proofErr w:type="gramEnd"/>
      <w:r w:rsidRPr="00770E34">
        <w:rPr>
          <w:rFonts w:hAnsi="宋体" w:hint="eastAsia"/>
          <w:szCs w:val="24"/>
        </w:rPr>
        <w:t>投资指令前将上述信息书面发至基金托管人。</w:t>
      </w:r>
    </w:p>
    <w:p w14:paraId="490C50C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任何责任，并有权报告中国证监会。</w:t>
      </w:r>
    </w:p>
    <w:p w14:paraId="7883BC9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70E6753F" w14:textId="77777777" w:rsidR="00D315D6" w:rsidRPr="00770E34" w:rsidRDefault="00C14E5E">
      <w:pPr>
        <w:pStyle w:val="20"/>
        <w:spacing w:before="0" w:after="0" w:line="520" w:lineRule="atLeast"/>
        <w:rPr>
          <w:rFonts w:hAnsi="宋体"/>
          <w:szCs w:val="24"/>
        </w:rPr>
      </w:pPr>
      <w:r w:rsidRPr="00770E34">
        <w:rPr>
          <w:rFonts w:hAnsi="宋体" w:hint="eastAsia"/>
          <w:szCs w:val="24"/>
        </w:rPr>
        <w:t>3.1.</w:t>
      </w:r>
      <w:r w:rsidRPr="00770E34">
        <w:rPr>
          <w:rFonts w:hAnsi="宋体"/>
          <w:szCs w:val="24"/>
        </w:rPr>
        <w:t>7</w:t>
      </w:r>
      <w:r w:rsidRPr="00770E34">
        <w:rPr>
          <w:rFonts w:hAnsi="宋体" w:hint="eastAsia"/>
          <w:szCs w:val="24"/>
        </w:rPr>
        <w:t>基金托管人对基金投资中期票据的监督：</w:t>
      </w:r>
    </w:p>
    <w:p w14:paraId="542CD8E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578A598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（2）如未来有关监管部门发布的法律法规对证券投资基金投资中期票据另有规定的，从其规定。</w:t>
      </w:r>
    </w:p>
    <w:p w14:paraId="719A808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（3）基金托管人有权监督基金管理人在相关基金投资中期票据时的法律法规</w:t>
      </w:r>
      <w:r w:rsidRPr="00770E34">
        <w:rPr>
          <w:rFonts w:hAnsi="宋体" w:hint="eastAsia"/>
          <w:szCs w:val="24"/>
        </w:rPr>
        <w:lastRenderedPageBreak/>
        <w:t>遵守情况，有关制度、信用风险、流动性风险处置预案的完善情况，有关额度、比例限制的执行情况。基金托管人发现基金管理人的上述事项违反法律法规的</w:t>
      </w:r>
      <w:r w:rsidRPr="00770E34">
        <w:rPr>
          <w:rFonts w:hAnsi="宋体"/>
          <w:szCs w:val="24"/>
        </w:rPr>
        <w:t>规定</w:t>
      </w:r>
      <w:r w:rsidRPr="00770E34">
        <w:rPr>
          <w:rFonts w:hAnsi="宋体" w:hint="eastAsia"/>
          <w:szCs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4F4213C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3.1.</w:t>
      </w:r>
      <w:r w:rsidRPr="00770E34">
        <w:rPr>
          <w:rFonts w:hAnsi="宋体"/>
          <w:szCs w:val="24"/>
        </w:rPr>
        <w:t>8</w:t>
      </w:r>
      <w:r w:rsidRPr="00770E34">
        <w:rPr>
          <w:rFonts w:hAnsi="宋体" w:hint="eastAsia"/>
          <w:szCs w:val="24"/>
        </w:rPr>
        <w:t>基金托管人根据有关法律法规的规定及基金合同的约定，对基金管理人选择存款银行进行监督：</w:t>
      </w:r>
    </w:p>
    <w:p w14:paraId="34FED8C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2FCEDEF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本基金投资银行存款应符合如下规定：</w:t>
      </w:r>
    </w:p>
    <w:p w14:paraId="2E4CD56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（1）基金管理人、基金托管人应当与存款银行建立定期对账机制，确保基金银行存款业务账目及核算的真实、准确。</w:t>
      </w:r>
    </w:p>
    <w:p w14:paraId="54A33C7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1554551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（3）基金托管人应对基金银行存款业务进行监督与核查，审查、复核相关协议、账户资料、投资指令、存款证实书等有关文件，履行托管职责。</w:t>
      </w:r>
    </w:p>
    <w:p w14:paraId="5F51FAD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（4）基金管理人与基金托管人在开展基金存款业务时，应严格遵守《基金法》、《运作办法》等有关法律法规，以及国家有关账户管理、利率管理、支付结算等的各项规定。</w:t>
      </w:r>
    </w:p>
    <w:p w14:paraId="671225D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3.1.9</w:t>
      </w:r>
      <w:r w:rsidRPr="00770E34">
        <w:rPr>
          <w:rFonts w:hAnsi="宋体" w:hint="eastAsia"/>
          <w:szCs w:val="24"/>
        </w:rPr>
        <w:t>基金参与融资和转融通证券出借业务，基金管理人应当遵守审慎经营原则，配备技术系统和专业人员，制定科学合理的投资策略和风险管理制度，完善业务流程，有效防范和控制风险。基金托管人将对基金参与融资和转融通证券出借业</w:t>
      </w:r>
      <w:r w:rsidRPr="00770E34">
        <w:rPr>
          <w:rFonts w:hAnsi="宋体" w:hint="eastAsia"/>
          <w:szCs w:val="24"/>
        </w:rPr>
        <w:lastRenderedPageBreak/>
        <w:t>务进行监督和复核。</w:t>
      </w:r>
    </w:p>
    <w:p w14:paraId="3E42610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3.2基金托管人对基金管理人业务进行监督和核查的有关措施：</w:t>
      </w:r>
    </w:p>
    <w:p w14:paraId="13902A2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1CAEA66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3.2.2基金托管人发现基金管理人的投资运作及其他运作违反《基金法》、基金合同、本托管协议及其他有关规定时，应及时以书面形式通知基金管理人限期纠正，基金管理人收到通知后应及时核对，并以书面形式向基金托管人发出回函，进行解释或举证。</w:t>
      </w:r>
    </w:p>
    <w:p w14:paraId="7332EE7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3.2.3在限期内，基金托管人有权随时对通知事项进行复查，督促基金管理人改正。基金管理人对基金托管人通知的违规事项未能在限期内纠正的，基金托管人应报告中国证监会。</w:t>
      </w:r>
    </w:p>
    <w:p w14:paraId="03F37A1E" w14:textId="55EAA29A"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3.2.4基金托管人发现基金管理人的投资指令违反有关法律法规规定或者违反基金合同约定的，应当拒绝执行，立即书面通知基金管理人</w:t>
      </w:r>
      <w:r w:rsidRPr="00770E34">
        <w:rPr>
          <w:rFonts w:hAnsi="宋体" w:hint="eastAsia"/>
          <w:bCs/>
        </w:rPr>
        <w:t>并及时向中国证监会报告，</w:t>
      </w:r>
      <w:r w:rsidRPr="00770E34">
        <w:rPr>
          <w:rFonts w:asciiTheme="minorEastAsia" w:eastAsiaTheme="minorEastAsia" w:hAnsiTheme="minorEastAsia" w:hint="eastAsia"/>
          <w:bCs/>
          <w:szCs w:val="24"/>
        </w:rPr>
        <w:t>持续跟进基金管理人的后续处理，督促基金管理人依法履行披露义务。基金管理人的上述违规行为给基金财产或者基金份额持有人造成损害的，基金托管人应当督促基金管理人及时予以赔偿。若给基金托管人造成损失，基金托管人有权向基金管理人追偿由此造成的</w:t>
      </w:r>
      <w:r w:rsidR="00C8568A" w:rsidRPr="00770E34">
        <w:rPr>
          <w:rFonts w:asciiTheme="minorEastAsia" w:eastAsiaTheme="minorEastAsia" w:hAnsiTheme="minorEastAsia" w:hint="eastAsia"/>
          <w:bCs/>
          <w:szCs w:val="24"/>
        </w:rPr>
        <w:t>直接</w:t>
      </w:r>
      <w:r w:rsidRPr="00770E34">
        <w:rPr>
          <w:rFonts w:asciiTheme="minorEastAsia" w:eastAsiaTheme="minorEastAsia" w:hAnsiTheme="minorEastAsia" w:hint="eastAsia"/>
          <w:bCs/>
          <w:szCs w:val="24"/>
        </w:rPr>
        <w:t>损失</w:t>
      </w:r>
      <w:r w:rsidRPr="00770E34">
        <w:rPr>
          <w:rFonts w:asciiTheme="minorEastAsia" w:eastAsiaTheme="minorEastAsia" w:hAnsiTheme="minorEastAsia" w:hint="eastAsia"/>
          <w:szCs w:val="24"/>
        </w:rPr>
        <w:t>。</w:t>
      </w:r>
    </w:p>
    <w:p w14:paraId="5EBE2BA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409D6EE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72B34C9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3.2.7基金托管人发现基金管理人有重大违规行为，应立即报告中国证监会，同时通知基金管理人限期纠正。</w:t>
      </w:r>
    </w:p>
    <w:p w14:paraId="638ED03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78D6BC32" w14:textId="4C184F4C"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3.2.9基金托管人</w:t>
      </w:r>
      <w:r w:rsidR="004769C4" w:rsidRPr="00770E34">
        <w:rPr>
          <w:rFonts w:hAnsi="宋体" w:hint="eastAsia"/>
          <w:szCs w:val="24"/>
        </w:rPr>
        <w:t>对</w:t>
      </w:r>
      <w:r w:rsidRPr="00770E34">
        <w:rPr>
          <w:rFonts w:hAnsi="宋体" w:hint="eastAsia"/>
          <w:szCs w:val="24"/>
        </w:rPr>
        <w:t>投资收益不承担审核责任，不保证托管财产投资不受损失，不保证最低收益。</w:t>
      </w:r>
    </w:p>
    <w:p w14:paraId="60FED1C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w:t>
      </w:r>
      <w:r w:rsidRPr="00770E34">
        <w:rPr>
          <w:rFonts w:hAnsi="宋体"/>
          <w:szCs w:val="24"/>
        </w:rPr>
        <w:t>.2.10</w:t>
      </w:r>
      <w:r w:rsidRPr="00770E34">
        <w:rPr>
          <w:rFonts w:hAnsi="宋体" w:hint="eastAsia"/>
          <w:szCs w:val="24"/>
        </w:rPr>
        <w:t>基金管理人及基金托管人应遵守中华人民共和国反洗</w:t>
      </w:r>
      <w:proofErr w:type="gramStart"/>
      <w:r w:rsidRPr="00770E34">
        <w:rPr>
          <w:rFonts w:hAnsi="宋体" w:hint="eastAsia"/>
          <w:szCs w:val="24"/>
        </w:rPr>
        <w:t>钱法律</w:t>
      </w:r>
      <w:proofErr w:type="gramEnd"/>
      <w:r w:rsidRPr="00770E34">
        <w:rPr>
          <w:rFonts w:hAnsi="宋体" w:hint="eastAsia"/>
          <w:szCs w:val="24"/>
        </w:rPr>
        <w:t>法规，不参与涉嫌洗钱、恐怖融资、扩散融资等违法犯罪活动；主动配合基金托管</w:t>
      </w:r>
      <w:proofErr w:type="gramStart"/>
      <w:r w:rsidRPr="00770E34">
        <w:rPr>
          <w:rFonts w:hAnsi="宋体" w:hint="eastAsia"/>
          <w:szCs w:val="24"/>
        </w:rPr>
        <w:t>人客户</w:t>
      </w:r>
      <w:proofErr w:type="gramEnd"/>
      <w:r w:rsidRPr="00770E34">
        <w:rPr>
          <w:rFonts w:hAnsi="宋体" w:hint="eastAsia"/>
          <w:szCs w:val="24"/>
        </w:rPr>
        <w:t>身份识别与尽职调查，提供真实、准确、完整客户资料，遵守反洗钱与反恐怖融资相关管理规定。对具备合理理由怀疑涉嫌洗钱、恐怖融资的客户，基金托管人将按照中国人民银行反洗钱监管规定采取必要管控措施。</w:t>
      </w:r>
    </w:p>
    <w:p w14:paraId="2AC2DD2B" w14:textId="77777777" w:rsidR="00D315D6" w:rsidRPr="00770E34" w:rsidRDefault="00C14E5E">
      <w:pPr>
        <w:pStyle w:val="1"/>
        <w:spacing w:line="520" w:lineRule="atLeast"/>
        <w:ind w:firstLineChars="200" w:firstLine="482"/>
        <w:rPr>
          <w:bCs/>
          <w:color w:val="auto"/>
          <w:szCs w:val="24"/>
        </w:rPr>
      </w:pPr>
      <w:bookmarkStart w:id="24" w:name="_Toc296551340"/>
      <w:bookmarkStart w:id="25" w:name="_Toc157264221"/>
      <w:r w:rsidRPr="00770E34">
        <w:rPr>
          <w:rFonts w:hint="eastAsia"/>
          <w:bCs/>
          <w:color w:val="auto"/>
          <w:szCs w:val="24"/>
        </w:rPr>
        <w:t>第四条 基金管理人对基金托管人的业务核查</w:t>
      </w:r>
      <w:bookmarkEnd w:id="24"/>
      <w:bookmarkEnd w:id="25"/>
    </w:p>
    <w:p w14:paraId="10AB899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4.1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1FCA774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354F416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4.3基金管理人发现基金托管人有重大违规行为，应立即报告中国证监会和银行业监督管理机构，同时通知基金托管人限期纠正。</w:t>
      </w:r>
    </w:p>
    <w:p w14:paraId="3C8BE48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4.4基金托管人应积极配合基金管理人的核查行为，包括但不限于：提交相关资料以</w:t>
      </w:r>
      <w:proofErr w:type="gramStart"/>
      <w:r w:rsidRPr="00770E34">
        <w:rPr>
          <w:rFonts w:hAnsi="宋体" w:hint="eastAsia"/>
          <w:szCs w:val="24"/>
        </w:rPr>
        <w:t>供基金</w:t>
      </w:r>
      <w:proofErr w:type="gramEnd"/>
      <w:r w:rsidRPr="00770E34">
        <w:rPr>
          <w:rFonts w:hAnsi="宋体" w:hint="eastAsia"/>
          <w:szCs w:val="24"/>
        </w:rPr>
        <w:t>管理人核查托管财产的完整性和真实性，在规定时间内答复基金管理人并改正。</w:t>
      </w:r>
    </w:p>
    <w:p w14:paraId="5DCA008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4.5基金托管人无正当理由，拒绝、阻挠基金管理人根据本协议规定行使监督</w:t>
      </w:r>
      <w:r w:rsidRPr="00770E34">
        <w:rPr>
          <w:rFonts w:hAnsi="宋体" w:hint="eastAsia"/>
          <w:szCs w:val="24"/>
        </w:rPr>
        <w:lastRenderedPageBreak/>
        <w:t>权，或采取拖延、欺诈等手段妨碍基金管理人进行有效监督，情节严重或经基金管理人提出警告仍不改正的，基金管理人应报告中国证监会。</w:t>
      </w:r>
    </w:p>
    <w:p w14:paraId="499E89F3" w14:textId="77777777" w:rsidR="00D315D6" w:rsidRPr="00770E34" w:rsidRDefault="00C14E5E">
      <w:pPr>
        <w:pStyle w:val="1"/>
        <w:spacing w:line="520" w:lineRule="atLeast"/>
        <w:ind w:firstLineChars="200" w:firstLine="482"/>
        <w:rPr>
          <w:bCs/>
          <w:color w:val="auto"/>
          <w:szCs w:val="24"/>
        </w:rPr>
      </w:pPr>
      <w:bookmarkStart w:id="26" w:name="_Toc296551341"/>
      <w:bookmarkStart w:id="27" w:name="_Toc157264222"/>
      <w:r w:rsidRPr="00770E34">
        <w:rPr>
          <w:rFonts w:hint="eastAsia"/>
          <w:bCs/>
          <w:color w:val="auto"/>
          <w:szCs w:val="24"/>
        </w:rPr>
        <w:t>第五条 基金财产保管</w:t>
      </w:r>
      <w:bookmarkEnd w:id="26"/>
      <w:bookmarkEnd w:id="27"/>
    </w:p>
    <w:p w14:paraId="621F115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5.1基金财产保管的原则</w:t>
      </w:r>
    </w:p>
    <w:p w14:paraId="5CE9C75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5.1.1基金财产应独立于基金管理人、基金托管人的固有财产。</w:t>
      </w:r>
    </w:p>
    <w:p w14:paraId="0F915B6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5.1.2基金托管人应安全保管基金财产。除依据法律法规规定、基金合同和本托管协议约定及基金管理人的正当指令外，不得自行运用、处分、分配基金的任何财产。</w:t>
      </w:r>
    </w:p>
    <w:p w14:paraId="566C4F7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5.1.3基金托管人按照规定开设基金财产的资金账户和证券账户等投资所需的其他账户。</w:t>
      </w:r>
    </w:p>
    <w:p w14:paraId="14325CC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5.1.4基金托管人对所托管的不同基金财产分别设置账户，与基金托管人的其他业务和其他基金的托管业务实行严格的分账管理，确保基金财产的完整与独立。</w:t>
      </w:r>
    </w:p>
    <w:p w14:paraId="6B1E2D7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5.1.5基金托管人根据基金管理人的指令，按照基金合同和本协议的约定保管基金财产，如有特殊情况双方可另行协商解决。</w:t>
      </w:r>
    </w:p>
    <w:p w14:paraId="7FC3DD29" w14:textId="6C988721"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5.1.6基金托管人对托管账户内的基金财产承担托管职责，对于该账户之外</w:t>
      </w:r>
      <w:r w:rsidR="0091354B" w:rsidRPr="00770E34">
        <w:rPr>
          <w:rFonts w:hAnsi="宋体" w:hint="eastAsia"/>
          <w:szCs w:val="24"/>
        </w:rPr>
        <w:t>且不在托管人保管范围</w:t>
      </w:r>
      <w:r w:rsidRPr="00770E34">
        <w:rPr>
          <w:rFonts w:hAnsi="宋体" w:hint="eastAsia"/>
          <w:szCs w:val="24"/>
        </w:rPr>
        <w:t>的财产或已从该托管账户支付出去的财产的损失不承担任何责任。</w:t>
      </w:r>
    </w:p>
    <w:p w14:paraId="18087C7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5.1.7除依据法律法规和基金合同的规定外，基金托管人不得委托第三人托管基金资产。</w:t>
      </w:r>
    </w:p>
    <w:p w14:paraId="189C6E0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5.2募集资金的验资</w:t>
      </w:r>
    </w:p>
    <w:p w14:paraId="4434BE61" w14:textId="77777777" w:rsidR="00D315D6" w:rsidRPr="00770E34" w:rsidRDefault="00C14E5E">
      <w:pPr>
        <w:pStyle w:val="CharCharCharCharCharCharChar"/>
        <w:adjustRightInd/>
        <w:spacing w:line="520" w:lineRule="atLeast"/>
        <w:ind w:firstLineChars="200" w:firstLine="480"/>
        <w:rPr>
          <w:rFonts w:hAnsi="宋体"/>
          <w:szCs w:val="24"/>
        </w:rPr>
      </w:pPr>
      <w:r w:rsidRPr="00770E34">
        <w:rPr>
          <w:rFonts w:ascii="宋体" w:hAnsi="宋体" w:hint="eastAsia"/>
          <w:szCs w:val="24"/>
        </w:rPr>
        <w:t>5.2.1基金募集期间募集的资金应存于基金管理人在基金托管人的营业机构或在其他银行开立的</w:t>
      </w:r>
      <w:permStart w:id="299389557" w:edGrp="everyone"/>
      <w:r w:rsidRPr="00770E34">
        <w:rPr>
          <w:rFonts w:ascii="宋体" w:hAnsi="宋体" w:hint="eastAsia"/>
          <w:szCs w:val="24"/>
        </w:rPr>
        <w:t>【基金募集专户】</w:t>
      </w:r>
      <w:permEnd w:id="299389557"/>
      <w:r w:rsidRPr="00770E34">
        <w:rPr>
          <w:rFonts w:ascii="宋体" w:hAnsi="宋体" w:hint="eastAsia"/>
          <w:szCs w:val="24"/>
        </w:rPr>
        <w:t>，该账户由</w:t>
      </w:r>
      <w:permStart w:id="1882274075" w:edGrp="everyone"/>
      <w:r w:rsidRPr="00770E34">
        <w:rPr>
          <w:rFonts w:ascii="宋体" w:hAnsi="宋体" w:hint="eastAsia"/>
          <w:szCs w:val="24"/>
        </w:rPr>
        <w:t>【基金管理人或基金管理人委托的登记机构】</w:t>
      </w:r>
      <w:permEnd w:id="1882274075"/>
      <w:r w:rsidRPr="00770E34">
        <w:rPr>
          <w:rFonts w:ascii="宋体" w:hAnsi="宋体" w:hint="eastAsia"/>
          <w:szCs w:val="24"/>
        </w:rPr>
        <w:t>开立并管理。</w:t>
      </w:r>
    </w:p>
    <w:p w14:paraId="40F15DD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5.2.2基金募集期满或基金提前结束募集时，发起资金的认购金额、发起资金提供方及其承诺的持有期限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sidRPr="00770E34">
        <w:rPr>
          <w:rFonts w:hAnsi="宋体" w:hint="eastAsia"/>
          <w:szCs w:val="24"/>
        </w:rPr>
        <w:t>请符合</w:t>
      </w:r>
      <w:proofErr w:type="gramEnd"/>
      <w:r w:rsidRPr="00770E34">
        <w:rPr>
          <w:rFonts w:hAnsi="宋体" w:hint="eastAsia"/>
          <w:szCs w:val="24"/>
        </w:rPr>
        <w:t>《中华人民共和国证券法》规定的会计师事务所进行验资，出具验资报告，验资报告需</w:t>
      </w:r>
      <w:r w:rsidRPr="00770E34">
        <w:rPr>
          <w:rFonts w:hAnsi="宋体" w:hint="eastAsia"/>
          <w:szCs w:val="24"/>
        </w:rPr>
        <w:lastRenderedPageBreak/>
        <w:t>对发起资金提供方及其持有份额进行专门说明。出具的验资报告应由参加验资的2名以上（含2名）中国注册会计师签字有效。</w:t>
      </w:r>
    </w:p>
    <w:p w14:paraId="06AA204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5.2.3</w:t>
      </w:r>
      <w:proofErr w:type="gramStart"/>
      <w:r w:rsidRPr="00770E34">
        <w:rPr>
          <w:rFonts w:hAnsi="宋体" w:hint="eastAsia"/>
          <w:szCs w:val="24"/>
        </w:rPr>
        <w:t>若基金</w:t>
      </w:r>
      <w:proofErr w:type="gramEnd"/>
      <w:r w:rsidRPr="00770E34">
        <w:rPr>
          <w:rFonts w:hAnsi="宋体" w:hint="eastAsia"/>
          <w:szCs w:val="24"/>
        </w:rPr>
        <w:t>募集期限届满，未能达到基金备案条件，由基金管理人按规定办理退款事宜，基金托管人应予以必要的协助和配合。</w:t>
      </w:r>
    </w:p>
    <w:p w14:paraId="47A42FF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5.3基金的银行账户的开立和管理</w:t>
      </w:r>
    </w:p>
    <w:p w14:paraId="00D0BBC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5.3.1基金托管人以本基金的名义在其营业机构开立基金的银行账户，并根据基金管理人合法合</w:t>
      </w:r>
      <w:proofErr w:type="gramStart"/>
      <w:r w:rsidRPr="00770E34">
        <w:rPr>
          <w:rFonts w:hAnsi="宋体" w:hint="eastAsia"/>
          <w:szCs w:val="24"/>
        </w:rPr>
        <w:t>规</w:t>
      </w:r>
      <w:proofErr w:type="gramEnd"/>
      <w:r w:rsidRPr="00770E34">
        <w:rPr>
          <w:rFonts w:hAnsi="宋体" w:hint="eastAsia"/>
          <w:szCs w:val="24"/>
        </w:rPr>
        <w:t>的指令办理资金收付。本基金的银行预留印鉴由基金托管人刻制、保管和使用。</w:t>
      </w:r>
    </w:p>
    <w:p w14:paraId="62BF5DE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62819C9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5.3.3基金银行账户的开立和管理应符合有关法律法规以及银行业监督管理机构的有关规定。</w:t>
      </w:r>
    </w:p>
    <w:p w14:paraId="21612AF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5.4基金证券账户与结算备付金账户的开设和管理</w:t>
      </w:r>
    </w:p>
    <w:p w14:paraId="27BA24F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5.4.1基金托管人以基金托管人和本基金联名的方式在中国证券登记结算有限责任公司（以下简称“中登公司”）开设证券账户。</w:t>
      </w:r>
    </w:p>
    <w:p w14:paraId="2B28EC67" w14:textId="4232220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5.4.2基金托管人以基金托管人的名义在中登公司开立基金证券交易资金账户，用于证券清算。</w:t>
      </w:r>
      <w:r w:rsidR="00804E85" w:rsidRPr="00770E34">
        <w:rPr>
          <w:rFonts w:hAnsi="宋体" w:hint="eastAsia"/>
          <w:szCs w:val="24"/>
        </w:rPr>
        <w:t>基金托管人代表所托管的基金完成与中国证券登记结算有限责任公司的一级法人清算工作，基金管理人应予以积极协助。结算备付金、结算保证金、交</w:t>
      </w:r>
      <w:proofErr w:type="gramStart"/>
      <w:r w:rsidR="00804E85" w:rsidRPr="00770E34">
        <w:rPr>
          <w:rFonts w:hAnsi="宋体" w:hint="eastAsia"/>
          <w:szCs w:val="24"/>
        </w:rPr>
        <w:t>收资金</w:t>
      </w:r>
      <w:proofErr w:type="gramEnd"/>
      <w:r w:rsidR="00804E85" w:rsidRPr="00770E34">
        <w:rPr>
          <w:rFonts w:hAnsi="宋体" w:hint="eastAsia"/>
          <w:szCs w:val="24"/>
        </w:rPr>
        <w:t>等的收取按照中国证券登记结算有限责任公司的规定以及基金管理人与基金托管人签署的《托管银行证券资金结算协议》执行。</w:t>
      </w:r>
    </w:p>
    <w:p w14:paraId="5C01E8A2" w14:textId="72B920DC"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5.4.3基金证券账户</w:t>
      </w:r>
      <w:r w:rsidR="00C910C7" w:rsidRPr="00770E34">
        <w:rPr>
          <w:rFonts w:hAnsi="宋体" w:hint="eastAsia"/>
          <w:szCs w:val="24"/>
        </w:rPr>
        <w:t>与</w:t>
      </w:r>
      <w:bookmarkStart w:id="28" w:name="_Hlk156917259"/>
      <w:r w:rsidR="00C910C7" w:rsidRPr="00770E34">
        <w:rPr>
          <w:rFonts w:hAnsi="宋体" w:hint="eastAsia"/>
          <w:szCs w:val="24"/>
        </w:rPr>
        <w:t>结算备付金</w:t>
      </w:r>
      <w:r w:rsidRPr="00770E34">
        <w:rPr>
          <w:rFonts w:hAnsi="宋体" w:hint="eastAsia"/>
          <w:szCs w:val="24"/>
        </w:rPr>
        <w:t>账户</w:t>
      </w:r>
      <w:bookmarkEnd w:id="28"/>
      <w:r w:rsidRPr="00770E34">
        <w:rPr>
          <w:rFonts w:hAnsi="宋体" w:hint="eastAsia"/>
          <w:szCs w:val="24"/>
        </w:rPr>
        <w:t>的开立和使用，限于满足开展本基金业务的需要。基金托管人和基金管理人不得出借和未经对方同意擅自转让基金的任何证券账户或</w:t>
      </w:r>
      <w:r w:rsidR="00C910C7" w:rsidRPr="00770E34">
        <w:rPr>
          <w:rFonts w:hAnsi="宋体" w:hint="eastAsia"/>
          <w:szCs w:val="24"/>
        </w:rPr>
        <w:t>结算备付金账户</w:t>
      </w:r>
      <w:r w:rsidRPr="00770E34">
        <w:rPr>
          <w:rFonts w:hAnsi="宋体" w:hint="eastAsia"/>
          <w:szCs w:val="24"/>
        </w:rPr>
        <w:t>；亦不得使用基金的任何账户进行本基金业务以外的活动。</w:t>
      </w:r>
    </w:p>
    <w:p w14:paraId="3A786576" w14:textId="7FFC689E"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5.4.4基金证券账户与</w:t>
      </w:r>
      <w:r w:rsidR="00982BC6" w:rsidRPr="00770E34">
        <w:rPr>
          <w:rFonts w:hAnsi="宋体" w:hint="eastAsia"/>
          <w:szCs w:val="24"/>
        </w:rPr>
        <w:t>结算备付金账户</w:t>
      </w:r>
      <w:r w:rsidRPr="00770E34">
        <w:rPr>
          <w:rFonts w:hAnsi="宋体" w:hint="eastAsia"/>
          <w:szCs w:val="24"/>
        </w:rPr>
        <w:t>相关证明文件的保管由基金托管人负责，账户资产的管理和运用由基金管理人负责。</w:t>
      </w:r>
    </w:p>
    <w:p w14:paraId="37D9386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5.5债券托管账户的开立和管理</w:t>
      </w:r>
    </w:p>
    <w:p w14:paraId="2356C8A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535B74D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5.5.2基金管理人和基金托管人应一起负责为基金对外签订全国银行间国债市场回购主协议，正本由基金管理人保存。</w:t>
      </w:r>
    </w:p>
    <w:p w14:paraId="769E70A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5.6其他账户的开设和管理</w:t>
      </w:r>
    </w:p>
    <w:p w14:paraId="3755F13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712DC4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5.7基金财产投资的有关实物证券、银行定期存款存单等有价凭证的保管</w:t>
      </w:r>
    </w:p>
    <w:p w14:paraId="299AB80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2F931C7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5.8与基金财产有关的重大合同的保管</w:t>
      </w:r>
    </w:p>
    <w:p w14:paraId="39B8E4D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w:t>
      </w:r>
      <w:r w:rsidRPr="00770E34">
        <w:rPr>
          <w:rFonts w:hAnsi="宋体"/>
          <w:szCs w:val="24"/>
        </w:rPr>
        <w:t>20</w:t>
      </w:r>
      <w:r w:rsidRPr="00770E34">
        <w:rPr>
          <w:rFonts w:hAnsi="宋体" w:hint="eastAsia"/>
          <w:szCs w:val="24"/>
        </w:rPr>
        <w:t>年以上，</w:t>
      </w:r>
      <w:r w:rsidRPr="00770E34">
        <w:rPr>
          <w:rFonts w:hAnsi="宋体"/>
          <w:szCs w:val="24"/>
        </w:rPr>
        <w:t>法律法规或监管规则另有规定</w:t>
      </w:r>
      <w:r w:rsidRPr="00770E34">
        <w:rPr>
          <w:rFonts w:hAnsi="宋体" w:hint="eastAsia"/>
          <w:szCs w:val="24"/>
        </w:rPr>
        <w:t>的</w:t>
      </w:r>
      <w:r w:rsidRPr="00770E34">
        <w:rPr>
          <w:rFonts w:hAnsi="宋体"/>
          <w:szCs w:val="24"/>
        </w:rPr>
        <w:t>，从其规定</w:t>
      </w:r>
      <w:r w:rsidRPr="00770E34">
        <w:rPr>
          <w:rFonts w:hAnsi="宋体" w:hint="eastAsia"/>
          <w:szCs w:val="24"/>
        </w:rPr>
        <w:t>。对于无法取得二份以上的正本的，基金管理人应向基金托管人提供加盖授权业务章的合同传真件，未经双方协商或未在</w:t>
      </w:r>
      <w:r w:rsidRPr="00770E34">
        <w:rPr>
          <w:rFonts w:hAnsi="宋体" w:hint="eastAsia"/>
          <w:szCs w:val="24"/>
        </w:rPr>
        <w:lastRenderedPageBreak/>
        <w:t>合同约定范围内，合同原件不得转移，由基金管理人保管。</w:t>
      </w:r>
    </w:p>
    <w:p w14:paraId="052FE87F" w14:textId="77777777" w:rsidR="00D315D6" w:rsidRPr="00770E34" w:rsidRDefault="00C14E5E">
      <w:pPr>
        <w:pStyle w:val="1"/>
        <w:spacing w:line="520" w:lineRule="atLeast"/>
        <w:ind w:firstLineChars="200" w:firstLine="482"/>
        <w:rPr>
          <w:bCs/>
          <w:color w:val="auto"/>
          <w:szCs w:val="24"/>
        </w:rPr>
      </w:pPr>
      <w:bookmarkStart w:id="29" w:name="_Toc296551342"/>
      <w:bookmarkStart w:id="30" w:name="_Toc157264223"/>
      <w:r w:rsidRPr="00770E34">
        <w:rPr>
          <w:rFonts w:hint="eastAsia"/>
          <w:bCs/>
          <w:color w:val="auto"/>
          <w:szCs w:val="24"/>
        </w:rPr>
        <w:t>第六条 指令的发送、确认和执行</w:t>
      </w:r>
      <w:bookmarkEnd w:id="29"/>
      <w:bookmarkEnd w:id="30"/>
    </w:p>
    <w:p w14:paraId="19F7023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6.1基金管理人对发送指令人员的书面授权</w:t>
      </w:r>
    </w:p>
    <w:p w14:paraId="341BD22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3个工作日内将授权通知的正本送交基金托管人。授权通知正本内容应与基金托管人收到的传真内容</w:t>
      </w:r>
      <w:r w:rsidRPr="00770E34">
        <w:rPr>
          <w:rFonts w:hAnsi="宋体"/>
          <w:szCs w:val="24"/>
        </w:rPr>
        <w:t>一致，若有</w:t>
      </w:r>
      <w:r w:rsidRPr="00770E34">
        <w:rPr>
          <w:rFonts w:hAnsi="宋体" w:hint="eastAsia"/>
          <w:szCs w:val="24"/>
        </w:rPr>
        <w:t>不一致的，以基金托管人收到的传真为准。</w:t>
      </w:r>
    </w:p>
    <w:p w14:paraId="2A5A703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基金管理人和基金托管人对授权文件负有保密义务，其内容不得向被授权人及相关操作人员以外的任何人泄露，</w:t>
      </w:r>
      <w:r w:rsidRPr="00770E34">
        <w:rPr>
          <w:rFonts w:asciiTheme="minorEastAsia" w:eastAsiaTheme="minorEastAsia" w:hAnsiTheme="minorEastAsia" w:hint="eastAsia"/>
          <w:szCs w:val="24"/>
        </w:rPr>
        <w:t>除本协议另有约定或</w:t>
      </w:r>
      <w:r w:rsidRPr="00770E34">
        <w:rPr>
          <w:rFonts w:hAnsi="宋体"/>
          <w:szCs w:val="24"/>
        </w:rPr>
        <w:t>法律法规另有规定</w:t>
      </w:r>
      <w:r w:rsidRPr="00770E34">
        <w:rPr>
          <w:rFonts w:hAnsi="宋体" w:hint="eastAsia"/>
          <w:szCs w:val="24"/>
        </w:rPr>
        <w:t>或</w:t>
      </w:r>
      <w:r w:rsidRPr="00770E34">
        <w:rPr>
          <w:rFonts w:hAnsi="宋体"/>
          <w:szCs w:val="24"/>
        </w:rPr>
        <w:t>有权机关另有要求的除外</w:t>
      </w:r>
      <w:r w:rsidRPr="00770E34">
        <w:rPr>
          <w:rFonts w:hAnsi="宋体" w:hint="eastAsia"/>
          <w:szCs w:val="24"/>
        </w:rPr>
        <w:t>。</w:t>
      </w:r>
    </w:p>
    <w:p w14:paraId="6A9001D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6.2指令的内容</w:t>
      </w:r>
    </w:p>
    <w:p w14:paraId="31A270D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3FD0A22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6.3指令的发送、确认和执行的时间和程序</w:t>
      </w:r>
    </w:p>
    <w:p w14:paraId="41E8AFA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6.3.1指令由“授权通知”确定的被授权人代表基金管理人用传真的方式或其他基金托管人和基金管理人书面确认过的方式向基金托管人发送。基金管理人有义务在发送指令后及时与托管人进行确认，因基金管理人未能及时与基金托管人进行指令确认，致使资金未能及时到账所造成的损失，基金托管人不承担任何形式的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任何形式的责任。基金管理人应按照《基金法》、有关法律法规和基金合同的规定，</w:t>
      </w:r>
      <w:r w:rsidRPr="00770E34">
        <w:rPr>
          <w:rFonts w:hAnsi="宋体" w:hint="eastAsia"/>
          <w:szCs w:val="24"/>
        </w:rPr>
        <w:lastRenderedPageBreak/>
        <w:t>在其合法的经营权限和交易权限内发送划款指令，被授权人应按照其授权权限发送划款指令。基金管理人在发送指令时，应为基金托管人留出</w:t>
      </w:r>
      <w:permStart w:id="217207866" w:edGrp="everyone"/>
      <w:r w:rsidRPr="00770E34">
        <w:rPr>
          <w:rFonts w:hAnsi="宋体" w:hint="eastAsia"/>
          <w:szCs w:val="24"/>
        </w:rPr>
        <w:t>【2】</w:t>
      </w:r>
      <w:permEnd w:id="217207866"/>
      <w:r w:rsidRPr="00770E34">
        <w:rPr>
          <w:rFonts w:hAnsi="宋体" w:hint="eastAsia"/>
          <w:szCs w:val="24"/>
        </w:rPr>
        <w:t>小时</w:t>
      </w:r>
      <w:r w:rsidRPr="00770E34">
        <w:rPr>
          <w:rFonts w:hAnsi="宋体"/>
          <w:szCs w:val="24"/>
        </w:rPr>
        <w:t>，作为</w:t>
      </w:r>
      <w:r w:rsidRPr="00770E34">
        <w:rPr>
          <w:rFonts w:hAnsi="宋体" w:hint="eastAsia"/>
          <w:szCs w:val="24"/>
        </w:rPr>
        <w:t>执行指令所必需的时间。由基金管理</w:t>
      </w:r>
      <w:proofErr w:type="gramStart"/>
      <w:r w:rsidRPr="00770E34">
        <w:rPr>
          <w:rFonts w:hAnsi="宋体" w:hint="eastAsia"/>
          <w:szCs w:val="24"/>
        </w:rPr>
        <w:t>人原因</w:t>
      </w:r>
      <w:proofErr w:type="gramEnd"/>
      <w:r w:rsidRPr="00770E34">
        <w:rPr>
          <w:rFonts w:hAnsi="宋体" w:hint="eastAsia"/>
          <w:szCs w:val="24"/>
        </w:rPr>
        <w:t>造成的指令传输不及时、未能留出足够划款所需时间，基金托管人不承担资金未能及时到账所造成的损失。</w:t>
      </w:r>
    </w:p>
    <w:p w14:paraId="2F0F234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6.3.2</w:t>
      </w:r>
      <w:r w:rsidRPr="00770E34">
        <w:rPr>
          <w:rFonts w:hAnsi="宋体" w:hint="eastAsia"/>
          <w:b/>
          <w:bCs/>
          <w:szCs w:val="24"/>
        </w:rPr>
        <w:t>基金托管人根据本协议相关约定仅履行表面一致形式审核职责，对指令的真实性不承担责任。</w:t>
      </w:r>
      <w:r w:rsidRPr="00770E34">
        <w:rPr>
          <w:rFonts w:hAnsi="宋体" w:hint="eastAsia"/>
          <w:szCs w:val="24"/>
        </w:rPr>
        <w:t>如果基金管理人的指令存在事实上未经授权、欺诈、伪造、变造或未能及时提供授权通知等情形，基金托管人不承担因执行有关指令或拒绝执行有关指令而给基金管理人或基金财产或任何第三</w:t>
      </w:r>
      <w:proofErr w:type="gramStart"/>
      <w:r w:rsidRPr="00770E34">
        <w:rPr>
          <w:rFonts w:hAnsi="宋体" w:hint="eastAsia"/>
          <w:szCs w:val="24"/>
        </w:rPr>
        <w:t>方带来</w:t>
      </w:r>
      <w:proofErr w:type="gramEnd"/>
      <w:r w:rsidRPr="00770E34">
        <w:rPr>
          <w:rFonts w:hAnsi="宋体" w:hint="eastAsia"/>
          <w:szCs w:val="24"/>
        </w:rPr>
        <w:t>的损失，但基金托管人未按协议约定</w:t>
      </w:r>
      <w:proofErr w:type="gramStart"/>
      <w:r w:rsidRPr="00770E34">
        <w:rPr>
          <w:rFonts w:hAnsi="宋体" w:hint="eastAsia"/>
          <w:szCs w:val="24"/>
        </w:rPr>
        <w:t>尽形</w:t>
      </w:r>
      <w:proofErr w:type="gramEnd"/>
      <w:r w:rsidRPr="00770E34">
        <w:rPr>
          <w:rFonts w:hAnsi="宋体" w:hint="eastAsia"/>
          <w:szCs w:val="24"/>
        </w:rPr>
        <w:t>式审核义务执行指令而造成损失的情形除外。</w:t>
      </w:r>
    </w:p>
    <w:p w14:paraId="72CA321D" w14:textId="59424DDC"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w:t>
      </w:r>
      <w:r w:rsidRPr="00770E34">
        <w:rPr>
          <w:rFonts w:hAnsi="宋体"/>
          <w:szCs w:val="24"/>
        </w:rPr>
        <w:t>3</w:t>
      </w:r>
      <w:r w:rsidRPr="00770E34">
        <w:rPr>
          <w:rFonts w:hAnsi="宋体" w:hint="eastAsia"/>
          <w:szCs w:val="24"/>
        </w:rPr>
        <w:t>基金托管人负责审查基金管理人发送指令同时提交的其他文件资料形式上的合法性、真实性、完整性和有效性，基金管理人应保证上述文件资料合法、真实、完整和有效。</w:t>
      </w:r>
    </w:p>
    <w:p w14:paraId="51F1670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w:t>
      </w:r>
      <w:r w:rsidRPr="00770E34">
        <w:rPr>
          <w:rFonts w:hAnsi="宋体"/>
          <w:szCs w:val="24"/>
        </w:rPr>
        <w:t>4</w:t>
      </w:r>
      <w:r w:rsidRPr="00770E34">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Pr="00770E34">
        <w:rPr>
          <w:rFonts w:hAnsi="宋体" w:hint="eastAsia"/>
          <w:szCs w:val="24"/>
        </w:rPr>
        <w:t>指令仅</w:t>
      </w:r>
      <w:proofErr w:type="gramEnd"/>
      <w:r w:rsidRPr="00770E34">
        <w:rPr>
          <w:rFonts w:hAnsi="宋体" w:hint="eastAsia"/>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3509CE4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6.3.</w:t>
      </w:r>
      <w:r w:rsidRPr="00770E34">
        <w:rPr>
          <w:rFonts w:hAnsi="宋体"/>
          <w:szCs w:val="24"/>
        </w:rPr>
        <w:t>5</w:t>
      </w:r>
      <w:r w:rsidRPr="00770E34">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543A909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6.4基金管理人发送错误指令的情形和处理程序</w:t>
      </w:r>
    </w:p>
    <w:p w14:paraId="65C9F02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6.4.1基金管理人发送错误指令的情形包括指令违反相关法律法规或基金合同、指令发送人员无权或超越权限发送指令及交割信息错误，指令中重要信息模糊不清或不全等。</w:t>
      </w:r>
    </w:p>
    <w:p w14:paraId="0F0F1FA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6.4.2基金托管人在履行监督职能时，发现基金管理人的指令错误时，有权视情况暂缓或拒绝执行，并及时通知基金管理人改正。</w:t>
      </w:r>
    </w:p>
    <w:p w14:paraId="523EEDF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6.5基金托管人依照法律法规暂缓、拒绝执行指令的情形和处理程序</w:t>
      </w:r>
    </w:p>
    <w:p w14:paraId="533BE67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托管人发现基金管理人发送的指令违反《基金法》、基金合同、本协议或有关基金法规的有关规定，有权视情况暂缓执行或不予执行，并应及时以书面形式通知基金管理人纠正，基金托管人不承担任何损失和责任。对基金管理人更正并重新发送后的指令经基金托管人核对确认后方能执行。</w:t>
      </w:r>
    </w:p>
    <w:p w14:paraId="3C050C8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6.6基金托管人未按照基金管理人指令执行的处理方法</w:t>
      </w:r>
    </w:p>
    <w:p w14:paraId="28BE010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基金托管人由于自身原因造成未按照或者未及时按照基金管理人发送的符合法律法规规定以及基金合同、本协议约定的指令执行，应在发现后及时采取措施予以补救，给基金份额持有人或</w:t>
      </w:r>
      <w:r w:rsidRPr="00770E34">
        <w:rPr>
          <w:rFonts w:hAnsi="宋体"/>
          <w:szCs w:val="24"/>
        </w:rPr>
        <w:t>基金财产</w:t>
      </w:r>
      <w:r w:rsidRPr="00770E34">
        <w:rPr>
          <w:rFonts w:hAnsi="宋体" w:hint="eastAsia"/>
          <w:szCs w:val="24"/>
        </w:rPr>
        <w:t>造成损失的，应承担相应的责任，但如遇到不可抗力的情况除外。</w:t>
      </w:r>
    </w:p>
    <w:p w14:paraId="1C39C0D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6.7更换被授权人的程序</w:t>
      </w:r>
    </w:p>
    <w:p w14:paraId="6EA8798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w:t>
      </w:r>
      <w:r w:rsidRPr="00770E34">
        <w:rPr>
          <w:rFonts w:hAnsi="宋体"/>
          <w:szCs w:val="24"/>
        </w:rPr>
        <w:t>5</w:t>
      </w:r>
      <w:r w:rsidRPr="00770E34">
        <w:rPr>
          <w:rFonts w:hAnsi="宋体" w:hint="eastAsia"/>
          <w:szCs w:val="24"/>
        </w:rPr>
        <w:t>个工作日内将被授权人变更通知的正本送交基金托管人。被授权人变更通知的正本应与传真或其他形式的副本内容一致，若有不一致的，以基金托管人收到的传真件或其他形式的副本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18715B5F" w14:textId="77777777" w:rsidR="00D315D6" w:rsidRPr="00770E34" w:rsidRDefault="00C14E5E">
      <w:pPr>
        <w:pStyle w:val="1"/>
        <w:spacing w:line="520" w:lineRule="atLeast"/>
        <w:ind w:firstLineChars="200" w:firstLine="482"/>
        <w:rPr>
          <w:bCs/>
          <w:color w:val="auto"/>
          <w:szCs w:val="24"/>
        </w:rPr>
      </w:pPr>
      <w:bookmarkStart w:id="31" w:name="_Toc157264224"/>
      <w:r w:rsidRPr="00770E34">
        <w:rPr>
          <w:rFonts w:hint="eastAsia"/>
          <w:bCs/>
          <w:color w:val="auto"/>
          <w:szCs w:val="24"/>
        </w:rPr>
        <w:lastRenderedPageBreak/>
        <w:t>第七条 交易及清算交收安排</w:t>
      </w:r>
      <w:bookmarkEnd w:id="31"/>
      <w:r w:rsidRPr="00770E34">
        <w:rPr>
          <w:rFonts w:hint="eastAsia"/>
          <w:bCs/>
          <w:color w:val="auto"/>
          <w:szCs w:val="24"/>
        </w:rPr>
        <w:t xml:space="preserve"> </w:t>
      </w:r>
    </w:p>
    <w:p w14:paraId="4FCB1AC9" w14:textId="77777777" w:rsidR="00D315D6" w:rsidRPr="00770E34" w:rsidRDefault="00C14E5E">
      <w:pPr>
        <w:pStyle w:val="20"/>
        <w:spacing w:before="0" w:after="0" w:line="520" w:lineRule="atLeast"/>
        <w:rPr>
          <w:rFonts w:hAnsi="宋体"/>
          <w:szCs w:val="24"/>
        </w:rPr>
      </w:pPr>
      <w:r w:rsidRPr="00770E34">
        <w:rPr>
          <w:rFonts w:hAnsi="宋体" w:hint="eastAsia"/>
          <w:szCs w:val="24"/>
        </w:rPr>
        <w:t>7.1选择代理证券、期货买卖的证券、期货经营机构</w:t>
      </w:r>
    </w:p>
    <w:p w14:paraId="3DCF719A"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7.1.1基金管理人应制</w:t>
      </w:r>
      <w:proofErr w:type="gramStart"/>
      <w:r w:rsidRPr="00770E34">
        <w:rPr>
          <w:rFonts w:hAnsi="宋体" w:hint="eastAsia"/>
          <w:szCs w:val="24"/>
        </w:rPr>
        <w:t>定选择</w:t>
      </w:r>
      <w:proofErr w:type="gramEnd"/>
      <w:r w:rsidRPr="00770E34">
        <w:rPr>
          <w:rFonts w:hAnsi="宋体" w:hint="eastAsia"/>
          <w:szCs w:val="24"/>
        </w:rPr>
        <w:t>代理证券买卖的证券经营机构的标准和程序。基金管理人负责选择代理本基金证券买卖的证券经营机构，使用其交易单元作为基金的专用交易单元。基金管理人和被选中的证券经营机构签订委托协议，由基金管理人提前通知基金托管人，并在法定信息披露公告中披露有关内容。</w:t>
      </w:r>
    </w:p>
    <w:p w14:paraId="5A45FFF4" w14:textId="77777777" w:rsidR="00D315D6" w:rsidRPr="00770E34" w:rsidRDefault="00C14E5E">
      <w:pPr>
        <w:pStyle w:val="20"/>
        <w:spacing w:before="0" w:after="0" w:line="520" w:lineRule="atLeast"/>
        <w:ind w:left="0" w:firstLine="480"/>
        <w:rPr>
          <w:rFonts w:hAnsi="宋体"/>
          <w:szCs w:val="24"/>
        </w:rPr>
      </w:pPr>
      <w:r w:rsidRPr="00770E34">
        <w:rPr>
          <w:rFonts w:hAnsi="宋体" w:hint="eastAsia"/>
          <w:szCs w:val="24"/>
        </w:rPr>
        <w:t>7.1.2基金管理人应及时将基金专用交易单元号、佣金费率等基本信息以及变更情况以书面形式通知基金托管人。</w:t>
      </w:r>
    </w:p>
    <w:p w14:paraId="4A7919C4" w14:textId="77777777" w:rsidR="00D315D6" w:rsidRPr="00770E34" w:rsidRDefault="00C14E5E">
      <w:pPr>
        <w:pStyle w:val="20"/>
        <w:spacing w:before="0" w:after="0" w:line="520" w:lineRule="atLeast"/>
        <w:ind w:left="0" w:firstLine="480"/>
        <w:rPr>
          <w:rFonts w:hAnsi="宋体"/>
          <w:szCs w:val="24"/>
        </w:rPr>
      </w:pPr>
      <w:r w:rsidRPr="00770E34">
        <w:rPr>
          <w:rFonts w:hAnsi="宋体"/>
          <w:szCs w:val="24"/>
        </w:rPr>
        <w:t>7.1.3基金管理人负责选择代理本基金期货交易的期货经纪机构，并与其签订期货经纪合同，其他事宜根据法律法规、基金合同的相关规定执行，若无明确规定的，可参照有关证券买卖、证券经营机构选择的规则执行。</w:t>
      </w:r>
    </w:p>
    <w:p w14:paraId="22DE6426" w14:textId="77777777" w:rsidR="00D315D6" w:rsidRPr="00770E34" w:rsidRDefault="00C14E5E">
      <w:pPr>
        <w:pStyle w:val="20"/>
        <w:spacing w:before="0" w:after="0" w:line="520" w:lineRule="atLeast"/>
        <w:rPr>
          <w:rFonts w:hAnsi="宋体"/>
          <w:szCs w:val="24"/>
        </w:rPr>
      </w:pPr>
      <w:r w:rsidRPr="00770E34">
        <w:rPr>
          <w:rFonts w:hAnsi="宋体" w:hint="eastAsia"/>
          <w:szCs w:val="24"/>
        </w:rPr>
        <w:t>7.2清算与交割</w:t>
      </w:r>
    </w:p>
    <w:p w14:paraId="48B4C784" w14:textId="77777777" w:rsidR="00D315D6" w:rsidRPr="00770E34" w:rsidRDefault="00C14E5E">
      <w:pPr>
        <w:pStyle w:val="20"/>
        <w:spacing w:before="0" w:after="0" w:line="520" w:lineRule="atLeast"/>
        <w:rPr>
          <w:rFonts w:hAnsi="宋体"/>
          <w:szCs w:val="24"/>
        </w:rPr>
      </w:pPr>
      <w:r w:rsidRPr="00770E34">
        <w:rPr>
          <w:rFonts w:hAnsi="宋体" w:hint="eastAsia"/>
          <w:szCs w:val="24"/>
        </w:rPr>
        <w:t>7.2.1基金投资证券后的清算交收安排</w:t>
      </w:r>
    </w:p>
    <w:p w14:paraId="5A56F841"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基金管理人与基金托管人应根据有关法律法规及相关业务规则，签订《证券交易资金结算协议》，用以具体明确基金管理人与基金托管人在证券交易资金结算业务中的责任。</w:t>
      </w:r>
    </w:p>
    <w:p w14:paraId="557EC5A1"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对基金管理人的资金划拨指令，基金托管人在复核无误后应在规定期限内执行并在执行完毕后回函确认，不得无故延误。</w:t>
      </w:r>
    </w:p>
    <w:p w14:paraId="7B70A087" w14:textId="77777777" w:rsidR="00D315D6" w:rsidRPr="00770E34" w:rsidRDefault="00C14E5E">
      <w:pPr>
        <w:pStyle w:val="20"/>
        <w:spacing w:before="0" w:after="0" w:line="520" w:lineRule="atLeast"/>
        <w:ind w:left="0" w:firstLine="480"/>
        <w:rPr>
          <w:rFonts w:hAnsi="宋体"/>
          <w:szCs w:val="24"/>
        </w:rPr>
      </w:pPr>
      <w:r w:rsidRPr="00770E34">
        <w:rPr>
          <w:rFonts w:hAnsi="宋体" w:hint="eastAsia"/>
          <w:szCs w:val="24"/>
        </w:rPr>
        <w:t>本基金投资于证券发生的所有场内、场外交易的资金清算交割，全部由基金托管人负责办理。</w:t>
      </w:r>
    </w:p>
    <w:p w14:paraId="2ACB6297" w14:textId="77777777" w:rsidR="00D315D6" w:rsidRPr="00770E34" w:rsidRDefault="00C14E5E">
      <w:pPr>
        <w:pStyle w:val="20"/>
        <w:spacing w:before="0" w:after="0" w:line="520" w:lineRule="atLeast"/>
        <w:ind w:left="0" w:firstLine="480"/>
        <w:rPr>
          <w:rFonts w:hAnsi="宋体"/>
          <w:szCs w:val="24"/>
        </w:rPr>
      </w:pPr>
      <w:r w:rsidRPr="00770E34">
        <w:rPr>
          <w:rFonts w:hAnsi="宋体" w:hint="eastAsia"/>
          <w:szCs w:val="24"/>
        </w:rPr>
        <w:t>本基金证券投资的清算交割，由基金托管人通过中登公司及清算代理银行办理。</w:t>
      </w:r>
    </w:p>
    <w:p w14:paraId="579204F5" w14:textId="77777777" w:rsidR="00D315D6" w:rsidRPr="00770E34" w:rsidRDefault="00C14E5E">
      <w:pPr>
        <w:pStyle w:val="20"/>
        <w:spacing w:before="0" w:after="0" w:line="520" w:lineRule="atLeast"/>
        <w:ind w:left="0" w:firstLine="480"/>
        <w:rPr>
          <w:rFonts w:hAnsi="宋体"/>
          <w:szCs w:val="24"/>
        </w:rPr>
      </w:pPr>
      <w:r w:rsidRPr="00770E34">
        <w:rPr>
          <w:rFonts w:hAnsi="宋体" w:hint="eastAsia"/>
          <w:szCs w:val="24"/>
        </w:rPr>
        <w:t>交易及清算交收安排中管理人应为托管人预留2个小时的指令处理时间，当日15:00之后收到的指令，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14:paraId="17D51D7F" w14:textId="77777777" w:rsidR="00D315D6" w:rsidRPr="00770E34" w:rsidRDefault="00C14E5E">
      <w:pPr>
        <w:pStyle w:val="20"/>
        <w:spacing w:before="0" w:after="0" w:line="520" w:lineRule="atLeast"/>
        <w:rPr>
          <w:rFonts w:hAnsi="宋体"/>
          <w:szCs w:val="24"/>
        </w:rPr>
      </w:pPr>
      <w:r w:rsidRPr="00770E34">
        <w:rPr>
          <w:rFonts w:hAnsi="宋体" w:hint="eastAsia"/>
          <w:szCs w:val="24"/>
        </w:rPr>
        <w:lastRenderedPageBreak/>
        <w:t>7.2.2基金出现超买或超卖的责任认定及处理程序</w:t>
      </w:r>
    </w:p>
    <w:p w14:paraId="65D95997"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基金托管人在履行监督职能时，如果发现基金投资证券过程中出现超买或超卖现象，应立即提醒基金管理人，由基金管理人负责解决，由此给基金造成的损失由基金管理人承担。</w:t>
      </w:r>
    </w:p>
    <w:p w14:paraId="5E4EE87F" w14:textId="77777777" w:rsidR="00D315D6" w:rsidRPr="00770E34" w:rsidRDefault="00C14E5E">
      <w:pPr>
        <w:pStyle w:val="20"/>
        <w:spacing w:before="0" w:after="0" w:line="520" w:lineRule="atLeast"/>
        <w:rPr>
          <w:rFonts w:hAnsi="宋体"/>
          <w:szCs w:val="24"/>
        </w:rPr>
      </w:pPr>
      <w:r w:rsidRPr="00770E34">
        <w:rPr>
          <w:rFonts w:hAnsi="宋体" w:hint="eastAsia"/>
          <w:szCs w:val="24"/>
        </w:rPr>
        <w:t>7.2.3基金无法按时支付证券清算款的责任认定及处理程序</w:t>
      </w:r>
    </w:p>
    <w:p w14:paraId="143A2688"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基金管理人应确保基金托管人在执行基金管理人发送的指令时，有足够的头寸进行交收。基金的资金头寸不足时，基金托管人有权拒绝基金管理人发送的划款指令，并立即通知基金管理人</w:t>
      </w:r>
      <w:r w:rsidRPr="00770E34">
        <w:rPr>
          <w:rFonts w:hint="eastAsia"/>
          <w:bCs/>
        </w:rPr>
        <w:t>，督促基金管理人积极采取措施、最大程度控制违约交收风险与相关损失，并报告中国证监会</w:t>
      </w:r>
      <w:r w:rsidRPr="00770E34">
        <w:rPr>
          <w:rFonts w:hAnsi="宋体" w:hint="eastAsia"/>
          <w:szCs w:val="24"/>
        </w:rPr>
        <w:t>。基金管理人在发送划款指令时应充分考虑基金托管人的划款处理所需的合理时间。如由于基金管理人的原因导致无法按时支付证券清算款，由此给基金造成的损失由基金管理人承担。</w:t>
      </w:r>
    </w:p>
    <w:p w14:paraId="15E4F372" w14:textId="77777777" w:rsidR="00D315D6" w:rsidRPr="00770E34" w:rsidRDefault="00C14E5E">
      <w:pPr>
        <w:pStyle w:val="20"/>
        <w:spacing w:before="0" w:after="0" w:line="520" w:lineRule="atLeast"/>
        <w:ind w:left="0" w:firstLine="480"/>
        <w:rPr>
          <w:rFonts w:hAnsi="宋体"/>
          <w:szCs w:val="24"/>
        </w:rPr>
      </w:pPr>
      <w:r w:rsidRPr="00770E34">
        <w:rPr>
          <w:rFonts w:hAnsi="宋体" w:hint="eastAsia"/>
          <w:szCs w:val="24"/>
        </w:rPr>
        <w:t>在基金资金头寸充足的情况下，基金托管人对基金管理人符合法律法规、基金合同、本托管协议的指令不得拖延或拒绝执行。如由于基金托管人的过错原因导致基金无法按时支付证券清算款，由此给基金造成的损失由基金托管人承担。</w:t>
      </w:r>
    </w:p>
    <w:p w14:paraId="0B5C0D32" w14:textId="77777777" w:rsidR="00D315D6" w:rsidRPr="00770E34" w:rsidRDefault="00D315D6">
      <w:pPr>
        <w:pStyle w:val="20"/>
        <w:spacing w:before="0" w:after="0" w:line="520" w:lineRule="atLeast"/>
        <w:ind w:left="0" w:firstLine="480"/>
        <w:rPr>
          <w:rFonts w:hAnsi="宋体"/>
          <w:szCs w:val="24"/>
        </w:rPr>
      </w:pPr>
    </w:p>
    <w:p w14:paraId="6572F427" w14:textId="77777777" w:rsidR="00D315D6" w:rsidRPr="00770E34" w:rsidRDefault="00C14E5E">
      <w:pPr>
        <w:pStyle w:val="20"/>
        <w:spacing w:before="0" w:after="0" w:line="520" w:lineRule="atLeast"/>
        <w:rPr>
          <w:rFonts w:hAnsi="宋体"/>
          <w:szCs w:val="24"/>
        </w:rPr>
      </w:pPr>
      <w:r w:rsidRPr="00770E34">
        <w:rPr>
          <w:rFonts w:hAnsi="宋体" w:hint="eastAsia"/>
          <w:szCs w:val="24"/>
        </w:rPr>
        <w:t>7.3资金、证券账目及交易记录的核对</w:t>
      </w:r>
    </w:p>
    <w:p w14:paraId="060D76D4"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7.3.1基金管理人与基金托管人按日进行交易记录的核对。每日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4D9463C1"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7.3.2对基金的资金账目，由相关各方每日对账一次，确保相关各方账</w:t>
      </w:r>
      <w:proofErr w:type="gramStart"/>
      <w:r w:rsidRPr="00770E34">
        <w:rPr>
          <w:rFonts w:hAnsi="宋体" w:hint="eastAsia"/>
          <w:szCs w:val="24"/>
        </w:rPr>
        <w:t>账</w:t>
      </w:r>
      <w:proofErr w:type="gramEnd"/>
      <w:r w:rsidRPr="00770E34">
        <w:rPr>
          <w:rFonts w:hAnsi="宋体" w:hint="eastAsia"/>
          <w:szCs w:val="24"/>
        </w:rPr>
        <w:t>相符。对基金证券账目，由相关各方每日进行对账。对实物</w:t>
      </w:r>
      <w:proofErr w:type="gramStart"/>
      <w:r w:rsidRPr="00770E34">
        <w:rPr>
          <w:rFonts w:hAnsi="宋体" w:hint="eastAsia"/>
          <w:szCs w:val="24"/>
        </w:rPr>
        <w:t>券</w:t>
      </w:r>
      <w:proofErr w:type="gramEnd"/>
      <w:r w:rsidRPr="00770E34">
        <w:rPr>
          <w:rFonts w:hAnsi="宋体" w:hint="eastAsia"/>
          <w:szCs w:val="24"/>
        </w:rPr>
        <w:t>账目，每月月末由相关各方进行账实核对。对交易记录，由相关各方每日对账一次。</w:t>
      </w:r>
    </w:p>
    <w:p w14:paraId="50C3BA8E"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7.4申购、赎回、转换开放式基金的资金清算、数据传递及基金管理人、基金托管人的责任</w:t>
      </w:r>
    </w:p>
    <w:p w14:paraId="7FD8B273"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7.4.1基金管理人和基金托管人在基金的申购赎回、转换中的责任</w:t>
      </w:r>
    </w:p>
    <w:p w14:paraId="3742CFF4"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基金投资人可通过基金管理人的直销中心和销售机构的代销网点进行申购和赎回申请，基金份额申购、赎回的确认、清算由基金管理人或其委托的登记机构负</w:t>
      </w:r>
      <w:r w:rsidRPr="00770E34">
        <w:rPr>
          <w:rFonts w:hAnsi="宋体" w:hint="eastAsia"/>
          <w:szCs w:val="24"/>
        </w:rPr>
        <w:lastRenderedPageBreak/>
        <w:t>责。基金托管人负责接收并确认资金的到账情况，以及依照基金管理人的投资指令划付赎回款项。</w:t>
      </w:r>
    </w:p>
    <w:p w14:paraId="193085F4" w14:textId="77777777" w:rsidR="00D315D6" w:rsidRPr="00770E34" w:rsidRDefault="00C14E5E">
      <w:pPr>
        <w:pStyle w:val="20"/>
        <w:spacing w:before="0" w:after="0" w:line="520" w:lineRule="atLeast"/>
        <w:rPr>
          <w:rFonts w:hAnsi="宋体"/>
          <w:szCs w:val="24"/>
        </w:rPr>
      </w:pPr>
      <w:r w:rsidRPr="00770E34">
        <w:rPr>
          <w:rFonts w:hAnsi="宋体" w:hint="eastAsia"/>
          <w:szCs w:val="24"/>
        </w:rPr>
        <w:t>7.4.2基金的数据传递</w:t>
      </w:r>
    </w:p>
    <w:p w14:paraId="758FB1F6"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基金管理人应保证本基金（或本基金管理人委托）的登记机构于每个开放日15：00之前将本基金的申购、赎回、转换的数据传送给基金托管人。基金管理人应对传递的数据的真实性、准确性和完整性负责。</w:t>
      </w:r>
    </w:p>
    <w:p w14:paraId="24AB1FC8"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登记机构应通过与基金管理人建立的系统发送有关数据，如因各种原因，该系统无法正常发送，双方可协商解决处理方式。</w:t>
      </w:r>
    </w:p>
    <w:p w14:paraId="53EF0768" w14:textId="77777777" w:rsidR="00D315D6" w:rsidRPr="00770E34" w:rsidRDefault="00C14E5E">
      <w:pPr>
        <w:pStyle w:val="20"/>
        <w:spacing w:before="0" w:after="0" w:line="520" w:lineRule="atLeast"/>
        <w:rPr>
          <w:rFonts w:hAnsi="宋体"/>
          <w:szCs w:val="24"/>
        </w:rPr>
      </w:pPr>
      <w:r w:rsidRPr="00770E34">
        <w:rPr>
          <w:rFonts w:hAnsi="宋体" w:hint="eastAsia"/>
          <w:szCs w:val="24"/>
        </w:rPr>
        <w:t>7.4.3基金的资金清算</w:t>
      </w:r>
    </w:p>
    <w:p w14:paraId="13FC1320"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    基金托管专户与“基金清算账户”间的资金结算遵循“全额清算、净额交收”的原则，每日按照托管专户应收资金与应付资金的差额来确定托管</w:t>
      </w:r>
      <w:proofErr w:type="gramStart"/>
      <w:r w:rsidRPr="00770E34">
        <w:rPr>
          <w:rFonts w:hAnsi="宋体" w:hint="eastAsia"/>
          <w:szCs w:val="24"/>
        </w:rPr>
        <w:t>专户净应收</w:t>
      </w:r>
      <w:proofErr w:type="gramEnd"/>
      <w:r w:rsidRPr="00770E34">
        <w:rPr>
          <w:rFonts w:hAnsi="宋体" w:hint="eastAsia"/>
          <w:szCs w:val="24"/>
        </w:rPr>
        <w:t>额或净应付额，以此确定资金交收额。</w:t>
      </w:r>
    </w:p>
    <w:p w14:paraId="48766D2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如果当日基金为净应收款，基金托管人应在</w:t>
      </w:r>
      <w:proofErr w:type="gramStart"/>
      <w:r w:rsidRPr="00770E34">
        <w:rPr>
          <w:rFonts w:hAnsi="宋体" w:hint="eastAsia"/>
          <w:szCs w:val="24"/>
        </w:rPr>
        <w:t>交收日</w:t>
      </w:r>
      <w:proofErr w:type="gramEnd"/>
      <w:r w:rsidRPr="00770E34">
        <w:rPr>
          <w:rFonts w:hAnsi="宋体" w:hint="eastAsia"/>
          <w:szCs w:val="24"/>
        </w:rPr>
        <w:t>1</w:t>
      </w:r>
      <w:r w:rsidRPr="00770E34">
        <w:rPr>
          <w:rFonts w:hAnsi="宋体"/>
          <w:szCs w:val="24"/>
        </w:rPr>
        <w:t>7</w:t>
      </w:r>
      <w:r w:rsidRPr="00770E34">
        <w:rPr>
          <w:rFonts w:hAnsi="宋体" w:hint="eastAsia"/>
          <w:szCs w:val="24"/>
        </w:rPr>
        <w:t>:00之前查收资金是否到账，对于未准时到账的资金，基金托管人应及时通知基金管理人划付。如果当日基金为净应付款，基金托管人应根据基金管理人的指令在</w:t>
      </w:r>
      <w:proofErr w:type="gramStart"/>
      <w:r w:rsidRPr="00770E34">
        <w:rPr>
          <w:rFonts w:hAnsi="宋体" w:hint="eastAsia"/>
          <w:szCs w:val="24"/>
        </w:rPr>
        <w:t>交收日中午</w:t>
      </w:r>
      <w:proofErr w:type="gramEnd"/>
      <w:r w:rsidRPr="00770E34">
        <w:rPr>
          <w:rFonts w:hAnsi="宋体" w:hint="eastAsia"/>
          <w:szCs w:val="24"/>
        </w:rPr>
        <w:t>12:00前进行划付，对于未准时划付的资金，基金管理人应及时通知基金托管人划付。因基金托管专户没有足够的资金，导致基金托管人不能按时拨付，基金托管人应及时通知基金管理人。</w:t>
      </w:r>
    </w:p>
    <w:p w14:paraId="0245F8F7" w14:textId="77777777" w:rsidR="00D315D6" w:rsidRPr="00770E34" w:rsidRDefault="00C14E5E">
      <w:pPr>
        <w:pStyle w:val="1"/>
        <w:spacing w:line="520" w:lineRule="atLeast"/>
        <w:ind w:firstLineChars="200" w:firstLine="482"/>
        <w:rPr>
          <w:bCs/>
          <w:color w:val="auto"/>
          <w:szCs w:val="24"/>
        </w:rPr>
      </w:pPr>
      <w:bookmarkStart w:id="32" w:name="_Toc296551344"/>
      <w:bookmarkStart w:id="33" w:name="_Toc157264225"/>
      <w:r w:rsidRPr="00770E34">
        <w:rPr>
          <w:rFonts w:hint="eastAsia"/>
          <w:bCs/>
          <w:color w:val="auto"/>
          <w:szCs w:val="24"/>
        </w:rPr>
        <w:t>第八条 基金净值计算和会计核算</w:t>
      </w:r>
      <w:bookmarkEnd w:id="32"/>
      <w:bookmarkEnd w:id="33"/>
    </w:p>
    <w:p w14:paraId="516CCB0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8.1基金净值的计算、复核的时间和程序</w:t>
      </w:r>
    </w:p>
    <w:p w14:paraId="55B4FD2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8.1.1</w:t>
      </w:r>
      <w:proofErr w:type="gramStart"/>
      <w:r w:rsidRPr="00770E34">
        <w:rPr>
          <w:rFonts w:hAnsi="宋体" w:hint="eastAsia"/>
          <w:szCs w:val="24"/>
        </w:rPr>
        <w:t>各</w:t>
      </w:r>
      <w:proofErr w:type="gramEnd"/>
      <w:r w:rsidRPr="00770E34">
        <w:rPr>
          <w:rFonts w:hAnsi="宋体" w:hint="eastAsia"/>
          <w:szCs w:val="24"/>
        </w:rPr>
        <w:t>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1B614B9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基金管理人于每个估值日计算基金资产净值及各类基金份额净值，并按规定公告。</w:t>
      </w:r>
    </w:p>
    <w:p w14:paraId="25E9ABBD" w14:textId="40D8D8D1"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8.1.2基金管理人</w:t>
      </w:r>
      <w:proofErr w:type="gramStart"/>
      <w:r w:rsidRPr="00770E34">
        <w:rPr>
          <w:rFonts w:hAnsi="宋体" w:hint="eastAsia"/>
          <w:szCs w:val="24"/>
        </w:rPr>
        <w:t>应每个</w:t>
      </w:r>
      <w:proofErr w:type="gramEnd"/>
      <w:r w:rsidRPr="00770E34">
        <w:rPr>
          <w:rFonts w:hAnsi="宋体" w:hint="eastAsia"/>
          <w:szCs w:val="24"/>
        </w:rPr>
        <w:t>估值日对基金资产估值，但基金管理人根据法律法规或基金合同的规定暂停估值时除外。估值原则应符合基金合同、《证券投资基金会</w:t>
      </w:r>
      <w:r w:rsidRPr="00770E34">
        <w:rPr>
          <w:rFonts w:hAnsi="宋体" w:hint="eastAsia"/>
          <w:szCs w:val="24"/>
        </w:rPr>
        <w:lastRenderedPageBreak/>
        <w:t>计核算业务指引》及其他法律、法规的规定。基金管理人每个估值日对基金资产估值后，将各类基金份额净值结果发送基金托管人，经基金托管人复核无误后，由基金管理人按规定对外公布。</w:t>
      </w:r>
    </w:p>
    <w:p w14:paraId="770FC41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8.2基金资产估值方法</w:t>
      </w:r>
    </w:p>
    <w:p w14:paraId="32E397F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8.2.1估值对象</w:t>
      </w:r>
    </w:p>
    <w:p w14:paraId="604A2D0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基金所拥有的股票、存托凭证、债券、资产支持证券、股指期货合约、国债期货合约、银行存款本息、应收款项和其它投资等资产及负债。</w:t>
      </w:r>
    </w:p>
    <w:p w14:paraId="18AD81B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8.2.2估值方法</w:t>
      </w:r>
    </w:p>
    <w:p w14:paraId="53570B9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（1）证券交易所上市的权益类证券的估值</w:t>
      </w:r>
    </w:p>
    <w:p w14:paraId="4D64C18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交易所上市的权益类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D62175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2</w:t>
      </w:r>
      <w:r w:rsidRPr="00770E34">
        <w:rPr>
          <w:rFonts w:hAnsi="宋体" w:hint="eastAsia"/>
          <w:szCs w:val="24"/>
        </w:rPr>
        <w:t>）交易所上市不存在活跃市场的权益类证券，采用估值技术确定公允价值。</w:t>
      </w:r>
    </w:p>
    <w:p w14:paraId="272530C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（2）处于未上市期间的权益类证券应区分如下情况处理：</w:t>
      </w:r>
    </w:p>
    <w:p w14:paraId="58CD1E8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1）送股、转增股、配股和公开增发的新股，按估值日在证券交易所挂牌的同一股票的估值方法估值；该日无交易的，以最近一日的市价（收盘价）估值。</w:t>
      </w:r>
    </w:p>
    <w:p w14:paraId="501911E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2）首次公开发行未上市的股票，采用估值技术确定公允价值。</w:t>
      </w:r>
    </w:p>
    <w:p w14:paraId="6CCFFA1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70E34">
        <w:rPr>
          <w:rFonts w:hAnsi="宋体" w:hint="eastAsia"/>
          <w:szCs w:val="24"/>
        </w:rPr>
        <w:t>券</w:t>
      </w:r>
      <w:proofErr w:type="gramEnd"/>
      <w:r w:rsidRPr="00770E34">
        <w:rPr>
          <w:rFonts w:hAnsi="宋体" w:hint="eastAsia"/>
          <w:szCs w:val="24"/>
        </w:rPr>
        <w:t>等流通受限股票，按监管机构或行业协会有关规定确定公允价值。</w:t>
      </w:r>
    </w:p>
    <w:p w14:paraId="01B95EC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3</w:t>
      </w:r>
      <w:r w:rsidRPr="00770E34">
        <w:rPr>
          <w:rFonts w:hAnsi="宋体" w:hint="eastAsia"/>
          <w:szCs w:val="24"/>
        </w:rPr>
        <w:t>）对于已上市或已挂牌转让的不含</w:t>
      </w:r>
      <w:proofErr w:type="gramStart"/>
      <w:r w:rsidRPr="00770E34">
        <w:rPr>
          <w:rFonts w:hAnsi="宋体" w:hint="eastAsia"/>
          <w:szCs w:val="24"/>
        </w:rPr>
        <w:t>权固定</w:t>
      </w:r>
      <w:proofErr w:type="gramEnd"/>
      <w:r w:rsidRPr="00770E34">
        <w:rPr>
          <w:rFonts w:hAnsi="宋体" w:hint="eastAsia"/>
          <w:szCs w:val="24"/>
        </w:rPr>
        <w:t>收益品种，选取第三方估值基准服务机构提供的相应品种当日的估值全价。</w:t>
      </w:r>
    </w:p>
    <w:p w14:paraId="3F74E04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4</w:t>
      </w:r>
      <w:r w:rsidRPr="00770E34">
        <w:rPr>
          <w:rFonts w:hAnsi="宋体" w:hint="eastAsia"/>
          <w:szCs w:val="24"/>
        </w:rPr>
        <w:t>）对于已上市或已挂牌转让的含</w:t>
      </w:r>
      <w:proofErr w:type="gramStart"/>
      <w:r w:rsidRPr="00770E34">
        <w:rPr>
          <w:rFonts w:hAnsi="宋体" w:hint="eastAsia"/>
          <w:szCs w:val="24"/>
        </w:rPr>
        <w:t>权固定</w:t>
      </w:r>
      <w:proofErr w:type="gramEnd"/>
      <w:r w:rsidRPr="00770E34">
        <w:rPr>
          <w:rFonts w:hAnsi="宋体" w:hint="eastAsia"/>
          <w:szCs w:val="24"/>
        </w:rPr>
        <w:t>收益品种，选取第三方估值基准服务机构提供的相应品种当日的唯一估值全价或推荐估值全价。</w:t>
      </w:r>
    </w:p>
    <w:p w14:paraId="01CC557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14:paraId="16F8838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5</w:t>
      </w:r>
      <w:r w:rsidRPr="00770E34">
        <w:rPr>
          <w:rFonts w:hAnsi="宋体" w:hint="eastAsia"/>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6DA100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6</w:t>
      </w:r>
      <w:r w:rsidRPr="00770E34">
        <w:rPr>
          <w:rFonts w:hAnsi="宋体" w:hint="eastAsia"/>
          <w:szCs w:val="24"/>
        </w:rPr>
        <w:t>）对于未上市或未挂牌转让且不存在活跃市场的固定收益品种，应采用在当前情况下适用并且有足够可利用数据和其他信息支持的估值技术确定其公允价值。</w:t>
      </w:r>
    </w:p>
    <w:p w14:paraId="06A5F2C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7</w:t>
      </w:r>
      <w:r w:rsidRPr="00770E34">
        <w:rPr>
          <w:rFonts w:hAnsi="宋体" w:hint="eastAsia"/>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75F770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8</w:t>
      </w:r>
      <w:r w:rsidRPr="00770E34">
        <w:rPr>
          <w:rFonts w:hAnsi="宋体" w:hint="eastAsia"/>
          <w:szCs w:val="24"/>
        </w:rPr>
        <w:t>）同一证券同时在两个或两个以上市场交易的，按证券所处的市场分别估值。</w:t>
      </w:r>
    </w:p>
    <w:p w14:paraId="14667DB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9</w:t>
      </w:r>
      <w:r w:rsidRPr="00770E34">
        <w:rPr>
          <w:rFonts w:hAnsi="宋体" w:hint="eastAsia"/>
          <w:szCs w:val="24"/>
        </w:rPr>
        <w:t>）本基金参与融资或转融通证券出借业务的，应参照行业协会的相关规定进行估值，确保估值的公允性。</w:t>
      </w:r>
    </w:p>
    <w:p w14:paraId="3AF0DEF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10</w:t>
      </w:r>
      <w:r w:rsidRPr="00770E34">
        <w:rPr>
          <w:rFonts w:hAnsi="宋体" w:hint="eastAsia"/>
          <w:szCs w:val="24"/>
        </w:rPr>
        <w:t>）持有的银行定期存款或通知存款以本金列示，根据存款协议列示的利息总额或约定利率</w:t>
      </w:r>
      <w:proofErr w:type="gramStart"/>
      <w:r w:rsidRPr="00770E34">
        <w:rPr>
          <w:rFonts w:hAnsi="宋体" w:hint="eastAsia"/>
          <w:szCs w:val="24"/>
        </w:rPr>
        <w:t>每自然</w:t>
      </w:r>
      <w:proofErr w:type="gramEnd"/>
      <w:r w:rsidRPr="00770E34">
        <w:rPr>
          <w:rFonts w:hAnsi="宋体" w:hint="eastAsia"/>
          <w:szCs w:val="24"/>
        </w:rPr>
        <w:t>日计提利息。</w:t>
      </w:r>
    </w:p>
    <w:p w14:paraId="45A5B61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11</w:t>
      </w:r>
      <w:r w:rsidRPr="00770E34">
        <w:rPr>
          <w:rFonts w:hAnsi="宋体" w:hint="eastAsia"/>
          <w:szCs w:val="24"/>
        </w:rPr>
        <w:t>）股指期货、国债期货合约以估值当日结算价进行估值，估值当日无结算价的，且最近交易日后经济环境未发生重大变化的，采用最近交易日结算价估值。</w:t>
      </w:r>
    </w:p>
    <w:p w14:paraId="01486C5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12</w:t>
      </w:r>
      <w:r w:rsidRPr="00770E34">
        <w:rPr>
          <w:rFonts w:hAnsi="宋体" w:hint="eastAsia"/>
          <w:szCs w:val="24"/>
        </w:rPr>
        <w:t>）本基金投资存托凭证的估值核算，依照境内上市交易的股票执行。</w:t>
      </w:r>
    </w:p>
    <w:p w14:paraId="5270744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13</w:t>
      </w:r>
      <w:r w:rsidRPr="00770E34">
        <w:rPr>
          <w:rFonts w:hAnsi="宋体" w:hint="eastAsia"/>
          <w:szCs w:val="24"/>
        </w:rPr>
        <w:t>）如有确凿证据表明按上述方法进行估值不能客观反映其公允价值的，基金管理人可根据具体情况与基金托管人商定后，按最能反映公允价值的价格估值。</w:t>
      </w:r>
    </w:p>
    <w:p w14:paraId="3F2AD17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14</w:t>
      </w:r>
      <w:r w:rsidRPr="00770E34">
        <w:rPr>
          <w:rFonts w:hAnsi="宋体" w:hint="eastAsia"/>
          <w:szCs w:val="24"/>
        </w:rPr>
        <w:t>）当发生大额申购或赎回情形时，基金管理人可以采用摆动定价机制，以确保基金估值的公平性。</w:t>
      </w:r>
    </w:p>
    <w:p w14:paraId="68B2B49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w:t>
      </w:r>
      <w:r w:rsidRPr="00770E34">
        <w:rPr>
          <w:rFonts w:hAnsi="宋体"/>
          <w:szCs w:val="24"/>
        </w:rPr>
        <w:t>15</w:t>
      </w:r>
      <w:r w:rsidRPr="00770E34">
        <w:rPr>
          <w:rFonts w:hAnsi="宋体" w:hint="eastAsia"/>
          <w:szCs w:val="24"/>
        </w:rPr>
        <w:t>）相关法律法规以及监管部门有强制规定的，从其规定。如有新增事项，按国家最新规定估值。</w:t>
      </w:r>
    </w:p>
    <w:p w14:paraId="2AC625E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CE8CA42" w14:textId="39207D61" w:rsidR="00D315D6" w:rsidRPr="00770E34" w:rsidRDefault="00DB627E">
      <w:pPr>
        <w:pStyle w:val="20"/>
        <w:spacing w:before="0" w:after="0" w:line="520" w:lineRule="atLeast"/>
        <w:ind w:left="0" w:firstLineChars="200" w:firstLine="480"/>
        <w:rPr>
          <w:rFonts w:hAnsi="宋体"/>
          <w:szCs w:val="24"/>
        </w:rPr>
      </w:pPr>
      <w:bookmarkStart w:id="34" w:name="_Hlk47894573"/>
      <w:r w:rsidRPr="00770E34">
        <w:rPr>
          <w:rFonts w:hAnsi="宋体" w:hint="eastAsia"/>
          <w:szCs w:val="24"/>
        </w:rPr>
        <w:t>根据有关法律法规，基金资产净值计算和基金会计核算的义务由基金管理人承担。</w:t>
      </w:r>
      <w:r w:rsidR="00C14E5E" w:rsidRPr="00770E34">
        <w:rPr>
          <w:rFonts w:hAnsi="宋体" w:hint="eastAsia"/>
          <w:szCs w:val="24"/>
        </w:rPr>
        <w:t>本基金的基金会计责任方由基金管理人担任，因此，就与本基金有关的会计问题，如经相关各方在平等基础上充分讨论后，仍无法达成一致的意见，按照基金管理人对基金净值信息的计算结果对外予以公布。</w:t>
      </w:r>
      <w:bookmarkEnd w:id="34"/>
    </w:p>
    <w:p w14:paraId="28EE588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8.3估值差错处理</w:t>
      </w:r>
    </w:p>
    <w:p w14:paraId="5AC66AB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基金管理人和基金托管人将采取必要、适当、合理的措施确保基金资产估值的准确性、及时性。当任一类基金份额净值小数点后</w:t>
      </w:r>
      <w:r w:rsidRPr="00770E34">
        <w:rPr>
          <w:rFonts w:hAnsi="宋体"/>
          <w:szCs w:val="24"/>
        </w:rPr>
        <w:t>4</w:t>
      </w:r>
      <w:r w:rsidRPr="00770E34">
        <w:rPr>
          <w:rFonts w:hAnsi="宋体" w:hint="eastAsia"/>
          <w:szCs w:val="24"/>
        </w:rPr>
        <w:t>位以内</w:t>
      </w:r>
      <w:r w:rsidRPr="00770E34">
        <w:rPr>
          <w:rFonts w:hAnsi="宋体"/>
          <w:szCs w:val="24"/>
        </w:rPr>
        <w:t>(</w:t>
      </w:r>
      <w:r w:rsidRPr="00770E34">
        <w:rPr>
          <w:rFonts w:hAnsi="宋体" w:hint="eastAsia"/>
          <w:szCs w:val="24"/>
        </w:rPr>
        <w:t>含第</w:t>
      </w:r>
      <w:r w:rsidRPr="00770E34">
        <w:rPr>
          <w:rFonts w:hAnsi="宋体"/>
          <w:szCs w:val="24"/>
        </w:rPr>
        <w:t>4</w:t>
      </w:r>
      <w:r w:rsidRPr="00770E34">
        <w:rPr>
          <w:rFonts w:hAnsi="宋体" w:hint="eastAsia"/>
          <w:szCs w:val="24"/>
        </w:rPr>
        <w:t>位</w:t>
      </w:r>
      <w:r w:rsidRPr="00770E34">
        <w:rPr>
          <w:rFonts w:hAnsi="宋体"/>
          <w:szCs w:val="24"/>
        </w:rPr>
        <w:t>)</w:t>
      </w:r>
      <w:r w:rsidRPr="00770E34">
        <w:rPr>
          <w:rFonts w:hAnsi="宋体" w:hint="eastAsia"/>
          <w:szCs w:val="24"/>
        </w:rPr>
        <w:t>发生估值错误时，视为该类基金份额净值错误。</w:t>
      </w:r>
    </w:p>
    <w:p w14:paraId="08F9A3A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基金合同的当事人应按照以下约定处理：</w:t>
      </w:r>
    </w:p>
    <w:p w14:paraId="6C0768E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8.3.1</w:t>
      </w:r>
      <w:r w:rsidRPr="00770E34">
        <w:rPr>
          <w:rFonts w:hAnsi="宋体" w:hint="eastAsia"/>
          <w:szCs w:val="24"/>
        </w:rPr>
        <w:t>估值错误类型</w:t>
      </w:r>
    </w:p>
    <w:p w14:paraId="7351153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770E34">
        <w:rPr>
          <w:rFonts w:hAnsi="宋体"/>
          <w:szCs w:val="24"/>
        </w:rPr>
        <w:t>(“</w:t>
      </w:r>
      <w:r w:rsidRPr="00770E34">
        <w:rPr>
          <w:rFonts w:hAnsi="宋体" w:hint="eastAsia"/>
          <w:szCs w:val="24"/>
        </w:rPr>
        <w:t>受损方</w:t>
      </w:r>
      <w:r w:rsidRPr="00770E34">
        <w:rPr>
          <w:rFonts w:hAnsi="宋体"/>
          <w:szCs w:val="24"/>
        </w:rPr>
        <w:t>”)</w:t>
      </w:r>
      <w:r w:rsidRPr="00770E34">
        <w:rPr>
          <w:rFonts w:hAnsi="宋体" w:hint="eastAsia"/>
          <w:szCs w:val="24"/>
        </w:rPr>
        <w:t>的直接经济损失按下述</w:t>
      </w:r>
      <w:r w:rsidRPr="00770E34">
        <w:rPr>
          <w:rFonts w:hAnsi="宋体"/>
          <w:szCs w:val="24"/>
        </w:rPr>
        <w:t>“</w:t>
      </w:r>
      <w:r w:rsidRPr="00770E34">
        <w:rPr>
          <w:rFonts w:hAnsi="宋体" w:hint="eastAsia"/>
          <w:szCs w:val="24"/>
        </w:rPr>
        <w:t>估值错误处理原则</w:t>
      </w:r>
      <w:r w:rsidRPr="00770E34">
        <w:rPr>
          <w:rFonts w:hAnsi="宋体"/>
          <w:szCs w:val="24"/>
        </w:rPr>
        <w:t>”</w:t>
      </w:r>
      <w:r w:rsidRPr="00770E34">
        <w:rPr>
          <w:rFonts w:hAnsi="宋体" w:hint="eastAsia"/>
          <w:szCs w:val="24"/>
        </w:rPr>
        <w:t>给予赔偿，承担赔偿责任。</w:t>
      </w:r>
    </w:p>
    <w:p w14:paraId="08A836B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上述估值错误的主要类型包括但不限于：资料申报差错、数据传输差错、数据计算差错、系统故障差错、下达指令差错等。</w:t>
      </w:r>
    </w:p>
    <w:p w14:paraId="384748C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8.3.2</w:t>
      </w:r>
      <w:r w:rsidRPr="00770E34">
        <w:rPr>
          <w:rFonts w:hAnsi="宋体" w:hint="eastAsia"/>
          <w:szCs w:val="24"/>
        </w:rPr>
        <w:t>估值错误处理原则</w:t>
      </w:r>
    </w:p>
    <w:p w14:paraId="21BF7BF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w:t>
      </w:r>
      <w:r w:rsidRPr="00770E34">
        <w:rPr>
          <w:rFonts w:hAnsi="宋体" w:hint="eastAsia"/>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A02A63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w:t>
      </w:r>
      <w:r w:rsidRPr="00770E34">
        <w:rPr>
          <w:rFonts w:hAnsi="宋体"/>
          <w:szCs w:val="24"/>
        </w:rPr>
        <w:t>2</w:t>
      </w:r>
      <w:r w:rsidRPr="00770E34">
        <w:rPr>
          <w:rFonts w:hAnsi="宋体" w:hint="eastAsia"/>
          <w:szCs w:val="24"/>
        </w:rPr>
        <w:t>）估值错误的责任方对有关当事人的直接损失负责，不对间接损失负责，并且仅对估值错误的有关直接当事人负责，不对第三方负责。</w:t>
      </w:r>
    </w:p>
    <w:p w14:paraId="62B05C4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3</w:t>
      </w:r>
      <w:r w:rsidRPr="00770E34">
        <w:rPr>
          <w:rFonts w:hAnsi="宋体" w:hint="eastAsia"/>
          <w:szCs w:val="24"/>
        </w:rPr>
        <w:t>）因估值错误而获得不当得利的当事人负有及时返还不当得利的义务。但估值错误责任方仍应对估值错误负责。如果由于获得不当得利的当事人</w:t>
      </w:r>
      <w:proofErr w:type="gramStart"/>
      <w:r w:rsidRPr="00770E34">
        <w:rPr>
          <w:rFonts w:hAnsi="宋体" w:hint="eastAsia"/>
          <w:szCs w:val="24"/>
        </w:rPr>
        <w:t>不</w:t>
      </w:r>
      <w:proofErr w:type="gramEnd"/>
      <w:r w:rsidRPr="00770E34">
        <w:rPr>
          <w:rFonts w:hAnsi="宋体" w:hint="eastAsia"/>
          <w:szCs w:val="24"/>
        </w:rPr>
        <w:t>返还或不全部返还不当得利造成其他当事人的利益损失</w:t>
      </w:r>
      <w:r w:rsidRPr="00770E34">
        <w:rPr>
          <w:rFonts w:hAnsi="宋体"/>
          <w:szCs w:val="24"/>
        </w:rPr>
        <w:t>(“</w:t>
      </w:r>
      <w:r w:rsidRPr="00770E34">
        <w:rPr>
          <w:rFonts w:hAnsi="宋体" w:hint="eastAsia"/>
          <w:szCs w:val="24"/>
        </w:rPr>
        <w:t>受损方</w:t>
      </w:r>
      <w:r w:rsidRPr="00770E34">
        <w:rPr>
          <w:rFonts w:hAnsi="宋体"/>
          <w:szCs w:val="24"/>
        </w:rPr>
        <w:t>”)</w:t>
      </w:r>
      <w:r w:rsidRPr="00770E34">
        <w:rPr>
          <w:rFonts w:hAnsi="宋体" w:hint="eastAsia"/>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2D0319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4</w:t>
      </w:r>
      <w:r w:rsidRPr="00770E34">
        <w:rPr>
          <w:rFonts w:hAnsi="宋体" w:hint="eastAsia"/>
          <w:szCs w:val="24"/>
        </w:rPr>
        <w:t>）估值错误调整采用尽量恢复至假设未发生估值错误的正确情形的方式。</w:t>
      </w:r>
    </w:p>
    <w:p w14:paraId="280BFB2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8.3.3</w:t>
      </w:r>
      <w:r w:rsidRPr="00770E34">
        <w:rPr>
          <w:rFonts w:hAnsi="宋体" w:hint="eastAsia"/>
          <w:szCs w:val="24"/>
        </w:rPr>
        <w:t>估值错误处理程序</w:t>
      </w:r>
    </w:p>
    <w:p w14:paraId="6EAEB39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估值错误被发现后，有关的当事人应当及时进行处理，处理的程序如下：</w:t>
      </w:r>
    </w:p>
    <w:p w14:paraId="3F2CE9C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w:t>
      </w:r>
      <w:r w:rsidRPr="00770E34">
        <w:rPr>
          <w:rFonts w:hAnsi="宋体" w:hint="eastAsia"/>
          <w:szCs w:val="24"/>
        </w:rPr>
        <w:t>）查明估值错误发生的原因，列明所有的当事人，并根据估值错误发生的原因确定估值错误的责任方；</w:t>
      </w:r>
    </w:p>
    <w:p w14:paraId="391107B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2</w:t>
      </w:r>
      <w:r w:rsidRPr="00770E34">
        <w:rPr>
          <w:rFonts w:hAnsi="宋体" w:hint="eastAsia"/>
          <w:szCs w:val="24"/>
        </w:rPr>
        <w:t>）根据估值错误处理原则或当事人协商的方法对因估值错误造成的损失进行评估；</w:t>
      </w:r>
    </w:p>
    <w:p w14:paraId="5D6155C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3</w:t>
      </w:r>
      <w:r w:rsidRPr="00770E34">
        <w:rPr>
          <w:rFonts w:hAnsi="宋体" w:hint="eastAsia"/>
          <w:szCs w:val="24"/>
        </w:rPr>
        <w:t>）根据估值错误处理原则或当事人协商的方法由估值错误的责任方进行更正和赔偿损失；</w:t>
      </w:r>
    </w:p>
    <w:p w14:paraId="7A23FDB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4</w:t>
      </w:r>
      <w:r w:rsidRPr="00770E34">
        <w:rPr>
          <w:rFonts w:hAnsi="宋体" w:hint="eastAsia"/>
          <w:szCs w:val="24"/>
        </w:rPr>
        <w:t>）根据估值错误处理的方法，需要修改基金登记机构交易数据的，由基金登记机构进行更正，并就估值错误的更正向有关当事人进行确认。</w:t>
      </w:r>
    </w:p>
    <w:p w14:paraId="51C95A8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8.3.4</w:t>
      </w:r>
      <w:r w:rsidRPr="00770E34">
        <w:rPr>
          <w:rFonts w:hAnsi="宋体" w:hint="eastAsia"/>
          <w:szCs w:val="24"/>
        </w:rPr>
        <w:t>基金估值错误处理的方法如下：</w:t>
      </w:r>
    </w:p>
    <w:p w14:paraId="34A3C3D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w:t>
      </w:r>
      <w:r w:rsidRPr="00770E34">
        <w:rPr>
          <w:rFonts w:hAnsi="宋体" w:hint="eastAsia"/>
          <w:szCs w:val="24"/>
        </w:rPr>
        <w:t>）基金份额净值出现错误时，基金管理人应当立即予以纠正，通报基金托管人，并采取合理的措施防止损失进一步扩大。</w:t>
      </w:r>
    </w:p>
    <w:p w14:paraId="099CE92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2</w:t>
      </w:r>
      <w:r w:rsidRPr="00770E34">
        <w:rPr>
          <w:rFonts w:hAnsi="宋体" w:hint="eastAsia"/>
          <w:szCs w:val="24"/>
        </w:rPr>
        <w:t>）错误偏差达到该类基金份额净值的</w:t>
      </w:r>
      <w:r w:rsidRPr="00770E34">
        <w:rPr>
          <w:rFonts w:hAnsi="宋体"/>
          <w:szCs w:val="24"/>
        </w:rPr>
        <w:t>0.25%</w:t>
      </w:r>
      <w:r w:rsidRPr="00770E34">
        <w:rPr>
          <w:rFonts w:hAnsi="宋体" w:hint="eastAsia"/>
          <w:szCs w:val="24"/>
        </w:rPr>
        <w:t>时，基金管理人应当通报基金托管人并报中国证监会备案；错误偏差达到该类基金份额净值的</w:t>
      </w:r>
      <w:r w:rsidRPr="00770E34">
        <w:rPr>
          <w:rFonts w:hAnsi="宋体"/>
          <w:szCs w:val="24"/>
        </w:rPr>
        <w:t>0.5%</w:t>
      </w:r>
      <w:r w:rsidRPr="00770E34">
        <w:rPr>
          <w:rFonts w:hAnsi="宋体" w:hint="eastAsia"/>
          <w:szCs w:val="24"/>
        </w:rPr>
        <w:t>时，基金管理人应当公告，通报基金托管人并报中国证监会备案。</w:t>
      </w:r>
    </w:p>
    <w:p w14:paraId="450B4004" w14:textId="65743B63" w:rsidR="005F4AE3" w:rsidRPr="00770E34" w:rsidRDefault="00C14E5E" w:rsidP="002050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3</w:t>
      </w:r>
      <w:r w:rsidRPr="00770E34">
        <w:rPr>
          <w:rFonts w:hAnsi="宋体" w:hint="eastAsia"/>
          <w:szCs w:val="24"/>
        </w:rPr>
        <w:t>）</w:t>
      </w:r>
      <w:r w:rsidR="005F4AE3" w:rsidRPr="00770E34">
        <w:rPr>
          <w:rFonts w:hAnsi="宋体" w:hint="eastAsia"/>
          <w:szCs w:val="24"/>
        </w:rPr>
        <w:t>当基金份额净值计算差错给基金和基金份额持有人造成损失需要进行赔偿时，基金管理人和基金托管人应根据实际情况界定双方承担的责任，经确认后按</w:t>
      </w:r>
      <w:r w:rsidR="005F4AE3" w:rsidRPr="00770E34">
        <w:rPr>
          <w:rFonts w:hAnsi="宋体" w:hint="eastAsia"/>
          <w:szCs w:val="24"/>
        </w:rPr>
        <w:lastRenderedPageBreak/>
        <w:t>以下条款进行赔偿：</w:t>
      </w:r>
    </w:p>
    <w:p w14:paraId="5BA3ABB9" w14:textId="77777777" w:rsidR="005F4AE3" w:rsidRPr="00770E34" w:rsidRDefault="005F4AE3" w:rsidP="0020505E">
      <w:pPr>
        <w:pStyle w:val="20"/>
        <w:spacing w:before="0" w:after="0" w:line="520" w:lineRule="atLeast"/>
        <w:ind w:left="0" w:firstLineChars="200" w:firstLine="480"/>
        <w:rPr>
          <w:rFonts w:hAnsi="宋体"/>
          <w:szCs w:val="24"/>
        </w:rPr>
      </w:pPr>
      <w:r w:rsidRPr="00770E34">
        <w:rPr>
          <w:rFonts w:hAnsi="宋体" w:hint="eastAsia"/>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0FFC2FB" w14:textId="77777777" w:rsidR="005F4AE3" w:rsidRPr="00770E34" w:rsidRDefault="005F4AE3" w:rsidP="0020505E">
      <w:pPr>
        <w:pStyle w:val="20"/>
        <w:spacing w:before="0" w:after="0" w:line="520" w:lineRule="atLeast"/>
        <w:ind w:left="0" w:firstLineChars="200" w:firstLine="480"/>
        <w:rPr>
          <w:rFonts w:hAnsi="宋体"/>
          <w:szCs w:val="24"/>
        </w:rPr>
      </w:pPr>
      <w:r w:rsidRPr="00770E34">
        <w:rPr>
          <w:rFonts w:hAnsi="宋体" w:hint="eastAsia"/>
          <w:szCs w:val="24"/>
        </w:rPr>
        <w:t>②</w:t>
      </w:r>
      <w:proofErr w:type="gramStart"/>
      <w:r w:rsidRPr="00770E34">
        <w:rPr>
          <w:rFonts w:hAnsi="宋体" w:hint="eastAsia"/>
          <w:szCs w:val="24"/>
        </w:rPr>
        <w:t>若基金</w:t>
      </w:r>
      <w:proofErr w:type="gramEnd"/>
      <w:r w:rsidRPr="00770E34">
        <w:rPr>
          <w:rFonts w:hAnsi="宋体" w:hint="eastAsia"/>
          <w:szCs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EE7EACD" w14:textId="77777777" w:rsidR="005F4AE3" w:rsidRPr="00770E34" w:rsidRDefault="005F4AE3" w:rsidP="0020505E">
      <w:pPr>
        <w:pStyle w:val="20"/>
        <w:spacing w:before="0" w:after="0" w:line="520" w:lineRule="atLeast"/>
        <w:ind w:left="0" w:firstLineChars="200" w:firstLine="480"/>
        <w:rPr>
          <w:rFonts w:hAnsi="宋体"/>
          <w:szCs w:val="24"/>
        </w:rPr>
      </w:pPr>
      <w:r w:rsidRPr="00770E34">
        <w:rPr>
          <w:rFonts w:hAnsi="宋体" w:hint="eastAsia"/>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7DEDB55" w14:textId="0227AF97" w:rsidR="005F4AE3" w:rsidRPr="00770E34" w:rsidRDefault="005F4AE3" w:rsidP="005F4AE3">
      <w:pPr>
        <w:pStyle w:val="20"/>
        <w:spacing w:before="0" w:after="0" w:line="520" w:lineRule="atLeast"/>
        <w:ind w:left="0" w:firstLineChars="200" w:firstLine="480"/>
        <w:rPr>
          <w:rFonts w:hAnsi="宋体"/>
          <w:szCs w:val="24"/>
        </w:rPr>
      </w:pPr>
      <w:r w:rsidRPr="00770E34">
        <w:rPr>
          <w:rFonts w:hAnsi="宋体" w:hint="eastAsia"/>
          <w:szCs w:val="24"/>
        </w:rPr>
        <w:t>④由于基金管理人提供的信息错误（包括但不限于基金申购或赎回金额等），进而导致基金份额净值计算错误而引起的基金份额持有人和基金财产的损失，由基金管理人负责赔付。</w:t>
      </w:r>
    </w:p>
    <w:p w14:paraId="63A9FD32" w14:textId="69C50647" w:rsidR="00D315D6" w:rsidRPr="00770E34" w:rsidRDefault="005F4AE3">
      <w:pPr>
        <w:pStyle w:val="20"/>
        <w:spacing w:before="0" w:after="0" w:line="520" w:lineRule="atLeast"/>
        <w:ind w:left="0" w:firstLineChars="200" w:firstLine="480"/>
        <w:rPr>
          <w:rFonts w:hAnsi="宋体"/>
          <w:szCs w:val="24"/>
        </w:rPr>
      </w:pPr>
      <w:r w:rsidRPr="00770E34">
        <w:rPr>
          <w:rFonts w:hAnsi="宋体" w:hint="eastAsia"/>
          <w:szCs w:val="24"/>
        </w:rPr>
        <w:t>（4）</w:t>
      </w:r>
      <w:r w:rsidR="00C14E5E" w:rsidRPr="00770E34">
        <w:rPr>
          <w:rFonts w:hAnsi="宋体" w:hint="eastAsia"/>
          <w:szCs w:val="24"/>
        </w:rPr>
        <w:t>前述内容如法律法规或监管机关另有规定的，从其规定处理。如果行业另有通行做法，基金管理人、基金托管人应本着平等和保护基金份额持有人利益的原则进行协商。</w:t>
      </w:r>
    </w:p>
    <w:p w14:paraId="0B635A8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8.4基金账册的建立</w:t>
      </w:r>
    </w:p>
    <w:p w14:paraId="7D95C8E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764A605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1E601DE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8.5基金定期报告的编制和复核</w:t>
      </w:r>
    </w:p>
    <w:p w14:paraId="6868682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8.5.1基金财务报告由基金管理人编制，</w:t>
      </w:r>
      <w:r w:rsidRPr="00770E34">
        <w:rPr>
          <w:rFonts w:hAnsi="宋体"/>
          <w:szCs w:val="24"/>
        </w:rPr>
        <w:t>基金托管人</w:t>
      </w:r>
      <w:r w:rsidRPr="00770E34">
        <w:rPr>
          <w:rFonts w:hAnsi="宋体" w:hint="eastAsia"/>
          <w:szCs w:val="24"/>
        </w:rPr>
        <w:t>复核。月度报告的编制，应于每月终了后5个工作日内完成。</w:t>
      </w:r>
    </w:p>
    <w:p w14:paraId="0870B1A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8.5.2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665D304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除重大变更事项之外，基金招募说明书、基金产品资料概要其他信息发生变更的，基金管理人至少每年更新一次。基金终止运作的，基金管理人不再更新基金招募说明书和基金产品资料概要。</w:t>
      </w:r>
    </w:p>
    <w:p w14:paraId="20132736" w14:textId="77777777" w:rsidR="00D315D6" w:rsidRPr="00770E34" w:rsidRDefault="00C14E5E">
      <w:pPr>
        <w:pStyle w:val="20"/>
        <w:spacing w:before="0" w:after="0" w:line="520" w:lineRule="atLeast"/>
        <w:ind w:left="0" w:firstLineChars="200" w:firstLine="480"/>
        <w:rPr>
          <w:rFonts w:hAnsi="宋体"/>
          <w:szCs w:val="24"/>
        </w:rPr>
      </w:pPr>
      <w:bookmarkStart w:id="35" w:name="_DV_C270"/>
      <w:r w:rsidRPr="00770E34">
        <w:rPr>
          <w:rFonts w:hAnsi="宋体" w:hint="eastAsia"/>
          <w:szCs w:val="24"/>
        </w:rPr>
        <w:t>8.5.</w:t>
      </w:r>
      <w:r w:rsidRPr="00770E34">
        <w:rPr>
          <w:rFonts w:hAnsi="宋体"/>
          <w:szCs w:val="24"/>
        </w:rPr>
        <w:t>4</w:t>
      </w:r>
      <w:r w:rsidRPr="00770E34">
        <w:rPr>
          <w:rFonts w:hAnsi="宋体" w:hint="eastAsia"/>
          <w:szCs w:val="24"/>
        </w:rPr>
        <w:t>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35"/>
      <w:r w:rsidRPr="00770E34">
        <w:rPr>
          <w:rFonts w:hAnsi="宋体" w:hint="eastAsia"/>
          <w:szCs w:val="24"/>
        </w:rPr>
        <w:t>复核。基金托管人在复核过程中，发现双方的数据、</w:t>
      </w:r>
      <w:r w:rsidRPr="00770E34">
        <w:rPr>
          <w:rFonts w:hAnsi="宋体"/>
          <w:szCs w:val="24"/>
        </w:rPr>
        <w:t>信息</w:t>
      </w:r>
      <w:r w:rsidRPr="00770E34">
        <w:rPr>
          <w:rFonts w:hAnsi="宋体" w:hint="eastAsia"/>
          <w:szCs w:val="24"/>
        </w:rPr>
        <w:t>存在不符时，基金管理人和基金托管人应共同查明原因，进行调整，调整以国家有关规定为准。</w:t>
      </w:r>
    </w:p>
    <w:p w14:paraId="19D3F44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8.5.</w:t>
      </w:r>
      <w:r w:rsidRPr="00770E34">
        <w:rPr>
          <w:rFonts w:hAnsi="宋体"/>
          <w:szCs w:val="24"/>
        </w:rPr>
        <w:t>5</w:t>
      </w:r>
      <w:r w:rsidRPr="00770E34">
        <w:rPr>
          <w:rFonts w:hAnsi="宋体" w:hint="eastAsia"/>
          <w:szCs w:val="24"/>
        </w:rPr>
        <w:t>基金托管人在对财务会计报告、季度、中期报告或年度报告复核完毕后，需盖章确认或出具相应的复核确认书或进行电子确认，以</w:t>
      </w:r>
      <w:proofErr w:type="gramStart"/>
      <w:r w:rsidRPr="00770E34">
        <w:rPr>
          <w:rFonts w:hAnsi="宋体" w:hint="eastAsia"/>
          <w:szCs w:val="24"/>
        </w:rPr>
        <w:t>备有权</w:t>
      </w:r>
      <w:proofErr w:type="gramEnd"/>
      <w:r w:rsidRPr="00770E34">
        <w:rPr>
          <w:rFonts w:hAnsi="宋体" w:hint="eastAsia"/>
          <w:szCs w:val="24"/>
        </w:rPr>
        <w:t>机构对相关文件审核时提示。</w:t>
      </w:r>
    </w:p>
    <w:p w14:paraId="734FCB7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8.6暂停估值的情形</w:t>
      </w:r>
    </w:p>
    <w:p w14:paraId="573E9057"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w:t>
      </w:r>
      <w:r w:rsidRPr="00770E34">
        <w:rPr>
          <w:rFonts w:hAnsi="宋体" w:hint="eastAsia"/>
          <w:szCs w:val="24"/>
        </w:rPr>
        <w:t>）基金投资所涉及的证券、</w:t>
      </w:r>
      <w:r w:rsidRPr="00770E34">
        <w:rPr>
          <w:rFonts w:hAnsi="宋体"/>
          <w:szCs w:val="24"/>
        </w:rPr>
        <w:t>期货</w:t>
      </w:r>
      <w:r w:rsidRPr="00770E34">
        <w:rPr>
          <w:rFonts w:hAnsi="宋体" w:hint="eastAsia"/>
          <w:szCs w:val="24"/>
        </w:rPr>
        <w:t>交易市场遇法定节假日或因其他原因暂停</w:t>
      </w:r>
      <w:r w:rsidRPr="00770E34">
        <w:rPr>
          <w:rFonts w:hAnsi="宋体" w:hint="eastAsia"/>
          <w:szCs w:val="24"/>
        </w:rPr>
        <w:lastRenderedPageBreak/>
        <w:t>营业时；</w:t>
      </w:r>
    </w:p>
    <w:p w14:paraId="16344548"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2</w:t>
      </w:r>
      <w:r w:rsidRPr="00770E34">
        <w:rPr>
          <w:rFonts w:hAnsi="宋体" w:hint="eastAsia"/>
          <w:szCs w:val="24"/>
        </w:rPr>
        <w:t>）因不可抗力致使基金管理人、基金托管人无法准确评估基金资产价值时；</w:t>
      </w:r>
    </w:p>
    <w:p w14:paraId="6E528F4E"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3</w:t>
      </w:r>
      <w:r w:rsidRPr="00770E34">
        <w:rPr>
          <w:rFonts w:hAnsi="宋体" w:hint="eastAsia"/>
          <w:szCs w:val="24"/>
        </w:rPr>
        <w:t>）当特定资产占前一估值日基金资产净值</w:t>
      </w:r>
      <w:r w:rsidRPr="00770E34">
        <w:rPr>
          <w:rFonts w:hAnsi="宋体"/>
          <w:szCs w:val="24"/>
        </w:rPr>
        <w:t>50%</w:t>
      </w:r>
      <w:r w:rsidRPr="00770E34">
        <w:rPr>
          <w:rFonts w:hAnsi="宋体" w:hint="eastAsia"/>
          <w:szCs w:val="24"/>
        </w:rPr>
        <w:t>以上的，经与基金托管人协商确认后，基金管理人应当暂停估值；</w:t>
      </w:r>
    </w:p>
    <w:p w14:paraId="70508D5B"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4</w:t>
      </w:r>
      <w:r w:rsidRPr="00770E34">
        <w:rPr>
          <w:rFonts w:hAnsi="宋体" w:hint="eastAsia"/>
          <w:szCs w:val="24"/>
        </w:rPr>
        <w:t>）法律法规规定、中国证监会和基金合同认定的其它情形。</w:t>
      </w:r>
    </w:p>
    <w:p w14:paraId="5D4BDD29"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8.7特殊情况的处理 </w:t>
      </w:r>
    </w:p>
    <w:p w14:paraId="42704689" w14:textId="77777777" w:rsidR="00D315D6" w:rsidRPr="00770E34" w:rsidRDefault="00C14E5E" w:rsidP="00D02186">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1</w:t>
      </w:r>
      <w:r w:rsidRPr="00770E34">
        <w:rPr>
          <w:rFonts w:hAnsi="宋体" w:hint="eastAsia"/>
          <w:szCs w:val="24"/>
        </w:rPr>
        <w:t>）基金管理人、基金托管人按前述估值方法的第（</w:t>
      </w:r>
      <w:r w:rsidRPr="00770E34">
        <w:rPr>
          <w:rFonts w:hAnsi="宋体"/>
          <w:szCs w:val="24"/>
        </w:rPr>
        <w:t>13</w:t>
      </w:r>
      <w:r w:rsidRPr="00770E34">
        <w:rPr>
          <w:rFonts w:hAnsi="宋体" w:hint="eastAsia"/>
          <w:szCs w:val="24"/>
        </w:rPr>
        <w:t>）项进行估值时，所造成的误差不作为基金资产估值错误处理。</w:t>
      </w:r>
    </w:p>
    <w:p w14:paraId="152AED57" w14:textId="08C9D4A9" w:rsidR="0020505E" w:rsidRPr="00770E34" w:rsidRDefault="00C14E5E" w:rsidP="00D02186">
      <w:pPr>
        <w:pStyle w:val="20"/>
        <w:spacing w:before="0" w:after="0" w:line="520" w:lineRule="atLeast"/>
        <w:ind w:left="0" w:firstLineChars="200" w:firstLine="480"/>
        <w:rPr>
          <w:szCs w:val="24"/>
        </w:rPr>
      </w:pPr>
      <w:r w:rsidRPr="00770E34">
        <w:rPr>
          <w:rFonts w:hAnsi="宋体" w:hint="eastAsia"/>
          <w:szCs w:val="24"/>
        </w:rPr>
        <w:t>（</w:t>
      </w:r>
      <w:r w:rsidRPr="00770E34">
        <w:rPr>
          <w:rFonts w:hAnsi="宋体"/>
          <w:szCs w:val="24"/>
        </w:rPr>
        <w:t>2）由于不可抗力，或证券/期货交易场所、</w:t>
      </w:r>
      <w:bookmarkStart w:id="36" w:name="_Hlk147942689"/>
      <w:r w:rsidRPr="00770E34">
        <w:rPr>
          <w:rFonts w:hAnsi="宋体" w:hint="eastAsia"/>
          <w:szCs w:val="24"/>
        </w:rPr>
        <w:t>指数编制机构、</w:t>
      </w:r>
      <w:r w:rsidRPr="00770E34">
        <w:rPr>
          <w:rFonts w:hAnsi="宋体"/>
          <w:szCs w:val="24"/>
        </w:rPr>
        <w:t>登记结算机构及存款银行</w:t>
      </w:r>
      <w:bookmarkEnd w:id="36"/>
      <w:r w:rsidRPr="00770E34">
        <w:rPr>
          <w:rFonts w:hAnsi="宋体"/>
          <w:szCs w:val="24"/>
        </w:rPr>
        <w:t>等第三方机构发送的数据错误</w:t>
      </w:r>
      <w:bookmarkStart w:id="37" w:name="_Hlk147942714"/>
      <w:r w:rsidRPr="00770E34">
        <w:rPr>
          <w:rFonts w:hAnsi="宋体"/>
          <w:szCs w:val="24"/>
        </w:rPr>
        <w:t>，或国家会计政策变更、市场规则变更等</w:t>
      </w:r>
      <w:proofErr w:type="gramStart"/>
      <w:r w:rsidRPr="00770E34">
        <w:rPr>
          <w:rFonts w:hAnsi="宋体" w:hint="eastAsia"/>
          <w:szCs w:val="24"/>
        </w:rPr>
        <w:t>非基金</w:t>
      </w:r>
      <w:proofErr w:type="gramEnd"/>
      <w:r w:rsidRPr="00770E34">
        <w:rPr>
          <w:rFonts w:hAnsi="宋体" w:hint="eastAsia"/>
          <w:szCs w:val="24"/>
        </w:rPr>
        <w:t>管理人与基金托管人</w:t>
      </w:r>
      <w:bookmarkEnd w:id="37"/>
      <w:r w:rsidRPr="00770E34">
        <w:rPr>
          <w:rFonts w:hAnsi="宋体" w:hint="eastAsia"/>
          <w:szCs w:val="24"/>
        </w:rPr>
        <w:t>原因，基金管理人和基金托管人虽然已经采取必要、适当、合理的措施进行检查，但</w:t>
      </w:r>
      <w:r w:rsidR="0032719C" w:rsidRPr="00770E34">
        <w:rPr>
          <w:rFonts w:hAnsi="宋体" w:hint="eastAsia"/>
          <w:color w:val="000000" w:themeColor="text1"/>
        </w:rPr>
        <w:t>未能发现错误</w:t>
      </w:r>
      <w:r w:rsidR="0032719C" w:rsidRPr="00770E34">
        <w:rPr>
          <w:rFonts w:hint="eastAsia"/>
          <w:bCs/>
        </w:rPr>
        <w:t>或未能避免错误发生或</w:t>
      </w:r>
      <w:proofErr w:type="gramStart"/>
      <w:r w:rsidR="0032719C" w:rsidRPr="00770E34">
        <w:rPr>
          <w:rFonts w:hint="eastAsia"/>
          <w:bCs/>
        </w:rPr>
        <w:t>虽发</w:t>
      </w:r>
      <w:proofErr w:type="gramEnd"/>
      <w:r w:rsidR="0032719C" w:rsidRPr="00770E34">
        <w:rPr>
          <w:rFonts w:hint="eastAsia"/>
          <w:bCs/>
        </w:rPr>
        <w:t>现错误但因前述原因无法及时更正</w:t>
      </w:r>
      <w:r w:rsidR="0032719C" w:rsidRPr="00770E34">
        <w:rPr>
          <w:rFonts w:hAnsi="宋体" w:hint="eastAsia"/>
          <w:color w:val="000000" w:themeColor="text1"/>
        </w:rPr>
        <w:t>的</w:t>
      </w:r>
      <w:r w:rsidRPr="00770E34">
        <w:rPr>
          <w:rFonts w:hAnsi="宋体" w:hint="eastAsia"/>
          <w:szCs w:val="24"/>
        </w:rPr>
        <w:t>，由此造成的基金资产估值错误，基金管理人和基金托管人免除赔偿责任。但基金管理人、基金托管人应当积极采取必要的措施消除或减轻由此造成的影响。</w:t>
      </w:r>
      <w:bookmarkStart w:id="38" w:name="_Toc296551345"/>
    </w:p>
    <w:p w14:paraId="684ECB09" w14:textId="32E1A2AF" w:rsidR="00D315D6" w:rsidRPr="00770E34" w:rsidRDefault="00C14E5E">
      <w:pPr>
        <w:pStyle w:val="1"/>
        <w:spacing w:line="520" w:lineRule="atLeast"/>
        <w:ind w:firstLineChars="200" w:firstLine="482"/>
        <w:rPr>
          <w:bCs/>
          <w:color w:val="auto"/>
          <w:szCs w:val="24"/>
        </w:rPr>
      </w:pPr>
      <w:bookmarkStart w:id="39" w:name="_Toc157264226"/>
      <w:r w:rsidRPr="00770E34">
        <w:rPr>
          <w:rFonts w:hint="eastAsia"/>
          <w:bCs/>
          <w:color w:val="auto"/>
          <w:szCs w:val="24"/>
        </w:rPr>
        <w:t>第九条 基金收益分配</w:t>
      </w:r>
      <w:bookmarkEnd w:id="38"/>
      <w:bookmarkEnd w:id="39"/>
    </w:p>
    <w:p w14:paraId="15987F0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9.1基金利润的构成</w:t>
      </w:r>
    </w:p>
    <w:p w14:paraId="164E0D4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基金利润指基金利息收入、投资收益、公允价值变动收益和其他收入扣除相关费用后的余额，基金已实现收益指基金利润减去公允价值变动收益后的余额。</w:t>
      </w:r>
    </w:p>
    <w:p w14:paraId="4B603F8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9.2基金可供分配利润</w:t>
      </w:r>
    </w:p>
    <w:p w14:paraId="4672C72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基金可供分配利润指截至收益分配基准日基金未分配利润与未分配利润中已实现收益的孰低数。</w:t>
      </w:r>
    </w:p>
    <w:p w14:paraId="3C4E450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9.3收益分配原则</w:t>
      </w:r>
    </w:p>
    <w:p w14:paraId="21BC24E5" w14:textId="77777777" w:rsidR="00D315D6" w:rsidRPr="00770E34" w:rsidRDefault="00C14E5E">
      <w:pPr>
        <w:spacing w:line="520" w:lineRule="atLeast"/>
        <w:ind w:firstLineChars="225" w:firstLine="540"/>
        <w:rPr>
          <w:bCs/>
          <w:sz w:val="24"/>
          <w:szCs w:val="24"/>
        </w:rPr>
      </w:pPr>
      <w:permStart w:id="11751175" w:edGrp="everyone"/>
      <w:r w:rsidRPr="00770E34">
        <w:rPr>
          <w:rFonts w:hint="eastAsia"/>
          <w:bCs/>
          <w:sz w:val="24"/>
          <w:szCs w:val="24"/>
        </w:rPr>
        <w:t>（</w:t>
      </w:r>
      <w:r w:rsidRPr="00770E34">
        <w:rPr>
          <w:rFonts w:hint="eastAsia"/>
          <w:bCs/>
          <w:sz w:val="24"/>
          <w:szCs w:val="24"/>
        </w:rPr>
        <w:t>1</w:t>
      </w:r>
      <w:r w:rsidRPr="00770E34">
        <w:rPr>
          <w:rFonts w:hint="eastAsia"/>
          <w:bCs/>
          <w:sz w:val="24"/>
          <w:szCs w:val="24"/>
        </w:rPr>
        <w:t>）在符合有关基金分红条件的前提下，本基金可进行收益分配，具体分红方案</w:t>
      </w:r>
      <w:proofErr w:type="gramStart"/>
      <w:r w:rsidRPr="00770E34">
        <w:rPr>
          <w:rFonts w:hint="eastAsia"/>
          <w:bCs/>
          <w:sz w:val="24"/>
          <w:szCs w:val="24"/>
        </w:rPr>
        <w:t>见基金</w:t>
      </w:r>
      <w:proofErr w:type="gramEnd"/>
      <w:r w:rsidRPr="00770E34">
        <w:rPr>
          <w:rFonts w:hint="eastAsia"/>
          <w:bCs/>
          <w:sz w:val="24"/>
          <w:szCs w:val="24"/>
        </w:rPr>
        <w:t>管理人根据基金运作情况届时不定期发布的相关分红公告；若《基金合同》生效不满</w:t>
      </w:r>
      <w:r w:rsidRPr="00770E34">
        <w:rPr>
          <w:rFonts w:hint="eastAsia"/>
          <w:bCs/>
          <w:sz w:val="24"/>
          <w:szCs w:val="24"/>
        </w:rPr>
        <w:t>3</w:t>
      </w:r>
      <w:r w:rsidRPr="00770E34">
        <w:rPr>
          <w:rFonts w:hint="eastAsia"/>
          <w:bCs/>
          <w:sz w:val="24"/>
          <w:szCs w:val="24"/>
        </w:rPr>
        <w:t>个月可不进行收益分配；</w:t>
      </w:r>
    </w:p>
    <w:p w14:paraId="49E033DE" w14:textId="77777777" w:rsidR="00D315D6" w:rsidRPr="00770E34" w:rsidRDefault="00C14E5E">
      <w:pPr>
        <w:spacing w:line="520" w:lineRule="atLeast"/>
        <w:ind w:firstLineChars="225" w:firstLine="540"/>
        <w:rPr>
          <w:bCs/>
          <w:sz w:val="24"/>
          <w:szCs w:val="24"/>
        </w:rPr>
      </w:pPr>
      <w:r w:rsidRPr="00770E34">
        <w:rPr>
          <w:rFonts w:hint="eastAsia"/>
          <w:bCs/>
          <w:sz w:val="24"/>
          <w:szCs w:val="24"/>
        </w:rPr>
        <w:t>（</w:t>
      </w:r>
      <w:r w:rsidRPr="00770E34">
        <w:rPr>
          <w:bCs/>
          <w:sz w:val="24"/>
          <w:szCs w:val="24"/>
        </w:rPr>
        <w:t>2</w:t>
      </w:r>
      <w:r w:rsidRPr="00770E34">
        <w:rPr>
          <w:rFonts w:hint="eastAsia"/>
          <w:bCs/>
          <w:sz w:val="24"/>
          <w:szCs w:val="24"/>
        </w:rPr>
        <w:t>）本基金收益分配方式分两种：现金分红与红利再投资，投资者可选择现金红利或将现金红利自动转为相应类别的基金份额进行再投资；若投资者不选择，</w:t>
      </w:r>
      <w:r w:rsidRPr="00770E34">
        <w:rPr>
          <w:rFonts w:hint="eastAsia"/>
          <w:bCs/>
          <w:sz w:val="24"/>
          <w:szCs w:val="24"/>
        </w:rPr>
        <w:lastRenderedPageBreak/>
        <w:t>本基金默认的收益分配方式是现金分红；</w:t>
      </w:r>
    </w:p>
    <w:p w14:paraId="39329AD9" w14:textId="77777777" w:rsidR="00D315D6" w:rsidRPr="00770E34" w:rsidRDefault="00C14E5E">
      <w:pPr>
        <w:spacing w:line="520" w:lineRule="atLeast"/>
        <w:ind w:firstLineChars="225" w:firstLine="540"/>
        <w:rPr>
          <w:bCs/>
          <w:sz w:val="24"/>
          <w:szCs w:val="24"/>
        </w:rPr>
      </w:pPr>
      <w:r w:rsidRPr="00770E34">
        <w:rPr>
          <w:rFonts w:hint="eastAsia"/>
          <w:bCs/>
          <w:sz w:val="24"/>
          <w:szCs w:val="24"/>
        </w:rPr>
        <w:t>（</w:t>
      </w:r>
      <w:r w:rsidRPr="00770E34">
        <w:rPr>
          <w:bCs/>
          <w:sz w:val="24"/>
          <w:szCs w:val="24"/>
        </w:rPr>
        <w:t>3</w:t>
      </w:r>
      <w:r w:rsidRPr="00770E34">
        <w:rPr>
          <w:rFonts w:hint="eastAsia"/>
          <w:bCs/>
          <w:sz w:val="24"/>
          <w:szCs w:val="24"/>
        </w:rPr>
        <w:t>）由于本基金各类基金份额的费用不同，各基金份额类别对应的可分配收益将有所不同，本基金同一类别的每一基金份额享有同等分配权；</w:t>
      </w:r>
    </w:p>
    <w:p w14:paraId="656B5072" w14:textId="77777777" w:rsidR="00D315D6" w:rsidRPr="00770E34" w:rsidRDefault="00C14E5E">
      <w:pPr>
        <w:spacing w:line="520" w:lineRule="atLeast"/>
        <w:ind w:firstLineChars="225" w:firstLine="540"/>
        <w:rPr>
          <w:bCs/>
          <w:sz w:val="24"/>
          <w:szCs w:val="24"/>
        </w:rPr>
      </w:pPr>
      <w:r w:rsidRPr="00770E34">
        <w:rPr>
          <w:rFonts w:hint="eastAsia"/>
          <w:bCs/>
          <w:sz w:val="24"/>
          <w:szCs w:val="24"/>
        </w:rPr>
        <w:t>（</w:t>
      </w:r>
      <w:r w:rsidRPr="00770E34">
        <w:rPr>
          <w:bCs/>
          <w:sz w:val="24"/>
          <w:szCs w:val="24"/>
        </w:rPr>
        <w:t>4</w:t>
      </w:r>
      <w:r w:rsidRPr="00770E34">
        <w:rPr>
          <w:rFonts w:hint="eastAsia"/>
          <w:bCs/>
          <w:sz w:val="24"/>
          <w:szCs w:val="24"/>
        </w:rPr>
        <w:t>）法律法规或监管机关另有规定的，从其规定。</w:t>
      </w:r>
    </w:p>
    <w:p w14:paraId="1359D0C1" w14:textId="77777777" w:rsidR="0020505E" w:rsidRPr="00770E34" w:rsidRDefault="00C14E5E">
      <w:pPr>
        <w:pStyle w:val="20"/>
        <w:spacing w:before="0" w:after="0" w:line="520" w:lineRule="atLeast"/>
        <w:ind w:left="0" w:firstLineChars="200" w:firstLine="480"/>
        <w:rPr>
          <w:bCs/>
          <w:szCs w:val="24"/>
        </w:rPr>
      </w:pPr>
      <w:r w:rsidRPr="00770E34">
        <w:rPr>
          <w:rFonts w:hint="eastAsia"/>
          <w:bCs/>
          <w:szCs w:val="24"/>
        </w:rPr>
        <w:t>在符合法律法规及基金合同约定，并对基金份额持有人利益无实质不利影响的前提下，基金管理人经与基金托管人协商一致后可对基金收益分配原则和支付方式进行调整，不需召开基金份额持有人大会。</w:t>
      </w:r>
    </w:p>
    <w:permEnd w:id="11751175"/>
    <w:p w14:paraId="60FA088B" w14:textId="69A25312"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9.4收益分配方案</w:t>
      </w:r>
    </w:p>
    <w:p w14:paraId="1203D917" w14:textId="77777777" w:rsidR="00D315D6" w:rsidRPr="00770E34" w:rsidRDefault="00C14E5E">
      <w:pPr>
        <w:pStyle w:val="20"/>
        <w:spacing w:before="0" w:after="0" w:line="520" w:lineRule="atLeast"/>
        <w:ind w:left="0" w:firstLineChars="200" w:firstLine="480"/>
        <w:rPr>
          <w:bCs/>
          <w:color w:val="000000" w:themeColor="text1"/>
        </w:rPr>
      </w:pPr>
      <w:r w:rsidRPr="00770E34">
        <w:rPr>
          <w:rFonts w:hint="eastAsia"/>
          <w:bCs/>
          <w:color w:val="000000" w:themeColor="text1"/>
        </w:rPr>
        <w:t>基金收益分配方案中应载明截</w:t>
      </w:r>
      <w:r w:rsidRPr="00770E34">
        <w:rPr>
          <w:rFonts w:hAnsi="宋体" w:hint="eastAsia"/>
          <w:bCs/>
          <w:szCs w:val="24"/>
        </w:rPr>
        <w:t>至</w:t>
      </w:r>
      <w:r w:rsidRPr="00770E34">
        <w:rPr>
          <w:rFonts w:hint="eastAsia"/>
          <w:bCs/>
          <w:color w:val="000000" w:themeColor="text1"/>
        </w:rPr>
        <w:t>收益分配基准日的可供分配利润、基金收益分配对象、分配时间、分配数额及比例、分配方式等内容。由于不同基金份额类别对应的可分配收益不同，基金管理人可相应制定不同的收益分配方案。</w:t>
      </w:r>
    </w:p>
    <w:p w14:paraId="38AC0B6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9.5收益分配方案的确定、公告与实施</w:t>
      </w:r>
    </w:p>
    <w:p w14:paraId="3B3DD278" w14:textId="77777777" w:rsidR="00D315D6" w:rsidRPr="00770E34" w:rsidRDefault="00C14E5E">
      <w:pPr>
        <w:pStyle w:val="20"/>
        <w:spacing w:before="0" w:after="0" w:line="520" w:lineRule="atLeast"/>
        <w:ind w:left="0" w:firstLineChars="200" w:firstLine="480"/>
        <w:rPr>
          <w:bCs/>
        </w:rPr>
      </w:pPr>
      <w:r w:rsidRPr="00770E34">
        <w:rPr>
          <w:rFonts w:hAnsi="宋体" w:hint="eastAsia"/>
          <w:szCs w:val="24"/>
        </w:rPr>
        <w:t>9.5.1本基金收益分配方案由基金管理人拟定，并由基金托管人复核，在2日内在规定媒介公告。</w:t>
      </w:r>
    </w:p>
    <w:p w14:paraId="4DC028F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9.5.2在收益分配方案公布后，基金管理人依据具体方案的规定就支付的现金红利向基金托管人发送划款指令，基金托管人按照基金管理人的指令及时进行分红资金的划付。</w:t>
      </w:r>
    </w:p>
    <w:p w14:paraId="5FEFC69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9.5.3法律法规或监管机关另有规定的，从其规定。</w:t>
      </w:r>
    </w:p>
    <w:p w14:paraId="0CA1B625" w14:textId="77777777" w:rsidR="00D315D6" w:rsidRPr="00770E34" w:rsidRDefault="00C14E5E">
      <w:pPr>
        <w:pStyle w:val="1"/>
        <w:spacing w:line="520" w:lineRule="atLeast"/>
        <w:ind w:firstLineChars="200" w:firstLine="482"/>
        <w:rPr>
          <w:bCs/>
          <w:color w:val="auto"/>
          <w:szCs w:val="24"/>
        </w:rPr>
      </w:pPr>
      <w:bookmarkStart w:id="40" w:name="_Toc296551346"/>
      <w:bookmarkStart w:id="41" w:name="_Toc157264227"/>
      <w:r w:rsidRPr="00770E34">
        <w:rPr>
          <w:rFonts w:hint="eastAsia"/>
          <w:bCs/>
          <w:color w:val="auto"/>
          <w:szCs w:val="24"/>
        </w:rPr>
        <w:t>第十条 信息披露</w:t>
      </w:r>
      <w:bookmarkEnd w:id="40"/>
      <w:bookmarkEnd w:id="41"/>
    </w:p>
    <w:p w14:paraId="32D55A8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10.1保密义务</w:t>
      </w:r>
    </w:p>
    <w:p w14:paraId="3DFE792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除按照《基金法》、《运作办法》、《信息披露办法》、《流动性</w:t>
      </w:r>
      <w:r w:rsidRPr="00770E34">
        <w:rPr>
          <w:rFonts w:hAnsi="宋体"/>
          <w:szCs w:val="24"/>
        </w:rPr>
        <w:t>风险管理规定</w:t>
      </w:r>
      <w:r w:rsidRPr="00770E34">
        <w:rPr>
          <w:rFonts w:hAnsi="宋体" w:hint="eastAsia"/>
          <w:szCs w:val="24"/>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67BC3E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（1）非因基金管理人和基金托管人的原因导致保密信息被披露、泄露或公开；</w:t>
      </w:r>
    </w:p>
    <w:p w14:paraId="35169DB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（2）基金管理人和基金托管人为遵守和服从法院判决或裁定、仲裁裁决或中</w:t>
      </w:r>
      <w:r w:rsidRPr="00770E34">
        <w:rPr>
          <w:rFonts w:hAnsi="宋体" w:hint="eastAsia"/>
          <w:szCs w:val="24"/>
        </w:rPr>
        <w:lastRenderedPageBreak/>
        <w:t>国证监会等监管机构的命令、决定所做出的信息披露或公开；</w:t>
      </w:r>
    </w:p>
    <w:p w14:paraId="3FACCBB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（3）基金管理人和基金托管人在要求保密的前提下对自身聘请的外部法律顾问、财务顾问、审计人员、技术顾问等做出的必要信息披露。</w:t>
      </w:r>
    </w:p>
    <w:p w14:paraId="6311318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10.2基金管理人和基金托管人在信息披露中的职责和信息披露程序</w:t>
      </w:r>
    </w:p>
    <w:p w14:paraId="25A7064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13A7B42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清算报告、投资资产支持证券、</w:t>
      </w:r>
      <w:r w:rsidRPr="00770E34">
        <w:rPr>
          <w:rFonts w:ascii="Calibri" w:hAnsi="Calibri" w:hint="eastAsia"/>
          <w:bCs/>
          <w:color w:val="000000" w:themeColor="text1"/>
        </w:rPr>
        <w:t>股指期货、</w:t>
      </w:r>
      <w:r w:rsidRPr="00770E34">
        <w:rPr>
          <w:rFonts w:hAnsi="宋体" w:hint="eastAsia"/>
          <w:szCs w:val="24"/>
        </w:rPr>
        <w:t>国债期货、</w:t>
      </w:r>
      <w:r w:rsidRPr="00770E34">
        <w:rPr>
          <w:rFonts w:hint="eastAsia"/>
          <w:bCs/>
          <w:color w:val="000000" w:themeColor="text1"/>
        </w:rPr>
        <w:t>存托凭证、参与融资和转融通证券出借业务的相关公告、实施</w:t>
      </w:r>
      <w:proofErr w:type="gramStart"/>
      <w:r w:rsidRPr="00770E34">
        <w:rPr>
          <w:rFonts w:hint="eastAsia"/>
          <w:bCs/>
          <w:color w:val="000000" w:themeColor="text1"/>
        </w:rPr>
        <w:t>侧袋机制</w:t>
      </w:r>
      <w:proofErr w:type="gramEnd"/>
      <w:r w:rsidRPr="00770E34">
        <w:rPr>
          <w:rFonts w:hint="eastAsia"/>
          <w:bCs/>
          <w:color w:val="000000" w:themeColor="text1"/>
        </w:rPr>
        <w:t>期间的信息披露</w:t>
      </w:r>
      <w:r w:rsidRPr="00770E34">
        <w:rPr>
          <w:rFonts w:hAnsi="宋体" w:hint="eastAsia"/>
          <w:szCs w:val="24"/>
        </w:rPr>
        <w:t>以及中国证监会规定的其他信息。</w:t>
      </w:r>
    </w:p>
    <w:p w14:paraId="23B6C2B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10.2.3</w:t>
      </w:r>
      <w:bookmarkStart w:id="42" w:name="_Hlk156152867"/>
      <w:r w:rsidRPr="00770E34">
        <w:rPr>
          <w:rFonts w:hAnsi="宋体" w:hint="eastAsia"/>
          <w:szCs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3557AC3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w:t>
      </w:r>
      <w:r w:rsidRPr="00770E34">
        <w:rPr>
          <w:rFonts w:hAnsi="宋体"/>
          <w:szCs w:val="24"/>
        </w:rPr>
        <w:t>4</w:t>
      </w:r>
      <w:r w:rsidRPr="00770E34">
        <w:rPr>
          <w:rFonts w:hAnsi="宋体" w:hint="eastAsia"/>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bookmarkEnd w:id="42"/>
    </w:p>
    <w:p w14:paraId="7F76580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w:t>
      </w:r>
      <w:r w:rsidRPr="00770E34">
        <w:rPr>
          <w:rFonts w:hAnsi="宋体"/>
          <w:szCs w:val="24"/>
        </w:rPr>
        <w:t>5</w:t>
      </w:r>
      <w:r w:rsidRPr="00770E34">
        <w:rPr>
          <w:rFonts w:hAnsi="宋体" w:hint="eastAsia"/>
          <w:szCs w:val="24"/>
        </w:rPr>
        <w:t>基金年度</w:t>
      </w:r>
      <w:r w:rsidRPr="00770E34">
        <w:rPr>
          <w:rFonts w:hAnsi="宋体"/>
          <w:szCs w:val="24"/>
        </w:rPr>
        <w:t>报</w:t>
      </w:r>
      <w:r w:rsidRPr="00770E34">
        <w:rPr>
          <w:rFonts w:hAnsi="宋体" w:hint="eastAsia"/>
          <w:szCs w:val="24"/>
        </w:rPr>
        <w:t>告中的财务报告部分，</w:t>
      </w:r>
      <w:proofErr w:type="gramStart"/>
      <w:r w:rsidRPr="00770E34">
        <w:rPr>
          <w:rFonts w:hAnsi="宋体" w:hint="eastAsia"/>
          <w:szCs w:val="24"/>
        </w:rPr>
        <w:t>经符合</w:t>
      </w:r>
      <w:proofErr w:type="gramEnd"/>
      <w:r w:rsidRPr="00770E34">
        <w:rPr>
          <w:rFonts w:hAnsi="宋体" w:hint="eastAsia"/>
          <w:szCs w:val="24"/>
        </w:rPr>
        <w:t>《中华人民共和国证券法》规定的会计师事务所审计后，方可披露。</w:t>
      </w:r>
    </w:p>
    <w:p w14:paraId="7A1BD82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10.2.</w:t>
      </w:r>
      <w:r w:rsidRPr="00770E34">
        <w:rPr>
          <w:rFonts w:hAnsi="宋体"/>
          <w:szCs w:val="24"/>
        </w:rPr>
        <w:t>6</w:t>
      </w:r>
      <w:r w:rsidRPr="00770E34">
        <w:rPr>
          <w:rFonts w:hAnsi="宋体" w:hint="eastAsia"/>
          <w:szCs w:val="24"/>
        </w:rPr>
        <w:t>基金管理人应当在中国证监会规定的时间内，将应予披露的基金信息通过中国证监会规定媒介披露。根据法律法规应由基金托管人公开披露的信息，基金托管人将通过中国证监会规定媒介公开披露。</w:t>
      </w:r>
    </w:p>
    <w:p w14:paraId="1940920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10.2.</w:t>
      </w:r>
      <w:r w:rsidRPr="00770E34">
        <w:rPr>
          <w:rFonts w:hAnsi="宋体"/>
          <w:szCs w:val="24"/>
        </w:rPr>
        <w:t>7</w:t>
      </w:r>
      <w:r w:rsidRPr="00770E34">
        <w:rPr>
          <w:rFonts w:hAnsi="宋体" w:hint="eastAsia"/>
          <w:szCs w:val="24"/>
        </w:rPr>
        <w:t>予以披露的信息文本，存放在基金管理人和基金托管人处，投资人可以免费查阅。在支付工本费后可在合理时间获得上述文件的复制件或复印件。基金管理人和基金托管人应保证文本的内容与所公告的内容完全一致。</w:t>
      </w:r>
    </w:p>
    <w:p w14:paraId="5D2E2CF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10.3暂停或延迟信息披露的情形</w:t>
      </w:r>
    </w:p>
    <w:p w14:paraId="4F80028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（1）基金投资所涉及的证券、期货交易市场遇法定节假日或因其他原因暂停营业时；</w:t>
      </w:r>
    </w:p>
    <w:p w14:paraId="7CEEE0F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（2）不可抗力；</w:t>
      </w:r>
    </w:p>
    <w:p w14:paraId="73396CB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w:t>
      </w:r>
      <w:r w:rsidRPr="00770E34">
        <w:rPr>
          <w:rFonts w:hint="eastAsia"/>
          <w:bCs/>
        </w:rPr>
        <w:t>发生暂停估值的情形；</w:t>
      </w:r>
    </w:p>
    <w:p w14:paraId="7D0BEA5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（4）法律法规、</w:t>
      </w:r>
      <w:r w:rsidRPr="00770E34">
        <w:rPr>
          <w:rFonts w:hAnsi="宋体" w:hint="eastAsia"/>
        </w:rPr>
        <w:t>基金合同或</w:t>
      </w:r>
      <w:r w:rsidRPr="00770E34">
        <w:rPr>
          <w:rFonts w:hAnsi="宋体" w:hint="eastAsia"/>
          <w:szCs w:val="24"/>
        </w:rPr>
        <w:t>中国证监会规定的其他情况。</w:t>
      </w:r>
    </w:p>
    <w:p w14:paraId="4D2ADBC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10.4基金托管人报告</w:t>
      </w:r>
    </w:p>
    <w:p w14:paraId="003F6EF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基金托管人应按《基金法》、《运作办法》、《信息披露办法》和其他有关法律法规的规定于每个上半年度结束后两个</w:t>
      </w:r>
      <w:r w:rsidRPr="00770E34">
        <w:rPr>
          <w:rFonts w:hAnsi="宋体"/>
          <w:szCs w:val="24"/>
        </w:rPr>
        <w:t>月</w:t>
      </w:r>
      <w:r w:rsidRPr="00770E34">
        <w:rPr>
          <w:rFonts w:hAnsi="宋体" w:hint="eastAsia"/>
          <w:szCs w:val="24"/>
        </w:rPr>
        <w:t>内、每个会计年度结束后三个</w:t>
      </w:r>
      <w:r w:rsidRPr="00770E34">
        <w:rPr>
          <w:rFonts w:hAnsi="宋体"/>
          <w:szCs w:val="24"/>
        </w:rPr>
        <w:t>月</w:t>
      </w:r>
      <w:proofErr w:type="gramStart"/>
      <w:r w:rsidRPr="00770E34">
        <w:rPr>
          <w:rFonts w:hAnsi="宋体" w:hint="eastAsia"/>
          <w:szCs w:val="24"/>
        </w:rPr>
        <w:t>内在基金</w:t>
      </w:r>
      <w:proofErr w:type="gramEnd"/>
      <w:r w:rsidRPr="00770E34">
        <w:rPr>
          <w:rFonts w:hAnsi="宋体" w:hint="eastAsia"/>
          <w:szCs w:val="24"/>
        </w:rPr>
        <w:t>中期报告及年度报告中分别出具基金托管人报告，</w:t>
      </w:r>
      <w:r w:rsidRPr="00770E34">
        <w:rPr>
          <w:rFonts w:hAnsi="宋体"/>
          <w:szCs w:val="24"/>
        </w:rPr>
        <w:t>并提交给基金管理人</w:t>
      </w:r>
      <w:r w:rsidRPr="00770E34">
        <w:rPr>
          <w:rFonts w:hAnsi="宋体" w:hint="eastAsia"/>
          <w:szCs w:val="24"/>
        </w:rPr>
        <w:t>。</w:t>
      </w:r>
    </w:p>
    <w:p w14:paraId="1C8FC5C1" w14:textId="77777777" w:rsidR="00D315D6" w:rsidRPr="00770E34" w:rsidRDefault="00C14E5E">
      <w:pPr>
        <w:pStyle w:val="1"/>
        <w:spacing w:line="520" w:lineRule="atLeast"/>
        <w:ind w:firstLineChars="200" w:firstLine="482"/>
        <w:rPr>
          <w:bCs/>
          <w:color w:val="auto"/>
          <w:szCs w:val="24"/>
        </w:rPr>
      </w:pPr>
      <w:bookmarkStart w:id="43" w:name="_Toc296551347"/>
      <w:bookmarkStart w:id="44" w:name="_Toc157264228"/>
      <w:r w:rsidRPr="00770E34">
        <w:rPr>
          <w:rFonts w:hint="eastAsia"/>
          <w:bCs/>
          <w:color w:val="auto"/>
          <w:szCs w:val="24"/>
        </w:rPr>
        <w:t>第十一条 基金费用</w:t>
      </w:r>
      <w:bookmarkEnd w:id="43"/>
      <w:bookmarkEnd w:id="44"/>
    </w:p>
    <w:p w14:paraId="52A24B6A" w14:textId="77777777" w:rsidR="00D315D6" w:rsidRPr="00770E34" w:rsidRDefault="00C14E5E">
      <w:pPr>
        <w:pStyle w:val="20"/>
        <w:spacing w:before="0" w:after="0" w:line="520" w:lineRule="atLeast"/>
        <w:ind w:left="0" w:firstLineChars="200" w:firstLine="480"/>
        <w:rPr>
          <w:rFonts w:hAnsi="宋体"/>
          <w:szCs w:val="24"/>
        </w:rPr>
      </w:pPr>
      <w:bookmarkStart w:id="45" w:name="_Hlk156153701"/>
      <w:permStart w:id="785514973" w:edGrp="everyone"/>
      <w:r w:rsidRPr="00770E34">
        <w:rPr>
          <w:rFonts w:hAnsi="宋体" w:hint="eastAsia"/>
          <w:szCs w:val="24"/>
        </w:rPr>
        <w:t>11.1基金管理费的计提比例和计提方法</w:t>
      </w:r>
    </w:p>
    <w:p w14:paraId="3734029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本基金的管理费按前一日基金资产净值的【</w:t>
      </w:r>
      <w:r w:rsidRPr="00770E34">
        <w:rPr>
          <w:rFonts w:hAnsi="宋体"/>
          <w:szCs w:val="24"/>
        </w:rPr>
        <w:t>0.50%</w:t>
      </w:r>
      <w:r w:rsidRPr="00770E34">
        <w:rPr>
          <w:rFonts w:hAnsi="宋体" w:hint="eastAsia"/>
          <w:szCs w:val="24"/>
        </w:rPr>
        <w:t>】年费率计提。管理费的计算方法如下：</w:t>
      </w:r>
    </w:p>
    <w:p w14:paraId="61552A7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H＝E×</w:t>
      </w:r>
      <w:r w:rsidRPr="00770E34">
        <w:rPr>
          <w:rFonts w:hAnsi="宋体" w:hint="eastAsia"/>
        </w:rPr>
        <w:t>【</w:t>
      </w:r>
      <w:r w:rsidRPr="00770E34">
        <w:rPr>
          <w:rFonts w:hAnsi="宋体"/>
          <w:szCs w:val="24"/>
        </w:rPr>
        <w:t>0.50%</w:t>
      </w:r>
      <w:r w:rsidRPr="00770E34">
        <w:rPr>
          <w:rFonts w:hAnsi="宋体" w:hint="eastAsia"/>
        </w:rPr>
        <w:t>】</w:t>
      </w:r>
      <w:r w:rsidRPr="00770E34">
        <w:rPr>
          <w:rFonts w:hAnsi="宋体" w:hint="eastAsia"/>
          <w:szCs w:val="24"/>
        </w:rPr>
        <w:t>÷当年天数</w:t>
      </w:r>
    </w:p>
    <w:p w14:paraId="1B4ABA2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H为每日应计提的基金管理费</w:t>
      </w:r>
    </w:p>
    <w:p w14:paraId="1CD4100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E为前一日的基金资产净值</w:t>
      </w:r>
    </w:p>
    <w:p w14:paraId="0E76EC27" w14:textId="77777777" w:rsidR="00D315D6" w:rsidRPr="00770E34" w:rsidRDefault="00C14E5E">
      <w:pPr>
        <w:pStyle w:val="20"/>
        <w:spacing w:before="0" w:after="0" w:line="520" w:lineRule="atLeast"/>
        <w:ind w:left="0" w:firstLineChars="200" w:firstLine="480"/>
        <w:rPr>
          <w:rFonts w:hAnsi="宋体"/>
          <w:szCs w:val="24"/>
        </w:rPr>
      </w:pPr>
      <w:bookmarkStart w:id="46" w:name="_Hlk155887835"/>
      <w:r w:rsidRPr="00770E34">
        <w:rPr>
          <w:rFonts w:hAnsi="宋体" w:hint="eastAsia"/>
          <w:szCs w:val="24"/>
        </w:rPr>
        <w:t>基金管理费每日计算，</w:t>
      </w:r>
      <w:r w:rsidRPr="00770E34">
        <w:rPr>
          <w:rFonts w:hAnsi="宋体" w:hint="eastAsia"/>
        </w:rPr>
        <w:t>逐日累计至</w:t>
      </w:r>
      <w:r w:rsidRPr="00770E34">
        <w:rPr>
          <w:rFonts w:hAnsi="宋体" w:hint="eastAsia"/>
          <w:szCs w:val="24"/>
        </w:rPr>
        <w:t>每</w:t>
      </w:r>
      <w:r w:rsidRPr="00770E34">
        <w:rPr>
          <w:rFonts w:hAnsi="宋体" w:hint="eastAsia"/>
        </w:rPr>
        <w:t>月月末，</w:t>
      </w:r>
      <w:r w:rsidRPr="00770E34">
        <w:rPr>
          <w:rFonts w:hAnsi="宋体" w:hint="eastAsia"/>
          <w:szCs w:val="24"/>
        </w:rPr>
        <w:t>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bookmarkEnd w:id="46"/>
    <w:p w14:paraId="034E5C5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11.2基金托管费的计提比例和计提方法</w:t>
      </w:r>
    </w:p>
    <w:p w14:paraId="7038B2EB" w14:textId="0C7FC26F"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本基金的托管费按前一日基金资产净值的【</w:t>
      </w:r>
      <w:r w:rsidRPr="00770E34">
        <w:rPr>
          <w:rFonts w:hAnsi="宋体"/>
          <w:szCs w:val="24"/>
        </w:rPr>
        <w:t>0.10</w:t>
      </w:r>
      <w:r w:rsidR="0032719C" w:rsidRPr="00770E34">
        <w:rPr>
          <w:rFonts w:hAnsi="宋体"/>
          <w:szCs w:val="24"/>
        </w:rPr>
        <w:t>%</w:t>
      </w:r>
      <w:r w:rsidRPr="00770E34">
        <w:rPr>
          <w:rFonts w:hAnsi="宋体" w:hint="eastAsia"/>
          <w:szCs w:val="24"/>
        </w:rPr>
        <w:t>】的年费率计提。托管费的计算方法如下：</w:t>
      </w:r>
    </w:p>
    <w:p w14:paraId="4A34C840" w14:textId="39C2CC20"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H＝E×【</w:t>
      </w:r>
      <w:r w:rsidRPr="00770E34">
        <w:rPr>
          <w:rFonts w:hAnsi="宋体"/>
          <w:szCs w:val="24"/>
        </w:rPr>
        <w:t>0.10</w:t>
      </w:r>
      <w:r w:rsidR="0032719C" w:rsidRPr="00770E34">
        <w:rPr>
          <w:rFonts w:hAnsi="宋体"/>
          <w:szCs w:val="24"/>
        </w:rPr>
        <w:t>%</w:t>
      </w:r>
      <w:r w:rsidRPr="00770E34">
        <w:rPr>
          <w:rFonts w:hAnsi="宋体" w:hint="eastAsia"/>
          <w:szCs w:val="24"/>
        </w:rPr>
        <w:t>】÷当年天数</w:t>
      </w:r>
    </w:p>
    <w:p w14:paraId="65F318C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H为每日应计提的基金托管费</w:t>
      </w:r>
    </w:p>
    <w:p w14:paraId="3A0AD98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E为前一日的基金资产净值</w:t>
      </w:r>
    </w:p>
    <w:p w14:paraId="4D48935F" w14:textId="675E2983"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基金托管费每日计提，</w:t>
      </w:r>
      <w:r w:rsidRPr="00770E34">
        <w:rPr>
          <w:rFonts w:hint="eastAsia"/>
          <w:bCs/>
          <w:color w:val="000000" w:themeColor="text1"/>
        </w:rPr>
        <w:t>逐日累计至每月月末，</w:t>
      </w:r>
      <w:r w:rsidRPr="00770E34">
        <w:rPr>
          <w:rFonts w:hAnsi="宋体" w:hint="eastAsia"/>
          <w:szCs w:val="24"/>
        </w:rPr>
        <w:t>按月支付。由基金管理人与基金托管人核对一致后，基金托管人按照与基金管理人协商一致的方式于次月前5个工作日内从基金财产中一次性支取。若遇法定节假日、休息日或不可抗力致使无法按时支付的，支付日期顺延。</w:t>
      </w:r>
    </w:p>
    <w:p w14:paraId="744A703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11.3销售服务费的计提比例和计提方法</w:t>
      </w:r>
    </w:p>
    <w:p w14:paraId="66C0ADFF" w14:textId="77777777" w:rsidR="00D315D6" w:rsidRPr="00770E34" w:rsidRDefault="00C14E5E">
      <w:pPr>
        <w:pStyle w:val="20"/>
        <w:spacing w:before="0" w:after="0" w:line="520" w:lineRule="atLeast"/>
        <w:ind w:left="0" w:firstLineChars="200" w:firstLine="480"/>
        <w:rPr>
          <w:rFonts w:hAnsi="宋体"/>
          <w:szCs w:val="24"/>
        </w:rPr>
      </w:pPr>
      <w:r w:rsidRPr="00770E34">
        <w:rPr>
          <w:rFonts w:ascii="Calibri" w:hAnsi="Calibri" w:hint="eastAsia"/>
          <w:bCs/>
          <w:color w:val="000000" w:themeColor="text1"/>
        </w:rPr>
        <w:t>本基金</w:t>
      </w:r>
      <w:r w:rsidRPr="00770E34">
        <w:rPr>
          <w:rFonts w:ascii="Calibri" w:hAnsi="Calibri" w:hint="eastAsia"/>
          <w:bCs/>
          <w:color w:val="000000" w:themeColor="text1"/>
        </w:rPr>
        <w:t>A</w:t>
      </w:r>
      <w:r w:rsidRPr="00770E34">
        <w:rPr>
          <w:rFonts w:ascii="Calibri" w:hAnsi="Calibri" w:hint="eastAsia"/>
          <w:bCs/>
          <w:color w:val="000000" w:themeColor="text1"/>
        </w:rPr>
        <w:t>类基金份额不收取销售服务费，</w:t>
      </w:r>
      <w:r w:rsidRPr="00770E34">
        <w:rPr>
          <w:rFonts w:ascii="Calibri" w:hAnsi="Calibri" w:hint="eastAsia"/>
          <w:bCs/>
          <w:color w:val="000000" w:themeColor="text1"/>
        </w:rPr>
        <w:t>C</w:t>
      </w:r>
      <w:r w:rsidRPr="00770E34">
        <w:rPr>
          <w:rFonts w:ascii="Calibri" w:hAnsi="Calibri" w:hint="eastAsia"/>
          <w:bCs/>
          <w:color w:val="000000" w:themeColor="text1"/>
        </w:rPr>
        <w:t>类基金份额的</w:t>
      </w:r>
      <w:r w:rsidRPr="00770E34">
        <w:rPr>
          <w:rFonts w:hAnsi="宋体" w:hint="eastAsia"/>
          <w:szCs w:val="24"/>
        </w:rPr>
        <w:t>销售服务费按前一日C类基金份额的基金资产净值的【</w:t>
      </w:r>
      <w:r w:rsidRPr="00770E34">
        <w:rPr>
          <w:rFonts w:hAnsi="宋体"/>
          <w:szCs w:val="24"/>
        </w:rPr>
        <w:t>0.30%</w:t>
      </w:r>
      <w:r w:rsidRPr="00770E34">
        <w:rPr>
          <w:rFonts w:hAnsi="宋体" w:hint="eastAsia"/>
          <w:szCs w:val="24"/>
        </w:rPr>
        <w:t xml:space="preserve">】年费率计提。 </w:t>
      </w:r>
    </w:p>
    <w:p w14:paraId="08E007C0" w14:textId="77777777" w:rsidR="00D315D6" w:rsidRPr="00770E34" w:rsidRDefault="00C14E5E">
      <w:pPr>
        <w:pStyle w:val="20"/>
        <w:spacing w:before="0" w:after="0" w:line="520" w:lineRule="atLeast"/>
        <w:ind w:left="0" w:firstLineChars="200" w:firstLine="480"/>
        <w:rPr>
          <w:rFonts w:hAnsi="宋体"/>
          <w:szCs w:val="24"/>
        </w:rPr>
      </w:pPr>
      <w:bookmarkStart w:id="47" w:name="_Hlk155887876"/>
      <w:r w:rsidRPr="00770E34">
        <w:rPr>
          <w:rFonts w:ascii="Calibri" w:hAnsi="Calibri" w:hint="eastAsia"/>
          <w:bCs/>
          <w:color w:val="000000" w:themeColor="text1"/>
        </w:rPr>
        <w:t>C</w:t>
      </w:r>
      <w:r w:rsidRPr="00770E34">
        <w:rPr>
          <w:rFonts w:ascii="Calibri" w:hAnsi="Calibri" w:hint="eastAsia"/>
          <w:bCs/>
          <w:color w:val="000000" w:themeColor="text1"/>
        </w:rPr>
        <w:t>类</w:t>
      </w:r>
      <w:bookmarkEnd w:id="47"/>
      <w:r w:rsidRPr="00770E34">
        <w:rPr>
          <w:rFonts w:ascii="Calibri" w:hAnsi="Calibri" w:hint="eastAsia"/>
          <w:bCs/>
          <w:color w:val="000000" w:themeColor="text1"/>
        </w:rPr>
        <w:t>基金份额的</w:t>
      </w:r>
      <w:r w:rsidRPr="00770E34">
        <w:rPr>
          <w:rFonts w:hAnsi="宋体" w:hint="eastAsia"/>
          <w:szCs w:val="24"/>
        </w:rPr>
        <w:t xml:space="preserve">销售服务费的计算方法如下： </w:t>
      </w:r>
    </w:p>
    <w:p w14:paraId="15960AB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H＝E×【</w:t>
      </w:r>
      <w:r w:rsidRPr="00770E34">
        <w:rPr>
          <w:rFonts w:hAnsi="宋体"/>
          <w:szCs w:val="24"/>
        </w:rPr>
        <w:t>0.30%</w:t>
      </w:r>
      <w:r w:rsidRPr="00770E34">
        <w:rPr>
          <w:rFonts w:hAnsi="宋体" w:hint="eastAsia"/>
          <w:szCs w:val="24"/>
        </w:rPr>
        <w:t xml:space="preserve">】÷当年天数 </w:t>
      </w:r>
    </w:p>
    <w:p w14:paraId="38270B7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H为</w:t>
      </w:r>
      <w:r w:rsidRPr="00770E34">
        <w:rPr>
          <w:rFonts w:ascii="Calibri" w:hAnsi="Calibri" w:hint="eastAsia"/>
          <w:bCs/>
          <w:color w:val="000000" w:themeColor="text1"/>
        </w:rPr>
        <w:t>C</w:t>
      </w:r>
      <w:r w:rsidRPr="00770E34">
        <w:rPr>
          <w:rFonts w:ascii="Calibri" w:hAnsi="Calibri" w:hint="eastAsia"/>
          <w:bCs/>
          <w:color w:val="000000" w:themeColor="text1"/>
        </w:rPr>
        <w:t>类</w:t>
      </w:r>
      <w:r w:rsidRPr="00770E34">
        <w:rPr>
          <w:rFonts w:hAnsi="宋体" w:hint="eastAsia"/>
          <w:szCs w:val="24"/>
        </w:rPr>
        <w:t xml:space="preserve">基金份额每日应计提的销售服务费 </w:t>
      </w:r>
    </w:p>
    <w:p w14:paraId="4CF0ACE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E为</w:t>
      </w:r>
      <w:r w:rsidRPr="00770E34">
        <w:rPr>
          <w:rFonts w:ascii="Calibri" w:hAnsi="Calibri" w:hint="eastAsia"/>
          <w:bCs/>
          <w:color w:val="000000" w:themeColor="text1"/>
        </w:rPr>
        <w:t>C</w:t>
      </w:r>
      <w:r w:rsidRPr="00770E34">
        <w:rPr>
          <w:rFonts w:ascii="Calibri" w:hAnsi="Calibri" w:hint="eastAsia"/>
          <w:bCs/>
          <w:color w:val="000000" w:themeColor="text1"/>
        </w:rPr>
        <w:t>类</w:t>
      </w:r>
      <w:r w:rsidRPr="00770E34">
        <w:rPr>
          <w:rFonts w:hAnsi="宋体" w:hint="eastAsia"/>
          <w:szCs w:val="24"/>
        </w:rPr>
        <w:t xml:space="preserve">基金份额前一日的基金资产净值 </w:t>
      </w:r>
    </w:p>
    <w:p w14:paraId="4825E260" w14:textId="77777777" w:rsidR="00D315D6" w:rsidRPr="00770E34" w:rsidRDefault="00C14E5E">
      <w:pPr>
        <w:pStyle w:val="20"/>
        <w:spacing w:before="0" w:after="0" w:line="520" w:lineRule="atLeast"/>
        <w:ind w:left="0" w:firstLineChars="200" w:firstLine="480"/>
        <w:rPr>
          <w:rFonts w:ascii="Calibri" w:hAnsi="Calibri"/>
          <w:bCs/>
          <w:color w:val="000000" w:themeColor="text1"/>
        </w:rPr>
      </w:pPr>
      <w:r w:rsidRPr="00770E34">
        <w:rPr>
          <w:rFonts w:ascii="Calibri" w:hAnsi="Calibri" w:hint="eastAsia"/>
          <w:bCs/>
          <w:color w:val="000000" w:themeColor="text1"/>
        </w:rPr>
        <w:t>C</w:t>
      </w:r>
      <w:r w:rsidRPr="00770E34">
        <w:rPr>
          <w:rFonts w:ascii="Calibri" w:hAnsi="Calibri" w:hint="eastAsia"/>
          <w:bCs/>
          <w:color w:val="000000" w:themeColor="text1"/>
        </w:rPr>
        <w:t>类基金份额销售服务费每日计提，</w:t>
      </w:r>
      <w:r w:rsidRPr="00770E34">
        <w:rPr>
          <w:rFonts w:ascii="Calibri" w:hAnsi="Calibri" w:hint="eastAsia"/>
          <w:bCs/>
          <w:color w:val="000000" w:themeColor="text1"/>
          <w:szCs w:val="22"/>
        </w:rPr>
        <w:t>逐日累计至每月月末，</w:t>
      </w:r>
      <w:r w:rsidRPr="00770E34">
        <w:rPr>
          <w:rFonts w:ascii="Calibri" w:hAnsi="Calibri" w:hint="eastAsia"/>
          <w:bCs/>
          <w:color w:val="000000" w:themeColor="text1"/>
        </w:rPr>
        <w:t>按月支付</w:t>
      </w:r>
      <w:r w:rsidRPr="00770E34">
        <w:rPr>
          <w:rFonts w:ascii="Calibri" w:hAnsi="Calibri" w:hint="eastAsia"/>
          <w:bCs/>
          <w:color w:val="000000" w:themeColor="text1"/>
          <w:szCs w:val="22"/>
        </w:rPr>
        <w:t>。由基金管理人与基金托管人核对一致后，基金托管人按照与基金管理人协商一致的方式于次月前</w:t>
      </w:r>
      <w:r w:rsidRPr="00770E34">
        <w:rPr>
          <w:rFonts w:ascii="Calibri" w:hAnsi="Calibri"/>
          <w:bCs/>
          <w:color w:val="000000" w:themeColor="text1"/>
          <w:szCs w:val="22"/>
        </w:rPr>
        <w:t>5</w:t>
      </w:r>
      <w:r w:rsidRPr="00770E34">
        <w:rPr>
          <w:rFonts w:ascii="Calibri" w:hAnsi="Calibri"/>
          <w:bCs/>
          <w:color w:val="000000" w:themeColor="text1"/>
          <w:szCs w:val="22"/>
        </w:rPr>
        <w:t>个工作日内从基金财产中一次性支付给各销售机构，或一次性支付给基金管理人并由基金管理人代付给各基金销售机构。</w:t>
      </w:r>
      <w:r w:rsidRPr="00770E34">
        <w:rPr>
          <w:rFonts w:ascii="Calibri" w:hAnsi="Calibri" w:hint="eastAsia"/>
          <w:bCs/>
          <w:color w:val="000000" w:themeColor="text1"/>
          <w:szCs w:val="22"/>
        </w:rPr>
        <w:t>若遇法定节假日、休息日或不可抗力致使无法按时支付的，支付日期顺延</w:t>
      </w:r>
      <w:r w:rsidRPr="00770E34">
        <w:rPr>
          <w:rFonts w:ascii="Calibri" w:hAnsi="Calibri" w:hint="eastAsia"/>
          <w:bCs/>
          <w:color w:val="000000" w:themeColor="text1"/>
        </w:rPr>
        <w:t>。</w:t>
      </w:r>
      <w:bookmarkEnd w:id="45"/>
    </w:p>
    <w:permEnd w:id="785514973"/>
    <w:p w14:paraId="6917DF6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11.4《基金合同》生效后与基金相关的信息披露费用、</w:t>
      </w:r>
      <w:r w:rsidRPr="00770E34">
        <w:rPr>
          <w:rFonts w:ascii="Calibri" w:hAnsi="Calibri" w:hint="eastAsia"/>
          <w:bCs/>
          <w:color w:val="000000" w:themeColor="text1"/>
        </w:rPr>
        <w:t>《基金合同》生效后与基金相关的会计师费、律师费、公证费、诉讼费和仲裁费、基金份额持有人大会费用、</w:t>
      </w:r>
      <w:bookmarkStart w:id="48" w:name="_Hlk155888024"/>
      <w:r w:rsidRPr="00770E34">
        <w:rPr>
          <w:rFonts w:hint="eastAsia"/>
          <w:bCs/>
          <w:color w:val="000000" w:themeColor="text1"/>
        </w:rPr>
        <w:t>基金的证券</w:t>
      </w:r>
      <w:r w:rsidRPr="00770E34">
        <w:rPr>
          <w:rFonts w:hAnsi="宋体" w:hint="eastAsia"/>
          <w:color w:val="000000" w:themeColor="text1"/>
        </w:rPr>
        <w:t>、</w:t>
      </w:r>
      <w:r w:rsidRPr="00770E34">
        <w:rPr>
          <w:rFonts w:hAnsi="宋体"/>
          <w:color w:val="000000" w:themeColor="text1"/>
        </w:rPr>
        <w:t>期货</w:t>
      </w:r>
      <w:r w:rsidRPr="00770E34">
        <w:rPr>
          <w:rFonts w:hint="eastAsia"/>
          <w:bCs/>
          <w:color w:val="000000" w:themeColor="text1"/>
        </w:rPr>
        <w:t>交易结算费用</w:t>
      </w:r>
      <w:bookmarkEnd w:id="48"/>
      <w:r w:rsidRPr="00770E34">
        <w:rPr>
          <w:rFonts w:hint="eastAsia"/>
          <w:bCs/>
          <w:color w:val="000000" w:themeColor="text1"/>
        </w:rPr>
        <w:t>、</w:t>
      </w:r>
      <w:r w:rsidRPr="00770E34">
        <w:rPr>
          <w:rFonts w:ascii="Calibri" w:hAnsi="Calibri" w:hint="eastAsia"/>
          <w:bCs/>
          <w:color w:val="000000" w:themeColor="text1"/>
        </w:rPr>
        <w:t>基金的银行汇划费用、基金的相关账户的开户及维护费用以及按</w:t>
      </w:r>
      <w:r w:rsidRPr="00770E34">
        <w:rPr>
          <w:rFonts w:hint="eastAsia"/>
          <w:bCs/>
          <w:color w:val="000000" w:themeColor="text1"/>
        </w:rPr>
        <w:t>照国家有关规定和《基金合同》约定，可以在基金财产中列支的其他费用</w:t>
      </w:r>
      <w:r w:rsidRPr="00770E34">
        <w:rPr>
          <w:rFonts w:hAnsi="宋体" w:hint="eastAsia"/>
          <w:szCs w:val="24"/>
        </w:rPr>
        <w:t>，由基金托管人按基金管理人的划款指令并根据费用实际支出金额支付，列入或摊入当期基金费用。</w:t>
      </w:r>
    </w:p>
    <w:p w14:paraId="53E3105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w:t>
      </w:r>
      <w:r w:rsidRPr="00770E34">
        <w:rPr>
          <w:rFonts w:hAnsi="宋体"/>
          <w:szCs w:val="24"/>
        </w:rPr>
        <w:t>5</w:t>
      </w:r>
      <w:r w:rsidRPr="00770E34">
        <w:rPr>
          <w:rFonts w:hAnsi="宋体" w:hint="eastAsia"/>
          <w:szCs w:val="24"/>
        </w:rPr>
        <w:t>不列入基金费用的项目</w:t>
      </w:r>
    </w:p>
    <w:p w14:paraId="48F6DF3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基金管理人与基金托管人因未履行或未完全履行义务导致的费用支出或基金财产的损失，以及处理与基金运作无关的事项发生的费用等不列入基金费用。</w:t>
      </w:r>
      <w:r w:rsidRPr="00770E34">
        <w:rPr>
          <w:rFonts w:ascii="Calibri" w:hAnsi="Calibri" w:hint="eastAsia"/>
          <w:bCs/>
          <w:color w:val="000000" w:themeColor="text1"/>
        </w:rPr>
        <w:t>《基金合同》生效前的相关费用</w:t>
      </w:r>
      <w:r w:rsidRPr="00770E34">
        <w:rPr>
          <w:rFonts w:hAnsi="宋体" w:hint="eastAsia"/>
          <w:szCs w:val="24"/>
        </w:rPr>
        <w:t>以及其他费用不从基金财产中支付。基金的标的指数许</w:t>
      </w:r>
      <w:r w:rsidRPr="00770E34">
        <w:rPr>
          <w:rFonts w:hAnsi="宋体" w:hint="eastAsia"/>
          <w:szCs w:val="24"/>
        </w:rPr>
        <w:lastRenderedPageBreak/>
        <w:t>可使用费由基金管理人承担，不从基金财产中列支。其他根据相关法律法规及中国证监会的有关规定不得列入基金费用的项目也不列入基金费用。</w:t>
      </w:r>
    </w:p>
    <w:p w14:paraId="41DDA28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11.</w:t>
      </w:r>
      <w:r w:rsidRPr="00770E34">
        <w:rPr>
          <w:rFonts w:hAnsi="宋体"/>
          <w:szCs w:val="24"/>
        </w:rPr>
        <w:t>6</w:t>
      </w:r>
      <w:r w:rsidRPr="00770E34">
        <w:rPr>
          <w:rFonts w:hAnsi="宋体" w:hint="eastAsia"/>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6EB22B87" w14:textId="77777777" w:rsidR="00D315D6" w:rsidRPr="00770E34" w:rsidRDefault="00C14E5E">
      <w:pPr>
        <w:pStyle w:val="1"/>
        <w:spacing w:line="520" w:lineRule="atLeast"/>
        <w:ind w:firstLineChars="200" w:firstLine="482"/>
        <w:rPr>
          <w:bCs/>
          <w:color w:val="auto"/>
          <w:szCs w:val="24"/>
        </w:rPr>
      </w:pPr>
      <w:bookmarkStart w:id="49" w:name="_Toc296551348"/>
      <w:bookmarkStart w:id="50" w:name="_Toc157264229"/>
      <w:r w:rsidRPr="00770E34">
        <w:rPr>
          <w:rFonts w:hint="eastAsia"/>
          <w:bCs/>
          <w:color w:val="auto"/>
          <w:szCs w:val="24"/>
        </w:rPr>
        <w:t>第十二条 基金份额持有人名册的保管</w:t>
      </w:r>
      <w:bookmarkEnd w:id="49"/>
      <w:bookmarkEnd w:id="50"/>
    </w:p>
    <w:p w14:paraId="443CC33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12.1基金管理人和基金托管人须分别妥善保管基金份额持有人名册，基金份额持有人名册的内容必须包括基金份额持有人的名称和持有的基金份额。</w:t>
      </w:r>
    </w:p>
    <w:p w14:paraId="6A1AFC4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12.2基金份额持有人名册由基金的基金登记机构根据基金管理人的指令编制和保管，基金管理人和基金托管人应按照目前相关规则分别保管基金份额持有人名册。保管方式可以采用电子或文档的形式。保管期限为</w:t>
      </w:r>
      <w:r w:rsidRPr="00770E34">
        <w:rPr>
          <w:rFonts w:hAnsi="宋体"/>
          <w:szCs w:val="24"/>
        </w:rPr>
        <w:t>20</w:t>
      </w:r>
      <w:r w:rsidRPr="00770E34">
        <w:rPr>
          <w:rFonts w:hAnsi="宋体" w:hint="eastAsia"/>
          <w:szCs w:val="24"/>
        </w:rPr>
        <w:t>年，</w:t>
      </w:r>
      <w:r w:rsidRPr="00770E34">
        <w:rPr>
          <w:rFonts w:hAnsi="宋体"/>
          <w:szCs w:val="24"/>
        </w:rPr>
        <w:t>法律法规或监管规则另有</w:t>
      </w:r>
      <w:r w:rsidRPr="00770E34">
        <w:rPr>
          <w:rFonts w:hAnsi="宋体" w:hint="eastAsia"/>
          <w:szCs w:val="24"/>
        </w:rPr>
        <w:t>规定</w:t>
      </w:r>
      <w:r w:rsidRPr="00770E34">
        <w:rPr>
          <w:rFonts w:hAnsi="宋体"/>
          <w:szCs w:val="24"/>
        </w:rPr>
        <w:t>的，从其规定</w:t>
      </w:r>
      <w:r w:rsidRPr="00770E34">
        <w:rPr>
          <w:rFonts w:hAnsi="宋体" w:hint="eastAsia"/>
          <w:szCs w:val="24"/>
        </w:rPr>
        <w:t>。</w:t>
      </w:r>
    </w:p>
    <w:p w14:paraId="284C6EE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12.</w:t>
      </w:r>
      <w:r w:rsidRPr="00770E34">
        <w:rPr>
          <w:rFonts w:hAnsi="宋体"/>
          <w:szCs w:val="24"/>
        </w:rPr>
        <w:t>3</w:t>
      </w:r>
      <w:proofErr w:type="gramStart"/>
      <w:r w:rsidRPr="00770E34">
        <w:rPr>
          <w:rFonts w:hAnsi="宋体" w:hint="eastAsia"/>
          <w:szCs w:val="24"/>
        </w:rPr>
        <w:t>若基金</w:t>
      </w:r>
      <w:proofErr w:type="gramEnd"/>
      <w:r w:rsidRPr="00770E34">
        <w:rPr>
          <w:rFonts w:hAnsi="宋体" w:hint="eastAsia"/>
          <w:szCs w:val="24"/>
        </w:rPr>
        <w:t>管理人或基金托管人由于自身原因无法妥善保管基金份额持有人名册，应按有关法规规定各自承担相应的责任。</w:t>
      </w:r>
    </w:p>
    <w:p w14:paraId="17478896" w14:textId="77777777" w:rsidR="00D315D6" w:rsidRPr="00770E34" w:rsidRDefault="00C14E5E">
      <w:pPr>
        <w:pStyle w:val="1"/>
        <w:spacing w:line="520" w:lineRule="atLeast"/>
        <w:ind w:firstLineChars="200" w:firstLine="482"/>
        <w:rPr>
          <w:bCs/>
          <w:color w:val="auto"/>
          <w:szCs w:val="24"/>
        </w:rPr>
      </w:pPr>
      <w:bookmarkStart w:id="51" w:name="_Toc296551349"/>
      <w:bookmarkStart w:id="52" w:name="_Toc157264230"/>
      <w:r w:rsidRPr="00770E34">
        <w:rPr>
          <w:rFonts w:hint="eastAsia"/>
          <w:bCs/>
          <w:color w:val="auto"/>
          <w:szCs w:val="24"/>
        </w:rPr>
        <w:t>第十三条 基金有关文件和档案的保存</w:t>
      </w:r>
      <w:bookmarkEnd w:id="51"/>
      <w:bookmarkEnd w:id="52"/>
    </w:p>
    <w:p w14:paraId="2E4F8ED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13.1基金管理人、基金托管人按各自职责完整保存原始凭证、记账凭证、基金账册、交易记录和重要合同等，保存期限不少于</w:t>
      </w:r>
      <w:r w:rsidRPr="00770E34">
        <w:rPr>
          <w:rFonts w:hAnsi="宋体"/>
          <w:szCs w:val="24"/>
        </w:rPr>
        <w:t>20</w:t>
      </w:r>
      <w:r w:rsidRPr="00770E34">
        <w:rPr>
          <w:rFonts w:hAnsi="宋体" w:hint="eastAsia"/>
          <w:szCs w:val="24"/>
        </w:rPr>
        <w:t>年，对相关信息负有保密义务，但</w:t>
      </w:r>
      <w:r w:rsidRPr="00770E34">
        <w:rPr>
          <w:rFonts w:asciiTheme="minorEastAsia" w:eastAsiaTheme="minorEastAsia" w:hAnsiTheme="minorEastAsia" w:hint="eastAsia"/>
          <w:szCs w:val="24"/>
        </w:rPr>
        <w:t>本协议另有约定或</w:t>
      </w:r>
      <w:r w:rsidRPr="00770E34">
        <w:rPr>
          <w:rFonts w:hAnsi="宋体" w:hint="eastAsia"/>
          <w:szCs w:val="24"/>
        </w:rPr>
        <w:t>根据有关法律法规规定或有权机关要求披露的除外。其中，基金管理人应保存基金财产管理业务活动的记录、账册、报表和其他相关资料，基金托管人应保存基金托管业务活动的记录、账册、报表和其他相关资料。</w:t>
      </w:r>
    </w:p>
    <w:p w14:paraId="3D28090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13.2基金管理人代表基金签署与基金有关的重大合同文本后，应及时将合同文本正本送达基金托管人处。基金管理人应及时将与本基金账务处理、资金划拨等有关的合同、协议传真给基金托管人。</w:t>
      </w:r>
    </w:p>
    <w:p w14:paraId="43F018F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13.3基金管理人或基金托管人变更后，未变更的一方有义务协助接任人接收基金的有关文件。</w:t>
      </w:r>
    </w:p>
    <w:p w14:paraId="6CFB262E" w14:textId="77777777" w:rsidR="00D315D6" w:rsidRPr="00770E34" w:rsidRDefault="00C14E5E">
      <w:pPr>
        <w:pStyle w:val="1"/>
        <w:spacing w:line="520" w:lineRule="atLeast"/>
        <w:ind w:firstLineChars="200" w:firstLine="482"/>
        <w:rPr>
          <w:bCs/>
          <w:color w:val="auto"/>
          <w:szCs w:val="24"/>
        </w:rPr>
      </w:pPr>
      <w:bookmarkStart w:id="53" w:name="_Toc296551350"/>
      <w:bookmarkStart w:id="54" w:name="_Toc157264231"/>
      <w:r w:rsidRPr="00770E34">
        <w:rPr>
          <w:rFonts w:hint="eastAsia"/>
          <w:bCs/>
          <w:color w:val="auto"/>
          <w:szCs w:val="24"/>
        </w:rPr>
        <w:t>第十四条 基金管理人和基金托管人的更换</w:t>
      </w:r>
      <w:bookmarkEnd w:id="53"/>
      <w:bookmarkEnd w:id="54"/>
    </w:p>
    <w:p w14:paraId="79F49A1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14.1基金管理人的更换</w:t>
      </w:r>
    </w:p>
    <w:p w14:paraId="37C9177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14.1.1基金管理人的更换条件</w:t>
      </w:r>
    </w:p>
    <w:p w14:paraId="3896DED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有下列情形之一的，基金管理人职责终止：</w:t>
      </w:r>
    </w:p>
    <w:p w14:paraId="0EF0B6E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（1）基金管理人被依法取消基金管理资格；</w:t>
      </w:r>
    </w:p>
    <w:p w14:paraId="43A6787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（2）基金管理人依法解散、被依法撤销或者被依法宣告破产；</w:t>
      </w:r>
    </w:p>
    <w:p w14:paraId="64693DC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（3）基金管理人被基金份额持有人大会解任；</w:t>
      </w:r>
    </w:p>
    <w:p w14:paraId="3475055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（4）法律法规</w:t>
      </w:r>
      <w:r w:rsidRPr="00770E34">
        <w:rPr>
          <w:rFonts w:hint="eastAsia"/>
          <w:bCs/>
        </w:rPr>
        <w:t>及中国证监会规定的</w:t>
      </w:r>
      <w:r w:rsidRPr="00770E34">
        <w:rPr>
          <w:rFonts w:hAnsi="宋体" w:hint="eastAsia"/>
          <w:szCs w:val="24"/>
        </w:rPr>
        <w:t>和基金合同规定的其他情形。</w:t>
      </w:r>
    </w:p>
    <w:p w14:paraId="085ABDF7" w14:textId="77777777" w:rsidR="00D315D6" w:rsidRPr="00770E34" w:rsidRDefault="00C14E5E">
      <w:pPr>
        <w:pStyle w:val="20"/>
        <w:spacing w:before="0" w:after="0" w:line="360" w:lineRule="auto"/>
        <w:ind w:left="0" w:firstLineChars="200" w:firstLine="480"/>
        <w:rPr>
          <w:rFonts w:hAnsi="宋体"/>
          <w:szCs w:val="24"/>
        </w:rPr>
      </w:pPr>
      <w:r w:rsidRPr="00770E34">
        <w:rPr>
          <w:rFonts w:hAnsi="宋体" w:hint="eastAsia"/>
          <w:szCs w:val="24"/>
        </w:rPr>
        <w:t>14.1.2基金管理人的更换程序</w:t>
      </w:r>
    </w:p>
    <w:p w14:paraId="1C365AAA" w14:textId="77777777" w:rsidR="00D315D6" w:rsidRPr="00770E34" w:rsidRDefault="00C14E5E">
      <w:pPr>
        <w:pStyle w:val="20"/>
        <w:spacing w:before="0" w:after="0" w:line="360" w:lineRule="auto"/>
        <w:ind w:left="0" w:firstLineChars="200" w:firstLine="480"/>
        <w:rPr>
          <w:rFonts w:hAnsi="宋体"/>
          <w:szCs w:val="24"/>
        </w:rPr>
      </w:pPr>
      <w:r w:rsidRPr="00770E34">
        <w:rPr>
          <w:rFonts w:hAnsi="宋体" w:hint="eastAsia"/>
          <w:szCs w:val="24"/>
        </w:rPr>
        <w:t>更换基金管理人必须依照如下程序进行：</w:t>
      </w:r>
    </w:p>
    <w:p w14:paraId="6C40EC7E" w14:textId="77777777" w:rsidR="00D315D6" w:rsidRPr="00770E34" w:rsidRDefault="00C14E5E">
      <w:pPr>
        <w:spacing w:line="360" w:lineRule="auto"/>
        <w:ind w:firstLine="482"/>
        <w:rPr>
          <w:rFonts w:ascii="Calibri" w:hAnsi="Calibri"/>
          <w:bCs/>
          <w:color w:val="000000" w:themeColor="text1"/>
          <w:sz w:val="24"/>
        </w:rPr>
      </w:pPr>
      <w:permStart w:id="325414539" w:edGrp="everyone"/>
      <w:r w:rsidRPr="00770E34">
        <w:rPr>
          <w:rFonts w:ascii="Calibri" w:hAnsi="Calibri" w:hint="eastAsia"/>
          <w:bCs/>
          <w:color w:val="000000" w:themeColor="text1"/>
          <w:sz w:val="24"/>
        </w:rPr>
        <w:t>（</w:t>
      </w:r>
      <w:r w:rsidRPr="00770E34">
        <w:rPr>
          <w:rFonts w:ascii="Calibri" w:hAnsi="Calibri" w:hint="eastAsia"/>
          <w:bCs/>
          <w:color w:val="000000" w:themeColor="text1"/>
          <w:sz w:val="24"/>
        </w:rPr>
        <w:t>1</w:t>
      </w:r>
      <w:r w:rsidRPr="00770E34">
        <w:rPr>
          <w:rFonts w:ascii="Calibri" w:hAnsi="Calibri" w:hint="eastAsia"/>
          <w:bCs/>
          <w:color w:val="000000" w:themeColor="text1"/>
          <w:sz w:val="24"/>
        </w:rPr>
        <w:t>）提名：</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管理人由基金托管人或由单独或合计持有</w:t>
      </w:r>
      <w:r w:rsidRPr="00770E34">
        <w:rPr>
          <w:rFonts w:ascii="Calibri" w:hAnsi="Calibri"/>
          <w:bCs/>
          <w:color w:val="000000" w:themeColor="text1"/>
          <w:sz w:val="24"/>
        </w:rPr>
        <w:t>10%</w:t>
      </w:r>
      <w:r w:rsidRPr="00770E34">
        <w:rPr>
          <w:rFonts w:ascii="Calibri" w:hAnsi="Calibri" w:hint="eastAsia"/>
          <w:bCs/>
          <w:color w:val="000000" w:themeColor="text1"/>
          <w:sz w:val="24"/>
        </w:rPr>
        <w:t>以上（含</w:t>
      </w:r>
      <w:r w:rsidRPr="00770E34">
        <w:rPr>
          <w:rFonts w:ascii="Calibri" w:hAnsi="Calibri"/>
          <w:bCs/>
          <w:color w:val="000000" w:themeColor="text1"/>
          <w:sz w:val="24"/>
        </w:rPr>
        <w:t>10%</w:t>
      </w:r>
      <w:r w:rsidRPr="00770E34">
        <w:rPr>
          <w:rFonts w:ascii="Calibri" w:hAnsi="Calibri" w:hint="eastAsia"/>
          <w:bCs/>
          <w:color w:val="000000" w:themeColor="text1"/>
          <w:sz w:val="24"/>
        </w:rPr>
        <w:t>）基金份额的基金份额持有人提名；</w:t>
      </w:r>
    </w:p>
    <w:p w14:paraId="11BD9B95"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2</w:t>
      </w:r>
      <w:r w:rsidRPr="00770E34">
        <w:rPr>
          <w:rFonts w:ascii="Calibri" w:hAnsi="Calibri" w:hint="eastAsia"/>
          <w:bCs/>
          <w:color w:val="000000" w:themeColor="text1"/>
          <w:sz w:val="24"/>
        </w:rPr>
        <w:t>）决议：基金份额持有人大会在基金管理人职责终止后</w:t>
      </w:r>
      <w:r w:rsidRPr="00770E34">
        <w:rPr>
          <w:rFonts w:ascii="Calibri" w:hAnsi="Calibri"/>
          <w:bCs/>
          <w:color w:val="000000" w:themeColor="text1"/>
          <w:sz w:val="24"/>
        </w:rPr>
        <w:t>6</w:t>
      </w:r>
      <w:r w:rsidRPr="00770E34">
        <w:rPr>
          <w:rFonts w:ascii="Calibri" w:hAnsi="Calibri" w:hint="eastAsia"/>
          <w:bCs/>
          <w:color w:val="000000" w:themeColor="text1"/>
          <w:sz w:val="24"/>
        </w:rPr>
        <w:t>个月内对被提名的基金管理人形成决议，该决议需经参加大会的基金份额持有人所持表决权的三分之二以上（含三分之二）表决通过，决议自表决通过之日起生效，</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管理人应当符合法律法规及中国证监会规定的资格条件；</w:t>
      </w:r>
    </w:p>
    <w:p w14:paraId="320655B5"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3</w:t>
      </w:r>
      <w:r w:rsidRPr="00770E34">
        <w:rPr>
          <w:rFonts w:ascii="Calibri" w:hAnsi="Calibri" w:hint="eastAsia"/>
          <w:bCs/>
          <w:color w:val="000000" w:themeColor="text1"/>
          <w:sz w:val="24"/>
        </w:rPr>
        <w:t>）临时基金管理人：</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管理人产生之前，由中国证监会指定临时基金管理人；</w:t>
      </w:r>
    </w:p>
    <w:p w14:paraId="3812CB88"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4</w:t>
      </w:r>
      <w:r w:rsidRPr="00770E34">
        <w:rPr>
          <w:rFonts w:ascii="Calibri" w:hAnsi="Calibri" w:hint="eastAsia"/>
          <w:bCs/>
          <w:color w:val="000000" w:themeColor="text1"/>
          <w:sz w:val="24"/>
        </w:rPr>
        <w:t>）备案：基金份额持有人大会更换基金管理人的决议须报中国证监会备案；</w:t>
      </w:r>
    </w:p>
    <w:p w14:paraId="441704E3"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5</w:t>
      </w:r>
      <w:r w:rsidRPr="00770E34">
        <w:rPr>
          <w:rFonts w:ascii="Calibri" w:hAnsi="Calibri" w:hint="eastAsia"/>
          <w:bCs/>
          <w:color w:val="000000" w:themeColor="text1"/>
          <w:sz w:val="24"/>
        </w:rPr>
        <w:t>）公告：</w:t>
      </w:r>
      <w:bookmarkStart w:id="55" w:name="_Hlk147943502"/>
      <w:r w:rsidRPr="00770E34">
        <w:rPr>
          <w:rFonts w:ascii="Calibri" w:hAnsi="Calibri" w:hint="eastAsia"/>
          <w:bCs/>
          <w:color w:val="000000" w:themeColor="text1"/>
          <w:sz w:val="24"/>
        </w:rPr>
        <w:t>基金管理人更换后，由基金托管人在基金份额持有人大会更换基金管理人的决议生效后</w:t>
      </w:r>
      <w:r w:rsidRPr="00770E34">
        <w:rPr>
          <w:rFonts w:ascii="Calibri" w:hAnsi="Calibri"/>
          <w:bCs/>
          <w:color w:val="000000" w:themeColor="text1"/>
          <w:sz w:val="24"/>
        </w:rPr>
        <w:t>2</w:t>
      </w:r>
      <w:r w:rsidRPr="00770E34">
        <w:rPr>
          <w:rFonts w:ascii="Calibri" w:hAnsi="Calibri" w:hint="eastAsia"/>
          <w:bCs/>
          <w:color w:val="000000" w:themeColor="text1"/>
          <w:sz w:val="24"/>
        </w:rPr>
        <w:t>日内在规定媒介公告</w:t>
      </w:r>
      <w:bookmarkEnd w:id="55"/>
      <w:r w:rsidRPr="00770E34">
        <w:rPr>
          <w:rFonts w:ascii="Calibri" w:hAnsi="Calibri" w:hint="eastAsia"/>
          <w:bCs/>
          <w:color w:val="000000" w:themeColor="text1"/>
          <w:sz w:val="24"/>
        </w:rPr>
        <w:t>；</w:t>
      </w:r>
    </w:p>
    <w:p w14:paraId="42234232"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6</w:t>
      </w:r>
      <w:r w:rsidRPr="00770E34">
        <w:rPr>
          <w:rFonts w:ascii="Calibri" w:hAnsi="Calibri" w:hint="eastAsia"/>
          <w:bCs/>
          <w:color w:val="000000" w:themeColor="text1"/>
          <w:sz w:val="24"/>
        </w:rPr>
        <w:t>）交接：基金管理人职责终止的，基金管理人应妥善保管基金管理业务资料，及时办理基金管理业务的移交手续，临时基金管理人或</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管理人应及时接收。</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管理人或临时基金管理人应与基金托管人核对基金资产总值和净值；</w:t>
      </w:r>
    </w:p>
    <w:p w14:paraId="5DAF47D0"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7</w:t>
      </w:r>
      <w:r w:rsidRPr="00770E34">
        <w:rPr>
          <w:rFonts w:ascii="Calibri" w:hAnsi="Calibri" w:hint="eastAsia"/>
          <w:bCs/>
          <w:color w:val="000000" w:themeColor="text1"/>
          <w:sz w:val="24"/>
        </w:rPr>
        <w:t>）审计：基金管理人职责终止的，应当按照法律法规规定聘请会计师事务所对基金财产进行审计，并将审计结果予以公告，同时报中国证监会备案，审计费用从基金财产中列支；</w:t>
      </w:r>
    </w:p>
    <w:p w14:paraId="2862D3A0"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8</w:t>
      </w:r>
      <w:r w:rsidRPr="00770E34">
        <w:rPr>
          <w:rFonts w:ascii="Calibri" w:hAnsi="Calibri" w:hint="eastAsia"/>
          <w:bCs/>
          <w:color w:val="000000" w:themeColor="text1"/>
          <w:sz w:val="24"/>
        </w:rPr>
        <w:t>）基金名称变更：基金管理人更换后，如果原任或</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管理人要求，应按其要求替换或删除基金名称中与</w:t>
      </w:r>
      <w:proofErr w:type="gramStart"/>
      <w:r w:rsidRPr="00770E34">
        <w:rPr>
          <w:rFonts w:ascii="Calibri" w:hAnsi="Calibri" w:hint="eastAsia"/>
          <w:bCs/>
          <w:color w:val="000000" w:themeColor="text1"/>
          <w:sz w:val="24"/>
        </w:rPr>
        <w:t>原基</w:t>
      </w:r>
      <w:proofErr w:type="gramEnd"/>
      <w:r w:rsidRPr="00770E34">
        <w:rPr>
          <w:rFonts w:ascii="Calibri" w:hAnsi="Calibri" w:hint="eastAsia"/>
          <w:bCs/>
          <w:color w:val="000000" w:themeColor="text1"/>
          <w:sz w:val="24"/>
        </w:rPr>
        <w:t>金管理人有关的名称字样。</w:t>
      </w:r>
    </w:p>
    <w:permEnd w:id="325414539"/>
    <w:p w14:paraId="79A23E5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14.2基金托管人的更换</w:t>
      </w:r>
    </w:p>
    <w:p w14:paraId="603E10A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14.2.1基金托管人的更换条件</w:t>
      </w:r>
    </w:p>
    <w:p w14:paraId="4811C57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有下列情形之一的，基金托管人职责终止：</w:t>
      </w:r>
    </w:p>
    <w:p w14:paraId="6CD218A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（1）基金托管人被依法取消基金托管资格；</w:t>
      </w:r>
    </w:p>
    <w:p w14:paraId="5309EE5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（2）基金托管人依法解散、被依法撤销或者被依法宣告破产；</w:t>
      </w:r>
    </w:p>
    <w:p w14:paraId="3F08F6F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（3）基金托管人被基金份额持有人大会解任；</w:t>
      </w:r>
    </w:p>
    <w:p w14:paraId="55F8260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（4）法律法规</w:t>
      </w:r>
      <w:r w:rsidRPr="00770E34">
        <w:rPr>
          <w:rFonts w:hint="eastAsia"/>
          <w:bCs/>
        </w:rPr>
        <w:t>及中国证监会规定的</w:t>
      </w:r>
      <w:r w:rsidRPr="00770E34">
        <w:rPr>
          <w:rFonts w:hAnsi="宋体" w:hint="eastAsia"/>
          <w:szCs w:val="24"/>
        </w:rPr>
        <w:t>和基金合同规定的其他情形。</w:t>
      </w:r>
    </w:p>
    <w:p w14:paraId="2BD76D0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14.2.2基金托管人的更换程序</w:t>
      </w:r>
    </w:p>
    <w:p w14:paraId="027F6065" w14:textId="77777777" w:rsidR="00D315D6" w:rsidRPr="00770E34" w:rsidRDefault="00C14E5E">
      <w:pPr>
        <w:spacing w:line="360" w:lineRule="auto"/>
        <w:ind w:firstLine="482"/>
        <w:rPr>
          <w:rFonts w:ascii="Calibri" w:hAnsi="Calibri"/>
          <w:bCs/>
          <w:color w:val="000000" w:themeColor="text1"/>
          <w:sz w:val="24"/>
        </w:rPr>
      </w:pPr>
      <w:permStart w:id="1532969526" w:edGrp="everyone"/>
      <w:r w:rsidRPr="00770E34">
        <w:rPr>
          <w:rFonts w:ascii="Calibri" w:hAnsi="Calibri" w:hint="eastAsia"/>
          <w:bCs/>
          <w:color w:val="000000" w:themeColor="text1"/>
          <w:sz w:val="24"/>
        </w:rPr>
        <w:t>（</w:t>
      </w:r>
      <w:r w:rsidRPr="00770E34">
        <w:rPr>
          <w:rFonts w:ascii="Calibri" w:hAnsi="Calibri" w:hint="eastAsia"/>
          <w:bCs/>
          <w:color w:val="000000" w:themeColor="text1"/>
          <w:sz w:val="24"/>
        </w:rPr>
        <w:t>1</w:t>
      </w:r>
      <w:r w:rsidRPr="00770E34">
        <w:rPr>
          <w:rFonts w:ascii="Calibri" w:hAnsi="Calibri" w:hint="eastAsia"/>
          <w:bCs/>
          <w:color w:val="000000" w:themeColor="text1"/>
          <w:sz w:val="24"/>
        </w:rPr>
        <w:t>）提名：</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托管人由基金管理人或由单独或合计持有</w:t>
      </w:r>
      <w:r w:rsidRPr="00770E34">
        <w:rPr>
          <w:rFonts w:ascii="Calibri" w:hAnsi="Calibri"/>
          <w:bCs/>
          <w:color w:val="000000" w:themeColor="text1"/>
          <w:sz w:val="24"/>
        </w:rPr>
        <w:t>10%</w:t>
      </w:r>
      <w:r w:rsidRPr="00770E34">
        <w:rPr>
          <w:rFonts w:ascii="Calibri" w:hAnsi="Calibri" w:hint="eastAsia"/>
          <w:bCs/>
          <w:color w:val="000000" w:themeColor="text1"/>
          <w:sz w:val="24"/>
        </w:rPr>
        <w:t>以上（含</w:t>
      </w:r>
      <w:r w:rsidRPr="00770E34">
        <w:rPr>
          <w:rFonts w:ascii="Calibri" w:hAnsi="Calibri"/>
          <w:bCs/>
          <w:color w:val="000000" w:themeColor="text1"/>
          <w:sz w:val="24"/>
        </w:rPr>
        <w:t>10%</w:t>
      </w:r>
      <w:r w:rsidRPr="00770E34">
        <w:rPr>
          <w:rFonts w:ascii="Calibri" w:hAnsi="Calibri" w:hint="eastAsia"/>
          <w:bCs/>
          <w:color w:val="000000" w:themeColor="text1"/>
          <w:sz w:val="24"/>
        </w:rPr>
        <w:t>）基金份额的基金份额持有人提名；</w:t>
      </w:r>
    </w:p>
    <w:p w14:paraId="6BA1BFE8"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2</w:t>
      </w:r>
      <w:r w:rsidRPr="00770E34">
        <w:rPr>
          <w:rFonts w:ascii="Calibri" w:hAnsi="Calibri" w:hint="eastAsia"/>
          <w:bCs/>
          <w:color w:val="000000" w:themeColor="text1"/>
          <w:sz w:val="24"/>
        </w:rPr>
        <w:t>）决议：基金份额持有人大会在基金托管人职责终止后</w:t>
      </w:r>
      <w:r w:rsidRPr="00770E34">
        <w:rPr>
          <w:rFonts w:ascii="Calibri" w:hAnsi="Calibri"/>
          <w:bCs/>
          <w:color w:val="000000" w:themeColor="text1"/>
          <w:sz w:val="24"/>
        </w:rPr>
        <w:t>6</w:t>
      </w:r>
      <w:r w:rsidRPr="00770E34">
        <w:rPr>
          <w:rFonts w:ascii="Calibri" w:hAnsi="Calibri" w:hint="eastAsia"/>
          <w:bCs/>
          <w:color w:val="000000" w:themeColor="text1"/>
          <w:sz w:val="24"/>
        </w:rPr>
        <w:t>个月内对被提名的基金托管人形成决议，该决议需经参加大会的基金份额持有人所持表决权的三分之二以上（含三分之二）表决通过，决议自表决通过之日起生效，</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托管人应当符合法律法规及中国证监会规定的资格条件；</w:t>
      </w:r>
    </w:p>
    <w:p w14:paraId="374C107C"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3</w:t>
      </w:r>
      <w:r w:rsidRPr="00770E34">
        <w:rPr>
          <w:rFonts w:ascii="Calibri" w:hAnsi="Calibri" w:hint="eastAsia"/>
          <w:bCs/>
          <w:color w:val="000000" w:themeColor="text1"/>
          <w:sz w:val="24"/>
        </w:rPr>
        <w:t>）临时基金托管人：</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托管人产生之前，由中国证监会指定临时基金托管人；</w:t>
      </w:r>
    </w:p>
    <w:p w14:paraId="7C21307F"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4</w:t>
      </w:r>
      <w:r w:rsidRPr="00770E34">
        <w:rPr>
          <w:rFonts w:ascii="Calibri" w:hAnsi="Calibri" w:hint="eastAsia"/>
          <w:bCs/>
          <w:color w:val="000000" w:themeColor="text1"/>
          <w:sz w:val="24"/>
        </w:rPr>
        <w:t>）备案：基金份额持有人大会更换基金托管人的决议须报中国证监会备案；</w:t>
      </w:r>
    </w:p>
    <w:p w14:paraId="204E74F8"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5</w:t>
      </w:r>
      <w:r w:rsidRPr="00770E34">
        <w:rPr>
          <w:rFonts w:ascii="Calibri" w:hAnsi="Calibri" w:hint="eastAsia"/>
          <w:bCs/>
          <w:color w:val="000000" w:themeColor="text1"/>
          <w:sz w:val="24"/>
        </w:rPr>
        <w:t>）公告：基金托管人更换后，由基金管理人在基金份额持有人大会更换基金托管人的决议生效后</w:t>
      </w:r>
      <w:r w:rsidRPr="00770E34">
        <w:rPr>
          <w:rFonts w:ascii="Calibri" w:hAnsi="Calibri"/>
          <w:bCs/>
          <w:color w:val="000000" w:themeColor="text1"/>
          <w:sz w:val="24"/>
        </w:rPr>
        <w:t>2</w:t>
      </w:r>
      <w:r w:rsidRPr="00770E34">
        <w:rPr>
          <w:rFonts w:ascii="Calibri" w:hAnsi="Calibri" w:hint="eastAsia"/>
          <w:bCs/>
          <w:color w:val="000000" w:themeColor="text1"/>
          <w:sz w:val="24"/>
        </w:rPr>
        <w:t>日内在规定媒介公告；</w:t>
      </w:r>
    </w:p>
    <w:p w14:paraId="7CEA193E"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6</w:t>
      </w:r>
      <w:r w:rsidRPr="00770E34">
        <w:rPr>
          <w:rFonts w:ascii="Calibri" w:hAnsi="Calibri" w:hint="eastAsia"/>
          <w:bCs/>
          <w:color w:val="000000" w:themeColor="text1"/>
          <w:sz w:val="24"/>
        </w:rPr>
        <w:t>）交接：基金托管人职责终止的，应当妥善保管基金财产和基金托管业务资料，及时办理基金财产和基金托管业务的移交手续，</w:t>
      </w:r>
      <w:proofErr w:type="gramStart"/>
      <w:r w:rsidRPr="00770E34">
        <w:rPr>
          <w:rFonts w:ascii="Calibri" w:hAnsi="Calibri" w:hint="eastAsia"/>
          <w:bCs/>
          <w:color w:val="000000" w:themeColor="text1"/>
          <w:sz w:val="24"/>
        </w:rPr>
        <w:t>新任基金</w:t>
      </w:r>
      <w:proofErr w:type="gramEnd"/>
      <w:r w:rsidRPr="00770E34">
        <w:rPr>
          <w:rFonts w:ascii="Calibri" w:hAnsi="Calibri" w:hint="eastAsia"/>
          <w:bCs/>
          <w:color w:val="000000" w:themeColor="text1"/>
          <w:sz w:val="24"/>
        </w:rPr>
        <w:t>托管人或者临时基金托管人应当及时接收，</w:t>
      </w:r>
      <w:proofErr w:type="gramStart"/>
      <w:r w:rsidRPr="00770E34">
        <w:rPr>
          <w:rFonts w:hint="eastAsia"/>
          <w:bCs/>
          <w:color w:val="000000" w:themeColor="text1"/>
          <w:sz w:val="24"/>
        </w:rPr>
        <w:t>新任基</w:t>
      </w:r>
      <w:proofErr w:type="gramEnd"/>
      <w:r w:rsidRPr="00770E34">
        <w:rPr>
          <w:rFonts w:hint="eastAsia"/>
          <w:bCs/>
          <w:color w:val="000000" w:themeColor="text1"/>
          <w:sz w:val="24"/>
        </w:rPr>
        <w:t>金托管人或临时基金托管人应与基金管理人核对基金资产总值和净值</w:t>
      </w:r>
      <w:r w:rsidRPr="00770E34">
        <w:rPr>
          <w:rFonts w:ascii="Calibri" w:hAnsi="Calibri" w:hint="eastAsia"/>
          <w:bCs/>
          <w:color w:val="000000" w:themeColor="text1"/>
          <w:sz w:val="24"/>
        </w:rPr>
        <w:t>；</w:t>
      </w:r>
      <w:r w:rsidRPr="00770E34">
        <w:rPr>
          <w:rFonts w:ascii="Calibri" w:hAnsi="Calibri"/>
          <w:bCs/>
          <w:color w:val="000000" w:themeColor="text1"/>
          <w:sz w:val="24"/>
        </w:rPr>
        <w:t xml:space="preserve"> </w:t>
      </w:r>
    </w:p>
    <w:p w14:paraId="3BD766D8" w14:textId="77777777" w:rsidR="00D315D6" w:rsidRPr="00770E34" w:rsidRDefault="00C14E5E">
      <w:pPr>
        <w:spacing w:line="360" w:lineRule="auto"/>
        <w:ind w:firstLine="482"/>
        <w:rPr>
          <w:rFonts w:ascii="Calibri" w:hAnsi="Calibri"/>
          <w:bCs/>
          <w:color w:val="000000" w:themeColor="text1"/>
          <w:sz w:val="24"/>
        </w:rPr>
      </w:pPr>
      <w:r w:rsidRPr="00770E34">
        <w:rPr>
          <w:rFonts w:ascii="Calibri" w:hAnsi="Calibri" w:hint="eastAsia"/>
          <w:bCs/>
          <w:color w:val="000000" w:themeColor="text1"/>
          <w:sz w:val="24"/>
        </w:rPr>
        <w:t>（</w:t>
      </w:r>
      <w:r w:rsidRPr="00770E34">
        <w:rPr>
          <w:rFonts w:ascii="Calibri" w:hAnsi="Calibri"/>
          <w:bCs/>
          <w:color w:val="000000" w:themeColor="text1"/>
          <w:sz w:val="24"/>
        </w:rPr>
        <w:t>7</w:t>
      </w:r>
      <w:r w:rsidRPr="00770E34">
        <w:rPr>
          <w:rFonts w:ascii="Calibri" w:hAnsi="Calibri" w:hint="eastAsia"/>
          <w:bCs/>
          <w:color w:val="000000" w:themeColor="text1"/>
          <w:sz w:val="24"/>
        </w:rPr>
        <w:t>）审计：基金托管人职责终止的，应当按照法律法规规定聘请会计师事务所对基金财产进行审计，并将审计结果予以公告，同时报中国证监会备案，审计费用从基金财产中列支。</w:t>
      </w:r>
    </w:p>
    <w:permEnd w:id="1532969526"/>
    <w:p w14:paraId="7858014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14.3基金管理人与基金托管人同时更换</w:t>
      </w:r>
    </w:p>
    <w:p w14:paraId="6335D802" w14:textId="77777777" w:rsidR="00D315D6" w:rsidRPr="00770E34" w:rsidRDefault="00C14E5E">
      <w:pPr>
        <w:pStyle w:val="20"/>
        <w:spacing w:before="0" w:after="0" w:line="520" w:lineRule="atLeast"/>
        <w:ind w:left="0" w:firstLineChars="200" w:firstLine="480"/>
        <w:rPr>
          <w:rFonts w:hAnsi="宋体"/>
          <w:szCs w:val="24"/>
        </w:rPr>
      </w:pPr>
      <w:permStart w:id="1892616007" w:edGrp="everyone"/>
      <w:r w:rsidRPr="00770E34">
        <w:rPr>
          <w:rFonts w:hAnsi="宋体" w:hint="eastAsia"/>
          <w:szCs w:val="24"/>
        </w:rPr>
        <w:t>14.3.1提名：如果基金管理人和基金托管人同时更换，由单独或合计持有基金总份额10%以上（含10%）的基金份额持有人提名新的基金管理人和基金托管人；</w:t>
      </w:r>
    </w:p>
    <w:p w14:paraId="23ACAF0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14.3.2基金管理人和基金托管人的更换分别按上述程序进行；</w:t>
      </w:r>
    </w:p>
    <w:p w14:paraId="32C455E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14.3.3</w:t>
      </w:r>
      <w:r w:rsidRPr="00770E34">
        <w:rPr>
          <w:rFonts w:hAnsi="宋体" w:hint="eastAsia"/>
          <w:szCs w:val="24"/>
        </w:rPr>
        <w:t>公告：</w:t>
      </w:r>
      <w:proofErr w:type="gramStart"/>
      <w:r w:rsidRPr="00770E34">
        <w:rPr>
          <w:rFonts w:hAnsi="宋体" w:hint="eastAsia"/>
          <w:szCs w:val="24"/>
        </w:rPr>
        <w:t>新任基金</w:t>
      </w:r>
      <w:proofErr w:type="gramEnd"/>
      <w:r w:rsidRPr="00770E34">
        <w:rPr>
          <w:rFonts w:hAnsi="宋体" w:hint="eastAsia"/>
          <w:szCs w:val="24"/>
        </w:rPr>
        <w:t>管理人和</w:t>
      </w:r>
      <w:proofErr w:type="gramStart"/>
      <w:r w:rsidRPr="00770E34">
        <w:rPr>
          <w:rFonts w:hAnsi="宋体" w:hint="eastAsia"/>
          <w:szCs w:val="24"/>
        </w:rPr>
        <w:t>新任基</w:t>
      </w:r>
      <w:proofErr w:type="gramEnd"/>
      <w:r w:rsidRPr="00770E34">
        <w:rPr>
          <w:rFonts w:hAnsi="宋体" w:hint="eastAsia"/>
          <w:szCs w:val="24"/>
        </w:rPr>
        <w:t>金托管人应在更换基金管理人和基金托管人的基金份额持有人大会决议生效后2日内在规定媒介上联合公告。</w:t>
      </w:r>
      <w:permEnd w:id="1892616007"/>
    </w:p>
    <w:p w14:paraId="18E72F42" w14:textId="77777777" w:rsidR="00D315D6" w:rsidRPr="00770E34" w:rsidRDefault="00C14E5E">
      <w:pPr>
        <w:pStyle w:val="20"/>
        <w:spacing w:before="0" w:after="0" w:line="520" w:lineRule="atLeast"/>
        <w:ind w:left="0" w:firstLineChars="200" w:firstLine="480"/>
        <w:rPr>
          <w:bCs/>
        </w:rPr>
      </w:pPr>
      <w:r w:rsidRPr="00770E34">
        <w:rPr>
          <w:rFonts w:hAnsi="宋体" w:hint="eastAsia"/>
          <w:szCs w:val="24"/>
        </w:rPr>
        <w:t>14.4新任或临时基金管理人</w:t>
      </w:r>
      <w:r w:rsidRPr="00770E34">
        <w:rPr>
          <w:rFonts w:hint="eastAsia"/>
          <w:bCs/>
        </w:rPr>
        <w:t>接收</w:t>
      </w:r>
      <w:r w:rsidRPr="00770E34">
        <w:rPr>
          <w:rFonts w:hAnsi="宋体" w:hint="eastAsia"/>
          <w:szCs w:val="24"/>
        </w:rPr>
        <w:t>基金管理业务或新任或临时基金托管人</w:t>
      </w:r>
      <w:r w:rsidRPr="00770E34">
        <w:rPr>
          <w:rFonts w:hint="eastAsia"/>
          <w:bCs/>
        </w:rPr>
        <w:t>接收</w:t>
      </w:r>
      <w:r w:rsidRPr="00770E34">
        <w:rPr>
          <w:rFonts w:hAnsi="宋体" w:hint="eastAsia"/>
          <w:szCs w:val="24"/>
        </w:rPr>
        <w:t>基金财产和基金托管业务前，</w:t>
      </w:r>
      <w:proofErr w:type="gramStart"/>
      <w:r w:rsidRPr="00770E34">
        <w:rPr>
          <w:rFonts w:hAnsi="宋体" w:hint="eastAsia"/>
          <w:szCs w:val="24"/>
        </w:rPr>
        <w:t>原基金</w:t>
      </w:r>
      <w:proofErr w:type="gramEnd"/>
      <w:r w:rsidRPr="00770E34">
        <w:rPr>
          <w:rFonts w:hAnsi="宋体" w:hint="eastAsia"/>
          <w:szCs w:val="24"/>
        </w:rPr>
        <w:t>管理人或</w:t>
      </w:r>
      <w:proofErr w:type="gramStart"/>
      <w:r w:rsidRPr="00770E34">
        <w:rPr>
          <w:rFonts w:hAnsi="宋体" w:hint="eastAsia"/>
          <w:szCs w:val="24"/>
        </w:rPr>
        <w:t>原基</w:t>
      </w:r>
      <w:proofErr w:type="gramEnd"/>
      <w:r w:rsidRPr="00770E34">
        <w:rPr>
          <w:rFonts w:hAnsi="宋体" w:hint="eastAsia"/>
          <w:szCs w:val="24"/>
        </w:rPr>
        <w:t>金托管人应</w:t>
      </w:r>
      <w:r w:rsidRPr="00770E34">
        <w:rPr>
          <w:rFonts w:hint="eastAsia"/>
          <w:bCs/>
        </w:rPr>
        <w:t>依据法律法规和基金</w:t>
      </w:r>
      <w:r w:rsidRPr="00770E34">
        <w:rPr>
          <w:rFonts w:hint="eastAsia"/>
          <w:bCs/>
        </w:rPr>
        <w:lastRenderedPageBreak/>
        <w:t>合同的规定</w:t>
      </w:r>
      <w:r w:rsidRPr="00770E34">
        <w:rPr>
          <w:rFonts w:hAnsi="宋体" w:hint="eastAsia"/>
          <w:szCs w:val="24"/>
        </w:rPr>
        <w:t>继续履行相关职责，并保证不对基金份额持有人的利益造成损害。</w:t>
      </w:r>
      <w:proofErr w:type="gramStart"/>
      <w:r w:rsidRPr="00770E34">
        <w:rPr>
          <w:rFonts w:hint="eastAsia"/>
          <w:bCs/>
        </w:rPr>
        <w:t>原基金</w:t>
      </w:r>
      <w:proofErr w:type="gramEnd"/>
      <w:r w:rsidRPr="00770E34">
        <w:rPr>
          <w:rFonts w:hint="eastAsia"/>
          <w:bCs/>
        </w:rPr>
        <w:t>管理人或</w:t>
      </w:r>
      <w:proofErr w:type="gramStart"/>
      <w:r w:rsidRPr="00770E34">
        <w:rPr>
          <w:rFonts w:hint="eastAsia"/>
          <w:bCs/>
        </w:rPr>
        <w:t>原基</w:t>
      </w:r>
      <w:proofErr w:type="gramEnd"/>
      <w:r w:rsidRPr="00770E34">
        <w:rPr>
          <w:rFonts w:hint="eastAsia"/>
          <w:bCs/>
        </w:rPr>
        <w:t>金托管人在继续履行相关职责期间，仍有权按照</w:t>
      </w:r>
      <w:r w:rsidRPr="00770E34">
        <w:rPr>
          <w:bCs/>
        </w:rPr>
        <w:t>基金</w:t>
      </w:r>
      <w:r w:rsidRPr="00770E34">
        <w:rPr>
          <w:rFonts w:hint="eastAsia"/>
          <w:bCs/>
        </w:rPr>
        <w:t>合同的规定收取基金管理费或基金托管费。</w:t>
      </w:r>
    </w:p>
    <w:p w14:paraId="780CBCA8" w14:textId="77777777" w:rsidR="00D315D6" w:rsidRPr="00770E34" w:rsidRDefault="00C14E5E">
      <w:pPr>
        <w:pStyle w:val="20"/>
        <w:spacing w:before="0" w:after="0" w:line="520" w:lineRule="atLeast"/>
        <w:ind w:left="0" w:firstLineChars="200" w:firstLine="480"/>
        <w:rPr>
          <w:rFonts w:hAnsi="宋体"/>
          <w:szCs w:val="24"/>
        </w:rPr>
      </w:pPr>
      <w:r w:rsidRPr="00770E34">
        <w:rPr>
          <w:rFonts w:hint="eastAsia"/>
          <w:bCs/>
        </w:rPr>
        <w:t>14.5本部</w:t>
      </w:r>
      <w:proofErr w:type="gramStart"/>
      <w:r w:rsidRPr="00770E34">
        <w:rPr>
          <w:rFonts w:hint="eastAsia"/>
          <w:bCs/>
        </w:rPr>
        <w:t>分关于</w:t>
      </w:r>
      <w:proofErr w:type="gramEnd"/>
      <w:r w:rsidRPr="00770E34">
        <w:rPr>
          <w:rFonts w:hint="eastAsia"/>
          <w:bCs/>
        </w:rPr>
        <w:t>基金管理人、基金托管人更换条件和程序的约定，凡是直接引用法律法规或监管规则的部分，如将来法律法规或监管规则修改导致相关内容被取消或变更的，基金管理人与基金托管人协商一致报监管机关并提前公告后，可直接对相应内容按照法律法规或监管规则的规定进行修改和调整，无需召开基金份额持有人大会审议。</w:t>
      </w:r>
    </w:p>
    <w:p w14:paraId="1BAE7664" w14:textId="77777777" w:rsidR="00D315D6" w:rsidRPr="00770E34" w:rsidRDefault="00C14E5E">
      <w:pPr>
        <w:pStyle w:val="1"/>
        <w:spacing w:line="520" w:lineRule="atLeast"/>
        <w:ind w:firstLineChars="200" w:firstLine="482"/>
        <w:rPr>
          <w:bCs/>
          <w:color w:val="auto"/>
          <w:szCs w:val="24"/>
        </w:rPr>
      </w:pPr>
      <w:bookmarkStart w:id="56" w:name="_Toc296551351"/>
      <w:bookmarkStart w:id="57" w:name="_Toc157264232"/>
      <w:r w:rsidRPr="00770E34">
        <w:rPr>
          <w:rFonts w:hint="eastAsia"/>
          <w:bCs/>
          <w:color w:val="auto"/>
          <w:szCs w:val="24"/>
        </w:rPr>
        <w:t>第十五条 禁止行为</w:t>
      </w:r>
      <w:bookmarkEnd w:id="56"/>
      <w:bookmarkEnd w:id="57"/>
    </w:p>
    <w:p w14:paraId="0F00897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15.1基金管理人、基金托管人禁止从事的行为，包括但不限于：</w:t>
      </w:r>
    </w:p>
    <w:p w14:paraId="22A6310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15.1.1基金管理人、基金托管人将其固有财产或者他人财产混同于基金财产从事证券投资。</w:t>
      </w:r>
    </w:p>
    <w:p w14:paraId="5CB2FBF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15.1.2基金管理人不公平地对待其管理的不同基金财产，基金托管人不公平地对待其托管的不同基金财产。</w:t>
      </w:r>
    </w:p>
    <w:p w14:paraId="5978C4D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15.1.3基金管理人、基金托管人利用基金财产或职务之便为基金份额持有人以外的人牟取利益。</w:t>
      </w:r>
    </w:p>
    <w:p w14:paraId="09252A7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15.1.4基金管理人、基金托管人向基金份额持有人违规承诺收益或者承担损失。</w:t>
      </w:r>
    </w:p>
    <w:p w14:paraId="71DB5C2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15.1.5基金管理人、基金托管人对他人泄露基金运作和管理过程中任何尚未按法律法规规定的方式公开披露的信息。</w:t>
      </w:r>
    </w:p>
    <w:p w14:paraId="076AB86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15.1.6基金管理人在没有充足资金的情况下向基金托管人发出投资指令和赎回、分红资金的划拨指令，或违规向基金托管人发出指令。</w:t>
      </w:r>
    </w:p>
    <w:p w14:paraId="243133D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15.1.7基金管理人、基金托管人在行政上、财务上不独立，其高级管理人员和其他从业人员相互兼职。</w:t>
      </w:r>
    </w:p>
    <w:p w14:paraId="0E9E929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15.1.8基金托管人私自动用或处分基金财产，根据基金管理人的合法指令、基金合同或本协议的规定进行处分的除外。</w:t>
      </w:r>
    </w:p>
    <w:p w14:paraId="7469F89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15.1.9基金财产用于下列投资或者活动：</w:t>
      </w:r>
    </w:p>
    <w:p w14:paraId="2072242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（1）承销证券；</w:t>
      </w:r>
    </w:p>
    <w:p w14:paraId="55E2A71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（2）</w:t>
      </w:r>
      <w:r w:rsidRPr="00770E34">
        <w:rPr>
          <w:rFonts w:hint="eastAsia"/>
          <w:bCs/>
        </w:rPr>
        <w:t>违反规定</w:t>
      </w:r>
      <w:r w:rsidRPr="00770E34">
        <w:rPr>
          <w:rFonts w:hAnsi="宋体" w:hint="eastAsia"/>
          <w:szCs w:val="24"/>
        </w:rPr>
        <w:t>向他人贷款或者提供担保；</w:t>
      </w:r>
    </w:p>
    <w:p w14:paraId="733107E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（3）从事承担无限责任的投资；</w:t>
      </w:r>
    </w:p>
    <w:p w14:paraId="3B090DF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（4）买卖其他基金份额，但中国证监会另有规定的除外；</w:t>
      </w:r>
    </w:p>
    <w:p w14:paraId="656ACAD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（5）向其基金管理人、基金托管人出资；</w:t>
      </w:r>
    </w:p>
    <w:p w14:paraId="4CF3DCAA"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w:t>
      </w:r>
      <w:r w:rsidRPr="00770E34">
        <w:rPr>
          <w:rFonts w:hAnsi="宋体"/>
          <w:szCs w:val="24"/>
        </w:rPr>
        <w:t>6</w:t>
      </w:r>
      <w:r w:rsidRPr="00770E34">
        <w:rPr>
          <w:rFonts w:hAnsi="宋体" w:hint="eastAsia"/>
          <w:szCs w:val="24"/>
        </w:rPr>
        <w:t>）从事内幕交易、操纵证券交易价格及其他不正当的证券交易活动；</w:t>
      </w:r>
    </w:p>
    <w:p w14:paraId="426541B2" w14:textId="77777777" w:rsidR="00D315D6" w:rsidRPr="00770E34" w:rsidRDefault="00C14E5E">
      <w:pPr>
        <w:pStyle w:val="20"/>
        <w:spacing w:before="0" w:after="0" w:line="520" w:lineRule="atLeast"/>
        <w:ind w:left="0" w:firstLineChars="200" w:firstLine="480"/>
        <w:rPr>
          <w:rFonts w:hAnsi="宋体"/>
          <w:szCs w:val="24"/>
        </w:rPr>
      </w:pPr>
      <w:r w:rsidRPr="00770E34">
        <w:rPr>
          <w:rFonts w:hint="eastAsia"/>
          <w:bCs/>
        </w:rPr>
        <w:t>（</w:t>
      </w:r>
      <w:r w:rsidRPr="00770E34">
        <w:rPr>
          <w:bCs/>
        </w:rPr>
        <w:t>7</w:t>
      </w:r>
      <w:r w:rsidRPr="00770E34">
        <w:rPr>
          <w:rFonts w:hint="eastAsia"/>
          <w:bCs/>
        </w:rPr>
        <w:t>）</w:t>
      </w:r>
      <w:r w:rsidRPr="00770E34">
        <w:rPr>
          <w:bCs/>
        </w:rPr>
        <w:t>法律</w:t>
      </w:r>
      <w:r w:rsidRPr="00770E34">
        <w:rPr>
          <w:rFonts w:hint="eastAsia"/>
          <w:bCs/>
        </w:rPr>
        <w:t>、</w:t>
      </w:r>
      <w:r w:rsidRPr="00770E34">
        <w:rPr>
          <w:bCs/>
        </w:rPr>
        <w:t>行政法规</w:t>
      </w:r>
      <w:r w:rsidRPr="00770E34">
        <w:rPr>
          <w:rFonts w:hint="eastAsia"/>
          <w:bCs/>
        </w:rPr>
        <w:t>和中国证监会规定禁止的其他活动</w:t>
      </w:r>
      <w:r w:rsidRPr="00770E34">
        <w:rPr>
          <w:rFonts w:hAnsi="宋体" w:hint="eastAsia"/>
          <w:szCs w:val="24"/>
        </w:rPr>
        <w:t>。</w:t>
      </w:r>
    </w:p>
    <w:p w14:paraId="41961EA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15.1.10法律法规或监管部门取消</w:t>
      </w:r>
      <w:r w:rsidRPr="00770E34">
        <w:rPr>
          <w:rFonts w:hint="eastAsia"/>
          <w:bCs/>
        </w:rPr>
        <w:t>或变更上述禁止性规定</w:t>
      </w:r>
      <w:r w:rsidRPr="00770E34">
        <w:rPr>
          <w:bCs/>
        </w:rPr>
        <w:t>，</w:t>
      </w:r>
      <w:r w:rsidRPr="00770E34">
        <w:rPr>
          <w:rFonts w:hint="eastAsia"/>
          <w:bCs/>
        </w:rPr>
        <w:t>如适用于本基金</w:t>
      </w:r>
      <w:r w:rsidRPr="00770E34">
        <w:rPr>
          <w:rFonts w:hAnsi="宋体" w:hint="eastAsia"/>
          <w:szCs w:val="24"/>
        </w:rPr>
        <w:t>，基金管理人在履行适当程序后，</w:t>
      </w:r>
      <w:r w:rsidRPr="00770E34">
        <w:rPr>
          <w:rFonts w:hint="eastAsia"/>
          <w:bCs/>
        </w:rPr>
        <w:t>可不受上述规定的限制或按变更后的规定执行</w:t>
      </w:r>
      <w:r w:rsidRPr="00770E34">
        <w:rPr>
          <w:rFonts w:hAnsi="宋体" w:hint="eastAsia"/>
          <w:szCs w:val="24"/>
        </w:rPr>
        <w:t>。</w:t>
      </w:r>
    </w:p>
    <w:p w14:paraId="372205F1" w14:textId="77777777" w:rsidR="00D315D6" w:rsidRPr="00770E34" w:rsidRDefault="00C14E5E">
      <w:pPr>
        <w:pStyle w:val="1"/>
        <w:spacing w:line="520" w:lineRule="atLeast"/>
        <w:ind w:firstLineChars="200" w:firstLine="482"/>
        <w:rPr>
          <w:bCs/>
          <w:color w:val="auto"/>
          <w:szCs w:val="24"/>
        </w:rPr>
      </w:pPr>
      <w:bookmarkStart w:id="58" w:name="_Toc296551352"/>
      <w:bookmarkStart w:id="59" w:name="_Toc157264233"/>
      <w:r w:rsidRPr="00770E34">
        <w:rPr>
          <w:rFonts w:hint="eastAsia"/>
          <w:bCs/>
          <w:color w:val="auto"/>
          <w:szCs w:val="24"/>
        </w:rPr>
        <w:t>第十六条 本协议的变更、终止与基金财产的清算</w:t>
      </w:r>
      <w:bookmarkEnd w:id="58"/>
      <w:bookmarkEnd w:id="59"/>
    </w:p>
    <w:p w14:paraId="2F4AC74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16.1本协议的变更与终止</w:t>
      </w:r>
    </w:p>
    <w:p w14:paraId="62CB57F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16.1.1本协议的变更程序</w:t>
      </w:r>
    </w:p>
    <w:p w14:paraId="2DF9830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本协议双方当事人经协商一致，在履行适当程序后可以对协议的内容进行变更</w:t>
      </w:r>
      <w:r w:rsidRPr="00770E34">
        <w:rPr>
          <w:rFonts w:asciiTheme="minorEastAsia" w:eastAsiaTheme="minorEastAsia" w:hAnsiTheme="minorEastAsia" w:hint="eastAsia"/>
          <w:szCs w:val="24"/>
        </w:rPr>
        <w:t>，并另行签署书面协议予以明确</w:t>
      </w:r>
      <w:r w:rsidRPr="00770E34">
        <w:rPr>
          <w:rFonts w:hAnsi="宋体" w:hint="eastAsia"/>
          <w:szCs w:val="24"/>
        </w:rPr>
        <w:t>。变更后的托管协议，其内容不得与基金合同的规定有任何冲突。</w:t>
      </w:r>
    </w:p>
    <w:p w14:paraId="5824928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16.1.2本协议终止的情形</w:t>
      </w:r>
    </w:p>
    <w:p w14:paraId="0E1585C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发生以下情况，本协议终止：</w:t>
      </w:r>
    </w:p>
    <w:p w14:paraId="6ABAFDF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（1）基金合同终止；</w:t>
      </w:r>
    </w:p>
    <w:p w14:paraId="22AE97B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（2）基金托管人解散、依法被撤销、破产或由其他基金托管人接管基金资产；</w:t>
      </w:r>
    </w:p>
    <w:p w14:paraId="1EFE57C4"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（3）基金管理人解散、依法被撤销、破产或由其他基金管理人接管基金管理权；</w:t>
      </w:r>
    </w:p>
    <w:p w14:paraId="555EC9C3" w14:textId="6E3AD9F1" w:rsidR="00D315D6" w:rsidRPr="00770E34" w:rsidRDefault="00C14E5E" w:rsidP="00D02186">
      <w:pPr>
        <w:spacing w:line="360" w:lineRule="auto"/>
        <w:ind w:firstLineChars="200" w:firstLine="420"/>
        <w:rPr>
          <w:rFonts w:hAnsi="宋体"/>
          <w:szCs w:val="24"/>
        </w:rPr>
      </w:pPr>
      <w:r w:rsidRPr="00770E34">
        <w:rPr>
          <w:rFonts w:hAnsi="宋体" w:hint="eastAsia"/>
          <w:szCs w:val="24"/>
        </w:rPr>
        <w:t>（</w:t>
      </w:r>
      <w:r w:rsidRPr="00770E34">
        <w:rPr>
          <w:rFonts w:hAnsi="宋体"/>
          <w:szCs w:val="24"/>
        </w:rPr>
        <w:t>4</w:t>
      </w:r>
      <w:r w:rsidRPr="00770E34">
        <w:rPr>
          <w:rFonts w:hAnsi="宋体" w:hint="eastAsia"/>
          <w:szCs w:val="24"/>
        </w:rPr>
        <w:t>）</w:t>
      </w:r>
      <w:r w:rsidRPr="00770E34">
        <w:rPr>
          <w:rFonts w:ascii="宋体" w:hAnsi="宋体" w:hint="eastAsia"/>
          <w:sz w:val="24"/>
          <w:szCs w:val="24"/>
        </w:rPr>
        <w:t>发生法律法规或基金合同规定的终止事项。</w:t>
      </w:r>
    </w:p>
    <w:p w14:paraId="306F2BF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16.2基金财产的清算</w:t>
      </w:r>
    </w:p>
    <w:p w14:paraId="33F73CD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16.2.1基金财产清算小组</w:t>
      </w:r>
    </w:p>
    <w:p w14:paraId="2EE5B2DD" w14:textId="77777777" w:rsidR="00D315D6" w:rsidRPr="00770E34" w:rsidRDefault="00C14E5E">
      <w:pPr>
        <w:pStyle w:val="20"/>
        <w:spacing w:before="0" w:after="0" w:line="520" w:lineRule="atLeast"/>
        <w:ind w:left="0" w:firstLineChars="200" w:firstLine="480"/>
        <w:rPr>
          <w:rFonts w:hAnsi="宋体"/>
          <w:szCs w:val="24"/>
        </w:rPr>
      </w:pPr>
      <w:bookmarkStart w:id="60" w:name="_Hlk156154308"/>
      <w:r w:rsidRPr="00770E34">
        <w:rPr>
          <w:rFonts w:hAnsi="宋体" w:hint="eastAsia"/>
          <w:szCs w:val="24"/>
        </w:rPr>
        <w:t>（1）自出现基金合同终止事由之日起30个工作日内成立基金财产清算小组，基金管理人组织基金财产清算小组并在中国证监会的监督下进行基金清算。</w:t>
      </w:r>
    </w:p>
    <w:p w14:paraId="3D0B88F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（2）基金财产清算小组成员由基金管理人、基金托管人、符合《中华人民共和国证券法》规定的注册会计师、律师以及中国证监会指定的人员组成。基金财产清算小组可以聘用必要的工作人员。</w:t>
      </w:r>
    </w:p>
    <w:p w14:paraId="7E91A2B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（3）在基金财产清算过程中，基金管理人和基金托管人应各自履行职责，继续忠实、勤勉、尽责地履行基金合同和本协议规定的义务，维护基金份额持有人的合法权益。</w:t>
      </w:r>
    </w:p>
    <w:p w14:paraId="341D7CB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（4）基金财产清算小组负责基金财产的保管、清理、估价、变现和分配。基金财产清算小组可以依法进行必要的民事活动。</w:t>
      </w:r>
    </w:p>
    <w:p w14:paraId="6A47222B"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16.2.2基金财产清算程序</w:t>
      </w:r>
    </w:p>
    <w:p w14:paraId="45F6BEB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基金合同终止，应当按法律法规和基金合同的有关规定对基金财产进行清算。基金财产清算程序主要包括：</w:t>
      </w:r>
    </w:p>
    <w:p w14:paraId="25FF25F5"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（1）基金合同终止情形出现时，由基金财产清算小组统一接管基金；</w:t>
      </w:r>
    </w:p>
    <w:p w14:paraId="485FF9A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（2）对基金财产和债权债务进行清理和确认；</w:t>
      </w:r>
    </w:p>
    <w:p w14:paraId="24FA3B3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（3）对基金财产进行估值和变现；</w:t>
      </w:r>
    </w:p>
    <w:p w14:paraId="2EBF616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（4）制作清算报告；</w:t>
      </w:r>
    </w:p>
    <w:p w14:paraId="7F07DEB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（5）聘请符合《中华人民共和国证券法》规定的会计师事务所对清算报告进行外部审计，聘请律师事务所对清算报告出具法律意见书；</w:t>
      </w:r>
    </w:p>
    <w:p w14:paraId="6BF804D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（6）将清算报告报中国证监会备案并公告；</w:t>
      </w:r>
    </w:p>
    <w:p w14:paraId="24DDCD5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（7）对基金剩余财产进行分配。</w:t>
      </w:r>
    </w:p>
    <w:p w14:paraId="6C1AA551" w14:textId="77777777" w:rsidR="00D315D6" w:rsidRPr="00770E34" w:rsidRDefault="00C14E5E">
      <w:pPr>
        <w:pStyle w:val="20"/>
        <w:spacing w:before="0" w:after="0" w:line="520" w:lineRule="atLeast"/>
        <w:ind w:left="0" w:firstLineChars="200" w:firstLine="480"/>
        <w:rPr>
          <w:bCs/>
          <w:szCs w:val="24"/>
        </w:rPr>
      </w:pPr>
      <w:r w:rsidRPr="00770E34">
        <w:rPr>
          <w:bCs/>
        </w:rPr>
        <w:t>基金财产清算的期限为</w:t>
      </w:r>
      <w:r w:rsidRPr="00770E34">
        <w:rPr>
          <w:rFonts w:hint="eastAsia"/>
          <w:bCs/>
        </w:rPr>
        <w:t>6</w:t>
      </w:r>
      <w:r w:rsidRPr="00770E34">
        <w:rPr>
          <w:bCs/>
        </w:rPr>
        <w:t>个月</w:t>
      </w:r>
      <w:r w:rsidRPr="00770E34">
        <w:rPr>
          <w:rFonts w:hint="eastAsia"/>
          <w:bCs/>
          <w:szCs w:val="24"/>
        </w:rPr>
        <w:t>，但因本基金所持证券的流动性受到限制而不能及时变现的，清算期限相应顺延。</w:t>
      </w:r>
    </w:p>
    <w:p w14:paraId="55450F2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16.2.3清算费用</w:t>
      </w:r>
    </w:p>
    <w:p w14:paraId="55635FC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清算费用是指基金财产清算小组在进行基金财产清算过程中发生的所有合理费用，清算费用由基金财产清算小组优先从基金剩余财产中支付。</w:t>
      </w:r>
    </w:p>
    <w:p w14:paraId="605D2A01" w14:textId="77777777" w:rsidR="00D315D6" w:rsidRPr="00770E34" w:rsidRDefault="00C14E5E">
      <w:pPr>
        <w:pStyle w:val="20"/>
        <w:spacing w:line="360" w:lineRule="auto"/>
        <w:ind w:left="0" w:firstLineChars="200" w:firstLine="480"/>
        <w:rPr>
          <w:rFonts w:hAnsi="宋体"/>
          <w:szCs w:val="24"/>
        </w:rPr>
      </w:pPr>
      <w:r w:rsidRPr="00770E34">
        <w:rPr>
          <w:rFonts w:hAnsi="宋体" w:hint="eastAsia"/>
          <w:szCs w:val="24"/>
        </w:rPr>
        <w:t>16.2.4基金财产清算剩余资产的分配</w:t>
      </w:r>
    </w:p>
    <w:p w14:paraId="71215FB9" w14:textId="77777777" w:rsidR="00D315D6" w:rsidRPr="00770E34" w:rsidRDefault="00C14E5E">
      <w:pPr>
        <w:pStyle w:val="20"/>
        <w:spacing w:before="0" w:after="0" w:line="360" w:lineRule="auto"/>
        <w:ind w:left="0" w:firstLineChars="200" w:firstLine="480"/>
        <w:rPr>
          <w:rFonts w:hAnsi="宋体"/>
          <w:szCs w:val="24"/>
        </w:rPr>
      </w:pPr>
      <w:r w:rsidRPr="00770E34">
        <w:rPr>
          <w:rFonts w:hAnsi="宋体" w:hint="eastAsia"/>
          <w:szCs w:val="24"/>
        </w:rPr>
        <w:t>依据基金财产清算的分配方案，将基金财产清算后的全部剩余资产扣除基金财产清算费用、交纳所欠税款并清偿基金债务后，各类基金份额按基金份额持有人持有的该类基金份额比例进行分配。</w:t>
      </w:r>
    </w:p>
    <w:p w14:paraId="2862239C"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16.2.5基金财产清算的公告</w:t>
      </w:r>
    </w:p>
    <w:p w14:paraId="57FCE49F" w14:textId="77777777" w:rsidR="00D315D6" w:rsidRPr="00770E34" w:rsidRDefault="00C14E5E">
      <w:pPr>
        <w:spacing w:line="520" w:lineRule="atLeast"/>
        <w:ind w:firstLineChars="200" w:firstLine="480"/>
        <w:rPr>
          <w:bCs/>
          <w:sz w:val="24"/>
        </w:rPr>
      </w:pPr>
      <w:r w:rsidRPr="00770E34">
        <w:rPr>
          <w:rFonts w:hint="eastAsia"/>
          <w:bCs/>
          <w:sz w:val="24"/>
        </w:rPr>
        <w:t>清算过程中的有关重大事项须及时公告；基金财产清算报告</w:t>
      </w:r>
      <w:proofErr w:type="gramStart"/>
      <w:r w:rsidRPr="00770E34">
        <w:rPr>
          <w:rFonts w:hint="eastAsia"/>
          <w:bCs/>
          <w:sz w:val="24"/>
        </w:rPr>
        <w:t>经符合</w:t>
      </w:r>
      <w:proofErr w:type="gramEnd"/>
      <w:r w:rsidRPr="00770E34">
        <w:rPr>
          <w:rFonts w:hint="eastAsia"/>
          <w:bCs/>
          <w:sz w:val="24"/>
        </w:rPr>
        <w:t>《中华人民共和国证券法》规定的会计师事务所审计并由律师事务所出具法律意见书后报中国</w:t>
      </w:r>
      <w:r w:rsidRPr="00770E34">
        <w:rPr>
          <w:rFonts w:hint="eastAsia"/>
          <w:bCs/>
          <w:sz w:val="24"/>
        </w:rPr>
        <w:lastRenderedPageBreak/>
        <w:t>证监会备案并公告。基金财产清算报告报中国证监会备案后</w:t>
      </w:r>
      <w:r w:rsidRPr="00770E34">
        <w:rPr>
          <w:rFonts w:hint="eastAsia"/>
          <w:bCs/>
          <w:sz w:val="24"/>
        </w:rPr>
        <w:t>5</w:t>
      </w:r>
      <w:r w:rsidRPr="00770E34">
        <w:rPr>
          <w:rFonts w:hint="eastAsia"/>
          <w:bCs/>
          <w:sz w:val="24"/>
        </w:rPr>
        <w:t>个工作日内由基金财产清算小组进行公告，清算小组应当将清算报告登载在规定网站上，并将清算报告提示性公告登载在规定报刊上。</w:t>
      </w:r>
    </w:p>
    <w:p w14:paraId="1BDB9682"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16.2.6基金财产清算账册及文件的保存</w:t>
      </w:r>
    </w:p>
    <w:p w14:paraId="4B060F1D" w14:textId="77777777" w:rsidR="0020505E" w:rsidRPr="00770E34" w:rsidRDefault="00C14E5E" w:rsidP="00D02186">
      <w:pPr>
        <w:spacing w:line="520" w:lineRule="atLeast"/>
        <w:ind w:firstLineChars="200" w:firstLine="480"/>
        <w:rPr>
          <w:bCs/>
        </w:rPr>
      </w:pPr>
      <w:r w:rsidRPr="00770E34">
        <w:rPr>
          <w:rFonts w:hint="eastAsia"/>
          <w:bCs/>
          <w:sz w:val="24"/>
        </w:rPr>
        <w:t>基金财产清算账册及有关文件由基金托管人保存，保存期限不少于法定最低期限。</w:t>
      </w:r>
      <w:bookmarkStart w:id="61" w:name="_Toc296551353"/>
      <w:bookmarkEnd w:id="60"/>
    </w:p>
    <w:p w14:paraId="5229BE89" w14:textId="69826914" w:rsidR="00D315D6" w:rsidRPr="00770E34" w:rsidRDefault="00C14E5E">
      <w:pPr>
        <w:pStyle w:val="1"/>
        <w:spacing w:line="520" w:lineRule="atLeast"/>
        <w:ind w:firstLineChars="200" w:firstLine="482"/>
        <w:rPr>
          <w:bCs/>
          <w:color w:val="auto"/>
          <w:szCs w:val="24"/>
        </w:rPr>
      </w:pPr>
      <w:bookmarkStart w:id="62" w:name="_Toc157264234"/>
      <w:r w:rsidRPr="00770E34">
        <w:rPr>
          <w:rFonts w:hint="eastAsia"/>
          <w:bCs/>
          <w:color w:val="auto"/>
          <w:szCs w:val="24"/>
        </w:rPr>
        <w:t>第十七条 违约责任</w:t>
      </w:r>
      <w:bookmarkEnd w:id="61"/>
      <w:bookmarkEnd w:id="62"/>
    </w:p>
    <w:p w14:paraId="267F684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17.1如果基金管理人或基金托管人不履行本协议或者履行本协议不符合约定的，应当承担违约责任。</w:t>
      </w:r>
    </w:p>
    <w:p w14:paraId="00D07C2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17.2</w:t>
      </w:r>
      <w:r w:rsidRPr="00770E34">
        <w:rPr>
          <w:rFonts w:hAnsi="宋体" w:hint="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对损失的赔偿，仅限于直接损失。基金管理人或基金托管人承担连带责任后，可向对方追偿。</w:t>
      </w:r>
      <w:r w:rsidRPr="00770E34">
        <w:rPr>
          <w:rFonts w:hAnsi="宋体" w:hint="eastAsia"/>
          <w:szCs w:val="24"/>
        </w:rPr>
        <w:t>但是发生下列情况，当事人可以免责：</w:t>
      </w:r>
    </w:p>
    <w:p w14:paraId="5938CB5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（1）不可抗力；</w:t>
      </w:r>
    </w:p>
    <w:p w14:paraId="72DEF37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（2）基金管理人</w:t>
      </w:r>
      <w:r w:rsidRPr="00770E34">
        <w:rPr>
          <w:rFonts w:hint="eastAsia"/>
          <w:bCs/>
        </w:rPr>
        <w:t>和/或</w:t>
      </w:r>
      <w:r w:rsidRPr="00770E34">
        <w:rPr>
          <w:rFonts w:hAnsi="宋体" w:hint="eastAsia"/>
          <w:szCs w:val="24"/>
        </w:rPr>
        <w:t>基金托管人按照</w:t>
      </w:r>
      <w:r w:rsidRPr="00770E34">
        <w:rPr>
          <w:rFonts w:hint="eastAsia"/>
          <w:bCs/>
        </w:rPr>
        <w:t>当时</w:t>
      </w:r>
      <w:r w:rsidRPr="00770E34">
        <w:rPr>
          <w:rFonts w:hAnsi="宋体" w:hint="eastAsia"/>
          <w:szCs w:val="24"/>
        </w:rPr>
        <w:t>有效的法律法规或中国证监会的规定作为或不作为而造成的损失等；</w:t>
      </w:r>
    </w:p>
    <w:p w14:paraId="6E2F46D7"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（3）基金管理人由于按照基金合同规定的投资原则投资或不投资而造成的损失等；</w:t>
      </w:r>
    </w:p>
    <w:p w14:paraId="26BD96E0"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（4）基金托管人对存放或存管在基金托管人以外机构的基金资产，或交由证券公司等其他机构负责清算交收的基金资产及其收益不承担任何责任；</w:t>
      </w:r>
    </w:p>
    <w:p w14:paraId="5251D11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（5）计算机系统故障、网络故障、通讯故障、电力故障、计算机病毒攻击及其它</w:t>
      </w:r>
      <w:proofErr w:type="gramStart"/>
      <w:r w:rsidRPr="00770E34">
        <w:rPr>
          <w:rFonts w:hAnsi="宋体" w:hint="eastAsia"/>
          <w:szCs w:val="24"/>
        </w:rPr>
        <w:t>非基金</w:t>
      </w:r>
      <w:proofErr w:type="gramEnd"/>
      <w:r w:rsidRPr="00770E34">
        <w:rPr>
          <w:rFonts w:hAnsi="宋体" w:hint="eastAsia"/>
          <w:szCs w:val="24"/>
        </w:rPr>
        <w:t>管理人及基金托管</w:t>
      </w:r>
      <w:proofErr w:type="gramStart"/>
      <w:r w:rsidRPr="00770E34">
        <w:rPr>
          <w:rFonts w:hAnsi="宋体" w:hint="eastAsia"/>
          <w:szCs w:val="24"/>
        </w:rPr>
        <w:t>人原</w:t>
      </w:r>
      <w:proofErr w:type="gramEnd"/>
      <w:r w:rsidRPr="00770E34">
        <w:rPr>
          <w:rFonts w:hAnsi="宋体" w:hint="eastAsia"/>
          <w:szCs w:val="24"/>
        </w:rPr>
        <w:t>因造成的意外事故。</w:t>
      </w:r>
    </w:p>
    <w:p w14:paraId="4FCA134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14:paraId="1651E06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lastRenderedPageBreak/>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E19F0C8"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17.5违约行为虽已发生，但本协议能够继续履行的，在最大限度地保护基金份额持有人利益的前提下，基金管理人和基金托管人应当继续履行本协议。</w:t>
      </w:r>
    </w:p>
    <w:p w14:paraId="2437190D" w14:textId="7C1A0D9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17.6由于基金管理人、基金托管人不可控制的因素导致业务出现差错，基金管理人和基金托管人虽然已经采取必要、适当、合理的措施进行检查，但是未能发现错误或</w:t>
      </w:r>
      <w:r w:rsidRPr="00770E34">
        <w:rPr>
          <w:rFonts w:hAnsi="宋体"/>
          <w:szCs w:val="24"/>
        </w:rPr>
        <w:t>不能避免错误发生或</w:t>
      </w:r>
      <w:proofErr w:type="gramStart"/>
      <w:r w:rsidRPr="00770E34">
        <w:rPr>
          <w:rFonts w:hAnsi="宋体"/>
          <w:szCs w:val="24"/>
        </w:rPr>
        <w:t>虽发现</w:t>
      </w:r>
      <w:proofErr w:type="gramEnd"/>
      <w:r w:rsidRPr="00770E34">
        <w:rPr>
          <w:rFonts w:hAnsi="宋体"/>
          <w:szCs w:val="24"/>
        </w:rPr>
        <w:t>错误但</w:t>
      </w:r>
      <w:bookmarkStart w:id="63" w:name="_Hlk156925052"/>
      <w:r w:rsidR="0032719C" w:rsidRPr="00770E34">
        <w:rPr>
          <w:rFonts w:hAnsi="宋体" w:hint="eastAsia"/>
          <w:szCs w:val="24"/>
        </w:rPr>
        <w:t>因前述原因</w:t>
      </w:r>
      <w:bookmarkEnd w:id="63"/>
      <w:r w:rsidR="0032719C" w:rsidRPr="00770E34">
        <w:rPr>
          <w:rFonts w:hAnsi="宋体" w:hint="eastAsia"/>
          <w:szCs w:val="24"/>
        </w:rPr>
        <w:t>无法</w:t>
      </w:r>
      <w:r w:rsidRPr="00770E34">
        <w:rPr>
          <w:rFonts w:hAnsi="宋体"/>
          <w:szCs w:val="24"/>
        </w:rPr>
        <w:t>及时更正</w:t>
      </w:r>
      <w:r w:rsidRPr="00770E34">
        <w:rPr>
          <w:rFonts w:hAnsi="宋体" w:hint="eastAsia"/>
          <w:szCs w:val="24"/>
        </w:rPr>
        <w:t>的，由此造成基金财产或基金份额持有人损失，基金管理人和基金托管人免除赔偿责任。但是基金管理人和基金托管人应积极采取必要的措施减轻或消除由此造成的影响。</w:t>
      </w:r>
    </w:p>
    <w:p w14:paraId="70C8CCE1" w14:textId="77777777" w:rsidR="00D315D6" w:rsidRPr="00770E34" w:rsidRDefault="00C14E5E">
      <w:pPr>
        <w:pStyle w:val="20"/>
        <w:snapToGrid w:val="0"/>
        <w:spacing w:before="0" w:after="0" w:line="520" w:lineRule="atLeast"/>
        <w:ind w:left="0" w:firstLineChars="200" w:firstLine="480"/>
        <w:rPr>
          <w:rFonts w:hAnsi="宋体"/>
          <w:szCs w:val="24"/>
        </w:rPr>
      </w:pPr>
      <w:r w:rsidRPr="00770E34">
        <w:rPr>
          <w:rFonts w:hAnsi="宋体" w:hint="eastAsia"/>
          <w:szCs w:val="24"/>
        </w:rPr>
        <w:t>17.7本协议所指损失均为直接损失。</w:t>
      </w:r>
    </w:p>
    <w:p w14:paraId="6268C6AD" w14:textId="77777777" w:rsidR="00D315D6" w:rsidRPr="00770E34" w:rsidRDefault="00C14E5E">
      <w:pPr>
        <w:pStyle w:val="1"/>
        <w:spacing w:line="520" w:lineRule="atLeast"/>
        <w:ind w:firstLineChars="200" w:firstLine="482"/>
        <w:rPr>
          <w:bCs/>
          <w:color w:val="auto"/>
          <w:szCs w:val="24"/>
        </w:rPr>
      </w:pPr>
      <w:bookmarkStart w:id="64" w:name="_Toc296551354"/>
      <w:bookmarkStart w:id="65" w:name="_Toc157264235"/>
      <w:r w:rsidRPr="00770E34">
        <w:rPr>
          <w:rFonts w:hint="eastAsia"/>
          <w:bCs/>
          <w:color w:val="auto"/>
          <w:szCs w:val="24"/>
        </w:rPr>
        <w:t>第十八条 法律</w:t>
      </w:r>
      <w:r w:rsidRPr="00770E34">
        <w:rPr>
          <w:bCs/>
          <w:color w:val="auto"/>
          <w:szCs w:val="24"/>
        </w:rPr>
        <w:t>适用和</w:t>
      </w:r>
      <w:r w:rsidRPr="00770E34">
        <w:rPr>
          <w:rFonts w:hint="eastAsia"/>
          <w:bCs/>
          <w:color w:val="auto"/>
          <w:szCs w:val="24"/>
        </w:rPr>
        <w:t>争议解决</w:t>
      </w:r>
      <w:bookmarkEnd w:id="64"/>
      <w:bookmarkEnd w:id="65"/>
    </w:p>
    <w:p w14:paraId="689ACD43" w14:textId="77777777" w:rsidR="00D315D6" w:rsidRPr="00770E34" w:rsidRDefault="00C14E5E">
      <w:pPr>
        <w:adjustRightInd w:val="0"/>
        <w:snapToGrid w:val="0"/>
        <w:spacing w:line="520" w:lineRule="atLeast"/>
        <w:ind w:firstLineChars="200" w:firstLine="480"/>
        <w:rPr>
          <w:bCs/>
          <w:sz w:val="24"/>
        </w:rPr>
      </w:pPr>
      <w:r w:rsidRPr="00770E34">
        <w:rPr>
          <w:rFonts w:hint="eastAsia"/>
          <w:bCs/>
          <w:sz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14:paraId="15C16B31" w14:textId="77777777" w:rsidR="00D315D6" w:rsidRPr="00770E34" w:rsidRDefault="00C14E5E">
      <w:pPr>
        <w:adjustRightInd w:val="0"/>
        <w:snapToGrid w:val="0"/>
        <w:spacing w:line="520" w:lineRule="atLeast"/>
        <w:ind w:firstLineChars="200" w:firstLine="482"/>
        <w:rPr>
          <w:b/>
          <w:sz w:val="24"/>
        </w:rPr>
      </w:pPr>
      <w:r w:rsidRPr="00770E34">
        <w:rPr>
          <w:rFonts w:hint="eastAsia"/>
          <w:b/>
          <w:sz w:val="24"/>
        </w:rPr>
        <w:t>凡因本协议产生的及与本协议有关的争议，双方均应协商解决；协商不成的，双方均同意采取以下方式解决：</w:t>
      </w:r>
    </w:p>
    <w:p w14:paraId="383A0733" w14:textId="3364B94E" w:rsidR="00D315D6" w:rsidRPr="00770E34" w:rsidRDefault="00C14E5E">
      <w:pPr>
        <w:adjustRightInd w:val="0"/>
        <w:snapToGrid w:val="0"/>
        <w:spacing w:line="520" w:lineRule="atLeast"/>
        <w:ind w:firstLineChars="200" w:firstLine="482"/>
        <w:rPr>
          <w:b/>
          <w:sz w:val="24"/>
        </w:rPr>
      </w:pPr>
      <w:permStart w:id="1642866766" w:edGrp="everyone"/>
      <w:r w:rsidRPr="00770E34">
        <w:rPr>
          <w:rFonts w:hint="eastAsia"/>
          <w:b/>
          <w:sz w:val="24"/>
        </w:rPr>
        <w:t>向【</w:t>
      </w:r>
      <w:r w:rsidR="0096771A" w:rsidRPr="00770E34">
        <w:rPr>
          <w:rFonts w:hint="eastAsia"/>
          <w:b/>
          <w:sz w:val="24"/>
        </w:rPr>
        <w:t>中国</w:t>
      </w:r>
      <w:r w:rsidRPr="00770E34">
        <w:rPr>
          <w:rFonts w:hint="eastAsia"/>
          <w:b/>
          <w:sz w:val="24"/>
        </w:rPr>
        <w:t>国际经济贸易仲裁委员会】申请仲裁，仲裁地为【</w:t>
      </w:r>
      <w:r w:rsidR="0096771A" w:rsidRPr="00770E34">
        <w:rPr>
          <w:rFonts w:hint="eastAsia"/>
          <w:b/>
          <w:sz w:val="24"/>
        </w:rPr>
        <w:t>北京</w:t>
      </w:r>
      <w:r w:rsidRPr="00770E34">
        <w:rPr>
          <w:rFonts w:hint="eastAsia"/>
          <w:b/>
          <w:sz w:val="24"/>
        </w:rPr>
        <w:t>市】并适用申请仲裁时该仲裁机构现行有效的仲裁规则，仲裁裁决是终局的，对各方当事人均有约束力。除非仲裁裁决另有决定，仲裁费用由败诉方承担；</w:t>
      </w:r>
    </w:p>
    <w:permEnd w:id="1642866766"/>
    <w:p w14:paraId="13EC3542" w14:textId="16558287" w:rsidR="00D315D6" w:rsidRPr="00770E34" w:rsidRDefault="00C14E5E">
      <w:pPr>
        <w:adjustRightInd w:val="0"/>
        <w:snapToGrid w:val="0"/>
        <w:spacing w:line="520" w:lineRule="atLeast"/>
        <w:ind w:firstLineChars="200" w:firstLine="480"/>
        <w:rPr>
          <w:bCs/>
          <w:sz w:val="24"/>
        </w:rPr>
      </w:pPr>
      <w:r w:rsidRPr="00770E34">
        <w:rPr>
          <w:rFonts w:hint="eastAsia"/>
          <w:bCs/>
          <w:sz w:val="24"/>
        </w:rPr>
        <w:t>争议处理期间，双方当事人应恪守基金管理人和基金托管人职责，继续忠实、勤勉、尽责地履行基金合同和本协议规定的义务，维护基金份额持有人的合法权益。</w:t>
      </w:r>
    </w:p>
    <w:p w14:paraId="67C3E018" w14:textId="77777777" w:rsidR="00D315D6" w:rsidRPr="00770E34" w:rsidRDefault="00C14E5E">
      <w:pPr>
        <w:pStyle w:val="1"/>
        <w:adjustRightInd w:val="0"/>
        <w:spacing w:line="520" w:lineRule="atLeast"/>
        <w:ind w:firstLineChars="200" w:firstLine="482"/>
        <w:rPr>
          <w:bCs/>
          <w:color w:val="auto"/>
          <w:szCs w:val="24"/>
        </w:rPr>
      </w:pPr>
      <w:bookmarkStart w:id="66" w:name="_Toc296551355"/>
      <w:bookmarkStart w:id="67" w:name="_Toc157264236"/>
      <w:r w:rsidRPr="00770E34">
        <w:rPr>
          <w:rFonts w:hint="eastAsia"/>
          <w:bCs/>
          <w:color w:val="auto"/>
          <w:szCs w:val="24"/>
        </w:rPr>
        <w:t>第十九条 本协议的效力</w:t>
      </w:r>
      <w:bookmarkEnd w:id="66"/>
      <w:bookmarkEnd w:id="67"/>
    </w:p>
    <w:p w14:paraId="6078DE9F" w14:textId="77777777" w:rsidR="00D315D6" w:rsidRPr="00770E34" w:rsidRDefault="00C14E5E">
      <w:pPr>
        <w:pStyle w:val="20"/>
        <w:adjustRightInd w:val="0"/>
        <w:snapToGrid w:val="0"/>
        <w:spacing w:before="0" w:after="0" w:line="520" w:lineRule="atLeast"/>
        <w:ind w:left="0" w:firstLineChars="200" w:firstLine="480"/>
        <w:rPr>
          <w:rFonts w:hAnsi="宋体"/>
          <w:szCs w:val="24"/>
        </w:rPr>
      </w:pPr>
      <w:r w:rsidRPr="00770E34">
        <w:rPr>
          <w:rFonts w:hAnsi="宋体" w:hint="eastAsia"/>
          <w:szCs w:val="24"/>
        </w:rPr>
        <w:t>19.1基金管理人在向中国证监会申请发售基金份额时提交的托管协议草案，应经托管协议当事人加盖公章或合同专用章以及双方法定代表人或授权代理人签章（签字或加盖名章），本协议当事人双方可能不时根据中国证监会的意见修改托管协议草案。本协议以中国证监会注册的最终文本为正式文本。</w:t>
      </w:r>
    </w:p>
    <w:p w14:paraId="180154C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19.2本协议自双方</w:t>
      </w:r>
      <w:r w:rsidRPr="00770E34">
        <w:rPr>
          <w:rFonts w:hAnsi="宋体"/>
          <w:szCs w:val="24"/>
        </w:rPr>
        <w:t>签订</w:t>
      </w:r>
      <w:r w:rsidRPr="00770E34">
        <w:rPr>
          <w:rFonts w:hAnsi="宋体" w:hint="eastAsia"/>
          <w:szCs w:val="24"/>
        </w:rPr>
        <w:t>之日起成立，自基金合同生效之日起生效。本协议的</w:t>
      </w:r>
      <w:r w:rsidRPr="00770E34">
        <w:rPr>
          <w:rFonts w:hAnsi="宋体" w:hint="eastAsia"/>
          <w:szCs w:val="24"/>
        </w:rPr>
        <w:lastRenderedPageBreak/>
        <w:t>有效期自其生效之日起至该基金财产清算结果报中国证监会备案并公告之日止。</w:t>
      </w:r>
    </w:p>
    <w:p w14:paraId="061F0A8D"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19.3本协议自生效之日起对双方具有同等的法律约束力。</w:t>
      </w:r>
    </w:p>
    <w:p w14:paraId="6FE48109"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19.4本协议正本一式三份，除上报有关监管机构一份外，基金管理人和基金托管人分别持有一份，每份具有同等的法律效力。</w:t>
      </w:r>
    </w:p>
    <w:p w14:paraId="2C3730DB" w14:textId="77777777" w:rsidR="00D315D6" w:rsidRPr="00770E34" w:rsidRDefault="00C14E5E">
      <w:pPr>
        <w:pStyle w:val="1"/>
        <w:spacing w:line="520" w:lineRule="atLeast"/>
        <w:ind w:firstLineChars="200" w:firstLine="482"/>
        <w:rPr>
          <w:bCs/>
          <w:color w:val="auto"/>
          <w:szCs w:val="24"/>
        </w:rPr>
      </w:pPr>
      <w:bookmarkStart w:id="68" w:name="_Toc296551356"/>
      <w:bookmarkStart w:id="69" w:name="_Toc157264237"/>
      <w:r w:rsidRPr="00770E34">
        <w:rPr>
          <w:rFonts w:hint="eastAsia"/>
          <w:bCs/>
          <w:color w:val="auto"/>
          <w:szCs w:val="24"/>
        </w:rPr>
        <w:t>第二十条 本协议的签订</w:t>
      </w:r>
      <w:bookmarkEnd w:id="68"/>
      <w:bookmarkEnd w:id="69"/>
    </w:p>
    <w:p w14:paraId="5C59FB54" w14:textId="77777777" w:rsidR="00D315D6" w:rsidRPr="00770E34" w:rsidRDefault="00C14E5E">
      <w:pPr>
        <w:snapToGrid w:val="0"/>
        <w:spacing w:line="520" w:lineRule="atLeast"/>
        <w:ind w:firstLineChars="200" w:firstLine="480"/>
        <w:rPr>
          <w:rFonts w:ascii="宋体" w:hAnsi="宋体"/>
          <w:sz w:val="24"/>
          <w:szCs w:val="24"/>
        </w:rPr>
      </w:pPr>
      <w:r w:rsidRPr="00770E34">
        <w:rPr>
          <w:rFonts w:ascii="宋体" w:hAnsi="宋体" w:hint="eastAsia"/>
          <w:sz w:val="24"/>
          <w:szCs w:val="24"/>
        </w:rPr>
        <w:t>20.1本协议经基金管理人和基金托管人认可后，由双方当事人在本协议上加盖公章或合同专用章，并由各自的法定代表人或授权代理人签章（签字或加盖名章），并注明本托管协议的签订地点和签订日期。</w:t>
      </w:r>
    </w:p>
    <w:p w14:paraId="030BA115" w14:textId="77777777" w:rsidR="00D315D6" w:rsidRPr="00770E34" w:rsidRDefault="00C14E5E">
      <w:pPr>
        <w:pStyle w:val="1"/>
        <w:spacing w:line="520" w:lineRule="atLeast"/>
        <w:ind w:firstLineChars="200" w:firstLine="482"/>
        <w:rPr>
          <w:bCs/>
          <w:color w:val="auto"/>
          <w:szCs w:val="24"/>
        </w:rPr>
      </w:pPr>
      <w:bookmarkStart w:id="70" w:name="_Toc157264238"/>
      <w:r w:rsidRPr="00770E34">
        <w:rPr>
          <w:rFonts w:hint="eastAsia"/>
          <w:bCs/>
          <w:color w:val="auto"/>
          <w:szCs w:val="24"/>
        </w:rPr>
        <w:t>第二十一条 不可抗力</w:t>
      </w:r>
      <w:bookmarkEnd w:id="70"/>
    </w:p>
    <w:p w14:paraId="702F54C1"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21.1如果本协议任何一方因受不可抗力事件影响而未能履行其在本协议下的全部或部分义务，该义务的履行在不可抗力事件妨碍其履行期间应予中止。</w:t>
      </w:r>
    </w:p>
    <w:p w14:paraId="62D35DCF"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61C2BC1E"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21.3不可抗力事件发生时，双方应立即通过友好协商决定如何执行本协议。不可抗力事件或其影响终止或消除后，双方须立即恢复履行各自在本协议项下的各项义务。</w:t>
      </w:r>
    </w:p>
    <w:p w14:paraId="06B7B6A6"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hint="eastAsia"/>
          <w:szCs w:val="24"/>
        </w:rPr>
        <w:t>21.4本条所述的不可抗力事件是指不能预见、不能避免并不能克服的客观情况。</w:t>
      </w:r>
    </w:p>
    <w:p w14:paraId="50E6B96C" w14:textId="77777777" w:rsidR="00D315D6" w:rsidRPr="00770E34" w:rsidRDefault="00C14E5E">
      <w:pPr>
        <w:pStyle w:val="1"/>
        <w:spacing w:line="520" w:lineRule="atLeast"/>
        <w:ind w:firstLineChars="200" w:firstLine="482"/>
        <w:rPr>
          <w:bCs/>
          <w:szCs w:val="24"/>
        </w:rPr>
      </w:pPr>
      <w:bookmarkStart w:id="71" w:name="_Toc132794325"/>
      <w:bookmarkStart w:id="72" w:name="_Toc132794326"/>
      <w:bookmarkStart w:id="73" w:name="_Toc132794324"/>
      <w:bookmarkStart w:id="74" w:name="_Toc132794327"/>
      <w:bookmarkStart w:id="75" w:name="_Toc132794328"/>
      <w:bookmarkStart w:id="76" w:name="_Toc132794329"/>
      <w:bookmarkStart w:id="77" w:name="_Toc132794330"/>
      <w:bookmarkStart w:id="78" w:name="_Toc157264239"/>
      <w:bookmarkEnd w:id="71"/>
      <w:bookmarkEnd w:id="72"/>
      <w:bookmarkEnd w:id="73"/>
      <w:bookmarkEnd w:id="74"/>
      <w:bookmarkEnd w:id="75"/>
      <w:bookmarkEnd w:id="76"/>
      <w:bookmarkEnd w:id="77"/>
      <w:r w:rsidRPr="00770E34">
        <w:rPr>
          <w:rFonts w:hint="eastAsia"/>
          <w:bCs/>
          <w:color w:val="auto"/>
          <w:szCs w:val="24"/>
        </w:rPr>
        <w:t>第二十二条</w:t>
      </w:r>
      <w:r w:rsidRPr="00770E34">
        <w:rPr>
          <w:bCs/>
          <w:color w:val="auto"/>
          <w:szCs w:val="24"/>
        </w:rPr>
        <w:t xml:space="preserve"> </w:t>
      </w:r>
      <w:r w:rsidRPr="00770E34">
        <w:rPr>
          <w:rFonts w:hint="eastAsia"/>
          <w:bCs/>
          <w:color w:val="auto"/>
          <w:szCs w:val="24"/>
        </w:rPr>
        <w:t>可分割性</w:t>
      </w:r>
      <w:bookmarkEnd w:id="78"/>
    </w:p>
    <w:p w14:paraId="3E644A23" w14:textId="77777777" w:rsidR="00D315D6" w:rsidRPr="00770E34" w:rsidRDefault="00C14E5E">
      <w:pPr>
        <w:pStyle w:val="20"/>
        <w:spacing w:before="0" w:after="0" w:line="520" w:lineRule="atLeast"/>
        <w:ind w:left="0" w:firstLineChars="200" w:firstLine="480"/>
        <w:rPr>
          <w:rFonts w:hAnsi="宋体"/>
          <w:szCs w:val="24"/>
        </w:rPr>
      </w:pPr>
      <w:r w:rsidRPr="00770E34">
        <w:rPr>
          <w:rFonts w:hAnsi="宋体"/>
          <w:szCs w:val="24"/>
        </w:rPr>
        <w:t>22.1如果本协议任何约定依现行法律被确定为无效或无法实施，本协议的其他条款将继续有效。此种情况下，</w:t>
      </w:r>
      <w:r w:rsidRPr="00770E34">
        <w:rPr>
          <w:rFonts w:hAnsi="宋体" w:hint="eastAsia"/>
          <w:szCs w:val="24"/>
        </w:rPr>
        <w:t>双</w:t>
      </w:r>
      <w:r w:rsidRPr="00770E34">
        <w:rPr>
          <w:rFonts w:hAnsi="宋体"/>
          <w:szCs w:val="24"/>
        </w:rPr>
        <w:t>方将积极协商</w:t>
      </w:r>
      <w:r w:rsidRPr="00770E34">
        <w:rPr>
          <w:rFonts w:asciiTheme="minorEastAsia" w:eastAsiaTheme="minorEastAsia" w:hAnsiTheme="minorEastAsia" w:hint="eastAsia"/>
          <w:szCs w:val="24"/>
        </w:rPr>
        <w:t>解决并另行签署书面协议予以明确</w:t>
      </w:r>
      <w:r w:rsidRPr="00770E34">
        <w:rPr>
          <w:rFonts w:hAnsi="宋体"/>
          <w:szCs w:val="24"/>
        </w:rPr>
        <w:t>，且该</w:t>
      </w:r>
      <w:r w:rsidRPr="00770E34">
        <w:rPr>
          <w:rFonts w:hAnsi="宋体" w:hint="eastAsia"/>
          <w:szCs w:val="24"/>
        </w:rPr>
        <w:t>协议</w:t>
      </w:r>
      <w:r w:rsidRPr="00770E34">
        <w:rPr>
          <w:rFonts w:asciiTheme="minorEastAsia" w:eastAsiaTheme="minorEastAsia" w:hAnsiTheme="minorEastAsia" w:hint="eastAsia"/>
          <w:szCs w:val="24"/>
        </w:rPr>
        <w:t>应</w:t>
      </w:r>
      <w:r w:rsidRPr="00770E34">
        <w:rPr>
          <w:rFonts w:hAnsi="宋体"/>
          <w:szCs w:val="24"/>
        </w:rPr>
        <w:t>尽可能接近原规定和本协议相应的精神和宗旨。</w:t>
      </w:r>
    </w:p>
    <w:p w14:paraId="287CFBC1" w14:textId="77777777" w:rsidR="00D315D6" w:rsidRPr="00770E34" w:rsidRDefault="00C14E5E">
      <w:pPr>
        <w:pStyle w:val="1"/>
        <w:spacing w:line="520" w:lineRule="atLeast"/>
        <w:ind w:firstLineChars="200" w:firstLine="482"/>
        <w:rPr>
          <w:bCs/>
          <w:szCs w:val="24"/>
        </w:rPr>
      </w:pPr>
      <w:bookmarkStart w:id="79" w:name="_Toc157264240"/>
      <w:r w:rsidRPr="00770E34">
        <w:rPr>
          <w:rFonts w:hint="eastAsia"/>
          <w:bCs/>
          <w:color w:val="auto"/>
          <w:szCs w:val="24"/>
        </w:rPr>
        <w:t>第二十三条</w:t>
      </w:r>
      <w:r w:rsidRPr="00770E34">
        <w:rPr>
          <w:bCs/>
          <w:color w:val="auto"/>
          <w:szCs w:val="24"/>
        </w:rPr>
        <w:t xml:space="preserve"> </w:t>
      </w:r>
      <w:r w:rsidRPr="00770E34">
        <w:rPr>
          <w:rFonts w:hint="eastAsia"/>
          <w:bCs/>
          <w:color w:val="auto"/>
          <w:szCs w:val="24"/>
        </w:rPr>
        <w:t>通知与送达</w:t>
      </w:r>
      <w:bookmarkEnd w:id="79"/>
    </w:p>
    <w:p w14:paraId="5DD2E930" w14:textId="06406550" w:rsidR="00D315D6" w:rsidRPr="00770E34" w:rsidRDefault="00C14E5E">
      <w:pPr>
        <w:pStyle w:val="20"/>
        <w:adjustRightInd w:val="0"/>
        <w:snapToGrid w:val="0"/>
        <w:spacing w:before="0" w:after="0" w:line="520" w:lineRule="atLeast"/>
        <w:ind w:left="0" w:firstLineChars="200" w:firstLine="480"/>
        <w:rPr>
          <w:rFonts w:asciiTheme="minorEastAsia" w:eastAsiaTheme="minorEastAsia" w:hAnsiTheme="minorEastAsia"/>
          <w:szCs w:val="24"/>
        </w:rPr>
      </w:pPr>
      <w:r w:rsidRPr="00770E34">
        <w:rPr>
          <w:rFonts w:asciiTheme="minorEastAsia" w:eastAsiaTheme="minorEastAsia" w:hAnsiTheme="minorEastAsia" w:hint="eastAsia"/>
          <w:szCs w:val="24"/>
        </w:rPr>
        <w:t>23.1</w:t>
      </w:r>
      <w:r w:rsidR="005B351F" w:rsidRPr="005B351F">
        <w:rPr>
          <w:rFonts w:asciiTheme="minorEastAsia" w:eastAsiaTheme="minorEastAsia" w:hAnsiTheme="minorEastAsia" w:hint="eastAsia"/>
          <w:szCs w:val="24"/>
        </w:rPr>
        <w:t>除本协议另有约定或经双方当事人另行协商确定外，双方就本协议中涉及各类通知、函件、附件、协议等文件以及就本协议发生纠纷时的相关文件和法律文书可交付至本协议首部所约定的地址。</w:t>
      </w:r>
    </w:p>
    <w:p w14:paraId="242C139F" w14:textId="77777777" w:rsidR="00D315D6" w:rsidRPr="00770E34" w:rsidRDefault="00C14E5E">
      <w:pPr>
        <w:snapToGrid w:val="0"/>
        <w:spacing w:line="520" w:lineRule="atLeast"/>
        <w:ind w:firstLineChars="200" w:firstLine="480"/>
        <w:rPr>
          <w:rFonts w:asciiTheme="minorEastAsia" w:eastAsiaTheme="minorEastAsia" w:hAnsiTheme="minorEastAsia"/>
          <w:sz w:val="24"/>
          <w:szCs w:val="24"/>
        </w:rPr>
      </w:pPr>
      <w:r w:rsidRPr="00770E34">
        <w:rPr>
          <w:rFonts w:asciiTheme="minorEastAsia" w:eastAsiaTheme="minorEastAsia" w:hAnsiTheme="minorEastAsia" w:hint="eastAsia"/>
          <w:sz w:val="24"/>
          <w:szCs w:val="24"/>
        </w:rPr>
        <w:lastRenderedPageBreak/>
        <w:t>2</w:t>
      </w:r>
      <w:r w:rsidRPr="00770E34">
        <w:rPr>
          <w:rFonts w:asciiTheme="minorEastAsia" w:eastAsiaTheme="minorEastAsia" w:hAnsiTheme="minorEastAsia"/>
          <w:sz w:val="24"/>
          <w:szCs w:val="24"/>
        </w:rPr>
        <w:t>3.2</w:t>
      </w:r>
      <w:r w:rsidRPr="00770E34">
        <w:rPr>
          <w:rFonts w:asciiTheme="minorEastAsia" w:eastAsiaTheme="minorEastAsia" w:hAnsiTheme="minorEastAsia" w:hint="eastAsia"/>
          <w:sz w:val="24"/>
          <w:szCs w:val="24"/>
        </w:rPr>
        <w:t>本条款中双方确认的送达地址如发生变更的，应当在发生变更之日起三日内通过书面方式通知对方，</w:t>
      </w:r>
      <w:r w:rsidRPr="00770E34">
        <w:rPr>
          <w:rFonts w:asciiTheme="minorEastAsia" w:eastAsiaTheme="minorEastAsia" w:hAnsiTheme="minorEastAsia" w:hint="eastAsia"/>
          <w:b/>
          <w:bCs/>
          <w:sz w:val="24"/>
          <w:szCs w:val="24"/>
        </w:rPr>
        <w:t>但双方同意并认可，中信银行及其分支机构通过中信银行网上银行、手机银行、官方网站等渠道展示与本协议相关的提示、公告、通知、联系地址及邮政编码变更等信息的，该等信息一经展示（</w:t>
      </w:r>
      <w:proofErr w:type="gramStart"/>
      <w:r w:rsidRPr="00770E34">
        <w:rPr>
          <w:rFonts w:asciiTheme="minorEastAsia" w:eastAsiaTheme="minorEastAsia" w:hAnsiTheme="minorEastAsia" w:hint="eastAsia"/>
          <w:b/>
          <w:bCs/>
          <w:sz w:val="24"/>
          <w:szCs w:val="24"/>
        </w:rPr>
        <w:t>如展示</w:t>
      </w:r>
      <w:proofErr w:type="gramEnd"/>
      <w:r w:rsidRPr="00770E34">
        <w:rPr>
          <w:rFonts w:asciiTheme="minorEastAsia" w:eastAsiaTheme="minorEastAsia" w:hAnsiTheme="minorEastAsia" w:hint="eastAsia"/>
          <w:b/>
          <w:bCs/>
          <w:sz w:val="24"/>
          <w:szCs w:val="24"/>
        </w:rPr>
        <w:t>信息载明生效日期的，以该载明日期为准）即视为已通知/送达基金管理人。</w:t>
      </w:r>
      <w:r w:rsidRPr="00770E34">
        <w:rPr>
          <w:rFonts w:asciiTheme="minorEastAsia" w:eastAsiaTheme="minorEastAsia" w:hAnsiTheme="minorEastAsia" w:hint="eastAsia"/>
          <w:sz w:val="24"/>
          <w:szCs w:val="24"/>
        </w:rPr>
        <w:t>在涉及仲裁及民事诉讼、执行程序时，任何一方送达地址发生变更的，应当在发生变更当日通过书面方式告知仲裁机构、法院。</w:t>
      </w:r>
      <w:r w:rsidRPr="00770E34">
        <w:rPr>
          <w:rFonts w:asciiTheme="minorEastAsia" w:eastAsiaTheme="minorEastAsia" w:hAnsiTheme="minorEastAsia" w:hint="eastAsia"/>
          <w:b/>
          <w:bCs/>
          <w:sz w:val="24"/>
          <w:szCs w:val="24"/>
        </w:rPr>
        <w:t>任何一方未按前述方式履行通知、告知义务的，该方所确认的送达地址仍视为有效送达地址。</w:t>
      </w:r>
    </w:p>
    <w:p w14:paraId="49F97488" w14:textId="4B6C944E" w:rsidR="00D315D6" w:rsidRPr="00770E34" w:rsidRDefault="00C14E5E">
      <w:pPr>
        <w:snapToGrid w:val="0"/>
        <w:spacing w:line="520" w:lineRule="atLeast"/>
        <w:ind w:firstLineChars="200" w:firstLine="480"/>
        <w:rPr>
          <w:rFonts w:asciiTheme="minorEastAsia" w:eastAsiaTheme="minorEastAsia" w:hAnsiTheme="minorEastAsia"/>
          <w:b/>
          <w:bCs/>
          <w:sz w:val="24"/>
          <w:szCs w:val="24"/>
        </w:rPr>
      </w:pPr>
      <w:r w:rsidRPr="00770E34">
        <w:rPr>
          <w:rFonts w:asciiTheme="minorEastAsia" w:eastAsiaTheme="minorEastAsia" w:hAnsiTheme="minorEastAsia" w:hint="eastAsia"/>
          <w:sz w:val="24"/>
          <w:szCs w:val="24"/>
        </w:rPr>
        <w:t>2</w:t>
      </w:r>
      <w:r w:rsidRPr="00770E34">
        <w:rPr>
          <w:rFonts w:asciiTheme="minorEastAsia" w:eastAsiaTheme="minorEastAsia" w:hAnsiTheme="minorEastAsia"/>
          <w:sz w:val="24"/>
          <w:szCs w:val="24"/>
        </w:rPr>
        <w:t>3.3</w:t>
      </w:r>
      <w:r w:rsidRPr="00770E34">
        <w:rPr>
          <w:rFonts w:asciiTheme="minorEastAsia" w:eastAsiaTheme="minorEastAsia" w:hAnsiTheme="minorEastAsia" w:hint="eastAsia"/>
          <w:sz w:val="24"/>
          <w:szCs w:val="24"/>
        </w:rPr>
        <w:t xml:space="preserve"> 双方在本条款确认的送达地址适用范围包括双方在履行本协议过程中的各类通知、函件、附件、协议等文件以及就本协议发生纠纷</w:t>
      </w:r>
      <w:proofErr w:type="gramStart"/>
      <w:r w:rsidRPr="00770E34">
        <w:rPr>
          <w:rFonts w:asciiTheme="minorEastAsia" w:eastAsiaTheme="minorEastAsia" w:hAnsiTheme="minorEastAsia" w:hint="eastAsia"/>
          <w:sz w:val="24"/>
          <w:szCs w:val="24"/>
        </w:rPr>
        <w:t>时相关</w:t>
      </w:r>
      <w:proofErr w:type="gramEnd"/>
      <w:r w:rsidRPr="00770E34">
        <w:rPr>
          <w:rFonts w:asciiTheme="minorEastAsia" w:eastAsiaTheme="minorEastAsia" w:hAnsiTheme="minorEastAsia" w:hint="eastAsia"/>
          <w:sz w:val="24"/>
          <w:szCs w:val="24"/>
        </w:rPr>
        <w:t>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sidRPr="00770E34">
        <w:rPr>
          <w:rFonts w:asciiTheme="minorEastAsia" w:eastAsiaTheme="minorEastAsia" w:hAnsiTheme="minorEastAsia" w:hint="eastAsia"/>
          <w:b/>
          <w:bCs/>
          <w:sz w:val="24"/>
          <w:szCs w:val="24"/>
        </w:rPr>
        <w:t>除第23.1条另有约定外，一方按照送达地址发送上述文件，即应视作在下列日期被送达：</w:t>
      </w:r>
    </w:p>
    <w:p w14:paraId="01F860F9" w14:textId="77777777" w:rsidR="00D315D6" w:rsidRPr="00770E34" w:rsidRDefault="00C14E5E">
      <w:pPr>
        <w:snapToGrid w:val="0"/>
        <w:spacing w:line="520" w:lineRule="atLeast"/>
        <w:ind w:firstLineChars="200" w:firstLine="482"/>
        <w:rPr>
          <w:rFonts w:asciiTheme="minorEastAsia" w:eastAsiaTheme="minorEastAsia" w:hAnsiTheme="minorEastAsia"/>
          <w:b/>
          <w:bCs/>
          <w:sz w:val="24"/>
          <w:szCs w:val="24"/>
        </w:rPr>
      </w:pPr>
      <w:r w:rsidRPr="00770E34">
        <w:rPr>
          <w:rFonts w:asciiTheme="minorEastAsia" w:eastAsiaTheme="minorEastAsia" w:hAnsiTheme="minorEastAsia" w:hint="eastAsia"/>
          <w:b/>
          <w:bCs/>
          <w:sz w:val="24"/>
          <w:szCs w:val="24"/>
        </w:rPr>
        <w:t>（1）邮递（包括特快专递、平信邮寄、挂号邮寄），以投递之日后的第三日视为送达日；</w:t>
      </w:r>
    </w:p>
    <w:p w14:paraId="30ACE296" w14:textId="77777777" w:rsidR="00D315D6" w:rsidRPr="00770E34" w:rsidRDefault="00C14E5E">
      <w:pPr>
        <w:snapToGrid w:val="0"/>
        <w:spacing w:line="520" w:lineRule="atLeast"/>
        <w:ind w:firstLineChars="200" w:firstLine="482"/>
        <w:rPr>
          <w:rFonts w:asciiTheme="minorEastAsia" w:eastAsiaTheme="minorEastAsia" w:hAnsiTheme="minorEastAsia"/>
          <w:b/>
          <w:bCs/>
          <w:sz w:val="24"/>
          <w:szCs w:val="24"/>
        </w:rPr>
      </w:pPr>
      <w:r w:rsidRPr="00770E34">
        <w:rPr>
          <w:rFonts w:asciiTheme="minorEastAsia" w:eastAsiaTheme="minorEastAsia" w:hAnsiTheme="minorEastAsia" w:hint="eastAsia"/>
          <w:b/>
          <w:bCs/>
          <w:sz w:val="24"/>
          <w:szCs w:val="24"/>
        </w:rPr>
        <w:t>（2）电话、传真、电子邮箱、</w:t>
      </w:r>
      <w:proofErr w:type="gramStart"/>
      <w:r w:rsidRPr="00770E34">
        <w:rPr>
          <w:rFonts w:asciiTheme="minorEastAsia" w:eastAsiaTheme="minorEastAsia" w:hAnsiTheme="minorEastAsia" w:hint="eastAsia"/>
          <w:b/>
          <w:bCs/>
          <w:sz w:val="24"/>
          <w:szCs w:val="24"/>
        </w:rPr>
        <w:t>微信或</w:t>
      </w:r>
      <w:proofErr w:type="gramEnd"/>
      <w:r w:rsidRPr="00770E34">
        <w:rPr>
          <w:rFonts w:asciiTheme="minorEastAsia" w:eastAsiaTheme="minorEastAsia" w:hAnsiTheme="minorEastAsia" w:hint="eastAsia"/>
          <w:b/>
          <w:bCs/>
          <w:sz w:val="24"/>
          <w:szCs w:val="24"/>
        </w:rPr>
        <w:t>其他电子通讯方式，以发送之日视为送达日；</w:t>
      </w:r>
    </w:p>
    <w:p w14:paraId="737D5BD3" w14:textId="77777777" w:rsidR="00D315D6" w:rsidRPr="00770E34" w:rsidRDefault="00C14E5E">
      <w:pPr>
        <w:snapToGrid w:val="0"/>
        <w:spacing w:line="520" w:lineRule="atLeast"/>
        <w:ind w:firstLineChars="200" w:firstLine="482"/>
        <w:rPr>
          <w:rFonts w:asciiTheme="minorEastAsia" w:eastAsiaTheme="minorEastAsia" w:hAnsiTheme="minorEastAsia"/>
          <w:b/>
          <w:bCs/>
          <w:sz w:val="24"/>
          <w:szCs w:val="24"/>
        </w:rPr>
      </w:pPr>
      <w:r w:rsidRPr="00770E34">
        <w:rPr>
          <w:rFonts w:asciiTheme="minorEastAsia" w:eastAsiaTheme="minorEastAsia" w:hAnsiTheme="minorEastAsia" w:hint="eastAsia"/>
          <w:b/>
          <w:bCs/>
          <w:sz w:val="24"/>
          <w:szCs w:val="24"/>
        </w:rPr>
        <w:t>（3）专人送达，以收件人签收之日视为送达日；收件人拒收或无人接收的，送达人可采取拍照、录像方式记录送达过程，并将文书留置，亦视为送达；</w:t>
      </w:r>
    </w:p>
    <w:p w14:paraId="2B389B80" w14:textId="77777777" w:rsidR="00D315D6" w:rsidRPr="00770E34" w:rsidRDefault="00C14E5E">
      <w:pPr>
        <w:snapToGrid w:val="0"/>
        <w:spacing w:line="520" w:lineRule="atLeast"/>
        <w:ind w:firstLineChars="200" w:firstLine="482"/>
        <w:rPr>
          <w:rFonts w:asciiTheme="minorEastAsia" w:eastAsiaTheme="minorEastAsia" w:hAnsiTheme="minorEastAsia"/>
          <w:b/>
          <w:bCs/>
          <w:sz w:val="24"/>
          <w:szCs w:val="24"/>
        </w:rPr>
      </w:pPr>
      <w:r w:rsidRPr="00770E34">
        <w:rPr>
          <w:rFonts w:asciiTheme="minorEastAsia" w:eastAsiaTheme="minorEastAsia" w:hAnsiTheme="minorEastAsia" w:hint="eastAsia"/>
          <w:b/>
          <w:bCs/>
          <w:sz w:val="24"/>
          <w:szCs w:val="24"/>
        </w:rPr>
        <w:t>（4）同时采用上述几种方式的，以其中最快达到对方者为准。</w:t>
      </w:r>
    </w:p>
    <w:p w14:paraId="35B23C11" w14:textId="77777777" w:rsidR="00D315D6" w:rsidRPr="00770E34" w:rsidRDefault="00C14E5E">
      <w:pPr>
        <w:snapToGrid w:val="0"/>
        <w:spacing w:line="520" w:lineRule="atLeast"/>
        <w:ind w:firstLineChars="200" w:firstLine="482"/>
        <w:rPr>
          <w:rFonts w:asciiTheme="minorEastAsia" w:eastAsiaTheme="minorEastAsia" w:hAnsiTheme="minorEastAsia"/>
          <w:b/>
          <w:bCs/>
          <w:sz w:val="24"/>
          <w:szCs w:val="24"/>
        </w:rPr>
      </w:pPr>
      <w:r w:rsidRPr="00770E34">
        <w:rPr>
          <w:rFonts w:asciiTheme="minorEastAsia" w:eastAsiaTheme="minorEastAsia" w:hAnsiTheme="minorEastAsia" w:hint="eastAsia"/>
          <w:b/>
          <w:bCs/>
          <w:sz w:val="24"/>
          <w:szCs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w:t>
      </w:r>
      <w:r w:rsidRPr="00770E34">
        <w:rPr>
          <w:rFonts w:asciiTheme="minorEastAsia" w:eastAsiaTheme="minorEastAsia" w:hAnsiTheme="minorEastAsia" w:hint="eastAsia"/>
          <w:b/>
          <w:bCs/>
          <w:sz w:val="24"/>
          <w:szCs w:val="24"/>
        </w:rPr>
        <w:lastRenderedPageBreak/>
        <w:t>行承担由此可能产生的一切法律后果。双方同意法院、仲裁机关或公证机关可以采取一种或多种送达方式送达法律文书，送达时间以上述送达方式中最先到达的为准。</w:t>
      </w:r>
      <w:bookmarkStart w:id="80" w:name="OLE_LINK98"/>
      <w:bookmarkStart w:id="81" w:name="OLE_LINK99"/>
    </w:p>
    <w:bookmarkEnd w:id="80"/>
    <w:bookmarkEnd w:id="81"/>
    <w:p w14:paraId="11B7255B" w14:textId="77777777" w:rsidR="00D315D6" w:rsidRPr="00770E34" w:rsidRDefault="00C14E5E">
      <w:pPr>
        <w:snapToGrid w:val="0"/>
        <w:spacing w:line="520" w:lineRule="atLeast"/>
        <w:ind w:firstLineChars="200" w:firstLine="482"/>
        <w:rPr>
          <w:rFonts w:asciiTheme="minorEastAsia" w:eastAsiaTheme="minorEastAsia" w:hAnsiTheme="minorEastAsia"/>
          <w:b/>
          <w:bCs/>
          <w:sz w:val="28"/>
          <w:szCs w:val="28"/>
        </w:rPr>
      </w:pPr>
      <w:r w:rsidRPr="00770E34">
        <w:rPr>
          <w:rFonts w:asciiTheme="minorEastAsia" w:eastAsiaTheme="minorEastAsia" w:hAnsiTheme="minorEastAsia" w:hint="eastAsia"/>
          <w:b/>
          <w:bCs/>
          <w:sz w:val="24"/>
          <w:szCs w:val="24"/>
        </w:rPr>
        <w:t>2</w:t>
      </w:r>
      <w:r w:rsidRPr="00770E34">
        <w:rPr>
          <w:rFonts w:asciiTheme="minorEastAsia" w:eastAsiaTheme="minorEastAsia" w:hAnsiTheme="minorEastAsia"/>
          <w:b/>
          <w:bCs/>
          <w:sz w:val="24"/>
          <w:szCs w:val="24"/>
        </w:rPr>
        <w:t>3.4</w:t>
      </w:r>
      <w:r w:rsidRPr="00770E34">
        <w:rPr>
          <w:rFonts w:asciiTheme="minorEastAsia" w:eastAsiaTheme="minorEastAsia" w:hAnsiTheme="minorEastAsia" w:hint="eastAsia"/>
          <w:b/>
          <w:bCs/>
          <w:sz w:val="24"/>
          <w:szCs w:val="24"/>
        </w:rPr>
        <w:t>本条约定内容为本协议双方均明确同意的特别条款，效力独立于本协议其他条款。不论本协议其他条款因为任何原因被法院、仲裁机关或其他有权机关认定为无效或者被撤销，本条约定内容均为有效。</w:t>
      </w:r>
    </w:p>
    <w:p w14:paraId="3A20CAFB" w14:textId="77777777" w:rsidR="00D315D6" w:rsidRPr="00770E34" w:rsidRDefault="00C14E5E">
      <w:pPr>
        <w:widowControl/>
        <w:spacing w:line="520" w:lineRule="atLeast"/>
        <w:ind w:firstLineChars="100" w:firstLine="240"/>
        <w:jc w:val="left"/>
      </w:pPr>
      <w:r w:rsidRPr="00770E34">
        <w:rPr>
          <w:rFonts w:ascii="宋体" w:hAnsi="宋体" w:hint="eastAsia"/>
          <w:sz w:val="24"/>
          <w:szCs w:val="24"/>
        </w:rPr>
        <w:t>（以下无正文）</w:t>
      </w:r>
    </w:p>
    <w:p w14:paraId="1717DE7F" w14:textId="77777777" w:rsidR="00D315D6" w:rsidRPr="00770E34" w:rsidRDefault="00C14E5E">
      <w:pPr>
        <w:widowControl/>
        <w:spacing w:line="520" w:lineRule="atLeast"/>
        <w:jc w:val="left"/>
        <w:rPr>
          <w:rFonts w:hAnsi="宋体"/>
          <w:sz w:val="28"/>
          <w:szCs w:val="28"/>
        </w:rPr>
      </w:pPr>
      <w:r w:rsidRPr="00770E34">
        <w:rPr>
          <w:rFonts w:hAnsi="宋体"/>
          <w:sz w:val="28"/>
          <w:szCs w:val="28"/>
        </w:rPr>
        <w:br w:type="page"/>
      </w:r>
    </w:p>
    <w:p w14:paraId="09BF636A" w14:textId="4A7436DE" w:rsidR="00D315D6" w:rsidRPr="00770E34" w:rsidRDefault="00C14E5E">
      <w:pPr>
        <w:pStyle w:val="20"/>
        <w:spacing w:before="0" w:after="0" w:line="520" w:lineRule="atLeast"/>
        <w:ind w:left="0"/>
        <w:rPr>
          <w:rFonts w:asciiTheme="minorEastAsia" w:eastAsiaTheme="minorEastAsia" w:hAnsiTheme="minorEastAsia"/>
          <w:szCs w:val="24"/>
        </w:rPr>
      </w:pPr>
      <w:r w:rsidRPr="00770E34">
        <w:rPr>
          <w:rFonts w:hAnsi="宋体" w:hint="eastAsia"/>
          <w:szCs w:val="24"/>
        </w:rPr>
        <w:lastRenderedPageBreak/>
        <w:t>（</w:t>
      </w:r>
      <w:permStart w:id="753100801" w:edGrp="everyone"/>
      <w:r w:rsidRPr="00770E34">
        <w:rPr>
          <w:rFonts w:hAnsi="宋体" w:hint="eastAsia"/>
          <w:szCs w:val="24"/>
        </w:rPr>
        <w:t>本页无正文，为《【银河</w:t>
      </w:r>
      <w:r w:rsidRPr="00770E34">
        <w:rPr>
          <w:rFonts w:asciiTheme="minorEastAsia" w:eastAsiaTheme="minorEastAsia" w:hAnsiTheme="minorEastAsia" w:hint="eastAsia"/>
          <w:szCs w:val="24"/>
        </w:rPr>
        <w:t>中证机器人指数发起式】证券投资基金托管协议》的签字页</w:t>
      </w:r>
      <w:permEnd w:id="753100801"/>
      <w:r w:rsidRPr="00770E34">
        <w:rPr>
          <w:rFonts w:asciiTheme="minorEastAsia" w:eastAsiaTheme="minorEastAsia" w:hAnsiTheme="minorEastAsia" w:hint="eastAsia"/>
          <w:szCs w:val="24"/>
        </w:rPr>
        <w:t>）</w:t>
      </w:r>
    </w:p>
    <w:p w14:paraId="2ABB5089" w14:textId="77777777" w:rsidR="00D315D6" w:rsidRPr="00770E34" w:rsidRDefault="00D315D6">
      <w:pPr>
        <w:pStyle w:val="20"/>
        <w:spacing w:before="0" w:after="0" w:line="520" w:lineRule="atLeast"/>
        <w:ind w:left="0" w:firstLineChars="200" w:firstLine="480"/>
        <w:rPr>
          <w:rFonts w:hAnsi="宋体"/>
          <w:szCs w:val="24"/>
        </w:rPr>
      </w:pPr>
    </w:p>
    <w:p w14:paraId="6F0D5BBA" w14:textId="77777777" w:rsidR="00D315D6" w:rsidRPr="00770E34" w:rsidRDefault="00D315D6">
      <w:pPr>
        <w:pStyle w:val="20"/>
        <w:spacing w:before="0" w:after="0" w:line="520" w:lineRule="atLeast"/>
        <w:ind w:left="0" w:firstLineChars="200" w:firstLine="480"/>
        <w:rPr>
          <w:rFonts w:hAnsi="宋体"/>
          <w:szCs w:val="24"/>
        </w:rPr>
      </w:pPr>
    </w:p>
    <w:p w14:paraId="6E84E51B"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基金管理人：</w:t>
      </w:r>
      <w:permStart w:id="1750420303" w:edGrp="everyone"/>
      <w:r w:rsidRPr="00770E34">
        <w:rPr>
          <w:rFonts w:asciiTheme="minorEastAsia" w:eastAsiaTheme="minorEastAsia" w:hAnsiTheme="minorEastAsia" w:hint="eastAsia"/>
          <w:szCs w:val="24"/>
        </w:rPr>
        <w:t>【银河基金管理有限公司】</w:t>
      </w:r>
      <w:permEnd w:id="1750420303"/>
      <w:r w:rsidRPr="00770E34">
        <w:rPr>
          <w:rFonts w:asciiTheme="minorEastAsia" w:eastAsiaTheme="minorEastAsia" w:hAnsiTheme="minorEastAsia" w:hint="eastAsia"/>
          <w:szCs w:val="24"/>
        </w:rPr>
        <w:t>（公章或合同专用章</w:t>
      </w:r>
      <w:r w:rsidRPr="00770E34">
        <w:rPr>
          <w:rFonts w:hAnsi="宋体" w:hint="eastAsia"/>
          <w:szCs w:val="24"/>
        </w:rPr>
        <w:t>）</w:t>
      </w:r>
    </w:p>
    <w:p w14:paraId="219DDF0A" w14:textId="77777777" w:rsidR="00D315D6" w:rsidRPr="00770E34" w:rsidRDefault="00D315D6">
      <w:pPr>
        <w:pStyle w:val="20"/>
        <w:spacing w:before="0" w:after="0" w:line="520" w:lineRule="atLeast"/>
        <w:ind w:left="0"/>
        <w:rPr>
          <w:rFonts w:hAnsi="宋体"/>
          <w:szCs w:val="24"/>
        </w:rPr>
      </w:pPr>
    </w:p>
    <w:p w14:paraId="40824BEA"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法定代表人</w:t>
      </w:r>
    </w:p>
    <w:p w14:paraId="61A71C35"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（或授权代理人）：           </w:t>
      </w:r>
    </w:p>
    <w:p w14:paraId="62F2130A" w14:textId="77777777" w:rsidR="00D315D6" w:rsidRPr="00770E34" w:rsidRDefault="00D315D6">
      <w:pPr>
        <w:pStyle w:val="20"/>
        <w:spacing w:before="0" w:after="0" w:line="520" w:lineRule="atLeast"/>
        <w:ind w:left="0" w:firstLineChars="200" w:firstLine="480"/>
        <w:rPr>
          <w:rFonts w:hAnsi="宋体"/>
          <w:szCs w:val="24"/>
        </w:rPr>
      </w:pPr>
    </w:p>
    <w:p w14:paraId="7BD15526" w14:textId="77777777" w:rsidR="00D315D6" w:rsidRPr="00770E34" w:rsidRDefault="00C14E5E">
      <w:pPr>
        <w:pStyle w:val="20"/>
        <w:spacing w:before="0" w:after="0" w:line="520" w:lineRule="atLeast"/>
        <w:ind w:left="0"/>
        <w:rPr>
          <w:rFonts w:hAnsi="宋体"/>
          <w:szCs w:val="24"/>
        </w:rPr>
      </w:pPr>
      <w:permStart w:id="704332741" w:edGrp="everyone"/>
      <w:r w:rsidRPr="00770E34">
        <w:rPr>
          <w:rFonts w:hAnsi="宋体" w:hint="eastAsia"/>
          <w:szCs w:val="24"/>
        </w:rPr>
        <w:t>签署日期：</w:t>
      </w:r>
      <w:permEnd w:id="704332741"/>
    </w:p>
    <w:p w14:paraId="19A93DAC" w14:textId="77777777" w:rsidR="00D315D6" w:rsidRPr="00770E34" w:rsidRDefault="00D315D6">
      <w:pPr>
        <w:pStyle w:val="20"/>
        <w:spacing w:before="0" w:after="0" w:line="520" w:lineRule="atLeast"/>
        <w:ind w:left="0" w:firstLineChars="200" w:firstLine="480"/>
        <w:rPr>
          <w:rFonts w:hAnsi="宋体"/>
          <w:szCs w:val="24"/>
        </w:rPr>
      </w:pPr>
    </w:p>
    <w:p w14:paraId="0CAFA61C" w14:textId="77777777" w:rsidR="00D315D6" w:rsidRPr="00770E34" w:rsidRDefault="00D315D6">
      <w:pPr>
        <w:pStyle w:val="20"/>
        <w:spacing w:before="0" w:after="0" w:line="520" w:lineRule="atLeast"/>
        <w:ind w:left="0" w:firstLineChars="200" w:firstLine="480"/>
        <w:rPr>
          <w:rFonts w:hAnsi="宋体"/>
          <w:szCs w:val="24"/>
        </w:rPr>
      </w:pPr>
    </w:p>
    <w:p w14:paraId="4984439B" w14:textId="77777777" w:rsidR="00D315D6" w:rsidRPr="00770E34" w:rsidRDefault="00D315D6">
      <w:pPr>
        <w:pStyle w:val="20"/>
        <w:spacing w:before="0" w:after="0" w:line="520" w:lineRule="atLeast"/>
        <w:ind w:left="0" w:firstLineChars="200" w:firstLine="480"/>
        <w:rPr>
          <w:rFonts w:hAnsi="宋体"/>
          <w:szCs w:val="24"/>
        </w:rPr>
      </w:pPr>
    </w:p>
    <w:p w14:paraId="72227D6D"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基金托管人：</w:t>
      </w:r>
      <w:permStart w:id="1493577489" w:edGrp="everyone"/>
      <w:r w:rsidRPr="00770E34">
        <w:rPr>
          <w:rFonts w:hAnsi="宋体" w:hint="eastAsia"/>
          <w:szCs w:val="24"/>
        </w:rPr>
        <w:t>中信银行股份有限公司</w:t>
      </w:r>
      <w:permEnd w:id="1493577489"/>
      <w:r w:rsidRPr="00770E34">
        <w:rPr>
          <w:rFonts w:hAnsi="宋体" w:hint="eastAsia"/>
          <w:szCs w:val="24"/>
        </w:rPr>
        <w:t>（</w:t>
      </w:r>
      <w:r w:rsidRPr="00770E34">
        <w:rPr>
          <w:rFonts w:asciiTheme="minorEastAsia" w:eastAsiaTheme="minorEastAsia" w:hAnsiTheme="minorEastAsia" w:hint="eastAsia"/>
          <w:szCs w:val="24"/>
        </w:rPr>
        <w:t>公章或合同专用章</w:t>
      </w:r>
      <w:r w:rsidRPr="00770E34">
        <w:rPr>
          <w:rFonts w:hAnsi="宋体" w:hint="eastAsia"/>
          <w:szCs w:val="24"/>
        </w:rPr>
        <w:t>）</w:t>
      </w:r>
    </w:p>
    <w:p w14:paraId="31A3348F" w14:textId="77777777" w:rsidR="00D315D6" w:rsidRPr="00770E34" w:rsidRDefault="00D315D6">
      <w:pPr>
        <w:pStyle w:val="20"/>
        <w:spacing w:before="0" w:after="0" w:line="520" w:lineRule="atLeast"/>
        <w:ind w:left="0"/>
        <w:rPr>
          <w:rFonts w:hAnsi="宋体"/>
          <w:szCs w:val="24"/>
        </w:rPr>
      </w:pPr>
    </w:p>
    <w:p w14:paraId="5D242C89"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法定代表人</w:t>
      </w:r>
    </w:p>
    <w:p w14:paraId="4FCD74C3" w14:textId="77777777" w:rsidR="00D315D6" w:rsidRPr="00770E34" w:rsidRDefault="00C14E5E">
      <w:pPr>
        <w:pStyle w:val="20"/>
        <w:spacing w:before="0" w:after="0" w:line="520" w:lineRule="atLeast"/>
        <w:ind w:left="0"/>
        <w:rPr>
          <w:rFonts w:hAnsi="宋体"/>
          <w:szCs w:val="24"/>
        </w:rPr>
      </w:pPr>
      <w:r w:rsidRPr="00770E34">
        <w:rPr>
          <w:rFonts w:hAnsi="宋体" w:hint="eastAsia"/>
          <w:szCs w:val="24"/>
        </w:rPr>
        <w:t xml:space="preserve">（或授权代理人）：  </w:t>
      </w:r>
    </w:p>
    <w:p w14:paraId="18053363" w14:textId="77777777" w:rsidR="00D315D6" w:rsidRPr="00770E34" w:rsidRDefault="00D315D6">
      <w:pPr>
        <w:pStyle w:val="20"/>
        <w:spacing w:before="0" w:after="0" w:line="520" w:lineRule="atLeast"/>
        <w:ind w:left="0"/>
        <w:rPr>
          <w:rFonts w:hAnsi="宋体"/>
          <w:szCs w:val="24"/>
        </w:rPr>
      </w:pPr>
    </w:p>
    <w:p w14:paraId="1A910893" w14:textId="77777777" w:rsidR="00D315D6" w:rsidRPr="00770E34" w:rsidRDefault="00C14E5E">
      <w:pPr>
        <w:pStyle w:val="20"/>
        <w:spacing w:before="0" w:after="0" w:line="520" w:lineRule="atLeast"/>
        <w:ind w:left="0"/>
        <w:rPr>
          <w:rFonts w:hAnsi="宋体"/>
          <w:szCs w:val="24"/>
        </w:rPr>
      </w:pPr>
      <w:permStart w:id="483359242" w:edGrp="everyone"/>
      <w:r w:rsidRPr="00770E34">
        <w:rPr>
          <w:rFonts w:hAnsi="宋体" w:hint="eastAsia"/>
          <w:szCs w:val="24"/>
        </w:rPr>
        <w:t>签署日期：</w:t>
      </w:r>
      <w:permEnd w:id="483359242"/>
    </w:p>
    <w:p w14:paraId="2EB0F085" w14:textId="77777777" w:rsidR="00D315D6" w:rsidRPr="00770E34" w:rsidRDefault="00C14E5E">
      <w:pPr>
        <w:pStyle w:val="20"/>
        <w:spacing w:before="0" w:after="0" w:line="520" w:lineRule="atLeast"/>
        <w:ind w:left="0"/>
        <w:rPr>
          <w:rFonts w:hAnsi="宋体"/>
          <w:sz w:val="28"/>
          <w:szCs w:val="28"/>
        </w:rPr>
      </w:pPr>
      <w:r w:rsidRPr="00770E34">
        <w:rPr>
          <w:rFonts w:hAnsi="宋体" w:hint="eastAsia"/>
          <w:sz w:val="28"/>
          <w:szCs w:val="28"/>
        </w:rPr>
        <w:t xml:space="preserve">           </w:t>
      </w:r>
    </w:p>
    <w:p w14:paraId="5507DC35" w14:textId="77777777" w:rsidR="00D315D6" w:rsidRPr="00770E34" w:rsidRDefault="00D315D6">
      <w:pPr>
        <w:pStyle w:val="20"/>
        <w:spacing w:before="0" w:after="0" w:line="520" w:lineRule="atLeast"/>
        <w:ind w:left="0" w:firstLineChars="200" w:firstLine="560"/>
        <w:rPr>
          <w:rFonts w:hAnsi="宋体"/>
          <w:sz w:val="28"/>
          <w:szCs w:val="28"/>
        </w:rPr>
      </w:pPr>
    </w:p>
    <w:p w14:paraId="2997B871" w14:textId="77777777" w:rsidR="00D315D6" w:rsidRPr="00770E34" w:rsidRDefault="00D315D6">
      <w:pPr>
        <w:pStyle w:val="20"/>
        <w:spacing w:before="0" w:after="0" w:line="520" w:lineRule="atLeast"/>
        <w:ind w:left="0" w:firstLineChars="200" w:firstLine="560"/>
        <w:rPr>
          <w:rFonts w:hAnsi="宋体"/>
          <w:sz w:val="28"/>
          <w:szCs w:val="28"/>
        </w:rPr>
      </w:pPr>
    </w:p>
    <w:p w14:paraId="3C8BA310" w14:textId="77777777" w:rsidR="00D315D6" w:rsidRPr="00770E34" w:rsidRDefault="00D315D6">
      <w:pPr>
        <w:pStyle w:val="20"/>
        <w:spacing w:before="0" w:after="0" w:line="520" w:lineRule="atLeast"/>
        <w:ind w:left="0" w:firstLineChars="200" w:firstLine="560"/>
        <w:rPr>
          <w:rFonts w:hAnsi="宋体"/>
          <w:sz w:val="28"/>
          <w:szCs w:val="28"/>
        </w:rPr>
      </w:pPr>
    </w:p>
    <w:p w14:paraId="53FB78C0" w14:textId="77777777" w:rsidR="00D315D6" w:rsidRPr="00770E34" w:rsidRDefault="00D315D6">
      <w:pPr>
        <w:pStyle w:val="20"/>
        <w:spacing w:before="0" w:after="0" w:line="520" w:lineRule="atLeast"/>
        <w:ind w:left="0"/>
        <w:rPr>
          <w:rFonts w:hAnsi="宋体"/>
          <w:szCs w:val="24"/>
        </w:rPr>
      </w:pPr>
    </w:p>
    <w:p w14:paraId="715432B7" w14:textId="77777777" w:rsidR="00D315D6" w:rsidRPr="00770E34" w:rsidRDefault="00C14E5E">
      <w:pPr>
        <w:pStyle w:val="20"/>
        <w:spacing w:before="0" w:after="0" w:line="520" w:lineRule="atLeast"/>
        <w:ind w:left="0"/>
        <w:rPr>
          <w:rFonts w:hAnsi="宋体"/>
          <w:szCs w:val="24"/>
        </w:rPr>
      </w:pPr>
      <w:permStart w:id="1565027777" w:edGrp="everyone"/>
      <w:r w:rsidRPr="00770E34">
        <w:rPr>
          <w:rFonts w:hAnsi="宋体" w:hint="eastAsia"/>
          <w:szCs w:val="24"/>
        </w:rPr>
        <w:t>签订地：</w:t>
      </w:r>
      <w:permEnd w:id="1565027777"/>
      <w:r w:rsidRPr="00770E34">
        <w:rPr>
          <w:rFonts w:hAnsi="宋体" w:hint="eastAsia"/>
          <w:szCs w:val="24"/>
        </w:rPr>
        <w:t xml:space="preserve"> </w:t>
      </w:r>
    </w:p>
    <w:p w14:paraId="6757CC3D" w14:textId="77777777" w:rsidR="00D315D6" w:rsidRPr="00770E34" w:rsidRDefault="00D315D6">
      <w:pPr>
        <w:pStyle w:val="20"/>
        <w:spacing w:before="0" w:after="0" w:line="520" w:lineRule="atLeast"/>
        <w:ind w:left="0" w:firstLineChars="200" w:firstLine="480"/>
        <w:rPr>
          <w:rFonts w:hAnsi="宋体"/>
          <w:szCs w:val="24"/>
        </w:rPr>
      </w:pPr>
    </w:p>
    <w:p w14:paraId="2E432CE2" w14:textId="77777777" w:rsidR="00D315D6" w:rsidRPr="00770E34" w:rsidRDefault="00C14E5E">
      <w:pPr>
        <w:pStyle w:val="20"/>
        <w:spacing w:before="0" w:after="0" w:line="520" w:lineRule="atLeast"/>
        <w:ind w:left="0"/>
        <w:rPr>
          <w:rFonts w:hAnsi="宋体"/>
          <w:sz w:val="28"/>
          <w:szCs w:val="28"/>
        </w:rPr>
      </w:pPr>
      <w:r w:rsidRPr="00770E34">
        <w:rPr>
          <w:rFonts w:hAnsi="宋体" w:hint="eastAsia"/>
          <w:szCs w:val="24"/>
        </w:rPr>
        <w:t xml:space="preserve"> </w:t>
      </w:r>
      <w:r w:rsidRPr="00770E34">
        <w:rPr>
          <w:rFonts w:hAnsi="宋体" w:hint="eastAsia"/>
          <w:sz w:val="28"/>
          <w:szCs w:val="28"/>
        </w:rPr>
        <w:t xml:space="preserve">  </w:t>
      </w:r>
    </w:p>
    <w:p w14:paraId="621DA314" w14:textId="77777777" w:rsidR="00D315D6" w:rsidRPr="00770E34" w:rsidRDefault="00D315D6">
      <w:pPr>
        <w:autoSpaceDE w:val="0"/>
        <w:autoSpaceDN w:val="0"/>
        <w:adjustRightInd w:val="0"/>
        <w:spacing w:line="520" w:lineRule="atLeast"/>
        <w:ind w:rightChars="11" w:right="23"/>
        <w:rPr>
          <w:rFonts w:ascii="宋体" w:hAnsi="宋体"/>
          <w:sz w:val="28"/>
          <w:szCs w:val="28"/>
        </w:rPr>
      </w:pPr>
    </w:p>
    <w:sectPr w:rsidR="00D315D6" w:rsidRPr="00770E34">
      <w:footerReference w:type="even" r:id="rId9"/>
      <w:footerReference w:type="default" r:id="rId10"/>
      <w:pgSz w:w="11907" w:h="16840"/>
      <w:pgMar w:top="1090" w:right="1678" w:bottom="935" w:left="1678" w:header="720" w:footer="720"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D5C977" w16cex:dateUtc="2024-01-23T07:40:00Z"/>
  <w16cex:commentExtensible w16cex:durableId="64B2C5B6" w16cex:dateUtc="2024-01-23T07:44:00Z"/>
  <w16cex:commentExtensible w16cex:durableId="5CE24923" w16cex:dateUtc="2024-01-23T09:26:00Z"/>
  <w16cex:commentExtensible w16cex:durableId="124DC4AC" w16cex:dateUtc="2024-01-23T09:30:00Z"/>
  <w16cex:commentExtensible w16cex:durableId="2E4E9314" w16cex:dateUtc="2024-01-23T09:34:00Z"/>
  <w16cex:commentExtensible w16cex:durableId="323876F6" w16cex:dateUtc="2024-01-23T09:36:00Z"/>
  <w16cex:commentExtensible w16cex:durableId="0CD28F05" w16cex:dateUtc="2024-01-23T09:36:00Z"/>
  <w16cex:commentExtensible w16cex:durableId="41D3C9E7" w16cex:dateUtc="2024-01-26T10:33:00Z"/>
  <w16cex:commentExtensible w16cex:durableId="1A489EC8" w16cex:dateUtc="2024-01-23T08:10:00Z"/>
  <w16cex:commentExtensible w16cex:durableId="5A46BF28" w16cex:dateUtc="2024-01-23T09:50:00Z"/>
  <w16cex:commentExtensible w16cex:durableId="25BD48C6" w16cex:dateUtc="2024-01-23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0653B" w14:textId="77777777" w:rsidR="00393A88" w:rsidRDefault="00393A88">
      <w:r>
        <w:separator/>
      </w:r>
    </w:p>
  </w:endnote>
  <w:endnote w:type="continuationSeparator" w:id="0">
    <w:p w14:paraId="75AA72FC" w14:textId="77777777" w:rsidR="00393A88" w:rsidRDefault="0039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51EF" w14:textId="77777777" w:rsidR="00EE380B" w:rsidRDefault="00EE380B">
    <w:pPr>
      <w:pStyle w:val="ad"/>
      <w:framePr w:wrap="around" w:vAnchor="text" w:hAnchor="margin" w:xAlign="center" w:y="1"/>
      <w:rPr>
        <w:rStyle w:val="af4"/>
      </w:rPr>
    </w:pPr>
    <w:r>
      <w:fldChar w:fldCharType="begin"/>
    </w:r>
    <w:r>
      <w:rPr>
        <w:rStyle w:val="af4"/>
      </w:rPr>
      <w:instrText xml:space="preserve">PAGE  </w:instrText>
    </w:r>
    <w:r>
      <w:fldChar w:fldCharType="end"/>
    </w:r>
  </w:p>
  <w:p w14:paraId="1F6B0755" w14:textId="77777777" w:rsidR="00EE380B" w:rsidRDefault="00EE380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6D30" w14:textId="77777777" w:rsidR="00EE380B" w:rsidRDefault="00EE380B">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45</w:t>
    </w:r>
    <w:r>
      <w:fldChar w:fldCharType="end"/>
    </w:r>
  </w:p>
  <w:p w14:paraId="7F3DA998" w14:textId="77777777" w:rsidR="00EE380B" w:rsidRDefault="00EE380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859A" w14:textId="77777777" w:rsidR="00393A88" w:rsidRDefault="00393A88">
      <w:r>
        <w:separator/>
      </w:r>
    </w:p>
  </w:footnote>
  <w:footnote w:type="continuationSeparator" w:id="0">
    <w:p w14:paraId="6DA75AA4" w14:textId="77777777" w:rsidR="00393A88" w:rsidRDefault="00393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CB"/>
    <w:rsid w:val="00005F02"/>
    <w:rsid w:val="00006A92"/>
    <w:rsid w:val="00006EF5"/>
    <w:rsid w:val="00007EEE"/>
    <w:rsid w:val="000107EC"/>
    <w:rsid w:val="00014405"/>
    <w:rsid w:val="00014C75"/>
    <w:rsid w:val="00014D0C"/>
    <w:rsid w:val="000156D9"/>
    <w:rsid w:val="0001713B"/>
    <w:rsid w:val="00017F23"/>
    <w:rsid w:val="000217E4"/>
    <w:rsid w:val="00023A92"/>
    <w:rsid w:val="00027285"/>
    <w:rsid w:val="00033A7B"/>
    <w:rsid w:val="00035920"/>
    <w:rsid w:val="00037404"/>
    <w:rsid w:val="00037818"/>
    <w:rsid w:val="00037980"/>
    <w:rsid w:val="00042342"/>
    <w:rsid w:val="00042A25"/>
    <w:rsid w:val="00042EEE"/>
    <w:rsid w:val="00043FB7"/>
    <w:rsid w:val="00046B2A"/>
    <w:rsid w:val="000559C3"/>
    <w:rsid w:val="000603A2"/>
    <w:rsid w:val="00062021"/>
    <w:rsid w:val="00062E2D"/>
    <w:rsid w:val="00066BF4"/>
    <w:rsid w:val="0006754D"/>
    <w:rsid w:val="00071F28"/>
    <w:rsid w:val="0007356D"/>
    <w:rsid w:val="00074856"/>
    <w:rsid w:val="0007750D"/>
    <w:rsid w:val="00080F47"/>
    <w:rsid w:val="0008163D"/>
    <w:rsid w:val="000877E6"/>
    <w:rsid w:val="00093120"/>
    <w:rsid w:val="000A228B"/>
    <w:rsid w:val="000A6FC1"/>
    <w:rsid w:val="000B1E50"/>
    <w:rsid w:val="000C0905"/>
    <w:rsid w:val="000C152B"/>
    <w:rsid w:val="000C2F51"/>
    <w:rsid w:val="000C4913"/>
    <w:rsid w:val="000C7AB7"/>
    <w:rsid w:val="000D0BD5"/>
    <w:rsid w:val="000D13CA"/>
    <w:rsid w:val="000D17C9"/>
    <w:rsid w:val="000D59DE"/>
    <w:rsid w:val="000E207A"/>
    <w:rsid w:val="000E216E"/>
    <w:rsid w:val="000E3608"/>
    <w:rsid w:val="000E5A28"/>
    <w:rsid w:val="000E69F8"/>
    <w:rsid w:val="000F6613"/>
    <w:rsid w:val="000F711F"/>
    <w:rsid w:val="001022CC"/>
    <w:rsid w:val="0010239C"/>
    <w:rsid w:val="00102F71"/>
    <w:rsid w:val="00107051"/>
    <w:rsid w:val="00115735"/>
    <w:rsid w:val="00115AA2"/>
    <w:rsid w:val="001177F0"/>
    <w:rsid w:val="00130C38"/>
    <w:rsid w:val="00132302"/>
    <w:rsid w:val="00132BE4"/>
    <w:rsid w:val="00135362"/>
    <w:rsid w:val="00137C67"/>
    <w:rsid w:val="0014134F"/>
    <w:rsid w:val="0014169A"/>
    <w:rsid w:val="0014323B"/>
    <w:rsid w:val="00143504"/>
    <w:rsid w:val="00145C16"/>
    <w:rsid w:val="00146F90"/>
    <w:rsid w:val="00160C8B"/>
    <w:rsid w:val="001618D7"/>
    <w:rsid w:val="00161E02"/>
    <w:rsid w:val="001657D8"/>
    <w:rsid w:val="00166D16"/>
    <w:rsid w:val="00175B0A"/>
    <w:rsid w:val="00180B60"/>
    <w:rsid w:val="00183760"/>
    <w:rsid w:val="001848CC"/>
    <w:rsid w:val="001864AD"/>
    <w:rsid w:val="00190D40"/>
    <w:rsid w:val="00192658"/>
    <w:rsid w:val="001B0A60"/>
    <w:rsid w:val="001B0F1A"/>
    <w:rsid w:val="001B2959"/>
    <w:rsid w:val="001B2AF0"/>
    <w:rsid w:val="001B2E1D"/>
    <w:rsid w:val="001B687D"/>
    <w:rsid w:val="001B6F7E"/>
    <w:rsid w:val="001B7022"/>
    <w:rsid w:val="001C2ACF"/>
    <w:rsid w:val="001C545B"/>
    <w:rsid w:val="001C66BC"/>
    <w:rsid w:val="001C779A"/>
    <w:rsid w:val="001D03D4"/>
    <w:rsid w:val="001D09A0"/>
    <w:rsid w:val="001D3E64"/>
    <w:rsid w:val="001D444B"/>
    <w:rsid w:val="001E33B7"/>
    <w:rsid w:val="001E6B63"/>
    <w:rsid w:val="001F1C99"/>
    <w:rsid w:val="001F2887"/>
    <w:rsid w:val="001F5108"/>
    <w:rsid w:val="00203D12"/>
    <w:rsid w:val="002045A2"/>
    <w:rsid w:val="0020505E"/>
    <w:rsid w:val="00205409"/>
    <w:rsid w:val="00206D81"/>
    <w:rsid w:val="00213E75"/>
    <w:rsid w:val="00214195"/>
    <w:rsid w:val="002158ED"/>
    <w:rsid w:val="00216E66"/>
    <w:rsid w:val="00217901"/>
    <w:rsid w:val="002216DF"/>
    <w:rsid w:val="00221C8C"/>
    <w:rsid w:val="00222AE4"/>
    <w:rsid w:val="002254CA"/>
    <w:rsid w:val="00225A43"/>
    <w:rsid w:val="002309FE"/>
    <w:rsid w:val="00234CB5"/>
    <w:rsid w:val="00241050"/>
    <w:rsid w:val="0024181D"/>
    <w:rsid w:val="00244076"/>
    <w:rsid w:val="002441B4"/>
    <w:rsid w:val="00244CEE"/>
    <w:rsid w:val="00244F0B"/>
    <w:rsid w:val="002464DB"/>
    <w:rsid w:val="00251308"/>
    <w:rsid w:val="00254A5E"/>
    <w:rsid w:val="00256509"/>
    <w:rsid w:val="002567AE"/>
    <w:rsid w:val="002620B5"/>
    <w:rsid w:val="0026403B"/>
    <w:rsid w:val="00270B1B"/>
    <w:rsid w:val="00271BEE"/>
    <w:rsid w:val="00273F36"/>
    <w:rsid w:val="0027511C"/>
    <w:rsid w:val="00275823"/>
    <w:rsid w:val="002760F8"/>
    <w:rsid w:val="002771AB"/>
    <w:rsid w:val="00280105"/>
    <w:rsid w:val="00282CB6"/>
    <w:rsid w:val="00283722"/>
    <w:rsid w:val="002A153D"/>
    <w:rsid w:val="002A34FB"/>
    <w:rsid w:val="002A4594"/>
    <w:rsid w:val="002A5134"/>
    <w:rsid w:val="002B0CA2"/>
    <w:rsid w:val="002B2B25"/>
    <w:rsid w:val="002B2B46"/>
    <w:rsid w:val="002C4590"/>
    <w:rsid w:val="002C7260"/>
    <w:rsid w:val="002D278E"/>
    <w:rsid w:val="002D5AC8"/>
    <w:rsid w:val="002E423B"/>
    <w:rsid w:val="002F1D9A"/>
    <w:rsid w:val="002F1FB2"/>
    <w:rsid w:val="002F498B"/>
    <w:rsid w:val="002F7C1F"/>
    <w:rsid w:val="0030118A"/>
    <w:rsid w:val="00301DE1"/>
    <w:rsid w:val="0030473A"/>
    <w:rsid w:val="0030785F"/>
    <w:rsid w:val="00314EE7"/>
    <w:rsid w:val="003161F5"/>
    <w:rsid w:val="003165EA"/>
    <w:rsid w:val="00317BE9"/>
    <w:rsid w:val="003229E8"/>
    <w:rsid w:val="0032719C"/>
    <w:rsid w:val="00330DBF"/>
    <w:rsid w:val="00342101"/>
    <w:rsid w:val="00343183"/>
    <w:rsid w:val="00345E38"/>
    <w:rsid w:val="0035177F"/>
    <w:rsid w:val="00355375"/>
    <w:rsid w:val="00363BF9"/>
    <w:rsid w:val="003660FE"/>
    <w:rsid w:val="00370E6A"/>
    <w:rsid w:val="00376470"/>
    <w:rsid w:val="00376534"/>
    <w:rsid w:val="00380257"/>
    <w:rsid w:val="003820CE"/>
    <w:rsid w:val="00382440"/>
    <w:rsid w:val="0038599A"/>
    <w:rsid w:val="00385CF5"/>
    <w:rsid w:val="00393A4B"/>
    <w:rsid w:val="00393A88"/>
    <w:rsid w:val="0039570A"/>
    <w:rsid w:val="0039704D"/>
    <w:rsid w:val="003A21D3"/>
    <w:rsid w:val="003A4C9D"/>
    <w:rsid w:val="003A64E9"/>
    <w:rsid w:val="003A7609"/>
    <w:rsid w:val="003B0F07"/>
    <w:rsid w:val="003B240A"/>
    <w:rsid w:val="003B7C32"/>
    <w:rsid w:val="003C18B0"/>
    <w:rsid w:val="003C20E6"/>
    <w:rsid w:val="003C235D"/>
    <w:rsid w:val="003C2DEB"/>
    <w:rsid w:val="003C306C"/>
    <w:rsid w:val="003C3C90"/>
    <w:rsid w:val="003C5A81"/>
    <w:rsid w:val="003C67A3"/>
    <w:rsid w:val="003C6E19"/>
    <w:rsid w:val="003D0785"/>
    <w:rsid w:val="003D24E0"/>
    <w:rsid w:val="003D48C9"/>
    <w:rsid w:val="003D6E5F"/>
    <w:rsid w:val="003D7086"/>
    <w:rsid w:val="003D778D"/>
    <w:rsid w:val="003E25E9"/>
    <w:rsid w:val="003E57C9"/>
    <w:rsid w:val="003E5B9D"/>
    <w:rsid w:val="003E619A"/>
    <w:rsid w:val="003E728E"/>
    <w:rsid w:val="003F26BF"/>
    <w:rsid w:val="003F32DF"/>
    <w:rsid w:val="003F38FA"/>
    <w:rsid w:val="003F4121"/>
    <w:rsid w:val="003F76F1"/>
    <w:rsid w:val="00400261"/>
    <w:rsid w:val="00403FA4"/>
    <w:rsid w:val="00411E11"/>
    <w:rsid w:val="00411EC2"/>
    <w:rsid w:val="0041673C"/>
    <w:rsid w:val="00417D16"/>
    <w:rsid w:val="0042648F"/>
    <w:rsid w:val="00430FD3"/>
    <w:rsid w:val="004311E8"/>
    <w:rsid w:val="004339DF"/>
    <w:rsid w:val="00436366"/>
    <w:rsid w:val="0043710B"/>
    <w:rsid w:val="004409D2"/>
    <w:rsid w:val="004412E4"/>
    <w:rsid w:val="00443EEB"/>
    <w:rsid w:val="004464B7"/>
    <w:rsid w:val="0044652B"/>
    <w:rsid w:val="004507F3"/>
    <w:rsid w:val="00451371"/>
    <w:rsid w:val="0045461B"/>
    <w:rsid w:val="00455161"/>
    <w:rsid w:val="004558DF"/>
    <w:rsid w:val="00456A15"/>
    <w:rsid w:val="0046023B"/>
    <w:rsid w:val="00462A74"/>
    <w:rsid w:val="004670BB"/>
    <w:rsid w:val="004702E5"/>
    <w:rsid w:val="00470F6A"/>
    <w:rsid w:val="00472976"/>
    <w:rsid w:val="004734B3"/>
    <w:rsid w:val="00474712"/>
    <w:rsid w:val="004769C4"/>
    <w:rsid w:val="0048045F"/>
    <w:rsid w:val="00490CC4"/>
    <w:rsid w:val="004A0749"/>
    <w:rsid w:val="004A2093"/>
    <w:rsid w:val="004A21FA"/>
    <w:rsid w:val="004A26BE"/>
    <w:rsid w:val="004A4507"/>
    <w:rsid w:val="004B0A2F"/>
    <w:rsid w:val="004B3F78"/>
    <w:rsid w:val="004B76D3"/>
    <w:rsid w:val="004C14BD"/>
    <w:rsid w:val="004C5378"/>
    <w:rsid w:val="004C7064"/>
    <w:rsid w:val="004C7BEF"/>
    <w:rsid w:val="004D7082"/>
    <w:rsid w:val="004E306E"/>
    <w:rsid w:val="004E5206"/>
    <w:rsid w:val="004E5621"/>
    <w:rsid w:val="004E7254"/>
    <w:rsid w:val="004F2CD0"/>
    <w:rsid w:val="004F4570"/>
    <w:rsid w:val="004F5507"/>
    <w:rsid w:val="004F5ED3"/>
    <w:rsid w:val="004F7098"/>
    <w:rsid w:val="00500435"/>
    <w:rsid w:val="00507836"/>
    <w:rsid w:val="00510F05"/>
    <w:rsid w:val="005121E1"/>
    <w:rsid w:val="005147D9"/>
    <w:rsid w:val="00514ECE"/>
    <w:rsid w:val="005223A4"/>
    <w:rsid w:val="00523550"/>
    <w:rsid w:val="00526BD9"/>
    <w:rsid w:val="005302BD"/>
    <w:rsid w:val="00530616"/>
    <w:rsid w:val="005307DB"/>
    <w:rsid w:val="00532411"/>
    <w:rsid w:val="00533B7B"/>
    <w:rsid w:val="005366E9"/>
    <w:rsid w:val="0054036A"/>
    <w:rsid w:val="005417F4"/>
    <w:rsid w:val="00541A7B"/>
    <w:rsid w:val="00542351"/>
    <w:rsid w:val="00543408"/>
    <w:rsid w:val="00552CCB"/>
    <w:rsid w:val="005541ED"/>
    <w:rsid w:val="005576FE"/>
    <w:rsid w:val="005662BD"/>
    <w:rsid w:val="00576B8B"/>
    <w:rsid w:val="00587AA1"/>
    <w:rsid w:val="00591580"/>
    <w:rsid w:val="00591B16"/>
    <w:rsid w:val="005A030A"/>
    <w:rsid w:val="005A11E0"/>
    <w:rsid w:val="005A1862"/>
    <w:rsid w:val="005A1FC8"/>
    <w:rsid w:val="005A40E0"/>
    <w:rsid w:val="005A52A1"/>
    <w:rsid w:val="005A745C"/>
    <w:rsid w:val="005B05A6"/>
    <w:rsid w:val="005B0CCB"/>
    <w:rsid w:val="005B0F25"/>
    <w:rsid w:val="005B351F"/>
    <w:rsid w:val="005B4A54"/>
    <w:rsid w:val="005B6D06"/>
    <w:rsid w:val="005B7532"/>
    <w:rsid w:val="005C1C72"/>
    <w:rsid w:val="005C5DFC"/>
    <w:rsid w:val="005D0467"/>
    <w:rsid w:val="005D11F0"/>
    <w:rsid w:val="005D18F6"/>
    <w:rsid w:val="005D442A"/>
    <w:rsid w:val="005D4DA3"/>
    <w:rsid w:val="005E0DF0"/>
    <w:rsid w:val="005E2FF6"/>
    <w:rsid w:val="005E3419"/>
    <w:rsid w:val="005E3FB2"/>
    <w:rsid w:val="005E751A"/>
    <w:rsid w:val="005F012D"/>
    <w:rsid w:val="005F0CA6"/>
    <w:rsid w:val="005F221B"/>
    <w:rsid w:val="005F42C5"/>
    <w:rsid w:val="005F48DE"/>
    <w:rsid w:val="005F4AE3"/>
    <w:rsid w:val="005F7024"/>
    <w:rsid w:val="00601D3D"/>
    <w:rsid w:val="0060330F"/>
    <w:rsid w:val="006039BB"/>
    <w:rsid w:val="00604C7B"/>
    <w:rsid w:val="006117E4"/>
    <w:rsid w:val="00615B10"/>
    <w:rsid w:val="00616872"/>
    <w:rsid w:val="006238E1"/>
    <w:rsid w:val="00627E17"/>
    <w:rsid w:val="00630C12"/>
    <w:rsid w:val="00631068"/>
    <w:rsid w:val="00632979"/>
    <w:rsid w:val="006333AF"/>
    <w:rsid w:val="0063582D"/>
    <w:rsid w:val="006374EE"/>
    <w:rsid w:val="006433ED"/>
    <w:rsid w:val="00645BD9"/>
    <w:rsid w:val="00646351"/>
    <w:rsid w:val="0064774E"/>
    <w:rsid w:val="0065050A"/>
    <w:rsid w:val="006513FE"/>
    <w:rsid w:val="0065472A"/>
    <w:rsid w:val="0065631C"/>
    <w:rsid w:val="0065675D"/>
    <w:rsid w:val="0066277C"/>
    <w:rsid w:val="006631BB"/>
    <w:rsid w:val="006643B1"/>
    <w:rsid w:val="006704D3"/>
    <w:rsid w:val="00671709"/>
    <w:rsid w:val="00672EA6"/>
    <w:rsid w:val="006745D6"/>
    <w:rsid w:val="00674E25"/>
    <w:rsid w:val="0067636E"/>
    <w:rsid w:val="00676F66"/>
    <w:rsid w:val="00681B36"/>
    <w:rsid w:val="00682F3F"/>
    <w:rsid w:val="0068465B"/>
    <w:rsid w:val="0069476A"/>
    <w:rsid w:val="006A187B"/>
    <w:rsid w:val="006A21E7"/>
    <w:rsid w:val="006A7C46"/>
    <w:rsid w:val="006B3419"/>
    <w:rsid w:val="006B5645"/>
    <w:rsid w:val="006B567E"/>
    <w:rsid w:val="006B69DF"/>
    <w:rsid w:val="006B6B45"/>
    <w:rsid w:val="006D349A"/>
    <w:rsid w:val="006E1C21"/>
    <w:rsid w:val="006E376A"/>
    <w:rsid w:val="006E4297"/>
    <w:rsid w:val="006E537D"/>
    <w:rsid w:val="006E5F66"/>
    <w:rsid w:val="006E611E"/>
    <w:rsid w:val="006E616F"/>
    <w:rsid w:val="006E6265"/>
    <w:rsid w:val="006E747F"/>
    <w:rsid w:val="006E7AB5"/>
    <w:rsid w:val="006F3607"/>
    <w:rsid w:val="006F4830"/>
    <w:rsid w:val="006F60E3"/>
    <w:rsid w:val="006F7F18"/>
    <w:rsid w:val="007041FF"/>
    <w:rsid w:val="0070432C"/>
    <w:rsid w:val="00705281"/>
    <w:rsid w:val="0070544A"/>
    <w:rsid w:val="007105D4"/>
    <w:rsid w:val="0071143B"/>
    <w:rsid w:val="00712E45"/>
    <w:rsid w:val="00714EDA"/>
    <w:rsid w:val="00715971"/>
    <w:rsid w:val="00716807"/>
    <w:rsid w:val="0072239D"/>
    <w:rsid w:val="00722E92"/>
    <w:rsid w:val="00723A7F"/>
    <w:rsid w:val="00731307"/>
    <w:rsid w:val="0073204C"/>
    <w:rsid w:val="00742138"/>
    <w:rsid w:val="0074389D"/>
    <w:rsid w:val="007451E3"/>
    <w:rsid w:val="00750A9C"/>
    <w:rsid w:val="0075595F"/>
    <w:rsid w:val="007564E2"/>
    <w:rsid w:val="00757C03"/>
    <w:rsid w:val="00757ED4"/>
    <w:rsid w:val="00770384"/>
    <w:rsid w:val="00770E34"/>
    <w:rsid w:val="00772F6C"/>
    <w:rsid w:val="00773CE9"/>
    <w:rsid w:val="00775161"/>
    <w:rsid w:val="00777AC6"/>
    <w:rsid w:val="00777C8C"/>
    <w:rsid w:val="00781448"/>
    <w:rsid w:val="00782971"/>
    <w:rsid w:val="0078303E"/>
    <w:rsid w:val="007865D8"/>
    <w:rsid w:val="00786DDE"/>
    <w:rsid w:val="00792ABE"/>
    <w:rsid w:val="00795FC7"/>
    <w:rsid w:val="007A4FFD"/>
    <w:rsid w:val="007A5673"/>
    <w:rsid w:val="007A6E2E"/>
    <w:rsid w:val="007B0920"/>
    <w:rsid w:val="007B0DCD"/>
    <w:rsid w:val="007B1A8A"/>
    <w:rsid w:val="007B40CD"/>
    <w:rsid w:val="007C3B71"/>
    <w:rsid w:val="007C56B2"/>
    <w:rsid w:val="007C7FD9"/>
    <w:rsid w:val="007D21F7"/>
    <w:rsid w:val="007D532B"/>
    <w:rsid w:val="007D5874"/>
    <w:rsid w:val="007E2AA0"/>
    <w:rsid w:val="007E3074"/>
    <w:rsid w:val="007E66C2"/>
    <w:rsid w:val="007F28F2"/>
    <w:rsid w:val="007F37EC"/>
    <w:rsid w:val="007F780A"/>
    <w:rsid w:val="00804E85"/>
    <w:rsid w:val="00806439"/>
    <w:rsid w:val="00810562"/>
    <w:rsid w:val="008138B1"/>
    <w:rsid w:val="00815E67"/>
    <w:rsid w:val="00816328"/>
    <w:rsid w:val="00816E98"/>
    <w:rsid w:val="0082011A"/>
    <w:rsid w:val="00820261"/>
    <w:rsid w:val="008265FB"/>
    <w:rsid w:val="0083307F"/>
    <w:rsid w:val="008402D5"/>
    <w:rsid w:val="00844028"/>
    <w:rsid w:val="0084464F"/>
    <w:rsid w:val="00844681"/>
    <w:rsid w:val="0084596D"/>
    <w:rsid w:val="00850170"/>
    <w:rsid w:val="00850A81"/>
    <w:rsid w:val="00853FDC"/>
    <w:rsid w:val="00855B9C"/>
    <w:rsid w:val="00857A81"/>
    <w:rsid w:val="0086120E"/>
    <w:rsid w:val="008723BB"/>
    <w:rsid w:val="0087434D"/>
    <w:rsid w:val="008758F6"/>
    <w:rsid w:val="0088044B"/>
    <w:rsid w:val="008815F1"/>
    <w:rsid w:val="00886001"/>
    <w:rsid w:val="0088782C"/>
    <w:rsid w:val="00887CEE"/>
    <w:rsid w:val="00895349"/>
    <w:rsid w:val="008963F5"/>
    <w:rsid w:val="008A160E"/>
    <w:rsid w:val="008A1BC0"/>
    <w:rsid w:val="008A1C89"/>
    <w:rsid w:val="008A452D"/>
    <w:rsid w:val="008A50D6"/>
    <w:rsid w:val="008A772E"/>
    <w:rsid w:val="008A77A6"/>
    <w:rsid w:val="008A7F32"/>
    <w:rsid w:val="008B7214"/>
    <w:rsid w:val="008D2524"/>
    <w:rsid w:val="008E3AE4"/>
    <w:rsid w:val="008E7B24"/>
    <w:rsid w:val="008F3907"/>
    <w:rsid w:val="008F3F36"/>
    <w:rsid w:val="008F4C30"/>
    <w:rsid w:val="008F7242"/>
    <w:rsid w:val="0090034A"/>
    <w:rsid w:val="00901F55"/>
    <w:rsid w:val="00910563"/>
    <w:rsid w:val="00910BB9"/>
    <w:rsid w:val="00912E35"/>
    <w:rsid w:val="0091346D"/>
    <w:rsid w:val="0091354B"/>
    <w:rsid w:val="009168DA"/>
    <w:rsid w:val="0091746B"/>
    <w:rsid w:val="00922C37"/>
    <w:rsid w:val="00922E0D"/>
    <w:rsid w:val="00922EF4"/>
    <w:rsid w:val="00923621"/>
    <w:rsid w:val="00925BAE"/>
    <w:rsid w:val="00934CFF"/>
    <w:rsid w:val="0094040B"/>
    <w:rsid w:val="00942E0B"/>
    <w:rsid w:val="00950499"/>
    <w:rsid w:val="00951D67"/>
    <w:rsid w:val="009534CD"/>
    <w:rsid w:val="00956305"/>
    <w:rsid w:val="009568E1"/>
    <w:rsid w:val="00956C59"/>
    <w:rsid w:val="00961105"/>
    <w:rsid w:val="00961CF2"/>
    <w:rsid w:val="009637CC"/>
    <w:rsid w:val="0096771A"/>
    <w:rsid w:val="00967914"/>
    <w:rsid w:val="00972E11"/>
    <w:rsid w:val="00976194"/>
    <w:rsid w:val="00980790"/>
    <w:rsid w:val="00980965"/>
    <w:rsid w:val="00982BC6"/>
    <w:rsid w:val="00983D29"/>
    <w:rsid w:val="00983EC2"/>
    <w:rsid w:val="009929CB"/>
    <w:rsid w:val="00992B18"/>
    <w:rsid w:val="00992C48"/>
    <w:rsid w:val="00994EDA"/>
    <w:rsid w:val="00996D63"/>
    <w:rsid w:val="00997B73"/>
    <w:rsid w:val="00997B9E"/>
    <w:rsid w:val="00997CAB"/>
    <w:rsid w:val="009A3719"/>
    <w:rsid w:val="009A39CE"/>
    <w:rsid w:val="009B7AFF"/>
    <w:rsid w:val="009C05E6"/>
    <w:rsid w:val="009D3DFA"/>
    <w:rsid w:val="009D5128"/>
    <w:rsid w:val="009D5D04"/>
    <w:rsid w:val="009E00AB"/>
    <w:rsid w:val="009E0844"/>
    <w:rsid w:val="009E263C"/>
    <w:rsid w:val="009E4F5A"/>
    <w:rsid w:val="009E582B"/>
    <w:rsid w:val="009F038B"/>
    <w:rsid w:val="009F232A"/>
    <w:rsid w:val="009F37F6"/>
    <w:rsid w:val="00A11937"/>
    <w:rsid w:val="00A11C5F"/>
    <w:rsid w:val="00A3173D"/>
    <w:rsid w:val="00A317FB"/>
    <w:rsid w:val="00A32ED7"/>
    <w:rsid w:val="00A33B45"/>
    <w:rsid w:val="00A34C6D"/>
    <w:rsid w:val="00A430CF"/>
    <w:rsid w:val="00A464EF"/>
    <w:rsid w:val="00A478F7"/>
    <w:rsid w:val="00A5325C"/>
    <w:rsid w:val="00A5522C"/>
    <w:rsid w:val="00A5593A"/>
    <w:rsid w:val="00A600C1"/>
    <w:rsid w:val="00A61E5C"/>
    <w:rsid w:val="00A64189"/>
    <w:rsid w:val="00A72A31"/>
    <w:rsid w:val="00A76D15"/>
    <w:rsid w:val="00A80572"/>
    <w:rsid w:val="00A82016"/>
    <w:rsid w:val="00A82BB8"/>
    <w:rsid w:val="00A872C3"/>
    <w:rsid w:val="00A90358"/>
    <w:rsid w:val="00A90A88"/>
    <w:rsid w:val="00A91212"/>
    <w:rsid w:val="00AA086B"/>
    <w:rsid w:val="00AA1294"/>
    <w:rsid w:val="00AA26EB"/>
    <w:rsid w:val="00AA3B97"/>
    <w:rsid w:val="00AA5D4A"/>
    <w:rsid w:val="00AA74F1"/>
    <w:rsid w:val="00AB08D8"/>
    <w:rsid w:val="00AB76A9"/>
    <w:rsid w:val="00AC7A32"/>
    <w:rsid w:val="00AD13BC"/>
    <w:rsid w:val="00AD1B3E"/>
    <w:rsid w:val="00AD38E5"/>
    <w:rsid w:val="00AD46EC"/>
    <w:rsid w:val="00B0046B"/>
    <w:rsid w:val="00B03495"/>
    <w:rsid w:val="00B049FA"/>
    <w:rsid w:val="00B04E35"/>
    <w:rsid w:val="00B13317"/>
    <w:rsid w:val="00B14B93"/>
    <w:rsid w:val="00B21010"/>
    <w:rsid w:val="00B240D8"/>
    <w:rsid w:val="00B310E5"/>
    <w:rsid w:val="00B34B8F"/>
    <w:rsid w:val="00B37F3D"/>
    <w:rsid w:val="00B41AB2"/>
    <w:rsid w:val="00B42A85"/>
    <w:rsid w:val="00B4586E"/>
    <w:rsid w:val="00B47EC6"/>
    <w:rsid w:val="00B50738"/>
    <w:rsid w:val="00B56ABC"/>
    <w:rsid w:val="00B60E44"/>
    <w:rsid w:val="00B61FF9"/>
    <w:rsid w:val="00B63751"/>
    <w:rsid w:val="00B63F4A"/>
    <w:rsid w:val="00B65D3D"/>
    <w:rsid w:val="00B66879"/>
    <w:rsid w:val="00B719B1"/>
    <w:rsid w:val="00B73796"/>
    <w:rsid w:val="00B74A93"/>
    <w:rsid w:val="00B76F64"/>
    <w:rsid w:val="00B77FC9"/>
    <w:rsid w:val="00B90203"/>
    <w:rsid w:val="00B92165"/>
    <w:rsid w:val="00B9229E"/>
    <w:rsid w:val="00B94BFA"/>
    <w:rsid w:val="00BA1072"/>
    <w:rsid w:val="00BA1995"/>
    <w:rsid w:val="00BA1FFA"/>
    <w:rsid w:val="00BA71B2"/>
    <w:rsid w:val="00BA7CDA"/>
    <w:rsid w:val="00BB055E"/>
    <w:rsid w:val="00BB1B9A"/>
    <w:rsid w:val="00BB1D20"/>
    <w:rsid w:val="00BB45C2"/>
    <w:rsid w:val="00BB6B31"/>
    <w:rsid w:val="00BC0D5D"/>
    <w:rsid w:val="00BC11DF"/>
    <w:rsid w:val="00BC397C"/>
    <w:rsid w:val="00BD1B35"/>
    <w:rsid w:val="00BD582F"/>
    <w:rsid w:val="00BD6014"/>
    <w:rsid w:val="00BE3072"/>
    <w:rsid w:val="00BE46D4"/>
    <w:rsid w:val="00BE78A0"/>
    <w:rsid w:val="00C00B3A"/>
    <w:rsid w:val="00C01EEA"/>
    <w:rsid w:val="00C04FDD"/>
    <w:rsid w:val="00C06901"/>
    <w:rsid w:val="00C118AC"/>
    <w:rsid w:val="00C14204"/>
    <w:rsid w:val="00C14E5E"/>
    <w:rsid w:val="00C15064"/>
    <w:rsid w:val="00C17895"/>
    <w:rsid w:val="00C21B5A"/>
    <w:rsid w:val="00C25D19"/>
    <w:rsid w:val="00C324F8"/>
    <w:rsid w:val="00C332CE"/>
    <w:rsid w:val="00C34241"/>
    <w:rsid w:val="00C37C51"/>
    <w:rsid w:val="00C44C0D"/>
    <w:rsid w:val="00C44C75"/>
    <w:rsid w:val="00C514F5"/>
    <w:rsid w:val="00C51A27"/>
    <w:rsid w:val="00C520BD"/>
    <w:rsid w:val="00C63EF2"/>
    <w:rsid w:val="00C70E76"/>
    <w:rsid w:val="00C747D9"/>
    <w:rsid w:val="00C7729D"/>
    <w:rsid w:val="00C822D7"/>
    <w:rsid w:val="00C850FD"/>
    <w:rsid w:val="00C8568A"/>
    <w:rsid w:val="00C86526"/>
    <w:rsid w:val="00C910C7"/>
    <w:rsid w:val="00C92E0C"/>
    <w:rsid w:val="00C934E2"/>
    <w:rsid w:val="00C94574"/>
    <w:rsid w:val="00C9703A"/>
    <w:rsid w:val="00CA48B0"/>
    <w:rsid w:val="00CA759C"/>
    <w:rsid w:val="00CA7829"/>
    <w:rsid w:val="00CB1555"/>
    <w:rsid w:val="00CB1963"/>
    <w:rsid w:val="00CB1E25"/>
    <w:rsid w:val="00CB595B"/>
    <w:rsid w:val="00CB6238"/>
    <w:rsid w:val="00CC0269"/>
    <w:rsid w:val="00CC0307"/>
    <w:rsid w:val="00CD2AB3"/>
    <w:rsid w:val="00CD5447"/>
    <w:rsid w:val="00CE187B"/>
    <w:rsid w:val="00CE1A63"/>
    <w:rsid w:val="00CE5E33"/>
    <w:rsid w:val="00CF0833"/>
    <w:rsid w:val="00CF1814"/>
    <w:rsid w:val="00CF2667"/>
    <w:rsid w:val="00CF2E69"/>
    <w:rsid w:val="00CF33B4"/>
    <w:rsid w:val="00D02186"/>
    <w:rsid w:val="00D039C5"/>
    <w:rsid w:val="00D03C31"/>
    <w:rsid w:val="00D12262"/>
    <w:rsid w:val="00D127E7"/>
    <w:rsid w:val="00D15D80"/>
    <w:rsid w:val="00D167CB"/>
    <w:rsid w:val="00D2248B"/>
    <w:rsid w:val="00D23019"/>
    <w:rsid w:val="00D23C7C"/>
    <w:rsid w:val="00D25D94"/>
    <w:rsid w:val="00D267C4"/>
    <w:rsid w:val="00D27344"/>
    <w:rsid w:val="00D315D6"/>
    <w:rsid w:val="00D348CE"/>
    <w:rsid w:val="00D40F8E"/>
    <w:rsid w:val="00D4246A"/>
    <w:rsid w:val="00D470C6"/>
    <w:rsid w:val="00D52B93"/>
    <w:rsid w:val="00D53004"/>
    <w:rsid w:val="00D55912"/>
    <w:rsid w:val="00D61350"/>
    <w:rsid w:val="00D70AB1"/>
    <w:rsid w:val="00D71350"/>
    <w:rsid w:val="00D736CF"/>
    <w:rsid w:val="00D836E6"/>
    <w:rsid w:val="00D872FC"/>
    <w:rsid w:val="00D91349"/>
    <w:rsid w:val="00D9729F"/>
    <w:rsid w:val="00D9774E"/>
    <w:rsid w:val="00DA1D58"/>
    <w:rsid w:val="00DA3524"/>
    <w:rsid w:val="00DA7B95"/>
    <w:rsid w:val="00DA7F7F"/>
    <w:rsid w:val="00DB277E"/>
    <w:rsid w:val="00DB35A9"/>
    <w:rsid w:val="00DB3C21"/>
    <w:rsid w:val="00DB627E"/>
    <w:rsid w:val="00DB6AC9"/>
    <w:rsid w:val="00DC25F7"/>
    <w:rsid w:val="00DC33C9"/>
    <w:rsid w:val="00DC3413"/>
    <w:rsid w:val="00DD3B63"/>
    <w:rsid w:val="00DD76DE"/>
    <w:rsid w:val="00DE275A"/>
    <w:rsid w:val="00DE7037"/>
    <w:rsid w:val="00DE723D"/>
    <w:rsid w:val="00DE7D0B"/>
    <w:rsid w:val="00DE7DCF"/>
    <w:rsid w:val="00DF1530"/>
    <w:rsid w:val="00DF29C3"/>
    <w:rsid w:val="00DF447B"/>
    <w:rsid w:val="00DF5FB3"/>
    <w:rsid w:val="00E000EB"/>
    <w:rsid w:val="00E02E28"/>
    <w:rsid w:val="00E03C35"/>
    <w:rsid w:val="00E069ED"/>
    <w:rsid w:val="00E122D6"/>
    <w:rsid w:val="00E142BD"/>
    <w:rsid w:val="00E1706E"/>
    <w:rsid w:val="00E20017"/>
    <w:rsid w:val="00E23F4C"/>
    <w:rsid w:val="00E24C6C"/>
    <w:rsid w:val="00E2562C"/>
    <w:rsid w:val="00E25905"/>
    <w:rsid w:val="00E379DC"/>
    <w:rsid w:val="00E4241E"/>
    <w:rsid w:val="00E45E88"/>
    <w:rsid w:val="00E46345"/>
    <w:rsid w:val="00E46976"/>
    <w:rsid w:val="00E47EEE"/>
    <w:rsid w:val="00E53F89"/>
    <w:rsid w:val="00E60EE5"/>
    <w:rsid w:val="00E65237"/>
    <w:rsid w:val="00E658FF"/>
    <w:rsid w:val="00E71B58"/>
    <w:rsid w:val="00E7429F"/>
    <w:rsid w:val="00E758C6"/>
    <w:rsid w:val="00E83608"/>
    <w:rsid w:val="00E855F4"/>
    <w:rsid w:val="00E8622A"/>
    <w:rsid w:val="00E86688"/>
    <w:rsid w:val="00E925E0"/>
    <w:rsid w:val="00E97CC8"/>
    <w:rsid w:val="00EA2F66"/>
    <w:rsid w:val="00EA3DF0"/>
    <w:rsid w:val="00EA45C6"/>
    <w:rsid w:val="00EA5145"/>
    <w:rsid w:val="00EA5223"/>
    <w:rsid w:val="00EA64B0"/>
    <w:rsid w:val="00EB03E9"/>
    <w:rsid w:val="00EB5BF5"/>
    <w:rsid w:val="00EC154A"/>
    <w:rsid w:val="00EC6164"/>
    <w:rsid w:val="00ED07E9"/>
    <w:rsid w:val="00ED799A"/>
    <w:rsid w:val="00EE049A"/>
    <w:rsid w:val="00EE13AA"/>
    <w:rsid w:val="00EE2B34"/>
    <w:rsid w:val="00EE380B"/>
    <w:rsid w:val="00EE444F"/>
    <w:rsid w:val="00EF05EA"/>
    <w:rsid w:val="00EF53BE"/>
    <w:rsid w:val="00EF5A21"/>
    <w:rsid w:val="00F02AC7"/>
    <w:rsid w:val="00F04B03"/>
    <w:rsid w:val="00F14DEF"/>
    <w:rsid w:val="00F21554"/>
    <w:rsid w:val="00F21570"/>
    <w:rsid w:val="00F23C92"/>
    <w:rsid w:val="00F24AAE"/>
    <w:rsid w:val="00F27457"/>
    <w:rsid w:val="00F3012F"/>
    <w:rsid w:val="00F3208D"/>
    <w:rsid w:val="00F32FC8"/>
    <w:rsid w:val="00F4392A"/>
    <w:rsid w:val="00F51862"/>
    <w:rsid w:val="00F53C8C"/>
    <w:rsid w:val="00F55670"/>
    <w:rsid w:val="00F55DCE"/>
    <w:rsid w:val="00F55F8F"/>
    <w:rsid w:val="00F565AB"/>
    <w:rsid w:val="00F57240"/>
    <w:rsid w:val="00F578FD"/>
    <w:rsid w:val="00F63198"/>
    <w:rsid w:val="00F67DE0"/>
    <w:rsid w:val="00F711DA"/>
    <w:rsid w:val="00F744ED"/>
    <w:rsid w:val="00F778EE"/>
    <w:rsid w:val="00F81C6F"/>
    <w:rsid w:val="00F821F1"/>
    <w:rsid w:val="00F91330"/>
    <w:rsid w:val="00F96366"/>
    <w:rsid w:val="00FA228E"/>
    <w:rsid w:val="00FA4707"/>
    <w:rsid w:val="00FA600E"/>
    <w:rsid w:val="00FB2B25"/>
    <w:rsid w:val="00FB2E96"/>
    <w:rsid w:val="00FB7505"/>
    <w:rsid w:val="00FC0D21"/>
    <w:rsid w:val="00FC1168"/>
    <w:rsid w:val="00FC2BFF"/>
    <w:rsid w:val="00FC450E"/>
    <w:rsid w:val="00FD0230"/>
    <w:rsid w:val="00FD1371"/>
    <w:rsid w:val="00FD320B"/>
    <w:rsid w:val="00FE10B3"/>
    <w:rsid w:val="00FF3396"/>
    <w:rsid w:val="00FF559D"/>
    <w:rsid w:val="00FF6FFB"/>
    <w:rsid w:val="01223B82"/>
    <w:rsid w:val="016F1D40"/>
    <w:rsid w:val="03E33DD9"/>
    <w:rsid w:val="0FAD441B"/>
    <w:rsid w:val="15500EE4"/>
    <w:rsid w:val="16814D35"/>
    <w:rsid w:val="176C72F7"/>
    <w:rsid w:val="17D50F45"/>
    <w:rsid w:val="18973A8F"/>
    <w:rsid w:val="272B250C"/>
    <w:rsid w:val="2DCF21E3"/>
    <w:rsid w:val="31E242B8"/>
    <w:rsid w:val="346D7BCB"/>
    <w:rsid w:val="348D609E"/>
    <w:rsid w:val="3658101D"/>
    <w:rsid w:val="36795EDE"/>
    <w:rsid w:val="3E98676B"/>
    <w:rsid w:val="47983BE8"/>
    <w:rsid w:val="4B931DE9"/>
    <w:rsid w:val="50BE55B0"/>
    <w:rsid w:val="59A61CD2"/>
    <w:rsid w:val="5B1332C5"/>
    <w:rsid w:val="5FB2527F"/>
    <w:rsid w:val="63011BB9"/>
    <w:rsid w:val="67667244"/>
    <w:rsid w:val="6B0C2D7F"/>
    <w:rsid w:val="6BC40E47"/>
    <w:rsid w:val="6EC90D29"/>
    <w:rsid w:val="724A1C37"/>
    <w:rsid w:val="726C4AC4"/>
    <w:rsid w:val="77CC40D6"/>
    <w:rsid w:val="78A4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C69A26"/>
  <w15:docId w15:val="{ED5C75A9-AE0C-47D4-A24B-29C1F86E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Hyperlink" w:uiPriority="99"/>
    <w:lsdException w:name="FollowedHyperlink" w:qFormat="1"/>
    <w:lsdException w:name="Strong" w:qFormat="1"/>
    <w:lsdException w:name="Emphasis" w:qFormat="1"/>
    <w:lsdException w:name="Document Map" w:uiPriority="99" w:unhideWhenUsed="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hyphen" w:pos="8296"/>
      </w:tabs>
      <w:spacing w:line="360" w:lineRule="auto"/>
    </w:pPr>
    <w:rPr>
      <w:rFonts w:ascii="宋体" w:hAnsi="宋体"/>
      <w:sz w:val="24"/>
      <w:szCs w:val="24"/>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5"/>
    <w:next w:val="a5"/>
    <w:link w:val="af3"/>
    <w:uiPriority w:val="99"/>
    <w:semiHidden/>
    <w:qFormat/>
    <w:rPr>
      <w:b/>
      <w:bCs/>
    </w:rPr>
  </w:style>
  <w:style w:type="character" w:styleId="af4">
    <w:name w:val="page number"/>
    <w:basedOn w:val="a0"/>
  </w:style>
  <w:style w:type="character" w:styleId="af5">
    <w:name w:val="FollowedHyperlink"/>
    <w:qFormat/>
    <w:rPr>
      <w:color w:val="800080"/>
      <w:u w:val="single"/>
    </w:rPr>
  </w:style>
  <w:style w:type="character" w:styleId="af6">
    <w:name w:val="Hyperlink"/>
    <w:uiPriority w:val="99"/>
    <w:rPr>
      <w:color w:val="0000FF"/>
      <w:u w:val="single"/>
    </w:rPr>
  </w:style>
  <w:style w:type="character" w:styleId="af7">
    <w:name w:val="annotation reference"/>
    <w:qFormat/>
    <w:rPr>
      <w:sz w:val="21"/>
      <w:szCs w:val="21"/>
    </w:rPr>
  </w:style>
  <w:style w:type="character" w:customStyle="1" w:styleId="af0">
    <w:name w:val="页眉 字符"/>
    <w:link w:val="af"/>
    <w:uiPriority w:val="99"/>
    <w:rPr>
      <w:kern w:val="2"/>
      <w:sz w:val="18"/>
      <w:szCs w:val="18"/>
    </w:rPr>
  </w:style>
  <w:style w:type="character" w:customStyle="1" w:styleId="DeltaViewInsertion">
    <w:name w:val="DeltaView Insertion"/>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rPr>
      <w:rFonts w:ascii="宋体" w:hAnsi="Courier New" w:cs="Courier New"/>
      <w:kern w:val="2"/>
      <w:sz w:val="21"/>
      <w:szCs w:val="21"/>
    </w:rPr>
  </w:style>
  <w:style w:type="character" w:customStyle="1" w:styleId="e-arialb101">
    <w:name w:val="e-arialb101"/>
    <w:rPr>
      <w:rFonts w:ascii="Arial" w:hAnsi="Arial" w:cs="Arial" w:hint="default"/>
      <w:color w:val="000000"/>
      <w:sz w:val="14"/>
      <w:szCs w:val="14"/>
    </w:rPr>
  </w:style>
  <w:style w:type="character" w:customStyle="1" w:styleId="10">
    <w:name w:val="标题 1 字符"/>
    <w:link w:val="1"/>
    <w:uiPriority w:val="9"/>
    <w:rPr>
      <w:rFonts w:ascii="宋体" w:hAnsi="宋体"/>
      <w:b/>
      <w:color w:val="000000"/>
      <w:kern w:val="2"/>
      <w:sz w:val="24"/>
    </w:rPr>
  </w:style>
  <w:style w:type="character" w:customStyle="1" w:styleId="af3">
    <w:name w:val="批注主题 字符"/>
    <w:link w:val="af2"/>
    <w:uiPriority w:val="99"/>
    <w:semiHidden/>
    <w:qFormat/>
    <w:rPr>
      <w:b/>
      <w:bCs/>
      <w:kern w:val="2"/>
      <w:sz w:val="21"/>
    </w:rPr>
  </w:style>
  <w:style w:type="character" w:customStyle="1" w:styleId="a4">
    <w:name w:val="文档结构图 字符"/>
    <w:link w:val="a3"/>
    <w:uiPriority w:val="99"/>
    <w:rPr>
      <w:rFonts w:ascii="宋体" w:hAnsi="Calibri"/>
      <w:sz w:val="18"/>
      <w:szCs w:val="18"/>
    </w:rPr>
  </w:style>
  <w:style w:type="character" w:customStyle="1" w:styleId="ac">
    <w:name w:val="批注框文本 字符"/>
    <w:link w:val="ab"/>
    <w:qFormat/>
    <w:rPr>
      <w:kern w:val="2"/>
      <w:sz w:val="18"/>
      <w:szCs w:val="18"/>
    </w:rPr>
  </w:style>
  <w:style w:type="character" w:customStyle="1" w:styleId="11">
    <w:name w:val="批注文字 字符1"/>
    <w:link w:val="a5"/>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style>
  <w:style w:type="character" w:customStyle="1" w:styleId="ae">
    <w:name w:val="页脚 字符"/>
    <w:link w:val="ad"/>
    <w:uiPriority w:val="99"/>
    <w:qFormat/>
    <w:rPr>
      <w:kern w:val="2"/>
      <w:sz w:val="18"/>
      <w:szCs w:val="18"/>
    </w:rPr>
  </w:style>
  <w:style w:type="paragraph" w:customStyle="1" w:styleId="12">
    <w:name w:val="修订1"/>
    <w:uiPriority w:val="99"/>
    <w:semiHidden/>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8">
    <w:name w:val="批注文字 字符"/>
    <w:qFormat/>
    <w:rPr>
      <w:rFonts w:ascii="Times New Roman" w:eastAsia="宋体" w:hAnsi="Times New Roman" w:cs="Times New Roman"/>
      <w:szCs w:val="24"/>
    </w:rPr>
  </w:style>
  <w:style w:type="paragraph" w:customStyle="1" w:styleId="22">
    <w:name w:val="修订2"/>
    <w:hidden/>
    <w:uiPriority w:val="99"/>
    <w:semiHidden/>
    <w:rPr>
      <w:kern w:val="2"/>
      <w:sz w:val="21"/>
    </w:rPr>
  </w:style>
  <w:style w:type="paragraph" w:customStyle="1" w:styleId="30">
    <w:name w:val="修订3"/>
    <w:hidden/>
    <w:uiPriority w:val="99"/>
    <w:semiHidden/>
    <w:rPr>
      <w:kern w:val="2"/>
      <w:sz w:val="21"/>
    </w:rPr>
  </w:style>
  <w:style w:type="paragraph" w:styleId="af9">
    <w:name w:val="Revision"/>
    <w:hidden/>
    <w:uiPriority w:val="99"/>
    <w:semiHidden/>
    <w:rsid w:val="00C856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6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1D41-8356-4279-AB42-60CEC793AD57}">
  <ds:schemaRefs>
    <ds:schemaRef ds:uri="http://schemas.openxmlformats.org/officeDocument/2006/bibliography"/>
  </ds:schemaRefs>
</ds:datastoreItem>
</file>

<file path=customXml/itemProps2.xml><?xml version="1.0" encoding="utf-8"?>
<ds:datastoreItem xmlns:ds="http://schemas.openxmlformats.org/officeDocument/2006/customXml" ds:itemID="{076F6DEF-D0C5-4E4E-ADAB-202B53FF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47</Pages>
  <Words>5487</Words>
  <Characters>31281</Characters>
  <Application>Microsoft Office Word</Application>
  <DocSecurity>0</DocSecurity>
  <Lines>260</Lines>
  <Paragraphs>73</Paragraphs>
  <ScaleCrop>false</ScaleCrop>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刘斓</dc:creator>
  <cp:lastModifiedBy>郜梅梅</cp:lastModifiedBy>
  <cp:revision>16</cp:revision>
  <cp:lastPrinted>2024-01-30T08:40:00Z</cp:lastPrinted>
  <dcterms:created xsi:type="dcterms:W3CDTF">2024-01-27T08:10:00Z</dcterms:created>
  <dcterms:modified xsi:type="dcterms:W3CDTF">2024-05-07T01:59:00Z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DEEAA4375B7E4783B51344142F6F6571</vt:lpwstr>
  </property>
</Properties>
</file>