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b/>
        </w:rPr>
      </w:pPr>
      <w:bookmarkStart w:id="0" w:name="CTS_ebbb3b3796a94985a37881f969d2a97b"/>
      <w:bookmarkEnd w:id="0"/>
      <w:bookmarkStart w:id="1" w:name="CLAUSE_ebbb3b3796a94985a37881f969d2a97b"/>
      <w:r>
        <w:rPr>
          <w:rFonts w:hint="eastAsia"/>
          <w:b/>
        </w:rPr>
        <w:t xml:space="preserve"> </w:t>
      </w:r>
    </w:p>
    <w:p>
      <w:pPr>
        <w:jc w:val="center"/>
        <w:rPr>
          <w:b/>
          <w:sz w:val="52"/>
        </w:rPr>
      </w:pPr>
    </w:p>
    <w:p>
      <w:pPr>
        <w:spacing w:line="276" w:lineRule="auto"/>
        <w:jc w:val="center"/>
        <w:rPr>
          <w:b/>
          <w:sz w:val="48"/>
        </w:rPr>
      </w:pPr>
      <w:bookmarkStart w:id="2" w:name="_Toc139991725"/>
      <w:bookmarkStart w:id="3" w:name="_Toc123112262"/>
      <w:bookmarkStart w:id="4" w:name="_Toc123112223"/>
      <w:bookmarkStart w:id="5" w:name="_Toc123701382"/>
      <w:bookmarkStart w:id="6" w:name="_Toc139992300"/>
      <w:r>
        <w:rPr>
          <w:rFonts w:hint="eastAsia"/>
          <w:b/>
          <w:sz w:val="48"/>
        </w:rPr>
        <w:t>博时季季兴90天滚动持有债券型证券投资基金基金合同</w:t>
      </w:r>
      <w:bookmarkEnd w:id="2"/>
      <w:bookmarkEnd w:id="3"/>
      <w:bookmarkEnd w:id="4"/>
      <w:bookmarkEnd w:id="5"/>
      <w:bookmarkEnd w:id="6"/>
    </w:p>
    <w:p>
      <w:pPr>
        <w:jc w:val="center"/>
        <w:rPr>
          <w:b/>
          <w:sz w:val="48"/>
        </w:rPr>
      </w:pPr>
    </w:p>
    <w:p>
      <w:pPr>
        <w:jc w:val="center"/>
        <w:rPr>
          <w:sz w:val="52"/>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rPr>
          <w:b/>
        </w:rPr>
      </w:pPr>
    </w:p>
    <w:p>
      <w:pPr>
        <w:jc w:val="center"/>
        <w:rPr>
          <w:b/>
          <w:sz w:val="36"/>
        </w:rPr>
      </w:pPr>
      <w:bookmarkStart w:id="7" w:name="_Toc123701383"/>
      <w:bookmarkStart w:id="8" w:name="_Toc123112224"/>
      <w:bookmarkStart w:id="9" w:name="_Toc139992301"/>
      <w:bookmarkStart w:id="10" w:name="_Toc139991726"/>
      <w:bookmarkStart w:id="11" w:name="_Toc123112263"/>
      <w:r>
        <w:rPr>
          <w:b/>
          <w:sz w:val="36"/>
        </w:rPr>
        <w:t>基金管理人</w:t>
      </w:r>
      <w:bookmarkEnd w:id="7"/>
      <w:bookmarkEnd w:id="8"/>
      <w:bookmarkEnd w:id="9"/>
      <w:bookmarkEnd w:id="10"/>
      <w:bookmarkEnd w:id="11"/>
      <w:r>
        <w:rPr>
          <w:b/>
          <w:sz w:val="36"/>
        </w:rPr>
        <w:t>：</w:t>
      </w:r>
      <w:r>
        <w:rPr>
          <w:rFonts w:hint="eastAsia"/>
          <w:b/>
          <w:sz w:val="36"/>
        </w:rPr>
        <w:t>博时基金管理有限公司</w:t>
      </w:r>
    </w:p>
    <w:p>
      <w:pPr>
        <w:jc w:val="center"/>
        <w:rPr>
          <w:b/>
          <w:sz w:val="36"/>
        </w:rPr>
      </w:pPr>
      <w:bookmarkStart w:id="12" w:name="_Toc139992302"/>
      <w:bookmarkStart w:id="13" w:name="_Toc123112264"/>
      <w:bookmarkStart w:id="14" w:name="_Toc123701384"/>
      <w:bookmarkStart w:id="15" w:name="_Toc139991727"/>
      <w:bookmarkStart w:id="16" w:name="_Toc123112225"/>
      <w:r>
        <w:rPr>
          <w:b/>
          <w:sz w:val="36"/>
        </w:rPr>
        <w:t>基金托管人</w:t>
      </w:r>
      <w:bookmarkEnd w:id="12"/>
      <w:bookmarkEnd w:id="13"/>
      <w:bookmarkEnd w:id="14"/>
      <w:bookmarkEnd w:id="15"/>
      <w:bookmarkEnd w:id="16"/>
      <w:r>
        <w:rPr>
          <w:b/>
          <w:sz w:val="36"/>
        </w:rPr>
        <w:t>：</w:t>
      </w:r>
      <w:r>
        <w:rPr>
          <w:rFonts w:hint="eastAsia"/>
          <w:b/>
          <w:sz w:val="36"/>
        </w:rPr>
        <w:t>中信银行股份有限公司</w:t>
      </w:r>
    </w:p>
    <w:p>
      <w:pPr>
        <w:rPr>
          <w:bCs/>
          <w:sz w:val="28"/>
        </w:rPr>
      </w:pPr>
      <w:bookmarkStart w:id="17" w:name="_Toc123701386"/>
      <w:bookmarkStart w:id="18" w:name="_Toc139991729"/>
      <w:bookmarkStart w:id="19" w:name="_Toc123112227"/>
      <w:bookmarkStart w:id="20" w:name="_Toc123112266"/>
    </w:p>
    <w:p>
      <w:pPr>
        <w:rPr>
          <w:bCs/>
          <w:sz w:val="28"/>
        </w:rPr>
      </w:pPr>
    </w:p>
    <w:p>
      <w:pPr>
        <w:rPr>
          <w:bCs/>
          <w:sz w:val="28"/>
        </w:rPr>
      </w:pPr>
    </w:p>
    <w:bookmarkEnd w:id="1"/>
    <w:bookmarkEnd w:id="17"/>
    <w:bookmarkEnd w:id="18"/>
    <w:bookmarkEnd w:id="19"/>
    <w:bookmarkEnd w:id="20"/>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21" w:name="CLAUSE_2d97c29c882547a288d95eeb085f77c1"/>
      <w:r>
        <w:rPr>
          <w:rFonts w:hint="eastAsia" w:ascii="宋体"/>
          <w:b/>
          <w:bCs/>
          <w:sz w:val="30"/>
        </w:rPr>
        <w:t>二零二</w:t>
      </w:r>
      <w:r>
        <w:rPr>
          <w:rFonts w:hint="eastAsia" w:ascii="宋体"/>
          <w:b/>
          <w:bCs/>
          <w:sz w:val="30"/>
          <w:lang w:eastAsia="zh-CN"/>
        </w:rPr>
        <w:t>四</w:t>
      </w:r>
      <w:r>
        <w:rPr>
          <w:rFonts w:hint="eastAsia" w:ascii="宋体"/>
          <w:b/>
          <w:bCs/>
          <w:sz w:val="30"/>
        </w:rPr>
        <w:t>年</w:t>
      </w:r>
      <w:r>
        <w:rPr>
          <w:rFonts w:hint="eastAsia" w:ascii="宋体"/>
          <w:b/>
          <w:bCs/>
          <w:sz w:val="30"/>
          <w:lang w:val="en-US" w:eastAsia="zh-CN"/>
        </w:rPr>
        <w:t>九</w:t>
      </w:r>
      <w:r>
        <w:rPr>
          <w:rFonts w:hint="eastAsia" w:ascii="宋体"/>
          <w:b/>
          <w:bCs/>
          <w:sz w:val="30"/>
        </w:rPr>
        <w:t>月</w:t>
      </w:r>
      <w:bookmarkStart w:id="22" w:name="CLAUSE_503abb20e652476aa7e56fb3e1167c2e"/>
    </w:p>
    <w:bookmarkEnd w:id="22"/>
    <w:p>
      <w:pPr>
        <w:jc w:val="center"/>
        <w:rPr>
          <w:bCs/>
          <w:sz w:val="36"/>
          <w:szCs w:val="36"/>
        </w:rPr>
      </w:pPr>
      <w:r>
        <w:t xml:space="preserve"> </w:t>
      </w:r>
      <w:bookmarkStart w:id="23" w:name="CTS_2d97c29c882547a288d95eeb085f77c1"/>
      <w:bookmarkEnd w:id="23"/>
      <w:r>
        <w:rPr>
          <w:bCs/>
          <w:sz w:val="36"/>
          <w:szCs w:val="36"/>
        </w:rPr>
        <w:t>目录</w:t>
      </w:r>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"_Toc132366443" </w:instrText>
      </w:r>
      <w:r>
        <w:fldChar w:fldCharType="separate"/>
      </w:r>
      <w:r>
        <w:rPr>
          <w:rStyle w:val="24"/>
        </w:rPr>
        <w:t>第一部分  前言</w:t>
      </w:r>
      <w:r>
        <w:tab/>
      </w:r>
      <w:r>
        <w:t>1</w:t>
      </w:r>
      <w:r>
        <w:rPr>
          <w:rFonts w:hint="eastAsia"/>
        </w:rPr>
        <w:t>-</w:t>
      </w:r>
      <w:r>
        <w:fldChar w:fldCharType="begin"/>
      </w:r>
      <w:r>
        <w:instrText xml:space="preserve"> PAGEREF _Toc132366443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"_Toc132366444" </w:instrText>
      </w:r>
      <w:r>
        <w:fldChar w:fldCharType="separate"/>
      </w:r>
      <w:r>
        <w:rPr>
          <w:rStyle w:val="24"/>
        </w:rPr>
        <w:t>第二部分  释义</w:t>
      </w:r>
      <w:r>
        <w:tab/>
      </w:r>
      <w:r>
        <w:t>2</w:t>
      </w:r>
      <w:r>
        <w:rPr>
          <w:rFonts w:hint="eastAsia"/>
        </w:rPr>
        <w:t>-</w:t>
      </w:r>
      <w:r>
        <w:fldChar w:fldCharType="begin"/>
      </w:r>
      <w:r>
        <w:instrText xml:space="preserve"> PAGEREF _Toc132366444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"_Toc132366445" </w:instrText>
      </w:r>
      <w:r>
        <w:fldChar w:fldCharType="separate"/>
      </w:r>
      <w:r>
        <w:rPr>
          <w:rStyle w:val="24"/>
        </w:rPr>
        <w:t>第三部分  基金的基本情况</w:t>
      </w:r>
      <w:r>
        <w:tab/>
      </w:r>
      <w:r>
        <w:t>3</w:t>
      </w:r>
      <w:r>
        <w:rPr>
          <w:rFonts w:hint="eastAsia"/>
        </w:rPr>
        <w:t>-</w:t>
      </w:r>
      <w:r>
        <w:fldChar w:fldCharType="begin"/>
      </w:r>
      <w:r>
        <w:instrText xml:space="preserve"> PAGEREF _Toc132366445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"_Toc132366446" </w:instrText>
      </w:r>
      <w:r>
        <w:fldChar w:fldCharType="separate"/>
      </w:r>
      <w:r>
        <w:rPr>
          <w:rStyle w:val="24"/>
        </w:rPr>
        <w:t>第四部分  基金份额的发售</w:t>
      </w:r>
      <w:r>
        <w:tab/>
      </w:r>
      <w:r>
        <w:t>4</w:t>
      </w:r>
      <w:r>
        <w:rPr>
          <w:rFonts w:hint="eastAsia"/>
        </w:rPr>
        <w:t>-</w:t>
      </w:r>
      <w:r>
        <w:fldChar w:fldCharType="begin"/>
      </w:r>
      <w:r>
        <w:instrText xml:space="preserve"> PAGEREF _Toc132366446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"_Toc132366447" </w:instrText>
      </w:r>
      <w:r>
        <w:fldChar w:fldCharType="separate"/>
      </w:r>
      <w:r>
        <w:rPr>
          <w:rStyle w:val="24"/>
        </w:rPr>
        <w:t>第五部分  基金备案</w:t>
      </w:r>
      <w:r>
        <w:tab/>
      </w:r>
      <w:r>
        <w:t>5</w:t>
      </w:r>
      <w:r>
        <w:rPr>
          <w:rFonts w:hint="eastAsia"/>
        </w:rPr>
        <w:t>-</w:t>
      </w:r>
      <w:r>
        <w:fldChar w:fldCharType="begin"/>
      </w:r>
      <w:r>
        <w:instrText xml:space="preserve"> PAGEREF _Toc132366447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"_Toc132366448" </w:instrText>
      </w:r>
      <w:r>
        <w:fldChar w:fldCharType="separate"/>
      </w:r>
      <w:r>
        <w:rPr>
          <w:rStyle w:val="24"/>
        </w:rPr>
        <w:t>第六部分  基金份额的申购与赎回</w:t>
      </w:r>
      <w:r>
        <w:tab/>
      </w:r>
      <w:r>
        <w:t>6</w:t>
      </w:r>
      <w:r>
        <w:rPr>
          <w:rFonts w:hint="eastAsia"/>
        </w:rPr>
        <w:t>-</w:t>
      </w:r>
      <w:r>
        <w:fldChar w:fldCharType="begin"/>
      </w:r>
      <w:r>
        <w:instrText xml:space="preserve"> PAGEREF _Toc132366448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"_Toc132366449" </w:instrText>
      </w:r>
      <w:r>
        <w:fldChar w:fldCharType="separate"/>
      </w:r>
      <w:r>
        <w:rPr>
          <w:rStyle w:val="24"/>
        </w:rPr>
        <w:t>第七部分  基金合同当事人及权利义务</w:t>
      </w:r>
      <w:r>
        <w:tab/>
      </w:r>
      <w:r>
        <w:t>7</w:t>
      </w:r>
      <w:r>
        <w:rPr>
          <w:rFonts w:hint="eastAsia"/>
        </w:rPr>
        <w:t>-</w:t>
      </w:r>
      <w:r>
        <w:fldChar w:fldCharType="begin"/>
      </w:r>
      <w:r>
        <w:instrText xml:space="preserve"> PAGEREF _Toc132366449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"_Toc132366450" </w:instrText>
      </w:r>
      <w:r>
        <w:fldChar w:fldCharType="separate"/>
      </w:r>
      <w:r>
        <w:rPr>
          <w:rStyle w:val="24"/>
        </w:rPr>
        <w:t>第八部分  基金份额持有人大会</w:t>
      </w:r>
      <w:r>
        <w:tab/>
      </w:r>
      <w:r>
        <w:t>8</w:t>
      </w:r>
      <w:r>
        <w:rPr>
          <w:rFonts w:hint="eastAsia"/>
        </w:rPr>
        <w:t>-</w:t>
      </w:r>
      <w:r>
        <w:fldChar w:fldCharType="begin"/>
      </w:r>
      <w:r>
        <w:instrText xml:space="preserve"> PAGEREF _Toc132366450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"_Toc132366451" </w:instrText>
      </w:r>
      <w:r>
        <w:fldChar w:fldCharType="separate"/>
      </w:r>
      <w:r>
        <w:rPr>
          <w:rStyle w:val="24"/>
        </w:rPr>
        <w:t>第九部分  基金管理人、基金托管人的更换条件和程序</w:t>
      </w:r>
      <w:r>
        <w:tab/>
      </w:r>
      <w:r>
        <w:t>9</w:t>
      </w:r>
      <w:r>
        <w:rPr>
          <w:rFonts w:hint="eastAsia"/>
        </w:rPr>
        <w:t>-</w:t>
      </w:r>
      <w:r>
        <w:fldChar w:fldCharType="begin"/>
      </w:r>
      <w:r>
        <w:instrText xml:space="preserve"> PAGEREF _Toc132366451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"_Toc132366452" </w:instrText>
      </w:r>
      <w:r>
        <w:fldChar w:fldCharType="separate"/>
      </w:r>
      <w:r>
        <w:rPr>
          <w:rStyle w:val="24"/>
        </w:rPr>
        <w:t>第十部分  基金的托管</w:t>
      </w:r>
      <w:r>
        <w:tab/>
      </w:r>
      <w:r>
        <w:t>10</w:t>
      </w:r>
      <w:r>
        <w:rPr>
          <w:rFonts w:hint="eastAsia"/>
        </w:rPr>
        <w:t>-</w:t>
      </w:r>
      <w:r>
        <w:fldChar w:fldCharType="begin"/>
      </w:r>
      <w:r>
        <w:instrText xml:space="preserve"> PAGEREF _Toc132366452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"_Toc132366453" </w:instrText>
      </w:r>
      <w:r>
        <w:fldChar w:fldCharType="separate"/>
      </w:r>
      <w:r>
        <w:rPr>
          <w:rStyle w:val="24"/>
        </w:rPr>
        <w:t>第十一部分  基金份额的登记</w:t>
      </w:r>
      <w:r>
        <w:tab/>
      </w:r>
      <w:r>
        <w:t>11</w:t>
      </w:r>
      <w:r>
        <w:rPr>
          <w:rFonts w:hint="eastAsia"/>
        </w:rPr>
        <w:t>-</w:t>
      </w:r>
      <w:r>
        <w:fldChar w:fldCharType="begin"/>
      </w:r>
      <w:r>
        <w:instrText xml:space="preserve"> PAGEREF _Toc132366453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"_Toc132366454" </w:instrText>
      </w:r>
      <w:r>
        <w:fldChar w:fldCharType="separate"/>
      </w:r>
      <w:r>
        <w:rPr>
          <w:rStyle w:val="24"/>
        </w:rPr>
        <w:t>第十二部分  基金的投资</w:t>
      </w:r>
      <w:r>
        <w:tab/>
      </w:r>
      <w:r>
        <w:t>12</w:t>
      </w:r>
      <w:r>
        <w:rPr>
          <w:rFonts w:hint="eastAsia"/>
        </w:rPr>
        <w:t>-</w:t>
      </w:r>
      <w:r>
        <w:fldChar w:fldCharType="begin"/>
      </w:r>
      <w:r>
        <w:instrText xml:space="preserve"> PAGEREF _Toc132366454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"_Toc132366455" </w:instrText>
      </w:r>
      <w:r>
        <w:fldChar w:fldCharType="separate"/>
      </w:r>
      <w:r>
        <w:rPr>
          <w:rStyle w:val="24"/>
        </w:rPr>
        <w:t>第十三部分  基金的财产</w:t>
      </w:r>
      <w:r>
        <w:tab/>
      </w:r>
      <w:r>
        <w:t>13</w:t>
      </w:r>
      <w:r>
        <w:rPr>
          <w:rFonts w:hint="eastAsia"/>
        </w:rPr>
        <w:t>-</w:t>
      </w:r>
      <w:r>
        <w:fldChar w:fldCharType="begin"/>
      </w:r>
      <w:r>
        <w:instrText xml:space="preserve"> PAGEREF _Toc132366455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"_Toc132366456" </w:instrText>
      </w:r>
      <w:r>
        <w:fldChar w:fldCharType="separate"/>
      </w:r>
      <w:r>
        <w:rPr>
          <w:rStyle w:val="24"/>
        </w:rPr>
        <w:t>第十四部分  基金资产估值</w:t>
      </w:r>
      <w:r>
        <w:tab/>
      </w:r>
      <w:r>
        <w:t>14</w:t>
      </w:r>
      <w:r>
        <w:rPr>
          <w:rFonts w:hint="eastAsia"/>
        </w:rPr>
        <w:t>-</w:t>
      </w:r>
      <w:r>
        <w:fldChar w:fldCharType="begin"/>
      </w:r>
      <w:r>
        <w:instrText xml:space="preserve"> PAGEREF _Toc132366456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"_Toc132366457" </w:instrText>
      </w:r>
      <w:r>
        <w:fldChar w:fldCharType="separate"/>
      </w:r>
      <w:r>
        <w:rPr>
          <w:rStyle w:val="24"/>
        </w:rPr>
        <w:t>第十五部分  基金费用与税收</w:t>
      </w:r>
      <w:r>
        <w:tab/>
      </w:r>
      <w:r>
        <w:t>15</w:t>
      </w:r>
      <w:r>
        <w:rPr>
          <w:rFonts w:hint="eastAsia"/>
        </w:rPr>
        <w:t>-</w:t>
      </w:r>
      <w:r>
        <w:fldChar w:fldCharType="begin"/>
      </w:r>
      <w:r>
        <w:instrText xml:space="preserve"> PAGEREF _Toc132366457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"_Toc132366458" </w:instrText>
      </w:r>
      <w:r>
        <w:fldChar w:fldCharType="separate"/>
      </w:r>
      <w:r>
        <w:rPr>
          <w:rStyle w:val="24"/>
        </w:rPr>
        <w:t>第十六部分  基金的收益与分配</w:t>
      </w:r>
      <w:r>
        <w:tab/>
      </w:r>
      <w:r>
        <w:t>16</w:t>
      </w:r>
      <w:r>
        <w:rPr>
          <w:rFonts w:hint="eastAsia"/>
        </w:rPr>
        <w:t>-</w:t>
      </w:r>
      <w:r>
        <w:fldChar w:fldCharType="begin"/>
      </w:r>
      <w:r>
        <w:instrText xml:space="preserve"> PAGEREF _Toc132366458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"_Toc132366459" </w:instrText>
      </w:r>
      <w:r>
        <w:fldChar w:fldCharType="separate"/>
      </w:r>
      <w:r>
        <w:rPr>
          <w:rStyle w:val="24"/>
        </w:rPr>
        <w:t>第十七部分  基金的会计与审计</w:t>
      </w:r>
      <w:r>
        <w:tab/>
      </w:r>
      <w:r>
        <w:t>17</w:t>
      </w:r>
      <w:r>
        <w:rPr>
          <w:rFonts w:hint="eastAsia"/>
        </w:rPr>
        <w:t>-</w:t>
      </w:r>
      <w:r>
        <w:fldChar w:fldCharType="begin"/>
      </w:r>
      <w:r>
        <w:instrText xml:space="preserve"> PAGEREF _Toc132366459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"_Toc132366460" </w:instrText>
      </w:r>
      <w:r>
        <w:fldChar w:fldCharType="separate"/>
      </w:r>
      <w:r>
        <w:rPr>
          <w:rStyle w:val="24"/>
        </w:rPr>
        <w:t>第十八部分  基金的信息披露</w:t>
      </w:r>
      <w:r>
        <w:tab/>
      </w:r>
      <w:r>
        <w:t>18</w:t>
      </w:r>
      <w:r>
        <w:rPr>
          <w:rFonts w:hint="eastAsia"/>
        </w:rPr>
        <w:t>-</w:t>
      </w:r>
      <w:r>
        <w:fldChar w:fldCharType="begin"/>
      </w:r>
      <w:r>
        <w:instrText xml:space="preserve"> PAGEREF _Toc132366460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"_Toc132366461" </w:instrText>
      </w:r>
      <w:r>
        <w:fldChar w:fldCharType="separate"/>
      </w:r>
      <w:r>
        <w:rPr>
          <w:rStyle w:val="24"/>
        </w:rPr>
        <w:t>第十九部分  基金合同的变更、终止与基金财产的清算</w:t>
      </w:r>
      <w:r>
        <w:tab/>
      </w:r>
      <w:r>
        <w:t>19</w:t>
      </w:r>
      <w:r>
        <w:rPr>
          <w:rFonts w:hint="eastAsia"/>
        </w:rPr>
        <w:t>-</w:t>
      </w:r>
      <w:r>
        <w:fldChar w:fldCharType="begin"/>
      </w:r>
      <w:r>
        <w:instrText xml:space="preserve"> PAGEREF _Toc132366461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"_Toc132366462" </w:instrText>
      </w:r>
      <w:r>
        <w:fldChar w:fldCharType="separate"/>
      </w:r>
      <w:r>
        <w:rPr>
          <w:rStyle w:val="24"/>
        </w:rPr>
        <w:t>第二十部分  违约责任</w:t>
      </w:r>
      <w:r>
        <w:tab/>
      </w:r>
      <w:r>
        <w:t>20</w:t>
      </w:r>
      <w:r>
        <w:rPr>
          <w:rFonts w:hint="eastAsia"/>
        </w:rPr>
        <w:t>-</w:t>
      </w:r>
      <w:r>
        <w:fldChar w:fldCharType="begin"/>
      </w:r>
      <w:r>
        <w:instrText xml:space="preserve"> PAGEREF _Toc132366462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"_Toc132366463" </w:instrText>
      </w:r>
      <w:r>
        <w:fldChar w:fldCharType="separate"/>
      </w:r>
      <w:r>
        <w:rPr>
          <w:rStyle w:val="24"/>
        </w:rPr>
        <w:t>第二十一部分  争议的处理和适用的法律</w:t>
      </w:r>
      <w:r>
        <w:tab/>
      </w:r>
      <w:r>
        <w:t>21</w:t>
      </w:r>
      <w:r>
        <w:rPr>
          <w:rFonts w:hint="eastAsia"/>
        </w:rPr>
        <w:t>-</w:t>
      </w:r>
      <w:r>
        <w:fldChar w:fldCharType="begin"/>
      </w:r>
      <w:r>
        <w:instrText xml:space="preserve"> PAGEREF _Toc132366463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"_Toc132366464" </w:instrText>
      </w:r>
      <w:r>
        <w:fldChar w:fldCharType="separate"/>
      </w:r>
      <w:r>
        <w:rPr>
          <w:rStyle w:val="24"/>
        </w:rPr>
        <w:t>第二十二部分  基金合同的效力</w:t>
      </w:r>
      <w:r>
        <w:tab/>
      </w:r>
      <w:r>
        <w:t>22</w:t>
      </w:r>
      <w:r>
        <w:rPr>
          <w:rFonts w:hint="eastAsia"/>
        </w:rPr>
        <w:t>-</w:t>
      </w:r>
      <w:r>
        <w:fldChar w:fldCharType="begin"/>
      </w:r>
      <w:r>
        <w:instrText xml:space="preserve"> PAGEREF _Toc132366464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"_Toc132366465" </w:instrText>
      </w:r>
      <w:r>
        <w:fldChar w:fldCharType="separate"/>
      </w:r>
      <w:r>
        <w:rPr>
          <w:rStyle w:val="24"/>
        </w:rPr>
        <w:t>第二十三部分  其他事项</w:t>
      </w:r>
      <w:r>
        <w:tab/>
      </w:r>
      <w:r>
        <w:t>23</w:t>
      </w:r>
      <w:r>
        <w:rPr>
          <w:rFonts w:hint="eastAsia"/>
        </w:rPr>
        <w:t>-</w:t>
      </w:r>
      <w:r>
        <w:fldChar w:fldCharType="begin"/>
      </w:r>
      <w:r>
        <w:instrText xml:space="preserve"> PAGEREF _Toc132366465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"_Toc132366466" </w:instrText>
      </w:r>
      <w:r>
        <w:fldChar w:fldCharType="separate"/>
      </w:r>
      <w:r>
        <w:rPr>
          <w:rStyle w:val="24"/>
        </w:rPr>
        <w:t>第二十四部分  基金合同内容摘要</w:t>
      </w:r>
      <w:r>
        <w:tab/>
      </w:r>
      <w:r>
        <w:t>24</w:t>
      </w:r>
      <w:r>
        <w:rPr>
          <w:rFonts w:hint="eastAsia"/>
        </w:rPr>
        <w:t>-</w:t>
      </w:r>
      <w:r>
        <w:fldChar w:fldCharType="begin"/>
      </w:r>
      <w:r>
        <w:instrText xml:space="preserve"> PAGEREF _Toc132366466 \h </w:instrText>
      </w:r>
      <w:r>
        <w:fldChar w:fldCharType="separate"/>
      </w:r>
      <w:r>
        <w:t>1</w:t>
      </w:r>
      <w:r>
        <w:fldChar w:fldCharType="end"/>
      </w:r>
      <w:r>
        <w:fldChar w:fldCharType="end"/>
      </w:r>
    </w:p>
    <w:p>
      <w:pPr>
        <w:pStyle w:val="2"/>
        <w:spacing w:before="0" w:after="0"/>
        <w:jc w:val="left"/>
        <w:rPr>
          <w:rFonts w:ascii="Times New Roman"/>
          <w:b w:val="0"/>
          <w:bCs/>
          <w:color w:val="auto"/>
          <w:kern w:val="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4" w:name="_Toc32639"/>
      <w:bookmarkStart w:id="25" w:name="_Toc30935"/>
      <w:bookmarkStart w:id="26" w:name="_Toc4966"/>
      <w:bookmarkStart w:id="27" w:name="_Toc29629"/>
      <w:bookmarkStart w:id="28" w:name="_Toc6306"/>
      <w:bookmarkStart w:id="29" w:name="_Toc26897"/>
      <w:bookmarkStart w:id="30" w:name="_Toc15517"/>
      <w:bookmarkStart w:id="31" w:name="_Toc139991730"/>
      <w:bookmarkStart w:id="32" w:name="_Toc8727"/>
      <w:bookmarkStart w:id="33" w:name="_Toc4867"/>
      <w:bookmarkStart w:id="34" w:name="_Toc23386"/>
      <w:bookmarkStart w:id="35" w:name="_Toc141703880"/>
      <w:bookmarkStart w:id="36" w:name="_Toc123701389"/>
      <w:bookmarkStart w:id="37" w:name="_Toc123112229"/>
      <w:bookmarkStart w:id="38" w:name="_Toc123112268"/>
      <w:bookmarkStart w:id="39" w:name="_Toc233456271"/>
    </w:p>
    <w:bookmarkEnd w:id="21"/>
    <w:p>
      <w:pPr>
        <w:pStyle w:val="2"/>
        <w:spacing w:before="0" w:after="0"/>
        <w:jc w:val="center"/>
        <w:rPr>
          <w:rFonts w:ascii="Times New Roman"/>
          <w:color w:val="auto"/>
          <w:sz w:val="30"/>
        </w:rPr>
      </w:pPr>
      <w:bookmarkStart w:id="40" w:name="CTS_99833ac80f784ab3a16bf4ffa4ec8a37"/>
      <w:bookmarkEnd w:id="40"/>
      <w:bookmarkStart w:id="41" w:name="_Toc11660"/>
      <w:bookmarkStart w:id="42" w:name="CLAUSE_99833ac80f784ab3a16bf4ffa4ec8a37"/>
      <w:r>
        <w:t xml:space="preserve"> </w:t>
      </w:r>
      <w:bookmarkStart w:id="43" w:name="_Toc132366443"/>
      <w:r>
        <w:rPr>
          <w:rFonts w:ascii="Times New Roman"/>
          <w:color w:val="auto"/>
          <w:sz w:val="30"/>
        </w:rPr>
        <w:t>第一部分</w:t>
      </w:r>
      <w:r>
        <w:rPr>
          <w:rFonts w:hint="eastAsia"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3"/>
    </w:p>
    <w:p>
      <w:pPr>
        <w:rPr>
          <w:bCs/>
        </w:rPr>
      </w:pPr>
      <w:bookmarkStart w:id="44" w:name="_Toc139991731"/>
    </w:p>
    <w:bookmarkEnd w:id="36"/>
    <w:bookmarkEnd w:id="37"/>
    <w:bookmarkEnd w:id="38"/>
    <w:bookmarkEnd w:id="44"/>
    <w:p>
      <w:pPr>
        <w:spacing w:line="360" w:lineRule="auto"/>
        <w:ind w:firstLine="480" w:firstLineChars="200"/>
        <w:rPr>
          <w:bCs/>
          <w:sz w:val="24"/>
        </w:rPr>
      </w:pPr>
      <w:bookmarkStart w:id="45"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》、《中华人民共和国证券投资基金法》(以下简称“《基金法》”)、《</w:t>
      </w:r>
      <w:r>
        <w:rPr>
          <w:rFonts w:hint="eastAsia"/>
          <w:bCs/>
          <w:sz w:val="24"/>
        </w:rPr>
        <w:t>公开募集</w:t>
      </w:r>
      <w:r>
        <w:rPr>
          <w:bCs/>
          <w:sz w:val="24"/>
        </w:rPr>
        <w:t>证券投资基金运作管理办法》(以下简称“《运作办法》”)、《</w:t>
      </w:r>
      <w:r>
        <w:rPr>
          <w:rFonts w:hint="eastAsia"/>
          <w:bCs/>
          <w:sz w:val="24"/>
        </w:rPr>
        <w:t>公开募集</w:t>
      </w:r>
      <w:r>
        <w:rPr>
          <w:bCs/>
          <w:sz w:val="24"/>
        </w:rPr>
        <w:t>证券投资基金销售</w:t>
      </w:r>
      <w:r>
        <w:rPr>
          <w:rFonts w:hint="eastAsia"/>
          <w:bCs/>
          <w:sz w:val="24"/>
        </w:rPr>
        <w:t>机构监督</w:t>
      </w:r>
      <w:r>
        <w:rPr>
          <w:bCs/>
          <w:sz w:val="24"/>
        </w:rPr>
        <w:t>管理办法》(以下简称“《销售办法》”)、《</w:t>
      </w:r>
      <w:r>
        <w:rPr>
          <w:rFonts w:hint="eastAsia"/>
          <w:bCs/>
          <w:sz w:val="24"/>
        </w:rPr>
        <w:t>公开募集</w:t>
      </w:r>
      <w:r>
        <w:rPr>
          <w:bCs/>
          <w:sz w:val="24"/>
        </w:rPr>
        <w:t>证券投资基金信息披露管理办法》(以下简称“《信息披露办法》”)</w:t>
      </w:r>
      <w:r>
        <w:rPr>
          <w:rFonts w:hint="eastAsia"/>
        </w:rPr>
        <w:t xml:space="preserve"> </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三、博时季季兴90天滚动持有债券型证券投资基金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2"/>
        </w:numPr>
        <w:spacing w:line="360" w:lineRule="auto"/>
        <w:ind w:firstLine="480"/>
        <w:rPr>
          <w:bCs/>
          <w:sz w:val="24"/>
        </w:rPr>
      </w:pPr>
      <w:r>
        <w:rPr>
          <w:rFonts w:hint="eastAsia"/>
          <w:bCs/>
          <w:sz w:val="24"/>
        </w:rPr>
        <w:t>本基金可以投资于信用衍生品，由于信用衍生品市场价值随着市场因素的变化而变化，当信用衍生品价值为正时面临交易对手违约的风险。信用衍生品主要场外市场交易，产品自身的流动性不高，此时倘若市场中发生交易对手违约或者信用评级被降级等信用事件，将会降低产品的流动性，使得产品的流动性溢价提高。信用衍生品本身高杠杆的特点，有时极为微小的失误可能带来风险的急剧放大，信用衍生品在估值、风险对冲方面存在模型风险。</w:t>
      </w:r>
    </w:p>
    <w:p>
      <w:pPr>
        <w:numPr>
          <w:ilvl w:val="0"/>
          <w:numId w:val="2"/>
        </w:numPr>
        <w:spacing w:line="360" w:lineRule="auto"/>
        <w:ind w:firstLine="480"/>
        <w:rPr>
          <w:bCs/>
          <w:sz w:val="24"/>
        </w:rPr>
      </w:pPr>
      <w:r>
        <w:rPr>
          <w:rFonts w:hint="eastAsia"/>
          <w:bCs/>
          <w:sz w:val="24"/>
        </w:rPr>
        <w:t>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运作期；在下一运作期到期日前，基金份额持有人不能赎回该基金份额。请投资者合理安排资金进行投资。</w:t>
      </w:r>
    </w:p>
    <w:p>
      <w:pPr>
        <w:numPr>
          <w:ilvl w:val="0"/>
          <w:numId w:val="2"/>
        </w:numPr>
        <w:spacing w:line="360" w:lineRule="auto"/>
        <w:ind w:firstLine="480"/>
        <w:rPr>
          <w:bCs/>
          <w:sz w:val="24"/>
        </w:rPr>
      </w:pPr>
      <w:r>
        <w:rPr>
          <w:rFonts w:hint="eastAsia"/>
          <w:bCs/>
          <w:sz w:val="24"/>
        </w:rPr>
        <w:t>当本基金持有特定资产且存在或潜在大额赎回申请时，基金管理人履行相应程序后，可以启用侧袋机制</w:t>
      </w:r>
      <w:r>
        <w:rPr>
          <w:bCs/>
          <w:sz w:val="24"/>
        </w:rPr>
        <w:t>，</w:t>
      </w:r>
      <w:r>
        <w:rPr>
          <w:rFonts w:hint="eastAsia"/>
          <w:bCs/>
          <w:sz w:val="24"/>
        </w:rPr>
        <w:t>具体详见基金合同和招募说明书的有关章节。侧袋机制实施期间，基金</w:t>
      </w:r>
      <w:r>
        <w:rPr>
          <w:bCs/>
          <w:sz w:val="24"/>
        </w:rPr>
        <w:t>管理人将</w:t>
      </w:r>
      <w:r>
        <w:rPr>
          <w:rFonts w:hint="eastAsia"/>
          <w:bCs/>
          <w:sz w:val="24"/>
        </w:rPr>
        <w:t>对基金简称进行特殊标识，投资</w:t>
      </w:r>
      <w:r>
        <w:rPr>
          <w:bCs/>
          <w:sz w:val="24"/>
        </w:rPr>
        <w:t>者</w:t>
      </w:r>
      <w:r>
        <w:rPr>
          <w:rFonts w:hint="eastAsia"/>
          <w:bCs/>
          <w:sz w:val="24"/>
        </w:rPr>
        <w:t>不得办理侧袋账户份额的申购赎回等业务。请基金份额持有人仔细</w:t>
      </w:r>
      <w:r>
        <w:rPr>
          <w:bCs/>
          <w:sz w:val="24"/>
        </w:rPr>
        <w:t>阅读</w:t>
      </w:r>
      <w:r>
        <w:rPr>
          <w:rFonts w:hint="eastAsia"/>
          <w:bCs/>
          <w:sz w:val="24"/>
        </w:rPr>
        <w:t>相关</w:t>
      </w:r>
      <w:r>
        <w:rPr>
          <w:bCs/>
          <w:sz w:val="24"/>
        </w:rPr>
        <w:t>内容并</w:t>
      </w:r>
      <w:r>
        <w:rPr>
          <w:rFonts w:hint="eastAsia"/>
          <w:bCs/>
          <w:sz w:val="24"/>
        </w:rPr>
        <w:t>关注本基金启用侧袋机制时的特定风险。</w:t>
      </w:r>
      <w:bookmarkEnd w:id="42"/>
      <w:bookmarkStart w:id="46" w:name="CLAUSE_0f32e42397b14484af304bdebd7b4d3a"/>
    </w:p>
    <w:bookmarkEnd w:id="46"/>
    <w:p>
      <w:pPr>
        <w:spacing w:line="360" w:lineRule="auto"/>
        <w:rPr>
          <w:sz w:val="30"/>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bookmarkStart w:id="47" w:name="CTS_c394f2a787fa4f90987b79bd7e708bc5"/>
      <w:bookmarkEnd w:id="47"/>
      <w:bookmarkStart w:id="48" w:name="_Toc15067"/>
      <w:bookmarkStart w:id="49" w:name="_Toc6617"/>
      <w:bookmarkStart w:id="50" w:name="_Toc24860"/>
      <w:bookmarkStart w:id="51" w:name="_Toc21301"/>
      <w:bookmarkStart w:id="52" w:name="_Toc819"/>
      <w:bookmarkStart w:id="53" w:name="_Toc2465"/>
      <w:bookmarkStart w:id="54" w:name="_Toc22864"/>
      <w:bookmarkStart w:id="55" w:name="_Toc19592"/>
      <w:bookmarkStart w:id="56" w:name="_Toc31551"/>
      <w:bookmarkStart w:id="57" w:name="_Toc13020"/>
      <w:bookmarkStart w:id="58" w:name="_Toc3224"/>
      <w:bookmarkStart w:id="59" w:name="CLAUSE_c394f2a787fa4f90987b79bd7e708bc5"/>
      <w:r>
        <w:t xml:space="preserve"> </w:t>
      </w:r>
    </w:p>
    <w:p>
      <w:pPr>
        <w:pStyle w:val="2"/>
        <w:spacing w:before="0" w:after="0"/>
        <w:jc w:val="center"/>
        <w:rPr>
          <w:rFonts w:ascii="Times New Roman"/>
          <w:color w:val="auto"/>
          <w:sz w:val="30"/>
        </w:rPr>
      </w:pPr>
      <w:r>
        <w:t xml:space="preserve"> </w:t>
      </w:r>
      <w:bookmarkStart w:id="60" w:name="_Toc132366444"/>
      <w:r>
        <w:rPr>
          <w:rFonts w:ascii="Times New Roman"/>
          <w:color w:val="auto"/>
          <w:sz w:val="30"/>
        </w:rPr>
        <w:t>第二部分</w:t>
      </w:r>
      <w:r>
        <w:rPr>
          <w:rFonts w:hint="eastAsia" w:ascii="Times New Roman"/>
          <w:color w:val="auto"/>
          <w:sz w:val="30"/>
        </w:rPr>
        <w:t xml:space="preserve">  </w:t>
      </w:r>
      <w:r>
        <w:rPr>
          <w:rFonts w:ascii="Times New Roman"/>
          <w:color w:val="auto"/>
          <w:sz w:val="30"/>
        </w:rPr>
        <w:t>释义</w:t>
      </w:r>
      <w:bookmarkEnd w:id="39"/>
      <w:bookmarkEnd w:id="45"/>
      <w:bookmarkEnd w:id="48"/>
      <w:bookmarkEnd w:id="49"/>
      <w:bookmarkEnd w:id="50"/>
      <w:bookmarkEnd w:id="51"/>
      <w:bookmarkEnd w:id="52"/>
      <w:bookmarkEnd w:id="53"/>
      <w:bookmarkEnd w:id="54"/>
      <w:bookmarkEnd w:id="55"/>
      <w:bookmarkEnd w:id="56"/>
      <w:bookmarkEnd w:id="57"/>
      <w:bookmarkEnd w:id="58"/>
      <w:bookmarkEnd w:id="60"/>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w:t>
      </w:r>
      <w:r>
        <w:rPr>
          <w:rFonts w:hint="eastAsia"/>
          <w:bCs/>
          <w:sz w:val="24"/>
        </w:rPr>
        <w:t>，</w:t>
      </w:r>
      <w:r>
        <w:rPr>
          <w:bCs/>
          <w:sz w:val="24"/>
        </w:rPr>
        <w:t>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博时季季兴90天滚动持有债券型证券投资基金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博时基金管理有限公司</w:t>
      </w:r>
    </w:p>
    <w:p>
      <w:pPr>
        <w:tabs>
          <w:tab w:val="left" w:pos="7335"/>
        </w:tabs>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中信银行股份有限公司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博时季季兴90天滚动持有债券型证券投资基金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博时季季兴90天滚动持有债券型证券投资基金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博时季季兴90天滚动持有债券型证券投资基金</w:t>
      </w:r>
      <w:r>
        <w:rPr>
          <w:bCs/>
          <w:sz w:val="24"/>
        </w:rPr>
        <w:t>招募说明书》及其更新</w:t>
      </w:r>
    </w:p>
    <w:p>
      <w:pPr>
        <w:spacing w:line="360" w:lineRule="auto"/>
        <w:ind w:firstLine="480" w:firstLineChars="200"/>
        <w:rPr>
          <w:bCs/>
          <w:sz w:val="24"/>
        </w:rPr>
      </w:pPr>
      <w:r>
        <w:rPr>
          <w:bCs/>
          <w:sz w:val="24"/>
        </w:rPr>
        <w:t>7</w:t>
      </w:r>
      <w:r>
        <w:rPr>
          <w:rFonts w:hint="eastAsia"/>
          <w:bCs/>
          <w:sz w:val="24"/>
        </w:rPr>
        <w:t>、</w:t>
      </w:r>
      <w:r>
        <w:rPr>
          <w:bCs/>
          <w:sz w:val="24"/>
        </w:rPr>
        <w:t>基金份额发售公告：指《</w:t>
      </w:r>
      <w:r>
        <w:rPr>
          <w:rFonts w:hint="eastAsia"/>
          <w:bCs/>
          <w:sz w:val="24"/>
        </w:rPr>
        <w:t>博时季季兴90天滚动持有债券型证券投资基金</w:t>
      </w:r>
      <w:r>
        <w:rPr>
          <w:bCs/>
          <w:sz w:val="24"/>
        </w:rPr>
        <w:t>基金份额发售公告》</w:t>
      </w:r>
    </w:p>
    <w:p>
      <w:pPr>
        <w:spacing w:line="360" w:lineRule="auto"/>
        <w:ind w:firstLine="480" w:firstLineChars="200"/>
        <w:rPr>
          <w:bCs/>
          <w:sz w:val="24"/>
        </w:rPr>
      </w:pPr>
      <w:r>
        <w:rPr>
          <w:rFonts w:hint="eastAsia"/>
          <w:bCs/>
          <w:sz w:val="24"/>
        </w:rPr>
        <w:t>8、基金产品资料概要：指《博时季季兴90天滚动持有债券型证券投资基金基金产品资料概要》及其更新</w:t>
      </w:r>
    </w:p>
    <w:p>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w:t>
      </w:r>
      <w:r>
        <w:rPr>
          <w:rFonts w:hint="eastAsia"/>
          <w:bCs/>
          <w:sz w:val="24"/>
        </w:rPr>
        <w:t>、</w:t>
      </w:r>
      <w:r>
        <w:rPr>
          <w:bCs/>
          <w:sz w:val="24"/>
        </w:rPr>
        <w:t>《基金法》：指2003年10月28日经第十届全国人民代表大会常务委员会第五次会议通过，</w:t>
      </w:r>
      <w:r>
        <w:rPr>
          <w:rFonts w:hint="eastAsia"/>
          <w:bCs/>
          <w:sz w:val="24"/>
        </w:rPr>
        <w:t>经</w:t>
      </w:r>
      <w:r>
        <w:rPr>
          <w:bCs/>
          <w:sz w:val="24"/>
        </w:rPr>
        <w:t>2012年12月28日第十一届全国人民代表大会常务委员会第三十次会议修订</w:t>
      </w:r>
      <w:r>
        <w:rPr>
          <w:rFonts w:hint="eastAsia"/>
          <w:bCs/>
          <w:sz w:val="24"/>
        </w:rPr>
        <w:t>，</w:t>
      </w:r>
      <w:r>
        <w:rPr>
          <w:bCs/>
          <w:sz w:val="24"/>
        </w:rPr>
        <w:t>自20</w:t>
      </w:r>
      <w:r>
        <w:rPr>
          <w:rFonts w:hint="eastAsia"/>
          <w:bCs/>
          <w:sz w:val="24"/>
        </w:rPr>
        <w:t>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，并经2015年4月24日第十二届全国人民代表大会常务委员会第十四次会议《全国人民代表大会常务委员会关于修改&lt;中华人民共和国港口法&gt;等七部法律的决定》修正</w:t>
      </w:r>
      <w:r>
        <w:rPr>
          <w:bCs/>
          <w:sz w:val="24"/>
        </w:rPr>
        <w:t>的《中华人民共和国证券投资基金法》及颁布机关对其不时做出的修订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《销售办法》：</w:t>
      </w:r>
      <w:r>
        <w:rPr>
          <w:rFonts w:hint="eastAsia"/>
          <w:bCs/>
          <w:sz w:val="24"/>
        </w:rPr>
        <w:t>指中国证监会2020年8月28日颁布、同年10月1日实施的《公开募集证券投资基金销售机构监督管理办法》及颁布机关对其不时做出的修订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《信息披露办法》：</w:t>
      </w:r>
      <w:r>
        <w:rPr>
          <w:rFonts w:hint="eastAsia"/>
          <w:bCs/>
          <w:sz w:val="24"/>
        </w:rPr>
        <w:t>指中国证监会2019年7月26日颁布、同年9月1日实施，并经2020年3月20日中国证监会《关于修改部分证券期货规章的决定》修改的《公开募集证券投资基金信息披露管理办法》及颁布机关对其不时做出的修订</w:t>
      </w:r>
    </w:p>
    <w:p>
      <w:pPr>
        <w:spacing w:line="360" w:lineRule="auto"/>
        <w:ind w:firstLine="480" w:firstLineChars="200"/>
        <w:rPr>
          <w:bCs/>
          <w:sz w:val="24"/>
        </w:rPr>
      </w:pPr>
      <w:r>
        <w:rPr>
          <w:bCs/>
          <w:sz w:val="24"/>
        </w:rPr>
        <w:t>13</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bCs/>
          <w:sz w:val="24"/>
        </w:rPr>
        <w:t>14</w:t>
      </w:r>
      <w:r>
        <w:rPr>
          <w:rFonts w:hint="eastAsia"/>
          <w:bCs/>
          <w:sz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15</w:t>
      </w:r>
      <w:r>
        <w:rPr>
          <w:rFonts w:hint="eastAsia"/>
          <w:bCs/>
          <w:sz w:val="24"/>
        </w:rPr>
        <w:t>、中国证监会：指中国证券监督管理委员会</w:t>
      </w:r>
    </w:p>
    <w:p>
      <w:pPr>
        <w:spacing w:line="360" w:lineRule="auto"/>
        <w:ind w:firstLine="480" w:firstLineChars="200"/>
        <w:rPr>
          <w:bCs/>
          <w:sz w:val="24"/>
        </w:rPr>
      </w:pPr>
      <w:r>
        <w:rPr>
          <w:bCs/>
          <w:sz w:val="24"/>
        </w:rPr>
        <w:t>16</w:t>
      </w:r>
      <w:r>
        <w:rPr>
          <w:rFonts w:hint="eastAsia"/>
          <w:bCs/>
          <w:sz w:val="24"/>
        </w:rPr>
        <w:t>、银行业监督管理机构：指中国人民银行和/或国家金融监督管理总局</w:t>
      </w:r>
    </w:p>
    <w:p>
      <w:pPr>
        <w:spacing w:line="360" w:lineRule="auto"/>
        <w:ind w:firstLine="480" w:firstLineChars="20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18</w:t>
      </w:r>
      <w:r>
        <w:rPr>
          <w:rFonts w:hint="eastAsia"/>
          <w:bCs/>
          <w:sz w:val="24"/>
        </w:rPr>
        <w:t>、个人投资者：指依据有关法律法规规定可投资于证券投资基金的自然人</w:t>
      </w:r>
    </w:p>
    <w:p>
      <w:pPr>
        <w:spacing w:line="360" w:lineRule="auto"/>
        <w:ind w:firstLine="480" w:firstLineChars="20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20</w:t>
      </w:r>
      <w:r>
        <w:rPr>
          <w:rFonts w:hint="eastAsia"/>
          <w:bCs/>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pPr>
        <w:spacing w:line="360" w:lineRule="auto"/>
        <w:ind w:firstLine="480" w:firstLineChars="200"/>
        <w:rPr>
          <w:bCs/>
          <w:sz w:val="24"/>
        </w:rPr>
      </w:pPr>
      <w:r>
        <w:rPr>
          <w:bCs/>
          <w:sz w:val="24"/>
        </w:rPr>
        <w:t>21</w:t>
      </w:r>
      <w:r>
        <w:rPr>
          <w:rFonts w:hint="eastAsia"/>
          <w:bCs/>
          <w:sz w:val="24"/>
        </w:rPr>
        <w:t>、人民币合格境外机构投资者：指按照《合格境外机构投资者和人民币合格境外机构投资者境内证券期货投资管理办法》及相关法律法规规定，运用来自境外的人民币资金进行境内证券投资的境外机构投资者</w:t>
      </w:r>
    </w:p>
    <w:p>
      <w:pPr>
        <w:spacing w:line="360" w:lineRule="auto"/>
        <w:ind w:firstLine="480" w:firstLineChars="200"/>
        <w:rPr>
          <w:bCs/>
          <w:sz w:val="24"/>
        </w:rPr>
      </w:pPr>
      <w:r>
        <w:rPr>
          <w:bCs/>
          <w:sz w:val="24"/>
        </w:rPr>
        <w:t>22</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pPr>
        <w:spacing w:line="360" w:lineRule="auto"/>
        <w:ind w:firstLine="480" w:firstLineChars="200"/>
        <w:rPr>
          <w:bCs/>
          <w:sz w:val="24"/>
        </w:rPr>
      </w:pPr>
      <w:r>
        <w:rPr>
          <w:bCs/>
          <w:sz w:val="24"/>
        </w:rPr>
        <w:t>23</w:t>
      </w:r>
      <w:r>
        <w:rPr>
          <w:rFonts w:hint="eastAsia"/>
          <w:bCs/>
          <w:sz w:val="24"/>
        </w:rPr>
        <w:t>、基金份额持有人：指依基金合同和招募说明书合法取得基金份额的投资人</w:t>
      </w:r>
    </w:p>
    <w:p>
      <w:pPr>
        <w:spacing w:line="360" w:lineRule="auto"/>
        <w:ind w:firstLine="480" w:firstLineChars="200"/>
        <w:rPr>
          <w:bCs/>
          <w:sz w:val="24"/>
        </w:rPr>
      </w:pPr>
      <w:r>
        <w:rPr>
          <w:bCs/>
          <w:sz w:val="24"/>
        </w:rPr>
        <w:t>24</w:t>
      </w:r>
      <w:r>
        <w:rPr>
          <w:rFonts w:hint="eastAsia"/>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25</w:t>
      </w:r>
      <w:r>
        <w:rPr>
          <w:rFonts w:hint="eastAsia"/>
          <w:bCs/>
          <w:sz w:val="24"/>
        </w:rPr>
        <w:t>、销售机构：指博时基金管理有限公司以及符合《销售办法》和中国证监会规定的其他条件，取得基金销售业务资格并与基金管理人签订了基金销售服务协议，办理基金销售业务的机构</w:t>
      </w:r>
    </w:p>
    <w:p>
      <w:pPr>
        <w:spacing w:line="360" w:lineRule="auto"/>
        <w:ind w:firstLine="480" w:firstLineChars="200"/>
        <w:rPr>
          <w:bCs/>
          <w:sz w:val="24"/>
        </w:rPr>
      </w:pPr>
      <w:r>
        <w:rPr>
          <w:bCs/>
          <w:sz w:val="24"/>
        </w:rPr>
        <w:t>26</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bCs/>
          <w:sz w:val="24"/>
        </w:rPr>
      </w:pPr>
      <w:r>
        <w:rPr>
          <w:bCs/>
          <w:sz w:val="24"/>
        </w:rPr>
        <w:t>27</w:t>
      </w:r>
      <w:r>
        <w:rPr>
          <w:rFonts w:hint="eastAsia"/>
          <w:bCs/>
          <w:sz w:val="24"/>
        </w:rPr>
        <w:t>、登记机构：指办理登记业务的机构。基金的登记机构为博时基金管理有限公司或接受博时基金管理有限公司委托代为办理登记业务的机构</w:t>
      </w:r>
    </w:p>
    <w:p>
      <w:pPr>
        <w:spacing w:line="360" w:lineRule="auto"/>
        <w:ind w:firstLine="480" w:firstLineChars="200"/>
        <w:rPr>
          <w:bCs/>
          <w:sz w:val="24"/>
        </w:rPr>
      </w:pPr>
      <w:r>
        <w:rPr>
          <w:bCs/>
          <w:sz w:val="24"/>
        </w:rPr>
        <w:t>28</w:t>
      </w:r>
      <w:r>
        <w:rPr>
          <w:rFonts w:hint="eastAsia"/>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29</w:t>
      </w: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bCs/>
          <w:sz w:val="24"/>
        </w:rPr>
      </w:pPr>
      <w:r>
        <w:rPr>
          <w:bCs/>
          <w:sz w:val="24"/>
        </w:rPr>
        <w:t>30</w:t>
      </w:r>
      <w:r>
        <w:rPr>
          <w:rFonts w:hint="eastAsia"/>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31</w:t>
      </w:r>
      <w:r>
        <w:rPr>
          <w:rFonts w:hint="eastAsia"/>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bCs/>
          <w:sz w:val="24"/>
        </w:rPr>
        <w:t>32</w:t>
      </w:r>
      <w:r>
        <w:rPr>
          <w:rFonts w:hint="eastAsia"/>
          <w:bCs/>
          <w:sz w:val="24"/>
        </w:rPr>
        <w:t>、基金募集期：指自基金份额发售之日起至发售结束之日止的期间，最长不得超过3个月</w:t>
      </w:r>
    </w:p>
    <w:p>
      <w:pPr>
        <w:spacing w:line="360" w:lineRule="auto"/>
        <w:ind w:firstLine="480" w:firstLineChars="200"/>
        <w:rPr>
          <w:bCs/>
          <w:sz w:val="24"/>
        </w:rPr>
      </w:pPr>
      <w:r>
        <w:rPr>
          <w:bCs/>
          <w:sz w:val="24"/>
        </w:rPr>
        <w:t>33</w:t>
      </w:r>
      <w:r>
        <w:rPr>
          <w:rFonts w:hint="eastAsia"/>
          <w:bCs/>
          <w:sz w:val="24"/>
        </w:rPr>
        <w:t>、存续期：指基金合同生效至终止之间的不定期期限</w:t>
      </w:r>
    </w:p>
    <w:p>
      <w:pPr>
        <w:spacing w:line="360" w:lineRule="auto"/>
        <w:ind w:firstLine="480" w:firstLineChars="200"/>
        <w:rPr>
          <w:bCs/>
          <w:sz w:val="24"/>
        </w:rPr>
      </w:pPr>
      <w:r>
        <w:rPr>
          <w:bCs/>
          <w:sz w:val="24"/>
        </w:rPr>
        <w:t>34</w:t>
      </w:r>
      <w:r>
        <w:rPr>
          <w:rFonts w:hint="eastAsia"/>
          <w:bCs/>
          <w:sz w:val="24"/>
        </w:rPr>
        <w:t>、工作日：指上海证券交易所、深圳证券交易所及相关</w:t>
      </w:r>
      <w:r>
        <w:rPr>
          <w:bCs/>
          <w:sz w:val="24"/>
        </w:rPr>
        <w:t>期货交易所</w:t>
      </w:r>
      <w:r>
        <w:rPr>
          <w:rFonts w:hint="eastAsia"/>
          <w:bCs/>
          <w:sz w:val="24"/>
        </w:rPr>
        <w:t>的正常交易日</w:t>
      </w:r>
    </w:p>
    <w:p>
      <w:pPr>
        <w:spacing w:line="360" w:lineRule="auto"/>
        <w:ind w:firstLine="480" w:firstLineChars="200"/>
        <w:rPr>
          <w:bCs/>
          <w:sz w:val="24"/>
        </w:rPr>
      </w:pPr>
      <w:r>
        <w:rPr>
          <w:bCs/>
          <w:sz w:val="24"/>
        </w:rPr>
        <w:t>35</w:t>
      </w:r>
      <w:r>
        <w:rPr>
          <w:rFonts w:hint="eastAsia"/>
          <w:bCs/>
          <w:sz w:val="24"/>
        </w:rPr>
        <w:t>、T日：指销售机构在规定时间受理投资人申购、赎回或其他业务申请的开放日</w:t>
      </w:r>
    </w:p>
    <w:p>
      <w:pPr>
        <w:spacing w:line="360" w:lineRule="auto"/>
        <w:ind w:firstLine="480" w:firstLineChars="200"/>
        <w:rPr>
          <w:bCs/>
          <w:sz w:val="24"/>
        </w:rPr>
      </w:pPr>
      <w:r>
        <w:rPr>
          <w:bCs/>
          <w:sz w:val="24"/>
        </w:rPr>
        <w:t>36</w:t>
      </w:r>
      <w:r>
        <w:rPr>
          <w:rFonts w:hint="eastAsia"/>
          <w:bCs/>
          <w:sz w:val="24"/>
        </w:rPr>
        <w:t>、T+n日：指自T日起第n个工作日(不包含T日)</w:t>
      </w:r>
    </w:p>
    <w:p>
      <w:pPr>
        <w:spacing w:line="360" w:lineRule="auto"/>
        <w:ind w:firstLine="480" w:firstLineChars="200"/>
        <w:rPr>
          <w:bCs/>
          <w:sz w:val="24"/>
        </w:rPr>
      </w:pPr>
      <w:r>
        <w:rPr>
          <w:bCs/>
          <w:sz w:val="24"/>
        </w:rPr>
        <w:t>37</w:t>
      </w:r>
      <w:r>
        <w:rPr>
          <w:rFonts w:hint="eastAsia"/>
          <w:bCs/>
          <w:sz w:val="24"/>
        </w:rPr>
        <w:t>、开放日：指为投资人办理基金份额申购、赎回或其他业务的工作日</w:t>
      </w:r>
    </w:p>
    <w:p>
      <w:pPr>
        <w:spacing w:line="360" w:lineRule="auto"/>
        <w:ind w:firstLine="480" w:firstLineChars="200"/>
        <w:rPr>
          <w:bCs/>
          <w:sz w:val="24"/>
        </w:rPr>
      </w:pPr>
      <w:r>
        <w:rPr>
          <w:rFonts w:hint="eastAsia"/>
          <w:bCs/>
          <w:sz w:val="24"/>
        </w:rPr>
        <w:t>3</w:t>
      </w:r>
      <w:r>
        <w:rPr>
          <w:bCs/>
          <w:sz w:val="24"/>
        </w:rPr>
        <w:t>8</w:t>
      </w:r>
      <w:r>
        <w:rPr>
          <w:rFonts w:hint="eastAsia"/>
          <w:bCs/>
          <w:sz w:val="24"/>
        </w:rPr>
        <w:t>、运作期起始日：对于每份认购份额的首个运作期起始日，指基金合同生效日；对于每份申购份额的首个运作期起始日，指该基金份额申购确认日；对于上一运作期到期日未赎回的每份基金份额的下一运作期起始日，指该基金份额上一运作期到期日后的下一日</w:t>
      </w:r>
    </w:p>
    <w:p>
      <w:pPr>
        <w:spacing w:line="360" w:lineRule="auto"/>
        <w:ind w:firstLine="480" w:firstLineChars="200"/>
        <w:rPr>
          <w:bCs/>
          <w:sz w:val="24"/>
        </w:rPr>
      </w:pPr>
      <w:r>
        <w:rPr>
          <w:rFonts w:hint="eastAsia"/>
          <w:bCs/>
          <w:sz w:val="24"/>
        </w:rPr>
        <w:t>3</w:t>
      </w:r>
      <w:r>
        <w:rPr>
          <w:bCs/>
          <w:sz w:val="24"/>
        </w:rPr>
        <w:t>9</w:t>
      </w:r>
      <w:r>
        <w:rPr>
          <w:rFonts w:hint="eastAsia"/>
          <w:bCs/>
          <w:sz w:val="24"/>
        </w:rPr>
        <w:t>、运作期到期日：对于每份基金份额，首个运作期到期日指基金合同生效日（对认购份额而言，下同）或基金份额申购确认日（对申购份额而言，下同）后的第9</w:t>
      </w:r>
      <w:r>
        <w:rPr>
          <w:bCs/>
          <w:sz w:val="24"/>
        </w:rPr>
        <w:t>0</w:t>
      </w:r>
      <w:r>
        <w:rPr>
          <w:rFonts w:hint="eastAsia"/>
          <w:bCs/>
          <w:sz w:val="24"/>
        </w:rPr>
        <w:t>天（如该日为非工作日，则顺延到下一工作日），第二个运作期到期日为基金合同生效日或基金份额申购确认日后的第</w:t>
      </w:r>
      <w:r>
        <w:rPr>
          <w:bCs/>
          <w:sz w:val="24"/>
        </w:rPr>
        <w:t>180</w:t>
      </w:r>
      <w:r>
        <w:rPr>
          <w:rFonts w:hint="eastAsia"/>
          <w:bCs/>
          <w:sz w:val="24"/>
        </w:rPr>
        <w:t>天（如该日为非工作日，则顺延至下一工作日），以此类推</w:t>
      </w:r>
    </w:p>
    <w:p>
      <w:pPr>
        <w:spacing w:line="360" w:lineRule="auto"/>
        <w:ind w:firstLine="480" w:firstLineChars="200"/>
        <w:rPr>
          <w:bCs/>
          <w:sz w:val="24"/>
        </w:rPr>
      </w:pPr>
      <w:r>
        <w:rPr>
          <w:rFonts w:hint="eastAsia"/>
          <w:bCs/>
          <w:sz w:val="24"/>
        </w:rPr>
        <w:t>4</w:t>
      </w:r>
      <w:r>
        <w:rPr>
          <w:bCs/>
          <w:sz w:val="24"/>
        </w:rPr>
        <w:t>0</w:t>
      </w:r>
      <w:r>
        <w:rPr>
          <w:rFonts w:hint="eastAsia"/>
          <w:bCs/>
          <w:sz w:val="24"/>
        </w:rPr>
        <w:t>、开放时间：指开放日基金接受申购、赎回或其他交易的时间段</w:t>
      </w:r>
    </w:p>
    <w:p>
      <w:pPr>
        <w:spacing w:line="360" w:lineRule="auto"/>
        <w:ind w:firstLine="480" w:firstLineChars="200"/>
        <w:rPr>
          <w:bCs/>
          <w:sz w:val="24"/>
        </w:rPr>
      </w:pPr>
      <w:r>
        <w:rPr>
          <w:rFonts w:hint="eastAsia"/>
          <w:bCs/>
          <w:sz w:val="24"/>
        </w:rPr>
        <w:t>4</w:t>
      </w:r>
      <w:r>
        <w:rPr>
          <w:bCs/>
          <w:sz w:val="24"/>
        </w:rPr>
        <w:t>1</w:t>
      </w:r>
      <w:r>
        <w:rPr>
          <w:rFonts w:hint="eastAsia"/>
          <w:bCs/>
          <w:sz w:val="24"/>
        </w:rPr>
        <w:t>、《业务规则》：指《博时基金管理有限公司开放式基金业务规则》，是规范基金管理人所管理的开放式证券投资基金登记方面的业务规则，由基金管理人和投资人共同遵守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rFonts w:hint="eastAsia"/>
          <w:bCs/>
          <w:sz w:val="24"/>
        </w:rPr>
        <w:t>4</w:t>
      </w:r>
      <w:r>
        <w:rPr>
          <w:bCs/>
          <w:sz w:val="24"/>
        </w:rPr>
        <w:t>2</w:t>
      </w:r>
      <w:r>
        <w:rPr>
          <w:rFonts w:hint="eastAsia"/>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3</w:t>
      </w:r>
      <w:r>
        <w:rPr>
          <w:rFonts w:hint="eastAsia"/>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4</w:t>
      </w:r>
      <w:r>
        <w:rPr>
          <w:rFonts w:hint="eastAsia"/>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w:t>
      </w:r>
      <w:r>
        <w:rPr>
          <w:bCs/>
          <w:sz w:val="24"/>
        </w:rPr>
        <w:t>5</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rFonts w:hint="eastAsia"/>
          <w:bCs/>
          <w:sz w:val="24"/>
        </w:rPr>
        <w:t>4</w:t>
      </w:r>
      <w:r>
        <w:rPr>
          <w:bCs/>
          <w:sz w:val="24"/>
        </w:rPr>
        <w:t>6</w:t>
      </w:r>
      <w:r>
        <w:rPr>
          <w:rFonts w:hint="eastAsia"/>
          <w:bCs/>
          <w:sz w:val="24"/>
        </w:rPr>
        <w:t>、转托管：指基金份额持有人在本基金的不同销售机构之间实施的变更所持基金份额销售机构的操作</w:t>
      </w:r>
    </w:p>
    <w:p>
      <w:pPr>
        <w:spacing w:line="360" w:lineRule="auto"/>
        <w:ind w:firstLine="480" w:firstLineChars="200"/>
        <w:rPr>
          <w:bCs/>
          <w:sz w:val="24"/>
        </w:rPr>
      </w:pPr>
      <w:r>
        <w:rPr>
          <w:rFonts w:hint="eastAsia"/>
          <w:bCs/>
          <w:sz w:val="24"/>
        </w:rPr>
        <w:t>4</w:t>
      </w:r>
      <w:r>
        <w:rPr>
          <w:bCs/>
          <w:sz w:val="24"/>
        </w:rPr>
        <w:t>7</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firstLineChars="200"/>
        <w:rPr>
          <w:sz w:val="24"/>
        </w:rPr>
      </w:pPr>
      <w:r>
        <w:rPr>
          <w:rFonts w:hint="eastAsia"/>
          <w:bCs/>
          <w:sz w:val="24"/>
        </w:rPr>
        <w:t>4</w:t>
      </w:r>
      <w:r>
        <w:rPr>
          <w:bCs/>
          <w:sz w:val="24"/>
        </w:rPr>
        <w:t>8</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、巨额赎回：指本基金单个开放日，基金净赎回申请(赎回申请份额总数加上基金转换中转出申请份额总数后扣除申购申请份额总数及基金转换中转入申请份额总数后的余额)超过上一工作日基金总份额的10%</w:t>
      </w:r>
    </w:p>
    <w:p>
      <w:pPr>
        <w:spacing w:line="360" w:lineRule="auto"/>
        <w:ind w:firstLine="480" w:firstLineChars="200"/>
        <w:rPr>
          <w:bCs/>
          <w:sz w:val="24"/>
        </w:rPr>
      </w:pPr>
      <w:r>
        <w:rPr>
          <w:bCs/>
          <w:sz w:val="24"/>
        </w:rPr>
        <w:t>49</w:t>
      </w:r>
      <w:r>
        <w:rPr>
          <w:rFonts w:hint="eastAsia"/>
          <w:bCs/>
          <w:sz w:val="24"/>
        </w:rPr>
        <w:t>、元：指人民币元</w:t>
      </w:r>
    </w:p>
    <w:p>
      <w:pPr>
        <w:spacing w:line="360" w:lineRule="auto"/>
        <w:ind w:firstLine="480" w:firstLineChars="200"/>
        <w:rPr>
          <w:bCs/>
          <w:sz w:val="24"/>
        </w:rPr>
      </w:pPr>
      <w:r>
        <w:rPr>
          <w:rFonts w:hint="eastAsia"/>
          <w:bCs/>
          <w:sz w:val="24"/>
        </w:rPr>
        <w:t>5</w:t>
      </w:r>
      <w:r>
        <w:rPr>
          <w:bCs/>
          <w:sz w:val="24"/>
        </w:rPr>
        <w:t>0</w:t>
      </w:r>
      <w:r>
        <w:rPr>
          <w:rFonts w:hint="eastAsia"/>
          <w:bCs/>
          <w:sz w:val="24"/>
        </w:rPr>
        <w:t>、基金收益：指基金投资所得债券利息、买卖证券价差、银行存款利息、已实现的其他合法收入及因运用基金财产带来的成本和费用的节约</w:t>
      </w:r>
    </w:p>
    <w:p>
      <w:pPr>
        <w:spacing w:line="360" w:lineRule="auto"/>
        <w:ind w:firstLine="480" w:firstLineChars="200"/>
        <w:rPr>
          <w:bCs/>
          <w:sz w:val="24"/>
        </w:rPr>
      </w:pPr>
      <w:r>
        <w:rPr>
          <w:rFonts w:hint="eastAsia"/>
          <w:bCs/>
          <w:sz w:val="24"/>
        </w:rPr>
        <w:t>5</w:t>
      </w:r>
      <w:r>
        <w:rPr>
          <w:bCs/>
          <w:sz w:val="24"/>
        </w:rPr>
        <w:t>1</w:t>
      </w:r>
      <w:r>
        <w:rPr>
          <w:rFonts w:hint="eastAsia"/>
          <w:bCs/>
          <w:sz w:val="24"/>
        </w:rPr>
        <w:t>、基金资产总值：指基金拥有的各类有价证券、银行存款本息、基金应收款项及其他资产的价值总和</w:t>
      </w:r>
    </w:p>
    <w:p>
      <w:pPr>
        <w:spacing w:line="360" w:lineRule="auto"/>
        <w:ind w:firstLine="480" w:firstLineChars="200"/>
        <w:rPr>
          <w:bCs/>
          <w:sz w:val="24"/>
        </w:rPr>
      </w:pPr>
      <w:r>
        <w:rPr>
          <w:rFonts w:hint="eastAsia"/>
          <w:bCs/>
          <w:sz w:val="24"/>
        </w:rPr>
        <w:t>5</w:t>
      </w:r>
      <w:r>
        <w:rPr>
          <w:bCs/>
          <w:sz w:val="24"/>
        </w:rPr>
        <w:t>2</w:t>
      </w:r>
      <w:r>
        <w:rPr>
          <w:rFonts w:hint="eastAsia"/>
          <w:bCs/>
          <w:sz w:val="24"/>
        </w:rPr>
        <w:t>、基金资产净值：指基金资产总值减去基金负债后的价值</w:t>
      </w:r>
    </w:p>
    <w:p>
      <w:pPr>
        <w:spacing w:line="360" w:lineRule="auto"/>
        <w:ind w:firstLine="480" w:firstLineChars="200"/>
        <w:rPr>
          <w:bCs/>
          <w:sz w:val="24"/>
        </w:rPr>
      </w:pPr>
      <w:r>
        <w:rPr>
          <w:rFonts w:hint="eastAsia"/>
          <w:bCs/>
          <w:sz w:val="24"/>
        </w:rPr>
        <w:t>5</w:t>
      </w:r>
      <w:r>
        <w:rPr>
          <w:bCs/>
          <w:sz w:val="24"/>
        </w:rPr>
        <w:t>3</w:t>
      </w:r>
      <w:r>
        <w:rPr>
          <w:rFonts w:hint="eastAsia"/>
          <w:bCs/>
          <w:sz w:val="24"/>
        </w:rPr>
        <w:t>、基金份额净值：指计算日基金资产净值除以计算日该类基金份额总数</w:t>
      </w:r>
    </w:p>
    <w:p>
      <w:pPr>
        <w:spacing w:line="360" w:lineRule="auto"/>
        <w:ind w:firstLine="480" w:firstLineChars="200"/>
        <w:rPr>
          <w:bCs/>
          <w:sz w:val="24"/>
        </w:rPr>
      </w:pPr>
      <w:r>
        <w:rPr>
          <w:rFonts w:hint="eastAsia"/>
          <w:bCs/>
          <w:sz w:val="24"/>
        </w:rPr>
        <w:t>5</w:t>
      </w:r>
      <w:r>
        <w:rPr>
          <w:bCs/>
          <w:sz w:val="24"/>
        </w:rPr>
        <w:t>4</w:t>
      </w:r>
      <w:r>
        <w:rPr>
          <w:rFonts w:hint="eastAsia"/>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w:t>
      </w:r>
      <w:r>
        <w:rPr>
          <w:bCs/>
          <w:sz w:val="24"/>
        </w:rPr>
        <w:t>5</w:t>
      </w:r>
      <w:r>
        <w:rPr>
          <w:rFonts w:hint="eastAsia"/>
          <w:bCs/>
          <w:sz w:val="24"/>
        </w:rPr>
        <w:t>、基金份额分类：本基金分设两类基金份额：A类基金份额和C类基金份额。各类基金份额分设不同的基金代码，并分别公布各类基金份额的基金份额净值和基金份额累计净值</w:t>
      </w:r>
    </w:p>
    <w:p>
      <w:pPr>
        <w:spacing w:line="360" w:lineRule="auto"/>
        <w:ind w:firstLine="480" w:firstLineChars="200"/>
        <w:rPr>
          <w:bCs/>
          <w:sz w:val="24"/>
        </w:rPr>
      </w:pPr>
      <w:r>
        <w:rPr>
          <w:rFonts w:hint="eastAsia"/>
          <w:bCs/>
          <w:sz w:val="24"/>
        </w:rPr>
        <w:t>5</w:t>
      </w:r>
      <w:r>
        <w:rPr>
          <w:bCs/>
          <w:sz w:val="24"/>
        </w:rPr>
        <w:t>6</w:t>
      </w:r>
      <w:r>
        <w:rPr>
          <w:rFonts w:hint="eastAsia"/>
          <w:bCs/>
          <w:sz w:val="24"/>
        </w:rPr>
        <w:t>、A类基金份额：指在投资者认购、申购时收取认购、申购费用，但不从本类别基金资产中计提销售服务费的基金份额类别</w:t>
      </w:r>
    </w:p>
    <w:p>
      <w:pPr>
        <w:spacing w:line="360" w:lineRule="auto"/>
        <w:ind w:firstLine="480" w:firstLineChars="200"/>
        <w:rPr>
          <w:bCs/>
          <w:sz w:val="24"/>
        </w:rPr>
      </w:pPr>
      <w:r>
        <w:rPr>
          <w:rFonts w:hint="eastAsia"/>
          <w:bCs/>
          <w:sz w:val="24"/>
        </w:rPr>
        <w:t>5</w:t>
      </w:r>
      <w:r>
        <w:rPr>
          <w:bCs/>
          <w:sz w:val="24"/>
        </w:rPr>
        <w:t>7</w:t>
      </w:r>
      <w:r>
        <w:rPr>
          <w:rFonts w:hint="eastAsia"/>
          <w:bCs/>
          <w:sz w:val="24"/>
        </w:rPr>
        <w:t>、</w:t>
      </w:r>
      <w:r>
        <w:rPr>
          <w:bCs/>
          <w:sz w:val="24"/>
        </w:rPr>
        <w:t>C</w:t>
      </w:r>
      <w:r>
        <w:rPr>
          <w:rFonts w:hint="eastAsia"/>
          <w:bCs/>
          <w:sz w:val="24"/>
        </w:rPr>
        <w:t>类基金份额：指在投资者认购、申购时不收取认购、申购费用，但从本类别基金资产中计提销售服务费的基金份额类别</w:t>
      </w:r>
    </w:p>
    <w:p>
      <w:pPr>
        <w:spacing w:line="360" w:lineRule="auto"/>
        <w:ind w:firstLine="480" w:firstLineChars="200"/>
        <w:rPr>
          <w:bCs/>
          <w:sz w:val="24"/>
        </w:rPr>
      </w:pPr>
      <w:r>
        <w:rPr>
          <w:rFonts w:hint="eastAsia"/>
          <w:bCs/>
          <w:sz w:val="24"/>
        </w:rPr>
        <w:t>5</w:t>
      </w:r>
      <w:r>
        <w:rPr>
          <w:bCs/>
          <w:sz w:val="24"/>
        </w:rPr>
        <w:t>8</w:t>
      </w:r>
      <w:r>
        <w:rPr>
          <w:rFonts w:hint="eastAsia"/>
          <w:bCs/>
          <w:sz w:val="24"/>
        </w:rPr>
        <w:t>、销售服务费：指从基金财产中计提的，用于本基金市场推广、销售以及基金份额持有人服务的费用</w:t>
      </w:r>
    </w:p>
    <w:p>
      <w:pPr>
        <w:spacing w:line="360" w:lineRule="auto"/>
        <w:ind w:firstLine="480" w:firstLineChars="200"/>
        <w:rPr>
          <w:bCs/>
          <w:sz w:val="24"/>
        </w:rPr>
      </w:pPr>
      <w:r>
        <w:rPr>
          <w:bCs/>
          <w:sz w:val="24"/>
        </w:rPr>
        <w:t>59</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pPr>
        <w:spacing w:line="360" w:lineRule="auto"/>
        <w:ind w:firstLine="480" w:firstLineChars="200"/>
        <w:rPr>
          <w:bCs/>
          <w:sz w:val="24"/>
        </w:rPr>
      </w:pPr>
      <w:r>
        <w:rPr>
          <w:rFonts w:hint="eastAsia"/>
          <w:bCs/>
          <w:sz w:val="24"/>
        </w:rPr>
        <w:t>6</w:t>
      </w:r>
      <w:r>
        <w:rPr>
          <w:bCs/>
          <w:sz w:val="24"/>
        </w:rPr>
        <w:t>0</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bCs/>
          <w:sz w:val="24"/>
        </w:rPr>
        <w:t>61</w:t>
      </w:r>
      <w:r>
        <w:rPr>
          <w:rFonts w:hint="eastAsia"/>
          <w:bCs/>
          <w:sz w:val="24"/>
        </w:rPr>
        <w:t>、侧袋机制：</w:t>
      </w:r>
      <w:r>
        <w:rPr>
          <w:rFonts w:hint="eastAsia"/>
          <w:sz w:val="24"/>
        </w:rPr>
        <w:t>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bCs/>
          <w:sz w:val="24"/>
        </w:rPr>
      </w:pPr>
      <w:r>
        <w:rPr>
          <w:bCs/>
          <w:sz w:val="24"/>
        </w:rPr>
        <w:t>62</w:t>
      </w:r>
      <w:r>
        <w:rPr>
          <w:rFonts w:hint="eastAsia"/>
          <w:bCs/>
          <w:sz w:val="24"/>
        </w:rPr>
        <w:t>、特定资产：</w:t>
      </w:r>
      <w:r>
        <w:rPr>
          <w:rFonts w:hint="eastAsia"/>
          <w:sz w:val="24"/>
        </w:rPr>
        <w:t>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pPr>
        <w:spacing w:line="360" w:lineRule="auto"/>
        <w:ind w:firstLine="480" w:firstLineChars="200"/>
        <w:rPr>
          <w:bCs/>
          <w:sz w:val="24"/>
        </w:rPr>
      </w:pPr>
      <w:r>
        <w:rPr>
          <w:rFonts w:hint="eastAsia"/>
          <w:bCs/>
          <w:sz w:val="24"/>
        </w:rPr>
        <w:t>6</w:t>
      </w:r>
      <w:r>
        <w:rPr>
          <w:bCs/>
          <w:sz w:val="24"/>
        </w:rPr>
        <w:t>3</w:t>
      </w:r>
      <w:r>
        <w:rPr>
          <w:rFonts w:hint="eastAsia"/>
          <w:bCs/>
          <w:sz w:val="24"/>
        </w:rPr>
        <w:t>、信用衍生品：指符合证券交易所或银行间市场相关业务规则，专门用于管理信用风险的信用衍生工具</w:t>
      </w:r>
    </w:p>
    <w:p>
      <w:pPr>
        <w:spacing w:line="360" w:lineRule="auto"/>
        <w:ind w:firstLine="480" w:firstLineChars="200"/>
        <w:rPr>
          <w:bCs/>
          <w:sz w:val="24"/>
        </w:rPr>
      </w:pPr>
      <w:r>
        <w:rPr>
          <w:rFonts w:hint="eastAsia"/>
          <w:bCs/>
          <w:sz w:val="24"/>
        </w:rPr>
        <w:t>6</w:t>
      </w:r>
      <w:r>
        <w:rPr>
          <w:bCs/>
          <w:sz w:val="24"/>
        </w:rPr>
        <w:t>4</w:t>
      </w:r>
      <w:r>
        <w:rPr>
          <w:rFonts w:hint="eastAsia"/>
          <w:bCs/>
          <w:sz w:val="24"/>
        </w:rPr>
        <w:t>、信用保护买方：亦称信用保护购买方，指接受信用风险保护的一方</w:t>
      </w:r>
    </w:p>
    <w:p>
      <w:pPr>
        <w:spacing w:line="360" w:lineRule="auto"/>
        <w:ind w:firstLine="480" w:firstLineChars="200"/>
        <w:rPr>
          <w:bCs/>
          <w:sz w:val="24"/>
        </w:rPr>
      </w:pPr>
      <w:r>
        <w:rPr>
          <w:rFonts w:hint="eastAsia"/>
          <w:bCs/>
          <w:sz w:val="24"/>
        </w:rPr>
        <w:t>6</w:t>
      </w:r>
      <w:r>
        <w:rPr>
          <w:bCs/>
          <w:sz w:val="24"/>
        </w:rPr>
        <w:t>5</w:t>
      </w:r>
      <w:r>
        <w:rPr>
          <w:rFonts w:hint="eastAsia"/>
          <w:bCs/>
          <w:sz w:val="24"/>
        </w:rPr>
        <w:t>、信用保护卖方：亦称信用保护提供方，指提供信用风险保护的一方</w:t>
      </w:r>
    </w:p>
    <w:p>
      <w:pPr>
        <w:spacing w:line="360" w:lineRule="auto"/>
        <w:ind w:firstLine="480" w:firstLineChars="200"/>
        <w:rPr>
          <w:bCs/>
          <w:sz w:val="24"/>
        </w:rPr>
      </w:pPr>
      <w:r>
        <w:rPr>
          <w:rFonts w:hint="eastAsia"/>
          <w:bCs/>
          <w:sz w:val="24"/>
        </w:rPr>
        <w:t>6</w:t>
      </w:r>
      <w:r>
        <w:rPr>
          <w:bCs/>
          <w:sz w:val="24"/>
        </w:rPr>
        <w:t>6</w:t>
      </w:r>
      <w:r>
        <w:rPr>
          <w:rFonts w:hint="eastAsia"/>
          <w:bCs/>
          <w:sz w:val="24"/>
        </w:rPr>
        <w:t>、名义本金：亦称交易名义本金，是一笔信用衍生产品交易提供信用风险保护的金额，各项支付和结算以此金额为计算基准</w:t>
      </w:r>
    </w:p>
    <w:p>
      <w:pPr>
        <w:spacing w:line="360" w:lineRule="auto"/>
        <w:ind w:firstLine="480" w:firstLineChars="200"/>
        <w:rPr>
          <w:bCs/>
          <w:sz w:val="24"/>
        </w:rPr>
      </w:pPr>
      <w:r>
        <w:rPr>
          <w:rFonts w:hint="eastAsia"/>
          <w:bCs/>
          <w:sz w:val="24"/>
        </w:rPr>
        <w:t>6</w:t>
      </w:r>
      <w:r>
        <w:rPr>
          <w:bCs/>
          <w:sz w:val="24"/>
        </w:rPr>
        <w:t>7</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80" w:firstLineChars="200"/>
        <w:rPr>
          <w:bCs/>
          <w:sz w:val="24"/>
        </w:rPr>
      </w:pPr>
      <w:r>
        <w:rPr>
          <w:rFonts w:hint="eastAsia"/>
          <w:bCs/>
          <w:sz w:val="24"/>
        </w:rPr>
        <w:t>6</w:t>
      </w:r>
      <w:r>
        <w:rPr>
          <w:bCs/>
          <w:sz w:val="24"/>
        </w:rPr>
        <w:t>8</w:t>
      </w:r>
      <w:r>
        <w:rPr>
          <w:rFonts w:hint="eastAsia"/>
          <w:bCs/>
          <w:sz w:val="24"/>
        </w:rPr>
        <w:t>、不可抗力：指本基金合同当事人不能预见、不能避免且不能克服的客观事件</w:t>
      </w:r>
    </w:p>
    <w:bookmarkEnd w:id="59"/>
    <w:p>
      <w:pPr>
        <w:pStyle w:val="2"/>
        <w:spacing w:before="0" w:after="0"/>
        <w:jc w:val="center"/>
        <w:rPr>
          <w:rFonts w:ascii="Times New Roman"/>
          <w:color w:val="auto"/>
          <w:sz w:val="30"/>
        </w:rPr>
        <w:sectPr>
          <w:footerReference r:id="rId10" w:type="default"/>
          <w:pgSz w:w="11906" w:h="16838"/>
          <w:pgMar w:top="1440" w:right="1800" w:bottom="1440" w:left="1800" w:header="851" w:footer="992" w:gutter="0"/>
          <w:pgNumType w:start="1"/>
          <w:cols w:space="720" w:num="1"/>
          <w:docGrid w:type="lines" w:linePitch="312" w:charSpace="0"/>
        </w:sectPr>
      </w:pPr>
      <w:bookmarkStart w:id="61" w:name="CTS_d9a69a9c153a4460a16f1c5ef6d18c26"/>
      <w:bookmarkEnd w:id="61"/>
      <w:bookmarkStart w:id="62" w:name="_Toc6149"/>
      <w:bookmarkStart w:id="63" w:name="_Toc5246"/>
      <w:bookmarkStart w:id="64" w:name="_Toc545"/>
      <w:bookmarkStart w:id="65" w:name="_Toc20318"/>
      <w:bookmarkStart w:id="66" w:name="_Toc13288"/>
      <w:bookmarkStart w:id="67" w:name="_Toc24571"/>
      <w:bookmarkStart w:id="68" w:name="_Toc6683"/>
      <w:bookmarkStart w:id="69" w:name="_Toc733"/>
      <w:bookmarkStart w:id="70" w:name="_Toc20627"/>
      <w:bookmarkStart w:id="71" w:name="_Toc18631"/>
      <w:bookmarkStart w:id="72" w:name="_Toc22708"/>
      <w:bookmarkStart w:id="73" w:name="CLAUSE_d9a69a9c153a4460a16f1c5ef6d18c26"/>
      <w:bookmarkStart w:id="74" w:name="_Toc233456272"/>
      <w:bookmarkStart w:id="75" w:name="_Toc258829400"/>
    </w:p>
    <w:p>
      <w:pPr>
        <w:pStyle w:val="2"/>
        <w:spacing w:before="0" w:after="0"/>
        <w:jc w:val="center"/>
        <w:rPr>
          <w:sz w:val="30"/>
        </w:rPr>
      </w:pPr>
      <w:r>
        <w:t xml:space="preserve"> </w:t>
      </w:r>
      <w:bookmarkStart w:id="76" w:name="_Toc132366445"/>
      <w:r>
        <w:rPr>
          <w:rFonts w:hint="eastAsia" w:ascii="Times New Roman"/>
          <w:color w:val="auto"/>
          <w:sz w:val="30"/>
        </w:rPr>
        <w:t>第三部分</w:t>
      </w:r>
      <w:r>
        <w:rPr>
          <w:rFonts w:ascii="Times New Roman"/>
          <w:color w:val="auto"/>
          <w:sz w:val="30"/>
        </w:rPr>
        <w:t xml:space="preserve">  </w:t>
      </w:r>
      <w:r>
        <w:rPr>
          <w:rFonts w:hint="eastAsia" w:ascii="Times New Roman"/>
          <w:color w:val="auto"/>
          <w:sz w:val="30"/>
        </w:rPr>
        <w:t>基金的基本情况</w:t>
      </w:r>
      <w:bookmarkEnd w:id="62"/>
      <w:bookmarkEnd w:id="63"/>
      <w:bookmarkEnd w:id="64"/>
      <w:bookmarkEnd w:id="65"/>
      <w:bookmarkEnd w:id="66"/>
      <w:bookmarkEnd w:id="67"/>
      <w:bookmarkEnd w:id="68"/>
      <w:bookmarkEnd w:id="69"/>
      <w:bookmarkEnd w:id="70"/>
      <w:bookmarkEnd w:id="71"/>
      <w:bookmarkEnd w:id="72"/>
      <w:bookmarkEnd w:id="76"/>
      <w:bookmarkStart w:id="77" w:name="_Hlt88031774"/>
      <w:bookmarkEnd w:id="77"/>
      <w:bookmarkStart w:id="78" w:name="_Hlt88031741"/>
      <w:bookmarkStart w:id="79" w:name="_Toc79392573"/>
    </w:p>
    <w:bookmarkEnd w:id="78"/>
    <w:p>
      <w:pPr>
        <w:spacing w:line="360" w:lineRule="auto"/>
        <w:ind w:firstLine="480" w:firstLineChars="200"/>
        <w:rPr>
          <w:bCs/>
          <w:sz w:val="24"/>
        </w:rPr>
      </w:pPr>
      <w:r>
        <w:rPr>
          <w:bCs/>
          <w:sz w:val="24"/>
        </w:rPr>
        <w:t>一、基金名称</w:t>
      </w:r>
      <w:bookmarkEnd w:id="79"/>
    </w:p>
    <w:p>
      <w:pPr>
        <w:spacing w:before="240" w:line="360" w:lineRule="auto"/>
        <w:ind w:firstLine="480" w:firstLineChars="200"/>
        <w:rPr>
          <w:bCs/>
          <w:sz w:val="24"/>
        </w:rPr>
      </w:pPr>
      <w:r>
        <w:rPr>
          <w:rFonts w:hint="eastAsia"/>
          <w:bCs/>
          <w:sz w:val="24"/>
        </w:rPr>
        <w:t>博时季季兴90天滚动持有债券型证券投资基金</w:t>
      </w:r>
      <w:bookmarkStart w:id="80" w:name="_Toc79392574"/>
    </w:p>
    <w:p>
      <w:pPr>
        <w:spacing w:before="240" w:line="360" w:lineRule="auto"/>
        <w:ind w:firstLine="480" w:firstLineChars="200"/>
        <w:rPr>
          <w:bCs/>
          <w:sz w:val="24"/>
        </w:rPr>
      </w:pPr>
      <w:r>
        <w:rPr>
          <w:bCs/>
          <w:sz w:val="24"/>
        </w:rPr>
        <w:t>二、基金的类别</w:t>
      </w:r>
      <w:bookmarkEnd w:id="80"/>
    </w:p>
    <w:p>
      <w:pPr>
        <w:spacing w:line="360" w:lineRule="auto"/>
        <w:ind w:firstLine="480" w:firstLineChars="200"/>
        <w:rPr>
          <w:bCs/>
          <w:sz w:val="24"/>
        </w:rPr>
      </w:pPr>
      <w:r>
        <w:rPr>
          <w:rFonts w:hint="eastAsia"/>
          <w:bCs/>
          <w:sz w:val="24"/>
        </w:rPr>
        <w:t>债券型</w:t>
      </w:r>
      <w:r>
        <w:rPr>
          <w:bCs/>
          <w:sz w:val="24"/>
        </w:rPr>
        <w:t>证券投资基金</w:t>
      </w:r>
      <w:bookmarkStart w:id="81" w:name="_Toc79392575"/>
    </w:p>
    <w:p>
      <w:pPr>
        <w:spacing w:before="240" w:line="360" w:lineRule="auto"/>
        <w:ind w:firstLine="480" w:firstLineChars="200"/>
        <w:rPr>
          <w:bCs/>
          <w:sz w:val="24"/>
        </w:rPr>
      </w:pPr>
      <w:r>
        <w:rPr>
          <w:bCs/>
          <w:sz w:val="24"/>
        </w:rPr>
        <w:t>三、基金的运作方式</w:t>
      </w:r>
    </w:p>
    <w:p>
      <w:pPr>
        <w:spacing w:line="360" w:lineRule="auto"/>
        <w:ind w:left="796" w:leftChars="257" w:hanging="256"/>
        <w:rPr>
          <w:bCs/>
          <w:sz w:val="24"/>
        </w:rPr>
      </w:pPr>
      <w:r>
        <w:rPr>
          <w:bCs/>
          <w:sz w:val="24"/>
        </w:rPr>
        <w:t>契约型开放式</w:t>
      </w:r>
    </w:p>
    <w:p>
      <w:pPr>
        <w:spacing w:line="360" w:lineRule="auto"/>
        <w:ind w:firstLine="480" w:firstLineChars="200"/>
        <w:rPr>
          <w:bCs/>
          <w:sz w:val="24"/>
        </w:rPr>
      </w:pPr>
      <w:r>
        <w:rPr>
          <w:rFonts w:hint="eastAsia"/>
          <w:bCs/>
          <w:sz w:val="24"/>
        </w:rPr>
        <w:t>对于每份基金份额，基金管理人仅在该基金份额的每个运作期到期日为基金份额持有人办理赎回。认购份额的首个运作期起始日指基金合同生效日，申购份额的首个运作期起始日指基金份额申购确认日，首个运作期到期日为首个运作期起始日后的第90日（如该日为非工作日，则顺延到下一工作日）。第二个运作期自首个运作期到期日的次一日起，至首个运作期起始日后的第180日（如该日为非工作日，则顺延至下一工作日）止，以此类推。</w:t>
      </w:r>
    </w:p>
    <w:p>
      <w:pPr>
        <w:spacing w:line="360" w:lineRule="auto"/>
        <w:ind w:firstLine="480" w:firstLineChars="200"/>
        <w:rPr>
          <w:bCs/>
          <w:sz w:val="24"/>
        </w:rPr>
      </w:pPr>
      <w:r>
        <w:rPr>
          <w:rFonts w:hint="eastAsia"/>
          <w:bCs/>
          <w:sz w:val="24"/>
        </w:rPr>
        <w:t>在每份基金份额的每个运作期到期日，基金份额持有人可提出赎回申请。如果基金份额持有人在当期运作期到期日未申请赎回或赎回被确认失败，则该基金份额将在该运作期到期日次一日起自动进入下一个运作期。</w:t>
      </w:r>
    </w:p>
    <w:p>
      <w:pPr>
        <w:spacing w:line="360" w:lineRule="auto"/>
        <w:ind w:firstLine="480" w:firstLineChars="200"/>
        <w:rPr>
          <w:bCs/>
          <w:sz w:val="24"/>
        </w:rPr>
      </w:pPr>
      <w:r>
        <w:rPr>
          <w:rFonts w:hint="eastAsia"/>
          <w:bCs/>
          <w:sz w:val="24"/>
        </w:rPr>
        <w:t>基金份额持有人在运作期到期日申请赎回的，基金管理人按照招募说明书的约定为基金份额持有人办理赎回事宜。</w:t>
      </w:r>
    </w:p>
    <w:p>
      <w:pPr>
        <w:spacing w:line="360" w:lineRule="auto"/>
        <w:ind w:left="796" w:leftChars="257" w:hanging="256"/>
        <w:rPr>
          <w:bCs/>
          <w:sz w:val="24"/>
        </w:rPr>
      </w:pPr>
    </w:p>
    <w:p>
      <w:pPr>
        <w:spacing w:before="240" w:line="360" w:lineRule="auto"/>
        <w:ind w:left="796" w:leftChars="257" w:hanging="256"/>
        <w:rPr>
          <w:bCs/>
          <w:sz w:val="24"/>
        </w:rPr>
      </w:pPr>
      <w:r>
        <w:rPr>
          <w:rFonts w:hint="eastAsia"/>
          <w:bCs/>
          <w:sz w:val="24"/>
        </w:rPr>
        <w:t>四、基金</w:t>
      </w:r>
      <w:r>
        <w:rPr>
          <w:bCs/>
          <w:sz w:val="24"/>
        </w:rPr>
        <w:t>的投资目标</w:t>
      </w:r>
      <w:bookmarkEnd w:id="81"/>
    </w:p>
    <w:p>
      <w:pPr>
        <w:spacing w:line="360" w:lineRule="auto"/>
        <w:ind w:firstLine="480" w:firstLineChars="200"/>
        <w:rPr>
          <w:sz w:val="24"/>
        </w:rPr>
      </w:pPr>
      <w:bookmarkStart w:id="82" w:name="_Toc79392576"/>
      <w:r>
        <w:rPr>
          <w:rFonts w:hint="eastAsia"/>
          <w:sz w:val="24"/>
        </w:rPr>
        <w:t>在严格控制投资组合风险的前提下，力争长期内实现超越业绩比较基准的投资回报。</w:t>
      </w:r>
    </w:p>
    <w:p>
      <w:pPr>
        <w:spacing w:line="360" w:lineRule="auto"/>
        <w:ind w:firstLine="480" w:firstLineChars="200"/>
        <w:rPr>
          <w:sz w:val="24"/>
        </w:rPr>
      </w:pPr>
    </w:p>
    <w:p>
      <w:pPr>
        <w:spacing w:line="360" w:lineRule="auto"/>
        <w:ind w:firstLine="480" w:firstLineChars="200"/>
        <w:rPr>
          <w:bCs/>
          <w:sz w:val="24"/>
        </w:rPr>
      </w:pPr>
      <w:r>
        <w:rPr>
          <w:rFonts w:hint="eastAsia"/>
          <w:bCs/>
          <w:sz w:val="24"/>
        </w:rPr>
        <w:t>五</w:t>
      </w:r>
      <w:r>
        <w:rPr>
          <w:bCs/>
          <w:sz w:val="24"/>
        </w:rPr>
        <w:t>、基金的最低募集份额总额</w:t>
      </w:r>
    </w:p>
    <w:p>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六</w:t>
      </w:r>
      <w:r>
        <w:rPr>
          <w:bCs/>
          <w:sz w:val="24"/>
        </w:rPr>
        <w:t>、基金份额</w:t>
      </w:r>
      <w:r>
        <w:rPr>
          <w:rFonts w:hint="eastAsia"/>
          <w:bCs/>
          <w:sz w:val="24"/>
        </w:rPr>
        <w:t>发售</w:t>
      </w:r>
      <w:r>
        <w:rPr>
          <w:bCs/>
          <w:sz w:val="24"/>
        </w:rPr>
        <w:t>面值</w:t>
      </w:r>
      <w:bookmarkEnd w:id="82"/>
      <w:r>
        <w:rPr>
          <w:rFonts w:hint="eastAsia"/>
          <w:bCs/>
          <w:sz w:val="24"/>
        </w:rPr>
        <w:t>和</w:t>
      </w:r>
      <w:r>
        <w:rPr>
          <w:bCs/>
          <w:sz w:val="24"/>
        </w:rPr>
        <w:t>认购费用</w:t>
      </w:r>
    </w:p>
    <w:p>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bCs/>
          <w:sz w:val="24"/>
        </w:rPr>
        <w:t xml:space="preserve"> </w:t>
      </w:r>
      <w:r>
        <w:rPr>
          <w:rFonts w:hint="eastAsia"/>
          <w:bCs/>
          <w:sz w:val="24"/>
        </w:rPr>
        <w:t>1.00</w:t>
      </w:r>
      <w:r>
        <w:rPr>
          <w:bCs/>
          <w:sz w:val="24"/>
        </w:rPr>
        <w:t>元</w:t>
      </w:r>
      <w:r>
        <w:rPr>
          <w:rFonts w:hint="eastAsia"/>
          <w:bCs/>
          <w:sz w:val="24"/>
        </w:rPr>
        <w:t>。</w:t>
      </w:r>
      <w:bookmarkStart w:id="83" w:name="_Toc79392577"/>
    </w:p>
    <w:p>
      <w:pPr>
        <w:autoSpaceDE w:val="0"/>
        <w:autoSpaceDN w:val="0"/>
        <w:adjustRightInd w:val="0"/>
        <w:spacing w:line="360" w:lineRule="auto"/>
        <w:ind w:firstLine="480" w:firstLineChars="200"/>
        <w:jc w:val="left"/>
        <w:rPr>
          <w:bCs/>
          <w:sz w:val="24"/>
        </w:rPr>
      </w:pPr>
      <w:r>
        <w:rPr>
          <w:bCs/>
          <w:sz w:val="24"/>
        </w:rPr>
        <w:t>本基金</w:t>
      </w:r>
      <w:r>
        <w:rPr>
          <w:rFonts w:hint="eastAsia"/>
          <w:bCs/>
          <w:sz w:val="24"/>
        </w:rPr>
        <w:t>A类基金份额的</w:t>
      </w:r>
      <w:r>
        <w:rPr>
          <w:bCs/>
          <w:sz w:val="24"/>
        </w:rPr>
        <w:t>认购费率按招募说明书</w:t>
      </w:r>
      <w:r>
        <w:rPr>
          <w:rFonts w:hint="eastAsia"/>
          <w:bCs/>
          <w:sz w:val="24"/>
        </w:rPr>
        <w:t>及基金产品资料概要</w:t>
      </w:r>
      <w:r>
        <w:rPr>
          <w:bCs/>
          <w:sz w:val="24"/>
        </w:rPr>
        <w:t>的规定执行</w:t>
      </w:r>
      <w:r>
        <w:rPr>
          <w:rFonts w:hint="eastAsia"/>
          <w:bCs/>
          <w:sz w:val="24"/>
        </w:rPr>
        <w:t>，C类基金份额不收取认购费用</w:t>
      </w:r>
      <w:r>
        <w:rPr>
          <w:bCs/>
          <w:sz w:val="24"/>
        </w:rPr>
        <w:t>。</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r>
        <w:rPr>
          <w:rFonts w:hint="eastAsia"/>
          <w:bCs/>
          <w:sz w:val="24"/>
        </w:rPr>
        <w:t>七</w:t>
      </w:r>
      <w:r>
        <w:rPr>
          <w:bCs/>
          <w:sz w:val="24"/>
        </w:rPr>
        <w:t>、基金</w:t>
      </w:r>
      <w:bookmarkEnd w:id="83"/>
      <w:bookmarkStart w:id="84" w:name="_Toc79392578"/>
      <w:r>
        <w:rPr>
          <w:bCs/>
          <w:sz w:val="24"/>
        </w:rPr>
        <w:t>存续期限</w:t>
      </w:r>
      <w:bookmarkEnd w:id="84"/>
    </w:p>
    <w:p>
      <w:pPr>
        <w:spacing w:line="360" w:lineRule="auto"/>
        <w:ind w:firstLine="480" w:firstLineChars="200"/>
        <w:rPr>
          <w:bCs/>
          <w:sz w:val="24"/>
        </w:rPr>
      </w:pPr>
      <w:r>
        <w:rPr>
          <w:bCs/>
          <w:sz w:val="24"/>
        </w:rPr>
        <w:t>不定期</w:t>
      </w:r>
    </w:p>
    <w:p>
      <w:pPr>
        <w:spacing w:line="360" w:lineRule="auto"/>
        <w:ind w:firstLine="600" w:firstLineChars="200"/>
        <w:rPr>
          <w:sz w:val="30"/>
        </w:rPr>
      </w:pPr>
    </w:p>
    <w:p>
      <w:pPr>
        <w:spacing w:line="360" w:lineRule="auto"/>
        <w:ind w:firstLine="480" w:firstLineChars="200"/>
        <w:rPr>
          <w:sz w:val="24"/>
        </w:rPr>
      </w:pPr>
      <w:r>
        <w:rPr>
          <w:rFonts w:hint="eastAsia"/>
          <w:sz w:val="24"/>
        </w:rPr>
        <w:t>八、</w:t>
      </w:r>
      <w:bookmarkEnd w:id="73"/>
      <w:bookmarkStart w:id="85" w:name="CLAUSE_4e13e34f2ae949eeadb40f4353c97a24"/>
      <w:r>
        <w:rPr>
          <w:rFonts w:hint="eastAsia"/>
          <w:sz w:val="24"/>
        </w:rPr>
        <w:t>基金份额的类别</w:t>
      </w:r>
    </w:p>
    <w:p>
      <w:pPr>
        <w:spacing w:line="360" w:lineRule="auto"/>
        <w:ind w:firstLine="480" w:firstLineChars="200"/>
        <w:rPr>
          <w:bCs/>
          <w:sz w:val="24"/>
        </w:rPr>
      </w:pPr>
      <w:r>
        <w:rPr>
          <w:rFonts w:hint="eastAsia"/>
          <w:bCs/>
          <w:sz w:val="24"/>
        </w:rPr>
        <w:t>在投资者认购、申购时收取认购、申购费用，但不从本类别基金资产中计提销售服务费的基金份额，称为A类基金份额；在投资者认购、申购时不收取认购、申购费用，但从本类别基金资产中计提销售服务费的基金份额，称为C类基金份额。</w:t>
      </w:r>
    </w:p>
    <w:p>
      <w:pPr>
        <w:spacing w:line="360" w:lineRule="auto"/>
        <w:ind w:firstLine="480" w:firstLineChars="200"/>
        <w:rPr>
          <w:bCs/>
          <w:sz w:val="24"/>
        </w:rPr>
      </w:pPr>
      <w:r>
        <w:rPr>
          <w:rFonts w:hint="eastAsia"/>
          <w:bCs/>
          <w:sz w:val="24"/>
        </w:rPr>
        <w:t>本基金A类基金份额、C类基金份额分别设置代码。本基金A类基金份额、C类基金份额将分别计算基金份额净值，计算公式为计算日各类别基金资产净值除以计算日发售在外的该类别基金份额总数。</w:t>
      </w:r>
    </w:p>
    <w:p>
      <w:pPr>
        <w:spacing w:line="360" w:lineRule="auto"/>
        <w:ind w:firstLine="480" w:firstLineChars="200"/>
        <w:rPr>
          <w:bCs/>
          <w:sz w:val="24"/>
        </w:rPr>
      </w:pPr>
      <w:r>
        <w:rPr>
          <w:rFonts w:hint="eastAsia"/>
          <w:bCs/>
          <w:sz w:val="24"/>
        </w:rPr>
        <w:t>投资者可自行选择认购或申购的基金份额类别。</w:t>
      </w:r>
    </w:p>
    <w:p>
      <w:pPr>
        <w:spacing w:line="360" w:lineRule="auto"/>
        <w:ind w:firstLine="480" w:firstLineChars="200"/>
        <w:rPr>
          <w:bCs/>
          <w:sz w:val="24"/>
        </w:rPr>
      </w:pPr>
      <w:r>
        <w:rPr>
          <w:rFonts w:hint="eastAsia"/>
          <w:bCs/>
          <w:sz w:val="24"/>
        </w:rPr>
        <w:t>在不违反法律法规、基金合同的约定以及对基金份额持有人利益无实质性不利影响的情况下，经与基金托管人协商一致，基金管理人可调整基金份额类别设置、对基金份额分类办法及规则进行调整并在调整实施之日前依照《信息披露办法》的有关规定在规定媒介上公告，不需要召开基金份额持有人大会。</w:t>
      </w:r>
    </w:p>
    <w:p>
      <w:pPr>
        <w:pStyle w:val="2"/>
        <w:spacing w:before="0" w:after="0"/>
        <w:jc w:val="center"/>
        <w:rPr>
          <w:rFonts w:ascii="Times New Roman"/>
          <w:color w:val="auto"/>
          <w:sz w:val="30"/>
        </w:rPr>
        <w:sectPr>
          <w:footerReference r:id="rId11" w:type="default"/>
          <w:pgSz w:w="11906" w:h="16838"/>
          <w:pgMar w:top="1440" w:right="1800" w:bottom="1440" w:left="1800" w:header="851" w:footer="992" w:gutter="0"/>
          <w:pgNumType w:start="1"/>
          <w:cols w:space="720" w:num="1"/>
          <w:docGrid w:type="lines" w:linePitch="312" w:charSpace="0"/>
        </w:sectPr>
      </w:pPr>
      <w:bookmarkStart w:id="86" w:name="_Toc27226"/>
      <w:bookmarkStart w:id="87" w:name="_Toc29784"/>
      <w:bookmarkStart w:id="88" w:name="_Toc15203"/>
      <w:bookmarkStart w:id="89" w:name="_Toc27189"/>
      <w:bookmarkStart w:id="90" w:name="_Toc29948"/>
      <w:bookmarkStart w:id="91" w:name="_Toc3266"/>
      <w:bookmarkStart w:id="92" w:name="_Toc90742688"/>
      <w:bookmarkStart w:id="93" w:name="_Toc6714"/>
      <w:bookmarkStart w:id="94" w:name="_Toc22074"/>
      <w:bookmarkStart w:id="95" w:name="_Toc16265"/>
      <w:bookmarkStart w:id="96" w:name="_Toc90742390"/>
      <w:bookmarkStart w:id="97" w:name="_Toc90742321"/>
      <w:bookmarkStart w:id="98" w:name="_Toc7151"/>
      <w:bookmarkStart w:id="99" w:name="_Toc24682"/>
    </w:p>
    <w:p>
      <w:pPr>
        <w:pStyle w:val="2"/>
        <w:spacing w:before="0" w:after="0"/>
        <w:jc w:val="center"/>
        <w:rPr>
          <w:rFonts w:ascii="Times New Roman"/>
          <w:color w:val="auto"/>
          <w:sz w:val="30"/>
        </w:rPr>
      </w:pPr>
      <w:r>
        <w:t xml:space="preserve"> </w:t>
      </w:r>
      <w:bookmarkStart w:id="100" w:name="CTS_4e13e34f2ae949eeadb40f4353c97a24"/>
      <w:bookmarkEnd w:id="100"/>
      <w:bookmarkStart w:id="101" w:name="_Toc132366446"/>
      <w:r>
        <w:rPr>
          <w:rFonts w:ascii="Times New Roman"/>
          <w:color w:val="auto"/>
          <w:sz w:val="30"/>
        </w:rPr>
        <w:t>第四部分</w:t>
      </w:r>
      <w:r>
        <w:rPr>
          <w:rFonts w:hint="eastAsia"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1"/>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通过各销售机构的基金销售网点公开发售，各销售机构的具体名单见基金份额发售公告以及基金管理人</w:t>
      </w:r>
      <w:r>
        <w:rPr>
          <w:rFonts w:hint="eastAsia"/>
          <w:bCs/>
          <w:sz w:val="24"/>
        </w:rPr>
        <w:t>网站</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、合格境外机构投资者和人民币</w:t>
      </w:r>
      <w:r>
        <w:rPr>
          <w:bCs/>
          <w:sz w:val="24"/>
        </w:rPr>
        <w:t>合格境外机构投资者以及法律法规或中国证监会允许购买证券投资基金的其他投资人</w:t>
      </w:r>
      <w:r>
        <w:rPr>
          <w:rFonts w:hint="eastAsia"/>
          <w:bCs/>
          <w:sz w:val="24"/>
        </w:rPr>
        <w:t>。</w:t>
      </w:r>
    </w:p>
    <w:p>
      <w:pPr>
        <w:spacing w:line="360" w:lineRule="auto"/>
        <w:ind w:firstLine="480" w:firstLineChars="200"/>
        <w:rPr>
          <w:bCs/>
          <w:sz w:val="24"/>
        </w:rPr>
      </w:pPr>
      <w:r>
        <w:rPr>
          <w:rFonts w:hint="eastAsia"/>
          <w:bCs/>
          <w:sz w:val="24"/>
        </w:rPr>
        <w:t>具体发售对象以招募说明书、基金份额发售公告或相关公告为准。</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本基金A类基金份额的认购费率由基金管理人决定，并在招募说明书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C类基金份额不收取认购费用。</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bCs/>
          <w:sz w:val="24"/>
        </w:rPr>
        <w:t>认购份额</w:t>
      </w:r>
      <w:bookmarkStart w:id="102" w:name="OLE_LINK1"/>
      <w:r>
        <w:rPr>
          <w:bCs/>
          <w:sz w:val="24"/>
        </w:rPr>
        <w:t>的计算</w:t>
      </w:r>
      <w:bookmarkEnd w:id="102"/>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pPr>
        <w:spacing w:line="360" w:lineRule="auto"/>
        <w:ind w:firstLine="480" w:firstLineChars="200"/>
        <w:rPr>
          <w:bCs/>
          <w:sz w:val="24"/>
        </w:rPr>
      </w:pPr>
      <w:r>
        <w:rPr>
          <w:rFonts w:hint="eastAsia"/>
          <w:bCs/>
          <w:sz w:val="24"/>
        </w:rPr>
        <w:t>三、</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pPr>
        <w:spacing w:line="360" w:lineRule="auto"/>
        <w:ind w:firstLine="480" w:firstLineChars="200"/>
        <w:rPr>
          <w:bCs/>
          <w:sz w:val="24"/>
        </w:rPr>
      </w:pPr>
      <w:r>
        <w:rPr>
          <w:rFonts w:hint="eastAsia"/>
          <w:bCs/>
          <w:sz w:val="24"/>
        </w:rPr>
        <w:t>5</w:t>
      </w:r>
      <w:r>
        <w:rPr>
          <w:bCs/>
          <w:sz w:val="24"/>
        </w:rPr>
        <w:t>、</w:t>
      </w:r>
      <w:r>
        <w:rPr>
          <w:rFonts w:hint="eastAsia"/>
          <w:bCs/>
          <w:sz w:val="24"/>
        </w:rPr>
        <w:t>投资人在募集期内可以多次认购基金份额，A类基金份额的认购费按每笔该类基金份额认购申请单独计算，但已受理的认购申请不允许撤销。</w:t>
      </w:r>
    </w:p>
    <w:p>
      <w:pPr>
        <w:spacing w:line="360" w:lineRule="auto"/>
        <w:ind w:firstLine="480" w:firstLineChars="200"/>
        <w:rPr>
          <w:bCs/>
          <w:sz w:val="24"/>
        </w:rPr>
        <w:sectPr>
          <w:footerReference r:id="rId12" w:type="default"/>
          <w:pgSz w:w="11906" w:h="16838"/>
          <w:pgMar w:top="1440" w:right="1800" w:bottom="1440" w:left="1800" w:header="851" w:footer="992" w:gutter="0"/>
          <w:pgNumType w:start="1"/>
          <w:cols w:space="720" w:num="1"/>
          <w:docGrid w:type="lines" w:linePitch="312" w:charSpace="0"/>
        </w:sectPr>
      </w:pPr>
      <w:r>
        <w:rPr>
          <w:rFonts w:hint="eastAsia"/>
          <w:bCs/>
          <w:sz w:val="24"/>
        </w:rPr>
        <w:t>6、本基金可设置首次募集规模上限，具体募集上限及规模控制的方案详见基金份额发售公告或其他公告。若本基金设置首次募集规模上限，基金合同生效后不受首次募集规模的限制。</w:t>
      </w:r>
      <w:bookmarkEnd w:id="85"/>
      <w:bookmarkStart w:id="103" w:name="CTS_93a2a08e480b47fdb7f7eaa668f6c1af"/>
      <w:bookmarkEnd w:id="103"/>
      <w:bookmarkStart w:id="104" w:name="_Toc7848"/>
      <w:bookmarkStart w:id="105" w:name="_Toc18329"/>
      <w:bookmarkStart w:id="106" w:name="_Toc14893"/>
      <w:bookmarkStart w:id="107" w:name="_Toc139991735"/>
      <w:bookmarkStart w:id="108" w:name="_Toc1823"/>
      <w:bookmarkStart w:id="109" w:name="_Toc17912"/>
      <w:bookmarkStart w:id="110" w:name="_Toc26986"/>
      <w:bookmarkStart w:id="111" w:name="_Toc6559"/>
      <w:bookmarkStart w:id="112" w:name="_Toc18797"/>
      <w:bookmarkStart w:id="113" w:name="_Toc21988"/>
      <w:bookmarkStart w:id="114" w:name="_Toc141703885"/>
      <w:bookmarkStart w:id="115" w:name="_Toc4741"/>
      <w:bookmarkStart w:id="116" w:name="_Toc18526"/>
      <w:bookmarkStart w:id="117" w:name="CLAUSE_93a2a08e480b47fdb7f7eaa668f6c1af"/>
    </w:p>
    <w:p>
      <w:pPr>
        <w:pStyle w:val="2"/>
        <w:spacing w:before="0" w:after="0"/>
        <w:jc w:val="center"/>
        <w:rPr>
          <w:rFonts w:ascii="Times New Roman"/>
          <w:color w:val="auto"/>
          <w:sz w:val="30"/>
        </w:rPr>
      </w:pPr>
      <w:r>
        <w:rPr>
          <w:rFonts w:hint="eastAsia" w:ascii="Times New Roman"/>
          <w:color w:val="auto"/>
          <w:sz w:val="30"/>
        </w:rPr>
        <w:t xml:space="preserve"> </w:t>
      </w:r>
      <w:bookmarkStart w:id="118" w:name="_Toc132366447"/>
      <w:r>
        <w:rPr>
          <w:rFonts w:ascii="Times New Roman"/>
          <w:color w:val="auto"/>
          <w:sz w:val="30"/>
        </w:rPr>
        <w:t>第五部分</w:t>
      </w:r>
      <w:r>
        <w:rPr>
          <w:rFonts w:hint="eastAsia" w:ascii="Times New Roman"/>
          <w:color w:val="auto"/>
          <w:sz w:val="30"/>
        </w:rPr>
        <w:t xml:space="preserve">  </w:t>
      </w:r>
      <w:r>
        <w:rPr>
          <w:rFonts w:ascii="Times New Roman"/>
          <w:color w:val="auto"/>
          <w:sz w:val="30"/>
        </w:rPr>
        <w:t>基金备案</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8"/>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金额不少于2</w:t>
      </w:r>
      <w:r>
        <w:rPr>
          <w:bCs/>
          <w:sz w:val="24"/>
        </w:rPr>
        <w:t>亿</w:t>
      </w:r>
      <w:r>
        <w:rPr>
          <w:rFonts w:hint="eastAsia"/>
          <w:bCs/>
          <w:sz w:val="24"/>
        </w:rPr>
        <w:t>元人民币且</w:t>
      </w:r>
      <w:r>
        <w:rPr>
          <w:bCs/>
          <w:sz w:val="24"/>
        </w:rPr>
        <w:t>基金认购人数</w:t>
      </w:r>
      <w:r>
        <w:rPr>
          <w:rFonts w:hint="eastAsia"/>
          <w:bCs/>
          <w:sz w:val="24"/>
        </w:rPr>
        <w:t>不少于200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基金管理人</w:t>
      </w:r>
      <w:r>
        <w:rPr>
          <w:bCs/>
          <w:sz w:val="24"/>
        </w:rPr>
        <w:t>自收到验资报告之日起</w:t>
      </w:r>
      <w:r>
        <w:rPr>
          <w:rFonts w:hint="eastAsia"/>
          <w:bCs/>
          <w:sz w:val="24"/>
        </w:rPr>
        <w:t>10</w:t>
      </w:r>
      <w:r>
        <w:rPr>
          <w:bCs/>
          <w:sz w:val="24"/>
        </w:rPr>
        <w:t>日内，向中国证监会办理基金备案手续。</w:t>
      </w:r>
    </w:p>
    <w:p>
      <w:pPr>
        <w:spacing w:line="360" w:lineRule="auto"/>
        <w:ind w:firstLine="480" w:firstLineChars="20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sz w:val="24"/>
        </w:rPr>
      </w:pPr>
      <w:bookmarkStart w:id="119" w:name="OLE_LINK3"/>
      <w:r>
        <w:rPr>
          <w:rFonts w:hint="eastAsia"/>
          <w:bCs/>
          <w:sz w:val="24"/>
        </w:rPr>
        <w:t>基金合同生效后，连续二十个工作日出现基金份额持有人数量不满二百人或者基金资产净值低于五千万元情形的，基金管理人应当在定期报告中予以披露；连续五十个工作日出现前述情形的，</w:t>
      </w:r>
      <w:r>
        <w:rPr>
          <w:bCs/>
          <w:sz w:val="24"/>
        </w:rPr>
        <w:t>本基金将根据基金合同的约定进行基金财产清算并终止</w:t>
      </w:r>
      <w:r>
        <w:rPr>
          <w:rFonts w:hint="eastAsia"/>
          <w:bCs/>
          <w:sz w:val="24"/>
        </w:rPr>
        <w:t>，</w:t>
      </w:r>
      <w:r>
        <w:rPr>
          <w:bCs/>
          <w:sz w:val="24"/>
        </w:rPr>
        <w:t>而无</w:t>
      </w:r>
      <w:r>
        <w:rPr>
          <w:rFonts w:hint="eastAsia"/>
          <w:bCs/>
          <w:sz w:val="24"/>
        </w:rPr>
        <w:t>需召开基金份额持有人大会。</w:t>
      </w:r>
    </w:p>
    <w:bookmarkEnd w:id="119"/>
    <w:p>
      <w:pPr>
        <w:spacing w:line="360" w:lineRule="auto"/>
        <w:ind w:firstLine="480" w:firstLineChars="200"/>
        <w:rPr>
          <w:bCs/>
          <w:sz w:val="24"/>
        </w:rPr>
      </w:pPr>
      <w:r>
        <w:rPr>
          <w:rFonts w:hint="eastAsia"/>
          <w:bCs/>
          <w:sz w:val="24"/>
        </w:rPr>
        <w:t>法律法规或</w:t>
      </w:r>
      <w:r>
        <w:rPr>
          <w:bCs/>
          <w:sz w:val="24"/>
        </w:rPr>
        <w:t>监管机构</w:t>
      </w:r>
      <w:r>
        <w:rPr>
          <w:rFonts w:hint="eastAsia"/>
          <w:bCs/>
          <w:sz w:val="24"/>
        </w:rPr>
        <w:t>另有规定时，从其规定。</w:t>
      </w:r>
    </w:p>
    <w:bookmarkEnd w:id="117"/>
    <w:p>
      <w:pPr>
        <w:pStyle w:val="2"/>
        <w:spacing w:before="0" w:after="0"/>
        <w:jc w:val="center"/>
        <w:rPr>
          <w:rFonts w:ascii="Times New Roman"/>
          <w:color w:val="auto"/>
          <w:sz w:val="30"/>
        </w:rPr>
        <w:sectPr>
          <w:footerReference r:id="rId13" w:type="default"/>
          <w:pgSz w:w="11906" w:h="16838"/>
          <w:pgMar w:top="1440" w:right="1800" w:bottom="1440" w:left="1800" w:header="851" w:footer="992" w:gutter="0"/>
          <w:pgNumType w:start="1"/>
          <w:cols w:space="720" w:num="1"/>
          <w:docGrid w:type="lines" w:linePitch="312" w:charSpace="0"/>
        </w:sectPr>
      </w:pPr>
      <w:bookmarkStart w:id="120" w:name="CTS_7f815117cce0433a83d976d9b9674c0a"/>
      <w:bookmarkEnd w:id="120"/>
      <w:bookmarkStart w:id="121" w:name="_Toc1270"/>
      <w:bookmarkStart w:id="122" w:name="_Toc123112234"/>
      <w:bookmarkStart w:id="123" w:name="_Toc10463"/>
      <w:bookmarkStart w:id="124" w:name="_Toc7920"/>
      <w:bookmarkStart w:id="125" w:name="_Toc4003"/>
      <w:bookmarkStart w:id="126" w:name="_Toc17244"/>
      <w:bookmarkStart w:id="127" w:name="_Toc23822"/>
      <w:bookmarkStart w:id="128" w:name="_Toc48649707"/>
      <w:bookmarkStart w:id="129" w:name="_Toc79392606"/>
      <w:bookmarkStart w:id="130" w:name="_Toc123102453"/>
      <w:bookmarkStart w:id="131" w:name="_Toc139991736"/>
      <w:bookmarkStart w:id="132" w:name="_Toc98560352"/>
      <w:bookmarkStart w:id="133" w:name="_Toc610"/>
      <w:bookmarkStart w:id="134" w:name="_Toc20733"/>
      <w:bookmarkStart w:id="135" w:name="_Toc123051452"/>
      <w:bookmarkStart w:id="136" w:name="_Toc141703886"/>
      <w:bookmarkStart w:id="137" w:name="_Toc1427"/>
      <w:bookmarkStart w:id="138" w:name="_Toc23261"/>
      <w:bookmarkStart w:id="139" w:name="_Toc11081"/>
      <w:bookmarkStart w:id="140" w:name="CLAUSE_7f815117cce0433a83d976d9b9674c0a"/>
    </w:p>
    <w:p>
      <w:pPr>
        <w:pStyle w:val="2"/>
        <w:spacing w:before="0" w:after="0"/>
        <w:jc w:val="center"/>
        <w:rPr>
          <w:rFonts w:ascii="Times New Roman"/>
          <w:color w:val="auto"/>
          <w:sz w:val="30"/>
        </w:rPr>
      </w:pPr>
      <w:r>
        <w:t xml:space="preserve"> </w:t>
      </w:r>
      <w:bookmarkStart w:id="141" w:name="_Toc132366448"/>
      <w:r>
        <w:rPr>
          <w:rFonts w:ascii="Times New Roman"/>
          <w:color w:val="auto"/>
          <w:sz w:val="30"/>
        </w:rPr>
        <w:t>第六部分</w:t>
      </w:r>
      <w:r>
        <w:rPr>
          <w:rFonts w:hint="eastAsia" w:ascii="Times New Roman"/>
          <w:color w:val="auto"/>
          <w:sz w:val="30"/>
        </w:rPr>
        <w:t xml:space="preserve">  </w:t>
      </w:r>
      <w:r>
        <w:rPr>
          <w:rFonts w:ascii="Times New Roman"/>
          <w:color w:val="auto"/>
          <w:sz w:val="30"/>
        </w:rPr>
        <w:t>基金份额的申购与赎回</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1"/>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bCs/>
          <w:sz w:val="24"/>
        </w:rPr>
        <w:t>投资人在开放日办理基金份额的申购和赎回，具体办理时间为上海证券交易所、深圳证券交易所</w:t>
      </w:r>
      <w:r>
        <w:rPr>
          <w:rFonts w:hint="eastAsia"/>
          <w:bCs/>
          <w:sz w:val="24"/>
        </w:rPr>
        <w:t>及相关</w:t>
      </w:r>
      <w:r>
        <w:rPr>
          <w:bCs/>
          <w:sz w:val="24"/>
        </w:rPr>
        <w:t>期货交易所的正常交易日的交易时间，但基金管理人根据法律法规、中国证监会的要求或本基金合同的规定公告暂停申购、赎回时除外。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w:t>
      </w:r>
      <w:r>
        <w:rPr>
          <w:rFonts w:hint="eastAsia"/>
          <w:bCs/>
          <w:sz w:val="24"/>
        </w:rPr>
        <w:t>/期货</w:t>
      </w:r>
      <w:r>
        <w:rPr>
          <w:bCs/>
          <w:sz w:val="24"/>
        </w:rPr>
        <w:t>交易市场</w:t>
      </w:r>
      <w:r>
        <w:rPr>
          <w:rFonts w:hint="eastAsia"/>
          <w:bCs/>
          <w:sz w:val="24"/>
        </w:rPr>
        <w:t>，</w:t>
      </w:r>
      <w:r>
        <w:rPr>
          <w:bCs/>
          <w:sz w:val="24"/>
        </w:rPr>
        <w:t>证券</w:t>
      </w:r>
      <w:r>
        <w:rPr>
          <w:rFonts w:hint="eastAsia"/>
          <w:bCs/>
          <w:sz w:val="24"/>
        </w:rPr>
        <w:t>/期</w:t>
      </w:r>
      <w:r>
        <w:rPr>
          <w:bCs/>
          <w:sz w:val="24"/>
        </w:rPr>
        <w:t>货交易所交易时间变更或其他特殊情况，基金管理人将视情况对前述开放日及开放时间进行相应的调整，但应在实施日前依照《信息披露办法》的有关规定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pPr>
        <w:spacing w:line="360" w:lineRule="auto"/>
        <w:ind w:firstLine="480" w:firstLineChars="200"/>
        <w:rPr>
          <w:bCs/>
          <w:sz w:val="24"/>
        </w:rPr>
      </w:pPr>
      <w:r>
        <w:rPr>
          <w:rFonts w:hint="eastAsia"/>
          <w:bCs/>
          <w:sz w:val="24"/>
        </w:rPr>
        <w:t>对于每份基金份额，基金管理人仅在该基金份额的每个运作期到期日为基金份额持有人办理赎回。认购份额的首个运作期起始日指基金合同生效日，申购份额的首个运作期起始日指基金份额申购确认日，首个运作期到期日为首个运作期起始日后的第9</w:t>
      </w:r>
      <w:r>
        <w:rPr>
          <w:bCs/>
          <w:sz w:val="24"/>
        </w:rPr>
        <w:t>0</w:t>
      </w:r>
      <w:r>
        <w:rPr>
          <w:rFonts w:hint="eastAsia"/>
          <w:bCs/>
          <w:sz w:val="24"/>
        </w:rPr>
        <w:t>日（如该日为非工作日，则顺延到下一工作日）。第二个运作期自首个运作期到期日的次一日起，至首个运作期起始日后的第1</w:t>
      </w:r>
      <w:r>
        <w:rPr>
          <w:bCs/>
          <w:sz w:val="24"/>
        </w:rPr>
        <w:t>80</w:t>
      </w:r>
      <w:r>
        <w:rPr>
          <w:rFonts w:hint="eastAsia"/>
          <w:bCs/>
          <w:sz w:val="24"/>
        </w:rPr>
        <w:t>日（如该日为非工作日，则顺延至下一工作日）止，以此类推。</w:t>
      </w:r>
    </w:p>
    <w:p>
      <w:pPr>
        <w:spacing w:line="360" w:lineRule="auto"/>
        <w:ind w:firstLine="480" w:firstLineChars="200"/>
        <w:rPr>
          <w:bCs/>
          <w:sz w:val="24"/>
        </w:rPr>
      </w:pPr>
      <w:r>
        <w:rPr>
          <w:rFonts w:hint="eastAsia"/>
          <w:bCs/>
          <w:sz w:val="24"/>
        </w:rPr>
        <w:t>基金管理人自本基金合同生效之日后的第</w:t>
      </w:r>
      <w:r>
        <w:rPr>
          <w:bCs/>
          <w:sz w:val="24"/>
        </w:rPr>
        <w:t>90</w:t>
      </w:r>
      <w:r>
        <w:rPr>
          <w:rFonts w:hint="eastAsia"/>
          <w:bCs/>
          <w:sz w:val="24"/>
        </w:rPr>
        <w:t>天（如该日为非工作日，则顺延到下一工作日）开始办理赎回，具体日期在赎回开始公告中规定。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w:t>
      </w:r>
      <w:r>
        <w:rPr>
          <w:rFonts w:hint="eastAsia"/>
          <w:bCs/>
          <w:sz w:val="24"/>
        </w:rPr>
        <w:t>在规定媒介上公告申购与赎回的开始时间</w:t>
      </w:r>
      <w:r>
        <w:rPr>
          <w:bCs/>
          <w:sz w:val="24"/>
        </w:rPr>
        <w:t>。</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w:t>
      </w:r>
      <w:r>
        <w:rPr>
          <w:rFonts w:hint="eastAsia"/>
          <w:bCs/>
          <w:sz w:val="24"/>
        </w:rPr>
        <w:t>或转换</w:t>
      </w:r>
      <w:r>
        <w:rPr>
          <w:bCs/>
          <w:sz w:val="24"/>
        </w:rPr>
        <w:t>申请</w:t>
      </w:r>
      <w:r>
        <w:rPr>
          <w:rFonts w:hint="eastAsia"/>
          <w:bCs/>
          <w:sz w:val="24"/>
        </w:rPr>
        <w:t>且登记机构确认接受</w:t>
      </w:r>
      <w:r>
        <w:rPr>
          <w:bCs/>
          <w:sz w:val="24"/>
        </w:rPr>
        <w:t>的，其基金份额申购、赎回</w:t>
      </w:r>
      <w:r>
        <w:rPr>
          <w:rFonts w:hint="eastAsia"/>
          <w:bCs/>
          <w:sz w:val="24"/>
        </w:rPr>
        <w:t>或</w:t>
      </w:r>
      <w:r>
        <w:rPr>
          <w:bCs/>
          <w:sz w:val="24"/>
        </w:rPr>
        <w:t>转换价格为下一开放日该类别基金份额申购、赎回</w:t>
      </w:r>
      <w:r>
        <w:rPr>
          <w:rFonts w:hint="eastAsia"/>
          <w:bCs/>
          <w:sz w:val="24"/>
        </w:rPr>
        <w:t>或</w:t>
      </w:r>
      <w:r>
        <w:rPr>
          <w:bCs/>
          <w:sz w:val="24"/>
        </w:rPr>
        <w:t>转换的价格。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w:t>
      </w:r>
      <w:r>
        <w:rPr>
          <w:rFonts w:hint="eastAsia"/>
          <w:bCs/>
          <w:sz w:val="24"/>
        </w:rPr>
        <w:t>各类</w:t>
      </w:r>
      <w:r>
        <w:rPr>
          <w:bCs/>
          <w:sz w:val="24"/>
        </w:rPr>
        <w:t>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5、办理申购、赎回业务时，应当遵循基金份额持有人利益优先原则，确保投资者的合法权益不受损害并得到公平对待。</w:t>
      </w:r>
    </w:p>
    <w:p>
      <w:pPr>
        <w:spacing w:line="360" w:lineRule="auto"/>
        <w:ind w:firstLine="480" w:firstLineChars="200"/>
        <w:rPr>
          <w:bCs/>
        </w:rPr>
      </w:pPr>
      <w:r>
        <w:rPr>
          <w:bCs/>
          <w:sz w:val="24"/>
        </w:rPr>
        <w:t>基金管理人可在</w:t>
      </w:r>
      <w:r>
        <w:rPr>
          <w:rFonts w:hint="eastAsia"/>
          <w:bCs/>
          <w:sz w:val="24"/>
        </w:rPr>
        <w:t>不违反</w:t>
      </w:r>
      <w:r>
        <w:rPr>
          <w:bCs/>
          <w:sz w:val="24"/>
        </w:rPr>
        <w:t>法律法规</w:t>
      </w:r>
      <w:r>
        <w:rPr>
          <w:rFonts w:hint="eastAsia"/>
          <w:bCs/>
          <w:sz w:val="24"/>
        </w:rPr>
        <w:t>规定</w:t>
      </w:r>
      <w:r>
        <w:rPr>
          <w:bCs/>
          <w:sz w:val="24"/>
        </w:rPr>
        <w:t>的情况下，对上述原则进行调整。基金管理人必须在新规则开始实施前依照《信息披露办法》的有关规定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w:t>
      </w:r>
      <w:r>
        <w:rPr>
          <w:rFonts w:hint="eastAsia"/>
          <w:sz w:val="24"/>
          <w:lang w:val="zh-CN"/>
        </w:rPr>
        <w:t>成立；基金份额登记机构确认基金份额时，</w:t>
      </w:r>
      <w:r>
        <w:rPr>
          <w:sz w:val="24"/>
          <w:lang w:val="zh-CN"/>
        </w:rPr>
        <w:t>申购</w:t>
      </w:r>
      <w:r>
        <w:rPr>
          <w:rFonts w:hint="eastAsia"/>
          <w:sz w:val="24"/>
          <w:lang w:val="zh-CN"/>
        </w:rPr>
        <w:t>生</w:t>
      </w:r>
      <w:r>
        <w:rPr>
          <w:sz w:val="24"/>
          <w:lang w:val="zh-CN"/>
        </w:rPr>
        <w:t>效</w:t>
      </w:r>
      <w:r>
        <w:rPr>
          <w:bCs/>
          <w:sz w:val="24"/>
          <w:lang w:val="zh-CN"/>
        </w:rPr>
        <w:t>。</w:t>
      </w:r>
    </w:p>
    <w:p>
      <w:pPr>
        <w:spacing w:line="360" w:lineRule="auto"/>
        <w:ind w:firstLine="480" w:firstLineChars="200"/>
        <w:rPr>
          <w:bCs/>
          <w:sz w:val="24"/>
        </w:rPr>
      </w:pPr>
      <w:r>
        <w:rPr>
          <w:rFonts w:hint="eastAsia"/>
          <w:sz w:val="24"/>
        </w:rPr>
        <w:t>基金份额持有人递交赎回申请，赎回成立；基金份额登记机构确认赎回时，赎回生效。</w:t>
      </w:r>
      <w:r>
        <w:rPr>
          <w:rFonts w:hint="eastAsia"/>
          <w:bCs/>
          <w:sz w:val="24"/>
        </w:rPr>
        <w:t>投资者</w:t>
      </w:r>
      <w:r>
        <w:rPr>
          <w:bCs/>
          <w:sz w:val="24"/>
        </w:rPr>
        <w:t>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pPr>
        <w:spacing w:line="360" w:lineRule="auto"/>
        <w:ind w:firstLine="480" w:firstLineChars="200"/>
        <w:rPr>
          <w:bCs/>
          <w:sz w:val="24"/>
        </w:rPr>
      </w:pPr>
      <w:r>
        <w:rPr>
          <w:rFonts w:hint="eastAsia"/>
          <w:bCs/>
          <w:sz w:val="24"/>
        </w:rPr>
        <w:t>如遇交易所或交易市场数据传输延迟、通讯系统故障、银行数据交换系统故障或其他非基金管理人及基金托管人所能控制的因素影响业务处理流程，则赎回款项划付时间相应顺延至该因素消除的最近一个工作日。</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到销售网点柜台或以销售机构规定的其他方式查询申请的确认情况。若申购不成立</w:t>
      </w:r>
      <w:r>
        <w:rPr>
          <w:rFonts w:hint="eastAsia"/>
          <w:bCs/>
          <w:sz w:val="24"/>
        </w:rPr>
        <w:t>或</w:t>
      </w:r>
      <w:r>
        <w:rPr>
          <w:bCs/>
          <w:sz w:val="24"/>
        </w:rPr>
        <w:t>无效，则申购款项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pPr>
        <w:spacing w:line="360" w:lineRule="auto"/>
        <w:ind w:firstLine="480" w:firstLineChars="200"/>
        <w:rPr>
          <w:bCs/>
          <w:sz w:val="24"/>
        </w:rPr>
      </w:pPr>
      <w:r>
        <w:rPr>
          <w:rFonts w:hint="eastAsia"/>
          <w:bCs/>
          <w:sz w:val="24"/>
        </w:rPr>
        <w:t>基金管理人可以在不违反法律法规和基金合同的范围内，对上述业务办理时间进行调整，并在调整实施前依照《信息披露办法》的有关规定在规定媒介上公告。</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pPr>
        <w:spacing w:line="360" w:lineRule="auto"/>
        <w:ind w:firstLine="480" w:firstLineChars="200"/>
        <w:rPr>
          <w:bCs/>
          <w:sz w:val="24"/>
        </w:rPr>
      </w:pPr>
      <w:r>
        <w:rPr>
          <w:rFonts w:hint="eastAsia"/>
          <w:bCs/>
          <w:sz w:val="24"/>
        </w:rPr>
        <w:t>5、</w:t>
      </w:r>
      <w:r>
        <w:rPr>
          <w:bCs/>
          <w:sz w:val="24"/>
        </w:rPr>
        <w:t>基金管理人可在</w:t>
      </w:r>
      <w:r>
        <w:rPr>
          <w:rFonts w:hint="eastAsia"/>
          <w:bCs/>
          <w:sz w:val="24"/>
        </w:rPr>
        <w:t>不违反</w:t>
      </w:r>
      <w:r>
        <w:rPr>
          <w:bCs/>
          <w:sz w:val="24"/>
        </w:rPr>
        <w:t>法律法规的情况下，调整上述规定申购金额和赎回份额</w:t>
      </w:r>
      <w:r>
        <w:rPr>
          <w:rFonts w:hint="eastAsia"/>
          <w:bCs/>
          <w:sz w:val="24"/>
        </w:rPr>
        <w:t>等</w:t>
      </w:r>
      <w:r>
        <w:rPr>
          <w:bCs/>
          <w:sz w:val="24"/>
        </w:rPr>
        <w:t>数量限制</w:t>
      </w:r>
      <w:r>
        <w:rPr>
          <w:rFonts w:hint="eastAsia"/>
          <w:bCs/>
          <w:sz w:val="24"/>
        </w:rPr>
        <w:t>，或新增规模控制措施</w:t>
      </w:r>
      <w:r>
        <w:rPr>
          <w:bCs/>
          <w:sz w:val="24"/>
        </w:rPr>
        <w:t>。基金管理人必须在调整</w:t>
      </w:r>
      <w:r>
        <w:rPr>
          <w:rFonts w:hint="eastAsia"/>
          <w:bCs/>
          <w:sz w:val="24"/>
        </w:rPr>
        <w:t>实施</w:t>
      </w:r>
      <w:r>
        <w:rPr>
          <w:bCs/>
          <w:sz w:val="24"/>
        </w:rPr>
        <w:t>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、本基金</w:t>
      </w:r>
      <w:r>
        <w:rPr>
          <w:bCs/>
          <w:sz w:val="24"/>
        </w:rPr>
        <w:t>各类基金</w:t>
      </w:r>
      <w:r>
        <w:rPr>
          <w:rFonts w:hint="eastAsia"/>
          <w:bCs/>
          <w:sz w:val="24"/>
        </w:rPr>
        <w:t>份额净值的计算，均保留到小数点后</w:t>
      </w:r>
      <w:r>
        <w:rPr>
          <w:bCs/>
          <w:sz w:val="24"/>
        </w:rPr>
        <w:t>4</w:t>
      </w:r>
      <w:r>
        <w:rPr>
          <w:rFonts w:hint="eastAsia"/>
          <w:bCs/>
          <w:sz w:val="24"/>
        </w:rPr>
        <w:t>位，小数点后第</w:t>
      </w:r>
      <w:r>
        <w:rPr>
          <w:bCs/>
          <w:sz w:val="24"/>
        </w:rPr>
        <w:t>5</w:t>
      </w:r>
      <w:r>
        <w:rPr>
          <w:rFonts w:hint="eastAsia"/>
          <w:bCs/>
          <w:sz w:val="24"/>
        </w:rPr>
        <w:t>位四舍五</w:t>
      </w:r>
      <w:r>
        <w:rPr>
          <w:bCs/>
          <w:sz w:val="24"/>
        </w:rPr>
        <w:t>入，由此产生的收益或损失由基金财产承担。T日的各类基金份额净值在当天收市后计算，并</w:t>
      </w:r>
      <w:r>
        <w:rPr>
          <w:rFonts w:hint="eastAsia"/>
          <w:bCs/>
          <w:sz w:val="24"/>
        </w:rPr>
        <w:t>按照基金合同的约定</w:t>
      </w:r>
      <w:r>
        <w:rPr>
          <w:bCs/>
          <w:sz w:val="24"/>
        </w:rPr>
        <w:t>公告。遇特殊情况，经</w:t>
      </w:r>
      <w:r>
        <w:rPr>
          <w:rFonts w:hint="eastAsia"/>
          <w:bCs/>
          <w:sz w:val="24"/>
        </w:rPr>
        <w:t>履行适当程序</w:t>
      </w:r>
      <w:r>
        <w:rPr>
          <w:bCs/>
          <w:sz w:val="24"/>
        </w:rPr>
        <w:t>，可以适当延迟计算或公告。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A类基金份额</w:t>
      </w:r>
      <w:r>
        <w:rPr>
          <w:bCs/>
          <w:sz w:val="24"/>
        </w:rPr>
        <w:t>的申购费率由基金管理人决定，并在招募说明书及基金产品资料概要中列示。申购的有效份额为净申购金额除以当日的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赎回金额的计算及处理方式：本基金赎回金额的计算详见《招募说明书》。本基金的赎回费率由基金管理人决定，并在招募说明书及基金产品资料概要中列示。赎回金额为按实际确认的有效赎回份额乘以当日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、A类基金份额</w:t>
      </w:r>
      <w:r>
        <w:rPr>
          <w:bCs/>
          <w:sz w:val="24"/>
        </w:rPr>
        <w:t>申购费用由</w:t>
      </w:r>
      <w:r>
        <w:rPr>
          <w:rFonts w:hint="eastAsia"/>
          <w:bCs/>
          <w:sz w:val="24"/>
        </w:rPr>
        <w:t>申购A类基金份额的</w:t>
      </w:r>
      <w:r>
        <w:rPr>
          <w:bCs/>
          <w:sz w:val="24"/>
        </w:rPr>
        <w:t>投资人承担，不列入基金财产。C</w:t>
      </w:r>
      <w:r>
        <w:rPr>
          <w:rFonts w:hint="eastAsia"/>
          <w:bCs/>
          <w:sz w:val="24"/>
        </w:rPr>
        <w:t>类基金份额不收取申购费用。</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w:t>
      </w:r>
      <w:r>
        <w:rPr>
          <w:rFonts w:hint="eastAsia"/>
          <w:bCs/>
          <w:sz w:val="24"/>
        </w:rPr>
        <w:t>手续费</w:t>
      </w:r>
      <w:r>
        <w:rPr>
          <w:bCs/>
          <w:sz w:val="24"/>
        </w:rPr>
        <w:t>。</w:t>
      </w:r>
    </w:p>
    <w:p>
      <w:pPr>
        <w:spacing w:line="360" w:lineRule="auto"/>
        <w:ind w:firstLine="480" w:firstLineChars="200"/>
        <w:rPr>
          <w:bCs/>
          <w:sz w:val="24"/>
        </w:rPr>
      </w:pPr>
      <w:r>
        <w:rPr>
          <w:bCs/>
          <w:sz w:val="24"/>
        </w:rPr>
        <w:t>6</w:t>
      </w:r>
      <w:r>
        <w:rPr>
          <w:rFonts w:hint="eastAsia"/>
          <w:bCs/>
          <w:sz w:val="24"/>
        </w:rPr>
        <w:t>、</w:t>
      </w:r>
      <w:r>
        <w:rPr>
          <w:bCs/>
          <w:sz w:val="24"/>
        </w:rPr>
        <w:t>本基金</w:t>
      </w:r>
      <w:r>
        <w:rPr>
          <w:rFonts w:hint="eastAsia"/>
          <w:bCs/>
          <w:sz w:val="24"/>
        </w:rPr>
        <w:t>A类基金份额</w:t>
      </w:r>
      <w:r>
        <w:rPr>
          <w:bCs/>
          <w:sz w:val="24"/>
        </w:rPr>
        <w:t>的申购费率、</w:t>
      </w:r>
      <w:r>
        <w:rPr>
          <w:rFonts w:hint="eastAsia"/>
          <w:bCs/>
          <w:sz w:val="24"/>
        </w:rPr>
        <w:t>各类</w:t>
      </w:r>
      <w:r>
        <w:rPr>
          <w:bCs/>
          <w:sz w:val="24"/>
        </w:rPr>
        <w:t>基金份额申购份额具体的计算方法、赎回费率、赎回金额具体的计算方法和收费方式由基金管理人根据基金合同的规定确定，并在招募说明书中列示。基金管理人可以在基金合同约定的范围内调整费率或收费方式，并</w:t>
      </w:r>
      <w:r>
        <w:rPr>
          <w:rFonts w:hint="eastAsia"/>
          <w:bCs/>
          <w:sz w:val="24"/>
        </w:rPr>
        <w:t>最迟应于新的费率或收费方式实施日前</w:t>
      </w:r>
      <w:r>
        <w:rPr>
          <w:bCs/>
          <w:sz w:val="24"/>
        </w:rPr>
        <w:t>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7</w:t>
      </w:r>
      <w:r>
        <w:rPr>
          <w:rFonts w:hint="eastAsia"/>
          <w:bCs/>
          <w:sz w:val="24"/>
        </w:rPr>
        <w:t>、基金管理人可以在不违反法律法规规定及基金合同约定的情形下，且对基金份额持有人利益无实质不利影响的前提下，根据市场情况制定基金促销计划，定期或不定期地开展基金促销活动。在基金促销活动期间，按相关监管部门要求履行必要手续后，基金管理人可以适当调低基金的申购费率、赎回费率和</w:t>
      </w:r>
      <w:r>
        <w:rPr>
          <w:bCs/>
          <w:sz w:val="24"/>
        </w:rPr>
        <w:t>销售服务费率</w:t>
      </w:r>
      <w:r>
        <w:rPr>
          <w:rFonts w:hint="eastAsia"/>
          <w:bCs/>
          <w:sz w:val="24"/>
        </w:rPr>
        <w:t>。</w:t>
      </w:r>
    </w:p>
    <w:p>
      <w:pPr>
        <w:spacing w:line="360" w:lineRule="auto"/>
        <w:ind w:firstLine="480" w:firstLineChars="200"/>
        <w:rPr>
          <w:bCs/>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p>
      <w:pPr>
        <w:spacing w:line="360" w:lineRule="auto"/>
        <w:ind w:firstLine="480" w:firstLineChars="200"/>
        <w:rPr>
          <w:bCs/>
          <w:sz w:val="24"/>
        </w:rPr>
      </w:pPr>
      <w:bookmarkStart w:id="142" w:name="_Hlt70481650"/>
      <w:bookmarkEnd w:id="142"/>
      <w:r>
        <w:rPr>
          <w:rFonts w:hint="eastAsia"/>
          <w:bCs/>
          <w:sz w:val="24"/>
        </w:rPr>
        <w:t>4、</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7、当特定资产占前一估值日基金资产净值50%以上的，经与基金托管人协商确认后，基金管理人应当暂停接受基金申购申请。</w:t>
      </w:r>
    </w:p>
    <w:p>
      <w:pPr>
        <w:spacing w:line="360" w:lineRule="auto"/>
        <w:ind w:firstLine="480" w:firstLineChars="200"/>
        <w:rPr>
          <w:bCs/>
          <w:sz w:val="24"/>
        </w:rPr>
      </w:pPr>
      <w:r>
        <w:rPr>
          <w:rFonts w:hint="eastAsia"/>
          <w:bCs/>
          <w:sz w:val="24"/>
        </w:rPr>
        <w:t>8、基金管理人接受某笔或者某些申购申请有可能导致单一投资者持有基金份额的比例达到或者超过50%，或者变相规避50%集中度的情形时。</w:t>
      </w:r>
    </w:p>
    <w:p>
      <w:pPr>
        <w:spacing w:line="360" w:lineRule="auto"/>
        <w:ind w:firstLine="480" w:firstLineChars="200"/>
        <w:rPr>
          <w:bCs/>
          <w:sz w:val="24"/>
        </w:rPr>
      </w:pPr>
      <w:r>
        <w:rPr>
          <w:rFonts w:hint="eastAsia"/>
          <w:bCs/>
          <w:sz w:val="24"/>
        </w:rPr>
        <w:t>9、</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、6、7、9</w:t>
      </w:r>
      <w:r>
        <w:rPr>
          <w:bCs/>
          <w:sz w:val="24"/>
        </w:rPr>
        <w:t>项暂停申购情形</w:t>
      </w:r>
      <w:r>
        <w:rPr>
          <w:rFonts w:hint="eastAsia"/>
          <w:bCs/>
          <w:sz w:val="24"/>
        </w:rPr>
        <w:t>之一且基金管理人决定暂停申购申请</w:t>
      </w:r>
      <w:r>
        <w:rPr>
          <w:bCs/>
          <w:sz w:val="24"/>
        </w:rPr>
        <w:t>时，基金管理人应当根据有关规定</w:t>
      </w:r>
      <w:r>
        <w:rPr>
          <w:rFonts w:hint="eastAsia"/>
          <w:bCs/>
          <w:sz w:val="24"/>
        </w:rPr>
        <w:t>进行</w:t>
      </w:r>
      <w:r>
        <w:rPr>
          <w:bCs/>
          <w:sz w:val="24"/>
        </w:rPr>
        <w:t>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43" w:name="_Hlt152500890"/>
      <w:r>
        <w:rPr>
          <w:bCs/>
          <w:sz w:val="24"/>
        </w:rPr>
        <w:t>净值。</w:t>
      </w:r>
    </w:p>
    <w:p>
      <w:pPr>
        <w:spacing w:line="360" w:lineRule="auto"/>
        <w:ind w:firstLine="480" w:firstLineChars="200"/>
        <w:rPr>
          <w:bCs/>
          <w:sz w:val="24"/>
        </w:rPr>
      </w:pPr>
      <w:r>
        <w:rPr>
          <w:rFonts w:hint="eastAsia"/>
          <w:bCs/>
          <w:sz w:val="24"/>
        </w:rPr>
        <w:t>4、</w:t>
      </w:r>
      <w:r>
        <w:rPr>
          <w:bCs/>
          <w:sz w:val="24"/>
        </w:rPr>
        <w:t>连续两个或两个以上开放日发生巨额赎回。</w:t>
      </w:r>
    </w:p>
    <w:bookmarkEnd w:id="143"/>
    <w:p>
      <w:pPr>
        <w:spacing w:line="360" w:lineRule="auto"/>
        <w:ind w:firstLine="480" w:firstLineChars="200"/>
        <w:rPr>
          <w:bCs/>
          <w:sz w:val="24"/>
        </w:rPr>
      </w:pPr>
      <w:r>
        <w:rPr>
          <w:rFonts w:hint="eastAsia"/>
          <w:bCs/>
          <w:sz w:val="24"/>
        </w:rPr>
        <w:t>5、发生继续接受赎回申请将损害</w:t>
      </w:r>
      <w:r>
        <w:rPr>
          <w:bCs/>
          <w:sz w:val="24"/>
        </w:rPr>
        <w:t>现有基金份额持有人利益的情形</w:t>
      </w:r>
      <w:r>
        <w:rPr>
          <w:rFonts w:hint="eastAsia"/>
          <w:bCs/>
          <w:sz w:val="24"/>
        </w:rPr>
        <w:t>时。</w:t>
      </w:r>
    </w:p>
    <w:p>
      <w:pPr>
        <w:spacing w:line="360" w:lineRule="auto"/>
        <w:ind w:firstLine="480" w:firstLineChars="200"/>
        <w:rPr>
          <w:bCs/>
          <w:sz w:val="24"/>
        </w:rPr>
      </w:pPr>
      <w:r>
        <w:rPr>
          <w:rFonts w:hint="eastAsia"/>
          <w:bCs/>
          <w:sz w:val="24"/>
        </w:rPr>
        <w:t>6、当特定资产占前一估值日基金资产净值50%以上的，经与基金托管人协商确认后，基金管理人应当延缓支付赎回款项或暂停接受基金赎回申请。</w:t>
      </w:r>
    </w:p>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（第4项除外）之一且基金管理人决定暂停接受基金份额持有人的赎回申请或延缓支付赎回款项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w:t>
      </w:r>
      <w:r>
        <w:rPr>
          <w:rFonts w:hint="eastAsia"/>
          <w:bCs/>
          <w:sz w:val="24"/>
        </w:rPr>
        <w:t>，</w:t>
      </w:r>
      <w:r>
        <w:rPr>
          <w:bCs/>
          <w:sz w:val="24"/>
        </w:rPr>
        <w:t>未支付部分可延期支付，并以</w:t>
      </w:r>
      <w:r>
        <w:rPr>
          <w:rFonts w:hint="eastAsia"/>
          <w:bCs/>
          <w:sz w:val="24"/>
        </w:rPr>
        <w:t>申请当日收市后计算</w:t>
      </w:r>
      <w:r>
        <w:rPr>
          <w:bCs/>
          <w:sz w:val="24"/>
        </w:rPr>
        <w:t>的</w:t>
      </w:r>
      <w:r>
        <w:rPr>
          <w:rFonts w:hint="eastAsia"/>
          <w:bCs/>
          <w:sz w:val="24"/>
        </w:rPr>
        <w:t>各类</w:t>
      </w:r>
      <w:r>
        <w:rPr>
          <w:bCs/>
          <w:sz w:val="24"/>
        </w:rPr>
        <w:t>基金份额净值为依据计算赎回金额。若出现上述第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w:t>
      </w:r>
      <w:r>
        <w:rPr>
          <w:rFonts w:hint="eastAsia"/>
          <w:bCs/>
          <w:sz w:val="24"/>
        </w:rPr>
        <w:t>工作</w:t>
      </w:r>
      <w:r>
        <w:rPr>
          <w:bCs/>
          <w:sz w:val="24"/>
        </w:rPr>
        <w:t>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pPr>
        <w:spacing w:line="360" w:lineRule="auto"/>
        <w:ind w:firstLine="480" w:firstLineChars="200"/>
        <w:rPr>
          <w:bCs/>
          <w:sz w:val="24"/>
        </w:rPr>
      </w:pPr>
      <w:r>
        <w:rPr>
          <w:rFonts w:hint="eastAsia"/>
          <w:bCs/>
          <w:sz w:val="24"/>
        </w:rPr>
        <w:t>（3）本基金发生巨额赎回时，对于单个基金份额持有人当日赎回申请超过上一工作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Pr>
          <w:bCs/>
          <w:sz w:val="24"/>
        </w:rPr>
        <w:t>10</w:t>
      </w:r>
      <w:r>
        <w:rPr>
          <w:rFonts w:hint="eastAsia"/>
          <w:bCs/>
          <w:sz w:val="24"/>
        </w:rPr>
        <w:t>％的部分，当基金管理人认为有能力支付投资人的全部赎回申请时，按正常赎回程序执行并与其他基金份额持有人的赎回申请一并办理，当基金管理人认为支付投资人的赎回申请有困难或认为因支付投资人的赎回申请而进行的财产变现可能会对基金资产净值造成较大波动时，可在当日接受赎回比例不低于上一工作日基金总份额10%的前提下，对其余赎回申请延期办理。但是，如该持有人在提交赎回申请时选择取消赎回，则其当日未获受理的部分赎回申请将被撤销。</w:t>
      </w:r>
    </w:p>
    <w:p>
      <w:pPr>
        <w:spacing w:line="360" w:lineRule="auto"/>
        <w:ind w:firstLine="480" w:firstLineChars="200"/>
        <w:rPr>
          <w:bCs/>
          <w:sz w:val="24"/>
        </w:rPr>
      </w:pPr>
      <w:r>
        <w:rPr>
          <w:bCs/>
          <w:sz w:val="24"/>
        </w:rPr>
        <w:t>（4）暂停赎回：连续</w:t>
      </w:r>
      <w:r>
        <w:rPr>
          <w:rFonts w:hint="eastAsia"/>
          <w:bCs/>
          <w:sz w:val="24"/>
        </w:rPr>
        <w:t>2个开放</w:t>
      </w:r>
      <w:r>
        <w:rPr>
          <w:bCs/>
          <w:sz w:val="24"/>
        </w:rPr>
        <w:t>日以上(含</w:t>
      </w:r>
      <w:r>
        <w:rPr>
          <w:rFonts w:hint="eastAsia"/>
          <w:bCs/>
          <w:sz w:val="24"/>
        </w:rPr>
        <w:t>本数</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w:t>
      </w:r>
      <w:r>
        <w:rPr>
          <w:rFonts w:hint="eastAsia"/>
          <w:bCs/>
          <w:sz w:val="24"/>
        </w:rPr>
        <w:t>依据相关规定</w:t>
      </w:r>
      <w:r>
        <w:rPr>
          <w:bCs/>
          <w:sz w:val="24"/>
        </w:rPr>
        <w:t>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并在2日内在规定媒介上刊登</w:t>
      </w:r>
      <w:r>
        <w:rPr>
          <w:bCs/>
          <w:sz w:val="24"/>
        </w:rPr>
        <w:t>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rFonts w:hint="eastAsia"/>
          <w:bCs/>
          <w:sz w:val="24"/>
        </w:rPr>
        <w:t>1、发生上述暂停申购或赎回情况的，基金管理人在规定期限内在规定媒介上刊登暂停公告。</w:t>
      </w:r>
    </w:p>
    <w:p>
      <w:pPr>
        <w:spacing w:line="360" w:lineRule="auto"/>
        <w:ind w:firstLine="480" w:firstLineChars="200"/>
        <w:rPr>
          <w:bCs/>
          <w:sz w:val="24"/>
        </w:rPr>
      </w:pPr>
      <w:r>
        <w:rPr>
          <w:rFonts w:hint="eastAsia"/>
          <w:bCs/>
          <w:sz w:val="24"/>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sz w:val="24"/>
        </w:rPr>
      </w:pPr>
      <w:r>
        <w:rPr>
          <w:rFonts w:hint="eastAsia"/>
          <w:bCs/>
          <w:sz w:val="24"/>
        </w:rPr>
        <w:t>3、上述暂停申购或赎回情况消除的，基金管理人应于重新开放日公布最近1个工作日各类基金份额净值。</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对基金份额持有人无实质不利影响，在法律法规允许且条件具备的情况下，履行相关程序后，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基金管理人可以为投资人办理定期定额投资计划，具体规则由基金管理人另行规定。投资人在办理定期定额投资计划时可自行约定每期申购金额，每期</w:t>
      </w:r>
      <w:r>
        <w:rPr>
          <w:rFonts w:hint="eastAsia"/>
          <w:bCs/>
          <w:sz w:val="24"/>
        </w:rPr>
        <w:t>申购</w:t>
      </w:r>
      <w:r>
        <w:rPr>
          <w:bCs/>
          <w:sz w:val="24"/>
        </w:rPr>
        <w:t>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w:t>
      </w:r>
      <w:r>
        <w:rPr>
          <w:bCs/>
          <w:sz w:val="24"/>
        </w:rPr>
        <w:t>基金合同</w:t>
      </w:r>
      <w:r>
        <w:rPr>
          <w:rFonts w:hint="eastAsia"/>
          <w:bCs/>
          <w:sz w:val="24"/>
        </w:rPr>
        <w:t>另有规定的除外。</w:t>
      </w:r>
    </w:p>
    <w:p>
      <w:pPr>
        <w:spacing w:line="360" w:lineRule="auto"/>
        <w:ind w:firstLine="480" w:firstLineChars="200"/>
        <w:rPr>
          <w:bCs/>
          <w:sz w:val="24"/>
        </w:rPr>
      </w:pPr>
      <w:r>
        <w:rPr>
          <w:rFonts w:hint="eastAsia"/>
          <w:bCs/>
          <w:sz w:val="24"/>
        </w:rPr>
        <w:t>对基金份额持有人无实质不利影响的前提下，如相关法律法规允许，履行相关程序后，基金管理人可办理基金份额的质押业务或其他基金业务，基金管理人将制定和实施相应的业务规则。</w:t>
      </w:r>
    </w:p>
    <w:p>
      <w:pPr>
        <w:spacing w:line="360" w:lineRule="auto"/>
        <w:ind w:firstLine="480" w:firstLineChars="200"/>
        <w:rPr>
          <w:bCs/>
          <w:sz w:val="24"/>
        </w:rPr>
      </w:pPr>
      <w:r>
        <w:rPr>
          <w:rFonts w:hint="eastAsia"/>
          <w:bCs/>
          <w:sz w:val="24"/>
        </w:rPr>
        <w:t>十七、实施侧袋机制期间本基金的申购与赎回</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bookmarkEnd w:id="140"/>
    <w:p>
      <w:pPr>
        <w:pStyle w:val="2"/>
        <w:spacing w:before="0" w:after="0"/>
        <w:jc w:val="center"/>
        <w:rPr>
          <w:rFonts w:ascii="Times New Roman"/>
          <w:color w:val="auto"/>
          <w:sz w:val="30"/>
        </w:rPr>
        <w:sectPr>
          <w:footerReference r:id="rId14" w:type="default"/>
          <w:pgSz w:w="11906" w:h="16838"/>
          <w:pgMar w:top="1440" w:right="1800" w:bottom="1440" w:left="1800" w:header="851" w:footer="992" w:gutter="0"/>
          <w:pgNumType w:start="1"/>
          <w:cols w:space="720" w:num="1"/>
          <w:docGrid w:type="lines" w:linePitch="312" w:charSpace="0"/>
        </w:sectPr>
      </w:pPr>
      <w:bookmarkStart w:id="144" w:name="CTS_aaba14f5686d46e1b290b28b2a9fd5fc"/>
      <w:bookmarkEnd w:id="144"/>
      <w:bookmarkStart w:id="145" w:name="_Toc16859"/>
      <w:bookmarkStart w:id="146" w:name="_Toc123051453"/>
      <w:bookmarkStart w:id="147" w:name="_Toc14835"/>
      <w:bookmarkStart w:id="148" w:name="_Toc12245"/>
      <w:bookmarkStart w:id="149" w:name="_Toc29251"/>
      <w:bookmarkStart w:id="150" w:name="_Toc15143"/>
      <w:bookmarkStart w:id="151" w:name="_Toc6405"/>
      <w:bookmarkStart w:id="152" w:name="_Toc98560353"/>
      <w:bookmarkStart w:id="153" w:name="_Toc141703887"/>
      <w:bookmarkStart w:id="154" w:name="_Toc123112235"/>
      <w:bookmarkStart w:id="155" w:name="_Toc31653"/>
      <w:bookmarkStart w:id="156" w:name="_Toc123102454"/>
      <w:bookmarkStart w:id="157" w:name="_Toc31644"/>
      <w:bookmarkStart w:id="158" w:name="_Toc26207"/>
      <w:bookmarkStart w:id="159" w:name="_Toc3601"/>
      <w:bookmarkStart w:id="160" w:name="_Toc31235"/>
      <w:bookmarkStart w:id="161" w:name="_Toc139991737"/>
      <w:bookmarkStart w:id="162" w:name="CLAUSE_aaba14f5686d46e1b290b28b2a9fd5fc"/>
    </w:p>
    <w:p>
      <w:pPr>
        <w:pStyle w:val="2"/>
        <w:spacing w:before="0" w:after="0"/>
        <w:jc w:val="center"/>
        <w:rPr>
          <w:rFonts w:ascii="Times New Roman"/>
          <w:color w:val="auto"/>
          <w:sz w:val="30"/>
        </w:rPr>
      </w:pPr>
      <w:r>
        <w:t xml:space="preserve"> </w:t>
      </w:r>
      <w:bookmarkStart w:id="163" w:name="_Toc132366449"/>
      <w:r>
        <w:rPr>
          <w:rFonts w:ascii="Times New Roman"/>
          <w:color w:val="auto"/>
          <w:sz w:val="30"/>
        </w:rPr>
        <w:t>第七部分</w:t>
      </w:r>
      <w:r>
        <w:rPr>
          <w:rFonts w:hint="eastAsia" w:ascii="Times New Roman"/>
          <w:color w:val="auto"/>
          <w:sz w:val="30"/>
        </w:rPr>
        <w:t xml:space="preserve">  </w:t>
      </w:r>
      <w:r>
        <w:rPr>
          <w:rFonts w:ascii="Times New Roman"/>
          <w:color w:val="auto"/>
          <w:sz w:val="30"/>
        </w:rPr>
        <w:t>基金合同当事人及权利义务</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3"/>
      <w:bookmarkStart w:id="164" w:name="_Hlt55355235"/>
      <w:bookmarkEnd w:id="164"/>
      <w:bookmarkStart w:id="165" w:name="_Toc523711668"/>
      <w:bookmarkStart w:id="166" w:name="_Toc79392580"/>
      <w:bookmarkStart w:id="167" w:name="_Toc15118234"/>
      <w:bookmarkStart w:id="168" w:name="_Toc57530239"/>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65"/>
      <w:r>
        <w:rPr>
          <w:bCs/>
          <w:sz w:val="24"/>
        </w:rPr>
        <w:t>管理人</w:t>
      </w:r>
      <w:bookmarkEnd w:id="166"/>
      <w:bookmarkEnd w:id="167"/>
      <w:bookmarkEnd w:id="168"/>
    </w:p>
    <w:p>
      <w:pPr>
        <w:spacing w:line="360" w:lineRule="auto"/>
        <w:ind w:firstLine="480" w:firstLineChars="200"/>
        <w:rPr>
          <w:bCs/>
          <w:sz w:val="24"/>
        </w:rPr>
      </w:pPr>
      <w:bookmarkStart w:id="169" w:name="_Toc15118235"/>
      <w:r>
        <w:rPr>
          <w:bCs/>
          <w:sz w:val="24"/>
        </w:rPr>
        <w:t>（一）</w:t>
      </w:r>
      <w:r>
        <w:rPr>
          <w:bCs/>
          <w:sz w:val="24"/>
        </w:rPr>
        <w:tab/>
      </w:r>
      <w:r>
        <w:rPr>
          <w:bCs/>
          <w:sz w:val="24"/>
        </w:rPr>
        <w:t>基金管理人简况</w:t>
      </w:r>
      <w:bookmarkEnd w:id="169"/>
    </w:p>
    <w:p>
      <w:pPr>
        <w:spacing w:line="360" w:lineRule="auto"/>
        <w:ind w:firstLine="480" w:firstLineChars="200"/>
        <w:rPr>
          <w:bCs/>
          <w:sz w:val="24"/>
        </w:rPr>
      </w:pPr>
      <w:bookmarkStart w:id="170" w:name="_Toc15118236"/>
      <w:bookmarkStart w:id="171" w:name="_Toc15118237"/>
      <w:r>
        <w:rPr>
          <w:bCs/>
          <w:sz w:val="24"/>
        </w:rPr>
        <w:t>名称：</w:t>
      </w:r>
      <w:bookmarkEnd w:id="170"/>
      <w:r>
        <w:rPr>
          <w:bCs/>
          <w:sz w:val="24"/>
        </w:rPr>
        <w:t>博时基金管理有限公司</w:t>
      </w:r>
    </w:p>
    <w:p>
      <w:pPr>
        <w:spacing w:line="360" w:lineRule="auto"/>
        <w:ind w:firstLine="480" w:firstLineChars="200"/>
        <w:rPr>
          <w:sz w:val="24"/>
        </w:rPr>
      </w:pPr>
      <w:r>
        <w:rPr>
          <w:bCs/>
          <w:sz w:val="24"/>
        </w:rPr>
        <w:t>住所：</w:t>
      </w:r>
      <w:r>
        <w:rPr>
          <w:rFonts w:hint="eastAsia"/>
          <w:bCs/>
          <w:sz w:val="24"/>
        </w:rPr>
        <w:t>深圳市福田区莲花街道福新社区益田路5999号基金大厦21层</w:t>
      </w:r>
    </w:p>
    <w:p>
      <w:pPr>
        <w:spacing w:line="360" w:lineRule="auto"/>
        <w:ind w:firstLine="480" w:firstLineChars="200"/>
        <w:rPr>
          <w:bCs/>
          <w:sz w:val="24"/>
        </w:rPr>
      </w:pPr>
      <w:r>
        <w:rPr>
          <w:bCs/>
          <w:sz w:val="24"/>
        </w:rPr>
        <w:t>法定代表人：</w:t>
      </w:r>
      <w:r>
        <w:rPr>
          <w:rFonts w:hint="eastAsia"/>
          <w:bCs/>
          <w:sz w:val="24"/>
        </w:rPr>
        <w:t>江向阳</w:t>
      </w:r>
    </w:p>
    <w:p>
      <w:pPr>
        <w:spacing w:line="360" w:lineRule="auto"/>
        <w:ind w:firstLine="480" w:firstLineChars="200"/>
        <w:rPr>
          <w:bCs/>
          <w:sz w:val="24"/>
        </w:rPr>
      </w:pPr>
      <w:r>
        <w:rPr>
          <w:bCs/>
          <w:sz w:val="24"/>
        </w:rPr>
        <w:t>设立日期：1998年7月13日</w:t>
      </w:r>
    </w:p>
    <w:p>
      <w:pPr>
        <w:spacing w:line="360" w:lineRule="auto"/>
        <w:ind w:firstLine="480" w:firstLineChars="200"/>
        <w:rPr>
          <w:bCs/>
          <w:sz w:val="24"/>
        </w:rPr>
      </w:pPr>
      <w:r>
        <w:rPr>
          <w:bCs/>
          <w:sz w:val="24"/>
        </w:rPr>
        <w:t>批准设立机关及批准设立文号：中国证监会证监基字【1998】26号</w:t>
      </w:r>
    </w:p>
    <w:p>
      <w:pPr>
        <w:spacing w:line="360" w:lineRule="auto"/>
        <w:ind w:firstLine="480" w:firstLineChars="200"/>
        <w:rPr>
          <w:bCs/>
          <w:sz w:val="24"/>
        </w:rPr>
      </w:pPr>
      <w:r>
        <w:rPr>
          <w:bCs/>
          <w:sz w:val="24"/>
        </w:rPr>
        <w:t>组织形式：有限责任公司</w:t>
      </w:r>
    </w:p>
    <w:p>
      <w:pPr>
        <w:spacing w:line="360" w:lineRule="auto"/>
        <w:ind w:firstLine="480" w:firstLineChars="200"/>
        <w:rPr>
          <w:bCs/>
          <w:sz w:val="24"/>
        </w:rPr>
      </w:pPr>
      <w:r>
        <w:rPr>
          <w:bCs/>
          <w:sz w:val="24"/>
        </w:rPr>
        <w:t>注册资本：</w:t>
      </w:r>
      <w:r>
        <w:rPr>
          <w:rFonts w:hint="eastAsia"/>
          <w:bCs/>
          <w:sz w:val="24"/>
        </w:rPr>
        <w:t>2.5亿元</w:t>
      </w:r>
      <w:r>
        <w:rPr>
          <w:bCs/>
          <w:sz w:val="24"/>
        </w:rPr>
        <w:t>人民币</w:t>
      </w:r>
    </w:p>
    <w:p>
      <w:pPr>
        <w:spacing w:line="360" w:lineRule="auto"/>
        <w:ind w:firstLine="480" w:firstLineChars="200"/>
        <w:rPr>
          <w:bCs/>
          <w:sz w:val="24"/>
        </w:rPr>
      </w:pPr>
      <w:r>
        <w:rPr>
          <w:bCs/>
          <w:sz w:val="24"/>
        </w:rPr>
        <w:t>存续期限：</w:t>
      </w:r>
      <w:r>
        <w:rPr>
          <w:rFonts w:hint="eastAsia"/>
          <w:bCs/>
          <w:sz w:val="24"/>
        </w:rPr>
        <w:t>持续经营</w:t>
      </w:r>
    </w:p>
    <w:p>
      <w:pPr>
        <w:spacing w:line="360" w:lineRule="auto"/>
        <w:ind w:firstLine="480" w:firstLineChars="200"/>
        <w:rPr>
          <w:bCs/>
          <w:sz w:val="24"/>
        </w:rPr>
      </w:pPr>
      <w:r>
        <w:rPr>
          <w:bCs/>
          <w:sz w:val="24"/>
        </w:rPr>
        <w:t>联系电话：0755-83169999</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71"/>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72" w:name="_Hlt88896155"/>
      <w:r>
        <w:rPr>
          <w:rFonts w:hint="eastAsia"/>
          <w:bCs/>
          <w:sz w:val="24"/>
        </w:rPr>
        <w:t>按照规定</w:t>
      </w:r>
      <w:r>
        <w:rPr>
          <w:bCs/>
          <w:sz w:val="24"/>
        </w:rPr>
        <w:t>召集</w:t>
      </w:r>
      <w:bookmarkEnd w:id="172"/>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rFonts w:hint="eastAsia"/>
          <w:bCs/>
          <w:sz w:val="24"/>
        </w:rPr>
        <w:t>；</w:t>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（12）依照法律法规为基金的利益对被投资公司行使</w:t>
      </w:r>
      <w:r>
        <w:rPr>
          <w:rFonts w:hint="eastAsia"/>
          <w:bCs/>
          <w:sz w:val="24"/>
        </w:rPr>
        <w:t>相关</w:t>
      </w:r>
      <w:r>
        <w:rPr>
          <w:bCs/>
          <w:sz w:val="24"/>
        </w:rPr>
        <w:t>权利，为基金的利益行使因基金财产投资于证券所产生的权利；</w:t>
      </w:r>
    </w:p>
    <w:p>
      <w:pPr>
        <w:spacing w:line="440" w:lineRule="atLeast"/>
        <w:ind w:firstLine="480" w:firstLineChars="200"/>
        <w:rPr>
          <w:bCs/>
          <w:sz w:val="24"/>
        </w:rPr>
      </w:pPr>
      <w:r>
        <w:rPr>
          <w:rFonts w:hint="eastAsia"/>
          <w:bCs/>
          <w:sz w:val="24"/>
        </w:rPr>
        <w:t>（1</w:t>
      </w:r>
      <w:r>
        <w:rPr>
          <w:bCs/>
          <w:sz w:val="24"/>
        </w:rPr>
        <w:t>3</w:t>
      </w:r>
      <w:r>
        <w:rPr>
          <w:rFonts w:hint="eastAsia"/>
          <w:bCs/>
          <w:sz w:val="24"/>
        </w:rPr>
        <w:t>）</w:t>
      </w:r>
      <w:r>
        <w:rPr>
          <w:bCs/>
          <w:sz w:val="24"/>
        </w:rPr>
        <w:t>以基金管理人的名义，代表基金份额持有人的利益行使诉讼权利或者实施其他法律行为；</w:t>
      </w:r>
    </w:p>
    <w:p>
      <w:pPr>
        <w:spacing w:line="440" w:lineRule="atLeast"/>
        <w:ind w:firstLine="480" w:firstLineChars="200"/>
        <w:rPr>
          <w:bCs/>
          <w:sz w:val="24"/>
        </w:rPr>
      </w:pPr>
      <w:r>
        <w:rPr>
          <w:bCs/>
          <w:sz w:val="24"/>
        </w:rPr>
        <w:t>（14）选择、更换律师事务所、会计师事务所、证券</w:t>
      </w:r>
      <w:r>
        <w:rPr>
          <w:rFonts w:hint="eastAsia"/>
          <w:bCs/>
          <w:sz w:val="24"/>
        </w:rPr>
        <w:t>、</w:t>
      </w:r>
      <w:r>
        <w:rPr>
          <w:bCs/>
          <w:sz w:val="24"/>
        </w:rPr>
        <w:t>期货经纪商或其他为基金提供服务的外部机构；</w:t>
      </w:r>
    </w:p>
    <w:p>
      <w:pPr>
        <w:spacing w:line="440" w:lineRule="atLeast"/>
        <w:ind w:firstLine="480" w:firstLineChars="200"/>
        <w:rPr>
          <w:bCs/>
          <w:sz w:val="24"/>
        </w:rPr>
      </w:pPr>
      <w:r>
        <w:rPr>
          <w:bCs/>
          <w:sz w:val="24"/>
        </w:rPr>
        <w:t>（15）在符合有关法律、法规的前提下，制订和调整有关基金认购、申购、赎回、转换</w:t>
      </w:r>
      <w:r>
        <w:rPr>
          <w:rFonts w:hint="eastAsia"/>
          <w:bCs/>
          <w:sz w:val="24"/>
        </w:rPr>
        <w:t>、定期定额投资</w:t>
      </w:r>
      <w:r>
        <w:rPr>
          <w:bCs/>
          <w:sz w:val="24"/>
        </w:rPr>
        <w:t>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（16）法律法规及中国证监会规定的和《基金合同》约定的其他权利。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73" w:name="_Toc523711669"/>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74" w:name="_Hlt88897298"/>
      <w:bookmarkEnd w:id="174"/>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w:t>
      </w:r>
      <w:r>
        <w:rPr>
          <w:rFonts w:hint="eastAsia"/>
          <w:bCs/>
          <w:sz w:val="24"/>
        </w:rPr>
        <w:t>季度报告、中期报告和年度报告</w:t>
      </w:r>
      <w:r>
        <w:rPr>
          <w:bCs/>
          <w:sz w:val="24"/>
        </w:rPr>
        <w:t>；</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，但因监管机构、司法机关等有权机关要求，或向审计、法律等外部专业顾问提供的除外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，保存期限不少于法律法规规定的最低期限</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75" w:name="_Hlt88823209"/>
      <w:bookmarkEnd w:id="175"/>
      <w:r>
        <w:rPr>
          <w:bCs/>
          <w:sz w:val="24"/>
        </w:rPr>
        <w:t>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76" w:name="_Toc79392581"/>
      <w:bookmarkStart w:id="177" w:name="_Toc15118238"/>
      <w:bookmarkStart w:id="178" w:name="_Toc57530240"/>
      <w:r>
        <w:rPr>
          <w:bCs/>
          <w:sz w:val="24"/>
        </w:rPr>
        <w:t>二、基金托管人</w:t>
      </w:r>
      <w:bookmarkEnd w:id="173"/>
      <w:bookmarkEnd w:id="176"/>
      <w:bookmarkEnd w:id="177"/>
      <w:bookmarkEnd w:id="178"/>
    </w:p>
    <w:p>
      <w:pPr>
        <w:spacing w:line="360" w:lineRule="auto"/>
        <w:ind w:firstLine="480" w:firstLineChars="200"/>
        <w:rPr>
          <w:bCs/>
          <w:sz w:val="24"/>
        </w:rPr>
      </w:pPr>
      <w:bookmarkStart w:id="179" w:name="_Toc15118239"/>
      <w:r>
        <w:rPr>
          <w:bCs/>
          <w:sz w:val="24"/>
        </w:rPr>
        <w:t>（一）</w:t>
      </w:r>
      <w:r>
        <w:rPr>
          <w:bCs/>
          <w:sz w:val="24"/>
        </w:rPr>
        <w:tab/>
      </w:r>
      <w:r>
        <w:rPr>
          <w:bCs/>
          <w:sz w:val="24"/>
        </w:rPr>
        <w:t>基金托管人简况</w:t>
      </w:r>
    </w:p>
    <w:p>
      <w:pPr>
        <w:spacing w:line="360" w:lineRule="auto"/>
        <w:ind w:firstLine="480" w:firstLineChars="200"/>
        <w:rPr>
          <w:bCs/>
          <w:sz w:val="24"/>
        </w:rPr>
      </w:pPr>
      <w:bookmarkStart w:id="180" w:name="_Toc15118240"/>
      <w:r>
        <w:rPr>
          <w:rFonts w:hint="eastAsia"/>
          <w:bCs/>
          <w:sz w:val="24"/>
        </w:rPr>
        <w:t>名称：中信银行股份有限公司(简称：中信银行)</w:t>
      </w:r>
    </w:p>
    <w:p>
      <w:pPr>
        <w:spacing w:line="360" w:lineRule="auto"/>
        <w:ind w:firstLine="480" w:firstLineChars="200"/>
        <w:rPr>
          <w:bCs/>
          <w:sz w:val="24"/>
        </w:rPr>
      </w:pPr>
      <w:r>
        <w:rPr>
          <w:rFonts w:hint="eastAsia"/>
          <w:bCs/>
          <w:sz w:val="24"/>
        </w:rPr>
        <w:t>住所：北京市朝阳区光华路10号院1号楼6-30层、32-42层</w:t>
      </w:r>
    </w:p>
    <w:p>
      <w:pPr>
        <w:spacing w:line="360" w:lineRule="auto"/>
        <w:ind w:firstLine="480" w:firstLineChars="200"/>
        <w:rPr>
          <w:bCs/>
          <w:sz w:val="24"/>
        </w:rPr>
      </w:pPr>
      <w:r>
        <w:rPr>
          <w:rFonts w:hint="eastAsia"/>
          <w:bCs/>
          <w:sz w:val="24"/>
        </w:rPr>
        <w:t>办公地址：北京市朝阳区光华路10号院1号楼6-30层、32-42层</w:t>
      </w:r>
    </w:p>
    <w:p>
      <w:pPr>
        <w:spacing w:line="360" w:lineRule="auto"/>
        <w:ind w:firstLine="480" w:firstLineChars="200"/>
        <w:rPr>
          <w:bCs/>
          <w:sz w:val="24"/>
        </w:rPr>
      </w:pPr>
      <w:r>
        <w:rPr>
          <w:rFonts w:hint="eastAsia"/>
          <w:bCs/>
          <w:sz w:val="24"/>
        </w:rPr>
        <w:t>邮政编码：100010</w:t>
      </w:r>
    </w:p>
    <w:p>
      <w:pPr>
        <w:spacing w:line="360" w:lineRule="auto"/>
        <w:ind w:firstLine="480" w:firstLineChars="200"/>
        <w:rPr>
          <w:rFonts w:hint="eastAsia" w:eastAsia="宋体"/>
          <w:bCs/>
          <w:sz w:val="24"/>
          <w:lang w:eastAsia="zh-CN"/>
        </w:rPr>
      </w:pPr>
      <w:r>
        <w:rPr>
          <w:rFonts w:hint="eastAsia"/>
          <w:bCs/>
          <w:sz w:val="24"/>
        </w:rPr>
        <w:t>法定代表人：</w:t>
      </w:r>
      <w:r>
        <w:rPr>
          <w:rFonts w:hint="eastAsia"/>
          <w:bCs/>
          <w:sz w:val="24"/>
          <w:lang w:eastAsia="zh-CN"/>
        </w:rPr>
        <w:t>方合英</w:t>
      </w:r>
    </w:p>
    <w:p>
      <w:pPr>
        <w:spacing w:line="360" w:lineRule="auto"/>
        <w:ind w:firstLine="480" w:firstLineChars="200"/>
        <w:rPr>
          <w:bCs/>
          <w:sz w:val="24"/>
        </w:rPr>
      </w:pPr>
      <w:r>
        <w:rPr>
          <w:rFonts w:hint="eastAsia"/>
          <w:bCs/>
          <w:sz w:val="24"/>
        </w:rPr>
        <w:t>成立时间：1987年4月20日</w:t>
      </w:r>
    </w:p>
    <w:p>
      <w:pPr>
        <w:spacing w:line="360" w:lineRule="auto"/>
        <w:ind w:firstLine="480" w:firstLineChars="200"/>
        <w:rPr>
          <w:bCs/>
          <w:sz w:val="24"/>
        </w:rPr>
      </w:pPr>
      <w:r>
        <w:rPr>
          <w:rFonts w:hint="eastAsia"/>
          <w:bCs/>
          <w:sz w:val="24"/>
        </w:rPr>
        <w:t>批准设立机关和批准设立文号：中华人民共和国国务院办公厅国办函[1987]14号</w:t>
      </w:r>
    </w:p>
    <w:p>
      <w:pPr>
        <w:spacing w:line="360" w:lineRule="auto"/>
        <w:ind w:firstLine="480" w:firstLineChars="200"/>
        <w:rPr>
          <w:bCs/>
          <w:sz w:val="24"/>
        </w:rPr>
      </w:pPr>
      <w:r>
        <w:rPr>
          <w:rFonts w:hint="eastAsia"/>
          <w:bCs/>
          <w:sz w:val="24"/>
        </w:rPr>
        <w:t>基金托管业务批准文号：</w:t>
      </w:r>
      <w:r>
        <w:rPr>
          <w:bCs/>
          <w:sz w:val="24"/>
        </w:rPr>
        <w:t>中国证监会</w:t>
      </w:r>
      <w:r>
        <w:rPr>
          <w:rFonts w:hint="eastAsia"/>
          <w:bCs/>
          <w:sz w:val="24"/>
        </w:rPr>
        <w:t>证监基金字[2004]125号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注册资本：489.35亿元人民币</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bCs/>
          <w:sz w:val="24"/>
        </w:rPr>
        <w:t>（二）</w:t>
      </w:r>
      <w:r>
        <w:rPr>
          <w:bCs/>
          <w:sz w:val="24"/>
        </w:rPr>
        <w:tab/>
      </w:r>
      <w:r>
        <w:rPr>
          <w:bCs/>
          <w:sz w:val="24"/>
        </w:rPr>
        <w:t>基金托管人的权利与义务</w:t>
      </w:r>
      <w:bookmarkEnd w:id="18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，但因监管机构、司法机关等有权机关要求，或向审计、法律等外部专业顾问提供的除外</w:t>
      </w:r>
      <w:r>
        <w:rPr>
          <w:bCs/>
          <w:sz w:val="24"/>
        </w:rPr>
        <w:t>；</w:t>
      </w:r>
    </w:p>
    <w:p>
      <w:pPr>
        <w:spacing w:line="360" w:lineRule="auto"/>
        <w:ind w:firstLine="480" w:firstLineChars="200"/>
        <w:rPr>
          <w:bCs/>
          <w:sz w:val="24"/>
        </w:rPr>
      </w:pPr>
      <w:r>
        <w:rPr>
          <w:bCs/>
          <w:sz w:val="24"/>
        </w:rPr>
        <w:t>（8）复核、审查基金管理人计算的</w:t>
      </w:r>
      <w:r>
        <w:rPr>
          <w:rFonts w:hint="eastAsia"/>
          <w:bCs/>
          <w:sz w:val="24"/>
        </w:rPr>
        <w:t>基金净值信息、</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，保存期限不少于法律法规规定的最低期限</w:t>
      </w:r>
      <w:r>
        <w:rPr>
          <w:bCs/>
          <w:sz w:val="24"/>
        </w:rPr>
        <w:t>；</w:t>
      </w:r>
    </w:p>
    <w:p>
      <w:pPr>
        <w:spacing w:line="360" w:lineRule="auto"/>
        <w:ind w:firstLine="480" w:firstLineChars="200"/>
        <w:rPr>
          <w:bCs/>
          <w:sz w:val="24"/>
        </w:rPr>
      </w:pPr>
      <w:r>
        <w:rPr>
          <w:rFonts w:hint="eastAsia"/>
          <w:bCs/>
          <w:sz w:val="24"/>
        </w:rPr>
        <w:t>（12）从基金管理人或其委托的登记机构处接收并保存基金份额持有人名册；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w:t>
      </w:r>
      <w:r>
        <w:rPr>
          <w:rFonts w:hint="eastAsia"/>
          <w:bCs/>
          <w:sz w:val="24"/>
        </w:rPr>
        <w:t>定向基金份额持有人</w:t>
      </w:r>
      <w:r>
        <w:rPr>
          <w:bCs/>
          <w:sz w:val="24"/>
        </w:rPr>
        <w:t>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bookmarkStart w:id="181" w:name="_Hlt88825668"/>
      <w:bookmarkEnd w:id="181"/>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82" w:name="_Toc523711670"/>
      <w:r>
        <w:rPr>
          <w:bCs/>
          <w:sz w:val="24"/>
        </w:rPr>
        <w:t>法律法规及中国证监会规定的和《基金合同》约定的其他义务。</w:t>
      </w:r>
    </w:p>
    <w:bookmarkEnd w:id="179"/>
    <w:bookmarkEnd w:id="182"/>
    <w:p>
      <w:pPr>
        <w:spacing w:line="360" w:lineRule="auto"/>
        <w:ind w:firstLine="480" w:firstLineChars="200"/>
        <w:rPr>
          <w:bCs/>
          <w:sz w:val="24"/>
        </w:rPr>
      </w:pPr>
      <w:bookmarkStart w:id="183" w:name="_Toc79392582"/>
      <w:r>
        <w:rPr>
          <w:bCs/>
          <w:sz w:val="24"/>
        </w:rPr>
        <w:t>三、基金份额持有人</w:t>
      </w:r>
      <w:bookmarkEnd w:id="18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84" w:name="_Hlt88899909"/>
      <w:bookmarkEnd w:id="18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除法律法规另有规定或本基金合同另有约定外，</w:t>
      </w:r>
      <w:r>
        <w:rPr>
          <w:bCs/>
          <w:sz w:val="24"/>
        </w:rPr>
        <w:t>同一类别每份基金份额具有同等的合法权益。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85" w:name="_Hlt88825574"/>
      <w:bookmarkEnd w:id="185"/>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（4）交纳基金认购、申购款项及法律法规和《基金合同》所规定的费用；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w:t>
      </w:r>
      <w:r>
        <w:rPr>
          <w:bCs/>
          <w:sz w:val="24"/>
        </w:rPr>
        <w:t>法律法规及中国证监会规定的和《基金合同》约定的其他义务。</w:t>
      </w:r>
    </w:p>
    <w:bookmarkEnd w:id="162"/>
    <w:p>
      <w:pPr>
        <w:pStyle w:val="2"/>
        <w:spacing w:before="0" w:after="0"/>
        <w:jc w:val="center"/>
        <w:rPr>
          <w:rFonts w:ascii="Times New Roman"/>
          <w:color w:val="auto"/>
          <w:sz w:val="30"/>
        </w:rPr>
        <w:sectPr>
          <w:footerReference r:id="rId15" w:type="default"/>
          <w:pgSz w:w="11906" w:h="16838"/>
          <w:pgMar w:top="1440" w:right="1800" w:bottom="1440" w:left="1800" w:header="851" w:footer="992" w:gutter="0"/>
          <w:pgNumType w:start="1"/>
          <w:cols w:space="720" w:num="1"/>
          <w:docGrid w:type="lines" w:linePitch="312" w:charSpace="0"/>
        </w:sectPr>
      </w:pPr>
      <w:bookmarkStart w:id="186" w:name="CTS_e0a15e9d5ad84418872c3afcc4d0f7a7"/>
      <w:bookmarkEnd w:id="186"/>
      <w:bookmarkStart w:id="187" w:name="_Toc10650"/>
      <w:bookmarkStart w:id="188" w:name="_Toc18567"/>
      <w:bookmarkStart w:id="189" w:name="_Toc141703888"/>
      <w:bookmarkStart w:id="190" w:name="_Toc3321"/>
      <w:bookmarkStart w:id="191" w:name="_Toc123112236"/>
      <w:bookmarkStart w:id="192" w:name="_Toc25783"/>
      <w:bookmarkStart w:id="193" w:name="_Toc9706"/>
      <w:bookmarkStart w:id="194" w:name="_Toc20768"/>
      <w:bookmarkStart w:id="195" w:name="_Toc7058"/>
      <w:bookmarkStart w:id="196" w:name="_Toc79392583"/>
      <w:bookmarkStart w:id="197" w:name="_Toc11030"/>
      <w:bookmarkStart w:id="198" w:name="_Toc6447"/>
      <w:bookmarkStart w:id="199" w:name="_Toc98560354"/>
      <w:bookmarkStart w:id="200" w:name="_Toc4559"/>
      <w:bookmarkStart w:id="201" w:name="_Toc139991738"/>
      <w:bookmarkStart w:id="202" w:name="_Toc3771"/>
      <w:bookmarkStart w:id="203" w:name="_Toc123051454"/>
      <w:bookmarkStart w:id="204" w:name="_Toc123102455"/>
      <w:bookmarkStart w:id="205" w:name="CLAUSE_e0a15e9d5ad84418872c3afcc4d0f7a7"/>
    </w:p>
    <w:p>
      <w:pPr>
        <w:pStyle w:val="2"/>
        <w:spacing w:before="0" w:after="0"/>
        <w:jc w:val="center"/>
        <w:rPr>
          <w:rFonts w:ascii="Times New Roman"/>
          <w:color w:val="auto"/>
          <w:sz w:val="30"/>
        </w:rPr>
      </w:pPr>
      <w:r>
        <w:t xml:space="preserve"> </w:t>
      </w:r>
      <w:bookmarkStart w:id="206" w:name="_Toc132366450"/>
      <w:r>
        <w:rPr>
          <w:rFonts w:ascii="Times New Roman"/>
          <w:color w:val="auto"/>
          <w:sz w:val="30"/>
        </w:rPr>
        <w:t>第八部分</w:t>
      </w:r>
      <w:r>
        <w:rPr>
          <w:rFonts w:hint="eastAsia" w:ascii="Times New Roman"/>
          <w:color w:val="auto"/>
          <w:sz w:val="30"/>
        </w:rPr>
        <w:t xml:space="preserve">  </w:t>
      </w:r>
      <w:r>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6"/>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rPr>
        <w:t>基金份额持有人持有的</w:t>
      </w:r>
      <w:r>
        <w:rPr>
          <w:rFonts w:hint="eastAsia"/>
          <w:bCs/>
          <w:sz w:val="24"/>
        </w:rPr>
        <w:t>同一类别</w:t>
      </w:r>
      <w:r>
        <w:rPr>
          <w:bCs/>
          <w:sz w:val="24"/>
        </w:rPr>
        <w:t>每一基金份额拥有平等的投票权</w:t>
      </w:r>
      <w:bookmarkStart w:id="207" w:name="_Toc57530243"/>
      <w:bookmarkStart w:id="208" w:name="_Toc15641220"/>
      <w:bookmarkStart w:id="209" w:name="_Toc79392584"/>
      <w:r>
        <w:rPr>
          <w:bCs/>
          <w:sz w:val="24"/>
        </w:rPr>
        <w:t>。</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r>
        <w:rPr>
          <w:bCs/>
          <w:sz w:val="24"/>
        </w:rPr>
        <w:t>一、召开事由</w:t>
      </w:r>
      <w:bookmarkEnd w:id="207"/>
      <w:bookmarkEnd w:id="208"/>
      <w:bookmarkEnd w:id="209"/>
    </w:p>
    <w:p>
      <w:pPr>
        <w:spacing w:line="360" w:lineRule="auto"/>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pPr>
      <w:r>
        <w:rPr>
          <w:sz w:val="24"/>
        </w:rPr>
        <w:t>（1）终止《基金合同》；</w:t>
      </w:r>
    </w:p>
    <w:p>
      <w:pPr>
        <w:spacing w:line="440" w:lineRule="atLeast"/>
        <w:ind w:firstLine="480" w:firstLineChars="200"/>
      </w:pPr>
      <w:r>
        <w:rPr>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在不违反法律法规规定和《基金合同》约定且对基金份额持有人利益无实质性不利影响的前提下，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rFonts w:hint="eastAsia"/>
          <w:bCs/>
          <w:sz w:val="24"/>
        </w:rPr>
        <w:t>（2）</w:t>
      </w:r>
      <w:r>
        <w:rPr>
          <w:bCs/>
          <w:sz w:val="24"/>
        </w:rPr>
        <w:t>调整本基金的申购费率、调低赎回费率</w:t>
      </w:r>
      <w:r>
        <w:rPr>
          <w:rFonts w:hint="eastAsia"/>
          <w:bCs/>
          <w:sz w:val="24"/>
        </w:rPr>
        <w:t>、调低销售服务费率或</w:t>
      </w:r>
      <w:r>
        <w:rPr>
          <w:bCs/>
          <w:sz w:val="24"/>
        </w:rPr>
        <w:t>变更收费方式</w:t>
      </w:r>
      <w:r>
        <w:rPr>
          <w:rFonts w:hint="eastAsia"/>
          <w:bCs/>
          <w:sz w:val="24"/>
        </w:rPr>
        <w:t>，调整基金</w:t>
      </w:r>
      <w:r>
        <w:rPr>
          <w:bCs/>
          <w:sz w:val="24"/>
        </w:rPr>
        <w:t>份额</w:t>
      </w:r>
      <w:r>
        <w:rPr>
          <w:rFonts w:hint="eastAsia"/>
          <w:bCs/>
          <w:sz w:val="24"/>
        </w:rPr>
        <w:t>类别</w:t>
      </w:r>
      <w:r>
        <w:rPr>
          <w:bCs/>
          <w:sz w:val="24"/>
        </w:rPr>
        <w:t>设置</w:t>
      </w:r>
      <w:r>
        <w:rPr>
          <w:rFonts w:hint="eastAsia"/>
          <w:bCs/>
          <w:sz w:val="24"/>
        </w:rPr>
        <w:t>、对基金份额分类办法及规则进行调整</w:t>
      </w:r>
      <w:r>
        <w:rPr>
          <w:bCs/>
          <w:sz w:val="24"/>
        </w:rPr>
        <w:t>；</w:t>
      </w:r>
    </w:p>
    <w:p>
      <w:pPr>
        <w:spacing w:line="360" w:lineRule="auto"/>
        <w:ind w:firstLine="480" w:firstLineChars="200"/>
        <w:rPr>
          <w:bCs/>
          <w:sz w:val="24"/>
        </w:rPr>
      </w:pPr>
      <w:r>
        <w:rPr>
          <w:bCs/>
          <w:sz w:val="24"/>
        </w:rPr>
        <w:t>（3）因相应的法律法规发生变动而应当对《基金合同》进行修改；</w:t>
      </w:r>
    </w:p>
    <w:p>
      <w:pPr>
        <w:spacing w:line="360" w:lineRule="auto"/>
        <w:ind w:firstLine="480" w:firstLineChars="200"/>
        <w:rPr>
          <w:bCs/>
          <w:sz w:val="24"/>
        </w:rPr>
      </w:pPr>
      <w:r>
        <w:rPr>
          <w:bCs/>
          <w:sz w:val="24"/>
        </w:rPr>
        <w:t>（4）对《基金合同》的修改对基金份额持有人利益无实质性不利影响或修改不涉及《基金合同》当事人权利义务关系发生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5</w:t>
      </w:r>
      <w:r>
        <w:rPr>
          <w:rFonts w:hint="eastAsia"/>
          <w:bCs/>
          <w:sz w:val="24"/>
        </w:rPr>
        <w:t>）基金管理人、登记机构、基金销售机构调整有关申购、赎回、转换、基金交易、非交易过户、转托管等业务规则；</w:t>
      </w:r>
    </w:p>
    <w:p>
      <w:pPr>
        <w:spacing w:line="360" w:lineRule="auto"/>
        <w:ind w:firstLine="480" w:firstLineChars="200"/>
        <w:rPr>
          <w:bCs/>
          <w:sz w:val="24"/>
        </w:rPr>
      </w:pPr>
      <w:r>
        <w:rPr>
          <w:rFonts w:hint="eastAsia"/>
          <w:bCs/>
          <w:sz w:val="24"/>
        </w:rPr>
        <w:t>（</w:t>
      </w:r>
      <w:r>
        <w:rPr>
          <w:bCs/>
          <w:sz w:val="24"/>
        </w:rPr>
        <w:t>6</w:t>
      </w:r>
      <w:r>
        <w:rPr>
          <w:rFonts w:hint="eastAsia"/>
          <w:bCs/>
          <w:sz w:val="24"/>
        </w:rPr>
        <w:t>）基金推出新业务或服务；</w:t>
      </w:r>
    </w:p>
    <w:p>
      <w:pPr>
        <w:spacing w:line="360" w:lineRule="auto"/>
        <w:ind w:firstLine="480" w:firstLineChars="200"/>
        <w:rPr>
          <w:bCs/>
          <w:sz w:val="24"/>
        </w:rPr>
      </w:pPr>
      <w:r>
        <w:rPr>
          <w:bCs/>
          <w:sz w:val="24"/>
        </w:rPr>
        <w:t>（7）按照法律法规和《基金合同》规定不需召开基金份额持有人大会的其他情形。</w:t>
      </w:r>
    </w:p>
    <w:p>
      <w:pPr>
        <w:spacing w:line="360" w:lineRule="auto"/>
        <w:ind w:firstLine="480" w:firstLineChars="200"/>
        <w:rPr>
          <w:bCs/>
          <w:sz w:val="24"/>
        </w:rPr>
      </w:pPr>
      <w:bookmarkStart w:id="210" w:name="_Toc15641221"/>
      <w:bookmarkStart w:id="211" w:name="_Toc57530244"/>
      <w:bookmarkStart w:id="212" w:name="_Toc79392585"/>
      <w:r>
        <w:rPr>
          <w:bCs/>
          <w:sz w:val="24"/>
        </w:rPr>
        <w:t>二、会议召集人及召集方式</w:t>
      </w:r>
      <w:bookmarkEnd w:id="210"/>
      <w:bookmarkEnd w:id="211"/>
      <w:bookmarkEnd w:id="212"/>
    </w:p>
    <w:p>
      <w:pPr>
        <w:spacing w:line="360" w:lineRule="auto"/>
        <w:ind w:firstLine="480" w:firstLineChars="200"/>
        <w:rPr>
          <w:bCs/>
          <w:sz w:val="24"/>
        </w:rPr>
      </w:pPr>
      <w:bookmarkStart w:id="213" w:name="_Toc15641222"/>
      <w:bookmarkStart w:id="214" w:name="_Toc57530245"/>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215" w:name="_Toc79392586"/>
      <w:r>
        <w:rPr>
          <w:bCs/>
          <w:sz w:val="24"/>
        </w:rPr>
        <w:t>三、召开基金份额持有人大会的通知时间、通知内容、通知方式</w:t>
      </w:r>
      <w:bookmarkEnd w:id="213"/>
      <w:bookmarkEnd w:id="214"/>
      <w:bookmarkEnd w:id="215"/>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216" w:name="_Toc79392587"/>
      <w:bookmarkStart w:id="217" w:name="_Toc15641223"/>
      <w:bookmarkStart w:id="218" w:name="_Toc57530246"/>
      <w:r>
        <w:rPr>
          <w:bCs/>
          <w:sz w:val="24"/>
        </w:rPr>
        <w:t>四、基金份额持有人出席会议的方式</w:t>
      </w:r>
      <w:bookmarkEnd w:id="216"/>
      <w:bookmarkEnd w:id="217"/>
      <w:bookmarkEnd w:id="218"/>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pPr>
        <w:spacing w:line="360" w:lineRule="auto"/>
        <w:ind w:firstLine="480" w:firstLineChars="200"/>
        <w:rPr>
          <w:bCs/>
          <w:sz w:val="24"/>
        </w:rPr>
      </w:pPr>
      <w:r>
        <w:rPr>
          <w:rFonts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bookmarkStart w:id="219" w:name="_Toc57530247"/>
      <w:bookmarkStart w:id="220" w:name="_Toc79392588"/>
      <w:bookmarkStart w:id="221" w:name="_Toc15641224"/>
      <w:r>
        <w:rPr>
          <w:bCs/>
          <w:sz w:val="24"/>
        </w:rPr>
        <w:t>五、议事内容与程序</w:t>
      </w:r>
      <w:bookmarkEnd w:id="219"/>
      <w:bookmarkEnd w:id="220"/>
      <w:bookmarkEnd w:id="221"/>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222" w:name="_Toc15641225"/>
      <w:bookmarkStart w:id="223" w:name="_Toc57530248"/>
      <w:bookmarkStart w:id="224" w:name="_Toc79392589"/>
      <w:r>
        <w:rPr>
          <w:bCs/>
          <w:sz w:val="24"/>
        </w:rPr>
        <w:t>六、表决</w:t>
      </w:r>
      <w:bookmarkEnd w:id="222"/>
      <w:bookmarkEnd w:id="223"/>
      <w:bookmarkEnd w:id="224"/>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25" w:name="_Toc15641226"/>
      <w:bookmarkStart w:id="226" w:name="_Toc79392590"/>
      <w:bookmarkStart w:id="227" w:name="_Toc57530249"/>
      <w:r>
        <w:rPr>
          <w:bCs/>
          <w:sz w:val="24"/>
        </w:rPr>
        <w:t>七、计票</w:t>
      </w:r>
      <w:bookmarkEnd w:id="225"/>
      <w:bookmarkEnd w:id="226"/>
      <w:bookmarkEnd w:id="227"/>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28"/>
      <w:bookmarkEnd w:id="229"/>
      <w:bookmarkEnd w:id="230"/>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基金份额持有人大会决议自生效之日起按规定在</w:t>
      </w:r>
      <w:r>
        <w:rPr>
          <w:rFonts w:hint="eastAsia"/>
          <w:bCs/>
          <w:sz w:val="24"/>
        </w:rPr>
        <w:t>规定媒介</w:t>
      </w:r>
      <w:r>
        <w:rPr>
          <w:bCs/>
          <w:sz w:val="24"/>
        </w:rPr>
        <w:t>上公告。</w:t>
      </w:r>
      <w:bookmarkStart w:id="231" w:name="_Hlt88820702"/>
      <w:bookmarkEnd w:id="231"/>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bookmarkStart w:id="232" w:name="_Toc403486043"/>
      <w:bookmarkStart w:id="233" w:name="_Toc428798756"/>
      <w:bookmarkStart w:id="234" w:name="_Toc18769"/>
      <w:bookmarkStart w:id="235" w:name="_Toc3963"/>
      <w:bookmarkStart w:id="236" w:name="_Toc1745"/>
      <w:r>
        <w:rPr>
          <w:rFonts w:hint="eastAsia"/>
          <w:bCs/>
          <w:sz w:val="24"/>
        </w:rPr>
        <w:t>九、</w:t>
      </w:r>
      <w:bookmarkEnd w:id="232"/>
      <w:bookmarkEnd w:id="233"/>
      <w:r>
        <w:rPr>
          <w:rFonts w:hint="eastAsia"/>
          <w:bCs/>
          <w:sz w:val="24"/>
        </w:rPr>
        <w:t>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侧袋机制实施期间，基金份额持有人大会审议事项涉及主袋账户和侧袋账户的，应分别由主袋账户、侧袋账户的基金份额持有人进行表决，同一主侧袋账户内的同一类别每份基金份额具有平等的表决权。</w:t>
      </w:r>
      <w:bookmarkEnd w:id="205"/>
      <w:bookmarkEnd w:id="234"/>
      <w:bookmarkEnd w:id="235"/>
      <w:bookmarkEnd w:id="236"/>
      <w:bookmarkStart w:id="237" w:name="CLAUSE_9df35c0d26e049d4a89164b0500d8e78"/>
      <w:r>
        <w:rPr>
          <w:rFonts w:hint="eastAsia"/>
          <w:bCs/>
          <w:sz w:val="24"/>
        </w:rPr>
        <w:t>表决事项未涉及侧袋账户的，侧袋账户份额无表决权。</w:t>
      </w:r>
    </w:p>
    <w:p>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pPr>
        <w:pStyle w:val="2"/>
        <w:jc w:val="center"/>
        <w:rPr>
          <w:rFonts w:ascii="Times New Roman"/>
          <w:color w:val="auto"/>
          <w:sz w:val="30"/>
        </w:rPr>
        <w:sectPr>
          <w:footerReference r:id="rId16" w:type="default"/>
          <w:pgSz w:w="11906" w:h="16838"/>
          <w:pgMar w:top="1440" w:right="1800" w:bottom="1440" w:left="1800" w:header="851" w:footer="992" w:gutter="0"/>
          <w:pgNumType w:start="1"/>
          <w:cols w:space="720" w:num="1"/>
          <w:docGrid w:type="lines" w:linePitch="312" w:charSpace="0"/>
        </w:sectPr>
      </w:pPr>
      <w:bookmarkStart w:id="238" w:name="_Toc3080"/>
      <w:bookmarkStart w:id="239" w:name="_Toc31821"/>
      <w:bookmarkStart w:id="240" w:name="_Toc18206"/>
      <w:bookmarkStart w:id="241" w:name="_Toc123051455"/>
      <w:bookmarkStart w:id="242" w:name="_Toc725"/>
      <w:bookmarkStart w:id="243" w:name="_Toc123102456"/>
      <w:bookmarkStart w:id="244" w:name="_Toc123112237"/>
      <w:bookmarkStart w:id="245" w:name="_Toc141703889"/>
      <w:bookmarkStart w:id="246" w:name="_Toc98560355"/>
      <w:bookmarkStart w:id="247" w:name="_Toc21735"/>
      <w:bookmarkStart w:id="248" w:name="_Toc3572"/>
      <w:bookmarkStart w:id="249" w:name="_Toc10398"/>
      <w:bookmarkStart w:id="250" w:name="_Toc16164"/>
      <w:bookmarkStart w:id="251" w:name="_Toc139991739"/>
    </w:p>
    <w:p>
      <w:pPr>
        <w:pStyle w:val="2"/>
        <w:jc w:val="center"/>
        <w:rPr>
          <w:rFonts w:ascii="Times New Roman"/>
          <w:color w:val="auto"/>
        </w:rPr>
      </w:pPr>
      <w:r>
        <w:t xml:space="preserve"> </w:t>
      </w:r>
      <w:bookmarkStart w:id="252" w:name="CTS_9df35c0d26e049d4a89164b0500d8e78"/>
      <w:bookmarkEnd w:id="252"/>
      <w:bookmarkStart w:id="253" w:name="_Toc132366451"/>
      <w:r>
        <w:rPr>
          <w:rFonts w:ascii="Times New Roman"/>
          <w:color w:val="auto"/>
          <w:sz w:val="30"/>
        </w:rPr>
        <w:t>第九部分</w:t>
      </w:r>
      <w:r>
        <w:rPr>
          <w:rFonts w:hint="eastAsia" w:ascii="Times New Roman"/>
          <w:color w:val="auto"/>
          <w:sz w:val="30"/>
        </w:rPr>
        <w:t xml:space="preserve">  </w:t>
      </w:r>
      <w:r>
        <w:rPr>
          <w:rFonts w:ascii="Times New Roman"/>
          <w:color w:val="auto"/>
          <w:sz w:val="30"/>
        </w:rPr>
        <w:t>基金管理人、基金托管人的更换条件和程序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3"/>
    </w:p>
    <w:p>
      <w:pPr>
        <w:autoSpaceDE w:val="0"/>
        <w:autoSpaceDN w:val="0"/>
        <w:spacing w:line="360" w:lineRule="auto"/>
        <w:textAlignment w:val="bottom"/>
        <w:rPr>
          <w:bCs/>
          <w:sz w:val="24"/>
        </w:rPr>
      </w:pPr>
      <w:bookmarkStart w:id="254" w:name="_Toc57530252"/>
      <w:bookmarkStart w:id="255" w:name="_Toc79392593"/>
      <w:bookmarkStart w:id="256" w:name="_Toc15118245"/>
    </w:p>
    <w:p>
      <w:pPr>
        <w:spacing w:line="360" w:lineRule="auto"/>
        <w:ind w:firstLine="480" w:firstLineChars="200"/>
        <w:rPr>
          <w:bCs/>
          <w:sz w:val="24"/>
        </w:rPr>
      </w:pPr>
      <w:r>
        <w:rPr>
          <w:bCs/>
          <w:sz w:val="24"/>
        </w:rPr>
        <w:t>一、基金管理人和基金托管人职责终止的情形</w:t>
      </w:r>
      <w:bookmarkEnd w:id="254"/>
      <w:bookmarkEnd w:id="255"/>
      <w:bookmarkEnd w:id="256"/>
    </w:p>
    <w:p>
      <w:pPr>
        <w:spacing w:line="360" w:lineRule="auto"/>
        <w:ind w:firstLine="480" w:firstLineChars="200"/>
        <w:rPr>
          <w:bCs/>
          <w:sz w:val="24"/>
        </w:rPr>
      </w:pPr>
      <w:bookmarkStart w:id="257" w:name="_Toc22005971"/>
      <w:r>
        <w:rPr>
          <w:bCs/>
          <w:sz w:val="24"/>
        </w:rPr>
        <w:t>（一）</w:t>
      </w:r>
      <w:r>
        <w:rPr>
          <w:bCs/>
          <w:sz w:val="24"/>
        </w:rPr>
        <w:tab/>
      </w:r>
      <w:r>
        <w:rPr>
          <w:bCs/>
          <w:sz w:val="24"/>
        </w:rPr>
        <w:t>基金管理人职责终止的情形</w:t>
      </w:r>
      <w:bookmarkEnd w:id="257"/>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58" w:name="_Toc22005972"/>
      <w:r>
        <w:rPr>
          <w:bCs/>
          <w:sz w:val="24"/>
        </w:rPr>
        <w:t>（二）</w:t>
      </w:r>
      <w:r>
        <w:rPr>
          <w:bCs/>
          <w:sz w:val="24"/>
        </w:rPr>
        <w:tab/>
      </w:r>
      <w:r>
        <w:rPr>
          <w:bCs/>
          <w:sz w:val="24"/>
        </w:rPr>
        <w:t>基金托管人职责终止的情形</w:t>
      </w:r>
      <w:bookmarkEnd w:id="258"/>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59" w:name="_Toc79392594"/>
      <w:bookmarkStart w:id="260" w:name="_Toc15118246"/>
      <w:bookmarkStart w:id="261" w:name="_Toc57530253"/>
      <w:r>
        <w:rPr>
          <w:bCs/>
          <w:sz w:val="24"/>
        </w:rPr>
        <w:t>二、基金管理人和基金托管人的更换程序</w:t>
      </w:r>
      <w:bookmarkEnd w:id="259"/>
      <w:bookmarkEnd w:id="260"/>
      <w:bookmarkEnd w:id="261"/>
    </w:p>
    <w:p>
      <w:pPr>
        <w:spacing w:line="360" w:lineRule="auto"/>
        <w:ind w:firstLine="480" w:firstLineChars="200"/>
        <w:rPr>
          <w:bCs/>
          <w:sz w:val="24"/>
        </w:rPr>
      </w:pPr>
      <w:bookmarkStart w:id="262" w:name="_Toc22005974"/>
      <w:r>
        <w:rPr>
          <w:bCs/>
          <w:sz w:val="24"/>
        </w:rPr>
        <w:t>（一）</w:t>
      </w:r>
      <w:r>
        <w:rPr>
          <w:bCs/>
          <w:sz w:val="24"/>
        </w:rPr>
        <w:tab/>
      </w:r>
      <w:r>
        <w:rPr>
          <w:bCs/>
          <w:sz w:val="24"/>
        </w:rPr>
        <w:t>基金管理人的更换程序</w:t>
      </w:r>
      <w:bookmarkEnd w:id="262"/>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63" w:name="_Toc22005975"/>
      <w:r>
        <w:rPr>
          <w:bCs/>
          <w:sz w:val="24"/>
        </w:rPr>
        <w:t>（二）</w:t>
      </w:r>
      <w:r>
        <w:rPr>
          <w:bCs/>
          <w:sz w:val="24"/>
        </w:rPr>
        <w:tab/>
      </w:r>
      <w:r>
        <w:rPr>
          <w:bCs/>
          <w:sz w:val="24"/>
        </w:rPr>
        <w:t>基金托管人的更换程序</w:t>
      </w:r>
      <w:bookmarkEnd w:id="263"/>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bookmarkStart w:id="264" w:name="_Toc1357"/>
      <w:r>
        <w:rPr>
          <w:bCs/>
          <w:sz w:val="24"/>
        </w:rPr>
        <w:t>（三）基金管理人与基金托管人同时更换的条件和程序</w:t>
      </w:r>
      <w:bookmarkEnd w:id="264"/>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rFonts w:hint="eastAsia"/>
          <w:bCs/>
          <w:sz w:val="24"/>
        </w:rPr>
        <w:t>3、</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w:t>
      </w:r>
      <w:r>
        <w:rPr>
          <w:rFonts w:hint="eastAsia"/>
          <w:bCs/>
          <w:sz w:val="24"/>
        </w:rPr>
        <w:t>规定媒介</w:t>
      </w:r>
      <w:r>
        <w:rPr>
          <w:bCs/>
          <w:sz w:val="24"/>
        </w:rPr>
        <w:t>上联合公告。</w:t>
      </w:r>
    </w:p>
    <w:bookmarkEnd w:id="237"/>
    <w:p>
      <w:pPr>
        <w:spacing w:line="360" w:lineRule="auto"/>
        <w:ind w:firstLine="480" w:firstLineChars="200"/>
        <w:rPr>
          <w:bCs/>
          <w:sz w:val="24"/>
        </w:rPr>
      </w:pPr>
      <w:bookmarkStart w:id="265" w:name="CTS_2dcc2551057f44b0a7eabee071fe85e8"/>
      <w:bookmarkEnd w:id="265"/>
      <w:bookmarkStart w:id="266" w:name="_Toc20976"/>
      <w:bookmarkStart w:id="267" w:name="_Toc79392622"/>
      <w:bookmarkStart w:id="268" w:name="_Toc123112238"/>
      <w:bookmarkStart w:id="269" w:name="_Toc32092"/>
      <w:bookmarkStart w:id="270" w:name="_Toc123102457"/>
      <w:bookmarkStart w:id="271" w:name="_Toc141703890"/>
      <w:bookmarkStart w:id="272" w:name="_Toc32584"/>
      <w:bookmarkStart w:id="273" w:name="_Toc17198"/>
      <w:bookmarkStart w:id="274" w:name="_Toc3329"/>
      <w:bookmarkStart w:id="275" w:name="_Toc29408"/>
      <w:bookmarkStart w:id="276" w:name="_Toc17920"/>
      <w:bookmarkStart w:id="277" w:name="_Toc123051456"/>
      <w:bookmarkStart w:id="278" w:name="_Toc48649708"/>
      <w:bookmarkStart w:id="279" w:name="_Toc5170"/>
      <w:bookmarkStart w:id="280" w:name="_Toc98560356"/>
      <w:bookmarkStart w:id="281" w:name="_Toc8791"/>
      <w:bookmarkStart w:id="282" w:name="_Toc21237"/>
      <w:bookmarkStart w:id="283" w:name="_Toc739"/>
      <w:bookmarkStart w:id="284" w:name="_Toc139991740"/>
      <w:bookmarkStart w:id="285" w:name="CLAUSE_2dcc2551057f44b0a7eabee071fe85e8"/>
      <w:r>
        <w:rPr>
          <w:rFonts w:hint="eastAsia"/>
          <w:bCs/>
          <w:sz w:val="24"/>
        </w:rPr>
        <w:t>三、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履行适当程序后，可直接对相应内容进行修改和调整，无需召开基金份额持有人大会审议。</w:t>
      </w:r>
    </w:p>
    <w:p>
      <w:pPr>
        <w:sectPr>
          <w:footerReference r:id="rId17"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r>
        <w:t xml:space="preserve"> </w:t>
      </w:r>
      <w:bookmarkStart w:id="286" w:name="_Toc132366452"/>
      <w:r>
        <w:rPr>
          <w:rFonts w:ascii="Times New Roman"/>
          <w:color w:val="auto"/>
          <w:sz w:val="30"/>
        </w:rPr>
        <w:t>第十部分</w:t>
      </w:r>
      <w:r>
        <w:rPr>
          <w:rFonts w:hint="eastAsia" w:ascii="Times New Roman"/>
          <w:color w:val="auto"/>
          <w:sz w:val="30"/>
        </w:rPr>
        <w:t xml:space="preserve">  </w:t>
      </w:r>
      <w:r>
        <w:rPr>
          <w:rFonts w:ascii="Times New Roman"/>
          <w:color w:val="auto"/>
          <w:sz w:val="30"/>
        </w:rPr>
        <w:t>基金的托管</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6"/>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bookmarkEnd w:id="285"/>
    <w:p>
      <w:pPr>
        <w:pStyle w:val="2"/>
        <w:spacing w:before="0" w:after="0"/>
        <w:jc w:val="center"/>
        <w:rPr>
          <w:rFonts w:ascii="Times New Roman"/>
          <w:color w:val="auto"/>
          <w:sz w:val="30"/>
        </w:rPr>
        <w:sectPr>
          <w:footerReference r:id="rId18" w:type="default"/>
          <w:pgSz w:w="11906" w:h="16838"/>
          <w:pgMar w:top="1440" w:right="1800" w:bottom="1440" w:left="1800" w:header="851" w:footer="992" w:gutter="0"/>
          <w:pgNumType w:start="1"/>
          <w:cols w:space="720" w:num="1"/>
          <w:docGrid w:type="lines" w:linePitch="312" w:charSpace="0"/>
        </w:sectPr>
      </w:pPr>
      <w:bookmarkStart w:id="287" w:name="CTS_fbcfb185fedc42cb93d03459d089e2fd"/>
      <w:bookmarkEnd w:id="287"/>
      <w:bookmarkStart w:id="288" w:name="_Toc16789"/>
      <w:bookmarkStart w:id="289" w:name="_Toc79392624"/>
      <w:bookmarkStart w:id="290" w:name="_Toc26152"/>
      <w:bookmarkStart w:id="291" w:name="_Toc21886"/>
      <w:bookmarkStart w:id="292" w:name="_Toc19520"/>
      <w:bookmarkStart w:id="293" w:name="_Toc2255"/>
      <w:bookmarkStart w:id="294" w:name="_Toc123102458"/>
      <w:bookmarkStart w:id="295" w:name="_Toc139991741"/>
      <w:bookmarkStart w:id="296" w:name="_Toc98560357"/>
      <w:bookmarkStart w:id="297" w:name="_Toc3244"/>
      <w:bookmarkStart w:id="298" w:name="_Toc141703891"/>
      <w:bookmarkStart w:id="299" w:name="_Toc123112239"/>
      <w:bookmarkStart w:id="300" w:name="_Toc22674"/>
      <w:bookmarkStart w:id="301" w:name="_Toc26383"/>
      <w:bookmarkStart w:id="302" w:name="_Toc31469"/>
      <w:bookmarkStart w:id="303" w:name="_Toc26084"/>
      <w:bookmarkStart w:id="304" w:name="_Toc48649710"/>
      <w:bookmarkStart w:id="305" w:name="_Toc123051457"/>
      <w:bookmarkStart w:id="306" w:name="_Toc14725"/>
      <w:bookmarkStart w:id="307" w:name="CLAUSE_fbcfb185fedc42cb93d03459d089e2fd"/>
    </w:p>
    <w:p>
      <w:pPr>
        <w:pStyle w:val="2"/>
        <w:spacing w:before="0" w:after="0"/>
        <w:jc w:val="center"/>
        <w:rPr>
          <w:rFonts w:ascii="Times New Roman"/>
          <w:color w:val="auto"/>
          <w:sz w:val="30"/>
        </w:rPr>
      </w:pPr>
      <w:r>
        <w:t xml:space="preserve"> </w:t>
      </w:r>
      <w:bookmarkStart w:id="308" w:name="_Toc132366453"/>
      <w:r>
        <w:rPr>
          <w:rFonts w:ascii="Times New Roman"/>
          <w:color w:val="auto"/>
          <w:sz w:val="30"/>
        </w:rPr>
        <w:t>第十一部分</w:t>
      </w:r>
      <w:r>
        <w:rPr>
          <w:rFonts w:hint="eastAsia" w:ascii="Times New Roman"/>
          <w:color w:val="auto"/>
          <w:sz w:val="30"/>
        </w:rPr>
        <w:t xml:space="preserve">  </w:t>
      </w:r>
      <w:r>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309" w:name="_Hlt88820748"/>
      <w:bookmarkEnd w:id="309"/>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w:t>
      </w:r>
      <w:r>
        <w:rPr>
          <w:rFonts w:hint="eastAsia"/>
          <w:bCs/>
          <w:sz w:val="24"/>
        </w:rPr>
        <w:t>规定媒介</w:t>
      </w:r>
      <w:r>
        <w:rPr>
          <w:bCs/>
          <w:sz w:val="24"/>
        </w:rPr>
        <w:t>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bookmarkEnd w:id="307"/>
    <w:p>
      <w:pPr>
        <w:pStyle w:val="2"/>
        <w:spacing w:before="0" w:after="0"/>
        <w:jc w:val="center"/>
        <w:rPr>
          <w:rFonts w:ascii="Times New Roman"/>
          <w:color w:val="auto"/>
          <w:sz w:val="30"/>
        </w:rPr>
        <w:sectPr>
          <w:footerReference r:id="rId19" w:type="default"/>
          <w:pgSz w:w="11906" w:h="16838"/>
          <w:pgMar w:top="1440" w:right="1800" w:bottom="1440" w:left="1800" w:header="851" w:footer="992" w:gutter="0"/>
          <w:pgNumType w:start="1"/>
          <w:cols w:space="720" w:num="1"/>
          <w:docGrid w:type="lines" w:linePitch="312" w:charSpace="0"/>
        </w:sectPr>
      </w:pPr>
      <w:bookmarkStart w:id="310" w:name="CTS_5de2453d6cfa4196b4d4f02a128334a0"/>
      <w:bookmarkEnd w:id="310"/>
      <w:bookmarkStart w:id="311" w:name="_Toc21917"/>
      <w:bookmarkStart w:id="312" w:name="_Toc11351"/>
      <w:bookmarkStart w:id="313" w:name="_Toc13343"/>
      <w:bookmarkStart w:id="314" w:name="_Toc16437"/>
      <w:bookmarkStart w:id="315" w:name="_Toc2981"/>
      <w:bookmarkStart w:id="316" w:name="_Toc578"/>
      <w:bookmarkStart w:id="317" w:name="_Toc801"/>
      <w:bookmarkStart w:id="318" w:name="_Toc3872"/>
      <w:bookmarkStart w:id="319" w:name="_Toc5477"/>
      <w:bookmarkStart w:id="320" w:name="_Toc22538"/>
      <w:bookmarkStart w:id="321" w:name="_Toc11395"/>
      <w:bookmarkStart w:id="322" w:name="CLAUSE_5de2453d6cfa4196b4d4f02a128334a0"/>
    </w:p>
    <w:p>
      <w:pPr>
        <w:pStyle w:val="2"/>
        <w:spacing w:before="0" w:after="0"/>
        <w:jc w:val="center"/>
        <w:rPr>
          <w:rFonts w:ascii="Times New Roman"/>
          <w:color w:val="auto"/>
          <w:sz w:val="30"/>
        </w:rPr>
      </w:pPr>
      <w:r>
        <w:t xml:space="preserve"> </w:t>
      </w:r>
      <w:bookmarkStart w:id="323" w:name="_Toc132366454"/>
      <w:r>
        <w:rPr>
          <w:rFonts w:ascii="Times New Roman"/>
          <w:color w:val="auto"/>
          <w:sz w:val="30"/>
        </w:rPr>
        <w:t>第十二部分</w:t>
      </w:r>
      <w:r>
        <w:rPr>
          <w:rFonts w:hint="eastAsia" w:ascii="Times New Roman"/>
          <w:color w:val="auto"/>
          <w:sz w:val="30"/>
        </w:rPr>
        <w:t xml:space="preserve">  </w:t>
      </w:r>
      <w:r>
        <w:rPr>
          <w:rFonts w:ascii="Times New Roman"/>
          <w:color w:val="auto"/>
          <w:sz w:val="30"/>
        </w:rPr>
        <w:t>基金的投资</w:t>
      </w:r>
      <w:bookmarkEnd w:id="311"/>
      <w:bookmarkEnd w:id="312"/>
      <w:bookmarkEnd w:id="313"/>
      <w:bookmarkEnd w:id="314"/>
      <w:bookmarkEnd w:id="315"/>
      <w:bookmarkEnd w:id="316"/>
      <w:bookmarkEnd w:id="317"/>
      <w:bookmarkEnd w:id="318"/>
      <w:bookmarkEnd w:id="319"/>
      <w:bookmarkEnd w:id="320"/>
      <w:bookmarkEnd w:id="321"/>
      <w:bookmarkEnd w:id="323"/>
    </w:p>
    <w:p>
      <w:pPr>
        <w:spacing w:line="360" w:lineRule="auto"/>
        <w:ind w:left="480"/>
        <w:jc w:val="left"/>
        <w:rPr>
          <w:bCs/>
          <w:sz w:val="24"/>
        </w:rPr>
      </w:pPr>
    </w:p>
    <w:p>
      <w:pPr>
        <w:spacing w:line="360" w:lineRule="auto"/>
        <w:ind w:left="480"/>
        <w:rPr>
          <w:bCs/>
          <w:sz w:val="24"/>
        </w:rPr>
      </w:pPr>
      <w:r>
        <w:rPr>
          <w:rFonts w:hint="eastAsia"/>
          <w:bCs/>
          <w:sz w:val="24"/>
        </w:rPr>
        <w:t>一、</w:t>
      </w:r>
      <w:r>
        <w:rPr>
          <w:bCs/>
          <w:sz w:val="24"/>
        </w:rPr>
        <w:t>投资目标</w:t>
      </w:r>
    </w:p>
    <w:p>
      <w:pPr>
        <w:spacing w:line="360" w:lineRule="auto"/>
        <w:ind w:firstLine="480" w:firstLineChars="200"/>
        <w:rPr>
          <w:color w:val="000000"/>
          <w:sz w:val="24"/>
          <w:szCs w:val="21"/>
        </w:rPr>
      </w:pPr>
      <w:r>
        <w:rPr>
          <w:rFonts w:hint="eastAsia"/>
          <w:color w:val="000000"/>
          <w:sz w:val="24"/>
          <w:szCs w:val="21"/>
        </w:rPr>
        <w:t>在严格控制投资组合风险的前提下，力争长期内实现超越业绩比较基准的投资回报。</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rFonts w:hint="eastAsia"/>
          <w:bCs/>
          <w:sz w:val="24"/>
        </w:rPr>
        <w:t>本基金的投资范围主要为具有良好流动性的金融工具，包括债券（含国债、金融债、地方政府债、政府支持债券、政府支持机构债券、企业债、公司债、央行票据、中期票据、短期融资券、超短期融资券、可分离交易可转换债券的纯债部分、公开发行的次级债等）、资产支持证券、银行存款、债券回购、同业存单、货币市场工具、国债期货、信用衍生品及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本基金不投资于股票等资产，也不投资于可转换债券（可分离交易可转债的纯债部分除外）、可交换债券。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如法律法规或监管机构以后允许基金投资的其他品种，基金管理人在履行适当程序后，可以将其纳入投资范围，并可依据届时有效的法律法规适时合理地调整投资范围。</w:t>
      </w:r>
    </w:p>
    <w:p>
      <w:pPr>
        <w:spacing w:line="360" w:lineRule="auto"/>
        <w:ind w:firstLine="480" w:firstLineChars="200"/>
        <w:rPr>
          <w:bCs/>
          <w:sz w:val="24"/>
        </w:rPr>
      </w:pPr>
      <w:r>
        <w:rPr>
          <w:rFonts w:hint="eastAsia"/>
          <w:bCs/>
          <w:sz w:val="24"/>
        </w:rPr>
        <w:t>基金的投资组合比例为：本基金投资于债券资产比例不低于基金资产的80%；本基金每个交易日日终在扣除国债期货合约需缴纳的交易保证金后，应当保持不低于基金资产净值5％的现金或者到期日在一年以内的政府债券，其中，现金不包括结算备付金、存出保证金、应收申购款等。</w:t>
      </w:r>
    </w:p>
    <w:p>
      <w:pPr>
        <w:spacing w:line="360" w:lineRule="auto"/>
        <w:ind w:firstLine="480" w:firstLineChars="200"/>
        <w:rPr>
          <w:bCs/>
          <w:sz w:val="24"/>
        </w:rPr>
      </w:pPr>
      <w:r>
        <w:rPr>
          <w:rFonts w:hint="eastAsia"/>
          <w:bCs/>
          <w:sz w:val="24"/>
        </w:rPr>
        <w:t>若法律法规的相关规定发生变更或监管机构允许，本基金管理人在履行适当程序后，可对上述资产配置比例进行调整。</w:t>
      </w:r>
    </w:p>
    <w:p>
      <w:pPr>
        <w:spacing w:line="360" w:lineRule="auto"/>
        <w:ind w:firstLine="480" w:firstLineChars="200"/>
        <w:rPr>
          <w:bCs/>
          <w:sz w:val="24"/>
        </w:rPr>
      </w:pPr>
      <w:r>
        <w:rPr>
          <w:bCs/>
          <w:sz w:val="24"/>
        </w:rPr>
        <w:t>三、投资策略</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本基金通过自上而下和自下而上相结合、定性分析和定量分析相补充的方法，确定资产在固定收益类证券之间的配置比例。充分发挥基金管理人长期积累的信用研究成果，利用自主开发的信用分析系统，深入挖掘价值被低估的标的券种，以获取最大化的信用溢价。本基金采用的投资策略包括：期限结构策略、信用债投资策略、互换策略、息差策略、个券挖掘策略、购买信用衍生品规避个券信用风险策略、国债期货投资策略等。在谨慎投资的前提下，力争获取高于业绩比较基准的投资收益。</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1、期限结构策略。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（1）骑乘策略是当收益率曲线比较陡峭时，也即相邻期限利差较大时，买入期限位于收益率曲线陡峭处的债券，通过债券的收益率的下滑，进而获得资本利得收益。</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2）子弹策略是使投资组合中债券久期集中于收益率曲线的一点，适用于收益率曲线较陡时；杠铃策略是使投资组合中债券的久期集中在收益率曲线的两端，适用于收益率曲线两头下降较中间下降更多的蝶式变动；梯式策略是使投资组合中的债券久期均匀分布于收益率曲线，适用于收益率曲线水平移动。</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2、信用债投资策略。信用债收益率等于基准收益率加信用利差，信用利差收益主要受两个方面的影响，一是该信用债对应信用水平的市场平均信用利差曲线走势；二是该信用债本身的信用变化。基于这两方面的因素，本基金分别采用以下的分析策略：</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1）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2）基于信用债信用变化策略：发行人信用发生变化后，本基金将采用变化后债券信用级别所对应的信用利差曲线对公司债、企业债定价。影响信用债信用风险的因素分为行业风险、公司风险、现金流风险、资产负债风险和其他风险等五个方面。本基金主要依靠内部评级系统分析信用债的相对信用水平、违约风险及理论信用利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本基金进行信用债（含资产支持证券，下同）投资时，投资AA+以上（含AA+）评级的信用债资产，各评级信用债的配置比例参考下表：</w:t>
      </w:r>
    </w:p>
    <w:tbl>
      <w:tblPr>
        <w:tblStyle w:val="21"/>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2605"/>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2605"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所投信用债评级</w:t>
            </w:r>
          </w:p>
        </w:tc>
        <w:tc>
          <w:tcPr>
            <w:tcW w:w="4053"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该评级信用债占信用债资产比例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2605"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AAA</w:t>
            </w:r>
          </w:p>
        </w:tc>
        <w:tc>
          <w:tcPr>
            <w:tcW w:w="4053" w:type="dxa"/>
            <w:vAlign w:val="center"/>
          </w:tcPr>
          <w:p>
            <w:pPr>
              <w:adjustRightInd w:val="0"/>
              <w:snapToGrid w:val="0"/>
              <w:spacing w:line="360" w:lineRule="auto"/>
              <w:jc w:val="center"/>
              <w:rPr>
                <w:rFonts w:ascii="宋体" w:hAnsi="宋体"/>
                <w:sz w:val="24"/>
                <w:szCs w:val="24"/>
              </w:rPr>
            </w:pPr>
            <w:r>
              <w:rPr>
                <w:rFonts w:ascii="宋体" w:hAnsi="宋体"/>
                <w:sz w:val="24"/>
                <w:szCs w:val="24"/>
              </w:rPr>
              <w:t>50</w:t>
            </w: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2605"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AA+</w:t>
            </w:r>
          </w:p>
        </w:tc>
        <w:tc>
          <w:tcPr>
            <w:tcW w:w="4053"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0%-</w:t>
            </w:r>
            <w:r>
              <w:rPr>
                <w:rFonts w:ascii="宋体" w:hAnsi="宋体"/>
                <w:sz w:val="24"/>
                <w:szCs w:val="24"/>
              </w:rPr>
              <w:t>50</w:t>
            </w:r>
            <w:r>
              <w:rPr>
                <w:rFonts w:hint="eastAsia" w:ascii="宋体" w:hAnsi="宋体"/>
                <w:sz w:val="24"/>
                <w:szCs w:val="24"/>
              </w:rPr>
              <w:t>%</w:t>
            </w:r>
          </w:p>
        </w:tc>
      </w:tr>
    </w:tbl>
    <w:p>
      <w:pPr>
        <w:adjustRightInd w:val="0"/>
        <w:snapToGrid w:val="0"/>
        <w:spacing w:line="360" w:lineRule="auto"/>
        <w:ind w:firstLine="480" w:firstLineChars="200"/>
        <w:rPr>
          <w:rFonts w:ascii="Calibri" w:hAnsi="Calibri"/>
          <w:b/>
          <w:color w:val="000000"/>
          <w:kern w:val="0"/>
          <w:sz w:val="24"/>
          <w:szCs w:val="24"/>
        </w:rPr>
      </w:pPr>
      <w:r>
        <w:rPr>
          <w:rFonts w:hint="eastAsia" w:ascii="宋体" w:hAnsi="宋体"/>
          <w:sz w:val="24"/>
          <w:szCs w:val="24"/>
        </w:rPr>
        <w:t>本基金投资信用债的信用评级主要参照最近一个会计年度的主体信用评级，若无主体评级的，参照债项评级。如果对发行人同时有两家以上境内评级机构（不包含中债资信评估有限责任公司）评级的，应采用孰低原则确定其评级；基金持有上述信用债期间，如果相关信用评级下降不再符合前述标准，应在评级报告发布之日起3个月内调整至符合基金合同约定。</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 xml:space="preserve">3、互换策略。不同券种在利息、违约风险、久期、流动性、税收和衍生条款等方面存在差别，投资管理人可以同时买入和卖出具有相近特性的两个或两个以上券种，赚取收益级差。互换策略分为两种： </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1）替代互换。判断未来利差曲线走势，比较期限相近的债券的利差水平，选择利差较高的品种，进行价值置换。由于利差水平受流动性和信用水平的影响，因此该策略也可扩展到新老券置换、流动性和信用的置换，即在相同收益率下买入近期发行的债券，或是流动性更好的债券，或在相同外部信用级别和收益率下，买入内部信用评级更高的债券。</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（2）市场间利差互换。一般在公司信用债和利率债之间进行。如果预期信用利差扩大，则用利率债替换公司信用债；如果预期信用利差缩小，则用公司信用债替换利率债。</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4、息差策略。通过正回购，融资买入收益率高于回购成本的债券，从而获得杠杆放大收益。</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5、个券挖掘策略。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6、购买信用衍生品规避个券信用风险策略</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依托于公司整体的信用研究团队，当预期某只债券有较高的违约风险时，可以购买对应债券的信用衍生品来控制标的债券的信用风险冲击。</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本基金按风险管理的原则，以风险对冲为目的参与信用衍生品交易，同时会根据实际情况尽量保持信用衍生品的名义本金与对应标的债券的面值相一致。</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7、国债期货投资策略</w:t>
      </w:r>
    </w:p>
    <w:p>
      <w:pPr>
        <w:widowControl/>
        <w:spacing w:line="360" w:lineRule="auto"/>
        <w:ind w:firstLine="482"/>
        <w:rPr>
          <w:rFonts w:ascii="宋体" w:hAnsi="宋体" w:cs="宋体"/>
          <w:kern w:val="0"/>
          <w:sz w:val="24"/>
          <w:szCs w:val="24"/>
        </w:rPr>
      </w:pPr>
      <w:r>
        <w:rPr>
          <w:rFonts w:hint="eastAsia" w:ascii="宋体" w:hAnsi="宋体" w:cs="宋体"/>
          <w:kern w:val="0"/>
          <w:sz w:val="24"/>
          <w:szCs w:val="24"/>
        </w:rPr>
        <w:t>本基金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pPr>
        <w:widowControl/>
        <w:spacing w:line="360" w:lineRule="auto"/>
        <w:ind w:firstLine="482"/>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sz w:val="24"/>
        </w:rPr>
      </w:pPr>
      <w:r>
        <w:rPr>
          <w:rFonts w:hint="eastAsia"/>
          <w:sz w:val="24"/>
        </w:rPr>
        <w:t>（</w:t>
      </w:r>
      <w:r>
        <w:rPr>
          <w:sz w:val="24"/>
        </w:rPr>
        <w:t>1</w:t>
      </w:r>
      <w:r>
        <w:rPr>
          <w:rFonts w:hint="eastAsia"/>
          <w:sz w:val="24"/>
        </w:rPr>
        <w:t>）本基金对债券的投资比例不低于基金资产的80%；</w:t>
      </w:r>
    </w:p>
    <w:p>
      <w:pPr>
        <w:spacing w:line="360" w:lineRule="auto"/>
        <w:ind w:firstLine="480" w:firstLineChars="200"/>
        <w:rPr>
          <w:sz w:val="24"/>
        </w:rPr>
      </w:pPr>
      <w:r>
        <w:rPr>
          <w:rFonts w:hint="eastAsia"/>
          <w:sz w:val="24"/>
        </w:rPr>
        <w:t>（2）本基金每个交易日日终扣除国债期货需缴纳的交易保证金后，应当保持不低于基金资产净值5％的现金或者到期日在一年以内的政府债券，其中，现金不包括结算备付金、存出保证金、应收申购款等；</w:t>
      </w:r>
    </w:p>
    <w:p>
      <w:pPr>
        <w:spacing w:line="360" w:lineRule="auto"/>
        <w:ind w:firstLine="480" w:firstLineChars="200"/>
        <w:rPr>
          <w:sz w:val="24"/>
        </w:rPr>
      </w:pPr>
      <w:r>
        <w:rPr>
          <w:rFonts w:hint="eastAsia"/>
          <w:sz w:val="24"/>
        </w:rPr>
        <w:t>（3）本基金持有一家公司发行的证券，其市值不超过基金资产净值的10％；</w:t>
      </w:r>
    </w:p>
    <w:p>
      <w:pPr>
        <w:spacing w:line="360" w:lineRule="auto"/>
        <w:ind w:firstLine="480" w:firstLineChars="200"/>
        <w:rPr>
          <w:sz w:val="24"/>
        </w:rPr>
      </w:pPr>
      <w:r>
        <w:rPr>
          <w:rFonts w:hint="eastAsia"/>
          <w:sz w:val="24"/>
        </w:rPr>
        <w:t>（4）本基金管理人管理的全部基金持有一家公司发行的证券，不超过该证券的10％；</w:t>
      </w:r>
    </w:p>
    <w:p>
      <w:pPr>
        <w:spacing w:line="360" w:lineRule="auto"/>
        <w:ind w:firstLine="480" w:firstLineChars="200"/>
        <w:rPr>
          <w:sz w:val="24"/>
        </w:rPr>
      </w:pPr>
      <w:r>
        <w:rPr>
          <w:rFonts w:hint="eastAsia"/>
          <w:sz w:val="24"/>
        </w:rPr>
        <w:t>（</w:t>
      </w:r>
      <w:r>
        <w:rPr>
          <w:sz w:val="24"/>
        </w:rPr>
        <w:t>5</w:t>
      </w:r>
      <w:r>
        <w:rPr>
          <w:rFonts w:hint="eastAsia"/>
          <w:sz w:val="24"/>
        </w:rPr>
        <w:t>）本基金投资于同一原始权益人的各类资产支持证券的比例，不得超过基金资产净值的10％；</w:t>
      </w:r>
    </w:p>
    <w:p>
      <w:pPr>
        <w:spacing w:line="360" w:lineRule="auto"/>
        <w:ind w:firstLine="480" w:firstLineChars="200"/>
        <w:rPr>
          <w:sz w:val="24"/>
        </w:rPr>
      </w:pPr>
      <w:r>
        <w:rPr>
          <w:rFonts w:hint="eastAsia"/>
          <w:sz w:val="24"/>
        </w:rPr>
        <w:t>（</w:t>
      </w:r>
      <w:r>
        <w:rPr>
          <w:sz w:val="24"/>
        </w:rPr>
        <w:t>6</w:t>
      </w:r>
      <w:r>
        <w:rPr>
          <w:rFonts w:hint="eastAsia"/>
          <w:sz w:val="24"/>
        </w:rPr>
        <w:t>）本基金持有的全部资产支持证券，其市值不得超过基金资产净值的20％；</w:t>
      </w:r>
    </w:p>
    <w:p>
      <w:pPr>
        <w:spacing w:line="360" w:lineRule="auto"/>
        <w:ind w:firstLine="480" w:firstLineChars="200"/>
        <w:rPr>
          <w:sz w:val="24"/>
        </w:rPr>
      </w:pPr>
      <w:r>
        <w:rPr>
          <w:rFonts w:hint="eastAsia"/>
          <w:sz w:val="24"/>
        </w:rPr>
        <w:t>（</w:t>
      </w:r>
      <w:r>
        <w:rPr>
          <w:sz w:val="24"/>
        </w:rPr>
        <w:t>7</w:t>
      </w:r>
      <w:r>
        <w:rPr>
          <w:rFonts w:hint="eastAsia"/>
          <w:sz w:val="24"/>
        </w:rPr>
        <w:t>）本基金持有的同一(指同一信用级别)资产支持证券的比例，不得超过该资产支持证券规模的10％；</w:t>
      </w:r>
    </w:p>
    <w:p>
      <w:pPr>
        <w:spacing w:line="360" w:lineRule="auto"/>
        <w:ind w:firstLine="480" w:firstLineChars="20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）本基金管理人管理的全部基金投资于同一原始权益人的各类资产支持证券，不得超过其各类资产支持证券合计规模的10％；</w:t>
      </w:r>
    </w:p>
    <w:p>
      <w:pPr>
        <w:spacing w:line="360" w:lineRule="auto"/>
        <w:ind w:firstLine="480" w:firstLineChars="200"/>
        <w:rPr>
          <w:sz w:val="24"/>
        </w:rPr>
      </w:pPr>
      <w:r>
        <w:rPr>
          <w:rFonts w:hint="eastAsia"/>
          <w:sz w:val="24"/>
        </w:rPr>
        <w:t>（</w:t>
      </w:r>
      <w:r>
        <w:rPr>
          <w:sz w:val="24"/>
        </w:rPr>
        <w:t>9</w:t>
      </w:r>
      <w:r>
        <w:rPr>
          <w:rFonts w:hint="eastAsia"/>
          <w:sz w:val="24"/>
        </w:rPr>
        <w:t>）本基金资产总值不得超过基金资产净值的140%；</w:t>
      </w:r>
    </w:p>
    <w:p>
      <w:pPr>
        <w:spacing w:line="360" w:lineRule="auto"/>
        <w:ind w:firstLine="480" w:firstLineChars="200"/>
        <w:rPr>
          <w:sz w:val="24"/>
        </w:rPr>
      </w:pPr>
      <w:r>
        <w:rPr>
          <w:rFonts w:hint="eastAsia"/>
          <w:sz w:val="24"/>
        </w:rPr>
        <w:t>（</w:t>
      </w:r>
      <w:r>
        <w:rPr>
          <w:sz w:val="24"/>
        </w:rPr>
        <w:t>10</w:t>
      </w:r>
      <w:r>
        <w:rPr>
          <w:rFonts w:hint="eastAsia"/>
          <w:sz w:val="24"/>
        </w:rPr>
        <w:t>）本基金参与国债期货交易，需遵守下列投资比例限制：</w:t>
      </w:r>
    </w:p>
    <w:p>
      <w:pPr>
        <w:spacing w:line="360" w:lineRule="auto"/>
        <w:ind w:firstLine="480" w:firstLineChars="200"/>
        <w:rPr>
          <w:sz w:val="24"/>
        </w:rPr>
      </w:pPr>
      <w:r>
        <w:rPr>
          <w:rFonts w:hint="eastAsia"/>
          <w:sz w:val="24"/>
        </w:rPr>
        <w:t>1）本基金在任何交易日日终，持有的买入国债期货合约价值，不得超过基金资产净值的15%；</w:t>
      </w:r>
    </w:p>
    <w:p>
      <w:pPr>
        <w:spacing w:line="360" w:lineRule="auto"/>
        <w:ind w:firstLine="480" w:firstLineChars="200"/>
        <w:rPr>
          <w:sz w:val="24"/>
        </w:rPr>
      </w:pPr>
      <w:r>
        <w:rPr>
          <w:rFonts w:hint="eastAsia"/>
          <w:sz w:val="24"/>
        </w:rPr>
        <w:t>2）本基金在任何交易日日终，持有的卖出国债期货合约价值不得超过基金持有的债券总市值的30%；</w:t>
      </w:r>
    </w:p>
    <w:p>
      <w:pPr>
        <w:spacing w:line="360" w:lineRule="auto"/>
        <w:ind w:firstLine="480" w:firstLineChars="200"/>
        <w:rPr>
          <w:sz w:val="24"/>
        </w:rPr>
      </w:pPr>
      <w:r>
        <w:rPr>
          <w:rFonts w:hint="eastAsia"/>
          <w:sz w:val="24"/>
        </w:rPr>
        <w:t>3）本基金在任何交易日内交易（不包括平仓）的国债期货合约的成交金额不得超过上一交易日基金资产净值的30%；</w:t>
      </w:r>
    </w:p>
    <w:p>
      <w:pPr>
        <w:spacing w:line="360" w:lineRule="auto"/>
        <w:ind w:firstLine="480" w:firstLineChars="200"/>
        <w:rPr>
          <w:sz w:val="24"/>
        </w:rPr>
      </w:pPr>
      <w:r>
        <w:rPr>
          <w:rFonts w:hint="eastAsia"/>
          <w:sz w:val="24"/>
        </w:rPr>
        <w:t>4）本基金所持有的债券（不含到期日在一年以内的政府债券）市值和买入、卖出国债期货合约价值，合计（轧差计算）应当符合基金合同关于债券投资比例的有关约定；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sz w:val="24"/>
        </w:rPr>
      </w:pPr>
      <w:r>
        <w:rPr>
          <w:rFonts w:hint="eastAsia"/>
          <w:sz w:val="24"/>
        </w:rPr>
        <w:t>（1</w:t>
      </w:r>
      <w:r>
        <w:rPr>
          <w:sz w:val="24"/>
        </w:rPr>
        <w:t>1</w:t>
      </w:r>
      <w:r>
        <w:rPr>
          <w:rFonts w:hint="eastAsia"/>
          <w:sz w:val="24"/>
        </w:rPr>
        <w:t>）本基金主动投资于流动性受限资产的市值合计不得超过本基金资产净值的 15%；</w:t>
      </w:r>
    </w:p>
    <w:p>
      <w:pPr>
        <w:spacing w:line="360" w:lineRule="auto"/>
        <w:ind w:firstLine="480" w:firstLineChars="200"/>
        <w:rPr>
          <w:sz w:val="24"/>
        </w:rPr>
      </w:pPr>
      <w:r>
        <w:rPr>
          <w:rFonts w:hint="eastAsia"/>
          <w:sz w:val="24"/>
        </w:rPr>
        <w:t>因证券市场波动、基金规模变动等基金管理人之外的因素致使基金不符合前款所规定比例限制的，基金管理人不得主动新增流动性受限资产的投资；</w:t>
      </w:r>
    </w:p>
    <w:p>
      <w:pPr>
        <w:spacing w:line="360" w:lineRule="auto"/>
        <w:ind w:firstLine="480" w:firstLineChars="200"/>
        <w:rPr>
          <w:sz w:val="24"/>
        </w:rPr>
      </w:pPr>
      <w:r>
        <w:rPr>
          <w:rFonts w:hint="eastAsia"/>
          <w:sz w:val="24"/>
        </w:rPr>
        <w:t>（1</w:t>
      </w:r>
      <w:r>
        <w:rPr>
          <w:sz w:val="24"/>
        </w:rPr>
        <w:t>2</w:t>
      </w:r>
      <w:r>
        <w:rPr>
          <w:rFonts w:hint="eastAsia"/>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sz w:val="24"/>
        </w:rPr>
      </w:pPr>
      <w:r>
        <w:rPr>
          <w:rFonts w:hint="eastAsia"/>
          <w:sz w:val="24"/>
        </w:rPr>
        <w:t>（1</w:t>
      </w:r>
      <w:r>
        <w:rPr>
          <w:sz w:val="24"/>
        </w:rPr>
        <w:t>3</w:t>
      </w:r>
      <w:r>
        <w:rPr>
          <w:rFonts w:hint="eastAsia"/>
          <w:sz w:val="24"/>
        </w:rPr>
        <w:t>）本基金不持有具有信用保护卖方属性的信用衍生品，不持有合约类信用衍生品，本基金持有的信用衍生品名义本金不得超过本基金中所对应受保护债券面值的100%；</w:t>
      </w:r>
    </w:p>
    <w:p>
      <w:pPr>
        <w:spacing w:line="360" w:lineRule="auto"/>
        <w:ind w:firstLine="480" w:firstLineChars="200"/>
        <w:rPr>
          <w:sz w:val="24"/>
        </w:rPr>
      </w:pPr>
      <w:r>
        <w:rPr>
          <w:rFonts w:hint="eastAsia"/>
          <w:sz w:val="24"/>
        </w:rPr>
        <w:t>（1</w:t>
      </w:r>
      <w:r>
        <w:rPr>
          <w:sz w:val="24"/>
        </w:rPr>
        <w:t>4</w:t>
      </w:r>
      <w:r>
        <w:rPr>
          <w:rFonts w:hint="eastAsia"/>
          <w:sz w:val="24"/>
        </w:rPr>
        <w:t>）本基金投资于同一信用保护卖方各类信用衍生品名义本金合计不得超过基金资产净值的10%；</w:t>
      </w:r>
    </w:p>
    <w:p>
      <w:pPr>
        <w:spacing w:line="360" w:lineRule="auto"/>
        <w:ind w:firstLine="480" w:firstLineChars="200"/>
        <w:rPr>
          <w:sz w:val="24"/>
        </w:rPr>
      </w:pPr>
      <w:r>
        <w:rPr>
          <w:rFonts w:hint="eastAsia"/>
          <w:sz w:val="24"/>
        </w:rPr>
        <w:t>（1</w:t>
      </w:r>
      <w:r>
        <w:rPr>
          <w:sz w:val="24"/>
        </w:rPr>
        <w:t>5</w:t>
      </w:r>
      <w:r>
        <w:rPr>
          <w:rFonts w:hint="eastAsia"/>
          <w:sz w:val="24"/>
        </w:rPr>
        <w:t>）法律法规及中国证监会规定的和《基金合同》约定的其他投资限制。</w:t>
      </w:r>
    </w:p>
    <w:p>
      <w:pPr>
        <w:spacing w:line="360" w:lineRule="auto"/>
        <w:ind w:firstLine="480" w:firstLineChars="200"/>
        <w:rPr>
          <w:sz w:val="24"/>
        </w:rPr>
      </w:pPr>
      <w:r>
        <w:rPr>
          <w:rFonts w:hint="eastAsia"/>
          <w:sz w:val="24"/>
        </w:rPr>
        <w:t>因证券/期货市场波动、证券发行人合并、基金规模变动等基金管理人之外的因素致使基金投资比例不符合上述（</w:t>
      </w:r>
      <w:r>
        <w:rPr>
          <w:sz w:val="24"/>
        </w:rPr>
        <w:t>13</w:t>
      </w:r>
      <w:r>
        <w:rPr>
          <w:rFonts w:hint="eastAsia"/>
          <w:sz w:val="24"/>
        </w:rPr>
        <w:t>）、（</w:t>
      </w:r>
      <w:r>
        <w:rPr>
          <w:sz w:val="24"/>
        </w:rPr>
        <w:t>14</w:t>
      </w:r>
      <w:r>
        <w:rPr>
          <w:rFonts w:hint="eastAsia"/>
          <w:sz w:val="24"/>
        </w:rPr>
        <w:t>）项规定投资比例的，基金管理人应在3个月内进行调整。</w:t>
      </w:r>
    </w:p>
    <w:p>
      <w:pPr>
        <w:spacing w:line="360" w:lineRule="auto"/>
        <w:ind w:firstLine="480" w:firstLineChars="200"/>
        <w:rPr>
          <w:sz w:val="24"/>
        </w:rPr>
      </w:pPr>
      <w:r>
        <w:rPr>
          <w:rFonts w:hint="eastAsia"/>
          <w:sz w:val="24"/>
        </w:rPr>
        <w:t>除上述（2）、（1</w:t>
      </w:r>
      <w:r>
        <w:rPr>
          <w:sz w:val="24"/>
        </w:rPr>
        <w:t>1</w:t>
      </w:r>
      <w:r>
        <w:rPr>
          <w:rFonts w:hint="eastAsia"/>
          <w:sz w:val="24"/>
        </w:rPr>
        <w:t>）、（1</w:t>
      </w:r>
      <w:r>
        <w:rPr>
          <w:sz w:val="24"/>
        </w:rPr>
        <w:t>2</w:t>
      </w:r>
      <w:r>
        <w:rPr>
          <w:rFonts w:hint="eastAsia"/>
          <w:sz w:val="24"/>
        </w:rPr>
        <w:t>）、（1</w:t>
      </w:r>
      <w:r>
        <w:rPr>
          <w:sz w:val="24"/>
        </w:rPr>
        <w:t>3</w:t>
      </w:r>
      <w:r>
        <w:rPr>
          <w:rFonts w:hint="eastAsia"/>
          <w:sz w:val="24"/>
        </w:rPr>
        <w:t>）、（1</w:t>
      </w:r>
      <w:r>
        <w:rPr>
          <w:sz w:val="24"/>
        </w:rPr>
        <w:t>4</w:t>
      </w:r>
      <w:r>
        <w:rPr>
          <w:rFonts w:hint="eastAsia"/>
          <w:sz w:val="24"/>
        </w:rPr>
        <w:t>）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line="360" w:lineRule="auto"/>
        <w:ind w:firstLine="480" w:firstLineChars="200"/>
        <w:rPr>
          <w:sz w:val="24"/>
        </w:rPr>
      </w:pPr>
      <w:r>
        <w:rPr>
          <w:rFonts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80" w:firstLineChars="200"/>
        <w:rPr>
          <w:sz w:val="24"/>
        </w:rPr>
      </w:pPr>
      <w:r>
        <w:rPr>
          <w:rFonts w:hint="eastAsia"/>
          <w:sz w:val="24"/>
        </w:rPr>
        <w:t>法律法规或监管部门取消或调整上述限制，如适用于本基金，基金管理人在履行适当程序后，则本基金投资不再受相关限制或按调整后的规定执行。</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法律、行政法规或监管部门取消或变更上述规定，如适用于本基金，基金管理人在履行适当程序后，则本基金投资不再受相关限制或按变更后的规定执行。</w:t>
      </w:r>
    </w:p>
    <w:p>
      <w:pPr>
        <w:spacing w:line="360" w:lineRule="auto"/>
        <w:ind w:firstLine="480" w:firstLineChars="200"/>
        <w:rPr>
          <w:bCs/>
          <w:sz w:val="24"/>
        </w:rPr>
      </w:pPr>
      <w:r>
        <w:rPr>
          <w:bCs/>
          <w:sz w:val="24"/>
        </w:rPr>
        <w:t>五、业绩比较基准</w:t>
      </w:r>
    </w:p>
    <w:p>
      <w:pPr>
        <w:spacing w:line="360" w:lineRule="auto"/>
        <w:ind w:firstLine="480" w:firstLineChars="200"/>
        <w:rPr>
          <w:bCs/>
          <w:sz w:val="24"/>
          <w:szCs w:val="24"/>
        </w:rPr>
      </w:pPr>
      <w:r>
        <w:rPr>
          <w:rFonts w:hint="eastAsia"/>
          <w:bCs/>
          <w:sz w:val="24"/>
          <w:szCs w:val="24"/>
        </w:rPr>
        <w:t>本基金业绩比较基准：</w:t>
      </w:r>
      <w:bookmarkStart w:id="324" w:name="OLE_LINK2"/>
      <w:r>
        <w:rPr>
          <w:rFonts w:hint="eastAsia"/>
          <w:bCs/>
          <w:sz w:val="24"/>
          <w:szCs w:val="24"/>
        </w:rPr>
        <w:t>中债综合</w:t>
      </w:r>
      <w:bookmarkEnd w:id="324"/>
      <w:r>
        <w:rPr>
          <w:rFonts w:hint="eastAsia"/>
          <w:bCs/>
          <w:sz w:val="24"/>
          <w:szCs w:val="24"/>
          <w:lang w:eastAsia="zh-CN"/>
        </w:rPr>
        <w:t>全价（总值）</w:t>
      </w:r>
      <w:r>
        <w:rPr>
          <w:rFonts w:hint="eastAsia"/>
          <w:bCs/>
          <w:sz w:val="24"/>
          <w:szCs w:val="24"/>
        </w:rPr>
        <w:t>指数收益率×</w:t>
      </w:r>
      <w:r>
        <w:rPr>
          <w:rFonts w:hint="eastAsia"/>
          <w:bCs/>
          <w:sz w:val="24"/>
          <w:szCs w:val="24"/>
          <w:lang w:val="en-US" w:eastAsia="zh-CN"/>
        </w:rPr>
        <w:t>90</w:t>
      </w:r>
      <w:r>
        <w:rPr>
          <w:rFonts w:hint="eastAsia"/>
          <w:bCs/>
          <w:sz w:val="24"/>
          <w:szCs w:val="24"/>
        </w:rPr>
        <w:t>%+</w:t>
      </w:r>
      <w:r>
        <w:rPr>
          <w:rFonts w:hint="eastAsia"/>
          <w:bCs/>
          <w:sz w:val="24"/>
          <w:szCs w:val="24"/>
          <w:lang w:eastAsia="zh-CN"/>
        </w:rPr>
        <w:t>银行活期</w:t>
      </w:r>
      <w:r>
        <w:rPr>
          <w:rFonts w:hint="eastAsia"/>
          <w:bCs/>
          <w:sz w:val="24"/>
          <w:szCs w:val="24"/>
        </w:rPr>
        <w:t>存款利率(税后)×</w:t>
      </w:r>
      <w:r>
        <w:rPr>
          <w:rFonts w:hint="eastAsia"/>
          <w:bCs/>
          <w:sz w:val="24"/>
          <w:szCs w:val="24"/>
          <w:lang w:val="en-US" w:eastAsia="zh-CN"/>
        </w:rPr>
        <w:t>10</w:t>
      </w:r>
      <w:r>
        <w:rPr>
          <w:rFonts w:hint="eastAsia"/>
          <w:bCs/>
          <w:sz w:val="24"/>
          <w:szCs w:val="24"/>
        </w:rPr>
        <w:t>%</w:t>
      </w:r>
    </w:p>
    <w:p>
      <w:pPr>
        <w:spacing w:line="360" w:lineRule="auto"/>
        <w:ind w:firstLine="480" w:firstLineChars="200"/>
        <w:rPr>
          <w:bCs/>
          <w:sz w:val="24"/>
          <w:szCs w:val="24"/>
        </w:rPr>
      </w:pPr>
      <w:r>
        <w:rPr>
          <w:rFonts w:hint="eastAsia"/>
          <w:bCs/>
          <w:sz w:val="24"/>
          <w:szCs w:val="24"/>
        </w:rPr>
        <w:t>本基金为债券型证券投资基金，本基金选择上述业绩比较基准的原因为本基金是通过债券资产的配置和个券的选择来增强债券投资的收益。</w:t>
      </w:r>
      <w:r>
        <w:rPr>
          <w:rFonts w:hint="eastAsia"/>
          <w:bCs/>
          <w:sz w:val="24"/>
          <w:szCs w:val="24"/>
          <w:lang w:eastAsia="zh-CN"/>
        </w:rPr>
        <w:t>中债综合全价（总值）</w:t>
      </w:r>
      <w:r>
        <w:rPr>
          <w:rFonts w:hint="eastAsia"/>
          <w:bCs/>
          <w:sz w:val="24"/>
          <w:szCs w:val="24"/>
        </w:rPr>
        <w:t>指数</w:t>
      </w:r>
      <w:r>
        <w:rPr>
          <w:rFonts w:hint="eastAsia" w:ascii="Times New Roman" w:hAnsi="Times New Roman" w:eastAsia="宋体" w:cs="Times New Roman"/>
          <w:bCs/>
          <w:i w:val="0"/>
          <w:iCs w:val="0"/>
          <w:caps w:val="0"/>
          <w:color w:val="auto"/>
          <w:spacing w:val="0"/>
          <w:sz w:val="24"/>
          <w:szCs w:val="24"/>
          <w:shd w:val="clear" w:fill="auto"/>
        </w:rPr>
        <w:t>由中央国债登记结算有限责任公司编制，该指数旨在综合反映债券全市场整体价格和投资回报情况。该指数涵盖了银行间市场和交易所市场，成份券种包括除资产支持债券和部分在交易所发行上市的债券以外的其他所有债券，具有广泛的市场代表性，能够反映债券市场总体走势</w:t>
      </w:r>
      <w:r>
        <w:rPr>
          <w:rFonts w:hint="eastAsia" w:cs="Times New Roman"/>
          <w:bCs/>
          <w:i w:val="0"/>
          <w:iCs w:val="0"/>
          <w:caps w:val="0"/>
          <w:spacing w:val="0"/>
          <w:sz w:val="24"/>
          <w:szCs w:val="24"/>
          <w:shd w:val="clear"/>
          <w:lang w:eastAsia="zh-CN"/>
        </w:rPr>
        <w:t>，</w:t>
      </w:r>
      <w:r>
        <w:rPr>
          <w:rFonts w:hint="eastAsia"/>
          <w:bCs/>
          <w:sz w:val="24"/>
          <w:szCs w:val="24"/>
        </w:rPr>
        <w:t>适合作为本基金债券投资收益的衡量标准；由于本基金投资于债券资产的比例不低于基金资产的8</w:t>
      </w:r>
      <w:r>
        <w:rPr>
          <w:bCs/>
          <w:sz w:val="24"/>
          <w:szCs w:val="24"/>
        </w:rPr>
        <w:t>0</w:t>
      </w:r>
      <w:r>
        <w:rPr>
          <w:rFonts w:hint="eastAsia"/>
          <w:bCs/>
          <w:sz w:val="24"/>
          <w:szCs w:val="24"/>
        </w:rPr>
        <w:t>%，</w:t>
      </w:r>
      <w:r>
        <w:rPr>
          <w:rFonts w:hint="eastAsia"/>
          <w:bCs/>
          <w:sz w:val="24"/>
          <w:szCs w:val="24"/>
          <w:lang w:eastAsia="zh-CN"/>
        </w:rPr>
        <w:t>因此本基金</w:t>
      </w:r>
      <w:r>
        <w:rPr>
          <w:rFonts w:hint="eastAsia"/>
          <w:bCs/>
          <w:sz w:val="24"/>
          <w:szCs w:val="24"/>
        </w:rPr>
        <w:t>采用</w:t>
      </w:r>
      <w:r>
        <w:rPr>
          <w:rFonts w:hint="eastAsia"/>
          <w:bCs/>
          <w:sz w:val="24"/>
          <w:szCs w:val="24"/>
          <w:lang w:val="en-US" w:eastAsia="zh-CN"/>
        </w:rPr>
        <w:t>90</w:t>
      </w:r>
      <w:r>
        <w:rPr>
          <w:rFonts w:hint="eastAsia"/>
          <w:bCs/>
          <w:sz w:val="24"/>
          <w:szCs w:val="24"/>
        </w:rPr>
        <w:t>%作为业绩比较基准中债券投资所代表的权重，</w:t>
      </w:r>
      <w:r>
        <w:rPr>
          <w:rFonts w:hint="eastAsia"/>
          <w:bCs/>
          <w:sz w:val="24"/>
          <w:szCs w:val="24"/>
          <w:lang w:val="en-US" w:eastAsia="zh-CN"/>
        </w:rPr>
        <w:t>10</w:t>
      </w:r>
      <w:r>
        <w:rPr>
          <w:rFonts w:hint="eastAsia"/>
          <w:bCs/>
          <w:sz w:val="24"/>
          <w:szCs w:val="24"/>
        </w:rPr>
        <w:t>%作为现金资产所对应的权重可以较好的反映本基金的风险收益特征。</w:t>
      </w:r>
    </w:p>
    <w:p>
      <w:pPr>
        <w:spacing w:line="360" w:lineRule="auto"/>
        <w:ind w:firstLine="480" w:firstLineChars="200"/>
        <w:rPr>
          <w:bCs/>
          <w:sz w:val="24"/>
          <w:szCs w:val="24"/>
        </w:rPr>
      </w:pPr>
      <w:r>
        <w:rPr>
          <w:rFonts w:hint="eastAsia"/>
          <w:bCs/>
          <w:sz w:val="24"/>
          <w:szCs w:val="24"/>
        </w:rPr>
        <w:t>若未来法律法规发生变化，或者有更权威的、更能为市场普遍接受的业绩比较基准推出，或者市场发生变化导致本业绩比较基准不再适用或本业绩比较基准采用的指数停止发布或更改名称，本基金管理人在对基金份额持有人无实质不利影响的前提下，在与基金托管人协商一致，按照监管部门要求履行适当程序后适当调整业绩比较基准并及时公告，而无需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本基金为债券型基金，预期收益和预期风险高于货币市场基金，但低于混合型基金、股票型基金。</w:t>
      </w:r>
    </w:p>
    <w:p>
      <w:pPr>
        <w:spacing w:line="360" w:lineRule="auto"/>
        <w:ind w:firstLine="480" w:firstLineChars="200"/>
        <w:rPr>
          <w:bCs/>
          <w:sz w:val="24"/>
        </w:rPr>
      </w:pPr>
      <w:r>
        <w:rPr>
          <w:rFonts w:hint="eastAsia"/>
          <w:bCs/>
          <w:sz w:val="24"/>
        </w:rPr>
        <w:t>七、基金管理人代表基金行使相关权利的处理原则及方法</w:t>
      </w:r>
    </w:p>
    <w:p>
      <w:pPr>
        <w:spacing w:line="360" w:lineRule="auto"/>
        <w:ind w:firstLine="480" w:firstLineChars="200"/>
        <w:rPr>
          <w:bCs/>
          <w:sz w:val="24"/>
        </w:rPr>
      </w:pPr>
      <w:r>
        <w:rPr>
          <w:rFonts w:hint="eastAsia"/>
          <w:bCs/>
          <w:sz w:val="24"/>
        </w:rPr>
        <w:t>1、基金管理人按照国家有关规定代表基金独立行使相关权利，保护基金份额持有人的利益；</w:t>
      </w:r>
    </w:p>
    <w:p>
      <w:pPr>
        <w:spacing w:line="360" w:lineRule="auto"/>
        <w:ind w:firstLine="480" w:firstLineChars="200"/>
        <w:rPr>
          <w:bCs/>
          <w:sz w:val="24"/>
        </w:rPr>
      </w:pPr>
      <w:r>
        <w:rPr>
          <w:rFonts w:hint="eastAsia"/>
          <w:bCs/>
          <w:sz w:val="24"/>
        </w:rPr>
        <w:t>2、有利于基金财产的安全与增值；</w:t>
      </w:r>
    </w:p>
    <w:p>
      <w:pPr>
        <w:spacing w:line="360" w:lineRule="auto"/>
        <w:ind w:firstLine="480" w:firstLineChars="200"/>
        <w:rPr>
          <w:bCs/>
          <w:sz w:val="24"/>
        </w:rPr>
      </w:pPr>
      <w:r>
        <w:rPr>
          <w:rFonts w:hint="eastAsia"/>
          <w:bCs/>
          <w:sz w:val="24"/>
        </w:rPr>
        <w:t>3、不通过关联交易为自身、雇员、授权代理人或任何存在利害关系的第三人牟取任何不当利益。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八、侧袋机制的实施和投资运作安排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bookmarkEnd w:id="322"/>
    <w:p>
      <w:pPr>
        <w:spacing w:line="360" w:lineRule="auto"/>
        <w:rPr>
          <w:bCs/>
          <w:sz w:val="24"/>
        </w:rPr>
        <w:sectPr>
          <w:footerReference r:id="rId20" w:type="default"/>
          <w:pgSz w:w="11906" w:h="16838"/>
          <w:pgMar w:top="1440" w:right="1800" w:bottom="1440" w:left="1800" w:header="851" w:footer="992" w:gutter="0"/>
          <w:pgNumType w:start="1"/>
          <w:cols w:space="720" w:num="1"/>
          <w:docGrid w:type="lines" w:linePitch="312" w:charSpace="0"/>
        </w:sectPr>
      </w:pPr>
      <w:bookmarkStart w:id="325" w:name="CTS_4b85b2f4a2964442bcb4630bc075fae0"/>
      <w:bookmarkEnd w:id="325"/>
      <w:bookmarkStart w:id="326" w:name="CLAUSE_4b85b2f4a2964442bcb4630bc075fae0"/>
    </w:p>
    <w:p>
      <w:pPr>
        <w:pStyle w:val="2"/>
        <w:spacing w:before="0" w:after="0"/>
        <w:jc w:val="center"/>
        <w:rPr>
          <w:rFonts w:ascii="Times New Roman"/>
          <w:color w:val="auto"/>
          <w:sz w:val="30"/>
        </w:rPr>
      </w:pPr>
      <w:bookmarkStart w:id="327" w:name="_Toc92662704"/>
      <w:bookmarkStart w:id="328" w:name="_Toc93226145"/>
      <w:bookmarkStart w:id="329" w:name="_Toc31611"/>
      <w:bookmarkStart w:id="330" w:name="_Toc32030"/>
      <w:bookmarkStart w:id="331" w:name="_Toc21642"/>
      <w:bookmarkStart w:id="332" w:name="_Toc26114"/>
      <w:bookmarkStart w:id="333" w:name="_Toc139991743"/>
      <w:bookmarkStart w:id="334" w:name="_Toc13819"/>
      <w:bookmarkStart w:id="335" w:name="_Toc141703893"/>
      <w:bookmarkStart w:id="336" w:name="_Toc18000"/>
      <w:bookmarkStart w:id="337" w:name="_Toc128310496"/>
      <w:bookmarkStart w:id="338" w:name="_Toc20102"/>
      <w:bookmarkStart w:id="339" w:name="_Toc29561"/>
      <w:bookmarkStart w:id="340" w:name="_Toc3054"/>
      <w:bookmarkStart w:id="341" w:name="_Toc20782"/>
      <w:bookmarkStart w:id="342" w:name="_Toc24474"/>
      <w:r>
        <w:rPr>
          <w:rFonts w:hint="eastAsia" w:ascii="Times New Roman"/>
          <w:color w:val="auto"/>
          <w:sz w:val="30"/>
        </w:rPr>
        <w:t xml:space="preserve"> </w:t>
      </w:r>
      <w:bookmarkStart w:id="343" w:name="_Toc132366455"/>
      <w:r>
        <w:rPr>
          <w:rFonts w:ascii="Times New Roman"/>
          <w:color w:val="auto"/>
          <w:sz w:val="30"/>
        </w:rPr>
        <w:t>第十三部分</w:t>
      </w:r>
      <w:r>
        <w:rPr>
          <w:rFonts w:hint="eastAsia"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证券、银行存款本息和基金应收</w:t>
      </w:r>
      <w:r>
        <w:rPr>
          <w:rFonts w:hint="eastAsia"/>
          <w:bCs/>
          <w:sz w:val="24"/>
        </w:rPr>
        <w:t>款项</w:t>
      </w:r>
      <w:r>
        <w:rPr>
          <w:bCs/>
          <w:sz w:val="24"/>
        </w:rPr>
        <w:t>以及其他</w:t>
      </w:r>
      <w:r>
        <w:rPr>
          <w:rFonts w:hint="eastAsia"/>
          <w:bCs/>
          <w:sz w:val="24"/>
        </w:rPr>
        <w:t>资产</w:t>
      </w:r>
      <w:r>
        <w:rPr>
          <w:bCs/>
          <w:sz w:val="24"/>
        </w:rPr>
        <w:t>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4" w:name="_Hlt88841837"/>
      <w:bookmarkEnd w:id="344"/>
    </w:p>
    <w:p>
      <w:pPr>
        <w:spacing w:line="360" w:lineRule="auto"/>
        <w:ind w:firstLine="480" w:firstLineChars="200"/>
        <w:rPr>
          <w:bCs/>
          <w:sz w:val="24"/>
        </w:rPr>
      </w:pPr>
      <w:r>
        <w:rPr>
          <w:bCs/>
          <w:sz w:val="24"/>
        </w:rPr>
        <w:t>四、基金财产的保管和处分</w:t>
      </w:r>
      <w:bookmarkStart w:id="345" w:name="_Hlt88900062"/>
      <w:bookmarkEnd w:id="345"/>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bookmarkEnd w:id="326"/>
    <w:p>
      <w:pPr>
        <w:pStyle w:val="2"/>
        <w:spacing w:before="0" w:after="0"/>
        <w:jc w:val="center"/>
        <w:rPr>
          <w:rFonts w:ascii="Times New Roman"/>
          <w:color w:val="auto"/>
          <w:sz w:val="30"/>
        </w:rPr>
        <w:sectPr>
          <w:footerReference r:id="rId21" w:type="default"/>
          <w:pgSz w:w="11906" w:h="16838"/>
          <w:pgMar w:top="1440" w:right="1800" w:bottom="1440" w:left="1800" w:header="851" w:footer="992" w:gutter="0"/>
          <w:pgNumType w:start="1"/>
          <w:cols w:space="720" w:num="1"/>
          <w:docGrid w:type="lines" w:linePitch="312" w:charSpace="0"/>
        </w:sectPr>
      </w:pPr>
      <w:bookmarkStart w:id="346" w:name="CTS_b1888f16da354815a80b1f4b86bdab0f"/>
      <w:bookmarkEnd w:id="346"/>
      <w:bookmarkStart w:id="347" w:name="_Toc19714"/>
      <w:bookmarkStart w:id="348" w:name="_Toc27832"/>
      <w:bookmarkStart w:id="349" w:name="_Toc31917"/>
      <w:bookmarkStart w:id="350" w:name="_Toc7802"/>
      <w:bookmarkStart w:id="351" w:name="_Toc2623"/>
      <w:bookmarkStart w:id="352" w:name="_Toc17782"/>
      <w:bookmarkStart w:id="353" w:name="_Toc871"/>
      <w:bookmarkStart w:id="354" w:name="_Toc141703894"/>
      <w:bookmarkStart w:id="355" w:name="_Toc139991744"/>
      <w:bookmarkStart w:id="356" w:name="CLAUSE_b1888f16da354815a80b1f4b86bdab0f"/>
    </w:p>
    <w:p>
      <w:pPr>
        <w:pStyle w:val="2"/>
        <w:spacing w:before="0" w:after="0"/>
        <w:jc w:val="center"/>
        <w:rPr>
          <w:rFonts w:ascii="Times New Roman"/>
          <w:color w:val="auto"/>
          <w:sz w:val="30"/>
        </w:rPr>
      </w:pPr>
      <w:r>
        <w:t xml:space="preserve"> </w:t>
      </w:r>
      <w:bookmarkStart w:id="357" w:name="_Toc132366456"/>
      <w:r>
        <w:rPr>
          <w:rFonts w:ascii="Times New Roman"/>
          <w:color w:val="auto"/>
          <w:sz w:val="30"/>
        </w:rPr>
        <w:t>第十四部分</w:t>
      </w:r>
      <w:r>
        <w:rPr>
          <w:rFonts w:hint="eastAsia" w:ascii="Times New Roman"/>
          <w:color w:val="auto"/>
          <w:sz w:val="30"/>
        </w:rPr>
        <w:t xml:space="preserve">  </w:t>
      </w:r>
      <w:r>
        <w:rPr>
          <w:rFonts w:ascii="Times New Roman"/>
          <w:color w:val="auto"/>
          <w:sz w:val="30"/>
        </w:rPr>
        <w:t>基金资产估值</w:t>
      </w:r>
      <w:bookmarkEnd w:id="347"/>
      <w:bookmarkEnd w:id="348"/>
      <w:bookmarkEnd w:id="349"/>
      <w:bookmarkEnd w:id="350"/>
      <w:bookmarkEnd w:id="351"/>
      <w:bookmarkEnd w:id="352"/>
      <w:bookmarkEnd w:id="353"/>
      <w:bookmarkEnd w:id="357"/>
    </w:p>
    <w:p>
      <w:pPr>
        <w:spacing w:line="360" w:lineRule="auto"/>
        <w:ind w:firstLine="480" w:firstLineChars="200"/>
        <w:rPr>
          <w:bCs/>
          <w:sz w:val="24"/>
        </w:rPr>
      </w:pPr>
    </w:p>
    <w:bookmarkEnd w:id="354"/>
    <w:bookmarkEnd w:id="355"/>
    <w:p>
      <w:pPr>
        <w:spacing w:line="360" w:lineRule="auto"/>
        <w:ind w:firstLine="480" w:firstLineChars="200"/>
        <w:rPr>
          <w:bCs/>
          <w:sz w:val="24"/>
        </w:rPr>
      </w:pPr>
      <w:bookmarkStart w:id="358" w:name="_Toc32046"/>
      <w:bookmarkStart w:id="359" w:name="_Toc141703895"/>
      <w:bookmarkStart w:id="360" w:name="_Toc13999174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w:t>
      </w:r>
      <w:r>
        <w:rPr>
          <w:rFonts w:hint="eastAsia"/>
          <w:bCs/>
          <w:sz w:val="24"/>
        </w:rPr>
        <w:t>、资产支持证券、国债期货合约、</w:t>
      </w:r>
      <w:r>
        <w:rPr>
          <w:rFonts w:hint="eastAsia"/>
          <w:bCs/>
          <w:sz w:val="24"/>
          <w:szCs w:val="24"/>
        </w:rPr>
        <w:t>信用</w:t>
      </w:r>
      <w:r>
        <w:rPr>
          <w:bCs/>
          <w:sz w:val="24"/>
          <w:szCs w:val="24"/>
        </w:rPr>
        <w:t>衍生品</w:t>
      </w:r>
      <w:r>
        <w:rPr>
          <w:bCs/>
          <w:sz w:val="24"/>
        </w:rPr>
        <w:t>和银行存款本息、应收款项、其它投资等资产及负债。</w:t>
      </w:r>
    </w:p>
    <w:p>
      <w:pPr>
        <w:spacing w:line="360" w:lineRule="auto"/>
        <w:ind w:firstLine="480" w:firstLineChars="200"/>
        <w:rPr>
          <w:bCs/>
          <w:sz w:val="24"/>
        </w:rPr>
      </w:pPr>
      <w:r>
        <w:rPr>
          <w:rFonts w:hint="eastAsia"/>
          <w:bCs/>
          <w:sz w:val="24"/>
        </w:rPr>
        <w:t>三、估值原则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bCs/>
          <w:sz w:val="24"/>
        </w:rPr>
        <w:t>四</w:t>
      </w:r>
      <w:r>
        <w:rPr>
          <w:bCs/>
          <w:sz w:val="24"/>
        </w:rPr>
        <w:t>、估值方法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Ansi="宋体"/>
          <w:sz w:val="24"/>
        </w:rPr>
      </w:pPr>
      <w:r>
        <w:rPr>
          <w:bCs/>
          <w:sz w:val="24"/>
          <w:szCs w:val="24"/>
        </w:rPr>
        <w:t>（1）交易所上市</w:t>
      </w:r>
      <w:r>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pPr>
        <w:spacing w:line="360" w:lineRule="auto"/>
        <w:ind w:firstLine="480" w:firstLineChars="200"/>
        <w:rPr>
          <w:strike/>
          <w:sz w:val="24"/>
        </w:rPr>
      </w:pPr>
      <w:r>
        <w:rPr>
          <w:bCs/>
          <w:sz w:val="24"/>
          <w:szCs w:val="24"/>
        </w:rPr>
        <w:t>（</w:t>
      </w:r>
      <w:r>
        <w:rPr>
          <w:rFonts w:hint="eastAsia"/>
          <w:bCs/>
          <w:sz w:val="24"/>
          <w:szCs w:val="24"/>
        </w:rPr>
        <w:t>2</w:t>
      </w:r>
      <w:r>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r>
        <w:rPr>
          <w:rFonts w:hint="eastAsia"/>
          <w:bCs/>
          <w:sz w:val="24"/>
          <w:szCs w:val="24"/>
        </w:rPr>
        <w:t>；</w:t>
      </w:r>
    </w:p>
    <w:p>
      <w:pPr>
        <w:spacing w:line="360" w:lineRule="auto"/>
        <w:ind w:firstLine="480" w:firstLineChars="200"/>
        <w:rPr>
          <w:bCs/>
        </w:rPr>
      </w:pPr>
      <w:r>
        <w:rPr>
          <w:bCs/>
          <w:sz w:val="24"/>
        </w:rPr>
        <w:t>（</w:t>
      </w:r>
      <w:r>
        <w:rPr>
          <w:rFonts w:hint="eastAsia"/>
          <w:bCs/>
          <w:sz w:val="24"/>
        </w:rPr>
        <w:t>3</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2、首次公开发行未上市的债券，采用估值技术确定公允价值，在估值技术难以可靠计量公允价值的情况下，按成本估值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rFonts w:hint="eastAsia"/>
          <w:bCs/>
          <w:sz w:val="24"/>
        </w:rPr>
        <w:t>3、同业存单、全国银行间债券市场交易的债券、资产支持证券等固定收益品种，采用估值技术确定公允价值。</w:t>
      </w:r>
    </w:p>
    <w:p>
      <w:pPr>
        <w:spacing w:line="360" w:lineRule="auto"/>
        <w:ind w:firstLine="480" w:firstLineChars="200"/>
        <w:rPr>
          <w:bCs/>
          <w:sz w:val="24"/>
          <w:szCs w:val="22"/>
        </w:rPr>
      </w:pPr>
      <w:r>
        <w:rPr>
          <w:rFonts w:hint="eastAsia"/>
          <w:bCs/>
          <w:sz w:val="24"/>
          <w:szCs w:val="22"/>
        </w:rPr>
        <w:t>4、同一证券同时在两个或两个以上市场交易的，按证券所处的市场分别估值。</w:t>
      </w:r>
    </w:p>
    <w:p>
      <w:pPr>
        <w:spacing w:line="360" w:lineRule="auto"/>
        <w:ind w:firstLine="480" w:firstLineChars="200"/>
        <w:rPr>
          <w:bCs/>
          <w:sz w:val="24"/>
        </w:rPr>
      </w:pPr>
      <w:r>
        <w:rPr>
          <w:rFonts w:hint="eastAsia"/>
          <w:bCs/>
          <w:sz w:val="24"/>
        </w:rPr>
        <w:t>5、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pPr>
        <w:spacing w:line="360" w:lineRule="auto"/>
        <w:ind w:firstLine="480" w:firstLineChars="200"/>
        <w:rPr>
          <w:bCs/>
          <w:sz w:val="24"/>
        </w:rPr>
      </w:pPr>
      <w:r>
        <w:rPr>
          <w:rFonts w:hint="eastAsia"/>
          <w:bCs/>
          <w:sz w:val="24"/>
        </w:rPr>
        <w:t>6、基金投资的国债期货合约，一般以估值当日结算价进行估值，估值当日无结算价的，且最近交易日后经济环境未发生重大变化的，采用最近交易日结算价估值。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7、</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8、当发生大额申购或赎回情形时，基金管理人可以采用摆动定价机制，以确保基金估值的公平性。具体处理原则与操作规范遵循相关法律法规以及监管部门、自律组织的规定。</w:t>
      </w:r>
    </w:p>
    <w:p>
      <w:pPr>
        <w:spacing w:line="360" w:lineRule="auto"/>
        <w:ind w:firstLine="480" w:firstLineChars="200"/>
        <w:rPr>
          <w:bCs/>
          <w:sz w:val="24"/>
        </w:rPr>
      </w:pPr>
      <w:r>
        <w:rPr>
          <w:rFonts w:hint="eastAsia"/>
          <w:bCs/>
          <w:sz w:val="24"/>
        </w:rPr>
        <w:t>9</w:t>
      </w:r>
      <w:r>
        <w:rPr>
          <w:bCs/>
          <w:sz w:val="24"/>
        </w:rPr>
        <w:t>、相关法律法规以及监管部门有强制规定的，从其规定。如有新增事项，按国家最新规定估值。</w:t>
      </w:r>
    </w:p>
    <w:p>
      <w:pPr>
        <w:spacing w:line="360" w:lineRule="auto"/>
        <w:ind w:firstLine="480" w:firstLineChars="200"/>
        <w:rPr>
          <w:rStyle w:val="52"/>
          <w:bCs/>
          <w:sz w:val="24"/>
        </w:rPr>
      </w:pPr>
      <w:r>
        <w:rPr>
          <w:rStyle w:val="52"/>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各类</w:t>
      </w:r>
      <w:r>
        <w:rPr>
          <w:bCs/>
          <w:sz w:val="24"/>
        </w:rPr>
        <w:t>基金份额净值是按照每个工作日闭市后，</w:t>
      </w:r>
      <w:r>
        <w:rPr>
          <w:rFonts w:hint="eastAsia"/>
          <w:bCs/>
          <w:sz w:val="24"/>
        </w:rPr>
        <w:t>各类基金份额的</w:t>
      </w:r>
      <w:r>
        <w:rPr>
          <w:bCs/>
          <w:sz w:val="24"/>
        </w:rPr>
        <w:t>基金资产净值除以当日该类基金份额的余额数量计算，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w:t>
      </w:r>
      <w:r>
        <w:rPr>
          <w:rFonts w:hint="eastAsia"/>
          <w:color w:val="000000"/>
          <w:sz w:val="24"/>
          <w:szCs w:val="24"/>
        </w:rPr>
        <w:t>由此产生的误差计入基金财产</w:t>
      </w:r>
      <w:r>
        <w:rPr>
          <w:bCs/>
          <w:sz w:val="24"/>
        </w:rPr>
        <w:t>。</w:t>
      </w:r>
      <w:r>
        <w:rPr>
          <w:rFonts w:hint="eastAsia"/>
          <w:bCs/>
          <w:sz w:val="24"/>
        </w:rPr>
        <w:t>基金管理人可以设立大额赎回情形下的净值精度应急调整机制。特殊情况下，基金管理人可提高基金份额净值计算的精度（即提高净值计算结果小数点后保留的位数），以维护基金投资人利益。</w:t>
      </w:r>
      <w:r>
        <w:rPr>
          <w:bCs/>
          <w:sz w:val="24"/>
        </w:rPr>
        <w:t>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每个工作日计算基金资产净值及各类基金份额净值，并按规定</w:t>
      </w:r>
      <w:r>
        <w:rPr>
          <w:rFonts w:hint="eastAsia"/>
          <w:bCs/>
          <w:sz w:val="24"/>
        </w:rPr>
        <w:t>进行</w:t>
      </w:r>
      <w:r>
        <w:rPr>
          <w:bCs/>
          <w:sz w:val="24"/>
        </w:rPr>
        <w:t>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位以内(含第</w:t>
      </w:r>
      <w:r>
        <w:rPr>
          <w:rFonts w:hint="eastAsia"/>
          <w:bCs/>
          <w:sz w:val="24"/>
        </w:rPr>
        <w:t>4</w:t>
      </w:r>
      <w:r>
        <w:rPr>
          <w:bCs/>
          <w:sz w:val="24"/>
        </w:rPr>
        <w:t>位)发生估值错误时，视为该类基金份额净值错误。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rStyle w:val="74"/>
          <w:color w:val="000000"/>
          <w:kern w:val="0"/>
          <w:sz w:val="24"/>
          <w:szCs w:val="24"/>
        </w:rPr>
      </w:pPr>
      <w:r>
        <w:rPr>
          <w:rStyle w:val="74"/>
          <w:rFonts w:hint="eastAsia"/>
          <w:color w:val="000000"/>
          <w:kern w:val="0"/>
          <w:sz w:val="24"/>
          <w:szCs w:val="24"/>
        </w:rPr>
        <w:t>对于因技术原因引起的差错，若系同行业现有技术水平无法预见、无法避免、无法抗拒，则属不可抗力，按照下述规定执行。</w:t>
      </w:r>
    </w:p>
    <w:p>
      <w:pPr>
        <w:spacing w:line="360" w:lineRule="auto"/>
        <w:ind w:firstLine="480" w:firstLineChars="200"/>
        <w:rPr>
          <w:bCs/>
          <w:sz w:val="24"/>
        </w:rPr>
      </w:pPr>
      <w:r>
        <w:rPr>
          <w:rStyle w:val="74"/>
          <w:rFonts w:hint="eastAsia"/>
          <w:color w:val="000000"/>
          <w:kern w:val="0"/>
          <w:sz w:val="24"/>
          <w:szCs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sz w:val="24"/>
        </w:rPr>
        <w:t>4</w:t>
      </w:r>
      <w:r>
        <w:rPr>
          <w:rFonts w:hint="eastAsia"/>
          <w:sz w:val="24"/>
        </w:rPr>
        <w:t>、基金份额净值估值错误处理的方法如下：</w:t>
      </w:r>
    </w:p>
    <w:p>
      <w:pPr>
        <w:spacing w:line="360" w:lineRule="auto"/>
        <w:ind w:firstLine="480" w:firstLineChars="200"/>
        <w:rPr>
          <w:bCs/>
          <w:sz w:val="24"/>
        </w:rPr>
      </w:pPr>
      <w:r>
        <w:rPr>
          <w:rFonts w:hint="eastAsia"/>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rFonts w:hint="eastAsia"/>
          <w:bCs/>
          <w:sz w:val="24"/>
        </w:rPr>
        <w:t>（2）错误偏差达到该类基金份额净值的0.25%时，基金管理人应当通报基金托管人并报中国证监会备案；错误偏差达到该类基金份额净值的0.5</w:t>
      </w:r>
      <w:r>
        <w:rPr>
          <w:bCs/>
          <w:sz w:val="24"/>
        </w:rPr>
        <w:t>0</w:t>
      </w:r>
      <w:r>
        <w:rPr>
          <w:rFonts w:hint="eastAsia"/>
          <w:bCs/>
          <w:sz w:val="24"/>
        </w:rPr>
        <w:t>%时，基金管理人应当公告</w:t>
      </w:r>
      <w:r>
        <w:rPr>
          <w:rStyle w:val="52"/>
          <w:rFonts w:hint="eastAsia" w:ascii="宋体" w:hAnsi="宋体" w:cs="Arial"/>
          <w:sz w:val="24"/>
        </w:rPr>
        <w:t>，</w:t>
      </w:r>
      <w:r>
        <w:rPr>
          <w:rFonts w:hint="eastAsia"/>
          <w:bCs/>
          <w:sz w:val="24"/>
        </w:rPr>
        <w:t>并报中国证监会备案；</w:t>
      </w:r>
    </w:p>
    <w:p>
      <w:pPr>
        <w:spacing w:line="360" w:lineRule="auto"/>
        <w:ind w:firstLine="480" w:firstLineChars="200"/>
        <w:rPr>
          <w:bCs/>
          <w:sz w:val="24"/>
        </w:rPr>
      </w:pPr>
      <w:r>
        <w:rPr>
          <w:rFonts w:hint="eastAsia"/>
          <w:bCs/>
          <w:sz w:val="24"/>
        </w:rPr>
        <w:t>（3）基金管理人和基金托管人由于各自技术系统设置而产生的净值计算尾差，以基金管理人计算结果为准；</w:t>
      </w:r>
    </w:p>
    <w:p>
      <w:pPr>
        <w:spacing w:line="360" w:lineRule="auto"/>
        <w:ind w:firstLine="480" w:firstLineChars="200"/>
        <w:rPr>
          <w:bCs/>
          <w:sz w:val="24"/>
        </w:rPr>
      </w:pPr>
      <w:r>
        <w:rPr>
          <w:rFonts w:hint="eastAsia"/>
          <w:bCs/>
          <w:sz w:val="24"/>
        </w:rPr>
        <w:t>（</w:t>
      </w:r>
      <w:r>
        <w:rPr>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3、当特定资产占前一估值日基金资产净值50%以上的，经与基金托管人协商确认后，基金管理人应当暂停估值；</w:t>
      </w:r>
    </w:p>
    <w:p>
      <w:pPr>
        <w:spacing w:line="360" w:lineRule="auto"/>
        <w:ind w:firstLine="480" w:firstLineChars="200"/>
        <w:rPr>
          <w:bCs/>
          <w:sz w:val="24"/>
        </w:rPr>
      </w:pPr>
      <w:r>
        <w:rPr>
          <w:rFonts w:hint="eastAsia"/>
          <w:bCs/>
          <w:sz w:val="24"/>
        </w:rPr>
        <w:t>4、法律法规规定、</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基金资产净值和各类基金份额净值由基金管理人负责计算，基金托管人负责进行复核。基金管理人应于每个</w:t>
      </w:r>
      <w:r>
        <w:rPr>
          <w:rFonts w:hint="eastAsia"/>
          <w:bCs/>
          <w:sz w:val="24"/>
        </w:rPr>
        <w:t>工作</w:t>
      </w:r>
      <w:r>
        <w:rPr>
          <w:bCs/>
          <w:sz w:val="24"/>
        </w:rPr>
        <w:t>日交易结束后计算当日的基金资产净值和各类基金份额净值并发送给基金托管人。基金托管人对净值计算结果复核确认后发送给基金管理人，由基金管理人对基金净值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pPr>
        <w:spacing w:line="360" w:lineRule="auto"/>
        <w:ind w:firstLine="480" w:firstLineChars="200"/>
        <w:rPr>
          <w:bCs/>
          <w:sz w:val="24"/>
        </w:rPr>
      </w:pPr>
      <w:r>
        <w:rPr>
          <w:rFonts w:hint="eastAsia"/>
          <w:bCs/>
          <w:sz w:val="24"/>
        </w:rPr>
        <w:t>九、特殊情况的处理方法</w:t>
      </w:r>
    </w:p>
    <w:p>
      <w:pPr>
        <w:spacing w:line="360" w:lineRule="auto"/>
        <w:ind w:firstLine="480" w:firstLineChars="200"/>
        <w:rPr>
          <w:sz w:val="24"/>
        </w:rPr>
      </w:pPr>
      <w:r>
        <w:rPr>
          <w:sz w:val="24"/>
        </w:rPr>
        <w:t>1</w:t>
      </w:r>
      <w:r>
        <w:rPr>
          <w:rFonts w:hint="eastAsia"/>
          <w:sz w:val="24"/>
        </w:rPr>
        <w:t>、基金管理人或基金托管人按估值方法的第</w:t>
      </w:r>
      <w:r>
        <w:rPr>
          <w:rFonts w:hint="eastAsia"/>
          <w:bCs/>
          <w:sz w:val="24"/>
        </w:rPr>
        <w:t>7</w:t>
      </w:r>
      <w:r>
        <w:rPr>
          <w:rFonts w:hint="eastAsia"/>
          <w:sz w:val="24"/>
        </w:rPr>
        <w:t>项进行估值时，所造成的误差不作为基金资产估值错误处理。</w:t>
      </w:r>
    </w:p>
    <w:p>
      <w:pPr>
        <w:spacing w:line="360" w:lineRule="auto"/>
        <w:ind w:firstLine="480" w:firstLineChars="200"/>
        <w:rPr>
          <w:sz w:val="24"/>
        </w:rPr>
      </w:pPr>
      <w:r>
        <w:rPr>
          <w:sz w:val="24"/>
        </w:rPr>
        <w:t>2</w:t>
      </w:r>
      <w:r>
        <w:rPr>
          <w:rFonts w:hint="eastAsia"/>
          <w:sz w:val="24"/>
        </w:rPr>
        <w:t>、由于有关会计制度变化或不可抗力，或</w:t>
      </w:r>
      <w:r>
        <w:rPr>
          <w:rFonts w:hint="eastAsia"/>
          <w:bCs/>
          <w:sz w:val="24"/>
        </w:rPr>
        <w:t>由于证券</w:t>
      </w:r>
      <w:r>
        <w:rPr>
          <w:rFonts w:hint="eastAsia"/>
          <w:sz w:val="24"/>
        </w:rPr>
        <w:t>、期货交易所</w:t>
      </w:r>
      <w:r>
        <w:rPr>
          <w:rFonts w:hint="eastAsia"/>
          <w:bCs/>
          <w:sz w:val="24"/>
        </w:rPr>
        <w:t>或</w:t>
      </w:r>
      <w:r>
        <w:rPr>
          <w:rFonts w:hint="eastAsia"/>
          <w:sz w:val="24"/>
        </w:rPr>
        <w:t>登记结算</w:t>
      </w:r>
      <w:r>
        <w:rPr>
          <w:rFonts w:hint="eastAsia"/>
          <w:bCs/>
          <w:sz w:val="24"/>
        </w:rPr>
        <w:t>公司及存款银行</w:t>
      </w:r>
      <w:r>
        <w:rPr>
          <w:rFonts w:hint="eastAsia"/>
          <w:sz w:val="24"/>
        </w:rPr>
        <w:t>等第三方机构发送的数据错误</w:t>
      </w:r>
      <w:r>
        <w:rPr>
          <w:rStyle w:val="52"/>
          <w:rFonts w:hint="eastAsia"/>
          <w:color w:val="000000"/>
          <w:sz w:val="24"/>
          <w:szCs w:val="24"/>
        </w:rPr>
        <w:t>、遗漏或国家会计政策变更、市场规则变更等非基金管理人与基金托管人</w:t>
      </w:r>
      <w:r>
        <w:rPr>
          <w:rFonts w:hint="eastAsia"/>
          <w:sz w:val="24"/>
        </w:rPr>
        <w:t>等原因，基金管理人和基金托管人虽然已经采取必要、适当、合理的措施进行检查，但未能发现错误或即使发现错误但因前述原因无法及时更正的，由此造成的基金资产估值错误，基金管理人和基金托管人免除赔偿责任</w:t>
      </w:r>
      <w:r>
        <w:rPr>
          <w:rFonts w:hint="eastAsia"/>
          <w:bCs/>
          <w:sz w:val="24"/>
        </w:rPr>
        <w:t>，</w:t>
      </w:r>
      <w:r>
        <w:rPr>
          <w:rFonts w:hint="eastAsia"/>
          <w:sz w:val="24"/>
        </w:rPr>
        <w:t>但基金管理人、基金托管人应当积极采取必要的措施消除或减轻由此造成的影响。</w:t>
      </w:r>
    </w:p>
    <w:p>
      <w:pPr>
        <w:spacing w:line="360" w:lineRule="auto"/>
        <w:ind w:firstLine="480" w:firstLineChars="200"/>
        <w:rPr>
          <w:sz w:val="24"/>
        </w:rPr>
      </w:pPr>
      <w:r>
        <w:rPr>
          <w:rFonts w:hint="eastAsia"/>
          <w:sz w:val="24"/>
        </w:rPr>
        <w:t>十、实施侧袋机制期间的基金资产估值</w:t>
      </w:r>
    </w:p>
    <w:p>
      <w:pPr>
        <w:spacing w:line="360" w:lineRule="auto"/>
        <w:ind w:firstLine="480" w:firstLineChars="200"/>
        <w:rPr>
          <w:sz w:val="24"/>
        </w:rPr>
      </w:pPr>
      <w:r>
        <w:rPr>
          <w:rFonts w:hint="eastAsia"/>
          <w:sz w:val="24"/>
        </w:rPr>
        <w:t>本基金实施侧袋机制的，应根据本部分的约定对主袋账户资产进行估值并披露主袋账户的基金净值信息，暂停披露侧袋账户基金净值信息。</w:t>
      </w:r>
    </w:p>
    <w:bookmarkEnd w:id="356"/>
    <w:p>
      <w:pPr>
        <w:pStyle w:val="2"/>
        <w:spacing w:before="0" w:after="0"/>
        <w:jc w:val="center"/>
        <w:rPr>
          <w:rFonts w:ascii="Times New Roman"/>
          <w:color w:val="auto"/>
          <w:sz w:val="30"/>
        </w:rPr>
        <w:sectPr>
          <w:footerReference r:id="rId22" w:type="default"/>
          <w:pgSz w:w="11906" w:h="16838"/>
          <w:pgMar w:top="1440" w:right="1800" w:bottom="1440" w:left="1800" w:header="851" w:footer="992" w:gutter="0"/>
          <w:pgNumType w:start="1"/>
          <w:cols w:space="720" w:num="1"/>
          <w:docGrid w:type="lines" w:linePitch="312" w:charSpace="0"/>
        </w:sectPr>
      </w:pPr>
      <w:bookmarkStart w:id="361" w:name="CTS_311f6477b0044ab7ae80114287b496a5"/>
      <w:bookmarkEnd w:id="361"/>
      <w:bookmarkStart w:id="362" w:name="_Toc32041"/>
      <w:bookmarkStart w:id="363" w:name="_Toc24601"/>
      <w:bookmarkStart w:id="364" w:name="_Toc3365"/>
      <w:bookmarkStart w:id="365" w:name="_Toc19752"/>
      <w:bookmarkStart w:id="366" w:name="_Toc32227"/>
      <w:bookmarkStart w:id="367" w:name="_Toc15779"/>
      <w:bookmarkStart w:id="368" w:name="_Toc19706"/>
      <w:bookmarkStart w:id="369" w:name="_Toc12105"/>
      <w:bookmarkStart w:id="370" w:name="_Toc6493"/>
      <w:bookmarkStart w:id="371" w:name="_Toc13987"/>
      <w:bookmarkStart w:id="372" w:name="CLAUSE_311f6477b0044ab7ae80114287b496a5"/>
    </w:p>
    <w:p>
      <w:pPr>
        <w:pStyle w:val="2"/>
        <w:spacing w:before="0" w:after="0"/>
        <w:jc w:val="center"/>
        <w:rPr>
          <w:rFonts w:ascii="Times New Roman"/>
          <w:color w:val="auto"/>
          <w:sz w:val="30"/>
        </w:rPr>
      </w:pPr>
      <w:r>
        <w:t xml:space="preserve"> </w:t>
      </w:r>
      <w:bookmarkStart w:id="373" w:name="_Toc132366457"/>
      <w:r>
        <w:rPr>
          <w:rFonts w:ascii="Times New Roman"/>
          <w:color w:val="auto"/>
          <w:sz w:val="30"/>
        </w:rPr>
        <w:t>第十五部分</w:t>
      </w:r>
      <w:r>
        <w:rPr>
          <w:rFonts w:hint="eastAsia" w:ascii="Times New Roman"/>
          <w:color w:val="auto"/>
          <w:sz w:val="30"/>
        </w:rPr>
        <w:t xml:space="preserve">  </w:t>
      </w:r>
      <w:r>
        <w:rPr>
          <w:rFonts w:ascii="Times New Roman"/>
          <w:color w:val="auto"/>
          <w:sz w:val="30"/>
        </w:rPr>
        <w:t>基金费用与税收</w:t>
      </w:r>
      <w:bookmarkEnd w:id="358"/>
      <w:bookmarkEnd w:id="359"/>
      <w:bookmarkEnd w:id="360"/>
      <w:bookmarkEnd w:id="362"/>
      <w:bookmarkEnd w:id="363"/>
      <w:bookmarkEnd w:id="364"/>
      <w:bookmarkEnd w:id="365"/>
      <w:bookmarkEnd w:id="366"/>
      <w:bookmarkEnd w:id="367"/>
      <w:bookmarkEnd w:id="368"/>
      <w:bookmarkEnd w:id="369"/>
      <w:bookmarkEnd w:id="370"/>
      <w:bookmarkEnd w:id="371"/>
      <w:bookmarkEnd w:id="373"/>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、C类基金份额的销售服务费；</w:t>
      </w:r>
    </w:p>
    <w:p>
      <w:pPr>
        <w:spacing w:line="360" w:lineRule="auto"/>
        <w:ind w:firstLine="480" w:firstLineChars="200"/>
        <w:rPr>
          <w:bCs/>
          <w:sz w:val="24"/>
        </w:rPr>
      </w:pPr>
      <w:r>
        <w:rPr>
          <w:bCs/>
          <w:sz w:val="24"/>
        </w:rPr>
        <w:t>4、《基金合同》生效后与基金相关的信息披露费用</w:t>
      </w:r>
      <w:r>
        <w:rPr>
          <w:rFonts w:hint="eastAsia"/>
          <w:bCs/>
          <w:sz w:val="24"/>
        </w:rPr>
        <w:t>，法律法规、中国证监会另有规定的除外</w:t>
      </w:r>
      <w:r>
        <w:rPr>
          <w:bCs/>
          <w:sz w:val="24"/>
        </w:rPr>
        <w:t>；</w:t>
      </w:r>
    </w:p>
    <w:p>
      <w:pPr>
        <w:spacing w:line="360" w:lineRule="auto"/>
        <w:ind w:firstLine="480" w:firstLineChars="200"/>
        <w:rPr>
          <w:bCs/>
          <w:sz w:val="24"/>
        </w:rPr>
      </w:pPr>
      <w:r>
        <w:rPr>
          <w:bCs/>
          <w:sz w:val="24"/>
        </w:rPr>
        <w:t>5、《基金合同》生效后与基金相关的会计师费、律师费</w:t>
      </w:r>
      <w:r>
        <w:rPr>
          <w:rFonts w:hint="eastAsia"/>
          <w:bCs/>
          <w:sz w:val="24"/>
        </w:rPr>
        <w:t>、公证费、</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bCs/>
          <w:sz w:val="24"/>
        </w:rPr>
        <w:t>6、基金份额持有人大会费用；</w:t>
      </w:r>
    </w:p>
    <w:p>
      <w:pPr>
        <w:spacing w:line="360" w:lineRule="auto"/>
        <w:ind w:firstLine="480" w:firstLineChars="200"/>
        <w:rPr>
          <w:bCs/>
          <w:sz w:val="24"/>
        </w:rPr>
      </w:pPr>
      <w:r>
        <w:rPr>
          <w:bCs/>
          <w:sz w:val="24"/>
        </w:rPr>
        <w:t>7、基金的证券</w:t>
      </w:r>
      <w:r>
        <w:rPr>
          <w:rFonts w:hint="eastAsia"/>
          <w:bCs/>
          <w:sz w:val="24"/>
        </w:rPr>
        <w:t>、期货</w:t>
      </w:r>
      <w:r>
        <w:rPr>
          <w:bCs/>
          <w:sz w:val="24"/>
        </w:rPr>
        <w:t>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sz w:val="24"/>
        </w:rPr>
      </w:pPr>
      <w:r>
        <w:rPr>
          <w:bCs/>
          <w:sz w:val="24"/>
        </w:rPr>
        <w:t>9、</w:t>
      </w:r>
      <w:r>
        <w:rPr>
          <w:rFonts w:hint="eastAsia"/>
          <w:bCs/>
          <w:sz w:val="24"/>
        </w:rPr>
        <w:t>基金的账户开户费用、账户维护费用；</w:t>
      </w:r>
    </w:p>
    <w:p>
      <w:pPr>
        <w:spacing w:line="360" w:lineRule="auto"/>
        <w:ind w:firstLine="480" w:firstLineChars="200"/>
        <w:rPr>
          <w:bCs/>
          <w:sz w:val="24"/>
        </w:rPr>
      </w:pPr>
      <w:r>
        <w:rPr>
          <w:bCs/>
          <w:sz w:val="24"/>
        </w:rPr>
        <w:t>10、按照国家有关规定和《基金合同》约定，可以在基金财产中列支的其他费用。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w:t>
      </w:r>
      <w:r>
        <w:rPr>
          <w:bCs/>
          <w:sz w:val="24"/>
        </w:rPr>
        <w:t>2</w:t>
      </w:r>
      <w:r>
        <w:rPr>
          <w:rFonts w:hint="eastAsia"/>
          <w:bCs/>
          <w:sz w:val="24"/>
        </w:rPr>
        <w:t>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w:t>
      </w:r>
      <w:r>
        <w:rPr>
          <w:bCs/>
          <w:sz w:val="24"/>
        </w:rPr>
        <w:t>2</w:t>
      </w:r>
      <w:r>
        <w:rPr>
          <w:rFonts w:hint="eastAsia"/>
          <w:bCs/>
          <w:sz w:val="24"/>
        </w:rPr>
        <w:t>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0.05%</w:t>
      </w:r>
      <w:r>
        <w:rPr>
          <w:bCs/>
          <w:sz w:val="24"/>
        </w:rPr>
        <w:t>的年费率计提。托管费的计算方法如下：</w:t>
      </w:r>
    </w:p>
    <w:p>
      <w:pPr>
        <w:spacing w:line="360" w:lineRule="auto"/>
        <w:ind w:firstLine="480" w:firstLineChars="200"/>
        <w:rPr>
          <w:bCs/>
          <w:sz w:val="24"/>
        </w:rPr>
      </w:pPr>
      <w:r>
        <w:rPr>
          <w:bCs/>
          <w:sz w:val="24"/>
        </w:rPr>
        <w:t>H＝E×</w:t>
      </w:r>
      <w:r>
        <w:rPr>
          <w:sz w:val="24"/>
        </w:rPr>
        <w:t xml:space="preserve"> </w:t>
      </w:r>
      <w:r>
        <w:rPr>
          <w:rFonts w:hint="eastAsia"/>
          <w:bCs/>
          <w:sz w:val="24"/>
        </w:rPr>
        <w:t>0.05%</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w:t>
      </w:r>
      <w:r>
        <w:rPr>
          <w:bCs/>
          <w:sz w:val="24"/>
        </w:rPr>
        <w:t>C</w:t>
      </w:r>
      <w:r>
        <w:rPr>
          <w:rFonts w:hint="eastAsia"/>
          <w:bCs/>
          <w:sz w:val="24"/>
        </w:rPr>
        <w:t>类基金份额的销售服务费按前一日C类基金份额资产净值的0</w:t>
      </w:r>
      <w:r>
        <w:rPr>
          <w:bCs/>
          <w:sz w:val="24"/>
        </w:rPr>
        <w:t>.20</w:t>
      </w:r>
      <w:r>
        <w:rPr>
          <w:rFonts w:hint="eastAsia"/>
          <w:bCs/>
          <w:sz w:val="24"/>
        </w:rPr>
        <w:t>%年费率计提。计算方法如下：</w:t>
      </w:r>
    </w:p>
    <w:p>
      <w:pPr>
        <w:spacing w:line="360" w:lineRule="auto"/>
        <w:ind w:firstLine="480" w:firstLineChars="200"/>
        <w:rPr>
          <w:bCs/>
          <w:sz w:val="24"/>
        </w:rPr>
      </w:pPr>
      <w:r>
        <w:rPr>
          <w:rFonts w:hint="eastAsia"/>
          <w:bCs/>
          <w:sz w:val="24"/>
        </w:rPr>
        <w:t>H＝E×</w:t>
      </w:r>
      <w:r>
        <w:rPr>
          <w:bCs/>
          <w:sz w:val="24"/>
        </w:rPr>
        <w:t>0.20</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E为C类基金份额前一日的基金资产净值</w:t>
      </w:r>
    </w:p>
    <w:p>
      <w:pPr>
        <w:spacing w:line="360" w:lineRule="auto"/>
        <w:ind w:firstLine="480" w:firstLineChars="200"/>
        <w:rPr>
          <w:bCs/>
          <w:sz w:val="24"/>
        </w:rPr>
      </w:pPr>
      <w:r>
        <w:rPr>
          <w:rFonts w:hint="eastAsia"/>
          <w:bCs/>
          <w:sz w:val="24"/>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中第4－</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74" w:name="_Hlt88827255"/>
      <w:bookmarkEnd w:id="374"/>
    </w:p>
    <w:p>
      <w:pPr>
        <w:spacing w:line="360" w:lineRule="auto"/>
        <w:ind w:firstLine="480" w:firstLineChars="200"/>
        <w:rPr>
          <w:bCs/>
          <w:sz w:val="24"/>
        </w:rPr>
      </w:pPr>
      <w:r>
        <w:rPr>
          <w:bCs/>
          <w:sz w:val="24"/>
        </w:rPr>
        <w:t>四、</w:t>
      </w:r>
      <w:r>
        <w:rPr>
          <w:rFonts w:hint="eastAsia"/>
          <w:bCs/>
          <w:sz w:val="24"/>
        </w:rPr>
        <w:t>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bookmarkEnd w:id="372"/>
    <w:p>
      <w:pPr>
        <w:rPr>
          <w:b/>
        </w:rPr>
        <w:sectPr>
          <w:footerReference r:id="rId23" w:type="default"/>
          <w:pgSz w:w="11906" w:h="16838"/>
          <w:pgMar w:top="1440" w:right="1800" w:bottom="1440" w:left="1800" w:header="851" w:footer="992" w:gutter="0"/>
          <w:pgNumType w:start="1"/>
          <w:cols w:space="720" w:num="1"/>
          <w:docGrid w:type="lines" w:linePitch="312" w:charSpace="0"/>
        </w:sectPr>
      </w:pPr>
      <w:bookmarkStart w:id="375" w:name="CLAUSE_43604f345e124da5a463ff3c421d5202"/>
    </w:p>
    <w:p>
      <w:pPr>
        <w:pStyle w:val="2"/>
        <w:spacing w:before="0" w:after="0"/>
        <w:jc w:val="center"/>
        <w:rPr>
          <w:rFonts w:ascii="Times New Roman"/>
          <w:color w:val="auto"/>
          <w:sz w:val="30"/>
        </w:rPr>
      </w:pPr>
      <w:r>
        <w:t xml:space="preserve"> </w:t>
      </w:r>
      <w:bookmarkStart w:id="376" w:name="CTS_43604f345e124da5a463ff3c421d5202"/>
      <w:bookmarkEnd w:id="376"/>
      <w:bookmarkStart w:id="377" w:name="_Toc132366458"/>
      <w:r>
        <w:rPr>
          <w:rFonts w:ascii="Times New Roman"/>
          <w:color w:val="auto"/>
          <w:sz w:val="30"/>
        </w:rPr>
        <w:t>第十六部分</w:t>
      </w:r>
      <w:r>
        <w:rPr>
          <w:rFonts w:hint="eastAsia" w:ascii="Times New Roman"/>
          <w:color w:val="auto"/>
          <w:sz w:val="30"/>
        </w:rPr>
        <w:t xml:space="preserve">  </w:t>
      </w:r>
      <w:r>
        <w:rPr>
          <w:rFonts w:ascii="Times New Roman"/>
          <w:color w:val="auto"/>
          <w:sz w:val="30"/>
        </w:rPr>
        <w:t>基金的收益与分配</w:t>
      </w:r>
      <w:bookmarkEnd w:id="377"/>
    </w:p>
    <w:p>
      <w:pPr>
        <w:spacing w:line="360" w:lineRule="auto"/>
        <w:ind w:firstLine="540" w:firstLineChars="225"/>
        <w:rPr>
          <w:bCs/>
          <w:sz w:val="24"/>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本基金收益分配方式分两种：现金分红与红利再投资，投资者可选择现金红利或将现金红利自动转为相应类别的基金份额进行再投资，且基金份额持有人可对A类基金份额、C类基金份额分别选择不同的分红方式；若投资者不选择，本基金默认的收益分配方式是现金分红；通过红利再投资所得基金份额的运作期起始日与该认/申购份额运作期起始日相同；</w:t>
      </w:r>
    </w:p>
    <w:p>
      <w:pPr>
        <w:spacing w:line="360" w:lineRule="auto"/>
        <w:ind w:firstLine="540" w:firstLineChars="225"/>
        <w:rPr>
          <w:bCs/>
          <w:sz w:val="24"/>
        </w:rPr>
      </w:pPr>
      <w:r>
        <w:rPr>
          <w:rFonts w:hint="eastAsia"/>
          <w:bCs/>
          <w:sz w:val="24"/>
        </w:rPr>
        <w:t>2、基金收益分配后各类基金份额净值不能低于面值，即基金收益分配基准日的各类基金份额净值减去每单位该类基金份额收益分配金额后不能低于面值；</w:t>
      </w:r>
    </w:p>
    <w:p>
      <w:pPr>
        <w:spacing w:line="360" w:lineRule="auto"/>
        <w:ind w:firstLine="540" w:firstLineChars="225"/>
        <w:rPr>
          <w:bCs/>
          <w:sz w:val="24"/>
        </w:rPr>
      </w:pPr>
      <w:r>
        <w:rPr>
          <w:rFonts w:hint="eastAsia"/>
          <w:bCs/>
          <w:sz w:val="24"/>
        </w:rPr>
        <w:t>3、</w:t>
      </w:r>
      <w:r>
        <w:rPr>
          <w:rFonts w:hint="eastAsia" w:ascii="宋体" w:hAnsi="宋体"/>
          <w:sz w:val="24"/>
        </w:rPr>
        <w:t>由于本基金A类基金份额不收取销售服务费，而C类基金份额收取销售服务费，各基金份额类别对应的可分配收益将有所不同。</w:t>
      </w:r>
      <w:r>
        <w:rPr>
          <w:rFonts w:hint="eastAsia"/>
          <w:bCs/>
          <w:sz w:val="24"/>
        </w:rPr>
        <w:t>本基金同一类别的每份基金份额享有同等分配权；</w:t>
      </w:r>
    </w:p>
    <w:p>
      <w:pPr>
        <w:spacing w:line="360" w:lineRule="auto"/>
        <w:ind w:firstLine="540" w:firstLineChars="225"/>
        <w:rPr>
          <w:bCs/>
          <w:sz w:val="24"/>
        </w:rPr>
      </w:pPr>
      <w:r>
        <w:rPr>
          <w:rFonts w:hint="eastAsia"/>
          <w:bCs/>
          <w:sz w:val="24"/>
        </w:rPr>
        <w:t>4、法律法规或监管机关另有规定的，从其规定。</w:t>
      </w:r>
    </w:p>
    <w:p>
      <w:pPr>
        <w:spacing w:line="360" w:lineRule="auto"/>
        <w:ind w:firstLine="480" w:firstLineChars="200"/>
        <w:rPr>
          <w:bCs/>
          <w:sz w:val="24"/>
        </w:rPr>
      </w:pPr>
      <w:r>
        <w:rPr>
          <w:rFonts w:hint="eastAsia"/>
          <w:bCs/>
          <w:sz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p>
      <w:pPr>
        <w:spacing w:line="360" w:lineRule="auto"/>
        <w:ind w:firstLine="540" w:firstLineChars="225"/>
        <w:rPr>
          <w:bCs/>
          <w:sz w:val="24"/>
        </w:rPr>
      </w:pPr>
      <w:r>
        <w:rPr>
          <w:bCs/>
          <w:sz w:val="24"/>
        </w:rPr>
        <w:t>四、收益分配方案</w:t>
      </w:r>
    </w:p>
    <w:p>
      <w:pPr>
        <w:spacing w:line="360" w:lineRule="auto"/>
        <w:ind w:firstLine="480" w:firstLineChars="20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480" w:firstLineChars="200"/>
        <w:rPr>
          <w:bCs/>
          <w:sz w:val="24"/>
        </w:rPr>
      </w:pPr>
      <w:r>
        <w:rPr>
          <w:bCs/>
          <w:sz w:val="24"/>
        </w:rPr>
        <w:t>本基金收益分配方案由基金管理人拟定，并由基金托管人复核，</w:t>
      </w:r>
      <w:r>
        <w:rPr>
          <w:rFonts w:hint="eastAsia"/>
          <w:bCs/>
          <w:sz w:val="24"/>
        </w:rPr>
        <w:t>依据相关规定进行</w:t>
      </w:r>
      <w:r>
        <w:rPr>
          <w:bCs/>
          <w:sz w:val="24"/>
        </w:rPr>
        <w:t>公告。</w:t>
      </w:r>
    </w:p>
    <w:p>
      <w:pPr>
        <w:spacing w:line="360" w:lineRule="auto"/>
        <w:ind w:firstLine="540" w:firstLineChars="225"/>
        <w:rPr>
          <w:bCs/>
          <w:sz w:val="24"/>
        </w:rPr>
      </w:pPr>
      <w:r>
        <w:rPr>
          <w:bCs/>
          <w:sz w:val="24"/>
        </w:rPr>
        <w:t>六、基金收益分配中发生的费用</w:t>
      </w:r>
    </w:p>
    <w:p>
      <w:pPr>
        <w:spacing w:line="360" w:lineRule="auto"/>
        <w:ind w:firstLine="480" w:firstLineChars="20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sz w:val="24"/>
        </w:rPr>
      </w:pPr>
      <w:r>
        <w:rPr>
          <w:rFonts w:hint="eastAsia"/>
          <w:bCs/>
          <w:sz w:val="24"/>
        </w:rPr>
        <w:t>七、实施侧袋机制期间的收益分配</w:t>
      </w:r>
    </w:p>
    <w:p>
      <w:pPr>
        <w:spacing w:line="360" w:lineRule="auto"/>
        <w:ind w:firstLine="480" w:firstLineChars="200"/>
        <w:rPr>
          <w:bCs/>
          <w:sz w:val="24"/>
        </w:rPr>
      </w:pPr>
      <w:r>
        <w:rPr>
          <w:rFonts w:hint="eastAsia"/>
          <w:bCs/>
          <w:sz w:val="24"/>
        </w:rPr>
        <w:t>本基金实施侧袋机制的，侧袋账户不进行收益分配，详见招募说明书的规定。</w:t>
      </w:r>
    </w:p>
    <w:bookmarkEnd w:id="375"/>
    <w:p>
      <w:pPr>
        <w:pStyle w:val="2"/>
        <w:spacing w:before="0" w:after="0"/>
        <w:jc w:val="center"/>
        <w:rPr>
          <w:rFonts w:ascii="Times New Roman"/>
          <w:color w:val="auto"/>
          <w:sz w:val="30"/>
        </w:rPr>
        <w:sectPr>
          <w:footerReference r:id="rId24" w:type="default"/>
          <w:pgSz w:w="11906" w:h="16838"/>
          <w:pgMar w:top="1440" w:right="1800" w:bottom="1440" w:left="1800" w:header="851" w:footer="992" w:gutter="0"/>
          <w:pgNumType w:start="1"/>
          <w:cols w:space="720" w:num="1"/>
          <w:docGrid w:type="lines" w:linePitch="312" w:charSpace="0"/>
        </w:sectPr>
      </w:pPr>
      <w:bookmarkStart w:id="378" w:name="CTS_b4a2837ab9bc483c9dc9f2cbcd87387c"/>
      <w:bookmarkEnd w:id="378"/>
      <w:bookmarkStart w:id="379" w:name="_Toc92662708"/>
      <w:bookmarkStart w:id="380" w:name="_Toc93226150"/>
      <w:bookmarkStart w:id="381" w:name="_Toc21206"/>
      <w:bookmarkStart w:id="382" w:name="_Toc17499"/>
      <w:bookmarkStart w:id="383" w:name="_Toc23859"/>
      <w:bookmarkStart w:id="384" w:name="_Toc18747"/>
      <w:bookmarkStart w:id="385" w:name="_Toc29695"/>
      <w:bookmarkStart w:id="386" w:name="_Toc139991747"/>
      <w:bookmarkStart w:id="387" w:name="_Toc1043"/>
      <w:bookmarkStart w:id="388" w:name="_Toc13255"/>
      <w:bookmarkStart w:id="389" w:name="_Toc10894"/>
      <w:bookmarkStart w:id="390" w:name="_Toc141703897"/>
      <w:bookmarkStart w:id="391" w:name="_Toc128310500"/>
      <w:bookmarkStart w:id="392" w:name="_Toc28961"/>
      <w:bookmarkStart w:id="393" w:name="_Toc18007"/>
      <w:bookmarkStart w:id="394" w:name="_Toc31736"/>
      <w:bookmarkStart w:id="395" w:name="CLAUSE_b4a2837ab9bc483c9dc9f2cbcd87387c"/>
    </w:p>
    <w:p>
      <w:pPr>
        <w:pStyle w:val="2"/>
        <w:spacing w:before="0" w:after="0"/>
        <w:jc w:val="center"/>
        <w:rPr>
          <w:rFonts w:ascii="Times New Roman"/>
          <w:color w:val="auto"/>
          <w:sz w:val="30"/>
        </w:rPr>
      </w:pPr>
      <w:r>
        <w:t xml:space="preserve"> </w:t>
      </w:r>
      <w:bookmarkStart w:id="396" w:name="_Toc132366459"/>
      <w:r>
        <w:rPr>
          <w:rFonts w:ascii="Times New Roman"/>
          <w:color w:val="auto"/>
          <w:sz w:val="30"/>
        </w:rPr>
        <w:t>第十七部分</w:t>
      </w:r>
      <w:r>
        <w:rPr>
          <w:rFonts w:hint="eastAsia" w:ascii="Times New Roman"/>
          <w:color w:val="auto"/>
          <w:sz w:val="30"/>
        </w:rPr>
        <w:t xml:space="preserve">  </w:t>
      </w:r>
      <w:r>
        <w:rPr>
          <w:rFonts w:ascii="Times New Roman"/>
          <w:color w:val="auto"/>
          <w:sz w:val="30"/>
        </w:rPr>
        <w:t>基金</w:t>
      </w:r>
      <w:bookmarkEnd w:id="379"/>
      <w:bookmarkEnd w:id="380"/>
      <w:r>
        <w:rPr>
          <w:rFonts w:ascii="Times New Roman"/>
          <w:color w:val="auto"/>
          <w:sz w:val="30"/>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6"/>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w:t>
      </w:r>
      <w:r>
        <w:rPr>
          <w:rFonts w:hint="eastAsia"/>
          <w:bCs/>
          <w:sz w:val="24"/>
        </w:rPr>
        <w:t>书面约定</w:t>
      </w:r>
      <w:r>
        <w:rPr>
          <w:bCs/>
          <w:sz w:val="24"/>
        </w:rPr>
        <w:t>的</w:t>
      </w:r>
      <w:r>
        <w:rPr>
          <w:rFonts w:hint="eastAsia"/>
          <w:bCs/>
          <w:sz w:val="24"/>
        </w:rPr>
        <w:t>方式</w:t>
      </w:r>
      <w:r>
        <w:rPr>
          <w:bCs/>
          <w:sz w:val="24"/>
        </w:rPr>
        <w:t>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w:t>
      </w:r>
      <w:r>
        <w:rPr>
          <w:rFonts w:hint="eastAsia"/>
          <w:bCs/>
          <w:sz w:val="24"/>
        </w:rPr>
        <w:t>且符合《中华人民共和国证券法》规定的</w:t>
      </w:r>
      <w:r>
        <w:rPr>
          <w:bCs/>
          <w:sz w:val="24"/>
        </w:rPr>
        <w:t>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97" w:name="_Hlt4221115"/>
      <w:bookmarkEnd w:id="397"/>
      <w:r>
        <w:rPr>
          <w:bCs/>
          <w:sz w:val="24"/>
        </w:rPr>
        <w:t>基金管理人认为有充足理由更换会计师事务所，须通报基金托管人。更换会计师事务所需</w:t>
      </w:r>
      <w:r>
        <w:rPr>
          <w:rFonts w:hint="eastAsia"/>
          <w:bCs/>
          <w:sz w:val="24"/>
        </w:rPr>
        <w:t>依照《信息披露办法》的相关规定</w:t>
      </w:r>
      <w:r>
        <w:rPr>
          <w:bCs/>
          <w:sz w:val="24"/>
        </w:rPr>
        <w:t>在</w:t>
      </w:r>
      <w:r>
        <w:rPr>
          <w:rFonts w:hint="eastAsia"/>
          <w:bCs/>
          <w:sz w:val="24"/>
        </w:rPr>
        <w:t>规定媒介</w:t>
      </w:r>
      <w:r>
        <w:rPr>
          <w:bCs/>
          <w:sz w:val="24"/>
        </w:rPr>
        <w:t>公告。</w:t>
      </w:r>
    </w:p>
    <w:bookmarkEnd w:id="395"/>
    <w:p>
      <w:pPr>
        <w:pStyle w:val="2"/>
        <w:spacing w:before="0" w:after="0"/>
        <w:jc w:val="center"/>
        <w:rPr>
          <w:rFonts w:ascii="Times New Roman"/>
          <w:color w:val="auto"/>
          <w:sz w:val="30"/>
        </w:rPr>
        <w:sectPr>
          <w:footerReference r:id="rId25" w:type="default"/>
          <w:pgSz w:w="11906" w:h="16838"/>
          <w:pgMar w:top="1440" w:right="1800" w:bottom="1440" w:left="1800" w:header="851" w:footer="992" w:gutter="0"/>
          <w:pgNumType w:start="1"/>
          <w:cols w:space="720" w:num="1"/>
          <w:docGrid w:type="lines" w:linePitch="312" w:charSpace="0"/>
        </w:sectPr>
      </w:pPr>
      <w:bookmarkStart w:id="398" w:name="CTS_3f8dfa4a5eb44ab7a4b0623d7312060e"/>
      <w:bookmarkEnd w:id="398"/>
      <w:bookmarkStart w:id="399" w:name="_Toc92662709"/>
      <w:bookmarkStart w:id="400" w:name="_Toc93226151"/>
      <w:bookmarkStart w:id="401" w:name="_Toc139991748"/>
      <w:bookmarkStart w:id="402" w:name="_Toc31866"/>
      <w:bookmarkStart w:id="403" w:name="_Toc1173"/>
      <w:bookmarkStart w:id="404" w:name="_Toc11802"/>
      <w:bookmarkStart w:id="405" w:name="_Toc21351"/>
      <w:bookmarkStart w:id="406" w:name="_Toc128310501"/>
      <w:bookmarkStart w:id="407" w:name="_Toc1421"/>
      <w:bookmarkStart w:id="408" w:name="_Toc141703898"/>
      <w:bookmarkStart w:id="409" w:name="_Toc12028"/>
      <w:bookmarkStart w:id="410" w:name="_Toc3056"/>
      <w:bookmarkStart w:id="411" w:name="_Toc11049"/>
      <w:bookmarkStart w:id="412" w:name="_Toc29289"/>
      <w:bookmarkStart w:id="413" w:name="_Toc8512"/>
      <w:bookmarkStart w:id="414" w:name="_Toc193"/>
      <w:bookmarkStart w:id="415" w:name="CLAUSE_3f8dfa4a5eb44ab7a4b0623d7312060e"/>
    </w:p>
    <w:p>
      <w:pPr>
        <w:pStyle w:val="2"/>
        <w:spacing w:before="0" w:after="0"/>
        <w:jc w:val="center"/>
        <w:rPr>
          <w:rFonts w:ascii="Times New Roman"/>
          <w:color w:val="auto"/>
          <w:sz w:val="30"/>
        </w:rPr>
      </w:pPr>
      <w:r>
        <w:t xml:space="preserve"> </w:t>
      </w:r>
      <w:bookmarkStart w:id="416" w:name="_Toc132366460"/>
      <w:r>
        <w:rPr>
          <w:rFonts w:ascii="Times New Roman"/>
          <w:color w:val="auto"/>
          <w:sz w:val="30"/>
        </w:rPr>
        <w:t>第十八部分</w:t>
      </w:r>
      <w:r>
        <w:rPr>
          <w:rFonts w:hint="eastAsia" w:ascii="Times New Roman"/>
          <w:color w:val="auto"/>
          <w:sz w:val="30"/>
        </w:rPr>
        <w:t xml:space="preserve">  </w:t>
      </w:r>
      <w:r>
        <w:rPr>
          <w:rFonts w:ascii="Times New Roman"/>
          <w:color w:val="auto"/>
          <w:sz w:val="30"/>
        </w:rPr>
        <w:t>基金</w:t>
      </w:r>
      <w:bookmarkEnd w:id="399"/>
      <w:bookmarkEnd w:id="400"/>
      <w:r>
        <w:rPr>
          <w:rFonts w:ascii="Times New Roman"/>
          <w:color w:val="auto"/>
          <w:sz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6"/>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w:t>
      </w:r>
      <w:r>
        <w:rPr>
          <w:bCs/>
          <w:sz w:val="24"/>
        </w:rPr>
        <w:t>规</w:t>
      </w:r>
      <w:r>
        <w:rPr>
          <w:rFonts w:hint="eastAsia"/>
          <w:bCs/>
          <w:sz w:val="24"/>
        </w:rPr>
        <w:t>定报刊”）和《信息披露办法》规定的互联网网站（以下简称“</w:t>
      </w:r>
      <w:r>
        <w:rPr>
          <w:bCs/>
          <w:sz w:val="24"/>
        </w:rPr>
        <w:t>规</w:t>
      </w:r>
      <w:r>
        <w:rPr>
          <w:rFonts w:hint="eastAsia"/>
          <w:bCs/>
          <w:sz w:val="24"/>
        </w:rPr>
        <w:t>定网站”，包括基金管理人网站、基金托管人网站、中国证监会基金电子披露网站）</w:t>
      </w:r>
      <w:r>
        <w:rPr>
          <w:bCs/>
          <w:sz w:val="24"/>
        </w:rPr>
        <w:t>等媒介披露，并保证基金投资者能够按照《基金合同》约定的时间和方式查阅或者复制公开披露的信息资料。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rFonts w:hint="eastAsia"/>
          <w:bCs/>
          <w:sz w:val="24"/>
        </w:rPr>
        <w:t>5、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pPr>
        <w:spacing w:line="360" w:lineRule="auto"/>
        <w:ind w:firstLine="480" w:firstLineChars="200"/>
        <w:rPr>
          <w:bCs/>
          <w:sz w:val="24"/>
        </w:rPr>
      </w:pPr>
      <w:r>
        <w:rPr>
          <w:bCs/>
          <w:sz w:val="24"/>
        </w:rPr>
        <w:t>（四）</w:t>
      </w:r>
      <w:r>
        <w:rPr>
          <w:rFonts w:hint="eastAsia"/>
          <w:bCs/>
          <w:sz w:val="24"/>
        </w:rPr>
        <w:t>基金净值信息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一次各类基金份额净值</w:t>
      </w:r>
      <w:r>
        <w:rPr>
          <w:rFonts w:hint="eastAsia"/>
          <w:bCs/>
          <w:sz w:val="24"/>
        </w:rPr>
        <w:t>和各类基金份额累计净值</w:t>
      </w:r>
      <w:r>
        <w:rPr>
          <w:bCs/>
          <w:sz w:val="24"/>
        </w:rPr>
        <w:t>。</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w:t>
      </w:r>
      <w:r>
        <w:rPr>
          <w:rFonts w:hint="eastAsia"/>
          <w:bCs/>
          <w:sz w:val="24"/>
        </w:rPr>
        <w:t>基金销售机构网站或者营业网点</w:t>
      </w:r>
      <w:r>
        <w:rPr>
          <w:bCs/>
          <w:sz w:val="24"/>
        </w:rPr>
        <w:t>披露开放日的各类基金份额净值</w:t>
      </w:r>
      <w:bookmarkStart w:id="417" w:name="_Hlk24038263"/>
      <w:r>
        <w:rPr>
          <w:bCs/>
          <w:sz w:val="24"/>
        </w:rPr>
        <w:t>和各类基金份额累计净值</w:t>
      </w:r>
      <w:bookmarkEnd w:id="417"/>
      <w:r>
        <w:rPr>
          <w:bCs/>
          <w:sz w:val="24"/>
        </w:rPr>
        <w:t>。</w:t>
      </w:r>
    </w:p>
    <w:p>
      <w:pPr>
        <w:spacing w:line="360" w:lineRule="auto"/>
        <w:ind w:firstLine="480" w:firstLineChars="200"/>
        <w:rPr>
          <w:bCs/>
          <w:sz w:val="24"/>
        </w:rPr>
      </w:pPr>
      <w:r>
        <w:rPr>
          <w:rFonts w:hint="eastAsia"/>
          <w:bCs/>
          <w:sz w:val="24"/>
        </w:rPr>
        <w:t>基金管理人应当在不晚于半年度和年度最后一日的次日，在规定网站披露半年度和年度最后一日的各类基金份额净值和各类基金份额累计净值。</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pPr>
        <w:spacing w:line="360" w:lineRule="auto"/>
        <w:ind w:firstLine="480" w:firstLineChars="200"/>
        <w:rPr>
          <w:bCs/>
          <w:sz w:val="24"/>
        </w:rPr>
      </w:pPr>
      <w:r>
        <w:rPr>
          <w:bCs/>
          <w:sz w:val="24"/>
        </w:rPr>
        <w:t>（六）基金定期报告，包括基金年度报告、基金</w:t>
      </w:r>
      <w:r>
        <w:rPr>
          <w:rFonts w:hint="eastAsia"/>
          <w:bCs/>
          <w:sz w:val="24"/>
        </w:rPr>
        <w:t>中期</w:t>
      </w:r>
      <w:r>
        <w:rPr>
          <w:bCs/>
          <w:sz w:val="24"/>
        </w:rPr>
        <w:t>报告和基金季度报告</w:t>
      </w:r>
      <w:r>
        <w:rPr>
          <w:rFonts w:hint="eastAsia"/>
          <w:bCs/>
          <w:sz w:val="24"/>
        </w:rPr>
        <w:t>（含资产组合季度报告）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内，编制完成基金年度报告，将年度报告登载于</w:t>
      </w:r>
      <w:r>
        <w:rPr>
          <w:rFonts w:hint="eastAsia"/>
          <w:bCs/>
          <w:sz w:val="24"/>
        </w:rPr>
        <w:t>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w:t>
      </w:r>
      <w:r>
        <w:rPr>
          <w:rFonts w:hint="eastAsia"/>
          <w:bCs/>
          <w:sz w:val="24"/>
        </w:rPr>
        <w:t>规定报刊</w:t>
      </w:r>
      <w:r>
        <w:rPr>
          <w:bCs/>
          <w:sz w:val="24"/>
        </w:rPr>
        <w:t>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w:t>
      </w:r>
      <w:r>
        <w:rPr>
          <w:rFonts w:hint="eastAsia"/>
          <w:bCs/>
          <w:sz w:val="24"/>
        </w:rPr>
        <w:t>规定报刊</w:t>
      </w:r>
      <w:r>
        <w:rPr>
          <w:bCs/>
          <w:sz w:val="24"/>
        </w:rPr>
        <w:t>上。</w:t>
      </w:r>
    </w:p>
    <w:p>
      <w:pPr>
        <w:spacing w:line="360" w:lineRule="auto"/>
        <w:ind w:firstLine="480" w:firstLineChars="200"/>
        <w:rPr>
          <w:bCs/>
          <w:sz w:val="24"/>
        </w:rPr>
      </w:pPr>
      <w:r>
        <w:rPr>
          <w:bCs/>
          <w:sz w:val="24"/>
        </w:rPr>
        <w:t>基金管理人应当在季度结束之日起15个工作日内，编制完成基金季度报告，</w:t>
      </w:r>
      <w:r>
        <w:rPr>
          <w:rFonts w:hint="eastAsia"/>
          <w:bCs/>
          <w:sz w:val="24"/>
        </w:rPr>
        <w:t>将季度报告登载在规定网站上，并将季度报告提示性公告登载在规定报刊上</w:t>
      </w:r>
      <w:r>
        <w:rPr>
          <w:bCs/>
          <w:sz w:val="24"/>
        </w:rPr>
        <w:t>。</w:t>
      </w:r>
    </w:p>
    <w:p>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w:t>
      </w:r>
      <w:r>
        <w:rPr>
          <w:bCs/>
          <w:sz w:val="24"/>
        </w:rPr>
        <w:t>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w:t>
      </w:r>
      <w:r>
        <w:rPr>
          <w:rFonts w:hint="eastAsia"/>
          <w:bCs/>
          <w:sz w:val="24"/>
        </w:rPr>
        <w:t>按规定</w:t>
      </w:r>
      <w:r>
        <w:rPr>
          <w:bCs/>
          <w:sz w:val="24"/>
        </w:rPr>
        <w:t>编制临时报告书，</w:t>
      </w:r>
      <w:r>
        <w:rPr>
          <w:rFonts w:hint="eastAsia"/>
          <w:bCs/>
          <w:sz w:val="24"/>
        </w:rPr>
        <w:t>并登载在规定报刊和规定网站上</w:t>
      </w:r>
      <w:r>
        <w:rPr>
          <w:bCs/>
          <w:sz w:val="24"/>
        </w:rPr>
        <w:t>。</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终止、基金清算</w:t>
      </w:r>
      <w:r>
        <w:rPr>
          <w:bCs/>
          <w:sz w:val="24"/>
        </w:rPr>
        <w:t>；</w:t>
      </w:r>
    </w:p>
    <w:p>
      <w:pPr>
        <w:spacing w:line="360" w:lineRule="auto"/>
        <w:ind w:firstLine="480" w:firstLineChars="200"/>
        <w:rPr>
          <w:bCs/>
          <w:sz w:val="24"/>
        </w:rPr>
      </w:pPr>
      <w:r>
        <w:rPr>
          <w:bCs/>
          <w:sz w:val="24"/>
        </w:rPr>
        <w:t>3、转换基金运作方式</w:t>
      </w:r>
      <w:r>
        <w:rPr>
          <w:rFonts w:hint="eastAsia"/>
          <w:bCs/>
          <w:sz w:val="24"/>
        </w:rPr>
        <w:t>、基金合并</w:t>
      </w:r>
      <w:r>
        <w:rPr>
          <w:bCs/>
          <w:sz w:val="24"/>
        </w:rPr>
        <w:t>；</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6、基金管理人、基金托管人的法定名称、住所发生变更；</w:t>
      </w:r>
    </w:p>
    <w:p>
      <w:pPr>
        <w:spacing w:line="360" w:lineRule="auto"/>
        <w:ind w:firstLine="480" w:firstLineChars="200"/>
        <w:rPr>
          <w:bCs/>
          <w:sz w:val="24"/>
        </w:rPr>
      </w:pPr>
      <w:r>
        <w:rPr>
          <w:bCs/>
          <w:sz w:val="24"/>
        </w:rPr>
        <w:t>7、基金管理人</w:t>
      </w:r>
      <w:r>
        <w:rPr>
          <w:rFonts w:hint="eastAsia"/>
          <w:bCs/>
          <w:sz w:val="24"/>
        </w:rPr>
        <w:t>变更持有百分之五以上股权的股东、基金管理人的实际控制人变更</w:t>
      </w:r>
      <w:r>
        <w:rPr>
          <w:bCs/>
          <w:sz w:val="24"/>
        </w:rPr>
        <w:t>；</w:t>
      </w:r>
    </w:p>
    <w:p>
      <w:pPr>
        <w:spacing w:line="360" w:lineRule="auto"/>
        <w:ind w:firstLine="480" w:firstLineChars="200"/>
        <w:rPr>
          <w:bCs/>
          <w:sz w:val="24"/>
        </w:rPr>
      </w:pPr>
      <w:r>
        <w:rPr>
          <w:bCs/>
          <w:sz w:val="24"/>
        </w:rPr>
        <w:t>8、基金募集期延长</w:t>
      </w:r>
      <w:r>
        <w:rPr>
          <w:rFonts w:hint="eastAsia"/>
          <w:bCs/>
          <w:sz w:val="24"/>
        </w:rPr>
        <w:t>或提前结束募集</w:t>
      </w:r>
      <w:r>
        <w:rPr>
          <w:bCs/>
          <w:sz w:val="24"/>
        </w:rPr>
        <w:t>；</w:t>
      </w:r>
    </w:p>
    <w:p>
      <w:pPr>
        <w:spacing w:line="360" w:lineRule="auto"/>
        <w:ind w:firstLine="480" w:firstLineChars="200"/>
        <w:rPr>
          <w:bCs/>
          <w:sz w:val="24"/>
        </w:rPr>
      </w:pPr>
      <w:r>
        <w:rPr>
          <w:bCs/>
          <w:sz w:val="24"/>
        </w:rPr>
        <w:t>9、基金管理人的高级管理人员、基金经理和基金托管人</w:t>
      </w:r>
      <w:r>
        <w:rPr>
          <w:rFonts w:hint="eastAsia"/>
          <w:bCs/>
          <w:sz w:val="24"/>
        </w:rPr>
        <w:t>专门</w:t>
      </w:r>
      <w:r>
        <w:rPr>
          <w:bCs/>
          <w:sz w:val="24"/>
        </w:rPr>
        <w:t>基金托管部门负责人发生变动；</w:t>
      </w:r>
    </w:p>
    <w:p>
      <w:pPr>
        <w:spacing w:line="360" w:lineRule="auto"/>
        <w:ind w:firstLine="480" w:firstLineChars="200"/>
        <w:rPr>
          <w:bCs/>
          <w:sz w:val="24"/>
        </w:rPr>
      </w:pPr>
      <w:r>
        <w:rPr>
          <w:bCs/>
          <w:sz w:val="24"/>
        </w:rPr>
        <w:t>10、基金管理人的董事在</w:t>
      </w:r>
      <w:r>
        <w:rPr>
          <w:rFonts w:hint="eastAsia"/>
          <w:bCs/>
          <w:sz w:val="24"/>
        </w:rPr>
        <w:t>最近12个月内</w:t>
      </w:r>
      <w:r>
        <w:rPr>
          <w:bCs/>
          <w:sz w:val="24"/>
        </w:rPr>
        <w:t>变更超过百分之五十；</w:t>
      </w:r>
    </w:p>
    <w:p>
      <w:pPr>
        <w:spacing w:line="360" w:lineRule="auto"/>
        <w:ind w:firstLine="480" w:firstLineChars="200"/>
        <w:rPr>
          <w:bCs/>
          <w:sz w:val="24"/>
        </w:rPr>
      </w:pPr>
      <w:r>
        <w:rPr>
          <w:bCs/>
          <w:sz w:val="24"/>
        </w:rPr>
        <w:t>11、基金管理人、基金托管人</w:t>
      </w:r>
      <w:r>
        <w:rPr>
          <w:rFonts w:hint="eastAsia"/>
          <w:bCs/>
          <w:sz w:val="24"/>
        </w:rPr>
        <w:t>专门</w:t>
      </w:r>
      <w:r>
        <w:rPr>
          <w:bCs/>
          <w:sz w:val="24"/>
        </w:rPr>
        <w:t>基金托管部门的主要业务人员在</w:t>
      </w:r>
      <w:r>
        <w:rPr>
          <w:rFonts w:hint="eastAsia"/>
          <w:bCs/>
          <w:sz w:val="24"/>
        </w:rPr>
        <w:t>最近12个月内</w:t>
      </w:r>
      <w:r>
        <w:rPr>
          <w:bCs/>
          <w:sz w:val="24"/>
        </w:rPr>
        <w:t>变动超过百分之三十；</w:t>
      </w:r>
    </w:p>
    <w:p>
      <w:pPr>
        <w:spacing w:line="360" w:lineRule="auto"/>
        <w:ind w:firstLine="480" w:firstLineChars="200"/>
        <w:rPr>
          <w:bCs/>
          <w:sz w:val="24"/>
        </w:rPr>
      </w:pPr>
      <w:r>
        <w:rPr>
          <w:bCs/>
          <w:sz w:val="24"/>
        </w:rPr>
        <w:t>12、涉及基金财产、</w:t>
      </w:r>
      <w:r>
        <w:rPr>
          <w:rFonts w:hint="eastAsia"/>
          <w:bCs/>
          <w:sz w:val="24"/>
        </w:rPr>
        <w:t>基金管理业务、</w:t>
      </w:r>
      <w:r>
        <w:rPr>
          <w:bCs/>
          <w:sz w:val="24"/>
        </w:rPr>
        <w:t>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pPr>
        <w:spacing w:line="360" w:lineRule="auto"/>
        <w:ind w:firstLine="480" w:firstLineChars="20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，中国证监会另有规定的除外</w:t>
      </w:r>
      <w:r>
        <w:rPr>
          <w:bCs/>
          <w:sz w:val="24"/>
        </w:rPr>
        <w:t>；</w:t>
      </w:r>
    </w:p>
    <w:p>
      <w:pPr>
        <w:spacing w:line="360" w:lineRule="auto"/>
        <w:ind w:firstLine="480" w:firstLineChars="200"/>
        <w:rPr>
          <w:bCs/>
          <w:sz w:val="24"/>
        </w:rPr>
      </w:pPr>
      <w:r>
        <w:rPr>
          <w:bCs/>
          <w:sz w:val="24"/>
        </w:rPr>
        <w:t>15、基金收益分配事项；</w:t>
      </w:r>
    </w:p>
    <w:p>
      <w:pPr>
        <w:spacing w:line="360" w:lineRule="auto"/>
        <w:ind w:firstLine="480" w:firstLineChars="200"/>
        <w:rPr>
          <w:bCs/>
          <w:sz w:val="24"/>
        </w:rPr>
      </w:pPr>
      <w:r>
        <w:rPr>
          <w:bCs/>
          <w:sz w:val="24"/>
        </w:rPr>
        <w:t>16、管理费、托管费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pPr>
        <w:spacing w:line="360" w:lineRule="auto"/>
        <w:ind w:firstLine="480" w:firstLineChars="200"/>
        <w:rPr>
          <w:bCs/>
          <w:sz w:val="24"/>
        </w:rPr>
      </w:pPr>
      <w:r>
        <w:rPr>
          <w:sz w:val="24"/>
        </w:rPr>
        <w:t>17</w:t>
      </w:r>
      <w:r>
        <w:rPr>
          <w:rFonts w:hint="eastAsia"/>
          <w:sz w:val="24"/>
        </w:rPr>
        <w:t>、</w:t>
      </w:r>
      <w:r>
        <w:rPr>
          <w:rFonts w:hint="eastAsia"/>
          <w:bCs/>
          <w:sz w:val="24"/>
        </w:rPr>
        <w:t>任何一类</w:t>
      </w:r>
      <w:r>
        <w:rPr>
          <w:rFonts w:hint="eastAsia"/>
          <w:sz w:val="24"/>
        </w:rPr>
        <w:t>基金份额净值估值错误达</w:t>
      </w:r>
      <w:r>
        <w:rPr>
          <w:rFonts w:hint="eastAsia"/>
          <w:bCs/>
          <w:sz w:val="24"/>
        </w:rPr>
        <w:t>该类</w:t>
      </w:r>
      <w:r>
        <w:rPr>
          <w:rFonts w:hint="eastAsia"/>
          <w:sz w:val="24"/>
        </w:rPr>
        <w:t>基金</w:t>
      </w:r>
      <w:r>
        <w:rPr>
          <w:rFonts w:hint="eastAsia"/>
          <w:bCs/>
          <w:sz w:val="24"/>
        </w:rPr>
        <w:t>份额</w:t>
      </w:r>
      <w:r>
        <w:rPr>
          <w:rFonts w:hint="eastAsia"/>
          <w:sz w:val="24"/>
        </w:rPr>
        <w:t>净值百分之零点五；</w:t>
      </w:r>
    </w:p>
    <w:p>
      <w:pPr>
        <w:spacing w:line="360" w:lineRule="auto"/>
        <w:ind w:firstLine="480" w:firstLineChars="200"/>
        <w:rPr>
          <w:bCs/>
          <w:sz w:val="24"/>
        </w:rPr>
      </w:pPr>
      <w:r>
        <w:rPr>
          <w:bCs/>
          <w:sz w:val="24"/>
        </w:rPr>
        <w:t>18、本基金开始办理申购、赎回；</w:t>
      </w:r>
    </w:p>
    <w:p>
      <w:pPr>
        <w:spacing w:line="360" w:lineRule="auto"/>
        <w:ind w:firstLine="480" w:firstLineChars="200"/>
        <w:rPr>
          <w:bCs/>
          <w:sz w:val="24"/>
        </w:rPr>
      </w:pPr>
      <w:r>
        <w:rPr>
          <w:bCs/>
          <w:sz w:val="24"/>
        </w:rPr>
        <w:t>19、本基金发生巨额赎回并延期</w:t>
      </w:r>
      <w:r>
        <w:rPr>
          <w:rFonts w:hint="eastAsia"/>
          <w:bCs/>
          <w:sz w:val="24"/>
        </w:rPr>
        <w:t>办理</w:t>
      </w:r>
      <w:r>
        <w:rPr>
          <w:bCs/>
          <w:sz w:val="24"/>
        </w:rPr>
        <w:t>；</w:t>
      </w:r>
    </w:p>
    <w:p>
      <w:pPr>
        <w:spacing w:line="360" w:lineRule="auto"/>
        <w:ind w:firstLine="480" w:firstLineChars="200"/>
        <w:rPr>
          <w:bCs/>
          <w:sz w:val="24"/>
        </w:rPr>
      </w:pPr>
      <w:r>
        <w:rPr>
          <w:bCs/>
          <w:sz w:val="24"/>
        </w:rPr>
        <w:t>20、本基金连续发生巨额赎回并暂停接受赎回申请</w:t>
      </w:r>
      <w:r>
        <w:rPr>
          <w:rFonts w:hint="eastAsia"/>
          <w:bCs/>
          <w:sz w:val="24"/>
        </w:rPr>
        <w:t>或延缓支付赎回款项</w:t>
      </w:r>
      <w:r>
        <w:rPr>
          <w:bCs/>
          <w:sz w:val="24"/>
        </w:rPr>
        <w:t>；</w:t>
      </w:r>
    </w:p>
    <w:p>
      <w:pPr>
        <w:spacing w:line="360" w:lineRule="auto"/>
        <w:ind w:firstLine="480" w:firstLineChars="200"/>
        <w:rPr>
          <w:bCs/>
          <w:sz w:val="24"/>
        </w:rPr>
      </w:pPr>
      <w:r>
        <w:rPr>
          <w:bCs/>
          <w:sz w:val="24"/>
        </w:rPr>
        <w:t>21、本基金暂停接受申购、赎回申请</w:t>
      </w:r>
      <w:r>
        <w:rPr>
          <w:rFonts w:hint="eastAsia"/>
          <w:bCs/>
          <w:sz w:val="24"/>
        </w:rPr>
        <w:t>或</w:t>
      </w:r>
      <w:r>
        <w:rPr>
          <w:bCs/>
          <w:sz w:val="24"/>
        </w:rPr>
        <w:t>重新接受申购、赎回</w:t>
      </w:r>
      <w:r>
        <w:rPr>
          <w:rFonts w:hint="eastAsia"/>
          <w:bCs/>
          <w:sz w:val="24"/>
        </w:rPr>
        <w:t>申请</w:t>
      </w:r>
      <w:r>
        <w:rPr>
          <w:bCs/>
          <w:sz w:val="24"/>
        </w:rPr>
        <w:t>；</w:t>
      </w:r>
    </w:p>
    <w:p>
      <w:pPr>
        <w:spacing w:line="360" w:lineRule="auto"/>
        <w:ind w:firstLine="480" w:firstLineChars="200"/>
        <w:rPr>
          <w:bCs/>
          <w:sz w:val="24"/>
        </w:rPr>
      </w:pPr>
      <w:r>
        <w:rPr>
          <w:bCs/>
          <w:sz w:val="24"/>
        </w:rPr>
        <w:t>22</w:t>
      </w:r>
      <w:r>
        <w:rPr>
          <w:rFonts w:hint="eastAsia"/>
          <w:bCs/>
          <w:sz w:val="24"/>
        </w:rPr>
        <w:t>、调整基金份额类别的设置；</w:t>
      </w:r>
    </w:p>
    <w:p>
      <w:pPr>
        <w:spacing w:line="360" w:lineRule="auto"/>
        <w:ind w:firstLine="480" w:firstLineChars="200"/>
        <w:rPr>
          <w:bCs/>
          <w:sz w:val="24"/>
        </w:rPr>
      </w:pPr>
      <w:r>
        <w:rPr>
          <w:bCs/>
          <w:sz w:val="24"/>
        </w:rPr>
        <w:t>23</w:t>
      </w:r>
      <w:r>
        <w:rPr>
          <w:rFonts w:hint="eastAsia"/>
          <w:bCs/>
          <w:sz w:val="24"/>
        </w:rPr>
        <w:t>、基金推出新业务或服务；</w:t>
      </w:r>
    </w:p>
    <w:p>
      <w:pPr>
        <w:spacing w:line="360" w:lineRule="auto"/>
        <w:ind w:firstLine="480" w:firstLineChars="200"/>
        <w:rPr>
          <w:bCs/>
          <w:sz w:val="24"/>
        </w:rPr>
      </w:pPr>
      <w:r>
        <w:rPr>
          <w:bCs/>
          <w:sz w:val="24"/>
        </w:rPr>
        <w:t>24、</w:t>
      </w:r>
      <w:r>
        <w:rPr>
          <w:rFonts w:hint="eastAsia"/>
          <w:bCs/>
          <w:sz w:val="24"/>
        </w:rPr>
        <w:t>发生涉及本基金申购、赎回事项调整或潜在影响投资者赎回等重大事项时；</w:t>
      </w:r>
    </w:p>
    <w:p>
      <w:pPr>
        <w:spacing w:line="360" w:lineRule="auto"/>
        <w:ind w:firstLine="480" w:firstLineChars="200"/>
        <w:rPr>
          <w:bCs/>
          <w:sz w:val="24"/>
        </w:rPr>
      </w:pPr>
      <w:r>
        <w:rPr>
          <w:bCs/>
          <w:sz w:val="24"/>
        </w:rPr>
        <w:t>25</w:t>
      </w:r>
      <w:r>
        <w:rPr>
          <w:rFonts w:hint="eastAsia"/>
          <w:bCs/>
          <w:sz w:val="24"/>
        </w:rPr>
        <w:t>、基金管理人采用摆动定价机制进行估值时；</w:t>
      </w:r>
    </w:p>
    <w:p>
      <w:pPr>
        <w:spacing w:line="360" w:lineRule="auto"/>
        <w:ind w:firstLine="480" w:firstLineChars="200"/>
        <w:rPr>
          <w:bCs/>
          <w:sz w:val="24"/>
        </w:rPr>
      </w:pPr>
      <w:r>
        <w:rPr>
          <w:rFonts w:hint="eastAsia"/>
          <w:bCs/>
          <w:sz w:val="24"/>
        </w:rPr>
        <w:t>2</w:t>
      </w:r>
      <w:r>
        <w:rPr>
          <w:bCs/>
          <w:sz w:val="24"/>
        </w:rPr>
        <w:t>6</w:t>
      </w:r>
      <w:r>
        <w:rPr>
          <w:rFonts w:hint="eastAsia"/>
          <w:bCs/>
          <w:sz w:val="24"/>
        </w:rPr>
        <w:t>、连续30个工作日、40个工作日及45个工作日出现基金份额持有人数量不满二百人或者基金资产净值低于五千万元情形的；</w:t>
      </w:r>
    </w:p>
    <w:p>
      <w:pPr>
        <w:spacing w:line="360" w:lineRule="auto"/>
        <w:ind w:firstLine="480" w:firstLineChars="200"/>
        <w:rPr>
          <w:bCs/>
          <w:sz w:val="24"/>
        </w:rPr>
      </w:pPr>
      <w:r>
        <w:rPr>
          <w:bCs/>
          <w:sz w:val="24"/>
        </w:rPr>
        <w:t>27</w:t>
      </w:r>
      <w:r>
        <w:rPr>
          <w:rFonts w:hint="eastAsia"/>
          <w:bCs/>
          <w:sz w:val="24"/>
        </w:rPr>
        <w:t>、基金信息披露义务人认为可能对基金份额持有人权益或者基金份额的价格产生重大影响的其他事项或</w:t>
      </w:r>
      <w:r>
        <w:rPr>
          <w:bCs/>
          <w:sz w:val="24"/>
        </w:rPr>
        <w:t>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（十）实施侧袋机制期间的信息披露</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rFonts w:hint="eastAsia"/>
          <w:bCs/>
          <w:sz w:val="24"/>
        </w:rPr>
        <w:t>（十一）清算报告</w:t>
      </w:r>
    </w:p>
    <w:p>
      <w:pPr>
        <w:spacing w:line="360" w:lineRule="auto"/>
        <w:ind w:firstLine="480" w:firstLineChars="200"/>
        <w:rPr>
          <w:bCs/>
          <w:sz w:val="24"/>
        </w:rPr>
      </w:pPr>
      <w:r>
        <w:rPr>
          <w:rFonts w:hint="eastAsia"/>
          <w:bCs/>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80" w:firstLineChars="200"/>
        <w:rPr>
          <w:bCs/>
          <w:sz w:val="24"/>
        </w:rPr>
      </w:pPr>
      <w:r>
        <w:rPr>
          <w:rFonts w:hint="eastAsia"/>
          <w:bCs/>
          <w:sz w:val="24"/>
        </w:rPr>
        <w:t>（十二）资产支持证券的投资情况</w:t>
      </w:r>
    </w:p>
    <w:p>
      <w:pPr>
        <w:spacing w:line="360" w:lineRule="auto"/>
        <w:ind w:firstLine="480" w:firstLineChars="20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pPr>
        <w:spacing w:line="360" w:lineRule="auto"/>
        <w:ind w:firstLine="480" w:firstLineChars="200"/>
        <w:rPr>
          <w:bCs/>
          <w:sz w:val="24"/>
        </w:rPr>
      </w:pPr>
      <w:r>
        <w:rPr>
          <w:rFonts w:hint="eastAsia"/>
          <w:bCs/>
          <w:sz w:val="24"/>
        </w:rPr>
        <w:t>（十三）国债期货的投资情况</w:t>
      </w:r>
    </w:p>
    <w:p>
      <w:pPr>
        <w:spacing w:line="360" w:lineRule="auto"/>
        <w:ind w:firstLine="480" w:firstLineChars="20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pPr>
        <w:spacing w:line="360" w:lineRule="auto"/>
        <w:ind w:firstLine="480" w:firstLineChars="200"/>
        <w:rPr>
          <w:bCs/>
          <w:sz w:val="24"/>
        </w:rPr>
      </w:pPr>
      <w:r>
        <w:rPr>
          <w:rFonts w:hint="eastAsia"/>
          <w:bCs/>
          <w:sz w:val="24"/>
        </w:rPr>
        <w:t>（十四）信用衍生品的投资情况</w:t>
      </w:r>
    </w:p>
    <w:p>
      <w:pPr>
        <w:spacing w:line="360" w:lineRule="auto"/>
        <w:ind w:firstLine="480" w:firstLineChars="200"/>
        <w:rPr>
          <w:bCs/>
          <w:sz w:val="24"/>
        </w:rPr>
      </w:pPr>
      <w:r>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pPr>
        <w:spacing w:line="360" w:lineRule="auto"/>
        <w:ind w:firstLine="480" w:firstLineChars="200"/>
        <w:rPr>
          <w:bCs/>
          <w:sz w:val="24"/>
        </w:rPr>
      </w:pPr>
      <w:r>
        <w:rPr>
          <w:rFonts w:hint="eastAsia"/>
          <w:bCs/>
          <w:sz w:val="24"/>
        </w:rPr>
        <w:t>（十五）</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等法规的</w:t>
      </w:r>
      <w:r>
        <w:rPr>
          <w:bCs/>
          <w:sz w:val="24"/>
        </w:rPr>
        <w:t>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基金托管人应当按照相关法律法规、中国证监会的规定和《基金合同》的约定，对基金管理人编制的基金资产净值、各类基金份额净值、基金份额申购赎回价格、基金定期报告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w:t>
      </w:r>
      <w:r>
        <w:rPr>
          <w:sz w:val="24"/>
        </w:rPr>
        <w:t>并向基金管理人</w:t>
      </w:r>
      <w:r>
        <w:rPr>
          <w:rFonts w:hint="eastAsia"/>
          <w:sz w:val="24"/>
        </w:rPr>
        <w:t>进行书面或电子确认</w:t>
      </w:r>
      <w:r>
        <w:rPr>
          <w:bCs/>
          <w:sz w:val="24"/>
        </w:rPr>
        <w:t>。</w:t>
      </w:r>
    </w:p>
    <w:p>
      <w:pPr>
        <w:spacing w:line="360" w:lineRule="auto"/>
        <w:ind w:firstLine="480" w:firstLineChars="200"/>
        <w:rPr>
          <w:bCs/>
          <w:sz w:val="24"/>
        </w:rPr>
      </w:pPr>
      <w:r>
        <w:rPr>
          <w:bCs/>
          <w:sz w:val="24"/>
        </w:rPr>
        <w:t>基金管理人、基金托管人应当在</w:t>
      </w:r>
      <w:r>
        <w:rPr>
          <w:rFonts w:hint="eastAsia"/>
          <w:bCs/>
          <w:sz w:val="24"/>
        </w:rPr>
        <w:t>规定报刊中选择一家报刊披露本基金信息。基金管理人、基金托管人应当向中国证监会基金电子披露网站报送拟披露的基金信息，并保证相关报送信息的真实、准确、完整、及时</w:t>
      </w:r>
      <w:r>
        <w:rPr>
          <w:bCs/>
          <w:sz w:val="24"/>
        </w:rPr>
        <w:t>。</w:t>
      </w:r>
    </w:p>
    <w:p>
      <w:pPr>
        <w:spacing w:line="360" w:lineRule="auto"/>
        <w:ind w:firstLine="480" w:firstLineChars="200"/>
        <w:rPr>
          <w:bCs/>
          <w:sz w:val="24"/>
        </w:rPr>
      </w:pPr>
      <w:r>
        <w:rPr>
          <w:bCs/>
          <w:sz w:val="24"/>
        </w:rPr>
        <w:t>基金管理人、基金托管人除依法在</w:t>
      </w:r>
      <w:r>
        <w:rPr>
          <w:rFonts w:hint="eastAsia"/>
          <w:bCs/>
          <w:sz w:val="24"/>
        </w:rPr>
        <w:t>规定媒介</w:t>
      </w:r>
      <w:r>
        <w:rPr>
          <w:bCs/>
          <w:sz w:val="24"/>
        </w:rPr>
        <w:t>上披露信息外，还可以根据需要在其他公共媒介披露信息，但是其他公共媒介不得早于</w:t>
      </w:r>
      <w:r>
        <w:rPr>
          <w:rFonts w:hint="eastAsia"/>
          <w:bCs/>
          <w:sz w:val="24"/>
        </w:rPr>
        <w:t>规定媒介</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依法必须披露的信息发布后，基金管理人、基金托管人应当按照相关法律法规规定将信息置备于各自住所，供社会公众查阅、复制。</w:t>
      </w:r>
    </w:p>
    <w:p>
      <w:pPr>
        <w:spacing w:line="360" w:lineRule="auto"/>
        <w:ind w:firstLine="480" w:firstLineChars="200"/>
        <w:rPr>
          <w:bCs/>
          <w:sz w:val="24"/>
        </w:rPr>
      </w:pPr>
      <w:r>
        <w:rPr>
          <w:rFonts w:hint="eastAsia"/>
          <w:bCs/>
          <w:sz w:val="24"/>
        </w:rPr>
        <w:t>八</w:t>
      </w:r>
      <w:r>
        <w:rPr>
          <w:bCs/>
          <w:sz w:val="24"/>
        </w:rPr>
        <w:t>、</w:t>
      </w:r>
      <w:r>
        <w:rPr>
          <w:rFonts w:hint="eastAsia"/>
          <w:bCs/>
          <w:sz w:val="24"/>
        </w:rPr>
        <w:t>暂停或延迟信息披露的情形</w:t>
      </w:r>
    </w:p>
    <w:p>
      <w:pPr>
        <w:spacing w:line="360" w:lineRule="auto"/>
        <w:ind w:firstLine="480" w:firstLineChars="200"/>
        <w:rPr>
          <w:bCs/>
          <w:sz w:val="24"/>
        </w:rPr>
      </w:pPr>
      <w:r>
        <w:rPr>
          <w:rFonts w:hint="eastAsia"/>
          <w:bCs/>
          <w:sz w:val="24"/>
        </w:rPr>
        <w:t>1、因不可抗力或其他情形致使基金管理人、基金托管人无法准确评估基金资产价值时；</w:t>
      </w:r>
    </w:p>
    <w:p>
      <w:pPr>
        <w:spacing w:line="360" w:lineRule="auto"/>
        <w:ind w:firstLine="480" w:firstLineChars="200"/>
        <w:rPr>
          <w:bCs/>
          <w:sz w:val="24"/>
        </w:rPr>
      </w:pPr>
      <w:r>
        <w:rPr>
          <w:rFonts w:hint="eastAsia"/>
          <w:bCs/>
          <w:sz w:val="24"/>
        </w:rPr>
        <w:t>2、基金投资所涉及的证券、期货交易市场遇法定节假日或因其他原因暂停营业时；</w:t>
      </w:r>
    </w:p>
    <w:p>
      <w:pPr>
        <w:spacing w:line="360" w:lineRule="auto"/>
        <w:ind w:firstLine="480" w:firstLineChars="200"/>
        <w:rPr>
          <w:bCs/>
          <w:sz w:val="24"/>
        </w:rPr>
      </w:pPr>
      <w:r>
        <w:rPr>
          <w:rFonts w:hint="eastAsia"/>
          <w:bCs/>
          <w:sz w:val="24"/>
        </w:rPr>
        <w:t>3、当特定资产占前一估值日基金资产净值</w:t>
      </w:r>
      <w:r>
        <w:rPr>
          <w:bCs/>
          <w:sz w:val="24"/>
        </w:rPr>
        <w:t>50%</w:t>
      </w:r>
      <w:r>
        <w:rPr>
          <w:rFonts w:hint="eastAsia"/>
          <w:bCs/>
          <w:sz w:val="24"/>
        </w:rPr>
        <w:t>以上的，经与基金托管人协商一致确认后，发生暂停估值的情形；</w:t>
      </w:r>
    </w:p>
    <w:p>
      <w:pPr>
        <w:spacing w:line="360" w:lineRule="auto"/>
        <w:ind w:firstLine="480" w:firstLineChars="200"/>
        <w:rPr>
          <w:bCs/>
          <w:sz w:val="24"/>
        </w:rPr>
      </w:pPr>
      <w:r>
        <w:rPr>
          <w:bCs/>
          <w:sz w:val="24"/>
        </w:rPr>
        <w:t>4</w:t>
      </w:r>
      <w:r>
        <w:rPr>
          <w:rFonts w:hint="eastAsia"/>
          <w:bCs/>
          <w:sz w:val="24"/>
        </w:rPr>
        <w:t>、法律法规规定、中国证监会或基金合同认定的其他情形。</w:t>
      </w:r>
    </w:p>
    <w:bookmarkEnd w:id="415"/>
    <w:p>
      <w:pPr>
        <w:pStyle w:val="2"/>
        <w:spacing w:before="0" w:after="0"/>
        <w:jc w:val="center"/>
        <w:rPr>
          <w:rFonts w:ascii="Times New Roman"/>
          <w:color w:val="auto"/>
          <w:sz w:val="30"/>
        </w:rPr>
        <w:sectPr>
          <w:footerReference r:id="rId26" w:type="default"/>
          <w:pgSz w:w="11906" w:h="16838"/>
          <w:pgMar w:top="1440" w:right="1800" w:bottom="1440" w:left="1800" w:header="851" w:footer="992" w:gutter="0"/>
          <w:pgNumType w:start="1"/>
          <w:cols w:space="720" w:num="1"/>
          <w:docGrid w:type="lines" w:linePitch="312" w:charSpace="0"/>
        </w:sectPr>
      </w:pPr>
      <w:bookmarkStart w:id="418" w:name="CTS_c16751ba9d574c15b60689fe33e3c16d"/>
      <w:bookmarkEnd w:id="418"/>
      <w:bookmarkStart w:id="419" w:name="_Toc11113"/>
      <w:bookmarkStart w:id="420" w:name="_Toc6237"/>
      <w:bookmarkStart w:id="421" w:name="_Toc8059"/>
      <w:bookmarkStart w:id="422" w:name="_Toc123112247"/>
      <w:bookmarkStart w:id="423" w:name="_Toc25647"/>
      <w:bookmarkStart w:id="424" w:name="_Toc98560364"/>
      <w:bookmarkStart w:id="425" w:name="_Toc123102466"/>
      <w:bookmarkStart w:id="426" w:name="_Toc9005"/>
      <w:bookmarkStart w:id="427" w:name="_Toc141703899"/>
      <w:bookmarkStart w:id="428" w:name="_Toc8049"/>
      <w:bookmarkStart w:id="429" w:name="_Toc7170"/>
      <w:bookmarkStart w:id="430" w:name="_Toc123051465"/>
      <w:bookmarkStart w:id="431" w:name="_Toc22978"/>
      <w:bookmarkStart w:id="432" w:name="_Toc10006"/>
      <w:bookmarkStart w:id="433" w:name="_Toc29891"/>
      <w:bookmarkStart w:id="434" w:name="_Toc139991749"/>
      <w:bookmarkStart w:id="435" w:name="_Toc27464"/>
      <w:bookmarkStart w:id="436" w:name="CLAUSE_c16751ba9d574c15b60689fe33e3c16d"/>
    </w:p>
    <w:p>
      <w:pPr>
        <w:pStyle w:val="2"/>
        <w:spacing w:before="0" w:after="0"/>
        <w:jc w:val="center"/>
        <w:rPr>
          <w:sz w:val="30"/>
        </w:rPr>
      </w:pPr>
      <w:r>
        <w:t xml:space="preserve"> </w:t>
      </w:r>
      <w:bookmarkStart w:id="437" w:name="_Toc132366461"/>
      <w:r>
        <w:rPr>
          <w:rFonts w:hint="eastAsia" w:ascii="Times New Roman"/>
          <w:color w:val="auto"/>
          <w:sz w:val="30"/>
        </w:rPr>
        <w:t>第十九部分</w:t>
      </w:r>
      <w:bookmarkStart w:id="438" w:name="_Hlt88828593"/>
      <w:r>
        <w:rPr>
          <w:rFonts w:ascii="Times New Roman"/>
          <w:color w:val="auto"/>
          <w:sz w:val="30"/>
        </w:rPr>
        <w:t xml:space="preserve">  </w:t>
      </w:r>
      <w:r>
        <w:rPr>
          <w:rFonts w:hint="eastAsia" w:ascii="Times New Roman"/>
          <w:color w:val="auto"/>
          <w:sz w:val="30"/>
        </w:rPr>
        <w:t>基金合同</w:t>
      </w:r>
      <w:bookmarkEnd w:id="438"/>
      <w:r>
        <w:rPr>
          <w:rFonts w:hint="eastAsia"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7"/>
    </w:p>
    <w:p>
      <w:pPr>
        <w:spacing w:line="360" w:lineRule="auto"/>
        <w:ind w:firstLine="480" w:firstLineChars="200"/>
        <w:rPr>
          <w:bCs/>
          <w:sz w:val="24"/>
        </w:rPr>
      </w:pPr>
    </w:p>
    <w:p>
      <w:pPr>
        <w:spacing w:line="360" w:lineRule="auto"/>
        <w:ind w:firstLine="480" w:firstLineChars="200"/>
        <w:rPr>
          <w:bCs/>
          <w:sz w:val="24"/>
        </w:rPr>
      </w:pPr>
      <w:bookmarkStart w:id="439" w:name="_Toc79392639"/>
      <w:r>
        <w:rPr>
          <w:bCs/>
          <w:sz w:val="24"/>
        </w:rPr>
        <w:t>一、《基金合同》的变更</w:t>
      </w:r>
      <w:bookmarkEnd w:id="439"/>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w:t>
      </w:r>
      <w:r>
        <w:rPr>
          <w:rFonts w:hint="eastAsia"/>
          <w:bCs/>
          <w:sz w:val="24"/>
        </w:rPr>
        <w:t>并在履行适当程序</w:t>
      </w:r>
      <w:r>
        <w:rPr>
          <w:bCs/>
          <w:sz w:val="24"/>
        </w:rPr>
        <w:t>后变更并公告。</w:t>
      </w:r>
    </w:p>
    <w:p>
      <w:pPr>
        <w:spacing w:line="360" w:lineRule="auto"/>
        <w:ind w:firstLine="480" w:firstLineChars="200"/>
        <w:rPr>
          <w:bCs/>
          <w:sz w:val="24"/>
        </w:rPr>
      </w:pPr>
      <w:r>
        <w:rPr>
          <w:bCs/>
          <w:sz w:val="24"/>
        </w:rPr>
        <w:t>2、关于《基金合同》变更的基金份额持有人大会决议</w:t>
      </w:r>
      <w:r>
        <w:rPr>
          <w:rFonts w:hint="eastAsia"/>
          <w:bCs/>
          <w:sz w:val="24"/>
        </w:rPr>
        <w:t>自生效后方可执行，</w:t>
      </w:r>
      <w:r>
        <w:rPr>
          <w:bCs/>
          <w:sz w:val="24"/>
        </w:rPr>
        <w:t>自决议生效后</w:t>
      </w:r>
      <w:r>
        <w:rPr>
          <w:rFonts w:hint="eastAsia"/>
          <w:bCs/>
          <w:sz w:val="24"/>
        </w:rPr>
        <w:t>按规定</w:t>
      </w:r>
      <w:r>
        <w:rPr>
          <w:bCs/>
          <w:sz w:val="24"/>
        </w:rPr>
        <w:t>在</w:t>
      </w:r>
      <w:r>
        <w:rPr>
          <w:rFonts w:hint="eastAsia"/>
          <w:bCs/>
          <w:sz w:val="24"/>
        </w:rPr>
        <w:t>规定媒介</w:t>
      </w:r>
      <w:r>
        <w:rPr>
          <w:bCs/>
          <w:sz w:val="24"/>
        </w:rPr>
        <w:t>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sz w:val="24"/>
        </w:rPr>
        <w:t>3</w:t>
      </w:r>
      <w:r>
        <w:rPr>
          <w:rFonts w:hint="eastAsia"/>
          <w:sz w:val="24"/>
        </w:rPr>
        <w:t>、</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w:t>
      </w:r>
      <w:r>
        <w:rPr>
          <w:bCs/>
          <w:sz w:val="24"/>
        </w:rPr>
        <w:t>财产清算小组，基金管理人组织基金财产清算小组并在中国证监会的监督下进行基金清算。</w:t>
      </w:r>
    </w:p>
    <w:p>
      <w:pPr>
        <w:spacing w:line="360" w:lineRule="auto"/>
        <w:ind w:firstLine="480" w:firstLineChars="200"/>
        <w:rPr>
          <w:bCs/>
          <w:sz w:val="24"/>
        </w:rPr>
      </w:pPr>
      <w:r>
        <w:rPr>
          <w:rFonts w:hint="eastAsia"/>
          <w:bCs/>
          <w:sz w:val="24"/>
        </w:rPr>
        <w:t>2、在基金财产清算小组接管基金财产之前，基金管理人和基金托管人应按照《基金合同》和托管协议的规定继续履行保护基金财产安全的职责。</w:t>
      </w:r>
    </w:p>
    <w:p>
      <w:pPr>
        <w:spacing w:line="360" w:lineRule="auto"/>
        <w:ind w:firstLine="480" w:firstLineChars="200"/>
        <w:rPr>
          <w:bCs/>
          <w:sz w:val="24"/>
        </w:rPr>
      </w:pPr>
      <w:r>
        <w:rPr>
          <w:bCs/>
          <w:sz w:val="24"/>
        </w:rPr>
        <w:t>3、基金财产清算小组组成：基金财产清算小组成员由基金管理人、基金托管人、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4、基金财产清算小组职责：基金财产清算小组负责基金财产的保管、清理、估价、变现和分配。基金财产清算小组可以依法进行必要的民事活动。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5、基金财产清算程序：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6、基金财产清算的期限为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bookmarkEnd w:id="436"/>
      <w:bookmarkStart w:id="440" w:name="CLAUSE_0af125051cd1443292e81016697fc589"/>
      <w:r>
        <w:rPr>
          <w:rFonts w:hint="eastAsia"/>
          <w:bCs/>
          <w:sz w:val="24"/>
        </w:rPr>
        <w:t>，保存期限不少于法律法规规定的最低期限</w:t>
      </w:r>
      <w:r>
        <w:rPr>
          <w:bCs/>
          <w:sz w:val="24"/>
        </w:rPr>
        <w:t>。</w:t>
      </w:r>
    </w:p>
    <w:p>
      <w:pPr>
        <w:pStyle w:val="2"/>
        <w:spacing w:before="0" w:after="0"/>
        <w:jc w:val="center"/>
        <w:rPr>
          <w:rFonts w:ascii="Times New Roman"/>
          <w:color w:val="auto"/>
          <w:sz w:val="30"/>
        </w:rPr>
        <w:sectPr>
          <w:footerReference r:id="rId27"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r>
        <w:t xml:space="preserve"> </w:t>
      </w:r>
      <w:bookmarkStart w:id="441" w:name="CTS_0af125051cd1443292e81016697fc589"/>
      <w:bookmarkEnd w:id="441"/>
      <w:bookmarkStart w:id="442" w:name="_Toc132366462"/>
      <w:r>
        <w:rPr>
          <w:rFonts w:ascii="Times New Roman"/>
          <w:color w:val="auto"/>
          <w:sz w:val="30"/>
        </w:rPr>
        <w:t>第二十部分</w:t>
      </w:r>
      <w:r>
        <w:rPr>
          <w:rFonts w:hint="eastAsia" w:ascii="Times New Roman"/>
          <w:color w:val="auto"/>
          <w:sz w:val="30"/>
        </w:rPr>
        <w:t xml:space="preserve">  </w:t>
      </w:r>
      <w:r>
        <w:rPr>
          <w:rFonts w:ascii="Times New Roman"/>
          <w:color w:val="auto"/>
          <w:sz w:val="30"/>
        </w:rPr>
        <w:t>违约责任</w:t>
      </w:r>
      <w:bookmarkEnd w:id="442"/>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bCs/>
          <w:sz w:val="24"/>
        </w:rPr>
        <w:t>1</w:t>
      </w:r>
      <w:r>
        <w:rPr>
          <w:rFonts w:hint="eastAsia"/>
          <w:bCs/>
          <w:sz w:val="24"/>
        </w:rPr>
        <w:t>、</w:t>
      </w:r>
      <w:r>
        <w:rPr>
          <w:bCs/>
          <w:sz w:val="24"/>
        </w:rPr>
        <w:t>不可抗力；</w:t>
      </w:r>
    </w:p>
    <w:p>
      <w:pPr>
        <w:spacing w:line="360" w:lineRule="auto"/>
        <w:ind w:firstLine="480" w:firstLineChars="200"/>
        <w:rPr>
          <w:bCs/>
          <w:sz w:val="24"/>
        </w:rPr>
      </w:pPr>
      <w:r>
        <w:rPr>
          <w:rFonts w:hint="eastAsia"/>
          <w:bCs/>
          <w:sz w:val="24"/>
        </w:rPr>
        <w:t>2、基金管理人和/或基金托管人按照当时有效的法律法规、规章、市场交易规则或中国证监会、银行业监督管理机构等监管机构的规定作为或不作为而造成的损失等；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bookmarkEnd w:id="440"/>
      <w:bookmarkStart w:id="443" w:name="CLAUSE_cd4d6701ca134ec58a84f8776cdb33da"/>
      <w:r>
        <w:rPr>
          <w:bCs/>
          <w:sz w:val="24"/>
        </w:rPr>
        <w:t>。但是基金管理人和基金托管人应积极采取必要的措施消除</w:t>
      </w:r>
      <w:r>
        <w:rPr>
          <w:rFonts w:hint="eastAsia"/>
          <w:bCs/>
          <w:sz w:val="24"/>
        </w:rPr>
        <w:t>或减轻</w:t>
      </w:r>
      <w:r>
        <w:rPr>
          <w:bCs/>
          <w:sz w:val="24"/>
        </w:rPr>
        <w:t>由此造成的影响。</w:t>
      </w:r>
    </w:p>
    <w:p>
      <w:pPr>
        <w:pStyle w:val="2"/>
        <w:spacing w:before="0" w:after="0"/>
        <w:rPr>
          <w:rFonts w:ascii="Times New Roman"/>
          <w:color w:val="auto"/>
          <w:sz w:val="30"/>
        </w:rPr>
        <w:sectPr>
          <w:footerReference r:id="rId28" w:type="default"/>
          <w:pgSz w:w="11906" w:h="16838"/>
          <w:pgMar w:top="1440" w:right="1800" w:bottom="1440" w:left="1800" w:header="851" w:footer="992" w:gutter="0"/>
          <w:pgNumType w:start="1"/>
          <w:cols w:space="720" w:num="1"/>
          <w:docGrid w:type="lines" w:linePitch="312" w:charSpace="0"/>
        </w:sectPr>
      </w:pPr>
      <w:bookmarkStart w:id="444" w:name="_Toc21983"/>
      <w:bookmarkStart w:id="445" w:name="_Toc139991751"/>
      <w:bookmarkStart w:id="446" w:name="_Toc98560366"/>
      <w:bookmarkStart w:id="447" w:name="_Toc123102468"/>
      <w:bookmarkStart w:id="448" w:name="_Toc6202"/>
      <w:bookmarkStart w:id="449" w:name="_Toc25651"/>
      <w:bookmarkStart w:id="450" w:name="_Toc6110"/>
      <w:bookmarkStart w:id="451" w:name="_Toc123112249"/>
      <w:bookmarkStart w:id="452" w:name="_Toc3319"/>
      <w:bookmarkStart w:id="453" w:name="_Toc1790"/>
      <w:bookmarkStart w:id="454" w:name="_Toc30350"/>
      <w:bookmarkStart w:id="455" w:name="_Toc24923"/>
      <w:bookmarkStart w:id="456" w:name="_Toc123051467"/>
      <w:bookmarkStart w:id="457" w:name="_Toc7288"/>
      <w:bookmarkStart w:id="458" w:name="_Toc8636"/>
      <w:bookmarkStart w:id="459" w:name="_Toc141703902"/>
      <w:bookmarkStart w:id="460" w:name="_Toc23999"/>
    </w:p>
    <w:p>
      <w:pPr>
        <w:pStyle w:val="2"/>
        <w:spacing w:before="0" w:after="0"/>
        <w:jc w:val="center"/>
        <w:rPr>
          <w:rFonts w:ascii="Times New Roman"/>
          <w:color w:val="auto"/>
          <w:sz w:val="30"/>
        </w:rPr>
      </w:pPr>
      <w:r>
        <w:t xml:space="preserve"> </w:t>
      </w:r>
      <w:bookmarkStart w:id="461" w:name="CTS_cd4d6701ca134ec58a84f8776cdb33da"/>
      <w:bookmarkEnd w:id="461"/>
      <w:bookmarkStart w:id="462" w:name="_Toc132366463"/>
      <w:r>
        <w:rPr>
          <w:rFonts w:ascii="Times New Roman"/>
          <w:color w:val="auto"/>
          <w:sz w:val="30"/>
        </w:rPr>
        <w:t>第二十一部分</w:t>
      </w:r>
      <w:r>
        <w:rPr>
          <w:rFonts w:hint="eastAsia" w:ascii="Times New Roman"/>
          <w:color w:val="auto"/>
          <w:sz w:val="30"/>
        </w:rPr>
        <w:t xml:space="preserve">  </w:t>
      </w:r>
      <w:r>
        <w:rPr>
          <w:rFonts w:ascii="Times New Roman"/>
          <w:color w:val="auto"/>
          <w:sz w:val="30"/>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2"/>
    </w:p>
    <w:p>
      <w:pPr>
        <w:spacing w:line="360" w:lineRule="auto"/>
        <w:ind w:firstLine="480" w:firstLineChars="200"/>
        <w:rPr>
          <w:bCs/>
          <w:sz w:val="24"/>
        </w:rPr>
      </w:pPr>
    </w:p>
    <w:p>
      <w:pPr>
        <w:spacing w:line="360" w:lineRule="auto"/>
        <w:ind w:firstLine="482" w:firstLineChars="200"/>
        <w:rPr>
          <w:b/>
          <w:i/>
          <w:iCs/>
          <w:sz w:val="24"/>
        </w:rPr>
      </w:pPr>
      <w:r>
        <w:rPr>
          <w:rFonts w:hint="eastAsia"/>
          <w:b/>
          <w:i/>
          <w:iCs/>
          <w:sz w:val="24"/>
        </w:rPr>
        <w:t>对于因基金合同的订立、内容、履行和解释或与基金合同有关的争议，基金合同当事人应尽量通过协商、调解途径解决。不愿或者不能通过协商、调解解决的，应将争议提交深圳国际仲裁院（深圳仲裁委员会），按照深圳国际仲裁院（深圳仲裁委员会）届时有效的仲裁规则进行仲裁。仲裁地点为深圳市。仲裁裁决是终局的，对各方当事人均有约束力。除裁决另有规定的，仲裁费用、律师费用由败诉方承担。</w:t>
      </w:r>
    </w:p>
    <w:p>
      <w:pPr>
        <w:spacing w:line="360" w:lineRule="auto"/>
        <w:ind w:firstLine="482" w:firstLineChars="200"/>
        <w:rPr>
          <w:b/>
          <w:i/>
          <w:iCs/>
          <w:sz w:val="24"/>
        </w:rPr>
      </w:pPr>
      <w:r>
        <w:rPr>
          <w:rFonts w:hint="eastAsia"/>
          <w:b/>
          <w:i/>
          <w:iCs/>
          <w:sz w:val="24"/>
        </w:rPr>
        <w:t>争议处理期间，基金合同当事人应恪守各自的职责，继续忠实、勤勉、尽责地履行基金合同规定的义务，维护基金份额持有人的合法权益。</w:t>
      </w:r>
    </w:p>
    <w:p>
      <w:pPr>
        <w:spacing w:line="360" w:lineRule="auto"/>
        <w:ind w:firstLine="482" w:firstLineChars="200"/>
        <w:rPr>
          <w:b/>
          <w:i/>
          <w:iCs/>
          <w:sz w:val="24"/>
        </w:rPr>
      </w:pPr>
      <w:r>
        <w:rPr>
          <w:rFonts w:hint="eastAsia"/>
          <w:b/>
          <w:i/>
          <w:iCs/>
          <w:sz w:val="24"/>
        </w:rPr>
        <w:t>本基金合同受中国法律（为本基金合同之目的，不含港澳台立法）管辖并从其解释。</w:t>
      </w:r>
    </w:p>
    <w:bookmarkEnd w:id="443"/>
    <w:p>
      <w:pPr>
        <w:pStyle w:val="2"/>
        <w:spacing w:before="0" w:after="0"/>
        <w:jc w:val="center"/>
        <w:rPr>
          <w:rFonts w:ascii="Times New Roman"/>
          <w:color w:val="auto"/>
          <w:sz w:val="30"/>
        </w:rPr>
        <w:sectPr>
          <w:footerReference r:id="rId29" w:type="default"/>
          <w:pgSz w:w="11906" w:h="16838"/>
          <w:pgMar w:top="1440" w:right="1800" w:bottom="1440" w:left="1800" w:header="851" w:footer="992" w:gutter="0"/>
          <w:pgNumType w:start="1"/>
          <w:cols w:space="720" w:num="1"/>
          <w:docGrid w:type="lines" w:linePitch="312" w:charSpace="0"/>
        </w:sectPr>
      </w:pPr>
      <w:bookmarkStart w:id="463" w:name="_Toc23991"/>
      <w:bookmarkStart w:id="464" w:name="_Toc2532"/>
      <w:bookmarkStart w:id="465" w:name="_Toc8454"/>
      <w:bookmarkStart w:id="466" w:name="_Toc123102469"/>
      <w:bookmarkStart w:id="467" w:name="_Toc26461"/>
      <w:bookmarkStart w:id="468" w:name="_Toc28690"/>
      <w:bookmarkStart w:id="469" w:name="_Toc141703903"/>
      <w:bookmarkStart w:id="470" w:name="_Toc8703"/>
      <w:bookmarkStart w:id="471" w:name="_Toc484"/>
      <w:bookmarkStart w:id="472" w:name="_Toc123051468"/>
      <w:bookmarkStart w:id="473" w:name="_Toc123112250"/>
      <w:bookmarkStart w:id="474" w:name="_Toc11618"/>
      <w:bookmarkStart w:id="475" w:name="_Toc29505"/>
      <w:bookmarkStart w:id="476" w:name="_Toc31966"/>
      <w:bookmarkStart w:id="477" w:name="_Toc20350"/>
      <w:bookmarkStart w:id="478" w:name="_Toc139991752"/>
      <w:bookmarkStart w:id="479" w:name="CLAUSE_cf9440d1ea39469b97c699d7165a5fa1"/>
    </w:p>
    <w:p>
      <w:pPr>
        <w:pStyle w:val="2"/>
        <w:spacing w:before="0" w:after="0"/>
        <w:jc w:val="center"/>
        <w:rPr>
          <w:rFonts w:ascii="Times New Roman"/>
          <w:color w:val="auto"/>
          <w:sz w:val="30"/>
        </w:rPr>
      </w:pPr>
      <w:r>
        <w:t xml:space="preserve"> </w:t>
      </w:r>
      <w:bookmarkStart w:id="480" w:name="CTS_cf9440d1ea39469b97c699d7165a5fa1"/>
      <w:bookmarkEnd w:id="480"/>
      <w:bookmarkStart w:id="481" w:name="_Toc132366464"/>
      <w:r>
        <w:rPr>
          <w:rFonts w:ascii="Times New Roman"/>
          <w:color w:val="auto"/>
          <w:sz w:val="30"/>
        </w:rPr>
        <w:t>第二十二部分</w:t>
      </w:r>
      <w:r>
        <w:rPr>
          <w:rFonts w:hint="eastAsia" w:ascii="Times New Roman"/>
          <w:color w:val="auto"/>
          <w:sz w:val="30"/>
        </w:rPr>
        <w:t xml:space="preserve">  </w:t>
      </w:r>
      <w:r>
        <w:rPr>
          <w:sz w:val="30"/>
        </w:rPr>
        <w:t>基金合同</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imes New Roman"/>
          <w:color w:val="auto"/>
          <w:sz w:val="30"/>
        </w:rPr>
        <w:t>的效力</w:t>
      </w:r>
      <w:bookmarkEnd w:id="481"/>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1、《基金合同》经基金管理人、基金托管人双方盖章</w:t>
      </w:r>
      <w:r>
        <w:rPr>
          <w:rFonts w:hint="eastAsia"/>
          <w:bCs/>
          <w:sz w:val="24"/>
        </w:rPr>
        <w:t>（公章或合同专用章）</w:t>
      </w:r>
      <w:r>
        <w:rPr>
          <w:bCs/>
          <w:sz w:val="24"/>
        </w:rPr>
        <w:t>以及双方法定代表人或</w:t>
      </w:r>
      <w:r>
        <w:rPr>
          <w:rFonts w:hint="eastAsia"/>
          <w:bCs/>
          <w:sz w:val="24"/>
        </w:rPr>
        <w:t>授权代表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w:t>
      </w:r>
      <w:r>
        <w:rPr>
          <w:rFonts w:hint="eastAsia"/>
          <w:bCs/>
          <w:sz w:val="24"/>
        </w:rPr>
        <w:t>、《基金合同》正本一式三份，除上报有关监管机构一份外，基金管理人、基金托管人各持一份，每份具有同等的法律效力。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bookmarkEnd w:id="479"/>
    <w:p>
      <w:pPr>
        <w:pStyle w:val="2"/>
        <w:spacing w:before="0" w:after="0"/>
        <w:jc w:val="center"/>
        <w:rPr>
          <w:rFonts w:ascii="Times New Roman"/>
          <w:color w:val="auto"/>
          <w:sz w:val="30"/>
        </w:rPr>
        <w:sectPr>
          <w:footerReference r:id="rId30" w:type="default"/>
          <w:pgSz w:w="11906" w:h="16838"/>
          <w:pgMar w:top="1440" w:right="1800" w:bottom="1440" w:left="1800" w:header="851" w:footer="992" w:gutter="0"/>
          <w:pgNumType w:start="1"/>
          <w:cols w:space="720" w:num="1"/>
          <w:docGrid w:type="lines" w:linePitch="312" w:charSpace="0"/>
        </w:sectPr>
      </w:pPr>
      <w:bookmarkStart w:id="482" w:name="CTS_150cfb8746004bc49f4700a54926f8b7"/>
      <w:bookmarkEnd w:id="482"/>
      <w:bookmarkStart w:id="483" w:name="_Toc21726"/>
      <w:bookmarkStart w:id="484" w:name="_Toc9704"/>
      <w:bookmarkStart w:id="485" w:name="CLAUSE_150cfb8746004bc49f4700a54926f8b7"/>
    </w:p>
    <w:p>
      <w:pPr>
        <w:pStyle w:val="2"/>
        <w:spacing w:before="0" w:after="0"/>
        <w:jc w:val="center"/>
        <w:rPr>
          <w:rFonts w:ascii="Times New Roman"/>
          <w:color w:val="auto"/>
          <w:sz w:val="30"/>
        </w:rPr>
      </w:pPr>
      <w:r>
        <w:t xml:space="preserve"> </w:t>
      </w:r>
      <w:bookmarkStart w:id="486" w:name="_Toc132366465"/>
      <w:r>
        <w:rPr>
          <w:rFonts w:hint="eastAsia" w:ascii="Times New Roman"/>
          <w:color w:val="auto"/>
          <w:sz w:val="30"/>
        </w:rPr>
        <w:t>第二十三部分  其他事项</w:t>
      </w:r>
      <w:bookmarkEnd w:id="483"/>
      <w:bookmarkEnd w:id="484"/>
      <w:bookmarkEnd w:id="486"/>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bookmarkEnd w:id="74"/>
    <w:bookmarkEnd w:id="75"/>
    <w:bookmarkEnd w:id="485"/>
    <w:p>
      <w:pPr>
        <w:ind w:firstLine="420"/>
        <w:sectPr>
          <w:footerReference r:id="rId31" w:type="default"/>
          <w:pgSz w:w="11906" w:h="16838"/>
          <w:pgMar w:top="1440" w:right="1800" w:bottom="1440" w:left="1800" w:header="851" w:footer="992" w:gutter="0"/>
          <w:pgNumType w:start="1"/>
          <w:cols w:space="720" w:num="1"/>
          <w:docGrid w:type="lines" w:linePitch="312" w:charSpace="0"/>
        </w:sectPr>
      </w:pPr>
      <w:bookmarkStart w:id="487" w:name="CLAUSE_bddb0d77faf9445cabe97c8487a7fd89"/>
    </w:p>
    <w:p>
      <w:pPr>
        <w:pStyle w:val="2"/>
        <w:spacing w:before="0" w:after="0"/>
        <w:jc w:val="center"/>
        <w:rPr>
          <w:rFonts w:ascii="Times New Roman"/>
          <w:color w:val="auto"/>
          <w:sz w:val="30"/>
        </w:rPr>
      </w:pPr>
      <w:bookmarkStart w:id="488" w:name="_Toc5108"/>
      <w:bookmarkStart w:id="489" w:name="_Toc1360"/>
      <w:bookmarkStart w:id="490" w:name="_Toc32355"/>
      <w:bookmarkStart w:id="491" w:name="_Toc20098"/>
      <w:bookmarkStart w:id="492" w:name="_Toc21122"/>
      <w:bookmarkStart w:id="493" w:name="_Toc9054"/>
      <w:bookmarkStart w:id="494" w:name="_Toc12499"/>
      <w:bookmarkStart w:id="495" w:name="_Toc17263"/>
      <w:bookmarkStart w:id="496" w:name="_Toc15664"/>
      <w:bookmarkStart w:id="497" w:name="_Toc7437"/>
      <w:bookmarkStart w:id="498" w:name="_Toc141703905"/>
      <w:bookmarkStart w:id="499" w:name="_Toc15045"/>
      <w:r>
        <w:t xml:space="preserve"> </w:t>
      </w:r>
      <w:bookmarkStart w:id="500" w:name="CTS_bddb0d77faf9445cabe97c8487a7fd89"/>
      <w:bookmarkEnd w:id="500"/>
      <w:bookmarkStart w:id="501" w:name="_Toc132366466"/>
      <w:r>
        <w:rPr>
          <w:rFonts w:ascii="Times New Roman"/>
          <w:color w:val="auto"/>
          <w:sz w:val="30"/>
        </w:rPr>
        <w:t>第二十四部分</w:t>
      </w:r>
      <w:r>
        <w:rPr>
          <w:rFonts w:hint="eastAsia" w:ascii="Times New Roman"/>
          <w:color w:val="auto"/>
          <w:sz w:val="30"/>
        </w:rPr>
        <w:t xml:space="preserve"> </w:t>
      </w:r>
      <w:r>
        <w:rPr>
          <w:rFonts w:ascii="Times New Roman"/>
          <w:color w:val="auto"/>
          <w:sz w:val="30"/>
        </w:rPr>
        <w:t xml:space="preserve"> 基金合同内容摘要</w:t>
      </w:r>
      <w:bookmarkEnd w:id="488"/>
      <w:bookmarkEnd w:id="489"/>
      <w:bookmarkEnd w:id="490"/>
      <w:bookmarkEnd w:id="491"/>
      <w:bookmarkEnd w:id="492"/>
      <w:bookmarkEnd w:id="493"/>
      <w:bookmarkEnd w:id="494"/>
      <w:bookmarkEnd w:id="495"/>
      <w:bookmarkEnd w:id="496"/>
      <w:bookmarkEnd w:id="497"/>
      <w:bookmarkEnd w:id="498"/>
      <w:bookmarkEnd w:id="499"/>
      <w:bookmarkEnd w:id="501"/>
    </w:p>
    <w:p/>
    <w:p>
      <w:pPr>
        <w:autoSpaceDE w:val="0"/>
        <w:autoSpaceDN w:val="0"/>
        <w:adjustRightInd w:val="0"/>
        <w:spacing w:line="360" w:lineRule="auto"/>
        <w:ind w:firstLine="480" w:firstLineChars="200"/>
        <w:jc w:val="left"/>
        <w:rPr>
          <w:rFonts w:ascii="Arial Unicode MS" w:hAnsi="Arial Unicode MS"/>
          <w:bCs/>
          <w:sz w:val="24"/>
          <w:szCs w:val="24"/>
        </w:rPr>
      </w:pPr>
      <w:r>
        <w:rPr>
          <w:rFonts w:hint="eastAsia" w:ascii="Arial Unicode MS" w:hAnsi="Arial Unicode MS"/>
          <w:bCs/>
          <w:sz w:val="24"/>
          <w:szCs w:val="24"/>
        </w:rPr>
        <w:t>一、基金份额持有人、基金管理人和基金托管人的权利、义务</w:t>
      </w:r>
    </w:p>
    <w:p>
      <w:pPr>
        <w:spacing w:line="360" w:lineRule="auto"/>
        <w:ind w:firstLine="480" w:firstLineChars="20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pPr>
        <w:spacing w:line="440" w:lineRule="atLeast"/>
        <w:ind w:firstLine="480" w:firstLineChars="200"/>
        <w:rPr>
          <w:bCs/>
          <w:sz w:val="24"/>
        </w:rPr>
      </w:pPr>
      <w:r>
        <w:rPr>
          <w:rFonts w:hint="eastAsia"/>
          <w:bCs/>
          <w:sz w:val="24"/>
        </w:rPr>
        <w:t>（1</w:t>
      </w:r>
      <w:r>
        <w:rPr>
          <w:bCs/>
          <w:sz w:val="24"/>
        </w:rPr>
        <w:t>3</w:t>
      </w:r>
      <w:r>
        <w:rPr>
          <w:rFonts w:hint="eastAsia"/>
          <w:bCs/>
          <w:sz w:val="24"/>
        </w:rPr>
        <w:t>）</w:t>
      </w:r>
      <w:r>
        <w:rPr>
          <w:bCs/>
          <w:sz w:val="24"/>
        </w:rPr>
        <w:t>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（14）选择、更换律师事务所、会计师事务所、证券</w:t>
      </w:r>
      <w:r>
        <w:rPr>
          <w:rFonts w:hint="eastAsia"/>
          <w:bCs/>
          <w:sz w:val="24"/>
        </w:rPr>
        <w:t>、</w:t>
      </w:r>
      <w:r>
        <w:rPr>
          <w:bCs/>
          <w:sz w:val="24"/>
        </w:rPr>
        <w:t>期货经纪商或其他为基金提供服务的外部机构；</w:t>
      </w:r>
      <w:r>
        <w:rPr>
          <w:bCs/>
          <w:sz w:val="24"/>
        </w:rPr>
        <w:tab/>
      </w:r>
    </w:p>
    <w:p>
      <w:pPr>
        <w:spacing w:line="440" w:lineRule="atLeast"/>
        <w:ind w:firstLine="480" w:firstLineChars="200"/>
        <w:rPr>
          <w:bCs/>
          <w:sz w:val="24"/>
        </w:rPr>
      </w:pPr>
      <w:r>
        <w:rPr>
          <w:bCs/>
          <w:sz w:val="24"/>
        </w:rPr>
        <w:t>（15）在符合有关法律、法规的前提下，制订和调整有关基金认购、申购、赎回、转换</w:t>
      </w:r>
      <w:r>
        <w:rPr>
          <w:rFonts w:hint="eastAsia"/>
          <w:bCs/>
          <w:sz w:val="24"/>
        </w:rPr>
        <w:t>、定期定额投资</w:t>
      </w:r>
      <w:r>
        <w:rPr>
          <w:bCs/>
          <w:sz w:val="24"/>
        </w:rPr>
        <w:t>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（16）法律法规及中国证监会规定的和《基金合同》约定的其他权利。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w:t>
      </w:r>
      <w:r>
        <w:rPr>
          <w:rFonts w:hint="eastAsia"/>
          <w:bCs/>
          <w:sz w:val="24"/>
        </w:rPr>
        <w:t>季度报告、中期报告和年度报告</w:t>
      </w:r>
      <w:r>
        <w:rPr>
          <w:bCs/>
          <w:sz w:val="24"/>
        </w:rPr>
        <w:t>；</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，但因监管机构、司法机关等有权机关要求，或向审计、法律等外部专业顾问提供的除外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，保存期限不少于法律法规规定的最低期限</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adjustRightInd w:val="0"/>
        <w:snapToGrid w:val="0"/>
        <w:spacing w:line="360" w:lineRule="auto"/>
        <w:ind w:firstLine="480" w:firstLineChars="200"/>
        <w:rPr>
          <w:rFonts w:ascii="Arial Unicode MS" w:hAnsi="Arial Unicode MS" w:cs="Arial"/>
          <w:kern w:val="0"/>
          <w:sz w:val="24"/>
          <w:szCs w:val="24"/>
        </w:rPr>
      </w:pPr>
      <w:r>
        <w:rPr>
          <w:rFonts w:hint="eastAsia" w:ascii="Arial Unicode MS" w:hAnsi="Arial Unicode MS" w:cs="Arial"/>
          <w:kern w:val="0"/>
          <w:sz w:val="24"/>
          <w:szCs w:val="24"/>
        </w:rPr>
        <w:t>（二）基金托管人的权利与义务</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，但因监管机构、司法机关等有权机关要求，或向审计、法律等外部专业顾问提供的除外</w:t>
      </w:r>
      <w:r>
        <w:rPr>
          <w:bCs/>
          <w:sz w:val="24"/>
        </w:rPr>
        <w:t>；</w:t>
      </w:r>
    </w:p>
    <w:p>
      <w:pPr>
        <w:spacing w:line="360" w:lineRule="auto"/>
        <w:ind w:firstLine="480" w:firstLineChars="200"/>
        <w:rPr>
          <w:bCs/>
          <w:sz w:val="24"/>
        </w:rPr>
      </w:pPr>
      <w:r>
        <w:rPr>
          <w:bCs/>
          <w:sz w:val="24"/>
        </w:rPr>
        <w:t>（8）复核、审查基金管理人计算的</w:t>
      </w:r>
      <w:r>
        <w:rPr>
          <w:rFonts w:hint="eastAsia"/>
          <w:bCs/>
          <w:sz w:val="24"/>
        </w:rPr>
        <w:t>基金净值信息、</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，保存期限不少于法律法规规定的最低期限</w:t>
      </w:r>
      <w:r>
        <w:rPr>
          <w:bCs/>
          <w:sz w:val="24"/>
        </w:rPr>
        <w:t>；</w:t>
      </w:r>
    </w:p>
    <w:p>
      <w:pPr>
        <w:spacing w:line="360" w:lineRule="auto"/>
        <w:ind w:firstLine="480" w:firstLineChars="200"/>
        <w:rPr>
          <w:bCs/>
          <w:sz w:val="24"/>
        </w:rPr>
      </w:pPr>
      <w:r>
        <w:rPr>
          <w:rFonts w:hint="eastAsia"/>
          <w:bCs/>
          <w:sz w:val="24"/>
        </w:rPr>
        <w:t>（12）从基金管理人或其委托的登记机构处接收并保存基金份额持有人名册；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w:t>
      </w:r>
      <w:r>
        <w:rPr>
          <w:rFonts w:hint="eastAsia"/>
          <w:bCs/>
          <w:sz w:val="24"/>
        </w:rPr>
        <w:t>定向基金份额持有人</w:t>
      </w:r>
      <w:r>
        <w:rPr>
          <w:bCs/>
          <w:sz w:val="24"/>
        </w:rPr>
        <w:t>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rPr>
          <w:bCs/>
          <w:sz w:val="24"/>
        </w:rPr>
      </w:pPr>
      <w:r>
        <w:rPr>
          <w:rFonts w:hint="eastAsia"/>
          <w:bCs/>
          <w:sz w:val="24"/>
        </w:rPr>
        <w:t>（三）基金份额持有人的权利、义务</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除法律法规另有规定或本基金合同另有约定外，</w:t>
      </w:r>
      <w:r>
        <w:rPr>
          <w:bCs/>
          <w:sz w:val="24"/>
        </w:rPr>
        <w:t>同一类别每份基金份额具有同等的合法权益。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（4）交纳基金认购、申购款项及法律法规和《基金合同》所规定的费用；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autoSpaceDE w:val="0"/>
        <w:autoSpaceDN w:val="0"/>
        <w:adjustRightInd w:val="0"/>
        <w:spacing w:line="360" w:lineRule="auto"/>
        <w:ind w:firstLine="480" w:firstLineChars="200"/>
        <w:jc w:val="left"/>
        <w:rPr>
          <w:bCs/>
          <w:sz w:val="24"/>
        </w:rPr>
      </w:pPr>
      <w:r>
        <w:rPr>
          <w:rFonts w:hint="eastAsia"/>
          <w:bCs/>
          <w:sz w:val="24"/>
        </w:rPr>
        <w:t>（9）</w:t>
      </w:r>
      <w:r>
        <w:rPr>
          <w:bCs/>
          <w:sz w:val="24"/>
        </w:rPr>
        <w:t>法律法规及中国证监会规定的和《基金合同》约定的其他义务。</w:t>
      </w:r>
    </w:p>
    <w:p>
      <w:pPr>
        <w:autoSpaceDE w:val="0"/>
        <w:autoSpaceDN w:val="0"/>
        <w:adjustRightInd w:val="0"/>
        <w:spacing w:line="360" w:lineRule="auto"/>
        <w:ind w:firstLine="480" w:firstLineChars="200"/>
        <w:jc w:val="left"/>
        <w:rPr>
          <w:rFonts w:ascii="Arial Unicode MS" w:hAnsi="Arial Unicode MS"/>
          <w:bCs/>
          <w:sz w:val="24"/>
          <w:szCs w:val="24"/>
        </w:rPr>
      </w:pPr>
      <w:r>
        <w:rPr>
          <w:rFonts w:hint="eastAsia" w:ascii="Arial Unicode MS" w:hAnsi="Arial Unicode MS"/>
          <w:bCs/>
          <w:sz w:val="24"/>
          <w:szCs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rPr>
        <w:t>基金份额持有人持有的</w:t>
      </w:r>
      <w:r>
        <w:rPr>
          <w:rFonts w:hint="eastAsia"/>
          <w:bCs/>
          <w:sz w:val="24"/>
        </w:rPr>
        <w:t>同一类别</w:t>
      </w:r>
      <w:r>
        <w:rPr>
          <w:bCs/>
          <w:sz w:val="24"/>
        </w:rPr>
        <w:t>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r>
        <w:rPr>
          <w:bCs/>
          <w:sz w:val="24"/>
        </w:rPr>
        <w:t>（一）召开事由</w:t>
      </w:r>
    </w:p>
    <w:p>
      <w:pPr>
        <w:spacing w:line="360" w:lineRule="auto"/>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pPr>
      <w:r>
        <w:rPr>
          <w:sz w:val="24"/>
        </w:rPr>
        <w:t>（1）终止《基金合同》；</w:t>
      </w:r>
    </w:p>
    <w:p>
      <w:pPr>
        <w:spacing w:line="440" w:lineRule="atLeast"/>
        <w:ind w:firstLine="480" w:firstLineChars="200"/>
      </w:pPr>
      <w:r>
        <w:rPr>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在不违反法律法规规定和《基金合同》约定且对基金份额持有人利益无实质性不利影响的前提下，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rFonts w:hint="eastAsia"/>
          <w:bCs/>
          <w:sz w:val="24"/>
        </w:rPr>
        <w:t>（2）</w:t>
      </w:r>
      <w:r>
        <w:rPr>
          <w:bCs/>
          <w:sz w:val="24"/>
        </w:rPr>
        <w:t>调整本基金的申购费率、调低赎回费率</w:t>
      </w:r>
      <w:r>
        <w:rPr>
          <w:rFonts w:hint="eastAsia"/>
          <w:bCs/>
          <w:sz w:val="24"/>
        </w:rPr>
        <w:t>、调低销售服务费率或</w:t>
      </w:r>
      <w:r>
        <w:rPr>
          <w:bCs/>
          <w:sz w:val="24"/>
        </w:rPr>
        <w:t>变更收费方式</w:t>
      </w:r>
      <w:r>
        <w:rPr>
          <w:rFonts w:hint="eastAsia"/>
          <w:bCs/>
          <w:sz w:val="24"/>
        </w:rPr>
        <w:t>，调整基金</w:t>
      </w:r>
      <w:r>
        <w:rPr>
          <w:bCs/>
          <w:sz w:val="24"/>
        </w:rPr>
        <w:t>份额</w:t>
      </w:r>
      <w:r>
        <w:rPr>
          <w:rFonts w:hint="eastAsia"/>
          <w:bCs/>
          <w:sz w:val="24"/>
        </w:rPr>
        <w:t>类别</w:t>
      </w:r>
      <w:r>
        <w:rPr>
          <w:bCs/>
          <w:sz w:val="24"/>
        </w:rPr>
        <w:t>设置</w:t>
      </w:r>
      <w:r>
        <w:rPr>
          <w:rFonts w:hint="eastAsia"/>
          <w:bCs/>
          <w:sz w:val="24"/>
        </w:rPr>
        <w:t>、对基金份额分类办法及规则进行调整</w:t>
      </w:r>
      <w:r>
        <w:rPr>
          <w:bCs/>
          <w:sz w:val="24"/>
        </w:rPr>
        <w:t>；</w:t>
      </w:r>
    </w:p>
    <w:p>
      <w:pPr>
        <w:spacing w:line="360" w:lineRule="auto"/>
        <w:ind w:firstLine="480" w:firstLineChars="200"/>
        <w:rPr>
          <w:bCs/>
          <w:sz w:val="24"/>
        </w:rPr>
      </w:pPr>
      <w:r>
        <w:rPr>
          <w:bCs/>
          <w:sz w:val="24"/>
        </w:rPr>
        <w:t>（3）因相应的法律法规发生变动而应当对《基金合同》进行修改；</w:t>
      </w:r>
    </w:p>
    <w:p>
      <w:pPr>
        <w:spacing w:line="360" w:lineRule="auto"/>
        <w:ind w:firstLine="480" w:firstLineChars="200"/>
        <w:rPr>
          <w:bCs/>
          <w:sz w:val="24"/>
        </w:rPr>
      </w:pPr>
      <w:r>
        <w:rPr>
          <w:bCs/>
          <w:sz w:val="24"/>
        </w:rPr>
        <w:t>（4）对《基金合同》的修改对基金份额持有人利益无实质性不利影响或修改不涉及《基金合同》当事人权利义务关系发生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5</w:t>
      </w:r>
      <w:r>
        <w:rPr>
          <w:rFonts w:hint="eastAsia"/>
          <w:bCs/>
          <w:sz w:val="24"/>
        </w:rPr>
        <w:t>）基金管理人、登记机构、基金销售机构调整有关申购、赎回、转换、基金交易、非交易过户、转托管等业务规则；</w:t>
      </w:r>
    </w:p>
    <w:p>
      <w:pPr>
        <w:spacing w:line="360" w:lineRule="auto"/>
        <w:ind w:firstLine="480" w:firstLineChars="200"/>
        <w:rPr>
          <w:bCs/>
          <w:sz w:val="24"/>
        </w:rPr>
      </w:pPr>
      <w:r>
        <w:rPr>
          <w:rFonts w:hint="eastAsia"/>
          <w:bCs/>
          <w:sz w:val="24"/>
        </w:rPr>
        <w:t>（</w:t>
      </w:r>
      <w:r>
        <w:rPr>
          <w:bCs/>
          <w:sz w:val="24"/>
        </w:rPr>
        <w:t>6</w:t>
      </w:r>
      <w:r>
        <w:rPr>
          <w:rFonts w:hint="eastAsia"/>
          <w:bCs/>
          <w:sz w:val="24"/>
        </w:rPr>
        <w:t>）基金推出新业务或服务；</w:t>
      </w:r>
    </w:p>
    <w:p>
      <w:pPr>
        <w:spacing w:line="360" w:lineRule="auto"/>
        <w:ind w:firstLine="480" w:firstLineChars="200"/>
        <w:rPr>
          <w:bCs/>
          <w:sz w:val="24"/>
        </w:rPr>
      </w:pPr>
      <w:r>
        <w:rPr>
          <w:bCs/>
          <w:sz w:val="24"/>
        </w:rPr>
        <w:t>（7）按照法律法规和《基金合同》规定不需召开基金份额持有人大会的其他情形。</w:t>
      </w:r>
    </w:p>
    <w:p>
      <w:pPr>
        <w:spacing w:line="360" w:lineRule="auto"/>
        <w:ind w:firstLine="480" w:firstLineChars="200"/>
        <w:rPr>
          <w:bCs/>
          <w:sz w:val="24"/>
        </w:rPr>
      </w:pPr>
      <w:r>
        <w:rPr>
          <w:bCs/>
          <w:sz w:val="24"/>
        </w:rPr>
        <w:t>（二）会议召集人及召集方式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bCs/>
          <w:sz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pPr>
        <w:spacing w:line="360" w:lineRule="auto"/>
        <w:ind w:firstLine="480" w:firstLineChars="200"/>
        <w:rPr>
          <w:bCs/>
          <w:sz w:val="24"/>
        </w:rPr>
      </w:pPr>
      <w:r>
        <w:rPr>
          <w:rFonts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r>
        <w:rPr>
          <w:bCs/>
          <w:sz w:val="24"/>
        </w:rPr>
        <w:t>（五）议事内容与程序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bCs/>
          <w:sz w:val="24"/>
        </w:rPr>
        <w:t>（六）表决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bCs/>
          <w:sz w:val="24"/>
        </w:rPr>
        <w:t>（七）计票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w:t>
      </w:r>
      <w:r>
        <w:rPr>
          <w:bCs/>
          <w:sz w:val="24"/>
        </w:rPr>
        <w:t>）</w:t>
      </w:r>
      <w:r>
        <w:rPr>
          <w:rFonts w:hint="eastAsia"/>
          <w:bCs/>
          <w:sz w:val="24"/>
        </w:rPr>
        <w:t>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pPr>
        <w:spacing w:line="360" w:lineRule="auto"/>
        <w:ind w:firstLine="480" w:firstLineChars="200"/>
        <w:rPr>
          <w:bCs/>
          <w:sz w:val="24"/>
        </w:rPr>
      </w:pPr>
      <w:r>
        <w:rPr>
          <w:rFonts w:hint="eastAsia"/>
          <w:bCs/>
          <w:sz w:val="24"/>
        </w:rPr>
        <w:t>（十</w:t>
      </w:r>
      <w:r>
        <w:rPr>
          <w:bCs/>
          <w:sz w:val="24"/>
        </w:rPr>
        <w:t>）</w:t>
      </w: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bookmarkEnd w:id="487"/>
    </w:p>
    <w:p>
      <w:pPr>
        <w:adjustRightInd w:val="0"/>
        <w:snapToGrid w:val="0"/>
        <w:spacing w:line="360" w:lineRule="auto"/>
        <w:ind w:firstLine="480" w:firstLineChars="200"/>
        <w:rPr>
          <w:bCs/>
          <w:sz w:val="24"/>
        </w:rPr>
      </w:pPr>
      <w:r>
        <w:rPr>
          <w:rFonts w:hint="eastAsia"/>
          <w:bCs/>
          <w:sz w:val="24"/>
        </w:rPr>
        <w:t>三、基金收益分配原则</w:t>
      </w:r>
    </w:p>
    <w:p>
      <w:pPr>
        <w:spacing w:line="360" w:lineRule="auto"/>
        <w:ind w:firstLine="540" w:firstLineChars="225"/>
        <w:rPr>
          <w:bCs/>
          <w:sz w:val="24"/>
        </w:rPr>
      </w:pPr>
      <w:r>
        <w:rPr>
          <w:rFonts w:hint="eastAsia"/>
          <w:bCs/>
          <w:sz w:val="24"/>
        </w:rPr>
        <w:t>1、本基金收益分配方式分两种：现金分红与红利再投资，投资者可选择现金红利或将现金红利自动转为相应类别的基金份额进行再投资，且基金份额持有人可对A类基金份额、C类基金份额分别选择不同的分红方式；若投资者不选择，本基金默认的收益分配方式是现金分红；通过红利再投资所得基金份额的运作期起始日与该认/申购份额运作期起始日相同；</w:t>
      </w:r>
    </w:p>
    <w:p>
      <w:pPr>
        <w:spacing w:line="360" w:lineRule="auto"/>
        <w:ind w:firstLine="540" w:firstLineChars="225"/>
        <w:rPr>
          <w:bCs/>
          <w:sz w:val="24"/>
        </w:rPr>
      </w:pPr>
      <w:r>
        <w:rPr>
          <w:rFonts w:hint="eastAsia"/>
          <w:bCs/>
          <w:sz w:val="24"/>
        </w:rPr>
        <w:t>2、基金收益分配后各类基金份额净值不能低于面值，即基金收益分配基准日的各类基金份额净值减去每单位该类基金份额收益分配金额后不能低于面值；</w:t>
      </w:r>
    </w:p>
    <w:p>
      <w:pPr>
        <w:spacing w:line="360" w:lineRule="auto"/>
        <w:ind w:firstLine="540" w:firstLineChars="225"/>
        <w:rPr>
          <w:bCs/>
          <w:sz w:val="24"/>
        </w:rPr>
      </w:pPr>
      <w:r>
        <w:rPr>
          <w:rFonts w:hint="eastAsia"/>
          <w:bCs/>
          <w:sz w:val="24"/>
        </w:rPr>
        <w:t>3、</w:t>
      </w:r>
      <w:r>
        <w:rPr>
          <w:rFonts w:hint="eastAsia" w:ascii="宋体" w:hAnsi="宋体"/>
          <w:sz w:val="24"/>
        </w:rPr>
        <w:t>由于本基金A类基金份额不收取销售服务费，而C类基金份额收取销售服务费，各基金份额类别对应的可分配收益将有所不同。</w:t>
      </w:r>
      <w:r>
        <w:rPr>
          <w:rFonts w:hint="eastAsia"/>
          <w:bCs/>
          <w:sz w:val="24"/>
        </w:rPr>
        <w:t>本基金同一类别的每份基金份额享有同等分配权；</w:t>
      </w:r>
    </w:p>
    <w:p>
      <w:pPr>
        <w:spacing w:line="360" w:lineRule="auto"/>
        <w:ind w:firstLine="540" w:firstLineChars="225"/>
        <w:rPr>
          <w:bCs/>
          <w:sz w:val="24"/>
        </w:rPr>
      </w:pPr>
      <w:r>
        <w:rPr>
          <w:rFonts w:hint="eastAsia"/>
          <w:bCs/>
          <w:sz w:val="24"/>
        </w:rPr>
        <w:t>4、法律法规或监管机关另有规定的，从其规定。</w:t>
      </w:r>
    </w:p>
    <w:p>
      <w:pPr>
        <w:spacing w:line="360" w:lineRule="auto"/>
        <w:ind w:firstLine="540" w:firstLineChars="225"/>
        <w:rPr>
          <w:bCs/>
          <w:sz w:val="24"/>
        </w:rPr>
      </w:pPr>
      <w:r>
        <w:rPr>
          <w:rFonts w:hint="eastAsia"/>
          <w:bCs/>
          <w:sz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p>
      <w:pPr>
        <w:spacing w:line="360" w:lineRule="auto"/>
        <w:ind w:firstLine="540" w:firstLineChars="225"/>
        <w:rPr>
          <w:bCs/>
          <w:sz w:val="24"/>
        </w:rPr>
      </w:pPr>
      <w:r>
        <w:rPr>
          <w:rFonts w:hint="eastAsia"/>
          <w:bCs/>
          <w:sz w:val="24"/>
        </w:rPr>
        <w:t>四、基金费用计提方法、计提标准和支付方式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w:t>
      </w:r>
      <w:r>
        <w:rPr>
          <w:bCs/>
          <w:sz w:val="24"/>
        </w:rPr>
        <w:t>2</w:t>
      </w:r>
      <w:r>
        <w:rPr>
          <w:rFonts w:hint="eastAsia"/>
          <w:bCs/>
          <w:sz w:val="24"/>
        </w:rPr>
        <w:t>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w:t>
      </w:r>
      <w:r>
        <w:rPr>
          <w:bCs/>
          <w:sz w:val="24"/>
        </w:rPr>
        <w:t>2</w:t>
      </w:r>
      <w:r>
        <w:rPr>
          <w:rFonts w:hint="eastAsia"/>
          <w:bCs/>
          <w:sz w:val="24"/>
        </w:rPr>
        <w:t>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0.05%</w:t>
      </w:r>
      <w:r>
        <w:rPr>
          <w:bCs/>
          <w:sz w:val="24"/>
        </w:rPr>
        <w:t>的年费率计提。托管费的计算方法如下：</w:t>
      </w:r>
    </w:p>
    <w:p>
      <w:pPr>
        <w:spacing w:line="360" w:lineRule="auto"/>
        <w:ind w:firstLine="480" w:firstLineChars="200"/>
        <w:rPr>
          <w:bCs/>
          <w:sz w:val="24"/>
        </w:rPr>
      </w:pPr>
      <w:r>
        <w:rPr>
          <w:bCs/>
          <w:sz w:val="24"/>
        </w:rPr>
        <w:t>H＝E×</w:t>
      </w:r>
      <w:r>
        <w:rPr>
          <w:sz w:val="24"/>
        </w:rPr>
        <w:t xml:space="preserve"> </w:t>
      </w:r>
      <w:r>
        <w:rPr>
          <w:rFonts w:hint="eastAsia"/>
          <w:bCs/>
          <w:sz w:val="24"/>
        </w:rPr>
        <w:t>0.05%</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w:t>
      </w:r>
      <w:r>
        <w:rPr>
          <w:bCs/>
          <w:sz w:val="24"/>
        </w:rPr>
        <w:t>C</w:t>
      </w:r>
      <w:r>
        <w:rPr>
          <w:rFonts w:hint="eastAsia"/>
          <w:bCs/>
          <w:sz w:val="24"/>
        </w:rPr>
        <w:t>类基金份额的销售服务费按前一日C类基金份额资产净值的0</w:t>
      </w:r>
      <w:r>
        <w:rPr>
          <w:bCs/>
          <w:sz w:val="24"/>
        </w:rPr>
        <w:t>.20</w:t>
      </w:r>
      <w:r>
        <w:rPr>
          <w:rFonts w:hint="eastAsia"/>
          <w:bCs/>
          <w:sz w:val="24"/>
        </w:rPr>
        <w:t>%年费率计提。计算方法如下：</w:t>
      </w:r>
    </w:p>
    <w:p>
      <w:pPr>
        <w:spacing w:line="360" w:lineRule="auto"/>
        <w:ind w:firstLine="480" w:firstLineChars="200"/>
        <w:rPr>
          <w:bCs/>
          <w:sz w:val="24"/>
        </w:rPr>
      </w:pPr>
      <w:r>
        <w:rPr>
          <w:rFonts w:hint="eastAsia"/>
          <w:bCs/>
          <w:sz w:val="24"/>
        </w:rPr>
        <w:t>H＝E×</w:t>
      </w:r>
      <w:r>
        <w:rPr>
          <w:bCs/>
          <w:sz w:val="24"/>
        </w:rPr>
        <w:t>0.20</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E为C类基金份额前一日的基金资产净值</w:t>
      </w:r>
    </w:p>
    <w:p>
      <w:pPr>
        <w:spacing w:line="360" w:lineRule="auto"/>
        <w:ind w:firstLine="480" w:firstLineChars="200"/>
        <w:rPr>
          <w:bCs/>
          <w:sz w:val="24"/>
        </w:rPr>
      </w:pPr>
      <w:r>
        <w:rPr>
          <w:rFonts w:hint="eastAsia"/>
          <w:bCs/>
          <w:sz w:val="24"/>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spacing w:line="360" w:lineRule="auto"/>
        <w:ind w:firstLine="540" w:firstLineChars="225"/>
        <w:rPr>
          <w:bCs/>
          <w:sz w:val="24"/>
        </w:rPr>
      </w:pPr>
      <w:r>
        <w:rPr>
          <w:rFonts w:hint="eastAsia"/>
          <w:bCs/>
          <w:sz w:val="24"/>
        </w:rPr>
        <w:t>五、基金财产的投资方向和投资限制</w:t>
      </w:r>
    </w:p>
    <w:p>
      <w:pPr>
        <w:spacing w:line="360" w:lineRule="auto"/>
        <w:ind w:firstLine="480" w:firstLineChars="200"/>
        <w:rPr>
          <w:bCs/>
          <w:sz w:val="24"/>
        </w:rPr>
      </w:pPr>
      <w:r>
        <w:rPr>
          <w:rFonts w:hint="eastAsia"/>
          <w:bCs/>
          <w:sz w:val="24"/>
        </w:rPr>
        <w:t>（一）投资范围</w:t>
      </w:r>
    </w:p>
    <w:p>
      <w:pPr>
        <w:spacing w:line="360" w:lineRule="auto"/>
        <w:ind w:firstLine="480" w:firstLineChars="200"/>
        <w:rPr>
          <w:bCs/>
          <w:sz w:val="24"/>
        </w:rPr>
      </w:pPr>
      <w:r>
        <w:rPr>
          <w:rFonts w:hint="eastAsia"/>
          <w:bCs/>
          <w:sz w:val="24"/>
        </w:rPr>
        <w:t>本基金的投资范围主要为具有良好流动性的金融工具，包括债券（含国债、金融债、地方政府债、政府支持债券、政府支持机构债券、企业债、公司债、央行票据、中期票据、短期融资券、超短期融资券、可分离交易可转换债券的纯债部分、公开发行的次级债等）、资产支持证券、银行存款、债券回购、同业存单、货币市场工具、国债期货、信用衍生品及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本基金不投资于股票等资产，也不投资于可转换债券（可分离交易可转债的纯债部分除外）、可交换债券。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如法律法规或监管机构以后允许基金投资的其他品种，基金管理人在履行适当程序后，可以将其纳入投资范围，并可依据届时有效的法律法规适时合理地调整投资范围。</w:t>
      </w:r>
    </w:p>
    <w:p>
      <w:pPr>
        <w:spacing w:line="360" w:lineRule="auto"/>
        <w:ind w:firstLine="480" w:firstLineChars="200"/>
        <w:rPr>
          <w:bCs/>
          <w:sz w:val="24"/>
        </w:rPr>
      </w:pPr>
      <w:r>
        <w:rPr>
          <w:rFonts w:hint="eastAsia"/>
          <w:bCs/>
          <w:sz w:val="24"/>
        </w:rPr>
        <w:t>基金的投资组合比例为：本基金投资于债券资产比例不低于基金资产的80%；本基金每个交易日日终在扣除国债期货合约需缴纳的交易保证金后，应当保持不低于基金资产净值5％的现金或者到期日在一年以内的政府债券，其中，现金不包括结算备付金、存出保证金、应收申购款等。</w:t>
      </w:r>
    </w:p>
    <w:p>
      <w:pPr>
        <w:spacing w:line="360" w:lineRule="auto"/>
        <w:ind w:firstLine="480" w:firstLineChars="200"/>
        <w:rPr>
          <w:bCs/>
          <w:sz w:val="24"/>
        </w:rPr>
      </w:pPr>
      <w:r>
        <w:rPr>
          <w:rFonts w:hint="eastAsia"/>
          <w:bCs/>
          <w:sz w:val="24"/>
        </w:rPr>
        <w:t>若法律法规的相关规定发生变更或监管机构允许，本基金管理人在履行适当程序后，可对上述资产配置比例进行调整。</w:t>
      </w:r>
    </w:p>
    <w:p>
      <w:pPr>
        <w:spacing w:line="360" w:lineRule="auto"/>
        <w:ind w:firstLine="480" w:firstLineChars="200"/>
        <w:rPr>
          <w:bCs/>
          <w:sz w:val="24"/>
        </w:rPr>
      </w:pPr>
      <w:r>
        <w:rPr>
          <w:rFonts w:hint="eastAsia"/>
          <w:bCs/>
          <w:sz w:val="24"/>
        </w:rPr>
        <w:t>（二）投资限制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sz w:val="24"/>
        </w:rPr>
      </w:pPr>
      <w:r>
        <w:rPr>
          <w:rFonts w:hint="eastAsia"/>
          <w:sz w:val="24"/>
        </w:rPr>
        <w:t>（</w:t>
      </w:r>
      <w:r>
        <w:rPr>
          <w:sz w:val="24"/>
        </w:rPr>
        <w:t>1</w:t>
      </w:r>
      <w:r>
        <w:rPr>
          <w:rFonts w:hint="eastAsia"/>
          <w:sz w:val="24"/>
        </w:rPr>
        <w:t>）本基金对债券的投资比例不低于基金资产的80%；</w:t>
      </w:r>
    </w:p>
    <w:p>
      <w:pPr>
        <w:spacing w:line="360" w:lineRule="auto"/>
        <w:ind w:firstLine="480" w:firstLineChars="200"/>
        <w:rPr>
          <w:sz w:val="24"/>
        </w:rPr>
      </w:pPr>
      <w:r>
        <w:rPr>
          <w:rFonts w:hint="eastAsia"/>
          <w:sz w:val="24"/>
        </w:rPr>
        <w:t>（2）本基金每个交易日日终扣除国债期货需缴纳的交易保证金后，应当保持不低于基金资产净值5％的现金或者到期日在一年以内的政府债券，其中，现金不包括结算备付金、存出保证金、应收申购款等；</w:t>
      </w:r>
    </w:p>
    <w:p>
      <w:pPr>
        <w:spacing w:line="360" w:lineRule="auto"/>
        <w:ind w:firstLine="480" w:firstLineChars="200"/>
        <w:rPr>
          <w:sz w:val="24"/>
        </w:rPr>
      </w:pPr>
      <w:r>
        <w:rPr>
          <w:rFonts w:hint="eastAsia"/>
          <w:sz w:val="24"/>
        </w:rPr>
        <w:t>（3）本基金持有一家公司发行的证券，其市值不超过基金资产净值的10％；</w:t>
      </w:r>
    </w:p>
    <w:p>
      <w:pPr>
        <w:spacing w:line="360" w:lineRule="auto"/>
        <w:ind w:firstLine="480" w:firstLineChars="200"/>
        <w:rPr>
          <w:sz w:val="24"/>
        </w:rPr>
      </w:pPr>
      <w:r>
        <w:rPr>
          <w:rFonts w:hint="eastAsia"/>
          <w:sz w:val="24"/>
        </w:rPr>
        <w:t>（4）本基金管理人管理的全部基金持有一家公司发行的证券，不超过该证券的10％；</w:t>
      </w:r>
    </w:p>
    <w:p>
      <w:pPr>
        <w:spacing w:line="360" w:lineRule="auto"/>
        <w:ind w:firstLine="480" w:firstLineChars="200"/>
        <w:rPr>
          <w:sz w:val="24"/>
        </w:rPr>
      </w:pPr>
      <w:r>
        <w:rPr>
          <w:rFonts w:hint="eastAsia"/>
          <w:sz w:val="24"/>
        </w:rPr>
        <w:t>（</w:t>
      </w:r>
      <w:r>
        <w:rPr>
          <w:sz w:val="24"/>
        </w:rPr>
        <w:t>5</w:t>
      </w:r>
      <w:r>
        <w:rPr>
          <w:rFonts w:hint="eastAsia"/>
          <w:sz w:val="24"/>
        </w:rPr>
        <w:t>）本基金投资于同一原始权益人的各类资产支持证券的比例，不得超过基金资产净值的10％；</w:t>
      </w:r>
    </w:p>
    <w:p>
      <w:pPr>
        <w:spacing w:line="360" w:lineRule="auto"/>
        <w:ind w:firstLine="480" w:firstLineChars="200"/>
        <w:rPr>
          <w:sz w:val="24"/>
        </w:rPr>
      </w:pPr>
      <w:r>
        <w:rPr>
          <w:rFonts w:hint="eastAsia"/>
          <w:sz w:val="24"/>
        </w:rPr>
        <w:t>（</w:t>
      </w:r>
      <w:r>
        <w:rPr>
          <w:sz w:val="24"/>
        </w:rPr>
        <w:t>6</w:t>
      </w:r>
      <w:r>
        <w:rPr>
          <w:rFonts w:hint="eastAsia"/>
          <w:sz w:val="24"/>
        </w:rPr>
        <w:t>）本基金持有的全部资产支持证券，其市值不得超过基金资产净值的20％；</w:t>
      </w:r>
    </w:p>
    <w:p>
      <w:pPr>
        <w:spacing w:line="360" w:lineRule="auto"/>
        <w:ind w:firstLine="480" w:firstLineChars="200"/>
        <w:rPr>
          <w:sz w:val="24"/>
        </w:rPr>
      </w:pPr>
      <w:r>
        <w:rPr>
          <w:rFonts w:hint="eastAsia"/>
          <w:sz w:val="24"/>
        </w:rPr>
        <w:t>（</w:t>
      </w:r>
      <w:r>
        <w:rPr>
          <w:sz w:val="24"/>
        </w:rPr>
        <w:t>7</w:t>
      </w:r>
      <w:r>
        <w:rPr>
          <w:rFonts w:hint="eastAsia"/>
          <w:sz w:val="24"/>
        </w:rPr>
        <w:t>）本基金持有的同一(指同一信用级别)资产支持证券的比例，不得超过该资产支持证券规模的10％；</w:t>
      </w:r>
    </w:p>
    <w:p>
      <w:pPr>
        <w:spacing w:line="360" w:lineRule="auto"/>
        <w:ind w:firstLine="480" w:firstLineChars="20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）本基金管理人管理的全部基金投资于同一原始权益人的各类资产支持证券，不得超过其各类资产支持证券合计规模的10％；</w:t>
      </w:r>
    </w:p>
    <w:p>
      <w:pPr>
        <w:spacing w:line="360" w:lineRule="auto"/>
        <w:ind w:firstLine="480" w:firstLineChars="200"/>
        <w:rPr>
          <w:sz w:val="24"/>
        </w:rPr>
      </w:pPr>
      <w:r>
        <w:rPr>
          <w:rFonts w:hint="eastAsia"/>
          <w:sz w:val="24"/>
        </w:rPr>
        <w:t>（</w:t>
      </w:r>
      <w:r>
        <w:rPr>
          <w:sz w:val="24"/>
        </w:rPr>
        <w:t>9</w:t>
      </w:r>
      <w:r>
        <w:rPr>
          <w:rFonts w:hint="eastAsia"/>
          <w:sz w:val="24"/>
        </w:rPr>
        <w:t>）本基金资产总值不得超过基金资产净值的140%；</w:t>
      </w:r>
    </w:p>
    <w:p>
      <w:pPr>
        <w:spacing w:line="360" w:lineRule="auto"/>
        <w:ind w:firstLine="480" w:firstLineChars="200"/>
        <w:rPr>
          <w:sz w:val="24"/>
        </w:rPr>
      </w:pPr>
      <w:r>
        <w:rPr>
          <w:rFonts w:hint="eastAsia"/>
          <w:sz w:val="24"/>
        </w:rPr>
        <w:t>（</w:t>
      </w:r>
      <w:r>
        <w:rPr>
          <w:sz w:val="24"/>
        </w:rPr>
        <w:t>10</w:t>
      </w:r>
      <w:r>
        <w:rPr>
          <w:rFonts w:hint="eastAsia"/>
          <w:sz w:val="24"/>
        </w:rPr>
        <w:t>）本基金参与国债期货交易，需遵守下列投资比例限制：</w:t>
      </w:r>
    </w:p>
    <w:p>
      <w:pPr>
        <w:spacing w:line="360" w:lineRule="auto"/>
        <w:ind w:firstLine="480" w:firstLineChars="200"/>
        <w:rPr>
          <w:sz w:val="24"/>
        </w:rPr>
      </w:pPr>
      <w:r>
        <w:rPr>
          <w:rFonts w:hint="eastAsia"/>
          <w:sz w:val="24"/>
        </w:rPr>
        <w:t>1）本基金在任何交易日日终，持有的买入国债期货合约价值，不得超过基金资产净值的15%；</w:t>
      </w:r>
    </w:p>
    <w:p>
      <w:pPr>
        <w:spacing w:line="360" w:lineRule="auto"/>
        <w:ind w:firstLine="480" w:firstLineChars="200"/>
        <w:rPr>
          <w:sz w:val="24"/>
        </w:rPr>
      </w:pPr>
      <w:r>
        <w:rPr>
          <w:rFonts w:hint="eastAsia"/>
          <w:sz w:val="24"/>
        </w:rPr>
        <w:t>2）本基金在任何交易日日终，持有的卖出国债期货合约价值不得超过基金持有的债券总市值的30%；</w:t>
      </w:r>
    </w:p>
    <w:p>
      <w:pPr>
        <w:spacing w:line="360" w:lineRule="auto"/>
        <w:ind w:firstLine="480" w:firstLineChars="200"/>
        <w:rPr>
          <w:sz w:val="24"/>
        </w:rPr>
      </w:pPr>
      <w:r>
        <w:rPr>
          <w:rFonts w:hint="eastAsia"/>
          <w:sz w:val="24"/>
        </w:rPr>
        <w:t>3）本基金在任何交易日内交易（不包括平仓）的国债期货合约的成交金额不得超过上一交易日基金资产净值的30%；</w:t>
      </w:r>
    </w:p>
    <w:p>
      <w:pPr>
        <w:spacing w:line="360" w:lineRule="auto"/>
        <w:ind w:firstLine="480" w:firstLineChars="200"/>
        <w:rPr>
          <w:sz w:val="24"/>
        </w:rPr>
      </w:pPr>
      <w:r>
        <w:rPr>
          <w:rFonts w:hint="eastAsia"/>
          <w:sz w:val="24"/>
        </w:rPr>
        <w:t>4）本基金所持有的债券（不含到期日在一年以内的政府债券）市值和买入、卖出国债期货合约价值，合计（轧差计算）应当符合基金合同关于债券投资比例的有关约定；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sz w:val="24"/>
        </w:rPr>
      </w:pPr>
      <w:r>
        <w:rPr>
          <w:rFonts w:hint="eastAsia"/>
          <w:sz w:val="24"/>
        </w:rPr>
        <w:t>（1</w:t>
      </w:r>
      <w:r>
        <w:rPr>
          <w:sz w:val="24"/>
        </w:rPr>
        <w:t>1</w:t>
      </w:r>
      <w:r>
        <w:rPr>
          <w:rFonts w:hint="eastAsia"/>
          <w:sz w:val="24"/>
        </w:rPr>
        <w:t>）本基金主动投资于流动性受限资产的市值合计不得超过本基金资产净值的 15%；</w:t>
      </w:r>
    </w:p>
    <w:p>
      <w:pPr>
        <w:spacing w:line="360" w:lineRule="auto"/>
        <w:ind w:firstLine="480" w:firstLineChars="200"/>
        <w:rPr>
          <w:sz w:val="24"/>
        </w:rPr>
      </w:pPr>
      <w:r>
        <w:rPr>
          <w:rFonts w:hint="eastAsia"/>
          <w:sz w:val="24"/>
        </w:rPr>
        <w:t>因证券市场波动、基金规模变动等基金管理人之外的因素致使基金不符合前款所规定比例限制的，基金管理人不得主动新增流动性受限资产的投资；</w:t>
      </w:r>
    </w:p>
    <w:p>
      <w:pPr>
        <w:spacing w:line="360" w:lineRule="auto"/>
        <w:ind w:firstLine="480" w:firstLineChars="200"/>
        <w:rPr>
          <w:sz w:val="24"/>
        </w:rPr>
      </w:pPr>
      <w:r>
        <w:rPr>
          <w:rFonts w:hint="eastAsia"/>
          <w:sz w:val="24"/>
        </w:rPr>
        <w:t>（1</w:t>
      </w:r>
      <w:r>
        <w:rPr>
          <w:sz w:val="24"/>
        </w:rPr>
        <w:t>2</w:t>
      </w:r>
      <w:r>
        <w:rPr>
          <w:rFonts w:hint="eastAsia"/>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sz w:val="24"/>
        </w:rPr>
      </w:pPr>
      <w:r>
        <w:rPr>
          <w:rFonts w:hint="eastAsia"/>
          <w:sz w:val="24"/>
        </w:rPr>
        <w:t>（1</w:t>
      </w:r>
      <w:r>
        <w:rPr>
          <w:sz w:val="24"/>
        </w:rPr>
        <w:t>3</w:t>
      </w:r>
      <w:r>
        <w:rPr>
          <w:rFonts w:hint="eastAsia"/>
          <w:sz w:val="24"/>
        </w:rPr>
        <w:t>）本基金不持有具有信用保护卖方属性的信用衍生品，不持有合约类信用衍生品，本基金持有的信用衍生品名义本金不得超过本基金中所对应受保护债券面值的100%；</w:t>
      </w:r>
    </w:p>
    <w:p>
      <w:pPr>
        <w:spacing w:line="360" w:lineRule="auto"/>
        <w:ind w:firstLine="480" w:firstLineChars="200"/>
        <w:rPr>
          <w:sz w:val="24"/>
        </w:rPr>
      </w:pPr>
      <w:r>
        <w:rPr>
          <w:rFonts w:hint="eastAsia"/>
          <w:sz w:val="24"/>
        </w:rPr>
        <w:t>（1</w:t>
      </w:r>
      <w:r>
        <w:rPr>
          <w:sz w:val="24"/>
        </w:rPr>
        <w:t>4</w:t>
      </w:r>
      <w:r>
        <w:rPr>
          <w:rFonts w:hint="eastAsia"/>
          <w:sz w:val="24"/>
        </w:rPr>
        <w:t>）本基金投资于同一信用保护卖方各类信用衍生品名义本金合计不得超过基金资产净值的10%；</w:t>
      </w:r>
    </w:p>
    <w:p>
      <w:pPr>
        <w:spacing w:line="360" w:lineRule="auto"/>
        <w:ind w:firstLine="480" w:firstLineChars="200"/>
        <w:rPr>
          <w:sz w:val="24"/>
        </w:rPr>
      </w:pPr>
      <w:r>
        <w:rPr>
          <w:rFonts w:hint="eastAsia"/>
          <w:sz w:val="24"/>
        </w:rPr>
        <w:t>（1</w:t>
      </w:r>
      <w:r>
        <w:rPr>
          <w:sz w:val="24"/>
        </w:rPr>
        <w:t>5</w:t>
      </w:r>
      <w:r>
        <w:rPr>
          <w:rFonts w:hint="eastAsia"/>
          <w:sz w:val="24"/>
        </w:rPr>
        <w:t>）法律法规及中国证监会规定的和《基金合同》约定的其他投资限制。</w:t>
      </w:r>
    </w:p>
    <w:p>
      <w:pPr>
        <w:spacing w:line="360" w:lineRule="auto"/>
        <w:ind w:firstLine="480" w:firstLineChars="200"/>
        <w:rPr>
          <w:sz w:val="24"/>
        </w:rPr>
      </w:pPr>
      <w:r>
        <w:rPr>
          <w:rFonts w:hint="eastAsia"/>
          <w:sz w:val="24"/>
        </w:rPr>
        <w:t>因证券/期货市场波动、证券发行人合并、基金规模变动等基金管理人之外的因素致使基金投资比例不符合上述（</w:t>
      </w:r>
      <w:r>
        <w:rPr>
          <w:sz w:val="24"/>
        </w:rPr>
        <w:t>13</w:t>
      </w:r>
      <w:r>
        <w:rPr>
          <w:rFonts w:hint="eastAsia"/>
          <w:sz w:val="24"/>
        </w:rPr>
        <w:t>）、（</w:t>
      </w:r>
      <w:r>
        <w:rPr>
          <w:sz w:val="24"/>
        </w:rPr>
        <w:t>14</w:t>
      </w:r>
      <w:r>
        <w:rPr>
          <w:rFonts w:hint="eastAsia"/>
          <w:sz w:val="24"/>
        </w:rPr>
        <w:t>）项规定投资比例的，基金管理人应在3个月内进行调整。</w:t>
      </w:r>
    </w:p>
    <w:p>
      <w:pPr>
        <w:spacing w:line="360" w:lineRule="auto"/>
        <w:ind w:firstLine="480" w:firstLineChars="200"/>
        <w:rPr>
          <w:sz w:val="24"/>
        </w:rPr>
      </w:pPr>
      <w:r>
        <w:rPr>
          <w:rFonts w:hint="eastAsia"/>
          <w:sz w:val="24"/>
        </w:rPr>
        <w:t>除上述（2）、（1</w:t>
      </w:r>
      <w:r>
        <w:rPr>
          <w:sz w:val="24"/>
        </w:rPr>
        <w:t>1</w:t>
      </w:r>
      <w:r>
        <w:rPr>
          <w:rFonts w:hint="eastAsia"/>
          <w:sz w:val="24"/>
        </w:rPr>
        <w:t>）、（1</w:t>
      </w:r>
      <w:r>
        <w:rPr>
          <w:sz w:val="24"/>
        </w:rPr>
        <w:t>2</w:t>
      </w:r>
      <w:r>
        <w:rPr>
          <w:rFonts w:hint="eastAsia"/>
          <w:sz w:val="24"/>
        </w:rPr>
        <w:t>）、（1</w:t>
      </w:r>
      <w:r>
        <w:rPr>
          <w:sz w:val="24"/>
        </w:rPr>
        <w:t>3</w:t>
      </w:r>
      <w:r>
        <w:rPr>
          <w:rFonts w:hint="eastAsia"/>
          <w:sz w:val="24"/>
        </w:rPr>
        <w:t>）、（1</w:t>
      </w:r>
      <w:r>
        <w:rPr>
          <w:sz w:val="24"/>
        </w:rPr>
        <w:t>4</w:t>
      </w:r>
      <w:r>
        <w:rPr>
          <w:rFonts w:hint="eastAsia"/>
          <w:sz w:val="24"/>
        </w:rPr>
        <w:t>）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line="360" w:lineRule="auto"/>
        <w:ind w:firstLine="480" w:firstLineChars="200"/>
        <w:rPr>
          <w:sz w:val="24"/>
        </w:rPr>
      </w:pPr>
      <w:r>
        <w:rPr>
          <w:rFonts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80" w:firstLineChars="200"/>
        <w:rPr>
          <w:sz w:val="24"/>
        </w:rPr>
      </w:pPr>
      <w:r>
        <w:rPr>
          <w:rFonts w:hint="eastAsia"/>
          <w:sz w:val="24"/>
        </w:rPr>
        <w:t>法律法规或监管部门取消或调整上述限制，如适用于本基金，基金管理人在履行适当程序后，则本基金投资不再受相关限制或按调整后的规定执行。</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法律、行政法规或监管部门取消或变更上述规定，如适用于本基金，基金管理人在履行适当程序后，则本基金投资不再受相关限制或按变更后的规定执行。</w:t>
      </w:r>
    </w:p>
    <w:p>
      <w:pPr>
        <w:spacing w:line="360" w:lineRule="auto"/>
        <w:ind w:firstLine="480" w:firstLineChars="200"/>
        <w:rPr>
          <w:bCs/>
          <w:sz w:val="24"/>
        </w:rPr>
      </w:pPr>
      <w:r>
        <w:rPr>
          <w:rFonts w:hint="eastAsia"/>
          <w:bCs/>
          <w:sz w:val="24"/>
        </w:rPr>
        <w:t>六、基金资产净值的计算方法和公告方式</w:t>
      </w:r>
    </w:p>
    <w:p>
      <w:pPr>
        <w:spacing w:line="360" w:lineRule="auto"/>
        <w:ind w:firstLine="480" w:firstLineChars="200"/>
        <w:rPr>
          <w:bCs/>
          <w:sz w:val="24"/>
        </w:rPr>
      </w:pPr>
      <w:r>
        <w:rPr>
          <w:rFonts w:hint="eastAsia"/>
          <w:bCs/>
          <w:sz w:val="24"/>
        </w:rPr>
        <w:t>（一）基金资产净值</w:t>
      </w:r>
    </w:p>
    <w:p>
      <w:pPr>
        <w:spacing w:line="360" w:lineRule="auto"/>
        <w:ind w:firstLine="480" w:firstLineChars="200"/>
        <w:rPr>
          <w:bCs/>
          <w:sz w:val="24"/>
        </w:rPr>
      </w:pPr>
      <w:r>
        <w:rPr>
          <w:rFonts w:hint="eastAsia"/>
          <w:bCs/>
          <w:sz w:val="24"/>
        </w:rPr>
        <w:t>基金资产净值是指基金资产总值减去基金负债后的价值。</w:t>
      </w:r>
    </w:p>
    <w:p>
      <w:pPr>
        <w:spacing w:line="360" w:lineRule="auto"/>
        <w:ind w:firstLine="480" w:firstLineChars="200"/>
        <w:rPr>
          <w:bCs/>
          <w:sz w:val="24"/>
        </w:rPr>
      </w:pPr>
      <w:r>
        <w:rPr>
          <w:rFonts w:hint="eastAsia"/>
          <w:bCs/>
          <w:sz w:val="24"/>
        </w:rPr>
        <w:t>（二）估值方法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Ansi="宋体"/>
          <w:sz w:val="24"/>
        </w:rPr>
      </w:pPr>
      <w:r>
        <w:rPr>
          <w:bCs/>
          <w:sz w:val="24"/>
          <w:szCs w:val="24"/>
        </w:rPr>
        <w:t>（1）交易所上市</w:t>
      </w:r>
      <w:r>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pPr>
        <w:spacing w:line="360" w:lineRule="auto"/>
        <w:ind w:firstLine="480" w:firstLineChars="200"/>
        <w:rPr>
          <w:strike/>
          <w:sz w:val="24"/>
        </w:rPr>
      </w:pPr>
      <w:r>
        <w:rPr>
          <w:bCs/>
          <w:sz w:val="24"/>
          <w:szCs w:val="24"/>
        </w:rPr>
        <w:t>（</w:t>
      </w:r>
      <w:r>
        <w:rPr>
          <w:rFonts w:hint="eastAsia"/>
          <w:bCs/>
          <w:sz w:val="24"/>
          <w:szCs w:val="24"/>
        </w:rPr>
        <w:t>2</w:t>
      </w:r>
      <w:r>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r>
        <w:rPr>
          <w:rFonts w:hint="eastAsia"/>
          <w:bCs/>
          <w:sz w:val="24"/>
          <w:szCs w:val="24"/>
        </w:rPr>
        <w:t>；</w:t>
      </w:r>
    </w:p>
    <w:p>
      <w:pPr>
        <w:spacing w:line="360" w:lineRule="auto"/>
        <w:ind w:firstLine="480" w:firstLineChars="200"/>
        <w:rPr>
          <w:bCs/>
        </w:rPr>
      </w:pPr>
      <w:r>
        <w:rPr>
          <w:bCs/>
          <w:sz w:val="24"/>
        </w:rPr>
        <w:t>（</w:t>
      </w:r>
      <w:r>
        <w:rPr>
          <w:rFonts w:hint="eastAsia"/>
          <w:bCs/>
          <w:sz w:val="24"/>
        </w:rPr>
        <w:t>3</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2、首次公开发行未上市的债券，采用估值技术确定公允价值，在估值技术难以可靠计量公允价值的情况下，按成本估值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rFonts w:hint="eastAsia"/>
          <w:bCs/>
          <w:sz w:val="24"/>
        </w:rPr>
        <w:t>3、同业存单、全国银行间债券市场交易的债券、资产支持证券等固定收益品种，采用估值技术确定公允价值。</w:t>
      </w:r>
    </w:p>
    <w:p>
      <w:pPr>
        <w:spacing w:line="360" w:lineRule="auto"/>
        <w:ind w:firstLine="480" w:firstLineChars="200"/>
        <w:rPr>
          <w:bCs/>
          <w:sz w:val="24"/>
          <w:szCs w:val="22"/>
        </w:rPr>
      </w:pPr>
      <w:r>
        <w:rPr>
          <w:rFonts w:hint="eastAsia"/>
          <w:bCs/>
          <w:sz w:val="24"/>
          <w:szCs w:val="22"/>
        </w:rPr>
        <w:t>4、同一证券同时在两个或两个以上市场交易的，按证券所处的市场分别估值。</w:t>
      </w:r>
    </w:p>
    <w:p>
      <w:pPr>
        <w:spacing w:line="360" w:lineRule="auto"/>
        <w:ind w:firstLine="480" w:firstLineChars="200"/>
        <w:rPr>
          <w:bCs/>
          <w:sz w:val="24"/>
        </w:rPr>
      </w:pPr>
      <w:r>
        <w:rPr>
          <w:rFonts w:hint="eastAsia"/>
          <w:bCs/>
          <w:sz w:val="24"/>
        </w:rPr>
        <w:t>5、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pPr>
        <w:spacing w:line="360" w:lineRule="auto"/>
        <w:ind w:firstLine="480" w:firstLineChars="200"/>
        <w:rPr>
          <w:bCs/>
          <w:sz w:val="24"/>
        </w:rPr>
      </w:pPr>
      <w:r>
        <w:rPr>
          <w:rFonts w:hint="eastAsia"/>
          <w:bCs/>
          <w:sz w:val="24"/>
        </w:rPr>
        <w:t>6、基金投资的国债期货合约，一般以估值当日结算价进行估值，估值当日无结算价的，且最近交易日后经济环境未发生重大变化的，采用最近交易日结算价估值。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7、</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8、当发生大额申购或赎回情形时，基金管理人可以采用摆动定价机制，以确保基金估值的公平性。具体处理原则与操作规范遵循相关法律法规以及监管部门、自律组织的规定。</w:t>
      </w:r>
    </w:p>
    <w:p>
      <w:pPr>
        <w:spacing w:line="360" w:lineRule="auto"/>
        <w:ind w:firstLine="480" w:firstLineChars="200"/>
        <w:rPr>
          <w:bCs/>
          <w:sz w:val="24"/>
        </w:rPr>
      </w:pPr>
      <w:r>
        <w:rPr>
          <w:rFonts w:hint="eastAsia"/>
          <w:bCs/>
          <w:sz w:val="24"/>
        </w:rPr>
        <w:t>9</w:t>
      </w:r>
      <w:r>
        <w:rPr>
          <w:bCs/>
          <w:sz w:val="24"/>
        </w:rPr>
        <w:t>、相关法律法规以及监管部门有强制规定的，从其规定。如有新增事项，按国家最新规定估值。</w:t>
      </w:r>
    </w:p>
    <w:p>
      <w:pPr>
        <w:adjustRightInd w:val="0"/>
        <w:snapToGrid w:val="0"/>
        <w:spacing w:line="360" w:lineRule="auto"/>
        <w:ind w:firstLine="480" w:firstLineChars="20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adjustRightInd w:val="0"/>
        <w:snapToGrid w:val="0"/>
        <w:spacing w:line="360" w:lineRule="auto"/>
        <w:ind w:firstLine="480" w:firstLineChars="200"/>
        <w:rPr>
          <w:bCs/>
          <w:sz w:val="24"/>
        </w:rPr>
      </w:pPr>
      <w:r>
        <w:rPr>
          <w:rFonts w:hint="eastAsia"/>
          <w:bCs/>
          <w:sz w:val="24"/>
        </w:rPr>
        <w:t>（三）基金净值信息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《基金合同》生效后，在开始办理基金份额申购或者赎回前，基金管理人应当至少每周在规定网站披露一次各类基金份额净值和各类基金份额累计净值。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pPr>
        <w:autoSpaceDE w:val="0"/>
        <w:autoSpaceDN w:val="0"/>
        <w:adjustRightInd w:val="0"/>
        <w:spacing w:line="360" w:lineRule="auto"/>
        <w:ind w:firstLine="480" w:firstLineChars="200"/>
        <w:jc w:val="left"/>
        <w:rPr>
          <w:sz w:val="24"/>
          <w:szCs w:val="24"/>
        </w:rPr>
      </w:pPr>
      <w:r>
        <w:rPr>
          <w:rFonts w:hint="eastAsia"/>
          <w:sz w:val="24"/>
          <w:szCs w:val="24"/>
        </w:rPr>
        <w:t>基金管理人应当在不晚于半年度和年度最后一日的次日，在规定网站披露半年度和年度最后一日的各类基金份额净值和各类基金份额累计净值。</w:t>
      </w:r>
    </w:p>
    <w:p>
      <w:pPr>
        <w:autoSpaceDE w:val="0"/>
        <w:autoSpaceDN w:val="0"/>
        <w:adjustRightInd w:val="0"/>
        <w:spacing w:line="360" w:lineRule="auto"/>
        <w:ind w:firstLine="480" w:firstLineChars="200"/>
        <w:jc w:val="left"/>
        <w:rPr>
          <w:rFonts w:ascii="Arial Unicode MS" w:hAnsi="Arial Unicode MS"/>
          <w:bCs/>
          <w:sz w:val="24"/>
          <w:szCs w:val="24"/>
        </w:rPr>
      </w:pPr>
      <w:r>
        <w:rPr>
          <w:rFonts w:hint="eastAsia" w:ascii="Arial Unicode MS" w:hAnsi="Arial Unicode MS"/>
          <w:bCs/>
          <w:sz w:val="24"/>
          <w:szCs w:val="24"/>
        </w:rPr>
        <w:t>七、基金合同解除和终止的事由、程序以及基金财产清算方式</w:t>
      </w:r>
    </w:p>
    <w:p>
      <w:pPr>
        <w:spacing w:line="360" w:lineRule="auto"/>
        <w:ind w:firstLine="480" w:firstLineChars="200"/>
        <w:rPr>
          <w:bCs/>
          <w:sz w:val="24"/>
        </w:rPr>
      </w:pPr>
      <w:r>
        <w:rPr>
          <w:rFonts w:hint="eastAsia"/>
          <w:bCs/>
          <w:sz w:val="24"/>
        </w:rPr>
        <w:t>（一）</w:t>
      </w:r>
      <w:r>
        <w:rPr>
          <w:bCs/>
          <w:sz w:val="24"/>
        </w:rPr>
        <w:t>《基金合同》的变更</w:t>
      </w:r>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w:t>
      </w:r>
      <w:r>
        <w:rPr>
          <w:rFonts w:hint="eastAsia"/>
          <w:bCs/>
          <w:sz w:val="24"/>
        </w:rPr>
        <w:t>并在履行适当程序</w:t>
      </w:r>
      <w:r>
        <w:rPr>
          <w:bCs/>
          <w:sz w:val="24"/>
        </w:rPr>
        <w:t>后变更并公告。</w:t>
      </w:r>
    </w:p>
    <w:p>
      <w:pPr>
        <w:spacing w:line="360" w:lineRule="auto"/>
        <w:ind w:firstLine="480" w:firstLineChars="200"/>
        <w:rPr>
          <w:bCs/>
          <w:sz w:val="24"/>
        </w:rPr>
      </w:pPr>
      <w:r>
        <w:rPr>
          <w:bCs/>
          <w:sz w:val="24"/>
        </w:rPr>
        <w:t>2、关于《基金合同》变更的基金份额持有人大会决议</w:t>
      </w:r>
      <w:r>
        <w:rPr>
          <w:rFonts w:hint="eastAsia"/>
          <w:bCs/>
          <w:sz w:val="24"/>
        </w:rPr>
        <w:t>自生效后方可执行，</w:t>
      </w:r>
      <w:r>
        <w:rPr>
          <w:bCs/>
          <w:sz w:val="24"/>
        </w:rPr>
        <w:t>自决议生效后</w:t>
      </w:r>
      <w:r>
        <w:rPr>
          <w:rFonts w:hint="eastAsia"/>
          <w:bCs/>
          <w:sz w:val="24"/>
        </w:rPr>
        <w:t>按规定</w:t>
      </w:r>
      <w:r>
        <w:rPr>
          <w:bCs/>
          <w:sz w:val="24"/>
        </w:rPr>
        <w:t>在</w:t>
      </w:r>
      <w:r>
        <w:rPr>
          <w:rFonts w:hint="eastAsia"/>
          <w:bCs/>
          <w:sz w:val="24"/>
        </w:rPr>
        <w:t>规定媒介</w:t>
      </w:r>
      <w:r>
        <w:rPr>
          <w:bCs/>
          <w:sz w:val="24"/>
        </w:rPr>
        <w:t>公告。</w:t>
      </w:r>
    </w:p>
    <w:p>
      <w:pPr>
        <w:spacing w:line="360" w:lineRule="auto"/>
        <w:ind w:firstLine="480" w:firstLineChars="200"/>
        <w:rPr>
          <w:sz w:val="24"/>
        </w:rPr>
      </w:pPr>
      <w:r>
        <w:rPr>
          <w:rFonts w:hint="eastAsia"/>
          <w:bCs/>
          <w:sz w:val="24"/>
        </w:rPr>
        <w:t>（二）</w:t>
      </w:r>
      <w:r>
        <w:rPr>
          <w:rFonts w:hint="eastAsia"/>
          <w:sz w:val="24"/>
        </w:rPr>
        <w:t>《基金合同》的终止事由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sz w:val="24"/>
        </w:rPr>
        <w:t>3</w:t>
      </w:r>
      <w:r>
        <w:rPr>
          <w:rFonts w:hint="eastAsia"/>
          <w:sz w:val="24"/>
        </w:rPr>
        <w:t>、</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w:t>
      </w:r>
      <w:r>
        <w:rPr>
          <w:bCs/>
          <w:sz w:val="24"/>
        </w:rPr>
        <w:t>财产清算小组，基金管理人组织基金财产清算小组并在中国证监会的监督下进行基金清算。</w:t>
      </w:r>
    </w:p>
    <w:p>
      <w:pPr>
        <w:spacing w:line="360" w:lineRule="auto"/>
        <w:ind w:firstLine="480" w:firstLineChars="200"/>
        <w:rPr>
          <w:bCs/>
          <w:sz w:val="24"/>
        </w:rPr>
      </w:pPr>
      <w:r>
        <w:rPr>
          <w:rFonts w:hint="eastAsia"/>
          <w:bCs/>
          <w:sz w:val="24"/>
        </w:rPr>
        <w:t>2、在基金财产清算小组接管基金财产之前，基金管理人和基金托管人应按照《基金合同》和托管协议的规定继续履行保护基金财产安全的职责。</w:t>
      </w:r>
    </w:p>
    <w:p>
      <w:pPr>
        <w:spacing w:line="360" w:lineRule="auto"/>
        <w:ind w:firstLine="480" w:firstLineChars="200"/>
        <w:rPr>
          <w:bCs/>
          <w:sz w:val="24"/>
        </w:rPr>
      </w:pPr>
      <w:r>
        <w:rPr>
          <w:bCs/>
          <w:sz w:val="24"/>
        </w:rPr>
        <w:t>3、基金财产清算小组组成：基金财产清算小组成员由基金管理人、基金托管人、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4、基金财产清算小组职责：基金财产清算小组负责基金财产的保管、清理、估价、变现和分配。基金财产清算小组可以依法进行必要的民事活动。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5、基金财产清算程序：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6、基金财产清算的期限为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rFonts w:hint="eastAsia"/>
          <w:bCs/>
          <w:sz w:val="24"/>
        </w:rPr>
        <w:t>（四）</w:t>
      </w:r>
      <w:r>
        <w:rPr>
          <w:bCs/>
          <w:sz w:val="24"/>
        </w:rPr>
        <w:t>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rFonts w:hint="eastAsia"/>
          <w:bCs/>
          <w:sz w:val="24"/>
        </w:rPr>
        <w:t>（五）</w:t>
      </w:r>
      <w:r>
        <w:rPr>
          <w:bCs/>
          <w:sz w:val="24"/>
        </w:rPr>
        <w:t>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pPr>
        <w:spacing w:line="360" w:lineRule="auto"/>
        <w:ind w:firstLine="480" w:firstLineChars="200"/>
        <w:rPr>
          <w:bCs/>
          <w:sz w:val="24"/>
        </w:rPr>
      </w:pPr>
      <w:r>
        <w:rPr>
          <w:rFonts w:hint="eastAsia"/>
          <w:bCs/>
          <w:sz w:val="24"/>
        </w:rPr>
        <w:t>（六）</w:t>
      </w:r>
      <w:r>
        <w:rPr>
          <w:bCs/>
          <w:sz w:val="24"/>
        </w:rPr>
        <w:t>基金财产清算的公告</w:t>
      </w:r>
    </w:p>
    <w:p>
      <w:pPr>
        <w:spacing w:line="360" w:lineRule="auto"/>
        <w:ind w:firstLine="480" w:firstLineChars="200"/>
        <w:rPr>
          <w:bCs/>
          <w:sz w:val="24"/>
        </w:rPr>
      </w:pPr>
      <w:r>
        <w:rPr>
          <w:rFonts w:hint="eastAsia"/>
          <w:bCs/>
          <w:sz w:val="24"/>
        </w:rPr>
        <w:t>清算过程中的有关重大事项须及时公告；</w:t>
      </w:r>
      <w:bookmarkStart w:id="502" w:name="_GoBack"/>
      <w:bookmarkEnd w:id="502"/>
      <w:r>
        <w:rPr>
          <w:rFonts w:hint="eastAsia"/>
          <w:bCs/>
          <w:sz w:val="24"/>
        </w:rPr>
        <w:t>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bCs/>
          <w:sz w:val="24"/>
        </w:rPr>
      </w:pPr>
      <w:r>
        <w:rPr>
          <w:rFonts w:hint="eastAsia"/>
          <w:bCs/>
          <w:sz w:val="24"/>
        </w:rPr>
        <w:t>（七）</w:t>
      </w:r>
      <w:r>
        <w:rPr>
          <w:bCs/>
          <w:sz w:val="24"/>
        </w:rPr>
        <w:t>基金财产清算账册及文件的保存</w:t>
      </w:r>
    </w:p>
    <w:p>
      <w:pPr>
        <w:autoSpaceDE w:val="0"/>
        <w:autoSpaceDN w:val="0"/>
        <w:adjustRightInd w:val="0"/>
        <w:spacing w:line="360" w:lineRule="auto"/>
        <w:ind w:firstLine="480" w:firstLineChars="200"/>
        <w:jc w:val="left"/>
        <w:rPr>
          <w:bCs/>
          <w:sz w:val="24"/>
        </w:rPr>
      </w:pPr>
      <w:r>
        <w:rPr>
          <w:bCs/>
          <w:sz w:val="24"/>
        </w:rPr>
        <w:t>基金财产清算账册及有关文件由基金托管人保存</w:t>
      </w:r>
      <w:r>
        <w:rPr>
          <w:rFonts w:hint="eastAsia"/>
          <w:bCs/>
          <w:sz w:val="24"/>
        </w:rPr>
        <w:t>，保存期限不少于法律法规规定的最低期限</w:t>
      </w:r>
      <w:r>
        <w:rPr>
          <w:bCs/>
          <w:sz w:val="24"/>
        </w:rPr>
        <w:t>。</w:t>
      </w:r>
    </w:p>
    <w:p>
      <w:pPr>
        <w:autoSpaceDE w:val="0"/>
        <w:autoSpaceDN w:val="0"/>
        <w:adjustRightInd w:val="0"/>
        <w:spacing w:line="360" w:lineRule="auto"/>
        <w:ind w:firstLine="480" w:firstLineChars="200"/>
        <w:jc w:val="left"/>
        <w:rPr>
          <w:rFonts w:ascii="Arial Unicode MS" w:hAnsi="Arial Unicode MS"/>
          <w:bCs/>
          <w:sz w:val="24"/>
          <w:szCs w:val="24"/>
        </w:rPr>
      </w:pPr>
      <w:r>
        <w:rPr>
          <w:rFonts w:hint="eastAsia" w:ascii="Arial Unicode MS" w:hAnsi="Arial Unicode MS"/>
          <w:bCs/>
          <w:sz w:val="24"/>
          <w:szCs w:val="24"/>
        </w:rPr>
        <w:t>八、争议的处理和适用的法律</w:t>
      </w:r>
    </w:p>
    <w:p>
      <w:pPr>
        <w:spacing w:line="360" w:lineRule="auto"/>
        <w:ind w:firstLine="480" w:firstLineChars="200"/>
        <w:rPr>
          <w:bCs/>
          <w:sz w:val="24"/>
        </w:rPr>
      </w:pPr>
      <w:r>
        <w:rPr>
          <w:rFonts w:hint="eastAsia"/>
          <w:bCs/>
          <w:sz w:val="24"/>
        </w:rPr>
        <w:t>对于因基金合同的订立、内容、履行和解释或与基金合同有关的争议，基金合同当事人应尽量通过协商、调解途径解决。不愿或者不能通过协商、调解解决的，应将争议提交深圳国际仲裁院（深圳仲裁委员会），按照深圳国际仲裁院（深圳仲裁委员会）届时有效的仲裁规则进行仲裁。仲裁地点为深圳市。仲裁裁决是终局的，对各方当事人均有约束力。除裁决另有规定的，仲裁费用、律师费用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rFonts w:hint="eastAsia"/>
          <w:bCs/>
          <w:sz w:val="24"/>
        </w:rPr>
        <w:t>本基金合同受中国法律（为本基金合同之目的，不含港澳台立法）管辖并从其解释。</w:t>
      </w:r>
    </w:p>
    <w:p>
      <w:pPr>
        <w:spacing w:line="360" w:lineRule="auto"/>
        <w:ind w:firstLine="480" w:firstLineChars="200"/>
        <w:rPr>
          <w:bCs/>
          <w:sz w:val="24"/>
        </w:rPr>
      </w:pPr>
      <w:r>
        <w:rPr>
          <w:rFonts w:hint="eastAsia"/>
          <w:bCs/>
          <w:sz w:val="24"/>
        </w:rPr>
        <w:t>九、基金合同存放地和投资人取得基金合同的方式</w:t>
      </w:r>
    </w:p>
    <w:p>
      <w:pPr>
        <w:widowControl/>
        <w:spacing w:before="0" w:beforeAutospacing="0" w:after="0" w:afterAutospacing="0" w:line="360" w:lineRule="auto"/>
        <w:ind w:firstLine="480" w:firstLineChars="200"/>
        <w:jc w:val="left"/>
        <w:rPr>
          <w:rFonts w:ascii="宋体" w:hAnsi="宋体"/>
          <w:bCs/>
          <w:kern w:val="0"/>
          <w:sz w:val="24"/>
          <w:szCs w:val="24"/>
        </w:rPr>
      </w:pPr>
      <w:r>
        <w:rPr>
          <w:rFonts w:hint="eastAsia"/>
          <w:bCs/>
          <w:sz w:val="24"/>
        </w:rPr>
        <w:t>《基金合同》可印制成册，供投资者在基金管理人、基金托管人、销售机构的办公场所和营业场所查阅。</w:t>
      </w:r>
    </w:p>
    <w:sectPr>
      <w:footerReference r:id="rId3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7-</w:t>
    </w:r>
    <w:r>
      <w:fldChar w:fldCharType="begin"/>
    </w:r>
    <w:r>
      <w:instrText xml:space="preserve">PAGE   \* MERGEFORMAT</w:instrText>
    </w:r>
    <w:r>
      <w:fldChar w:fldCharType="separate"/>
    </w:r>
    <w:r>
      <w:rPr>
        <w:lang w:val="zh-CN"/>
      </w:rPr>
      <w:t>7</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8-</w:t>
    </w:r>
    <w:r>
      <w:fldChar w:fldCharType="begin"/>
    </w:r>
    <w:r>
      <w:instrText xml:space="preserve">PAGE   \* MERGEFORMAT</w:instrText>
    </w:r>
    <w:r>
      <w:fldChar w:fldCharType="separate"/>
    </w:r>
    <w:r>
      <w:rPr>
        <w:lang w:val="zh-CN"/>
      </w:rPr>
      <w:t>7</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9-</w:t>
    </w:r>
    <w:r>
      <w:fldChar w:fldCharType="begin"/>
    </w:r>
    <w:r>
      <w:instrText xml:space="preserve">PAGE   \* MERGEFORMAT</w:instrText>
    </w:r>
    <w:r>
      <w:fldChar w:fldCharType="separate"/>
    </w:r>
    <w:r>
      <w:rPr>
        <w:lang w:val="zh-CN"/>
      </w:rPr>
      <w:t>3</w:t>
    </w:r>
    <w:r>
      <w:rPr>
        <w:lang w:val="zh-C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10-</w:t>
    </w:r>
    <w:r>
      <w:fldChar w:fldCharType="begin"/>
    </w:r>
    <w:r>
      <w:instrText xml:space="preserve">PAGE   \* MERGEFORMAT</w:instrText>
    </w:r>
    <w:r>
      <w:fldChar w:fldCharType="separate"/>
    </w:r>
    <w:r>
      <w:rPr>
        <w:lang w:val="zh-CN"/>
      </w:rPr>
      <w:t>1</w:t>
    </w:r>
    <w:r>
      <w:rPr>
        <w:lang w:val="zh-C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11-</w:t>
    </w:r>
    <w:r>
      <w:fldChar w:fldCharType="begin"/>
    </w:r>
    <w:r>
      <w:instrText xml:space="preserve">PAGE   \* MERGEFORMAT</w:instrText>
    </w:r>
    <w:r>
      <w:fldChar w:fldCharType="separate"/>
    </w:r>
    <w:r>
      <w:rPr>
        <w:lang w:val="zh-CN"/>
      </w:rPr>
      <w:t>2</w:t>
    </w:r>
    <w:r>
      <w:rPr>
        <w:lang w:val="zh-C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12-</w:t>
    </w:r>
    <w:r>
      <w:fldChar w:fldCharType="begin"/>
    </w:r>
    <w:r>
      <w:instrText xml:space="preserve">PAGE   \* MERGEFORMAT</w:instrText>
    </w:r>
    <w:r>
      <w:fldChar w:fldCharType="separate"/>
    </w:r>
    <w:r>
      <w:rPr>
        <w:lang w:val="zh-CN"/>
      </w:rPr>
      <w:t>7</w:t>
    </w:r>
    <w:r>
      <w:rPr>
        <w:lang w:val="zh-C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13-</w:t>
    </w:r>
    <w:r>
      <w:fldChar w:fldCharType="begin"/>
    </w:r>
    <w:r>
      <w:instrText xml:space="preserve">PAGE   \* MERGEFORMAT</w:instrText>
    </w:r>
    <w:r>
      <w:fldChar w:fldCharType="separate"/>
    </w:r>
    <w:r>
      <w:rPr>
        <w:lang w:val="zh-CN"/>
      </w:rPr>
      <w:t>1</w:t>
    </w:r>
    <w:r>
      <w:rPr>
        <w:lang w:val="zh-C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14-</w:t>
    </w:r>
    <w:r>
      <w:fldChar w:fldCharType="begin"/>
    </w:r>
    <w:r>
      <w:instrText xml:space="preserve">PAGE   \* MERGEFORMAT</w:instrText>
    </w:r>
    <w:r>
      <w:fldChar w:fldCharType="separate"/>
    </w:r>
    <w:r>
      <w:rPr>
        <w:lang w:val="zh-CN"/>
      </w:rPr>
      <w:t>6</w:t>
    </w:r>
    <w:r>
      <w:rPr>
        <w:lang w:val="zh-C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15-</w:t>
    </w:r>
    <w:r>
      <w:fldChar w:fldCharType="begin"/>
    </w:r>
    <w:r>
      <w:instrText xml:space="preserve">PAGE   \* MERGEFORMAT</w:instrText>
    </w:r>
    <w:r>
      <w:fldChar w:fldCharType="separate"/>
    </w:r>
    <w:r>
      <w:rPr>
        <w:lang w:val="zh-CN"/>
      </w:rPr>
      <w:t>3</w:t>
    </w:r>
    <w:r>
      <w:rPr>
        <w:lang w:val="zh-C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16-</w:t>
    </w: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17-</w:t>
    </w:r>
    <w:r>
      <w:fldChar w:fldCharType="begin"/>
    </w:r>
    <w:r>
      <w:instrText xml:space="preserve">PAGE   \* MERGEFORMAT</w:instrText>
    </w:r>
    <w:r>
      <w:fldChar w:fldCharType="separate"/>
    </w:r>
    <w:r>
      <w:rPr>
        <w:lang w:val="zh-CN"/>
      </w:rPr>
      <w:t>1</w:t>
    </w:r>
    <w:r>
      <w:rPr>
        <w:lang w:val="zh-CN"/>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18-</w:t>
    </w:r>
    <w:r>
      <w:fldChar w:fldCharType="begin"/>
    </w:r>
    <w:r>
      <w:instrText xml:space="preserve">PAGE   \* MERGEFORMAT</w:instrText>
    </w:r>
    <w:r>
      <w:fldChar w:fldCharType="separate"/>
    </w:r>
    <w:r>
      <w:rPr>
        <w:lang w:val="zh-CN"/>
      </w:rPr>
      <w:t>7</w:t>
    </w:r>
    <w:r>
      <w:rPr>
        <w:lang w:val="zh-CN"/>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19-</w:t>
    </w:r>
    <w:r>
      <w:fldChar w:fldCharType="begin"/>
    </w:r>
    <w:r>
      <w:instrText xml:space="preserve">PAGE   \* MERGEFORMAT</w:instrText>
    </w:r>
    <w:r>
      <w:fldChar w:fldCharType="separate"/>
    </w:r>
    <w:r>
      <w:rPr>
        <w:lang w:val="zh-CN"/>
      </w:rPr>
      <w:t>2</w:t>
    </w:r>
    <w:r>
      <w:rPr>
        <w:lang w:val="zh-CN"/>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20-</w:t>
    </w:r>
    <w:r>
      <w:fldChar w:fldCharType="begin"/>
    </w:r>
    <w:r>
      <w:instrText xml:space="preserve">PAGE   \* MERGEFORMAT</w:instrText>
    </w:r>
    <w:r>
      <w:fldChar w:fldCharType="separate"/>
    </w:r>
    <w:r>
      <w:rPr>
        <w:lang w:val="zh-CN"/>
      </w:rPr>
      <w:t>1</w:t>
    </w:r>
    <w:r>
      <w:rPr>
        <w:lang w:val="zh-CN"/>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21-</w:t>
    </w:r>
    <w:r>
      <w:fldChar w:fldCharType="begin"/>
    </w:r>
    <w:r>
      <w:instrText xml:space="preserve">PAGE   \* MERGEFORMAT</w:instrText>
    </w:r>
    <w:r>
      <w:fldChar w:fldCharType="separate"/>
    </w:r>
    <w:r>
      <w:rPr>
        <w:lang w:val="zh-CN"/>
      </w:rPr>
      <w:t>1</w:t>
    </w:r>
    <w:r>
      <w:rPr>
        <w:lang w:val="zh-CN"/>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22-</w:t>
    </w:r>
    <w:r>
      <w:fldChar w:fldCharType="begin"/>
    </w:r>
    <w:r>
      <w:instrText xml:space="preserve">PAGE   \* MERGEFORMAT</w:instrText>
    </w:r>
    <w:r>
      <w:fldChar w:fldCharType="separate"/>
    </w:r>
    <w:r>
      <w:rPr>
        <w:lang w:val="zh-CN"/>
      </w:rPr>
      <w:t>1</w:t>
    </w:r>
    <w:r>
      <w:rPr>
        <w:lang w:val="zh-CN"/>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23-</w:t>
    </w:r>
    <w:r>
      <w:fldChar w:fldCharType="begin"/>
    </w:r>
    <w:r>
      <w:instrText xml:space="preserve">PAGE   \* MERGEFORMAT</w:instrText>
    </w:r>
    <w:r>
      <w:fldChar w:fldCharType="separate"/>
    </w:r>
    <w:r>
      <w:rPr>
        <w:lang w:val="zh-CN"/>
      </w:rPr>
      <w:t>1</w:t>
    </w:r>
    <w:r>
      <w:rPr>
        <w:lang w:val="zh-CN"/>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w:t>
    </w:r>
    <w:r>
      <w:fldChar w:fldCharType="begin"/>
    </w:r>
    <w:r>
      <w:instrText xml:space="preserve">PAGE   \* MERGEFORMAT</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w:t>
    </w:r>
    <w:r>
      <w:fldChar w:fldCharType="begin"/>
    </w:r>
    <w:r>
      <w:instrText xml:space="preserve">PAGE   \* MERGEFORMAT</w:instrText>
    </w:r>
    <w:r>
      <w:fldChar w:fldCharType="separate"/>
    </w:r>
    <w:r>
      <w:rPr>
        <w:lang w:val="zh-CN"/>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3-</w:t>
    </w:r>
    <w:r>
      <w:fldChar w:fldCharType="begin"/>
    </w:r>
    <w:r>
      <w:instrText xml:space="preserve">PAGE   \* MERGEFORMAT</w:instrText>
    </w:r>
    <w:r>
      <w:fldChar w:fldCharType="separate"/>
    </w:r>
    <w:r>
      <w:rPr>
        <w:lang w:val="zh-CN"/>
      </w:rPr>
      <w:t>2</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4</w:t>
    </w:r>
    <w:r>
      <w:rPr>
        <w:rFonts w:hint="eastAsia"/>
      </w:rPr>
      <w:t>-</w:t>
    </w:r>
    <w:r>
      <w:fldChar w:fldCharType="begin"/>
    </w:r>
    <w:r>
      <w:instrText xml:space="preserve">PAGE   \* MERGEFORMAT</w:instrText>
    </w:r>
    <w:r>
      <w:fldChar w:fldCharType="separate"/>
    </w:r>
    <w:r>
      <w:rPr>
        <w:lang w:val="zh-CN"/>
      </w:rPr>
      <w:t>2</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5</w:t>
    </w:r>
    <w:r>
      <w:rPr>
        <w:rFonts w:hint="eastAsia"/>
      </w:rPr>
      <w:t>-</w:t>
    </w:r>
    <w:r>
      <w:fldChar w:fldCharType="begin"/>
    </w:r>
    <w:r>
      <w:instrText xml:space="preserve">PAGE   \* MERGEFORMAT</w:instrText>
    </w:r>
    <w:r>
      <w:fldChar w:fldCharType="separate"/>
    </w:r>
    <w:r>
      <w:rPr>
        <w:lang w:val="zh-CN"/>
      </w:rPr>
      <w:t>1</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6-</w:t>
    </w:r>
    <w:r>
      <w:fldChar w:fldCharType="begin"/>
    </w:r>
    <w:r>
      <w:instrText xml:space="preserve">PAGE   \* MERGEFORMAT</w:instrText>
    </w:r>
    <w:r>
      <w:fldChar w:fldCharType="separate"/>
    </w:r>
    <w:r>
      <w:rPr>
        <w:lang w:val="zh-CN"/>
      </w:rPr>
      <w:t>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8280"/>
      </w:tabs>
      <w:adjustRightIn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jc w:val="right"/>
    </w:pPr>
    <w:r>
      <w:rPr>
        <w:rFonts w:hint="eastAsia"/>
      </w:rPr>
      <w:t>博时季季兴9</w:t>
    </w:r>
    <w:r>
      <w:t>0</w:t>
    </w:r>
    <w:r>
      <w:rPr>
        <w:rFonts w:hint="eastAsia"/>
      </w:rPr>
      <w:t>天滚动持有债券型证券投资基金基金合同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0"/>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N2NlYzNkOGFiZDg2ZDQyNDgyMjAyMTRlZjJjYzQifQ=="/>
  </w:docVars>
  <w:rsids>
    <w:rsidRoot w:val="00172A27"/>
    <w:rsid w:val="00000D07"/>
    <w:rsid w:val="000013D1"/>
    <w:rsid w:val="00003628"/>
    <w:rsid w:val="00004666"/>
    <w:rsid w:val="00004D3B"/>
    <w:rsid w:val="000057F9"/>
    <w:rsid w:val="0000580D"/>
    <w:rsid w:val="0000598C"/>
    <w:rsid w:val="000075B6"/>
    <w:rsid w:val="00010C0E"/>
    <w:rsid w:val="00011CF6"/>
    <w:rsid w:val="000120BD"/>
    <w:rsid w:val="0001295D"/>
    <w:rsid w:val="00012D77"/>
    <w:rsid w:val="0001372E"/>
    <w:rsid w:val="00013949"/>
    <w:rsid w:val="00014554"/>
    <w:rsid w:val="0001483F"/>
    <w:rsid w:val="00014D77"/>
    <w:rsid w:val="000158A2"/>
    <w:rsid w:val="000170DA"/>
    <w:rsid w:val="00017962"/>
    <w:rsid w:val="00017D0E"/>
    <w:rsid w:val="0002128C"/>
    <w:rsid w:val="00021569"/>
    <w:rsid w:val="00021748"/>
    <w:rsid w:val="0002192B"/>
    <w:rsid w:val="00023683"/>
    <w:rsid w:val="000240DC"/>
    <w:rsid w:val="00026563"/>
    <w:rsid w:val="0002703F"/>
    <w:rsid w:val="00027447"/>
    <w:rsid w:val="00027584"/>
    <w:rsid w:val="00027606"/>
    <w:rsid w:val="0003013E"/>
    <w:rsid w:val="0003041E"/>
    <w:rsid w:val="000305F0"/>
    <w:rsid w:val="000312E6"/>
    <w:rsid w:val="00031DC4"/>
    <w:rsid w:val="0003342A"/>
    <w:rsid w:val="000342C1"/>
    <w:rsid w:val="00034937"/>
    <w:rsid w:val="00034E0D"/>
    <w:rsid w:val="00035031"/>
    <w:rsid w:val="00035558"/>
    <w:rsid w:val="000361D8"/>
    <w:rsid w:val="00036EF7"/>
    <w:rsid w:val="00037331"/>
    <w:rsid w:val="00040050"/>
    <w:rsid w:val="00040209"/>
    <w:rsid w:val="000404B5"/>
    <w:rsid w:val="000408EB"/>
    <w:rsid w:val="00040C18"/>
    <w:rsid w:val="0004130B"/>
    <w:rsid w:val="0004149E"/>
    <w:rsid w:val="00041C58"/>
    <w:rsid w:val="00044F91"/>
    <w:rsid w:val="00045213"/>
    <w:rsid w:val="000453D4"/>
    <w:rsid w:val="000459CD"/>
    <w:rsid w:val="00045A13"/>
    <w:rsid w:val="00047A11"/>
    <w:rsid w:val="00050C64"/>
    <w:rsid w:val="00051039"/>
    <w:rsid w:val="00052885"/>
    <w:rsid w:val="00052BD8"/>
    <w:rsid w:val="0005483E"/>
    <w:rsid w:val="000563C1"/>
    <w:rsid w:val="00057524"/>
    <w:rsid w:val="00057D07"/>
    <w:rsid w:val="00060961"/>
    <w:rsid w:val="00060F51"/>
    <w:rsid w:val="00061689"/>
    <w:rsid w:val="00061912"/>
    <w:rsid w:val="00061932"/>
    <w:rsid w:val="0006305C"/>
    <w:rsid w:val="00063265"/>
    <w:rsid w:val="000633C6"/>
    <w:rsid w:val="00063C15"/>
    <w:rsid w:val="00064C0D"/>
    <w:rsid w:val="00064DC4"/>
    <w:rsid w:val="00066D8C"/>
    <w:rsid w:val="0007009E"/>
    <w:rsid w:val="000701E0"/>
    <w:rsid w:val="000702EA"/>
    <w:rsid w:val="00070626"/>
    <w:rsid w:val="0007246E"/>
    <w:rsid w:val="00074079"/>
    <w:rsid w:val="000749B7"/>
    <w:rsid w:val="000751FF"/>
    <w:rsid w:val="00075DD8"/>
    <w:rsid w:val="000764DE"/>
    <w:rsid w:val="00076ECE"/>
    <w:rsid w:val="00077607"/>
    <w:rsid w:val="00077861"/>
    <w:rsid w:val="000779AE"/>
    <w:rsid w:val="000809F8"/>
    <w:rsid w:val="00080E5C"/>
    <w:rsid w:val="000823C1"/>
    <w:rsid w:val="0008261C"/>
    <w:rsid w:val="00083313"/>
    <w:rsid w:val="00083BD9"/>
    <w:rsid w:val="00083ED5"/>
    <w:rsid w:val="000845C8"/>
    <w:rsid w:val="00085778"/>
    <w:rsid w:val="00086374"/>
    <w:rsid w:val="0008767F"/>
    <w:rsid w:val="00087FF4"/>
    <w:rsid w:val="00090490"/>
    <w:rsid w:val="00090E1D"/>
    <w:rsid w:val="0009183A"/>
    <w:rsid w:val="0009380A"/>
    <w:rsid w:val="00093C28"/>
    <w:rsid w:val="000941D5"/>
    <w:rsid w:val="0009434A"/>
    <w:rsid w:val="000949B0"/>
    <w:rsid w:val="00096265"/>
    <w:rsid w:val="00096A32"/>
    <w:rsid w:val="000A066D"/>
    <w:rsid w:val="000A143A"/>
    <w:rsid w:val="000A14A0"/>
    <w:rsid w:val="000A3B69"/>
    <w:rsid w:val="000A47B5"/>
    <w:rsid w:val="000A4B79"/>
    <w:rsid w:val="000A50B3"/>
    <w:rsid w:val="000A5799"/>
    <w:rsid w:val="000A5D1D"/>
    <w:rsid w:val="000A68B5"/>
    <w:rsid w:val="000A76D3"/>
    <w:rsid w:val="000B0221"/>
    <w:rsid w:val="000B2BEC"/>
    <w:rsid w:val="000B38BA"/>
    <w:rsid w:val="000B3D4A"/>
    <w:rsid w:val="000B4326"/>
    <w:rsid w:val="000B5085"/>
    <w:rsid w:val="000B6BF5"/>
    <w:rsid w:val="000B794A"/>
    <w:rsid w:val="000C0197"/>
    <w:rsid w:val="000C0A22"/>
    <w:rsid w:val="000C1CC5"/>
    <w:rsid w:val="000C2790"/>
    <w:rsid w:val="000C299B"/>
    <w:rsid w:val="000C2C1D"/>
    <w:rsid w:val="000C52F2"/>
    <w:rsid w:val="000C57C0"/>
    <w:rsid w:val="000C76ED"/>
    <w:rsid w:val="000D0CEE"/>
    <w:rsid w:val="000D2967"/>
    <w:rsid w:val="000D3257"/>
    <w:rsid w:val="000D3D5D"/>
    <w:rsid w:val="000D3E2B"/>
    <w:rsid w:val="000D3F9F"/>
    <w:rsid w:val="000D4276"/>
    <w:rsid w:val="000D4C8B"/>
    <w:rsid w:val="000D4DD8"/>
    <w:rsid w:val="000D50C6"/>
    <w:rsid w:val="000D67B5"/>
    <w:rsid w:val="000E01E1"/>
    <w:rsid w:val="000E093D"/>
    <w:rsid w:val="000E0B45"/>
    <w:rsid w:val="000E1C0D"/>
    <w:rsid w:val="000E68EC"/>
    <w:rsid w:val="000E7522"/>
    <w:rsid w:val="000E79CA"/>
    <w:rsid w:val="000F06DA"/>
    <w:rsid w:val="000F0962"/>
    <w:rsid w:val="000F17A6"/>
    <w:rsid w:val="000F1C19"/>
    <w:rsid w:val="000F2ADD"/>
    <w:rsid w:val="000F2CFA"/>
    <w:rsid w:val="000F302F"/>
    <w:rsid w:val="000F335E"/>
    <w:rsid w:val="000F3692"/>
    <w:rsid w:val="000F3D1E"/>
    <w:rsid w:val="000F4843"/>
    <w:rsid w:val="000F5148"/>
    <w:rsid w:val="000F53A2"/>
    <w:rsid w:val="000F58A8"/>
    <w:rsid w:val="000F6990"/>
    <w:rsid w:val="001037AB"/>
    <w:rsid w:val="00103C1F"/>
    <w:rsid w:val="0010425D"/>
    <w:rsid w:val="00104ADF"/>
    <w:rsid w:val="00104F3A"/>
    <w:rsid w:val="00106431"/>
    <w:rsid w:val="00106432"/>
    <w:rsid w:val="00106C67"/>
    <w:rsid w:val="00106E38"/>
    <w:rsid w:val="00107047"/>
    <w:rsid w:val="00107260"/>
    <w:rsid w:val="001075A8"/>
    <w:rsid w:val="00107A4D"/>
    <w:rsid w:val="00110143"/>
    <w:rsid w:val="0011062F"/>
    <w:rsid w:val="001115BA"/>
    <w:rsid w:val="00112ECB"/>
    <w:rsid w:val="00113151"/>
    <w:rsid w:val="00114570"/>
    <w:rsid w:val="001145CD"/>
    <w:rsid w:val="0011651F"/>
    <w:rsid w:val="00120006"/>
    <w:rsid w:val="00121A6F"/>
    <w:rsid w:val="00121AA9"/>
    <w:rsid w:val="00122DAC"/>
    <w:rsid w:val="00123B1C"/>
    <w:rsid w:val="0012470F"/>
    <w:rsid w:val="00124D2E"/>
    <w:rsid w:val="001253DB"/>
    <w:rsid w:val="00126807"/>
    <w:rsid w:val="00126D35"/>
    <w:rsid w:val="0013147F"/>
    <w:rsid w:val="00132B48"/>
    <w:rsid w:val="00133E9E"/>
    <w:rsid w:val="00133FE8"/>
    <w:rsid w:val="00134068"/>
    <w:rsid w:val="00134879"/>
    <w:rsid w:val="00135D36"/>
    <w:rsid w:val="00136069"/>
    <w:rsid w:val="0014007C"/>
    <w:rsid w:val="00140339"/>
    <w:rsid w:val="00140FF7"/>
    <w:rsid w:val="00142183"/>
    <w:rsid w:val="00145226"/>
    <w:rsid w:val="00145A47"/>
    <w:rsid w:val="00146F93"/>
    <w:rsid w:val="00150AE2"/>
    <w:rsid w:val="00151120"/>
    <w:rsid w:val="00151524"/>
    <w:rsid w:val="00152866"/>
    <w:rsid w:val="00152ACB"/>
    <w:rsid w:val="0015314B"/>
    <w:rsid w:val="00153ED6"/>
    <w:rsid w:val="00153F2D"/>
    <w:rsid w:val="00153FDD"/>
    <w:rsid w:val="00154E93"/>
    <w:rsid w:val="0015718E"/>
    <w:rsid w:val="00157ABF"/>
    <w:rsid w:val="00160282"/>
    <w:rsid w:val="00161D09"/>
    <w:rsid w:val="001637DE"/>
    <w:rsid w:val="00163BF3"/>
    <w:rsid w:val="00164B15"/>
    <w:rsid w:val="00164FAE"/>
    <w:rsid w:val="00164FBB"/>
    <w:rsid w:val="00165186"/>
    <w:rsid w:val="00165E73"/>
    <w:rsid w:val="0016614E"/>
    <w:rsid w:val="001670F2"/>
    <w:rsid w:val="00171989"/>
    <w:rsid w:val="001719DE"/>
    <w:rsid w:val="00172A27"/>
    <w:rsid w:val="001732D8"/>
    <w:rsid w:val="00173D55"/>
    <w:rsid w:val="001745B3"/>
    <w:rsid w:val="00174BD5"/>
    <w:rsid w:val="00174EF2"/>
    <w:rsid w:val="00174F95"/>
    <w:rsid w:val="0017658C"/>
    <w:rsid w:val="00177DE6"/>
    <w:rsid w:val="001811CE"/>
    <w:rsid w:val="001820B1"/>
    <w:rsid w:val="001820BD"/>
    <w:rsid w:val="00182840"/>
    <w:rsid w:val="001832B8"/>
    <w:rsid w:val="0018383D"/>
    <w:rsid w:val="00183AD8"/>
    <w:rsid w:val="0018420C"/>
    <w:rsid w:val="00185A01"/>
    <w:rsid w:val="00186296"/>
    <w:rsid w:val="001869BD"/>
    <w:rsid w:val="0019118A"/>
    <w:rsid w:val="00191520"/>
    <w:rsid w:val="00191E76"/>
    <w:rsid w:val="0019265D"/>
    <w:rsid w:val="0019361C"/>
    <w:rsid w:val="00194B3B"/>
    <w:rsid w:val="00194C96"/>
    <w:rsid w:val="00194D83"/>
    <w:rsid w:val="001950F0"/>
    <w:rsid w:val="00195A01"/>
    <w:rsid w:val="00195CB4"/>
    <w:rsid w:val="001968BA"/>
    <w:rsid w:val="00197458"/>
    <w:rsid w:val="001A0732"/>
    <w:rsid w:val="001A110E"/>
    <w:rsid w:val="001A1350"/>
    <w:rsid w:val="001A1506"/>
    <w:rsid w:val="001A1566"/>
    <w:rsid w:val="001A1FE9"/>
    <w:rsid w:val="001A26E2"/>
    <w:rsid w:val="001A2F27"/>
    <w:rsid w:val="001A3EE2"/>
    <w:rsid w:val="001A4138"/>
    <w:rsid w:val="001A5A7B"/>
    <w:rsid w:val="001A5F96"/>
    <w:rsid w:val="001A6D9F"/>
    <w:rsid w:val="001A72BC"/>
    <w:rsid w:val="001B0DA8"/>
    <w:rsid w:val="001B0F24"/>
    <w:rsid w:val="001B0F97"/>
    <w:rsid w:val="001B16F8"/>
    <w:rsid w:val="001B21D4"/>
    <w:rsid w:val="001B2367"/>
    <w:rsid w:val="001B2501"/>
    <w:rsid w:val="001B2FD0"/>
    <w:rsid w:val="001B37D6"/>
    <w:rsid w:val="001B44F0"/>
    <w:rsid w:val="001B4FA7"/>
    <w:rsid w:val="001B505D"/>
    <w:rsid w:val="001B5364"/>
    <w:rsid w:val="001B58E8"/>
    <w:rsid w:val="001B5EEC"/>
    <w:rsid w:val="001B672F"/>
    <w:rsid w:val="001B6DA3"/>
    <w:rsid w:val="001B7A83"/>
    <w:rsid w:val="001B7F49"/>
    <w:rsid w:val="001C13E7"/>
    <w:rsid w:val="001C2D47"/>
    <w:rsid w:val="001C2DFA"/>
    <w:rsid w:val="001C33C1"/>
    <w:rsid w:val="001C3F9C"/>
    <w:rsid w:val="001C4092"/>
    <w:rsid w:val="001C4622"/>
    <w:rsid w:val="001C49DA"/>
    <w:rsid w:val="001C4B17"/>
    <w:rsid w:val="001C6BAD"/>
    <w:rsid w:val="001C7181"/>
    <w:rsid w:val="001C72FF"/>
    <w:rsid w:val="001C7888"/>
    <w:rsid w:val="001D0DE8"/>
    <w:rsid w:val="001D2180"/>
    <w:rsid w:val="001D25FF"/>
    <w:rsid w:val="001D2DC6"/>
    <w:rsid w:val="001D4181"/>
    <w:rsid w:val="001D4A3C"/>
    <w:rsid w:val="001D58FB"/>
    <w:rsid w:val="001D635A"/>
    <w:rsid w:val="001D689D"/>
    <w:rsid w:val="001D722D"/>
    <w:rsid w:val="001D7522"/>
    <w:rsid w:val="001D7D0B"/>
    <w:rsid w:val="001E057A"/>
    <w:rsid w:val="001E0F0F"/>
    <w:rsid w:val="001E126E"/>
    <w:rsid w:val="001E1772"/>
    <w:rsid w:val="001E289F"/>
    <w:rsid w:val="001E3308"/>
    <w:rsid w:val="001E4257"/>
    <w:rsid w:val="001E49A3"/>
    <w:rsid w:val="001E4FE7"/>
    <w:rsid w:val="001E5019"/>
    <w:rsid w:val="001E6228"/>
    <w:rsid w:val="001E76C3"/>
    <w:rsid w:val="001F10C8"/>
    <w:rsid w:val="001F15BB"/>
    <w:rsid w:val="001F1ABB"/>
    <w:rsid w:val="001F2938"/>
    <w:rsid w:val="001F2D96"/>
    <w:rsid w:val="001F5699"/>
    <w:rsid w:val="001F6047"/>
    <w:rsid w:val="001F669F"/>
    <w:rsid w:val="001F7211"/>
    <w:rsid w:val="001F7465"/>
    <w:rsid w:val="00200040"/>
    <w:rsid w:val="00201960"/>
    <w:rsid w:val="00201DEC"/>
    <w:rsid w:val="002033CB"/>
    <w:rsid w:val="00203B0F"/>
    <w:rsid w:val="00203B5D"/>
    <w:rsid w:val="00204064"/>
    <w:rsid w:val="00204934"/>
    <w:rsid w:val="002049BE"/>
    <w:rsid w:val="00204FAF"/>
    <w:rsid w:val="00205406"/>
    <w:rsid w:val="00205A4E"/>
    <w:rsid w:val="00205B63"/>
    <w:rsid w:val="00205BCA"/>
    <w:rsid w:val="002062F6"/>
    <w:rsid w:val="002066CA"/>
    <w:rsid w:val="00207733"/>
    <w:rsid w:val="002107DF"/>
    <w:rsid w:val="002116FD"/>
    <w:rsid w:val="00213591"/>
    <w:rsid w:val="00213878"/>
    <w:rsid w:val="002139DD"/>
    <w:rsid w:val="00214B10"/>
    <w:rsid w:val="00221463"/>
    <w:rsid w:val="0022176A"/>
    <w:rsid w:val="00221B4E"/>
    <w:rsid w:val="00221C60"/>
    <w:rsid w:val="00221DFD"/>
    <w:rsid w:val="0022296A"/>
    <w:rsid w:val="00225A4D"/>
    <w:rsid w:val="00226300"/>
    <w:rsid w:val="00227042"/>
    <w:rsid w:val="002278D1"/>
    <w:rsid w:val="00227C95"/>
    <w:rsid w:val="00230D23"/>
    <w:rsid w:val="00230E66"/>
    <w:rsid w:val="002317F0"/>
    <w:rsid w:val="00231BF9"/>
    <w:rsid w:val="002339A2"/>
    <w:rsid w:val="002339BC"/>
    <w:rsid w:val="002341D8"/>
    <w:rsid w:val="002343D5"/>
    <w:rsid w:val="00235BE0"/>
    <w:rsid w:val="00237162"/>
    <w:rsid w:val="00237169"/>
    <w:rsid w:val="0024038A"/>
    <w:rsid w:val="00240BE6"/>
    <w:rsid w:val="0024228C"/>
    <w:rsid w:val="002429CE"/>
    <w:rsid w:val="00245303"/>
    <w:rsid w:val="0024552C"/>
    <w:rsid w:val="002463DA"/>
    <w:rsid w:val="00247657"/>
    <w:rsid w:val="00247B25"/>
    <w:rsid w:val="00247ECD"/>
    <w:rsid w:val="00250133"/>
    <w:rsid w:val="002506ED"/>
    <w:rsid w:val="002512A6"/>
    <w:rsid w:val="00251C2A"/>
    <w:rsid w:val="00252883"/>
    <w:rsid w:val="0025288B"/>
    <w:rsid w:val="00253687"/>
    <w:rsid w:val="00254102"/>
    <w:rsid w:val="0025546A"/>
    <w:rsid w:val="0025581D"/>
    <w:rsid w:val="00257147"/>
    <w:rsid w:val="00257730"/>
    <w:rsid w:val="00260BB4"/>
    <w:rsid w:val="002610B0"/>
    <w:rsid w:val="00262E5E"/>
    <w:rsid w:val="00263663"/>
    <w:rsid w:val="00263D78"/>
    <w:rsid w:val="0026516B"/>
    <w:rsid w:val="00266019"/>
    <w:rsid w:val="002708D2"/>
    <w:rsid w:val="0027108A"/>
    <w:rsid w:val="00271359"/>
    <w:rsid w:val="002724CD"/>
    <w:rsid w:val="002737E6"/>
    <w:rsid w:val="00273D08"/>
    <w:rsid w:val="00273EB4"/>
    <w:rsid w:val="002748DF"/>
    <w:rsid w:val="00274C40"/>
    <w:rsid w:val="00274CB4"/>
    <w:rsid w:val="00274CE2"/>
    <w:rsid w:val="00276B68"/>
    <w:rsid w:val="00277F6A"/>
    <w:rsid w:val="00281355"/>
    <w:rsid w:val="00284237"/>
    <w:rsid w:val="0028489D"/>
    <w:rsid w:val="002856A7"/>
    <w:rsid w:val="00285B3F"/>
    <w:rsid w:val="00286B15"/>
    <w:rsid w:val="00287528"/>
    <w:rsid w:val="00287CAA"/>
    <w:rsid w:val="00290042"/>
    <w:rsid w:val="002905DE"/>
    <w:rsid w:val="0029104F"/>
    <w:rsid w:val="00292E63"/>
    <w:rsid w:val="00293888"/>
    <w:rsid w:val="00293C86"/>
    <w:rsid w:val="00293D26"/>
    <w:rsid w:val="00295459"/>
    <w:rsid w:val="0029555E"/>
    <w:rsid w:val="00295A83"/>
    <w:rsid w:val="0029624F"/>
    <w:rsid w:val="00296467"/>
    <w:rsid w:val="00296C02"/>
    <w:rsid w:val="00296C32"/>
    <w:rsid w:val="00296CF2"/>
    <w:rsid w:val="00296FA2"/>
    <w:rsid w:val="002A0518"/>
    <w:rsid w:val="002A2030"/>
    <w:rsid w:val="002A24C3"/>
    <w:rsid w:val="002A24F4"/>
    <w:rsid w:val="002A451C"/>
    <w:rsid w:val="002A54AB"/>
    <w:rsid w:val="002A5C62"/>
    <w:rsid w:val="002A6493"/>
    <w:rsid w:val="002A712F"/>
    <w:rsid w:val="002A7F63"/>
    <w:rsid w:val="002B05BF"/>
    <w:rsid w:val="002B1B75"/>
    <w:rsid w:val="002B1BAB"/>
    <w:rsid w:val="002B2992"/>
    <w:rsid w:val="002B318A"/>
    <w:rsid w:val="002B446B"/>
    <w:rsid w:val="002B491F"/>
    <w:rsid w:val="002B497B"/>
    <w:rsid w:val="002B4FB0"/>
    <w:rsid w:val="002B5386"/>
    <w:rsid w:val="002B5F42"/>
    <w:rsid w:val="002B7088"/>
    <w:rsid w:val="002B76AF"/>
    <w:rsid w:val="002B7C23"/>
    <w:rsid w:val="002C030E"/>
    <w:rsid w:val="002C072F"/>
    <w:rsid w:val="002C2720"/>
    <w:rsid w:val="002C2F09"/>
    <w:rsid w:val="002C3328"/>
    <w:rsid w:val="002C3BAA"/>
    <w:rsid w:val="002C3FD9"/>
    <w:rsid w:val="002C50AF"/>
    <w:rsid w:val="002C5C69"/>
    <w:rsid w:val="002C6858"/>
    <w:rsid w:val="002D04C0"/>
    <w:rsid w:val="002D0687"/>
    <w:rsid w:val="002D0D71"/>
    <w:rsid w:val="002D0E9A"/>
    <w:rsid w:val="002D0EFC"/>
    <w:rsid w:val="002D0FB1"/>
    <w:rsid w:val="002D14EF"/>
    <w:rsid w:val="002D2958"/>
    <w:rsid w:val="002D38D4"/>
    <w:rsid w:val="002D5C09"/>
    <w:rsid w:val="002D6081"/>
    <w:rsid w:val="002D68D0"/>
    <w:rsid w:val="002D6BFC"/>
    <w:rsid w:val="002D7CD3"/>
    <w:rsid w:val="002E0A44"/>
    <w:rsid w:val="002E1F30"/>
    <w:rsid w:val="002E2761"/>
    <w:rsid w:val="002E3730"/>
    <w:rsid w:val="002E3782"/>
    <w:rsid w:val="002E3DDC"/>
    <w:rsid w:val="002E4BF8"/>
    <w:rsid w:val="002E568B"/>
    <w:rsid w:val="002E58ED"/>
    <w:rsid w:val="002E5E49"/>
    <w:rsid w:val="002E6AA8"/>
    <w:rsid w:val="002F158E"/>
    <w:rsid w:val="002F1838"/>
    <w:rsid w:val="002F3F24"/>
    <w:rsid w:val="002F53CD"/>
    <w:rsid w:val="00301E65"/>
    <w:rsid w:val="00302978"/>
    <w:rsid w:val="00302DB4"/>
    <w:rsid w:val="003043CB"/>
    <w:rsid w:val="00304AC8"/>
    <w:rsid w:val="00306534"/>
    <w:rsid w:val="00306786"/>
    <w:rsid w:val="00306BD3"/>
    <w:rsid w:val="003078FF"/>
    <w:rsid w:val="0031151E"/>
    <w:rsid w:val="0031168B"/>
    <w:rsid w:val="00311C3A"/>
    <w:rsid w:val="00313BEE"/>
    <w:rsid w:val="00313EE3"/>
    <w:rsid w:val="00314A41"/>
    <w:rsid w:val="00314A84"/>
    <w:rsid w:val="00314F82"/>
    <w:rsid w:val="003151A9"/>
    <w:rsid w:val="00315E66"/>
    <w:rsid w:val="003161F5"/>
    <w:rsid w:val="003173FD"/>
    <w:rsid w:val="003222EB"/>
    <w:rsid w:val="0032491E"/>
    <w:rsid w:val="00324B11"/>
    <w:rsid w:val="00324EB1"/>
    <w:rsid w:val="003251E4"/>
    <w:rsid w:val="00325AAB"/>
    <w:rsid w:val="00325AEE"/>
    <w:rsid w:val="00326E0E"/>
    <w:rsid w:val="00327A76"/>
    <w:rsid w:val="00327C32"/>
    <w:rsid w:val="00330678"/>
    <w:rsid w:val="0033102D"/>
    <w:rsid w:val="00331590"/>
    <w:rsid w:val="00332339"/>
    <w:rsid w:val="00335226"/>
    <w:rsid w:val="00336ED0"/>
    <w:rsid w:val="00341094"/>
    <w:rsid w:val="003410AC"/>
    <w:rsid w:val="00341A41"/>
    <w:rsid w:val="003439CF"/>
    <w:rsid w:val="00343D68"/>
    <w:rsid w:val="003441C8"/>
    <w:rsid w:val="00344377"/>
    <w:rsid w:val="0034511D"/>
    <w:rsid w:val="00345CAA"/>
    <w:rsid w:val="00345E0D"/>
    <w:rsid w:val="00345F45"/>
    <w:rsid w:val="0034616A"/>
    <w:rsid w:val="00346313"/>
    <w:rsid w:val="003468C8"/>
    <w:rsid w:val="00347923"/>
    <w:rsid w:val="00347C07"/>
    <w:rsid w:val="003506CB"/>
    <w:rsid w:val="00351573"/>
    <w:rsid w:val="00352DF6"/>
    <w:rsid w:val="00352FA9"/>
    <w:rsid w:val="003538EC"/>
    <w:rsid w:val="00354C9D"/>
    <w:rsid w:val="00356C45"/>
    <w:rsid w:val="00356E17"/>
    <w:rsid w:val="00357217"/>
    <w:rsid w:val="00361D39"/>
    <w:rsid w:val="00361E8A"/>
    <w:rsid w:val="00362C79"/>
    <w:rsid w:val="00363688"/>
    <w:rsid w:val="00363C4E"/>
    <w:rsid w:val="00363D8A"/>
    <w:rsid w:val="003644C5"/>
    <w:rsid w:val="003662D8"/>
    <w:rsid w:val="00366738"/>
    <w:rsid w:val="00367049"/>
    <w:rsid w:val="00370305"/>
    <w:rsid w:val="003703CC"/>
    <w:rsid w:val="003706A1"/>
    <w:rsid w:val="00370B20"/>
    <w:rsid w:val="00371CA7"/>
    <w:rsid w:val="00372507"/>
    <w:rsid w:val="003726DE"/>
    <w:rsid w:val="00372E03"/>
    <w:rsid w:val="003733F6"/>
    <w:rsid w:val="003736FA"/>
    <w:rsid w:val="00376703"/>
    <w:rsid w:val="00377BF1"/>
    <w:rsid w:val="00377F15"/>
    <w:rsid w:val="003811CB"/>
    <w:rsid w:val="0038168D"/>
    <w:rsid w:val="003823BC"/>
    <w:rsid w:val="0038242D"/>
    <w:rsid w:val="003831BB"/>
    <w:rsid w:val="00383646"/>
    <w:rsid w:val="00384054"/>
    <w:rsid w:val="00384884"/>
    <w:rsid w:val="00384DF6"/>
    <w:rsid w:val="003858EE"/>
    <w:rsid w:val="00385C03"/>
    <w:rsid w:val="00386051"/>
    <w:rsid w:val="003874C6"/>
    <w:rsid w:val="0039037C"/>
    <w:rsid w:val="0039092F"/>
    <w:rsid w:val="003913F2"/>
    <w:rsid w:val="0039187D"/>
    <w:rsid w:val="00392A98"/>
    <w:rsid w:val="00392F36"/>
    <w:rsid w:val="00393112"/>
    <w:rsid w:val="003945B8"/>
    <w:rsid w:val="00394C1C"/>
    <w:rsid w:val="00396203"/>
    <w:rsid w:val="0039692F"/>
    <w:rsid w:val="00396E61"/>
    <w:rsid w:val="00397305"/>
    <w:rsid w:val="00397A74"/>
    <w:rsid w:val="003A03FF"/>
    <w:rsid w:val="003A1941"/>
    <w:rsid w:val="003A245D"/>
    <w:rsid w:val="003A24E6"/>
    <w:rsid w:val="003A2EEA"/>
    <w:rsid w:val="003A305A"/>
    <w:rsid w:val="003A3E3E"/>
    <w:rsid w:val="003A470D"/>
    <w:rsid w:val="003A4718"/>
    <w:rsid w:val="003A4AFC"/>
    <w:rsid w:val="003A52DC"/>
    <w:rsid w:val="003A5529"/>
    <w:rsid w:val="003A5A62"/>
    <w:rsid w:val="003A5D9D"/>
    <w:rsid w:val="003A6B82"/>
    <w:rsid w:val="003A6EBB"/>
    <w:rsid w:val="003B0C49"/>
    <w:rsid w:val="003B11D5"/>
    <w:rsid w:val="003B1709"/>
    <w:rsid w:val="003B1D68"/>
    <w:rsid w:val="003B1E31"/>
    <w:rsid w:val="003B3E79"/>
    <w:rsid w:val="003B40C3"/>
    <w:rsid w:val="003B5087"/>
    <w:rsid w:val="003B51ED"/>
    <w:rsid w:val="003B5F6C"/>
    <w:rsid w:val="003B622D"/>
    <w:rsid w:val="003B6B90"/>
    <w:rsid w:val="003C0A4E"/>
    <w:rsid w:val="003C12D7"/>
    <w:rsid w:val="003C2685"/>
    <w:rsid w:val="003C3216"/>
    <w:rsid w:val="003C3B85"/>
    <w:rsid w:val="003C400D"/>
    <w:rsid w:val="003C46B8"/>
    <w:rsid w:val="003C46CB"/>
    <w:rsid w:val="003C4E16"/>
    <w:rsid w:val="003C554B"/>
    <w:rsid w:val="003C5880"/>
    <w:rsid w:val="003C5B1D"/>
    <w:rsid w:val="003C64D7"/>
    <w:rsid w:val="003C6B29"/>
    <w:rsid w:val="003D0820"/>
    <w:rsid w:val="003D126A"/>
    <w:rsid w:val="003D1EFF"/>
    <w:rsid w:val="003D2A77"/>
    <w:rsid w:val="003D3E3D"/>
    <w:rsid w:val="003D67F7"/>
    <w:rsid w:val="003D7387"/>
    <w:rsid w:val="003D7907"/>
    <w:rsid w:val="003E0C40"/>
    <w:rsid w:val="003E15F4"/>
    <w:rsid w:val="003E1A48"/>
    <w:rsid w:val="003E1F6F"/>
    <w:rsid w:val="003E244D"/>
    <w:rsid w:val="003E304B"/>
    <w:rsid w:val="003E318D"/>
    <w:rsid w:val="003E31B4"/>
    <w:rsid w:val="003E32F9"/>
    <w:rsid w:val="003E3972"/>
    <w:rsid w:val="003E4A5F"/>
    <w:rsid w:val="003E6117"/>
    <w:rsid w:val="003E714E"/>
    <w:rsid w:val="003E7527"/>
    <w:rsid w:val="003F06EF"/>
    <w:rsid w:val="003F12FA"/>
    <w:rsid w:val="003F133F"/>
    <w:rsid w:val="003F1B12"/>
    <w:rsid w:val="003F45E9"/>
    <w:rsid w:val="003F5B5C"/>
    <w:rsid w:val="003F6159"/>
    <w:rsid w:val="003F67D1"/>
    <w:rsid w:val="003F78BF"/>
    <w:rsid w:val="003F7CB0"/>
    <w:rsid w:val="00400910"/>
    <w:rsid w:val="00400B36"/>
    <w:rsid w:val="00401169"/>
    <w:rsid w:val="004027F1"/>
    <w:rsid w:val="00403688"/>
    <w:rsid w:val="00404548"/>
    <w:rsid w:val="0040466F"/>
    <w:rsid w:val="0040528D"/>
    <w:rsid w:val="00406D37"/>
    <w:rsid w:val="00406F64"/>
    <w:rsid w:val="00407383"/>
    <w:rsid w:val="004076CB"/>
    <w:rsid w:val="0040777E"/>
    <w:rsid w:val="00410BA5"/>
    <w:rsid w:val="00410C9E"/>
    <w:rsid w:val="00411BCA"/>
    <w:rsid w:val="00412AD9"/>
    <w:rsid w:val="00413670"/>
    <w:rsid w:val="00413F66"/>
    <w:rsid w:val="00414929"/>
    <w:rsid w:val="00414DB0"/>
    <w:rsid w:val="004157E3"/>
    <w:rsid w:val="004178D9"/>
    <w:rsid w:val="00417957"/>
    <w:rsid w:val="00417CF3"/>
    <w:rsid w:val="00417E6E"/>
    <w:rsid w:val="004203D0"/>
    <w:rsid w:val="00420503"/>
    <w:rsid w:val="004206DF"/>
    <w:rsid w:val="004209F5"/>
    <w:rsid w:val="00421141"/>
    <w:rsid w:val="0042124B"/>
    <w:rsid w:val="00421CCB"/>
    <w:rsid w:val="00422DB3"/>
    <w:rsid w:val="00422E1C"/>
    <w:rsid w:val="00422E2A"/>
    <w:rsid w:val="00423702"/>
    <w:rsid w:val="00423800"/>
    <w:rsid w:val="004242A3"/>
    <w:rsid w:val="00424AED"/>
    <w:rsid w:val="004251AB"/>
    <w:rsid w:val="0042619C"/>
    <w:rsid w:val="0042644D"/>
    <w:rsid w:val="00426852"/>
    <w:rsid w:val="00427DD1"/>
    <w:rsid w:val="0043014C"/>
    <w:rsid w:val="004306C3"/>
    <w:rsid w:val="004319A0"/>
    <w:rsid w:val="00432D00"/>
    <w:rsid w:val="00432DE8"/>
    <w:rsid w:val="00433461"/>
    <w:rsid w:val="00433FE0"/>
    <w:rsid w:val="004352A6"/>
    <w:rsid w:val="00435A92"/>
    <w:rsid w:val="00435BC1"/>
    <w:rsid w:val="00436A16"/>
    <w:rsid w:val="00437325"/>
    <w:rsid w:val="004374D6"/>
    <w:rsid w:val="00437DA3"/>
    <w:rsid w:val="004404E6"/>
    <w:rsid w:val="004404F7"/>
    <w:rsid w:val="00441678"/>
    <w:rsid w:val="00444A42"/>
    <w:rsid w:val="00444F6F"/>
    <w:rsid w:val="0044502F"/>
    <w:rsid w:val="00445370"/>
    <w:rsid w:val="00445D61"/>
    <w:rsid w:val="00445F32"/>
    <w:rsid w:val="00447651"/>
    <w:rsid w:val="00447EE0"/>
    <w:rsid w:val="00450E13"/>
    <w:rsid w:val="00450E26"/>
    <w:rsid w:val="004520B3"/>
    <w:rsid w:val="00453A87"/>
    <w:rsid w:val="00453B39"/>
    <w:rsid w:val="00453F87"/>
    <w:rsid w:val="00454627"/>
    <w:rsid w:val="00454B63"/>
    <w:rsid w:val="0045504C"/>
    <w:rsid w:val="00455260"/>
    <w:rsid w:val="004552F1"/>
    <w:rsid w:val="00455FBB"/>
    <w:rsid w:val="004564DD"/>
    <w:rsid w:val="00457830"/>
    <w:rsid w:val="00460699"/>
    <w:rsid w:val="004606F4"/>
    <w:rsid w:val="00460ABD"/>
    <w:rsid w:val="00461930"/>
    <w:rsid w:val="004631EF"/>
    <w:rsid w:val="0046359D"/>
    <w:rsid w:val="004636F6"/>
    <w:rsid w:val="0046375E"/>
    <w:rsid w:val="00464EA9"/>
    <w:rsid w:val="00465CDB"/>
    <w:rsid w:val="004660BA"/>
    <w:rsid w:val="004679B1"/>
    <w:rsid w:val="004732A6"/>
    <w:rsid w:val="0047377E"/>
    <w:rsid w:val="004737AD"/>
    <w:rsid w:val="00474272"/>
    <w:rsid w:val="00474A09"/>
    <w:rsid w:val="004759C9"/>
    <w:rsid w:val="00475A52"/>
    <w:rsid w:val="00475B20"/>
    <w:rsid w:val="00477578"/>
    <w:rsid w:val="00477FF0"/>
    <w:rsid w:val="00480ACF"/>
    <w:rsid w:val="00480DFF"/>
    <w:rsid w:val="00481124"/>
    <w:rsid w:val="00481304"/>
    <w:rsid w:val="004819BE"/>
    <w:rsid w:val="00481D46"/>
    <w:rsid w:val="004827BC"/>
    <w:rsid w:val="00484E21"/>
    <w:rsid w:val="00485546"/>
    <w:rsid w:val="0048575C"/>
    <w:rsid w:val="00485A32"/>
    <w:rsid w:val="00487879"/>
    <w:rsid w:val="0049152E"/>
    <w:rsid w:val="004918EE"/>
    <w:rsid w:val="0049294B"/>
    <w:rsid w:val="00492C8F"/>
    <w:rsid w:val="00494B4C"/>
    <w:rsid w:val="00494B86"/>
    <w:rsid w:val="00494DD7"/>
    <w:rsid w:val="004969F0"/>
    <w:rsid w:val="00496F12"/>
    <w:rsid w:val="004A00C8"/>
    <w:rsid w:val="004A029E"/>
    <w:rsid w:val="004A1CCD"/>
    <w:rsid w:val="004A1D99"/>
    <w:rsid w:val="004A2319"/>
    <w:rsid w:val="004A237C"/>
    <w:rsid w:val="004A23D6"/>
    <w:rsid w:val="004A2463"/>
    <w:rsid w:val="004A249B"/>
    <w:rsid w:val="004A2500"/>
    <w:rsid w:val="004A312E"/>
    <w:rsid w:val="004A317A"/>
    <w:rsid w:val="004A33F7"/>
    <w:rsid w:val="004A3B76"/>
    <w:rsid w:val="004A3F14"/>
    <w:rsid w:val="004A5347"/>
    <w:rsid w:val="004A5EB0"/>
    <w:rsid w:val="004A6AC8"/>
    <w:rsid w:val="004A7E78"/>
    <w:rsid w:val="004B0076"/>
    <w:rsid w:val="004B0511"/>
    <w:rsid w:val="004B17BB"/>
    <w:rsid w:val="004B1E95"/>
    <w:rsid w:val="004B2B9E"/>
    <w:rsid w:val="004B3BA6"/>
    <w:rsid w:val="004B3DE8"/>
    <w:rsid w:val="004B59E0"/>
    <w:rsid w:val="004B667D"/>
    <w:rsid w:val="004B68B2"/>
    <w:rsid w:val="004B7561"/>
    <w:rsid w:val="004B7E50"/>
    <w:rsid w:val="004C0E00"/>
    <w:rsid w:val="004C1102"/>
    <w:rsid w:val="004C2683"/>
    <w:rsid w:val="004C2D21"/>
    <w:rsid w:val="004C553A"/>
    <w:rsid w:val="004C5913"/>
    <w:rsid w:val="004C6ACF"/>
    <w:rsid w:val="004D07DE"/>
    <w:rsid w:val="004D0B99"/>
    <w:rsid w:val="004D0BE7"/>
    <w:rsid w:val="004D1020"/>
    <w:rsid w:val="004D1489"/>
    <w:rsid w:val="004D2043"/>
    <w:rsid w:val="004D2D2C"/>
    <w:rsid w:val="004D2F03"/>
    <w:rsid w:val="004D3415"/>
    <w:rsid w:val="004D4984"/>
    <w:rsid w:val="004D6264"/>
    <w:rsid w:val="004D7D4A"/>
    <w:rsid w:val="004D7F81"/>
    <w:rsid w:val="004E0113"/>
    <w:rsid w:val="004E026B"/>
    <w:rsid w:val="004E0C78"/>
    <w:rsid w:val="004E1A31"/>
    <w:rsid w:val="004E2BF9"/>
    <w:rsid w:val="004E36F4"/>
    <w:rsid w:val="004E3D92"/>
    <w:rsid w:val="004E438B"/>
    <w:rsid w:val="004E4B96"/>
    <w:rsid w:val="004E4FDF"/>
    <w:rsid w:val="004E6DF1"/>
    <w:rsid w:val="004E7AEC"/>
    <w:rsid w:val="004F05E2"/>
    <w:rsid w:val="004F0C9C"/>
    <w:rsid w:val="004F240B"/>
    <w:rsid w:val="004F4449"/>
    <w:rsid w:val="004F4973"/>
    <w:rsid w:val="004F581F"/>
    <w:rsid w:val="004F596C"/>
    <w:rsid w:val="004F5B40"/>
    <w:rsid w:val="004F68B4"/>
    <w:rsid w:val="004F6AF0"/>
    <w:rsid w:val="0050052F"/>
    <w:rsid w:val="00500F02"/>
    <w:rsid w:val="005012FF"/>
    <w:rsid w:val="00502D37"/>
    <w:rsid w:val="0050345E"/>
    <w:rsid w:val="00505687"/>
    <w:rsid w:val="0050675F"/>
    <w:rsid w:val="00506C31"/>
    <w:rsid w:val="00506CF8"/>
    <w:rsid w:val="00506D97"/>
    <w:rsid w:val="0050737B"/>
    <w:rsid w:val="00507713"/>
    <w:rsid w:val="00507A99"/>
    <w:rsid w:val="00511435"/>
    <w:rsid w:val="005129BE"/>
    <w:rsid w:val="00512D9E"/>
    <w:rsid w:val="00513115"/>
    <w:rsid w:val="00513C06"/>
    <w:rsid w:val="00513D46"/>
    <w:rsid w:val="00514A37"/>
    <w:rsid w:val="00514E90"/>
    <w:rsid w:val="0051508A"/>
    <w:rsid w:val="00515C84"/>
    <w:rsid w:val="00516442"/>
    <w:rsid w:val="00517002"/>
    <w:rsid w:val="00517686"/>
    <w:rsid w:val="00520548"/>
    <w:rsid w:val="00520966"/>
    <w:rsid w:val="0052233F"/>
    <w:rsid w:val="00523F13"/>
    <w:rsid w:val="00524847"/>
    <w:rsid w:val="005248DD"/>
    <w:rsid w:val="00524912"/>
    <w:rsid w:val="00525599"/>
    <w:rsid w:val="00526878"/>
    <w:rsid w:val="00526FDC"/>
    <w:rsid w:val="00527035"/>
    <w:rsid w:val="00527C97"/>
    <w:rsid w:val="00531BCB"/>
    <w:rsid w:val="00532986"/>
    <w:rsid w:val="00532C18"/>
    <w:rsid w:val="00533006"/>
    <w:rsid w:val="00533211"/>
    <w:rsid w:val="00533406"/>
    <w:rsid w:val="00533784"/>
    <w:rsid w:val="00533ED6"/>
    <w:rsid w:val="00533EFE"/>
    <w:rsid w:val="0053586F"/>
    <w:rsid w:val="00535B65"/>
    <w:rsid w:val="00535F99"/>
    <w:rsid w:val="005376DF"/>
    <w:rsid w:val="00537744"/>
    <w:rsid w:val="005409D3"/>
    <w:rsid w:val="00540F65"/>
    <w:rsid w:val="00541340"/>
    <w:rsid w:val="00542883"/>
    <w:rsid w:val="0054321B"/>
    <w:rsid w:val="00543AF2"/>
    <w:rsid w:val="00544E8A"/>
    <w:rsid w:val="00545431"/>
    <w:rsid w:val="00545FAF"/>
    <w:rsid w:val="00547CEF"/>
    <w:rsid w:val="005514A6"/>
    <w:rsid w:val="005518D1"/>
    <w:rsid w:val="0055193D"/>
    <w:rsid w:val="00552A84"/>
    <w:rsid w:val="00553798"/>
    <w:rsid w:val="00553F12"/>
    <w:rsid w:val="005546C2"/>
    <w:rsid w:val="005547BE"/>
    <w:rsid w:val="00554C1E"/>
    <w:rsid w:val="0055620F"/>
    <w:rsid w:val="00560FEA"/>
    <w:rsid w:val="0056100D"/>
    <w:rsid w:val="0056283C"/>
    <w:rsid w:val="005633E3"/>
    <w:rsid w:val="00563593"/>
    <w:rsid w:val="005637DF"/>
    <w:rsid w:val="00565152"/>
    <w:rsid w:val="00566332"/>
    <w:rsid w:val="0056790C"/>
    <w:rsid w:val="005701E3"/>
    <w:rsid w:val="005719FE"/>
    <w:rsid w:val="00571DEE"/>
    <w:rsid w:val="005737E3"/>
    <w:rsid w:val="0057395B"/>
    <w:rsid w:val="00573A7E"/>
    <w:rsid w:val="00573AA8"/>
    <w:rsid w:val="005743F8"/>
    <w:rsid w:val="005746C0"/>
    <w:rsid w:val="00576129"/>
    <w:rsid w:val="005762DF"/>
    <w:rsid w:val="0057659E"/>
    <w:rsid w:val="00576F59"/>
    <w:rsid w:val="00577872"/>
    <w:rsid w:val="00577CB9"/>
    <w:rsid w:val="00580465"/>
    <w:rsid w:val="0058111C"/>
    <w:rsid w:val="00581BA6"/>
    <w:rsid w:val="00582325"/>
    <w:rsid w:val="0058289F"/>
    <w:rsid w:val="00582A3F"/>
    <w:rsid w:val="00582C21"/>
    <w:rsid w:val="00583028"/>
    <w:rsid w:val="00583B48"/>
    <w:rsid w:val="00583C82"/>
    <w:rsid w:val="00584577"/>
    <w:rsid w:val="005846EA"/>
    <w:rsid w:val="00584C45"/>
    <w:rsid w:val="005850BE"/>
    <w:rsid w:val="00585FA2"/>
    <w:rsid w:val="00586A11"/>
    <w:rsid w:val="00587113"/>
    <w:rsid w:val="00587F99"/>
    <w:rsid w:val="00590A10"/>
    <w:rsid w:val="00590C50"/>
    <w:rsid w:val="00591200"/>
    <w:rsid w:val="005923A5"/>
    <w:rsid w:val="0059278E"/>
    <w:rsid w:val="00593899"/>
    <w:rsid w:val="00594096"/>
    <w:rsid w:val="005940CD"/>
    <w:rsid w:val="005949AD"/>
    <w:rsid w:val="00594E52"/>
    <w:rsid w:val="00595FA5"/>
    <w:rsid w:val="00596F78"/>
    <w:rsid w:val="00597354"/>
    <w:rsid w:val="005973DF"/>
    <w:rsid w:val="005A06A5"/>
    <w:rsid w:val="005A0896"/>
    <w:rsid w:val="005A1A47"/>
    <w:rsid w:val="005A2C56"/>
    <w:rsid w:val="005A2E41"/>
    <w:rsid w:val="005A33C1"/>
    <w:rsid w:val="005A3C63"/>
    <w:rsid w:val="005A443D"/>
    <w:rsid w:val="005A4670"/>
    <w:rsid w:val="005A4904"/>
    <w:rsid w:val="005A50D0"/>
    <w:rsid w:val="005A5A31"/>
    <w:rsid w:val="005A5C46"/>
    <w:rsid w:val="005A6B08"/>
    <w:rsid w:val="005B05DD"/>
    <w:rsid w:val="005B0CBD"/>
    <w:rsid w:val="005B1B28"/>
    <w:rsid w:val="005B2798"/>
    <w:rsid w:val="005B3049"/>
    <w:rsid w:val="005B3646"/>
    <w:rsid w:val="005B3AFD"/>
    <w:rsid w:val="005B3DA5"/>
    <w:rsid w:val="005B464C"/>
    <w:rsid w:val="005B50EE"/>
    <w:rsid w:val="005B5554"/>
    <w:rsid w:val="005B59AE"/>
    <w:rsid w:val="005B6757"/>
    <w:rsid w:val="005B6A60"/>
    <w:rsid w:val="005B7019"/>
    <w:rsid w:val="005C25B9"/>
    <w:rsid w:val="005C2685"/>
    <w:rsid w:val="005C275B"/>
    <w:rsid w:val="005C4776"/>
    <w:rsid w:val="005C5F46"/>
    <w:rsid w:val="005C5FE4"/>
    <w:rsid w:val="005C6DAB"/>
    <w:rsid w:val="005C734E"/>
    <w:rsid w:val="005C763D"/>
    <w:rsid w:val="005C7B08"/>
    <w:rsid w:val="005D24FF"/>
    <w:rsid w:val="005D25EB"/>
    <w:rsid w:val="005D2F15"/>
    <w:rsid w:val="005D2FC3"/>
    <w:rsid w:val="005D34CD"/>
    <w:rsid w:val="005D3DEA"/>
    <w:rsid w:val="005D41FC"/>
    <w:rsid w:val="005D4236"/>
    <w:rsid w:val="005D44D0"/>
    <w:rsid w:val="005D452E"/>
    <w:rsid w:val="005D4B4F"/>
    <w:rsid w:val="005D4B56"/>
    <w:rsid w:val="005D51CD"/>
    <w:rsid w:val="005D77C4"/>
    <w:rsid w:val="005E0CB4"/>
    <w:rsid w:val="005E206C"/>
    <w:rsid w:val="005E210B"/>
    <w:rsid w:val="005E21A1"/>
    <w:rsid w:val="005E2B8D"/>
    <w:rsid w:val="005E2BEA"/>
    <w:rsid w:val="005E30D8"/>
    <w:rsid w:val="005E4117"/>
    <w:rsid w:val="005E5131"/>
    <w:rsid w:val="005E647E"/>
    <w:rsid w:val="005E69F9"/>
    <w:rsid w:val="005E7D7D"/>
    <w:rsid w:val="005F1DA4"/>
    <w:rsid w:val="005F2644"/>
    <w:rsid w:val="005F314C"/>
    <w:rsid w:val="005F3D6A"/>
    <w:rsid w:val="005F4075"/>
    <w:rsid w:val="005F46F9"/>
    <w:rsid w:val="005F6113"/>
    <w:rsid w:val="005F6E31"/>
    <w:rsid w:val="005F719A"/>
    <w:rsid w:val="005F71DF"/>
    <w:rsid w:val="005F78C4"/>
    <w:rsid w:val="0060063F"/>
    <w:rsid w:val="00601566"/>
    <w:rsid w:val="00602237"/>
    <w:rsid w:val="00603221"/>
    <w:rsid w:val="00603A1F"/>
    <w:rsid w:val="006046BC"/>
    <w:rsid w:val="0060492C"/>
    <w:rsid w:val="0060494B"/>
    <w:rsid w:val="006060C0"/>
    <w:rsid w:val="006069A5"/>
    <w:rsid w:val="00606D92"/>
    <w:rsid w:val="006074C9"/>
    <w:rsid w:val="00607A04"/>
    <w:rsid w:val="006101D0"/>
    <w:rsid w:val="006104E8"/>
    <w:rsid w:val="006124D1"/>
    <w:rsid w:val="006139C6"/>
    <w:rsid w:val="006147EA"/>
    <w:rsid w:val="0061552E"/>
    <w:rsid w:val="00616264"/>
    <w:rsid w:val="00616447"/>
    <w:rsid w:val="00617AE4"/>
    <w:rsid w:val="006200F6"/>
    <w:rsid w:val="006209DF"/>
    <w:rsid w:val="00620ED2"/>
    <w:rsid w:val="00621385"/>
    <w:rsid w:val="006215B9"/>
    <w:rsid w:val="006224A4"/>
    <w:rsid w:val="00622CC5"/>
    <w:rsid w:val="00624909"/>
    <w:rsid w:val="006261B7"/>
    <w:rsid w:val="0062670B"/>
    <w:rsid w:val="006268C3"/>
    <w:rsid w:val="00626AB3"/>
    <w:rsid w:val="00626C61"/>
    <w:rsid w:val="00626DBA"/>
    <w:rsid w:val="00626FEC"/>
    <w:rsid w:val="0063081A"/>
    <w:rsid w:val="00630CFB"/>
    <w:rsid w:val="00631DB2"/>
    <w:rsid w:val="0063237E"/>
    <w:rsid w:val="00632805"/>
    <w:rsid w:val="00633363"/>
    <w:rsid w:val="00633BDC"/>
    <w:rsid w:val="006341DA"/>
    <w:rsid w:val="00634B03"/>
    <w:rsid w:val="00634D5C"/>
    <w:rsid w:val="00635174"/>
    <w:rsid w:val="00635A0F"/>
    <w:rsid w:val="00635B0D"/>
    <w:rsid w:val="00636ACB"/>
    <w:rsid w:val="00636AE2"/>
    <w:rsid w:val="0063730D"/>
    <w:rsid w:val="006402CD"/>
    <w:rsid w:val="006410AF"/>
    <w:rsid w:val="00642892"/>
    <w:rsid w:val="00642987"/>
    <w:rsid w:val="00642BA6"/>
    <w:rsid w:val="0064434C"/>
    <w:rsid w:val="00646CF1"/>
    <w:rsid w:val="00646DA5"/>
    <w:rsid w:val="00647075"/>
    <w:rsid w:val="006473DA"/>
    <w:rsid w:val="00647688"/>
    <w:rsid w:val="006508EA"/>
    <w:rsid w:val="00650E55"/>
    <w:rsid w:val="006515FB"/>
    <w:rsid w:val="006520FA"/>
    <w:rsid w:val="00652E7D"/>
    <w:rsid w:val="00652FEB"/>
    <w:rsid w:val="0065374B"/>
    <w:rsid w:val="00654234"/>
    <w:rsid w:val="00654CC2"/>
    <w:rsid w:val="00654FA9"/>
    <w:rsid w:val="006553F2"/>
    <w:rsid w:val="00656957"/>
    <w:rsid w:val="00656B68"/>
    <w:rsid w:val="00656FB1"/>
    <w:rsid w:val="00657023"/>
    <w:rsid w:val="00657083"/>
    <w:rsid w:val="00657514"/>
    <w:rsid w:val="006577DF"/>
    <w:rsid w:val="00657EAA"/>
    <w:rsid w:val="0066046D"/>
    <w:rsid w:val="006607FE"/>
    <w:rsid w:val="00660C3B"/>
    <w:rsid w:val="006610B7"/>
    <w:rsid w:val="006614BC"/>
    <w:rsid w:val="006620F7"/>
    <w:rsid w:val="006631FD"/>
    <w:rsid w:val="00663728"/>
    <w:rsid w:val="00663765"/>
    <w:rsid w:val="00664231"/>
    <w:rsid w:val="00664346"/>
    <w:rsid w:val="006646F6"/>
    <w:rsid w:val="00665B25"/>
    <w:rsid w:val="00666442"/>
    <w:rsid w:val="0066693F"/>
    <w:rsid w:val="00666A8E"/>
    <w:rsid w:val="00666AF3"/>
    <w:rsid w:val="006670B6"/>
    <w:rsid w:val="00670688"/>
    <w:rsid w:val="006710B2"/>
    <w:rsid w:val="00671631"/>
    <w:rsid w:val="00671870"/>
    <w:rsid w:val="00671AF1"/>
    <w:rsid w:val="0067209F"/>
    <w:rsid w:val="00672365"/>
    <w:rsid w:val="006727AF"/>
    <w:rsid w:val="00672B61"/>
    <w:rsid w:val="006730F5"/>
    <w:rsid w:val="00674864"/>
    <w:rsid w:val="00674CB2"/>
    <w:rsid w:val="00675AA7"/>
    <w:rsid w:val="00676664"/>
    <w:rsid w:val="00676697"/>
    <w:rsid w:val="00676B0D"/>
    <w:rsid w:val="006771FF"/>
    <w:rsid w:val="00677B75"/>
    <w:rsid w:val="00677C42"/>
    <w:rsid w:val="0068031B"/>
    <w:rsid w:val="00681488"/>
    <w:rsid w:val="006817B5"/>
    <w:rsid w:val="00681B38"/>
    <w:rsid w:val="00682354"/>
    <w:rsid w:val="00682CA3"/>
    <w:rsid w:val="00683BFC"/>
    <w:rsid w:val="00684E82"/>
    <w:rsid w:val="00685210"/>
    <w:rsid w:val="006865E8"/>
    <w:rsid w:val="00687349"/>
    <w:rsid w:val="006875E8"/>
    <w:rsid w:val="00687891"/>
    <w:rsid w:val="0069012A"/>
    <w:rsid w:val="00690E65"/>
    <w:rsid w:val="00691280"/>
    <w:rsid w:val="00691A01"/>
    <w:rsid w:val="00692458"/>
    <w:rsid w:val="00692FC3"/>
    <w:rsid w:val="006937F5"/>
    <w:rsid w:val="006939F2"/>
    <w:rsid w:val="00693B6E"/>
    <w:rsid w:val="00694239"/>
    <w:rsid w:val="0069471D"/>
    <w:rsid w:val="00694D6D"/>
    <w:rsid w:val="0069585A"/>
    <w:rsid w:val="006961B4"/>
    <w:rsid w:val="00697264"/>
    <w:rsid w:val="006979A0"/>
    <w:rsid w:val="006A00F0"/>
    <w:rsid w:val="006A070C"/>
    <w:rsid w:val="006A0958"/>
    <w:rsid w:val="006A0BB4"/>
    <w:rsid w:val="006A0C09"/>
    <w:rsid w:val="006A2012"/>
    <w:rsid w:val="006A26E9"/>
    <w:rsid w:val="006A29DF"/>
    <w:rsid w:val="006A3E87"/>
    <w:rsid w:val="006A3F74"/>
    <w:rsid w:val="006A46AC"/>
    <w:rsid w:val="006A4922"/>
    <w:rsid w:val="006A5D54"/>
    <w:rsid w:val="006A7BED"/>
    <w:rsid w:val="006B0A0B"/>
    <w:rsid w:val="006B0F9B"/>
    <w:rsid w:val="006B1A77"/>
    <w:rsid w:val="006B1DD3"/>
    <w:rsid w:val="006B227F"/>
    <w:rsid w:val="006B326D"/>
    <w:rsid w:val="006B3368"/>
    <w:rsid w:val="006B3470"/>
    <w:rsid w:val="006B377B"/>
    <w:rsid w:val="006B4A8D"/>
    <w:rsid w:val="006B4C76"/>
    <w:rsid w:val="006B6C8E"/>
    <w:rsid w:val="006B7088"/>
    <w:rsid w:val="006B71C7"/>
    <w:rsid w:val="006B7916"/>
    <w:rsid w:val="006C1060"/>
    <w:rsid w:val="006C14B5"/>
    <w:rsid w:val="006C2ECC"/>
    <w:rsid w:val="006C3E61"/>
    <w:rsid w:val="006C3F28"/>
    <w:rsid w:val="006C4442"/>
    <w:rsid w:val="006C4634"/>
    <w:rsid w:val="006C4A94"/>
    <w:rsid w:val="006C5073"/>
    <w:rsid w:val="006C5079"/>
    <w:rsid w:val="006C5AC5"/>
    <w:rsid w:val="006C6037"/>
    <w:rsid w:val="006C6310"/>
    <w:rsid w:val="006C7445"/>
    <w:rsid w:val="006D05AB"/>
    <w:rsid w:val="006D28BD"/>
    <w:rsid w:val="006D3663"/>
    <w:rsid w:val="006D39BB"/>
    <w:rsid w:val="006D46F3"/>
    <w:rsid w:val="006D50CB"/>
    <w:rsid w:val="006D64BB"/>
    <w:rsid w:val="006D6D3F"/>
    <w:rsid w:val="006D732A"/>
    <w:rsid w:val="006D769B"/>
    <w:rsid w:val="006E214F"/>
    <w:rsid w:val="006E2920"/>
    <w:rsid w:val="006E2B8D"/>
    <w:rsid w:val="006E307E"/>
    <w:rsid w:val="006E56EA"/>
    <w:rsid w:val="006E614E"/>
    <w:rsid w:val="006E61CD"/>
    <w:rsid w:val="006E6BCA"/>
    <w:rsid w:val="006E6C09"/>
    <w:rsid w:val="006E6D9B"/>
    <w:rsid w:val="006E762A"/>
    <w:rsid w:val="006F14C5"/>
    <w:rsid w:val="006F1584"/>
    <w:rsid w:val="006F1C62"/>
    <w:rsid w:val="006F338B"/>
    <w:rsid w:val="006F4937"/>
    <w:rsid w:val="006F4CAF"/>
    <w:rsid w:val="006F539A"/>
    <w:rsid w:val="006F5F7B"/>
    <w:rsid w:val="006F6EA4"/>
    <w:rsid w:val="006F7CC8"/>
    <w:rsid w:val="00700025"/>
    <w:rsid w:val="0070068F"/>
    <w:rsid w:val="00701674"/>
    <w:rsid w:val="007021B5"/>
    <w:rsid w:val="00704030"/>
    <w:rsid w:val="007040B1"/>
    <w:rsid w:val="00704ADE"/>
    <w:rsid w:val="00705B73"/>
    <w:rsid w:val="00706339"/>
    <w:rsid w:val="00706FEA"/>
    <w:rsid w:val="00707100"/>
    <w:rsid w:val="007079EF"/>
    <w:rsid w:val="00710370"/>
    <w:rsid w:val="0071038D"/>
    <w:rsid w:val="007104F3"/>
    <w:rsid w:val="007105AE"/>
    <w:rsid w:val="00710AD4"/>
    <w:rsid w:val="00711005"/>
    <w:rsid w:val="00715158"/>
    <w:rsid w:val="007153F4"/>
    <w:rsid w:val="00716DB6"/>
    <w:rsid w:val="00716F6B"/>
    <w:rsid w:val="00717302"/>
    <w:rsid w:val="00717583"/>
    <w:rsid w:val="00720C1F"/>
    <w:rsid w:val="00721468"/>
    <w:rsid w:val="007217A9"/>
    <w:rsid w:val="00722132"/>
    <w:rsid w:val="00722624"/>
    <w:rsid w:val="00722714"/>
    <w:rsid w:val="007240DB"/>
    <w:rsid w:val="007255BE"/>
    <w:rsid w:val="0072570C"/>
    <w:rsid w:val="007267DB"/>
    <w:rsid w:val="00726902"/>
    <w:rsid w:val="00726D4E"/>
    <w:rsid w:val="00727AE2"/>
    <w:rsid w:val="00727B3B"/>
    <w:rsid w:val="00732DBB"/>
    <w:rsid w:val="00732F2C"/>
    <w:rsid w:val="0073336B"/>
    <w:rsid w:val="00733D04"/>
    <w:rsid w:val="00734301"/>
    <w:rsid w:val="007344D4"/>
    <w:rsid w:val="00734C1A"/>
    <w:rsid w:val="00736C02"/>
    <w:rsid w:val="0073737B"/>
    <w:rsid w:val="00737541"/>
    <w:rsid w:val="00737AF2"/>
    <w:rsid w:val="00740879"/>
    <w:rsid w:val="00741189"/>
    <w:rsid w:val="007411C2"/>
    <w:rsid w:val="00743D07"/>
    <w:rsid w:val="007458FC"/>
    <w:rsid w:val="00745981"/>
    <w:rsid w:val="00746F7F"/>
    <w:rsid w:val="00747560"/>
    <w:rsid w:val="00751C8D"/>
    <w:rsid w:val="0075234D"/>
    <w:rsid w:val="007529E3"/>
    <w:rsid w:val="007542D4"/>
    <w:rsid w:val="00754F63"/>
    <w:rsid w:val="00755314"/>
    <w:rsid w:val="00757ABC"/>
    <w:rsid w:val="007600D3"/>
    <w:rsid w:val="007604D1"/>
    <w:rsid w:val="00761693"/>
    <w:rsid w:val="00762576"/>
    <w:rsid w:val="00762B65"/>
    <w:rsid w:val="0076363E"/>
    <w:rsid w:val="0076504A"/>
    <w:rsid w:val="00765519"/>
    <w:rsid w:val="0076570C"/>
    <w:rsid w:val="00765F74"/>
    <w:rsid w:val="007668E3"/>
    <w:rsid w:val="00767425"/>
    <w:rsid w:val="00767709"/>
    <w:rsid w:val="00767970"/>
    <w:rsid w:val="00767C22"/>
    <w:rsid w:val="00771671"/>
    <w:rsid w:val="00772D12"/>
    <w:rsid w:val="00773B64"/>
    <w:rsid w:val="00774993"/>
    <w:rsid w:val="00774A1B"/>
    <w:rsid w:val="00775133"/>
    <w:rsid w:val="0077543A"/>
    <w:rsid w:val="00775C3D"/>
    <w:rsid w:val="00775C8A"/>
    <w:rsid w:val="0077602B"/>
    <w:rsid w:val="007765F4"/>
    <w:rsid w:val="00776FD6"/>
    <w:rsid w:val="00777AF4"/>
    <w:rsid w:val="007805B4"/>
    <w:rsid w:val="00780A30"/>
    <w:rsid w:val="00780BB3"/>
    <w:rsid w:val="00780C1B"/>
    <w:rsid w:val="0078160D"/>
    <w:rsid w:val="00781690"/>
    <w:rsid w:val="007818E3"/>
    <w:rsid w:val="0078241F"/>
    <w:rsid w:val="00782721"/>
    <w:rsid w:val="007829FC"/>
    <w:rsid w:val="00782B53"/>
    <w:rsid w:val="00782E5E"/>
    <w:rsid w:val="00783DA4"/>
    <w:rsid w:val="00784217"/>
    <w:rsid w:val="0078448E"/>
    <w:rsid w:val="00784AAE"/>
    <w:rsid w:val="0078545E"/>
    <w:rsid w:val="00785A1E"/>
    <w:rsid w:val="00785B89"/>
    <w:rsid w:val="00785F66"/>
    <w:rsid w:val="007862E1"/>
    <w:rsid w:val="00786ABA"/>
    <w:rsid w:val="00786DA8"/>
    <w:rsid w:val="00787C50"/>
    <w:rsid w:val="00790527"/>
    <w:rsid w:val="00790957"/>
    <w:rsid w:val="00790CD2"/>
    <w:rsid w:val="00791466"/>
    <w:rsid w:val="0079170A"/>
    <w:rsid w:val="00792942"/>
    <w:rsid w:val="00792B8F"/>
    <w:rsid w:val="00792C16"/>
    <w:rsid w:val="0079492B"/>
    <w:rsid w:val="00794A89"/>
    <w:rsid w:val="0079519F"/>
    <w:rsid w:val="007970D0"/>
    <w:rsid w:val="007971A2"/>
    <w:rsid w:val="00797EC5"/>
    <w:rsid w:val="007A0C47"/>
    <w:rsid w:val="007A44EF"/>
    <w:rsid w:val="007A4B45"/>
    <w:rsid w:val="007A60AD"/>
    <w:rsid w:val="007A664D"/>
    <w:rsid w:val="007A66FB"/>
    <w:rsid w:val="007A7D43"/>
    <w:rsid w:val="007A7F1E"/>
    <w:rsid w:val="007B0048"/>
    <w:rsid w:val="007B075A"/>
    <w:rsid w:val="007B0AC9"/>
    <w:rsid w:val="007B1F6B"/>
    <w:rsid w:val="007B28C7"/>
    <w:rsid w:val="007B3123"/>
    <w:rsid w:val="007B3CF5"/>
    <w:rsid w:val="007B4383"/>
    <w:rsid w:val="007B44B8"/>
    <w:rsid w:val="007B46BE"/>
    <w:rsid w:val="007B498F"/>
    <w:rsid w:val="007B520E"/>
    <w:rsid w:val="007B54C2"/>
    <w:rsid w:val="007B60A5"/>
    <w:rsid w:val="007B6597"/>
    <w:rsid w:val="007B72FE"/>
    <w:rsid w:val="007C1D91"/>
    <w:rsid w:val="007C2075"/>
    <w:rsid w:val="007C3007"/>
    <w:rsid w:val="007C64FE"/>
    <w:rsid w:val="007C69C4"/>
    <w:rsid w:val="007C6D77"/>
    <w:rsid w:val="007C718E"/>
    <w:rsid w:val="007C77FA"/>
    <w:rsid w:val="007D0248"/>
    <w:rsid w:val="007D09C2"/>
    <w:rsid w:val="007D1127"/>
    <w:rsid w:val="007D1EC7"/>
    <w:rsid w:val="007D2045"/>
    <w:rsid w:val="007D2982"/>
    <w:rsid w:val="007D2E82"/>
    <w:rsid w:val="007D313B"/>
    <w:rsid w:val="007D3362"/>
    <w:rsid w:val="007D3444"/>
    <w:rsid w:val="007D369D"/>
    <w:rsid w:val="007D3D41"/>
    <w:rsid w:val="007D3F1C"/>
    <w:rsid w:val="007D5189"/>
    <w:rsid w:val="007D55D1"/>
    <w:rsid w:val="007D5AB3"/>
    <w:rsid w:val="007D6E9C"/>
    <w:rsid w:val="007D70D2"/>
    <w:rsid w:val="007E0626"/>
    <w:rsid w:val="007E0C8E"/>
    <w:rsid w:val="007E0E6A"/>
    <w:rsid w:val="007E1C69"/>
    <w:rsid w:val="007E27EB"/>
    <w:rsid w:val="007E2A69"/>
    <w:rsid w:val="007E3BA4"/>
    <w:rsid w:val="007E443B"/>
    <w:rsid w:val="007F061A"/>
    <w:rsid w:val="007F127A"/>
    <w:rsid w:val="007F1AF4"/>
    <w:rsid w:val="007F2427"/>
    <w:rsid w:val="007F3E45"/>
    <w:rsid w:val="007F413D"/>
    <w:rsid w:val="007F5C02"/>
    <w:rsid w:val="007F5CA0"/>
    <w:rsid w:val="007F6A83"/>
    <w:rsid w:val="007F6E7C"/>
    <w:rsid w:val="008002AE"/>
    <w:rsid w:val="008011BD"/>
    <w:rsid w:val="00802025"/>
    <w:rsid w:val="00802DD0"/>
    <w:rsid w:val="00803379"/>
    <w:rsid w:val="008036CC"/>
    <w:rsid w:val="00803786"/>
    <w:rsid w:val="008050A9"/>
    <w:rsid w:val="00805622"/>
    <w:rsid w:val="00805716"/>
    <w:rsid w:val="00805AEB"/>
    <w:rsid w:val="008075C9"/>
    <w:rsid w:val="00812634"/>
    <w:rsid w:val="00812703"/>
    <w:rsid w:val="00813569"/>
    <w:rsid w:val="00813972"/>
    <w:rsid w:val="00814C13"/>
    <w:rsid w:val="00814EFF"/>
    <w:rsid w:val="008155A3"/>
    <w:rsid w:val="00815ABC"/>
    <w:rsid w:val="008166F0"/>
    <w:rsid w:val="00816EB5"/>
    <w:rsid w:val="008170FF"/>
    <w:rsid w:val="00817D66"/>
    <w:rsid w:val="00820226"/>
    <w:rsid w:val="00820247"/>
    <w:rsid w:val="008208EE"/>
    <w:rsid w:val="00820DFA"/>
    <w:rsid w:val="0082181F"/>
    <w:rsid w:val="00821B92"/>
    <w:rsid w:val="00822107"/>
    <w:rsid w:val="008226EA"/>
    <w:rsid w:val="00822B29"/>
    <w:rsid w:val="00823CB7"/>
    <w:rsid w:val="00823E38"/>
    <w:rsid w:val="00824642"/>
    <w:rsid w:val="00824B65"/>
    <w:rsid w:val="008279BD"/>
    <w:rsid w:val="00830374"/>
    <w:rsid w:val="0083069A"/>
    <w:rsid w:val="00830764"/>
    <w:rsid w:val="00831416"/>
    <w:rsid w:val="00831539"/>
    <w:rsid w:val="008328CD"/>
    <w:rsid w:val="0083290F"/>
    <w:rsid w:val="0083403C"/>
    <w:rsid w:val="00834109"/>
    <w:rsid w:val="008351FA"/>
    <w:rsid w:val="008359EA"/>
    <w:rsid w:val="00835A94"/>
    <w:rsid w:val="008363A4"/>
    <w:rsid w:val="00836E2A"/>
    <w:rsid w:val="00837A1C"/>
    <w:rsid w:val="00837B52"/>
    <w:rsid w:val="008400DA"/>
    <w:rsid w:val="0084072D"/>
    <w:rsid w:val="00841EEE"/>
    <w:rsid w:val="00841F1E"/>
    <w:rsid w:val="008426DF"/>
    <w:rsid w:val="0084340B"/>
    <w:rsid w:val="008446C1"/>
    <w:rsid w:val="00844B53"/>
    <w:rsid w:val="00844BFF"/>
    <w:rsid w:val="00844E49"/>
    <w:rsid w:val="00844FFB"/>
    <w:rsid w:val="00846403"/>
    <w:rsid w:val="00847CA5"/>
    <w:rsid w:val="00850012"/>
    <w:rsid w:val="00850832"/>
    <w:rsid w:val="008514BC"/>
    <w:rsid w:val="00851732"/>
    <w:rsid w:val="00853589"/>
    <w:rsid w:val="00853635"/>
    <w:rsid w:val="00854670"/>
    <w:rsid w:val="00854704"/>
    <w:rsid w:val="0085552F"/>
    <w:rsid w:val="0085634C"/>
    <w:rsid w:val="00862247"/>
    <w:rsid w:val="00862384"/>
    <w:rsid w:val="008628B5"/>
    <w:rsid w:val="008631BD"/>
    <w:rsid w:val="0086370A"/>
    <w:rsid w:val="00863A50"/>
    <w:rsid w:val="00864382"/>
    <w:rsid w:val="00865473"/>
    <w:rsid w:val="00866363"/>
    <w:rsid w:val="00867713"/>
    <w:rsid w:val="00867C17"/>
    <w:rsid w:val="00870090"/>
    <w:rsid w:val="008701FF"/>
    <w:rsid w:val="00871B5D"/>
    <w:rsid w:val="00872805"/>
    <w:rsid w:val="00873DC6"/>
    <w:rsid w:val="00874473"/>
    <w:rsid w:val="0087559F"/>
    <w:rsid w:val="0087564F"/>
    <w:rsid w:val="00875855"/>
    <w:rsid w:val="00875BAA"/>
    <w:rsid w:val="00875F04"/>
    <w:rsid w:val="0087712A"/>
    <w:rsid w:val="00877679"/>
    <w:rsid w:val="00877F91"/>
    <w:rsid w:val="0088069E"/>
    <w:rsid w:val="00880BBE"/>
    <w:rsid w:val="00881243"/>
    <w:rsid w:val="0088205A"/>
    <w:rsid w:val="00882767"/>
    <w:rsid w:val="0088295E"/>
    <w:rsid w:val="00883F0D"/>
    <w:rsid w:val="00884CE7"/>
    <w:rsid w:val="00885FD8"/>
    <w:rsid w:val="008875DB"/>
    <w:rsid w:val="00887C9D"/>
    <w:rsid w:val="00887F14"/>
    <w:rsid w:val="00887FF8"/>
    <w:rsid w:val="00890F8A"/>
    <w:rsid w:val="00891767"/>
    <w:rsid w:val="00891A8C"/>
    <w:rsid w:val="008923C3"/>
    <w:rsid w:val="008924F4"/>
    <w:rsid w:val="0089256D"/>
    <w:rsid w:val="008927A9"/>
    <w:rsid w:val="00895C63"/>
    <w:rsid w:val="00896082"/>
    <w:rsid w:val="00896C98"/>
    <w:rsid w:val="008976DD"/>
    <w:rsid w:val="008A1573"/>
    <w:rsid w:val="008A1EA7"/>
    <w:rsid w:val="008A3483"/>
    <w:rsid w:val="008A4723"/>
    <w:rsid w:val="008A5041"/>
    <w:rsid w:val="008A6A6B"/>
    <w:rsid w:val="008A7F3C"/>
    <w:rsid w:val="008B0C13"/>
    <w:rsid w:val="008B1554"/>
    <w:rsid w:val="008B1664"/>
    <w:rsid w:val="008B2651"/>
    <w:rsid w:val="008B2981"/>
    <w:rsid w:val="008B4645"/>
    <w:rsid w:val="008B4A73"/>
    <w:rsid w:val="008B53FD"/>
    <w:rsid w:val="008B5BD1"/>
    <w:rsid w:val="008B604E"/>
    <w:rsid w:val="008B6E8A"/>
    <w:rsid w:val="008B7F2D"/>
    <w:rsid w:val="008C0FCC"/>
    <w:rsid w:val="008C1CF9"/>
    <w:rsid w:val="008C2080"/>
    <w:rsid w:val="008C237F"/>
    <w:rsid w:val="008C247C"/>
    <w:rsid w:val="008C34EE"/>
    <w:rsid w:val="008C3A17"/>
    <w:rsid w:val="008C4682"/>
    <w:rsid w:val="008C5025"/>
    <w:rsid w:val="008C51F8"/>
    <w:rsid w:val="008C5203"/>
    <w:rsid w:val="008C56D6"/>
    <w:rsid w:val="008C6732"/>
    <w:rsid w:val="008C706E"/>
    <w:rsid w:val="008C760E"/>
    <w:rsid w:val="008D352E"/>
    <w:rsid w:val="008D4674"/>
    <w:rsid w:val="008D47EE"/>
    <w:rsid w:val="008D4F0D"/>
    <w:rsid w:val="008D5050"/>
    <w:rsid w:val="008D59EE"/>
    <w:rsid w:val="008D5B98"/>
    <w:rsid w:val="008D5F24"/>
    <w:rsid w:val="008D6FF7"/>
    <w:rsid w:val="008E004A"/>
    <w:rsid w:val="008E1F8D"/>
    <w:rsid w:val="008E2CD3"/>
    <w:rsid w:val="008E47E3"/>
    <w:rsid w:val="008E5B61"/>
    <w:rsid w:val="008E5D58"/>
    <w:rsid w:val="008E6417"/>
    <w:rsid w:val="008E7529"/>
    <w:rsid w:val="008E75CF"/>
    <w:rsid w:val="008F0B75"/>
    <w:rsid w:val="008F0EC9"/>
    <w:rsid w:val="008F0F3F"/>
    <w:rsid w:val="008F3333"/>
    <w:rsid w:val="008F3946"/>
    <w:rsid w:val="008F4091"/>
    <w:rsid w:val="008F437A"/>
    <w:rsid w:val="008F4547"/>
    <w:rsid w:val="008F5B3E"/>
    <w:rsid w:val="008F73BD"/>
    <w:rsid w:val="009005EF"/>
    <w:rsid w:val="009008FA"/>
    <w:rsid w:val="00900BD1"/>
    <w:rsid w:val="009017CB"/>
    <w:rsid w:val="009027AF"/>
    <w:rsid w:val="00902CE9"/>
    <w:rsid w:val="00903CDD"/>
    <w:rsid w:val="0090408A"/>
    <w:rsid w:val="00904278"/>
    <w:rsid w:val="00904559"/>
    <w:rsid w:val="009059AC"/>
    <w:rsid w:val="00905E4F"/>
    <w:rsid w:val="009073C9"/>
    <w:rsid w:val="009078E3"/>
    <w:rsid w:val="00907C22"/>
    <w:rsid w:val="009109B9"/>
    <w:rsid w:val="00911A90"/>
    <w:rsid w:val="00911C69"/>
    <w:rsid w:val="009120C3"/>
    <w:rsid w:val="00912444"/>
    <w:rsid w:val="009124E4"/>
    <w:rsid w:val="00912DE5"/>
    <w:rsid w:val="009132D1"/>
    <w:rsid w:val="009133A4"/>
    <w:rsid w:val="00913437"/>
    <w:rsid w:val="0091383C"/>
    <w:rsid w:val="00913873"/>
    <w:rsid w:val="0091395E"/>
    <w:rsid w:val="00913B0E"/>
    <w:rsid w:val="0091506D"/>
    <w:rsid w:val="00915F63"/>
    <w:rsid w:val="00917ACF"/>
    <w:rsid w:val="00917FB3"/>
    <w:rsid w:val="00920A67"/>
    <w:rsid w:val="00920C6E"/>
    <w:rsid w:val="00920C8B"/>
    <w:rsid w:val="0092292A"/>
    <w:rsid w:val="009248C4"/>
    <w:rsid w:val="009252AC"/>
    <w:rsid w:val="00925695"/>
    <w:rsid w:val="009256E3"/>
    <w:rsid w:val="00925AB3"/>
    <w:rsid w:val="00925CA4"/>
    <w:rsid w:val="009261F5"/>
    <w:rsid w:val="00926502"/>
    <w:rsid w:val="00926B48"/>
    <w:rsid w:val="00927528"/>
    <w:rsid w:val="0092763E"/>
    <w:rsid w:val="009301A3"/>
    <w:rsid w:val="00931291"/>
    <w:rsid w:val="00932520"/>
    <w:rsid w:val="0093323B"/>
    <w:rsid w:val="0093377F"/>
    <w:rsid w:val="00933D23"/>
    <w:rsid w:val="00933F37"/>
    <w:rsid w:val="009345CC"/>
    <w:rsid w:val="00936797"/>
    <w:rsid w:val="009369D7"/>
    <w:rsid w:val="009369F9"/>
    <w:rsid w:val="00937700"/>
    <w:rsid w:val="00941750"/>
    <w:rsid w:val="00943B9E"/>
    <w:rsid w:val="00944709"/>
    <w:rsid w:val="00944EB1"/>
    <w:rsid w:val="00946425"/>
    <w:rsid w:val="00947314"/>
    <w:rsid w:val="009475B3"/>
    <w:rsid w:val="00951695"/>
    <w:rsid w:val="00951C45"/>
    <w:rsid w:val="00951E42"/>
    <w:rsid w:val="0095214E"/>
    <w:rsid w:val="00952E13"/>
    <w:rsid w:val="00953AA0"/>
    <w:rsid w:val="00953F66"/>
    <w:rsid w:val="0095415E"/>
    <w:rsid w:val="00954213"/>
    <w:rsid w:val="009553EA"/>
    <w:rsid w:val="00955462"/>
    <w:rsid w:val="00955A2F"/>
    <w:rsid w:val="0095647E"/>
    <w:rsid w:val="009601EE"/>
    <w:rsid w:val="00961B0D"/>
    <w:rsid w:val="009655C9"/>
    <w:rsid w:val="00966406"/>
    <w:rsid w:val="00966C41"/>
    <w:rsid w:val="00966CB4"/>
    <w:rsid w:val="00970FAB"/>
    <w:rsid w:val="0097246A"/>
    <w:rsid w:val="00972FAE"/>
    <w:rsid w:val="00974242"/>
    <w:rsid w:val="00974972"/>
    <w:rsid w:val="00974F3F"/>
    <w:rsid w:val="00975131"/>
    <w:rsid w:val="0097517A"/>
    <w:rsid w:val="009752D3"/>
    <w:rsid w:val="00975906"/>
    <w:rsid w:val="009767D7"/>
    <w:rsid w:val="00976E99"/>
    <w:rsid w:val="00977210"/>
    <w:rsid w:val="00977869"/>
    <w:rsid w:val="009778DD"/>
    <w:rsid w:val="00977D02"/>
    <w:rsid w:val="00981DE2"/>
    <w:rsid w:val="00982057"/>
    <w:rsid w:val="009821B3"/>
    <w:rsid w:val="0098303D"/>
    <w:rsid w:val="0098427A"/>
    <w:rsid w:val="009872F2"/>
    <w:rsid w:val="00990031"/>
    <w:rsid w:val="0099058E"/>
    <w:rsid w:val="00990A0F"/>
    <w:rsid w:val="0099188F"/>
    <w:rsid w:val="00991D6F"/>
    <w:rsid w:val="00994697"/>
    <w:rsid w:val="0099502E"/>
    <w:rsid w:val="00995E48"/>
    <w:rsid w:val="00996085"/>
    <w:rsid w:val="00996900"/>
    <w:rsid w:val="00996BF7"/>
    <w:rsid w:val="009A02FB"/>
    <w:rsid w:val="009A04C4"/>
    <w:rsid w:val="009A07D0"/>
    <w:rsid w:val="009A0ABC"/>
    <w:rsid w:val="009A0B2F"/>
    <w:rsid w:val="009A0B76"/>
    <w:rsid w:val="009A100C"/>
    <w:rsid w:val="009A1725"/>
    <w:rsid w:val="009A18D7"/>
    <w:rsid w:val="009A1E0D"/>
    <w:rsid w:val="009A27DD"/>
    <w:rsid w:val="009A2E6F"/>
    <w:rsid w:val="009A3229"/>
    <w:rsid w:val="009A349B"/>
    <w:rsid w:val="009A3849"/>
    <w:rsid w:val="009A3EC7"/>
    <w:rsid w:val="009A4472"/>
    <w:rsid w:val="009A63AD"/>
    <w:rsid w:val="009A7939"/>
    <w:rsid w:val="009B00AF"/>
    <w:rsid w:val="009B1143"/>
    <w:rsid w:val="009B1408"/>
    <w:rsid w:val="009B1773"/>
    <w:rsid w:val="009B20C4"/>
    <w:rsid w:val="009B34E8"/>
    <w:rsid w:val="009B472F"/>
    <w:rsid w:val="009B4A70"/>
    <w:rsid w:val="009B50F3"/>
    <w:rsid w:val="009B5DC1"/>
    <w:rsid w:val="009B6221"/>
    <w:rsid w:val="009B65E8"/>
    <w:rsid w:val="009B6B1C"/>
    <w:rsid w:val="009B6FA8"/>
    <w:rsid w:val="009B7A02"/>
    <w:rsid w:val="009C00E0"/>
    <w:rsid w:val="009C213B"/>
    <w:rsid w:val="009C4B43"/>
    <w:rsid w:val="009C4DB6"/>
    <w:rsid w:val="009C578D"/>
    <w:rsid w:val="009C5AE1"/>
    <w:rsid w:val="009C607B"/>
    <w:rsid w:val="009C60EB"/>
    <w:rsid w:val="009C7571"/>
    <w:rsid w:val="009C7E9C"/>
    <w:rsid w:val="009D108D"/>
    <w:rsid w:val="009D130D"/>
    <w:rsid w:val="009D21CD"/>
    <w:rsid w:val="009D2690"/>
    <w:rsid w:val="009D2EFA"/>
    <w:rsid w:val="009D30EB"/>
    <w:rsid w:val="009D4135"/>
    <w:rsid w:val="009D4B7C"/>
    <w:rsid w:val="009D5474"/>
    <w:rsid w:val="009D6AC4"/>
    <w:rsid w:val="009D730A"/>
    <w:rsid w:val="009D7F94"/>
    <w:rsid w:val="009D7FFB"/>
    <w:rsid w:val="009E0F94"/>
    <w:rsid w:val="009E343D"/>
    <w:rsid w:val="009E3933"/>
    <w:rsid w:val="009E3A81"/>
    <w:rsid w:val="009E4168"/>
    <w:rsid w:val="009E62D5"/>
    <w:rsid w:val="009E6D4D"/>
    <w:rsid w:val="009E6E73"/>
    <w:rsid w:val="009E706F"/>
    <w:rsid w:val="009E7744"/>
    <w:rsid w:val="009F008E"/>
    <w:rsid w:val="009F01D8"/>
    <w:rsid w:val="009F0921"/>
    <w:rsid w:val="009F19CD"/>
    <w:rsid w:val="009F1D87"/>
    <w:rsid w:val="009F22E0"/>
    <w:rsid w:val="009F4D4B"/>
    <w:rsid w:val="009F68A4"/>
    <w:rsid w:val="009F768B"/>
    <w:rsid w:val="00A009C6"/>
    <w:rsid w:val="00A0144D"/>
    <w:rsid w:val="00A02111"/>
    <w:rsid w:val="00A02298"/>
    <w:rsid w:val="00A02D8D"/>
    <w:rsid w:val="00A03EC4"/>
    <w:rsid w:val="00A04957"/>
    <w:rsid w:val="00A04C5D"/>
    <w:rsid w:val="00A06DEB"/>
    <w:rsid w:val="00A07A36"/>
    <w:rsid w:val="00A1002F"/>
    <w:rsid w:val="00A10FAF"/>
    <w:rsid w:val="00A111DC"/>
    <w:rsid w:val="00A115FA"/>
    <w:rsid w:val="00A11802"/>
    <w:rsid w:val="00A12110"/>
    <w:rsid w:val="00A127BA"/>
    <w:rsid w:val="00A12BDF"/>
    <w:rsid w:val="00A12CF9"/>
    <w:rsid w:val="00A133B8"/>
    <w:rsid w:val="00A135DD"/>
    <w:rsid w:val="00A156F1"/>
    <w:rsid w:val="00A15914"/>
    <w:rsid w:val="00A202CE"/>
    <w:rsid w:val="00A20623"/>
    <w:rsid w:val="00A20BF7"/>
    <w:rsid w:val="00A20EDF"/>
    <w:rsid w:val="00A214A2"/>
    <w:rsid w:val="00A2179C"/>
    <w:rsid w:val="00A2189C"/>
    <w:rsid w:val="00A220CA"/>
    <w:rsid w:val="00A25131"/>
    <w:rsid w:val="00A253EA"/>
    <w:rsid w:val="00A25F6C"/>
    <w:rsid w:val="00A26100"/>
    <w:rsid w:val="00A2629E"/>
    <w:rsid w:val="00A26974"/>
    <w:rsid w:val="00A30940"/>
    <w:rsid w:val="00A309A1"/>
    <w:rsid w:val="00A3193F"/>
    <w:rsid w:val="00A32400"/>
    <w:rsid w:val="00A32D0C"/>
    <w:rsid w:val="00A34535"/>
    <w:rsid w:val="00A349A7"/>
    <w:rsid w:val="00A35381"/>
    <w:rsid w:val="00A35A09"/>
    <w:rsid w:val="00A35A7C"/>
    <w:rsid w:val="00A36E80"/>
    <w:rsid w:val="00A370E4"/>
    <w:rsid w:val="00A37AC6"/>
    <w:rsid w:val="00A40DCB"/>
    <w:rsid w:val="00A41CF0"/>
    <w:rsid w:val="00A41E20"/>
    <w:rsid w:val="00A43991"/>
    <w:rsid w:val="00A46693"/>
    <w:rsid w:val="00A503FD"/>
    <w:rsid w:val="00A5045B"/>
    <w:rsid w:val="00A5141A"/>
    <w:rsid w:val="00A517E2"/>
    <w:rsid w:val="00A51E99"/>
    <w:rsid w:val="00A52125"/>
    <w:rsid w:val="00A525A7"/>
    <w:rsid w:val="00A543B9"/>
    <w:rsid w:val="00A545FF"/>
    <w:rsid w:val="00A549E4"/>
    <w:rsid w:val="00A54D4A"/>
    <w:rsid w:val="00A553D2"/>
    <w:rsid w:val="00A56CDB"/>
    <w:rsid w:val="00A57295"/>
    <w:rsid w:val="00A6025F"/>
    <w:rsid w:val="00A619B2"/>
    <w:rsid w:val="00A61E76"/>
    <w:rsid w:val="00A6203A"/>
    <w:rsid w:val="00A62CE5"/>
    <w:rsid w:val="00A62E92"/>
    <w:rsid w:val="00A639F3"/>
    <w:rsid w:val="00A640D3"/>
    <w:rsid w:val="00A644B8"/>
    <w:rsid w:val="00A64792"/>
    <w:rsid w:val="00A65282"/>
    <w:rsid w:val="00A6565A"/>
    <w:rsid w:val="00A65E58"/>
    <w:rsid w:val="00A664CD"/>
    <w:rsid w:val="00A67047"/>
    <w:rsid w:val="00A70057"/>
    <w:rsid w:val="00A70A89"/>
    <w:rsid w:val="00A72304"/>
    <w:rsid w:val="00A723F3"/>
    <w:rsid w:val="00A726B5"/>
    <w:rsid w:val="00A726D3"/>
    <w:rsid w:val="00A73713"/>
    <w:rsid w:val="00A73DC6"/>
    <w:rsid w:val="00A740FF"/>
    <w:rsid w:val="00A74E80"/>
    <w:rsid w:val="00A75A0A"/>
    <w:rsid w:val="00A762D0"/>
    <w:rsid w:val="00A763A2"/>
    <w:rsid w:val="00A771FC"/>
    <w:rsid w:val="00A774BA"/>
    <w:rsid w:val="00A77D93"/>
    <w:rsid w:val="00A8294C"/>
    <w:rsid w:val="00A82E62"/>
    <w:rsid w:val="00A84CF0"/>
    <w:rsid w:val="00A8597E"/>
    <w:rsid w:val="00A864A3"/>
    <w:rsid w:val="00A86E57"/>
    <w:rsid w:val="00A87EE9"/>
    <w:rsid w:val="00A91918"/>
    <w:rsid w:val="00A91A28"/>
    <w:rsid w:val="00A91E88"/>
    <w:rsid w:val="00A92518"/>
    <w:rsid w:val="00A9372F"/>
    <w:rsid w:val="00A93AFE"/>
    <w:rsid w:val="00A93D6D"/>
    <w:rsid w:val="00A9445C"/>
    <w:rsid w:val="00A9461D"/>
    <w:rsid w:val="00A947BA"/>
    <w:rsid w:val="00A94A43"/>
    <w:rsid w:val="00A94CA7"/>
    <w:rsid w:val="00A9529C"/>
    <w:rsid w:val="00A953FE"/>
    <w:rsid w:val="00A95B29"/>
    <w:rsid w:val="00A96B5F"/>
    <w:rsid w:val="00A972F5"/>
    <w:rsid w:val="00A97D27"/>
    <w:rsid w:val="00AA044C"/>
    <w:rsid w:val="00AA06E6"/>
    <w:rsid w:val="00AA285C"/>
    <w:rsid w:val="00AA2930"/>
    <w:rsid w:val="00AA29AA"/>
    <w:rsid w:val="00AA32BD"/>
    <w:rsid w:val="00AA344B"/>
    <w:rsid w:val="00AA3B9C"/>
    <w:rsid w:val="00AA43A5"/>
    <w:rsid w:val="00AA5E43"/>
    <w:rsid w:val="00AA6177"/>
    <w:rsid w:val="00AA648E"/>
    <w:rsid w:val="00AA77AE"/>
    <w:rsid w:val="00AB05CA"/>
    <w:rsid w:val="00AB0768"/>
    <w:rsid w:val="00AB1706"/>
    <w:rsid w:val="00AB1877"/>
    <w:rsid w:val="00AB229C"/>
    <w:rsid w:val="00AB252F"/>
    <w:rsid w:val="00AB2716"/>
    <w:rsid w:val="00AB4F3A"/>
    <w:rsid w:val="00AB506C"/>
    <w:rsid w:val="00AB52B2"/>
    <w:rsid w:val="00AB5576"/>
    <w:rsid w:val="00AB5622"/>
    <w:rsid w:val="00AB5AF9"/>
    <w:rsid w:val="00AB7365"/>
    <w:rsid w:val="00AB78EA"/>
    <w:rsid w:val="00AC00B0"/>
    <w:rsid w:val="00AC06FE"/>
    <w:rsid w:val="00AC0B82"/>
    <w:rsid w:val="00AC2B24"/>
    <w:rsid w:val="00AC35C8"/>
    <w:rsid w:val="00AC3BCA"/>
    <w:rsid w:val="00AC4870"/>
    <w:rsid w:val="00AC5C8B"/>
    <w:rsid w:val="00AC782C"/>
    <w:rsid w:val="00AD09F0"/>
    <w:rsid w:val="00AD18F8"/>
    <w:rsid w:val="00AD1C5D"/>
    <w:rsid w:val="00AD1DD9"/>
    <w:rsid w:val="00AD28BC"/>
    <w:rsid w:val="00AD2C0F"/>
    <w:rsid w:val="00AD2C86"/>
    <w:rsid w:val="00AD30A7"/>
    <w:rsid w:val="00AD466F"/>
    <w:rsid w:val="00AD5062"/>
    <w:rsid w:val="00AD5C77"/>
    <w:rsid w:val="00AD5D1B"/>
    <w:rsid w:val="00AD5E8E"/>
    <w:rsid w:val="00AD637B"/>
    <w:rsid w:val="00AD6530"/>
    <w:rsid w:val="00AD664E"/>
    <w:rsid w:val="00AD6926"/>
    <w:rsid w:val="00AD6965"/>
    <w:rsid w:val="00AD73E6"/>
    <w:rsid w:val="00AD779B"/>
    <w:rsid w:val="00AD77E8"/>
    <w:rsid w:val="00AD7C1E"/>
    <w:rsid w:val="00AE0B2F"/>
    <w:rsid w:val="00AE2383"/>
    <w:rsid w:val="00AE33E4"/>
    <w:rsid w:val="00AE45A5"/>
    <w:rsid w:val="00AE4A96"/>
    <w:rsid w:val="00AE54EF"/>
    <w:rsid w:val="00AE5DDD"/>
    <w:rsid w:val="00AE6086"/>
    <w:rsid w:val="00AE6452"/>
    <w:rsid w:val="00AE6A3E"/>
    <w:rsid w:val="00AE6D3D"/>
    <w:rsid w:val="00AE733E"/>
    <w:rsid w:val="00AF0087"/>
    <w:rsid w:val="00AF0B8C"/>
    <w:rsid w:val="00AF1554"/>
    <w:rsid w:val="00AF15C3"/>
    <w:rsid w:val="00AF1E7B"/>
    <w:rsid w:val="00AF2095"/>
    <w:rsid w:val="00AF2BAA"/>
    <w:rsid w:val="00AF32E9"/>
    <w:rsid w:val="00AF3425"/>
    <w:rsid w:val="00AF381A"/>
    <w:rsid w:val="00AF46E9"/>
    <w:rsid w:val="00AF487A"/>
    <w:rsid w:val="00AF59E1"/>
    <w:rsid w:val="00AF6596"/>
    <w:rsid w:val="00AF6D03"/>
    <w:rsid w:val="00AF6F22"/>
    <w:rsid w:val="00AF74A2"/>
    <w:rsid w:val="00AF789A"/>
    <w:rsid w:val="00B00BAC"/>
    <w:rsid w:val="00B0155E"/>
    <w:rsid w:val="00B01BD9"/>
    <w:rsid w:val="00B02D6A"/>
    <w:rsid w:val="00B0329A"/>
    <w:rsid w:val="00B03B0D"/>
    <w:rsid w:val="00B03CE0"/>
    <w:rsid w:val="00B04362"/>
    <w:rsid w:val="00B056C0"/>
    <w:rsid w:val="00B05FCC"/>
    <w:rsid w:val="00B06691"/>
    <w:rsid w:val="00B0682B"/>
    <w:rsid w:val="00B071A1"/>
    <w:rsid w:val="00B0764D"/>
    <w:rsid w:val="00B07701"/>
    <w:rsid w:val="00B1031E"/>
    <w:rsid w:val="00B1044B"/>
    <w:rsid w:val="00B10A69"/>
    <w:rsid w:val="00B11BED"/>
    <w:rsid w:val="00B12340"/>
    <w:rsid w:val="00B128D2"/>
    <w:rsid w:val="00B1361A"/>
    <w:rsid w:val="00B140C2"/>
    <w:rsid w:val="00B14680"/>
    <w:rsid w:val="00B14717"/>
    <w:rsid w:val="00B20E79"/>
    <w:rsid w:val="00B21144"/>
    <w:rsid w:val="00B21A5A"/>
    <w:rsid w:val="00B25020"/>
    <w:rsid w:val="00B257E2"/>
    <w:rsid w:val="00B25F58"/>
    <w:rsid w:val="00B26A5E"/>
    <w:rsid w:val="00B2767D"/>
    <w:rsid w:val="00B300FD"/>
    <w:rsid w:val="00B318CE"/>
    <w:rsid w:val="00B31F06"/>
    <w:rsid w:val="00B3307B"/>
    <w:rsid w:val="00B331D6"/>
    <w:rsid w:val="00B33DAD"/>
    <w:rsid w:val="00B34D8C"/>
    <w:rsid w:val="00B35815"/>
    <w:rsid w:val="00B35B32"/>
    <w:rsid w:val="00B36F7D"/>
    <w:rsid w:val="00B37AF7"/>
    <w:rsid w:val="00B37C62"/>
    <w:rsid w:val="00B37C6F"/>
    <w:rsid w:val="00B4025E"/>
    <w:rsid w:val="00B402A4"/>
    <w:rsid w:val="00B402F8"/>
    <w:rsid w:val="00B40FF0"/>
    <w:rsid w:val="00B413EF"/>
    <w:rsid w:val="00B421EB"/>
    <w:rsid w:val="00B43311"/>
    <w:rsid w:val="00B44C33"/>
    <w:rsid w:val="00B44C54"/>
    <w:rsid w:val="00B4560A"/>
    <w:rsid w:val="00B458B2"/>
    <w:rsid w:val="00B466E6"/>
    <w:rsid w:val="00B4729A"/>
    <w:rsid w:val="00B47475"/>
    <w:rsid w:val="00B476C7"/>
    <w:rsid w:val="00B47AEA"/>
    <w:rsid w:val="00B50186"/>
    <w:rsid w:val="00B509B4"/>
    <w:rsid w:val="00B509FF"/>
    <w:rsid w:val="00B51654"/>
    <w:rsid w:val="00B52399"/>
    <w:rsid w:val="00B53132"/>
    <w:rsid w:val="00B53417"/>
    <w:rsid w:val="00B53B4F"/>
    <w:rsid w:val="00B54122"/>
    <w:rsid w:val="00B557FA"/>
    <w:rsid w:val="00B606EB"/>
    <w:rsid w:val="00B608F4"/>
    <w:rsid w:val="00B61EB5"/>
    <w:rsid w:val="00B6230B"/>
    <w:rsid w:val="00B6284E"/>
    <w:rsid w:val="00B62B86"/>
    <w:rsid w:val="00B63409"/>
    <w:rsid w:val="00B634F1"/>
    <w:rsid w:val="00B66951"/>
    <w:rsid w:val="00B6750E"/>
    <w:rsid w:val="00B7185B"/>
    <w:rsid w:val="00B72100"/>
    <w:rsid w:val="00B72C94"/>
    <w:rsid w:val="00B74953"/>
    <w:rsid w:val="00B7595C"/>
    <w:rsid w:val="00B76620"/>
    <w:rsid w:val="00B7762A"/>
    <w:rsid w:val="00B80282"/>
    <w:rsid w:val="00B80749"/>
    <w:rsid w:val="00B80A10"/>
    <w:rsid w:val="00B819A2"/>
    <w:rsid w:val="00B81A02"/>
    <w:rsid w:val="00B81B57"/>
    <w:rsid w:val="00B82BE9"/>
    <w:rsid w:val="00B82F91"/>
    <w:rsid w:val="00B84015"/>
    <w:rsid w:val="00B840D1"/>
    <w:rsid w:val="00B8472E"/>
    <w:rsid w:val="00B84B9E"/>
    <w:rsid w:val="00B8585D"/>
    <w:rsid w:val="00B85EB9"/>
    <w:rsid w:val="00B8687C"/>
    <w:rsid w:val="00B878F9"/>
    <w:rsid w:val="00B90246"/>
    <w:rsid w:val="00B90741"/>
    <w:rsid w:val="00B91B47"/>
    <w:rsid w:val="00B923F5"/>
    <w:rsid w:val="00B92F56"/>
    <w:rsid w:val="00B936B3"/>
    <w:rsid w:val="00B936FD"/>
    <w:rsid w:val="00B93E38"/>
    <w:rsid w:val="00B94493"/>
    <w:rsid w:val="00B94838"/>
    <w:rsid w:val="00B94855"/>
    <w:rsid w:val="00B951C4"/>
    <w:rsid w:val="00B957B9"/>
    <w:rsid w:val="00B963F7"/>
    <w:rsid w:val="00B97D0A"/>
    <w:rsid w:val="00BA044D"/>
    <w:rsid w:val="00BA0963"/>
    <w:rsid w:val="00BA144F"/>
    <w:rsid w:val="00BA15F8"/>
    <w:rsid w:val="00BA1682"/>
    <w:rsid w:val="00BA1BDE"/>
    <w:rsid w:val="00BA2335"/>
    <w:rsid w:val="00BA2BFF"/>
    <w:rsid w:val="00BA2C0A"/>
    <w:rsid w:val="00BA3671"/>
    <w:rsid w:val="00BA38CD"/>
    <w:rsid w:val="00BA5AA3"/>
    <w:rsid w:val="00BA6432"/>
    <w:rsid w:val="00BA6DF5"/>
    <w:rsid w:val="00BA74CA"/>
    <w:rsid w:val="00BB1CDA"/>
    <w:rsid w:val="00BB3A2D"/>
    <w:rsid w:val="00BB449B"/>
    <w:rsid w:val="00BB450A"/>
    <w:rsid w:val="00BB504C"/>
    <w:rsid w:val="00BB5368"/>
    <w:rsid w:val="00BB53AF"/>
    <w:rsid w:val="00BB6546"/>
    <w:rsid w:val="00BC21F6"/>
    <w:rsid w:val="00BC556F"/>
    <w:rsid w:val="00BC5D01"/>
    <w:rsid w:val="00BD1AFD"/>
    <w:rsid w:val="00BD1B53"/>
    <w:rsid w:val="00BD1BF4"/>
    <w:rsid w:val="00BD1E6A"/>
    <w:rsid w:val="00BD2A24"/>
    <w:rsid w:val="00BD30B7"/>
    <w:rsid w:val="00BD63E9"/>
    <w:rsid w:val="00BD749E"/>
    <w:rsid w:val="00BE0B9A"/>
    <w:rsid w:val="00BE101E"/>
    <w:rsid w:val="00BE1899"/>
    <w:rsid w:val="00BE293F"/>
    <w:rsid w:val="00BE2978"/>
    <w:rsid w:val="00BE32DD"/>
    <w:rsid w:val="00BE3EC7"/>
    <w:rsid w:val="00BE4A71"/>
    <w:rsid w:val="00BE5BF4"/>
    <w:rsid w:val="00BE7915"/>
    <w:rsid w:val="00BF00F6"/>
    <w:rsid w:val="00BF035E"/>
    <w:rsid w:val="00BF0BCE"/>
    <w:rsid w:val="00BF0D2F"/>
    <w:rsid w:val="00BF0EEC"/>
    <w:rsid w:val="00BF165A"/>
    <w:rsid w:val="00BF1BD9"/>
    <w:rsid w:val="00BF38CF"/>
    <w:rsid w:val="00BF39DF"/>
    <w:rsid w:val="00BF3AC2"/>
    <w:rsid w:val="00BF3B57"/>
    <w:rsid w:val="00BF4C10"/>
    <w:rsid w:val="00BF4D5D"/>
    <w:rsid w:val="00BF57A1"/>
    <w:rsid w:val="00BF6524"/>
    <w:rsid w:val="00C00244"/>
    <w:rsid w:val="00C00393"/>
    <w:rsid w:val="00C0064E"/>
    <w:rsid w:val="00C00687"/>
    <w:rsid w:val="00C00C01"/>
    <w:rsid w:val="00C010BD"/>
    <w:rsid w:val="00C01AA9"/>
    <w:rsid w:val="00C024AE"/>
    <w:rsid w:val="00C03754"/>
    <w:rsid w:val="00C0523C"/>
    <w:rsid w:val="00C07C24"/>
    <w:rsid w:val="00C10DDF"/>
    <w:rsid w:val="00C115AA"/>
    <w:rsid w:val="00C11998"/>
    <w:rsid w:val="00C11E99"/>
    <w:rsid w:val="00C13087"/>
    <w:rsid w:val="00C130E5"/>
    <w:rsid w:val="00C13CB3"/>
    <w:rsid w:val="00C13F2D"/>
    <w:rsid w:val="00C14164"/>
    <w:rsid w:val="00C148A0"/>
    <w:rsid w:val="00C157EE"/>
    <w:rsid w:val="00C16C89"/>
    <w:rsid w:val="00C16D7D"/>
    <w:rsid w:val="00C20758"/>
    <w:rsid w:val="00C20D0E"/>
    <w:rsid w:val="00C2151D"/>
    <w:rsid w:val="00C21C36"/>
    <w:rsid w:val="00C21CD2"/>
    <w:rsid w:val="00C244B4"/>
    <w:rsid w:val="00C2648A"/>
    <w:rsid w:val="00C2713C"/>
    <w:rsid w:val="00C27FAD"/>
    <w:rsid w:val="00C304AD"/>
    <w:rsid w:val="00C30AEE"/>
    <w:rsid w:val="00C317B2"/>
    <w:rsid w:val="00C3277A"/>
    <w:rsid w:val="00C33022"/>
    <w:rsid w:val="00C33D12"/>
    <w:rsid w:val="00C33DAE"/>
    <w:rsid w:val="00C34080"/>
    <w:rsid w:val="00C3434C"/>
    <w:rsid w:val="00C346C8"/>
    <w:rsid w:val="00C35558"/>
    <w:rsid w:val="00C36751"/>
    <w:rsid w:val="00C36BA0"/>
    <w:rsid w:val="00C37AFB"/>
    <w:rsid w:val="00C37C7A"/>
    <w:rsid w:val="00C37DC3"/>
    <w:rsid w:val="00C40729"/>
    <w:rsid w:val="00C408DA"/>
    <w:rsid w:val="00C41149"/>
    <w:rsid w:val="00C4261E"/>
    <w:rsid w:val="00C427BE"/>
    <w:rsid w:val="00C42DBF"/>
    <w:rsid w:val="00C43936"/>
    <w:rsid w:val="00C43B06"/>
    <w:rsid w:val="00C45BC7"/>
    <w:rsid w:val="00C45DC6"/>
    <w:rsid w:val="00C479E0"/>
    <w:rsid w:val="00C47A6E"/>
    <w:rsid w:val="00C50729"/>
    <w:rsid w:val="00C5076B"/>
    <w:rsid w:val="00C5078A"/>
    <w:rsid w:val="00C50B36"/>
    <w:rsid w:val="00C50C8C"/>
    <w:rsid w:val="00C51ADC"/>
    <w:rsid w:val="00C51C11"/>
    <w:rsid w:val="00C52503"/>
    <w:rsid w:val="00C52C38"/>
    <w:rsid w:val="00C544C2"/>
    <w:rsid w:val="00C54571"/>
    <w:rsid w:val="00C55003"/>
    <w:rsid w:val="00C55A1E"/>
    <w:rsid w:val="00C56B4D"/>
    <w:rsid w:val="00C56F77"/>
    <w:rsid w:val="00C5781F"/>
    <w:rsid w:val="00C60237"/>
    <w:rsid w:val="00C613AD"/>
    <w:rsid w:val="00C61C68"/>
    <w:rsid w:val="00C6265F"/>
    <w:rsid w:val="00C62F22"/>
    <w:rsid w:val="00C633D4"/>
    <w:rsid w:val="00C65F43"/>
    <w:rsid w:val="00C66699"/>
    <w:rsid w:val="00C67714"/>
    <w:rsid w:val="00C7010C"/>
    <w:rsid w:val="00C7029F"/>
    <w:rsid w:val="00C71691"/>
    <w:rsid w:val="00C728B5"/>
    <w:rsid w:val="00C73D9B"/>
    <w:rsid w:val="00C73DB7"/>
    <w:rsid w:val="00C751F9"/>
    <w:rsid w:val="00C755D9"/>
    <w:rsid w:val="00C755F2"/>
    <w:rsid w:val="00C760FD"/>
    <w:rsid w:val="00C76338"/>
    <w:rsid w:val="00C76CB7"/>
    <w:rsid w:val="00C77336"/>
    <w:rsid w:val="00C82C92"/>
    <w:rsid w:val="00C83539"/>
    <w:rsid w:val="00C83ACB"/>
    <w:rsid w:val="00C84C92"/>
    <w:rsid w:val="00C84E8C"/>
    <w:rsid w:val="00C85BB4"/>
    <w:rsid w:val="00C85ED9"/>
    <w:rsid w:val="00C86B80"/>
    <w:rsid w:val="00C87446"/>
    <w:rsid w:val="00C87EBF"/>
    <w:rsid w:val="00C9013F"/>
    <w:rsid w:val="00C902E2"/>
    <w:rsid w:val="00C91160"/>
    <w:rsid w:val="00C91596"/>
    <w:rsid w:val="00C919EC"/>
    <w:rsid w:val="00C91A17"/>
    <w:rsid w:val="00C92511"/>
    <w:rsid w:val="00C928E0"/>
    <w:rsid w:val="00C9430E"/>
    <w:rsid w:val="00C94DA9"/>
    <w:rsid w:val="00C953B1"/>
    <w:rsid w:val="00C955C6"/>
    <w:rsid w:val="00C9594A"/>
    <w:rsid w:val="00C95EE2"/>
    <w:rsid w:val="00C97169"/>
    <w:rsid w:val="00CA092E"/>
    <w:rsid w:val="00CA1CD6"/>
    <w:rsid w:val="00CA2015"/>
    <w:rsid w:val="00CA2DDD"/>
    <w:rsid w:val="00CA3754"/>
    <w:rsid w:val="00CA376B"/>
    <w:rsid w:val="00CA49A8"/>
    <w:rsid w:val="00CA4D7A"/>
    <w:rsid w:val="00CA4DBB"/>
    <w:rsid w:val="00CA52D6"/>
    <w:rsid w:val="00CA5C95"/>
    <w:rsid w:val="00CA5CF9"/>
    <w:rsid w:val="00CA5EAB"/>
    <w:rsid w:val="00CA5EC8"/>
    <w:rsid w:val="00CA61B4"/>
    <w:rsid w:val="00CA6B74"/>
    <w:rsid w:val="00CA7CD5"/>
    <w:rsid w:val="00CA7F54"/>
    <w:rsid w:val="00CB0786"/>
    <w:rsid w:val="00CB0A62"/>
    <w:rsid w:val="00CB1A2A"/>
    <w:rsid w:val="00CB2074"/>
    <w:rsid w:val="00CB23D3"/>
    <w:rsid w:val="00CB2713"/>
    <w:rsid w:val="00CB682D"/>
    <w:rsid w:val="00CB6D19"/>
    <w:rsid w:val="00CB6D94"/>
    <w:rsid w:val="00CC1446"/>
    <w:rsid w:val="00CC281C"/>
    <w:rsid w:val="00CC478D"/>
    <w:rsid w:val="00CC4901"/>
    <w:rsid w:val="00CC51AA"/>
    <w:rsid w:val="00CC5545"/>
    <w:rsid w:val="00CC5A44"/>
    <w:rsid w:val="00CC5A5A"/>
    <w:rsid w:val="00CC6944"/>
    <w:rsid w:val="00CC6F11"/>
    <w:rsid w:val="00CC71C9"/>
    <w:rsid w:val="00CC73BE"/>
    <w:rsid w:val="00CD068E"/>
    <w:rsid w:val="00CD195B"/>
    <w:rsid w:val="00CD2556"/>
    <w:rsid w:val="00CD3116"/>
    <w:rsid w:val="00CD3974"/>
    <w:rsid w:val="00CD3BC1"/>
    <w:rsid w:val="00CD61C9"/>
    <w:rsid w:val="00CD6632"/>
    <w:rsid w:val="00CD7753"/>
    <w:rsid w:val="00CE008B"/>
    <w:rsid w:val="00CE05AD"/>
    <w:rsid w:val="00CE1E71"/>
    <w:rsid w:val="00CE209E"/>
    <w:rsid w:val="00CE2AC8"/>
    <w:rsid w:val="00CE2AFD"/>
    <w:rsid w:val="00CE3F1B"/>
    <w:rsid w:val="00CE5531"/>
    <w:rsid w:val="00CE56C3"/>
    <w:rsid w:val="00CE66C3"/>
    <w:rsid w:val="00CE7365"/>
    <w:rsid w:val="00CF02BC"/>
    <w:rsid w:val="00CF0EAA"/>
    <w:rsid w:val="00CF12B6"/>
    <w:rsid w:val="00CF16F9"/>
    <w:rsid w:val="00CF2734"/>
    <w:rsid w:val="00CF3548"/>
    <w:rsid w:val="00CF3647"/>
    <w:rsid w:val="00CF3751"/>
    <w:rsid w:val="00CF3D48"/>
    <w:rsid w:val="00CF420A"/>
    <w:rsid w:val="00CF568B"/>
    <w:rsid w:val="00CF6682"/>
    <w:rsid w:val="00CF6D87"/>
    <w:rsid w:val="00CF75FA"/>
    <w:rsid w:val="00D0010D"/>
    <w:rsid w:val="00D01B2A"/>
    <w:rsid w:val="00D02E23"/>
    <w:rsid w:val="00D03D80"/>
    <w:rsid w:val="00D05AD4"/>
    <w:rsid w:val="00D05D63"/>
    <w:rsid w:val="00D063C6"/>
    <w:rsid w:val="00D06810"/>
    <w:rsid w:val="00D07488"/>
    <w:rsid w:val="00D07836"/>
    <w:rsid w:val="00D11238"/>
    <w:rsid w:val="00D11A90"/>
    <w:rsid w:val="00D12770"/>
    <w:rsid w:val="00D1291E"/>
    <w:rsid w:val="00D12A17"/>
    <w:rsid w:val="00D159E1"/>
    <w:rsid w:val="00D16826"/>
    <w:rsid w:val="00D16915"/>
    <w:rsid w:val="00D201E2"/>
    <w:rsid w:val="00D20C9F"/>
    <w:rsid w:val="00D21053"/>
    <w:rsid w:val="00D210E7"/>
    <w:rsid w:val="00D223B9"/>
    <w:rsid w:val="00D23504"/>
    <w:rsid w:val="00D23AFC"/>
    <w:rsid w:val="00D23DF0"/>
    <w:rsid w:val="00D2496D"/>
    <w:rsid w:val="00D24D21"/>
    <w:rsid w:val="00D25393"/>
    <w:rsid w:val="00D25CC7"/>
    <w:rsid w:val="00D2635F"/>
    <w:rsid w:val="00D26D11"/>
    <w:rsid w:val="00D26F90"/>
    <w:rsid w:val="00D27722"/>
    <w:rsid w:val="00D302FB"/>
    <w:rsid w:val="00D303A2"/>
    <w:rsid w:val="00D304F9"/>
    <w:rsid w:val="00D30A9E"/>
    <w:rsid w:val="00D31D2A"/>
    <w:rsid w:val="00D32D71"/>
    <w:rsid w:val="00D32F1B"/>
    <w:rsid w:val="00D33D9D"/>
    <w:rsid w:val="00D34229"/>
    <w:rsid w:val="00D35852"/>
    <w:rsid w:val="00D35CB8"/>
    <w:rsid w:val="00D401D3"/>
    <w:rsid w:val="00D40AE2"/>
    <w:rsid w:val="00D416D9"/>
    <w:rsid w:val="00D426FD"/>
    <w:rsid w:val="00D42BA3"/>
    <w:rsid w:val="00D42CE3"/>
    <w:rsid w:val="00D42D47"/>
    <w:rsid w:val="00D4310A"/>
    <w:rsid w:val="00D437A4"/>
    <w:rsid w:val="00D44457"/>
    <w:rsid w:val="00D4481D"/>
    <w:rsid w:val="00D4690F"/>
    <w:rsid w:val="00D46CE6"/>
    <w:rsid w:val="00D50465"/>
    <w:rsid w:val="00D51D68"/>
    <w:rsid w:val="00D51F41"/>
    <w:rsid w:val="00D52E88"/>
    <w:rsid w:val="00D52EEC"/>
    <w:rsid w:val="00D53117"/>
    <w:rsid w:val="00D54ADE"/>
    <w:rsid w:val="00D55BD3"/>
    <w:rsid w:val="00D563EF"/>
    <w:rsid w:val="00D56B1D"/>
    <w:rsid w:val="00D605EE"/>
    <w:rsid w:val="00D62F6E"/>
    <w:rsid w:val="00D63074"/>
    <w:rsid w:val="00D63960"/>
    <w:rsid w:val="00D64A82"/>
    <w:rsid w:val="00D66007"/>
    <w:rsid w:val="00D6693F"/>
    <w:rsid w:val="00D66F64"/>
    <w:rsid w:val="00D67DFB"/>
    <w:rsid w:val="00D70190"/>
    <w:rsid w:val="00D701B6"/>
    <w:rsid w:val="00D70FE6"/>
    <w:rsid w:val="00D71331"/>
    <w:rsid w:val="00D72340"/>
    <w:rsid w:val="00D729F3"/>
    <w:rsid w:val="00D73390"/>
    <w:rsid w:val="00D739CA"/>
    <w:rsid w:val="00D7451D"/>
    <w:rsid w:val="00D74B40"/>
    <w:rsid w:val="00D75477"/>
    <w:rsid w:val="00D777A3"/>
    <w:rsid w:val="00D81AE2"/>
    <w:rsid w:val="00D82774"/>
    <w:rsid w:val="00D834E6"/>
    <w:rsid w:val="00D838E2"/>
    <w:rsid w:val="00D83C04"/>
    <w:rsid w:val="00D844C2"/>
    <w:rsid w:val="00D854C8"/>
    <w:rsid w:val="00D879FA"/>
    <w:rsid w:val="00D9124D"/>
    <w:rsid w:val="00D9193D"/>
    <w:rsid w:val="00D920D1"/>
    <w:rsid w:val="00D9232B"/>
    <w:rsid w:val="00D94411"/>
    <w:rsid w:val="00D957C4"/>
    <w:rsid w:val="00D95E56"/>
    <w:rsid w:val="00D9642C"/>
    <w:rsid w:val="00D96542"/>
    <w:rsid w:val="00D972DE"/>
    <w:rsid w:val="00D97EF4"/>
    <w:rsid w:val="00DA0087"/>
    <w:rsid w:val="00DA0713"/>
    <w:rsid w:val="00DA2400"/>
    <w:rsid w:val="00DA2C14"/>
    <w:rsid w:val="00DA3308"/>
    <w:rsid w:val="00DA34FE"/>
    <w:rsid w:val="00DA400D"/>
    <w:rsid w:val="00DA41FE"/>
    <w:rsid w:val="00DA4D08"/>
    <w:rsid w:val="00DA62D8"/>
    <w:rsid w:val="00DA6936"/>
    <w:rsid w:val="00DA6D6F"/>
    <w:rsid w:val="00DA6E2D"/>
    <w:rsid w:val="00DA7EA1"/>
    <w:rsid w:val="00DA7F67"/>
    <w:rsid w:val="00DA7FEB"/>
    <w:rsid w:val="00DB325C"/>
    <w:rsid w:val="00DB3989"/>
    <w:rsid w:val="00DB4DF7"/>
    <w:rsid w:val="00DB4F31"/>
    <w:rsid w:val="00DB521C"/>
    <w:rsid w:val="00DB569B"/>
    <w:rsid w:val="00DB5F19"/>
    <w:rsid w:val="00DB6515"/>
    <w:rsid w:val="00DB67B8"/>
    <w:rsid w:val="00DB6964"/>
    <w:rsid w:val="00DB6DAA"/>
    <w:rsid w:val="00DB6FF3"/>
    <w:rsid w:val="00DB72EB"/>
    <w:rsid w:val="00DB7893"/>
    <w:rsid w:val="00DC0B98"/>
    <w:rsid w:val="00DC1888"/>
    <w:rsid w:val="00DC1E2C"/>
    <w:rsid w:val="00DC1FCD"/>
    <w:rsid w:val="00DC4C62"/>
    <w:rsid w:val="00DC5474"/>
    <w:rsid w:val="00DC5503"/>
    <w:rsid w:val="00DC58BF"/>
    <w:rsid w:val="00DC5A40"/>
    <w:rsid w:val="00DC6A63"/>
    <w:rsid w:val="00DC6F10"/>
    <w:rsid w:val="00DD02F2"/>
    <w:rsid w:val="00DD0B56"/>
    <w:rsid w:val="00DD1284"/>
    <w:rsid w:val="00DD31EA"/>
    <w:rsid w:val="00DD329A"/>
    <w:rsid w:val="00DD42E9"/>
    <w:rsid w:val="00DD4A2E"/>
    <w:rsid w:val="00DD72F3"/>
    <w:rsid w:val="00DD77A4"/>
    <w:rsid w:val="00DD7A25"/>
    <w:rsid w:val="00DE042A"/>
    <w:rsid w:val="00DE11CC"/>
    <w:rsid w:val="00DE270A"/>
    <w:rsid w:val="00DE278E"/>
    <w:rsid w:val="00DE28B6"/>
    <w:rsid w:val="00DE2B27"/>
    <w:rsid w:val="00DE3370"/>
    <w:rsid w:val="00DE5427"/>
    <w:rsid w:val="00DE5BD7"/>
    <w:rsid w:val="00DE7A44"/>
    <w:rsid w:val="00DF084F"/>
    <w:rsid w:val="00DF12A9"/>
    <w:rsid w:val="00DF1FCA"/>
    <w:rsid w:val="00DF26A2"/>
    <w:rsid w:val="00DF2C9B"/>
    <w:rsid w:val="00DF392C"/>
    <w:rsid w:val="00DF3F5B"/>
    <w:rsid w:val="00DF5A2A"/>
    <w:rsid w:val="00DF5B54"/>
    <w:rsid w:val="00DF5C9C"/>
    <w:rsid w:val="00DF5EF3"/>
    <w:rsid w:val="00DF6474"/>
    <w:rsid w:val="00DF70E3"/>
    <w:rsid w:val="00DF7112"/>
    <w:rsid w:val="00DF7196"/>
    <w:rsid w:val="00DF7CB1"/>
    <w:rsid w:val="00E00F70"/>
    <w:rsid w:val="00E00FFF"/>
    <w:rsid w:val="00E0219B"/>
    <w:rsid w:val="00E02485"/>
    <w:rsid w:val="00E042D1"/>
    <w:rsid w:val="00E04623"/>
    <w:rsid w:val="00E06722"/>
    <w:rsid w:val="00E0677C"/>
    <w:rsid w:val="00E10422"/>
    <w:rsid w:val="00E1047D"/>
    <w:rsid w:val="00E107CA"/>
    <w:rsid w:val="00E108B1"/>
    <w:rsid w:val="00E10EE1"/>
    <w:rsid w:val="00E10EF1"/>
    <w:rsid w:val="00E11618"/>
    <w:rsid w:val="00E1248E"/>
    <w:rsid w:val="00E12792"/>
    <w:rsid w:val="00E12A11"/>
    <w:rsid w:val="00E12A76"/>
    <w:rsid w:val="00E1503C"/>
    <w:rsid w:val="00E15A77"/>
    <w:rsid w:val="00E15E86"/>
    <w:rsid w:val="00E162AB"/>
    <w:rsid w:val="00E1665A"/>
    <w:rsid w:val="00E1724A"/>
    <w:rsid w:val="00E17658"/>
    <w:rsid w:val="00E17C97"/>
    <w:rsid w:val="00E2114E"/>
    <w:rsid w:val="00E21339"/>
    <w:rsid w:val="00E21ECF"/>
    <w:rsid w:val="00E21F99"/>
    <w:rsid w:val="00E2222A"/>
    <w:rsid w:val="00E22666"/>
    <w:rsid w:val="00E226D0"/>
    <w:rsid w:val="00E23BD6"/>
    <w:rsid w:val="00E24413"/>
    <w:rsid w:val="00E24B27"/>
    <w:rsid w:val="00E25A19"/>
    <w:rsid w:val="00E25DDE"/>
    <w:rsid w:val="00E261A5"/>
    <w:rsid w:val="00E27638"/>
    <w:rsid w:val="00E3061D"/>
    <w:rsid w:val="00E31291"/>
    <w:rsid w:val="00E313BC"/>
    <w:rsid w:val="00E31B5E"/>
    <w:rsid w:val="00E33428"/>
    <w:rsid w:val="00E33985"/>
    <w:rsid w:val="00E34709"/>
    <w:rsid w:val="00E355D6"/>
    <w:rsid w:val="00E365B7"/>
    <w:rsid w:val="00E36937"/>
    <w:rsid w:val="00E40CA7"/>
    <w:rsid w:val="00E42455"/>
    <w:rsid w:val="00E428A1"/>
    <w:rsid w:val="00E42DAA"/>
    <w:rsid w:val="00E446B2"/>
    <w:rsid w:val="00E45713"/>
    <w:rsid w:val="00E46169"/>
    <w:rsid w:val="00E46F56"/>
    <w:rsid w:val="00E47233"/>
    <w:rsid w:val="00E474B5"/>
    <w:rsid w:val="00E47C71"/>
    <w:rsid w:val="00E52CE2"/>
    <w:rsid w:val="00E53A09"/>
    <w:rsid w:val="00E54223"/>
    <w:rsid w:val="00E546BF"/>
    <w:rsid w:val="00E54A29"/>
    <w:rsid w:val="00E55294"/>
    <w:rsid w:val="00E5551A"/>
    <w:rsid w:val="00E55E47"/>
    <w:rsid w:val="00E56326"/>
    <w:rsid w:val="00E57389"/>
    <w:rsid w:val="00E57476"/>
    <w:rsid w:val="00E57B82"/>
    <w:rsid w:val="00E61792"/>
    <w:rsid w:val="00E61964"/>
    <w:rsid w:val="00E61BE7"/>
    <w:rsid w:val="00E628E5"/>
    <w:rsid w:val="00E62ED3"/>
    <w:rsid w:val="00E62F94"/>
    <w:rsid w:val="00E65002"/>
    <w:rsid w:val="00E6554B"/>
    <w:rsid w:val="00E66D2F"/>
    <w:rsid w:val="00E67A82"/>
    <w:rsid w:val="00E707F0"/>
    <w:rsid w:val="00E70CC9"/>
    <w:rsid w:val="00E72CBE"/>
    <w:rsid w:val="00E73198"/>
    <w:rsid w:val="00E734EB"/>
    <w:rsid w:val="00E73907"/>
    <w:rsid w:val="00E747EE"/>
    <w:rsid w:val="00E74846"/>
    <w:rsid w:val="00E7561F"/>
    <w:rsid w:val="00E757ED"/>
    <w:rsid w:val="00E758B4"/>
    <w:rsid w:val="00E75923"/>
    <w:rsid w:val="00E82496"/>
    <w:rsid w:val="00E82B0E"/>
    <w:rsid w:val="00E82BAD"/>
    <w:rsid w:val="00E8356F"/>
    <w:rsid w:val="00E84894"/>
    <w:rsid w:val="00E84AEB"/>
    <w:rsid w:val="00E85EA2"/>
    <w:rsid w:val="00E86996"/>
    <w:rsid w:val="00E87944"/>
    <w:rsid w:val="00E90C64"/>
    <w:rsid w:val="00E90C8A"/>
    <w:rsid w:val="00E920C6"/>
    <w:rsid w:val="00E923BC"/>
    <w:rsid w:val="00E937E5"/>
    <w:rsid w:val="00E957F3"/>
    <w:rsid w:val="00E96467"/>
    <w:rsid w:val="00E96998"/>
    <w:rsid w:val="00E9799F"/>
    <w:rsid w:val="00E97BB1"/>
    <w:rsid w:val="00EA0062"/>
    <w:rsid w:val="00EA20AA"/>
    <w:rsid w:val="00EA230B"/>
    <w:rsid w:val="00EA528D"/>
    <w:rsid w:val="00EA5FE1"/>
    <w:rsid w:val="00EA63C3"/>
    <w:rsid w:val="00EA6A44"/>
    <w:rsid w:val="00EB00AE"/>
    <w:rsid w:val="00EB08FF"/>
    <w:rsid w:val="00EB0D87"/>
    <w:rsid w:val="00EB1C75"/>
    <w:rsid w:val="00EB2195"/>
    <w:rsid w:val="00EB2D24"/>
    <w:rsid w:val="00EB43FD"/>
    <w:rsid w:val="00EB460B"/>
    <w:rsid w:val="00EB4E1D"/>
    <w:rsid w:val="00EB576F"/>
    <w:rsid w:val="00EB57E1"/>
    <w:rsid w:val="00EB5E50"/>
    <w:rsid w:val="00EB6396"/>
    <w:rsid w:val="00EB696C"/>
    <w:rsid w:val="00EB6C9B"/>
    <w:rsid w:val="00EB6CAF"/>
    <w:rsid w:val="00EC06C6"/>
    <w:rsid w:val="00EC0B67"/>
    <w:rsid w:val="00EC155E"/>
    <w:rsid w:val="00EC1AD9"/>
    <w:rsid w:val="00EC27CB"/>
    <w:rsid w:val="00EC2CF8"/>
    <w:rsid w:val="00EC2F29"/>
    <w:rsid w:val="00EC4CC6"/>
    <w:rsid w:val="00EC53E9"/>
    <w:rsid w:val="00EC5587"/>
    <w:rsid w:val="00EC5A89"/>
    <w:rsid w:val="00EC5D50"/>
    <w:rsid w:val="00EC76CB"/>
    <w:rsid w:val="00EC7A8E"/>
    <w:rsid w:val="00ED08A7"/>
    <w:rsid w:val="00ED0EAC"/>
    <w:rsid w:val="00ED11BC"/>
    <w:rsid w:val="00ED1FAA"/>
    <w:rsid w:val="00ED23C1"/>
    <w:rsid w:val="00ED3887"/>
    <w:rsid w:val="00ED4474"/>
    <w:rsid w:val="00ED48D6"/>
    <w:rsid w:val="00ED53F2"/>
    <w:rsid w:val="00ED574C"/>
    <w:rsid w:val="00ED5961"/>
    <w:rsid w:val="00ED5D45"/>
    <w:rsid w:val="00ED5EF1"/>
    <w:rsid w:val="00ED6247"/>
    <w:rsid w:val="00ED6D06"/>
    <w:rsid w:val="00ED7425"/>
    <w:rsid w:val="00ED77DB"/>
    <w:rsid w:val="00EE27DC"/>
    <w:rsid w:val="00EE296C"/>
    <w:rsid w:val="00EE3E3A"/>
    <w:rsid w:val="00EE4239"/>
    <w:rsid w:val="00EE4381"/>
    <w:rsid w:val="00EE4BAB"/>
    <w:rsid w:val="00EE4CB0"/>
    <w:rsid w:val="00EE5556"/>
    <w:rsid w:val="00EE5F72"/>
    <w:rsid w:val="00EE641A"/>
    <w:rsid w:val="00EE6B4B"/>
    <w:rsid w:val="00EE6D7F"/>
    <w:rsid w:val="00EF2275"/>
    <w:rsid w:val="00EF2898"/>
    <w:rsid w:val="00EF2F5F"/>
    <w:rsid w:val="00EF30F0"/>
    <w:rsid w:val="00EF4815"/>
    <w:rsid w:val="00EF64A5"/>
    <w:rsid w:val="00EF772D"/>
    <w:rsid w:val="00EF7EB9"/>
    <w:rsid w:val="00F00BCD"/>
    <w:rsid w:val="00F02B04"/>
    <w:rsid w:val="00F052E2"/>
    <w:rsid w:val="00F05EB6"/>
    <w:rsid w:val="00F06B12"/>
    <w:rsid w:val="00F0727E"/>
    <w:rsid w:val="00F10429"/>
    <w:rsid w:val="00F11B49"/>
    <w:rsid w:val="00F12641"/>
    <w:rsid w:val="00F131A3"/>
    <w:rsid w:val="00F14669"/>
    <w:rsid w:val="00F14C56"/>
    <w:rsid w:val="00F15930"/>
    <w:rsid w:val="00F166E6"/>
    <w:rsid w:val="00F1680C"/>
    <w:rsid w:val="00F209F2"/>
    <w:rsid w:val="00F20D5A"/>
    <w:rsid w:val="00F22B4F"/>
    <w:rsid w:val="00F22CCE"/>
    <w:rsid w:val="00F235C8"/>
    <w:rsid w:val="00F23EAB"/>
    <w:rsid w:val="00F24429"/>
    <w:rsid w:val="00F2556C"/>
    <w:rsid w:val="00F25C86"/>
    <w:rsid w:val="00F26877"/>
    <w:rsid w:val="00F268EF"/>
    <w:rsid w:val="00F301EF"/>
    <w:rsid w:val="00F30521"/>
    <w:rsid w:val="00F31CC2"/>
    <w:rsid w:val="00F33518"/>
    <w:rsid w:val="00F33C00"/>
    <w:rsid w:val="00F3473F"/>
    <w:rsid w:val="00F352F8"/>
    <w:rsid w:val="00F35488"/>
    <w:rsid w:val="00F35BF5"/>
    <w:rsid w:val="00F36CA7"/>
    <w:rsid w:val="00F37149"/>
    <w:rsid w:val="00F37934"/>
    <w:rsid w:val="00F37949"/>
    <w:rsid w:val="00F4132D"/>
    <w:rsid w:val="00F41393"/>
    <w:rsid w:val="00F42897"/>
    <w:rsid w:val="00F43C4B"/>
    <w:rsid w:val="00F45373"/>
    <w:rsid w:val="00F453FC"/>
    <w:rsid w:val="00F45AD3"/>
    <w:rsid w:val="00F503EC"/>
    <w:rsid w:val="00F50A54"/>
    <w:rsid w:val="00F51AC9"/>
    <w:rsid w:val="00F51AF7"/>
    <w:rsid w:val="00F52010"/>
    <w:rsid w:val="00F52D53"/>
    <w:rsid w:val="00F531DD"/>
    <w:rsid w:val="00F53460"/>
    <w:rsid w:val="00F54B63"/>
    <w:rsid w:val="00F55098"/>
    <w:rsid w:val="00F55D25"/>
    <w:rsid w:val="00F55E77"/>
    <w:rsid w:val="00F57089"/>
    <w:rsid w:val="00F60883"/>
    <w:rsid w:val="00F608C8"/>
    <w:rsid w:val="00F60F30"/>
    <w:rsid w:val="00F62B89"/>
    <w:rsid w:val="00F64A02"/>
    <w:rsid w:val="00F65FA6"/>
    <w:rsid w:val="00F663ED"/>
    <w:rsid w:val="00F67260"/>
    <w:rsid w:val="00F67986"/>
    <w:rsid w:val="00F67E3E"/>
    <w:rsid w:val="00F70658"/>
    <w:rsid w:val="00F70735"/>
    <w:rsid w:val="00F71492"/>
    <w:rsid w:val="00F71C88"/>
    <w:rsid w:val="00F726A1"/>
    <w:rsid w:val="00F73A26"/>
    <w:rsid w:val="00F74D3C"/>
    <w:rsid w:val="00F74F5A"/>
    <w:rsid w:val="00F751E4"/>
    <w:rsid w:val="00F75A19"/>
    <w:rsid w:val="00F75DC7"/>
    <w:rsid w:val="00F76DE9"/>
    <w:rsid w:val="00F770E6"/>
    <w:rsid w:val="00F77E32"/>
    <w:rsid w:val="00F8089E"/>
    <w:rsid w:val="00F81B54"/>
    <w:rsid w:val="00F8293D"/>
    <w:rsid w:val="00F82C8C"/>
    <w:rsid w:val="00F82DE8"/>
    <w:rsid w:val="00F83516"/>
    <w:rsid w:val="00F8372C"/>
    <w:rsid w:val="00F841E3"/>
    <w:rsid w:val="00F843FD"/>
    <w:rsid w:val="00F84507"/>
    <w:rsid w:val="00F8468A"/>
    <w:rsid w:val="00F84EFE"/>
    <w:rsid w:val="00F8583B"/>
    <w:rsid w:val="00F85941"/>
    <w:rsid w:val="00F859DE"/>
    <w:rsid w:val="00F86A21"/>
    <w:rsid w:val="00F86BBB"/>
    <w:rsid w:val="00F90FDF"/>
    <w:rsid w:val="00F919AA"/>
    <w:rsid w:val="00F91C41"/>
    <w:rsid w:val="00F9348D"/>
    <w:rsid w:val="00F94D93"/>
    <w:rsid w:val="00F9587F"/>
    <w:rsid w:val="00F959F2"/>
    <w:rsid w:val="00F9673E"/>
    <w:rsid w:val="00F96EFB"/>
    <w:rsid w:val="00F97115"/>
    <w:rsid w:val="00FA03ED"/>
    <w:rsid w:val="00FA096D"/>
    <w:rsid w:val="00FA0C65"/>
    <w:rsid w:val="00FA0CEA"/>
    <w:rsid w:val="00FA1584"/>
    <w:rsid w:val="00FA1694"/>
    <w:rsid w:val="00FA2AA4"/>
    <w:rsid w:val="00FA35D1"/>
    <w:rsid w:val="00FA4CEA"/>
    <w:rsid w:val="00FA4DBA"/>
    <w:rsid w:val="00FA4FF1"/>
    <w:rsid w:val="00FA56FE"/>
    <w:rsid w:val="00FA6903"/>
    <w:rsid w:val="00FA7A9B"/>
    <w:rsid w:val="00FB0097"/>
    <w:rsid w:val="00FB0462"/>
    <w:rsid w:val="00FB1779"/>
    <w:rsid w:val="00FB3D27"/>
    <w:rsid w:val="00FB52FD"/>
    <w:rsid w:val="00FB55F1"/>
    <w:rsid w:val="00FB5B85"/>
    <w:rsid w:val="00FB653C"/>
    <w:rsid w:val="00FC09A3"/>
    <w:rsid w:val="00FC09D7"/>
    <w:rsid w:val="00FC12EE"/>
    <w:rsid w:val="00FC18D7"/>
    <w:rsid w:val="00FC28EA"/>
    <w:rsid w:val="00FC297C"/>
    <w:rsid w:val="00FC2B42"/>
    <w:rsid w:val="00FC2BB5"/>
    <w:rsid w:val="00FC31B5"/>
    <w:rsid w:val="00FC3FDB"/>
    <w:rsid w:val="00FC464F"/>
    <w:rsid w:val="00FC4F68"/>
    <w:rsid w:val="00FC58BB"/>
    <w:rsid w:val="00FC67B7"/>
    <w:rsid w:val="00FC6F1A"/>
    <w:rsid w:val="00FC7350"/>
    <w:rsid w:val="00FC7924"/>
    <w:rsid w:val="00FC7A4D"/>
    <w:rsid w:val="00FD2D12"/>
    <w:rsid w:val="00FD32A1"/>
    <w:rsid w:val="00FD3BDF"/>
    <w:rsid w:val="00FD3CC6"/>
    <w:rsid w:val="00FD41D1"/>
    <w:rsid w:val="00FD497B"/>
    <w:rsid w:val="00FD546C"/>
    <w:rsid w:val="00FD5639"/>
    <w:rsid w:val="00FD5C75"/>
    <w:rsid w:val="00FD5D42"/>
    <w:rsid w:val="00FD687B"/>
    <w:rsid w:val="00FD6A4A"/>
    <w:rsid w:val="00FD6EB9"/>
    <w:rsid w:val="00FD75AD"/>
    <w:rsid w:val="00FE18B2"/>
    <w:rsid w:val="00FE31C7"/>
    <w:rsid w:val="00FE33B9"/>
    <w:rsid w:val="00FE36FA"/>
    <w:rsid w:val="00FE4EFF"/>
    <w:rsid w:val="00FE6D4A"/>
    <w:rsid w:val="00FE75AE"/>
    <w:rsid w:val="00FF0AA6"/>
    <w:rsid w:val="00FF0AC5"/>
    <w:rsid w:val="00FF183D"/>
    <w:rsid w:val="00FF1870"/>
    <w:rsid w:val="00FF194D"/>
    <w:rsid w:val="00FF231E"/>
    <w:rsid w:val="00FF283C"/>
    <w:rsid w:val="00FF4026"/>
    <w:rsid w:val="00FF43D0"/>
    <w:rsid w:val="00FF4B2B"/>
    <w:rsid w:val="00FF4CAE"/>
    <w:rsid w:val="00FF6703"/>
    <w:rsid w:val="02851950"/>
    <w:rsid w:val="02DC0CBC"/>
    <w:rsid w:val="03122162"/>
    <w:rsid w:val="04F04ECE"/>
    <w:rsid w:val="061F7EED"/>
    <w:rsid w:val="06C16DB2"/>
    <w:rsid w:val="0A252B7E"/>
    <w:rsid w:val="0E511B0C"/>
    <w:rsid w:val="0F8B5D28"/>
    <w:rsid w:val="11DF2FE2"/>
    <w:rsid w:val="1330168A"/>
    <w:rsid w:val="14463418"/>
    <w:rsid w:val="16CD6B14"/>
    <w:rsid w:val="16EB1D1C"/>
    <w:rsid w:val="16F75C3C"/>
    <w:rsid w:val="178E74E3"/>
    <w:rsid w:val="186A0A26"/>
    <w:rsid w:val="18A233A8"/>
    <w:rsid w:val="1B0E2C93"/>
    <w:rsid w:val="1BB64F0E"/>
    <w:rsid w:val="1EB0462E"/>
    <w:rsid w:val="21315582"/>
    <w:rsid w:val="24F70006"/>
    <w:rsid w:val="262A49F9"/>
    <w:rsid w:val="27903626"/>
    <w:rsid w:val="28354C3E"/>
    <w:rsid w:val="284528FD"/>
    <w:rsid w:val="2B7B6886"/>
    <w:rsid w:val="2BEA12A8"/>
    <w:rsid w:val="2C681FA4"/>
    <w:rsid w:val="2E3C2B1B"/>
    <w:rsid w:val="31BC1842"/>
    <w:rsid w:val="33A574A7"/>
    <w:rsid w:val="34686A35"/>
    <w:rsid w:val="358213A4"/>
    <w:rsid w:val="36476289"/>
    <w:rsid w:val="364D5F8D"/>
    <w:rsid w:val="39871B98"/>
    <w:rsid w:val="3B753C58"/>
    <w:rsid w:val="3C6B272C"/>
    <w:rsid w:val="3CC358E6"/>
    <w:rsid w:val="3D1C4E67"/>
    <w:rsid w:val="3DC0767D"/>
    <w:rsid w:val="3E570868"/>
    <w:rsid w:val="3E6B0402"/>
    <w:rsid w:val="3E8649A0"/>
    <w:rsid w:val="4433317D"/>
    <w:rsid w:val="467A1207"/>
    <w:rsid w:val="47351CE1"/>
    <w:rsid w:val="47783E58"/>
    <w:rsid w:val="48B66BB6"/>
    <w:rsid w:val="48E94354"/>
    <w:rsid w:val="4991107D"/>
    <w:rsid w:val="49947E32"/>
    <w:rsid w:val="4A0D16B1"/>
    <w:rsid w:val="4A606AE5"/>
    <w:rsid w:val="4DE56753"/>
    <w:rsid w:val="4FCB29E2"/>
    <w:rsid w:val="51542C8B"/>
    <w:rsid w:val="52542CE1"/>
    <w:rsid w:val="535D3F63"/>
    <w:rsid w:val="55253741"/>
    <w:rsid w:val="5B3E52B1"/>
    <w:rsid w:val="5BD71429"/>
    <w:rsid w:val="5CD14E60"/>
    <w:rsid w:val="5F671367"/>
    <w:rsid w:val="5F9749FC"/>
    <w:rsid w:val="64B523B7"/>
    <w:rsid w:val="64FB603A"/>
    <w:rsid w:val="674A7F9F"/>
    <w:rsid w:val="688F605D"/>
    <w:rsid w:val="69EF41D3"/>
    <w:rsid w:val="6B1D7B87"/>
    <w:rsid w:val="6B7C0A68"/>
    <w:rsid w:val="6C542499"/>
    <w:rsid w:val="6DBD5004"/>
    <w:rsid w:val="6DE708C0"/>
    <w:rsid w:val="70BB1E43"/>
    <w:rsid w:val="735D5F3E"/>
    <w:rsid w:val="76DE6CD9"/>
    <w:rsid w:val="77CD2AEE"/>
    <w:rsid w:val="780B2500"/>
    <w:rsid w:val="789620E4"/>
    <w:rsid w:val="7ED8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3"/>
    <w:qFormat/>
    <w:uiPriority w:val="0"/>
    <w:pPr>
      <w:jc w:val="left"/>
    </w:pPr>
  </w:style>
  <w:style w:type="paragraph" w:styleId="8">
    <w:name w:val="Body Text"/>
    <w:basedOn w:val="1"/>
    <w:link w:val="4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54"/>
    <w:qFormat/>
    <w:uiPriority w:val="99"/>
    <w:pPr>
      <w:tabs>
        <w:tab w:val="center" w:pos="4153"/>
        <w:tab w:val="right" w:pos="8306"/>
      </w:tabs>
      <w:snapToGrid w:val="0"/>
      <w:jc w:val="left"/>
    </w:pPr>
    <w:rPr>
      <w:sz w:val="18"/>
    </w:rPr>
  </w:style>
  <w:style w:type="paragraph" w:styleId="14">
    <w:name w:val="header"/>
    <w:basedOn w:val="1"/>
    <w:link w:val="5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next w:val="1"/>
    <w:link w:val="50"/>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styleId="26">
    <w:name w:val="footnote reference"/>
    <w:qFormat/>
    <w:uiPriority w:val="0"/>
    <w:rPr>
      <w:vertAlign w:val="superscript"/>
    </w:rPr>
  </w:style>
  <w:style w:type="paragraph" w:customStyle="1" w:styleId="27">
    <w:name w:val="Char Char"/>
    <w:basedOn w:val="1"/>
    <w:qFormat/>
    <w:uiPriority w:val="0"/>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unnamed1"/>
    <w:basedOn w:val="1"/>
    <w:qFormat/>
    <w:uiPriority w:val="0"/>
    <w:pPr>
      <w:spacing w:before="60" w:after="60"/>
      <w:ind w:left="15" w:right="15"/>
    </w:pPr>
    <w:rPr>
      <w:rFonts w:hint="eastAsia" w:ascii="宋体" w:hAnsi="宋体"/>
      <w:color w:val="000000"/>
      <w:sz w:val="18"/>
      <w:szCs w:val="18"/>
    </w:rPr>
  </w:style>
  <w:style w:type="paragraph" w:customStyle="1" w:styleId="30">
    <w:name w:val="List_bullet"/>
    <w:basedOn w:val="1"/>
    <w:qFormat/>
    <w:uiPriority w:val="0"/>
    <w:pPr>
      <w:widowControl/>
      <w:numPr>
        <w:ilvl w:val="0"/>
        <w:numId w:val="1"/>
      </w:numPr>
      <w:jc w:val="left"/>
    </w:pPr>
    <w:rPr>
      <w:kern w:val="0"/>
      <w:sz w:val="24"/>
    </w:rPr>
  </w:style>
  <w:style w:type="paragraph" w:customStyle="1" w:styleId="31">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正文"/>
    <w:basedOn w:val="1"/>
    <w:qFormat/>
    <w:uiPriority w:val="0"/>
    <w:pPr>
      <w:spacing w:afterLines="25" w:line="360" w:lineRule="auto"/>
      <w:ind w:firstLine="200" w:firstLineChars="200"/>
    </w:pPr>
    <w:rPr>
      <w:sz w:val="24"/>
    </w:rPr>
  </w:style>
  <w:style w:type="paragraph" w:customStyle="1" w:styleId="33">
    <w:name w:val="Char"/>
    <w:basedOn w:val="1"/>
    <w:qFormat/>
    <w:uiPriority w:val="0"/>
  </w:style>
  <w:style w:type="paragraph" w:customStyle="1" w:styleId="34">
    <w:name w:val="Char2"/>
    <w:basedOn w:val="1"/>
    <w:qFormat/>
    <w:uiPriority w:val="0"/>
  </w:style>
  <w:style w:type="paragraph" w:customStyle="1" w:styleId="35">
    <w:name w:val="Char Char Char"/>
    <w:basedOn w:val="1"/>
    <w:qFormat/>
    <w:uiPriority w:val="0"/>
  </w:style>
  <w:style w:type="paragraph" w:customStyle="1" w:styleId="36">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7">
    <w:name w:val="Char Char Char Char"/>
    <w:basedOn w:val="1"/>
    <w:qFormat/>
    <w:uiPriority w:val="0"/>
    <w:pPr>
      <w:tabs>
        <w:tab w:val="left" w:pos="360"/>
      </w:tabs>
    </w:pPr>
  </w:style>
  <w:style w:type="paragraph" w:customStyle="1" w:styleId="38">
    <w:name w:val="Char Char1"/>
    <w:basedOn w:val="1"/>
    <w:qFormat/>
    <w:uiPriority w:val="0"/>
  </w:style>
  <w:style w:type="paragraph" w:customStyle="1" w:styleId="39">
    <w:name w:val="正文所"/>
    <w:basedOn w:val="1"/>
    <w:qFormat/>
    <w:uiPriority w:val="0"/>
    <w:pPr>
      <w:spacing w:line="360" w:lineRule="auto"/>
      <w:ind w:firstLine="420" w:firstLineChars="200"/>
    </w:pPr>
    <w:rPr>
      <w:rFonts w:ascii="宋体"/>
    </w:rPr>
  </w:style>
  <w:style w:type="paragraph" w:customStyle="1" w:styleId="40">
    <w:name w:val="Char Char3"/>
    <w:basedOn w:val="1"/>
    <w:qFormat/>
    <w:uiPriority w:val="0"/>
  </w:style>
  <w:style w:type="paragraph" w:customStyle="1" w:styleId="41">
    <w:name w:val="修订1"/>
    <w:hidden/>
    <w:semiHidden/>
    <w:qFormat/>
    <w:uiPriority w:val="99"/>
    <w:rPr>
      <w:rFonts w:ascii="Times New Roman" w:hAnsi="Times New Roman" w:eastAsia="宋体" w:cs="Times New Roman"/>
      <w:kern w:val="2"/>
      <w:sz w:val="21"/>
      <w:lang w:val="en-US" w:eastAsia="zh-CN" w:bidi="ar-SA"/>
    </w:rPr>
  </w:style>
  <w:style w:type="paragraph" w:customStyle="1" w:styleId="42">
    <w:name w:val="Char Char2"/>
    <w:basedOn w:val="1"/>
    <w:qFormat/>
    <w:uiPriority w:val="0"/>
  </w:style>
  <w:style w:type="paragraph" w:customStyle="1" w:styleId="43">
    <w:name w:val="Char1"/>
    <w:basedOn w:val="1"/>
    <w:qFormat/>
    <w:uiPriority w:val="0"/>
  </w:style>
  <w:style w:type="paragraph" w:customStyle="1" w:styleId="44">
    <w:name w:val="Char Char Char1"/>
    <w:basedOn w:val="1"/>
    <w:qFormat/>
    <w:uiPriority w:val="0"/>
  </w:style>
  <w:style w:type="paragraph" w:customStyle="1" w:styleId="45">
    <w:name w:val="Char Char Char Char1"/>
    <w:basedOn w:val="1"/>
    <w:qFormat/>
    <w:uiPriority w:val="0"/>
    <w:pPr>
      <w:tabs>
        <w:tab w:val="left" w:pos="360"/>
      </w:tabs>
    </w:pPr>
  </w:style>
  <w:style w:type="paragraph" w:customStyle="1" w:styleId="46">
    <w:name w:val="Char Char11"/>
    <w:basedOn w:val="1"/>
    <w:qFormat/>
    <w:uiPriority w:val="0"/>
  </w:style>
  <w:style w:type="paragraph" w:customStyle="1" w:styleId="47">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正文文本 字符"/>
    <w:link w:val="8"/>
    <w:qFormat/>
    <w:uiPriority w:val="0"/>
    <w:rPr>
      <w:rFonts w:ascii="宋体"/>
    </w:rPr>
  </w:style>
  <w:style w:type="character" w:customStyle="1" w:styleId="49">
    <w:name w:val="unnamed11"/>
    <w:qFormat/>
    <w:uiPriority w:val="0"/>
    <w:rPr>
      <w:rFonts w:hint="eastAsia" w:ascii="宋体" w:hAnsi="宋体" w:eastAsia="宋体"/>
      <w:sz w:val="18"/>
    </w:rPr>
  </w:style>
  <w:style w:type="character" w:customStyle="1" w:styleId="50">
    <w:name w:val="标题 字符"/>
    <w:link w:val="19"/>
    <w:qFormat/>
    <w:uiPriority w:val="0"/>
    <w:rPr>
      <w:rFonts w:ascii="Cambria" w:hAnsi="Cambria"/>
      <w:b/>
      <w:kern w:val="2"/>
      <w:sz w:val="32"/>
    </w:rPr>
  </w:style>
  <w:style w:type="character" w:customStyle="1" w:styleId="51">
    <w:name w:val="页眉 字符"/>
    <w:link w:val="14"/>
    <w:qFormat/>
    <w:uiPriority w:val="0"/>
    <w:rPr>
      <w:kern w:val="2"/>
      <w:sz w:val="18"/>
    </w:rPr>
  </w:style>
  <w:style w:type="character" w:customStyle="1" w:styleId="52">
    <w:name w:val="read"/>
    <w:basedOn w:val="22"/>
    <w:qFormat/>
    <w:uiPriority w:val="0"/>
  </w:style>
  <w:style w:type="character" w:customStyle="1" w:styleId="53">
    <w:name w:val="批注文字 字符"/>
    <w:link w:val="7"/>
    <w:qFormat/>
    <w:uiPriority w:val="0"/>
    <w:rPr>
      <w:kern w:val="2"/>
      <w:sz w:val="21"/>
    </w:rPr>
  </w:style>
  <w:style w:type="character" w:customStyle="1" w:styleId="54">
    <w:name w:val="页脚 字符"/>
    <w:link w:val="13"/>
    <w:qFormat/>
    <w:uiPriority w:val="99"/>
    <w:rPr>
      <w:kern w:val="2"/>
      <w:sz w:val="18"/>
    </w:rPr>
  </w:style>
  <w:style w:type="paragraph" w:customStyle="1" w:styleId="55">
    <w:name w:val="Char Char Char Char2"/>
    <w:basedOn w:val="1"/>
    <w:qFormat/>
    <w:uiPriority w:val="0"/>
    <w:pPr>
      <w:tabs>
        <w:tab w:val="left" w:pos="360"/>
      </w:tabs>
    </w:pPr>
  </w:style>
  <w:style w:type="paragraph" w:customStyle="1" w:styleId="56">
    <w:name w:val="Char Char12"/>
    <w:basedOn w:val="1"/>
    <w:qFormat/>
    <w:uiPriority w:val="0"/>
  </w:style>
  <w:style w:type="paragraph" w:customStyle="1" w:styleId="57">
    <w:name w:val="Char3"/>
    <w:basedOn w:val="1"/>
    <w:qFormat/>
    <w:uiPriority w:val="0"/>
  </w:style>
  <w:style w:type="paragraph" w:customStyle="1" w:styleId="58">
    <w:name w:val="Char Char4"/>
    <w:basedOn w:val="1"/>
    <w:qFormat/>
    <w:uiPriority w:val="0"/>
  </w:style>
  <w:style w:type="paragraph" w:customStyle="1" w:styleId="59">
    <w:name w:val="Char Char Char2"/>
    <w:basedOn w:val="1"/>
    <w:qFormat/>
    <w:uiPriority w:val="0"/>
  </w:style>
  <w:style w:type="paragraph" w:customStyle="1" w:styleId="60">
    <w:name w:val="修订2"/>
    <w:hidden/>
    <w:semiHidden/>
    <w:qFormat/>
    <w:uiPriority w:val="99"/>
    <w:rPr>
      <w:rFonts w:ascii="Times New Roman" w:hAnsi="Times New Roman" w:eastAsia="宋体" w:cs="Times New Roman"/>
      <w:kern w:val="2"/>
      <w:sz w:val="21"/>
      <w:lang w:val="en-US" w:eastAsia="zh-CN" w:bidi="ar-SA"/>
    </w:rPr>
  </w:style>
  <w:style w:type="paragraph" w:customStyle="1" w:styleId="61">
    <w:name w:val="Char Char5"/>
    <w:basedOn w:val="1"/>
    <w:qFormat/>
    <w:uiPriority w:val="0"/>
  </w:style>
  <w:style w:type="paragraph" w:customStyle="1" w:styleId="62">
    <w:name w:val="Char4"/>
    <w:basedOn w:val="1"/>
    <w:qFormat/>
    <w:uiPriority w:val="0"/>
  </w:style>
  <w:style w:type="paragraph" w:customStyle="1" w:styleId="63">
    <w:name w:val="Char Char Char3"/>
    <w:basedOn w:val="1"/>
    <w:qFormat/>
    <w:uiPriority w:val="0"/>
  </w:style>
  <w:style w:type="paragraph" w:customStyle="1" w:styleId="64">
    <w:name w:val="Char Char Char Char3"/>
    <w:basedOn w:val="1"/>
    <w:qFormat/>
    <w:uiPriority w:val="0"/>
    <w:pPr>
      <w:tabs>
        <w:tab w:val="left" w:pos="360"/>
      </w:tabs>
    </w:pPr>
  </w:style>
  <w:style w:type="paragraph" w:customStyle="1" w:styleId="65">
    <w:name w:val="Char Char13"/>
    <w:basedOn w:val="1"/>
    <w:qFormat/>
    <w:uiPriority w:val="0"/>
  </w:style>
  <w:style w:type="paragraph" w:customStyle="1" w:styleId="66">
    <w:name w:val="修订3"/>
    <w:hidden/>
    <w:semiHidden/>
    <w:qFormat/>
    <w:uiPriority w:val="99"/>
    <w:rPr>
      <w:rFonts w:ascii="Times New Roman" w:hAnsi="Times New Roman" w:eastAsia="宋体" w:cs="Times New Roman"/>
      <w:kern w:val="2"/>
      <w:sz w:val="21"/>
      <w:lang w:val="en-US" w:eastAsia="zh-CN" w:bidi="ar-SA"/>
    </w:rPr>
  </w:style>
  <w:style w:type="character" w:customStyle="1" w:styleId="67">
    <w:name w:val="grame"/>
    <w:basedOn w:val="22"/>
    <w:qFormat/>
    <w:uiPriority w:val="0"/>
  </w:style>
  <w:style w:type="character" w:customStyle="1" w:styleId="68">
    <w:name w:val="正文文本 Char"/>
    <w:qFormat/>
    <w:uiPriority w:val="0"/>
    <w:rPr>
      <w:rFonts w:ascii="宋体"/>
    </w:rPr>
  </w:style>
  <w:style w:type="character" w:customStyle="1" w:styleId="69">
    <w:name w:val="标题 Char"/>
    <w:qFormat/>
    <w:uiPriority w:val="0"/>
    <w:rPr>
      <w:rFonts w:ascii="Cambria" w:hAnsi="Cambria"/>
      <w:b/>
      <w:kern w:val="2"/>
      <w:sz w:val="32"/>
    </w:rPr>
  </w:style>
  <w:style w:type="character" w:customStyle="1" w:styleId="70">
    <w:name w:val="页眉 Char"/>
    <w:qFormat/>
    <w:uiPriority w:val="0"/>
    <w:rPr>
      <w:rFonts w:eastAsia="宋体"/>
      <w:kern w:val="2"/>
      <w:sz w:val="18"/>
      <w:lang w:val="en-US" w:eastAsia="zh-CN"/>
    </w:rPr>
  </w:style>
  <w:style w:type="character" w:customStyle="1" w:styleId="71">
    <w:name w:val="批注文字 Char"/>
    <w:qFormat/>
    <w:uiPriority w:val="0"/>
    <w:rPr>
      <w:kern w:val="2"/>
      <w:sz w:val="21"/>
    </w:rPr>
  </w:style>
  <w:style w:type="character" w:customStyle="1" w:styleId="72">
    <w:name w:val="页脚 Char"/>
    <w:qFormat/>
    <w:uiPriority w:val="0"/>
    <w:rPr>
      <w:kern w:val="2"/>
      <w:sz w:val="18"/>
    </w:rPr>
  </w:style>
  <w:style w:type="paragraph" w:styleId="73">
    <w:name w:val="List Paragraph"/>
    <w:basedOn w:val="1"/>
    <w:qFormat/>
    <w:uiPriority w:val="99"/>
    <w:pPr>
      <w:ind w:firstLine="420" w:firstLineChars="200"/>
    </w:pPr>
  </w:style>
  <w:style w:type="character" w:customStyle="1" w:styleId="74">
    <w:name w:val="bumpedfont15"/>
    <w:qFormat/>
    <w:uiPriority w:val="0"/>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paragraph" w:customStyle="1" w:styleId="76">
    <w:name w:val="修订5"/>
    <w:hidden/>
    <w:semiHidden/>
    <w:qFormat/>
    <w:uiPriority w:val="99"/>
    <w:rPr>
      <w:rFonts w:ascii="Times New Roman" w:hAnsi="Times New Roman" w:eastAsia="宋体" w:cs="Times New Roman"/>
      <w:kern w:val="2"/>
      <w:sz w:val="21"/>
      <w:lang w:val="en-US" w:eastAsia="zh-CN" w:bidi="ar-SA"/>
    </w:rPr>
  </w:style>
  <w:style w:type="paragraph" w:customStyle="1" w:styleId="77">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AF51-C17D-4F68-85E7-11269C1F3322}">
  <ds:schemaRefs/>
</ds:datastoreItem>
</file>

<file path=customXml/itemProps2.xml><?xml version="1.0" encoding="utf-8"?>
<ds:datastoreItem xmlns:ds="http://schemas.openxmlformats.org/officeDocument/2006/customXml" ds:itemID="{EA490A04-FD33-44A2-B4B1-FB756B99607F}">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104</Pages>
  <Words>10660</Words>
  <Characters>60767</Characters>
  <Lines>506</Lines>
  <Paragraphs>142</Paragraphs>
  <TotalTime>126</TotalTime>
  <ScaleCrop>false</ScaleCrop>
  <LinksUpToDate>false</LinksUpToDate>
  <CharactersWithSpaces>71285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2023-08-16T10:03:00Z</dcterms:created>
  <dc:creator>liufang</dc:creator>
  <cp:lastModifiedBy>Liwen Xiao</cp:lastModifiedBy>
  <cp:lastPrinted>2023-08-17T07:11:00Z</cp:lastPrinted>
  <dcterms:modified xsi:type="dcterms:W3CDTF">2024-09-23T06:53:14Z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contractId">
    <vt:lpwstr>9338bf2d00644626aa9b2de287ced56a</vt:lpwstr>
  </property>
  <property fmtid="{D5CDD505-2E9C-101B-9397-08002B2CF9AE}" pid="4" name="verificationId">
    <vt:lpwstr>b7c47de0b3d0cf99</vt:lpwstr>
  </property>
  <property fmtid="{D5CDD505-2E9C-101B-9397-08002B2CF9AE}" pid="5" name="ICV">
    <vt:lpwstr>25FFE233633C472BA6EA2EF48B137957_13</vt:lpwstr>
  </property>
</Properties>
</file>