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sz w:val="28"/>
          <w:szCs w:val="28"/>
          <w14:shadow w14:blurRad="50800" w14:dist="38100" w14:dir="2700000" w14:sx="100000" w14:sy="100000" w14:kx="0" w14:ky="0" w14:algn="tl">
            <w14:srgbClr w14:val="000000">
              <w14:alpha w14:val="60000"/>
            </w14:srgbClr>
          </w14:shadow>
        </w:rPr>
      </w:pPr>
    </w:p>
    <w:p>
      <w:pPr>
        <w:spacing w:line="360" w:lineRule="auto"/>
        <w:jc w:val="center"/>
        <w:rPr>
          <w:rFonts w:ascii="宋体" w:hAnsi="宋体"/>
          <w:b/>
          <w:sz w:val="48"/>
        </w:rPr>
      </w:pPr>
      <w:r>
        <w:rPr>
          <w:rFonts w:hint="eastAsia"/>
          <w:b/>
          <w:sz w:val="48"/>
        </w:rPr>
        <w:t>博时季季兴90天滚动持有债券型证券投资基金</w:t>
      </w:r>
      <w:r>
        <w:rPr>
          <w:rFonts w:hint="eastAsia" w:ascii="宋体" w:hAnsi="宋体"/>
          <w:b/>
          <w:sz w:val="48"/>
        </w:rPr>
        <w:t>托管协议</w:t>
      </w:r>
    </w:p>
    <w:p>
      <w:pPr>
        <w:spacing w:line="360" w:lineRule="auto"/>
        <w:jc w:val="center"/>
        <w:rPr>
          <w:rFonts w:ascii="宋体" w:hAnsi="宋体"/>
          <w:b/>
          <w:sz w:val="48"/>
        </w:rPr>
      </w:pPr>
    </w:p>
    <w:p>
      <w:pPr>
        <w:pStyle w:val="10"/>
        <w:spacing w:line="520" w:lineRule="exact"/>
        <w:ind w:left="0"/>
        <w:rPr>
          <w:rFonts w:hAnsi="宋体"/>
          <w:sz w:val="44"/>
          <w:szCs w:val="44"/>
        </w:rPr>
      </w:pPr>
    </w:p>
    <w:p>
      <w:pPr>
        <w:pStyle w:val="10"/>
        <w:spacing w:line="520" w:lineRule="exact"/>
        <w:ind w:firstLine="560"/>
        <w:rPr>
          <w:rFonts w:hAnsi="宋体"/>
          <w:sz w:val="28"/>
          <w:szCs w:val="28"/>
        </w:rPr>
      </w:pPr>
    </w:p>
    <w:p>
      <w:pPr>
        <w:pStyle w:val="10"/>
        <w:spacing w:line="520" w:lineRule="exact"/>
        <w:ind w:firstLine="560"/>
        <w:rPr>
          <w:rFonts w:hAnsi="宋体"/>
          <w:sz w:val="28"/>
          <w:szCs w:val="28"/>
        </w:rPr>
      </w:pPr>
    </w:p>
    <w:p>
      <w:pPr>
        <w:pStyle w:val="10"/>
        <w:spacing w:line="520" w:lineRule="exact"/>
        <w:ind w:firstLine="560"/>
        <w:rPr>
          <w:rFonts w:hAnsi="宋体"/>
          <w:sz w:val="28"/>
          <w:szCs w:val="28"/>
        </w:rPr>
      </w:pPr>
    </w:p>
    <w:p>
      <w:pPr>
        <w:pStyle w:val="10"/>
        <w:spacing w:line="520" w:lineRule="exact"/>
        <w:ind w:firstLine="560"/>
        <w:rPr>
          <w:rFonts w:hAnsi="宋体"/>
          <w:sz w:val="28"/>
          <w:szCs w:val="28"/>
        </w:rPr>
      </w:pPr>
    </w:p>
    <w:p>
      <w:pPr>
        <w:spacing w:line="360" w:lineRule="auto"/>
        <w:jc w:val="center"/>
        <w:rPr>
          <w:rFonts w:ascii="宋体" w:hAnsi="宋体"/>
          <w:b/>
          <w:sz w:val="36"/>
        </w:rPr>
      </w:pPr>
      <w:bookmarkStart w:id="0" w:name="_Toc139992301"/>
      <w:bookmarkStart w:id="1" w:name="_Toc123112224"/>
      <w:bookmarkStart w:id="2" w:name="_Toc139991726"/>
      <w:bookmarkStart w:id="3" w:name="_Toc123112263"/>
      <w:bookmarkStart w:id="4" w:name="_Toc123701383"/>
      <w:r>
        <w:rPr>
          <w:rFonts w:ascii="宋体" w:hAnsi="宋体"/>
          <w:b/>
          <w:sz w:val="36"/>
        </w:rPr>
        <w:t>基金管理人：</w:t>
      </w:r>
      <w:bookmarkEnd w:id="0"/>
      <w:bookmarkEnd w:id="1"/>
      <w:bookmarkEnd w:id="2"/>
      <w:bookmarkEnd w:id="3"/>
      <w:bookmarkEnd w:id="4"/>
      <w:r>
        <w:rPr>
          <w:rFonts w:hint="eastAsia" w:ascii="宋体" w:hAnsi="宋体"/>
          <w:b/>
          <w:sz w:val="36"/>
        </w:rPr>
        <w:t>博时基金管理有限公司</w:t>
      </w:r>
    </w:p>
    <w:p>
      <w:pPr>
        <w:spacing w:line="360" w:lineRule="auto"/>
        <w:jc w:val="center"/>
        <w:rPr>
          <w:rFonts w:ascii="宋体" w:hAnsi="宋体"/>
          <w:b/>
          <w:sz w:val="36"/>
        </w:rPr>
      </w:pPr>
      <w:bookmarkStart w:id="5" w:name="_Toc139991727"/>
      <w:bookmarkStart w:id="6" w:name="_Toc123112264"/>
      <w:bookmarkStart w:id="7" w:name="_Toc123701384"/>
      <w:bookmarkStart w:id="8" w:name="_Toc123112225"/>
      <w:bookmarkStart w:id="9" w:name="_Toc139992302"/>
      <w:r>
        <w:rPr>
          <w:rFonts w:ascii="宋体" w:hAnsi="宋体"/>
          <w:b/>
          <w:sz w:val="36"/>
        </w:rPr>
        <w:t>基金托管人：</w:t>
      </w:r>
      <w:r>
        <w:rPr>
          <w:rFonts w:hint="eastAsia" w:ascii="宋体" w:hAnsi="宋体"/>
          <w:b/>
          <w:sz w:val="36"/>
        </w:rPr>
        <w:t>中信银行股份有限公司</w:t>
      </w:r>
      <w:bookmarkEnd w:id="5"/>
      <w:bookmarkEnd w:id="6"/>
      <w:bookmarkEnd w:id="7"/>
      <w:bookmarkEnd w:id="8"/>
      <w:bookmarkEnd w:id="9"/>
    </w:p>
    <w:p>
      <w:pPr>
        <w:spacing w:line="360" w:lineRule="auto"/>
        <w:jc w:val="center"/>
        <w:rPr>
          <w:rFonts w:ascii="宋体" w:hAnsi="宋体"/>
          <w:b/>
          <w:bCs/>
          <w:sz w:val="28"/>
          <w:szCs w:val="28"/>
        </w:rPr>
      </w:pPr>
    </w:p>
    <w:p>
      <w:pPr>
        <w:spacing w:line="360" w:lineRule="auto"/>
        <w:ind w:firstLine="562" w:firstLineChars="200"/>
        <w:jc w:val="center"/>
        <w:rPr>
          <w:rFonts w:ascii="宋体" w:hAnsi="宋体"/>
          <w:b/>
          <w:bCs/>
          <w:sz w:val="28"/>
          <w:szCs w:val="28"/>
        </w:rPr>
        <w:sectPr>
          <w:footerReference r:id="rId5" w:type="first"/>
          <w:footerReference r:id="rId3" w:type="default"/>
          <w:footerReference r:id="rId4" w:type="even"/>
          <w:pgSz w:w="11907" w:h="16840"/>
          <w:pgMar w:top="1090" w:right="1678" w:bottom="935" w:left="1678" w:header="720" w:footer="720" w:gutter="0"/>
          <w:pgNumType w:start="0"/>
          <w:cols w:space="720" w:num="1"/>
          <w:titlePg/>
        </w:sectPr>
      </w:pPr>
    </w:p>
    <w:p>
      <w:pPr>
        <w:spacing w:line="360" w:lineRule="auto"/>
        <w:ind w:firstLine="562" w:firstLineChars="200"/>
        <w:jc w:val="center"/>
        <w:rPr>
          <w:rFonts w:ascii="宋体" w:hAnsi="宋体"/>
          <w:b/>
          <w:bCs/>
          <w:sz w:val="28"/>
          <w:szCs w:val="28"/>
        </w:rPr>
      </w:pPr>
      <w:r>
        <w:rPr>
          <w:rFonts w:hint="eastAsia" w:ascii="宋体" w:hAnsi="宋体"/>
          <w:b/>
          <w:bCs/>
          <w:sz w:val="28"/>
          <w:szCs w:val="28"/>
        </w:rPr>
        <w:t>目录</w:t>
      </w:r>
    </w:p>
    <w:p>
      <w:pPr>
        <w:spacing w:line="360" w:lineRule="auto"/>
        <w:ind w:firstLine="562" w:firstLineChars="200"/>
        <w:jc w:val="center"/>
        <w:rPr>
          <w:rFonts w:ascii="宋体" w:hAnsi="宋体"/>
          <w:b/>
          <w:bCs/>
          <w:sz w:val="28"/>
          <w:szCs w:val="28"/>
        </w:rPr>
      </w:pPr>
    </w:p>
    <w:p>
      <w:pPr>
        <w:pStyle w:val="14"/>
        <w:rPr>
          <w:rFonts w:asciiTheme="minorHAnsi" w:hAnsiTheme="minorHAnsi" w:eastAsiaTheme="minorEastAsia" w:cstheme="minorBidi"/>
          <w:sz w:val="21"/>
          <w:szCs w:val="22"/>
        </w:rPr>
      </w:pPr>
      <w:r>
        <w:rPr>
          <w:b/>
          <w:sz w:val="28"/>
          <w:szCs w:val="28"/>
        </w:rPr>
        <w:fldChar w:fldCharType="begin"/>
      </w:r>
      <w:r>
        <w:rPr>
          <w:b/>
          <w:sz w:val="28"/>
          <w:szCs w:val="28"/>
        </w:rPr>
        <w:instrText xml:space="preserve"> </w:instrText>
      </w:r>
      <w:r>
        <w:rPr>
          <w:rFonts w:hint="eastAsia"/>
          <w:b/>
          <w:sz w:val="28"/>
          <w:szCs w:val="28"/>
        </w:rPr>
        <w:instrText xml:space="preserve">TOC \o "1-1" \h \z \u</w:instrText>
      </w:r>
      <w:r>
        <w:rPr>
          <w:b/>
          <w:sz w:val="28"/>
          <w:szCs w:val="28"/>
        </w:rPr>
        <w:instrText xml:space="preserve"> </w:instrText>
      </w:r>
      <w:r>
        <w:rPr>
          <w:b/>
          <w:sz w:val="28"/>
          <w:szCs w:val="28"/>
        </w:rPr>
        <w:fldChar w:fldCharType="separate"/>
      </w:r>
      <w:r>
        <w:fldChar w:fldCharType="begin"/>
      </w:r>
      <w:r>
        <w:instrText xml:space="preserve"> HYPERLINK \l "_Toc142055705" </w:instrText>
      </w:r>
      <w:r>
        <w:fldChar w:fldCharType="separate"/>
      </w:r>
      <w:r>
        <w:rPr>
          <w:rStyle w:val="20"/>
          <w:bCs/>
        </w:rPr>
        <w:t>第一条 基金托管协议当事人</w:t>
      </w:r>
      <w:r>
        <w:tab/>
      </w:r>
      <w:r>
        <w:fldChar w:fldCharType="begin"/>
      </w:r>
      <w:r>
        <w:instrText xml:space="preserve"> PAGEREF _Toc142055705 \h </w:instrText>
      </w:r>
      <w:r>
        <w:fldChar w:fldCharType="separate"/>
      </w:r>
      <w:r>
        <w:t>3</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"_Toc142055706" </w:instrText>
      </w:r>
      <w:r>
        <w:fldChar w:fldCharType="separate"/>
      </w:r>
      <w:r>
        <w:rPr>
          <w:rStyle w:val="20"/>
          <w:bCs/>
        </w:rPr>
        <w:t>第二条 基金托管协议的依据、目的和原则</w:t>
      </w:r>
      <w:r>
        <w:tab/>
      </w:r>
      <w:r>
        <w:fldChar w:fldCharType="begin"/>
      </w:r>
      <w:r>
        <w:instrText xml:space="preserve"> PAGEREF _Toc142055706 \h </w:instrText>
      </w:r>
      <w:r>
        <w:fldChar w:fldCharType="separate"/>
      </w:r>
      <w:r>
        <w:t>4</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"_Toc142055707" </w:instrText>
      </w:r>
      <w:r>
        <w:fldChar w:fldCharType="separate"/>
      </w:r>
      <w:r>
        <w:rPr>
          <w:rStyle w:val="20"/>
          <w:bCs/>
        </w:rPr>
        <w:t>第三条 基金托管人对基金管理人的业务监督和核查</w:t>
      </w:r>
      <w:r>
        <w:tab/>
      </w:r>
      <w:r>
        <w:fldChar w:fldCharType="begin"/>
      </w:r>
      <w:r>
        <w:instrText xml:space="preserve"> PAGEREF _Toc142055707 \h </w:instrText>
      </w:r>
      <w:r>
        <w:fldChar w:fldCharType="separate"/>
      </w:r>
      <w:r>
        <w:t>5</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"_Toc142055708" </w:instrText>
      </w:r>
      <w:r>
        <w:fldChar w:fldCharType="separate"/>
      </w:r>
      <w:r>
        <w:rPr>
          <w:rStyle w:val="20"/>
          <w:bCs/>
        </w:rPr>
        <w:t>第四条 基金管理人对基金托管人的业务核查</w:t>
      </w:r>
      <w:r>
        <w:tab/>
      </w:r>
      <w:r>
        <w:fldChar w:fldCharType="begin"/>
      </w:r>
      <w:r>
        <w:instrText xml:space="preserve"> PAGEREF _Toc142055708 \h </w:instrText>
      </w:r>
      <w:r>
        <w:fldChar w:fldCharType="separate"/>
      </w:r>
      <w:r>
        <w:t>12</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"_Toc142055709" </w:instrText>
      </w:r>
      <w:r>
        <w:fldChar w:fldCharType="separate"/>
      </w:r>
      <w:r>
        <w:rPr>
          <w:rStyle w:val="20"/>
          <w:bCs/>
        </w:rPr>
        <w:t>第五条 基金财产保管</w:t>
      </w:r>
      <w:r>
        <w:tab/>
      </w:r>
      <w:r>
        <w:fldChar w:fldCharType="begin"/>
      </w:r>
      <w:r>
        <w:instrText xml:space="preserve"> PAGEREF _Toc142055709 \h </w:instrText>
      </w:r>
      <w:r>
        <w:fldChar w:fldCharType="separate"/>
      </w:r>
      <w:r>
        <w:t>13</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"_Toc142055710" </w:instrText>
      </w:r>
      <w:r>
        <w:fldChar w:fldCharType="separate"/>
      </w:r>
      <w:r>
        <w:rPr>
          <w:rStyle w:val="20"/>
          <w:bCs/>
        </w:rPr>
        <w:t>第六条 指令的发送、确认和执行</w:t>
      </w:r>
      <w:r>
        <w:tab/>
      </w:r>
      <w:r>
        <w:fldChar w:fldCharType="begin"/>
      </w:r>
      <w:r>
        <w:instrText xml:space="preserve"> PAGEREF _Toc142055710 \h </w:instrText>
      </w:r>
      <w:r>
        <w:fldChar w:fldCharType="separate"/>
      </w:r>
      <w:r>
        <w:t>16</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"_Toc142055711" </w:instrText>
      </w:r>
      <w:r>
        <w:fldChar w:fldCharType="separate"/>
      </w:r>
      <w:r>
        <w:rPr>
          <w:rStyle w:val="20"/>
          <w:bCs/>
        </w:rPr>
        <w:t>第七条 交易及清算交收安排</w:t>
      </w:r>
      <w:r>
        <w:tab/>
      </w:r>
      <w:r>
        <w:fldChar w:fldCharType="begin"/>
      </w:r>
      <w:r>
        <w:instrText xml:space="preserve"> PAGEREF _Toc142055711 \h </w:instrText>
      </w:r>
      <w:r>
        <w:fldChar w:fldCharType="separate"/>
      </w:r>
      <w:r>
        <w:t>19</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"_Toc142055712" </w:instrText>
      </w:r>
      <w:r>
        <w:fldChar w:fldCharType="separate"/>
      </w:r>
      <w:r>
        <w:rPr>
          <w:rStyle w:val="20"/>
          <w:bCs/>
        </w:rPr>
        <w:t>第八条 基金资产净值计算和会计核算</w:t>
      </w:r>
      <w:r>
        <w:tab/>
      </w:r>
      <w:r>
        <w:fldChar w:fldCharType="begin"/>
      </w:r>
      <w:r>
        <w:instrText xml:space="preserve"> PAGEREF _Toc142055712 \h </w:instrText>
      </w:r>
      <w:r>
        <w:fldChar w:fldCharType="separate"/>
      </w:r>
      <w:r>
        <w:t>22</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"_Toc142055713" </w:instrText>
      </w:r>
      <w:r>
        <w:fldChar w:fldCharType="separate"/>
      </w:r>
      <w:r>
        <w:rPr>
          <w:rStyle w:val="20"/>
          <w:bCs/>
        </w:rPr>
        <w:t>第九条 基金收益分配</w:t>
      </w:r>
      <w:r>
        <w:tab/>
      </w:r>
      <w:r>
        <w:fldChar w:fldCharType="begin"/>
      </w:r>
      <w:r>
        <w:instrText xml:space="preserve"> PAGEREF _Toc142055713 \h </w:instrText>
      </w:r>
      <w:r>
        <w:fldChar w:fldCharType="separate"/>
      </w:r>
      <w:r>
        <w:t>29</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"_Toc142055714" </w:instrText>
      </w:r>
      <w:r>
        <w:fldChar w:fldCharType="separate"/>
      </w:r>
      <w:r>
        <w:rPr>
          <w:rStyle w:val="20"/>
          <w:bCs/>
        </w:rPr>
        <w:t>第十条 信息披露</w:t>
      </w:r>
      <w:r>
        <w:tab/>
      </w:r>
      <w:r>
        <w:fldChar w:fldCharType="begin"/>
      </w:r>
      <w:r>
        <w:instrText xml:space="preserve"> PAGEREF _Toc142055714 \h </w:instrText>
      </w:r>
      <w:r>
        <w:fldChar w:fldCharType="separate"/>
      </w:r>
      <w:r>
        <w:t>30</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"_Toc142055715" </w:instrText>
      </w:r>
      <w:r>
        <w:fldChar w:fldCharType="separate"/>
      </w:r>
      <w:r>
        <w:rPr>
          <w:rStyle w:val="20"/>
          <w:bCs/>
        </w:rPr>
        <w:t>第十一条 基金费用</w:t>
      </w:r>
      <w:r>
        <w:tab/>
      </w:r>
      <w:r>
        <w:fldChar w:fldCharType="begin"/>
      </w:r>
      <w:r>
        <w:instrText xml:space="preserve"> PAGEREF _Toc142055715 \h </w:instrText>
      </w:r>
      <w:r>
        <w:fldChar w:fldCharType="separate"/>
      </w:r>
      <w:r>
        <w:t>32</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"_Toc142055716" </w:instrText>
      </w:r>
      <w:r>
        <w:fldChar w:fldCharType="separate"/>
      </w:r>
      <w:r>
        <w:rPr>
          <w:rStyle w:val="20"/>
          <w:bCs/>
        </w:rPr>
        <w:t>第十二条 基金份额持有人名册的保管</w:t>
      </w:r>
      <w:r>
        <w:tab/>
      </w:r>
      <w:r>
        <w:fldChar w:fldCharType="begin"/>
      </w:r>
      <w:r>
        <w:instrText xml:space="preserve"> PAGEREF _Toc142055716 \h </w:instrText>
      </w:r>
      <w:r>
        <w:fldChar w:fldCharType="separate"/>
      </w:r>
      <w:r>
        <w:t>34</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"_Toc142055717" </w:instrText>
      </w:r>
      <w:r>
        <w:fldChar w:fldCharType="separate"/>
      </w:r>
      <w:r>
        <w:rPr>
          <w:rStyle w:val="20"/>
          <w:bCs/>
        </w:rPr>
        <w:t>第十三条 基金有关文件和档案的保存</w:t>
      </w:r>
      <w:r>
        <w:tab/>
      </w:r>
      <w:r>
        <w:fldChar w:fldCharType="begin"/>
      </w:r>
      <w:r>
        <w:instrText xml:space="preserve"> PAGEREF _Toc142055717 \h </w:instrText>
      </w:r>
      <w:r>
        <w:fldChar w:fldCharType="separate"/>
      </w:r>
      <w:r>
        <w:t>35</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"_Toc142055718" </w:instrText>
      </w:r>
      <w:r>
        <w:fldChar w:fldCharType="separate"/>
      </w:r>
      <w:r>
        <w:rPr>
          <w:rStyle w:val="20"/>
          <w:bCs/>
        </w:rPr>
        <w:t>第十四条 基金管理人和基金托管人的更换</w:t>
      </w:r>
      <w:r>
        <w:tab/>
      </w:r>
      <w:r>
        <w:fldChar w:fldCharType="begin"/>
      </w:r>
      <w:r>
        <w:instrText xml:space="preserve"> PAGEREF _Toc142055718 \h </w:instrText>
      </w:r>
      <w:r>
        <w:fldChar w:fldCharType="separate"/>
      </w:r>
      <w:r>
        <w:t>35</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"_Toc142055719" </w:instrText>
      </w:r>
      <w:r>
        <w:fldChar w:fldCharType="separate"/>
      </w:r>
      <w:r>
        <w:rPr>
          <w:rStyle w:val="20"/>
          <w:bCs/>
        </w:rPr>
        <w:t>第十五条 禁止行为</w:t>
      </w:r>
      <w:r>
        <w:tab/>
      </w:r>
      <w:r>
        <w:fldChar w:fldCharType="begin"/>
      </w:r>
      <w:r>
        <w:instrText xml:space="preserve"> PAGEREF _Toc142055719 \h </w:instrText>
      </w:r>
      <w:r>
        <w:fldChar w:fldCharType="separate"/>
      </w:r>
      <w:r>
        <w:t>38</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"_Toc142055720" </w:instrText>
      </w:r>
      <w:r>
        <w:fldChar w:fldCharType="separate"/>
      </w:r>
      <w:r>
        <w:rPr>
          <w:rStyle w:val="20"/>
          <w:bCs/>
        </w:rPr>
        <w:t>第十六条 基金托管协议的变更、终止与基金财产的清算</w:t>
      </w:r>
      <w:r>
        <w:tab/>
      </w:r>
      <w:r>
        <w:fldChar w:fldCharType="begin"/>
      </w:r>
      <w:r>
        <w:instrText xml:space="preserve"> PAGEREF _Toc142055720 \h </w:instrText>
      </w:r>
      <w:r>
        <w:fldChar w:fldCharType="separate"/>
      </w:r>
      <w:r>
        <w:t>39</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"_Toc142055721" </w:instrText>
      </w:r>
      <w:r>
        <w:fldChar w:fldCharType="separate"/>
      </w:r>
      <w:r>
        <w:rPr>
          <w:rStyle w:val="20"/>
          <w:bCs/>
        </w:rPr>
        <w:t>第十七条 违约责任</w:t>
      </w:r>
      <w:r>
        <w:tab/>
      </w:r>
      <w:r>
        <w:fldChar w:fldCharType="begin"/>
      </w:r>
      <w:r>
        <w:instrText xml:space="preserve"> PAGEREF _Toc142055721 \h </w:instrText>
      </w:r>
      <w:r>
        <w:fldChar w:fldCharType="separate"/>
      </w:r>
      <w:r>
        <w:t>42</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"_Toc142055722" </w:instrText>
      </w:r>
      <w:r>
        <w:fldChar w:fldCharType="separate"/>
      </w:r>
      <w:r>
        <w:rPr>
          <w:rStyle w:val="20"/>
          <w:bCs/>
        </w:rPr>
        <w:t>第十八条 争议解决方式</w:t>
      </w:r>
      <w:r>
        <w:tab/>
      </w:r>
      <w:r>
        <w:fldChar w:fldCharType="begin"/>
      </w:r>
      <w:r>
        <w:instrText xml:space="preserve"> PAGEREF _Toc142055722 \h </w:instrText>
      </w:r>
      <w:r>
        <w:fldChar w:fldCharType="separate"/>
      </w:r>
      <w:r>
        <w:t>43</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"_Toc142055723" </w:instrText>
      </w:r>
      <w:r>
        <w:fldChar w:fldCharType="separate"/>
      </w:r>
      <w:r>
        <w:rPr>
          <w:rStyle w:val="20"/>
          <w:bCs/>
        </w:rPr>
        <w:t>第十九条 基金托管协议的效力</w:t>
      </w:r>
      <w:r>
        <w:tab/>
      </w:r>
      <w:r>
        <w:fldChar w:fldCharType="begin"/>
      </w:r>
      <w:r>
        <w:instrText xml:space="preserve"> PAGEREF _Toc142055723 \h </w:instrText>
      </w:r>
      <w:r>
        <w:fldChar w:fldCharType="separate"/>
      </w:r>
      <w:r>
        <w:t>43</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"_Toc142055724" </w:instrText>
      </w:r>
      <w:r>
        <w:fldChar w:fldCharType="separate"/>
      </w:r>
      <w:r>
        <w:rPr>
          <w:rStyle w:val="20"/>
          <w:bCs/>
        </w:rPr>
        <w:t>第二十条 基金托管协议的签订</w:t>
      </w:r>
      <w:r>
        <w:tab/>
      </w:r>
      <w:r>
        <w:fldChar w:fldCharType="begin"/>
      </w:r>
      <w:r>
        <w:instrText xml:space="preserve"> PAGEREF _Toc142055724 \h </w:instrText>
      </w:r>
      <w:r>
        <w:fldChar w:fldCharType="separate"/>
      </w:r>
      <w:r>
        <w:t>44</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"_Toc142055725" </w:instrText>
      </w:r>
      <w:r>
        <w:fldChar w:fldCharType="separate"/>
      </w:r>
      <w:r>
        <w:rPr>
          <w:rStyle w:val="20"/>
          <w:bCs/>
        </w:rPr>
        <w:t>第二十一条 不可抗力</w:t>
      </w:r>
      <w:r>
        <w:tab/>
      </w:r>
      <w:r>
        <w:fldChar w:fldCharType="begin"/>
      </w:r>
      <w:r>
        <w:instrText xml:space="preserve"> PAGEREF _Toc142055725 \h </w:instrText>
      </w:r>
      <w:r>
        <w:fldChar w:fldCharType="separate"/>
      </w:r>
      <w:r>
        <w:t>44</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"_Toc142055726" </w:instrText>
      </w:r>
      <w:r>
        <w:fldChar w:fldCharType="separate"/>
      </w:r>
      <w:r>
        <w:rPr>
          <w:rStyle w:val="20"/>
          <w:bCs/>
        </w:rPr>
        <w:t>第二十二条 可分割性</w:t>
      </w:r>
      <w:r>
        <w:tab/>
      </w:r>
      <w:r>
        <w:fldChar w:fldCharType="begin"/>
      </w:r>
      <w:r>
        <w:instrText xml:space="preserve"> PAGEREF _Toc142055726 \h </w:instrText>
      </w:r>
      <w:r>
        <w:fldChar w:fldCharType="separate"/>
      </w:r>
      <w:r>
        <w:t>44</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"_Toc142055727" </w:instrText>
      </w:r>
      <w:r>
        <w:fldChar w:fldCharType="separate"/>
      </w:r>
      <w:r>
        <w:rPr>
          <w:rStyle w:val="20"/>
          <w:bCs/>
        </w:rPr>
        <w:t>第二十三条 通知与送达</w:t>
      </w:r>
      <w:r>
        <w:tab/>
      </w:r>
      <w:r>
        <w:fldChar w:fldCharType="begin"/>
      </w:r>
      <w:r>
        <w:instrText xml:space="preserve"> PAGEREF _Toc142055727 \h </w:instrText>
      </w:r>
      <w:r>
        <w:fldChar w:fldCharType="separate"/>
      </w:r>
      <w:r>
        <w:t>45</w:t>
      </w:r>
      <w:r>
        <w:fldChar w:fldCharType="end"/>
      </w:r>
      <w:r>
        <w:fldChar w:fldCharType="end"/>
      </w:r>
    </w:p>
    <w:p>
      <w:pPr>
        <w:snapToGrid w:val="0"/>
        <w:spacing w:line="360" w:lineRule="auto"/>
        <w:jc w:val="center"/>
        <w:rPr>
          <w:rFonts w:ascii="宋体" w:hAnsi="宋体"/>
          <w:b/>
          <w:sz w:val="28"/>
          <w:szCs w:val="28"/>
        </w:rPr>
        <w:sectPr>
          <w:footerReference r:id="rId7" w:type="first"/>
          <w:footerReference r:id="rId6" w:type="default"/>
          <w:pgSz w:w="11907" w:h="16840"/>
          <w:pgMar w:top="1090" w:right="1678" w:bottom="935" w:left="1678" w:header="720" w:footer="720" w:gutter="0"/>
          <w:pgNumType w:start="1"/>
          <w:cols w:space="720" w:num="1"/>
        </w:sectPr>
      </w:pPr>
      <w:r>
        <w:rPr>
          <w:rFonts w:ascii="宋体" w:hAnsi="宋体"/>
          <w:b/>
          <w:sz w:val="28"/>
          <w:szCs w:val="28"/>
        </w:rPr>
        <w:fldChar w:fldCharType="end"/>
      </w:r>
    </w:p>
    <w:p>
      <w:pPr>
        <w:snapToGrid w:val="0"/>
        <w:spacing w:line="360" w:lineRule="auto"/>
        <w:jc w:val="center"/>
        <w:rPr>
          <w:rFonts w:ascii="宋体" w:hAnsi="宋体"/>
          <w:b/>
          <w:sz w:val="28"/>
          <w:szCs w:val="28"/>
        </w:rPr>
      </w:pPr>
      <w:r>
        <w:rPr>
          <w:rFonts w:hint="eastAsia" w:ascii="宋体" w:hAnsi="宋体"/>
          <w:b/>
          <w:sz w:val="28"/>
          <w:szCs w:val="28"/>
        </w:rPr>
        <w:t>博时季季兴90天滚动持有债券型证券投资基金托管协议</w:t>
      </w:r>
    </w:p>
    <w:p>
      <w:pPr>
        <w:snapToGrid w:val="0"/>
        <w:spacing w:line="360" w:lineRule="auto"/>
        <w:jc w:val="center"/>
        <w:rPr>
          <w:rFonts w:ascii="宋体" w:hAnsi="宋体"/>
          <w:b/>
          <w:sz w:val="28"/>
          <w:szCs w:val="28"/>
        </w:rPr>
      </w:pPr>
    </w:p>
    <w:p>
      <w:pPr>
        <w:tabs>
          <w:tab w:val="left" w:pos="5940"/>
        </w:tabs>
        <w:snapToGrid w:val="0"/>
        <w:spacing w:line="360" w:lineRule="auto"/>
        <w:rPr>
          <w:rFonts w:ascii="宋体" w:hAnsi="宋体"/>
          <w:b/>
          <w:sz w:val="24"/>
          <w:szCs w:val="24"/>
        </w:rPr>
      </w:pPr>
      <w:r>
        <w:rPr>
          <w:rFonts w:hint="eastAsia" w:ascii="宋体" w:hAnsi="宋体"/>
          <w:b/>
          <w:sz w:val="24"/>
          <w:szCs w:val="24"/>
        </w:rPr>
        <w:t>基金管理人：博时基金管理有限公司</w:t>
      </w:r>
    </w:p>
    <w:p>
      <w:pPr>
        <w:snapToGrid w:val="0"/>
        <w:spacing w:line="360" w:lineRule="auto"/>
        <w:rPr>
          <w:rFonts w:ascii="宋体" w:hAnsi="宋体"/>
          <w:sz w:val="24"/>
          <w:szCs w:val="24"/>
        </w:rPr>
      </w:pPr>
      <w:r>
        <w:rPr>
          <w:rFonts w:hint="eastAsia" w:ascii="宋体" w:hAnsi="宋体"/>
          <w:sz w:val="24"/>
          <w:szCs w:val="24"/>
        </w:rPr>
        <w:t>住所：</w:t>
      </w:r>
      <w:r>
        <w:rPr>
          <w:rFonts w:hint="eastAsia"/>
          <w:bCs/>
          <w:sz w:val="24"/>
        </w:rPr>
        <w:t>深圳市福田区莲花街道福新社区益田路5999号基金大厦21层</w:t>
      </w:r>
    </w:p>
    <w:p>
      <w:pPr>
        <w:snapToGrid w:val="0"/>
        <w:spacing w:line="360" w:lineRule="auto"/>
        <w:rPr>
          <w:rFonts w:ascii="宋体" w:hAnsi="宋体"/>
          <w:sz w:val="24"/>
          <w:szCs w:val="24"/>
        </w:rPr>
      </w:pPr>
      <w:r>
        <w:rPr>
          <w:rFonts w:hint="eastAsia" w:ascii="宋体" w:hAnsi="宋体"/>
          <w:sz w:val="24"/>
          <w:szCs w:val="24"/>
        </w:rPr>
        <w:t>邮政编码：</w:t>
      </w:r>
      <w:r>
        <w:rPr>
          <w:rFonts w:ascii="宋体" w:hAnsi="宋体"/>
          <w:sz w:val="24"/>
          <w:szCs w:val="24"/>
        </w:rPr>
        <w:t>518017</w:t>
      </w:r>
    </w:p>
    <w:p>
      <w:pPr>
        <w:snapToGrid w:val="0"/>
        <w:spacing w:line="360" w:lineRule="auto"/>
        <w:rPr>
          <w:rFonts w:ascii="宋体" w:hAnsi="宋体"/>
          <w:sz w:val="24"/>
          <w:szCs w:val="24"/>
        </w:rPr>
      </w:pPr>
      <w:r>
        <w:rPr>
          <w:rFonts w:hint="eastAsia" w:ascii="宋体" w:hAnsi="宋体"/>
          <w:sz w:val="24"/>
          <w:szCs w:val="24"/>
        </w:rPr>
        <w:t>电话：</w:t>
      </w:r>
      <w:r>
        <w:rPr>
          <w:rFonts w:ascii="宋体" w:hAnsi="宋体"/>
          <w:sz w:val="24"/>
          <w:szCs w:val="24"/>
        </w:rPr>
        <w:t>0755-83169999</w:t>
      </w:r>
    </w:p>
    <w:p>
      <w:pPr>
        <w:snapToGrid w:val="0"/>
        <w:spacing w:line="360" w:lineRule="auto"/>
        <w:rPr>
          <w:rFonts w:ascii="宋体" w:hAnsi="宋体"/>
          <w:sz w:val="24"/>
          <w:szCs w:val="24"/>
        </w:rPr>
      </w:pPr>
      <w:r>
        <w:rPr>
          <w:rFonts w:hint="eastAsia" w:ascii="宋体" w:hAnsi="宋体"/>
          <w:sz w:val="24"/>
          <w:szCs w:val="24"/>
        </w:rPr>
        <w:t>传真：</w:t>
      </w:r>
      <w:r>
        <w:rPr>
          <w:rFonts w:ascii="宋体" w:hAnsi="宋体"/>
          <w:sz w:val="24"/>
          <w:szCs w:val="24"/>
        </w:rPr>
        <w:t>0755-83199450</w:t>
      </w:r>
    </w:p>
    <w:p>
      <w:pPr>
        <w:snapToGrid w:val="0"/>
        <w:spacing w:line="360" w:lineRule="auto"/>
        <w:rPr>
          <w:rFonts w:ascii="宋体" w:hAnsi="宋体"/>
          <w:sz w:val="24"/>
          <w:szCs w:val="24"/>
        </w:rPr>
      </w:pPr>
      <w:r>
        <w:rPr>
          <w:rFonts w:hint="eastAsia" w:ascii="宋体" w:hAnsi="宋体"/>
          <w:sz w:val="24"/>
          <w:szCs w:val="24"/>
        </w:rPr>
        <w:t>法定代表人：江向阳</w:t>
      </w:r>
    </w:p>
    <w:p>
      <w:pPr>
        <w:snapToGrid w:val="0"/>
        <w:spacing w:line="360" w:lineRule="auto"/>
        <w:rPr>
          <w:rFonts w:ascii="宋体" w:hAnsi="宋体"/>
          <w:sz w:val="24"/>
          <w:szCs w:val="24"/>
        </w:rPr>
      </w:pPr>
    </w:p>
    <w:p>
      <w:pPr>
        <w:tabs>
          <w:tab w:val="left" w:pos="5940"/>
        </w:tabs>
        <w:snapToGrid w:val="0"/>
        <w:spacing w:line="360" w:lineRule="auto"/>
        <w:rPr>
          <w:rFonts w:ascii="宋体" w:hAnsi="宋体"/>
          <w:b/>
          <w:sz w:val="24"/>
          <w:szCs w:val="24"/>
        </w:rPr>
      </w:pPr>
      <w:r>
        <w:rPr>
          <w:rFonts w:hint="eastAsia" w:ascii="宋体" w:hAnsi="宋体"/>
          <w:b/>
          <w:sz w:val="24"/>
          <w:szCs w:val="24"/>
        </w:rPr>
        <w:t xml:space="preserve">基金托管人：中信银行股份有限公司 </w:t>
      </w:r>
    </w:p>
    <w:p>
      <w:pPr>
        <w:snapToGrid w:val="0"/>
        <w:spacing w:line="360" w:lineRule="auto"/>
        <w:rPr>
          <w:rFonts w:ascii="宋体" w:hAnsi="宋体"/>
          <w:sz w:val="24"/>
          <w:szCs w:val="24"/>
        </w:rPr>
      </w:pPr>
      <w:r>
        <w:rPr>
          <w:rFonts w:hint="eastAsia" w:ascii="宋体" w:hAnsi="宋体"/>
          <w:sz w:val="24"/>
          <w:szCs w:val="24"/>
        </w:rPr>
        <w:t>住所：北京市朝阳区光华路10号院1号楼6-30层、32-42层</w:t>
      </w:r>
    </w:p>
    <w:p>
      <w:pPr>
        <w:snapToGrid w:val="0"/>
        <w:spacing w:line="360" w:lineRule="auto"/>
        <w:rPr>
          <w:rFonts w:ascii="宋体" w:hAnsi="宋体"/>
          <w:sz w:val="24"/>
          <w:szCs w:val="24"/>
        </w:rPr>
      </w:pPr>
      <w:r>
        <w:rPr>
          <w:rFonts w:hint="eastAsia" w:ascii="宋体" w:hAnsi="宋体"/>
          <w:sz w:val="24"/>
          <w:szCs w:val="24"/>
        </w:rPr>
        <w:t>邮政编码：1000</w:t>
      </w:r>
      <w:r>
        <w:rPr>
          <w:rFonts w:ascii="宋体" w:hAnsi="宋体"/>
          <w:sz w:val="24"/>
          <w:szCs w:val="24"/>
        </w:rPr>
        <w:t>1</w:t>
      </w:r>
      <w:r>
        <w:rPr>
          <w:rFonts w:hint="eastAsia" w:ascii="宋体" w:hAnsi="宋体"/>
          <w:sz w:val="24"/>
          <w:szCs w:val="24"/>
        </w:rPr>
        <w:t>0</w:t>
      </w:r>
    </w:p>
    <w:p>
      <w:pPr>
        <w:snapToGrid w:val="0"/>
        <w:spacing w:line="360" w:lineRule="auto"/>
        <w:rPr>
          <w:rFonts w:ascii="宋体" w:hAnsi="宋体"/>
          <w:sz w:val="24"/>
          <w:szCs w:val="24"/>
        </w:rPr>
      </w:pPr>
      <w:r>
        <w:rPr>
          <w:rFonts w:hint="eastAsia" w:ascii="宋体" w:hAnsi="宋体"/>
          <w:sz w:val="24"/>
          <w:szCs w:val="24"/>
        </w:rPr>
        <w:t>电话：4006800000</w:t>
      </w:r>
    </w:p>
    <w:p>
      <w:pPr>
        <w:snapToGrid w:val="0"/>
        <w:spacing w:line="360" w:lineRule="auto"/>
        <w:rPr>
          <w:rFonts w:ascii="宋体" w:hAnsi="宋体"/>
          <w:sz w:val="24"/>
          <w:szCs w:val="24"/>
        </w:rPr>
      </w:pPr>
      <w:r>
        <w:rPr>
          <w:rFonts w:hint="eastAsia" w:ascii="宋体" w:hAnsi="宋体"/>
          <w:sz w:val="24"/>
          <w:szCs w:val="24"/>
        </w:rPr>
        <w:t>传真：010-65559281</w:t>
      </w:r>
    </w:p>
    <w:p>
      <w:pPr>
        <w:snapToGrid w:val="0"/>
        <w:spacing w:line="360" w:lineRule="auto"/>
        <w:rPr>
          <w:rFonts w:hint="eastAsia" w:ascii="宋体" w:hAnsi="宋体" w:eastAsia="宋体"/>
          <w:sz w:val="24"/>
          <w:szCs w:val="24"/>
          <w:lang w:eastAsia="zh-CN"/>
        </w:rPr>
      </w:pPr>
      <w:r>
        <w:rPr>
          <w:rFonts w:hint="eastAsia" w:ascii="宋体" w:hAnsi="宋体"/>
          <w:sz w:val="24"/>
          <w:szCs w:val="24"/>
        </w:rPr>
        <w:t>法定代表人：</w:t>
      </w:r>
      <w:r>
        <w:rPr>
          <w:rFonts w:hint="eastAsia" w:ascii="宋体" w:hAnsi="宋体"/>
          <w:sz w:val="24"/>
          <w:szCs w:val="24"/>
          <w:lang w:eastAsia="zh-CN"/>
        </w:rPr>
        <w:t>方合英</w:t>
      </w:r>
    </w:p>
    <w:p>
      <w:pPr>
        <w:autoSpaceDE w:val="0"/>
        <w:autoSpaceDN w:val="0"/>
        <w:adjustRightInd w:val="0"/>
        <w:spacing w:line="520" w:lineRule="exact"/>
        <w:rPr>
          <w:rFonts w:ascii="宋体" w:hAnsi="宋体"/>
          <w:b/>
          <w:sz w:val="24"/>
          <w:szCs w:val="24"/>
        </w:rPr>
      </w:pPr>
      <w:r>
        <w:rPr>
          <w:rFonts w:hint="eastAsia" w:ascii="宋体" w:hAnsi="宋体"/>
          <w:b/>
          <w:sz w:val="24"/>
          <w:szCs w:val="24"/>
        </w:rPr>
        <w:t>鉴于：</w:t>
      </w:r>
    </w:p>
    <w:p>
      <w:pPr>
        <w:pStyle w:val="10"/>
        <w:spacing w:before="0" w:after="0" w:line="520" w:lineRule="exact"/>
        <w:ind w:left="0" w:firstLine="480" w:firstLineChars="200"/>
        <w:rPr>
          <w:rFonts w:hAnsi="宋体"/>
          <w:szCs w:val="24"/>
        </w:rPr>
      </w:pPr>
      <w:r>
        <w:rPr>
          <w:rFonts w:hint="eastAsia" w:hAnsi="宋体"/>
          <w:szCs w:val="24"/>
        </w:rPr>
        <w:t>1．博时基金管理有限公司系一家依照中国法律合法成立并有效存续的有限责任公司，按照相关法律法规的规定具备担任基金管理人的资格和能力；</w:t>
      </w:r>
    </w:p>
    <w:p>
      <w:pPr>
        <w:pStyle w:val="10"/>
        <w:spacing w:before="0" w:after="0" w:line="520" w:lineRule="exact"/>
        <w:ind w:left="0" w:firstLine="480" w:firstLineChars="200"/>
        <w:rPr>
          <w:rFonts w:hAnsi="宋体"/>
          <w:szCs w:val="24"/>
        </w:rPr>
      </w:pPr>
      <w:r>
        <w:rPr>
          <w:rFonts w:hint="eastAsia" w:hAnsi="宋体"/>
          <w:szCs w:val="24"/>
        </w:rPr>
        <w:t>2.中信银行股份有限公司系一家依照中国法律合法成立并有效存续的银行，按照相关法律法规的规定具备担任基金托管人的资格和能力；</w:t>
      </w:r>
    </w:p>
    <w:p>
      <w:pPr>
        <w:pStyle w:val="10"/>
        <w:spacing w:before="0" w:after="0" w:line="520" w:lineRule="exact"/>
        <w:ind w:left="0" w:firstLine="480" w:firstLineChars="200"/>
        <w:rPr>
          <w:rFonts w:hAnsi="宋体"/>
          <w:szCs w:val="24"/>
        </w:rPr>
      </w:pPr>
      <w:r>
        <w:rPr>
          <w:rFonts w:hint="eastAsia" w:hAnsi="宋体"/>
          <w:szCs w:val="24"/>
        </w:rPr>
        <w:t>3.博时基金管理有限公司拟担任博时季季兴90天滚动持有债券型证券投资基金的基金管理人，中信银行股份有限公司拟担任博时季季兴90天滚动持有债券型证券投资基金的基金托管人；</w:t>
      </w:r>
    </w:p>
    <w:p>
      <w:pPr>
        <w:pStyle w:val="10"/>
        <w:spacing w:before="0" w:after="0" w:line="520" w:lineRule="exact"/>
        <w:ind w:left="0" w:firstLine="480" w:firstLineChars="200"/>
        <w:rPr>
          <w:rFonts w:hAnsi="宋体"/>
          <w:szCs w:val="24"/>
        </w:rPr>
      </w:pPr>
      <w:r>
        <w:rPr>
          <w:rFonts w:hint="eastAsia" w:hAnsi="宋体"/>
          <w:szCs w:val="24"/>
        </w:rPr>
        <w:t>为明确双方在基金托管中的权利、义务及责任，确保基金财产的安全，保护基金份额持有人的合法权益，依据《中华人民共和国民法典》等法律法规以及相关规定，双方本着平等自愿、诚实守信的原则特签订本协议。</w:t>
      </w:r>
    </w:p>
    <w:p>
      <w:pPr>
        <w:pStyle w:val="10"/>
        <w:spacing w:line="520" w:lineRule="exact"/>
        <w:ind w:left="0" w:firstLine="480" w:firstLineChars="200"/>
        <w:rPr>
          <w:rFonts w:hAnsi="宋体"/>
          <w:szCs w:val="24"/>
        </w:rPr>
      </w:pPr>
      <w:r>
        <w:rPr>
          <w:rFonts w:hint="eastAsia" w:hAnsi="宋体"/>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pStyle w:val="10"/>
        <w:spacing w:line="520" w:lineRule="exact"/>
        <w:ind w:left="0" w:firstLine="480" w:firstLineChars="200"/>
        <w:rPr>
          <w:rFonts w:hAnsi="宋体"/>
          <w:szCs w:val="24"/>
        </w:rPr>
      </w:pPr>
      <w:r>
        <w:rPr>
          <w:rFonts w:hint="eastAsia" w:hAnsi="宋体"/>
          <w:szCs w:val="24"/>
        </w:rPr>
        <w:t>侧袋机制实施期间，本基金的投资组合比例、投资策略、组合限制、业绩比较基准、风险收益特征等约定仅适用于主袋账户。</w:t>
      </w:r>
    </w:p>
    <w:p>
      <w:pPr>
        <w:pStyle w:val="10"/>
        <w:spacing w:before="0" w:after="0" w:line="520" w:lineRule="exact"/>
        <w:ind w:left="0" w:firstLine="480" w:firstLineChars="200"/>
        <w:rPr>
          <w:rFonts w:hAnsi="宋体"/>
          <w:szCs w:val="24"/>
        </w:rPr>
      </w:pPr>
      <w:r>
        <w:rPr>
          <w:rFonts w:hint="eastAsia" w:hAnsi="宋体"/>
          <w:szCs w:val="24"/>
        </w:rPr>
        <w:t>侧袋账户的实施条件、实施程序、运作安排（包括但不限于对基金赎回的影响、信息披露、费用列支等）、投资安排、特定资产的处置变现和支付等对投资者权益有重大影响的事项详见基金合同和招募说明书的规定。</w:t>
      </w:r>
    </w:p>
    <w:p>
      <w:pPr>
        <w:pStyle w:val="10"/>
        <w:spacing w:before="0" w:after="0" w:line="520" w:lineRule="exact"/>
        <w:ind w:left="0" w:firstLine="480" w:firstLineChars="200"/>
        <w:rPr>
          <w:rFonts w:hAnsi="宋体"/>
          <w:szCs w:val="24"/>
        </w:rPr>
      </w:pPr>
    </w:p>
    <w:p>
      <w:pPr>
        <w:pStyle w:val="10"/>
        <w:spacing w:before="0" w:after="0" w:line="520" w:lineRule="exact"/>
        <w:ind w:left="0" w:firstLine="541"/>
        <w:rPr>
          <w:rFonts w:hAnsi="宋体"/>
          <w:b/>
          <w:bCs/>
          <w:szCs w:val="24"/>
        </w:rPr>
      </w:pPr>
      <w:r>
        <w:rPr>
          <w:rFonts w:hint="eastAsia" w:hAnsi="宋体"/>
          <w:b/>
          <w:bCs/>
          <w:szCs w:val="24"/>
        </w:rPr>
        <w:t>释义：</w:t>
      </w:r>
    </w:p>
    <w:p>
      <w:pPr>
        <w:pStyle w:val="10"/>
        <w:spacing w:before="0" w:after="0" w:line="520" w:lineRule="exact"/>
        <w:ind w:left="0" w:firstLine="480" w:firstLineChars="200"/>
        <w:rPr>
          <w:rFonts w:hAnsi="宋体"/>
          <w:szCs w:val="24"/>
        </w:rPr>
      </w:pPr>
      <w:r>
        <w:rPr>
          <w:rFonts w:hint="eastAsia" w:hAnsi="宋体"/>
          <w:szCs w:val="24"/>
        </w:rPr>
        <w:t xml:space="preserve">除非另有约定，《博时季季兴90天滚动持有债券型证券投资基金基金合同》(以下简称“基金合同”)中定义的术语在用于本托管协议时应具有相同的含义；若有抵触应以基金合同为准，并依其条款解释。 </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10" w:name="_Toc4870324"/>
      <w:bookmarkStart w:id="11" w:name="_Toc296551337"/>
      <w:bookmarkStart w:id="12" w:name="_Toc142055705"/>
      <w:bookmarkStart w:id="13" w:name="_Toc4624"/>
      <w:r>
        <w:rPr>
          <w:rFonts w:hint="eastAsia"/>
          <w:bCs/>
          <w:color w:val="auto"/>
          <w:szCs w:val="24"/>
        </w:rPr>
        <w:t>第一条 基金托管协议当事人</w:t>
      </w:r>
      <w:bookmarkEnd w:id="10"/>
      <w:bookmarkEnd w:id="11"/>
      <w:bookmarkEnd w:id="12"/>
      <w:bookmarkEnd w:id="13"/>
    </w:p>
    <w:p>
      <w:pPr>
        <w:pStyle w:val="10"/>
        <w:spacing w:before="0" w:after="0" w:line="520" w:lineRule="exact"/>
        <w:ind w:left="0" w:firstLine="480" w:firstLineChars="200"/>
        <w:rPr>
          <w:rFonts w:hAnsi="宋体"/>
          <w:szCs w:val="24"/>
        </w:rPr>
      </w:pPr>
      <w:r>
        <w:rPr>
          <w:rFonts w:hint="eastAsia" w:hAnsi="宋体"/>
          <w:szCs w:val="24"/>
        </w:rPr>
        <w:t>1.1基金管理人：</w:t>
      </w:r>
    </w:p>
    <w:p>
      <w:pPr>
        <w:pStyle w:val="10"/>
        <w:spacing w:before="0" w:after="0" w:line="520" w:lineRule="exact"/>
        <w:ind w:left="0" w:firstLine="480" w:firstLineChars="200"/>
        <w:rPr>
          <w:rFonts w:hAnsi="宋体"/>
          <w:szCs w:val="24"/>
        </w:rPr>
      </w:pPr>
      <w:r>
        <w:rPr>
          <w:rFonts w:hint="eastAsia" w:hAnsi="宋体"/>
          <w:szCs w:val="24"/>
        </w:rPr>
        <w:t>名称：博时基金管理有限公司</w:t>
      </w:r>
    </w:p>
    <w:p>
      <w:pPr>
        <w:pStyle w:val="10"/>
        <w:spacing w:before="0" w:after="0" w:line="520" w:lineRule="exact"/>
        <w:ind w:left="0" w:firstLine="480" w:firstLineChars="200"/>
        <w:rPr>
          <w:rFonts w:hAnsi="宋体"/>
          <w:szCs w:val="24"/>
        </w:rPr>
      </w:pPr>
      <w:r>
        <w:rPr>
          <w:rFonts w:hint="eastAsia" w:hAnsi="宋体"/>
          <w:szCs w:val="24"/>
        </w:rPr>
        <w:t>住所：</w:t>
      </w:r>
      <w:r>
        <w:rPr>
          <w:rFonts w:hint="eastAsia"/>
          <w:bCs/>
        </w:rPr>
        <w:t>深圳市福田区莲花街道福新社区益田路5999号基金大厦21层</w:t>
      </w:r>
    </w:p>
    <w:p>
      <w:pPr>
        <w:pStyle w:val="10"/>
        <w:spacing w:before="0" w:after="0" w:line="520" w:lineRule="exact"/>
        <w:ind w:left="0" w:firstLine="480" w:firstLineChars="200"/>
        <w:rPr>
          <w:rFonts w:hAnsi="宋体"/>
          <w:szCs w:val="24"/>
        </w:rPr>
      </w:pPr>
      <w:r>
        <w:rPr>
          <w:rFonts w:hint="eastAsia" w:hAnsi="宋体"/>
          <w:szCs w:val="24"/>
        </w:rPr>
        <w:t>法定代表人：江向阳</w:t>
      </w:r>
    </w:p>
    <w:p>
      <w:pPr>
        <w:pStyle w:val="10"/>
        <w:spacing w:before="0" w:after="0" w:line="520" w:lineRule="exact"/>
        <w:ind w:left="0" w:firstLine="480" w:firstLineChars="200"/>
        <w:rPr>
          <w:rFonts w:hAnsi="宋体"/>
          <w:szCs w:val="24"/>
        </w:rPr>
      </w:pPr>
      <w:r>
        <w:rPr>
          <w:rFonts w:hint="eastAsia" w:hAnsi="宋体"/>
          <w:szCs w:val="24"/>
        </w:rPr>
        <w:t>成立时间：</w:t>
      </w:r>
      <w:r>
        <w:rPr>
          <w:bCs/>
        </w:rPr>
        <w:t>1998年7月13日</w:t>
      </w:r>
    </w:p>
    <w:p>
      <w:pPr>
        <w:pStyle w:val="10"/>
        <w:spacing w:before="0" w:after="0" w:line="520" w:lineRule="exact"/>
        <w:ind w:left="0" w:firstLine="480" w:firstLineChars="200"/>
        <w:rPr>
          <w:rFonts w:hAnsi="宋体"/>
          <w:szCs w:val="24"/>
        </w:rPr>
      </w:pPr>
      <w:r>
        <w:rPr>
          <w:rFonts w:hint="eastAsia" w:hAnsi="宋体"/>
          <w:szCs w:val="24"/>
        </w:rPr>
        <w:t>批准设立机关及批准设立文号：</w:t>
      </w:r>
      <w:r>
        <w:rPr>
          <w:bCs/>
        </w:rPr>
        <w:t>中国证监会证监基字【1998】26</w:t>
      </w:r>
      <w:r>
        <w:rPr>
          <w:rFonts w:hint="eastAsia" w:hAnsi="宋体"/>
          <w:szCs w:val="24"/>
        </w:rPr>
        <w:t>号</w:t>
      </w:r>
    </w:p>
    <w:p>
      <w:pPr>
        <w:pStyle w:val="10"/>
        <w:spacing w:before="0" w:after="0" w:line="520" w:lineRule="exact"/>
        <w:ind w:left="0" w:firstLine="480" w:firstLineChars="200"/>
        <w:rPr>
          <w:rFonts w:hAnsi="宋体"/>
          <w:szCs w:val="24"/>
        </w:rPr>
      </w:pPr>
      <w:r>
        <w:rPr>
          <w:rFonts w:hint="eastAsia" w:hAnsi="宋体"/>
          <w:szCs w:val="24"/>
        </w:rPr>
        <w:t>组织形式：</w:t>
      </w:r>
      <w:r>
        <w:rPr>
          <w:bCs/>
        </w:rPr>
        <w:t>有限责任公司</w:t>
      </w:r>
    </w:p>
    <w:p>
      <w:pPr>
        <w:pStyle w:val="10"/>
        <w:spacing w:before="0" w:after="0" w:line="520" w:lineRule="exact"/>
        <w:ind w:left="0" w:firstLine="480" w:firstLineChars="200"/>
        <w:rPr>
          <w:rFonts w:hAnsi="宋体"/>
          <w:szCs w:val="24"/>
        </w:rPr>
      </w:pPr>
      <w:r>
        <w:rPr>
          <w:rFonts w:hint="eastAsia" w:hAnsi="宋体"/>
          <w:szCs w:val="24"/>
        </w:rPr>
        <w:t>注册资本：</w:t>
      </w:r>
      <w:r>
        <w:rPr>
          <w:rFonts w:hint="eastAsia"/>
          <w:bCs/>
        </w:rPr>
        <w:t>2.5亿元</w:t>
      </w:r>
      <w:r>
        <w:rPr>
          <w:bCs/>
        </w:rPr>
        <w:t>人民币</w:t>
      </w:r>
    </w:p>
    <w:p>
      <w:pPr>
        <w:pStyle w:val="10"/>
        <w:spacing w:before="0" w:after="0" w:line="520" w:lineRule="exact"/>
        <w:ind w:left="0" w:firstLine="480" w:firstLineChars="200"/>
        <w:rPr>
          <w:rFonts w:hAnsi="宋体"/>
          <w:szCs w:val="24"/>
        </w:rPr>
      </w:pPr>
      <w:r>
        <w:rPr>
          <w:rFonts w:hint="eastAsia" w:hAnsi="宋体"/>
          <w:szCs w:val="24"/>
        </w:rPr>
        <w:t>经营范围：</w:t>
      </w:r>
      <w:r>
        <w:rPr>
          <w:rFonts w:hint="eastAsia" w:hAnsi="宋体" w:cs="Arial"/>
        </w:rPr>
        <w:t>基金募集；基金销售；资产管理以及中国证监会许可的其它业务</w:t>
      </w:r>
    </w:p>
    <w:p>
      <w:pPr>
        <w:pStyle w:val="10"/>
        <w:spacing w:before="0" w:after="0" w:line="520" w:lineRule="exact"/>
        <w:ind w:left="0" w:firstLine="480" w:firstLineChars="200"/>
        <w:rPr>
          <w:rFonts w:hAnsi="宋体"/>
          <w:szCs w:val="24"/>
        </w:rPr>
      </w:pPr>
      <w:r>
        <w:rPr>
          <w:rFonts w:hint="eastAsia" w:hAnsi="宋体"/>
          <w:szCs w:val="24"/>
        </w:rPr>
        <w:t>存续期间：</w:t>
      </w:r>
      <w:r>
        <w:rPr>
          <w:rFonts w:hint="eastAsia"/>
          <w:bCs/>
        </w:rPr>
        <w:t>持续经营</w:t>
      </w:r>
    </w:p>
    <w:p>
      <w:pPr>
        <w:pStyle w:val="10"/>
        <w:spacing w:before="0" w:after="0" w:line="520" w:lineRule="exact"/>
        <w:ind w:left="0" w:firstLine="480" w:firstLineChars="200"/>
        <w:rPr>
          <w:rFonts w:hAnsi="宋体"/>
          <w:szCs w:val="24"/>
        </w:rPr>
      </w:pPr>
      <w:r>
        <w:rPr>
          <w:rFonts w:hint="eastAsia" w:hAnsi="宋体"/>
          <w:szCs w:val="24"/>
        </w:rPr>
        <w:t>1.2基金托管人：</w:t>
      </w:r>
    </w:p>
    <w:p>
      <w:pPr>
        <w:pStyle w:val="10"/>
        <w:spacing w:line="520" w:lineRule="exact"/>
        <w:ind w:firstLine="86" w:firstLineChars="36"/>
        <w:rPr>
          <w:rFonts w:hAnsi="宋体"/>
          <w:szCs w:val="24"/>
        </w:rPr>
      </w:pPr>
      <w:r>
        <w:rPr>
          <w:rFonts w:hint="eastAsia" w:hAnsi="宋体"/>
          <w:szCs w:val="24"/>
        </w:rPr>
        <w:t>名称：中信银行股份有限公司</w:t>
      </w:r>
    </w:p>
    <w:p>
      <w:pPr>
        <w:pStyle w:val="10"/>
        <w:spacing w:line="520" w:lineRule="exact"/>
        <w:ind w:firstLine="86" w:firstLineChars="36"/>
        <w:rPr>
          <w:rFonts w:hAnsi="宋体"/>
          <w:szCs w:val="24"/>
        </w:rPr>
      </w:pPr>
      <w:r>
        <w:rPr>
          <w:rFonts w:hint="eastAsia" w:hAnsi="宋体"/>
          <w:szCs w:val="24"/>
        </w:rPr>
        <w:t>住所：北京市朝阳区光华路10号院1号楼6-30层、32-42层</w:t>
      </w:r>
    </w:p>
    <w:p>
      <w:pPr>
        <w:pStyle w:val="10"/>
        <w:spacing w:line="520" w:lineRule="exact"/>
        <w:ind w:firstLine="86" w:firstLineChars="36"/>
        <w:rPr>
          <w:rFonts w:hint="eastAsia" w:hAnsi="宋体" w:eastAsia="宋体"/>
          <w:szCs w:val="24"/>
          <w:lang w:eastAsia="zh-CN"/>
        </w:rPr>
      </w:pPr>
      <w:r>
        <w:rPr>
          <w:rFonts w:hint="eastAsia" w:hAnsi="宋体"/>
          <w:szCs w:val="24"/>
        </w:rPr>
        <w:t>法定代表人：</w:t>
      </w:r>
      <w:r>
        <w:rPr>
          <w:rFonts w:hint="eastAsia" w:hAnsi="宋体"/>
          <w:szCs w:val="24"/>
          <w:lang w:eastAsia="zh-CN"/>
        </w:rPr>
        <w:t>方合英</w:t>
      </w:r>
    </w:p>
    <w:p>
      <w:pPr>
        <w:pStyle w:val="10"/>
        <w:spacing w:line="520" w:lineRule="exact"/>
        <w:ind w:firstLine="86" w:firstLineChars="36"/>
        <w:rPr>
          <w:rFonts w:hAnsi="宋体"/>
          <w:szCs w:val="24"/>
        </w:rPr>
      </w:pPr>
      <w:r>
        <w:rPr>
          <w:rFonts w:hint="eastAsia" w:hAnsi="宋体"/>
          <w:szCs w:val="24"/>
        </w:rPr>
        <w:t>成立时间：1987年4月20日</w:t>
      </w:r>
    </w:p>
    <w:p>
      <w:pPr>
        <w:pStyle w:val="10"/>
        <w:spacing w:line="520" w:lineRule="exact"/>
        <w:ind w:firstLine="86" w:firstLineChars="36"/>
        <w:rPr>
          <w:rFonts w:hAnsi="宋体"/>
          <w:szCs w:val="24"/>
        </w:rPr>
      </w:pPr>
      <w:r>
        <w:rPr>
          <w:rFonts w:hint="eastAsia" w:hAnsi="宋体"/>
          <w:szCs w:val="24"/>
        </w:rPr>
        <w:t>批准设立机关和批准设立文号：中华人民共和国国务院办公厅国办函[1987]14号</w:t>
      </w:r>
    </w:p>
    <w:p>
      <w:pPr>
        <w:pStyle w:val="10"/>
        <w:spacing w:line="520" w:lineRule="exact"/>
        <w:ind w:firstLine="86" w:firstLineChars="36"/>
        <w:rPr>
          <w:rFonts w:hAnsi="宋体"/>
          <w:szCs w:val="24"/>
        </w:rPr>
      </w:pPr>
      <w:r>
        <w:rPr>
          <w:rFonts w:hint="eastAsia" w:hAnsi="宋体"/>
          <w:szCs w:val="24"/>
        </w:rPr>
        <w:t>基金托管业务批准文号：</w:t>
      </w:r>
      <w:r>
        <w:rPr>
          <w:color w:val="000000"/>
          <w:szCs w:val="28"/>
        </w:rPr>
        <w:t>中国证监会</w:t>
      </w:r>
      <w:r>
        <w:rPr>
          <w:rFonts w:hint="eastAsia" w:hAnsi="宋体"/>
          <w:szCs w:val="24"/>
        </w:rPr>
        <w:t>证监基金字[2004]125号</w:t>
      </w:r>
    </w:p>
    <w:p>
      <w:pPr>
        <w:pStyle w:val="10"/>
        <w:spacing w:line="520" w:lineRule="exact"/>
        <w:ind w:firstLine="86" w:firstLineChars="36"/>
        <w:rPr>
          <w:rFonts w:hAnsi="宋体"/>
          <w:szCs w:val="24"/>
        </w:rPr>
      </w:pPr>
      <w:r>
        <w:rPr>
          <w:rFonts w:hint="eastAsia" w:hAnsi="宋体"/>
          <w:szCs w:val="24"/>
        </w:rPr>
        <w:t>组织形式：股份有限公司</w:t>
      </w:r>
    </w:p>
    <w:p>
      <w:pPr>
        <w:pStyle w:val="10"/>
        <w:spacing w:line="520" w:lineRule="exact"/>
        <w:ind w:firstLine="86" w:firstLineChars="36"/>
        <w:rPr>
          <w:rFonts w:hAnsi="宋体"/>
          <w:szCs w:val="24"/>
        </w:rPr>
      </w:pPr>
      <w:r>
        <w:rPr>
          <w:rFonts w:hint="eastAsia" w:hAnsi="宋体"/>
          <w:szCs w:val="24"/>
        </w:rPr>
        <w:t>注册资本：489.35亿元人民币</w:t>
      </w:r>
    </w:p>
    <w:p>
      <w:pPr>
        <w:pStyle w:val="10"/>
        <w:spacing w:line="520" w:lineRule="exact"/>
        <w:ind w:firstLine="86" w:firstLineChars="36"/>
        <w:rPr>
          <w:rFonts w:hAnsi="宋体"/>
          <w:szCs w:val="24"/>
        </w:rPr>
      </w:pPr>
      <w:r>
        <w:rPr>
          <w:rFonts w:hint="eastAsia" w:hAnsi="宋体"/>
          <w:szCs w:val="24"/>
        </w:rPr>
        <w:t>存续期间：持续经营</w:t>
      </w:r>
    </w:p>
    <w:p>
      <w:pPr>
        <w:pStyle w:val="10"/>
        <w:spacing w:before="0" w:after="0" w:line="520" w:lineRule="exact"/>
        <w:ind w:left="0" w:firstLine="480" w:firstLineChars="200"/>
        <w:rPr>
          <w:rFonts w:hAnsi="宋体"/>
          <w:szCs w:val="24"/>
        </w:rPr>
      </w:pPr>
      <w:r>
        <w:rPr>
          <w:rFonts w:hint="eastAsia" w:hAnsi="宋体"/>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市场主体依法自主选择经营项目，开展经营活动；依法须经批准的项目，经相关部门批准后依批准的内容开展经营活动；不得从事国家和本市产业政策禁止和限制类项目的经营活动。）</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14" w:name="_Toc4870325"/>
      <w:bookmarkStart w:id="15" w:name="_Toc142055706"/>
      <w:bookmarkStart w:id="16" w:name="_Toc6589"/>
      <w:bookmarkStart w:id="17" w:name="_Toc296551338"/>
      <w:r>
        <w:rPr>
          <w:rFonts w:hint="eastAsia"/>
          <w:bCs/>
          <w:color w:val="auto"/>
          <w:szCs w:val="24"/>
        </w:rPr>
        <w:t>第二条 基金托管协议的依据、目的和原则</w:t>
      </w:r>
      <w:bookmarkEnd w:id="14"/>
      <w:bookmarkEnd w:id="15"/>
      <w:bookmarkEnd w:id="16"/>
      <w:bookmarkEnd w:id="17"/>
    </w:p>
    <w:p>
      <w:pPr>
        <w:pStyle w:val="10"/>
        <w:spacing w:before="0" w:after="0" w:line="520" w:lineRule="exact"/>
        <w:ind w:left="0" w:firstLine="480" w:firstLineChars="200"/>
        <w:rPr>
          <w:rFonts w:hAnsi="宋体"/>
          <w:szCs w:val="24"/>
        </w:rPr>
      </w:pPr>
      <w:r>
        <w:rPr>
          <w:rFonts w:hint="eastAsia" w:hAnsi="宋体"/>
          <w:szCs w:val="24"/>
        </w:rPr>
        <w:t>2.1基金托管协议的依据</w:t>
      </w:r>
    </w:p>
    <w:p>
      <w:pPr>
        <w:pStyle w:val="10"/>
        <w:spacing w:before="0" w:after="0" w:line="520" w:lineRule="exact"/>
        <w:ind w:left="0" w:firstLine="480" w:firstLineChars="200"/>
        <w:rPr>
          <w:rFonts w:hAnsi="宋体"/>
          <w:szCs w:val="24"/>
        </w:rPr>
      </w:pPr>
      <w:r>
        <w:rPr>
          <w:rFonts w:hint="eastAsia" w:hAnsi="宋体"/>
          <w:szCs w:val="24"/>
        </w:rPr>
        <w:t>订立本协议的依据是《中华人民共和国民法典》、《中华人民共和国证券投资基金法》（以下简称“《基金法》”）、《公开募集证券投资基金运作管理办法》（以下简称“《运作办法》”）、《公开募集证券投资基金销售机构监督管理办法》（以下简称“《销售办法》”）、《公开</w:t>
      </w:r>
      <w:r>
        <w:rPr>
          <w:rFonts w:hAnsi="宋体"/>
          <w:szCs w:val="24"/>
        </w:rPr>
        <w:t>募集</w:t>
      </w:r>
      <w:r>
        <w:rPr>
          <w:rFonts w:hint="eastAsia" w:hAnsi="宋体"/>
          <w:szCs w:val="24"/>
        </w:rPr>
        <w:t>证券投资基金信息披露管理办法》（以下简称“《信息披露办法》”）、</w:t>
      </w:r>
      <w:r>
        <w:rPr>
          <w:rFonts w:hint="eastAsia"/>
          <w:bCs/>
        </w:rPr>
        <w:t>《公开募集开放式证券投资基金流动性风险管理规定》（以下简称“《流动性风险管理规定》”）、</w:t>
      </w:r>
      <w:r>
        <w:rPr>
          <w:rFonts w:hint="eastAsia" w:hAnsi="宋体"/>
          <w:szCs w:val="24"/>
        </w:rPr>
        <w:t>《证券投资基金信息披露内容与格式准则第7号〈托管协议的内容与格式〉》、《博时季季兴90天滚动持有债券型证券投资基金基金合同》（以下简称“基金合同”）及其他有关规定。</w:t>
      </w:r>
    </w:p>
    <w:p>
      <w:pPr>
        <w:pStyle w:val="10"/>
        <w:spacing w:before="0" w:after="0" w:line="520" w:lineRule="exact"/>
        <w:ind w:left="0" w:firstLine="480" w:firstLineChars="200"/>
        <w:rPr>
          <w:rFonts w:hAnsi="宋体"/>
          <w:szCs w:val="24"/>
        </w:rPr>
      </w:pPr>
      <w:r>
        <w:rPr>
          <w:rFonts w:hint="eastAsia" w:hAnsi="宋体"/>
          <w:szCs w:val="24"/>
        </w:rPr>
        <w:t>2.2基金托管协议的目的</w:t>
      </w:r>
    </w:p>
    <w:p>
      <w:pPr>
        <w:pStyle w:val="10"/>
        <w:spacing w:before="0" w:after="0" w:line="520" w:lineRule="exact"/>
        <w:ind w:left="0" w:firstLine="480" w:firstLineChars="200"/>
        <w:rPr>
          <w:rFonts w:hAnsi="宋体"/>
          <w:szCs w:val="24"/>
        </w:rPr>
      </w:pPr>
      <w:r>
        <w:rPr>
          <w:rFonts w:hint="eastAsia" w:hAnsi="宋体"/>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pStyle w:val="10"/>
        <w:spacing w:before="0" w:after="0" w:line="520" w:lineRule="exact"/>
        <w:ind w:left="0" w:firstLine="480" w:firstLineChars="200"/>
        <w:rPr>
          <w:rFonts w:hAnsi="宋体"/>
          <w:szCs w:val="24"/>
        </w:rPr>
      </w:pPr>
      <w:r>
        <w:rPr>
          <w:rFonts w:hint="eastAsia" w:hAnsi="宋体"/>
          <w:szCs w:val="24"/>
        </w:rPr>
        <w:t>2.3基金托管协议的原则</w:t>
      </w:r>
    </w:p>
    <w:p>
      <w:pPr>
        <w:pStyle w:val="10"/>
        <w:spacing w:before="0" w:after="0" w:line="520" w:lineRule="exact"/>
        <w:ind w:left="0" w:firstLine="480" w:firstLineChars="200"/>
        <w:rPr>
          <w:rFonts w:hAnsi="宋体"/>
          <w:szCs w:val="24"/>
        </w:rPr>
      </w:pPr>
      <w:r>
        <w:rPr>
          <w:rFonts w:hint="eastAsia" w:hAnsi="宋体"/>
          <w:szCs w:val="24"/>
        </w:rPr>
        <w:t>基金管理人和基金托管人本着平等自愿、诚实信用、充分保护基金份额持有人合法权益的原则，经协商一致，签订本协议。</w:t>
      </w:r>
    </w:p>
    <w:p>
      <w:pPr>
        <w:pStyle w:val="10"/>
        <w:spacing w:before="0" w:after="0" w:line="360" w:lineRule="auto"/>
        <w:ind w:left="0" w:firstLine="480" w:firstLineChars="200"/>
        <w:rPr>
          <w:rFonts w:hAnsi="宋体"/>
          <w:szCs w:val="24"/>
        </w:rPr>
      </w:pPr>
    </w:p>
    <w:p>
      <w:pPr>
        <w:pStyle w:val="2"/>
        <w:ind w:firstLine="482" w:firstLineChars="200"/>
        <w:rPr>
          <w:bCs/>
          <w:color w:val="auto"/>
          <w:szCs w:val="24"/>
        </w:rPr>
      </w:pPr>
      <w:bookmarkStart w:id="18" w:name="_Toc24629"/>
      <w:bookmarkStart w:id="19" w:name="_Toc296551339"/>
      <w:bookmarkStart w:id="20" w:name="_Toc4870326"/>
      <w:bookmarkStart w:id="21" w:name="_Toc142055707"/>
      <w:r>
        <w:rPr>
          <w:rFonts w:hint="eastAsia"/>
          <w:bCs/>
          <w:color w:val="auto"/>
          <w:szCs w:val="24"/>
        </w:rPr>
        <w:t>第三条 基金托管人对基金管理人的业务监督和核查</w:t>
      </w:r>
      <w:bookmarkEnd w:id="18"/>
      <w:bookmarkEnd w:id="19"/>
      <w:bookmarkEnd w:id="20"/>
      <w:bookmarkEnd w:id="21"/>
    </w:p>
    <w:p>
      <w:pPr>
        <w:pStyle w:val="10"/>
        <w:spacing w:before="0" w:after="0" w:line="360" w:lineRule="auto"/>
        <w:ind w:left="0" w:firstLine="480" w:firstLineChars="200"/>
        <w:rPr>
          <w:rFonts w:hAnsi="宋体"/>
          <w:szCs w:val="24"/>
        </w:rPr>
      </w:pPr>
      <w:r>
        <w:rPr>
          <w:rFonts w:hint="eastAsia" w:hAnsi="宋体"/>
          <w:szCs w:val="24"/>
        </w:rPr>
        <w:t>3.1基金托管人对基金管理人的投资行为行使监督权</w:t>
      </w:r>
    </w:p>
    <w:p>
      <w:pPr>
        <w:pStyle w:val="10"/>
        <w:spacing w:before="0" w:after="0" w:line="360" w:lineRule="auto"/>
        <w:ind w:left="0" w:firstLine="480" w:firstLineChars="200"/>
        <w:rPr>
          <w:rFonts w:hAnsi="宋体"/>
          <w:szCs w:val="24"/>
        </w:rPr>
      </w:pPr>
      <w:r>
        <w:rPr>
          <w:rFonts w:hint="eastAsia" w:hAnsi="宋体"/>
          <w:szCs w:val="24"/>
        </w:rPr>
        <w:t>3.1.1基金托管人根据有关法律法规的规定和基金合同的约定，对下述基金投资范围、投资对象进行监督。本基金将投资于以下金融工具：</w:t>
      </w:r>
    </w:p>
    <w:p>
      <w:pPr>
        <w:spacing w:line="360" w:lineRule="auto"/>
        <w:ind w:firstLine="480"/>
        <w:rPr>
          <w:bCs/>
          <w:sz w:val="24"/>
        </w:rPr>
      </w:pPr>
      <w:bookmarkStart w:id="22" w:name="_Hlk116236786"/>
      <w:bookmarkStart w:id="23" w:name="_Hlk116237109"/>
      <w:r>
        <w:rPr>
          <w:rFonts w:hint="eastAsia"/>
          <w:bCs/>
          <w:sz w:val="24"/>
        </w:rPr>
        <w:t>本基金的投资范围主要为具有良好流动性的金融工具，包括债券（含国债、金融债、地方政府债、政府支持债券、政府支持机构债券、企业债、公司债、央行票据、中期票据、短期融资券、超短期融资券、可分离交易可转换债券的纯债部分、公开发行的次级债等）、资产支持证券、银行存款、债券回购、同业存单、货币市场工具、国债期货、信用衍生品及法律法规或中国证监会允许基金投资的其他金融工具（但须符合中国证监会的相关规定）。</w:t>
      </w:r>
    </w:p>
    <w:p>
      <w:pPr>
        <w:spacing w:line="360" w:lineRule="auto"/>
        <w:ind w:firstLine="480"/>
        <w:rPr>
          <w:bCs/>
          <w:sz w:val="24"/>
        </w:rPr>
      </w:pPr>
      <w:r>
        <w:rPr>
          <w:rFonts w:hint="eastAsia"/>
          <w:bCs/>
          <w:sz w:val="24"/>
        </w:rPr>
        <w:t>本基金不投资于股票等资产，也不投资于可转换债券（可分离交易可转债的纯债部分除外）、可交换债券。</w:t>
      </w:r>
    </w:p>
    <w:p>
      <w:pPr>
        <w:spacing w:line="360" w:lineRule="auto"/>
        <w:ind w:firstLine="480"/>
        <w:rPr>
          <w:bCs/>
          <w:sz w:val="24"/>
        </w:rPr>
      </w:pPr>
      <w:r>
        <w:rPr>
          <w:rFonts w:hint="eastAsia"/>
          <w:bCs/>
          <w:sz w:val="24"/>
        </w:rPr>
        <w:t>如法律法规或监管机构以后允许基金投资的其他品种，基金管理人在履行适当程序后，可以将其纳入投资范围，并可依据届时有效的法律法规适时合理地调整投资范围。</w:t>
      </w:r>
    </w:p>
    <w:p>
      <w:pPr>
        <w:spacing w:line="360" w:lineRule="auto"/>
        <w:ind w:firstLine="480"/>
        <w:rPr>
          <w:bCs/>
          <w:sz w:val="24"/>
        </w:rPr>
      </w:pPr>
      <w:r>
        <w:rPr>
          <w:rFonts w:hint="eastAsia"/>
          <w:bCs/>
          <w:sz w:val="24"/>
        </w:rPr>
        <w:t>基金的投资组合比例为：本基金投资于债券资产比例不低于基金资产的80%；本基金每个交易日日终在扣除国债期货合约需缴纳的交易保证金后，应当保持不低于基金资产净值5％的现金或者到期日在一年以内的政府债券，其中，现金不包括结算备付金、存出保证金、应收申购款等。</w:t>
      </w:r>
    </w:p>
    <w:p>
      <w:pPr>
        <w:spacing w:line="360" w:lineRule="auto"/>
        <w:ind w:firstLine="480"/>
        <w:rPr>
          <w:bCs/>
          <w:sz w:val="24"/>
        </w:rPr>
      </w:pPr>
      <w:r>
        <w:rPr>
          <w:rFonts w:hint="eastAsia"/>
          <w:bCs/>
          <w:sz w:val="24"/>
        </w:rPr>
        <w:t>若法律法规的相关规定发生变更或监管机构允许，本基金管理人在履行适当程序后，可对上述资产配置比例进行调整。</w:t>
      </w:r>
    </w:p>
    <w:bookmarkEnd w:id="22"/>
    <w:p>
      <w:pPr>
        <w:spacing w:line="360" w:lineRule="auto"/>
        <w:ind w:firstLine="720" w:firstLineChars="300"/>
        <w:jc w:val="left"/>
        <w:rPr>
          <w:rFonts w:ascii="宋体" w:hAnsi="宋体"/>
          <w:sz w:val="24"/>
        </w:rPr>
      </w:pPr>
      <w:r>
        <w:rPr>
          <w:rFonts w:hint="eastAsia" w:ascii="宋体" w:hAnsi="宋体"/>
          <w:sz w:val="24"/>
        </w:rPr>
        <w:t>3.1.2基金托管人根据有关法律法规的规定及基金合同的约定对下述基金投融资比例进行监督：</w:t>
      </w:r>
    </w:p>
    <w:p>
      <w:pPr>
        <w:spacing w:line="360" w:lineRule="auto"/>
        <w:ind w:firstLine="480" w:firstLineChars="200"/>
        <w:rPr>
          <w:sz w:val="24"/>
        </w:rPr>
      </w:pPr>
      <w:bookmarkStart w:id="24" w:name="_Hlk116236795"/>
      <w:r>
        <w:rPr>
          <w:rFonts w:hint="eastAsia"/>
          <w:sz w:val="24"/>
        </w:rPr>
        <w:t>（</w:t>
      </w:r>
      <w:r>
        <w:rPr>
          <w:sz w:val="24"/>
        </w:rPr>
        <w:t>1</w:t>
      </w:r>
      <w:r>
        <w:rPr>
          <w:rFonts w:hint="eastAsia"/>
          <w:sz w:val="24"/>
        </w:rPr>
        <w:t>）本基金对债券的投资比例不低于基金资产的80%；</w:t>
      </w:r>
    </w:p>
    <w:p>
      <w:pPr>
        <w:spacing w:line="360" w:lineRule="auto"/>
        <w:ind w:firstLine="480" w:firstLineChars="200"/>
        <w:rPr>
          <w:sz w:val="24"/>
        </w:rPr>
      </w:pPr>
      <w:r>
        <w:rPr>
          <w:rFonts w:hint="eastAsia"/>
          <w:sz w:val="24"/>
        </w:rPr>
        <w:t>（2）本基金每个交易日日终扣除国债期货需缴纳的交易保证金后，应当保持不低于基金资产净值5％的现金或者到期日在一年以内的政府债券，其中，现金不包括结算备付金、存出保证金、应收申购款等；</w:t>
      </w:r>
    </w:p>
    <w:p>
      <w:pPr>
        <w:spacing w:line="360" w:lineRule="auto"/>
        <w:ind w:firstLine="480" w:firstLineChars="200"/>
        <w:rPr>
          <w:sz w:val="24"/>
        </w:rPr>
      </w:pPr>
      <w:r>
        <w:rPr>
          <w:rFonts w:hint="eastAsia"/>
          <w:sz w:val="24"/>
        </w:rPr>
        <w:t>（3）本基金持有一家公司发行的证券，其市值不超过基金资产净值的10％；</w:t>
      </w:r>
    </w:p>
    <w:p>
      <w:pPr>
        <w:spacing w:line="360" w:lineRule="auto"/>
        <w:ind w:firstLine="480" w:firstLineChars="200"/>
        <w:rPr>
          <w:sz w:val="24"/>
        </w:rPr>
      </w:pPr>
      <w:r>
        <w:rPr>
          <w:rFonts w:hint="eastAsia"/>
          <w:sz w:val="24"/>
        </w:rPr>
        <w:t>（4）本基金管理人管理的全部基金持有一家公司发行的证券，不超过该证券的10％；</w:t>
      </w:r>
    </w:p>
    <w:p>
      <w:pPr>
        <w:spacing w:line="360" w:lineRule="auto"/>
        <w:ind w:firstLine="480" w:firstLineChars="200"/>
        <w:rPr>
          <w:sz w:val="24"/>
        </w:rPr>
      </w:pPr>
      <w:r>
        <w:rPr>
          <w:rFonts w:hint="eastAsia"/>
          <w:sz w:val="24"/>
        </w:rPr>
        <w:t>（</w:t>
      </w:r>
      <w:r>
        <w:rPr>
          <w:sz w:val="24"/>
        </w:rPr>
        <w:t>5</w:t>
      </w:r>
      <w:r>
        <w:rPr>
          <w:rFonts w:hint="eastAsia"/>
          <w:sz w:val="24"/>
        </w:rPr>
        <w:t>）本基金投资于同一原始权益人的各类资产支持证券的比例，不得超过基金资产净值的10％；</w:t>
      </w:r>
    </w:p>
    <w:p>
      <w:pPr>
        <w:spacing w:line="360" w:lineRule="auto"/>
        <w:ind w:firstLine="480" w:firstLineChars="200"/>
        <w:rPr>
          <w:sz w:val="24"/>
        </w:rPr>
      </w:pPr>
      <w:r>
        <w:rPr>
          <w:rFonts w:hint="eastAsia"/>
          <w:sz w:val="24"/>
        </w:rPr>
        <w:t>（</w:t>
      </w:r>
      <w:r>
        <w:rPr>
          <w:sz w:val="24"/>
        </w:rPr>
        <w:t>6</w:t>
      </w:r>
      <w:r>
        <w:rPr>
          <w:rFonts w:hint="eastAsia"/>
          <w:sz w:val="24"/>
        </w:rPr>
        <w:t>）本基金持有的全部资产支持证券，其市值不得超过基金资产净值的20％；</w:t>
      </w:r>
    </w:p>
    <w:p>
      <w:pPr>
        <w:spacing w:line="360" w:lineRule="auto"/>
        <w:ind w:firstLine="480" w:firstLineChars="200"/>
        <w:rPr>
          <w:sz w:val="24"/>
        </w:rPr>
      </w:pPr>
      <w:r>
        <w:rPr>
          <w:rFonts w:hint="eastAsia"/>
          <w:sz w:val="24"/>
        </w:rPr>
        <w:t>（</w:t>
      </w:r>
      <w:r>
        <w:rPr>
          <w:sz w:val="24"/>
        </w:rPr>
        <w:t>7</w:t>
      </w:r>
      <w:r>
        <w:rPr>
          <w:rFonts w:hint="eastAsia"/>
          <w:sz w:val="24"/>
        </w:rPr>
        <w:t>）本基金持有的同一(指同一信用级别)资产支持证券的比例，不得超过该资产支持证券规模的10％；</w:t>
      </w:r>
    </w:p>
    <w:p>
      <w:pPr>
        <w:spacing w:line="360" w:lineRule="auto"/>
        <w:ind w:firstLine="480" w:firstLineChars="200"/>
        <w:rPr>
          <w:sz w:val="24"/>
        </w:rPr>
      </w:pPr>
      <w:r>
        <w:rPr>
          <w:rFonts w:hint="eastAsia"/>
          <w:sz w:val="24"/>
        </w:rPr>
        <w:t>（</w:t>
      </w:r>
      <w:r>
        <w:rPr>
          <w:sz w:val="24"/>
        </w:rPr>
        <w:t>8</w:t>
      </w:r>
      <w:r>
        <w:rPr>
          <w:rFonts w:hint="eastAsia"/>
          <w:sz w:val="24"/>
        </w:rPr>
        <w:t>）本基金管理人管理的全部基金投资于同一原始权益人的各类资产支持证券，不得超过其各类资产支持证券合计规模的10％；</w:t>
      </w:r>
    </w:p>
    <w:p>
      <w:pPr>
        <w:spacing w:line="360" w:lineRule="auto"/>
        <w:ind w:firstLine="480" w:firstLineChars="200"/>
        <w:rPr>
          <w:sz w:val="24"/>
        </w:rPr>
      </w:pPr>
      <w:r>
        <w:rPr>
          <w:rFonts w:hint="eastAsia"/>
          <w:sz w:val="24"/>
        </w:rPr>
        <w:t>（</w:t>
      </w:r>
      <w:r>
        <w:rPr>
          <w:sz w:val="24"/>
        </w:rPr>
        <w:t>9</w:t>
      </w:r>
      <w:r>
        <w:rPr>
          <w:rFonts w:hint="eastAsia"/>
          <w:sz w:val="24"/>
        </w:rPr>
        <w:t>）本基金资产总值不得超过基金资产净值的140%；</w:t>
      </w:r>
    </w:p>
    <w:p>
      <w:pPr>
        <w:spacing w:line="360" w:lineRule="auto"/>
        <w:ind w:firstLine="480" w:firstLineChars="200"/>
        <w:rPr>
          <w:sz w:val="24"/>
        </w:rPr>
      </w:pPr>
      <w:r>
        <w:rPr>
          <w:rFonts w:hint="eastAsia"/>
          <w:sz w:val="24"/>
        </w:rPr>
        <w:t>（</w:t>
      </w:r>
      <w:r>
        <w:rPr>
          <w:sz w:val="24"/>
        </w:rPr>
        <w:t>10</w:t>
      </w:r>
      <w:r>
        <w:rPr>
          <w:rFonts w:hint="eastAsia"/>
          <w:sz w:val="24"/>
        </w:rPr>
        <w:t>）本基金参与国债期货交易，需遵守下列投资比例限制：</w:t>
      </w:r>
    </w:p>
    <w:p>
      <w:pPr>
        <w:spacing w:line="360" w:lineRule="auto"/>
        <w:ind w:firstLine="480" w:firstLineChars="200"/>
        <w:rPr>
          <w:sz w:val="24"/>
        </w:rPr>
      </w:pPr>
      <w:r>
        <w:rPr>
          <w:rFonts w:hint="eastAsia"/>
          <w:sz w:val="24"/>
        </w:rPr>
        <w:t>1）本基金在任何交易日日终，持有的买入国债期货合约价值，不得超过基金资产净值的15%；</w:t>
      </w:r>
    </w:p>
    <w:p>
      <w:pPr>
        <w:spacing w:line="360" w:lineRule="auto"/>
        <w:ind w:firstLine="480" w:firstLineChars="200"/>
        <w:rPr>
          <w:sz w:val="24"/>
        </w:rPr>
      </w:pPr>
      <w:r>
        <w:rPr>
          <w:rFonts w:hint="eastAsia"/>
          <w:sz w:val="24"/>
        </w:rPr>
        <w:t>2）本基金在任何交易日日终，持有的卖出国债期货合约价值不得超过基金持有的债券总市值的30%；</w:t>
      </w:r>
    </w:p>
    <w:p>
      <w:pPr>
        <w:spacing w:line="360" w:lineRule="auto"/>
        <w:ind w:firstLine="480" w:firstLineChars="200"/>
        <w:rPr>
          <w:sz w:val="24"/>
        </w:rPr>
      </w:pPr>
      <w:r>
        <w:rPr>
          <w:rFonts w:hint="eastAsia"/>
          <w:sz w:val="24"/>
        </w:rPr>
        <w:t>3）本基金在任何交易日内交易（不包括平仓）的国债期货合约的成交金额不得超过上一交易日基金资产净值的30%；</w:t>
      </w:r>
    </w:p>
    <w:p>
      <w:pPr>
        <w:spacing w:line="360" w:lineRule="auto"/>
        <w:ind w:firstLine="480" w:firstLineChars="200"/>
        <w:rPr>
          <w:sz w:val="24"/>
        </w:rPr>
      </w:pPr>
      <w:r>
        <w:rPr>
          <w:rFonts w:hint="eastAsia"/>
          <w:sz w:val="24"/>
        </w:rPr>
        <w:t>4）本基金所持有的债券（不含到期日在一年以内的政府债券）市值和买入、卖出国债期货合约价值，合计（轧差计算）应当符合基金合同关于债券投资比例的有关约定；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sz w:val="24"/>
        </w:rPr>
      </w:pPr>
      <w:r>
        <w:rPr>
          <w:rFonts w:hint="eastAsia"/>
          <w:sz w:val="24"/>
        </w:rPr>
        <w:t>（1</w:t>
      </w:r>
      <w:r>
        <w:rPr>
          <w:sz w:val="24"/>
        </w:rPr>
        <w:t>1</w:t>
      </w:r>
      <w:r>
        <w:rPr>
          <w:rFonts w:hint="eastAsia"/>
          <w:sz w:val="24"/>
        </w:rPr>
        <w:t>）本基金主动投资于流动性受限资产的市值合计不得超过本基金资产净值的 15%；</w:t>
      </w:r>
    </w:p>
    <w:p>
      <w:pPr>
        <w:spacing w:line="360" w:lineRule="auto"/>
        <w:ind w:firstLine="480" w:firstLineChars="200"/>
        <w:rPr>
          <w:sz w:val="24"/>
        </w:rPr>
      </w:pPr>
      <w:r>
        <w:rPr>
          <w:rFonts w:hint="eastAsia"/>
          <w:sz w:val="24"/>
        </w:rPr>
        <w:t>因证券市场波动、基金规模变动等基金管理人之外的因素致使基金不符合前款所规定比例限制的，基金管理人不得主动新增流动性受限资产的投资；</w:t>
      </w:r>
    </w:p>
    <w:p>
      <w:pPr>
        <w:spacing w:line="360" w:lineRule="auto"/>
        <w:ind w:firstLine="480" w:firstLineChars="200"/>
        <w:rPr>
          <w:sz w:val="24"/>
        </w:rPr>
      </w:pPr>
      <w:r>
        <w:rPr>
          <w:rFonts w:hint="eastAsia"/>
          <w:sz w:val="24"/>
        </w:rPr>
        <w:t>（1</w:t>
      </w:r>
      <w:r>
        <w:rPr>
          <w:sz w:val="24"/>
        </w:rPr>
        <w:t>2</w:t>
      </w:r>
      <w:r>
        <w:rPr>
          <w:rFonts w:hint="eastAsia"/>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sz w:val="24"/>
        </w:rPr>
      </w:pPr>
      <w:r>
        <w:rPr>
          <w:rFonts w:hint="eastAsia"/>
          <w:sz w:val="24"/>
        </w:rPr>
        <w:t>（1</w:t>
      </w:r>
      <w:r>
        <w:rPr>
          <w:sz w:val="24"/>
        </w:rPr>
        <w:t>3</w:t>
      </w:r>
      <w:r>
        <w:rPr>
          <w:rFonts w:hint="eastAsia"/>
          <w:sz w:val="24"/>
        </w:rPr>
        <w:t>）本基金不持有具有信用保护卖方属性的信用衍生品，不持有合约类信用衍生品，本基金持有的信用衍生品名义本金不得超过本基金中所对应受保护债券面值的100%；</w:t>
      </w:r>
    </w:p>
    <w:p>
      <w:pPr>
        <w:spacing w:line="360" w:lineRule="auto"/>
        <w:ind w:firstLine="480" w:firstLineChars="200"/>
        <w:rPr>
          <w:sz w:val="24"/>
        </w:rPr>
      </w:pPr>
      <w:r>
        <w:rPr>
          <w:rFonts w:hint="eastAsia"/>
          <w:sz w:val="24"/>
        </w:rPr>
        <w:t>（1</w:t>
      </w:r>
      <w:r>
        <w:rPr>
          <w:sz w:val="24"/>
        </w:rPr>
        <w:t>4</w:t>
      </w:r>
      <w:r>
        <w:rPr>
          <w:rFonts w:hint="eastAsia"/>
          <w:sz w:val="24"/>
        </w:rPr>
        <w:t>）本基金投资于同一信用保护卖方各类信用衍生品名义本金合计不得超过基金资产净值的10%；</w:t>
      </w:r>
    </w:p>
    <w:p>
      <w:pPr>
        <w:spacing w:line="360" w:lineRule="auto"/>
        <w:ind w:firstLine="480" w:firstLineChars="200"/>
        <w:rPr>
          <w:sz w:val="24"/>
        </w:rPr>
      </w:pPr>
      <w:r>
        <w:rPr>
          <w:rFonts w:hint="eastAsia"/>
          <w:sz w:val="24"/>
        </w:rPr>
        <w:t>（1</w:t>
      </w:r>
      <w:r>
        <w:rPr>
          <w:sz w:val="24"/>
        </w:rPr>
        <w:t>5</w:t>
      </w:r>
      <w:r>
        <w:rPr>
          <w:rFonts w:hint="eastAsia"/>
          <w:sz w:val="24"/>
        </w:rPr>
        <w:t>）法律法规及中国证监会规定的和《基金合同》约定的其他投资限制。</w:t>
      </w:r>
    </w:p>
    <w:p>
      <w:pPr>
        <w:spacing w:line="360" w:lineRule="auto"/>
        <w:ind w:firstLine="480" w:firstLineChars="200"/>
        <w:rPr>
          <w:sz w:val="24"/>
        </w:rPr>
      </w:pPr>
      <w:r>
        <w:rPr>
          <w:rFonts w:hint="eastAsia"/>
          <w:sz w:val="24"/>
        </w:rPr>
        <w:t>因证券/期货市场波动、证券发行人合并、基金规模变动等基金管理人之外的因素致使基金投资比例不符合上述（</w:t>
      </w:r>
      <w:r>
        <w:rPr>
          <w:sz w:val="24"/>
        </w:rPr>
        <w:t>13</w:t>
      </w:r>
      <w:r>
        <w:rPr>
          <w:rFonts w:hint="eastAsia"/>
          <w:sz w:val="24"/>
        </w:rPr>
        <w:t>）、（</w:t>
      </w:r>
      <w:r>
        <w:rPr>
          <w:sz w:val="24"/>
        </w:rPr>
        <w:t>14</w:t>
      </w:r>
      <w:r>
        <w:rPr>
          <w:rFonts w:hint="eastAsia"/>
          <w:sz w:val="24"/>
        </w:rPr>
        <w:t>）项规定投资比例的，基金管理人应在3个月内进行调整。</w:t>
      </w:r>
    </w:p>
    <w:p>
      <w:pPr>
        <w:spacing w:line="360" w:lineRule="auto"/>
        <w:ind w:firstLine="480" w:firstLineChars="200"/>
        <w:rPr>
          <w:sz w:val="24"/>
        </w:rPr>
      </w:pPr>
      <w:r>
        <w:rPr>
          <w:rFonts w:hint="eastAsia"/>
          <w:sz w:val="24"/>
        </w:rPr>
        <w:t>除上述（2）、（1</w:t>
      </w:r>
      <w:r>
        <w:rPr>
          <w:sz w:val="24"/>
        </w:rPr>
        <w:t>1</w:t>
      </w:r>
      <w:r>
        <w:rPr>
          <w:rFonts w:hint="eastAsia"/>
          <w:sz w:val="24"/>
        </w:rPr>
        <w:t>）、（1</w:t>
      </w:r>
      <w:r>
        <w:rPr>
          <w:sz w:val="24"/>
        </w:rPr>
        <w:t>2</w:t>
      </w:r>
      <w:r>
        <w:rPr>
          <w:rFonts w:hint="eastAsia"/>
          <w:sz w:val="24"/>
        </w:rPr>
        <w:t>）、（1</w:t>
      </w:r>
      <w:r>
        <w:rPr>
          <w:sz w:val="24"/>
        </w:rPr>
        <w:t>3</w:t>
      </w:r>
      <w:r>
        <w:rPr>
          <w:rFonts w:hint="eastAsia"/>
          <w:sz w:val="24"/>
        </w:rPr>
        <w:t>）、（1</w:t>
      </w:r>
      <w:r>
        <w:rPr>
          <w:sz w:val="24"/>
        </w:rPr>
        <w:t>4</w:t>
      </w:r>
      <w:r>
        <w:rPr>
          <w:rFonts w:hint="eastAsia"/>
          <w:sz w:val="24"/>
        </w:rPr>
        <w:t>）项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pPr>
        <w:spacing w:line="360" w:lineRule="auto"/>
        <w:ind w:firstLine="480" w:firstLineChars="200"/>
        <w:rPr>
          <w:sz w:val="24"/>
        </w:rPr>
      </w:pPr>
      <w:r>
        <w:rPr>
          <w:rFonts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pStyle w:val="10"/>
        <w:spacing w:before="0" w:after="0" w:line="360" w:lineRule="auto"/>
        <w:ind w:left="0" w:firstLine="480" w:firstLineChars="200"/>
        <w:rPr>
          <w:bCs/>
        </w:rPr>
      </w:pPr>
      <w:r>
        <w:rPr>
          <w:rFonts w:hint="eastAsia"/>
        </w:rPr>
        <w:t>法律法规或监管部门取消或调整上述限制，如适用于本基金，基金管理人在履行适当程序后，则本基金投资不再受相关限制或按调整后的规定执行。</w:t>
      </w:r>
    </w:p>
    <w:bookmarkEnd w:id="24"/>
    <w:p>
      <w:pPr>
        <w:pStyle w:val="10"/>
        <w:spacing w:before="0" w:after="0" w:line="360" w:lineRule="auto"/>
        <w:ind w:left="0" w:firstLine="480" w:firstLineChars="200"/>
        <w:rPr>
          <w:rFonts w:hAnsi="宋体"/>
          <w:szCs w:val="24"/>
        </w:rPr>
      </w:pPr>
      <w:r>
        <w:rPr>
          <w:rFonts w:hint="eastAsia" w:hAnsi="宋体"/>
          <w:szCs w:val="24"/>
        </w:rPr>
        <w:t>3.1.3基金托管人根据有关法律法规的规定及基金合同的约定对下述基金投资禁止行为进行监督：</w:t>
      </w:r>
    </w:p>
    <w:p>
      <w:pPr>
        <w:spacing w:line="360" w:lineRule="auto"/>
        <w:ind w:firstLine="480" w:firstLineChars="200"/>
        <w:rPr>
          <w:bCs/>
          <w:sz w:val="24"/>
        </w:rPr>
      </w:pPr>
      <w:bookmarkStart w:id="25" w:name="_Hlk116236801"/>
      <w:r>
        <w:rPr>
          <w:bCs/>
          <w:sz w:val="24"/>
        </w:rPr>
        <w:t>为维护基金份额持有人的合法权益，基金财产不得用于下列投资或者活动：</w:t>
      </w:r>
    </w:p>
    <w:p>
      <w:pPr>
        <w:spacing w:line="360" w:lineRule="auto"/>
        <w:ind w:firstLine="480" w:firstLineChars="200"/>
        <w:rPr>
          <w:bCs/>
          <w:sz w:val="24"/>
        </w:rPr>
      </w:pPr>
      <w:bookmarkStart w:id="26" w:name="_Hlk36118847"/>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（4）买卖其他基金份额，但是中国证监会另有规定的除外；</w:t>
      </w:r>
    </w:p>
    <w:p>
      <w:pPr>
        <w:spacing w:line="360" w:lineRule="auto"/>
        <w:ind w:firstLine="480" w:firstLineChars="200"/>
        <w:rPr>
          <w:bCs/>
          <w:sz w:val="24"/>
        </w:rPr>
      </w:pPr>
      <w:r>
        <w:rPr>
          <w:rFonts w:hint="eastAsia"/>
          <w:bCs/>
          <w:sz w:val="24"/>
        </w:rPr>
        <w:t>（5）向其基金管理人、基金托管人出资；</w:t>
      </w:r>
    </w:p>
    <w:p>
      <w:pPr>
        <w:spacing w:line="360" w:lineRule="auto"/>
        <w:ind w:firstLine="480" w:firstLineChars="200"/>
        <w:rPr>
          <w:bCs/>
          <w:sz w:val="24"/>
        </w:rPr>
      </w:pPr>
      <w:r>
        <w:rPr>
          <w:rFonts w:hint="eastAsia"/>
          <w:bCs/>
          <w:sz w:val="24"/>
        </w:rPr>
        <w:t>（6）从事内幕交易、操纵证券交易价格及其他不正当的证券交易活动；</w:t>
      </w:r>
    </w:p>
    <w:p>
      <w:pPr>
        <w:spacing w:line="360" w:lineRule="auto"/>
        <w:ind w:firstLine="480" w:firstLineChars="200"/>
        <w:rPr>
          <w:bCs/>
          <w:sz w:val="24"/>
        </w:rPr>
      </w:pPr>
      <w:r>
        <w:rPr>
          <w:rFonts w:hint="eastAsia"/>
          <w:bCs/>
          <w:sz w:val="24"/>
        </w:rPr>
        <w:t>（7）法律、行政法规和中国证监会规定禁止的其他活动。</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法律、行政法规或监管部门取消或变更上述规定，如适用于本基金，基金管理人在履行适当程序后，则本基金投资不再受相关限制或按变更后的规定执行。</w:t>
      </w:r>
    </w:p>
    <w:bookmarkEnd w:id="23"/>
    <w:bookmarkEnd w:id="25"/>
    <w:bookmarkEnd w:id="26"/>
    <w:p>
      <w:pPr>
        <w:pStyle w:val="10"/>
        <w:spacing w:before="0" w:after="0" w:line="360" w:lineRule="auto"/>
        <w:ind w:left="0" w:firstLine="480" w:firstLineChars="200"/>
        <w:rPr>
          <w:rFonts w:hAnsi="宋体"/>
          <w:szCs w:val="24"/>
        </w:rPr>
      </w:pPr>
      <w:r>
        <w:rPr>
          <w:rFonts w:hint="eastAsia" w:hAnsi="宋体"/>
          <w:szCs w:val="24"/>
        </w:rPr>
        <w:t>3.1.4基金托管人依据有关法律法规的规定和基金合同的约定对于基金关联投资限制进行监督：</w:t>
      </w:r>
    </w:p>
    <w:p>
      <w:pPr>
        <w:pStyle w:val="10"/>
        <w:spacing w:before="0" w:after="0" w:line="360" w:lineRule="auto"/>
        <w:ind w:left="0" w:firstLine="480" w:firstLineChars="200"/>
        <w:rPr>
          <w:rFonts w:hAnsi="宋体"/>
          <w:szCs w:val="24"/>
        </w:rPr>
      </w:pPr>
      <w:r>
        <w:rPr>
          <w:rFonts w:hint="eastAsia" w:hAnsi="宋体"/>
          <w:szCs w:val="24"/>
        </w:rPr>
        <w:t>根据法律法规有关从事关联交易的规定，基金管理人和基金托管人应事先相互提供与本机构有控股关系的股东或与本机构有其他重大利害关系的公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相应损失和责任。</w:t>
      </w:r>
    </w:p>
    <w:p>
      <w:pPr>
        <w:pStyle w:val="10"/>
        <w:spacing w:before="0" w:after="0" w:line="360" w:lineRule="auto"/>
        <w:ind w:left="0" w:firstLine="480" w:firstLineChars="200"/>
        <w:rPr>
          <w:rFonts w:hAnsi="宋体"/>
          <w:szCs w:val="24"/>
        </w:rPr>
      </w:pPr>
      <w:r>
        <w:rPr>
          <w:rFonts w:hint="eastAsia" w:hAnsi="宋体"/>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pPr>
        <w:pStyle w:val="10"/>
        <w:spacing w:before="0" w:after="0" w:line="360" w:lineRule="auto"/>
        <w:ind w:left="0" w:firstLine="480" w:firstLineChars="200"/>
        <w:rPr>
          <w:rFonts w:hAnsi="宋体"/>
          <w:szCs w:val="24"/>
        </w:rPr>
      </w:pPr>
      <w:r>
        <w:rPr>
          <w:rFonts w:hAnsi="宋体"/>
          <w:szCs w:val="24"/>
        </w:rPr>
        <w:t>3.1.5基金托管人依据有关法律法规的规定和基金合同的约定对基金管理人参与银行间债券市场进行监督：</w:t>
      </w:r>
    </w:p>
    <w:p>
      <w:pPr>
        <w:pStyle w:val="10"/>
        <w:spacing w:before="0" w:after="0" w:line="360" w:lineRule="auto"/>
        <w:ind w:left="0" w:firstLine="480" w:firstLineChars="200"/>
        <w:rPr>
          <w:rFonts w:hAnsi="宋体"/>
          <w:szCs w:val="24"/>
        </w:rPr>
      </w:pPr>
      <w:r>
        <w:rPr>
          <w:rFonts w:hint="eastAsia" w:hAnsi="宋体"/>
          <w:szCs w:val="24"/>
        </w:rPr>
        <w:t>（1）基金托管人依据有关法律法规的规定和基金合同的约定对于基金管理人参与银行间债券市场交易时面临的交易对手资信风险进行监督。</w:t>
      </w:r>
    </w:p>
    <w:p>
      <w:pPr>
        <w:pStyle w:val="10"/>
        <w:spacing w:before="0" w:after="0" w:line="360" w:lineRule="auto"/>
        <w:ind w:left="0" w:firstLine="480" w:firstLineChars="200"/>
        <w:rPr>
          <w:rFonts w:hAnsi="宋体"/>
          <w:szCs w:val="24"/>
        </w:rPr>
      </w:pPr>
      <w:r>
        <w:rPr>
          <w:rFonts w:hint="eastAsia" w:hAnsi="宋体"/>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pPr>
        <w:pStyle w:val="10"/>
        <w:spacing w:before="0" w:after="0" w:line="520" w:lineRule="exact"/>
        <w:ind w:left="0" w:firstLine="480" w:firstLineChars="200"/>
        <w:rPr>
          <w:rFonts w:hAnsi="宋体"/>
          <w:szCs w:val="24"/>
        </w:rPr>
      </w:pPr>
      <w:r>
        <w:rPr>
          <w:rFonts w:hint="eastAsia" w:hAnsi="宋体"/>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pPr>
        <w:pStyle w:val="10"/>
        <w:spacing w:before="0" w:after="0" w:line="520" w:lineRule="exact"/>
        <w:ind w:left="0" w:firstLine="480" w:firstLineChars="200"/>
        <w:rPr>
          <w:rFonts w:hAnsi="宋体"/>
          <w:szCs w:val="24"/>
        </w:rPr>
      </w:pPr>
      <w:r>
        <w:rPr>
          <w:rFonts w:hint="eastAsia" w:hAnsi="宋体"/>
          <w:szCs w:val="24"/>
        </w:rPr>
        <w:t>（2）基金托管人对于基金管理人参与银行间债券市场交易的交易方式的控制</w:t>
      </w:r>
    </w:p>
    <w:p>
      <w:pPr>
        <w:pStyle w:val="10"/>
        <w:spacing w:before="0" w:after="0" w:line="520" w:lineRule="exact"/>
        <w:ind w:left="0" w:firstLine="480" w:firstLineChars="200"/>
        <w:rPr>
          <w:rFonts w:hAnsi="宋体"/>
          <w:szCs w:val="24"/>
        </w:rPr>
      </w:pPr>
      <w:r>
        <w:rPr>
          <w:rFonts w:hint="eastAsia" w:hAnsi="宋体"/>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pPr>
        <w:pStyle w:val="10"/>
        <w:spacing w:before="0" w:after="0" w:line="520" w:lineRule="exact"/>
        <w:ind w:left="0" w:firstLine="480" w:firstLineChars="200"/>
        <w:rPr>
          <w:rFonts w:hAnsi="宋体"/>
          <w:szCs w:val="24"/>
        </w:rPr>
      </w:pPr>
      <w:r>
        <w:rPr>
          <w:rFonts w:hint="eastAsia" w:hAnsi="宋体"/>
          <w:szCs w:val="24"/>
        </w:rPr>
        <w:t>（3）基金管理人有责任控制交易对手的资信风险，按银行间债券市场的交易规则进行交易，并负责解决因交易对手不履行合同而造成的纠纷。若未履约的交易对手在基金管理人确定的时间内仍未承担违约责任及其他相关法律责任的，基金管理人负责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pPr>
        <w:pStyle w:val="10"/>
        <w:spacing w:before="0" w:after="0" w:line="520" w:lineRule="exact"/>
        <w:ind w:left="0" w:firstLine="480" w:firstLineChars="200"/>
        <w:rPr>
          <w:rFonts w:hAnsi="宋体"/>
          <w:szCs w:val="24"/>
        </w:rPr>
      </w:pPr>
      <w:r>
        <w:rPr>
          <w:rFonts w:hint="eastAsia" w:hAnsi="宋体"/>
          <w:szCs w:val="24"/>
        </w:rPr>
        <w:t>3.1.</w:t>
      </w:r>
      <w:r>
        <w:rPr>
          <w:rFonts w:hAnsi="宋体"/>
          <w:szCs w:val="24"/>
        </w:rPr>
        <w:t>6</w:t>
      </w:r>
      <w:r>
        <w:rPr>
          <w:rFonts w:hint="eastAsia" w:hAnsi="宋体"/>
          <w:szCs w:val="24"/>
        </w:rPr>
        <w:t>基金托管人对基金投资中期票据的监督：</w:t>
      </w:r>
    </w:p>
    <w:p>
      <w:pPr>
        <w:pStyle w:val="10"/>
        <w:spacing w:before="0" w:after="0" w:line="520" w:lineRule="exact"/>
        <w:ind w:left="0" w:firstLine="480" w:firstLineChars="200"/>
        <w:rPr>
          <w:rFonts w:hAnsi="宋体"/>
          <w:szCs w:val="24"/>
        </w:rPr>
      </w:pPr>
      <w:r>
        <w:rPr>
          <w:rFonts w:hint="eastAsia" w:hAnsi="宋体"/>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pPr>
        <w:pStyle w:val="10"/>
        <w:spacing w:before="0" w:after="0" w:line="520" w:lineRule="exact"/>
        <w:ind w:left="0" w:firstLine="480" w:firstLineChars="200"/>
        <w:rPr>
          <w:rFonts w:hAnsi="宋体"/>
          <w:szCs w:val="24"/>
        </w:rPr>
      </w:pPr>
      <w:r>
        <w:rPr>
          <w:rFonts w:hint="eastAsia" w:hAnsi="宋体"/>
          <w:szCs w:val="24"/>
        </w:rPr>
        <w:t>（2）如未来有关监管部门发布的法律法规对证券投资基金投资中期票据另有规定的，从其约定。</w:t>
      </w:r>
    </w:p>
    <w:p>
      <w:pPr>
        <w:pStyle w:val="10"/>
        <w:spacing w:before="0" w:after="0" w:line="520" w:lineRule="exact"/>
        <w:ind w:left="0" w:firstLine="480" w:firstLineChars="200"/>
        <w:rPr>
          <w:rFonts w:hAnsi="宋体"/>
          <w:szCs w:val="24"/>
        </w:rPr>
      </w:pPr>
      <w:r>
        <w:rPr>
          <w:rFonts w:hint="eastAsia" w:hAnsi="宋体"/>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相应损失和责任。</w:t>
      </w:r>
    </w:p>
    <w:p>
      <w:pPr>
        <w:pStyle w:val="10"/>
        <w:spacing w:before="0" w:after="0" w:line="520" w:lineRule="exact"/>
        <w:ind w:left="0" w:firstLine="480" w:firstLineChars="200"/>
        <w:rPr>
          <w:rFonts w:hAnsi="宋体"/>
          <w:szCs w:val="24"/>
        </w:rPr>
      </w:pPr>
      <w:r>
        <w:rPr>
          <w:rFonts w:hint="eastAsia" w:hAnsi="宋体"/>
          <w:szCs w:val="24"/>
        </w:rPr>
        <w:t>3.1.</w:t>
      </w:r>
      <w:r>
        <w:rPr>
          <w:rFonts w:hAnsi="宋体"/>
          <w:szCs w:val="24"/>
        </w:rPr>
        <w:t>7</w:t>
      </w:r>
      <w:r>
        <w:rPr>
          <w:rFonts w:hint="eastAsia" w:hAnsi="宋体"/>
          <w:szCs w:val="24"/>
        </w:rPr>
        <w:t>基金托管人根据有关法律法规的规定及基金合同的约定，对基金管理人选择存款银行进行监督：</w:t>
      </w:r>
    </w:p>
    <w:p>
      <w:pPr>
        <w:pStyle w:val="10"/>
        <w:spacing w:before="0" w:after="0" w:line="520" w:lineRule="exact"/>
        <w:ind w:left="0" w:firstLine="480" w:firstLineChars="200"/>
        <w:rPr>
          <w:rFonts w:hAnsi="宋体"/>
          <w:szCs w:val="24"/>
        </w:rPr>
      </w:pPr>
      <w:r>
        <w:rPr>
          <w:rFonts w:hint="eastAsia" w:hAnsi="宋体"/>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pPr>
        <w:pStyle w:val="10"/>
        <w:spacing w:before="0" w:after="0" w:line="520" w:lineRule="exact"/>
        <w:ind w:left="0" w:firstLine="480" w:firstLineChars="200"/>
        <w:rPr>
          <w:rFonts w:hAnsi="宋体"/>
          <w:szCs w:val="24"/>
        </w:rPr>
      </w:pPr>
      <w:r>
        <w:rPr>
          <w:rFonts w:hint="eastAsia" w:hAnsi="宋体"/>
          <w:szCs w:val="24"/>
        </w:rPr>
        <w:t>本基金投资银行存款应符合如下规定：</w:t>
      </w:r>
    </w:p>
    <w:p>
      <w:pPr>
        <w:pStyle w:val="10"/>
        <w:spacing w:before="0" w:after="0" w:line="520" w:lineRule="exact"/>
        <w:ind w:left="0" w:firstLine="480" w:firstLineChars="200"/>
        <w:rPr>
          <w:rFonts w:hAnsi="宋体"/>
          <w:szCs w:val="24"/>
        </w:rPr>
      </w:pPr>
      <w:r>
        <w:rPr>
          <w:rFonts w:hint="eastAsia" w:hAnsi="宋体"/>
          <w:szCs w:val="24"/>
        </w:rPr>
        <w:t>（1）基金管理人、基金托管人应当与存款银行建立定期对账机制，确保基金银行存款业务账目及核算的真实、准确。</w:t>
      </w:r>
    </w:p>
    <w:p>
      <w:pPr>
        <w:pStyle w:val="10"/>
        <w:spacing w:before="0" w:after="0" w:line="520" w:lineRule="exact"/>
        <w:ind w:left="0" w:firstLine="480" w:firstLineChars="200"/>
        <w:rPr>
          <w:rFonts w:hAnsi="宋体"/>
          <w:szCs w:val="24"/>
        </w:rPr>
      </w:pPr>
      <w:r>
        <w:rPr>
          <w:rFonts w:hint="eastAsia" w:hAnsi="宋体"/>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pPr>
        <w:pStyle w:val="10"/>
        <w:spacing w:before="0" w:after="0" w:line="520" w:lineRule="exact"/>
        <w:ind w:left="0" w:firstLine="480" w:firstLineChars="200"/>
        <w:rPr>
          <w:rFonts w:hAnsi="宋体"/>
          <w:szCs w:val="24"/>
        </w:rPr>
      </w:pPr>
      <w:r>
        <w:rPr>
          <w:rFonts w:hint="eastAsia" w:hAnsi="宋体"/>
          <w:szCs w:val="24"/>
        </w:rPr>
        <w:t>（3）基金托管人应加强对基金银行存款业务的监督与核查，严格审查、复核相关协议、账户资料、投资指令、存款证实书等有关文件，切实履行托管职责。</w:t>
      </w:r>
    </w:p>
    <w:p>
      <w:pPr>
        <w:pStyle w:val="10"/>
        <w:spacing w:before="0" w:after="0" w:line="520" w:lineRule="exact"/>
        <w:ind w:left="0" w:firstLine="480" w:firstLineChars="200"/>
        <w:rPr>
          <w:rFonts w:hAnsi="宋体"/>
          <w:szCs w:val="24"/>
        </w:rPr>
      </w:pPr>
      <w:r>
        <w:rPr>
          <w:rFonts w:hint="eastAsia" w:hAnsi="宋体"/>
          <w:szCs w:val="24"/>
        </w:rPr>
        <w:t>（4）基金管理人与基金托管人在开展基金存款业务时，应严格遵守《基金法》、《运作办法》等有关法律法规，以及国家有关账户管理、利率管理、支付结算等的各项规定。</w:t>
      </w:r>
    </w:p>
    <w:p>
      <w:pPr>
        <w:pStyle w:val="10"/>
        <w:spacing w:before="0" w:after="0" w:line="520" w:lineRule="exact"/>
        <w:ind w:left="0" w:firstLine="480" w:firstLineChars="200"/>
        <w:rPr>
          <w:rFonts w:hAnsi="宋体"/>
          <w:szCs w:val="24"/>
        </w:rPr>
      </w:pPr>
      <w:r>
        <w:rPr>
          <w:rFonts w:hint="eastAsia" w:hAnsi="宋体"/>
          <w:szCs w:val="24"/>
        </w:rPr>
        <w:t>3.2基金托管人对基金管理人业务进行监督和核查的有关措施：</w:t>
      </w:r>
    </w:p>
    <w:p>
      <w:pPr>
        <w:pStyle w:val="10"/>
        <w:spacing w:before="0" w:after="0" w:line="520" w:lineRule="exact"/>
        <w:ind w:left="0" w:firstLine="480" w:firstLineChars="200"/>
        <w:rPr>
          <w:rFonts w:hAnsi="宋体"/>
          <w:szCs w:val="24"/>
        </w:rPr>
      </w:pPr>
      <w:r>
        <w:rPr>
          <w:rFonts w:hint="eastAsia" w:hAnsi="宋体"/>
          <w:szCs w:val="24"/>
        </w:rPr>
        <w:t>3.2.1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pStyle w:val="10"/>
        <w:spacing w:before="0" w:after="0" w:line="520" w:lineRule="exact"/>
        <w:ind w:left="0" w:firstLine="480" w:firstLineChars="200"/>
        <w:rPr>
          <w:rFonts w:hAnsi="宋体"/>
          <w:szCs w:val="24"/>
        </w:rPr>
      </w:pPr>
      <w:r>
        <w:rPr>
          <w:rFonts w:hint="eastAsia" w:hAnsi="宋体"/>
          <w:szCs w:val="24"/>
        </w:rPr>
        <w:t>3.2.2基金托管人发现基金管理人的投资运作及其他运作违反《基金法》、基金合同、本托管协议及其他有关规定时，应及时以书面形式通知基金管理人限期纠正，基金管理人收到书面通知后应在下一个工作日及时核对，并以书面形式向基金托管人发出回函，进行解释或举证。</w:t>
      </w:r>
    </w:p>
    <w:p>
      <w:pPr>
        <w:pStyle w:val="10"/>
        <w:spacing w:before="0" w:after="0" w:line="520" w:lineRule="exact"/>
        <w:ind w:left="0" w:firstLine="480" w:firstLineChars="200"/>
        <w:rPr>
          <w:rFonts w:hAnsi="宋体"/>
          <w:szCs w:val="24"/>
        </w:rPr>
      </w:pPr>
      <w:r>
        <w:rPr>
          <w:rFonts w:hint="eastAsia" w:hAnsi="宋体"/>
          <w:szCs w:val="24"/>
        </w:rPr>
        <w:t>3.2.3在限期内，基金托管人有权随时对通知事项进行复查，督促基金管理人改正。基金管理人对基金托管人通知的违规事项未能在限期内纠正的，基金托管人应报告中国证监会。</w:t>
      </w:r>
    </w:p>
    <w:p>
      <w:pPr>
        <w:pStyle w:val="10"/>
        <w:spacing w:before="0" w:after="0" w:line="520" w:lineRule="exact"/>
        <w:ind w:left="0" w:firstLine="480" w:firstLineChars="200"/>
        <w:rPr>
          <w:rFonts w:hAnsi="宋体"/>
          <w:szCs w:val="24"/>
        </w:rPr>
      </w:pPr>
      <w:r>
        <w:rPr>
          <w:rFonts w:hint="eastAsia" w:hAnsi="宋体"/>
          <w:szCs w:val="24"/>
        </w:rPr>
        <w:t>3.2.4基金托管人发现基金管理人的投资指令违反法律法规规定或者违反基金合同约定的，应当拒绝执行，立即通知基金管理人。</w:t>
      </w:r>
    </w:p>
    <w:p>
      <w:pPr>
        <w:pStyle w:val="10"/>
        <w:spacing w:before="0" w:after="0" w:line="520" w:lineRule="exact"/>
        <w:ind w:left="0" w:firstLine="480" w:firstLineChars="200"/>
        <w:rPr>
          <w:rFonts w:hAnsi="宋体"/>
          <w:szCs w:val="24"/>
        </w:rPr>
      </w:pPr>
      <w:r>
        <w:rPr>
          <w:rFonts w:hint="eastAsia" w:hAnsi="宋体"/>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若给基金托管人造成损失，基金托管人有权向基金管理人追偿由此造成的全部损失。</w:t>
      </w:r>
    </w:p>
    <w:p>
      <w:pPr>
        <w:pStyle w:val="10"/>
        <w:spacing w:before="0" w:after="0" w:line="520" w:lineRule="exact"/>
        <w:ind w:left="0" w:firstLine="480" w:firstLineChars="200"/>
        <w:rPr>
          <w:rFonts w:hAnsi="宋体"/>
          <w:szCs w:val="24"/>
        </w:rPr>
      </w:pPr>
      <w:r>
        <w:rPr>
          <w:rFonts w:hint="eastAsia" w:hAnsi="宋体"/>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pPr>
        <w:pStyle w:val="10"/>
        <w:spacing w:before="0" w:after="0" w:line="520" w:lineRule="exact"/>
        <w:ind w:left="0" w:firstLine="480" w:firstLineChars="200"/>
        <w:rPr>
          <w:rFonts w:hAnsi="宋体"/>
          <w:szCs w:val="24"/>
        </w:rPr>
      </w:pPr>
      <w:r>
        <w:rPr>
          <w:rFonts w:hint="eastAsia" w:hAnsi="宋体"/>
          <w:szCs w:val="24"/>
        </w:rPr>
        <w:t>3.2.7基金托管人发现基金管理人有重大违规行为，应立即报告中国证监会，同时通知基金管理人限期纠正。</w:t>
      </w:r>
    </w:p>
    <w:p>
      <w:pPr>
        <w:pStyle w:val="10"/>
        <w:spacing w:before="0" w:after="0" w:line="520" w:lineRule="exact"/>
        <w:ind w:left="0" w:firstLine="480" w:firstLineChars="200"/>
        <w:rPr>
          <w:rFonts w:hAnsi="宋体"/>
          <w:szCs w:val="24"/>
        </w:rPr>
      </w:pPr>
      <w:r>
        <w:rPr>
          <w:rFonts w:hint="eastAsia" w:hAnsi="宋体"/>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pPr>
        <w:pStyle w:val="10"/>
        <w:spacing w:before="0" w:after="0" w:line="520" w:lineRule="exact"/>
        <w:ind w:left="0" w:firstLine="480" w:firstLineChars="200"/>
        <w:rPr>
          <w:rFonts w:hAnsi="宋体"/>
          <w:szCs w:val="24"/>
        </w:rPr>
      </w:pPr>
      <w:r>
        <w:rPr>
          <w:rFonts w:hAnsi="宋体"/>
          <w:szCs w:val="24"/>
        </w:rPr>
        <w:t>3.2.9</w:t>
      </w:r>
      <w:r>
        <w:rPr>
          <w:rFonts w:hint="eastAsia" w:hAnsi="宋体"/>
          <w:szCs w:val="24"/>
        </w:rPr>
        <w:t>基金托管人对资金来源、投资收益及投资安全不承担审核责任，特别是对于本基金所投标的的后续资金使用情况无审核责任，不保证托管财产投资不受损失，不保证最低收益。</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27" w:name="_Toc296551340"/>
      <w:bookmarkStart w:id="28" w:name="_Toc9669"/>
      <w:bookmarkStart w:id="29" w:name="_Toc4870327"/>
      <w:bookmarkStart w:id="30" w:name="_Toc142055708"/>
      <w:r>
        <w:rPr>
          <w:rFonts w:hint="eastAsia"/>
          <w:bCs/>
          <w:color w:val="auto"/>
          <w:szCs w:val="24"/>
        </w:rPr>
        <w:t>第四条 基金管理人对基金托管人的业务核查</w:t>
      </w:r>
      <w:bookmarkEnd w:id="27"/>
      <w:bookmarkEnd w:id="28"/>
      <w:bookmarkEnd w:id="29"/>
      <w:bookmarkEnd w:id="30"/>
    </w:p>
    <w:p>
      <w:pPr>
        <w:pStyle w:val="10"/>
        <w:spacing w:before="0" w:after="0" w:line="520" w:lineRule="exact"/>
        <w:ind w:left="0" w:firstLine="480" w:firstLineChars="200"/>
        <w:rPr>
          <w:rFonts w:hAnsi="宋体"/>
          <w:szCs w:val="24"/>
        </w:rPr>
      </w:pPr>
      <w:r>
        <w:rPr>
          <w:rFonts w:hint="eastAsia" w:hAnsi="宋体"/>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各类基金份额净值、根据基金管理人指令办理清算交收、相关信息披露和监督基金投资运作等行为。</w:t>
      </w:r>
    </w:p>
    <w:p>
      <w:pPr>
        <w:pStyle w:val="10"/>
        <w:spacing w:before="0" w:after="0" w:line="520" w:lineRule="exact"/>
        <w:ind w:left="0" w:firstLine="480" w:firstLineChars="200"/>
        <w:rPr>
          <w:rFonts w:hAnsi="宋体"/>
          <w:szCs w:val="24"/>
        </w:rPr>
      </w:pPr>
      <w:r>
        <w:rPr>
          <w:rFonts w:hint="eastAsia" w:hAnsi="宋体"/>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在下一个工作日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pPr>
        <w:pStyle w:val="10"/>
        <w:spacing w:before="0" w:after="0" w:line="520" w:lineRule="exact"/>
        <w:ind w:left="0" w:firstLine="480" w:firstLineChars="200"/>
        <w:rPr>
          <w:rFonts w:hAnsi="宋体"/>
          <w:szCs w:val="24"/>
        </w:rPr>
      </w:pPr>
      <w:r>
        <w:rPr>
          <w:rFonts w:hint="eastAsia" w:hAnsi="宋体"/>
          <w:szCs w:val="24"/>
        </w:rPr>
        <w:t>4.3基金管理人发现基金托管人有重大违规行为，应立即报告中国证监会和银行业监督管理机构，同时通知基金托管人限期纠正。</w:t>
      </w:r>
    </w:p>
    <w:p>
      <w:pPr>
        <w:pStyle w:val="10"/>
        <w:spacing w:before="0" w:after="0" w:line="520" w:lineRule="exact"/>
        <w:ind w:left="0" w:firstLine="480" w:firstLineChars="200"/>
        <w:rPr>
          <w:rFonts w:hAnsi="宋体"/>
          <w:szCs w:val="24"/>
        </w:rPr>
      </w:pPr>
      <w:r>
        <w:rPr>
          <w:rFonts w:hint="eastAsia" w:hAnsi="宋体"/>
          <w:szCs w:val="24"/>
        </w:rPr>
        <w:t>4.4基金托管人应积极配合基金管理人的核查行为，包括但不限于：提交相关资料以供基金管理人核查托管财产的完整性和真实性，在规定时间内答复基金管理人并改正。</w:t>
      </w:r>
    </w:p>
    <w:p>
      <w:pPr>
        <w:pStyle w:val="10"/>
        <w:spacing w:before="0" w:after="0" w:line="520" w:lineRule="exact"/>
        <w:ind w:left="0" w:firstLine="480" w:firstLineChars="200"/>
        <w:rPr>
          <w:rFonts w:hAnsi="宋体"/>
          <w:szCs w:val="24"/>
        </w:rPr>
      </w:pPr>
      <w:r>
        <w:rPr>
          <w:rFonts w:hint="eastAsia" w:hAnsi="宋体"/>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31" w:name="_Toc4870328"/>
      <w:bookmarkStart w:id="32" w:name="_Toc13791"/>
      <w:bookmarkStart w:id="33" w:name="_Toc296551341"/>
      <w:bookmarkStart w:id="34" w:name="_Toc142055709"/>
      <w:r>
        <w:rPr>
          <w:rFonts w:hint="eastAsia"/>
          <w:bCs/>
          <w:color w:val="auto"/>
          <w:szCs w:val="24"/>
        </w:rPr>
        <w:t>第五条 基金财产保管</w:t>
      </w:r>
      <w:bookmarkEnd w:id="31"/>
      <w:bookmarkEnd w:id="32"/>
      <w:bookmarkEnd w:id="33"/>
      <w:bookmarkEnd w:id="34"/>
    </w:p>
    <w:p>
      <w:pPr>
        <w:pStyle w:val="10"/>
        <w:spacing w:before="0" w:after="0" w:line="520" w:lineRule="exact"/>
        <w:ind w:left="0" w:firstLine="480" w:firstLineChars="200"/>
        <w:rPr>
          <w:rFonts w:hAnsi="宋体"/>
          <w:szCs w:val="24"/>
        </w:rPr>
      </w:pPr>
      <w:r>
        <w:rPr>
          <w:rFonts w:hint="eastAsia" w:hAnsi="宋体"/>
          <w:szCs w:val="24"/>
        </w:rPr>
        <w:t>5.1基金财产保管的原则</w:t>
      </w:r>
    </w:p>
    <w:p>
      <w:pPr>
        <w:pStyle w:val="10"/>
        <w:spacing w:before="0" w:after="0" w:line="520" w:lineRule="exact"/>
        <w:ind w:left="0" w:firstLine="480" w:firstLineChars="200"/>
        <w:rPr>
          <w:rFonts w:hAnsi="宋体"/>
          <w:szCs w:val="24"/>
        </w:rPr>
      </w:pPr>
      <w:r>
        <w:rPr>
          <w:rFonts w:hint="eastAsia" w:hAnsi="宋体"/>
          <w:szCs w:val="24"/>
        </w:rPr>
        <w:t>5.1.1基金财产应独立于基金管理人、基金托管人的固有财产。</w:t>
      </w:r>
    </w:p>
    <w:p>
      <w:pPr>
        <w:pStyle w:val="10"/>
        <w:spacing w:before="0" w:after="0" w:line="520" w:lineRule="exact"/>
        <w:ind w:left="0" w:firstLine="480" w:firstLineChars="200"/>
        <w:rPr>
          <w:rFonts w:hAnsi="宋体"/>
          <w:szCs w:val="24"/>
        </w:rPr>
      </w:pPr>
      <w:r>
        <w:rPr>
          <w:rFonts w:hint="eastAsia" w:hAnsi="宋体"/>
          <w:szCs w:val="24"/>
        </w:rPr>
        <w:t>5.1.2基金托管人应安全保管基金财产。除依据法律法规规定、基金合同和本托管协议约定及基金管理人的正当指令外，不得自行运用、处分、分配基金的任何财产。</w:t>
      </w:r>
    </w:p>
    <w:p>
      <w:pPr>
        <w:pStyle w:val="10"/>
        <w:spacing w:before="0" w:after="0" w:line="520" w:lineRule="exact"/>
        <w:ind w:left="0" w:firstLine="480" w:firstLineChars="200"/>
        <w:rPr>
          <w:rFonts w:hAnsi="宋体"/>
          <w:szCs w:val="24"/>
        </w:rPr>
      </w:pPr>
      <w:r>
        <w:rPr>
          <w:rFonts w:hint="eastAsia" w:hAnsi="宋体"/>
          <w:szCs w:val="24"/>
        </w:rPr>
        <w:t>5.1.3基金托管人按照规定开设基金财产的资金账户和证券账户等投资所需的其他账户。</w:t>
      </w:r>
    </w:p>
    <w:p>
      <w:pPr>
        <w:pStyle w:val="10"/>
        <w:spacing w:before="0" w:after="0" w:line="520" w:lineRule="exact"/>
        <w:ind w:left="0" w:firstLine="480" w:firstLineChars="200"/>
        <w:rPr>
          <w:rFonts w:hAnsi="宋体"/>
          <w:szCs w:val="24"/>
        </w:rPr>
      </w:pPr>
      <w:r>
        <w:rPr>
          <w:rFonts w:hint="eastAsia" w:hAnsi="宋体"/>
          <w:szCs w:val="24"/>
        </w:rPr>
        <w:t>5.1.4基金托管人对所托管的不同基金财产分别设置账户，与基金托管人的其他业务和其他基金的托管业务实行严格的分账管理，独立核算，确保基金财产的完整与独立。</w:t>
      </w:r>
    </w:p>
    <w:p>
      <w:pPr>
        <w:pStyle w:val="10"/>
        <w:spacing w:before="0" w:after="0" w:line="520" w:lineRule="exact"/>
        <w:ind w:left="0" w:firstLine="480" w:firstLineChars="200"/>
        <w:rPr>
          <w:rFonts w:hAnsi="宋体"/>
          <w:szCs w:val="24"/>
        </w:rPr>
      </w:pPr>
      <w:r>
        <w:rPr>
          <w:rFonts w:hint="eastAsia" w:hAnsi="宋体"/>
          <w:szCs w:val="24"/>
        </w:rPr>
        <w:t>5.1.5基金托管人根据基金管理人的指令，按照基金合同和本协议的约定保管基金财产，如有特殊情况双方可另行协商解决。</w:t>
      </w:r>
    </w:p>
    <w:p>
      <w:pPr>
        <w:pStyle w:val="10"/>
        <w:spacing w:before="0" w:after="0" w:line="520" w:lineRule="exact"/>
        <w:ind w:left="0" w:firstLine="480" w:firstLineChars="200"/>
        <w:rPr>
          <w:rFonts w:hAnsi="宋体"/>
          <w:szCs w:val="24"/>
        </w:rPr>
      </w:pPr>
      <w:r>
        <w:rPr>
          <w:rFonts w:hint="eastAsia" w:hAnsi="宋体"/>
          <w:szCs w:val="24"/>
        </w:rPr>
        <w:t>5.1.6除依据法律法规和基金合同的规定外，基金托管人不得委托第三人托管基金资产。</w:t>
      </w:r>
    </w:p>
    <w:p>
      <w:pPr>
        <w:pStyle w:val="10"/>
        <w:spacing w:before="0" w:after="0" w:line="520" w:lineRule="exact"/>
        <w:ind w:left="0" w:firstLine="480" w:firstLineChars="200"/>
        <w:rPr>
          <w:rFonts w:hAnsi="宋体"/>
          <w:szCs w:val="24"/>
        </w:rPr>
      </w:pPr>
      <w:r>
        <w:rPr>
          <w:rFonts w:hint="eastAsia" w:hAnsi="宋体"/>
          <w:szCs w:val="24"/>
        </w:rPr>
        <w:t>5.1.7基金托管人仅对托管账户内的基金财产承担托管职责，对于该账户之外的财产或已从该托管账户支付出去的财产的损失不承担任何责任。</w:t>
      </w:r>
    </w:p>
    <w:p>
      <w:pPr>
        <w:pStyle w:val="10"/>
        <w:spacing w:before="0" w:after="0" w:line="520" w:lineRule="exact"/>
        <w:ind w:left="0" w:firstLine="480" w:firstLineChars="200"/>
        <w:rPr>
          <w:rFonts w:hAnsi="宋体"/>
          <w:szCs w:val="24"/>
        </w:rPr>
      </w:pPr>
      <w:r>
        <w:rPr>
          <w:rFonts w:hint="eastAsia" w:hAnsi="宋体"/>
          <w:szCs w:val="24"/>
        </w:rPr>
        <w:t>5.2募集资金的验资</w:t>
      </w:r>
    </w:p>
    <w:p>
      <w:pPr>
        <w:pStyle w:val="10"/>
        <w:spacing w:before="0" w:after="0" w:line="520" w:lineRule="exact"/>
        <w:ind w:left="0" w:firstLine="480" w:firstLineChars="200"/>
        <w:rPr>
          <w:rFonts w:hAnsi="宋体"/>
          <w:szCs w:val="24"/>
        </w:rPr>
      </w:pPr>
      <w:r>
        <w:rPr>
          <w:rFonts w:hint="eastAsia" w:hAnsi="宋体"/>
          <w:szCs w:val="24"/>
        </w:rPr>
        <w:t>5.2.1基金募集期间募集的资金应存于基金管理人在基金托管人的营业机构或在其他银行开立的“基金募集专户”，该账户由基金管理人委托的登记机构开立并管理。</w:t>
      </w:r>
    </w:p>
    <w:p>
      <w:pPr>
        <w:pStyle w:val="10"/>
        <w:spacing w:before="0" w:after="0" w:line="520" w:lineRule="exact"/>
        <w:ind w:left="0" w:firstLine="480" w:firstLineChars="200"/>
        <w:rPr>
          <w:rFonts w:hAnsi="宋体"/>
          <w:szCs w:val="24"/>
        </w:rPr>
      </w:pPr>
      <w:r>
        <w:rPr>
          <w:rFonts w:hint="eastAsia" w:hAnsi="宋体"/>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2名以上（含2名）中国注册会计师签字有效。</w:t>
      </w:r>
    </w:p>
    <w:p>
      <w:pPr>
        <w:pStyle w:val="10"/>
        <w:spacing w:before="0" w:after="0" w:line="520" w:lineRule="exact"/>
        <w:ind w:left="0" w:firstLine="480" w:firstLineChars="200"/>
        <w:rPr>
          <w:rFonts w:hAnsi="宋体"/>
          <w:szCs w:val="24"/>
        </w:rPr>
      </w:pPr>
      <w:r>
        <w:rPr>
          <w:rFonts w:hint="eastAsia" w:hAnsi="宋体"/>
          <w:szCs w:val="24"/>
        </w:rPr>
        <w:t>5.2.3若基金募集期限届满，未能达到基金备案条件，由基金管理人按规定办理退款事宜，基金托管人应提供充分协助。</w:t>
      </w:r>
    </w:p>
    <w:p>
      <w:pPr>
        <w:pStyle w:val="10"/>
        <w:spacing w:before="0" w:after="0" w:line="520" w:lineRule="exact"/>
        <w:ind w:left="0" w:firstLine="480" w:firstLineChars="200"/>
        <w:rPr>
          <w:rFonts w:hAnsi="宋体"/>
          <w:szCs w:val="24"/>
        </w:rPr>
      </w:pPr>
      <w:r>
        <w:rPr>
          <w:rFonts w:hint="eastAsia" w:hAnsi="宋体"/>
          <w:szCs w:val="24"/>
        </w:rPr>
        <w:t>5.3基金的银行账户的开立和管理</w:t>
      </w:r>
    </w:p>
    <w:p>
      <w:pPr>
        <w:pStyle w:val="10"/>
        <w:spacing w:before="0" w:after="0" w:line="520" w:lineRule="exact"/>
        <w:ind w:left="0" w:firstLine="480" w:firstLineChars="200"/>
        <w:rPr>
          <w:rFonts w:hAnsi="宋体"/>
          <w:szCs w:val="24"/>
        </w:rPr>
      </w:pPr>
      <w:r>
        <w:rPr>
          <w:rFonts w:hint="eastAsia" w:hAnsi="宋体"/>
          <w:szCs w:val="24"/>
        </w:rPr>
        <w:t>5.3.1基金托管人以本基金的名义在其营业机构开立基金的银行账户，并根据基金管理人合法合规的指令办理资金收付。本基金银行账户的预留印鉴由基金托管人保管和使用。</w:t>
      </w:r>
    </w:p>
    <w:p>
      <w:pPr>
        <w:pStyle w:val="10"/>
        <w:spacing w:before="0" w:after="0" w:line="520" w:lineRule="exact"/>
        <w:ind w:left="0" w:firstLine="480" w:firstLineChars="200"/>
        <w:rPr>
          <w:rFonts w:hAnsi="宋体"/>
          <w:szCs w:val="24"/>
        </w:rPr>
      </w:pPr>
      <w:r>
        <w:rPr>
          <w:rFonts w:hint="eastAsia" w:hAnsi="宋体"/>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pPr>
        <w:pStyle w:val="10"/>
        <w:spacing w:before="0" w:after="0" w:line="520" w:lineRule="exact"/>
        <w:ind w:left="0" w:firstLine="480" w:firstLineChars="200"/>
        <w:rPr>
          <w:rFonts w:hAnsi="宋体"/>
          <w:szCs w:val="24"/>
        </w:rPr>
      </w:pPr>
      <w:r>
        <w:rPr>
          <w:rFonts w:hint="eastAsia" w:hAnsi="宋体"/>
          <w:szCs w:val="24"/>
        </w:rPr>
        <w:t>5.3.3基金银行账户的开立和管理应符合有关法律法规以及银行业监督管理机构的有关规定。</w:t>
      </w:r>
    </w:p>
    <w:p>
      <w:pPr>
        <w:pStyle w:val="10"/>
        <w:spacing w:before="0" w:after="0" w:line="520" w:lineRule="exact"/>
        <w:ind w:left="0" w:firstLine="480" w:firstLineChars="200"/>
        <w:rPr>
          <w:rFonts w:hAnsi="宋体"/>
          <w:szCs w:val="24"/>
        </w:rPr>
      </w:pPr>
      <w:r>
        <w:rPr>
          <w:rFonts w:hint="eastAsia" w:hAnsi="宋体"/>
          <w:szCs w:val="24"/>
        </w:rPr>
        <w:t>5.4基金证券账户与证券交易资金账户的开设和管理：</w:t>
      </w:r>
    </w:p>
    <w:p>
      <w:pPr>
        <w:pStyle w:val="10"/>
        <w:spacing w:before="0" w:after="0" w:line="520" w:lineRule="exact"/>
        <w:ind w:left="0" w:firstLine="480" w:firstLineChars="200"/>
        <w:rPr>
          <w:rFonts w:hAnsi="宋体"/>
          <w:szCs w:val="24"/>
        </w:rPr>
      </w:pPr>
      <w:r>
        <w:rPr>
          <w:rFonts w:hint="eastAsia" w:hAnsi="宋体"/>
          <w:szCs w:val="24"/>
        </w:rPr>
        <w:t>5.4.1基金托管人以基金托管人和本基金联名的方式在中国证券登记结算有限责任公司开设证券账户。</w:t>
      </w:r>
    </w:p>
    <w:p>
      <w:pPr>
        <w:pStyle w:val="10"/>
        <w:spacing w:before="0" w:after="0" w:line="520" w:lineRule="exact"/>
        <w:ind w:left="0" w:firstLine="480" w:firstLineChars="200"/>
        <w:rPr>
          <w:rFonts w:hAnsi="宋体"/>
          <w:szCs w:val="24"/>
        </w:rPr>
      </w:pPr>
      <w:r>
        <w:rPr>
          <w:rFonts w:hint="eastAsia" w:hAnsi="宋体"/>
          <w:szCs w:val="24"/>
        </w:rPr>
        <w:t>5.4.2基金托管人以基金托管人的名义在中国证券登记结算有限责任公司开立基金证券交易资金账户，用于证券清算。</w:t>
      </w:r>
    </w:p>
    <w:p>
      <w:pPr>
        <w:pStyle w:val="10"/>
        <w:spacing w:before="0" w:after="0" w:line="520" w:lineRule="exact"/>
        <w:ind w:left="0" w:firstLine="480" w:firstLineChars="200"/>
        <w:rPr>
          <w:rFonts w:hAnsi="宋体"/>
          <w:szCs w:val="24"/>
        </w:rPr>
      </w:pPr>
      <w:r>
        <w:rPr>
          <w:rFonts w:hint="eastAsia" w:hAnsi="宋体"/>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pPr>
        <w:pStyle w:val="10"/>
        <w:spacing w:before="0" w:after="0" w:line="520" w:lineRule="exact"/>
        <w:ind w:left="0" w:firstLine="480" w:firstLineChars="200"/>
        <w:rPr>
          <w:rFonts w:hAnsi="宋体"/>
          <w:szCs w:val="24"/>
        </w:rPr>
      </w:pPr>
      <w:r>
        <w:rPr>
          <w:rFonts w:hint="eastAsia" w:hAnsi="宋体"/>
          <w:szCs w:val="24"/>
        </w:rPr>
        <w:t>5.5债券托管账户的开立和管理</w:t>
      </w:r>
    </w:p>
    <w:p>
      <w:pPr>
        <w:pStyle w:val="10"/>
        <w:spacing w:before="0" w:after="0" w:line="520" w:lineRule="exact"/>
        <w:ind w:left="0" w:firstLine="480" w:firstLineChars="200"/>
        <w:rPr>
          <w:rFonts w:hAnsi="宋体"/>
          <w:szCs w:val="24"/>
        </w:rPr>
      </w:pPr>
      <w:r>
        <w:rPr>
          <w:rFonts w:hint="eastAsia" w:hAnsi="宋体"/>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pPr>
        <w:pStyle w:val="10"/>
        <w:spacing w:before="0" w:after="0" w:line="520" w:lineRule="exact"/>
        <w:ind w:left="0" w:firstLine="480" w:firstLineChars="200"/>
        <w:rPr>
          <w:rFonts w:hAnsi="宋体"/>
          <w:szCs w:val="24"/>
        </w:rPr>
      </w:pPr>
      <w:r>
        <w:rPr>
          <w:rFonts w:hint="eastAsia" w:hAnsi="宋体"/>
          <w:szCs w:val="24"/>
        </w:rPr>
        <w:t>5.5.2基金管理人和基金托管人应一起负责为基金对外签订全国银行间国债市场回购主协议，正本由基金托管人保管，基金管理人保存副本。</w:t>
      </w:r>
    </w:p>
    <w:p>
      <w:pPr>
        <w:pStyle w:val="10"/>
        <w:spacing w:before="0" w:after="0" w:line="520" w:lineRule="exact"/>
        <w:ind w:left="0" w:firstLine="480" w:firstLineChars="200"/>
        <w:rPr>
          <w:rFonts w:hAnsi="宋体"/>
          <w:szCs w:val="24"/>
        </w:rPr>
      </w:pPr>
      <w:r>
        <w:rPr>
          <w:rFonts w:hint="eastAsia" w:hAnsi="宋体"/>
          <w:szCs w:val="24"/>
        </w:rPr>
        <w:t>5.6其他账户的开设和管理</w:t>
      </w:r>
    </w:p>
    <w:p>
      <w:pPr>
        <w:pStyle w:val="10"/>
        <w:spacing w:before="0" w:after="0" w:line="520" w:lineRule="exact"/>
        <w:ind w:left="0" w:firstLine="480" w:firstLineChars="200"/>
        <w:rPr>
          <w:rFonts w:hAnsi="宋体"/>
          <w:szCs w:val="24"/>
        </w:rPr>
      </w:pPr>
      <w:r>
        <w:rPr>
          <w:rFonts w:hint="eastAsia" w:hAnsi="宋体"/>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pStyle w:val="10"/>
        <w:spacing w:before="0" w:after="0" w:line="520" w:lineRule="exact"/>
        <w:ind w:left="0" w:firstLine="480" w:firstLineChars="200"/>
        <w:rPr>
          <w:rFonts w:hAnsi="宋体"/>
          <w:szCs w:val="24"/>
        </w:rPr>
      </w:pPr>
      <w:r>
        <w:rPr>
          <w:rFonts w:hint="eastAsia" w:hAnsi="宋体"/>
          <w:szCs w:val="24"/>
        </w:rPr>
        <w:t>5.7基金财产投资的有关实物证券、银行定期存款存单等有价凭证的保管</w:t>
      </w:r>
    </w:p>
    <w:p>
      <w:pPr>
        <w:pStyle w:val="10"/>
        <w:spacing w:before="0" w:after="0" w:line="520" w:lineRule="exact"/>
        <w:ind w:left="0" w:firstLine="480" w:firstLineChars="200"/>
        <w:rPr>
          <w:rFonts w:hAnsi="宋体"/>
          <w:szCs w:val="24"/>
        </w:rPr>
      </w:pPr>
      <w:r>
        <w:rPr>
          <w:rFonts w:hint="eastAsia" w:hAnsi="宋体"/>
          <w:szCs w:val="24"/>
        </w:rPr>
        <w:t>基金财产投资的有关实物证券、银行定期存款存单等有价凭证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pPr>
        <w:pStyle w:val="10"/>
        <w:spacing w:before="0" w:after="0" w:line="520" w:lineRule="exact"/>
        <w:ind w:left="0" w:firstLine="480" w:firstLineChars="200"/>
        <w:rPr>
          <w:rFonts w:hAnsi="宋体"/>
          <w:szCs w:val="24"/>
        </w:rPr>
      </w:pPr>
      <w:r>
        <w:rPr>
          <w:rFonts w:hint="eastAsia" w:hAnsi="宋体"/>
          <w:szCs w:val="24"/>
        </w:rPr>
        <w:t>5.8与基金财产有关的重大合同的保管</w:t>
      </w:r>
    </w:p>
    <w:p>
      <w:pPr>
        <w:pStyle w:val="10"/>
        <w:spacing w:before="0" w:after="0" w:line="520" w:lineRule="exact"/>
        <w:ind w:left="0" w:firstLine="480" w:firstLineChars="200"/>
        <w:rPr>
          <w:rFonts w:hAnsi="宋体"/>
          <w:szCs w:val="24"/>
        </w:rPr>
      </w:pPr>
      <w:r>
        <w:rPr>
          <w:rFonts w:hint="eastAsia" w:hAnsi="宋体"/>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并按规定期限保管，保管期限不低于法律法规规定的最低期限。对于无法取得二份以上的正本的，基金管理人应向基金托管人提供加盖授权业务章的合同传真件或复印件，未经双方协商或未在合同约定范围内，合同原件不得转移，由基金管理人保管。</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35" w:name="_Toc8227"/>
      <w:bookmarkStart w:id="36" w:name="_Toc296551342"/>
      <w:bookmarkStart w:id="37" w:name="_Toc4870329"/>
      <w:bookmarkStart w:id="38" w:name="_Toc142055710"/>
      <w:r>
        <w:rPr>
          <w:rFonts w:hint="eastAsia"/>
          <w:bCs/>
          <w:color w:val="auto"/>
          <w:szCs w:val="24"/>
        </w:rPr>
        <w:t>第六条 指令的发送、确认和执行</w:t>
      </w:r>
      <w:bookmarkEnd w:id="35"/>
      <w:bookmarkEnd w:id="36"/>
      <w:bookmarkEnd w:id="37"/>
      <w:bookmarkEnd w:id="38"/>
    </w:p>
    <w:p>
      <w:pPr>
        <w:pStyle w:val="10"/>
        <w:spacing w:before="0" w:after="0" w:line="520" w:lineRule="exact"/>
        <w:ind w:left="0" w:firstLine="480" w:firstLineChars="200"/>
        <w:rPr>
          <w:rFonts w:hAnsi="宋体"/>
          <w:szCs w:val="24"/>
        </w:rPr>
      </w:pPr>
      <w:r>
        <w:rPr>
          <w:rFonts w:hint="eastAsia" w:hAnsi="宋体"/>
          <w:szCs w:val="24"/>
        </w:rPr>
        <w:t>6.1基金管理人对发送指令人员的书面授权</w:t>
      </w:r>
    </w:p>
    <w:p>
      <w:pPr>
        <w:pStyle w:val="10"/>
        <w:spacing w:before="0" w:after="0" w:line="520" w:lineRule="exact"/>
        <w:ind w:left="0" w:firstLine="480" w:firstLineChars="200"/>
        <w:rPr>
          <w:rFonts w:hAnsi="宋体"/>
          <w:szCs w:val="24"/>
        </w:rPr>
      </w:pPr>
      <w:r>
        <w:rPr>
          <w:rFonts w:hint="eastAsia" w:hAnsi="宋体"/>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法律法规另有规定或有权机关另有要求的除外。</w:t>
      </w:r>
    </w:p>
    <w:p>
      <w:pPr>
        <w:pStyle w:val="10"/>
        <w:spacing w:before="0" w:after="0" w:line="520" w:lineRule="exact"/>
        <w:ind w:left="0" w:firstLine="480" w:firstLineChars="200"/>
        <w:rPr>
          <w:rFonts w:hAnsi="宋体"/>
          <w:szCs w:val="24"/>
        </w:rPr>
      </w:pPr>
      <w:r>
        <w:rPr>
          <w:rFonts w:hint="eastAsia" w:hAnsi="宋体"/>
          <w:szCs w:val="24"/>
        </w:rPr>
        <w:t>6.2指令的内容</w:t>
      </w:r>
    </w:p>
    <w:p>
      <w:pPr>
        <w:pStyle w:val="10"/>
        <w:spacing w:before="0" w:after="0" w:line="520" w:lineRule="exact"/>
        <w:ind w:left="0" w:firstLine="480" w:firstLineChars="200"/>
        <w:rPr>
          <w:rFonts w:hAnsi="宋体"/>
          <w:szCs w:val="24"/>
        </w:rPr>
      </w:pPr>
      <w:r>
        <w:rPr>
          <w:rFonts w:hint="eastAsia" w:hAnsi="宋体"/>
          <w:szCs w:val="24"/>
        </w:rPr>
        <w:t>指令是基金管理人在运用基金资产时，向基金托管人发出的资金划拨及其他款项收付的指令。基金管理人发给基金托管人的指令应写明款项事由、支付时间、到账时间、金额、账户等，加盖预留印鉴并由被授权人签字或盖章。</w:t>
      </w:r>
    </w:p>
    <w:p>
      <w:pPr>
        <w:pStyle w:val="10"/>
        <w:spacing w:before="0" w:after="0" w:line="520" w:lineRule="exact"/>
        <w:ind w:left="0" w:firstLine="480" w:firstLineChars="200"/>
        <w:rPr>
          <w:rFonts w:hAnsi="宋体"/>
          <w:szCs w:val="24"/>
        </w:rPr>
      </w:pPr>
      <w:r>
        <w:rPr>
          <w:rFonts w:hint="eastAsia" w:hAnsi="宋体"/>
          <w:szCs w:val="24"/>
        </w:rPr>
        <w:t>6.3指令的发送、确认和执行的时间和程序</w:t>
      </w:r>
    </w:p>
    <w:p>
      <w:pPr>
        <w:pStyle w:val="10"/>
        <w:spacing w:before="0" w:after="0" w:line="520" w:lineRule="exact"/>
        <w:ind w:left="0" w:firstLine="480" w:firstLineChars="200"/>
        <w:rPr>
          <w:rFonts w:hAnsi="宋体"/>
          <w:szCs w:val="24"/>
        </w:rPr>
      </w:pPr>
      <w:r>
        <w:rPr>
          <w:rFonts w:hint="eastAsia" w:hAnsi="宋体"/>
          <w:szCs w:val="24"/>
        </w:rPr>
        <w:t>6.3.1指令由“授权通知”确定的有权发送人（以下简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不少于2小时）。基金管理人应在交易日15:30前传真当日划款指令，如在15:30后传真的指令，基金托管人尽量执行但不保证一定完成支付。由基金管理人原因造成的指令传输不及时、未能留出足够划款所需时间，基金托管人不承担资金未能及时到账所造成的损失。</w:t>
      </w:r>
    </w:p>
    <w:p>
      <w:pPr>
        <w:pStyle w:val="10"/>
        <w:spacing w:before="0" w:after="0" w:line="520" w:lineRule="exact"/>
        <w:ind w:left="0" w:firstLine="480" w:firstLineChars="200"/>
        <w:rPr>
          <w:rFonts w:hAnsi="宋体"/>
          <w:szCs w:val="24"/>
        </w:rPr>
      </w:pPr>
      <w:r>
        <w:rPr>
          <w:rFonts w:hint="eastAsia" w:hAnsi="宋体"/>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全部责任由基金管理人承担，基金托管人由此遭受的损失，由基金管理人负责赔偿，但基金托管人未按协议约定尽形式审核义务执行指令而造成损失的情形除外。</w:t>
      </w:r>
    </w:p>
    <w:p>
      <w:pPr>
        <w:pStyle w:val="10"/>
        <w:spacing w:before="0" w:after="0" w:line="520" w:lineRule="exact"/>
        <w:ind w:left="0" w:firstLine="480" w:firstLineChars="200"/>
        <w:rPr>
          <w:rFonts w:hAnsi="宋体"/>
          <w:szCs w:val="24"/>
        </w:rPr>
      </w:pPr>
      <w:r>
        <w:rPr>
          <w:rFonts w:hint="eastAsia" w:hAnsi="宋体"/>
          <w:szCs w:val="24"/>
        </w:rPr>
        <w:t>6.3.3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相应的责任。基金托管人由此遭受的损失，由基金管理人负责赔偿。</w:t>
      </w:r>
    </w:p>
    <w:p>
      <w:pPr>
        <w:pStyle w:val="10"/>
        <w:spacing w:before="0" w:after="0" w:line="520" w:lineRule="exact"/>
        <w:ind w:left="0" w:firstLine="480" w:firstLineChars="200"/>
        <w:rPr>
          <w:rFonts w:hAnsi="宋体"/>
          <w:szCs w:val="24"/>
        </w:rPr>
      </w:pPr>
      <w:r>
        <w:rPr>
          <w:rFonts w:hint="eastAsia" w:hAnsi="宋体"/>
          <w:szCs w:val="24"/>
        </w:rPr>
        <w:t>6.3.4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pPr>
        <w:pStyle w:val="10"/>
        <w:spacing w:before="0" w:after="0" w:line="520" w:lineRule="exact"/>
        <w:ind w:left="0" w:firstLine="480" w:firstLineChars="200"/>
        <w:rPr>
          <w:rFonts w:hAnsi="宋体"/>
          <w:szCs w:val="24"/>
        </w:rPr>
      </w:pPr>
      <w:r>
        <w:rPr>
          <w:rFonts w:hint="eastAsia" w:hAnsi="宋体"/>
          <w:szCs w:val="24"/>
        </w:rPr>
        <w:t>6.3.5基金管理人应将同业市场国债交易通知单加盖预留印鉴后传真给基金托管人。</w:t>
      </w:r>
    </w:p>
    <w:p>
      <w:pPr>
        <w:pStyle w:val="10"/>
        <w:spacing w:before="0" w:after="0" w:line="520" w:lineRule="exact"/>
        <w:ind w:left="0" w:firstLine="480" w:firstLineChars="200"/>
        <w:rPr>
          <w:rFonts w:hAnsi="宋体"/>
          <w:szCs w:val="24"/>
        </w:rPr>
      </w:pPr>
      <w:r>
        <w:rPr>
          <w:rFonts w:hint="eastAsia" w:hAnsi="宋体"/>
          <w:szCs w:val="24"/>
        </w:rPr>
        <w:t>6.4基金管理人发送错误指令的情形和处理程序</w:t>
      </w:r>
    </w:p>
    <w:p>
      <w:pPr>
        <w:pStyle w:val="10"/>
        <w:spacing w:before="0" w:after="0" w:line="520" w:lineRule="exact"/>
        <w:ind w:left="0" w:firstLine="480" w:firstLineChars="200"/>
        <w:rPr>
          <w:rFonts w:hAnsi="宋体"/>
          <w:szCs w:val="24"/>
        </w:rPr>
      </w:pPr>
      <w:r>
        <w:rPr>
          <w:rFonts w:hint="eastAsia" w:hAnsi="宋体"/>
          <w:szCs w:val="24"/>
        </w:rPr>
        <w:t>6.4.1基金管理人发送错误指令的情形包括指令违反相关法律法规或基金合同、指令发送人员无权或超越权限发送指令及交割信息错误，指令中重要信息模糊不清或不全等。</w:t>
      </w:r>
    </w:p>
    <w:p>
      <w:pPr>
        <w:pStyle w:val="10"/>
        <w:spacing w:before="0" w:after="0" w:line="520" w:lineRule="exact"/>
        <w:ind w:left="0" w:firstLine="480" w:firstLineChars="200"/>
        <w:rPr>
          <w:rFonts w:hAnsi="宋体"/>
          <w:szCs w:val="24"/>
        </w:rPr>
      </w:pPr>
      <w:r>
        <w:rPr>
          <w:rFonts w:hint="eastAsia" w:hAnsi="宋体"/>
          <w:szCs w:val="24"/>
        </w:rPr>
        <w:t>6.4.2基金托管人在履行监督职能时，发现基金管理人的指令错误或指令中重要信息模糊不清或不全时，有权</w:t>
      </w:r>
      <w:r>
        <w:rPr>
          <w:rFonts w:hint="eastAsia" w:hAnsi="宋体" w:cs="Arial"/>
        </w:rPr>
        <w:t>视情况暂缓或</w:t>
      </w:r>
      <w:r>
        <w:rPr>
          <w:rFonts w:hint="eastAsia" w:hAnsi="宋体"/>
          <w:szCs w:val="24"/>
        </w:rPr>
        <w:t>拒绝执行，并及时通知基金管理人改正。</w:t>
      </w:r>
    </w:p>
    <w:p>
      <w:pPr>
        <w:pStyle w:val="10"/>
        <w:spacing w:before="0" w:after="0" w:line="520" w:lineRule="exact"/>
        <w:ind w:left="0" w:firstLine="480" w:firstLineChars="200"/>
        <w:rPr>
          <w:rFonts w:hAnsi="宋体"/>
          <w:szCs w:val="24"/>
        </w:rPr>
      </w:pPr>
      <w:r>
        <w:rPr>
          <w:rFonts w:hint="eastAsia" w:hAnsi="宋体"/>
          <w:szCs w:val="24"/>
        </w:rPr>
        <w:t>6.5基金托管人依照法律法规暂缓、拒绝执行指令的情形和处理程序</w:t>
      </w:r>
    </w:p>
    <w:p>
      <w:pPr>
        <w:pStyle w:val="10"/>
        <w:spacing w:before="0" w:after="0" w:line="520" w:lineRule="exact"/>
        <w:ind w:left="0" w:firstLine="480" w:firstLineChars="200"/>
        <w:rPr>
          <w:rFonts w:hAnsi="宋体"/>
          <w:szCs w:val="24"/>
        </w:rPr>
      </w:pPr>
      <w:r>
        <w:rPr>
          <w:rFonts w:hint="eastAsia" w:hAnsi="宋体"/>
          <w:szCs w:val="24"/>
        </w:rPr>
        <w:t>基金托管人发现基金管理人发送的指令违反《基金法》、基金合同、本协议或有关基金法规的有关规定，有权视情况暂缓或不予执行，并应及时以书面形式通知基金管理人纠正，基金托管人不承担相应损失和责任。对基金管理人更正并重新发送后的指令经基金托管人核对确认后方能执行。</w:t>
      </w:r>
    </w:p>
    <w:p>
      <w:pPr>
        <w:pStyle w:val="10"/>
        <w:spacing w:before="0" w:after="0" w:line="520" w:lineRule="exact"/>
        <w:ind w:left="0" w:firstLine="480" w:firstLineChars="200"/>
        <w:rPr>
          <w:rFonts w:hAnsi="宋体"/>
          <w:szCs w:val="24"/>
        </w:rPr>
      </w:pPr>
      <w:r>
        <w:rPr>
          <w:rFonts w:hint="eastAsia" w:hAnsi="宋体"/>
          <w:szCs w:val="24"/>
        </w:rPr>
        <w:t>6.6基金托管人未按照基金管理人指令执行的处理方法</w:t>
      </w:r>
    </w:p>
    <w:p>
      <w:pPr>
        <w:pStyle w:val="10"/>
        <w:spacing w:before="0" w:after="0" w:line="520" w:lineRule="exact"/>
        <w:ind w:left="0" w:firstLine="480" w:firstLineChars="200"/>
        <w:rPr>
          <w:rFonts w:hAnsi="宋体"/>
          <w:szCs w:val="24"/>
        </w:rPr>
      </w:pPr>
      <w:r>
        <w:rPr>
          <w:rFonts w:hint="eastAsia" w:hAnsi="宋体"/>
          <w:szCs w:val="24"/>
        </w:rPr>
        <w:t>基金托管人由于自身原因造成未按照或者未及时按照基金管理人发送的符合法律法规规定以及基金合同约定的指令执行，给基金份额持有人、基金管理人或</w:t>
      </w:r>
      <w:r>
        <w:rPr>
          <w:rFonts w:hAnsi="宋体"/>
          <w:szCs w:val="24"/>
        </w:rPr>
        <w:t>基金财产</w:t>
      </w:r>
      <w:r>
        <w:rPr>
          <w:rFonts w:hint="eastAsia" w:hAnsi="宋体"/>
          <w:szCs w:val="24"/>
        </w:rPr>
        <w:t>造成损失的，应负赔偿责任。</w:t>
      </w:r>
    </w:p>
    <w:p>
      <w:pPr>
        <w:pStyle w:val="10"/>
        <w:spacing w:before="0" w:after="0" w:line="520" w:lineRule="exact"/>
        <w:ind w:left="0" w:firstLine="480" w:firstLineChars="200"/>
        <w:rPr>
          <w:rFonts w:hAnsi="宋体"/>
          <w:szCs w:val="24"/>
        </w:rPr>
      </w:pPr>
      <w:r>
        <w:rPr>
          <w:rFonts w:hint="eastAsia" w:hAnsi="宋体"/>
          <w:szCs w:val="24"/>
        </w:rPr>
        <w:t>6.7更换被授权人的程序</w:t>
      </w:r>
    </w:p>
    <w:p>
      <w:pPr>
        <w:pStyle w:val="10"/>
        <w:spacing w:before="0" w:after="0" w:line="520" w:lineRule="exact"/>
        <w:ind w:left="0" w:firstLine="480" w:firstLineChars="200"/>
        <w:rPr>
          <w:rFonts w:hAnsi="宋体"/>
          <w:szCs w:val="24"/>
        </w:rPr>
      </w:pPr>
      <w:r>
        <w:rPr>
          <w:rFonts w:hint="eastAsia" w:hAnsi="宋体"/>
          <w:szCs w:val="24"/>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不承担责任。</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39" w:name="_Toc6868"/>
      <w:bookmarkStart w:id="40" w:name="_Toc4870330"/>
      <w:bookmarkStart w:id="41" w:name="_Toc142055711"/>
      <w:r>
        <w:rPr>
          <w:rFonts w:hint="eastAsia"/>
          <w:bCs/>
          <w:color w:val="auto"/>
          <w:szCs w:val="24"/>
        </w:rPr>
        <w:t>第七条 交易及清算交收安排</w:t>
      </w:r>
      <w:bookmarkEnd w:id="39"/>
      <w:bookmarkEnd w:id="40"/>
      <w:bookmarkEnd w:id="41"/>
      <w:r>
        <w:rPr>
          <w:rFonts w:hint="eastAsia"/>
          <w:bCs/>
          <w:color w:val="auto"/>
          <w:szCs w:val="24"/>
        </w:rPr>
        <w:t xml:space="preserve"> </w:t>
      </w:r>
    </w:p>
    <w:p>
      <w:pPr>
        <w:pStyle w:val="10"/>
        <w:spacing w:line="560" w:lineRule="exact"/>
        <w:rPr>
          <w:rFonts w:hAnsi="宋体"/>
          <w:szCs w:val="24"/>
        </w:rPr>
      </w:pPr>
      <w:r>
        <w:rPr>
          <w:rFonts w:hint="eastAsia" w:hAnsi="宋体"/>
          <w:szCs w:val="24"/>
        </w:rPr>
        <w:t>7.1选择代理证券买卖的证券经营机构的标准和程序</w:t>
      </w:r>
    </w:p>
    <w:p>
      <w:pPr>
        <w:pStyle w:val="10"/>
        <w:spacing w:line="560" w:lineRule="exact"/>
        <w:ind w:left="0" w:firstLine="480"/>
        <w:rPr>
          <w:rFonts w:hAnsi="宋体"/>
          <w:szCs w:val="24"/>
        </w:rPr>
      </w:pPr>
      <w:r>
        <w:rPr>
          <w:rFonts w:hint="eastAsia" w:hAnsi="宋体"/>
          <w:szCs w:val="24"/>
        </w:rPr>
        <w:t>7.1.1基金管理人应制定选择代理证券买卖的证券经营机构的标准和程序。基金管理人负责选择代理本基金证券买卖的证券经营机构，使用其交易单元作为基金的专用交易单元。基金管理人和被选中的证券经营机构签订交易单元租用协议，由基金管理人提前通知基金托管人，并在法定信息披露公告中披露有关内容。交易单元保证金由被选中的证券经营机构支付。</w:t>
      </w:r>
    </w:p>
    <w:p>
      <w:pPr>
        <w:pStyle w:val="10"/>
        <w:spacing w:line="560" w:lineRule="exact"/>
        <w:ind w:left="0" w:firstLine="480"/>
        <w:rPr>
          <w:rFonts w:hAnsi="宋体"/>
          <w:szCs w:val="24"/>
        </w:rPr>
      </w:pPr>
      <w:r>
        <w:rPr>
          <w:rFonts w:hint="eastAsia" w:hAnsi="宋体"/>
          <w:szCs w:val="24"/>
        </w:rPr>
        <w:t>7.1.2基金管理人应及时将基金专用交易单元号、佣金费率等基本信息以及变更情况及时以书面形式通知基金托管人。</w:t>
      </w:r>
    </w:p>
    <w:p>
      <w:pPr>
        <w:pStyle w:val="10"/>
        <w:spacing w:line="560" w:lineRule="exact"/>
        <w:rPr>
          <w:rFonts w:hAnsi="宋体"/>
          <w:szCs w:val="24"/>
        </w:rPr>
      </w:pPr>
      <w:r>
        <w:rPr>
          <w:rFonts w:hint="eastAsia" w:hAnsi="宋体"/>
          <w:szCs w:val="24"/>
        </w:rPr>
        <w:t>7.2基金投资证券后的清算交收安排</w:t>
      </w:r>
    </w:p>
    <w:p>
      <w:pPr>
        <w:pStyle w:val="10"/>
        <w:spacing w:line="560" w:lineRule="exact"/>
        <w:rPr>
          <w:rFonts w:hAnsi="宋体"/>
          <w:szCs w:val="24"/>
        </w:rPr>
      </w:pPr>
      <w:r>
        <w:rPr>
          <w:rFonts w:hint="eastAsia" w:hAnsi="宋体"/>
          <w:szCs w:val="24"/>
        </w:rPr>
        <w:t>7.2.1基金管理人和基金托管人在基金清算和交收中的责任</w:t>
      </w:r>
    </w:p>
    <w:p>
      <w:pPr>
        <w:pStyle w:val="10"/>
        <w:spacing w:line="560" w:lineRule="exact"/>
        <w:ind w:left="0"/>
        <w:rPr>
          <w:rFonts w:hAnsi="宋体"/>
          <w:szCs w:val="24"/>
        </w:rPr>
      </w:pPr>
      <w:r>
        <w:rPr>
          <w:rFonts w:hint="eastAsia" w:hAnsi="宋体"/>
          <w:szCs w:val="24"/>
        </w:rPr>
        <w:t xml:space="preserve">    基金管理人与基金托管人应根据有关法律法规及相关业务规则，签订《证券交易资金结算协议》，用以具体明确基金管理人与基金托管人在证券交易资金结算业务中的责任。</w:t>
      </w:r>
    </w:p>
    <w:p>
      <w:pPr>
        <w:pStyle w:val="10"/>
        <w:spacing w:line="560" w:lineRule="exact"/>
        <w:ind w:left="0"/>
        <w:rPr>
          <w:rFonts w:hAnsi="宋体"/>
          <w:szCs w:val="24"/>
        </w:rPr>
      </w:pPr>
      <w:r>
        <w:rPr>
          <w:rFonts w:hint="eastAsia" w:hAnsi="宋体"/>
          <w:szCs w:val="24"/>
        </w:rPr>
        <w:t xml:space="preserve">    对基金管理人的资金划拨指令，基金托管人在复核无误后应在规定期限内执行并在执行完毕后回函确认，不得无故延误。</w:t>
      </w:r>
    </w:p>
    <w:p>
      <w:pPr>
        <w:pStyle w:val="10"/>
        <w:spacing w:line="560" w:lineRule="exact"/>
        <w:ind w:left="0" w:firstLine="480"/>
        <w:rPr>
          <w:rFonts w:hAnsi="宋体"/>
          <w:szCs w:val="24"/>
        </w:rPr>
      </w:pPr>
      <w:r>
        <w:rPr>
          <w:rFonts w:hint="eastAsia" w:hAnsi="宋体"/>
          <w:szCs w:val="24"/>
        </w:rPr>
        <w:t>本基金投资于证券发生的所有场内、场外交易的资金清算交割，全部由基金托管人负责办理。</w:t>
      </w:r>
    </w:p>
    <w:p>
      <w:pPr>
        <w:pStyle w:val="10"/>
        <w:spacing w:line="560" w:lineRule="exact"/>
        <w:ind w:left="0" w:firstLine="480"/>
        <w:rPr>
          <w:rFonts w:hAnsi="宋体"/>
          <w:szCs w:val="24"/>
        </w:rPr>
      </w:pPr>
      <w:r>
        <w:rPr>
          <w:rFonts w:hint="eastAsia" w:hAnsi="宋体"/>
          <w:szCs w:val="24"/>
        </w:rPr>
        <w:t>本基金证券投资的清算交割，由基金托管人通过中国证券登记结算有限责任公司及清算代理银行办理。</w:t>
      </w:r>
    </w:p>
    <w:p>
      <w:pPr>
        <w:pStyle w:val="10"/>
        <w:spacing w:line="560" w:lineRule="exact"/>
        <w:ind w:left="0" w:firstLine="480"/>
        <w:rPr>
          <w:rFonts w:hAnsi="宋体"/>
          <w:szCs w:val="24"/>
        </w:rPr>
      </w:pPr>
      <w:r>
        <w:rPr>
          <w:rFonts w:hint="eastAsia" w:hAnsi="宋体"/>
          <w:szCs w:val="24"/>
        </w:rPr>
        <w:t>交易及清算交收安排中基金管理人应为基金托管人预留</w:t>
      </w:r>
      <w:r>
        <w:rPr>
          <w:rFonts w:hAnsi="宋体"/>
          <w:szCs w:val="24"/>
        </w:rPr>
        <w:t>2个小时的指令处理时间，15:00之后收到的指令，基金托管人尽力负责但不承诺指令支付成功。</w:t>
      </w:r>
      <w:r>
        <w:rPr>
          <w:rFonts w:hint="eastAsia" w:hAnsi="宋体"/>
          <w:szCs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pPr>
        <w:pStyle w:val="10"/>
        <w:spacing w:line="560" w:lineRule="exact"/>
        <w:ind w:left="0" w:firstLine="480"/>
        <w:rPr>
          <w:rFonts w:hAnsi="宋体"/>
          <w:szCs w:val="24"/>
        </w:rPr>
      </w:pPr>
      <w:r>
        <w:rPr>
          <w:rFonts w:hint="eastAsia" w:hAnsi="宋体"/>
          <w:szCs w:val="24"/>
        </w:rPr>
        <w:t>基金清算交收过程中，出现基金财产中资金或证券不足以交收的，基金托管人应当及时通知基金管理人，督促基金管理人积极采取措施、最大程度控制违约交收风险与相关损失，并报告中国证监会。</w:t>
      </w:r>
    </w:p>
    <w:p>
      <w:pPr>
        <w:pStyle w:val="10"/>
        <w:spacing w:line="560" w:lineRule="exact"/>
        <w:rPr>
          <w:rFonts w:hAnsi="宋体"/>
          <w:szCs w:val="24"/>
        </w:rPr>
      </w:pPr>
      <w:r>
        <w:rPr>
          <w:rFonts w:hint="eastAsia" w:hAnsi="宋体"/>
          <w:szCs w:val="24"/>
        </w:rPr>
        <w:t>7.2.2基金出现超买或超卖的责任认定及处理程序</w:t>
      </w:r>
    </w:p>
    <w:p>
      <w:pPr>
        <w:pStyle w:val="10"/>
        <w:spacing w:line="560" w:lineRule="exact"/>
        <w:ind w:left="0"/>
        <w:rPr>
          <w:rFonts w:hAnsi="宋体"/>
          <w:szCs w:val="24"/>
        </w:rPr>
      </w:pPr>
      <w:r>
        <w:rPr>
          <w:rFonts w:hint="eastAsia" w:hAnsi="宋体"/>
          <w:szCs w:val="24"/>
        </w:rPr>
        <w:t xml:space="preserve">    基金托管人在履行监督职能时，如果发现基金投资证券过程中出现超买或超卖现象，应立即提醒基金管理人，由基金管理人负责解决，由此给基金造成的损失由基金管理人承担。</w:t>
      </w:r>
    </w:p>
    <w:p>
      <w:pPr>
        <w:pStyle w:val="10"/>
        <w:spacing w:line="560" w:lineRule="exact"/>
        <w:rPr>
          <w:rFonts w:hAnsi="宋体"/>
          <w:szCs w:val="24"/>
        </w:rPr>
      </w:pPr>
      <w:r>
        <w:rPr>
          <w:rFonts w:hint="eastAsia" w:hAnsi="宋体"/>
          <w:szCs w:val="24"/>
        </w:rPr>
        <w:t>7.2.3基金无法按时支付证券清算款的责任认定及处理程序</w:t>
      </w:r>
    </w:p>
    <w:p>
      <w:pPr>
        <w:pStyle w:val="10"/>
        <w:spacing w:line="560" w:lineRule="exact"/>
        <w:ind w:left="0"/>
        <w:rPr>
          <w:rFonts w:hAnsi="宋体"/>
          <w:szCs w:val="24"/>
        </w:rPr>
      </w:pPr>
      <w:r>
        <w:rPr>
          <w:rFonts w:hint="eastAsia" w:hAnsi="宋体"/>
          <w:szCs w:val="24"/>
        </w:rPr>
        <w:t xml:space="preserve">    基金管理人应确保基金托管人在执行基金管理人发送的指令时，有足够的头寸进行交收。基金的资金头寸不足时，基金托管人有权拒绝基金管理人发送的划款指令，并及时通知基金管理人。基金管理人在发送划款指令时应充分考虑基金托管人的划款处理所需的合理时间。如由于基金管理人的原因导致无法按时支付证券清算款，由此给基金造成的损失由基金管理人承担。</w:t>
      </w:r>
    </w:p>
    <w:p>
      <w:pPr>
        <w:pStyle w:val="10"/>
        <w:spacing w:line="560" w:lineRule="exact"/>
        <w:ind w:left="0"/>
        <w:rPr>
          <w:rFonts w:hAnsi="宋体"/>
          <w:szCs w:val="24"/>
        </w:rPr>
      </w:pPr>
      <w:r>
        <w:rPr>
          <w:rFonts w:hint="eastAsia" w:hAnsi="宋体"/>
          <w:szCs w:val="24"/>
        </w:rPr>
        <w:t xml:space="preserve">    在基金资金头寸充足的情况下，基金托管人对基金管理人符合法律法规、基金合同、本托管协议的指令不得拖延或拒绝执行。如由于基金托管人的原因导致基金无法按时支付证券清算款，由此给基金、基金管理人造成的损失由基金托管人承担。</w:t>
      </w:r>
    </w:p>
    <w:p>
      <w:pPr>
        <w:pStyle w:val="10"/>
        <w:spacing w:line="560" w:lineRule="exact"/>
        <w:rPr>
          <w:rFonts w:hAnsi="宋体"/>
          <w:szCs w:val="24"/>
        </w:rPr>
      </w:pPr>
      <w:r>
        <w:rPr>
          <w:rFonts w:hint="eastAsia" w:hAnsi="宋体"/>
          <w:szCs w:val="24"/>
        </w:rPr>
        <w:t>7.3资金、证券账目及交易记录的核对</w:t>
      </w:r>
    </w:p>
    <w:p>
      <w:pPr>
        <w:pStyle w:val="10"/>
        <w:spacing w:line="560" w:lineRule="exact"/>
        <w:ind w:left="0"/>
        <w:rPr>
          <w:rFonts w:hAnsi="宋体"/>
          <w:szCs w:val="24"/>
        </w:rPr>
      </w:pPr>
      <w:r>
        <w:rPr>
          <w:rFonts w:hint="eastAsia" w:hAnsi="宋体"/>
          <w:szCs w:val="24"/>
        </w:rPr>
        <w:t xml:space="preserve">    7.3.1基金管理人与基金托管人按日进行交易记录的核对。对外披露各类基金份额净值之前，必须保证当天所有实际交易记录与基金会计账簿上的交易记录完全一致。如果实际交易记录与会计账簿记录不一致，造成基金会计核算不完整或不真实，由此导致的损失由责任方承担。</w:t>
      </w:r>
    </w:p>
    <w:p>
      <w:pPr>
        <w:pStyle w:val="10"/>
        <w:spacing w:line="560" w:lineRule="exact"/>
        <w:ind w:left="0"/>
        <w:rPr>
          <w:rFonts w:hAnsi="宋体"/>
          <w:szCs w:val="24"/>
        </w:rPr>
      </w:pPr>
      <w:r>
        <w:rPr>
          <w:rFonts w:hint="eastAsia" w:hAnsi="宋体"/>
          <w:szCs w:val="24"/>
        </w:rPr>
        <w:t xml:space="preserve">    7.3.2对基金的资金账目，由相关各方每日对账一次，确保相关各方账账相符。对基金证券账目，由相关各方每日进行对账。对实物券账目，每月月末由相关各方进行账实核对。对交易记录，由相关各方每日对账一次。</w:t>
      </w:r>
    </w:p>
    <w:p>
      <w:pPr>
        <w:pStyle w:val="10"/>
        <w:spacing w:line="560" w:lineRule="exact"/>
        <w:ind w:left="0"/>
        <w:rPr>
          <w:rFonts w:hAnsi="宋体"/>
          <w:szCs w:val="24"/>
        </w:rPr>
      </w:pPr>
      <w:r>
        <w:rPr>
          <w:rFonts w:hint="eastAsia" w:hAnsi="宋体"/>
          <w:szCs w:val="24"/>
        </w:rPr>
        <w:t xml:space="preserve">    7.4申购、赎回、转换开放式基金的资金清算、数据传递及托管协议当事人的责任</w:t>
      </w:r>
    </w:p>
    <w:p>
      <w:pPr>
        <w:pStyle w:val="10"/>
        <w:spacing w:line="560" w:lineRule="exact"/>
        <w:ind w:left="0"/>
        <w:rPr>
          <w:rFonts w:hAnsi="宋体"/>
          <w:szCs w:val="24"/>
        </w:rPr>
      </w:pPr>
      <w:r>
        <w:rPr>
          <w:rFonts w:hint="eastAsia" w:hAnsi="宋体"/>
          <w:szCs w:val="24"/>
        </w:rPr>
        <w:t xml:space="preserve">    7.4.1托管协议当事人在基金的申购赎回、转换中的责任</w:t>
      </w:r>
    </w:p>
    <w:p>
      <w:pPr>
        <w:pStyle w:val="10"/>
        <w:spacing w:line="560" w:lineRule="exact"/>
        <w:ind w:left="0"/>
        <w:rPr>
          <w:rFonts w:hAnsi="宋体"/>
          <w:szCs w:val="24"/>
        </w:rPr>
      </w:pPr>
      <w:r>
        <w:rPr>
          <w:rFonts w:hint="eastAsia" w:hAnsi="宋体"/>
          <w:szCs w:val="24"/>
        </w:rPr>
        <w:t xml:space="preserve">    基金投资人可通过基金管理人的直销中心和销售机构的销售网点进行申购和赎回申请，基金份额申购、赎回的确认、清算由基金管理人或其委托的登记机构负责。基金托管人负责接收并确认资金的到账情况，以及依照基金管理人的投资指令来划付赎回款项。</w:t>
      </w:r>
    </w:p>
    <w:p>
      <w:pPr>
        <w:pStyle w:val="10"/>
        <w:spacing w:line="560" w:lineRule="exact"/>
        <w:rPr>
          <w:rFonts w:hAnsi="宋体"/>
          <w:szCs w:val="24"/>
        </w:rPr>
      </w:pPr>
      <w:r>
        <w:rPr>
          <w:rFonts w:hint="eastAsia" w:hAnsi="宋体"/>
          <w:szCs w:val="24"/>
        </w:rPr>
        <w:t>7.4.2基金的数据传递</w:t>
      </w:r>
    </w:p>
    <w:p>
      <w:pPr>
        <w:pStyle w:val="10"/>
        <w:spacing w:line="560" w:lineRule="exact"/>
        <w:ind w:left="0"/>
        <w:rPr>
          <w:rFonts w:hAnsi="宋体"/>
          <w:szCs w:val="24"/>
        </w:rPr>
      </w:pPr>
      <w:r>
        <w:rPr>
          <w:rFonts w:hint="eastAsia" w:hAnsi="宋体"/>
          <w:szCs w:val="24"/>
        </w:rPr>
        <w:t xml:space="preserve">    基金管理人应保证本基金（或本基金管理人委托）的登记机构于每个开放日15：00之前将本基金前一个开放日的申购、赎回、转换的数据传送给基金托管人。基金管理人应对传递的数据的真实性、准确性和完整性负责。</w:t>
      </w:r>
    </w:p>
    <w:p>
      <w:pPr>
        <w:pStyle w:val="10"/>
        <w:spacing w:line="560" w:lineRule="exact"/>
        <w:ind w:left="0"/>
        <w:rPr>
          <w:rFonts w:hAnsi="宋体"/>
          <w:szCs w:val="24"/>
        </w:rPr>
      </w:pPr>
      <w:r>
        <w:rPr>
          <w:rFonts w:hint="eastAsia" w:hAnsi="宋体"/>
          <w:szCs w:val="24"/>
        </w:rPr>
        <w:t xml:space="preserve">    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pPr>
        <w:pStyle w:val="10"/>
        <w:spacing w:line="560" w:lineRule="exact"/>
        <w:rPr>
          <w:rFonts w:hAnsi="宋体"/>
          <w:szCs w:val="24"/>
        </w:rPr>
      </w:pPr>
      <w:r>
        <w:rPr>
          <w:rFonts w:hint="eastAsia" w:hAnsi="宋体"/>
          <w:szCs w:val="24"/>
        </w:rPr>
        <w:t>7.4.3基金的资金清算</w:t>
      </w:r>
    </w:p>
    <w:p>
      <w:pPr>
        <w:pStyle w:val="10"/>
        <w:spacing w:line="560" w:lineRule="exact"/>
        <w:ind w:left="0"/>
        <w:rPr>
          <w:rFonts w:hAnsi="宋体"/>
          <w:szCs w:val="24"/>
        </w:rPr>
      </w:pPr>
      <w:r>
        <w:rPr>
          <w:rFonts w:hint="eastAsia" w:hAnsi="宋体"/>
          <w:szCs w:val="24"/>
        </w:rPr>
        <w:t xml:space="preserve">    基金托管账户与“基金清算账户”间的资金结算遵循“全额清算、净额交收”的原则，每日按照托管账户应收资金（申购申请对应申购净额与基金转换转入申请对应净额之和）与应付资金（赎回申请对应赎回金额扣除归基金资产的费用与基金转换转出申请对应金额扣除归基金资产的费用之和）的差额来确定托管账户净应收额或净应付额，以此确定资金交收额。</w:t>
      </w:r>
    </w:p>
    <w:p>
      <w:pPr>
        <w:pStyle w:val="10"/>
        <w:spacing w:before="0" w:after="0" w:line="560" w:lineRule="exact"/>
        <w:ind w:left="0" w:firstLine="480"/>
        <w:rPr>
          <w:rFonts w:hAnsi="宋体"/>
          <w:szCs w:val="24"/>
        </w:rPr>
      </w:pPr>
      <w:r>
        <w:rPr>
          <w:rFonts w:hint="eastAsia" w:hAnsi="宋体"/>
          <w:szCs w:val="24"/>
        </w:rPr>
        <w:t>如存在托管账户净应收额时，基金管理人应在交收日 15:00之前从基金清算账户划往基金托管账户；如存在托管账户净应付额时，基金管理人应在提前将划款指令发送给基金托管人，基金托管人按基金管理人的划款指令将托管账户净应付额在交收日12:00之前划往基金清算账户。对于未准时划付的资金，基金管理人应及时通知基金托管人划付。因基金托管专户没有足够的资金或基金管理人未及时发送划款指令，导致基金托管人不能按时拨付，基金托管人应及时通知基金管理人，并对由此造成的延误不承担相应责任。</w:t>
      </w:r>
    </w:p>
    <w:p>
      <w:pPr>
        <w:pStyle w:val="10"/>
        <w:spacing w:before="0" w:after="0" w:line="560" w:lineRule="exact"/>
        <w:ind w:left="0" w:firstLine="480"/>
        <w:rPr>
          <w:rFonts w:hAnsi="宋体"/>
          <w:szCs w:val="24"/>
        </w:rPr>
      </w:pPr>
    </w:p>
    <w:p>
      <w:pPr>
        <w:pStyle w:val="2"/>
        <w:spacing w:line="520" w:lineRule="exact"/>
        <w:ind w:firstLine="482" w:firstLineChars="200"/>
        <w:rPr>
          <w:bCs/>
          <w:color w:val="auto"/>
          <w:szCs w:val="24"/>
        </w:rPr>
      </w:pPr>
      <w:bookmarkStart w:id="42" w:name="_Toc296551344"/>
      <w:bookmarkStart w:id="43" w:name="_Toc8884"/>
      <w:bookmarkStart w:id="44" w:name="_Toc4870331"/>
      <w:bookmarkStart w:id="45" w:name="_Toc142055712"/>
      <w:r>
        <w:rPr>
          <w:rFonts w:hint="eastAsia"/>
          <w:bCs/>
          <w:color w:val="auto"/>
          <w:szCs w:val="24"/>
        </w:rPr>
        <w:t>第八条 基金资产净值计算和会计核算</w:t>
      </w:r>
      <w:bookmarkEnd w:id="42"/>
      <w:bookmarkEnd w:id="43"/>
      <w:bookmarkEnd w:id="44"/>
      <w:bookmarkEnd w:id="45"/>
    </w:p>
    <w:p>
      <w:pPr>
        <w:pStyle w:val="10"/>
        <w:spacing w:before="0" w:after="0" w:line="520" w:lineRule="exact"/>
        <w:ind w:left="0" w:firstLine="480" w:firstLineChars="200"/>
        <w:rPr>
          <w:rFonts w:hAnsi="宋体"/>
          <w:szCs w:val="24"/>
        </w:rPr>
      </w:pPr>
      <w:r>
        <w:rPr>
          <w:rFonts w:hint="eastAsia" w:hAnsi="宋体"/>
          <w:szCs w:val="24"/>
        </w:rPr>
        <w:t>8.1基金资产净值的计算、复核的时间和程序</w:t>
      </w:r>
    </w:p>
    <w:p>
      <w:pPr>
        <w:pStyle w:val="10"/>
        <w:spacing w:before="0" w:after="0" w:line="520" w:lineRule="exact"/>
        <w:ind w:left="0" w:firstLine="480" w:firstLineChars="200"/>
        <w:rPr>
          <w:rFonts w:hAnsi="宋体"/>
          <w:szCs w:val="24"/>
        </w:rPr>
      </w:pPr>
      <w:r>
        <w:rPr>
          <w:rFonts w:hint="eastAsia" w:hAnsi="宋体"/>
          <w:szCs w:val="24"/>
        </w:rPr>
        <w:t>对于本基金投资的</w:t>
      </w:r>
      <w:r>
        <w:rPr>
          <w:rFonts w:hAnsi="宋体"/>
          <w:szCs w:val="24"/>
        </w:rPr>
        <w:t>目标基金</w:t>
      </w:r>
      <w:r>
        <w:rPr>
          <w:rFonts w:hint="eastAsia" w:hAnsi="宋体"/>
          <w:szCs w:val="24"/>
        </w:rPr>
        <w:t>的有关净值数据，基金托管人应在每个估值日根据已披露的净值数据进行估值核算。</w:t>
      </w:r>
    </w:p>
    <w:p>
      <w:pPr>
        <w:pStyle w:val="10"/>
        <w:spacing w:before="0" w:after="0" w:line="520" w:lineRule="exact"/>
        <w:ind w:left="0" w:firstLine="480" w:firstLineChars="200"/>
        <w:rPr>
          <w:rFonts w:hAnsi="宋体"/>
          <w:szCs w:val="24"/>
        </w:rPr>
      </w:pPr>
      <w:r>
        <w:rPr>
          <w:rFonts w:hint="eastAsia" w:hAnsi="宋体"/>
          <w:szCs w:val="24"/>
        </w:rPr>
        <w:t>8.1.1基金资产净值是指基金资产总值减去基金负债后的价值。各类基金份额净值是按照每个工作日闭市后，各类基金份额的基金资产净值除以当日该类基金份额的余额数量计算。各类基金份额净值的计算均保留到小数点后4位，小数点后第5位四舍五入，由此产生的误差计入基金财产。</w:t>
      </w:r>
      <w:r>
        <w:rPr>
          <w:rFonts w:hAnsi="宋体"/>
          <w:szCs w:val="24"/>
        </w:rPr>
        <w:t>基金管理人可以设立大额赎回情形下的净值精度应急调整机制。</w:t>
      </w:r>
      <w:r>
        <w:rPr>
          <w:rFonts w:hint="eastAsia"/>
          <w:bCs/>
        </w:rPr>
        <w:t>特殊情况下，基金管理人可提高基金份额净值计算的精度（即提高净值计算结果小数点后保留的位数），以维护基金投资人利益。</w:t>
      </w:r>
      <w:r>
        <w:rPr>
          <w:rFonts w:hAnsi="宋体"/>
          <w:szCs w:val="24"/>
        </w:rPr>
        <w:t>国家另有规定的，从其规定。</w:t>
      </w:r>
    </w:p>
    <w:p>
      <w:pPr>
        <w:pStyle w:val="10"/>
        <w:spacing w:before="0" w:after="0" w:line="520" w:lineRule="exact"/>
        <w:ind w:left="0" w:firstLine="480" w:firstLineChars="200"/>
        <w:rPr>
          <w:rFonts w:hAnsi="宋体"/>
          <w:szCs w:val="24"/>
        </w:rPr>
      </w:pPr>
      <w:r>
        <w:rPr>
          <w:rFonts w:hint="eastAsia" w:hAnsi="宋体"/>
          <w:szCs w:val="24"/>
        </w:rPr>
        <w:t>8.1.2基金管理人应每个工作日计算基金资产净值及各类基金份额净值，但基金管理人根据法律法规或基金合同的规定暂停估值时除外。估值原则应符合基金合同、《证券投资基金会计核算业务指引》、《企业会计准则》及其他法律、法规的规定。基金资产净值和各类基金份额净值由基金管理人负责计算，基金托管人复核。基金管理人每个工作日对基金资产估值后，将各类基金份额净值结果发送基金托管人，经基金托管人复核无误后，由基金管理人按约定对外公布。</w:t>
      </w:r>
    </w:p>
    <w:p>
      <w:pPr>
        <w:pStyle w:val="10"/>
        <w:spacing w:before="0" w:after="0" w:line="520" w:lineRule="exact"/>
        <w:ind w:left="0" w:firstLine="480" w:firstLineChars="200"/>
        <w:rPr>
          <w:rFonts w:hAnsi="宋体"/>
          <w:szCs w:val="24"/>
        </w:rPr>
      </w:pPr>
      <w:r>
        <w:rPr>
          <w:rFonts w:hint="eastAsia" w:hAnsi="宋体"/>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基金托管人对未达成一致意见的基金净值计算结果不承担任何责任。</w:t>
      </w:r>
    </w:p>
    <w:p>
      <w:pPr>
        <w:pStyle w:val="10"/>
        <w:spacing w:before="0" w:after="0" w:line="520" w:lineRule="exact"/>
        <w:ind w:left="0" w:firstLine="480" w:firstLineChars="200"/>
        <w:rPr>
          <w:rFonts w:hAnsi="宋体"/>
          <w:szCs w:val="24"/>
        </w:rPr>
      </w:pPr>
      <w:r>
        <w:rPr>
          <w:rFonts w:hint="eastAsia" w:hAnsi="宋体"/>
          <w:szCs w:val="24"/>
        </w:rPr>
        <w:t>8.2基金资产估值方法</w:t>
      </w:r>
    </w:p>
    <w:p>
      <w:pPr>
        <w:pStyle w:val="10"/>
        <w:spacing w:before="0" w:after="0" w:line="520" w:lineRule="exact"/>
        <w:ind w:left="0" w:firstLine="480" w:firstLineChars="200"/>
        <w:rPr>
          <w:rFonts w:hAnsi="宋体"/>
          <w:szCs w:val="24"/>
        </w:rPr>
      </w:pPr>
      <w:bookmarkStart w:id="46" w:name="_Hlk116237948"/>
      <w:r>
        <w:rPr>
          <w:rFonts w:hint="eastAsia" w:hAnsi="宋体"/>
          <w:szCs w:val="24"/>
        </w:rPr>
        <w:t>8.2.1估值对象</w:t>
      </w:r>
    </w:p>
    <w:p>
      <w:pPr>
        <w:pStyle w:val="10"/>
        <w:spacing w:before="0" w:after="0" w:line="520" w:lineRule="exact"/>
        <w:ind w:left="0" w:firstLine="480" w:firstLineChars="200"/>
        <w:rPr>
          <w:rFonts w:hAnsi="宋体"/>
          <w:szCs w:val="24"/>
        </w:rPr>
      </w:pPr>
      <w:r>
        <w:rPr>
          <w:rFonts w:hint="eastAsia" w:hAnsi="宋体"/>
          <w:szCs w:val="24"/>
        </w:rPr>
        <w:t>基金所拥有的债券、资产支持证券、国债期货合约、信用衍生品和银行存款本息、应收款项、其它投资等资产及负债。</w:t>
      </w:r>
    </w:p>
    <w:p>
      <w:pPr>
        <w:pStyle w:val="10"/>
        <w:spacing w:before="0" w:after="0" w:line="520" w:lineRule="exact"/>
        <w:ind w:left="0" w:firstLine="480" w:firstLineChars="200"/>
        <w:rPr>
          <w:rFonts w:hAnsi="宋体"/>
          <w:szCs w:val="24"/>
        </w:rPr>
      </w:pPr>
      <w:r>
        <w:rPr>
          <w:rFonts w:hint="eastAsia" w:hAnsi="宋体"/>
          <w:szCs w:val="24"/>
        </w:rPr>
        <w:t>8.2.2估值方法</w:t>
      </w:r>
    </w:p>
    <w:p>
      <w:pPr>
        <w:pStyle w:val="10"/>
        <w:spacing w:before="0" w:after="0" w:line="520" w:lineRule="exact"/>
        <w:ind w:left="0" w:firstLine="480" w:firstLineChars="200"/>
        <w:rPr>
          <w:rFonts w:hAnsi="宋体"/>
          <w:szCs w:val="24"/>
        </w:rPr>
      </w:pPr>
      <w:r>
        <w:rPr>
          <w:rFonts w:hint="eastAsia" w:hAnsi="宋体"/>
          <w:szCs w:val="24"/>
        </w:rPr>
        <w:t>（1）</w:t>
      </w:r>
      <w:r>
        <w:rPr>
          <w:rFonts w:hAnsi="宋体"/>
          <w:szCs w:val="24"/>
        </w:rPr>
        <w:t>证券交易所上市的有价证券的估值</w:t>
      </w:r>
    </w:p>
    <w:p>
      <w:pPr>
        <w:pStyle w:val="10"/>
        <w:spacing w:before="0" w:after="0" w:line="520" w:lineRule="exact"/>
        <w:ind w:left="0" w:firstLine="480" w:firstLineChars="200"/>
        <w:rPr>
          <w:rFonts w:hAnsi="宋体"/>
          <w:szCs w:val="24"/>
        </w:rPr>
      </w:pPr>
      <w:r>
        <w:rPr>
          <w:rFonts w:hAnsi="宋体"/>
          <w:szCs w:val="24"/>
        </w:rPr>
        <w:t>1）交易所上市</w:t>
      </w:r>
      <w:r>
        <w:rPr>
          <w:rFonts w:hint="eastAsia" w:hAnsi="宋体"/>
          <w:szCs w:val="24"/>
        </w:rPr>
        <w:t>交易或挂牌转让的固定收益品种（基金合同另有规定的除外），选取估值日第三方估值机构提供的相应品种对应的估值净价估值，具体估值机构由基金管理人与基金托管人另行协商约定；</w:t>
      </w:r>
    </w:p>
    <w:p>
      <w:pPr>
        <w:pStyle w:val="10"/>
        <w:spacing w:before="0" w:after="0" w:line="520" w:lineRule="exact"/>
        <w:ind w:left="0" w:firstLine="480" w:firstLineChars="200"/>
        <w:rPr>
          <w:rFonts w:hAnsi="宋体"/>
          <w:szCs w:val="24"/>
        </w:rPr>
      </w:pPr>
      <w:r>
        <w:rPr>
          <w:rFonts w:hint="eastAsia" w:hAnsi="宋体"/>
          <w:szCs w:val="24"/>
        </w:rPr>
        <w:t>2</w:t>
      </w:r>
      <w:r>
        <w:rPr>
          <w:rFonts w:hAnsi="宋体"/>
          <w:szCs w:val="24"/>
        </w:rPr>
        <w:t>）交易所上市不存在活跃市场的有价证券，采用估值技术确定公允价值。交易所上市的资产支持证券，采用估值技术确定公允价值，在估值技术难以可靠计量公允价值的情况下，按成本估值</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3</w:t>
      </w:r>
      <w:r>
        <w:rPr>
          <w:rFonts w:hAnsi="宋体"/>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hAnsi="宋体"/>
          <w:szCs w:val="24"/>
        </w:rPr>
        <w:t>市场活动</w:t>
      </w:r>
      <w:r>
        <w:rPr>
          <w:rFonts w:hAnsi="宋体"/>
          <w:szCs w:val="24"/>
        </w:rPr>
        <w:t>或市场活动很少的情况下，应采用估值技术确定其公允价值。</w:t>
      </w:r>
    </w:p>
    <w:p>
      <w:pPr>
        <w:pStyle w:val="10"/>
        <w:spacing w:before="0" w:after="0" w:line="520" w:lineRule="exact"/>
        <w:ind w:left="0" w:firstLine="480" w:firstLineChars="200"/>
        <w:rPr>
          <w:rFonts w:hAnsi="宋体"/>
          <w:szCs w:val="24"/>
        </w:rPr>
      </w:pPr>
      <w:r>
        <w:rPr>
          <w:rFonts w:hint="eastAsia" w:hAnsi="宋体"/>
          <w:szCs w:val="24"/>
        </w:rPr>
        <w:t>（2）</w:t>
      </w:r>
      <w:r>
        <w:rPr>
          <w:rFonts w:hAnsi="宋体"/>
          <w:szCs w:val="24"/>
        </w:rPr>
        <w:t>首次公开发行未上市的债券，采用估值技术确定公允价值，在估值技术难以可靠计量公允价值的情况下，按成本估值</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（3）同业存单、全国银行间债券市场交易的债券、资产支持证券等固定收益品种，采用估值技术确定公允价值。</w:t>
      </w:r>
    </w:p>
    <w:p>
      <w:pPr>
        <w:pStyle w:val="10"/>
        <w:spacing w:before="0" w:after="0" w:line="520" w:lineRule="exact"/>
        <w:ind w:left="0" w:firstLine="480" w:firstLineChars="200"/>
        <w:rPr>
          <w:rFonts w:hAnsi="宋体"/>
          <w:szCs w:val="24"/>
        </w:rPr>
      </w:pPr>
      <w:r>
        <w:rPr>
          <w:rFonts w:hint="eastAsia" w:hAnsi="宋体"/>
          <w:szCs w:val="24"/>
        </w:rPr>
        <w:t>（4）同一证券同时在两个或两个以上市场交易的，按证券所处的市场分别估值。</w:t>
      </w:r>
    </w:p>
    <w:p>
      <w:pPr>
        <w:pStyle w:val="10"/>
        <w:spacing w:before="0" w:after="0" w:line="520" w:lineRule="exact"/>
        <w:ind w:left="0" w:firstLine="480" w:firstLineChars="200"/>
        <w:rPr>
          <w:rFonts w:hAnsi="宋体"/>
          <w:szCs w:val="24"/>
        </w:rPr>
      </w:pPr>
      <w:r>
        <w:rPr>
          <w:rFonts w:hint="eastAsia" w:hAnsi="宋体"/>
          <w:szCs w:val="24"/>
        </w:rPr>
        <w:t>（5）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pPr>
        <w:pStyle w:val="10"/>
        <w:spacing w:before="0" w:after="0" w:line="520" w:lineRule="exact"/>
        <w:ind w:left="0" w:firstLine="480" w:firstLineChars="200"/>
        <w:rPr>
          <w:rFonts w:hAnsi="宋体"/>
          <w:szCs w:val="24"/>
        </w:rPr>
      </w:pPr>
      <w:r>
        <w:rPr>
          <w:rFonts w:hint="eastAsia" w:hAnsi="宋体"/>
          <w:szCs w:val="24"/>
        </w:rPr>
        <w:t>（6）基金投资的国债期货合约，一般以估值当日结算价进行估值，估值当日无结算价的，且最近交易日后经济环境未发生重大变化的，采用最近交易日结算价估值。</w:t>
      </w:r>
    </w:p>
    <w:p>
      <w:pPr>
        <w:pStyle w:val="10"/>
        <w:spacing w:before="0" w:after="0" w:line="520" w:lineRule="exact"/>
        <w:ind w:left="0" w:firstLine="480" w:firstLineChars="200"/>
        <w:rPr>
          <w:rFonts w:hAnsi="宋体"/>
          <w:szCs w:val="24"/>
        </w:rPr>
      </w:pPr>
      <w:r>
        <w:rPr>
          <w:rFonts w:hint="eastAsia" w:hAnsi="宋体"/>
          <w:szCs w:val="24"/>
        </w:rPr>
        <w:t>（7）</w:t>
      </w:r>
      <w:r>
        <w:rPr>
          <w:rFonts w:hAnsi="宋体"/>
          <w:szCs w:val="24"/>
        </w:rPr>
        <w:t>如有确凿证据表明按上述方法进行估值不能客观反映其公允价值的，基金管理人可根据具体情况与基金托管人商定后，按最能反映公允价值的价格估值。</w:t>
      </w:r>
    </w:p>
    <w:p>
      <w:pPr>
        <w:pStyle w:val="10"/>
        <w:spacing w:before="0" w:after="0" w:line="520" w:lineRule="exact"/>
        <w:ind w:left="0" w:firstLine="480" w:firstLineChars="200"/>
        <w:rPr>
          <w:rFonts w:hAnsi="宋体"/>
          <w:szCs w:val="24"/>
        </w:rPr>
      </w:pPr>
      <w:r>
        <w:rPr>
          <w:rFonts w:hint="eastAsia" w:hAnsi="宋体"/>
          <w:szCs w:val="24"/>
        </w:rPr>
        <w:t>（8）当发生大额申购或赎回情形时，基金管理人可以采用摆动定价机制，以确保基金估值的公平性。具体处理原则与操作规范遵循相关法律法规以及监管部门、自律组织的规定。</w:t>
      </w:r>
    </w:p>
    <w:p>
      <w:pPr>
        <w:pStyle w:val="10"/>
        <w:spacing w:before="0" w:after="0" w:line="520" w:lineRule="exact"/>
        <w:ind w:left="0" w:firstLine="480" w:firstLineChars="200"/>
        <w:rPr>
          <w:rFonts w:hAnsi="宋体"/>
          <w:szCs w:val="24"/>
        </w:rPr>
      </w:pPr>
      <w:r>
        <w:rPr>
          <w:rFonts w:hint="eastAsia" w:hAnsi="宋体"/>
          <w:szCs w:val="24"/>
        </w:rPr>
        <w:t>（9）</w:t>
      </w:r>
      <w:r>
        <w:rPr>
          <w:rFonts w:hAnsi="宋体"/>
          <w:szCs w:val="24"/>
        </w:rPr>
        <w:t>相关法律法规以及监管部门有强制规定的，从其规定。如有新增事项，按国家最新规定估值。</w:t>
      </w:r>
    </w:p>
    <w:p>
      <w:pPr>
        <w:pStyle w:val="10"/>
        <w:spacing w:before="0" w:after="0" w:line="520" w:lineRule="exact"/>
        <w:ind w:left="0" w:firstLine="480" w:firstLineChars="200"/>
        <w:rPr>
          <w:rFonts w:hAnsi="宋体"/>
          <w:szCs w:val="24"/>
        </w:rPr>
      </w:pPr>
      <w:r>
        <w:rPr>
          <w:rFonts w:hAnsi="宋体"/>
          <w:szCs w:val="24"/>
        </w:rPr>
        <w:t>如基金管理人或基金托管人发现基金估值违反基金合同订明的估值方法、程序及相关法律法规的规定或者未能充分维护基金份额持有人利益时，应立即通知对方，共同查明原因，双方协商解决。</w:t>
      </w:r>
    </w:p>
    <w:p>
      <w:pPr>
        <w:pStyle w:val="10"/>
        <w:spacing w:before="0" w:after="0" w:line="520" w:lineRule="exact"/>
        <w:ind w:left="0" w:firstLine="480" w:firstLineChars="200"/>
        <w:rPr>
          <w:rFonts w:hAnsi="宋体"/>
          <w:szCs w:val="24"/>
        </w:rPr>
      </w:pPr>
      <w:r>
        <w:rPr>
          <w:rFonts w:hAnsi="宋体"/>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pStyle w:val="10"/>
        <w:spacing w:before="0" w:after="0" w:line="520" w:lineRule="exact"/>
        <w:ind w:left="0" w:firstLine="480" w:firstLineChars="200"/>
        <w:rPr>
          <w:rFonts w:hAnsi="宋体"/>
          <w:szCs w:val="24"/>
        </w:rPr>
      </w:pPr>
      <w:r>
        <w:rPr>
          <w:rFonts w:hint="eastAsia" w:hAnsi="宋体"/>
          <w:szCs w:val="24"/>
        </w:rPr>
        <w:t>8.3估值差错处理</w:t>
      </w:r>
    </w:p>
    <w:p>
      <w:pPr>
        <w:pStyle w:val="10"/>
        <w:spacing w:before="0" w:after="0" w:line="520" w:lineRule="exact"/>
        <w:ind w:left="0" w:firstLine="480" w:firstLineChars="200"/>
        <w:rPr>
          <w:rFonts w:hAnsi="宋体"/>
          <w:szCs w:val="24"/>
        </w:rPr>
      </w:pPr>
      <w:bookmarkStart w:id="47" w:name="_Hlk117593582"/>
      <w:r>
        <w:rPr>
          <w:rFonts w:hAnsi="宋体"/>
          <w:szCs w:val="24"/>
        </w:rPr>
        <w:t>基金管理人和基金托管人将采取必要、适当、合理的措施确保基金资产估值的准确性、及时性。当</w:t>
      </w:r>
      <w:r>
        <w:rPr>
          <w:rFonts w:hint="eastAsia" w:hAnsi="宋体"/>
          <w:szCs w:val="24"/>
        </w:rPr>
        <w:t>任一类</w:t>
      </w:r>
      <w:r>
        <w:rPr>
          <w:rFonts w:hAnsi="宋体"/>
          <w:szCs w:val="24"/>
        </w:rPr>
        <w:t>基金份额净值小数点后4位以内（含第4位）发生估值错误时，视为该类基金份额净值错误。</w:t>
      </w:r>
    </w:p>
    <w:p>
      <w:pPr>
        <w:pStyle w:val="10"/>
        <w:spacing w:before="0" w:after="0" w:line="520" w:lineRule="exact"/>
        <w:ind w:left="0" w:firstLine="480" w:firstLineChars="200"/>
        <w:rPr>
          <w:rFonts w:hAnsi="宋体"/>
          <w:szCs w:val="24"/>
        </w:rPr>
      </w:pPr>
      <w:r>
        <w:rPr>
          <w:rFonts w:hAnsi="宋体"/>
          <w:szCs w:val="24"/>
        </w:rPr>
        <w:t>基金合同的当事人应按照以下约定处理：</w:t>
      </w:r>
    </w:p>
    <w:p>
      <w:pPr>
        <w:pStyle w:val="10"/>
        <w:spacing w:before="0" w:after="0" w:line="520" w:lineRule="exact"/>
        <w:ind w:left="0" w:firstLine="480" w:firstLineChars="200"/>
        <w:rPr>
          <w:rFonts w:hAnsi="宋体"/>
          <w:szCs w:val="24"/>
        </w:rPr>
      </w:pPr>
      <w:r>
        <w:rPr>
          <w:rFonts w:hint="eastAsia" w:hAnsi="宋体"/>
          <w:szCs w:val="24"/>
        </w:rPr>
        <w:t>8.3.1</w:t>
      </w:r>
      <w:r>
        <w:rPr>
          <w:rFonts w:hAnsi="宋体"/>
          <w:szCs w:val="24"/>
        </w:rPr>
        <w:t>估值错误类型</w:t>
      </w:r>
    </w:p>
    <w:p>
      <w:pPr>
        <w:pStyle w:val="10"/>
        <w:spacing w:before="0" w:after="0" w:line="520" w:lineRule="exact"/>
        <w:ind w:left="0" w:firstLine="480" w:firstLineChars="200"/>
        <w:rPr>
          <w:rFonts w:hAnsi="宋体"/>
          <w:szCs w:val="24"/>
        </w:rPr>
      </w:pPr>
      <w:r>
        <w:rPr>
          <w:rFonts w:hAnsi="宋体"/>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hAnsi="宋体"/>
          <w:szCs w:val="24"/>
        </w:rPr>
        <w:t>（“</w:t>
      </w:r>
      <w:r>
        <w:rPr>
          <w:rFonts w:hAnsi="宋体"/>
          <w:szCs w:val="24"/>
        </w:rPr>
        <w:t>受损方</w:t>
      </w:r>
      <w:r>
        <w:rPr>
          <w:rFonts w:hint="eastAsia" w:hAnsi="宋体"/>
          <w:szCs w:val="24"/>
        </w:rPr>
        <w:t>”）</w:t>
      </w:r>
      <w:r>
        <w:rPr>
          <w:rFonts w:hAnsi="宋体"/>
          <w:szCs w:val="24"/>
        </w:rPr>
        <w:t>的直接损失按下述</w:t>
      </w:r>
      <w:r>
        <w:rPr>
          <w:rFonts w:hint="eastAsia" w:hAnsi="宋体"/>
          <w:szCs w:val="24"/>
        </w:rPr>
        <w:t>“</w:t>
      </w:r>
      <w:r>
        <w:rPr>
          <w:rFonts w:hAnsi="宋体"/>
          <w:szCs w:val="24"/>
        </w:rPr>
        <w:t>估值错误处理原则</w:t>
      </w:r>
      <w:r>
        <w:rPr>
          <w:rFonts w:hint="eastAsia" w:hAnsi="宋体"/>
          <w:szCs w:val="24"/>
        </w:rPr>
        <w:t>”</w:t>
      </w:r>
      <w:r>
        <w:rPr>
          <w:rFonts w:hAnsi="宋体"/>
          <w:szCs w:val="24"/>
        </w:rPr>
        <w:t>给予赔偿，承担赔偿责任。</w:t>
      </w:r>
    </w:p>
    <w:p>
      <w:pPr>
        <w:pStyle w:val="10"/>
        <w:spacing w:before="0" w:after="0" w:line="520" w:lineRule="exact"/>
        <w:ind w:left="0" w:firstLine="480" w:firstLineChars="200"/>
        <w:rPr>
          <w:rFonts w:hAnsi="宋体"/>
          <w:szCs w:val="24"/>
        </w:rPr>
      </w:pPr>
      <w:r>
        <w:rPr>
          <w:rFonts w:hAnsi="宋体"/>
          <w:szCs w:val="24"/>
        </w:rPr>
        <w:t>上述估值错误的主要类型包括但不限于：资料申报差错、数据传输差错、数据计算差错、系统故障差错、下达指令差错等。</w:t>
      </w:r>
    </w:p>
    <w:p>
      <w:pPr>
        <w:pStyle w:val="10"/>
        <w:spacing w:before="0" w:after="0" w:line="520" w:lineRule="exact"/>
        <w:ind w:left="0" w:firstLine="480" w:firstLineChars="200"/>
        <w:rPr>
          <w:rFonts w:hAnsi="宋体"/>
          <w:szCs w:val="24"/>
        </w:rPr>
      </w:pPr>
      <w:r>
        <w:rPr>
          <w:rFonts w:hint="eastAsia" w:hAnsi="宋体"/>
          <w:szCs w:val="24"/>
        </w:rPr>
        <w:t>对于因技术原因引起的差错，若系同行业现有技术水平无法预见、无法避免、无法抗拒，则属不可抗力，按照下述规定执行。</w:t>
      </w:r>
    </w:p>
    <w:p>
      <w:pPr>
        <w:pStyle w:val="10"/>
        <w:spacing w:before="0" w:after="0" w:line="520" w:lineRule="exact"/>
        <w:ind w:left="0" w:firstLine="480" w:firstLineChars="200"/>
        <w:rPr>
          <w:rFonts w:hAnsi="宋体"/>
          <w:szCs w:val="24"/>
        </w:rPr>
      </w:pPr>
      <w:r>
        <w:rPr>
          <w:rFonts w:hint="eastAsia" w:hAnsi="宋体"/>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pStyle w:val="10"/>
        <w:spacing w:before="0" w:after="0" w:line="520" w:lineRule="exact"/>
        <w:ind w:left="0" w:firstLine="480" w:firstLineChars="200"/>
        <w:rPr>
          <w:rFonts w:hAnsi="宋体"/>
          <w:szCs w:val="24"/>
        </w:rPr>
      </w:pPr>
      <w:r>
        <w:rPr>
          <w:rFonts w:hint="eastAsia" w:hAnsi="宋体"/>
          <w:szCs w:val="24"/>
        </w:rPr>
        <w:t>8.3.2</w:t>
      </w:r>
      <w:r>
        <w:rPr>
          <w:rFonts w:hAnsi="宋体"/>
          <w:szCs w:val="24"/>
        </w:rPr>
        <w:t>估值错误处理原则</w:t>
      </w:r>
    </w:p>
    <w:p>
      <w:pPr>
        <w:pStyle w:val="10"/>
        <w:spacing w:before="0" w:after="0" w:line="520" w:lineRule="exact"/>
        <w:ind w:left="0" w:firstLine="480" w:firstLineChars="200"/>
        <w:rPr>
          <w:rFonts w:hAnsi="宋体"/>
          <w:szCs w:val="24"/>
        </w:rPr>
      </w:pPr>
      <w:r>
        <w:rPr>
          <w:rFonts w:hAnsi="宋体"/>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2</w:t>
      </w:r>
      <w:r>
        <w:rPr>
          <w:rFonts w:hAnsi="宋体"/>
          <w:szCs w:val="24"/>
        </w:rPr>
        <w:t>）估值错误的责任方对有关当事人的直接损失负责，不对间接损失负责，并且仅对估值错误的有关直接当事人负责，不对第三方负责。</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3</w:t>
      </w:r>
      <w:r>
        <w:rPr>
          <w:rFonts w:hAnsi="宋体"/>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hAnsi="宋体"/>
          <w:szCs w:val="24"/>
        </w:rPr>
        <w:t>（“</w:t>
      </w:r>
      <w:r>
        <w:rPr>
          <w:rFonts w:hAnsi="宋体"/>
          <w:szCs w:val="24"/>
        </w:rPr>
        <w:t>受损方</w:t>
      </w:r>
      <w:r>
        <w:rPr>
          <w:rFonts w:hint="eastAsia" w:hAnsi="宋体"/>
          <w:szCs w:val="24"/>
        </w:rPr>
        <w:t>”）</w:t>
      </w:r>
      <w:r>
        <w:rPr>
          <w:rFonts w:hAnsi="宋体"/>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4</w:t>
      </w:r>
      <w:r>
        <w:rPr>
          <w:rFonts w:hAnsi="宋体"/>
          <w:szCs w:val="24"/>
        </w:rPr>
        <w:t>）估值错误调整采用尽量恢复至假设未发生估值错误的正确情形的方式。</w:t>
      </w:r>
    </w:p>
    <w:p>
      <w:pPr>
        <w:pStyle w:val="10"/>
        <w:spacing w:before="0" w:after="0" w:line="520" w:lineRule="exact"/>
        <w:ind w:left="0" w:firstLine="480" w:firstLineChars="200"/>
        <w:rPr>
          <w:rFonts w:hAnsi="宋体"/>
          <w:szCs w:val="24"/>
        </w:rPr>
      </w:pPr>
      <w:r>
        <w:rPr>
          <w:rFonts w:hint="eastAsia" w:hAnsi="宋体"/>
          <w:szCs w:val="24"/>
        </w:rPr>
        <w:t>8.3.3</w:t>
      </w:r>
      <w:r>
        <w:rPr>
          <w:rFonts w:hAnsi="宋体"/>
          <w:szCs w:val="24"/>
        </w:rPr>
        <w:t>估值错误处理程序</w:t>
      </w:r>
    </w:p>
    <w:p>
      <w:pPr>
        <w:pStyle w:val="10"/>
        <w:spacing w:before="0" w:after="0" w:line="520" w:lineRule="exact"/>
        <w:ind w:left="0" w:firstLine="480" w:firstLineChars="200"/>
        <w:rPr>
          <w:rFonts w:hAnsi="宋体"/>
          <w:szCs w:val="24"/>
        </w:rPr>
      </w:pPr>
      <w:r>
        <w:rPr>
          <w:rFonts w:hAnsi="宋体"/>
          <w:szCs w:val="24"/>
        </w:rPr>
        <w:t>估值错误被发现后，有关的当事人应当及时进行处理，处理的程序如下：</w:t>
      </w:r>
    </w:p>
    <w:p>
      <w:pPr>
        <w:pStyle w:val="10"/>
        <w:spacing w:before="0" w:after="0" w:line="520" w:lineRule="exact"/>
        <w:ind w:left="0" w:firstLine="480" w:firstLineChars="200"/>
        <w:rPr>
          <w:rFonts w:hAnsi="宋体"/>
          <w:szCs w:val="24"/>
        </w:rPr>
      </w:pPr>
      <w:r>
        <w:rPr>
          <w:rFonts w:hAnsi="宋体"/>
          <w:szCs w:val="24"/>
        </w:rPr>
        <w:t>（1）查明估值错误发生的原因，列明所有的当事人，并根据估值错误发生的原因确定估值错误的责任方；</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2</w:t>
      </w:r>
      <w:r>
        <w:rPr>
          <w:rFonts w:hAnsi="宋体"/>
          <w:szCs w:val="24"/>
        </w:rPr>
        <w:t>）根据估值错误处理原则或当事人协商的方法对因估值错误造成的损失进行评估；</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3</w:t>
      </w:r>
      <w:r>
        <w:rPr>
          <w:rFonts w:hAnsi="宋体"/>
          <w:szCs w:val="24"/>
        </w:rPr>
        <w:t>）根据估值错误处理原则或当事人协商的方法由估值错误的责任方进行更正和赔偿损失；</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4</w:t>
      </w:r>
      <w:r>
        <w:rPr>
          <w:rFonts w:hAnsi="宋体"/>
          <w:szCs w:val="24"/>
        </w:rPr>
        <w:t>）根据估值错误处理的方法，需要修改</w:t>
      </w:r>
      <w:r>
        <w:rPr>
          <w:rFonts w:hint="eastAsia" w:hAnsi="宋体"/>
          <w:szCs w:val="24"/>
        </w:rPr>
        <w:t>基金</w:t>
      </w:r>
      <w:r>
        <w:rPr>
          <w:rFonts w:hAnsi="宋体"/>
          <w:szCs w:val="24"/>
        </w:rPr>
        <w:t>登记机构交易数据的，由</w:t>
      </w:r>
      <w:r>
        <w:rPr>
          <w:rFonts w:hint="eastAsia" w:hAnsi="宋体"/>
          <w:szCs w:val="24"/>
        </w:rPr>
        <w:t>基金</w:t>
      </w:r>
      <w:r>
        <w:rPr>
          <w:rFonts w:hAnsi="宋体"/>
          <w:szCs w:val="24"/>
        </w:rPr>
        <w:t>登记机构进行更正，并就估值错误的更正向有关当事人进行确认。</w:t>
      </w:r>
    </w:p>
    <w:p>
      <w:pPr>
        <w:pStyle w:val="10"/>
        <w:spacing w:before="0" w:after="0" w:line="520" w:lineRule="exact"/>
        <w:ind w:left="0" w:firstLine="480" w:firstLineChars="200"/>
        <w:rPr>
          <w:rFonts w:hAnsi="宋体"/>
          <w:szCs w:val="24"/>
        </w:rPr>
      </w:pPr>
      <w:r>
        <w:rPr>
          <w:rFonts w:hint="eastAsia" w:hAnsi="宋体"/>
          <w:szCs w:val="24"/>
        </w:rPr>
        <w:t>8.3.4</w:t>
      </w:r>
      <w:r>
        <w:rPr>
          <w:rFonts w:hAnsi="宋体"/>
          <w:szCs w:val="24"/>
        </w:rPr>
        <w:t>基金份额净值估值错误处理的方法如下：</w:t>
      </w:r>
    </w:p>
    <w:p>
      <w:pPr>
        <w:pStyle w:val="10"/>
        <w:spacing w:before="0" w:after="0" w:line="520" w:lineRule="exact"/>
        <w:ind w:left="0" w:firstLine="480" w:firstLineChars="200"/>
        <w:rPr>
          <w:rFonts w:hAnsi="宋体"/>
          <w:szCs w:val="24"/>
        </w:rPr>
      </w:pPr>
      <w:r>
        <w:rPr>
          <w:rFonts w:hAnsi="宋体"/>
          <w:szCs w:val="24"/>
        </w:rPr>
        <w:t>（1）基金份额净值计算出现错误时，基金管理人应当立即予以纠正，通报基金托管人，并采取合理的措施防止损失进一步扩大。</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2</w:t>
      </w:r>
      <w:r>
        <w:rPr>
          <w:rFonts w:hAnsi="宋体"/>
          <w:szCs w:val="24"/>
        </w:rPr>
        <w:t>）错误偏差达到</w:t>
      </w:r>
      <w:r>
        <w:rPr>
          <w:rFonts w:hint="eastAsia" w:hAnsi="宋体"/>
          <w:szCs w:val="24"/>
        </w:rPr>
        <w:t>该类</w:t>
      </w:r>
      <w:r>
        <w:rPr>
          <w:rFonts w:hAnsi="宋体"/>
          <w:szCs w:val="24"/>
        </w:rPr>
        <w:t>基金份额净值的0.25%时，基金管理人应当通报基金托管人并报中国证监会备案；错误偏差达到</w:t>
      </w:r>
      <w:r>
        <w:rPr>
          <w:rFonts w:hint="eastAsia" w:hAnsi="宋体"/>
          <w:szCs w:val="24"/>
        </w:rPr>
        <w:t>该类</w:t>
      </w:r>
      <w:r>
        <w:rPr>
          <w:rFonts w:hAnsi="宋体"/>
          <w:szCs w:val="24"/>
        </w:rPr>
        <w:t>基金份额净值的0.50%时，基金管理人应当公告</w:t>
      </w:r>
      <w:r>
        <w:rPr>
          <w:rFonts w:hint="eastAsia" w:hAnsi="宋体"/>
          <w:szCs w:val="24"/>
        </w:rPr>
        <w:t>，并报中国证监会备案</w:t>
      </w:r>
      <w:r>
        <w:rPr>
          <w:rFonts w:hAnsi="宋体"/>
          <w:szCs w:val="24"/>
        </w:rPr>
        <w:t>。</w:t>
      </w:r>
    </w:p>
    <w:p>
      <w:pPr>
        <w:pStyle w:val="10"/>
        <w:spacing w:before="0" w:after="0" w:line="520" w:lineRule="exact"/>
        <w:ind w:left="0" w:firstLine="480" w:firstLineChars="200"/>
        <w:rPr>
          <w:rFonts w:hAnsi="宋体"/>
          <w:szCs w:val="24"/>
        </w:rPr>
      </w:pPr>
      <w:r>
        <w:rPr>
          <w:rFonts w:hint="eastAsia" w:hAnsi="宋体"/>
          <w:szCs w:val="24"/>
        </w:rPr>
        <w:t>（3）基金管理人和基金托管人由于各自技术系统设置而产生的净值计算尾差，以基金管理人计算结果为准。</w:t>
      </w:r>
    </w:p>
    <w:p>
      <w:pPr>
        <w:pStyle w:val="10"/>
        <w:spacing w:before="0" w:after="0" w:line="520" w:lineRule="exact"/>
        <w:ind w:left="0" w:firstLine="480" w:firstLineChars="200"/>
        <w:rPr>
          <w:rFonts w:hAnsi="宋体"/>
          <w:szCs w:val="24"/>
        </w:rPr>
      </w:pPr>
      <w:r>
        <w:rPr>
          <w:rFonts w:hAnsi="宋体"/>
          <w:szCs w:val="24"/>
        </w:rPr>
        <w:t>（</w:t>
      </w:r>
      <w:r>
        <w:rPr>
          <w:rFonts w:hint="eastAsia" w:hAnsi="宋体"/>
          <w:szCs w:val="24"/>
        </w:rPr>
        <w:t>4</w:t>
      </w:r>
      <w:r>
        <w:rPr>
          <w:rFonts w:hAnsi="宋体"/>
          <w:szCs w:val="24"/>
        </w:rPr>
        <w:t>）前述内容如法律法规或监管机关另有规定的，从其规定处理。</w:t>
      </w:r>
      <w:r>
        <w:rPr>
          <w:rFonts w:hint="eastAsia" w:hAnsi="宋体"/>
          <w:szCs w:val="24"/>
        </w:rPr>
        <w:t>如果行业另有通行做法，基金管理人和基金托管人应本着平等和保护基金份额持有人利益的原则进行协商。</w:t>
      </w:r>
    </w:p>
    <w:bookmarkEnd w:id="46"/>
    <w:bookmarkEnd w:id="47"/>
    <w:p>
      <w:pPr>
        <w:pStyle w:val="10"/>
        <w:spacing w:before="0" w:after="0" w:line="520" w:lineRule="exact"/>
        <w:ind w:left="0" w:firstLine="480" w:firstLineChars="200"/>
        <w:rPr>
          <w:rFonts w:hAnsi="宋体"/>
          <w:szCs w:val="24"/>
        </w:rPr>
      </w:pPr>
      <w:r>
        <w:rPr>
          <w:rFonts w:hint="eastAsia" w:hAnsi="宋体"/>
          <w:szCs w:val="24"/>
        </w:rPr>
        <w:t>8.4基金账册的建立</w:t>
      </w:r>
    </w:p>
    <w:p>
      <w:pPr>
        <w:pStyle w:val="10"/>
        <w:spacing w:before="0" w:after="0" w:line="520" w:lineRule="exact"/>
        <w:ind w:left="0" w:firstLine="480" w:firstLineChars="200"/>
        <w:rPr>
          <w:rFonts w:hAnsi="宋体"/>
          <w:szCs w:val="24"/>
        </w:rPr>
      </w:pPr>
      <w:r>
        <w:rPr>
          <w:rFonts w:hint="eastAsia" w:hAnsi="宋体"/>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pStyle w:val="10"/>
        <w:spacing w:before="0" w:after="0" w:line="520" w:lineRule="exact"/>
        <w:ind w:left="0" w:firstLine="480" w:firstLineChars="200"/>
        <w:rPr>
          <w:rFonts w:hAnsi="宋体"/>
          <w:szCs w:val="24"/>
        </w:rPr>
      </w:pPr>
      <w:r>
        <w:rPr>
          <w:rFonts w:hint="eastAsia" w:hAnsi="宋体"/>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pPr>
        <w:pStyle w:val="10"/>
        <w:spacing w:before="0" w:after="0" w:line="520" w:lineRule="exact"/>
        <w:ind w:left="0" w:firstLine="480" w:firstLineChars="200"/>
        <w:rPr>
          <w:rFonts w:hAnsi="宋体"/>
          <w:szCs w:val="24"/>
        </w:rPr>
      </w:pPr>
      <w:r>
        <w:rPr>
          <w:rFonts w:hint="eastAsia" w:hAnsi="宋体"/>
          <w:szCs w:val="24"/>
        </w:rPr>
        <w:t>8.5基金定期报告的编制和复核</w:t>
      </w:r>
    </w:p>
    <w:p>
      <w:pPr>
        <w:pStyle w:val="10"/>
        <w:spacing w:before="0" w:after="0" w:line="520" w:lineRule="exact"/>
        <w:ind w:left="0" w:firstLine="480" w:firstLineChars="200"/>
        <w:rPr>
          <w:rFonts w:hAnsi="宋体"/>
          <w:szCs w:val="24"/>
        </w:rPr>
      </w:pPr>
      <w:r>
        <w:rPr>
          <w:rFonts w:hint="eastAsia" w:hAnsi="宋体"/>
          <w:szCs w:val="24"/>
        </w:rPr>
        <w:t>8.5.1基金财务报表由基金管理人和基金托管人每月分别独立编制。月度报表的编制，应于每月终了后5个工作日内完成。</w:t>
      </w:r>
    </w:p>
    <w:p>
      <w:pPr>
        <w:pStyle w:val="10"/>
        <w:spacing w:before="0" w:after="0" w:line="520" w:lineRule="exact"/>
        <w:ind w:left="0" w:firstLine="480" w:firstLineChars="200"/>
        <w:rPr>
          <w:rFonts w:hAnsi="宋体"/>
          <w:szCs w:val="24"/>
        </w:rPr>
      </w:pPr>
      <w:r>
        <w:rPr>
          <w:rFonts w:hint="eastAsia" w:hAnsi="宋体"/>
          <w:szCs w:val="24"/>
        </w:rPr>
        <w:t>8.5.2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pPr>
        <w:pStyle w:val="10"/>
        <w:spacing w:before="0" w:after="0" w:line="520" w:lineRule="exact"/>
        <w:ind w:left="0" w:firstLine="480" w:firstLineChars="200"/>
        <w:rPr>
          <w:rFonts w:hAnsi="宋体"/>
          <w:szCs w:val="24"/>
        </w:rPr>
      </w:pPr>
      <w:r>
        <w:rPr>
          <w:rFonts w:hint="eastAsia" w:hAnsi="宋体"/>
          <w:szCs w:val="24"/>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r>
        <w:rPr>
          <w:rFonts w:hint="eastAsia"/>
          <w:bCs/>
        </w:rPr>
        <w:t>基金终止运作的，基金管理人不再更新基金招募说明书、</w:t>
      </w:r>
      <w:r>
        <w:rPr>
          <w:rFonts w:hint="eastAsia" w:hAnsi="宋体"/>
          <w:szCs w:val="24"/>
        </w:rPr>
        <w:t>基金产品资料概要</w:t>
      </w:r>
      <w:r>
        <w:rPr>
          <w:rFonts w:hint="eastAsia"/>
          <w:bCs/>
        </w:rPr>
        <w:t>。</w:t>
      </w:r>
    </w:p>
    <w:p>
      <w:pPr>
        <w:pStyle w:val="10"/>
        <w:spacing w:before="0" w:after="0" w:line="520" w:lineRule="exact"/>
        <w:ind w:left="0" w:firstLine="480" w:firstLineChars="200"/>
        <w:rPr>
          <w:rFonts w:hAnsi="宋体"/>
          <w:szCs w:val="24"/>
        </w:rPr>
      </w:pPr>
      <w:bookmarkStart w:id="48" w:name="_DV_C270"/>
      <w:r>
        <w:rPr>
          <w:rFonts w:hint="eastAsia" w:hAnsi="宋体"/>
          <w:szCs w:val="24"/>
        </w:rPr>
        <w:t>8.5.</w:t>
      </w:r>
      <w:r>
        <w:rPr>
          <w:rFonts w:hAnsi="宋体"/>
          <w:szCs w:val="24"/>
        </w:rPr>
        <w:t>4</w:t>
      </w:r>
      <w:r>
        <w:rPr>
          <w:rFonts w:hint="eastAsia" w:hAnsi="宋体"/>
          <w:szCs w:val="24"/>
        </w:rPr>
        <w:t>基金管理人应及时完成报表编制，将有关报表提供基金托管人复核；基金托管人应当在收到报告之日起</w:t>
      </w:r>
      <w:r>
        <w:rPr>
          <w:rFonts w:hAnsi="宋体"/>
          <w:szCs w:val="24"/>
        </w:rPr>
        <w:t>2个工作日内</w:t>
      </w:r>
      <w:r>
        <w:rPr>
          <w:rFonts w:hint="eastAsia" w:hAnsi="宋体"/>
          <w:szCs w:val="24"/>
        </w:rPr>
        <w:t>完成月度报表的复核；在收到报告之日起7个工作日内完成基金季度报告的复核；在收到报告之日起20日内完成基金中期报告的复核；在收到报告之日起</w:t>
      </w:r>
      <w:r>
        <w:rPr>
          <w:rFonts w:hAnsi="宋体"/>
          <w:szCs w:val="24"/>
        </w:rPr>
        <w:t>30日内</w:t>
      </w:r>
      <w:r>
        <w:rPr>
          <w:rFonts w:hint="eastAsia" w:hAnsi="宋体"/>
          <w:szCs w:val="24"/>
        </w:rPr>
        <w:t>完成基金年度报告的</w:t>
      </w:r>
      <w:bookmarkEnd w:id="48"/>
      <w:r>
        <w:rPr>
          <w:rFonts w:hint="eastAsia" w:hAnsi="宋体"/>
          <w:szCs w:val="24"/>
        </w:rPr>
        <w:t>复核。基金托管人在复核过程中，发现双方的报表存在不符时，基金管理人和基金托管人应共同查明原因，进行调整，调整以国家有关规定为准。</w:t>
      </w:r>
    </w:p>
    <w:p>
      <w:pPr>
        <w:pStyle w:val="10"/>
        <w:spacing w:before="0" w:after="0" w:line="520" w:lineRule="exact"/>
        <w:ind w:left="0" w:firstLine="480" w:firstLineChars="200"/>
        <w:rPr>
          <w:rFonts w:hAnsi="宋体"/>
          <w:szCs w:val="24"/>
        </w:rPr>
      </w:pPr>
      <w:r>
        <w:rPr>
          <w:rFonts w:hint="eastAsia" w:hAnsi="宋体"/>
          <w:szCs w:val="24"/>
        </w:rPr>
        <w:t>8.5.</w:t>
      </w:r>
      <w:r>
        <w:rPr>
          <w:rFonts w:hAnsi="宋体"/>
          <w:szCs w:val="24"/>
        </w:rPr>
        <w:t>5</w:t>
      </w:r>
      <w:r>
        <w:rPr>
          <w:rFonts w:hint="eastAsia" w:hAnsi="宋体"/>
          <w:szCs w:val="24"/>
        </w:rPr>
        <w:t>核对无误后，基金托管人在基金管理人提供的报告上加盖业务印鉴或者出具加盖托管业务部门公章的复核意见书或进行电子确认，相关各方各自留存一份。</w:t>
      </w:r>
    </w:p>
    <w:p>
      <w:pPr>
        <w:pStyle w:val="10"/>
        <w:spacing w:before="0" w:after="0" w:line="520" w:lineRule="exact"/>
        <w:ind w:left="0" w:firstLine="480" w:firstLineChars="200"/>
        <w:rPr>
          <w:rFonts w:hAnsi="宋体"/>
          <w:szCs w:val="24"/>
        </w:rPr>
      </w:pPr>
      <w:r>
        <w:rPr>
          <w:rFonts w:hint="eastAsia" w:hAnsi="宋体"/>
          <w:szCs w:val="24"/>
        </w:rPr>
        <w:t>8.5.</w:t>
      </w:r>
      <w:r>
        <w:rPr>
          <w:rFonts w:hAnsi="宋体"/>
          <w:szCs w:val="24"/>
        </w:rPr>
        <w:t>6</w:t>
      </w:r>
      <w:r>
        <w:rPr>
          <w:rFonts w:hint="eastAsia" w:hAnsi="宋体"/>
          <w:szCs w:val="24"/>
        </w:rPr>
        <w:t>基金托管人在对财务会计报告、季度、中期报告或年度报告复核完毕后，需盖章确认或出具相应的复核确认书或进行电子确认，以备有权机构对相关文件审核时提示。</w:t>
      </w:r>
    </w:p>
    <w:p>
      <w:pPr>
        <w:pStyle w:val="10"/>
        <w:spacing w:before="0" w:after="0" w:line="520" w:lineRule="exact"/>
        <w:ind w:left="0" w:firstLine="480" w:firstLineChars="200"/>
        <w:rPr>
          <w:rFonts w:hAnsi="宋体"/>
          <w:szCs w:val="24"/>
        </w:rPr>
      </w:pPr>
      <w:r>
        <w:rPr>
          <w:rFonts w:hint="eastAsia" w:hAnsi="宋体"/>
          <w:szCs w:val="24"/>
        </w:rPr>
        <w:t>8.6暂停估值的情形</w:t>
      </w:r>
    </w:p>
    <w:p>
      <w:pPr>
        <w:pStyle w:val="10"/>
        <w:spacing w:before="0" w:after="0" w:line="520" w:lineRule="exact"/>
        <w:ind w:left="0" w:firstLine="480" w:firstLineChars="200"/>
        <w:rPr>
          <w:rFonts w:hAnsi="宋体"/>
          <w:szCs w:val="24"/>
        </w:rPr>
      </w:pPr>
      <w:bookmarkStart w:id="49" w:name="_Hlk116238307"/>
      <w:r>
        <w:rPr>
          <w:rFonts w:hint="eastAsia" w:hAnsi="宋体"/>
          <w:szCs w:val="24"/>
        </w:rPr>
        <w:t>（1）基金投资所涉及的证券、期货交易市场遇法定节假日或因其他原因暂停营业时；</w:t>
      </w:r>
    </w:p>
    <w:p>
      <w:pPr>
        <w:pStyle w:val="10"/>
        <w:spacing w:before="0" w:after="0" w:line="520" w:lineRule="exact"/>
        <w:ind w:left="0" w:firstLine="480" w:firstLineChars="200"/>
        <w:rPr>
          <w:rFonts w:hAnsi="宋体"/>
          <w:szCs w:val="24"/>
        </w:rPr>
      </w:pPr>
      <w:r>
        <w:rPr>
          <w:rFonts w:hint="eastAsia" w:hAnsi="宋体"/>
          <w:szCs w:val="24"/>
        </w:rPr>
        <w:t>（2）因不可抗力致使基金管理人、基金托管人无法准确评估基金资产价值时；</w:t>
      </w:r>
    </w:p>
    <w:p>
      <w:pPr>
        <w:pStyle w:val="10"/>
        <w:spacing w:before="0" w:after="0" w:line="520" w:lineRule="exact"/>
        <w:ind w:left="0" w:firstLine="480" w:firstLineChars="200"/>
        <w:rPr>
          <w:rFonts w:hAnsi="宋体"/>
          <w:szCs w:val="24"/>
        </w:rPr>
      </w:pPr>
      <w:r>
        <w:rPr>
          <w:rFonts w:hint="eastAsia" w:hAnsi="宋体"/>
          <w:szCs w:val="24"/>
        </w:rPr>
        <w:t>（3）当特定资产占前一估值日基金资产净值50%以上的，经与基金托管人协商确认后，基金管理人应当暂停估值；</w:t>
      </w:r>
    </w:p>
    <w:p>
      <w:pPr>
        <w:pStyle w:val="10"/>
        <w:spacing w:before="0" w:after="0" w:line="520" w:lineRule="exact"/>
        <w:ind w:left="0" w:firstLine="480" w:firstLineChars="200"/>
        <w:rPr>
          <w:rFonts w:hAnsi="宋体"/>
          <w:szCs w:val="24"/>
        </w:rPr>
      </w:pPr>
      <w:r>
        <w:rPr>
          <w:rFonts w:hint="eastAsia" w:hAnsi="宋体"/>
          <w:szCs w:val="24"/>
        </w:rPr>
        <w:t>（4）法律法规规定、中国证监会和基金合同认定的其它情形。</w:t>
      </w:r>
    </w:p>
    <w:p>
      <w:pPr>
        <w:pStyle w:val="10"/>
        <w:spacing w:before="0" w:after="0" w:line="520" w:lineRule="exact"/>
        <w:ind w:left="0" w:firstLine="480" w:firstLineChars="200"/>
        <w:rPr>
          <w:rFonts w:hAnsi="宋体"/>
          <w:szCs w:val="24"/>
        </w:rPr>
      </w:pPr>
    </w:p>
    <w:bookmarkEnd w:id="49"/>
    <w:p>
      <w:pPr>
        <w:pStyle w:val="2"/>
        <w:spacing w:line="520" w:lineRule="exact"/>
        <w:ind w:firstLine="482" w:firstLineChars="200"/>
        <w:rPr>
          <w:bCs/>
          <w:color w:val="auto"/>
          <w:szCs w:val="24"/>
        </w:rPr>
      </w:pPr>
      <w:bookmarkStart w:id="50" w:name="_Toc4870332"/>
      <w:bookmarkStart w:id="51" w:name="_Toc296551345"/>
      <w:bookmarkStart w:id="52" w:name="_Toc30182"/>
      <w:bookmarkStart w:id="53" w:name="_Toc142055713"/>
      <w:r>
        <w:rPr>
          <w:rFonts w:hint="eastAsia"/>
          <w:bCs/>
          <w:color w:val="auto"/>
          <w:szCs w:val="24"/>
        </w:rPr>
        <w:t>第九条 基金收益分配</w:t>
      </w:r>
      <w:bookmarkEnd w:id="50"/>
      <w:bookmarkEnd w:id="51"/>
      <w:bookmarkEnd w:id="52"/>
      <w:bookmarkEnd w:id="53"/>
    </w:p>
    <w:p>
      <w:pPr>
        <w:pStyle w:val="10"/>
        <w:spacing w:before="0" w:after="0" w:line="520" w:lineRule="exact"/>
        <w:ind w:left="0" w:firstLine="480" w:firstLineChars="200"/>
        <w:rPr>
          <w:rFonts w:hAnsi="宋体"/>
          <w:szCs w:val="24"/>
        </w:rPr>
      </w:pPr>
      <w:bookmarkStart w:id="54" w:name="_Hlk116238577"/>
      <w:bookmarkStart w:id="55" w:name="_Hlk116238424"/>
      <w:r>
        <w:rPr>
          <w:rFonts w:hint="eastAsia" w:hAnsi="宋体"/>
          <w:szCs w:val="24"/>
        </w:rPr>
        <w:t>9.1基金利润的构成</w:t>
      </w:r>
    </w:p>
    <w:p>
      <w:pPr>
        <w:pStyle w:val="10"/>
        <w:spacing w:before="0" w:after="0" w:line="520" w:lineRule="exact"/>
        <w:ind w:left="0" w:firstLine="480" w:firstLineChars="200"/>
        <w:rPr>
          <w:rFonts w:hAnsi="宋体"/>
          <w:szCs w:val="24"/>
        </w:rPr>
      </w:pPr>
      <w:r>
        <w:rPr>
          <w:rFonts w:hint="eastAsia" w:hAnsi="宋体"/>
          <w:szCs w:val="24"/>
        </w:rPr>
        <w:t>基金利润指基金利息收入、投资收益、公允价值变动收益和其他收入扣除相关费用后的余额，基金已实现收益指基金利润减去公允价值变动收益后的余额。</w:t>
      </w:r>
    </w:p>
    <w:p>
      <w:pPr>
        <w:pStyle w:val="10"/>
        <w:spacing w:before="0" w:after="0" w:line="520" w:lineRule="exact"/>
        <w:ind w:left="0" w:firstLine="480" w:firstLineChars="200"/>
        <w:rPr>
          <w:rFonts w:hAnsi="宋体"/>
          <w:szCs w:val="24"/>
        </w:rPr>
      </w:pPr>
      <w:r>
        <w:rPr>
          <w:rFonts w:hint="eastAsia" w:hAnsi="宋体"/>
          <w:szCs w:val="24"/>
        </w:rPr>
        <w:t>9.2基金可供分配利润</w:t>
      </w:r>
    </w:p>
    <w:p>
      <w:pPr>
        <w:pStyle w:val="10"/>
        <w:spacing w:before="0" w:after="0" w:line="520" w:lineRule="exact"/>
        <w:ind w:left="0" w:firstLine="480" w:firstLineChars="200"/>
        <w:rPr>
          <w:rFonts w:hAnsi="宋体"/>
          <w:szCs w:val="24"/>
        </w:rPr>
      </w:pPr>
      <w:r>
        <w:rPr>
          <w:rFonts w:hint="eastAsia" w:hAnsi="宋体"/>
          <w:szCs w:val="24"/>
        </w:rPr>
        <w:t>基金可供分配利润指截至收益分配基准日基金未分配利润与未分配利润中已实现收益的孰低数。</w:t>
      </w:r>
    </w:p>
    <w:p>
      <w:pPr>
        <w:pStyle w:val="10"/>
        <w:spacing w:before="0" w:after="0" w:line="520" w:lineRule="exact"/>
        <w:ind w:left="0" w:firstLine="480" w:firstLineChars="200"/>
        <w:rPr>
          <w:rFonts w:hAnsi="宋体"/>
          <w:szCs w:val="24"/>
        </w:rPr>
      </w:pPr>
      <w:r>
        <w:rPr>
          <w:rFonts w:hint="eastAsia" w:hAnsi="宋体"/>
          <w:szCs w:val="24"/>
        </w:rPr>
        <w:t>9.3基金收益分配原则</w:t>
      </w:r>
    </w:p>
    <w:p>
      <w:pPr>
        <w:pStyle w:val="10"/>
        <w:spacing w:line="520" w:lineRule="exact"/>
        <w:ind w:firstLine="480" w:firstLineChars="200"/>
        <w:rPr>
          <w:rFonts w:hAnsi="宋体"/>
          <w:szCs w:val="24"/>
        </w:rPr>
      </w:pPr>
      <w:r>
        <w:rPr>
          <w:rFonts w:hint="eastAsia" w:hAnsi="宋体"/>
          <w:szCs w:val="24"/>
        </w:rPr>
        <w:t>（1）本基金收益分配方式分两种：现金分红与红利再投资，投资者可选择现金红利或将现金红利自动转为相应类别的基金份额进行再投资，且基金份额持有人可对A类基金份额、C类基金份额分别选择不同的分红方式；若投资者不选择，本基金默认的收益分配方式是现金分红；通过红利再投资所得基金份额的运作期起始日与该认/申购份额运作期起始日相同；</w:t>
      </w:r>
    </w:p>
    <w:p>
      <w:pPr>
        <w:pStyle w:val="10"/>
        <w:spacing w:line="520" w:lineRule="exact"/>
        <w:ind w:firstLine="480" w:firstLineChars="200"/>
        <w:rPr>
          <w:rFonts w:hAnsi="宋体"/>
          <w:szCs w:val="24"/>
        </w:rPr>
      </w:pPr>
      <w:r>
        <w:rPr>
          <w:rFonts w:hint="eastAsia" w:hAnsi="宋体"/>
          <w:szCs w:val="24"/>
        </w:rPr>
        <w:t>（2）基金收益分配后各类基金份额净值不能低于面值，即基金收益分配基准日的各类基金份额净值减去每单位该类基金份额收益分配金额后不能低于面值；</w:t>
      </w:r>
    </w:p>
    <w:p>
      <w:pPr>
        <w:pStyle w:val="10"/>
        <w:spacing w:line="520" w:lineRule="exact"/>
        <w:ind w:firstLine="480" w:firstLineChars="200"/>
        <w:rPr>
          <w:rFonts w:hAnsi="宋体"/>
          <w:szCs w:val="24"/>
        </w:rPr>
      </w:pPr>
      <w:r>
        <w:rPr>
          <w:rFonts w:hint="eastAsia" w:hAnsi="宋体"/>
          <w:szCs w:val="24"/>
        </w:rPr>
        <w:t>（3）由于本基金A类基金份额不收取销售服务费，而C类基金份额收取销售服务费，各基金份额类别对应的可分配收益将有所不同。本基金同一类别的每份基金份额享有同等分配权；</w:t>
      </w:r>
    </w:p>
    <w:p>
      <w:pPr>
        <w:pStyle w:val="10"/>
        <w:spacing w:line="520" w:lineRule="exact"/>
        <w:ind w:firstLine="480" w:firstLineChars="200"/>
        <w:rPr>
          <w:rFonts w:hAnsi="宋体"/>
          <w:szCs w:val="24"/>
        </w:rPr>
      </w:pPr>
      <w:r>
        <w:rPr>
          <w:rFonts w:hint="eastAsia" w:hAnsi="宋体"/>
          <w:szCs w:val="24"/>
        </w:rPr>
        <w:t>（4）法律法规或监管机关另有规定的，从其规定。</w:t>
      </w:r>
    </w:p>
    <w:p>
      <w:pPr>
        <w:pStyle w:val="10"/>
        <w:spacing w:line="520" w:lineRule="exact"/>
        <w:ind w:firstLine="480" w:firstLineChars="200"/>
        <w:rPr>
          <w:rFonts w:hAnsi="宋体"/>
          <w:szCs w:val="24"/>
        </w:rPr>
      </w:pPr>
      <w:r>
        <w:rPr>
          <w:rFonts w:hint="eastAsia" w:hAnsi="宋体"/>
          <w:szCs w:val="24"/>
        </w:rPr>
        <w:t>在不违反法律法规及基金合同约定并对基金份额持有人利益无实质不利影响的前提下，基金管理人经与基金托管人协商一致后可对基金收益分配原则和支付方式进行调整，不需召开基金份额持有人大会。</w:t>
      </w:r>
    </w:p>
    <w:p>
      <w:pPr>
        <w:pStyle w:val="10"/>
        <w:spacing w:before="0" w:after="0" w:line="520" w:lineRule="exact"/>
        <w:ind w:left="0" w:firstLine="480" w:firstLineChars="200"/>
        <w:rPr>
          <w:rFonts w:hAnsi="宋体"/>
          <w:szCs w:val="24"/>
        </w:rPr>
      </w:pPr>
      <w:r>
        <w:rPr>
          <w:rFonts w:hint="eastAsia" w:hAnsi="宋体"/>
          <w:szCs w:val="24"/>
        </w:rPr>
        <w:t>9.4收益分配方案</w:t>
      </w:r>
    </w:p>
    <w:p>
      <w:pPr>
        <w:pStyle w:val="10"/>
        <w:spacing w:before="0" w:after="0" w:line="520" w:lineRule="exact"/>
        <w:ind w:left="0" w:firstLine="480" w:firstLineChars="200"/>
        <w:rPr>
          <w:rFonts w:hAnsi="宋体"/>
          <w:szCs w:val="24"/>
        </w:rPr>
      </w:pPr>
      <w:r>
        <w:rPr>
          <w:rFonts w:hint="eastAsia" w:hAnsi="宋体"/>
          <w:szCs w:val="24"/>
        </w:rPr>
        <w:t>基金收益分配方案中应载明截至收益分配基准日的可供分配利润、基金收益分配对象、分配时间、分配数额及比例、分配方式等内容。</w:t>
      </w:r>
    </w:p>
    <w:p>
      <w:pPr>
        <w:pStyle w:val="10"/>
        <w:spacing w:before="0" w:after="0" w:line="520" w:lineRule="exact"/>
        <w:ind w:left="0" w:firstLine="480" w:firstLineChars="200"/>
        <w:rPr>
          <w:rFonts w:hAnsi="宋体"/>
          <w:szCs w:val="24"/>
        </w:rPr>
      </w:pPr>
      <w:r>
        <w:rPr>
          <w:rFonts w:hint="eastAsia" w:hAnsi="宋体"/>
          <w:szCs w:val="24"/>
        </w:rPr>
        <w:t>9.5收益分配的时间和程序</w:t>
      </w:r>
    </w:p>
    <w:p>
      <w:pPr>
        <w:pStyle w:val="10"/>
        <w:spacing w:before="0" w:after="0" w:line="520" w:lineRule="exact"/>
        <w:ind w:left="0" w:firstLine="480" w:firstLineChars="200"/>
        <w:rPr>
          <w:rFonts w:hAnsi="宋体"/>
          <w:szCs w:val="24"/>
        </w:rPr>
      </w:pPr>
      <w:r>
        <w:rPr>
          <w:rFonts w:hint="eastAsia" w:hAnsi="宋体"/>
          <w:szCs w:val="24"/>
        </w:rPr>
        <w:t>9.5.1本基金收益分配方案由基金管理人拟定，并由基金托管人复核，</w:t>
      </w:r>
      <w:r>
        <w:rPr>
          <w:rFonts w:hAnsi="宋体"/>
          <w:szCs w:val="24"/>
        </w:rPr>
        <w:t>基金管理人按法律法规的规定公告</w:t>
      </w:r>
      <w:r>
        <w:rPr>
          <w:rFonts w:hint="eastAsia" w:hAnsi="宋体"/>
          <w:szCs w:val="24"/>
        </w:rPr>
        <w:t>。</w:t>
      </w:r>
    </w:p>
    <w:bookmarkEnd w:id="54"/>
    <w:p>
      <w:pPr>
        <w:pStyle w:val="10"/>
        <w:spacing w:before="0" w:after="0" w:line="520" w:lineRule="exact"/>
        <w:ind w:left="0" w:firstLine="480" w:firstLineChars="200"/>
        <w:rPr>
          <w:rFonts w:hAnsi="宋体"/>
          <w:szCs w:val="24"/>
        </w:rPr>
      </w:pPr>
      <w:r>
        <w:rPr>
          <w:rFonts w:hint="eastAsia" w:hAnsi="宋体"/>
          <w:szCs w:val="24"/>
        </w:rPr>
        <w:t>9.5.2在收益分配方案公布后，基金管理人依据具体方案的规定就支付的现金红利向基金托管人发送划款指令，基金托管人按照基金管理人的指令及时进行分红资金的划付。</w:t>
      </w:r>
    </w:p>
    <w:p>
      <w:pPr>
        <w:pStyle w:val="10"/>
        <w:spacing w:before="0" w:after="0" w:line="520" w:lineRule="exact"/>
        <w:ind w:left="0" w:firstLine="480" w:firstLineChars="200"/>
        <w:rPr>
          <w:rFonts w:hAnsi="宋体"/>
          <w:szCs w:val="24"/>
        </w:rPr>
      </w:pPr>
      <w:r>
        <w:rPr>
          <w:rFonts w:hint="eastAsia" w:hAnsi="宋体"/>
          <w:szCs w:val="24"/>
        </w:rPr>
        <w:t>9.5.3法律法规或监管机关另有规定的，从其规定。</w:t>
      </w:r>
    </w:p>
    <w:p>
      <w:pPr>
        <w:pStyle w:val="10"/>
        <w:spacing w:before="0" w:after="0" w:line="520" w:lineRule="exact"/>
        <w:ind w:left="0" w:firstLine="480" w:firstLineChars="200"/>
        <w:rPr>
          <w:rFonts w:hAnsi="宋体"/>
          <w:szCs w:val="24"/>
        </w:rPr>
      </w:pPr>
      <w:r>
        <w:rPr>
          <w:rFonts w:hint="eastAsia" w:hAnsi="宋体"/>
          <w:szCs w:val="24"/>
        </w:rPr>
        <w:t>9.6基金收益分配中发生的费用</w:t>
      </w:r>
    </w:p>
    <w:p>
      <w:pPr>
        <w:pStyle w:val="10"/>
        <w:spacing w:before="0" w:after="0" w:line="520" w:lineRule="exact"/>
        <w:ind w:left="0" w:firstLine="480" w:firstLineChars="200"/>
        <w:rPr>
          <w:rFonts w:hAnsi="宋体"/>
          <w:szCs w:val="24"/>
        </w:rPr>
      </w:pPr>
      <w:r>
        <w:rPr>
          <w:rFonts w:hint="eastAsia" w:hAnsi="宋体"/>
          <w:szCs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pPr>
        <w:pStyle w:val="10"/>
        <w:spacing w:line="520" w:lineRule="exact"/>
        <w:rPr>
          <w:rFonts w:hAnsi="宋体"/>
          <w:szCs w:val="24"/>
        </w:rPr>
      </w:pPr>
      <w:r>
        <w:rPr>
          <w:rFonts w:hint="eastAsia" w:hAnsi="宋体"/>
          <w:szCs w:val="24"/>
        </w:rPr>
        <w:t>9</w:t>
      </w:r>
      <w:r>
        <w:rPr>
          <w:rFonts w:hAnsi="宋体"/>
          <w:szCs w:val="24"/>
        </w:rPr>
        <w:t>.7</w:t>
      </w:r>
      <w:r>
        <w:rPr>
          <w:rFonts w:hint="eastAsia" w:hAnsi="宋体"/>
          <w:szCs w:val="24"/>
        </w:rPr>
        <w:t>实施侧袋机制期间的收益分配</w:t>
      </w:r>
    </w:p>
    <w:p>
      <w:pPr>
        <w:pStyle w:val="10"/>
        <w:spacing w:before="0" w:after="0" w:line="520" w:lineRule="exact"/>
        <w:ind w:left="0" w:firstLine="480" w:firstLineChars="200"/>
        <w:rPr>
          <w:rFonts w:hAnsi="宋体"/>
          <w:szCs w:val="24"/>
        </w:rPr>
      </w:pPr>
      <w:r>
        <w:rPr>
          <w:rFonts w:hint="eastAsia" w:hAnsi="宋体"/>
          <w:szCs w:val="24"/>
        </w:rPr>
        <w:t>本基金实施侧袋机制的，侧袋账户不进行收益分配，详见招募说明书的规定。</w:t>
      </w:r>
    </w:p>
    <w:bookmarkEnd w:id="55"/>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56" w:name="_Toc296551346"/>
      <w:bookmarkStart w:id="57" w:name="_Toc142055714"/>
      <w:bookmarkStart w:id="58" w:name="_Toc972"/>
      <w:bookmarkStart w:id="59" w:name="_Toc4870333"/>
      <w:r>
        <w:rPr>
          <w:rFonts w:hint="eastAsia"/>
          <w:bCs/>
          <w:color w:val="auto"/>
          <w:szCs w:val="24"/>
        </w:rPr>
        <w:t>第十条 信息披露</w:t>
      </w:r>
      <w:bookmarkEnd w:id="56"/>
      <w:bookmarkEnd w:id="57"/>
      <w:bookmarkEnd w:id="58"/>
      <w:bookmarkEnd w:id="59"/>
    </w:p>
    <w:p>
      <w:pPr>
        <w:pStyle w:val="10"/>
        <w:spacing w:before="0" w:after="0" w:line="520" w:lineRule="exact"/>
        <w:ind w:left="0" w:firstLine="480" w:firstLineChars="200"/>
        <w:rPr>
          <w:rFonts w:hAnsi="宋体"/>
          <w:szCs w:val="24"/>
        </w:rPr>
      </w:pPr>
      <w:r>
        <w:rPr>
          <w:rFonts w:hint="eastAsia" w:hAnsi="宋体"/>
          <w:szCs w:val="24"/>
        </w:rPr>
        <w:t>10.1保密义务</w:t>
      </w:r>
    </w:p>
    <w:p>
      <w:pPr>
        <w:pStyle w:val="10"/>
        <w:spacing w:before="0" w:after="0" w:line="520" w:lineRule="exact"/>
        <w:ind w:left="0" w:firstLine="480" w:firstLineChars="200"/>
        <w:rPr>
          <w:rFonts w:hAnsi="宋体"/>
          <w:szCs w:val="24"/>
        </w:rPr>
      </w:pPr>
      <w:r>
        <w:rPr>
          <w:rFonts w:hint="eastAsia" w:hAnsi="宋体"/>
          <w:szCs w:val="24"/>
        </w:rPr>
        <w:t>10.1.1除按照《基金法》、《信息披露办法》、《流动性</w:t>
      </w:r>
      <w:r>
        <w:rPr>
          <w:rFonts w:hAnsi="宋体"/>
          <w:szCs w:val="24"/>
        </w:rPr>
        <w:t>风险管理规定</w:t>
      </w:r>
      <w:r>
        <w:rPr>
          <w:rFonts w:hint="eastAsia" w:hAnsi="宋体"/>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0"/>
        <w:spacing w:before="0" w:after="0" w:line="520" w:lineRule="exact"/>
        <w:ind w:left="0" w:firstLine="480" w:firstLineChars="200"/>
        <w:rPr>
          <w:rFonts w:hAnsi="宋体"/>
          <w:szCs w:val="24"/>
        </w:rPr>
      </w:pPr>
      <w:r>
        <w:rPr>
          <w:rFonts w:hint="eastAsia" w:hAnsi="宋体"/>
          <w:szCs w:val="24"/>
        </w:rPr>
        <w:t>（1）非因基金管理人和基金托管人的原因导致保密信息被披露、泄露或公开；</w:t>
      </w:r>
    </w:p>
    <w:p>
      <w:pPr>
        <w:pStyle w:val="10"/>
        <w:spacing w:before="0" w:after="0" w:line="520" w:lineRule="exact"/>
        <w:ind w:left="0" w:firstLine="480" w:firstLineChars="200"/>
        <w:rPr>
          <w:rFonts w:hAnsi="宋体"/>
          <w:szCs w:val="24"/>
        </w:rPr>
      </w:pPr>
      <w:r>
        <w:rPr>
          <w:rFonts w:hint="eastAsia" w:hAnsi="宋体"/>
          <w:szCs w:val="24"/>
        </w:rPr>
        <w:t>（2）基金管理人和基金托管人为遵守和服从法院判决或裁定、仲裁裁决或中国证监会等监管机构的命令、决定所做出的信息披露或公开。</w:t>
      </w:r>
    </w:p>
    <w:p>
      <w:pPr>
        <w:pStyle w:val="10"/>
        <w:spacing w:before="0" w:after="0" w:line="520" w:lineRule="exact"/>
        <w:ind w:left="0" w:firstLine="480" w:firstLineChars="200"/>
        <w:rPr>
          <w:rFonts w:hAnsi="宋体"/>
          <w:szCs w:val="24"/>
        </w:rPr>
      </w:pPr>
      <w:r>
        <w:rPr>
          <w:rFonts w:hint="eastAsia" w:hAnsi="宋体"/>
          <w:szCs w:val="24"/>
        </w:rPr>
        <w:t>10.2基金管理人和基金托管人在信息披露中的职责和信息披露程序</w:t>
      </w:r>
    </w:p>
    <w:p>
      <w:pPr>
        <w:pStyle w:val="10"/>
        <w:spacing w:before="0" w:after="0" w:line="520" w:lineRule="exact"/>
        <w:ind w:left="0" w:firstLine="480" w:firstLineChars="200"/>
        <w:rPr>
          <w:rFonts w:hAnsi="宋体"/>
          <w:szCs w:val="24"/>
        </w:rPr>
      </w:pPr>
      <w:r>
        <w:rPr>
          <w:rFonts w:hint="eastAsia" w:hAnsi="宋体"/>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pPr>
        <w:pStyle w:val="10"/>
        <w:spacing w:before="0" w:after="0" w:line="520" w:lineRule="exact"/>
        <w:ind w:left="0" w:firstLine="480" w:firstLineChars="200"/>
        <w:rPr>
          <w:rFonts w:hAnsi="宋体"/>
          <w:szCs w:val="24"/>
        </w:rPr>
      </w:pPr>
      <w:r>
        <w:rPr>
          <w:rFonts w:hint="eastAsia" w:hAnsi="宋体"/>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含资产组合季度报告））、临时报告、澄清公告、清算报告、基金份额持有人大会决议、投资资产支持证券、国债期货、信用衍生品的信息披露、实施侧袋机制期间的信息披露及</w:t>
      </w:r>
      <w:r>
        <w:rPr>
          <w:rFonts w:hint="eastAsia"/>
          <w:bCs/>
        </w:rPr>
        <w:t>中国证监会规定的其他信息</w:t>
      </w:r>
      <w:r>
        <w:rPr>
          <w:rFonts w:hint="eastAsia" w:hAnsi="宋体"/>
          <w:szCs w:val="24"/>
        </w:rPr>
        <w:t>，由基金管理人和基金托管人按照有关法律法规的规定予以公布。</w:t>
      </w:r>
    </w:p>
    <w:p>
      <w:pPr>
        <w:pStyle w:val="10"/>
        <w:spacing w:before="0" w:after="0" w:line="520" w:lineRule="exact"/>
        <w:ind w:left="0" w:firstLine="480" w:firstLineChars="200"/>
        <w:rPr>
          <w:rFonts w:hAnsi="宋体"/>
          <w:szCs w:val="24"/>
        </w:rPr>
      </w:pPr>
      <w:r>
        <w:rPr>
          <w:rFonts w:hint="eastAsia" w:hAnsi="宋体"/>
          <w:szCs w:val="24"/>
        </w:rPr>
        <w:t>10.2.3</w:t>
      </w:r>
      <w:bookmarkStart w:id="60" w:name="_Hlk116238786"/>
      <w:r>
        <w:rPr>
          <w:rFonts w:hint="eastAsia" w:hAnsi="宋体"/>
          <w:szCs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bookmarkEnd w:id="60"/>
    <w:p>
      <w:pPr>
        <w:pStyle w:val="10"/>
        <w:spacing w:before="0" w:after="0" w:line="520" w:lineRule="exact"/>
        <w:ind w:left="0" w:firstLine="480" w:firstLineChars="200"/>
        <w:rPr>
          <w:rFonts w:hAnsi="宋体"/>
          <w:szCs w:val="24"/>
        </w:rPr>
      </w:pPr>
      <w:r>
        <w:rPr>
          <w:rFonts w:hint="eastAsia" w:hAnsi="宋体"/>
          <w:szCs w:val="24"/>
        </w:rPr>
        <w:t>10.2.4基金年度</w:t>
      </w:r>
      <w:r>
        <w:rPr>
          <w:rFonts w:hAnsi="宋体"/>
          <w:szCs w:val="24"/>
        </w:rPr>
        <w:t>报</w:t>
      </w:r>
      <w:r>
        <w:rPr>
          <w:rFonts w:hint="eastAsia" w:hAnsi="宋体"/>
          <w:szCs w:val="24"/>
        </w:rPr>
        <w:t>告中的财务会计报告部分，经符合《中华人民共和国证券法》规定的会计师事务所审计后，方可披露。</w:t>
      </w:r>
    </w:p>
    <w:p>
      <w:pPr>
        <w:pStyle w:val="10"/>
        <w:spacing w:before="0" w:after="0" w:line="520" w:lineRule="exact"/>
        <w:ind w:left="0" w:firstLine="480" w:firstLineChars="200"/>
        <w:rPr>
          <w:rFonts w:hAnsi="宋体"/>
          <w:szCs w:val="24"/>
        </w:rPr>
      </w:pPr>
      <w:r>
        <w:rPr>
          <w:rFonts w:hint="eastAsia" w:hAnsi="宋体"/>
          <w:szCs w:val="24"/>
        </w:rPr>
        <w:t>10.2.5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pPr>
        <w:pStyle w:val="10"/>
        <w:spacing w:before="0" w:after="0" w:line="520" w:lineRule="exact"/>
        <w:ind w:left="0" w:firstLine="480" w:firstLineChars="200"/>
        <w:rPr>
          <w:rFonts w:hAnsi="宋体"/>
          <w:szCs w:val="24"/>
        </w:rPr>
      </w:pPr>
      <w:r>
        <w:rPr>
          <w:rFonts w:hint="eastAsia" w:hAnsi="宋体"/>
          <w:szCs w:val="24"/>
        </w:rPr>
        <w:t>10.2.6</w:t>
      </w:r>
      <w:r>
        <w:rPr>
          <w:rFonts w:hint="eastAsia"/>
          <w:bCs/>
        </w:rPr>
        <w:t>依法必须披露的信息发布后</w:t>
      </w:r>
      <w:r>
        <w:rPr>
          <w:rFonts w:hint="eastAsia" w:hAnsi="宋体"/>
          <w:szCs w:val="24"/>
        </w:rPr>
        <w:t>，基金管理人、基金托管人应当按照相关法律法规规定将信息置备于各自住所，供社会公众查阅、复制。投资者在支付工本费后可在合理时间获得上述文件的复制件或复印件。基金管理人和基金托管人应保证文本的内容与所公告的内容完全一致。</w:t>
      </w:r>
    </w:p>
    <w:p>
      <w:pPr>
        <w:pStyle w:val="10"/>
        <w:spacing w:before="0" w:after="0" w:line="520" w:lineRule="exact"/>
        <w:ind w:left="0" w:firstLine="480" w:firstLineChars="200"/>
        <w:rPr>
          <w:rFonts w:hAnsi="宋体"/>
          <w:szCs w:val="24"/>
        </w:rPr>
      </w:pPr>
      <w:r>
        <w:rPr>
          <w:rFonts w:hint="eastAsia" w:hAnsi="宋体"/>
          <w:szCs w:val="24"/>
        </w:rPr>
        <w:t>10.3暂停或延迟信息披露的情形</w:t>
      </w:r>
    </w:p>
    <w:p>
      <w:pPr>
        <w:pStyle w:val="10"/>
        <w:spacing w:line="520" w:lineRule="exact"/>
        <w:rPr>
          <w:rFonts w:hAnsi="宋体"/>
          <w:szCs w:val="24"/>
        </w:rPr>
      </w:pPr>
      <w:r>
        <w:rPr>
          <w:rFonts w:hint="eastAsia" w:hAnsi="宋体"/>
          <w:szCs w:val="24"/>
        </w:rPr>
        <w:t>（1）因不可抗力或其他情形致使基金管理人、基金托管人无法准确评估基金资产价值时；</w:t>
      </w:r>
    </w:p>
    <w:p>
      <w:pPr>
        <w:pStyle w:val="10"/>
        <w:spacing w:line="520" w:lineRule="exact"/>
        <w:rPr>
          <w:rFonts w:hAnsi="宋体"/>
          <w:szCs w:val="24"/>
        </w:rPr>
      </w:pPr>
      <w:r>
        <w:rPr>
          <w:rFonts w:hint="eastAsia" w:hAnsi="宋体"/>
          <w:szCs w:val="24"/>
        </w:rPr>
        <w:t>（2）基金投资所涉及的证券、期货交易市场遇法定节假日或因其他原因暂停营业时；</w:t>
      </w:r>
    </w:p>
    <w:p>
      <w:pPr>
        <w:pStyle w:val="10"/>
        <w:spacing w:line="520" w:lineRule="exact"/>
        <w:rPr>
          <w:rFonts w:hAnsi="宋体"/>
          <w:szCs w:val="24"/>
        </w:rPr>
      </w:pPr>
      <w:r>
        <w:rPr>
          <w:rFonts w:hint="eastAsia" w:hAnsi="宋体"/>
          <w:szCs w:val="24"/>
        </w:rPr>
        <w:t>（3）当特定资产占前一估值日基金资产净值50%以上的，经与基金托管人协商一致确认后，发生暂停估值的情形；</w:t>
      </w:r>
    </w:p>
    <w:p>
      <w:pPr>
        <w:pStyle w:val="10"/>
        <w:spacing w:line="520" w:lineRule="exact"/>
        <w:rPr>
          <w:rFonts w:hAnsi="宋体"/>
          <w:szCs w:val="24"/>
        </w:rPr>
      </w:pPr>
      <w:r>
        <w:rPr>
          <w:rFonts w:hint="eastAsia" w:hAnsi="宋体"/>
          <w:szCs w:val="24"/>
        </w:rPr>
        <w:t>（4）法律法规规定、中国证监会或基金合同认定的其他情形。</w:t>
      </w:r>
    </w:p>
    <w:p>
      <w:pPr>
        <w:pStyle w:val="10"/>
        <w:spacing w:before="0" w:after="0" w:line="520" w:lineRule="exact"/>
        <w:rPr>
          <w:rFonts w:hAnsi="宋体"/>
          <w:szCs w:val="24"/>
        </w:rPr>
      </w:pPr>
      <w:r>
        <w:rPr>
          <w:rFonts w:hint="eastAsia" w:hAnsi="宋体"/>
          <w:szCs w:val="24"/>
        </w:rPr>
        <w:t>10.4基金托管人报告</w:t>
      </w:r>
    </w:p>
    <w:p>
      <w:pPr>
        <w:pStyle w:val="10"/>
        <w:spacing w:before="0" w:after="0" w:line="520" w:lineRule="exact"/>
        <w:ind w:left="0" w:firstLine="480" w:firstLineChars="200"/>
        <w:rPr>
          <w:rFonts w:hAnsi="宋体"/>
          <w:szCs w:val="24"/>
        </w:rPr>
      </w:pPr>
      <w:r>
        <w:rPr>
          <w:rFonts w:hint="eastAsia" w:hAnsi="宋体"/>
          <w:szCs w:val="24"/>
        </w:rPr>
        <w:t>基金托管人应按《基金法》、《运作办法》、《信息披露办法》和其他有关法律法规的规定于每个上半年度结束后两个</w:t>
      </w:r>
      <w:r>
        <w:rPr>
          <w:rFonts w:hAnsi="宋体"/>
          <w:szCs w:val="24"/>
        </w:rPr>
        <w:t>月</w:t>
      </w:r>
      <w:r>
        <w:rPr>
          <w:rFonts w:hint="eastAsia" w:hAnsi="宋体"/>
          <w:szCs w:val="24"/>
        </w:rPr>
        <w:t>内、每个会计年度结束后三个</w:t>
      </w:r>
      <w:r>
        <w:rPr>
          <w:rFonts w:hAnsi="宋体"/>
          <w:szCs w:val="24"/>
        </w:rPr>
        <w:t>月</w:t>
      </w:r>
      <w:r>
        <w:rPr>
          <w:rFonts w:hint="eastAsia" w:hAnsi="宋体"/>
          <w:szCs w:val="24"/>
        </w:rPr>
        <w:t>内在基金中期报告及年度报告中分别出具基金托管人报告。</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61" w:name="_Toc4870334"/>
      <w:bookmarkStart w:id="62" w:name="_Toc11222"/>
      <w:bookmarkStart w:id="63" w:name="_Toc142055715"/>
      <w:bookmarkStart w:id="64" w:name="_Toc296551347"/>
      <w:r>
        <w:rPr>
          <w:rFonts w:hint="eastAsia"/>
          <w:bCs/>
          <w:color w:val="auto"/>
          <w:szCs w:val="24"/>
        </w:rPr>
        <w:t>第十一条 基金费用</w:t>
      </w:r>
      <w:bookmarkEnd w:id="61"/>
      <w:bookmarkEnd w:id="62"/>
      <w:bookmarkEnd w:id="63"/>
      <w:bookmarkEnd w:id="64"/>
    </w:p>
    <w:p>
      <w:pPr>
        <w:pStyle w:val="10"/>
        <w:spacing w:before="0" w:after="0" w:line="520" w:lineRule="exact"/>
        <w:ind w:left="0" w:firstLine="480" w:firstLineChars="200"/>
        <w:rPr>
          <w:rFonts w:hAnsi="宋体"/>
          <w:szCs w:val="24"/>
        </w:rPr>
      </w:pPr>
      <w:bookmarkStart w:id="65" w:name="_Hlk116238979"/>
      <w:r>
        <w:rPr>
          <w:rFonts w:hint="eastAsia" w:hAnsi="宋体"/>
          <w:szCs w:val="24"/>
        </w:rPr>
        <w:t>11.1基金管理费的计提比例和计提方法</w:t>
      </w:r>
    </w:p>
    <w:p>
      <w:pPr>
        <w:pStyle w:val="10"/>
        <w:spacing w:line="520" w:lineRule="exact"/>
        <w:ind w:firstLine="480" w:firstLineChars="200"/>
        <w:rPr>
          <w:rFonts w:hAnsi="宋体"/>
          <w:szCs w:val="24"/>
        </w:rPr>
      </w:pPr>
      <w:r>
        <w:rPr>
          <w:rFonts w:hint="eastAsia" w:hAnsi="宋体"/>
          <w:szCs w:val="24"/>
        </w:rPr>
        <w:t>本基金的管理费按前一日基金资产净值的0.20%年费率计提。管理费的计算方法如下：</w:t>
      </w:r>
    </w:p>
    <w:p>
      <w:pPr>
        <w:pStyle w:val="10"/>
        <w:spacing w:line="520" w:lineRule="exact"/>
        <w:ind w:firstLine="480" w:firstLineChars="200"/>
        <w:rPr>
          <w:rFonts w:hAnsi="宋体"/>
          <w:szCs w:val="24"/>
        </w:rPr>
      </w:pPr>
      <w:r>
        <w:rPr>
          <w:rFonts w:hint="eastAsia" w:hAnsi="宋体"/>
          <w:szCs w:val="24"/>
        </w:rPr>
        <w:t>H＝E×0.20%÷当年天数</w:t>
      </w:r>
    </w:p>
    <w:p>
      <w:pPr>
        <w:pStyle w:val="10"/>
        <w:spacing w:line="520" w:lineRule="exact"/>
        <w:ind w:firstLine="480" w:firstLineChars="200"/>
        <w:rPr>
          <w:rFonts w:hAnsi="宋体"/>
          <w:szCs w:val="24"/>
        </w:rPr>
      </w:pPr>
      <w:r>
        <w:rPr>
          <w:rFonts w:hint="eastAsia" w:hAnsi="宋体"/>
          <w:szCs w:val="24"/>
        </w:rPr>
        <w:t>H为每日应计提的基金管理费</w:t>
      </w:r>
    </w:p>
    <w:p>
      <w:pPr>
        <w:pStyle w:val="10"/>
        <w:spacing w:line="520" w:lineRule="exact"/>
        <w:ind w:firstLine="480" w:firstLineChars="200"/>
        <w:rPr>
          <w:rFonts w:hAnsi="宋体"/>
          <w:szCs w:val="24"/>
        </w:rPr>
      </w:pPr>
      <w:r>
        <w:rPr>
          <w:rFonts w:hint="eastAsia" w:hAnsi="宋体"/>
          <w:szCs w:val="24"/>
        </w:rPr>
        <w:t>E为前一日的基金资产净值</w:t>
      </w:r>
    </w:p>
    <w:p>
      <w:pPr>
        <w:pStyle w:val="10"/>
        <w:spacing w:line="520" w:lineRule="exact"/>
        <w:ind w:firstLine="480" w:firstLineChars="200"/>
        <w:rPr>
          <w:rFonts w:hAnsi="宋体"/>
          <w:szCs w:val="24"/>
        </w:rPr>
      </w:pPr>
      <w:r>
        <w:rPr>
          <w:rFonts w:hint="eastAsia" w:hAnsi="宋体"/>
          <w:szCs w:val="24"/>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pStyle w:val="10"/>
        <w:spacing w:line="520" w:lineRule="exact"/>
        <w:ind w:firstLine="480" w:firstLineChars="200"/>
        <w:rPr>
          <w:rFonts w:hAnsi="宋体"/>
          <w:szCs w:val="24"/>
        </w:rPr>
      </w:pPr>
      <w:r>
        <w:rPr>
          <w:rFonts w:hint="eastAsia" w:hAnsi="宋体"/>
          <w:szCs w:val="24"/>
        </w:rPr>
        <w:t>11.2基金托管人的托管费</w:t>
      </w:r>
    </w:p>
    <w:p>
      <w:pPr>
        <w:pStyle w:val="10"/>
        <w:spacing w:line="520" w:lineRule="exact"/>
        <w:ind w:firstLine="480" w:firstLineChars="200"/>
        <w:rPr>
          <w:rFonts w:hAnsi="宋体"/>
          <w:szCs w:val="24"/>
        </w:rPr>
      </w:pPr>
      <w:r>
        <w:rPr>
          <w:rFonts w:hint="eastAsia" w:hAnsi="宋体"/>
          <w:szCs w:val="24"/>
        </w:rPr>
        <w:t>本基金的托管费按前一日基金资产净值的0.05%的年费率计提。托管费的计算方法如下：</w:t>
      </w:r>
    </w:p>
    <w:p>
      <w:pPr>
        <w:pStyle w:val="10"/>
        <w:spacing w:line="520" w:lineRule="exact"/>
        <w:ind w:firstLine="480" w:firstLineChars="200"/>
        <w:rPr>
          <w:rFonts w:hAnsi="宋体"/>
          <w:szCs w:val="24"/>
        </w:rPr>
      </w:pPr>
      <w:r>
        <w:rPr>
          <w:rFonts w:hint="eastAsia" w:hAnsi="宋体"/>
          <w:szCs w:val="24"/>
        </w:rPr>
        <w:t>H＝E× 0.05%÷当年天数</w:t>
      </w:r>
    </w:p>
    <w:p>
      <w:pPr>
        <w:pStyle w:val="10"/>
        <w:spacing w:line="520" w:lineRule="exact"/>
        <w:ind w:firstLine="480" w:firstLineChars="200"/>
        <w:rPr>
          <w:rFonts w:hAnsi="宋体"/>
          <w:szCs w:val="24"/>
        </w:rPr>
      </w:pPr>
      <w:r>
        <w:rPr>
          <w:rFonts w:hint="eastAsia" w:hAnsi="宋体"/>
          <w:szCs w:val="24"/>
        </w:rPr>
        <w:t>H为每日应计提的基金托管费</w:t>
      </w:r>
    </w:p>
    <w:p>
      <w:pPr>
        <w:pStyle w:val="10"/>
        <w:spacing w:line="520" w:lineRule="exact"/>
        <w:ind w:firstLine="480" w:firstLineChars="200"/>
        <w:rPr>
          <w:rFonts w:hAnsi="宋体"/>
          <w:szCs w:val="24"/>
        </w:rPr>
      </w:pPr>
      <w:r>
        <w:rPr>
          <w:rFonts w:hint="eastAsia" w:hAnsi="宋体"/>
          <w:szCs w:val="24"/>
        </w:rPr>
        <w:t>E为前一日的基金资产净值</w:t>
      </w:r>
    </w:p>
    <w:p>
      <w:pPr>
        <w:pStyle w:val="10"/>
        <w:spacing w:line="520" w:lineRule="exact"/>
        <w:ind w:firstLine="480" w:firstLineChars="200"/>
        <w:rPr>
          <w:rFonts w:hAnsi="宋体"/>
          <w:szCs w:val="24"/>
        </w:rPr>
      </w:pPr>
      <w:r>
        <w:rPr>
          <w:rFonts w:hint="eastAsia" w:hAnsi="宋体"/>
          <w:szCs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pPr>
        <w:pStyle w:val="10"/>
        <w:spacing w:line="520" w:lineRule="exact"/>
        <w:ind w:firstLine="480" w:firstLineChars="200"/>
        <w:rPr>
          <w:rFonts w:hAnsi="宋体"/>
          <w:szCs w:val="24"/>
        </w:rPr>
      </w:pPr>
      <w:r>
        <w:rPr>
          <w:rFonts w:hint="eastAsia" w:hAnsi="宋体"/>
          <w:szCs w:val="24"/>
        </w:rPr>
        <w:t>11.3</w:t>
      </w:r>
      <w:r>
        <w:rPr>
          <w:rFonts w:hAnsi="宋体"/>
          <w:szCs w:val="24"/>
        </w:rPr>
        <w:t xml:space="preserve"> </w:t>
      </w:r>
      <w:r>
        <w:rPr>
          <w:rFonts w:hint="eastAsia" w:hAnsi="宋体"/>
          <w:szCs w:val="24"/>
        </w:rPr>
        <w:t>C类基金份额的销售服务费</w:t>
      </w:r>
    </w:p>
    <w:p>
      <w:pPr>
        <w:pStyle w:val="10"/>
        <w:spacing w:line="520" w:lineRule="exact"/>
        <w:ind w:firstLine="480" w:firstLineChars="200"/>
        <w:rPr>
          <w:rFonts w:hAnsi="宋体"/>
          <w:szCs w:val="24"/>
        </w:rPr>
      </w:pPr>
      <w:r>
        <w:rPr>
          <w:rFonts w:hint="eastAsia" w:hAnsi="宋体"/>
          <w:szCs w:val="24"/>
        </w:rPr>
        <w:t>本基金A类基金份额不收取销售服务费，C类基金份额的销售服务费按前一日C类基金份额资产净值的0.20%年费率计提。计算方法如下：</w:t>
      </w:r>
    </w:p>
    <w:p>
      <w:pPr>
        <w:pStyle w:val="10"/>
        <w:spacing w:line="520" w:lineRule="exact"/>
        <w:ind w:firstLine="480" w:firstLineChars="200"/>
        <w:rPr>
          <w:rFonts w:hAnsi="宋体"/>
          <w:szCs w:val="24"/>
        </w:rPr>
      </w:pPr>
      <w:r>
        <w:rPr>
          <w:rFonts w:hint="eastAsia" w:hAnsi="宋体"/>
          <w:szCs w:val="24"/>
        </w:rPr>
        <w:t>H＝E×0.20%÷当年天数</w:t>
      </w:r>
    </w:p>
    <w:p>
      <w:pPr>
        <w:pStyle w:val="10"/>
        <w:spacing w:line="520" w:lineRule="exact"/>
        <w:ind w:firstLine="480" w:firstLineChars="200"/>
        <w:rPr>
          <w:rFonts w:hAnsi="宋体"/>
          <w:szCs w:val="24"/>
        </w:rPr>
      </w:pPr>
      <w:r>
        <w:rPr>
          <w:rFonts w:hint="eastAsia" w:hAnsi="宋体"/>
          <w:szCs w:val="24"/>
        </w:rPr>
        <w:t>H为C类基金份额每日应计提的销售服务费</w:t>
      </w:r>
    </w:p>
    <w:p>
      <w:pPr>
        <w:pStyle w:val="10"/>
        <w:spacing w:line="520" w:lineRule="exact"/>
        <w:ind w:firstLine="480" w:firstLineChars="200"/>
        <w:rPr>
          <w:rFonts w:hAnsi="宋体"/>
          <w:szCs w:val="24"/>
        </w:rPr>
      </w:pPr>
      <w:r>
        <w:rPr>
          <w:rFonts w:hint="eastAsia" w:hAnsi="宋体"/>
          <w:szCs w:val="24"/>
        </w:rPr>
        <w:t>E为C类基金份额前一日的基金资产净值</w:t>
      </w:r>
    </w:p>
    <w:p>
      <w:pPr>
        <w:pStyle w:val="10"/>
        <w:spacing w:line="520" w:lineRule="exact"/>
        <w:ind w:firstLine="480" w:firstLineChars="200"/>
        <w:rPr>
          <w:rFonts w:hAnsi="宋体"/>
          <w:szCs w:val="24"/>
        </w:rPr>
      </w:pPr>
      <w:r>
        <w:rPr>
          <w:rFonts w:hint="eastAsia" w:hAnsi="宋体"/>
          <w:szCs w:val="24"/>
        </w:rPr>
        <w:t>基金销售服务费每日计算，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bookmarkEnd w:id="65"/>
    <w:p>
      <w:pPr>
        <w:pStyle w:val="10"/>
        <w:spacing w:line="520" w:lineRule="exact"/>
        <w:ind w:firstLine="480" w:firstLineChars="200"/>
        <w:rPr>
          <w:rFonts w:hAnsi="宋体"/>
          <w:szCs w:val="24"/>
        </w:rPr>
      </w:pPr>
      <w:r>
        <w:rPr>
          <w:rFonts w:hAnsi="宋体"/>
          <w:szCs w:val="24"/>
        </w:rPr>
        <w:t>11.4</w:t>
      </w:r>
      <w:r>
        <w:rPr>
          <w:rFonts w:hint="eastAsia" w:hAnsi="宋体"/>
          <w:szCs w:val="24"/>
        </w:rPr>
        <w:t>为基金财产及基金运作所开立账户的开户费和账户维护费、证券、期货交易费用、基金合同生效后与</w:t>
      </w:r>
      <w:r>
        <w:rPr>
          <w:rFonts w:hAnsi="宋体"/>
          <w:szCs w:val="24"/>
        </w:rPr>
        <w:t>基金相关</w:t>
      </w:r>
      <w:r>
        <w:rPr>
          <w:rFonts w:hint="eastAsia" w:hAnsi="宋体"/>
          <w:szCs w:val="24"/>
        </w:rPr>
        <w:t>的信息披露费用（法律法规、中国证监会另有规定的除外）、基金份额持有人大会费用、基金合同生效后与基金相关的会计师费、律师费、公证费、仲裁费和诉讼费、基金的银行</w:t>
      </w:r>
      <w:r>
        <w:rPr>
          <w:rFonts w:hAnsi="宋体"/>
          <w:szCs w:val="24"/>
        </w:rPr>
        <w:t>汇划</w:t>
      </w:r>
      <w:r>
        <w:rPr>
          <w:rFonts w:hint="eastAsia" w:hAnsi="宋体"/>
          <w:szCs w:val="24"/>
        </w:rPr>
        <w:t>费用、按照国家有关规定和《基金合同》约定可以在基金财产中列支的其他费用等，根据有关法律法规、基金合同及相应协议的规定，由基金托管人按基金管理人的划款指令并根据费用实际支出金额支付，列入或摊入当期基金费用。</w:t>
      </w:r>
    </w:p>
    <w:p>
      <w:pPr>
        <w:pStyle w:val="10"/>
        <w:spacing w:line="520" w:lineRule="exact"/>
        <w:ind w:firstLine="480" w:firstLineChars="200"/>
        <w:rPr>
          <w:rFonts w:hAnsi="宋体"/>
          <w:szCs w:val="24"/>
        </w:rPr>
      </w:pPr>
      <w:r>
        <w:rPr>
          <w:rFonts w:hint="eastAsia" w:hAnsi="宋体"/>
          <w:szCs w:val="24"/>
        </w:rPr>
        <w:t>11.</w:t>
      </w:r>
      <w:r>
        <w:rPr>
          <w:rFonts w:hAnsi="宋体"/>
          <w:szCs w:val="24"/>
        </w:rPr>
        <w:t>5</w:t>
      </w:r>
      <w:r>
        <w:rPr>
          <w:rFonts w:hint="eastAsia" w:hAnsi="宋体"/>
          <w:szCs w:val="24"/>
        </w:rPr>
        <w:t>不列入基金费用的项目：</w:t>
      </w:r>
    </w:p>
    <w:p>
      <w:pPr>
        <w:pStyle w:val="10"/>
        <w:spacing w:line="520" w:lineRule="exact"/>
        <w:ind w:firstLine="480" w:firstLineChars="200"/>
        <w:rPr>
          <w:rFonts w:hAnsi="宋体"/>
          <w:szCs w:val="24"/>
        </w:rPr>
      </w:pPr>
      <w:r>
        <w:rPr>
          <w:rFonts w:hint="eastAsia" w:hAnsi="宋体"/>
          <w:szCs w:val="24"/>
        </w:rPr>
        <w:t>基金管理人与基金托管人因未履行或未完全履行义务导致的费用支出或基金财产的损失，以及基金管理人和基金托管人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pPr>
        <w:pStyle w:val="10"/>
        <w:spacing w:line="520" w:lineRule="exact"/>
        <w:ind w:firstLine="480" w:firstLineChars="200"/>
        <w:rPr>
          <w:rFonts w:hAnsi="宋体"/>
          <w:szCs w:val="24"/>
        </w:rPr>
      </w:pPr>
      <w:r>
        <w:rPr>
          <w:rFonts w:hint="eastAsia" w:hAnsi="宋体"/>
          <w:szCs w:val="24"/>
        </w:rPr>
        <w:t>11.</w:t>
      </w:r>
      <w:r>
        <w:rPr>
          <w:rFonts w:hAnsi="宋体"/>
          <w:szCs w:val="24"/>
        </w:rPr>
        <w:t>6</w:t>
      </w:r>
      <w:r>
        <w:rPr>
          <w:rFonts w:hint="eastAsia" w:hAnsi="宋体"/>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66" w:name="_Toc142055716"/>
      <w:bookmarkStart w:id="67" w:name="_Toc17910"/>
      <w:bookmarkStart w:id="68" w:name="_Toc4870335"/>
      <w:bookmarkStart w:id="69" w:name="_Toc296551348"/>
      <w:r>
        <w:rPr>
          <w:rFonts w:hint="eastAsia"/>
          <w:bCs/>
          <w:color w:val="auto"/>
          <w:szCs w:val="24"/>
        </w:rPr>
        <w:t>第十二条 基金份额持有人名册的保管</w:t>
      </w:r>
      <w:bookmarkEnd w:id="66"/>
      <w:bookmarkEnd w:id="67"/>
      <w:bookmarkEnd w:id="68"/>
      <w:bookmarkEnd w:id="69"/>
    </w:p>
    <w:p>
      <w:pPr>
        <w:pStyle w:val="10"/>
        <w:spacing w:before="0" w:after="0" w:line="520" w:lineRule="exact"/>
        <w:ind w:left="0" w:firstLine="480" w:firstLineChars="200"/>
        <w:rPr>
          <w:rFonts w:hAnsi="宋体"/>
          <w:szCs w:val="24"/>
        </w:rPr>
      </w:pPr>
      <w:r>
        <w:rPr>
          <w:rFonts w:hint="eastAsia" w:hAnsi="宋体"/>
          <w:szCs w:val="24"/>
        </w:rPr>
        <w:t>12.1基金管理人和基金托管人须分别妥善保管的基金份额持有人名册，基金份额持有人名册的内容必须包括基金份额持有人的名称和持有的基金份额。</w:t>
      </w:r>
    </w:p>
    <w:p>
      <w:pPr>
        <w:pStyle w:val="10"/>
        <w:spacing w:before="0" w:after="0" w:line="520" w:lineRule="exact"/>
        <w:ind w:left="0" w:firstLine="480" w:firstLineChars="200"/>
        <w:rPr>
          <w:rFonts w:hAnsi="宋体"/>
          <w:szCs w:val="24"/>
        </w:rPr>
      </w:pPr>
      <w:r>
        <w:rPr>
          <w:rFonts w:hint="eastAsia" w:hAnsi="宋体"/>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不低于法律法规规定的最低期限。</w:t>
      </w:r>
    </w:p>
    <w:p>
      <w:pPr>
        <w:pStyle w:val="10"/>
        <w:spacing w:before="0" w:after="0" w:line="520" w:lineRule="exact"/>
        <w:ind w:left="0" w:firstLine="480" w:firstLineChars="200"/>
        <w:rPr>
          <w:rFonts w:hAnsi="宋体"/>
          <w:szCs w:val="24"/>
        </w:rPr>
      </w:pPr>
      <w:r>
        <w:rPr>
          <w:rFonts w:hint="eastAsia" w:hAnsi="宋体"/>
          <w:szCs w:val="24"/>
        </w:rPr>
        <w:t>12.3基金管理人应当及时向基金托管人定期或不定期提交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r>
        <w:rPr>
          <w:rFonts w:hAnsi="宋体"/>
          <w:szCs w:val="24"/>
        </w:rPr>
        <w:t>法律法规或监管规则另有</w:t>
      </w:r>
      <w:r>
        <w:rPr>
          <w:rFonts w:hint="eastAsia" w:hAnsi="宋体"/>
          <w:szCs w:val="24"/>
        </w:rPr>
        <w:t>规定</w:t>
      </w:r>
      <w:r>
        <w:rPr>
          <w:rFonts w:hAnsi="宋体"/>
          <w:szCs w:val="24"/>
        </w:rPr>
        <w:t>的，从其规定</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12.4若基金管理人或基金托管人由于自身原因无法妥善保管基金份额持有人名册，应按有关法规规定各自承担相应的责任。</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70" w:name="_Toc27275"/>
      <w:bookmarkStart w:id="71" w:name="_Toc4870336"/>
      <w:bookmarkStart w:id="72" w:name="_Toc296551349"/>
      <w:bookmarkStart w:id="73" w:name="_Toc142055717"/>
      <w:r>
        <w:rPr>
          <w:rFonts w:hint="eastAsia"/>
          <w:bCs/>
          <w:color w:val="auto"/>
          <w:szCs w:val="24"/>
        </w:rPr>
        <w:t>第十三条 基金有关文件和档案的保存</w:t>
      </w:r>
      <w:bookmarkEnd w:id="70"/>
      <w:bookmarkEnd w:id="71"/>
      <w:bookmarkEnd w:id="72"/>
      <w:bookmarkEnd w:id="73"/>
    </w:p>
    <w:p>
      <w:pPr>
        <w:pStyle w:val="10"/>
        <w:spacing w:before="0" w:after="0" w:line="520" w:lineRule="exact"/>
        <w:ind w:left="0" w:firstLine="480" w:firstLineChars="200"/>
        <w:rPr>
          <w:rFonts w:hAnsi="宋体"/>
          <w:szCs w:val="24"/>
        </w:rPr>
      </w:pPr>
      <w:r>
        <w:rPr>
          <w:rFonts w:hint="eastAsia" w:hAnsi="宋体"/>
          <w:szCs w:val="24"/>
        </w:rPr>
        <w:t>13.1基金管理人、基金托管人按各自职责完整保存原始凭证、记账凭证、基金账册、交易记录和重要合同等，基金托管人保存期限不低于法律法规规定的最低期限。基金管理人、基金托管人对相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pPr>
        <w:pStyle w:val="10"/>
        <w:spacing w:before="0" w:after="0" w:line="520" w:lineRule="exact"/>
        <w:ind w:left="0" w:firstLine="480" w:firstLineChars="200"/>
        <w:rPr>
          <w:rFonts w:hAnsi="宋体"/>
          <w:szCs w:val="24"/>
        </w:rPr>
      </w:pPr>
      <w:r>
        <w:rPr>
          <w:rFonts w:hint="eastAsia" w:hAnsi="宋体"/>
          <w:szCs w:val="24"/>
        </w:rPr>
        <w:t>13.2基金管理人签署重大合同文本后，应及时将合同文本正本送达基金托管人处。基金管理人应及时将与本基金账务处理、资金划拨等有关的合同、协议传真给基金托管人。</w:t>
      </w:r>
    </w:p>
    <w:p>
      <w:pPr>
        <w:pStyle w:val="10"/>
        <w:spacing w:before="0" w:after="0" w:line="520" w:lineRule="exact"/>
        <w:ind w:left="0" w:firstLine="480" w:firstLineChars="200"/>
        <w:rPr>
          <w:rFonts w:hAnsi="宋体"/>
          <w:szCs w:val="24"/>
        </w:rPr>
      </w:pPr>
      <w:r>
        <w:rPr>
          <w:rFonts w:hint="eastAsia" w:hAnsi="宋体"/>
          <w:szCs w:val="24"/>
        </w:rPr>
        <w:t>13.3基金管理人或基金托管人变更后，未变更的一方有义务协助接任人接收基金的有关文件。</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74" w:name="_Toc26337"/>
      <w:bookmarkStart w:id="75" w:name="_Toc296551350"/>
      <w:bookmarkStart w:id="76" w:name="_Toc142055718"/>
      <w:bookmarkStart w:id="77" w:name="_Toc4870337"/>
      <w:r>
        <w:rPr>
          <w:rFonts w:hint="eastAsia"/>
          <w:bCs/>
          <w:color w:val="auto"/>
          <w:szCs w:val="24"/>
        </w:rPr>
        <w:t>第十四条 基金管理人和基金托管人的更换</w:t>
      </w:r>
      <w:bookmarkEnd w:id="74"/>
      <w:bookmarkEnd w:id="75"/>
      <w:bookmarkEnd w:id="76"/>
      <w:bookmarkEnd w:id="77"/>
    </w:p>
    <w:p>
      <w:pPr>
        <w:pStyle w:val="10"/>
        <w:spacing w:before="0" w:after="0" w:line="520" w:lineRule="exact"/>
        <w:ind w:left="0" w:firstLine="480" w:firstLineChars="200"/>
        <w:rPr>
          <w:rFonts w:hAnsi="宋体"/>
          <w:szCs w:val="24"/>
        </w:rPr>
      </w:pPr>
      <w:bookmarkStart w:id="78" w:name="_Hlk116239256"/>
      <w:r>
        <w:rPr>
          <w:rFonts w:hint="eastAsia" w:hAnsi="宋体"/>
          <w:szCs w:val="24"/>
        </w:rPr>
        <w:t>14.1基金管理人的更换</w:t>
      </w:r>
    </w:p>
    <w:p>
      <w:pPr>
        <w:pStyle w:val="10"/>
        <w:spacing w:before="0" w:after="0" w:line="520" w:lineRule="exact"/>
        <w:ind w:left="0" w:firstLine="480" w:firstLineChars="200"/>
        <w:rPr>
          <w:rFonts w:hAnsi="宋体"/>
          <w:szCs w:val="24"/>
        </w:rPr>
      </w:pPr>
      <w:r>
        <w:rPr>
          <w:rFonts w:hint="eastAsia" w:hAnsi="宋体"/>
          <w:szCs w:val="24"/>
        </w:rPr>
        <w:t>14.1.1基金管理人的更换条件</w:t>
      </w:r>
    </w:p>
    <w:p>
      <w:pPr>
        <w:pStyle w:val="10"/>
        <w:spacing w:before="0" w:after="0" w:line="520" w:lineRule="exact"/>
        <w:ind w:left="0" w:firstLine="480" w:firstLineChars="200"/>
        <w:rPr>
          <w:rFonts w:hAnsi="宋体"/>
          <w:szCs w:val="24"/>
        </w:rPr>
      </w:pPr>
      <w:r>
        <w:rPr>
          <w:rFonts w:hint="eastAsia" w:hAnsi="宋体"/>
          <w:szCs w:val="24"/>
        </w:rPr>
        <w:t>有下列情形之一的，基金管理人职责终止：</w:t>
      </w:r>
    </w:p>
    <w:p>
      <w:pPr>
        <w:pStyle w:val="10"/>
        <w:spacing w:before="0" w:after="0" w:line="520" w:lineRule="exact"/>
        <w:ind w:left="0" w:firstLine="480" w:firstLineChars="200"/>
        <w:rPr>
          <w:rFonts w:hAnsi="宋体"/>
          <w:szCs w:val="24"/>
        </w:rPr>
      </w:pPr>
      <w:r>
        <w:rPr>
          <w:rFonts w:hint="eastAsia" w:hAnsi="宋体"/>
          <w:szCs w:val="24"/>
        </w:rPr>
        <w:t>（1）基金管理人被依法取消基金管理资格；</w:t>
      </w:r>
    </w:p>
    <w:p>
      <w:pPr>
        <w:pStyle w:val="10"/>
        <w:spacing w:before="0" w:after="0" w:line="520" w:lineRule="exact"/>
        <w:ind w:left="0" w:firstLine="480" w:firstLineChars="200"/>
        <w:rPr>
          <w:rFonts w:hAnsi="宋体"/>
          <w:szCs w:val="24"/>
        </w:rPr>
      </w:pPr>
      <w:r>
        <w:rPr>
          <w:rFonts w:hint="eastAsia" w:hAnsi="宋体"/>
          <w:szCs w:val="24"/>
        </w:rPr>
        <w:t>（2）基金管理人依法解散、被依法撤销或被依法宣告破产；</w:t>
      </w:r>
    </w:p>
    <w:p>
      <w:pPr>
        <w:pStyle w:val="10"/>
        <w:spacing w:before="0" w:after="0" w:line="520" w:lineRule="exact"/>
        <w:ind w:left="0" w:firstLine="480" w:firstLineChars="200"/>
        <w:rPr>
          <w:rFonts w:hAnsi="宋体"/>
          <w:szCs w:val="24"/>
        </w:rPr>
      </w:pPr>
      <w:r>
        <w:rPr>
          <w:rFonts w:hint="eastAsia" w:hAnsi="宋体"/>
          <w:szCs w:val="24"/>
        </w:rPr>
        <w:t>（3）基金管理人被基金份额持有人大会解任；</w:t>
      </w:r>
    </w:p>
    <w:p>
      <w:pPr>
        <w:pStyle w:val="10"/>
        <w:spacing w:before="0" w:after="0" w:line="520" w:lineRule="exact"/>
        <w:ind w:left="0" w:firstLine="480" w:firstLineChars="200"/>
        <w:rPr>
          <w:rFonts w:hAnsi="宋体"/>
          <w:szCs w:val="24"/>
        </w:rPr>
      </w:pPr>
      <w:r>
        <w:rPr>
          <w:rFonts w:hint="eastAsia" w:hAnsi="宋体"/>
          <w:szCs w:val="24"/>
        </w:rPr>
        <w:t>（4）法律法规</w:t>
      </w:r>
      <w:r>
        <w:rPr>
          <w:rFonts w:hint="eastAsia"/>
          <w:bCs/>
        </w:rPr>
        <w:t>及中国证监会规定的</w:t>
      </w:r>
      <w:r>
        <w:rPr>
          <w:rFonts w:hint="eastAsia" w:hAnsi="宋体"/>
          <w:szCs w:val="24"/>
        </w:rPr>
        <w:t>和基金合同约定的其他情形。</w:t>
      </w:r>
    </w:p>
    <w:p>
      <w:pPr>
        <w:pStyle w:val="10"/>
        <w:spacing w:before="0" w:after="0" w:line="520" w:lineRule="exact"/>
        <w:ind w:left="0" w:firstLine="480" w:firstLineChars="200"/>
        <w:rPr>
          <w:rFonts w:hAnsi="宋体"/>
          <w:szCs w:val="24"/>
        </w:rPr>
      </w:pPr>
      <w:r>
        <w:rPr>
          <w:rFonts w:hint="eastAsia" w:hAnsi="宋体"/>
          <w:szCs w:val="24"/>
        </w:rPr>
        <w:t>14.1.2基金管理人的更换程序</w:t>
      </w:r>
    </w:p>
    <w:p>
      <w:pPr>
        <w:pStyle w:val="10"/>
        <w:spacing w:before="0" w:after="0" w:line="520" w:lineRule="exact"/>
        <w:ind w:left="0" w:firstLine="480" w:firstLineChars="200"/>
        <w:rPr>
          <w:rFonts w:hAnsi="宋体"/>
          <w:szCs w:val="24"/>
        </w:rPr>
      </w:pPr>
      <w:r>
        <w:rPr>
          <w:rFonts w:hint="eastAsia" w:hAnsi="宋体"/>
          <w:szCs w:val="24"/>
        </w:rPr>
        <w:t>更换基金管理人必须依照如下程序进行：</w:t>
      </w:r>
    </w:p>
    <w:p>
      <w:pPr>
        <w:pStyle w:val="10"/>
        <w:spacing w:before="0" w:after="0" w:line="520" w:lineRule="exact"/>
        <w:ind w:left="0" w:firstLine="480" w:firstLineChars="200"/>
        <w:rPr>
          <w:rFonts w:hAnsi="宋体"/>
          <w:szCs w:val="24"/>
        </w:rPr>
      </w:pPr>
      <w:r>
        <w:rPr>
          <w:rFonts w:hint="eastAsia" w:hAnsi="宋体"/>
          <w:szCs w:val="24"/>
        </w:rPr>
        <w:t>（1）提名：新任基金管理人由基金托管人或由单独或合计持有10%以上（含10%）基金份额的基金份额持有人提名；</w:t>
      </w:r>
    </w:p>
    <w:p>
      <w:pPr>
        <w:pStyle w:val="10"/>
        <w:spacing w:before="0" w:after="0" w:line="520" w:lineRule="exact"/>
        <w:ind w:left="0" w:firstLine="480" w:firstLineChars="200"/>
        <w:rPr>
          <w:rFonts w:hAnsi="宋体"/>
          <w:szCs w:val="24"/>
        </w:rPr>
      </w:pPr>
      <w:r>
        <w:rPr>
          <w:rFonts w:hint="eastAsia" w:hAnsi="宋体"/>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（3）临时基金管理人：新任基金管理人产生之前，由中国证监会指定临时基金管理人；</w:t>
      </w:r>
    </w:p>
    <w:p>
      <w:pPr>
        <w:pStyle w:val="10"/>
        <w:spacing w:before="0" w:after="0" w:line="520" w:lineRule="exact"/>
        <w:ind w:left="0" w:firstLine="480" w:firstLineChars="200"/>
        <w:rPr>
          <w:rFonts w:hAnsi="宋体"/>
          <w:szCs w:val="24"/>
        </w:rPr>
      </w:pPr>
      <w:r>
        <w:rPr>
          <w:rFonts w:hint="eastAsia" w:hAnsi="宋体"/>
          <w:szCs w:val="24"/>
        </w:rPr>
        <w:t xml:space="preserve">（4）备案：基金份额持有人大会更换基金管理人的决议须报中国证监会备案；  </w:t>
      </w:r>
    </w:p>
    <w:p>
      <w:pPr>
        <w:pStyle w:val="10"/>
        <w:spacing w:before="0" w:after="0" w:line="520" w:lineRule="exact"/>
        <w:ind w:left="0"/>
        <w:rPr>
          <w:rFonts w:hAnsi="宋体"/>
          <w:szCs w:val="24"/>
        </w:rPr>
      </w:pPr>
      <w:r>
        <w:rPr>
          <w:rFonts w:hint="eastAsia"/>
          <w:bCs/>
        </w:rPr>
        <w:t xml:space="preserve">  </w:t>
      </w:r>
      <w:r>
        <w:rPr>
          <w:bCs/>
        </w:rPr>
        <w:t xml:space="preserve">  </w:t>
      </w:r>
      <w:r>
        <w:rPr>
          <w:rFonts w:hint="eastAsia" w:hAnsi="宋体"/>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决议生效后按规定</w:t>
      </w:r>
      <w:r>
        <w:rPr>
          <w:bCs/>
        </w:rPr>
        <w:t>在</w:t>
      </w:r>
      <w:r>
        <w:rPr>
          <w:rFonts w:hint="eastAsia"/>
          <w:bCs/>
        </w:rPr>
        <w:t>规定媒介</w:t>
      </w:r>
      <w:r>
        <w:rPr>
          <w:bCs/>
        </w:rPr>
        <w:t>公告</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w:t>
      </w:r>
      <w:r>
        <w:rPr>
          <w:rFonts w:hAnsi="宋体"/>
          <w:szCs w:val="24"/>
        </w:rPr>
        <w:t>6</w:t>
      </w:r>
      <w:r>
        <w:rPr>
          <w:rFonts w:hint="eastAsia" w:hAnsi="宋体"/>
          <w:szCs w:val="24"/>
        </w:rPr>
        <w:t>）交接：基金管理人职责终止的，</w:t>
      </w:r>
      <w:r>
        <w:rPr>
          <w:bCs/>
        </w:rPr>
        <w:t>基金管理人</w:t>
      </w:r>
      <w:r>
        <w:rPr>
          <w:rFonts w:hint="eastAsia" w:hAnsi="宋体"/>
          <w:szCs w:val="24"/>
        </w:rPr>
        <w:t>应妥善保管基金管理业务资料，及时</w:t>
      </w:r>
      <w:r>
        <w:rPr>
          <w:bCs/>
        </w:rPr>
        <w:t>向临时基金管理人或新任基金管理人</w:t>
      </w:r>
      <w:r>
        <w:rPr>
          <w:rFonts w:hint="eastAsia" w:hAnsi="宋体"/>
          <w:szCs w:val="24"/>
        </w:rPr>
        <w:t>办理基金管理业务的移交手续，临时基金管理人或新任基金管理人应及时接收，临时基金管理人或新任基金管理人应与基金托管人核对基金资产总值</w:t>
      </w:r>
      <w:r>
        <w:rPr>
          <w:rFonts w:hint="eastAsia"/>
          <w:bCs/>
        </w:rPr>
        <w:t>和</w:t>
      </w:r>
      <w:r>
        <w:rPr>
          <w:bCs/>
        </w:rPr>
        <w:t>净值</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w:t>
      </w:r>
      <w:r>
        <w:rPr>
          <w:rFonts w:hAnsi="宋体"/>
          <w:szCs w:val="24"/>
        </w:rPr>
        <w:t>7</w:t>
      </w:r>
      <w:r>
        <w:rPr>
          <w:rFonts w:hint="eastAsia" w:hAnsi="宋体"/>
          <w:szCs w:val="24"/>
        </w:rPr>
        <w:t>）审计：基金管理人职责终止的，应当按照法律法规规定聘请符合《中华人民共和国证券法》规定的会计师事务所对基金财产进行审计，并将审计结果予以公告，同时报中国证监会备案，审计费由基金财产承担；</w:t>
      </w:r>
    </w:p>
    <w:p>
      <w:pPr>
        <w:pStyle w:val="10"/>
        <w:spacing w:before="0" w:after="0" w:line="520" w:lineRule="exact"/>
        <w:ind w:left="0" w:firstLine="480" w:firstLineChars="200"/>
        <w:rPr>
          <w:rFonts w:hAnsi="宋体"/>
          <w:szCs w:val="24"/>
        </w:rPr>
      </w:pPr>
      <w:r>
        <w:rPr>
          <w:rFonts w:hint="eastAsia" w:hAnsi="宋体"/>
          <w:szCs w:val="24"/>
        </w:rPr>
        <w:t>（</w:t>
      </w:r>
      <w:r>
        <w:rPr>
          <w:rFonts w:hAnsi="宋体"/>
          <w:szCs w:val="24"/>
        </w:rPr>
        <w:t>8</w:t>
      </w:r>
      <w:r>
        <w:rPr>
          <w:rFonts w:hint="eastAsia" w:hAnsi="宋体"/>
          <w:szCs w:val="24"/>
        </w:rPr>
        <w:t>）基金名称变更：基金管理人更换后，如果原任或新任基金管理人要求，应按其要求替换或删除基金名称中与原基金管理人有关的名称字样。</w:t>
      </w:r>
    </w:p>
    <w:p>
      <w:pPr>
        <w:pStyle w:val="10"/>
        <w:spacing w:before="0" w:after="0" w:line="520" w:lineRule="exact"/>
        <w:ind w:left="0" w:firstLine="480" w:firstLineChars="200"/>
        <w:rPr>
          <w:rFonts w:hAnsi="宋体"/>
          <w:szCs w:val="24"/>
        </w:rPr>
      </w:pPr>
      <w:r>
        <w:rPr>
          <w:rFonts w:hint="eastAsia" w:hAnsi="宋体"/>
          <w:szCs w:val="24"/>
        </w:rPr>
        <w:t>14.2基金托管人的更换</w:t>
      </w:r>
    </w:p>
    <w:p>
      <w:pPr>
        <w:pStyle w:val="10"/>
        <w:spacing w:before="0" w:after="0" w:line="520" w:lineRule="exact"/>
        <w:ind w:left="0" w:firstLine="480" w:firstLineChars="200"/>
        <w:rPr>
          <w:rFonts w:hAnsi="宋体"/>
          <w:szCs w:val="24"/>
        </w:rPr>
      </w:pPr>
      <w:r>
        <w:rPr>
          <w:rFonts w:hint="eastAsia" w:hAnsi="宋体"/>
          <w:szCs w:val="24"/>
        </w:rPr>
        <w:t>14.2.1基金托管人的更换条件：</w:t>
      </w:r>
    </w:p>
    <w:p>
      <w:pPr>
        <w:pStyle w:val="10"/>
        <w:spacing w:before="0" w:after="0" w:line="520" w:lineRule="exact"/>
        <w:ind w:left="0" w:firstLine="480" w:firstLineChars="200"/>
        <w:rPr>
          <w:rFonts w:hAnsi="宋体"/>
          <w:szCs w:val="24"/>
        </w:rPr>
      </w:pPr>
      <w:r>
        <w:rPr>
          <w:rFonts w:hint="eastAsia" w:hAnsi="宋体"/>
          <w:szCs w:val="24"/>
        </w:rPr>
        <w:t>有下列情形之一的，基金托管人职责终止：</w:t>
      </w:r>
    </w:p>
    <w:p>
      <w:pPr>
        <w:pStyle w:val="10"/>
        <w:spacing w:before="0" w:after="0" w:line="520" w:lineRule="exact"/>
        <w:ind w:left="0" w:firstLine="480" w:firstLineChars="200"/>
        <w:rPr>
          <w:rFonts w:hAnsi="宋体"/>
          <w:szCs w:val="24"/>
        </w:rPr>
      </w:pPr>
      <w:r>
        <w:rPr>
          <w:rFonts w:hint="eastAsia" w:hAnsi="宋体"/>
          <w:szCs w:val="24"/>
        </w:rPr>
        <w:t>（1）基金托管人被依法取消基金托管资格；</w:t>
      </w:r>
    </w:p>
    <w:p>
      <w:pPr>
        <w:pStyle w:val="10"/>
        <w:spacing w:before="0" w:after="0" w:line="520" w:lineRule="exact"/>
        <w:ind w:left="0" w:firstLine="480" w:firstLineChars="200"/>
        <w:rPr>
          <w:rFonts w:hAnsi="宋体"/>
          <w:szCs w:val="24"/>
        </w:rPr>
      </w:pPr>
      <w:r>
        <w:rPr>
          <w:rFonts w:hint="eastAsia" w:hAnsi="宋体"/>
          <w:szCs w:val="24"/>
        </w:rPr>
        <w:t>（2）基金托管人依法解散、被依法撤销或被依法宣告破产；</w:t>
      </w:r>
    </w:p>
    <w:p>
      <w:pPr>
        <w:pStyle w:val="10"/>
        <w:spacing w:before="0" w:after="0" w:line="520" w:lineRule="exact"/>
        <w:ind w:left="0" w:firstLine="480" w:firstLineChars="200"/>
        <w:rPr>
          <w:rFonts w:hAnsi="宋体"/>
          <w:szCs w:val="24"/>
        </w:rPr>
      </w:pPr>
      <w:r>
        <w:rPr>
          <w:rFonts w:hint="eastAsia" w:hAnsi="宋体"/>
          <w:szCs w:val="24"/>
        </w:rPr>
        <w:t>（3）基金托管人被基金份额持有人大会解任；</w:t>
      </w:r>
    </w:p>
    <w:p>
      <w:pPr>
        <w:pStyle w:val="10"/>
        <w:spacing w:before="0" w:after="0" w:line="520" w:lineRule="exact"/>
        <w:ind w:left="0" w:firstLine="480" w:firstLineChars="200"/>
        <w:rPr>
          <w:rFonts w:hAnsi="宋体"/>
          <w:szCs w:val="24"/>
        </w:rPr>
      </w:pPr>
      <w:r>
        <w:rPr>
          <w:rFonts w:hint="eastAsia" w:hAnsi="宋体"/>
          <w:szCs w:val="24"/>
        </w:rPr>
        <w:t>（4）法律法规</w:t>
      </w:r>
      <w:r>
        <w:rPr>
          <w:rFonts w:hint="eastAsia"/>
          <w:bCs/>
        </w:rPr>
        <w:t>及中国证监会规定的</w:t>
      </w:r>
      <w:r>
        <w:rPr>
          <w:rFonts w:hint="eastAsia" w:hAnsi="宋体"/>
          <w:szCs w:val="24"/>
        </w:rPr>
        <w:t>和基金合同约定的其他情形。</w:t>
      </w:r>
    </w:p>
    <w:p>
      <w:pPr>
        <w:pStyle w:val="10"/>
        <w:spacing w:before="0" w:after="0" w:line="520" w:lineRule="exact"/>
        <w:ind w:left="0" w:firstLine="480" w:firstLineChars="200"/>
        <w:rPr>
          <w:rFonts w:hAnsi="宋体"/>
          <w:szCs w:val="24"/>
        </w:rPr>
      </w:pPr>
      <w:r>
        <w:rPr>
          <w:rFonts w:hint="eastAsia" w:hAnsi="宋体"/>
          <w:szCs w:val="24"/>
        </w:rPr>
        <w:t>14.2.2基金托管人的更换程序</w:t>
      </w:r>
    </w:p>
    <w:p>
      <w:pPr>
        <w:pStyle w:val="10"/>
        <w:spacing w:before="0" w:after="0" w:line="520" w:lineRule="exact"/>
        <w:ind w:left="0" w:firstLine="480" w:firstLineChars="200"/>
        <w:rPr>
          <w:rFonts w:hAnsi="宋体"/>
          <w:szCs w:val="24"/>
        </w:rPr>
      </w:pPr>
      <w:r>
        <w:rPr>
          <w:rFonts w:hint="eastAsia" w:hAnsi="宋体"/>
          <w:szCs w:val="24"/>
        </w:rPr>
        <w:t>（1）提名：新任基金托管人由基金管理人或由单独或合计持有10%以上（含10%）基金份额的基金份额持有人提名；</w:t>
      </w:r>
    </w:p>
    <w:p>
      <w:pPr>
        <w:pStyle w:val="10"/>
        <w:spacing w:before="0" w:after="0" w:line="520" w:lineRule="exact"/>
        <w:ind w:left="0" w:firstLine="480" w:firstLineChars="200"/>
        <w:rPr>
          <w:rFonts w:hAnsi="宋体"/>
          <w:szCs w:val="24"/>
        </w:rPr>
      </w:pPr>
      <w:r>
        <w:rPr>
          <w:rFonts w:hint="eastAsia" w:hAnsi="宋体"/>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int="eastAsia" w:hAnsi="宋体"/>
          <w:szCs w:val="24"/>
        </w:rPr>
        <w:t>2/3</w:t>
      </w:r>
      <w:r>
        <w:rPr>
          <w:rFonts w:hAnsi="宋体"/>
          <w:szCs w:val="24"/>
        </w:rPr>
        <w:t>以上（含</w:t>
      </w:r>
      <w:r>
        <w:rPr>
          <w:rFonts w:hint="eastAsia" w:hAnsi="宋体"/>
          <w:szCs w:val="24"/>
        </w:rPr>
        <w:t>2/3</w:t>
      </w:r>
      <w:r>
        <w:rPr>
          <w:rFonts w:hAnsi="宋体"/>
          <w:szCs w:val="24"/>
        </w:rPr>
        <w:t>）表决通过</w:t>
      </w:r>
      <w:r>
        <w:rPr>
          <w:rFonts w:hint="eastAsia" w:hAnsi="宋体"/>
          <w:szCs w:val="24"/>
        </w:rPr>
        <w:t>，决议自表决通过之日起生效；</w:t>
      </w:r>
    </w:p>
    <w:p>
      <w:pPr>
        <w:pStyle w:val="10"/>
        <w:spacing w:before="0" w:after="0" w:line="520" w:lineRule="exact"/>
        <w:ind w:left="0" w:firstLine="480" w:firstLineChars="200"/>
        <w:rPr>
          <w:rFonts w:hAnsi="宋体"/>
          <w:szCs w:val="24"/>
        </w:rPr>
      </w:pPr>
      <w:r>
        <w:rPr>
          <w:rFonts w:hint="eastAsia" w:hAnsi="宋体"/>
          <w:szCs w:val="24"/>
        </w:rPr>
        <w:t>（3）</w:t>
      </w:r>
      <w:r>
        <w:rPr>
          <w:rFonts w:hAnsi="宋体"/>
          <w:szCs w:val="24"/>
        </w:rPr>
        <w:t>临时基金托管人：新任基金托管人产生之前，由中国证监会指定临时基金托管人；</w:t>
      </w:r>
    </w:p>
    <w:p>
      <w:pPr>
        <w:pStyle w:val="10"/>
        <w:spacing w:before="0" w:after="0" w:line="520" w:lineRule="exact"/>
        <w:ind w:left="0" w:firstLine="480" w:firstLineChars="200"/>
        <w:rPr>
          <w:rFonts w:hAnsi="宋体"/>
          <w:szCs w:val="24"/>
        </w:rPr>
      </w:pPr>
      <w:r>
        <w:rPr>
          <w:rFonts w:hint="eastAsia" w:hAnsi="宋体"/>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pPr>
        <w:pStyle w:val="10"/>
        <w:spacing w:before="0" w:after="0" w:line="520" w:lineRule="exact"/>
        <w:ind w:left="0" w:firstLine="480" w:firstLineChars="200"/>
        <w:rPr>
          <w:rFonts w:hAnsi="宋体"/>
          <w:szCs w:val="24"/>
        </w:rPr>
      </w:pPr>
      <w:r>
        <w:rPr>
          <w:rFonts w:hint="eastAsia" w:hAnsi="宋体"/>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按规定</w:t>
      </w:r>
      <w:r>
        <w:rPr>
          <w:bCs/>
        </w:rPr>
        <w:t>在</w:t>
      </w:r>
      <w:r>
        <w:rPr>
          <w:rFonts w:hint="eastAsia"/>
          <w:bCs/>
        </w:rPr>
        <w:t>规定媒介</w:t>
      </w:r>
      <w:r>
        <w:rPr>
          <w:bCs/>
        </w:rPr>
        <w:t>公告</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6）交接：基金托管人职责终止的，应当妥善保管基金财产和基金托管业务资料，及时办理基金财产和基金托管业务的移交手续，临时基金托管人或新任基金托管人应当及时接收，临时基金托管人或新任基金托管人应与基金管理人核对基金资产总值</w:t>
      </w:r>
      <w:r>
        <w:rPr>
          <w:rFonts w:hint="eastAsia"/>
          <w:bCs/>
        </w:rPr>
        <w:t>和</w:t>
      </w:r>
      <w:r>
        <w:rPr>
          <w:bCs/>
        </w:rPr>
        <w:t>净值</w:t>
      </w:r>
      <w:r>
        <w:rPr>
          <w:rFonts w:hint="eastAsia" w:hAnsi="宋体"/>
          <w:szCs w:val="24"/>
        </w:rPr>
        <w:t>；</w:t>
      </w:r>
    </w:p>
    <w:p>
      <w:pPr>
        <w:pStyle w:val="10"/>
        <w:spacing w:before="0" w:after="0" w:line="520" w:lineRule="exact"/>
        <w:ind w:left="0" w:firstLine="480" w:firstLineChars="200"/>
        <w:rPr>
          <w:rFonts w:hAnsi="宋体"/>
          <w:szCs w:val="24"/>
        </w:rPr>
      </w:pPr>
      <w:r>
        <w:rPr>
          <w:rFonts w:hint="eastAsia" w:hAnsi="宋体"/>
          <w:szCs w:val="24"/>
        </w:rPr>
        <w:t>（7）审计：基金托管人职责终止的，应当按照法律法规规定聘请符合《中华人民共和国证券法》规定的会计师事务所对基金财产进行审计，并将审计结果予以公告，同时报中国证监会备案。审计费由基金财产承担。</w:t>
      </w:r>
    </w:p>
    <w:p>
      <w:pPr>
        <w:pStyle w:val="10"/>
        <w:spacing w:before="0" w:after="0" w:line="520" w:lineRule="exact"/>
        <w:ind w:left="0" w:firstLine="480" w:firstLineChars="200"/>
        <w:rPr>
          <w:rFonts w:hAnsi="宋体"/>
          <w:szCs w:val="24"/>
        </w:rPr>
      </w:pPr>
      <w:r>
        <w:rPr>
          <w:rFonts w:hint="eastAsia" w:hAnsi="宋体"/>
          <w:szCs w:val="24"/>
        </w:rPr>
        <w:t>14.3基金管理人与基金托管人同时更换</w:t>
      </w:r>
    </w:p>
    <w:p>
      <w:pPr>
        <w:pStyle w:val="10"/>
        <w:spacing w:before="0" w:after="0" w:line="520" w:lineRule="exact"/>
        <w:ind w:left="0" w:firstLine="480" w:firstLineChars="200"/>
        <w:rPr>
          <w:rFonts w:hAnsi="宋体"/>
          <w:szCs w:val="24"/>
        </w:rPr>
      </w:pPr>
      <w:r>
        <w:rPr>
          <w:rFonts w:hint="eastAsia" w:hAnsi="宋体"/>
          <w:szCs w:val="24"/>
        </w:rPr>
        <w:t>14.3.1提名：如果基金管理人和基金托管人同时更换，由单独或合计持有基金总份额10%以上</w:t>
      </w:r>
      <w:r>
        <w:rPr>
          <w:bCs/>
        </w:rPr>
        <w:t>（含</w:t>
      </w:r>
      <w:r>
        <w:rPr>
          <w:rFonts w:hint="eastAsia"/>
          <w:bCs/>
        </w:rPr>
        <w:t>10%</w:t>
      </w:r>
      <w:r>
        <w:rPr>
          <w:bCs/>
        </w:rPr>
        <w:t>）</w:t>
      </w:r>
      <w:r>
        <w:rPr>
          <w:rFonts w:hint="eastAsia" w:hAnsi="宋体"/>
          <w:szCs w:val="24"/>
        </w:rPr>
        <w:t>的基金份额持有人提名新的基金管理人和基金托管人。</w:t>
      </w:r>
    </w:p>
    <w:p>
      <w:pPr>
        <w:pStyle w:val="10"/>
        <w:spacing w:before="0" w:after="0" w:line="520" w:lineRule="exact"/>
        <w:ind w:left="0" w:firstLine="480" w:firstLineChars="200"/>
        <w:rPr>
          <w:rFonts w:hAnsi="宋体"/>
          <w:szCs w:val="24"/>
        </w:rPr>
      </w:pPr>
      <w:r>
        <w:rPr>
          <w:rFonts w:hint="eastAsia" w:hAnsi="宋体"/>
          <w:szCs w:val="24"/>
        </w:rPr>
        <w:t>14.3.2基金管理人和基金托管人的更换分别按上述程序进行。</w:t>
      </w:r>
    </w:p>
    <w:p>
      <w:pPr>
        <w:pStyle w:val="10"/>
        <w:spacing w:before="0" w:after="0" w:line="520" w:lineRule="exact"/>
        <w:ind w:left="0" w:firstLine="480" w:firstLineChars="200"/>
        <w:rPr>
          <w:rFonts w:hAnsi="宋体"/>
          <w:szCs w:val="24"/>
        </w:rPr>
      </w:pPr>
      <w:r>
        <w:rPr>
          <w:rFonts w:hAnsi="宋体"/>
          <w:szCs w:val="24"/>
        </w:rPr>
        <w:t>14.3.3</w:t>
      </w:r>
      <w:r>
        <w:rPr>
          <w:rFonts w:hint="eastAsia" w:hAnsi="宋体"/>
          <w:szCs w:val="24"/>
        </w:rPr>
        <w:t>公告：新任基金管理人和新任基金托管人应在更换基金管理人和基金托管人的基金份额持有人大会决议生效后按规定在规定媒介上联合公告。</w:t>
      </w:r>
    </w:p>
    <w:p>
      <w:pPr>
        <w:pStyle w:val="10"/>
        <w:spacing w:before="0" w:after="0" w:line="520" w:lineRule="exact"/>
        <w:ind w:left="0" w:firstLine="480" w:firstLineChars="200"/>
        <w:rPr>
          <w:bCs/>
        </w:rPr>
      </w:pPr>
      <w:r>
        <w:rPr>
          <w:rFonts w:hint="eastAsia" w:hAnsi="宋体"/>
          <w:szCs w:val="24"/>
        </w:rPr>
        <w:t>14.4新任或临时基金管理人</w:t>
      </w:r>
      <w:r>
        <w:rPr>
          <w:rFonts w:hint="eastAsia"/>
          <w:bCs/>
        </w:rPr>
        <w:t>接收</w:t>
      </w:r>
      <w:r>
        <w:rPr>
          <w:rFonts w:hint="eastAsia" w:hAnsi="宋体"/>
          <w:szCs w:val="24"/>
        </w:rPr>
        <w:t>基金管理业务或新任或临时基金托管人</w:t>
      </w:r>
      <w:r>
        <w:rPr>
          <w:rFonts w:hint="eastAsia"/>
          <w:bCs/>
        </w:rPr>
        <w:t>接收</w:t>
      </w:r>
      <w:r>
        <w:rPr>
          <w:rFonts w:hint="eastAsia" w:hAnsi="宋体"/>
          <w:szCs w:val="24"/>
        </w:rPr>
        <w:t>基金财产和基金托管业务前，原基金管理人或原基金托管人应</w:t>
      </w:r>
      <w:bookmarkStart w:id="79" w:name="_Hlk40794696"/>
      <w:r>
        <w:rPr>
          <w:rFonts w:hint="eastAsia"/>
          <w:bCs/>
        </w:rPr>
        <w:t>依据法律法规和基金合同的规定</w:t>
      </w:r>
      <w:bookmarkEnd w:id="79"/>
      <w:r>
        <w:rPr>
          <w:rFonts w:hint="eastAsia" w:hAnsi="宋体"/>
          <w:szCs w:val="24"/>
        </w:rPr>
        <w:t>继续履行相关职责，并保证不做出对基金份额持有人的利益造成损害的行为。</w:t>
      </w:r>
      <w:r>
        <w:rPr>
          <w:rFonts w:hint="eastAsia"/>
          <w:bCs/>
        </w:rPr>
        <w:t>原基金管理人或原基金托管人在继续履行相关职责期间，仍有权按照</w:t>
      </w:r>
      <w:r>
        <w:rPr>
          <w:bCs/>
        </w:rPr>
        <w:t>基金</w:t>
      </w:r>
      <w:r>
        <w:rPr>
          <w:rFonts w:hint="eastAsia"/>
          <w:bCs/>
        </w:rPr>
        <w:t>合同的规定收取基金管理费或基金托管费。</w:t>
      </w:r>
    </w:p>
    <w:p>
      <w:pPr>
        <w:pStyle w:val="10"/>
        <w:spacing w:before="0" w:after="0" w:line="520" w:lineRule="exact"/>
        <w:ind w:left="0" w:firstLine="480" w:firstLineChars="200"/>
        <w:rPr>
          <w:rFonts w:hAnsi="宋体"/>
          <w:szCs w:val="24"/>
        </w:rPr>
      </w:pPr>
      <w:r>
        <w:rPr>
          <w:rFonts w:hint="eastAsia"/>
          <w:bCs/>
        </w:rPr>
        <w:t>14.5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履行适当程序后，可直接对相应内容进行修改和调整，无需召开基金份额持有人大会审议。</w:t>
      </w:r>
    </w:p>
    <w:bookmarkEnd w:id="78"/>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80" w:name="_Toc142055719"/>
      <w:bookmarkStart w:id="81" w:name="_Toc4870338"/>
      <w:bookmarkStart w:id="82" w:name="_Toc296551351"/>
      <w:bookmarkStart w:id="83" w:name="_Toc10961"/>
      <w:r>
        <w:rPr>
          <w:rFonts w:hint="eastAsia"/>
          <w:bCs/>
          <w:color w:val="auto"/>
          <w:szCs w:val="24"/>
        </w:rPr>
        <w:t>第十五条 禁止行为</w:t>
      </w:r>
      <w:bookmarkEnd w:id="80"/>
      <w:bookmarkEnd w:id="81"/>
      <w:bookmarkEnd w:id="82"/>
      <w:bookmarkEnd w:id="83"/>
    </w:p>
    <w:p>
      <w:pPr>
        <w:pStyle w:val="10"/>
        <w:spacing w:before="0" w:after="0" w:line="520" w:lineRule="exact"/>
        <w:ind w:left="0" w:firstLine="480" w:firstLineChars="200"/>
        <w:rPr>
          <w:rFonts w:hAnsi="宋体"/>
          <w:szCs w:val="24"/>
        </w:rPr>
      </w:pPr>
      <w:r>
        <w:rPr>
          <w:rFonts w:hint="eastAsia" w:hAnsi="宋体"/>
          <w:szCs w:val="24"/>
        </w:rPr>
        <w:t>15.1本协议当事人禁止从事的行为，包括但不限于：</w:t>
      </w:r>
    </w:p>
    <w:p>
      <w:pPr>
        <w:pStyle w:val="10"/>
        <w:spacing w:before="0" w:after="0" w:line="520" w:lineRule="exact"/>
        <w:ind w:left="0" w:firstLine="480" w:firstLineChars="200"/>
        <w:rPr>
          <w:rFonts w:hAnsi="宋体"/>
          <w:szCs w:val="24"/>
        </w:rPr>
      </w:pPr>
      <w:r>
        <w:rPr>
          <w:rFonts w:hint="eastAsia" w:hAnsi="宋体"/>
          <w:szCs w:val="24"/>
        </w:rPr>
        <w:t>15.1.1基金管理人、基金托管人将其固有财产或者他人财产混同于基金财产从事证券投资。</w:t>
      </w:r>
    </w:p>
    <w:p>
      <w:pPr>
        <w:pStyle w:val="10"/>
        <w:spacing w:before="0" w:after="0" w:line="520" w:lineRule="exact"/>
        <w:ind w:left="0" w:firstLine="480" w:firstLineChars="200"/>
        <w:rPr>
          <w:rFonts w:hAnsi="宋体"/>
          <w:szCs w:val="24"/>
        </w:rPr>
      </w:pPr>
      <w:r>
        <w:rPr>
          <w:rFonts w:hint="eastAsia" w:hAnsi="宋体"/>
          <w:szCs w:val="24"/>
        </w:rPr>
        <w:t>15.1.2基金管理人不公平地对待其管理的不同基金财产，基金托管人不公平地对待其托管的不同基金财产。</w:t>
      </w:r>
    </w:p>
    <w:p>
      <w:pPr>
        <w:pStyle w:val="10"/>
        <w:spacing w:before="0" w:after="0" w:line="520" w:lineRule="exact"/>
        <w:ind w:left="0" w:firstLine="480" w:firstLineChars="200"/>
        <w:rPr>
          <w:rFonts w:hAnsi="宋体"/>
          <w:szCs w:val="24"/>
        </w:rPr>
      </w:pPr>
      <w:r>
        <w:rPr>
          <w:rFonts w:hint="eastAsia" w:hAnsi="宋体"/>
          <w:szCs w:val="24"/>
        </w:rPr>
        <w:t>15.1.3基金管理人、基金托管人利用基金财产或职务之便为基金份额持有人以外的第三人牟取利益。</w:t>
      </w:r>
    </w:p>
    <w:p>
      <w:pPr>
        <w:pStyle w:val="10"/>
        <w:spacing w:before="0" w:after="0" w:line="520" w:lineRule="exact"/>
        <w:ind w:left="0" w:firstLine="480" w:firstLineChars="200"/>
        <w:rPr>
          <w:rFonts w:hAnsi="宋体"/>
          <w:szCs w:val="24"/>
        </w:rPr>
      </w:pPr>
      <w:r>
        <w:rPr>
          <w:rFonts w:hint="eastAsia" w:hAnsi="宋体"/>
          <w:szCs w:val="24"/>
        </w:rPr>
        <w:t>15.1.4基金管理人、基金托管人向基金份额持有人违规承诺收益或者承担损失。</w:t>
      </w:r>
    </w:p>
    <w:p>
      <w:pPr>
        <w:pStyle w:val="10"/>
        <w:spacing w:before="0" w:after="0" w:line="520" w:lineRule="exact"/>
        <w:ind w:left="0" w:firstLine="480" w:firstLineChars="200"/>
        <w:rPr>
          <w:rFonts w:hAnsi="宋体"/>
          <w:szCs w:val="24"/>
        </w:rPr>
      </w:pPr>
      <w:r>
        <w:rPr>
          <w:rFonts w:hint="eastAsia" w:hAnsi="宋体"/>
          <w:szCs w:val="24"/>
        </w:rPr>
        <w:t>15.1.5基金管理人、基金托管人对他人泄漏基金运作和管理过程中任何尚未按法律法规规定的方式公开披露的信息。</w:t>
      </w:r>
    </w:p>
    <w:p>
      <w:pPr>
        <w:pStyle w:val="10"/>
        <w:spacing w:before="0" w:after="0" w:line="520" w:lineRule="exact"/>
        <w:ind w:left="0" w:firstLine="480" w:firstLineChars="200"/>
        <w:rPr>
          <w:rFonts w:hAnsi="宋体"/>
          <w:szCs w:val="24"/>
        </w:rPr>
      </w:pPr>
      <w:r>
        <w:rPr>
          <w:rFonts w:hint="eastAsia" w:hAnsi="宋体"/>
          <w:szCs w:val="24"/>
        </w:rPr>
        <w:t>15.1.6基金管理人在没有充足资金的情况下向基金托管人发出投资指令和赎回、分红资金的划拨指令，或违规向基金托管人发出指令。</w:t>
      </w:r>
    </w:p>
    <w:p>
      <w:pPr>
        <w:pStyle w:val="10"/>
        <w:spacing w:before="0" w:after="0" w:line="520" w:lineRule="exact"/>
        <w:ind w:left="0" w:firstLine="480" w:firstLineChars="200"/>
        <w:rPr>
          <w:rFonts w:hAnsi="宋体"/>
          <w:szCs w:val="24"/>
        </w:rPr>
      </w:pPr>
      <w:r>
        <w:rPr>
          <w:rFonts w:hint="eastAsia" w:hAnsi="宋体"/>
          <w:szCs w:val="24"/>
        </w:rPr>
        <w:t>15.1.7基金管理人、基金托管人在行政上、财务上不独立，其高级管理人员和其他从业人员相互兼职。</w:t>
      </w:r>
    </w:p>
    <w:p>
      <w:pPr>
        <w:pStyle w:val="10"/>
        <w:spacing w:before="0" w:after="0" w:line="520" w:lineRule="exact"/>
        <w:ind w:left="0" w:firstLine="480" w:firstLineChars="200"/>
        <w:rPr>
          <w:rFonts w:hAnsi="宋体"/>
          <w:szCs w:val="24"/>
        </w:rPr>
      </w:pPr>
      <w:r>
        <w:rPr>
          <w:rFonts w:hint="eastAsia" w:hAnsi="宋体"/>
          <w:szCs w:val="24"/>
        </w:rPr>
        <w:t>15.1.8基金托管人私自动用或处分基金财产，根据基金管理人的合法指令、基金合同或托管协议的规定进行处分的除外。</w:t>
      </w:r>
    </w:p>
    <w:p>
      <w:pPr>
        <w:pStyle w:val="10"/>
        <w:spacing w:before="0" w:after="0" w:line="520" w:lineRule="exact"/>
        <w:ind w:left="0" w:firstLine="480" w:firstLineChars="200"/>
        <w:rPr>
          <w:rFonts w:hAnsi="宋体"/>
          <w:szCs w:val="24"/>
        </w:rPr>
      </w:pPr>
      <w:r>
        <w:rPr>
          <w:rFonts w:hint="eastAsia" w:hAnsi="宋体"/>
          <w:szCs w:val="24"/>
        </w:rPr>
        <w:t>15.1.9基金财产用于下列投资或者活动：</w:t>
      </w:r>
    </w:p>
    <w:p>
      <w:pPr>
        <w:pStyle w:val="10"/>
        <w:spacing w:line="520" w:lineRule="exact"/>
        <w:rPr>
          <w:rFonts w:hAnsi="宋体"/>
          <w:szCs w:val="24"/>
        </w:rPr>
      </w:pPr>
      <w:bookmarkStart w:id="84" w:name="_Hlk116239475"/>
      <w:r>
        <w:rPr>
          <w:rFonts w:hint="eastAsia" w:hAnsi="宋体"/>
          <w:szCs w:val="24"/>
        </w:rPr>
        <w:t>（1）承销证券；</w:t>
      </w:r>
    </w:p>
    <w:p>
      <w:pPr>
        <w:pStyle w:val="10"/>
        <w:spacing w:line="520" w:lineRule="exact"/>
        <w:rPr>
          <w:rFonts w:hAnsi="宋体"/>
          <w:szCs w:val="24"/>
        </w:rPr>
      </w:pPr>
      <w:r>
        <w:rPr>
          <w:rFonts w:hint="eastAsia" w:hAnsi="宋体"/>
          <w:szCs w:val="24"/>
        </w:rPr>
        <w:t>（2）违反规定向他人贷款或者提供担保；</w:t>
      </w:r>
    </w:p>
    <w:p>
      <w:pPr>
        <w:pStyle w:val="10"/>
        <w:spacing w:line="520" w:lineRule="exact"/>
        <w:rPr>
          <w:rFonts w:hAnsi="宋体"/>
          <w:szCs w:val="24"/>
        </w:rPr>
      </w:pPr>
      <w:r>
        <w:rPr>
          <w:rFonts w:hint="eastAsia" w:hAnsi="宋体"/>
          <w:szCs w:val="24"/>
        </w:rPr>
        <w:t>（3）从事承担无限责任的投资；</w:t>
      </w:r>
    </w:p>
    <w:p>
      <w:pPr>
        <w:pStyle w:val="10"/>
        <w:spacing w:line="520" w:lineRule="exact"/>
        <w:rPr>
          <w:rFonts w:hAnsi="宋体"/>
          <w:szCs w:val="24"/>
        </w:rPr>
      </w:pPr>
      <w:r>
        <w:rPr>
          <w:rFonts w:hint="eastAsia" w:hAnsi="宋体"/>
          <w:szCs w:val="24"/>
        </w:rPr>
        <w:t>（4）买卖其他基金份额，但是中国证监会另有规定的除外；</w:t>
      </w:r>
    </w:p>
    <w:p>
      <w:pPr>
        <w:pStyle w:val="10"/>
        <w:spacing w:line="520" w:lineRule="exact"/>
        <w:rPr>
          <w:rFonts w:hAnsi="宋体"/>
          <w:szCs w:val="24"/>
        </w:rPr>
      </w:pPr>
      <w:r>
        <w:rPr>
          <w:rFonts w:hint="eastAsia" w:hAnsi="宋体"/>
          <w:szCs w:val="24"/>
        </w:rPr>
        <w:t>（5）向其基金管理人、基金托管人出资；</w:t>
      </w:r>
    </w:p>
    <w:p>
      <w:pPr>
        <w:pStyle w:val="10"/>
        <w:spacing w:line="520" w:lineRule="exact"/>
        <w:rPr>
          <w:rFonts w:hAnsi="宋体"/>
          <w:szCs w:val="24"/>
        </w:rPr>
      </w:pPr>
      <w:r>
        <w:rPr>
          <w:rFonts w:hint="eastAsia" w:hAnsi="宋体"/>
          <w:szCs w:val="24"/>
        </w:rPr>
        <w:t>（6）从事内幕交易、操纵证券交易价格及其他不正当的证券交易活动；</w:t>
      </w:r>
    </w:p>
    <w:p>
      <w:pPr>
        <w:pStyle w:val="10"/>
        <w:spacing w:before="0" w:after="0" w:line="520" w:lineRule="exact"/>
        <w:ind w:left="0" w:firstLine="480" w:firstLineChars="200"/>
        <w:rPr>
          <w:rFonts w:hAnsi="宋体"/>
          <w:szCs w:val="24"/>
        </w:rPr>
      </w:pPr>
      <w:r>
        <w:rPr>
          <w:rFonts w:hint="eastAsia" w:hAnsi="宋体"/>
          <w:szCs w:val="24"/>
        </w:rPr>
        <w:t>（7）法律、行政法规和中国证监会规定禁止的其他活动。</w:t>
      </w:r>
    </w:p>
    <w:bookmarkEnd w:id="84"/>
    <w:p>
      <w:pPr>
        <w:pStyle w:val="10"/>
        <w:spacing w:before="0" w:after="0" w:line="520" w:lineRule="exact"/>
        <w:ind w:left="0" w:firstLine="480" w:firstLineChars="200"/>
        <w:rPr>
          <w:rFonts w:hAnsi="宋体"/>
          <w:szCs w:val="24"/>
        </w:rPr>
      </w:pPr>
      <w:r>
        <w:rPr>
          <w:rFonts w:hint="eastAsia" w:hAnsi="宋体"/>
          <w:szCs w:val="24"/>
        </w:rPr>
        <w:t>15.1.10法律法规或监管部门取消</w:t>
      </w:r>
      <w:r>
        <w:rPr>
          <w:rFonts w:hint="eastAsia"/>
          <w:bCs/>
        </w:rPr>
        <w:t>或变更上述禁止性规定</w:t>
      </w:r>
      <w:r>
        <w:rPr>
          <w:bCs/>
        </w:rPr>
        <w:t>，</w:t>
      </w:r>
      <w:r>
        <w:rPr>
          <w:rFonts w:hint="eastAsia"/>
          <w:bCs/>
        </w:rPr>
        <w:t>如适用于本基金</w:t>
      </w:r>
      <w:r>
        <w:rPr>
          <w:rFonts w:hint="eastAsia" w:hAnsi="宋体"/>
          <w:szCs w:val="24"/>
        </w:rPr>
        <w:t>，基金管理人在履行适当程序后，</w:t>
      </w:r>
      <w:r>
        <w:rPr>
          <w:rFonts w:hint="eastAsia"/>
          <w:bCs/>
        </w:rPr>
        <w:t>可不受上述规定的限制或按变更后的规定执行</w:t>
      </w:r>
      <w:r>
        <w:rPr>
          <w:rFonts w:hint="eastAsia" w:hAnsi="宋体"/>
          <w:szCs w:val="24"/>
        </w:rPr>
        <w:t>。</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85" w:name="_Toc3733"/>
      <w:bookmarkStart w:id="86" w:name="_Toc4870339"/>
      <w:bookmarkStart w:id="87" w:name="_Toc142055720"/>
      <w:bookmarkStart w:id="88" w:name="_Toc296551352"/>
      <w:r>
        <w:rPr>
          <w:rFonts w:hint="eastAsia"/>
          <w:bCs/>
          <w:color w:val="auto"/>
          <w:szCs w:val="24"/>
        </w:rPr>
        <w:t>第十六条 基金托管协议的变更、终止与基金财产的清算</w:t>
      </w:r>
      <w:bookmarkEnd w:id="85"/>
      <w:bookmarkEnd w:id="86"/>
      <w:bookmarkEnd w:id="87"/>
      <w:bookmarkEnd w:id="88"/>
    </w:p>
    <w:p>
      <w:pPr>
        <w:pStyle w:val="10"/>
        <w:spacing w:before="0" w:after="0" w:line="520" w:lineRule="exact"/>
        <w:ind w:left="0" w:firstLine="480" w:firstLineChars="200"/>
        <w:rPr>
          <w:rFonts w:hAnsi="宋体"/>
          <w:szCs w:val="24"/>
        </w:rPr>
      </w:pPr>
      <w:r>
        <w:rPr>
          <w:rFonts w:hint="eastAsia" w:hAnsi="宋体"/>
          <w:szCs w:val="24"/>
        </w:rPr>
        <w:t>16.1托管协议的变更与终止</w:t>
      </w:r>
    </w:p>
    <w:p>
      <w:pPr>
        <w:pStyle w:val="10"/>
        <w:spacing w:before="0" w:after="0" w:line="520" w:lineRule="exact"/>
        <w:ind w:left="0" w:firstLine="480" w:firstLineChars="200"/>
        <w:rPr>
          <w:rFonts w:hAnsi="宋体"/>
          <w:szCs w:val="24"/>
        </w:rPr>
      </w:pPr>
      <w:r>
        <w:rPr>
          <w:rFonts w:hint="eastAsia" w:hAnsi="宋体"/>
          <w:szCs w:val="24"/>
        </w:rPr>
        <w:t>16.1.1托管协议的变更程序</w:t>
      </w:r>
    </w:p>
    <w:p>
      <w:pPr>
        <w:pStyle w:val="10"/>
        <w:spacing w:before="0" w:after="0" w:line="520" w:lineRule="exact"/>
        <w:ind w:left="0" w:firstLine="480" w:firstLineChars="200"/>
        <w:rPr>
          <w:rFonts w:hAnsi="宋体"/>
          <w:szCs w:val="24"/>
        </w:rPr>
      </w:pPr>
      <w:r>
        <w:rPr>
          <w:rFonts w:hint="eastAsia" w:hAnsi="宋体"/>
          <w:szCs w:val="24"/>
        </w:rPr>
        <w:t>本协议双方当事人经协商一致，经履行适当程序后，可以对协议的内容进行变更。变更后的托管协议，其内容不得与基金合同的规定有任何冲突。</w:t>
      </w:r>
    </w:p>
    <w:p>
      <w:pPr>
        <w:pStyle w:val="10"/>
        <w:spacing w:before="0" w:after="0" w:line="520" w:lineRule="exact"/>
        <w:ind w:left="0" w:firstLine="480" w:firstLineChars="200"/>
        <w:rPr>
          <w:rFonts w:hAnsi="宋体"/>
          <w:szCs w:val="24"/>
        </w:rPr>
      </w:pPr>
      <w:r>
        <w:rPr>
          <w:rFonts w:hint="eastAsia" w:hAnsi="宋体"/>
          <w:szCs w:val="24"/>
        </w:rPr>
        <w:t>16.1.2基金托管协议终止的情形</w:t>
      </w:r>
    </w:p>
    <w:p>
      <w:pPr>
        <w:pStyle w:val="10"/>
        <w:spacing w:before="0" w:after="0" w:line="520" w:lineRule="exact"/>
        <w:ind w:left="0" w:firstLine="480" w:firstLineChars="200"/>
        <w:rPr>
          <w:rFonts w:hAnsi="宋体"/>
          <w:szCs w:val="24"/>
        </w:rPr>
      </w:pPr>
      <w:r>
        <w:rPr>
          <w:rFonts w:hint="eastAsia" w:hAnsi="宋体"/>
          <w:szCs w:val="24"/>
        </w:rPr>
        <w:t>发生以下情况，本托管协议终止：</w:t>
      </w:r>
    </w:p>
    <w:p>
      <w:pPr>
        <w:pStyle w:val="10"/>
        <w:spacing w:before="0" w:after="0" w:line="520" w:lineRule="exact"/>
        <w:ind w:left="0" w:firstLine="480" w:firstLineChars="200"/>
        <w:rPr>
          <w:rFonts w:hAnsi="宋体"/>
          <w:szCs w:val="24"/>
        </w:rPr>
      </w:pPr>
      <w:r>
        <w:rPr>
          <w:rFonts w:hint="eastAsia" w:hAnsi="宋体"/>
          <w:szCs w:val="24"/>
        </w:rPr>
        <w:t>（1）基金合同终止；</w:t>
      </w:r>
    </w:p>
    <w:p>
      <w:pPr>
        <w:pStyle w:val="10"/>
        <w:spacing w:before="0" w:after="0" w:line="520" w:lineRule="exact"/>
        <w:ind w:left="0" w:firstLine="480" w:firstLineChars="200"/>
        <w:rPr>
          <w:rFonts w:hAnsi="宋体"/>
          <w:szCs w:val="24"/>
        </w:rPr>
      </w:pPr>
      <w:r>
        <w:rPr>
          <w:rFonts w:hint="eastAsia" w:hAnsi="宋体"/>
          <w:szCs w:val="24"/>
        </w:rPr>
        <w:t>（2）基金托管人解散、依法被撤销、破产或由其他基金托管人接管基金资产；</w:t>
      </w:r>
    </w:p>
    <w:p>
      <w:pPr>
        <w:pStyle w:val="10"/>
        <w:spacing w:before="0" w:after="0" w:line="520" w:lineRule="exact"/>
        <w:ind w:left="0" w:firstLine="480" w:firstLineChars="200"/>
        <w:rPr>
          <w:rFonts w:hAnsi="宋体"/>
          <w:szCs w:val="24"/>
        </w:rPr>
      </w:pPr>
      <w:r>
        <w:rPr>
          <w:rFonts w:hint="eastAsia" w:hAnsi="宋体"/>
          <w:szCs w:val="24"/>
        </w:rPr>
        <w:t>（3）基金管理人解散、依法被撤销、破产或由其他基金管理人接管基金管理权；</w:t>
      </w:r>
    </w:p>
    <w:p>
      <w:pPr>
        <w:pStyle w:val="10"/>
        <w:spacing w:before="0" w:after="0" w:line="520" w:lineRule="exact"/>
        <w:ind w:left="0" w:firstLine="480" w:firstLineChars="200"/>
        <w:rPr>
          <w:rFonts w:hAnsi="宋体"/>
          <w:szCs w:val="24"/>
        </w:rPr>
      </w:pPr>
      <w:r>
        <w:rPr>
          <w:rFonts w:hint="eastAsia" w:hAnsi="宋体"/>
          <w:szCs w:val="24"/>
        </w:rPr>
        <w:t>（4）基金托管人发现基金管理人有下列情形的，</w:t>
      </w:r>
      <w:r>
        <w:rPr>
          <w:rFonts w:hint="eastAsia"/>
        </w:rPr>
        <w:t>经中国证监会允许，</w:t>
      </w:r>
      <w:r>
        <w:rPr>
          <w:rFonts w:hint="eastAsia" w:hAnsi="宋体"/>
          <w:szCs w:val="24"/>
        </w:rPr>
        <w:t>有权终止本协议，并要求基金管理人赔偿损失：</w:t>
      </w:r>
    </w:p>
    <w:p>
      <w:pPr>
        <w:pStyle w:val="10"/>
        <w:spacing w:before="0" w:after="0" w:line="520" w:lineRule="exact"/>
        <w:ind w:left="0" w:firstLine="480" w:firstLineChars="200"/>
        <w:rPr>
          <w:rFonts w:hAnsi="宋体"/>
          <w:szCs w:val="24"/>
        </w:rPr>
      </w:pPr>
      <w:r>
        <w:rPr>
          <w:rFonts w:hint="eastAsia" w:hAnsi="宋体"/>
          <w:szCs w:val="24"/>
        </w:rPr>
        <w:t>①违反基金合同的投资目的，不当处分基金财产的；</w:t>
      </w:r>
    </w:p>
    <w:p>
      <w:pPr>
        <w:pStyle w:val="10"/>
        <w:spacing w:before="0" w:after="0" w:line="520" w:lineRule="exact"/>
        <w:ind w:left="0" w:firstLine="480" w:firstLineChars="200"/>
        <w:rPr>
          <w:rFonts w:hAnsi="宋体"/>
          <w:szCs w:val="24"/>
        </w:rPr>
      </w:pPr>
      <w:r>
        <w:rPr>
          <w:rFonts w:hint="eastAsia" w:hAnsi="宋体"/>
          <w:szCs w:val="24"/>
        </w:rPr>
        <w:t>②未能遵守或履行基金合同及本协议约定的有关承诺、义务、陈述或保证；</w:t>
      </w:r>
    </w:p>
    <w:p>
      <w:pPr>
        <w:pStyle w:val="10"/>
        <w:spacing w:before="0" w:after="0" w:line="520" w:lineRule="exact"/>
        <w:ind w:left="0" w:firstLine="480" w:firstLineChars="200"/>
        <w:rPr>
          <w:rFonts w:hAnsi="宋体"/>
          <w:szCs w:val="24"/>
        </w:rPr>
      </w:pPr>
      <w:r>
        <w:rPr>
          <w:rFonts w:hint="eastAsia" w:hAnsi="宋体"/>
          <w:szCs w:val="24"/>
        </w:rPr>
        <w:t>③被依法取消基金管理人资质或经营异常；</w:t>
      </w:r>
    </w:p>
    <w:p>
      <w:pPr>
        <w:pStyle w:val="10"/>
        <w:spacing w:before="0" w:after="0" w:line="520" w:lineRule="exact"/>
        <w:ind w:left="0" w:firstLine="480" w:firstLineChars="200"/>
        <w:rPr>
          <w:rFonts w:hAnsi="宋体"/>
          <w:szCs w:val="24"/>
        </w:rPr>
      </w:pPr>
      <w:r>
        <w:rPr>
          <w:rFonts w:hint="eastAsia" w:hAnsi="宋体"/>
          <w:szCs w:val="24"/>
        </w:rPr>
        <w:t>④被依法解散、被依法撤销、被依法宣告破产或失联；</w:t>
      </w:r>
    </w:p>
    <w:p>
      <w:pPr>
        <w:pStyle w:val="10"/>
        <w:spacing w:before="0" w:after="0" w:line="520" w:lineRule="exact"/>
        <w:ind w:left="0" w:firstLine="480" w:firstLineChars="200"/>
        <w:rPr>
          <w:rFonts w:hAnsi="宋体"/>
          <w:szCs w:val="24"/>
        </w:rPr>
      </w:pPr>
      <w:r>
        <w:rPr>
          <w:rFonts w:hint="eastAsia" w:hAnsi="宋体"/>
          <w:szCs w:val="24"/>
        </w:rPr>
        <w:t>（5）发生法律法规或基金合同规定的终止事项。</w:t>
      </w:r>
    </w:p>
    <w:p>
      <w:pPr>
        <w:pStyle w:val="10"/>
        <w:spacing w:before="0" w:after="0" w:line="520" w:lineRule="exact"/>
        <w:ind w:left="0" w:firstLine="480" w:firstLineChars="200"/>
        <w:rPr>
          <w:rFonts w:hAnsi="宋体"/>
          <w:szCs w:val="24"/>
        </w:rPr>
      </w:pPr>
      <w:bookmarkStart w:id="89" w:name="_Hlk116239596"/>
      <w:r>
        <w:rPr>
          <w:rFonts w:hint="eastAsia" w:hAnsi="宋体"/>
          <w:szCs w:val="24"/>
        </w:rPr>
        <w:t>16.2基金财产的清算</w:t>
      </w:r>
    </w:p>
    <w:p>
      <w:pPr>
        <w:pStyle w:val="10"/>
        <w:spacing w:line="520" w:lineRule="exact"/>
        <w:ind w:firstLine="480" w:firstLineChars="200"/>
        <w:rPr>
          <w:rFonts w:hAnsi="宋体"/>
          <w:szCs w:val="24"/>
        </w:rPr>
      </w:pPr>
      <w:r>
        <w:rPr>
          <w:rFonts w:hint="eastAsia" w:hAnsi="宋体"/>
          <w:szCs w:val="24"/>
        </w:rPr>
        <w:t>16.2.1基金财产清算小组：自出现基金合同终止事由之日起30个工作日内成立清算小组，基金管理人组织基金财产清算小组并在中国证监会的监督下进行基金清算。</w:t>
      </w:r>
    </w:p>
    <w:p>
      <w:pPr>
        <w:pStyle w:val="10"/>
        <w:spacing w:line="520" w:lineRule="exact"/>
        <w:ind w:firstLine="480" w:firstLineChars="200"/>
        <w:rPr>
          <w:rFonts w:hAnsi="宋体"/>
          <w:szCs w:val="24"/>
        </w:rPr>
      </w:pPr>
      <w:r>
        <w:rPr>
          <w:rFonts w:hint="eastAsia" w:hAnsi="宋体"/>
          <w:szCs w:val="24"/>
        </w:rPr>
        <w:t>16.2.2在基金财产清算小组接管基金财产之前，基金管理人和基金托管人应按照《基金合同》和托管协议的规定继续履行保护基金财产安全的职责。</w:t>
      </w:r>
    </w:p>
    <w:p>
      <w:pPr>
        <w:pStyle w:val="10"/>
        <w:spacing w:line="520" w:lineRule="exact"/>
        <w:ind w:firstLine="480" w:firstLineChars="200"/>
        <w:rPr>
          <w:rFonts w:hAnsi="宋体"/>
          <w:szCs w:val="24"/>
        </w:rPr>
      </w:pPr>
      <w:r>
        <w:rPr>
          <w:rFonts w:hint="eastAsia" w:hAnsi="宋体"/>
          <w:szCs w:val="24"/>
        </w:rPr>
        <w:t>16.2.3基金财产清算小组组成：基金财产清算小组成员由基金管理人、基金托管人、符合《中华人民共和国证券法》规定的注册会计师、律师以及中国证监会指定的人员组成。基金财产清算小组可以聘用必要的工作人员。</w:t>
      </w:r>
    </w:p>
    <w:p>
      <w:pPr>
        <w:pStyle w:val="10"/>
        <w:spacing w:line="520" w:lineRule="exact"/>
        <w:ind w:firstLine="480" w:firstLineChars="200"/>
        <w:rPr>
          <w:rFonts w:hAnsi="宋体"/>
          <w:szCs w:val="24"/>
        </w:rPr>
      </w:pPr>
      <w:r>
        <w:rPr>
          <w:rFonts w:hint="eastAsia" w:hAnsi="宋体"/>
          <w:szCs w:val="24"/>
        </w:rPr>
        <w:t>16.2.4基金财产清算小组职责：基金财产清算小组负责基金财产的保管、清理、估价、变现和分配。基金财产清算小组可以依法进行必要的民事活动。</w:t>
      </w:r>
    </w:p>
    <w:p>
      <w:pPr>
        <w:pStyle w:val="10"/>
        <w:spacing w:line="520" w:lineRule="exact"/>
        <w:ind w:firstLine="480" w:firstLineChars="200"/>
        <w:rPr>
          <w:rFonts w:hAnsi="宋体"/>
          <w:szCs w:val="24"/>
        </w:rPr>
      </w:pPr>
      <w:r>
        <w:rPr>
          <w:rFonts w:hint="eastAsia" w:hAnsi="宋体"/>
          <w:szCs w:val="24"/>
        </w:rPr>
        <w:t>16.2.5基金财产清算程序</w:t>
      </w:r>
    </w:p>
    <w:p>
      <w:pPr>
        <w:pStyle w:val="10"/>
        <w:spacing w:line="520" w:lineRule="exact"/>
        <w:ind w:firstLine="480" w:firstLineChars="200"/>
        <w:rPr>
          <w:rFonts w:hAnsi="宋体"/>
          <w:szCs w:val="24"/>
        </w:rPr>
      </w:pPr>
      <w:r>
        <w:rPr>
          <w:rFonts w:hint="eastAsia" w:hAnsi="宋体"/>
          <w:szCs w:val="24"/>
        </w:rPr>
        <w:t>（1）《基金合同》终止情形出现时，由基金财产清算小组统一接管基金财产；</w:t>
      </w:r>
    </w:p>
    <w:p>
      <w:pPr>
        <w:pStyle w:val="10"/>
        <w:spacing w:line="520" w:lineRule="exact"/>
        <w:ind w:firstLine="480" w:firstLineChars="200"/>
        <w:rPr>
          <w:rFonts w:hAnsi="宋体"/>
          <w:szCs w:val="24"/>
        </w:rPr>
      </w:pPr>
      <w:r>
        <w:rPr>
          <w:rFonts w:hint="eastAsia" w:hAnsi="宋体"/>
          <w:szCs w:val="24"/>
        </w:rPr>
        <w:t>（2）对基金财产和债权债务进行清理和确认；</w:t>
      </w:r>
    </w:p>
    <w:p>
      <w:pPr>
        <w:pStyle w:val="10"/>
        <w:spacing w:line="520" w:lineRule="exact"/>
        <w:ind w:firstLine="480" w:firstLineChars="200"/>
        <w:rPr>
          <w:rFonts w:hAnsi="宋体"/>
          <w:szCs w:val="24"/>
        </w:rPr>
      </w:pPr>
      <w:r>
        <w:rPr>
          <w:rFonts w:hint="eastAsia" w:hAnsi="宋体"/>
          <w:szCs w:val="24"/>
        </w:rPr>
        <w:t>（3）对基金财产进行估值和变现；</w:t>
      </w:r>
    </w:p>
    <w:p>
      <w:pPr>
        <w:pStyle w:val="10"/>
        <w:spacing w:line="520" w:lineRule="exact"/>
        <w:ind w:firstLine="480" w:firstLineChars="200"/>
        <w:rPr>
          <w:rFonts w:hAnsi="宋体"/>
          <w:szCs w:val="24"/>
        </w:rPr>
      </w:pPr>
      <w:r>
        <w:rPr>
          <w:rFonts w:hint="eastAsia" w:hAnsi="宋体"/>
          <w:szCs w:val="24"/>
        </w:rPr>
        <w:t>（4）制作清算报告；</w:t>
      </w:r>
    </w:p>
    <w:p>
      <w:pPr>
        <w:pStyle w:val="10"/>
        <w:spacing w:line="520" w:lineRule="exact"/>
        <w:ind w:firstLine="480" w:firstLineChars="200"/>
        <w:rPr>
          <w:rFonts w:hAnsi="宋体"/>
          <w:szCs w:val="24"/>
        </w:rPr>
      </w:pPr>
      <w:r>
        <w:rPr>
          <w:rFonts w:hint="eastAsia" w:hAnsi="宋体"/>
          <w:szCs w:val="24"/>
        </w:rPr>
        <w:t>（5）聘请会计师事务所对清算报告进行外部审计，聘请律师事务所对清算报告出具法律意见书；</w:t>
      </w:r>
    </w:p>
    <w:p>
      <w:pPr>
        <w:pStyle w:val="10"/>
        <w:spacing w:line="520" w:lineRule="exact"/>
        <w:ind w:firstLine="480" w:firstLineChars="200"/>
        <w:rPr>
          <w:rFonts w:hAnsi="宋体"/>
          <w:szCs w:val="24"/>
        </w:rPr>
      </w:pPr>
      <w:r>
        <w:rPr>
          <w:rFonts w:hint="eastAsia" w:hAnsi="宋体"/>
          <w:szCs w:val="24"/>
        </w:rPr>
        <w:t>（6）将清算报告报中国证监会备案并公告；</w:t>
      </w:r>
    </w:p>
    <w:p>
      <w:pPr>
        <w:pStyle w:val="10"/>
        <w:spacing w:line="520" w:lineRule="exact"/>
        <w:ind w:firstLine="480" w:firstLineChars="200"/>
        <w:rPr>
          <w:rFonts w:hAnsi="宋体"/>
          <w:szCs w:val="24"/>
        </w:rPr>
      </w:pPr>
      <w:r>
        <w:rPr>
          <w:rFonts w:hint="eastAsia" w:hAnsi="宋体"/>
          <w:szCs w:val="24"/>
        </w:rPr>
        <w:t>（7）对基金剩余财产进行分配。</w:t>
      </w:r>
    </w:p>
    <w:p>
      <w:pPr>
        <w:pStyle w:val="10"/>
        <w:spacing w:line="520" w:lineRule="exact"/>
        <w:ind w:firstLine="480" w:firstLineChars="200"/>
        <w:rPr>
          <w:rFonts w:hAnsi="宋体"/>
          <w:szCs w:val="24"/>
        </w:rPr>
      </w:pPr>
      <w:r>
        <w:rPr>
          <w:rFonts w:hint="eastAsia" w:hAnsi="宋体"/>
          <w:szCs w:val="24"/>
        </w:rPr>
        <w:t>基金财产清算的期限为6个月，但因本基金所持证券的流动性受到限制而不能及时变现的，清算期限相应顺延。</w:t>
      </w:r>
    </w:p>
    <w:p>
      <w:pPr>
        <w:pStyle w:val="10"/>
        <w:spacing w:line="520" w:lineRule="exact"/>
        <w:ind w:firstLine="480" w:firstLineChars="200"/>
        <w:rPr>
          <w:rFonts w:hAnsi="宋体"/>
          <w:szCs w:val="24"/>
        </w:rPr>
      </w:pPr>
      <w:r>
        <w:rPr>
          <w:rFonts w:hint="eastAsia" w:hAnsi="宋体"/>
          <w:szCs w:val="24"/>
        </w:rPr>
        <w:t>16.2.</w:t>
      </w:r>
      <w:r>
        <w:rPr>
          <w:rFonts w:hAnsi="宋体"/>
          <w:szCs w:val="24"/>
        </w:rPr>
        <w:t>6</w:t>
      </w:r>
      <w:r>
        <w:rPr>
          <w:rFonts w:hint="eastAsia" w:hAnsi="宋体"/>
          <w:szCs w:val="24"/>
        </w:rPr>
        <w:t>清算费用</w:t>
      </w:r>
    </w:p>
    <w:p>
      <w:pPr>
        <w:pStyle w:val="10"/>
        <w:spacing w:line="520" w:lineRule="exact"/>
        <w:ind w:firstLine="480" w:firstLineChars="200"/>
        <w:rPr>
          <w:rFonts w:hAnsi="宋体"/>
          <w:szCs w:val="24"/>
        </w:rPr>
      </w:pPr>
      <w:r>
        <w:rPr>
          <w:rFonts w:hint="eastAsia" w:hAnsi="宋体"/>
          <w:szCs w:val="24"/>
        </w:rPr>
        <w:t>清算费用是指基金财产清算小组在进行基金清算过程中发生的所有合理费用，清算费用由基金财产清算小组优先从基金剩余财产中支付。</w:t>
      </w:r>
    </w:p>
    <w:p>
      <w:pPr>
        <w:pStyle w:val="10"/>
        <w:spacing w:line="520" w:lineRule="exact"/>
        <w:ind w:firstLine="480" w:firstLineChars="200"/>
        <w:rPr>
          <w:rFonts w:hAnsi="宋体"/>
          <w:szCs w:val="24"/>
        </w:rPr>
      </w:pPr>
      <w:r>
        <w:rPr>
          <w:rFonts w:hint="eastAsia" w:hAnsi="宋体"/>
          <w:szCs w:val="24"/>
        </w:rPr>
        <w:t>16.2.</w:t>
      </w:r>
      <w:r>
        <w:rPr>
          <w:rFonts w:hAnsi="宋体"/>
          <w:szCs w:val="24"/>
        </w:rPr>
        <w:t>7</w:t>
      </w:r>
      <w:r>
        <w:rPr>
          <w:rFonts w:hint="eastAsia" w:hAnsi="宋体"/>
          <w:szCs w:val="24"/>
        </w:rPr>
        <w:t>基金财产清算剩余资产的分配</w:t>
      </w:r>
    </w:p>
    <w:p>
      <w:pPr>
        <w:pStyle w:val="10"/>
        <w:spacing w:line="520" w:lineRule="exact"/>
        <w:ind w:firstLine="480" w:firstLineChars="200"/>
        <w:rPr>
          <w:rFonts w:hAnsi="宋体"/>
          <w:szCs w:val="24"/>
        </w:rPr>
      </w:pPr>
      <w:r>
        <w:rPr>
          <w:rFonts w:hint="eastAsia" w:hAnsi="宋体"/>
          <w:szCs w:val="24"/>
        </w:rPr>
        <w:t>依据基金财产清算的分配方案，将基金财产清算后的全部剩余资产扣除基金财产清算费用、交纳所欠税款并清偿基金债务后，按基金份额持有人持有的各类基金份额比例进行分配。</w:t>
      </w:r>
    </w:p>
    <w:p>
      <w:pPr>
        <w:pStyle w:val="10"/>
        <w:spacing w:line="520" w:lineRule="exact"/>
        <w:ind w:firstLine="480" w:firstLineChars="200"/>
        <w:rPr>
          <w:rFonts w:hAnsi="宋体"/>
          <w:szCs w:val="24"/>
        </w:rPr>
      </w:pPr>
      <w:r>
        <w:rPr>
          <w:rFonts w:hint="eastAsia" w:hAnsi="宋体"/>
          <w:szCs w:val="24"/>
        </w:rPr>
        <w:t>16.2.</w:t>
      </w:r>
      <w:r>
        <w:rPr>
          <w:rFonts w:hAnsi="宋体"/>
          <w:szCs w:val="24"/>
        </w:rPr>
        <w:t>8</w:t>
      </w:r>
      <w:r>
        <w:rPr>
          <w:rFonts w:hint="eastAsia" w:hAnsi="宋体"/>
          <w:szCs w:val="24"/>
        </w:rPr>
        <w:t>基金财产清算的公告</w:t>
      </w:r>
    </w:p>
    <w:p>
      <w:pPr>
        <w:pStyle w:val="10"/>
        <w:spacing w:line="520" w:lineRule="exact"/>
        <w:ind w:firstLine="480" w:firstLineChars="200"/>
        <w:rPr>
          <w:rFonts w:hAnsi="宋体"/>
          <w:szCs w:val="24"/>
        </w:rPr>
      </w:pPr>
      <w:r>
        <w:rPr>
          <w:rFonts w:hint="eastAsia" w:hAnsi="宋体"/>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hint="eastAsia"/>
          <w:bCs/>
        </w:rPr>
        <w:t>，基金财产清算小组应当将清算报告登载在规定网站上，并将清算报告提示性公告登载在规定报刊上</w:t>
      </w:r>
      <w:r>
        <w:rPr>
          <w:rFonts w:hint="eastAsia" w:hAnsi="宋体"/>
          <w:szCs w:val="24"/>
        </w:rPr>
        <w:t>。</w:t>
      </w:r>
    </w:p>
    <w:p>
      <w:pPr>
        <w:pStyle w:val="10"/>
        <w:spacing w:line="520" w:lineRule="exact"/>
        <w:ind w:firstLine="480" w:firstLineChars="200"/>
        <w:rPr>
          <w:rFonts w:hAnsi="宋体"/>
          <w:szCs w:val="24"/>
        </w:rPr>
      </w:pPr>
      <w:r>
        <w:rPr>
          <w:rFonts w:hint="eastAsia" w:hAnsi="宋体"/>
          <w:szCs w:val="24"/>
        </w:rPr>
        <w:t>16.2.</w:t>
      </w:r>
      <w:r>
        <w:rPr>
          <w:rFonts w:hAnsi="宋体"/>
          <w:szCs w:val="24"/>
        </w:rPr>
        <w:t>9</w:t>
      </w:r>
      <w:r>
        <w:rPr>
          <w:rFonts w:hint="eastAsia" w:hAnsi="宋体"/>
          <w:szCs w:val="24"/>
        </w:rPr>
        <w:t>基金财产清算账册及文件的保存</w:t>
      </w:r>
    </w:p>
    <w:p>
      <w:pPr>
        <w:pStyle w:val="10"/>
        <w:spacing w:line="520" w:lineRule="exact"/>
        <w:ind w:firstLine="480" w:firstLineChars="200"/>
        <w:rPr>
          <w:rFonts w:hAnsi="宋体"/>
          <w:szCs w:val="24"/>
        </w:rPr>
      </w:pPr>
      <w:r>
        <w:rPr>
          <w:rFonts w:hint="eastAsia" w:hAnsi="宋体"/>
          <w:szCs w:val="24"/>
        </w:rPr>
        <w:t>基金财产清算账册及有关文件由基金托管人保存，保存期限不低于法律法规规定的最低期限。</w:t>
      </w:r>
    </w:p>
    <w:p>
      <w:pPr>
        <w:pStyle w:val="10"/>
        <w:spacing w:before="0" w:after="0" w:line="520" w:lineRule="exact"/>
        <w:ind w:left="0" w:firstLine="480" w:firstLineChars="200"/>
        <w:rPr>
          <w:rFonts w:hAnsi="宋体"/>
          <w:szCs w:val="24"/>
        </w:rPr>
      </w:pPr>
      <w:bookmarkStart w:id="90" w:name="_Toc296551353"/>
    </w:p>
    <w:bookmarkEnd w:id="89"/>
    <w:p>
      <w:pPr>
        <w:pStyle w:val="2"/>
        <w:spacing w:line="520" w:lineRule="exact"/>
        <w:ind w:firstLine="482" w:firstLineChars="200"/>
        <w:rPr>
          <w:bCs/>
          <w:color w:val="auto"/>
          <w:szCs w:val="24"/>
        </w:rPr>
      </w:pPr>
      <w:bookmarkStart w:id="91" w:name="_Toc1340"/>
      <w:bookmarkStart w:id="92" w:name="_Toc4870340"/>
      <w:bookmarkStart w:id="93" w:name="_Toc142055721"/>
      <w:r>
        <w:rPr>
          <w:rFonts w:hint="eastAsia"/>
          <w:bCs/>
          <w:color w:val="auto"/>
          <w:szCs w:val="24"/>
        </w:rPr>
        <w:t>第十七条 违约责任</w:t>
      </w:r>
      <w:bookmarkEnd w:id="90"/>
      <w:bookmarkEnd w:id="91"/>
      <w:bookmarkEnd w:id="92"/>
      <w:bookmarkEnd w:id="93"/>
    </w:p>
    <w:p>
      <w:pPr>
        <w:pStyle w:val="10"/>
        <w:spacing w:before="0" w:after="0" w:line="520" w:lineRule="exact"/>
        <w:ind w:left="0" w:firstLine="480" w:firstLineChars="200"/>
        <w:rPr>
          <w:rFonts w:hAnsi="宋体"/>
          <w:szCs w:val="24"/>
        </w:rPr>
      </w:pPr>
      <w:r>
        <w:rPr>
          <w:rFonts w:hint="eastAsia" w:hAnsi="宋体"/>
          <w:szCs w:val="24"/>
        </w:rPr>
        <w:t>17.1如果基金管理人或基金托管人不履行本托管协议或者履行本托管协议不符合约定的，应当承担违约责任。</w:t>
      </w:r>
    </w:p>
    <w:p>
      <w:pPr>
        <w:pStyle w:val="10"/>
        <w:spacing w:before="0" w:after="0" w:line="520" w:lineRule="exact"/>
        <w:ind w:left="0" w:firstLine="480" w:firstLineChars="200"/>
        <w:rPr>
          <w:rFonts w:hAnsi="宋体"/>
          <w:szCs w:val="24"/>
        </w:rPr>
      </w:pPr>
      <w:r>
        <w:rPr>
          <w:rFonts w:hint="eastAsia" w:hAnsi="宋体"/>
          <w:szCs w:val="24"/>
        </w:rPr>
        <w:t>17.2因托管协议当事人违约</w:t>
      </w:r>
      <w:bookmarkStart w:id="94" w:name="_Hlk116239716"/>
      <w:r>
        <w:rPr>
          <w:rFonts w:hint="eastAsia" w:hAnsi="宋体"/>
          <w:szCs w:val="24"/>
        </w:rPr>
        <w:t>给基金财产或者基金份额持有人造成损害的，应当分别对各自的行为依法承担赔偿责任，因共同行为给基金财产或者基金份额持有人造成损害的，应当承担连带赔偿责任。</w:t>
      </w:r>
      <w:r>
        <w:rPr>
          <w:bCs/>
        </w:rPr>
        <w:t>对损失的赔偿，仅限于直接损失</w:t>
      </w:r>
      <w:bookmarkEnd w:id="94"/>
      <w:bookmarkStart w:id="95" w:name="_Hlk116239726"/>
      <w:r>
        <w:rPr>
          <w:rFonts w:hint="eastAsia"/>
          <w:bCs/>
        </w:rPr>
        <w:t>。</w:t>
      </w:r>
      <w:r>
        <w:rPr>
          <w:rFonts w:hint="eastAsia" w:hAnsi="宋体"/>
          <w:szCs w:val="24"/>
        </w:rPr>
        <w:t>但是发生下列情况的，当事人可以免责：</w:t>
      </w:r>
    </w:p>
    <w:p>
      <w:pPr>
        <w:pStyle w:val="10"/>
        <w:spacing w:before="0" w:after="0" w:line="520" w:lineRule="exact"/>
        <w:ind w:left="0" w:firstLine="480" w:firstLineChars="200"/>
        <w:rPr>
          <w:rFonts w:hAnsi="宋体"/>
          <w:szCs w:val="24"/>
        </w:rPr>
      </w:pPr>
      <w:r>
        <w:rPr>
          <w:rFonts w:hint="eastAsia" w:hAnsi="宋体"/>
          <w:szCs w:val="24"/>
        </w:rPr>
        <w:t>（1）不可抗力；</w:t>
      </w:r>
    </w:p>
    <w:p>
      <w:pPr>
        <w:pStyle w:val="10"/>
        <w:spacing w:before="0" w:after="0" w:line="520" w:lineRule="exact"/>
        <w:ind w:left="0" w:firstLine="480" w:firstLineChars="200"/>
        <w:rPr>
          <w:rFonts w:hAnsi="宋体"/>
          <w:szCs w:val="24"/>
        </w:rPr>
      </w:pPr>
      <w:r>
        <w:rPr>
          <w:rFonts w:hint="eastAsia" w:hAnsi="宋体"/>
          <w:szCs w:val="24"/>
        </w:rPr>
        <w:t>（2）基金管理人</w:t>
      </w:r>
      <w:r>
        <w:rPr>
          <w:rFonts w:hint="eastAsia"/>
          <w:bCs/>
        </w:rPr>
        <w:t>和/或</w:t>
      </w:r>
      <w:r>
        <w:rPr>
          <w:rFonts w:hint="eastAsia" w:hAnsi="宋体"/>
          <w:szCs w:val="24"/>
        </w:rPr>
        <w:t>基金托管人按照</w:t>
      </w:r>
      <w:r>
        <w:rPr>
          <w:rFonts w:hint="eastAsia"/>
          <w:bCs/>
        </w:rPr>
        <w:t>当时</w:t>
      </w:r>
      <w:r>
        <w:rPr>
          <w:rFonts w:hint="eastAsia" w:hAnsi="宋体"/>
          <w:szCs w:val="24"/>
        </w:rPr>
        <w:t>有效的法律法规</w:t>
      </w:r>
      <w:r>
        <w:rPr>
          <w:rFonts w:hint="eastAsia"/>
          <w:bCs/>
        </w:rPr>
        <w:t>、规章、市场交易规则</w:t>
      </w:r>
      <w:r>
        <w:rPr>
          <w:rFonts w:hint="eastAsia" w:hAnsi="宋体"/>
          <w:szCs w:val="24"/>
        </w:rPr>
        <w:t>或中国证监会</w:t>
      </w:r>
      <w:r>
        <w:rPr>
          <w:rFonts w:hint="eastAsia"/>
          <w:bCs/>
        </w:rPr>
        <w:t>、银行业监督管理机构等监管机构</w:t>
      </w:r>
      <w:r>
        <w:rPr>
          <w:rFonts w:hint="eastAsia" w:hAnsi="宋体"/>
          <w:szCs w:val="24"/>
        </w:rPr>
        <w:t>的规定作为或不作为而造成的损失等；</w:t>
      </w:r>
    </w:p>
    <w:p>
      <w:pPr>
        <w:pStyle w:val="10"/>
        <w:spacing w:before="0" w:after="0" w:line="520" w:lineRule="exact"/>
        <w:ind w:left="0" w:firstLine="480" w:firstLineChars="200"/>
        <w:rPr>
          <w:rFonts w:hAnsi="宋体"/>
          <w:szCs w:val="24"/>
        </w:rPr>
      </w:pPr>
      <w:r>
        <w:rPr>
          <w:rFonts w:hint="eastAsia" w:hAnsi="宋体"/>
          <w:szCs w:val="24"/>
        </w:rPr>
        <w:t>（3）基金管理人由于按照基金合同规定的投资原则</w:t>
      </w:r>
      <w:r>
        <w:rPr>
          <w:rFonts w:hint="eastAsia"/>
          <w:bCs/>
        </w:rPr>
        <w:t>行使或不行使其投资权</w:t>
      </w:r>
      <w:r>
        <w:rPr>
          <w:rFonts w:hint="eastAsia" w:hAnsi="宋体"/>
          <w:szCs w:val="24"/>
        </w:rPr>
        <w:t>而造成的损失等。</w:t>
      </w:r>
    </w:p>
    <w:bookmarkEnd w:id="95"/>
    <w:p>
      <w:pPr>
        <w:pStyle w:val="10"/>
        <w:spacing w:before="0" w:after="0" w:line="520" w:lineRule="exact"/>
        <w:ind w:left="0" w:firstLine="480" w:firstLineChars="200"/>
        <w:rPr>
          <w:rFonts w:hAnsi="宋体"/>
          <w:szCs w:val="24"/>
        </w:rPr>
      </w:pPr>
      <w:r>
        <w:rPr>
          <w:rFonts w:hint="eastAsia" w:hAnsi="宋体"/>
          <w:szCs w:val="24"/>
        </w:rPr>
        <w:t>17.3如果由于本协议一方当事人（以下简称“违约方”）的违约行为给基金财产或基金投资人造成损失，另一方当事人（以下简称“非违约方”）有权利并且有义务代表基金对违约方进行追偿；如果由于违约方的违约行为导致非违约方赔偿了该基金财产或基金投资人所遭受的损失，则非违约方有权向违约方追索，违约方应赔偿和补偿非违约方由此发生的所有成本、费用和支出，以及由此遭受的损失。</w:t>
      </w:r>
    </w:p>
    <w:p>
      <w:pPr>
        <w:pStyle w:val="10"/>
        <w:spacing w:before="0" w:after="0" w:line="520" w:lineRule="exact"/>
        <w:ind w:left="0" w:firstLine="480" w:firstLineChars="200"/>
        <w:rPr>
          <w:rFonts w:hAnsi="宋体"/>
          <w:szCs w:val="24"/>
        </w:rPr>
      </w:pPr>
      <w:r>
        <w:rPr>
          <w:rFonts w:hint="eastAsia" w:hAnsi="宋体"/>
          <w:szCs w:val="24"/>
        </w:rPr>
        <w:t>17.4当事人一方违约，</w:t>
      </w:r>
      <w:bookmarkStart w:id="96" w:name="_Hlk116239822"/>
      <w:r>
        <w:rPr>
          <w:rFonts w:hint="eastAsia" w:hAnsi="宋体"/>
          <w:szCs w:val="24"/>
        </w:rPr>
        <w:t>非违约方当事人在职责范围内有义务及时采取必要的措施，防止损失的扩大。没有采取适当措施致使损失进一步扩大的，不得就扩大的损失要求赔偿。非违约方因防止损失扩大而支出的合理费用由违约方承担。</w:t>
      </w:r>
    </w:p>
    <w:bookmarkEnd w:id="96"/>
    <w:p>
      <w:pPr>
        <w:pStyle w:val="10"/>
        <w:spacing w:before="0" w:after="0" w:line="520" w:lineRule="exact"/>
        <w:ind w:left="0" w:firstLine="480" w:firstLineChars="200"/>
        <w:rPr>
          <w:rFonts w:hAnsi="宋体"/>
          <w:szCs w:val="24"/>
        </w:rPr>
      </w:pPr>
      <w:r>
        <w:rPr>
          <w:rFonts w:hint="eastAsia" w:hAnsi="宋体"/>
          <w:szCs w:val="24"/>
        </w:rPr>
        <w:t>17.5违约行为虽已发生，但本托管协议能够继续履行的，在最大限度地保护基金份额持有人利益的前提下，基金管理人和基金托管人应当继续履行本协议。</w:t>
      </w:r>
    </w:p>
    <w:p>
      <w:pPr>
        <w:pStyle w:val="10"/>
        <w:spacing w:before="0" w:after="0" w:line="520" w:lineRule="exact"/>
        <w:ind w:left="0" w:firstLine="480" w:firstLineChars="200"/>
        <w:rPr>
          <w:rFonts w:hAnsi="宋体"/>
          <w:szCs w:val="24"/>
        </w:rPr>
      </w:pPr>
      <w:r>
        <w:rPr>
          <w:rFonts w:hint="eastAsia" w:hAnsi="宋体"/>
          <w:szCs w:val="24"/>
        </w:rPr>
        <w:t>17.6</w:t>
      </w:r>
      <w:bookmarkStart w:id="97" w:name="_Hlk116239825"/>
      <w:r>
        <w:rPr>
          <w:rFonts w:hint="eastAsia" w:hAnsi="宋体"/>
          <w:szCs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bookmarkEnd w:id="97"/>
    <w:p>
      <w:pPr>
        <w:pStyle w:val="10"/>
        <w:spacing w:before="0" w:after="0" w:line="520" w:lineRule="exact"/>
        <w:ind w:left="0" w:firstLine="480" w:firstLineChars="200"/>
        <w:rPr>
          <w:rFonts w:hAnsi="宋体"/>
          <w:szCs w:val="24"/>
        </w:rPr>
      </w:pPr>
      <w:r>
        <w:rPr>
          <w:rFonts w:hint="eastAsia" w:hAnsi="宋体"/>
          <w:szCs w:val="24"/>
        </w:rPr>
        <w:t>17.7本协议所指损失均为直接损失。</w:t>
      </w:r>
    </w:p>
    <w:p>
      <w:pPr>
        <w:pStyle w:val="10"/>
        <w:spacing w:before="0" w:after="0" w:line="360" w:lineRule="auto"/>
        <w:ind w:left="0" w:firstLine="480" w:firstLineChars="200"/>
        <w:rPr>
          <w:rFonts w:hAnsi="宋体"/>
          <w:szCs w:val="24"/>
        </w:rPr>
      </w:pPr>
    </w:p>
    <w:p>
      <w:pPr>
        <w:pStyle w:val="2"/>
        <w:ind w:firstLine="482" w:firstLineChars="200"/>
        <w:rPr>
          <w:bCs/>
          <w:color w:val="auto"/>
          <w:szCs w:val="24"/>
        </w:rPr>
      </w:pPr>
      <w:bookmarkStart w:id="98" w:name="_Toc26976"/>
      <w:bookmarkStart w:id="99" w:name="_Toc296551354"/>
      <w:bookmarkStart w:id="100" w:name="_Toc4870341"/>
      <w:bookmarkStart w:id="101" w:name="_Toc142055722"/>
      <w:r>
        <w:rPr>
          <w:rFonts w:hint="eastAsia"/>
          <w:bCs/>
          <w:color w:val="auto"/>
          <w:szCs w:val="24"/>
        </w:rPr>
        <w:t>第十八条 争议解决方式</w:t>
      </w:r>
      <w:bookmarkEnd w:id="98"/>
      <w:bookmarkEnd w:id="99"/>
      <w:bookmarkEnd w:id="100"/>
      <w:bookmarkEnd w:id="101"/>
    </w:p>
    <w:p>
      <w:pPr>
        <w:spacing w:line="360" w:lineRule="auto"/>
        <w:ind w:firstLine="480" w:firstLineChars="200"/>
        <w:rPr>
          <w:bCs/>
          <w:sz w:val="24"/>
        </w:rPr>
      </w:pPr>
      <w:r>
        <w:rPr>
          <w:rFonts w:hint="eastAsia"/>
          <w:bCs/>
          <w:sz w:val="24"/>
        </w:rPr>
        <w:t>本协议及本协议项下双方的权利和义务适用中华人民共和国法律（为本协议之目的，不包括香港、澳门和台湾法律），并按照中华人民共和国法律解释。</w:t>
      </w:r>
    </w:p>
    <w:p>
      <w:pPr>
        <w:spacing w:line="360" w:lineRule="auto"/>
        <w:ind w:firstLine="480" w:firstLineChars="200"/>
        <w:rPr>
          <w:bCs/>
          <w:sz w:val="24"/>
        </w:rPr>
      </w:pPr>
      <w:r>
        <w:rPr>
          <w:rFonts w:hint="eastAsia"/>
          <w:bCs/>
          <w:sz w:val="24"/>
        </w:rPr>
        <w:t>凡因本协议产生的及与本协议有关的争议，双方均应协商、调解解决；协商、调解不成的，双方均同意采取以下方式解决：</w:t>
      </w:r>
    </w:p>
    <w:p>
      <w:pPr>
        <w:spacing w:line="360" w:lineRule="auto"/>
        <w:ind w:firstLine="480" w:firstLineChars="200"/>
        <w:rPr>
          <w:bCs/>
          <w:sz w:val="24"/>
        </w:rPr>
      </w:pPr>
      <w:r>
        <w:rPr>
          <w:rFonts w:hint="eastAsia"/>
          <w:bCs/>
          <w:sz w:val="24"/>
        </w:rPr>
        <w:t>向深圳国际仲裁院（深圳仲裁委员会）申请仲裁，并适用申请仲裁时深圳国际仲裁院（深圳仲裁委员会）届时有效的仲裁规则。仲裁地点为深圳市。仲裁裁决是终局的，对双方当事人均有约束力。仲裁费用</w:t>
      </w:r>
      <w:bookmarkStart w:id="102" w:name="_Hlk40729026"/>
      <w:r>
        <w:rPr>
          <w:rFonts w:hint="eastAsia"/>
          <w:bCs/>
          <w:sz w:val="24"/>
        </w:rPr>
        <w:t>、律师费用</w:t>
      </w:r>
      <w:bookmarkEnd w:id="102"/>
      <w:r>
        <w:rPr>
          <w:rFonts w:hint="eastAsia"/>
          <w:bCs/>
          <w:sz w:val="24"/>
        </w:rPr>
        <w:t>由败诉方承担，除非仲裁裁决另有决定。</w:t>
      </w:r>
    </w:p>
    <w:p>
      <w:pPr>
        <w:spacing w:line="360" w:lineRule="auto"/>
        <w:ind w:firstLine="480" w:firstLineChars="200"/>
        <w:rPr>
          <w:bCs/>
          <w:sz w:val="24"/>
        </w:rPr>
      </w:pPr>
      <w:r>
        <w:rPr>
          <w:rFonts w:hint="eastAsia"/>
          <w:bCs/>
          <w:sz w:val="24"/>
        </w:rPr>
        <w:t>争议处理期间，双方当事人应恪守基金管理人和基金托管人职责，继续忠实、勤勉、尽责地履行基金合同和托管协议规定的义务，维护基金份额持有人的合法权益。</w:t>
      </w:r>
    </w:p>
    <w:p>
      <w:pPr>
        <w:pStyle w:val="10"/>
        <w:spacing w:before="0" w:after="0" w:line="360" w:lineRule="auto"/>
        <w:ind w:left="0" w:firstLine="480" w:firstLineChars="200"/>
        <w:rPr>
          <w:rFonts w:hAnsi="宋体"/>
          <w:szCs w:val="24"/>
        </w:rPr>
      </w:pPr>
    </w:p>
    <w:p>
      <w:pPr>
        <w:pStyle w:val="2"/>
        <w:ind w:firstLine="482" w:firstLineChars="200"/>
        <w:rPr>
          <w:bCs/>
          <w:color w:val="auto"/>
          <w:szCs w:val="24"/>
        </w:rPr>
      </w:pPr>
      <w:bookmarkStart w:id="103" w:name="_Toc296551355"/>
      <w:bookmarkStart w:id="104" w:name="_Toc142055723"/>
      <w:bookmarkStart w:id="105" w:name="_Toc4870342"/>
      <w:bookmarkStart w:id="106" w:name="_Toc6877"/>
      <w:r>
        <w:rPr>
          <w:rFonts w:hint="eastAsia"/>
          <w:bCs/>
          <w:color w:val="auto"/>
          <w:szCs w:val="24"/>
        </w:rPr>
        <w:t>第十九条 基金托管协议的效力</w:t>
      </w:r>
      <w:bookmarkEnd w:id="103"/>
      <w:bookmarkEnd w:id="104"/>
      <w:bookmarkEnd w:id="105"/>
      <w:bookmarkEnd w:id="106"/>
    </w:p>
    <w:p>
      <w:pPr>
        <w:spacing w:line="360" w:lineRule="auto"/>
        <w:ind w:firstLine="480" w:firstLineChars="200"/>
        <w:rPr>
          <w:bCs/>
          <w:sz w:val="24"/>
        </w:rPr>
      </w:pPr>
      <w:r>
        <w:rPr>
          <w:rFonts w:hint="eastAsia"/>
          <w:bCs/>
          <w:sz w:val="24"/>
        </w:rPr>
        <w:t>19.1基金管理人在向中国证监会申请募集注册本基金时提交的托管协议草案，应经托管协议当事人加盖公章或合同专用章以及双方法定代表人或授权</w:t>
      </w:r>
      <w:r>
        <w:rPr>
          <w:bCs/>
          <w:sz w:val="24"/>
        </w:rPr>
        <w:t>代表</w:t>
      </w:r>
      <w:r>
        <w:rPr>
          <w:rFonts w:hint="eastAsia"/>
          <w:bCs/>
          <w:sz w:val="24"/>
        </w:rPr>
        <w:t>签字或盖章，协议当事人双方可能不时根据中国证监会的意见修改托管协议草案。托管协议以中国证监会注册的文本为正式文本。</w:t>
      </w:r>
    </w:p>
    <w:p>
      <w:pPr>
        <w:spacing w:line="360" w:lineRule="auto"/>
        <w:ind w:firstLine="480" w:firstLineChars="200"/>
        <w:rPr>
          <w:bCs/>
          <w:sz w:val="24"/>
        </w:rPr>
      </w:pPr>
      <w:r>
        <w:rPr>
          <w:rFonts w:hint="eastAsia"/>
          <w:bCs/>
          <w:sz w:val="24"/>
        </w:rPr>
        <w:t>19.2本托管协议自基金合同成立之日起成立，自基金合同生效之日起生效。本托管协议的有效期自其生效之日起至该基金财产清算结果报中国证监会备案并公告之日止。</w:t>
      </w:r>
    </w:p>
    <w:p>
      <w:pPr>
        <w:spacing w:line="360" w:lineRule="auto"/>
        <w:ind w:firstLine="480" w:firstLineChars="200"/>
        <w:rPr>
          <w:bCs/>
          <w:sz w:val="24"/>
        </w:rPr>
      </w:pPr>
      <w:r>
        <w:rPr>
          <w:rFonts w:hint="eastAsia"/>
          <w:bCs/>
          <w:sz w:val="24"/>
        </w:rPr>
        <w:t>19.3本托管协议自生效之日起对托管协议当事人具有同等的法律约束力。</w:t>
      </w:r>
    </w:p>
    <w:p>
      <w:pPr>
        <w:spacing w:line="360" w:lineRule="auto"/>
        <w:ind w:firstLine="480" w:firstLineChars="200"/>
        <w:rPr>
          <w:rFonts w:hAnsi="宋体"/>
          <w:szCs w:val="24"/>
        </w:rPr>
      </w:pPr>
      <w:r>
        <w:rPr>
          <w:rFonts w:hint="eastAsia"/>
          <w:bCs/>
          <w:sz w:val="24"/>
        </w:rPr>
        <w:t>19.4本托管协议正本一式三份，除上报有关监管机构一份外，基金管理人和基金托管人分别持有一份，每份具有同等的法律效力。</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107" w:name="_Toc2587"/>
      <w:bookmarkStart w:id="108" w:name="_Toc296551356"/>
      <w:bookmarkStart w:id="109" w:name="_Toc142055724"/>
      <w:bookmarkStart w:id="110" w:name="_Toc4870343"/>
      <w:r>
        <w:rPr>
          <w:rFonts w:hint="eastAsia"/>
          <w:bCs/>
          <w:color w:val="auto"/>
          <w:szCs w:val="24"/>
        </w:rPr>
        <w:t>第二十条 基金托管协议的签订</w:t>
      </w:r>
      <w:bookmarkEnd w:id="107"/>
      <w:bookmarkEnd w:id="108"/>
      <w:bookmarkEnd w:id="109"/>
      <w:bookmarkEnd w:id="110"/>
    </w:p>
    <w:p>
      <w:pPr>
        <w:snapToGrid w:val="0"/>
        <w:spacing w:line="520" w:lineRule="exact"/>
        <w:ind w:firstLine="480" w:firstLineChars="200"/>
        <w:rPr>
          <w:rFonts w:ascii="宋体" w:hAnsi="宋体"/>
          <w:sz w:val="24"/>
          <w:szCs w:val="24"/>
        </w:rPr>
      </w:pPr>
      <w:r>
        <w:rPr>
          <w:rFonts w:hint="eastAsia" w:ascii="宋体" w:hAnsi="宋体"/>
          <w:sz w:val="24"/>
          <w:szCs w:val="24"/>
        </w:rPr>
        <w:t>20.1本托管协议经基金管理人和基金托管人认可后，由该双方当事人在本托管协议上加盖公章或合同专用章，并由各自的法定代表人或授权代理人签字或盖章，并注明本托管协议的签订地点和签订日期。</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color w:val="auto"/>
          <w:szCs w:val="24"/>
        </w:rPr>
      </w:pPr>
      <w:bookmarkStart w:id="111" w:name="_Toc142055725"/>
      <w:bookmarkStart w:id="112" w:name="_Toc4870344"/>
      <w:bookmarkStart w:id="113" w:name="_Toc6382"/>
      <w:r>
        <w:rPr>
          <w:rFonts w:hint="eastAsia"/>
          <w:bCs/>
          <w:color w:val="auto"/>
          <w:szCs w:val="24"/>
        </w:rPr>
        <w:t>第二十一条 不可抗力</w:t>
      </w:r>
      <w:bookmarkEnd w:id="111"/>
      <w:bookmarkEnd w:id="112"/>
      <w:bookmarkEnd w:id="113"/>
    </w:p>
    <w:p>
      <w:pPr>
        <w:pStyle w:val="10"/>
        <w:spacing w:before="0" w:after="0" w:line="520" w:lineRule="exact"/>
        <w:ind w:left="0" w:firstLine="480" w:firstLineChars="200"/>
        <w:rPr>
          <w:rFonts w:hAnsi="宋体"/>
          <w:szCs w:val="24"/>
        </w:rPr>
      </w:pPr>
      <w:r>
        <w:rPr>
          <w:rFonts w:hint="eastAsia" w:hAnsi="宋体"/>
          <w:szCs w:val="24"/>
        </w:rPr>
        <w:t>21.1如果本协议任何一方因受不可抗力事件影响而未能履行其在本协议下的全部或部分义务，该义务的履行在不可抗力事件妨碍其履行期间应予中止。</w:t>
      </w:r>
    </w:p>
    <w:p>
      <w:pPr>
        <w:pStyle w:val="10"/>
        <w:spacing w:before="0" w:after="0" w:line="520" w:lineRule="exact"/>
        <w:ind w:left="0" w:firstLine="480" w:firstLineChars="200"/>
        <w:rPr>
          <w:rFonts w:hAnsi="宋体"/>
          <w:szCs w:val="24"/>
        </w:rPr>
      </w:pPr>
      <w:r>
        <w:rPr>
          <w:rFonts w:hint="eastAsia" w:hAnsi="宋体"/>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bookmarkStart w:id="127" w:name="_GoBack"/>
      <w:bookmarkEnd w:id="127"/>
    </w:p>
    <w:p>
      <w:pPr>
        <w:pStyle w:val="10"/>
        <w:spacing w:before="0" w:after="0" w:line="520" w:lineRule="exact"/>
        <w:ind w:left="0" w:firstLine="480" w:firstLineChars="200"/>
        <w:rPr>
          <w:rFonts w:hAnsi="宋体"/>
          <w:szCs w:val="24"/>
        </w:rPr>
      </w:pPr>
      <w:r>
        <w:rPr>
          <w:rFonts w:hint="eastAsia" w:hAnsi="宋体"/>
          <w:szCs w:val="24"/>
        </w:rPr>
        <w:t>21.3不可抗力事件发生时，双方应立即通过友好协商决定如何执行本协议。不可抗力事件或其影响终止或消除后，双方须立即恢复履行各自在本协议项下的各项义务。</w:t>
      </w:r>
    </w:p>
    <w:p>
      <w:pPr>
        <w:pStyle w:val="10"/>
        <w:spacing w:before="0" w:after="0" w:line="520" w:lineRule="exact"/>
        <w:ind w:left="0" w:firstLine="480" w:firstLineChars="200"/>
        <w:rPr>
          <w:rFonts w:hAnsi="宋体"/>
          <w:szCs w:val="24"/>
        </w:rPr>
      </w:pPr>
      <w:r>
        <w:rPr>
          <w:rFonts w:hint="eastAsia" w:hAnsi="宋体"/>
          <w:szCs w:val="24"/>
        </w:rPr>
        <w:t>21.4本条所述的不可抗力事件是指不能预见、不能避免并不能克服的客观情况。</w:t>
      </w:r>
    </w:p>
    <w:p>
      <w:pPr>
        <w:pStyle w:val="10"/>
        <w:spacing w:before="0" w:after="0" w:line="520" w:lineRule="exact"/>
        <w:ind w:left="0" w:firstLine="480" w:firstLineChars="200"/>
        <w:rPr>
          <w:rFonts w:hAnsi="宋体"/>
          <w:szCs w:val="24"/>
        </w:rPr>
      </w:pPr>
    </w:p>
    <w:p>
      <w:pPr>
        <w:pStyle w:val="2"/>
        <w:spacing w:line="520" w:lineRule="exact"/>
        <w:ind w:firstLine="482" w:firstLineChars="200"/>
        <w:rPr>
          <w:bCs/>
          <w:szCs w:val="24"/>
        </w:rPr>
      </w:pPr>
      <w:bookmarkStart w:id="114" w:name="_Toc132794325"/>
      <w:bookmarkEnd w:id="114"/>
      <w:bookmarkStart w:id="115" w:name="_Toc132794330"/>
      <w:bookmarkEnd w:id="115"/>
      <w:bookmarkStart w:id="116" w:name="_Toc132794328"/>
      <w:bookmarkEnd w:id="116"/>
      <w:bookmarkStart w:id="117" w:name="_Toc132794327"/>
      <w:bookmarkEnd w:id="117"/>
      <w:bookmarkStart w:id="118" w:name="_Toc132794326"/>
      <w:bookmarkEnd w:id="118"/>
      <w:bookmarkStart w:id="119" w:name="_Toc132794329"/>
      <w:bookmarkEnd w:id="119"/>
      <w:bookmarkStart w:id="120" w:name="_Toc132794324"/>
      <w:bookmarkEnd w:id="120"/>
      <w:bookmarkStart w:id="121" w:name="_Toc24511"/>
      <w:bookmarkStart w:id="122" w:name="_Toc4870345"/>
      <w:bookmarkStart w:id="123" w:name="_Toc142055726"/>
      <w:r>
        <w:rPr>
          <w:rFonts w:hint="eastAsia"/>
          <w:bCs/>
          <w:color w:val="auto"/>
          <w:szCs w:val="24"/>
        </w:rPr>
        <w:t>第二十二条</w:t>
      </w:r>
      <w:r>
        <w:rPr>
          <w:bCs/>
          <w:color w:val="auto"/>
          <w:szCs w:val="24"/>
        </w:rPr>
        <w:t xml:space="preserve"> </w:t>
      </w:r>
      <w:r>
        <w:rPr>
          <w:rFonts w:hint="eastAsia"/>
          <w:bCs/>
          <w:color w:val="auto"/>
          <w:szCs w:val="24"/>
        </w:rPr>
        <w:t>可分割性</w:t>
      </w:r>
      <w:bookmarkEnd w:id="121"/>
      <w:bookmarkEnd w:id="122"/>
      <w:bookmarkEnd w:id="123"/>
    </w:p>
    <w:p>
      <w:pPr>
        <w:pStyle w:val="10"/>
        <w:spacing w:before="0" w:after="0" w:line="520" w:lineRule="exact"/>
        <w:ind w:left="0" w:firstLine="480" w:firstLineChars="200"/>
        <w:rPr>
          <w:rFonts w:hAnsi="宋体"/>
          <w:szCs w:val="24"/>
        </w:rPr>
      </w:pPr>
      <w:r>
        <w:rPr>
          <w:rFonts w:hAnsi="宋体"/>
          <w:szCs w:val="24"/>
        </w:rPr>
        <w:t>22.1如果本协议任何约定依现行法律被确定为无效或无法实施，本协议的其他条款将继续有效。此种情况下，</w:t>
      </w:r>
      <w:r>
        <w:rPr>
          <w:rFonts w:hint="eastAsia" w:hAnsi="宋体"/>
          <w:szCs w:val="24"/>
        </w:rPr>
        <w:t>双方</w:t>
      </w:r>
      <w:r>
        <w:rPr>
          <w:rFonts w:hAnsi="宋体"/>
          <w:szCs w:val="24"/>
        </w:rPr>
        <w:t>将积极协商以达成有效的约定，且该有效约定应尽可能接近原规定和本协议相应的精神和宗旨。</w:t>
      </w:r>
    </w:p>
    <w:p>
      <w:pPr>
        <w:pStyle w:val="10"/>
        <w:spacing w:line="520" w:lineRule="exact"/>
        <w:rPr>
          <w:rFonts w:hAnsi="宋体"/>
          <w:sz w:val="28"/>
          <w:szCs w:val="28"/>
        </w:rPr>
      </w:pPr>
    </w:p>
    <w:p>
      <w:pPr>
        <w:pStyle w:val="2"/>
        <w:spacing w:line="520" w:lineRule="exact"/>
        <w:ind w:firstLine="482" w:firstLineChars="200"/>
        <w:rPr>
          <w:bCs/>
          <w:szCs w:val="24"/>
        </w:rPr>
      </w:pPr>
      <w:bookmarkStart w:id="124" w:name="_Toc142055727"/>
      <w:bookmarkStart w:id="125" w:name="_Toc22181"/>
      <w:bookmarkStart w:id="126" w:name="_Toc4870346"/>
      <w:r>
        <w:rPr>
          <w:rFonts w:hint="eastAsia"/>
          <w:bCs/>
          <w:color w:val="auto"/>
          <w:szCs w:val="24"/>
        </w:rPr>
        <w:t>第二十三条</w:t>
      </w:r>
      <w:r>
        <w:rPr>
          <w:bCs/>
          <w:color w:val="auto"/>
          <w:szCs w:val="24"/>
        </w:rPr>
        <w:t xml:space="preserve"> </w:t>
      </w:r>
      <w:r>
        <w:rPr>
          <w:rFonts w:hint="eastAsia"/>
          <w:bCs/>
          <w:color w:val="auto"/>
          <w:szCs w:val="24"/>
        </w:rPr>
        <w:t>通知与送达</w:t>
      </w:r>
      <w:bookmarkEnd w:id="124"/>
      <w:bookmarkEnd w:id="125"/>
      <w:bookmarkEnd w:id="126"/>
    </w:p>
    <w:p>
      <w:pPr>
        <w:pStyle w:val="10"/>
        <w:spacing w:line="520" w:lineRule="exact"/>
        <w:ind w:left="0" w:firstLine="480" w:firstLineChars="20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w:t>
      </w:r>
      <w:r>
        <w:rPr>
          <w:rFonts w:hint="eastAsia" w:hAnsi="宋体"/>
          <w:szCs w:val="24"/>
        </w:rPr>
        <w:t>对方</w:t>
      </w:r>
      <w:r>
        <w:rPr>
          <w:rFonts w:hAnsi="宋体"/>
          <w:szCs w:val="24"/>
        </w:rPr>
        <w:t>通知地址。</w:t>
      </w:r>
    </w:p>
    <w:p>
      <w:pPr>
        <w:pStyle w:val="10"/>
        <w:spacing w:line="520" w:lineRule="exact"/>
        <w:ind w:left="0" w:firstLine="480" w:firstLineChars="200"/>
        <w:rPr>
          <w:rFonts w:hAnsi="宋体"/>
          <w:szCs w:val="24"/>
        </w:rPr>
      </w:pPr>
      <w:r>
        <w:rPr>
          <w:rFonts w:hAnsi="宋体"/>
          <w:szCs w:val="24"/>
        </w:rPr>
        <w:t>23.2如采用挂号邮寄方式，上述文件或通知在</w:t>
      </w:r>
      <w:r>
        <w:rPr>
          <w:rFonts w:hint="eastAsia" w:hAnsi="宋体"/>
          <w:szCs w:val="24"/>
        </w:rPr>
        <w:t>收件方收到邮件时</w:t>
      </w:r>
      <w:r>
        <w:rPr>
          <w:rFonts w:hAnsi="宋体"/>
          <w:szCs w:val="24"/>
        </w:rPr>
        <w:t>，即视为送达；</w:t>
      </w:r>
      <w:r>
        <w:rPr>
          <w:rFonts w:hint="eastAsia" w:hAnsi="宋体"/>
          <w:szCs w:val="24"/>
        </w:rPr>
        <w:t>如采用快递方式，上述文件或通知在收件方收到邮件时</w:t>
      </w:r>
      <w:r>
        <w:rPr>
          <w:rFonts w:hAnsi="宋体"/>
          <w:szCs w:val="24"/>
        </w:rPr>
        <w:t>，即视为送达；如采用图文传真方式，</w:t>
      </w:r>
      <w:r>
        <w:rPr>
          <w:rFonts w:hint="eastAsia" w:hAnsi="宋体"/>
          <w:szCs w:val="24"/>
        </w:rPr>
        <w:t>有</w:t>
      </w:r>
      <w:r>
        <w:rPr>
          <w:rFonts w:hAnsi="宋体"/>
          <w:szCs w:val="24"/>
        </w:rPr>
        <w:t>发送成功回执所示之日，即视为送达。</w:t>
      </w:r>
    </w:p>
    <w:p>
      <w:pPr>
        <w:pStyle w:val="10"/>
        <w:spacing w:line="520" w:lineRule="exact"/>
        <w:ind w:left="0" w:firstLine="480" w:firstLineChars="200"/>
        <w:rPr>
          <w:szCs w:val="24"/>
        </w:rPr>
      </w:pPr>
      <w:r>
        <w:rPr>
          <w:rFonts w:hAnsi="宋体"/>
          <w:szCs w:val="24"/>
        </w:rPr>
        <w:t>23.3如果联系方式之任何一项发生变更，相关方应在变更后7日内将更改后的联系方式按本条的约定书面通知对方。此后，本条约定的文件或通知应按变更后的联系方式送达，如相关方未能及时通知的，由此引发的</w:t>
      </w:r>
      <w:r>
        <w:rPr>
          <w:rFonts w:hint="eastAsia" w:hAnsi="宋体"/>
          <w:szCs w:val="24"/>
        </w:rPr>
        <w:t>相应</w:t>
      </w:r>
      <w:r>
        <w:rPr>
          <w:rFonts w:hAnsi="宋体"/>
          <w:szCs w:val="24"/>
        </w:rPr>
        <w:t>不利后果由责任方承担。</w:t>
      </w:r>
    </w:p>
    <w:sectPr>
      <w:footerReference r:id="rId8"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N2NlYzNkOGFiZDg2ZDQyNDgyMjAyMTRlZjJjYzQifQ=="/>
  </w:docVars>
  <w:rsids>
    <w:rsidRoot w:val="00552CCB"/>
    <w:rsid w:val="00005F02"/>
    <w:rsid w:val="000106D7"/>
    <w:rsid w:val="000107EC"/>
    <w:rsid w:val="000141A3"/>
    <w:rsid w:val="00014405"/>
    <w:rsid w:val="00014BE3"/>
    <w:rsid w:val="00014C75"/>
    <w:rsid w:val="00014D0C"/>
    <w:rsid w:val="000156D9"/>
    <w:rsid w:val="00016BB8"/>
    <w:rsid w:val="000209C9"/>
    <w:rsid w:val="00023A92"/>
    <w:rsid w:val="00027285"/>
    <w:rsid w:val="00031499"/>
    <w:rsid w:val="00037404"/>
    <w:rsid w:val="00037818"/>
    <w:rsid w:val="00037980"/>
    <w:rsid w:val="000428BD"/>
    <w:rsid w:val="00042A25"/>
    <w:rsid w:val="00042EEE"/>
    <w:rsid w:val="000436BA"/>
    <w:rsid w:val="00043FB7"/>
    <w:rsid w:val="00046B2A"/>
    <w:rsid w:val="00052219"/>
    <w:rsid w:val="000559C3"/>
    <w:rsid w:val="00055E92"/>
    <w:rsid w:val="00056FED"/>
    <w:rsid w:val="00062021"/>
    <w:rsid w:val="00062491"/>
    <w:rsid w:val="00066BF4"/>
    <w:rsid w:val="0006754D"/>
    <w:rsid w:val="0007041A"/>
    <w:rsid w:val="0007129A"/>
    <w:rsid w:val="00071F28"/>
    <w:rsid w:val="0007202F"/>
    <w:rsid w:val="0007356D"/>
    <w:rsid w:val="00074856"/>
    <w:rsid w:val="0008163D"/>
    <w:rsid w:val="0008253A"/>
    <w:rsid w:val="00083A77"/>
    <w:rsid w:val="00084B1A"/>
    <w:rsid w:val="00085146"/>
    <w:rsid w:val="00091CE8"/>
    <w:rsid w:val="00093120"/>
    <w:rsid w:val="00093258"/>
    <w:rsid w:val="00095704"/>
    <w:rsid w:val="00096A27"/>
    <w:rsid w:val="000A21D3"/>
    <w:rsid w:val="000A6FC1"/>
    <w:rsid w:val="000B1E50"/>
    <w:rsid w:val="000B201A"/>
    <w:rsid w:val="000B3431"/>
    <w:rsid w:val="000C0814"/>
    <w:rsid w:val="000C0905"/>
    <w:rsid w:val="000C152B"/>
    <w:rsid w:val="000C56E5"/>
    <w:rsid w:val="000C6BA3"/>
    <w:rsid w:val="000D17C9"/>
    <w:rsid w:val="000D1FEE"/>
    <w:rsid w:val="000D59DE"/>
    <w:rsid w:val="000D5AF7"/>
    <w:rsid w:val="000D6C86"/>
    <w:rsid w:val="000E216E"/>
    <w:rsid w:val="000E3173"/>
    <w:rsid w:val="000E3180"/>
    <w:rsid w:val="000E3608"/>
    <w:rsid w:val="000E7A8D"/>
    <w:rsid w:val="000F412A"/>
    <w:rsid w:val="000F6613"/>
    <w:rsid w:val="000F6C6B"/>
    <w:rsid w:val="00100BD0"/>
    <w:rsid w:val="00101973"/>
    <w:rsid w:val="00101CEC"/>
    <w:rsid w:val="001022CC"/>
    <w:rsid w:val="0010239C"/>
    <w:rsid w:val="00102F71"/>
    <w:rsid w:val="00104D11"/>
    <w:rsid w:val="00107051"/>
    <w:rsid w:val="00107257"/>
    <w:rsid w:val="00107894"/>
    <w:rsid w:val="00114D4A"/>
    <w:rsid w:val="0011749D"/>
    <w:rsid w:val="001177F0"/>
    <w:rsid w:val="00117AD6"/>
    <w:rsid w:val="00126D6A"/>
    <w:rsid w:val="00127695"/>
    <w:rsid w:val="00127943"/>
    <w:rsid w:val="00130BF8"/>
    <w:rsid w:val="00130C38"/>
    <w:rsid w:val="00132302"/>
    <w:rsid w:val="00132BE4"/>
    <w:rsid w:val="00137C67"/>
    <w:rsid w:val="0014134F"/>
    <w:rsid w:val="0014323B"/>
    <w:rsid w:val="00143F59"/>
    <w:rsid w:val="00145C16"/>
    <w:rsid w:val="001576A5"/>
    <w:rsid w:val="001657D8"/>
    <w:rsid w:val="001668C7"/>
    <w:rsid w:val="00166FFC"/>
    <w:rsid w:val="0017215B"/>
    <w:rsid w:val="001728EB"/>
    <w:rsid w:val="00175B0A"/>
    <w:rsid w:val="0017618D"/>
    <w:rsid w:val="0017761E"/>
    <w:rsid w:val="001823F2"/>
    <w:rsid w:val="001B0A60"/>
    <w:rsid w:val="001B0F1A"/>
    <w:rsid w:val="001B2AF0"/>
    <w:rsid w:val="001B687D"/>
    <w:rsid w:val="001B7022"/>
    <w:rsid w:val="001C0BC1"/>
    <w:rsid w:val="001C2ACF"/>
    <w:rsid w:val="001C66BC"/>
    <w:rsid w:val="001D03D4"/>
    <w:rsid w:val="001D09A0"/>
    <w:rsid w:val="001D1205"/>
    <w:rsid w:val="001D3E64"/>
    <w:rsid w:val="001D444B"/>
    <w:rsid w:val="001E0FA5"/>
    <w:rsid w:val="001E1968"/>
    <w:rsid w:val="001E33B7"/>
    <w:rsid w:val="001E5FF4"/>
    <w:rsid w:val="001E6B63"/>
    <w:rsid w:val="001E6CD7"/>
    <w:rsid w:val="001F3771"/>
    <w:rsid w:val="001F5108"/>
    <w:rsid w:val="001F690F"/>
    <w:rsid w:val="001F7A2C"/>
    <w:rsid w:val="0020267E"/>
    <w:rsid w:val="0020332E"/>
    <w:rsid w:val="00203D12"/>
    <w:rsid w:val="00204509"/>
    <w:rsid w:val="00205409"/>
    <w:rsid w:val="00205713"/>
    <w:rsid w:val="00206D6B"/>
    <w:rsid w:val="00210627"/>
    <w:rsid w:val="002140E3"/>
    <w:rsid w:val="00214195"/>
    <w:rsid w:val="002158ED"/>
    <w:rsid w:val="00216726"/>
    <w:rsid w:val="00217901"/>
    <w:rsid w:val="00217B60"/>
    <w:rsid w:val="002216DF"/>
    <w:rsid w:val="00221C8C"/>
    <w:rsid w:val="00225A43"/>
    <w:rsid w:val="0022731E"/>
    <w:rsid w:val="0023175F"/>
    <w:rsid w:val="00232474"/>
    <w:rsid w:val="00234CB5"/>
    <w:rsid w:val="002367C8"/>
    <w:rsid w:val="00244076"/>
    <w:rsid w:val="00244F0B"/>
    <w:rsid w:val="002464DB"/>
    <w:rsid w:val="002505F2"/>
    <w:rsid w:val="002521BB"/>
    <w:rsid w:val="00256509"/>
    <w:rsid w:val="002567AE"/>
    <w:rsid w:val="00256B29"/>
    <w:rsid w:val="002620B5"/>
    <w:rsid w:val="002621D3"/>
    <w:rsid w:val="00270B1B"/>
    <w:rsid w:val="00273F36"/>
    <w:rsid w:val="0027511C"/>
    <w:rsid w:val="00275823"/>
    <w:rsid w:val="00280105"/>
    <w:rsid w:val="00282CB6"/>
    <w:rsid w:val="00283722"/>
    <w:rsid w:val="00283A9C"/>
    <w:rsid w:val="00283AF1"/>
    <w:rsid w:val="00287B4C"/>
    <w:rsid w:val="00287F46"/>
    <w:rsid w:val="0029383A"/>
    <w:rsid w:val="002A0597"/>
    <w:rsid w:val="002A153D"/>
    <w:rsid w:val="002A34FB"/>
    <w:rsid w:val="002A4594"/>
    <w:rsid w:val="002B0046"/>
    <w:rsid w:val="002B1496"/>
    <w:rsid w:val="002B1B6B"/>
    <w:rsid w:val="002C013E"/>
    <w:rsid w:val="002C09EA"/>
    <w:rsid w:val="002C191C"/>
    <w:rsid w:val="002C4590"/>
    <w:rsid w:val="002D2CC5"/>
    <w:rsid w:val="002D64E1"/>
    <w:rsid w:val="002E6D49"/>
    <w:rsid w:val="002E70FB"/>
    <w:rsid w:val="002F1D9A"/>
    <w:rsid w:val="002F1FB2"/>
    <w:rsid w:val="002F3666"/>
    <w:rsid w:val="002F7781"/>
    <w:rsid w:val="002F7C1F"/>
    <w:rsid w:val="0030176E"/>
    <w:rsid w:val="003136AE"/>
    <w:rsid w:val="00313E15"/>
    <w:rsid w:val="00314EE7"/>
    <w:rsid w:val="00315056"/>
    <w:rsid w:val="00316F0E"/>
    <w:rsid w:val="003209EF"/>
    <w:rsid w:val="003210B5"/>
    <w:rsid w:val="003223F9"/>
    <w:rsid w:val="003235AA"/>
    <w:rsid w:val="00325D1A"/>
    <w:rsid w:val="0032781F"/>
    <w:rsid w:val="00333F0A"/>
    <w:rsid w:val="00340C8E"/>
    <w:rsid w:val="003415A9"/>
    <w:rsid w:val="00342101"/>
    <w:rsid w:val="0035177F"/>
    <w:rsid w:val="003517AE"/>
    <w:rsid w:val="003561E9"/>
    <w:rsid w:val="0036050F"/>
    <w:rsid w:val="0036296B"/>
    <w:rsid w:val="00363BF9"/>
    <w:rsid w:val="00364077"/>
    <w:rsid w:val="00364169"/>
    <w:rsid w:val="00365065"/>
    <w:rsid w:val="00365394"/>
    <w:rsid w:val="00366C3B"/>
    <w:rsid w:val="00367DB1"/>
    <w:rsid w:val="00370E6A"/>
    <w:rsid w:val="00372E05"/>
    <w:rsid w:val="003738EB"/>
    <w:rsid w:val="00376470"/>
    <w:rsid w:val="00380257"/>
    <w:rsid w:val="00380399"/>
    <w:rsid w:val="003820CE"/>
    <w:rsid w:val="0038599A"/>
    <w:rsid w:val="00385CF5"/>
    <w:rsid w:val="003863B6"/>
    <w:rsid w:val="00393A4B"/>
    <w:rsid w:val="0039704D"/>
    <w:rsid w:val="0039743C"/>
    <w:rsid w:val="003A3E8E"/>
    <w:rsid w:val="003A61D6"/>
    <w:rsid w:val="003B2194"/>
    <w:rsid w:val="003B240A"/>
    <w:rsid w:val="003B3655"/>
    <w:rsid w:val="003B4EDD"/>
    <w:rsid w:val="003B50E1"/>
    <w:rsid w:val="003C1B3E"/>
    <w:rsid w:val="003C20E6"/>
    <w:rsid w:val="003C235D"/>
    <w:rsid w:val="003C2DEB"/>
    <w:rsid w:val="003C2F48"/>
    <w:rsid w:val="003C30EF"/>
    <w:rsid w:val="003C3C90"/>
    <w:rsid w:val="003C5A81"/>
    <w:rsid w:val="003C67A3"/>
    <w:rsid w:val="003C6E19"/>
    <w:rsid w:val="003D0785"/>
    <w:rsid w:val="003D0ADA"/>
    <w:rsid w:val="003D24E0"/>
    <w:rsid w:val="003D6E5F"/>
    <w:rsid w:val="003D6E63"/>
    <w:rsid w:val="003D7086"/>
    <w:rsid w:val="003D778D"/>
    <w:rsid w:val="003E0EAC"/>
    <w:rsid w:val="003E25E9"/>
    <w:rsid w:val="003E282D"/>
    <w:rsid w:val="003E5B9D"/>
    <w:rsid w:val="003E619A"/>
    <w:rsid w:val="003E62E1"/>
    <w:rsid w:val="003F26BF"/>
    <w:rsid w:val="003F38FA"/>
    <w:rsid w:val="003F6115"/>
    <w:rsid w:val="003F76F1"/>
    <w:rsid w:val="004056F9"/>
    <w:rsid w:val="00407ACF"/>
    <w:rsid w:val="00411EC2"/>
    <w:rsid w:val="0041203E"/>
    <w:rsid w:val="00412CB2"/>
    <w:rsid w:val="0041673C"/>
    <w:rsid w:val="00417D16"/>
    <w:rsid w:val="00425F13"/>
    <w:rsid w:val="00427C8A"/>
    <w:rsid w:val="00430B01"/>
    <w:rsid w:val="004311E8"/>
    <w:rsid w:val="004339DF"/>
    <w:rsid w:val="00436366"/>
    <w:rsid w:val="004412E4"/>
    <w:rsid w:val="004464B7"/>
    <w:rsid w:val="0044652B"/>
    <w:rsid w:val="00451371"/>
    <w:rsid w:val="00456A15"/>
    <w:rsid w:val="00457BB4"/>
    <w:rsid w:val="00461904"/>
    <w:rsid w:val="0046244C"/>
    <w:rsid w:val="00462A74"/>
    <w:rsid w:val="00466BFC"/>
    <w:rsid w:val="00470CBF"/>
    <w:rsid w:val="004734B3"/>
    <w:rsid w:val="00474712"/>
    <w:rsid w:val="00475401"/>
    <w:rsid w:val="00477B4A"/>
    <w:rsid w:val="004805E0"/>
    <w:rsid w:val="00481F09"/>
    <w:rsid w:val="004836AD"/>
    <w:rsid w:val="00483A2F"/>
    <w:rsid w:val="0049254D"/>
    <w:rsid w:val="00493A17"/>
    <w:rsid w:val="004A0050"/>
    <w:rsid w:val="004A0749"/>
    <w:rsid w:val="004A1A63"/>
    <w:rsid w:val="004A2093"/>
    <w:rsid w:val="004A26BE"/>
    <w:rsid w:val="004A4507"/>
    <w:rsid w:val="004B0A2F"/>
    <w:rsid w:val="004B2B0E"/>
    <w:rsid w:val="004B76D3"/>
    <w:rsid w:val="004B7793"/>
    <w:rsid w:val="004C0D1D"/>
    <w:rsid w:val="004C14BD"/>
    <w:rsid w:val="004C591B"/>
    <w:rsid w:val="004E0C8D"/>
    <w:rsid w:val="004E0CA8"/>
    <w:rsid w:val="004E306E"/>
    <w:rsid w:val="004E52E8"/>
    <w:rsid w:val="004E5621"/>
    <w:rsid w:val="004E71FF"/>
    <w:rsid w:val="004E7254"/>
    <w:rsid w:val="004F5ED3"/>
    <w:rsid w:val="004F7098"/>
    <w:rsid w:val="00500435"/>
    <w:rsid w:val="00501CDD"/>
    <w:rsid w:val="00503AC8"/>
    <w:rsid w:val="005045C5"/>
    <w:rsid w:val="0050533A"/>
    <w:rsid w:val="00507836"/>
    <w:rsid w:val="00511C1D"/>
    <w:rsid w:val="005147D9"/>
    <w:rsid w:val="00514ECE"/>
    <w:rsid w:val="005159E9"/>
    <w:rsid w:val="0052005B"/>
    <w:rsid w:val="00520819"/>
    <w:rsid w:val="005223A4"/>
    <w:rsid w:val="005238B4"/>
    <w:rsid w:val="00526BD9"/>
    <w:rsid w:val="00527230"/>
    <w:rsid w:val="00527381"/>
    <w:rsid w:val="00530616"/>
    <w:rsid w:val="005307DB"/>
    <w:rsid w:val="00531771"/>
    <w:rsid w:val="00532F74"/>
    <w:rsid w:val="00533B7B"/>
    <w:rsid w:val="00543408"/>
    <w:rsid w:val="0054458F"/>
    <w:rsid w:val="00547928"/>
    <w:rsid w:val="005509E7"/>
    <w:rsid w:val="00550C71"/>
    <w:rsid w:val="00552169"/>
    <w:rsid w:val="00552A33"/>
    <w:rsid w:val="00552CCB"/>
    <w:rsid w:val="00556878"/>
    <w:rsid w:val="005576FE"/>
    <w:rsid w:val="0056037A"/>
    <w:rsid w:val="00561A63"/>
    <w:rsid w:val="0057654D"/>
    <w:rsid w:val="00583D71"/>
    <w:rsid w:val="00586EC5"/>
    <w:rsid w:val="00587B4D"/>
    <w:rsid w:val="00591B16"/>
    <w:rsid w:val="00597D46"/>
    <w:rsid w:val="005A11E0"/>
    <w:rsid w:val="005A1862"/>
    <w:rsid w:val="005A1FC8"/>
    <w:rsid w:val="005A52A1"/>
    <w:rsid w:val="005A745C"/>
    <w:rsid w:val="005B0CCB"/>
    <w:rsid w:val="005B0F25"/>
    <w:rsid w:val="005B4A54"/>
    <w:rsid w:val="005B5E7A"/>
    <w:rsid w:val="005B65B8"/>
    <w:rsid w:val="005B743F"/>
    <w:rsid w:val="005B7532"/>
    <w:rsid w:val="005C03E6"/>
    <w:rsid w:val="005C1E96"/>
    <w:rsid w:val="005C464E"/>
    <w:rsid w:val="005C5DFC"/>
    <w:rsid w:val="005C71C5"/>
    <w:rsid w:val="005C770C"/>
    <w:rsid w:val="005D0467"/>
    <w:rsid w:val="005D11F0"/>
    <w:rsid w:val="005D18F6"/>
    <w:rsid w:val="005D442A"/>
    <w:rsid w:val="005D4DA3"/>
    <w:rsid w:val="005D5624"/>
    <w:rsid w:val="005D610A"/>
    <w:rsid w:val="005E0DF0"/>
    <w:rsid w:val="005E189B"/>
    <w:rsid w:val="005E2FF6"/>
    <w:rsid w:val="005E3419"/>
    <w:rsid w:val="005E3FB2"/>
    <w:rsid w:val="005E627C"/>
    <w:rsid w:val="005E6F2F"/>
    <w:rsid w:val="005F012D"/>
    <w:rsid w:val="005F0CA6"/>
    <w:rsid w:val="005F1AA1"/>
    <w:rsid w:val="005F221B"/>
    <w:rsid w:val="005F26E8"/>
    <w:rsid w:val="005F40DE"/>
    <w:rsid w:val="005F42C5"/>
    <w:rsid w:val="005F6D11"/>
    <w:rsid w:val="005F7024"/>
    <w:rsid w:val="0060046E"/>
    <w:rsid w:val="0060055C"/>
    <w:rsid w:val="0060330F"/>
    <w:rsid w:val="006039BB"/>
    <w:rsid w:val="00604C7B"/>
    <w:rsid w:val="00605F47"/>
    <w:rsid w:val="00606DA2"/>
    <w:rsid w:val="00611747"/>
    <w:rsid w:val="00612C29"/>
    <w:rsid w:val="00613002"/>
    <w:rsid w:val="00613688"/>
    <w:rsid w:val="00616872"/>
    <w:rsid w:val="00617DB1"/>
    <w:rsid w:val="00620347"/>
    <w:rsid w:val="006230F0"/>
    <w:rsid w:val="0062458F"/>
    <w:rsid w:val="006255DE"/>
    <w:rsid w:val="0062582F"/>
    <w:rsid w:val="00626D78"/>
    <w:rsid w:val="00627B8E"/>
    <w:rsid w:val="00627E17"/>
    <w:rsid w:val="00630C12"/>
    <w:rsid w:val="00632845"/>
    <w:rsid w:val="006333AF"/>
    <w:rsid w:val="00634218"/>
    <w:rsid w:val="006376D9"/>
    <w:rsid w:val="00642D98"/>
    <w:rsid w:val="006433ED"/>
    <w:rsid w:val="0064582C"/>
    <w:rsid w:val="00645BD9"/>
    <w:rsid w:val="00646351"/>
    <w:rsid w:val="00646359"/>
    <w:rsid w:val="0065005E"/>
    <w:rsid w:val="0065050A"/>
    <w:rsid w:val="00651016"/>
    <w:rsid w:val="006513FE"/>
    <w:rsid w:val="00651D25"/>
    <w:rsid w:val="00653C7B"/>
    <w:rsid w:val="0065472A"/>
    <w:rsid w:val="0065631C"/>
    <w:rsid w:val="0066277C"/>
    <w:rsid w:val="00662C22"/>
    <w:rsid w:val="00671709"/>
    <w:rsid w:val="00671AD7"/>
    <w:rsid w:val="006745D6"/>
    <w:rsid w:val="00676EFA"/>
    <w:rsid w:val="00676F66"/>
    <w:rsid w:val="00681978"/>
    <w:rsid w:val="00681B36"/>
    <w:rsid w:val="00682F3F"/>
    <w:rsid w:val="0068465B"/>
    <w:rsid w:val="0068490C"/>
    <w:rsid w:val="00685D00"/>
    <w:rsid w:val="00686B19"/>
    <w:rsid w:val="00697060"/>
    <w:rsid w:val="00697D4D"/>
    <w:rsid w:val="006A204A"/>
    <w:rsid w:val="006B2D35"/>
    <w:rsid w:val="006B3419"/>
    <w:rsid w:val="006B4942"/>
    <w:rsid w:val="006B5645"/>
    <w:rsid w:val="006B567E"/>
    <w:rsid w:val="006B736D"/>
    <w:rsid w:val="006C0517"/>
    <w:rsid w:val="006C57AC"/>
    <w:rsid w:val="006D0D7B"/>
    <w:rsid w:val="006D311A"/>
    <w:rsid w:val="006D54CF"/>
    <w:rsid w:val="006E062A"/>
    <w:rsid w:val="006E134B"/>
    <w:rsid w:val="006E1B89"/>
    <w:rsid w:val="006E1C21"/>
    <w:rsid w:val="006E5F66"/>
    <w:rsid w:val="006E616F"/>
    <w:rsid w:val="006E6265"/>
    <w:rsid w:val="006F0448"/>
    <w:rsid w:val="006F4830"/>
    <w:rsid w:val="006F7167"/>
    <w:rsid w:val="0070432C"/>
    <w:rsid w:val="0070544A"/>
    <w:rsid w:val="007061F2"/>
    <w:rsid w:val="007062CE"/>
    <w:rsid w:val="007105D4"/>
    <w:rsid w:val="00710D7C"/>
    <w:rsid w:val="00715971"/>
    <w:rsid w:val="0072065E"/>
    <w:rsid w:val="00723A7F"/>
    <w:rsid w:val="00735556"/>
    <w:rsid w:val="00737870"/>
    <w:rsid w:val="00742138"/>
    <w:rsid w:val="007451E3"/>
    <w:rsid w:val="00746AE1"/>
    <w:rsid w:val="007527F9"/>
    <w:rsid w:val="00754377"/>
    <w:rsid w:val="0075595F"/>
    <w:rsid w:val="007564E2"/>
    <w:rsid w:val="00761327"/>
    <w:rsid w:val="00772F6C"/>
    <w:rsid w:val="00773CE9"/>
    <w:rsid w:val="00780EBD"/>
    <w:rsid w:val="00780FDB"/>
    <w:rsid w:val="00782D76"/>
    <w:rsid w:val="00786DDE"/>
    <w:rsid w:val="00787237"/>
    <w:rsid w:val="00787D32"/>
    <w:rsid w:val="00792ABE"/>
    <w:rsid w:val="007A4FFD"/>
    <w:rsid w:val="007A7BFA"/>
    <w:rsid w:val="007B0920"/>
    <w:rsid w:val="007B0DCD"/>
    <w:rsid w:val="007B24A9"/>
    <w:rsid w:val="007B3F34"/>
    <w:rsid w:val="007C2E5A"/>
    <w:rsid w:val="007C3B71"/>
    <w:rsid w:val="007C56B2"/>
    <w:rsid w:val="007D21F7"/>
    <w:rsid w:val="007D65B4"/>
    <w:rsid w:val="007D7C3F"/>
    <w:rsid w:val="007E3074"/>
    <w:rsid w:val="007E32F0"/>
    <w:rsid w:val="007E4C43"/>
    <w:rsid w:val="007E5419"/>
    <w:rsid w:val="007E66C2"/>
    <w:rsid w:val="007E799A"/>
    <w:rsid w:val="007F111D"/>
    <w:rsid w:val="007F28F2"/>
    <w:rsid w:val="007F4471"/>
    <w:rsid w:val="007F6E45"/>
    <w:rsid w:val="007F780A"/>
    <w:rsid w:val="00804D7A"/>
    <w:rsid w:val="00805E3E"/>
    <w:rsid w:val="00806DC3"/>
    <w:rsid w:val="00810562"/>
    <w:rsid w:val="0081334C"/>
    <w:rsid w:val="008138B1"/>
    <w:rsid w:val="00813D4E"/>
    <w:rsid w:val="00815E67"/>
    <w:rsid w:val="0082011A"/>
    <w:rsid w:val="00824366"/>
    <w:rsid w:val="00831000"/>
    <w:rsid w:val="00831BAC"/>
    <w:rsid w:val="0083307F"/>
    <w:rsid w:val="008340D7"/>
    <w:rsid w:val="00836535"/>
    <w:rsid w:val="00840DE2"/>
    <w:rsid w:val="00843562"/>
    <w:rsid w:val="00844028"/>
    <w:rsid w:val="0084464F"/>
    <w:rsid w:val="0084467C"/>
    <w:rsid w:val="00844681"/>
    <w:rsid w:val="00850A81"/>
    <w:rsid w:val="008518D6"/>
    <w:rsid w:val="0085240F"/>
    <w:rsid w:val="00853FDC"/>
    <w:rsid w:val="008723BB"/>
    <w:rsid w:val="008738FF"/>
    <w:rsid w:val="0087434D"/>
    <w:rsid w:val="008758F6"/>
    <w:rsid w:val="00883E74"/>
    <w:rsid w:val="00886001"/>
    <w:rsid w:val="00895349"/>
    <w:rsid w:val="008A1C89"/>
    <w:rsid w:val="008A72C2"/>
    <w:rsid w:val="008A772E"/>
    <w:rsid w:val="008A77A6"/>
    <w:rsid w:val="008B2D41"/>
    <w:rsid w:val="008B4A96"/>
    <w:rsid w:val="008B5916"/>
    <w:rsid w:val="008B6A77"/>
    <w:rsid w:val="008B7214"/>
    <w:rsid w:val="008D1670"/>
    <w:rsid w:val="008D4A67"/>
    <w:rsid w:val="008D66AB"/>
    <w:rsid w:val="008E11E4"/>
    <w:rsid w:val="008E2F42"/>
    <w:rsid w:val="008E3AE4"/>
    <w:rsid w:val="008E4050"/>
    <w:rsid w:val="008E506F"/>
    <w:rsid w:val="008E7036"/>
    <w:rsid w:val="008F3907"/>
    <w:rsid w:val="008F3F36"/>
    <w:rsid w:val="008F7242"/>
    <w:rsid w:val="00901F55"/>
    <w:rsid w:val="00903E0C"/>
    <w:rsid w:val="00905C7A"/>
    <w:rsid w:val="00905CA9"/>
    <w:rsid w:val="00910563"/>
    <w:rsid w:val="00910AD0"/>
    <w:rsid w:val="00910BB9"/>
    <w:rsid w:val="00912E35"/>
    <w:rsid w:val="0091346D"/>
    <w:rsid w:val="00920520"/>
    <w:rsid w:val="00922C37"/>
    <w:rsid w:val="00922E0D"/>
    <w:rsid w:val="00923621"/>
    <w:rsid w:val="0092676E"/>
    <w:rsid w:val="00926CBC"/>
    <w:rsid w:val="00941B63"/>
    <w:rsid w:val="00942E0B"/>
    <w:rsid w:val="009479A2"/>
    <w:rsid w:val="00947A88"/>
    <w:rsid w:val="00950927"/>
    <w:rsid w:val="009516A0"/>
    <w:rsid w:val="00951D67"/>
    <w:rsid w:val="00952524"/>
    <w:rsid w:val="009525F3"/>
    <w:rsid w:val="009568E1"/>
    <w:rsid w:val="009617A3"/>
    <w:rsid w:val="00966042"/>
    <w:rsid w:val="00972E11"/>
    <w:rsid w:val="00973D79"/>
    <w:rsid w:val="00976051"/>
    <w:rsid w:val="00976194"/>
    <w:rsid w:val="00980965"/>
    <w:rsid w:val="00983D29"/>
    <w:rsid w:val="00983EC2"/>
    <w:rsid w:val="00992C48"/>
    <w:rsid w:val="00994EDA"/>
    <w:rsid w:val="00996D63"/>
    <w:rsid w:val="00997CAB"/>
    <w:rsid w:val="00997EB6"/>
    <w:rsid w:val="009A353C"/>
    <w:rsid w:val="009A5970"/>
    <w:rsid w:val="009B7AFF"/>
    <w:rsid w:val="009C3642"/>
    <w:rsid w:val="009C6FE3"/>
    <w:rsid w:val="009D36B3"/>
    <w:rsid w:val="009D3DFA"/>
    <w:rsid w:val="009D5128"/>
    <w:rsid w:val="009D5D04"/>
    <w:rsid w:val="009E0844"/>
    <w:rsid w:val="009E4F5A"/>
    <w:rsid w:val="009E691F"/>
    <w:rsid w:val="009E75C7"/>
    <w:rsid w:val="009F232A"/>
    <w:rsid w:val="00A05AD1"/>
    <w:rsid w:val="00A0604E"/>
    <w:rsid w:val="00A11937"/>
    <w:rsid w:val="00A203D7"/>
    <w:rsid w:val="00A20B0F"/>
    <w:rsid w:val="00A26068"/>
    <w:rsid w:val="00A317FB"/>
    <w:rsid w:val="00A31FF4"/>
    <w:rsid w:val="00A464EF"/>
    <w:rsid w:val="00A478F7"/>
    <w:rsid w:val="00A503AE"/>
    <w:rsid w:val="00A50FA5"/>
    <w:rsid w:val="00A52DDE"/>
    <w:rsid w:val="00A5325C"/>
    <w:rsid w:val="00A556CC"/>
    <w:rsid w:val="00A63597"/>
    <w:rsid w:val="00A6480A"/>
    <w:rsid w:val="00A677B8"/>
    <w:rsid w:val="00A71C8B"/>
    <w:rsid w:val="00A73C2C"/>
    <w:rsid w:val="00A76D15"/>
    <w:rsid w:val="00A80572"/>
    <w:rsid w:val="00A82BB8"/>
    <w:rsid w:val="00A872C3"/>
    <w:rsid w:val="00A90358"/>
    <w:rsid w:val="00A90890"/>
    <w:rsid w:val="00A914B7"/>
    <w:rsid w:val="00AA0EFE"/>
    <w:rsid w:val="00AB08D8"/>
    <w:rsid w:val="00AB3B15"/>
    <w:rsid w:val="00AB7525"/>
    <w:rsid w:val="00AB76A9"/>
    <w:rsid w:val="00AC3E54"/>
    <w:rsid w:val="00AC7972"/>
    <w:rsid w:val="00AC7A32"/>
    <w:rsid w:val="00AD2734"/>
    <w:rsid w:val="00AD45ED"/>
    <w:rsid w:val="00AD47FC"/>
    <w:rsid w:val="00AE5B0B"/>
    <w:rsid w:val="00AE7524"/>
    <w:rsid w:val="00AF5AB8"/>
    <w:rsid w:val="00B03495"/>
    <w:rsid w:val="00B049FA"/>
    <w:rsid w:val="00B12D4F"/>
    <w:rsid w:val="00B12EC8"/>
    <w:rsid w:val="00B13317"/>
    <w:rsid w:val="00B13ED6"/>
    <w:rsid w:val="00B1459F"/>
    <w:rsid w:val="00B240D8"/>
    <w:rsid w:val="00B3274A"/>
    <w:rsid w:val="00B32A05"/>
    <w:rsid w:val="00B34B8F"/>
    <w:rsid w:val="00B370F2"/>
    <w:rsid w:val="00B376A3"/>
    <w:rsid w:val="00B37F3D"/>
    <w:rsid w:val="00B40155"/>
    <w:rsid w:val="00B42A85"/>
    <w:rsid w:val="00B4586E"/>
    <w:rsid w:val="00B55429"/>
    <w:rsid w:val="00B55606"/>
    <w:rsid w:val="00B567B6"/>
    <w:rsid w:val="00B57297"/>
    <w:rsid w:val="00B61FF9"/>
    <w:rsid w:val="00B636AD"/>
    <w:rsid w:val="00B64AF8"/>
    <w:rsid w:val="00B66D6A"/>
    <w:rsid w:val="00B7274F"/>
    <w:rsid w:val="00B72B34"/>
    <w:rsid w:val="00B73796"/>
    <w:rsid w:val="00B74A93"/>
    <w:rsid w:val="00B761D9"/>
    <w:rsid w:val="00B76F64"/>
    <w:rsid w:val="00B808A6"/>
    <w:rsid w:val="00B80908"/>
    <w:rsid w:val="00B87E0B"/>
    <w:rsid w:val="00B90203"/>
    <w:rsid w:val="00B904B9"/>
    <w:rsid w:val="00B92165"/>
    <w:rsid w:val="00B96F45"/>
    <w:rsid w:val="00BA02C5"/>
    <w:rsid w:val="00BA1995"/>
    <w:rsid w:val="00BA7CDA"/>
    <w:rsid w:val="00BB2312"/>
    <w:rsid w:val="00BB5ABE"/>
    <w:rsid w:val="00BB6B31"/>
    <w:rsid w:val="00BC0B11"/>
    <w:rsid w:val="00BC11DF"/>
    <w:rsid w:val="00BC397C"/>
    <w:rsid w:val="00BC3CE2"/>
    <w:rsid w:val="00BD1B35"/>
    <w:rsid w:val="00BD3BAD"/>
    <w:rsid w:val="00BD525A"/>
    <w:rsid w:val="00BD541B"/>
    <w:rsid w:val="00BD6014"/>
    <w:rsid w:val="00BE198C"/>
    <w:rsid w:val="00BE1C4B"/>
    <w:rsid w:val="00BE3072"/>
    <w:rsid w:val="00BE46D4"/>
    <w:rsid w:val="00BF5214"/>
    <w:rsid w:val="00C00B3A"/>
    <w:rsid w:val="00C035C8"/>
    <w:rsid w:val="00C05846"/>
    <w:rsid w:val="00C06542"/>
    <w:rsid w:val="00C0682C"/>
    <w:rsid w:val="00C06897"/>
    <w:rsid w:val="00C06901"/>
    <w:rsid w:val="00C118AC"/>
    <w:rsid w:val="00C1212B"/>
    <w:rsid w:val="00C13317"/>
    <w:rsid w:val="00C14EA9"/>
    <w:rsid w:val="00C15165"/>
    <w:rsid w:val="00C24AF3"/>
    <w:rsid w:val="00C25680"/>
    <w:rsid w:val="00C25D19"/>
    <w:rsid w:val="00C273BD"/>
    <w:rsid w:val="00C278D4"/>
    <w:rsid w:val="00C338E1"/>
    <w:rsid w:val="00C34241"/>
    <w:rsid w:val="00C376E3"/>
    <w:rsid w:val="00C37C51"/>
    <w:rsid w:val="00C43781"/>
    <w:rsid w:val="00C44C0D"/>
    <w:rsid w:val="00C51A27"/>
    <w:rsid w:val="00C520BD"/>
    <w:rsid w:val="00C532F3"/>
    <w:rsid w:val="00C55C37"/>
    <w:rsid w:val="00C566E5"/>
    <w:rsid w:val="00C619B7"/>
    <w:rsid w:val="00C747D9"/>
    <w:rsid w:val="00C7649F"/>
    <w:rsid w:val="00C80CE4"/>
    <w:rsid w:val="00C817DF"/>
    <w:rsid w:val="00C90910"/>
    <w:rsid w:val="00C958BD"/>
    <w:rsid w:val="00CA720A"/>
    <w:rsid w:val="00CB0D84"/>
    <w:rsid w:val="00CB1E25"/>
    <w:rsid w:val="00CB2DF1"/>
    <w:rsid w:val="00CB3F93"/>
    <w:rsid w:val="00CB595B"/>
    <w:rsid w:val="00CC0307"/>
    <w:rsid w:val="00CC366E"/>
    <w:rsid w:val="00CD2731"/>
    <w:rsid w:val="00CD2AB3"/>
    <w:rsid w:val="00CD4292"/>
    <w:rsid w:val="00CD6F6B"/>
    <w:rsid w:val="00CE187B"/>
    <w:rsid w:val="00CE4A8F"/>
    <w:rsid w:val="00CE4E3E"/>
    <w:rsid w:val="00CE502A"/>
    <w:rsid w:val="00CF0833"/>
    <w:rsid w:val="00CF1814"/>
    <w:rsid w:val="00CF2048"/>
    <w:rsid w:val="00CF2E69"/>
    <w:rsid w:val="00CF3D21"/>
    <w:rsid w:val="00CF6A4F"/>
    <w:rsid w:val="00D00E0C"/>
    <w:rsid w:val="00D039C5"/>
    <w:rsid w:val="00D03C31"/>
    <w:rsid w:val="00D055B6"/>
    <w:rsid w:val="00D12554"/>
    <w:rsid w:val="00D15D80"/>
    <w:rsid w:val="00D162D6"/>
    <w:rsid w:val="00D167CB"/>
    <w:rsid w:val="00D21E50"/>
    <w:rsid w:val="00D23C7C"/>
    <w:rsid w:val="00D25D94"/>
    <w:rsid w:val="00D25E46"/>
    <w:rsid w:val="00D267C4"/>
    <w:rsid w:val="00D3342A"/>
    <w:rsid w:val="00D339ED"/>
    <w:rsid w:val="00D348CE"/>
    <w:rsid w:val="00D40F8E"/>
    <w:rsid w:val="00D4246A"/>
    <w:rsid w:val="00D42F8D"/>
    <w:rsid w:val="00D439EE"/>
    <w:rsid w:val="00D460AB"/>
    <w:rsid w:val="00D46BE4"/>
    <w:rsid w:val="00D470C6"/>
    <w:rsid w:val="00D50322"/>
    <w:rsid w:val="00D52033"/>
    <w:rsid w:val="00D70894"/>
    <w:rsid w:val="00D70AB1"/>
    <w:rsid w:val="00D71350"/>
    <w:rsid w:val="00D71EE6"/>
    <w:rsid w:val="00D736CF"/>
    <w:rsid w:val="00D755AF"/>
    <w:rsid w:val="00D770F3"/>
    <w:rsid w:val="00D836E6"/>
    <w:rsid w:val="00D91550"/>
    <w:rsid w:val="00D91FE9"/>
    <w:rsid w:val="00D92CE3"/>
    <w:rsid w:val="00D9729F"/>
    <w:rsid w:val="00D9774E"/>
    <w:rsid w:val="00DA3524"/>
    <w:rsid w:val="00DA5776"/>
    <w:rsid w:val="00DA7F7F"/>
    <w:rsid w:val="00DB25B9"/>
    <w:rsid w:val="00DB361A"/>
    <w:rsid w:val="00DB6281"/>
    <w:rsid w:val="00DC33C9"/>
    <w:rsid w:val="00DC3413"/>
    <w:rsid w:val="00DC357F"/>
    <w:rsid w:val="00DC44B4"/>
    <w:rsid w:val="00DC4DFF"/>
    <w:rsid w:val="00DC5A71"/>
    <w:rsid w:val="00DD3B63"/>
    <w:rsid w:val="00DE619A"/>
    <w:rsid w:val="00DE67D8"/>
    <w:rsid w:val="00DE7037"/>
    <w:rsid w:val="00DE723D"/>
    <w:rsid w:val="00DE7D0B"/>
    <w:rsid w:val="00DE7DCF"/>
    <w:rsid w:val="00DF1530"/>
    <w:rsid w:val="00DF29C3"/>
    <w:rsid w:val="00DF447B"/>
    <w:rsid w:val="00DF72C9"/>
    <w:rsid w:val="00DF7F47"/>
    <w:rsid w:val="00E000EB"/>
    <w:rsid w:val="00E02E28"/>
    <w:rsid w:val="00E069ED"/>
    <w:rsid w:val="00E110A5"/>
    <w:rsid w:val="00E11792"/>
    <w:rsid w:val="00E142BD"/>
    <w:rsid w:val="00E14D31"/>
    <w:rsid w:val="00E17866"/>
    <w:rsid w:val="00E20017"/>
    <w:rsid w:val="00E203DC"/>
    <w:rsid w:val="00E215FC"/>
    <w:rsid w:val="00E221CE"/>
    <w:rsid w:val="00E24C6C"/>
    <w:rsid w:val="00E260C6"/>
    <w:rsid w:val="00E277B7"/>
    <w:rsid w:val="00E3149E"/>
    <w:rsid w:val="00E45E88"/>
    <w:rsid w:val="00E47EEE"/>
    <w:rsid w:val="00E50A12"/>
    <w:rsid w:val="00E52566"/>
    <w:rsid w:val="00E53F89"/>
    <w:rsid w:val="00E54650"/>
    <w:rsid w:val="00E5491E"/>
    <w:rsid w:val="00E57F0F"/>
    <w:rsid w:val="00E60EE5"/>
    <w:rsid w:val="00E6222D"/>
    <w:rsid w:val="00E62E4D"/>
    <w:rsid w:val="00E65237"/>
    <w:rsid w:val="00E658FF"/>
    <w:rsid w:val="00E65EFC"/>
    <w:rsid w:val="00E71B58"/>
    <w:rsid w:val="00E7318A"/>
    <w:rsid w:val="00E731E8"/>
    <w:rsid w:val="00E73C64"/>
    <w:rsid w:val="00E74001"/>
    <w:rsid w:val="00E7429F"/>
    <w:rsid w:val="00E758C6"/>
    <w:rsid w:val="00E75A03"/>
    <w:rsid w:val="00E771C4"/>
    <w:rsid w:val="00E779D8"/>
    <w:rsid w:val="00E809DB"/>
    <w:rsid w:val="00E82F49"/>
    <w:rsid w:val="00E83DCE"/>
    <w:rsid w:val="00E855F4"/>
    <w:rsid w:val="00E8622A"/>
    <w:rsid w:val="00E86688"/>
    <w:rsid w:val="00E86794"/>
    <w:rsid w:val="00E871B4"/>
    <w:rsid w:val="00E925E0"/>
    <w:rsid w:val="00EA0742"/>
    <w:rsid w:val="00EA0F07"/>
    <w:rsid w:val="00EA3D06"/>
    <w:rsid w:val="00EA5145"/>
    <w:rsid w:val="00EB39F5"/>
    <w:rsid w:val="00EB7169"/>
    <w:rsid w:val="00EC59F1"/>
    <w:rsid w:val="00ED07E9"/>
    <w:rsid w:val="00ED09FF"/>
    <w:rsid w:val="00ED2CDD"/>
    <w:rsid w:val="00ED7437"/>
    <w:rsid w:val="00ED748F"/>
    <w:rsid w:val="00ED799A"/>
    <w:rsid w:val="00EE0B39"/>
    <w:rsid w:val="00EE13AA"/>
    <w:rsid w:val="00EE2257"/>
    <w:rsid w:val="00EE4AEC"/>
    <w:rsid w:val="00EF5293"/>
    <w:rsid w:val="00EF5A21"/>
    <w:rsid w:val="00EF6B08"/>
    <w:rsid w:val="00F01138"/>
    <w:rsid w:val="00F02AC7"/>
    <w:rsid w:val="00F051C4"/>
    <w:rsid w:val="00F14DEF"/>
    <w:rsid w:val="00F206C1"/>
    <w:rsid w:val="00F21554"/>
    <w:rsid w:val="00F21570"/>
    <w:rsid w:val="00F30B66"/>
    <w:rsid w:val="00F3208D"/>
    <w:rsid w:val="00F32FC8"/>
    <w:rsid w:val="00F423C1"/>
    <w:rsid w:val="00F42717"/>
    <w:rsid w:val="00F4392A"/>
    <w:rsid w:val="00F47151"/>
    <w:rsid w:val="00F51C7D"/>
    <w:rsid w:val="00F53C8C"/>
    <w:rsid w:val="00F55DCE"/>
    <w:rsid w:val="00F565AB"/>
    <w:rsid w:val="00F578FD"/>
    <w:rsid w:val="00F618F3"/>
    <w:rsid w:val="00F6477D"/>
    <w:rsid w:val="00F744ED"/>
    <w:rsid w:val="00F778EE"/>
    <w:rsid w:val="00F8119C"/>
    <w:rsid w:val="00F821F1"/>
    <w:rsid w:val="00F91330"/>
    <w:rsid w:val="00F91927"/>
    <w:rsid w:val="00F9340B"/>
    <w:rsid w:val="00F9611A"/>
    <w:rsid w:val="00F965EC"/>
    <w:rsid w:val="00FA228E"/>
    <w:rsid w:val="00FA4707"/>
    <w:rsid w:val="00FA600E"/>
    <w:rsid w:val="00FB1CCB"/>
    <w:rsid w:val="00FB6E68"/>
    <w:rsid w:val="00FC0D21"/>
    <w:rsid w:val="00FC450E"/>
    <w:rsid w:val="00FD0230"/>
    <w:rsid w:val="00FD1371"/>
    <w:rsid w:val="00FD2F02"/>
    <w:rsid w:val="00FD320B"/>
    <w:rsid w:val="00FD736F"/>
    <w:rsid w:val="00FE0458"/>
    <w:rsid w:val="00FE6D42"/>
    <w:rsid w:val="00FF3396"/>
    <w:rsid w:val="00FF3C06"/>
    <w:rsid w:val="00FF49C0"/>
    <w:rsid w:val="00FF559D"/>
    <w:rsid w:val="00FF62B8"/>
    <w:rsid w:val="00FF65CC"/>
    <w:rsid w:val="01223B82"/>
    <w:rsid w:val="016F1D40"/>
    <w:rsid w:val="02A71F21"/>
    <w:rsid w:val="03E33DD9"/>
    <w:rsid w:val="045D3161"/>
    <w:rsid w:val="0583129C"/>
    <w:rsid w:val="080F23AB"/>
    <w:rsid w:val="08C558D5"/>
    <w:rsid w:val="0B9251E7"/>
    <w:rsid w:val="0E9F328E"/>
    <w:rsid w:val="129B7B28"/>
    <w:rsid w:val="147225A4"/>
    <w:rsid w:val="15E275E1"/>
    <w:rsid w:val="176C72F7"/>
    <w:rsid w:val="17AD72DC"/>
    <w:rsid w:val="17D50F45"/>
    <w:rsid w:val="18973A8F"/>
    <w:rsid w:val="1FB67850"/>
    <w:rsid w:val="23652452"/>
    <w:rsid w:val="272B250C"/>
    <w:rsid w:val="29B60A92"/>
    <w:rsid w:val="2A7B1E4F"/>
    <w:rsid w:val="2C444291"/>
    <w:rsid w:val="2FD2167C"/>
    <w:rsid w:val="31AB0AFA"/>
    <w:rsid w:val="31E242B8"/>
    <w:rsid w:val="31E70919"/>
    <w:rsid w:val="33334345"/>
    <w:rsid w:val="33961409"/>
    <w:rsid w:val="346D7BCB"/>
    <w:rsid w:val="3658101D"/>
    <w:rsid w:val="3A167FE3"/>
    <w:rsid w:val="3D716EAD"/>
    <w:rsid w:val="3E98676B"/>
    <w:rsid w:val="40917544"/>
    <w:rsid w:val="415E14F1"/>
    <w:rsid w:val="44166969"/>
    <w:rsid w:val="4A6C546D"/>
    <w:rsid w:val="4B931DE9"/>
    <w:rsid w:val="4BB05B0A"/>
    <w:rsid w:val="4C0B40AF"/>
    <w:rsid w:val="4E1E1371"/>
    <w:rsid w:val="4E6962A3"/>
    <w:rsid w:val="50BE55B0"/>
    <w:rsid w:val="526D0F39"/>
    <w:rsid w:val="52746CF3"/>
    <w:rsid w:val="53A42D74"/>
    <w:rsid w:val="54DE5826"/>
    <w:rsid w:val="54EE77FB"/>
    <w:rsid w:val="58A76C53"/>
    <w:rsid w:val="59A61CD2"/>
    <w:rsid w:val="5A443547"/>
    <w:rsid w:val="5B1332C5"/>
    <w:rsid w:val="5E436148"/>
    <w:rsid w:val="5E7E6F7C"/>
    <w:rsid w:val="5FB2527F"/>
    <w:rsid w:val="61E1613C"/>
    <w:rsid w:val="62B06376"/>
    <w:rsid w:val="63011BB9"/>
    <w:rsid w:val="64212551"/>
    <w:rsid w:val="64544266"/>
    <w:rsid w:val="69390762"/>
    <w:rsid w:val="6B0C2D7F"/>
    <w:rsid w:val="70567B89"/>
    <w:rsid w:val="73B75A12"/>
    <w:rsid w:val="77CC40D6"/>
    <w:rsid w:val="78A432B2"/>
    <w:rsid w:val="790E7B46"/>
    <w:rsid w:val="7ABA5B7D"/>
    <w:rsid w:val="7BFD7A69"/>
    <w:rsid w:val="7F31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keepNext/>
      <w:keepLines/>
      <w:snapToGrid w:val="0"/>
      <w:spacing w:line="360" w:lineRule="auto"/>
      <w:ind w:firstLine="541"/>
      <w:outlineLvl w:val="0"/>
    </w:pPr>
    <w:rPr>
      <w:rFonts w:ascii="宋体" w:hAnsi="宋体"/>
      <w:b/>
      <w:color w:val="00000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unhideWhenUsed/>
    <w:qFormat/>
    <w:uiPriority w:val="99"/>
    <w:rPr>
      <w:rFonts w:ascii="宋体" w:hAnsi="Calibri"/>
      <w:kern w:val="0"/>
      <w:sz w:val="18"/>
      <w:szCs w:val="18"/>
    </w:rPr>
  </w:style>
  <w:style w:type="paragraph" w:styleId="6">
    <w:name w:val="annotation text"/>
    <w:basedOn w:val="1"/>
    <w:link w:val="31"/>
    <w:qFormat/>
    <w:uiPriority w:val="0"/>
    <w:pPr>
      <w:jc w:val="left"/>
    </w:pPr>
  </w:style>
  <w:style w:type="paragraph" w:styleId="7">
    <w:name w:val="Body Text Indent"/>
    <w:basedOn w:val="1"/>
    <w:link w:val="32"/>
    <w:qFormat/>
    <w:uiPriority w:val="0"/>
    <w:pPr>
      <w:autoSpaceDE w:val="0"/>
      <w:autoSpaceDN w:val="0"/>
      <w:adjustRightInd w:val="0"/>
      <w:spacing w:line="360" w:lineRule="auto"/>
      <w:ind w:firstLine="478" w:firstLineChars="199"/>
    </w:pPr>
    <w:rPr>
      <w:rFonts w:ascii="宋体" w:hAnsi="宋体"/>
      <w:kern w:val="0"/>
      <w:sz w:val="24"/>
      <w:szCs w:val="21"/>
    </w:rPr>
  </w:style>
  <w:style w:type="paragraph" w:styleId="8">
    <w:name w:val="Plain Text"/>
    <w:basedOn w:val="1"/>
    <w:link w:val="25"/>
    <w:qFormat/>
    <w:uiPriority w:val="0"/>
    <w:rPr>
      <w:rFonts w:ascii="宋体" w:hAnsi="Courier New"/>
      <w:szCs w:val="21"/>
    </w:rPr>
  </w:style>
  <w:style w:type="paragraph" w:styleId="9">
    <w:name w:val="Date"/>
    <w:basedOn w:val="1"/>
    <w:next w:val="1"/>
    <w:qFormat/>
    <w:uiPriority w:val="0"/>
    <w:pPr>
      <w:ind w:left="100" w:leftChars="2500"/>
    </w:pPr>
    <w:rPr>
      <w:rFonts w:ascii="宋体" w:hAnsi="宋体"/>
      <w:sz w:val="24"/>
    </w:rPr>
  </w:style>
  <w:style w:type="paragraph" w:styleId="10">
    <w:name w:val="Body Text Indent 2"/>
    <w:basedOn w:val="1"/>
    <w:link w:val="24"/>
    <w:qFormat/>
    <w:uiPriority w:val="0"/>
    <w:pPr>
      <w:spacing w:before="60" w:after="60"/>
      <w:ind w:left="479"/>
    </w:pPr>
    <w:rPr>
      <w:rFonts w:ascii="宋体"/>
      <w:sz w:val="24"/>
    </w:rPr>
  </w:style>
  <w:style w:type="paragraph" w:styleId="11">
    <w:name w:val="Balloon Text"/>
    <w:basedOn w:val="1"/>
    <w:link w:val="30"/>
    <w:semiHidden/>
    <w:qFormat/>
    <w:uiPriority w:val="99"/>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hyphen" w:pos="8296"/>
      </w:tabs>
      <w:spacing w:line="360" w:lineRule="auto"/>
    </w:pPr>
    <w:rPr>
      <w:rFonts w:ascii="宋体" w:hAnsi="宋体"/>
      <w:sz w:val="24"/>
      <w:szCs w:val="24"/>
    </w:rPr>
  </w:style>
  <w:style w:type="paragraph" w:styleId="15">
    <w:name w:val="annotation subject"/>
    <w:basedOn w:val="6"/>
    <w:next w:val="6"/>
    <w:link w:val="28"/>
    <w:semiHidden/>
    <w:qFormat/>
    <w:uiPriority w:val="99"/>
    <w:rPr>
      <w:b/>
      <w:bCs/>
    </w:r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character" w:customStyle="1" w:styleId="22">
    <w:name w:val="页眉 字符"/>
    <w:link w:val="13"/>
    <w:qFormat/>
    <w:uiPriority w:val="99"/>
    <w:rPr>
      <w:kern w:val="2"/>
      <w:sz w:val="18"/>
      <w:szCs w:val="18"/>
    </w:rPr>
  </w:style>
  <w:style w:type="character" w:customStyle="1" w:styleId="23">
    <w:name w:val="DeltaView Insertion"/>
    <w:qFormat/>
    <w:uiPriority w:val="0"/>
    <w:rPr>
      <w:color w:val="0000FF"/>
      <w:spacing w:val="0"/>
      <w:u w:val="double"/>
    </w:rPr>
  </w:style>
  <w:style w:type="character" w:customStyle="1" w:styleId="24">
    <w:name w:val="正文文本缩进 2 字符"/>
    <w:link w:val="10"/>
    <w:qFormat/>
    <w:uiPriority w:val="0"/>
    <w:rPr>
      <w:rFonts w:ascii="宋体"/>
      <w:kern w:val="2"/>
      <w:sz w:val="24"/>
    </w:rPr>
  </w:style>
  <w:style w:type="character" w:customStyle="1" w:styleId="25">
    <w:name w:val="纯文本 字符"/>
    <w:link w:val="8"/>
    <w:qFormat/>
    <w:uiPriority w:val="0"/>
    <w:rPr>
      <w:rFonts w:ascii="宋体" w:hAnsi="Courier New" w:cs="Courier New"/>
      <w:kern w:val="2"/>
      <w:sz w:val="21"/>
      <w:szCs w:val="21"/>
    </w:rPr>
  </w:style>
  <w:style w:type="character" w:customStyle="1" w:styleId="26">
    <w:name w:val="e-arialb101"/>
    <w:qFormat/>
    <w:uiPriority w:val="0"/>
    <w:rPr>
      <w:rFonts w:hint="default" w:ascii="Arial" w:hAnsi="Arial" w:cs="Arial"/>
      <w:color w:val="000000"/>
      <w:sz w:val="14"/>
      <w:szCs w:val="14"/>
    </w:rPr>
  </w:style>
  <w:style w:type="character" w:customStyle="1" w:styleId="27">
    <w:name w:val="标题 1 字符"/>
    <w:link w:val="2"/>
    <w:qFormat/>
    <w:uiPriority w:val="9"/>
    <w:rPr>
      <w:rFonts w:ascii="宋体" w:hAnsi="宋体"/>
      <w:b/>
      <w:color w:val="000000"/>
      <w:kern w:val="2"/>
      <w:sz w:val="24"/>
    </w:rPr>
  </w:style>
  <w:style w:type="character" w:customStyle="1" w:styleId="28">
    <w:name w:val="批注主题 字符"/>
    <w:link w:val="15"/>
    <w:semiHidden/>
    <w:qFormat/>
    <w:uiPriority w:val="99"/>
    <w:rPr>
      <w:b/>
      <w:bCs/>
      <w:kern w:val="2"/>
      <w:sz w:val="21"/>
    </w:rPr>
  </w:style>
  <w:style w:type="character" w:customStyle="1" w:styleId="29">
    <w:name w:val="文档结构图 字符"/>
    <w:link w:val="5"/>
    <w:qFormat/>
    <w:uiPriority w:val="99"/>
    <w:rPr>
      <w:rFonts w:ascii="宋体" w:hAnsi="Calibri"/>
      <w:sz w:val="18"/>
      <w:szCs w:val="18"/>
    </w:rPr>
  </w:style>
  <w:style w:type="character" w:customStyle="1" w:styleId="30">
    <w:name w:val="批注框文本 字符"/>
    <w:link w:val="11"/>
    <w:semiHidden/>
    <w:qFormat/>
    <w:uiPriority w:val="99"/>
    <w:rPr>
      <w:kern w:val="2"/>
      <w:sz w:val="18"/>
      <w:szCs w:val="18"/>
    </w:rPr>
  </w:style>
  <w:style w:type="character" w:customStyle="1" w:styleId="31">
    <w:name w:val="批注文字 字符1"/>
    <w:link w:val="6"/>
    <w:qFormat/>
    <w:uiPriority w:val="99"/>
    <w:rPr>
      <w:kern w:val="2"/>
      <w:sz w:val="21"/>
    </w:rPr>
  </w:style>
  <w:style w:type="character" w:customStyle="1" w:styleId="32">
    <w:name w:val="正文文本缩进 字符"/>
    <w:link w:val="7"/>
    <w:qFormat/>
    <w:uiPriority w:val="0"/>
    <w:rPr>
      <w:rFonts w:ascii="宋体" w:hAnsi="宋体" w:cs="Arial"/>
      <w:sz w:val="24"/>
      <w:szCs w:val="21"/>
    </w:rPr>
  </w:style>
  <w:style w:type="character" w:customStyle="1" w:styleId="33">
    <w:name w:val="apple-style-span"/>
    <w:qFormat/>
    <w:uiPriority w:val="0"/>
  </w:style>
  <w:style w:type="character" w:customStyle="1" w:styleId="34">
    <w:name w:val="页脚 字符"/>
    <w:link w:val="12"/>
    <w:qFormat/>
    <w:uiPriority w:val="99"/>
    <w:rPr>
      <w:kern w:val="2"/>
      <w:sz w:val="18"/>
      <w:szCs w:val="18"/>
    </w:rPr>
  </w:style>
  <w:style w:type="paragraph" w:customStyle="1" w:styleId="35">
    <w:name w:val="修订1"/>
    <w:semiHidden/>
    <w:qFormat/>
    <w:uiPriority w:val="99"/>
    <w:rPr>
      <w:rFonts w:ascii="Calibri" w:hAnsi="Calibri" w:eastAsia="宋体" w:cs="Times New Roman"/>
      <w:kern w:val="2"/>
      <w:sz w:val="21"/>
      <w:szCs w:val="22"/>
      <w:lang w:val="en-US" w:eastAsia="zh-CN" w:bidi="ar-SA"/>
    </w:rPr>
  </w:style>
  <w:style w:type="paragraph" w:customStyle="1" w:styleId="36">
    <w:name w:val="Normal (Justified)"/>
    <w:basedOn w:val="1"/>
    <w:semiHidden/>
    <w:qFormat/>
    <w:uiPriority w:val="0"/>
    <w:pPr>
      <w:widowControl/>
      <w:snapToGrid w:val="0"/>
    </w:pPr>
    <w:rPr>
      <w:kern w:val="28"/>
      <w:sz w:val="24"/>
    </w:rPr>
  </w:style>
  <w:style w:type="paragraph" w:customStyle="1" w:styleId="37">
    <w:name w:val="Char Char Char Char Char Char Char Char Char Char Char Char Char1 Char Char Char Char"/>
    <w:basedOn w:val="1"/>
    <w:qFormat/>
    <w:uiPriority w:val="0"/>
    <w:rPr>
      <w:rFonts w:ascii="Tahoma" w:hAnsi="Tahoma"/>
      <w:sz w:val="24"/>
      <w:szCs w:val="24"/>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Char"/>
    <w:basedOn w:val="1"/>
    <w:qFormat/>
    <w:uiPriority w:val="0"/>
    <w:pPr>
      <w:widowControl/>
      <w:spacing w:after="160" w:line="240" w:lineRule="exact"/>
      <w:jc w:val="left"/>
    </w:pPr>
  </w:style>
  <w:style w:type="paragraph" w:customStyle="1" w:styleId="40">
    <w:name w:val="Char Char Char"/>
    <w:basedOn w:val="1"/>
    <w:qFormat/>
    <w:uiPriority w:val="0"/>
    <w:rPr>
      <w:szCs w:val="24"/>
    </w:rPr>
  </w:style>
  <w:style w:type="paragraph" w:customStyle="1" w:styleId="41">
    <w:name w:val="Char Char Char Char Char Char Char"/>
    <w:basedOn w:val="1"/>
    <w:qFormat/>
    <w:uiPriority w:val="0"/>
    <w:pPr>
      <w:tabs>
        <w:tab w:val="left" w:pos="360"/>
      </w:tabs>
      <w:adjustRightInd w:val="0"/>
      <w:textAlignment w:val="baseline"/>
    </w:pPr>
    <w:rPr>
      <w:sz w:val="24"/>
    </w:rPr>
  </w:style>
  <w:style w:type="paragraph" w:customStyle="1" w:styleId="42">
    <w:name w:val="CM16"/>
    <w:basedOn w:val="38"/>
    <w:next w:val="38"/>
    <w:qFormat/>
    <w:uiPriority w:val="0"/>
    <w:pPr>
      <w:spacing w:line="471" w:lineRule="atLeast"/>
    </w:pPr>
    <w:rPr>
      <w:rFonts w:ascii="黑体" w:hAnsi="Times New Roman" w:eastAsia="黑体" w:cs="Times New Roman"/>
      <w:color w:val="auto"/>
    </w:rPr>
  </w:style>
  <w:style w:type="paragraph" w:customStyle="1" w:styleId="43">
    <w:name w:val="Char Char Char1 Char Char Char Char"/>
    <w:basedOn w:val="1"/>
    <w:qFormat/>
    <w:uiPriority w:val="0"/>
    <w:pPr>
      <w:tabs>
        <w:tab w:val="left" w:pos="360"/>
      </w:tabs>
    </w:pPr>
    <w:rPr>
      <w:sz w:val="24"/>
      <w:szCs w:val="24"/>
    </w:rPr>
  </w:style>
  <w:style w:type="paragraph" w:customStyle="1" w:styleId="44">
    <w:name w:val="4 Char Char Char Char"/>
    <w:basedOn w:val="1"/>
    <w:qFormat/>
    <w:uiPriority w:val="0"/>
    <w:rPr>
      <w:rFonts w:ascii="Tahoma" w:hAnsi="Tahoma"/>
      <w:sz w:val="24"/>
    </w:rPr>
  </w:style>
  <w:style w:type="paragraph" w:customStyle="1" w:styleId="45">
    <w:name w:val="Char Char Char Char Char Char1 Char Char Char"/>
    <w:basedOn w:val="1"/>
    <w:qFormat/>
    <w:uiPriority w:val="0"/>
    <w:pPr>
      <w:autoSpaceDE w:val="0"/>
      <w:autoSpaceDN w:val="0"/>
      <w:adjustRightInd w:val="0"/>
      <w:jc w:val="left"/>
      <w:textAlignment w:val="baseline"/>
    </w:pPr>
  </w:style>
  <w:style w:type="character" w:customStyle="1" w:styleId="46">
    <w:name w:val="批注文字 字符"/>
    <w:qFormat/>
    <w:uiPriority w:val="0"/>
    <w:rPr>
      <w:rFonts w:ascii="Times New Roman" w:hAnsi="Times New Roman" w:eastAsia="宋体" w:cs="Times New Roman"/>
      <w:szCs w:val="24"/>
    </w:rPr>
  </w:style>
  <w:style w:type="paragraph" w:customStyle="1" w:styleId="47">
    <w:name w:val="修订2"/>
    <w:hidden/>
    <w:semiHidden/>
    <w:qFormat/>
    <w:uiPriority w:val="99"/>
    <w:rPr>
      <w:rFonts w:ascii="Times New Roman" w:hAnsi="Times New Roman" w:eastAsia="宋体" w:cs="Times New Roman"/>
      <w:kern w:val="2"/>
      <w:sz w:val="21"/>
      <w:lang w:val="en-US" w:eastAsia="zh-CN" w:bidi="ar-SA"/>
    </w:rPr>
  </w:style>
  <w:style w:type="character" w:customStyle="1" w:styleId="48">
    <w:name w:val="批注文字 Char1"/>
    <w:qFormat/>
    <w:uiPriority w:val="0"/>
    <w:rPr>
      <w:kern w:val="2"/>
      <w:sz w:val="21"/>
    </w:rPr>
  </w:style>
  <w:style w:type="paragraph" w:customStyle="1" w:styleId="49">
    <w:name w:val="修订3"/>
    <w:hidden/>
    <w:semiHidden/>
    <w:qFormat/>
    <w:uiPriority w:val="99"/>
    <w:rPr>
      <w:rFonts w:ascii="Times New Roman" w:hAnsi="Times New Roman" w:eastAsia="宋体" w:cs="Times New Roman"/>
      <w:kern w:val="2"/>
      <w:sz w:val="21"/>
      <w:lang w:val="en-US" w:eastAsia="zh-CN" w:bidi="ar-SA"/>
    </w:rPr>
  </w:style>
  <w:style w:type="paragraph" w:customStyle="1" w:styleId="50">
    <w:name w:val="修订4"/>
    <w:hidden/>
    <w:semiHidden/>
    <w:qFormat/>
    <w:uiPriority w:val="99"/>
    <w:rPr>
      <w:rFonts w:ascii="Times New Roman" w:hAnsi="Times New Roman" w:eastAsia="宋体" w:cs="Times New Roman"/>
      <w:kern w:val="2"/>
      <w:sz w:val="21"/>
      <w:lang w:val="en-US" w:eastAsia="zh-CN" w:bidi="ar-SA"/>
    </w:rPr>
  </w:style>
  <w:style w:type="paragraph" w:customStyle="1" w:styleId="51">
    <w:name w:val="修订5"/>
    <w:hidden/>
    <w:semiHidden/>
    <w:qFormat/>
    <w:uiPriority w:val="99"/>
    <w:rPr>
      <w:rFonts w:ascii="Times New Roman" w:hAnsi="Times New Roman" w:eastAsia="宋体" w:cs="Times New Roman"/>
      <w:kern w:val="2"/>
      <w:sz w:val="21"/>
      <w:lang w:val="en-US" w:eastAsia="zh-CN" w:bidi="ar-SA"/>
    </w:rPr>
  </w:style>
  <w:style w:type="character" w:customStyle="1" w:styleId="52">
    <w:name w:val="read"/>
    <w:basedOn w:val="17"/>
    <w:qFormat/>
    <w:uiPriority w:val="0"/>
  </w:style>
  <w:style w:type="paragraph" w:customStyle="1" w:styleId="5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159D6-C2CC-45D3-A52F-F97A4A7D7087}">
  <ds:schemaRefs/>
</ds:datastoreItem>
</file>

<file path=customXml/itemProps3.xml><?xml version="1.0" encoding="utf-8"?>
<ds:datastoreItem xmlns:ds="http://schemas.openxmlformats.org/officeDocument/2006/customXml" ds:itemID="{D3E28AE7-5B8F-484F-A880-6F4D541391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4992</Words>
  <Characters>28461</Characters>
  <Lines>237</Lines>
  <Paragraphs>66</Paragraphs>
  <TotalTime>64</TotalTime>
  <ScaleCrop>false</ScaleCrop>
  <LinksUpToDate>false</LinksUpToDate>
  <CharactersWithSpaces>33387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2023-08-16T09:59:00Z</dcterms:created>
  <dc:creator>刘斓</dc:creator>
  <cp:lastModifiedBy>Liwen Xiao</cp:lastModifiedBy>
  <cp:lastPrinted>2023-08-17T07:12:00Z</cp:lastPrinted>
  <dcterms:modified xsi:type="dcterms:W3CDTF">2024-09-23T06:53:01Z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80AFE6A275C14F619C240B2B12A50861_13</vt:lpwstr>
  </property>
</Properties>
</file>