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pPr>
    </w:p>
    <w:p>
      <w:pPr>
        <w:spacing w:line="360" w:lineRule="auto"/>
        <w:jc w:val="center"/>
        <w:rPr>
          <w:rFonts w:ascii="宋体" w:hAnsi="宋体" w:cs="宋体"/>
          <w:b/>
          <w:bCs/>
          <w:sz w:val="36"/>
          <w:szCs w:val="36"/>
          <w:highlight w:val="none"/>
        </w:rPr>
      </w:pP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平安理财有限责任公司</w:t>
      </w:r>
    </w:p>
    <w:p>
      <w:pPr>
        <w:spacing w:line="360" w:lineRule="auto"/>
        <w:jc w:val="center"/>
        <w:rPr>
          <w:rFonts w:ascii="宋体" w:hAnsi="宋体" w:cs="宋体"/>
          <w:b/>
          <w:bCs/>
          <w:sz w:val="36"/>
          <w:szCs w:val="36"/>
          <w:highlight w:val="none"/>
        </w:rPr>
      </w:pPr>
      <w:r>
        <w:rPr>
          <w:rFonts w:hint="eastAsia" w:ascii="宋体" w:hAnsi="宋体" w:cs="宋体"/>
          <w:b/>
          <w:bCs/>
          <w:sz w:val="36"/>
          <w:szCs w:val="36"/>
          <w:highlight w:val="none"/>
        </w:rPr>
        <w:t>理财产品托管协议</w:t>
      </w:r>
    </w:p>
    <w:p>
      <w:pPr>
        <w:pStyle w:val="2"/>
        <w:rPr>
          <w:highlight w:val="none"/>
        </w:rPr>
      </w:pPr>
    </w:p>
    <w:p>
      <w:pPr>
        <w:spacing w:line="360" w:lineRule="auto"/>
        <w:jc w:val="center"/>
        <w:rPr>
          <w:rFonts w:hint="eastAsia" w:ascii="宋体" w:hAnsi="宋体" w:eastAsia="宋体" w:cs="宋体"/>
          <w:b/>
          <w:bCs/>
          <w:sz w:val="28"/>
          <w:szCs w:val="36"/>
          <w:highlight w:val="none"/>
          <w:lang w:eastAsia="zh-CN"/>
        </w:rPr>
      </w:pPr>
      <w:r>
        <w:rPr>
          <w:rFonts w:hint="eastAsia" w:ascii="宋体" w:hAnsi="宋体" w:cs="宋体"/>
          <w:b/>
          <w:bCs/>
          <w:sz w:val="28"/>
          <w:szCs w:val="36"/>
          <w:highlight w:val="none"/>
        </w:rPr>
        <w:t>协议编号：</w:t>
      </w:r>
      <w:r>
        <w:rPr>
          <w:rFonts w:hint="eastAsia" w:ascii="宋体" w:hAnsi="宋体" w:cs="宋体"/>
          <w:sz w:val="28"/>
          <w:szCs w:val="36"/>
          <w:highlight w:val="none"/>
          <w:u w:val="single"/>
          <w:lang w:eastAsia="zh-CN"/>
        </w:rPr>
        <w:t>平安理财信银托2024001</w:t>
      </w:r>
    </w:p>
    <w:p>
      <w:pPr>
        <w:spacing w:line="360" w:lineRule="auto"/>
        <w:ind w:firstLine="2873"/>
        <w:rPr>
          <w:rFonts w:ascii="仿宋" w:hAnsi="仿宋" w:eastAsia="仿宋"/>
          <w:b/>
          <w:bCs/>
          <w:sz w:val="36"/>
          <w:szCs w:val="36"/>
          <w:highlight w:val="none"/>
        </w:rPr>
      </w:pPr>
    </w:p>
    <w:p>
      <w:pPr>
        <w:spacing w:line="360" w:lineRule="auto"/>
        <w:ind w:firstLine="2873"/>
        <w:rPr>
          <w:rFonts w:ascii="仿宋" w:hAnsi="仿宋" w:eastAsia="仿宋"/>
          <w:b/>
          <w:bCs/>
          <w:sz w:val="36"/>
          <w:szCs w:val="36"/>
          <w:highlight w:val="none"/>
        </w:rPr>
      </w:pPr>
    </w:p>
    <w:p>
      <w:pPr>
        <w:spacing w:line="360" w:lineRule="auto"/>
        <w:ind w:firstLine="2873"/>
        <w:rPr>
          <w:rFonts w:ascii="仿宋" w:hAnsi="仿宋" w:eastAsia="仿宋"/>
          <w:b/>
          <w:bCs/>
          <w:sz w:val="36"/>
          <w:szCs w:val="36"/>
          <w:highlight w:val="none"/>
        </w:rPr>
      </w:pPr>
    </w:p>
    <w:p>
      <w:pPr>
        <w:spacing w:line="360" w:lineRule="auto"/>
        <w:ind w:firstLine="2873"/>
        <w:rPr>
          <w:rFonts w:ascii="仿宋" w:hAnsi="仿宋" w:eastAsia="仿宋"/>
          <w:b/>
          <w:bCs/>
          <w:sz w:val="36"/>
          <w:szCs w:val="36"/>
          <w:highlight w:val="none"/>
        </w:rPr>
      </w:pPr>
    </w:p>
    <w:p>
      <w:pPr>
        <w:spacing w:line="360" w:lineRule="auto"/>
        <w:ind w:firstLine="2873"/>
        <w:rPr>
          <w:rFonts w:ascii="仿宋" w:hAnsi="仿宋" w:eastAsia="仿宋"/>
          <w:b/>
          <w:bCs/>
          <w:sz w:val="36"/>
          <w:szCs w:val="36"/>
          <w:highlight w:val="none"/>
        </w:rPr>
      </w:pPr>
    </w:p>
    <w:p>
      <w:pPr>
        <w:spacing w:line="360" w:lineRule="auto"/>
        <w:ind w:firstLine="2873"/>
        <w:rPr>
          <w:rFonts w:ascii="仿宋" w:hAnsi="仿宋" w:eastAsia="仿宋"/>
          <w:b/>
          <w:bCs/>
          <w:sz w:val="36"/>
          <w:szCs w:val="36"/>
          <w:highlight w:val="none"/>
        </w:rPr>
      </w:pPr>
    </w:p>
    <w:p>
      <w:pPr>
        <w:pStyle w:val="2"/>
        <w:rPr>
          <w:highlight w:val="none"/>
        </w:rPr>
      </w:pPr>
    </w:p>
    <w:p>
      <w:pPr>
        <w:rPr>
          <w:highlight w:val="none"/>
        </w:rPr>
      </w:pPr>
    </w:p>
    <w:p>
      <w:pPr>
        <w:spacing w:line="360" w:lineRule="auto"/>
        <w:ind w:firstLine="2873"/>
        <w:rPr>
          <w:rFonts w:ascii="仿宋" w:hAnsi="仿宋" w:eastAsia="仿宋"/>
          <w:b/>
          <w:bCs/>
          <w:sz w:val="36"/>
          <w:szCs w:val="36"/>
          <w:highlight w:val="none"/>
        </w:rPr>
      </w:pPr>
    </w:p>
    <w:p>
      <w:pPr>
        <w:spacing w:line="360" w:lineRule="auto"/>
        <w:ind w:right="-1153" w:firstLine="1400"/>
        <w:rPr>
          <w:rFonts w:ascii="宋体" w:hAnsi="宋体" w:cs="宋体"/>
          <w:sz w:val="28"/>
          <w:szCs w:val="24"/>
          <w:highlight w:val="none"/>
        </w:rPr>
      </w:pPr>
      <w:r>
        <w:rPr>
          <w:rFonts w:hint="eastAsia" w:ascii="宋体" w:hAnsi="宋体" w:cs="宋体"/>
          <w:sz w:val="28"/>
          <w:szCs w:val="24"/>
          <w:highlight w:val="none"/>
        </w:rPr>
        <w:t>甲方（管理人）：平安理财有限责任公司</w:t>
      </w:r>
    </w:p>
    <w:p>
      <w:pPr>
        <w:spacing w:line="360" w:lineRule="auto"/>
        <w:ind w:right="-1153" w:firstLine="1400"/>
        <w:rPr>
          <w:rFonts w:hint="eastAsia" w:ascii="宋体" w:hAnsi="宋体" w:eastAsia="宋体" w:cs="宋体"/>
          <w:sz w:val="28"/>
          <w:szCs w:val="24"/>
          <w:highlight w:val="none"/>
          <w:lang w:eastAsia="zh-CN"/>
        </w:rPr>
      </w:pPr>
      <w:r>
        <w:rPr>
          <w:rFonts w:hint="eastAsia" w:ascii="宋体" w:hAnsi="宋体" w:cs="宋体"/>
          <w:sz w:val="28"/>
          <w:szCs w:val="24"/>
          <w:highlight w:val="none"/>
        </w:rPr>
        <w:t>乙方（托管人）：</w:t>
      </w:r>
      <w:r>
        <w:rPr>
          <w:rFonts w:hint="eastAsia" w:ascii="宋体" w:hAnsi="宋体" w:cs="宋体"/>
          <w:sz w:val="28"/>
          <w:szCs w:val="24"/>
          <w:highlight w:val="none"/>
          <w:lang w:eastAsia="zh-CN"/>
        </w:rPr>
        <w:t>中信银行股份有限公司</w:t>
      </w:r>
    </w:p>
    <w:p>
      <w:pPr>
        <w:spacing w:line="360" w:lineRule="auto"/>
        <w:ind w:firstLine="1066"/>
        <w:rPr>
          <w:rFonts w:ascii="仿宋" w:hAnsi="仿宋" w:eastAsia="仿宋"/>
          <w:b/>
          <w:bCs/>
          <w:sz w:val="36"/>
          <w:szCs w:val="32"/>
          <w:highlight w:val="none"/>
        </w:rPr>
      </w:pPr>
    </w:p>
    <w:p>
      <w:pPr>
        <w:spacing w:line="360" w:lineRule="auto"/>
        <w:rPr>
          <w:rFonts w:ascii="仿宋" w:hAnsi="仿宋" w:eastAsia="仿宋"/>
          <w:b/>
          <w:bCs/>
          <w:sz w:val="32"/>
          <w:szCs w:val="32"/>
          <w:highlight w:val="none"/>
        </w:rPr>
      </w:pPr>
    </w:p>
    <w:p>
      <w:pPr>
        <w:pStyle w:val="27"/>
        <w:tabs>
          <w:tab w:val="right" w:leader="dot" w:pos="8306"/>
        </w:tabs>
        <w:jc w:val="center"/>
        <w:rPr>
          <w:rFonts w:ascii="宋体" w:hAnsi="宋体" w:cs="宋体"/>
          <w:sz w:val="30"/>
          <w:szCs w:val="30"/>
          <w:highlight w:val="none"/>
        </w:rPr>
      </w:pPr>
      <w:r>
        <w:rPr>
          <w:rFonts w:hint="eastAsia" w:ascii="宋体" w:hAnsi="宋体" w:cs="宋体"/>
          <w:sz w:val="30"/>
          <w:szCs w:val="30"/>
          <w:highlight w:val="none"/>
        </w:rPr>
        <w:t>目  录</w:t>
      </w:r>
    </w:p>
    <w:p>
      <w:pPr>
        <w:rPr>
          <w:highlight w:val="none"/>
        </w:rPr>
      </w:pPr>
    </w:p>
    <w:p>
      <w:pPr>
        <w:pStyle w:val="27"/>
        <w:tabs>
          <w:tab w:val="right" w:leader="dot" w:pos="8296"/>
        </w:tabs>
        <w:rPr>
          <w:rFonts w:ascii="等线" w:hAnsi="等线" w:cs="等线"/>
          <w:b w:val="0"/>
          <w:bCs w:val="0"/>
          <w:caps w:val="0"/>
          <w:sz w:val="21"/>
          <w:szCs w:val="22"/>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"1-1" \h \u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"_Toc159860780" </w:instrText>
      </w:r>
      <w:r>
        <w:rPr>
          <w:highlight w:val="none"/>
        </w:rPr>
        <w:fldChar w:fldCharType="separate"/>
      </w:r>
      <w:r>
        <w:rPr>
          <w:rStyle w:val="46"/>
          <w:rFonts w:ascii="宋体" w:hAnsi="宋体" w:cs="宋体"/>
          <w:highlight w:val="none"/>
        </w:rPr>
        <w:t>第一章  协议当事人</w:t>
      </w:r>
      <w:r>
        <w:rPr>
          <w:highlight w:val="none"/>
        </w:rPr>
        <w:tab/>
      </w:r>
      <w:r>
        <w:rPr>
          <w:highlight w:val="none"/>
        </w:rPr>
        <w:fldChar w:fldCharType="begin"/>
      </w:r>
      <w:r>
        <w:rPr>
          <w:highlight w:val="none"/>
        </w:rPr>
        <w:instrText xml:space="preserve"> PAGEREF _Toc159860780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"_Toc159860781" </w:instrText>
      </w:r>
      <w:r>
        <w:rPr>
          <w:highlight w:val="none"/>
        </w:rPr>
        <w:fldChar w:fldCharType="separate"/>
      </w:r>
      <w:r>
        <w:rPr>
          <w:rStyle w:val="46"/>
          <w:rFonts w:ascii="宋体" w:hAnsi="宋体" w:cs="宋体"/>
          <w:highlight w:val="none"/>
        </w:rPr>
        <w:t>第二章  当事人的权利与义务</w:t>
      </w:r>
      <w:r>
        <w:rPr>
          <w:highlight w:val="none"/>
        </w:rPr>
        <w:tab/>
      </w:r>
      <w:r>
        <w:rPr>
          <w:highlight w:val="none"/>
        </w:rPr>
        <w:fldChar w:fldCharType="begin"/>
      </w:r>
      <w:r>
        <w:rPr>
          <w:highlight w:val="none"/>
        </w:rPr>
        <w:instrText xml:space="preserve"> PAGEREF _Toc159860781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"_Toc159860782" </w:instrText>
      </w:r>
      <w:r>
        <w:rPr>
          <w:highlight w:val="none"/>
        </w:rPr>
        <w:fldChar w:fldCharType="separate"/>
      </w:r>
      <w:r>
        <w:rPr>
          <w:rStyle w:val="46"/>
          <w:rFonts w:ascii="宋体" w:hAnsi="宋体" w:cs="宋体"/>
          <w:highlight w:val="none"/>
        </w:rPr>
        <w:t>第三章  理财产品成立时理财资金及资料的交付</w:t>
      </w:r>
      <w:r>
        <w:rPr>
          <w:highlight w:val="none"/>
        </w:rPr>
        <w:tab/>
      </w:r>
      <w:r>
        <w:rPr>
          <w:highlight w:val="none"/>
        </w:rPr>
        <w:fldChar w:fldCharType="begin"/>
      </w:r>
      <w:r>
        <w:rPr>
          <w:highlight w:val="none"/>
        </w:rPr>
        <w:instrText xml:space="preserve"> PAGEREF _Toc159860782 \h </w:instrText>
      </w:r>
      <w:r>
        <w:rPr>
          <w:highlight w:val="none"/>
        </w:rPr>
        <w:fldChar w:fldCharType="separate"/>
      </w:r>
      <w:r>
        <w:rPr>
          <w:highlight w:val="none"/>
        </w:rPr>
        <w:t>7</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"_Toc159860783" </w:instrText>
      </w:r>
      <w:r>
        <w:rPr>
          <w:highlight w:val="none"/>
        </w:rPr>
        <w:fldChar w:fldCharType="separate"/>
      </w:r>
      <w:r>
        <w:rPr>
          <w:rStyle w:val="46"/>
          <w:rFonts w:ascii="宋体" w:hAnsi="宋体" w:cs="宋体"/>
          <w:highlight w:val="none"/>
        </w:rPr>
        <w:t>第四章  理财产品财产的保管</w:t>
      </w:r>
      <w:r>
        <w:rPr>
          <w:highlight w:val="none"/>
        </w:rPr>
        <w:tab/>
      </w:r>
      <w:r>
        <w:rPr>
          <w:highlight w:val="none"/>
        </w:rPr>
        <w:fldChar w:fldCharType="begin"/>
      </w:r>
      <w:r>
        <w:rPr>
          <w:highlight w:val="none"/>
        </w:rPr>
        <w:instrText xml:space="preserve"> PAGEREF _Toc159860783 \h </w:instrText>
      </w:r>
      <w:r>
        <w:rPr>
          <w:highlight w:val="none"/>
        </w:rPr>
        <w:fldChar w:fldCharType="separate"/>
      </w:r>
      <w:r>
        <w:rPr>
          <w:highlight w:val="none"/>
        </w:rPr>
        <w:t>8</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"_Toc159860784" </w:instrText>
      </w:r>
      <w:r>
        <w:rPr>
          <w:highlight w:val="none"/>
        </w:rPr>
        <w:fldChar w:fldCharType="separate"/>
      </w:r>
      <w:r>
        <w:rPr>
          <w:rStyle w:val="46"/>
          <w:rFonts w:ascii="宋体" w:hAnsi="宋体" w:cs="宋体"/>
          <w:highlight w:val="none"/>
        </w:rPr>
        <w:t>第五章  划款指令</w:t>
      </w:r>
      <w:r>
        <w:rPr>
          <w:highlight w:val="none"/>
        </w:rPr>
        <w:tab/>
      </w:r>
      <w:r>
        <w:rPr>
          <w:highlight w:val="none"/>
        </w:rPr>
        <w:fldChar w:fldCharType="begin"/>
      </w:r>
      <w:r>
        <w:rPr>
          <w:highlight w:val="none"/>
        </w:rPr>
        <w:instrText xml:space="preserve"> PAGEREF _Toc159860784 \h </w:instrText>
      </w:r>
      <w:r>
        <w:rPr>
          <w:highlight w:val="none"/>
        </w:rPr>
        <w:fldChar w:fldCharType="separate"/>
      </w:r>
      <w:r>
        <w:rPr>
          <w:highlight w:val="none"/>
        </w:rPr>
        <w:t>13</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"_Toc159860785" </w:instrText>
      </w:r>
      <w:r>
        <w:rPr>
          <w:highlight w:val="none"/>
        </w:rPr>
        <w:fldChar w:fldCharType="separate"/>
      </w:r>
      <w:r>
        <w:rPr>
          <w:rStyle w:val="46"/>
          <w:rFonts w:ascii="宋体" w:hAnsi="宋体" w:cs="宋体"/>
          <w:highlight w:val="none"/>
        </w:rPr>
        <w:t>第六章  理财产品的投资交易及其资金清算</w:t>
      </w:r>
      <w:r>
        <w:rPr>
          <w:highlight w:val="none"/>
        </w:rPr>
        <w:tab/>
      </w:r>
      <w:r>
        <w:rPr>
          <w:highlight w:val="none"/>
        </w:rPr>
        <w:fldChar w:fldCharType="begin"/>
      </w:r>
      <w:r>
        <w:rPr>
          <w:highlight w:val="none"/>
        </w:rPr>
        <w:instrText xml:space="preserve"> PAGEREF _Toc159860785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"_Toc159860786" </w:instrText>
      </w:r>
      <w:r>
        <w:rPr>
          <w:highlight w:val="none"/>
        </w:rPr>
        <w:fldChar w:fldCharType="separate"/>
      </w:r>
      <w:r>
        <w:rPr>
          <w:rStyle w:val="46"/>
          <w:rFonts w:ascii="宋体" w:hAnsi="宋体" w:cs="宋体"/>
          <w:highlight w:val="none"/>
        </w:rPr>
        <w:t>第七章 理财产品估值与会计核算</w:t>
      </w:r>
      <w:r>
        <w:rPr>
          <w:highlight w:val="none"/>
        </w:rPr>
        <w:tab/>
      </w:r>
      <w:r>
        <w:rPr>
          <w:highlight w:val="none"/>
        </w:rPr>
        <w:fldChar w:fldCharType="begin"/>
      </w:r>
      <w:r>
        <w:rPr>
          <w:highlight w:val="none"/>
        </w:rPr>
        <w:instrText xml:space="preserve"> PAGEREF _Toc159860786 \h </w:instrText>
      </w:r>
      <w:r>
        <w:rPr>
          <w:highlight w:val="none"/>
        </w:rPr>
        <w:fldChar w:fldCharType="separate"/>
      </w:r>
      <w:r>
        <w:rPr>
          <w:highlight w:val="none"/>
        </w:rPr>
        <w:t>21</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"_Toc159860787" </w:instrText>
      </w:r>
      <w:r>
        <w:rPr>
          <w:highlight w:val="none"/>
        </w:rPr>
        <w:fldChar w:fldCharType="separate"/>
      </w:r>
      <w:r>
        <w:rPr>
          <w:rStyle w:val="46"/>
          <w:rFonts w:ascii="宋体" w:hAnsi="宋体" w:cs="宋体"/>
          <w:highlight w:val="none"/>
        </w:rPr>
        <w:t>第八章  托管人对管理人的业务监督与核查</w:t>
      </w:r>
      <w:r>
        <w:rPr>
          <w:highlight w:val="none"/>
        </w:rPr>
        <w:tab/>
      </w:r>
      <w:r>
        <w:rPr>
          <w:highlight w:val="none"/>
        </w:rPr>
        <w:fldChar w:fldCharType="begin"/>
      </w:r>
      <w:r>
        <w:rPr>
          <w:highlight w:val="none"/>
        </w:rPr>
        <w:instrText xml:space="preserve"> PAGEREF _Toc159860787 \h </w:instrText>
      </w:r>
      <w:r>
        <w:rPr>
          <w:highlight w:val="none"/>
        </w:rPr>
        <w:fldChar w:fldCharType="separate"/>
      </w:r>
      <w:r>
        <w:rPr>
          <w:highlight w:val="none"/>
        </w:rPr>
        <w:t>31</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"_Toc159860788" </w:instrText>
      </w:r>
      <w:r>
        <w:rPr>
          <w:highlight w:val="none"/>
        </w:rPr>
        <w:fldChar w:fldCharType="separate"/>
      </w:r>
      <w:r>
        <w:rPr>
          <w:rStyle w:val="46"/>
          <w:rFonts w:ascii="宋体" w:hAnsi="宋体" w:cs="宋体"/>
          <w:highlight w:val="none"/>
        </w:rPr>
        <w:t>第九章  信息披露</w:t>
      </w:r>
      <w:r>
        <w:rPr>
          <w:highlight w:val="none"/>
        </w:rPr>
        <w:tab/>
      </w:r>
      <w:r>
        <w:rPr>
          <w:highlight w:val="none"/>
        </w:rPr>
        <w:fldChar w:fldCharType="begin"/>
      </w:r>
      <w:r>
        <w:rPr>
          <w:highlight w:val="none"/>
        </w:rPr>
        <w:instrText xml:space="preserve"> PAGEREF _Toc159860788 \h </w:instrText>
      </w:r>
      <w:r>
        <w:rPr>
          <w:highlight w:val="none"/>
        </w:rPr>
        <w:fldChar w:fldCharType="separate"/>
      </w:r>
      <w:r>
        <w:rPr>
          <w:highlight w:val="none"/>
        </w:rPr>
        <w:t>32</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"_Toc159860789" </w:instrText>
      </w:r>
      <w:r>
        <w:rPr>
          <w:highlight w:val="none"/>
        </w:rPr>
        <w:fldChar w:fldCharType="separate"/>
      </w:r>
      <w:r>
        <w:rPr>
          <w:rStyle w:val="46"/>
          <w:rFonts w:ascii="宋体" w:hAnsi="宋体" w:cs="宋体"/>
          <w:highlight w:val="none"/>
        </w:rPr>
        <w:t>第十章  理财产品的档案保管</w:t>
      </w:r>
      <w:r>
        <w:rPr>
          <w:highlight w:val="none"/>
        </w:rPr>
        <w:tab/>
      </w:r>
      <w:r>
        <w:rPr>
          <w:highlight w:val="none"/>
        </w:rPr>
        <w:fldChar w:fldCharType="begin"/>
      </w:r>
      <w:r>
        <w:rPr>
          <w:highlight w:val="none"/>
        </w:rPr>
        <w:instrText xml:space="preserve"> PAGEREF _Toc159860789 \h </w:instrText>
      </w:r>
      <w:r>
        <w:rPr>
          <w:highlight w:val="none"/>
        </w:rPr>
        <w:fldChar w:fldCharType="separate"/>
      </w:r>
      <w:r>
        <w:rPr>
          <w:highlight w:val="none"/>
        </w:rPr>
        <w:t>32</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"_Toc159860790" </w:instrText>
      </w:r>
      <w:r>
        <w:rPr>
          <w:highlight w:val="none"/>
        </w:rPr>
        <w:fldChar w:fldCharType="separate"/>
      </w:r>
      <w:r>
        <w:rPr>
          <w:rStyle w:val="46"/>
          <w:rFonts w:ascii="宋体" w:hAnsi="宋体" w:cs="宋体"/>
          <w:highlight w:val="none"/>
        </w:rPr>
        <w:t>第十一章  费用</w:t>
      </w:r>
      <w:r>
        <w:rPr>
          <w:highlight w:val="none"/>
        </w:rPr>
        <w:tab/>
      </w:r>
      <w:r>
        <w:rPr>
          <w:highlight w:val="none"/>
        </w:rPr>
        <w:fldChar w:fldCharType="begin"/>
      </w:r>
      <w:r>
        <w:rPr>
          <w:highlight w:val="none"/>
        </w:rPr>
        <w:instrText xml:space="preserve"> PAGEREF _Toc159860790 \h </w:instrText>
      </w:r>
      <w:r>
        <w:rPr>
          <w:highlight w:val="none"/>
        </w:rPr>
        <w:fldChar w:fldCharType="separate"/>
      </w:r>
      <w:r>
        <w:rPr>
          <w:highlight w:val="none"/>
        </w:rPr>
        <w:t>33</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"_Toc159860791" </w:instrText>
      </w:r>
      <w:r>
        <w:rPr>
          <w:highlight w:val="none"/>
        </w:rPr>
        <w:fldChar w:fldCharType="separate"/>
      </w:r>
      <w:r>
        <w:rPr>
          <w:rStyle w:val="46"/>
          <w:rFonts w:ascii="宋体" w:hAnsi="宋体" w:cs="宋体"/>
          <w:highlight w:val="none"/>
        </w:rPr>
        <w:t>第十二章  理财产品变更、终止、清算与分配</w:t>
      </w:r>
      <w:r>
        <w:rPr>
          <w:highlight w:val="none"/>
        </w:rPr>
        <w:tab/>
      </w:r>
      <w:r>
        <w:rPr>
          <w:highlight w:val="none"/>
        </w:rPr>
        <w:fldChar w:fldCharType="begin"/>
      </w:r>
      <w:r>
        <w:rPr>
          <w:highlight w:val="none"/>
        </w:rPr>
        <w:instrText xml:space="preserve"> PAGEREF _Toc159860791 \h </w:instrText>
      </w:r>
      <w:r>
        <w:rPr>
          <w:highlight w:val="none"/>
        </w:rPr>
        <w:fldChar w:fldCharType="separate"/>
      </w:r>
      <w:r>
        <w:rPr>
          <w:highlight w:val="none"/>
        </w:rPr>
        <w:t>34</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"_Toc159860792" </w:instrText>
      </w:r>
      <w:r>
        <w:rPr>
          <w:highlight w:val="none"/>
        </w:rPr>
        <w:fldChar w:fldCharType="separate"/>
      </w:r>
      <w:r>
        <w:rPr>
          <w:rStyle w:val="46"/>
          <w:rFonts w:ascii="宋体" w:hAnsi="宋体" w:cs="宋体"/>
          <w:highlight w:val="none"/>
        </w:rPr>
        <w:t>第十三章  违约责任</w:t>
      </w:r>
      <w:r>
        <w:rPr>
          <w:highlight w:val="none"/>
        </w:rPr>
        <w:tab/>
      </w:r>
      <w:r>
        <w:rPr>
          <w:highlight w:val="none"/>
        </w:rPr>
        <w:fldChar w:fldCharType="begin"/>
      </w:r>
      <w:r>
        <w:rPr>
          <w:highlight w:val="none"/>
        </w:rPr>
        <w:instrText xml:space="preserve"> PAGEREF _Toc159860792 \h </w:instrText>
      </w:r>
      <w:r>
        <w:rPr>
          <w:highlight w:val="none"/>
        </w:rPr>
        <w:fldChar w:fldCharType="separate"/>
      </w:r>
      <w:r>
        <w:rPr>
          <w:highlight w:val="none"/>
        </w:rPr>
        <w:t>34</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"_Toc159860793" </w:instrText>
      </w:r>
      <w:r>
        <w:rPr>
          <w:highlight w:val="none"/>
        </w:rPr>
        <w:fldChar w:fldCharType="separate"/>
      </w:r>
      <w:r>
        <w:rPr>
          <w:rStyle w:val="46"/>
          <w:rFonts w:ascii="宋体" w:hAnsi="等线"/>
          <w:highlight w:val="none"/>
        </w:rPr>
        <w:t>第十四章 个人信息保护</w:t>
      </w:r>
      <w:r>
        <w:rPr>
          <w:highlight w:val="none"/>
        </w:rPr>
        <w:tab/>
      </w:r>
      <w:r>
        <w:rPr>
          <w:highlight w:val="none"/>
        </w:rPr>
        <w:fldChar w:fldCharType="begin"/>
      </w:r>
      <w:r>
        <w:rPr>
          <w:highlight w:val="none"/>
        </w:rPr>
        <w:instrText xml:space="preserve"> PAGEREF _Toc159860793 \h </w:instrText>
      </w:r>
      <w:r>
        <w:rPr>
          <w:highlight w:val="none"/>
        </w:rPr>
        <w:fldChar w:fldCharType="separate"/>
      </w:r>
      <w:r>
        <w:rPr>
          <w:highlight w:val="none"/>
        </w:rPr>
        <w:t>35</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"_Toc159860794" </w:instrText>
      </w:r>
      <w:r>
        <w:rPr>
          <w:highlight w:val="none"/>
        </w:rPr>
        <w:fldChar w:fldCharType="separate"/>
      </w:r>
      <w:r>
        <w:rPr>
          <w:rStyle w:val="46"/>
          <w:rFonts w:ascii="宋体" w:hAnsi="宋体" w:cs="宋体"/>
          <w:highlight w:val="none"/>
        </w:rPr>
        <w:t>第十五章  反洗钱条款</w:t>
      </w:r>
      <w:r>
        <w:rPr>
          <w:highlight w:val="none"/>
        </w:rPr>
        <w:tab/>
      </w:r>
      <w:r>
        <w:rPr>
          <w:highlight w:val="none"/>
        </w:rPr>
        <w:fldChar w:fldCharType="begin"/>
      </w:r>
      <w:r>
        <w:rPr>
          <w:highlight w:val="none"/>
        </w:rPr>
        <w:instrText xml:space="preserve"> PAGEREF _Toc159860794 \h </w:instrText>
      </w:r>
      <w:r>
        <w:rPr>
          <w:highlight w:val="none"/>
        </w:rPr>
        <w:fldChar w:fldCharType="separate"/>
      </w:r>
      <w:r>
        <w:rPr>
          <w:highlight w:val="none"/>
        </w:rPr>
        <w:t>36</w:t>
      </w:r>
      <w:r>
        <w:rPr>
          <w:highlight w:val="none"/>
        </w:rPr>
        <w:fldChar w:fldCharType="end"/>
      </w:r>
      <w:r>
        <w:rPr>
          <w:highlight w:val="none"/>
        </w:rPr>
        <w:fldChar w:fldCharType="end"/>
      </w:r>
    </w:p>
    <w:p>
      <w:pPr>
        <w:pStyle w:val="27"/>
        <w:tabs>
          <w:tab w:val="right" w:leader="dot" w:pos="8296"/>
        </w:tabs>
        <w:rPr>
          <w:rFonts w:ascii="等线" w:hAnsi="等线" w:cs="等线"/>
          <w:b w:val="0"/>
          <w:bCs w:val="0"/>
          <w:caps w:val="0"/>
          <w:sz w:val="21"/>
          <w:szCs w:val="22"/>
          <w:highlight w:val="none"/>
        </w:rPr>
      </w:pPr>
      <w:r>
        <w:rPr>
          <w:highlight w:val="none"/>
        </w:rPr>
        <w:fldChar w:fldCharType="begin"/>
      </w:r>
      <w:r>
        <w:rPr>
          <w:highlight w:val="none"/>
        </w:rPr>
        <w:instrText xml:space="preserve"> HYPERLINK \l "_Toc159860795" </w:instrText>
      </w:r>
      <w:r>
        <w:rPr>
          <w:highlight w:val="none"/>
        </w:rPr>
        <w:fldChar w:fldCharType="separate"/>
      </w:r>
      <w:r>
        <w:rPr>
          <w:rStyle w:val="46"/>
          <w:rFonts w:ascii="宋体" w:hAnsi="宋体" w:cs="宋体"/>
          <w:highlight w:val="none"/>
        </w:rPr>
        <w:t>第十六章  其他事项</w:t>
      </w:r>
      <w:r>
        <w:rPr>
          <w:highlight w:val="none"/>
        </w:rPr>
        <w:tab/>
      </w:r>
      <w:r>
        <w:rPr>
          <w:highlight w:val="none"/>
        </w:rPr>
        <w:fldChar w:fldCharType="begin"/>
      </w:r>
      <w:r>
        <w:rPr>
          <w:highlight w:val="none"/>
        </w:rPr>
        <w:instrText xml:space="preserve"> PAGEREF _Toc159860795 \h </w:instrText>
      </w:r>
      <w:r>
        <w:rPr>
          <w:highlight w:val="none"/>
        </w:rPr>
        <w:fldChar w:fldCharType="separate"/>
      </w:r>
      <w:r>
        <w:rPr>
          <w:highlight w:val="none"/>
        </w:rPr>
        <w:t>36</w:t>
      </w:r>
      <w:r>
        <w:rPr>
          <w:highlight w:val="none"/>
        </w:rPr>
        <w:fldChar w:fldCharType="end"/>
      </w:r>
      <w:r>
        <w:rPr>
          <w:highlight w:val="none"/>
        </w:rPr>
        <w:fldChar w:fldCharType="end"/>
      </w:r>
    </w:p>
    <w:p>
      <w:pPr>
        <w:pStyle w:val="27"/>
        <w:tabs>
          <w:tab w:val="right" w:leader="dot" w:pos="8296"/>
        </w:tabs>
        <w:rPr>
          <w:rFonts w:hint="default" w:ascii="等线" w:hAnsi="等线" w:eastAsia="宋体" w:cs="等线"/>
          <w:b w:val="0"/>
          <w:bCs w:val="0"/>
          <w:caps w:val="0"/>
          <w:sz w:val="21"/>
          <w:szCs w:val="22"/>
          <w:highlight w:val="none"/>
          <w:lang w:val="en-US" w:eastAsia="zh-CN"/>
        </w:rPr>
      </w:pPr>
      <w:r>
        <w:rPr>
          <w:highlight w:val="none"/>
        </w:rPr>
        <w:fldChar w:fldCharType="begin"/>
      </w:r>
      <w:r>
        <w:rPr>
          <w:highlight w:val="none"/>
        </w:rPr>
        <w:instrText xml:space="preserve"> HYPERLINK \l "_Toc159860796" </w:instrText>
      </w:r>
      <w:r>
        <w:rPr>
          <w:highlight w:val="none"/>
        </w:rPr>
        <w:fldChar w:fldCharType="separate"/>
      </w:r>
      <w:r>
        <w:rPr>
          <w:rStyle w:val="46"/>
          <w:rFonts w:ascii="宋体" w:hAnsi="宋体" w:cs="宋体"/>
          <w:highlight w:val="none"/>
        </w:rPr>
        <w:t>附件一：</w:t>
      </w:r>
      <w:r>
        <w:rPr>
          <w:highlight w:val="none"/>
        </w:rPr>
        <w:tab/>
      </w:r>
      <w:r>
        <w:rPr>
          <w:highlight w:val="none"/>
        </w:rPr>
        <w:fldChar w:fldCharType="begin"/>
      </w:r>
      <w:r>
        <w:rPr>
          <w:highlight w:val="none"/>
        </w:rPr>
        <w:instrText xml:space="preserve"> PAGEREF _Toc159860796 \h </w:instrText>
      </w:r>
      <w:r>
        <w:rPr>
          <w:highlight w:val="none"/>
        </w:rPr>
        <w:fldChar w:fldCharType="separate"/>
      </w:r>
      <w:r>
        <w:rPr>
          <w:highlight w:val="none"/>
        </w:rPr>
        <w:fldChar w:fldCharType="end"/>
      </w:r>
      <w:r>
        <w:rPr>
          <w:highlight w:val="none"/>
        </w:rPr>
        <w:fldChar w:fldCharType="end"/>
      </w:r>
      <w:r>
        <w:rPr>
          <w:rFonts w:hint="eastAsia"/>
          <w:highlight w:val="none"/>
          <w:lang w:val="en-US" w:eastAsia="zh-CN"/>
        </w:rPr>
        <w:t>41</w:t>
      </w:r>
    </w:p>
    <w:p>
      <w:pPr>
        <w:pStyle w:val="27"/>
        <w:tabs>
          <w:tab w:val="right" w:leader="dot" w:pos="8296"/>
        </w:tabs>
        <w:rPr>
          <w:rFonts w:hint="default" w:ascii="等线" w:hAnsi="等线" w:eastAsia="宋体" w:cs="等线"/>
          <w:b w:val="0"/>
          <w:bCs w:val="0"/>
          <w:caps w:val="0"/>
          <w:sz w:val="21"/>
          <w:szCs w:val="22"/>
          <w:highlight w:val="none"/>
          <w:lang w:val="en-US" w:eastAsia="zh-CN"/>
        </w:rPr>
      </w:pPr>
      <w:r>
        <w:rPr>
          <w:highlight w:val="none"/>
        </w:rPr>
        <w:fldChar w:fldCharType="begin"/>
      </w:r>
      <w:r>
        <w:rPr>
          <w:highlight w:val="none"/>
        </w:rPr>
        <w:instrText xml:space="preserve"> HYPERLINK \l "_Toc159860797" </w:instrText>
      </w:r>
      <w:r>
        <w:rPr>
          <w:highlight w:val="none"/>
        </w:rPr>
        <w:fldChar w:fldCharType="separate"/>
      </w:r>
      <w:r>
        <w:rPr>
          <w:rStyle w:val="46"/>
          <w:rFonts w:ascii="宋体" w:hAnsi="宋体" w:cs="宋体"/>
          <w:highlight w:val="none"/>
        </w:rPr>
        <w:t>附件二：</w:t>
      </w:r>
      <w:r>
        <w:rPr>
          <w:highlight w:val="none"/>
        </w:rPr>
        <w:tab/>
      </w:r>
      <w:r>
        <w:rPr>
          <w:highlight w:val="none"/>
        </w:rPr>
        <w:fldChar w:fldCharType="end"/>
      </w:r>
      <w:r>
        <w:rPr>
          <w:rFonts w:hint="eastAsia"/>
          <w:highlight w:val="none"/>
          <w:lang w:val="en-US" w:eastAsia="zh-CN"/>
        </w:rPr>
        <w:t>44</w:t>
      </w:r>
    </w:p>
    <w:p>
      <w:pPr>
        <w:pStyle w:val="27"/>
        <w:tabs>
          <w:tab w:val="right" w:leader="dot" w:pos="8296"/>
        </w:tabs>
        <w:rPr>
          <w:rFonts w:hint="default" w:ascii="等线" w:hAnsi="等线" w:eastAsia="宋体" w:cs="等线"/>
          <w:b w:val="0"/>
          <w:bCs w:val="0"/>
          <w:caps w:val="0"/>
          <w:sz w:val="21"/>
          <w:szCs w:val="22"/>
          <w:highlight w:val="none"/>
          <w:lang w:val="en-US" w:eastAsia="zh-CN"/>
        </w:rPr>
      </w:pPr>
      <w:r>
        <w:rPr>
          <w:highlight w:val="none"/>
        </w:rPr>
        <w:fldChar w:fldCharType="begin"/>
      </w:r>
      <w:r>
        <w:rPr>
          <w:highlight w:val="none"/>
        </w:rPr>
        <w:instrText xml:space="preserve"> HYPERLINK \l "_Toc159860798" </w:instrText>
      </w:r>
      <w:r>
        <w:rPr>
          <w:highlight w:val="none"/>
        </w:rPr>
        <w:fldChar w:fldCharType="separate"/>
      </w:r>
      <w:r>
        <w:rPr>
          <w:rStyle w:val="46"/>
          <w:rFonts w:ascii="宋体" w:hAnsi="宋体" w:cs="宋体"/>
          <w:highlight w:val="none"/>
        </w:rPr>
        <w:t>附件三：</w:t>
      </w:r>
      <w:r>
        <w:rPr>
          <w:highlight w:val="none"/>
        </w:rPr>
        <w:tab/>
      </w:r>
      <w:r>
        <w:rPr>
          <w:highlight w:val="none"/>
        </w:rPr>
        <w:fldChar w:fldCharType="end"/>
      </w:r>
      <w:r>
        <w:rPr>
          <w:rFonts w:hint="eastAsia"/>
          <w:highlight w:val="none"/>
          <w:lang w:val="en-US" w:eastAsia="zh-CN"/>
        </w:rPr>
        <w:t>45</w:t>
      </w:r>
    </w:p>
    <w:p>
      <w:pPr>
        <w:pStyle w:val="27"/>
        <w:tabs>
          <w:tab w:val="right" w:leader="dot" w:pos="8296"/>
        </w:tabs>
        <w:rPr>
          <w:rFonts w:hint="default" w:ascii="等线" w:hAnsi="等线" w:eastAsia="宋体" w:cs="等线"/>
          <w:b w:val="0"/>
          <w:bCs w:val="0"/>
          <w:caps w:val="0"/>
          <w:sz w:val="21"/>
          <w:szCs w:val="22"/>
          <w:highlight w:val="none"/>
          <w:lang w:val="en-US" w:eastAsia="zh-CN"/>
        </w:rPr>
      </w:pPr>
      <w:r>
        <w:rPr>
          <w:highlight w:val="none"/>
        </w:rPr>
        <w:fldChar w:fldCharType="begin"/>
      </w:r>
      <w:r>
        <w:rPr>
          <w:highlight w:val="none"/>
        </w:rPr>
        <w:instrText xml:space="preserve"> HYPERLINK \l "_Toc159860799" </w:instrText>
      </w:r>
      <w:r>
        <w:rPr>
          <w:highlight w:val="none"/>
        </w:rPr>
        <w:fldChar w:fldCharType="separate"/>
      </w:r>
      <w:r>
        <w:rPr>
          <w:rStyle w:val="46"/>
          <w:rFonts w:ascii="宋体" w:hAnsi="宋体" w:cs="宋体"/>
          <w:highlight w:val="none"/>
        </w:rPr>
        <w:t>附件四：</w:t>
      </w:r>
      <w:r>
        <w:rPr>
          <w:highlight w:val="none"/>
        </w:rPr>
        <w:tab/>
      </w:r>
      <w:r>
        <w:rPr>
          <w:highlight w:val="none"/>
        </w:rPr>
        <w:fldChar w:fldCharType="end"/>
      </w:r>
      <w:r>
        <w:rPr>
          <w:rFonts w:hint="eastAsia"/>
          <w:highlight w:val="none"/>
          <w:lang w:val="en-US" w:eastAsia="zh-CN"/>
        </w:rPr>
        <w:t>46</w:t>
      </w:r>
    </w:p>
    <w:p>
      <w:pPr>
        <w:pStyle w:val="27"/>
        <w:tabs>
          <w:tab w:val="right" w:leader="dot" w:pos="8296"/>
        </w:tabs>
        <w:rPr>
          <w:rFonts w:ascii="等线" w:hAnsi="等线" w:cs="等线"/>
          <w:b w:val="0"/>
          <w:bCs w:val="0"/>
          <w:caps w:val="0"/>
          <w:sz w:val="21"/>
          <w:szCs w:val="22"/>
          <w:highlight w:val="none"/>
        </w:rPr>
      </w:pPr>
    </w:p>
    <w:p>
      <w:pPr>
        <w:snapToGrid w:val="0"/>
        <w:spacing w:before="156" w:after="156" w:line="360" w:lineRule="auto"/>
        <w:jc w:val="left"/>
        <w:rPr>
          <w:rFonts w:ascii="宋体" w:hAnsi="宋体" w:cs="宋体"/>
          <w:sz w:val="24"/>
          <w:szCs w:val="24"/>
          <w:highlight w:val="none"/>
        </w:rPr>
      </w:pPr>
      <w:r>
        <w:rPr>
          <w:rFonts w:hint="eastAsia" w:ascii="宋体" w:hAnsi="宋体" w:cs="宋体"/>
          <w:szCs w:val="24"/>
          <w:highlight w:val="none"/>
        </w:rPr>
        <w:fldChar w:fldCharType="end"/>
      </w:r>
    </w:p>
    <w:p>
      <w:pPr>
        <w:snapToGrid w:val="0"/>
        <w:spacing w:before="156" w:after="156" w:line="360" w:lineRule="auto"/>
        <w:ind w:firstLine="480"/>
        <w:jc w:val="left"/>
        <w:rPr>
          <w:rFonts w:ascii="宋体" w:hAnsi="宋体" w:cs="宋体"/>
          <w:sz w:val="24"/>
          <w:szCs w:val="24"/>
          <w:highlight w:val="none"/>
        </w:rPr>
      </w:pPr>
    </w:p>
    <w:p>
      <w:pPr>
        <w:snapToGrid w:val="0"/>
        <w:spacing w:before="156" w:after="156" w:line="360" w:lineRule="auto"/>
        <w:ind w:firstLine="480"/>
        <w:jc w:val="left"/>
        <w:rPr>
          <w:rFonts w:ascii="宋体" w:hAnsi="宋体" w:cs="宋体"/>
          <w:sz w:val="24"/>
          <w:szCs w:val="24"/>
          <w:highlight w:val="none"/>
        </w:rPr>
      </w:pPr>
    </w:p>
    <w:p>
      <w:pPr>
        <w:snapToGrid w:val="0"/>
        <w:spacing w:before="156" w:after="156" w:line="360" w:lineRule="auto"/>
        <w:ind w:firstLine="480"/>
        <w:jc w:val="left"/>
        <w:rPr>
          <w:rFonts w:ascii="宋体" w:hAnsi="宋体" w:cs="宋体"/>
          <w:sz w:val="24"/>
          <w:szCs w:val="24"/>
          <w:highlight w:val="none"/>
        </w:rPr>
      </w:pPr>
    </w:p>
    <w:p>
      <w:pPr>
        <w:pStyle w:val="2"/>
      </w:pPr>
    </w:p>
    <w:p>
      <w:pPr>
        <w:snapToGrid w:val="0"/>
        <w:spacing w:before="156" w:after="156" w:line="360" w:lineRule="auto"/>
        <w:ind w:firstLine="0"/>
        <w:jc w:val="left"/>
        <w:rPr>
          <w:rFonts w:ascii="宋体" w:hAnsi="宋体" w:cs="宋体"/>
          <w:sz w:val="24"/>
          <w:szCs w:val="24"/>
          <w:highlight w:val="none"/>
        </w:rPr>
      </w:pPr>
    </w:p>
    <w:p>
      <w:pPr>
        <w:snapToGrid w:val="0"/>
        <w:spacing w:before="156" w:after="156" w:line="360" w:lineRule="auto"/>
        <w:ind w:firstLine="480"/>
        <w:rPr>
          <w:rFonts w:ascii="宋体" w:hAnsi="宋体" w:cs="宋体"/>
          <w:sz w:val="24"/>
          <w:szCs w:val="24"/>
          <w:highlight w:val="none"/>
        </w:rPr>
      </w:pPr>
      <w:r>
        <w:rPr>
          <w:rFonts w:hint="eastAsia" w:ascii="宋体" w:hAnsi="宋体" w:cs="宋体"/>
          <w:sz w:val="24"/>
          <w:szCs w:val="24"/>
          <w:highlight w:val="none"/>
        </w:rPr>
        <w:t>鉴于平安理财有限责任公司（以下简称“甲方”）拟开展商业银行理财业务发行理财产品，并委托</w:t>
      </w:r>
      <w:r>
        <w:rPr>
          <w:rFonts w:hint="eastAsia" w:ascii="宋体" w:hAnsi="宋体" w:cs="宋体"/>
          <w:sz w:val="24"/>
          <w:szCs w:val="24"/>
          <w:highlight w:val="none"/>
          <w:lang w:eastAsia="zh-CN"/>
        </w:rPr>
        <w:t>中信银行股份有限公司</w:t>
      </w:r>
      <w:r>
        <w:rPr>
          <w:rFonts w:hint="eastAsia" w:ascii="宋体" w:hAnsi="宋体" w:cs="宋体"/>
          <w:sz w:val="24"/>
          <w:szCs w:val="24"/>
          <w:highlight w:val="none"/>
        </w:rPr>
        <w:t>(以下简称“乙方”）作为理财产品理财资产的托管人，为明确甲、乙双方的权利义务和责任，促进甲方理财产品资产独立、安全、稳健运行，保障甲方理财产品投资者和协议各方的合法权益，根据《关于规范金融机构资产管理业务的指导意见》《商业银行理财业务监督管理办法》及其他相关法律、法规规定，订立本托管协议。</w:t>
      </w:r>
      <w:r>
        <w:rPr>
          <w:color w:val="000000"/>
          <w:sz w:val="24"/>
          <w:highlight w:val="none"/>
        </w:rPr>
        <w:t>本协议项下，乙方接受甲方委托，在甲方委托范围内，办理甲方交付的理财</w:t>
      </w:r>
      <w:r>
        <w:rPr>
          <w:rFonts w:hint="eastAsia"/>
          <w:color w:val="000000"/>
          <w:sz w:val="24"/>
          <w:highlight w:val="none"/>
        </w:rPr>
        <w:t>产品财产</w:t>
      </w:r>
      <w:r>
        <w:rPr>
          <w:color w:val="000000"/>
          <w:sz w:val="24"/>
          <w:highlight w:val="none"/>
        </w:rPr>
        <w:t>的托管事宜。就该等托管事宜中双方当事人的权利、义务，乙方处理的委托事项及相关职责，双方协商一致，在本协议中作出约定。</w:t>
      </w:r>
      <w:r>
        <w:rPr>
          <w:rFonts w:hint="eastAsia" w:ascii="宋体" w:hAnsi="宋体" w:cs="宋体"/>
          <w:sz w:val="24"/>
          <w:szCs w:val="24"/>
          <w:highlight w:val="none"/>
        </w:rPr>
        <w:t>除非本协议另有明确定义，否则本协议中涉及的理财业务专用名词的释义与法规或理财产品文件的释义相同。</w:t>
      </w:r>
    </w:p>
    <w:p>
      <w:pPr>
        <w:snapToGrid w:val="0"/>
        <w:spacing w:before="156" w:after="156"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本托管协议的签订，并不表明乙方对理财产品的价值和收益作出实质性判断或保证或其他形式的担保，也不表明投资于理财产品没有风险。甲方应保证理财产品的资金来源及用途合法，未违反国家法律法规及监管规定的各项要求，并自行对理财产品的合法合规性负责。乙方对理财产品的合法合规性不承担任何责任。</w:t>
      </w:r>
      <w:r>
        <w:rPr>
          <w:rFonts w:hint="eastAsia" w:ascii="宋体" w:hAnsi="宋体" w:cs="宋体"/>
          <w:sz w:val="24"/>
          <w:szCs w:val="24"/>
          <w:highlight w:val="none"/>
          <w:lang w:eastAsia="zh-CN"/>
        </w:rPr>
        <w:t>乙方</w:t>
      </w:r>
      <w:r>
        <w:rPr>
          <w:rFonts w:hint="eastAsia" w:ascii="宋体" w:hAnsi="宋体" w:cs="宋体"/>
          <w:sz w:val="24"/>
          <w:szCs w:val="24"/>
          <w:highlight w:val="none"/>
        </w:rPr>
        <w:t>对理财产品资金来源、投资收益</w:t>
      </w:r>
      <w:r>
        <w:rPr>
          <w:rFonts w:hint="eastAsia" w:ascii="宋体" w:hAnsi="宋体" w:cs="宋体"/>
          <w:sz w:val="24"/>
          <w:szCs w:val="24"/>
          <w:highlight w:val="none"/>
          <w:lang w:eastAsia="zh-CN"/>
        </w:rPr>
        <w:t>、投资安全</w:t>
      </w:r>
      <w:r>
        <w:rPr>
          <w:rFonts w:hint="eastAsia" w:ascii="宋体" w:hAnsi="宋体" w:cs="宋体"/>
          <w:sz w:val="24"/>
          <w:szCs w:val="24"/>
          <w:highlight w:val="none"/>
        </w:rPr>
        <w:t>及所投标的的后续资金使用情况不承担审核责任</w:t>
      </w:r>
      <w:r>
        <w:rPr>
          <w:rFonts w:hint="eastAsia" w:ascii="宋体" w:hAnsi="宋体" w:cs="宋体"/>
          <w:sz w:val="24"/>
          <w:szCs w:val="24"/>
          <w:highlight w:val="none"/>
          <w:lang w:eastAsia="zh-CN"/>
        </w:rPr>
        <w:t>，</w:t>
      </w:r>
      <w:r>
        <w:rPr>
          <w:rFonts w:hint="eastAsia" w:ascii="宋体" w:hAnsi="宋体" w:cs="宋体"/>
          <w:sz w:val="24"/>
          <w:szCs w:val="24"/>
          <w:highlight w:val="none"/>
        </w:rPr>
        <w:t>不保证托管财产投资不受损失，不保证最低收益</w:t>
      </w:r>
      <w:r>
        <w:rPr>
          <w:rFonts w:hint="eastAsia" w:ascii="宋体" w:hAnsi="宋体" w:cs="宋体"/>
          <w:sz w:val="24"/>
          <w:szCs w:val="24"/>
          <w:highlight w:val="none"/>
          <w:lang w:eastAsia="zh-CN"/>
        </w:rPr>
        <w:t>。</w:t>
      </w:r>
    </w:p>
    <w:p>
      <w:pPr>
        <w:snapToGrid w:val="0"/>
        <w:spacing w:before="156" w:after="156" w:line="360" w:lineRule="auto"/>
        <w:ind w:firstLine="480"/>
        <w:jc w:val="left"/>
        <w:rPr>
          <w:rFonts w:ascii="宋体" w:hAnsi="宋体" w:cs="宋体"/>
          <w:sz w:val="24"/>
          <w:szCs w:val="24"/>
          <w:highlight w:val="none"/>
        </w:rPr>
      </w:pPr>
      <w:r>
        <w:rPr>
          <w:rFonts w:hint="eastAsia" w:ascii="宋体" w:hAnsi="宋体" w:cs="宋体"/>
          <w:sz w:val="24"/>
          <w:szCs w:val="24"/>
          <w:highlight w:val="none"/>
        </w:rPr>
        <w:t>当双方签署本协议后，本协议适用于甲方委托乙方托管的所有理财产品，双方无需就甲方发行的单期理财产品委托乙方托管事宜另行签署托管协议，具体每期理财产品的详细产品要素及托管要素</w:t>
      </w:r>
      <w:r>
        <w:rPr>
          <w:rFonts w:hint="eastAsia" w:ascii="宋体" w:hAnsi="宋体" w:cs="宋体"/>
          <w:sz w:val="24"/>
          <w:szCs w:val="24"/>
          <w:highlight w:val="none"/>
          <w:lang w:eastAsia="zh-CN"/>
        </w:rPr>
        <w:t>信息应至少</w:t>
      </w:r>
      <w:r>
        <w:rPr>
          <w:rFonts w:hint="eastAsia" w:ascii="宋体" w:hAnsi="宋体" w:cs="宋体"/>
          <w:sz w:val="24"/>
          <w:szCs w:val="24"/>
          <w:highlight w:val="none"/>
        </w:rPr>
        <w:t>在每期理财产品</w:t>
      </w:r>
      <w:r>
        <w:rPr>
          <w:rFonts w:hint="eastAsia" w:ascii="宋体" w:hAnsi="宋体" w:cs="宋体"/>
          <w:sz w:val="24"/>
          <w:szCs w:val="24"/>
          <w:highlight w:val="none"/>
          <w:lang w:eastAsia="zh-CN"/>
        </w:rPr>
        <w:t>成立日的前一日</w:t>
      </w:r>
      <w:r>
        <w:rPr>
          <w:rFonts w:hint="eastAsia" w:ascii="宋体" w:hAnsi="宋体" w:cs="宋体"/>
          <w:sz w:val="24"/>
          <w:szCs w:val="24"/>
          <w:highlight w:val="none"/>
        </w:rPr>
        <w:t>通过《平安理财有限责任公司理财产品托管协议适用确认书》（格式见附件一，以下简称为“《适用确认书》”）进行确认。</w:t>
      </w:r>
      <w:r>
        <w:rPr>
          <w:color w:val="000000"/>
          <w:sz w:val="24"/>
          <w:highlight w:val="none"/>
        </w:rPr>
        <w:t>乙方受托托管单</w:t>
      </w:r>
      <w:r>
        <w:rPr>
          <w:rFonts w:hint="eastAsia"/>
          <w:color w:val="000000"/>
          <w:sz w:val="24"/>
          <w:highlight w:val="none"/>
        </w:rPr>
        <w:t>期或单个</w:t>
      </w:r>
      <w:r>
        <w:rPr>
          <w:color w:val="000000"/>
          <w:sz w:val="24"/>
          <w:highlight w:val="none"/>
        </w:rPr>
        <w:t>理财产品后，双方就该理财产品托管中的权利义务关系受本协议的约束。甲方保证</w:t>
      </w:r>
      <w:r>
        <w:rPr>
          <w:rFonts w:hint="eastAsia"/>
          <w:color w:val="000000"/>
          <w:sz w:val="24"/>
          <w:highlight w:val="none"/>
        </w:rPr>
        <w:t>相关理财</w:t>
      </w:r>
      <w:r>
        <w:rPr>
          <w:color w:val="000000"/>
          <w:sz w:val="24"/>
          <w:highlight w:val="none"/>
        </w:rPr>
        <w:t>产品合法合规、具备可操作性。</w:t>
      </w:r>
    </w:p>
    <w:p>
      <w:pPr>
        <w:pStyle w:val="3"/>
        <w:snapToGrid w:val="0"/>
        <w:spacing w:line="440" w:lineRule="exact"/>
        <w:jc w:val="center"/>
        <w:rPr>
          <w:rFonts w:ascii="宋体" w:hAnsi="宋体" w:cs="宋体"/>
          <w:sz w:val="24"/>
          <w:szCs w:val="24"/>
          <w:highlight w:val="none"/>
        </w:rPr>
      </w:pPr>
      <w:bookmarkStart w:id="0" w:name="_Toc18057708"/>
      <w:bookmarkStart w:id="1" w:name="_Toc1656547"/>
      <w:bookmarkStart w:id="2" w:name="_Toc19177197"/>
      <w:bookmarkStart w:id="3" w:name="_Toc2673250"/>
      <w:bookmarkStart w:id="4" w:name="_Toc6903"/>
      <w:bookmarkStart w:id="5" w:name="_Toc214935787"/>
      <w:bookmarkStart w:id="6" w:name="_Toc30315"/>
      <w:bookmarkStart w:id="7" w:name="_Toc18057160"/>
      <w:bookmarkStart w:id="8" w:name="_Toc18057233"/>
      <w:bookmarkStart w:id="9" w:name="_Toc28331"/>
      <w:bookmarkStart w:id="10" w:name="_Toc18057335"/>
      <w:bookmarkStart w:id="11" w:name="_Toc17215"/>
      <w:bookmarkStart w:id="12" w:name="_Toc214935829"/>
      <w:bookmarkStart w:id="13" w:name="_Toc159860780"/>
      <w:bookmarkStart w:id="14" w:name="_Toc22802416"/>
      <w:bookmarkStart w:id="15" w:name="_Toc22729"/>
      <w:r>
        <w:rPr>
          <w:rFonts w:hint="eastAsia" w:ascii="宋体" w:hAnsi="宋体" w:cs="宋体"/>
          <w:sz w:val="24"/>
          <w:szCs w:val="24"/>
          <w:highlight w:val="none"/>
        </w:rPr>
        <w:t>第一章  协议当事人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一、甲方（管理人）：</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名称：平安理财有限责任公司</w:t>
      </w:r>
    </w:p>
    <w:p>
      <w:pPr>
        <w:snapToGrid w:val="0"/>
        <w:spacing w:before="156" w:after="156" w:line="360" w:lineRule="auto"/>
        <w:ind w:firstLine="480"/>
        <w:jc w:val="left"/>
        <w:rPr>
          <w:rFonts w:ascii="宋体" w:hAnsi="宋体" w:cs="宋体"/>
          <w:sz w:val="32"/>
          <w:szCs w:val="24"/>
          <w:highlight w:val="none"/>
        </w:rPr>
      </w:pPr>
      <w:r>
        <w:rPr>
          <w:rFonts w:hint="eastAsia" w:ascii="宋体" w:hAnsi="宋体" w:cs="宋体"/>
          <w:sz w:val="24"/>
          <w:szCs w:val="24"/>
          <w:highlight w:val="none"/>
        </w:rPr>
        <w:t>地址：</w:t>
      </w:r>
      <w:r>
        <w:rPr>
          <w:rFonts w:hint="eastAsia" w:ascii="宋体" w:hAnsi="宋体"/>
          <w:sz w:val="24"/>
          <w:highlight w:val="none"/>
        </w:rPr>
        <w:t>深圳市福田区益田路5033号平安金融中心</w:t>
      </w:r>
      <w:r>
        <w:rPr>
          <w:rFonts w:hint="eastAsia" w:ascii="宋体" w:hAnsi="宋体"/>
          <w:sz w:val="24"/>
          <w:highlight w:val="none"/>
          <w:lang w:val="en-US" w:eastAsia="zh-CN"/>
        </w:rPr>
        <w:t>22、63、</w:t>
      </w:r>
      <w:r>
        <w:rPr>
          <w:rFonts w:hint="eastAsia" w:ascii="宋体" w:hAnsi="宋体"/>
          <w:sz w:val="24"/>
          <w:highlight w:val="none"/>
        </w:rPr>
        <w:t>64层</w:t>
      </w:r>
    </w:p>
    <w:p>
      <w:pPr>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法定代表人：</w:t>
      </w:r>
      <w:r>
        <w:rPr>
          <w:rFonts w:hint="eastAsia" w:ascii="宋体" w:hAnsi="宋体" w:cs="宋体"/>
          <w:sz w:val="24"/>
          <w:szCs w:val="24"/>
          <w:highlight w:val="none"/>
          <w:lang w:eastAsia="zh-CN"/>
        </w:rPr>
        <w:t>张东</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联系人：卓伟权</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联系电话：</w:t>
      </w:r>
      <w:r>
        <w:rPr>
          <w:rFonts w:ascii="宋体" w:hAnsi="宋体" w:cs="Arial"/>
          <w:highlight w:val="none"/>
        </w:rPr>
        <w:t>0755</w:t>
      </w:r>
      <w:r>
        <w:rPr>
          <w:rFonts w:hint="eastAsia" w:ascii="宋体" w:hAnsi="宋体" w:cs="Arial"/>
          <w:highlight w:val="none"/>
        </w:rPr>
        <w:t>-22621721</w:t>
      </w:r>
      <w:r>
        <w:rPr>
          <w:rFonts w:hint="eastAsia" w:ascii="宋体" w:hAnsi="宋体" w:cs="Arial"/>
          <w:highlight w:val="none"/>
        </w:rPr>
        <w:br w:type="textWrapping"/>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二、乙方（托管人）：</w:t>
      </w:r>
    </w:p>
    <w:p>
      <w:pPr>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名称： </w:t>
      </w:r>
      <w:bookmarkStart w:id="16" w:name="_Toc214935831"/>
      <w:bookmarkStart w:id="17" w:name="_Toc18057161"/>
      <w:bookmarkStart w:id="18" w:name="_Toc214935789"/>
      <w:bookmarkStart w:id="19" w:name="_Toc19177198"/>
      <w:bookmarkStart w:id="20" w:name="_Toc18057709"/>
      <w:bookmarkStart w:id="21" w:name="_Toc18057336"/>
      <w:bookmarkStart w:id="22" w:name="_Toc2673253"/>
      <w:bookmarkStart w:id="23" w:name="_Toc18057234"/>
      <w:bookmarkStart w:id="24" w:name="_Toc6359"/>
      <w:bookmarkStart w:id="25" w:name="_Toc162062287"/>
      <w:bookmarkStart w:id="26" w:name="_Toc160530124"/>
      <w:bookmarkStart w:id="27" w:name="_Toc8403"/>
      <w:bookmarkStart w:id="28" w:name="_Toc24202"/>
      <w:bookmarkStart w:id="29" w:name="_Toc1656549"/>
      <w:bookmarkStart w:id="30" w:name="_Toc29396"/>
      <w:r>
        <w:rPr>
          <w:rFonts w:hint="eastAsia" w:ascii="宋体" w:hAnsi="宋体" w:cs="宋体"/>
          <w:sz w:val="24"/>
          <w:szCs w:val="24"/>
          <w:highlight w:val="none"/>
          <w:lang w:eastAsia="zh-CN"/>
        </w:rPr>
        <w:t>中信银行股份有限公司</w:t>
      </w:r>
    </w:p>
    <w:p>
      <w:pPr>
        <w:spacing w:line="36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地址： </w:t>
      </w:r>
      <w:r>
        <w:rPr>
          <w:rFonts w:hint="eastAsia" w:ascii="宋体" w:hAnsi="宋体" w:cs="宋体"/>
          <w:sz w:val="24"/>
          <w:szCs w:val="24"/>
          <w:highlight w:val="none"/>
          <w:lang w:eastAsia="zh-CN"/>
        </w:rPr>
        <w:t>北京市朝阳区光华路</w:t>
      </w:r>
      <w:r>
        <w:rPr>
          <w:rFonts w:hint="eastAsia" w:ascii="宋体" w:hAnsi="宋体" w:cs="宋体"/>
          <w:sz w:val="24"/>
          <w:szCs w:val="24"/>
          <w:highlight w:val="none"/>
          <w:lang w:val="en-US" w:eastAsia="zh-CN"/>
        </w:rPr>
        <w:t>10号</w:t>
      </w:r>
    </w:p>
    <w:p>
      <w:pPr>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法定代表人：</w:t>
      </w:r>
      <w:r>
        <w:rPr>
          <w:rFonts w:hint="eastAsia" w:ascii="宋体" w:hAnsi="宋体" w:cs="宋体"/>
          <w:sz w:val="24"/>
          <w:szCs w:val="24"/>
          <w:highlight w:val="none"/>
          <w:lang w:eastAsia="zh-CN"/>
        </w:rPr>
        <w:t>方合英</w:t>
      </w:r>
    </w:p>
    <w:p>
      <w:pPr>
        <w:spacing w:line="360" w:lineRule="auto"/>
        <w:ind w:firstLine="48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孙能浩</w:t>
      </w:r>
    </w:p>
    <w:p>
      <w:pPr>
        <w:spacing w:line="360" w:lineRule="auto"/>
        <w:ind w:firstLine="480"/>
        <w:rPr>
          <w:rFonts w:hint="default" w:ascii="宋体" w:hAnsi="宋体" w:eastAsia="宋体" w:cs="仿宋_GB2312"/>
          <w:spacing w:val="6"/>
          <w:sz w:val="24"/>
          <w:szCs w:val="24"/>
          <w:highlight w:val="none"/>
          <w:lang w:val="en-US" w:eastAsia="zh-CN"/>
        </w:rPr>
      </w:pPr>
      <w:r>
        <w:rPr>
          <w:rFonts w:hint="eastAsia" w:ascii="宋体" w:hAnsi="宋体" w:cs="宋体"/>
          <w:sz w:val="24"/>
          <w:szCs w:val="24"/>
          <w:highlight w:val="none"/>
        </w:rPr>
        <w:t>联系电话：</w:t>
      </w:r>
      <w:r>
        <w:rPr>
          <w:rFonts w:hint="eastAsia" w:ascii="宋体" w:hAnsi="宋体" w:cs="宋体"/>
          <w:sz w:val="24"/>
          <w:szCs w:val="24"/>
          <w:highlight w:val="none"/>
          <w:lang w:val="en-US" w:eastAsia="zh-CN"/>
        </w:rPr>
        <w:t>021-66636346</w:t>
      </w:r>
    </w:p>
    <w:p>
      <w:pPr>
        <w:spacing w:line="360" w:lineRule="auto"/>
        <w:rPr>
          <w:rFonts w:ascii="宋体" w:hAnsi="宋体" w:cs="宋体"/>
          <w:sz w:val="24"/>
          <w:szCs w:val="24"/>
          <w:highlight w:val="none"/>
        </w:rPr>
      </w:pPr>
    </w:p>
    <w:p>
      <w:pPr>
        <w:pStyle w:val="3"/>
        <w:snapToGrid w:val="0"/>
        <w:spacing w:line="360" w:lineRule="auto"/>
        <w:jc w:val="center"/>
        <w:rPr>
          <w:rFonts w:ascii="宋体" w:hAnsi="宋体" w:cs="宋体"/>
          <w:sz w:val="24"/>
          <w:szCs w:val="24"/>
          <w:highlight w:val="none"/>
        </w:rPr>
      </w:pPr>
      <w:bookmarkStart w:id="31" w:name="_Toc22802417"/>
      <w:bookmarkStart w:id="32" w:name="_Toc159860781"/>
      <w:bookmarkStart w:id="33" w:name="_Toc21847"/>
      <w:r>
        <w:rPr>
          <w:rFonts w:hint="eastAsia" w:ascii="宋体" w:hAnsi="宋体" w:cs="宋体"/>
          <w:sz w:val="24"/>
          <w:szCs w:val="24"/>
          <w:highlight w:val="none"/>
        </w:rPr>
        <w:t>第二章  当事人的权利与义务</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一、甲方的权利与义务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（一）甲方的权利：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1、根据相关的理财产品协议书（如有）、理财产品说明书及本协议的有关约定，对相关理财产品进行管理、运用、处置和分配；</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2、根据本协议的有关规定向乙方发出理财产品托管账户划款指令；</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3、根据法律法规的规定及本协议的约定对乙方的相关业务实施监督及核查；</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4、法律法规、监管机构规定的其他权利。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（二）甲方的义务：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1、对所管理的不同理财产品单独管理、单独建账和单独核算，确保每只理财产品具有资产负债表、利润表、产品净值变动表等会计报表。</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2、按照《理财产品协议书》（如有）、《理财产品说明书》的约定确定收益分配方案，及时向投资者分配收益。</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3、进行理财产品会计核算并编制理财产品财务会计报告。</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4、依法计算并披露理财产品净值或者投资收益情况，确定申购、赎回价格，并于申购赎回当日向乙方提供申购赎回份额信息。</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5、按照法律法规、国家金融监督管理总局的规定及理财文件的约定办理与理财产品管理业务活动有关的信息披露事项。</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6、保存理财产品财产管理业务活动的记录、账册、报表和其他相关资料不少于法律法规规定的最低期限。</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7、以管理人名义，代表投资者利益行使诉讼权利或者实施其他法律行为。</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8、在兑付理财产品资金及收益时，甲方应当保证理财产品资金及收益返回委托人的原账户、同名账户或者协议约定的受益人账户。</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9、协助乙方为甲方理财产品开立托管所需的资金账户以及相关的资产账户；</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10、按照本协议规定将理财资金或资产移交乙方托管；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11、按本协议规定方式和程序向乙方发出理财产品托管账户划款指令；</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12、发生任何可能导致理财产品业务性质或投资范围发生重大变化或直接影响托管业务的重大事项时，须提前通知乙方；</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13、根据国家有关规定和本协议的规定接受乙方的监督；</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14、甲方根据相关法律法规和授权文件，委托第三方服务机构为其提供估值核算服务。对于该服务机构在授权范围内实施的行为，甲方不得否认其效力，该等行为产生的法律后果由甲方承担。理财产品投资运作管理过程中，甲方应确保该服务机构按本协议履行相关职责义务，乙方不承担因该服务机构违反本协议约定所导致的风险和损失。如乙方与该服务机构无法达成一致的，乙方有权通知甲方，并执行甲方的意见，乙方不承担由此产生的延迟履行导致的风险或损失。</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15、甲方理财产品投资本机构、托管机构，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甲方应当按照金融监督管理部门关于关联交易的相关规定，建立健全理财业务关联交易内部评估和审批机制。理财业务涉及重大关联交易的，应当提交有权审批机构审批，并向银行业监督管理机构报告。甲方不得以理财资金与关联方进行不正当交易、利益输送、内幕交易和操纵市场，包括但不限于投资于关联方虚假项目、与关联方共同收购上市公司等。如甲方需要，乙方应当配合向甲方提供乙方相应关联方信息（具体以乙方提供为准）。</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16、在发行、管理理财产品和运用产品资产的过程中，遵守《关于规范金融机构资产管理业务的指导意见》《关于进一步明确规范金融机构资产管理业务指导意见有关事项的通知》《商业银行理财业务监督管理办法》《商业银行理财子公司管理办法》及其他相关的法律法规规章。</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17、按法律法规、监管部门规定，管理人应识别并核实受益所有人身份并向托管人提供受益所有人信息；</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18、负责理财产品的合法合规审查及并按照监管要求履行反洗钱义务。甲乙双方应为彼此履行反洗钱义务提供必要的协助。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19、法律法规、监管机构规定的</w:t>
      </w:r>
      <w:bookmarkStart w:id="34" w:name="OLE_LINK9"/>
      <w:r>
        <w:rPr>
          <w:rFonts w:hint="eastAsia" w:ascii="宋体" w:hAnsi="宋体" w:cs="宋体"/>
          <w:sz w:val="24"/>
          <w:szCs w:val="24"/>
          <w:highlight w:val="none"/>
        </w:rPr>
        <w:t>其他</w:t>
      </w:r>
      <w:bookmarkEnd w:id="34"/>
      <w:r>
        <w:rPr>
          <w:rFonts w:hint="eastAsia" w:ascii="宋体" w:hAnsi="宋体" w:cs="宋体"/>
          <w:sz w:val="24"/>
          <w:szCs w:val="24"/>
          <w:highlight w:val="none"/>
        </w:rPr>
        <w:t>义务。</w:t>
      </w:r>
    </w:p>
    <w:p>
      <w:pPr>
        <w:shd w:val="clear" w:color="FFFFFF" w:fill="FFFFFF"/>
        <w:spacing w:line="360" w:lineRule="auto"/>
        <w:ind w:firstLine="482"/>
        <w:rPr>
          <w:rFonts w:hint="eastAsia" w:ascii="宋体" w:hAnsi="宋体" w:cs="宋体"/>
          <w:b/>
          <w:bCs/>
          <w:sz w:val="24"/>
          <w:szCs w:val="24"/>
          <w:highlight w:val="none"/>
        </w:rPr>
      </w:pPr>
      <w:r>
        <w:rPr>
          <w:rFonts w:hint="eastAsia" w:ascii="宋体" w:hAnsi="宋体" w:cs="宋体"/>
          <w:b/>
          <w:bCs/>
          <w:sz w:val="24"/>
          <w:szCs w:val="24"/>
          <w:highlight w:val="none"/>
        </w:rPr>
        <w:t>二、乙方的权利和义务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（一）乙方的权利：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1、根据有关法律法规及本协议之约定，行使对理财产品财产的托管；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2、根据本协议的约定及时、足额地收取托管费；</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根据法律法规的规定和本协议的约定，对甲方的相关业务实施监督与核查，对于管理人违反法律法规规定的行为，对理财产品财产及其他当事人的利益造成重大损失的情形，有权报告国家金融监督管理总局并采取必要措施。</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4、管理人在反洗钱上拒绝配合合法性审查、可疑交易调查等情况的，托管人有权终止合作。</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5、法律法规、监管机构约定的其他权利。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（二）乙方的义务：</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1、按本协议的约定，安全保管理财产品财产；</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2、为每只理财产品开设独立的托管账户，不同托管账户中的资产应当相互独立，且所保管的理财产品资产和乙方自有资产、其他保管资产之间相互独立；</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3、按照托管协议约定和甲方的投资指令，确认与及时办理清算、交割事宜；</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4、建立与甲方的对账机制，复核、审查理财产品资金头寸、资产账目、资产净值等数据，及时核查认申购、赎回以及投资资金的支付和到账情况；</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5、监督理财产品投资运作，发现理财产品违反法律法规或本协议约定进行投资的，及时通知甲方并有权向国家金融监督管理总局报告；</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6、办理与理财产品托管业务活动相关的信息披露事项，包括披露本协议、对理财产品信息披露文件中的理财产品财务会计报告等出具意见，以及在公募理财产品半年度和年度报告中出具理财托管机构报告等；</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7、根据甲方提供的资料，记录理财产品资金划拨情况，保存理财托管业务活动的记录、账册、报表和其他相关资料不少于法律法规规定的最低期限；</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8、对理财产品投资信息和相关资料承担保密责任，除法律、行政法规、规章和审计要求或者协议约定外，不得向任何机构或者个人提供相关信息和资料；</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9、法律法规、监管机构规定的其他义务。</w:t>
      </w:r>
    </w:p>
    <w:p>
      <w:pPr>
        <w:pStyle w:val="3"/>
        <w:tabs>
          <w:tab w:val="left" w:pos="0"/>
          <w:tab w:val="left" w:pos="804"/>
        </w:tabs>
        <w:spacing w:before="312" w:after="312" w:line="360" w:lineRule="auto"/>
        <w:ind w:firstLine="0"/>
        <w:jc w:val="center"/>
        <w:rPr>
          <w:rFonts w:ascii="宋体" w:hAnsi="宋体" w:cs="宋体"/>
          <w:sz w:val="24"/>
          <w:szCs w:val="24"/>
          <w:highlight w:val="none"/>
        </w:rPr>
      </w:pPr>
      <w:bookmarkStart w:id="35" w:name="_Toc18057235"/>
      <w:bookmarkStart w:id="36" w:name="_Toc18057162"/>
      <w:bookmarkStart w:id="37" w:name="_Toc8594"/>
      <w:bookmarkStart w:id="38" w:name="_Toc19177199"/>
      <w:bookmarkStart w:id="39" w:name="_Toc16990"/>
      <w:bookmarkStart w:id="40" w:name="_Toc160530125"/>
      <w:bookmarkStart w:id="41" w:name="_Toc3927"/>
      <w:bookmarkStart w:id="42" w:name="_Toc31574"/>
      <w:bookmarkStart w:id="43" w:name="_Toc22802418"/>
      <w:bookmarkStart w:id="44" w:name="_Toc18057710"/>
      <w:bookmarkStart w:id="45" w:name="_Toc18057337"/>
      <w:bookmarkStart w:id="46" w:name="_Toc520463148"/>
      <w:bookmarkStart w:id="47" w:name="_Toc159860782"/>
      <w:bookmarkStart w:id="48" w:name="_Toc301882195"/>
      <w:bookmarkStart w:id="49" w:name="_Toc162062288"/>
      <w:r>
        <w:rPr>
          <w:rFonts w:hint="eastAsia" w:ascii="宋体" w:hAnsi="宋体" w:cs="宋体"/>
          <w:sz w:val="24"/>
          <w:szCs w:val="24"/>
          <w:highlight w:val="none"/>
        </w:rPr>
        <w:t>第三章  理财产品成立时理财资金及资料的交付</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20"/>
        <w:snapToGrid w:val="0"/>
        <w:spacing w:before="156" w:after="156" w:line="360" w:lineRule="auto"/>
        <w:ind w:firstLine="482"/>
        <w:rPr>
          <w:rFonts w:hAnsi="宋体"/>
          <w:b/>
          <w:bCs/>
          <w:sz w:val="24"/>
          <w:szCs w:val="24"/>
          <w:highlight w:val="none"/>
        </w:rPr>
      </w:pPr>
      <w:r>
        <w:rPr>
          <w:rFonts w:hint="eastAsia" w:hAnsi="宋体"/>
          <w:b/>
          <w:bCs/>
          <w:sz w:val="24"/>
          <w:szCs w:val="24"/>
          <w:highlight w:val="none"/>
          <w:lang w:val="en-US"/>
        </w:rPr>
        <w:t>一、</w:t>
      </w:r>
      <w:r>
        <w:rPr>
          <w:rFonts w:hint="eastAsia" w:hAnsi="宋体"/>
          <w:b/>
          <w:bCs/>
          <w:sz w:val="24"/>
          <w:szCs w:val="24"/>
          <w:highlight w:val="none"/>
        </w:rPr>
        <w:t>甲乙双方对各理财产品协议的确认</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（一）甲方应于交付乙方的理财产品托管运作前向乙方提供《适用确认书》</w:t>
      </w:r>
      <w:r>
        <w:rPr>
          <w:rFonts w:hint="eastAsia" w:ascii="宋体" w:hAnsi="宋体" w:cs="宋体"/>
          <w:sz w:val="24"/>
          <w:szCs w:val="24"/>
          <w:highlight w:val="none"/>
          <w:lang w:eastAsia="zh-CN"/>
        </w:rPr>
        <w:t>，</w:t>
      </w:r>
      <w:r>
        <w:rPr>
          <w:rFonts w:hint="eastAsia" w:ascii="宋体" w:hAnsi="宋体" w:cs="宋体"/>
          <w:sz w:val="24"/>
          <w:szCs w:val="24"/>
          <w:highlight w:val="none"/>
        </w:rPr>
        <w:t>《适用确认书》</w:t>
      </w:r>
      <w:r>
        <w:rPr>
          <w:rFonts w:hint="eastAsia" w:ascii="宋体" w:hAnsi="宋体" w:cs="宋体"/>
          <w:sz w:val="24"/>
          <w:szCs w:val="24"/>
          <w:highlight w:val="none"/>
          <w:lang w:eastAsia="zh-CN"/>
        </w:rPr>
        <w:t>经双方审核，邮件确认一致后，</w:t>
      </w:r>
      <w:r>
        <w:rPr>
          <w:rFonts w:hint="eastAsia" w:ascii="宋体" w:hAnsi="宋体" w:cs="宋体"/>
          <w:sz w:val="24"/>
          <w:szCs w:val="24"/>
          <w:highlight w:val="none"/>
        </w:rPr>
        <w:t>加盖甲方公章或合同</w:t>
      </w:r>
      <w:r>
        <w:rPr>
          <w:rFonts w:hint="eastAsia" w:ascii="宋体" w:hAnsi="宋体" w:cs="宋体"/>
          <w:sz w:val="24"/>
          <w:szCs w:val="24"/>
          <w:highlight w:val="none"/>
          <w:lang w:val="en-US" w:eastAsia="zh-CN"/>
        </w:rPr>
        <w:t>/业务</w:t>
      </w:r>
      <w:r>
        <w:rPr>
          <w:rFonts w:hint="eastAsia" w:ascii="宋体" w:hAnsi="宋体" w:cs="宋体"/>
          <w:sz w:val="24"/>
          <w:szCs w:val="24"/>
          <w:highlight w:val="none"/>
        </w:rPr>
        <w:t>专用章。《适用确认书》中应注明的内容包括但不限于：</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1、该等理财产品适用于双方签订的《平安理财有限责任公司理财产品托管协议》【编号：</w:t>
      </w:r>
      <w:r>
        <w:rPr>
          <w:rFonts w:hint="eastAsia" w:ascii="宋体" w:hAnsi="宋体" w:cs="宋体"/>
          <w:sz w:val="24"/>
          <w:szCs w:val="24"/>
          <w:highlight w:val="none"/>
          <w:lang w:eastAsia="zh-CN"/>
        </w:rPr>
        <w:t>平安理财信银托2024001</w:t>
      </w:r>
      <w:r>
        <w:rPr>
          <w:rFonts w:hint="eastAsia" w:ascii="宋体" w:hAnsi="宋体" w:cs="宋体"/>
          <w:sz w:val="24"/>
          <w:szCs w:val="24"/>
          <w:highlight w:val="none"/>
        </w:rPr>
        <w:t>】</w:t>
      </w:r>
      <w:r>
        <w:rPr>
          <w:rFonts w:hint="eastAsia" w:ascii="宋体" w:hAnsi="宋体" w:cs="宋体"/>
          <w:sz w:val="24"/>
          <w:szCs w:val="24"/>
          <w:highlight w:val="none"/>
          <w:lang w:val="en-US" w:eastAsia="zh-CN"/>
        </w:rPr>
        <w:t>及相关补充协议、操作备忘录（如有）</w:t>
      </w:r>
      <w:r>
        <w:rPr>
          <w:rFonts w:hint="eastAsia" w:ascii="宋体" w:hAnsi="宋体" w:cs="宋体"/>
          <w:sz w:val="24"/>
          <w:szCs w:val="24"/>
          <w:highlight w:val="none"/>
        </w:rPr>
        <w:t>，相关托管运作依照该理财产品托管协议的约定执行；</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2、该等理财产品的基本情况；</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3、该等理财产品估值方法、净值核对事项；</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4、该等理财产品的托管费率及支付方式；</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5、该等理财产品的托管经办行、托管账户、托管费收入账户等信息；</w:t>
      </w:r>
    </w:p>
    <w:p>
      <w:pPr>
        <w:shd w:val="clear" w:color="FFFFFF" w:fill="FFFFFF"/>
        <w:snapToGrid w:val="0"/>
        <w:spacing w:before="156" w:after="156" w:line="360" w:lineRule="auto"/>
        <w:ind w:firstLine="480"/>
        <w:jc w:val="left"/>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甲乙双方应指定邮箱对《适用确认书》进行审核确认，甲方指定邮箱为：</w:t>
      </w:r>
      <w:r>
        <w:rPr>
          <w:rFonts w:hint="eastAsia" w:ascii="宋体" w:hAnsi="宋体" w:cs="宋体"/>
          <w:sz w:val="24"/>
          <w:szCs w:val="24"/>
          <w:highlight w:val="none"/>
          <w:lang w:val="en-US" w:eastAsia="zh-CN"/>
        </w:rPr>
        <w:t>zhuoweiquan126@pingan.com.cm，乙方指定邮箱为：szzctgbhkzl@citicbank.com，如有变更，以上述邮箱另行通知</w:t>
      </w:r>
      <w:r>
        <w:rPr>
          <w:rFonts w:hint="eastAsia" w:ascii="宋体" w:hAnsi="宋体" w:cs="宋体"/>
          <w:sz w:val="24"/>
          <w:szCs w:val="24"/>
          <w:highlight w:val="none"/>
          <w:lang w:eastAsia="zh-CN"/>
        </w:rPr>
        <w:t>为准。《适用确认书》加盖甲方公章或合同</w:t>
      </w:r>
      <w:r>
        <w:rPr>
          <w:rFonts w:hint="eastAsia" w:ascii="宋体" w:hAnsi="宋体" w:cs="宋体"/>
          <w:sz w:val="24"/>
          <w:szCs w:val="24"/>
          <w:highlight w:val="none"/>
          <w:lang w:val="en-US" w:eastAsia="zh-CN"/>
        </w:rPr>
        <w:t>/业务</w:t>
      </w:r>
      <w:r>
        <w:rPr>
          <w:rFonts w:hint="eastAsia" w:ascii="宋体" w:hAnsi="宋体" w:cs="宋体"/>
          <w:sz w:val="24"/>
          <w:szCs w:val="24"/>
          <w:highlight w:val="none"/>
          <w:lang w:eastAsia="zh-CN"/>
        </w:rPr>
        <w:t>专用章后，由乙方保管电子件，甲方保管电子件或纸质原件（如有），</w:t>
      </w:r>
      <w:r>
        <w:rPr>
          <w:rFonts w:hint="eastAsia" w:ascii="宋体" w:hAnsi="宋体" w:cs="宋体"/>
          <w:sz w:val="24"/>
          <w:szCs w:val="24"/>
          <w:highlight w:val="none"/>
          <w:lang w:val="en-US" w:eastAsia="zh-CN"/>
        </w:rPr>
        <w:t>甲方保管的电子件或纸质原件与乙方保管的电子件不一致时，以乙方指定邮箱收到的电子件为准</w:t>
      </w:r>
      <w:r>
        <w:rPr>
          <w:rFonts w:hint="eastAsia" w:ascii="宋体" w:hAnsi="宋体" w:cs="宋体"/>
          <w:sz w:val="24"/>
          <w:szCs w:val="24"/>
          <w:highlight w:val="none"/>
        </w:rPr>
        <w:t>。</w:t>
      </w:r>
    </w:p>
    <w:p>
      <w:pPr>
        <w:pStyle w:val="20"/>
        <w:snapToGrid w:val="0"/>
        <w:spacing w:before="156" w:after="156" w:line="360" w:lineRule="auto"/>
        <w:ind w:firstLine="482"/>
        <w:rPr>
          <w:rFonts w:hAnsi="宋体"/>
          <w:b/>
          <w:bCs/>
          <w:sz w:val="24"/>
          <w:szCs w:val="24"/>
          <w:highlight w:val="none"/>
        </w:rPr>
      </w:pPr>
      <w:r>
        <w:rPr>
          <w:rFonts w:hint="eastAsia" w:hAnsi="宋体"/>
          <w:b/>
          <w:bCs/>
          <w:sz w:val="24"/>
          <w:szCs w:val="24"/>
          <w:highlight w:val="none"/>
        </w:rPr>
        <w:t>二、理财产品财产的交付</w:t>
      </w:r>
    </w:p>
    <w:p>
      <w:pPr>
        <w:shd w:val="clear" w:color="FFFFFF" w:fill="FFFFFF"/>
        <w:snapToGrid w:val="0"/>
        <w:spacing w:before="156" w:after="156" w:line="360" w:lineRule="auto"/>
        <w:ind w:firstLine="480"/>
        <w:rPr>
          <w:rFonts w:hint="eastAsia" w:ascii="宋体" w:hAnsi="宋体" w:cs="宋体"/>
          <w:b w:val="0"/>
          <w:bCs w:val="0"/>
          <w:sz w:val="24"/>
          <w:szCs w:val="24"/>
          <w:highlight w:val="none"/>
          <w:u w:val="none"/>
        </w:rPr>
      </w:pPr>
      <w:r>
        <w:rPr>
          <w:rFonts w:hint="eastAsia" w:ascii="宋体" w:hAnsi="宋体" w:cs="宋体"/>
          <w:b w:val="0"/>
          <w:bCs w:val="0"/>
          <w:sz w:val="24"/>
          <w:szCs w:val="24"/>
          <w:highlight w:val="none"/>
          <w:u w:val="none"/>
        </w:rPr>
        <w:t>甲方应至少于理财产品成立当日，</w:t>
      </w:r>
      <w:r>
        <w:rPr>
          <w:rFonts w:hint="eastAsia" w:ascii="宋体" w:hAnsi="宋体" w:cs="宋体"/>
          <w:b w:val="0"/>
          <w:bCs w:val="0"/>
          <w:sz w:val="24"/>
          <w:szCs w:val="24"/>
          <w:highlight w:val="none"/>
          <w:u w:val="none"/>
          <w:lang w:eastAsia="zh-CN"/>
        </w:rPr>
        <w:t>将</w:t>
      </w:r>
      <w:r>
        <w:rPr>
          <w:rFonts w:hint="eastAsia" w:ascii="宋体" w:hAnsi="宋体" w:cs="宋体"/>
          <w:b w:val="0"/>
          <w:bCs w:val="0"/>
          <w:sz w:val="24"/>
          <w:szCs w:val="24"/>
          <w:highlight w:val="none"/>
          <w:u w:val="none"/>
        </w:rPr>
        <w:t>该理财产品</w:t>
      </w:r>
      <w:r>
        <w:rPr>
          <w:rFonts w:hint="eastAsia" w:ascii="宋体" w:hAnsi="宋体" w:cs="宋体"/>
          <w:b w:val="0"/>
          <w:bCs w:val="0"/>
          <w:sz w:val="24"/>
          <w:szCs w:val="24"/>
          <w:highlight w:val="none"/>
          <w:u w:val="none"/>
          <w:lang w:eastAsia="zh-CN"/>
        </w:rPr>
        <w:t>募集期内所募集的</w:t>
      </w:r>
      <w:r>
        <w:rPr>
          <w:rFonts w:hint="eastAsia" w:ascii="宋体" w:hAnsi="宋体" w:cs="宋体"/>
          <w:b w:val="0"/>
          <w:bCs w:val="0"/>
          <w:sz w:val="24"/>
          <w:szCs w:val="24"/>
          <w:highlight w:val="none"/>
          <w:u w:val="none"/>
        </w:rPr>
        <w:t>全部资金划至</w:t>
      </w:r>
      <w:r>
        <w:rPr>
          <w:rFonts w:hint="eastAsia" w:ascii="宋体" w:hAnsi="宋体" w:cs="宋体"/>
          <w:b w:val="0"/>
          <w:bCs w:val="0"/>
          <w:sz w:val="24"/>
          <w:szCs w:val="24"/>
          <w:highlight w:val="none"/>
          <w:u w:val="none"/>
          <w:lang w:eastAsia="zh-CN"/>
        </w:rPr>
        <w:t>该理财产品</w:t>
      </w:r>
      <w:r>
        <w:rPr>
          <w:rFonts w:hint="eastAsia" w:ascii="宋体" w:hAnsi="宋体" w:cs="宋体"/>
          <w:b w:val="0"/>
          <w:bCs w:val="0"/>
          <w:sz w:val="24"/>
          <w:szCs w:val="24"/>
          <w:highlight w:val="none"/>
          <w:u w:val="none"/>
        </w:rPr>
        <w:t>托管账户，乙方自</w:t>
      </w:r>
      <w:r>
        <w:rPr>
          <w:rFonts w:hint="eastAsia" w:ascii="宋体" w:hAnsi="宋体" w:cs="宋体"/>
          <w:b w:val="0"/>
          <w:bCs w:val="0"/>
          <w:sz w:val="24"/>
          <w:szCs w:val="24"/>
          <w:highlight w:val="none"/>
          <w:u w:val="none"/>
          <w:lang w:eastAsia="zh-CN"/>
        </w:rPr>
        <w:t>理财产品托管账户收到理财产品募集资金起</w:t>
      </w:r>
      <w:r>
        <w:rPr>
          <w:rFonts w:hint="eastAsia" w:ascii="宋体" w:hAnsi="宋体" w:cs="宋体"/>
          <w:b w:val="0"/>
          <w:bCs w:val="0"/>
          <w:sz w:val="24"/>
          <w:szCs w:val="24"/>
          <w:highlight w:val="none"/>
          <w:u w:val="none"/>
        </w:rPr>
        <w:t>，根据本合同的约定履行该理财产品</w:t>
      </w:r>
      <w:r>
        <w:rPr>
          <w:rFonts w:hint="eastAsia" w:ascii="宋体" w:hAnsi="宋体" w:cs="宋体"/>
          <w:b w:val="0"/>
          <w:bCs w:val="0"/>
          <w:sz w:val="24"/>
          <w:szCs w:val="24"/>
          <w:highlight w:val="none"/>
          <w:u w:val="none"/>
          <w:lang w:eastAsia="zh-CN"/>
        </w:rPr>
        <w:t>资产</w:t>
      </w:r>
      <w:r>
        <w:rPr>
          <w:rFonts w:hint="eastAsia" w:ascii="宋体" w:hAnsi="宋体" w:cs="宋体"/>
          <w:b w:val="0"/>
          <w:bCs w:val="0"/>
          <w:sz w:val="24"/>
          <w:szCs w:val="24"/>
          <w:highlight w:val="none"/>
          <w:u w:val="none"/>
        </w:rPr>
        <w:t>的托管职责。</w:t>
      </w:r>
    </w:p>
    <w:p>
      <w:pPr>
        <w:pStyle w:val="20"/>
        <w:snapToGrid w:val="0"/>
        <w:spacing w:before="156" w:after="156" w:line="360" w:lineRule="auto"/>
        <w:ind w:firstLine="482"/>
        <w:rPr>
          <w:rFonts w:hAnsi="宋体"/>
          <w:b/>
          <w:bCs/>
          <w:sz w:val="24"/>
          <w:szCs w:val="24"/>
          <w:highlight w:val="none"/>
        </w:rPr>
      </w:pPr>
      <w:r>
        <w:rPr>
          <w:rFonts w:hint="eastAsia" w:hAnsi="宋体"/>
          <w:b/>
          <w:bCs/>
          <w:sz w:val="24"/>
          <w:szCs w:val="24"/>
          <w:highlight w:val="none"/>
        </w:rPr>
        <w:t>三、理财产品成立时相关文件资料的交付</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甲方应至少于单期理财产品成立当日以传真形式、电子邮件或双方认可的其它方式向乙方提供下列文件、资料：</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1、理财文件的样本：理财文件包括但不限于理财产品对应的理财产品说明书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理财产品成立公告</w:t>
      </w:r>
      <w:r>
        <w:rPr>
          <w:rFonts w:hint="eastAsia" w:ascii="宋体" w:hAnsi="宋体" w:cs="宋体"/>
          <w:sz w:val="24"/>
          <w:szCs w:val="24"/>
          <w:highlight w:val="none"/>
        </w:rPr>
        <w:t>。</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2、双方另行约定的其他文件资料。</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eastAsia="宋体" w:cs="宋体"/>
          <w:b/>
          <w:bCs/>
          <w:sz w:val="24"/>
          <w:szCs w:val="24"/>
          <w:highlight w:val="none"/>
          <w:lang w:val="zh-CN" w:eastAsia="zh-CN" w:bidi="ar-SA"/>
        </w:rPr>
        <w:t>四、</w:t>
      </w:r>
      <w:r>
        <w:rPr>
          <w:rFonts w:hint="eastAsia" w:ascii="宋体" w:hAnsi="宋体" w:cs="宋体"/>
          <w:b w:val="0"/>
          <w:bCs w:val="0"/>
          <w:sz w:val="24"/>
          <w:szCs w:val="24"/>
          <w:highlight w:val="none"/>
          <w:u w:val="none"/>
        </w:rPr>
        <w:t>甲方应至少于理财产品成立当日以</w:t>
      </w:r>
      <w:r>
        <w:rPr>
          <w:rFonts w:hint="eastAsia" w:ascii="宋体" w:hAnsi="宋体" w:cs="宋体"/>
          <w:b w:val="0"/>
          <w:bCs w:val="0"/>
          <w:sz w:val="24"/>
          <w:szCs w:val="24"/>
          <w:highlight w:val="none"/>
          <w:u w:val="none"/>
          <w:lang w:eastAsia="zh-CN"/>
        </w:rPr>
        <w:t>乙方认可的方式向乙方提供《</w:t>
      </w:r>
      <w:r>
        <w:rPr>
          <w:rFonts w:hint="eastAsia" w:ascii="宋体" w:hAnsi="宋体" w:cs="宋体"/>
          <w:b w:val="0"/>
          <w:bCs w:val="0"/>
          <w:sz w:val="24"/>
          <w:szCs w:val="24"/>
          <w:highlight w:val="none"/>
          <w:u w:val="none"/>
        </w:rPr>
        <w:t>理财产品托管合同适用确认书</w:t>
      </w:r>
      <w:r>
        <w:rPr>
          <w:rFonts w:hint="eastAsia" w:ascii="宋体" w:hAnsi="宋体" w:cs="宋体"/>
          <w:b w:val="0"/>
          <w:bCs w:val="0"/>
          <w:sz w:val="24"/>
          <w:szCs w:val="24"/>
          <w:highlight w:val="none"/>
          <w:u w:val="none"/>
          <w:lang w:eastAsia="zh-CN"/>
        </w:rPr>
        <w:t>》等理财产品运作的相关材料。</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eastAsia="宋体" w:cs="宋体"/>
          <w:b/>
          <w:bCs/>
          <w:sz w:val="24"/>
          <w:szCs w:val="24"/>
          <w:highlight w:val="none"/>
          <w:lang w:val="zh-CN" w:eastAsia="zh-CN" w:bidi="ar-SA"/>
        </w:rPr>
        <w:t>五、</w:t>
      </w:r>
      <w:r>
        <w:rPr>
          <w:rFonts w:hint="eastAsia" w:ascii="宋体" w:hAnsi="宋体" w:cs="宋体"/>
          <w:sz w:val="24"/>
          <w:szCs w:val="24"/>
          <w:highlight w:val="none"/>
        </w:rPr>
        <w:t>甲方提供给乙方的相关材料均应真实、完整、准确、</w:t>
      </w:r>
      <w:r>
        <w:rPr>
          <w:rFonts w:hint="eastAsia" w:ascii="宋体" w:hAnsi="宋体" w:cs="宋体"/>
          <w:sz w:val="24"/>
          <w:szCs w:val="24"/>
          <w:highlight w:val="none"/>
          <w:lang w:val="en-US"/>
        </w:rPr>
        <w:t>合法</w:t>
      </w:r>
      <w:r>
        <w:rPr>
          <w:rFonts w:hint="eastAsia" w:ascii="宋体" w:hAnsi="宋体" w:cs="宋体"/>
          <w:sz w:val="24"/>
          <w:szCs w:val="24"/>
          <w:highlight w:val="none"/>
        </w:rPr>
        <w:t>。甲方通过传真或电子扫描件方式向乙方递送的材料，乙方视其与正本文件具有相同效力；若与正本存在不一致的，以乙方收到的材料为准。由于甲方提供材料不符合协议约定而导致的相关责任由甲方承担。</w:t>
      </w:r>
    </w:p>
    <w:p>
      <w:pPr>
        <w:spacing w:line="360" w:lineRule="auto"/>
        <w:rPr>
          <w:rFonts w:ascii="宋体" w:hAnsi="宋体" w:cs="宋体"/>
          <w:sz w:val="24"/>
          <w:szCs w:val="24"/>
          <w:highlight w:val="none"/>
        </w:rPr>
      </w:pPr>
    </w:p>
    <w:p>
      <w:pPr>
        <w:spacing w:line="360" w:lineRule="auto"/>
        <w:jc w:val="center"/>
        <w:outlineLvl w:val="0"/>
        <w:rPr>
          <w:rFonts w:ascii="宋体" w:hAnsi="宋体" w:cs="宋体"/>
          <w:b/>
          <w:bCs/>
          <w:sz w:val="24"/>
          <w:szCs w:val="24"/>
          <w:highlight w:val="none"/>
        </w:rPr>
      </w:pPr>
      <w:bookmarkStart w:id="50" w:name="_Toc18057163"/>
      <w:bookmarkStart w:id="51" w:name="_Toc18057711"/>
      <w:bookmarkStart w:id="52" w:name="_Toc25602"/>
      <w:bookmarkStart w:id="53" w:name="_Toc18647"/>
      <w:bookmarkStart w:id="54" w:name="_Toc159860783"/>
      <w:bookmarkStart w:id="55" w:name="_Toc18057236"/>
      <w:bookmarkStart w:id="56" w:name="_Toc22802419"/>
      <w:bookmarkStart w:id="57" w:name="_Toc18057338"/>
      <w:bookmarkStart w:id="58" w:name="_Toc966"/>
      <w:bookmarkStart w:id="59" w:name="_Toc324856510"/>
      <w:bookmarkStart w:id="60" w:name="_Toc29971"/>
      <w:bookmarkStart w:id="61" w:name="_Toc19177200"/>
      <w:r>
        <w:rPr>
          <w:rFonts w:hint="eastAsia" w:ascii="宋体" w:hAnsi="宋体" w:cs="宋体"/>
          <w:b/>
          <w:bCs/>
          <w:sz w:val="24"/>
          <w:szCs w:val="24"/>
          <w:highlight w:val="none"/>
        </w:rPr>
        <w:t>第四章  理财产品财产的保管</w:t>
      </w:r>
      <w:bookmarkEnd w:id="50"/>
      <w:bookmarkEnd w:id="51"/>
      <w:bookmarkEnd w:id="52"/>
      <w:bookmarkEnd w:id="53"/>
      <w:bookmarkEnd w:id="54"/>
      <w:bookmarkEnd w:id="55"/>
      <w:bookmarkEnd w:id="56"/>
      <w:bookmarkEnd w:id="57"/>
      <w:bookmarkEnd w:id="58"/>
      <w:bookmarkEnd w:id="59"/>
      <w:bookmarkEnd w:id="60"/>
      <w:bookmarkEnd w:id="61"/>
    </w:p>
    <w:p>
      <w:pPr>
        <w:spacing w:line="360" w:lineRule="auto"/>
        <w:jc w:val="center"/>
        <w:rPr>
          <w:rFonts w:ascii="宋体" w:hAnsi="宋体" w:cs="宋体"/>
          <w:b/>
          <w:bCs/>
          <w:sz w:val="24"/>
          <w:szCs w:val="24"/>
          <w:highlight w:val="none"/>
        </w:rPr>
      </w:pP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一、理财产品资产保管的原则</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1、乙方保证依照诚实信用、勤勉尽责的原则，履行资产保管职责。</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lang w:val="zh-CN"/>
        </w:rPr>
        <w:t>2、乙方应为甲方理财产品开设独立托管账户，保证甲方每个理财产品财产之间严格分开，单独保管相关资产。</w:t>
      </w:r>
      <w:r>
        <w:rPr>
          <w:rFonts w:hint="eastAsia" w:ascii="宋体" w:hAnsi="宋体" w:cs="宋体"/>
          <w:sz w:val="24"/>
          <w:szCs w:val="24"/>
          <w:highlight w:val="none"/>
        </w:rPr>
        <w:t>甲方理财产品财产应与甲方及乙方自有资产严格分开，与乙方托管的其他客户的理财产品资产严格分开。</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3、因甲方理财产品的管理、运用、处分或者其他情形而取得的财产，均归入该理财产品财产。甲乙双方均不得将理财产品财产归入其自有资产，因依法解散、被依法撤销或者被依法宣告破产等原因进行清算的，理财产品不属于甲乙双方的清算财产。甲方管理、运用和处分理财产品产生的债权，不得与甲方、乙方因自有资产所产生的债务相抵消；甲方管理、运用和处分不同理财产品所产生的债权债务，不得相互抵消。</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4、乙方负责托管理财产品的资金及其所投资的资产或保管代表资产的权益凭证或财产清单。对于由于客观条件限制，甲、乙双方约定由甲方保管相关财产或财产权利凭证的，甲方应当自行安全保管。托管期间，如国家法律、法规、监管要求对理财资金及财产的托管事宜另有规定的，从其规定。</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5、乙方对在乙方开立的托管账户内的资金负有安全保管职责。因甲方投资运作注册登记在银行间市场登记结算机构及其以外机构的证券以及在乙方以外开立的银行账户内的资金保管由甲方负责，乙方仅保管甲方提供的相关实物凭证（如需），对该等证券或资金的任何损失，乙方不承担责任。乙方对乙方以外机构实际控制的资产不承担保管责任。</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6、对于因为理财产品资产投资产生的应收资产，应由甲方负责与有关当事人确定到账日期并通知乙方，到账日应收资产没有到达的，甲方</w:t>
      </w:r>
      <w:r>
        <w:rPr>
          <w:rFonts w:hint="eastAsia" w:ascii="宋体" w:hAnsi="宋体" w:cs="宋体"/>
          <w:sz w:val="24"/>
          <w:szCs w:val="24"/>
          <w:highlight w:val="none"/>
          <w:lang w:val="en-US" w:eastAsia="zh-CN"/>
        </w:rPr>
        <w:t>应</w:t>
      </w:r>
      <w:r>
        <w:rPr>
          <w:rFonts w:hint="eastAsia" w:ascii="宋体" w:hAnsi="宋体" w:cs="宋体"/>
          <w:sz w:val="24"/>
          <w:szCs w:val="24"/>
          <w:highlight w:val="none"/>
        </w:rPr>
        <w:t>采取措施进行催收，由此给理财产品资产造成损失的，甲方应负责向有关当事人追偿损失。</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7、乙方对甲方理财产品资产的保管并非对理财产品本金或收益的保证或承诺，乙方不承担理财产品的投资风险。</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8、乙方应安全保管理财产品财产，除甲方的划款指令或本协议另有约定外，不得自行运用、处分、分配理财产品的任何财产（不包含托管资产开户银行扣收结算费和账户维护费等费用）。法律法规另有规定的除外。</w:t>
      </w:r>
    </w:p>
    <w:p>
      <w:pPr>
        <w:shd w:val="clear" w:color="FFFFFF" w:fill="FFFFFF"/>
        <w:snapToGrid w:val="0"/>
        <w:spacing w:before="156" w:after="156" w:line="360" w:lineRule="auto"/>
        <w:ind w:firstLine="480"/>
        <w:rPr>
          <w:rFonts w:hint="eastAsia" w:ascii="宋体" w:hAnsi="宋体" w:cs="宋体"/>
          <w:sz w:val="24"/>
          <w:szCs w:val="24"/>
          <w:highlight w:val="none"/>
        </w:rPr>
      </w:pPr>
      <w:r>
        <w:rPr>
          <w:rFonts w:hint="eastAsia" w:ascii="宋体" w:hAnsi="宋体" w:cs="宋体"/>
          <w:sz w:val="24"/>
          <w:szCs w:val="24"/>
          <w:highlight w:val="none"/>
        </w:rPr>
        <w:t>9、乙方不得委托第三人托管理财产品财产。</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二、理财产品托管账户的开立和管理</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1、 理财产品托管账户的开立和管理</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乙方负责由指定人员在乙方指定的银行营业机构，以甲方的名义为甲方单期理财产品分别开设和变更（如需）独立的理财产品托管账户，具体开户以双方协商确定为准，甲方应予以协助。单期理财产品托管账户开立前由甲方通过双方认可的方式向乙方提供相应开户材料，乙方在收到开户材料后进行托管账户的开立，完成开立向甲方提供相应的开户回执。</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甲方各理财产品托管期间的一切货币收支活动，包括但不限于投资交易、支付理财费用、分配理财利益，均需通过相应理财产品托管账户进行，甲方为募集理财资金、理财财产或理财收益分配而使用另外开立的理财资金收付账户进行的款项收付除外。托管账户仅限于理财产品使用，用于存放、接收资金投资本金及收益、支付投资者本金及收益、以及与理财产品相关的税费等，该账户不得透支、提现。</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 2、甲方理财产品的托管账户仅限于乙方托管的甲方理财产品使用，乙方对理财产品必须分账管理。甲方和乙方不得假借甲方名义为乙方托管的甲方理财产品开立任何其他银行账户。银行托管账户采用为理财产品开立唯一托管账户的方式。管理人应及时将初始理财资金足额划拨至银行托管专户，托管人自收到理财资金起开始进行托管。</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理财产品托管账户的开立和管理应符合《人民币银行结算账户管理办法》《现金管理暂行条例》《人民币利率管理规定》《支付结算办法》以及其他相关规定。</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为确保托管账户资金安全，托管人、管理人应至少每季度一次就托管账户余额进行账务核对，托管人应向管理人提供银行托管账户余额对账服务。管理人应对托管账户余额进行对账反馈，管理人应对账务核对结果的真实性、准确性负责。</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3、托管账户内银行存款利息按照托管账户开户银行单位活期存款利率执行，具体以双方实际约定为准。</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 xml:space="preserve">三、单期托管理财产品单独建账的设立和管理 </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乙方应为所托管的甲方单期理财产品单独建账，实现单期产品的独立核算。</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甲方的划款指令应明确到对应的单期理财产品的资产。对于甲方汇入的理财产品投资收益，甲方应向乙方明确到对应的单期理财产品。</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乙方按理财账户的相关利息支付，应按单期理财产品进行核算，并将计息结果通知甲方。</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乙方按本协议和《适用确认书》约定扣划的费用，应明确到对应的单期理财产品，并将分配结果通知甲方。</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四、理财产品存款投资账户的开立和管理</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理财产品开展定期存款等银行存款投资前，管理人应以理财产品名义开立银行存款账户，仅限用于与托管账户进行存款本金及利息资金划拨。管理人向托管人提供现场办理开户、存入、支取、变更等办理人员身份证明信息。开户资料须预留托管人印鉴，如需变更预留印鉴，管理人应联系存款行配合办理变更手续。如银行存款账户停止使用，管理人应及时办理销户手续。</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五、其他账户的开立和管理</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（一）证券账户（如有）</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甲方委托乙方根据中国结算公司要求为托管资产开设证券账户。账户开立后，乙方应在账户开立后及时将证券账户信息书面通知甲方。甲方应指定上海、深圳证券交易所专用交易单元，用于托管协议项下的场内证券投资运作，并在正式使用前将相关信息书面通知乙方，用于办理乙方合并清算业务。证券账户由甲方保管和使用，甲方承诺该账户只用于本协议项下理财产品的证券交易，乙方不承担证券账户的审核责任，对于因证券账户保管和使用而导致的损失，乙方不承担任何责任。</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（二）证券资金账户及客户交易结算资金管理账户（如有）</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甲方负责在证券公司处按照规定开立证券资金账户，账户名称与理财产品在乙方处开立的托管账户的名称一致。证券资金账户开立后，甲方负责在托管账户开户行办理客户交易结算资金银行存管业务（简称“第三方存管”），办理过程中，乙方应提供必要的协助。</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在本协议有效期内，委托资产相关方不得单方面注销该证券资金账户，也不得自行从证券资金账户向银行托管账户划款。委托资产管理期间进行的所有场内投资，均需通过证券资金账户进行资金的交收。</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委托资产托管账户和证券资金账户一经开立，即应按证券公司结算模式建立唯一对应的第三方存管关系，对应关系一经确定，不得更改，如果必须更改，应由甲方发起，经过乙方书面确认后，重新建立证券公司结算模式对应关系。甲方承诺，证券资金账户为主资金账户，不开立任何辅助资金账户。</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（三）银行间账户（如有）</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在监管机构许可前提下，托管资产进入银行间债券市场从事特定资产管理业务前，甲方应提前通知乙方，甲乙双方就银行间账户开立等事宜另行书面协商约定。</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（四）基金账户（如有）</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基金账户由甲方根据投资需要按照开户机构相关规定开立，甲方应保证理财产品基金投资的回款账户为理财产品银行托管账户，并由甲方将基金账户信息以双方认可的方式告知乙方。</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理财产品基金账户和基金交易账户的开立和使用限于满足开展业务的需要。甲方不得出借和转让理财产品的任何基金账户或基金交易账户，亦不得使用理财产品的任何基金账户或基金交易账户进行理财产品业务以外的活动。  </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甲方选择通过机构投资者场外投资业务平台（简称"FISP"）参与开放式基金投资的，应由甲方在FISP系统登记产品信息，并由甲方以双方认可的方式将业务办理信息以及账户开立信息告知乙方，由乙方进行产品确认。</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（五）乙方开立相关账户，甲方应当尽力协助。</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六）其它暂未涉及的账户之管理应遵照相关法律法规、行业规定、登记结算机构业务规则等执行，未尽事宜届时另行商处。理财产品通过期货公司参与期货市场交易前，应由甲方与乙方、期货公司另行签订《期货投资操作三方备忘录》。</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（七）以上托管资产相关账户的开立和使用，仅限于满足该投资组合业务的需要，甲方及乙方双方均不得出借和转让，亦不得使用这些账户从事托管协议规定以外的活动。</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（八）法律法规等有关规定对相关账户的开立和管理另有规定的，从其规定办理。</w:t>
      </w:r>
      <w:bookmarkStart w:id="62" w:name="_Toc520463150"/>
      <w:bookmarkStart w:id="63" w:name="_Toc162062290"/>
      <w:bookmarkStart w:id="64" w:name="_Toc160530129"/>
      <w:bookmarkStart w:id="65" w:name="_Toc301882197"/>
      <w:bookmarkStart w:id="66" w:name="_Toc141850059"/>
    </w:p>
    <w:p>
      <w:pPr>
        <w:spacing w:line="360" w:lineRule="auto"/>
        <w:ind w:firstLine="482"/>
        <w:rPr>
          <w:rFonts w:ascii="宋体" w:hAnsi="宋体" w:cs="宋体"/>
          <w:bCs/>
          <w:sz w:val="24"/>
          <w:szCs w:val="24"/>
          <w:highlight w:val="none"/>
        </w:rPr>
      </w:pPr>
      <w:r>
        <w:rPr>
          <w:rFonts w:hint="eastAsia" w:ascii="宋体" w:hAnsi="宋体" w:cs="宋体"/>
          <w:b/>
          <w:bCs/>
          <w:sz w:val="24"/>
          <w:szCs w:val="24"/>
          <w:highlight w:val="none"/>
        </w:rPr>
        <w:t>六、理财产品实物资产的保管</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理财产品投资银行存款的，由存款银行向管理人开具存款证实书，双方应遵守以下特别约定：</w:t>
      </w:r>
    </w:p>
    <w:p>
      <w:pPr>
        <w:shd w:val="clear" w:color="FFFFFF" w:fill="FFFFFF"/>
        <w:snapToGrid w:val="0"/>
        <w:spacing w:before="156" w:after="156"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1、管理人应通知存款银行及时与托管人办理存款证实书入库保管手续（存入托管人保险柜）。如存款证实书要素与存款协议不符，在管理人与存款银行核实更正前，托管人有权拒绝办理入库手续。因发生自然灾害等不可抗力情况导致入库延误的，管理人应及时向托管人书面说明，并采取措施积极推动存款证实书入库事宜，在完成入库前，由存款证实书持有方履行保管责任。</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zh-CN"/>
        </w:rPr>
        <w:t>2、</w:t>
      </w:r>
      <w:r>
        <w:rPr>
          <w:rFonts w:hint="eastAsia" w:ascii="宋体" w:hAnsi="宋体" w:cs="宋体"/>
          <w:sz w:val="24"/>
          <w:szCs w:val="24"/>
          <w:highlight w:val="none"/>
          <w:lang w:val="en-US" w:eastAsia="zh-CN"/>
        </w:rPr>
        <w:t>理财产品财产在开展银行存款投资业务期间，管理人应根据托管人的要求，提供现场办理存款证实书出入库手续的经办人员的身份信息，如托管人对相关信息有异议，托管人有权拒绝办理并不承担相应责任，管理人应采取积极措施进行信息确认并更正。</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存款到期前，管理人应及时与托管人办理存款证实书出库。如需提前支取，管理人应出具提前支取说明函。如需部分提前支取，应办理存款证实书置换，置换后新存款证实书除金额、编号、存款证实书开具日期外，其他核心要素与原存款证实书一致。</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存款到期后，如因自然灾害等不可抗力导致无法正常办理存款证实书出库手续的，管理人应在与存款银行的存款协议中就上述情况作出相应安排，并明确存款银行应将支取后的存款本息全部划转回理财产品资产托管账户。</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如存款证实书因非托管人原因出现毁损、灭失，或晚于存款到期日到达存款行等情形，导致存款无法被按时支取的，管理人应及时采取补救措施，托管人不承担相关责任，但应给予必要配合。存款证实书仅作为存款证实，不得用于担保、质押、背书、转让等任何可能导致存款资金损失的其他用途。</w:t>
      </w:r>
    </w:p>
    <w:p>
      <w:pPr>
        <w:spacing w:line="360" w:lineRule="auto"/>
        <w:rPr>
          <w:highlight w:val="none"/>
        </w:rPr>
      </w:pPr>
    </w:p>
    <w:p>
      <w:pPr>
        <w:spacing w:line="360" w:lineRule="auto"/>
        <w:jc w:val="center"/>
        <w:outlineLvl w:val="0"/>
        <w:rPr>
          <w:rFonts w:ascii="宋体" w:hAnsi="宋体" w:cs="宋体"/>
          <w:b/>
          <w:bCs/>
          <w:sz w:val="24"/>
          <w:szCs w:val="24"/>
          <w:highlight w:val="none"/>
        </w:rPr>
      </w:pPr>
      <w:bookmarkStart w:id="67" w:name="_Toc7566"/>
      <w:bookmarkStart w:id="68" w:name="_Toc159860784"/>
      <w:bookmarkStart w:id="69" w:name="_Toc16996"/>
      <w:bookmarkStart w:id="70" w:name="_Toc19177201"/>
      <w:bookmarkStart w:id="71" w:name="_Toc8179"/>
      <w:bookmarkStart w:id="72" w:name="_Toc22802420"/>
      <w:bookmarkStart w:id="73" w:name="_Toc27142"/>
      <w:bookmarkStart w:id="74" w:name="_Toc18057712"/>
      <w:r>
        <w:rPr>
          <w:rFonts w:hint="eastAsia" w:ascii="宋体" w:hAnsi="宋体" w:cs="宋体"/>
          <w:b/>
          <w:bCs/>
          <w:sz w:val="24"/>
          <w:szCs w:val="24"/>
          <w:highlight w:val="none"/>
        </w:rPr>
        <w:t>第五章  划款指令</w:t>
      </w:r>
      <w:bookmarkEnd w:id="62"/>
      <w:bookmarkEnd w:id="63"/>
      <w:bookmarkEnd w:id="64"/>
      <w:bookmarkEnd w:id="65"/>
      <w:bookmarkEnd w:id="67"/>
      <w:bookmarkEnd w:id="68"/>
      <w:bookmarkEnd w:id="69"/>
      <w:bookmarkEnd w:id="70"/>
      <w:bookmarkEnd w:id="71"/>
      <w:bookmarkEnd w:id="72"/>
      <w:bookmarkEnd w:id="73"/>
      <w:bookmarkEnd w:id="74"/>
    </w:p>
    <w:p>
      <w:pPr>
        <w:spacing w:line="360" w:lineRule="auto"/>
        <w:jc w:val="center"/>
        <w:rPr>
          <w:rFonts w:ascii="宋体" w:hAnsi="宋体" w:cs="宋体"/>
          <w:b/>
          <w:bCs/>
          <w:sz w:val="24"/>
          <w:szCs w:val="24"/>
          <w:highlight w:val="none"/>
        </w:rPr>
      </w:pPr>
    </w:p>
    <w:p>
      <w:pPr>
        <w:pStyle w:val="20"/>
        <w:snapToGrid w:val="0"/>
        <w:spacing w:before="156" w:after="156" w:line="360" w:lineRule="auto"/>
        <w:ind w:firstLine="482"/>
        <w:rPr>
          <w:rFonts w:hAnsi="宋体"/>
          <w:b/>
          <w:bCs/>
          <w:sz w:val="24"/>
          <w:szCs w:val="24"/>
          <w:highlight w:val="none"/>
        </w:rPr>
      </w:pPr>
      <w:bookmarkStart w:id="75" w:name="_Toc160530130"/>
      <w:r>
        <w:rPr>
          <w:rFonts w:hint="eastAsia" w:hAnsi="宋体"/>
          <w:b/>
          <w:bCs/>
          <w:sz w:val="24"/>
          <w:szCs w:val="24"/>
          <w:highlight w:val="none"/>
        </w:rPr>
        <w:t>一、甲方对发送划款指令人员的授权</w:t>
      </w:r>
      <w:bookmarkEnd w:id="75"/>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甲方应在委托乙方托管的各理财产品成立之日起三个工作日内、首次划款前，向乙方提供“托管账户划款指令授权书”（格式见附件三）。已向乙方提供且适用于甲方交付给乙方的全部理财产品的“托管账户划款指令授权书”的除外。</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托管账户划款指令授权书”应加盖甲方公章。甲方应向乙方发送指令授权书扫描件并寄送指令授权书正本，该授权书生效日期以授权书上载明生效日期为准。甲方应确保划款指令授权书中被授权人个人信息已获得被授权人的同意，且指令授权书扫描件与正本内容一致，因扫描件与正本内容不一致产生的责任由管理人承担。</w:t>
      </w:r>
    </w:p>
    <w:p>
      <w:pPr>
        <w:shd w:val="clear" w:color="FFFFFF" w:fill="FFFFFF"/>
        <w:snapToGrid w:val="0"/>
        <w:spacing w:before="156" w:after="156" w:line="36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管理人更换被授权人员、更改或终止被授权人员的授权范围的（以下简称“授权变更通知”），必须提前三个工作日向托管人发出由管理人法定代表人或其授权代理人签字并加盖管理人公章的书面授权变更通知书原件，授权变更通知书应明确告知托管人授权人员变更事宜、同时向托管人提供新的被授权人的姓名、权限、预留印鉴和签字样本。托管人收到授权变更通知书原件当日将通过录音电话向管理人确认。授权变更通知自管理人收到托管人电话确认的当日生效。授权变更通知生效之前，原被授权人及其签字继续有效，授权变更通知生效时，原授权书同时作废。如果管理人授权人员名单、权限有变化时，未能按本协议约定及时通知托管人并预留新的印鉴和签字样本而给理财产品财产或者投资者造成损失的，托管人不承担任何形式的责任。</w:t>
      </w:r>
    </w:p>
    <w:p>
      <w:pPr>
        <w:shd w:val="clear" w:color="FFFFFF" w:fill="FFFFFF"/>
        <w:snapToGrid w:val="0"/>
        <w:spacing w:before="156" w:after="156" w:line="360" w:lineRule="auto"/>
        <w:ind w:firstLine="480"/>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上述授权通知书及其变更均应以原件形式送达乙方。</w:t>
      </w:r>
    </w:p>
    <w:p>
      <w:pPr>
        <w:pStyle w:val="20"/>
        <w:snapToGrid w:val="0"/>
        <w:spacing w:before="156" w:after="156" w:line="360" w:lineRule="auto"/>
        <w:ind w:firstLine="482"/>
        <w:rPr>
          <w:rFonts w:hAnsi="宋体"/>
          <w:b/>
          <w:bCs/>
          <w:sz w:val="24"/>
          <w:szCs w:val="24"/>
          <w:highlight w:val="none"/>
        </w:rPr>
      </w:pPr>
      <w:r>
        <w:rPr>
          <w:rFonts w:hint="eastAsia" w:hAnsi="宋体"/>
          <w:b/>
          <w:bCs/>
          <w:sz w:val="24"/>
          <w:szCs w:val="24"/>
          <w:highlight w:val="none"/>
        </w:rPr>
        <w:t>二、划款指令的内容</w:t>
      </w:r>
    </w:p>
    <w:p>
      <w:pPr>
        <w:pStyle w:val="20"/>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托管账户划款指令是指甲方发至乙方的有关甲方理财产品名下的款项支付以及其它相关资金划拨、财产处置的指令。</w:t>
      </w:r>
    </w:p>
    <w:p>
      <w:pPr>
        <w:pStyle w:val="20"/>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甲方发送给乙方的托管账户划款指令应写明款项事由、支付时间、支付金额(大小写)、收付款账户信息等，加盖与托管账户划款指令授权书中预留印鉴相符的印章，并由托管账户划款指令授权书项下的授权人员签</w:t>
      </w:r>
      <w:r>
        <w:rPr>
          <w:rFonts w:hint="eastAsia" w:hAnsi="宋体" w:cs="宋体"/>
          <w:sz w:val="24"/>
          <w:szCs w:val="24"/>
          <w:highlight w:val="none"/>
          <w:lang w:val="en-US" w:eastAsia="zh-CN" w:bidi="ar-SA"/>
        </w:rPr>
        <w:t>章/签字</w:t>
      </w:r>
      <w:r>
        <w:rPr>
          <w:rFonts w:hint="eastAsia" w:ascii="宋体" w:hAnsi="宋体" w:eastAsia="宋体" w:cs="宋体"/>
          <w:sz w:val="24"/>
          <w:szCs w:val="24"/>
          <w:highlight w:val="none"/>
          <w:lang w:val="en-US" w:eastAsia="zh-CN" w:bidi="ar-SA"/>
        </w:rPr>
        <w:t>。甲方发送给乙方的托管账户划款指令的内容和格式见附件</w:t>
      </w:r>
      <w:r>
        <w:rPr>
          <w:rFonts w:hint="eastAsia" w:hAnsi="宋体" w:cs="宋体"/>
          <w:sz w:val="24"/>
          <w:szCs w:val="24"/>
          <w:highlight w:val="none"/>
          <w:lang w:val="en-US" w:eastAsia="zh-CN" w:bidi="ar-SA"/>
        </w:rPr>
        <w:t>二</w:t>
      </w:r>
      <w:r>
        <w:rPr>
          <w:rFonts w:hint="eastAsia" w:ascii="宋体" w:hAnsi="宋体" w:eastAsia="宋体" w:cs="宋体"/>
          <w:sz w:val="24"/>
          <w:szCs w:val="24"/>
          <w:highlight w:val="none"/>
          <w:lang w:val="en-US" w:eastAsia="zh-CN" w:bidi="ar-SA"/>
        </w:rPr>
        <w:t>。</w:t>
      </w:r>
    </w:p>
    <w:p>
      <w:pPr>
        <w:pStyle w:val="20"/>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根据实际业务需要，在指令要素完整的前提下，甲乙双方可另行约定划款指令具体格式，变更划款指令格式由甲乙双方以书面形式实际约定变更为准。</w:t>
      </w:r>
    </w:p>
    <w:p>
      <w:pPr>
        <w:pStyle w:val="20"/>
        <w:snapToGrid w:val="0"/>
        <w:spacing w:before="156" w:after="156" w:line="360" w:lineRule="auto"/>
        <w:ind w:firstLine="482"/>
        <w:rPr>
          <w:rFonts w:hAnsi="宋体"/>
          <w:b/>
          <w:bCs/>
          <w:sz w:val="24"/>
          <w:szCs w:val="24"/>
          <w:highlight w:val="none"/>
        </w:rPr>
      </w:pPr>
      <w:r>
        <w:rPr>
          <w:rFonts w:hint="eastAsia" w:hAnsi="宋体"/>
          <w:b/>
          <w:bCs/>
          <w:sz w:val="24"/>
          <w:szCs w:val="24"/>
          <w:highlight w:val="none"/>
        </w:rPr>
        <w:t>三、划款指令的形式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 （一）指令的形式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管理人向托管人发送的指令形式包括电子指令、授权指令和书面指令。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1、电子指令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电子指令是指管理人通过电子报文系统、中信银行金融同业合作平台托管客户端（下称“</w:t>
      </w:r>
      <w:r>
        <w:rPr>
          <w:rFonts w:hint="eastAsia" w:hAnsi="宋体" w:cs="宋体"/>
          <w:sz w:val="24"/>
          <w:szCs w:val="24"/>
          <w:highlight w:val="none"/>
          <w:lang w:val="en-US" w:eastAsia="zh-CN" w:bidi="ar-SA"/>
        </w:rPr>
        <w:t>托管客户端</w:t>
      </w:r>
      <w:r>
        <w:rPr>
          <w:rFonts w:hint="eastAsia" w:ascii="宋体" w:hAnsi="宋体" w:eastAsia="宋体" w:cs="宋体"/>
          <w:sz w:val="24"/>
          <w:szCs w:val="24"/>
          <w:highlight w:val="none"/>
          <w:lang w:val="en-US" w:eastAsia="zh-CN" w:bidi="ar-SA"/>
        </w:rPr>
        <w:t>”）及其他双方系统直连等电子数据形式发送的指令。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管理人通过</w:t>
      </w:r>
      <w:r>
        <w:rPr>
          <w:rFonts w:hint="eastAsia" w:hAnsi="宋体" w:cs="宋体"/>
          <w:sz w:val="24"/>
          <w:szCs w:val="24"/>
          <w:highlight w:val="none"/>
          <w:lang w:val="en-US" w:eastAsia="zh-CN" w:bidi="ar-SA"/>
        </w:rPr>
        <w:t>托管客户端</w:t>
      </w:r>
      <w:r>
        <w:rPr>
          <w:rFonts w:hint="eastAsia" w:ascii="宋体" w:hAnsi="宋体" w:eastAsia="宋体" w:cs="宋体"/>
          <w:sz w:val="24"/>
          <w:szCs w:val="24"/>
          <w:highlight w:val="none"/>
          <w:lang w:val="en-US" w:eastAsia="zh-CN" w:bidi="ar-SA"/>
        </w:rPr>
        <w:t>向托管人发送电子指令的，管理人应先与托管人签署有关服务协议。</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2、授权指令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授权指令是指托管人根据管理人的授权，基于登记结算机构数据或监管部门认可的公告等公开信息形成的指令。具体适用条件、发送、确认和执行等相关要求均由双方根据业务需要另行协商确定。</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管理人拟采用授权指令的，应提前向托管人提供对应类别授权指令的书面授权，载明指令内容和执行程序。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3、书面指令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书面指令是指管理人出具的纸质指令。管理人应通过传真或者邮件等双方约定的方式发送书面指令的扫描件，保管书面指令原件，并确保与指令原件内容一致。指令原件与扫描件不一致的，由管理人承担全部责任。书面指令应作为应急方式，在电子指令、授权指令无法正常送达或形成时，管理人应向托管人发送书面指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（三）划款指令的发送、确认和执行</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1、指令的发送</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应按照法律法规和合同的约定，在其合法的经营权限和交易权限内发送指令。对于指令发送人员无权或超越权限发送的指令，托管人有权拒绝执行，并及时通知管理人改正。对于被授权人发出的指令，管理人不得否认其效力。</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甲方向乙方发送指令的同时，</w:t>
      </w:r>
      <w:r>
        <w:rPr>
          <w:rFonts w:hint="eastAsia" w:hAnsi="宋体" w:cs="宋体"/>
          <w:sz w:val="24"/>
          <w:szCs w:val="24"/>
          <w:highlight w:val="none"/>
          <w:lang w:val="en-US" w:eastAsia="zh-CN" w:bidi="ar-SA"/>
        </w:rPr>
        <w:t>应</w:t>
      </w:r>
      <w:r>
        <w:rPr>
          <w:rFonts w:hint="eastAsia" w:ascii="宋体" w:hAnsi="宋体" w:eastAsia="宋体" w:cs="宋体"/>
          <w:sz w:val="24"/>
          <w:szCs w:val="24"/>
          <w:highlight w:val="none"/>
          <w:lang w:val="en-US" w:eastAsia="zh-CN" w:bidi="ar-SA"/>
        </w:rPr>
        <w:t>通过电子邮件或其他甲乙双方确认的方式提供相关合同、交易凭证</w:t>
      </w:r>
      <w:r>
        <w:rPr>
          <w:rFonts w:hint="eastAsia" w:hAnsi="宋体" w:cs="宋体"/>
          <w:sz w:val="24"/>
          <w:szCs w:val="24"/>
          <w:highlight w:val="none"/>
          <w:lang w:val="en-US" w:eastAsia="zh-CN" w:bidi="ar-SA"/>
        </w:rPr>
        <w:t>等</w:t>
      </w:r>
      <w:r>
        <w:rPr>
          <w:rFonts w:hint="eastAsia" w:ascii="宋体" w:hAnsi="宋体" w:eastAsia="宋体" w:cs="宋体"/>
          <w:sz w:val="24"/>
          <w:szCs w:val="24"/>
          <w:highlight w:val="none"/>
          <w:lang w:val="en-US" w:eastAsia="zh-CN" w:bidi="ar-SA"/>
        </w:rPr>
        <w:t>证明材料</w:t>
      </w:r>
      <w:r>
        <w:rPr>
          <w:rFonts w:hint="eastAsia" w:hAnsi="宋体"/>
          <w:sz w:val="24"/>
          <w:szCs w:val="24"/>
          <w:highlight w:val="none"/>
          <w:lang w:val="en-US"/>
        </w:rPr>
        <w:t>，以确保乙方</w:t>
      </w:r>
      <w:r>
        <w:rPr>
          <w:rFonts w:hint="eastAsia" w:hAnsi="宋体"/>
          <w:sz w:val="24"/>
          <w:szCs w:val="24"/>
          <w:highlight w:val="none"/>
          <w:lang w:val="en-US" w:eastAsia="zh-CN"/>
        </w:rPr>
        <w:t>具有</w:t>
      </w:r>
      <w:r>
        <w:rPr>
          <w:rFonts w:hint="eastAsia" w:hAnsi="宋体"/>
          <w:sz w:val="24"/>
          <w:szCs w:val="24"/>
          <w:highlight w:val="none"/>
          <w:lang w:val="en-US"/>
        </w:rPr>
        <w:t>足够的资料</w:t>
      </w:r>
      <w:r>
        <w:rPr>
          <w:rFonts w:hint="eastAsia" w:hAnsi="宋体"/>
          <w:sz w:val="24"/>
          <w:szCs w:val="24"/>
          <w:highlight w:val="none"/>
          <w:lang w:val="en-US" w:eastAsia="zh-CN"/>
        </w:rPr>
        <w:t>依据</w:t>
      </w:r>
      <w:r>
        <w:rPr>
          <w:rFonts w:hint="eastAsia" w:hAnsi="宋体"/>
          <w:sz w:val="24"/>
          <w:szCs w:val="24"/>
          <w:highlight w:val="none"/>
          <w:lang w:val="en-US"/>
        </w:rPr>
        <w:t>判断指令的有效性及准确性</w:t>
      </w:r>
      <w:r>
        <w:rPr>
          <w:rFonts w:hint="eastAsia" w:ascii="宋体" w:hAnsi="宋体" w:eastAsia="宋体" w:cs="宋体"/>
          <w:sz w:val="24"/>
          <w:szCs w:val="24"/>
          <w:highlight w:val="none"/>
          <w:lang w:val="en-US" w:eastAsia="zh-CN" w:bidi="ar-SA"/>
        </w:rPr>
        <w:t>。甲方</w:t>
      </w:r>
      <w:r>
        <w:rPr>
          <w:rFonts w:hint="eastAsia" w:hAnsi="宋体" w:cs="宋体"/>
          <w:sz w:val="24"/>
          <w:szCs w:val="24"/>
          <w:highlight w:val="none"/>
          <w:lang w:val="en-US" w:eastAsia="zh-CN" w:bidi="ar-SA"/>
        </w:rPr>
        <w:t>应保证证明材料</w:t>
      </w:r>
      <w:r>
        <w:rPr>
          <w:rFonts w:hint="eastAsia" w:ascii="宋体" w:hAnsi="宋体" w:eastAsia="宋体" w:cs="宋体"/>
          <w:sz w:val="24"/>
          <w:szCs w:val="24"/>
          <w:highlight w:val="none"/>
          <w:lang w:val="en-US" w:eastAsia="zh-CN" w:bidi="ar-SA"/>
        </w:rPr>
        <w:t>的真实性、准确性、有效性</w:t>
      </w:r>
      <w:r>
        <w:rPr>
          <w:rFonts w:hint="eastAsia" w:hAnsi="宋体" w:cs="宋体"/>
          <w:sz w:val="24"/>
          <w:szCs w:val="24"/>
          <w:highlight w:val="none"/>
          <w:lang w:val="en-US" w:eastAsia="zh-CN" w:bidi="ar-SA"/>
        </w:rPr>
        <w:t>和</w:t>
      </w:r>
      <w:r>
        <w:rPr>
          <w:rFonts w:hint="eastAsia" w:ascii="宋体" w:hAnsi="宋体" w:eastAsia="宋体" w:cs="宋体"/>
          <w:sz w:val="24"/>
          <w:szCs w:val="24"/>
          <w:highlight w:val="none"/>
          <w:lang w:val="en-US" w:eastAsia="zh-CN" w:bidi="ar-SA"/>
        </w:rPr>
        <w:t>完整性。</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2、指令的审核确认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管理人在向托管人发送电子指令、书面指令后，须电话联系托管人进行确认。因管理人未能及时与托管人进行指令确认,致使指令无法及时处理完成的，托管人不承担责任。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电子指令自成功进入托管人系统并经双方确认时视为送达。一旦成功进入托管人系统，均视为由管理人被授权人发送的指令，托管人对电子指令仅开展要素审核。</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对书面指令，托管人应先根据授权通知，核验指令签发人信息及印鉴有效性，授权核验不通过，托管人有权拒绝执行；核验通过后，再进行要素审核。</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托管人对电子指令、书面指令的要素审核，仅指对指令要素的完整性以及与“证明材料”的表面一致性进行验证。要素审核无误，方可确认指令有效；要素审核不通过，或托管人在履行监督职责时发现指令违反相关法律法规和合同约定、本协议约定的，进入异议处理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3.指令的执行</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托管人审核确认指令有效后，应依照本协议约定及时执行。</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管理人在发送指令时，应为托管人留出执行指令所必需的时间。发送指令日完成划款的指令，管理人应给托管人预留出距划款截止时点至少 2个工作小时的指令执行时间。因管理人原因造成的指令传输不及时、未能留出足够划款所需时间，致使指令无法及时处理所造成的损失由管理人承担。</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管理人应确保托管人在执行管理人发送的划款指令时，托管资金专户内有足够的资金。否则，托管人有权拒绝管理人发送的划款指令，但应立即通知管理人，因不执行该指令而造成损失的，托管人不承担责任。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4.指令的撤销与变更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对于托管人尚未执行的电子指令与书面指令，管理人可以撤销，但应提前与托管人进行沟通确认，双方协商一致后，管理人需通过传真或者邮件等双方约定的方式发送撤销指令的书面通知，书面通知应载明指令撤销内容和协商一致的生效时间。因管理人未能及时与托管人进行撤销确认，致使指令无法撤销的，托管人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指令变更参照上述流程办理。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（四）电子指令与书面指令的异议处理程序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托管人对书面指令与电子指令存在疑义的，应及时向管理人提出。管理人须在双方协商的有效时间内答复，如未在有效时间内答复，托管人有权拒绝执行该指令，所造成的损失不由托管人承担。对于因异议处理导致的指令执行延误，托管人亦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（五）托管人未按照管理人指令执行的责任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托管人由于自身原因未按照或者未及时按照管理人发送的有效指令执行，给理财产品份额持有人造成损失的，应负赔偿责任。</w:t>
      </w:r>
      <w:bookmarkEnd w:id="66"/>
    </w:p>
    <w:p>
      <w:pPr>
        <w:pStyle w:val="3"/>
        <w:tabs>
          <w:tab w:val="left" w:pos="0"/>
          <w:tab w:val="left" w:pos="2784"/>
        </w:tabs>
        <w:spacing w:before="312" w:after="312" w:line="360" w:lineRule="auto"/>
        <w:ind w:firstLine="0"/>
        <w:jc w:val="center"/>
        <w:rPr>
          <w:rFonts w:ascii="宋体" w:hAnsi="宋体" w:cs="宋体"/>
          <w:sz w:val="24"/>
          <w:szCs w:val="24"/>
          <w:highlight w:val="none"/>
        </w:rPr>
      </w:pPr>
      <w:bookmarkStart w:id="76" w:name="_Toc2673257"/>
      <w:bookmarkStart w:id="77" w:name="_Toc18057339"/>
      <w:bookmarkStart w:id="78" w:name="_Toc18057237"/>
      <w:bookmarkStart w:id="79" w:name="_Toc18057164"/>
      <w:bookmarkStart w:id="80" w:name="_Toc22894"/>
      <w:bookmarkStart w:id="81" w:name="_Toc1656553"/>
      <w:bookmarkStart w:id="82" w:name="_Toc18057713"/>
      <w:bookmarkStart w:id="83" w:name="_Toc11262"/>
      <w:bookmarkStart w:id="84" w:name="_Toc14449"/>
      <w:bookmarkStart w:id="85" w:name="_Toc22802421"/>
      <w:bookmarkStart w:id="86" w:name="_Toc1028"/>
      <w:bookmarkStart w:id="87" w:name="_Toc159860785"/>
      <w:bookmarkStart w:id="88" w:name="_Toc21288"/>
      <w:bookmarkStart w:id="89" w:name="_Toc19177202"/>
      <w:r>
        <w:rPr>
          <w:rFonts w:hint="eastAsia" w:ascii="宋体" w:hAnsi="宋体" w:cs="宋体"/>
          <w:sz w:val="24"/>
          <w:szCs w:val="24"/>
          <w:highlight w:val="none"/>
        </w:rPr>
        <w:t>第六章  理财产品的投资交易及</w:t>
      </w:r>
      <w:bookmarkEnd w:id="76"/>
      <w:bookmarkEnd w:id="77"/>
      <w:bookmarkEnd w:id="78"/>
      <w:bookmarkEnd w:id="79"/>
      <w:bookmarkEnd w:id="80"/>
      <w:bookmarkEnd w:id="81"/>
      <w:bookmarkEnd w:id="82"/>
      <w:r>
        <w:rPr>
          <w:rFonts w:hint="eastAsia" w:ascii="宋体" w:hAnsi="宋体" w:cs="宋体"/>
          <w:sz w:val="24"/>
          <w:szCs w:val="24"/>
          <w:highlight w:val="none"/>
        </w:rPr>
        <w:t>其资金清算</w:t>
      </w:r>
      <w:bookmarkEnd w:id="83"/>
      <w:bookmarkEnd w:id="84"/>
      <w:bookmarkEnd w:id="85"/>
      <w:bookmarkEnd w:id="86"/>
      <w:bookmarkEnd w:id="87"/>
      <w:bookmarkEnd w:id="88"/>
      <w:bookmarkEnd w:id="89"/>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一、理财产品的投资对象</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甲方各理财产品的投资对象在各理财产品的理财产品相关文件中予以约定。</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二、理财产品的资金清算</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1、当甲方要求乙方从理财账户向其它账户划款时，乙方将根据甲方签发的“托管账户划款指令”、“理财产品起始运作通知书”及相应回执及本协议约定的相关资料进行表面一致性审核，审核无误后及时将资金划付至指定的收款账户。 </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2、证券经营机构的选择及交易相关基本信息的传输</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负责选择代理理财产品证券买卖的证券经营机构，理财产品参与交易所场内证券投资，采用证券公司结算模式，甲方、乙方应与甲方选择的证券经纪机构另行签署《经纪服务协议》，明确各自在业务上的程序和职责。甲方最晚于理财产品起始运作日前一个工作日以书面形式告知乙方上交所和深交所的交易单元号、交易品种的费率、佣金收取标准和证券账户信息等，并确认已建立第三方存管关系、开通银证转账功能。在协议有效期间若交易单元号、交易会员号、交易编码、或涉及的相关费率等变动，则甲方应在变动生效前一个工作日书面告知乙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3、沪、深交易所数据传输和接收</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甲方应责成其选择的证券经营机构通过深证通或其他双方认可的方式向乙方传送中登的登记及结算数据、交易所的交易清算数据。甲方应责成其选择的证券经营机构保证提供给乙方的交易数据的准确性、完整性、真实性，如数据不准确、不完整或不真实，甲方、乙方不承担责任，双方责成证券经营机构承担全部责任，但因证券交易所、中登及证券经营机构无法控制的其他原因造成数据传输错误或不及时的，甲方、乙方和证券经营机构不承担任何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所提供的数据均需按中登和交易所发布的最新数据接口规范进行填写，以便乙方能够完成会计核算、清算、监督职能。</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若数据传送不成功，甲方应责成证券经营机构重复或以其它应急方式传送，直到乙方成功接收，乙方对因证券经营机构提供的数据错误或不及时等过失造成的理财产品资产损失不承担责任。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甲方应责成证券经营机构于T日19:00前将理财产品的当日场内交易数据发送至乙方（但因证券交易所或中登及甲方无法控制的其他原因而造成数据延迟发送的情况除外），如遇到特殊情况出现数据发送延迟等情况应及时通知乙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（3）甲方应责成证券经营机构于T日19:00前以约定方式将T日清算后的证券账户对账单发送至乙方，以便乙方进行对账。对账单内容包括理财产品资产T日的交易明细、证券余额、资金余额等内容。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（4）甲方应责成证券经营机构指定专人负责数据的传输和接收，确保数据的安全性和保密性。</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 xml:space="preserve">（5）交易的资金清算与交割 </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甲方所选择的证券经营机构负责办理理财产品的所有场内交易的清算交割；乙方负责办理委托资产的所有场外交易的清算交割。</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4、资金、证券和期货账目及交易记录的核对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甲方和乙方应按法律法规规定及本协议约定对理财产品财产的证券账目、实物券账目、交易记录进行核对。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5、投资银行存款的特别约定</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（1）甲方和乙方的职责</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应当加强对理财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乙方负责依据甲方提供的银行存款投资合同/协议、投资指令、支取通知等有关文件办理资金的支付以及存款证实书的接收、保管与交付（如有），切实履行托管职责。乙方负责依据托管协议的约定对存款开户证实书进行保管，不负责对存款开户证实书真伪的辨别，不承担存款开户证实书对应存款的本金及收益的安全。</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（2）相关协议的签署</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甲方在投资银行存款之前，需与存款银行签订具体存款协议。具体存款协议应包括但不限于以下内容：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①存款账户必须以理财产品名义开立，存款账户预留印鉴至少留一枚乙方印鉴。</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②协议须约定存款类型、期限、利率、计息方式、金额、账号、起止时间，存款银行经办行名称、地址及进款账户。</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③协议须约定将乙方为理财产品开立的托管银行账户指定为唯一回款账户，任何情况下，存款银行都不得将存款本息划往任何其他账户。存款账户出款不得提取现金，不得作出存款投资协议之外的其他任何用途。</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④协议须约定存款银行有义务保证理财产品存款投资在存续期内的安全。</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⑤协议须约定存款银行不得接受甲方或乙方任何一方单方面提出的对该笔存款投资进行更名、转让、挂失、质押、担保、撤销变更印鉴及回款账户信息等任何可能导致财产转移的申请。</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⑥协议须明确，存款银行对存款证实书的真实性负责，并承担移交过程中由于存款证实书丢失、损毁、被人为调换等所引发的一切后果。正常情况下，同城存款银行应在存款证实书开立后3个工作日内将原件移交托管行保管；异地存款银行应在存款证实书开立后10个工作日内将原件移交托管行保管。原件移交应采用甲乙双方认可的方式，如存款证实书要素与存款协议不符，乙方拒绝办理入库，甲方应更正。因发生疫情或自然灾害等不可抗力情况延误的，甲方应及时向乙方书面说明，并采取措施积极推动存款证实书入库事宜。</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（3）办理理财产品财产投资银行存款的开户、全部提前支取、部分提前支取或到期支取，可采取以下方式：</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①由存款银行/甲方提供上门送、取单服务。在上门送、取单时，存款银行/甲方经办人员应携带单位介绍信/授权书以及个人身份证件，以便乙方进行核查。②甲方与乙方双方协商一致的其他办理方式。</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（4）理财产品财产投资银行存款或办理存款支取时，甲方需提前发送投资指令或支取通知到乙方处，以便乙方有足够的时间履行相应的业务操作程序。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（5）如发生非因乙方原因导致的逾期支取，乙方不承担相应利息损失及逾期支取手续费。</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（6）理财产品投资银行存款时，应本着便于存款证实书安全保管和日常监督核查的原则，尽可能选择托管账户开户行所在地的银行机构办理。</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7）对于已移交乙方保管的存款开户证实书等实物凭证，乙方应确保安全保管；对未按约定将存款开户证实书等实物凭证移交乙方保管的，乙方可向甲方进行必要的催缴和风险提示。在疫情或自然灾害等不可抗力因素影响下，如无法正常办理存款证实书出入库手续，存款本息资金到期应按协议约定返回理财产品的银行托管账户，避免资金回款风险，情况缓解后及时补办出入库手续。</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6、托管产品通过第三方销售机构参与开放式基金投资的特别约定</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理财产品可以通过第三方基金销售机构渠道投资开放式基金，甲方应向乙方提供与第三方基金代销机构签署的合作协议及风险承诺。为维护产品持有人利益、保障资产安全，甲方应负责制订选择第三方基金销售机构的标准和程序，并据此选择第三方销售机构。甲方确保所选择的销售机构在中国证监会注册取得基金销售业务资格并已成为中国证券投资基金业协会会员，符合开展前述各类产品销售业务的各项资质和要求。</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7、托管产品通过系统直连交易基金、资管计划的特别约定</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甲方如与基金、资管计划管理人及代销机构做系统对接，托管产品通过系统直连交易基金、资管计划时，交易申请在甲方投资组合管理系统审批完成后即推送至机构管理人、代销机构系统，机构管理人、代销机构接收甲方交易指令并处理，甲方无需再向机构管理人、代销机构提交交易业务申请表或在机构管理人、代销机构网站下单。其中，追加认购申请、申购申请等需托管行操作划款的划款指令的复核依据以甲方提供的投资组合管理系统的交易要素为准，甲方确保投资组合管理系统对应交易的理财产品、资产标的、交易日期、交易金额等交易要素信息无误，甲方不再向乙方提供交易业务申请表。托管产品在首次做该类交易时，需要将《关于平安理财与基金、资管计划管理人及代销机构系统对接的说明函》《深证通电子指令系统直连使用备忘录》等甲方与机构管理人及代销机构签署的协议，以及甲方签署的资管计划合同或风险揭示书发送给乙方。甲方在后续交易时需要将交易申购明细表发送乙方，不需再发送交易业务申请表。甲方通过代销机构开展的投资指令完成后，甲方应确保代销机构及时向乙方提供认购/申购确认等交易单据。</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8、其他未约定事项，以“理财产品起始运作通知书”及相应回执确认为准。</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9、若理财产品参与场内质押式回购业务，管理人应密切关注中国证券登记结算有限责任公司T日发布的T+2日适用的标准券折算率，并做好场内质押式回购业务补券工作；若托管人发现管理人未及时补足债券，托管人通知管理人补券，管理人须按托管人要求进行补券及回复相关信息。</w:t>
      </w:r>
    </w:p>
    <w:p>
      <w:pPr>
        <w:spacing w:line="360" w:lineRule="auto"/>
        <w:ind w:left="479"/>
        <w:rPr>
          <w:rFonts w:ascii="宋体" w:hAnsi="宋体" w:cs="宋体"/>
          <w:b/>
          <w:bCs/>
          <w:sz w:val="24"/>
          <w:szCs w:val="24"/>
          <w:highlight w:val="none"/>
        </w:rPr>
      </w:pPr>
      <w:r>
        <w:rPr>
          <w:rFonts w:hint="eastAsia" w:ascii="宋体" w:hAnsi="宋体" w:cs="宋体"/>
          <w:b/>
          <w:bCs/>
          <w:sz w:val="24"/>
          <w:szCs w:val="24"/>
          <w:highlight w:val="none"/>
        </w:rPr>
        <w:t>三、申购或赎回的资金清算</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理财产品发生申购时，甲方应及时将申购款划入该理财产品对应托管账户，乙方应及时查收申购资金的到账情况。</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理财产品发生赎回时，乙方应根据核对无误的甲方指令及时划付赎回款项。乙方负责将赎回款项拨付至甲方开立或指定的理财产品募集结算资金专用账户，甲方负责将收到的款项向各理财产品投资者分配。</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p>
    <w:p>
      <w:pPr>
        <w:pStyle w:val="3"/>
        <w:numPr>
          <w:ilvl w:val="0"/>
          <w:numId w:val="1"/>
        </w:numPr>
        <w:spacing w:before="40" w:after="0" w:line="360" w:lineRule="auto"/>
        <w:ind w:left="1361" w:firstLine="472"/>
        <w:rPr>
          <w:rFonts w:ascii="宋体" w:hAnsi="宋体" w:cs="宋体"/>
          <w:sz w:val="24"/>
          <w:szCs w:val="24"/>
          <w:highlight w:val="none"/>
        </w:rPr>
      </w:pPr>
      <w:bookmarkStart w:id="90" w:name="_Toc22802422"/>
      <w:bookmarkStart w:id="91" w:name="_Toc18057238"/>
      <w:bookmarkStart w:id="92" w:name="_Toc18057714"/>
      <w:bookmarkStart w:id="93" w:name="_Toc16251"/>
      <w:bookmarkStart w:id="94" w:name="_Toc4860"/>
      <w:bookmarkStart w:id="95" w:name="_Toc19177203"/>
      <w:bookmarkStart w:id="96" w:name="_Toc18057165"/>
      <w:bookmarkStart w:id="97" w:name="_Toc12868"/>
      <w:bookmarkStart w:id="98" w:name="_Toc159860786"/>
      <w:bookmarkStart w:id="99" w:name="_Toc18057340"/>
      <w:bookmarkStart w:id="100" w:name="_Toc22150"/>
      <w:r>
        <w:rPr>
          <w:rFonts w:hint="eastAsia" w:ascii="宋体" w:hAnsi="宋体" w:cs="宋体"/>
          <w:sz w:val="24"/>
          <w:szCs w:val="24"/>
          <w:highlight w:val="none"/>
        </w:rPr>
        <w:t xml:space="preserve">  理财产品估值与会计核算</w:t>
      </w:r>
      <w:bookmarkEnd w:id="90"/>
      <w:bookmarkEnd w:id="91"/>
      <w:bookmarkEnd w:id="92"/>
      <w:bookmarkEnd w:id="93"/>
      <w:bookmarkEnd w:id="94"/>
      <w:bookmarkEnd w:id="95"/>
      <w:bookmarkEnd w:id="96"/>
      <w:bookmarkEnd w:id="97"/>
      <w:bookmarkEnd w:id="98"/>
      <w:bookmarkEnd w:id="99"/>
      <w:bookmarkEnd w:id="100"/>
    </w:p>
    <w:p>
      <w:pPr>
        <w:spacing w:line="360" w:lineRule="auto"/>
        <w:rPr>
          <w:rFonts w:ascii="宋体" w:hAnsi="宋体" w:cs="宋体"/>
          <w:sz w:val="24"/>
          <w:szCs w:val="24"/>
          <w:highlight w:val="none"/>
        </w:rPr>
      </w:pPr>
    </w:p>
    <w:p>
      <w:pPr>
        <w:pStyle w:val="22"/>
        <w:tabs>
          <w:tab w:val="left" w:pos="1582"/>
        </w:tabs>
        <w:spacing w:line="360" w:lineRule="auto"/>
        <w:rPr>
          <w:rFonts w:ascii="宋体" w:hAnsi="宋体" w:cs="宋体"/>
          <w:b/>
          <w:bCs/>
          <w:sz w:val="24"/>
          <w:szCs w:val="24"/>
          <w:highlight w:val="none"/>
        </w:rPr>
      </w:pPr>
      <w:r>
        <w:rPr>
          <w:rFonts w:hint="eastAsia" w:ascii="宋体" w:hAnsi="宋体" w:cs="宋体"/>
          <w:b/>
          <w:bCs/>
          <w:sz w:val="24"/>
          <w:szCs w:val="24"/>
          <w:highlight w:val="none"/>
        </w:rPr>
        <w:t>一、理财产品资产净值的计算及复核程序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en-US" w:eastAsia="zh-CN" w:bidi="ar-SA"/>
        </w:rPr>
        <w:t>1、</w:t>
      </w:r>
      <w:r>
        <w:rPr>
          <w:rFonts w:hint="eastAsia" w:ascii="宋体" w:hAnsi="宋体" w:eastAsia="宋体" w:cs="宋体"/>
          <w:sz w:val="24"/>
          <w:szCs w:val="24"/>
          <w:highlight w:val="none"/>
          <w:lang w:val="zh-CN" w:eastAsia="zh-CN" w:bidi="ar-SA"/>
        </w:rPr>
        <w:t>理财产品资产净值</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zh-CN" w:eastAsia="zh-CN" w:bidi="ar-SA"/>
        </w:rPr>
        <w:t>理财产品资产净值是指理财产品资产总值减去负债后的价值。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en-US" w:eastAsia="zh-CN" w:bidi="ar-SA"/>
        </w:rPr>
        <w:t>理财产品份额净值是按照每个交易日闭市后，理财产品资产净值除以当日理财产品份额的余额数量计算，精</w:t>
      </w:r>
      <w:r>
        <w:rPr>
          <w:rFonts w:hint="eastAsia" w:ascii="宋体" w:hAnsi="宋体" w:eastAsia="宋体" w:cs="宋体"/>
          <w:sz w:val="24"/>
          <w:szCs w:val="24"/>
          <w:highlight w:val="none"/>
          <w:lang w:val="zh-CN" w:eastAsia="zh-CN" w:bidi="ar-SA"/>
        </w:rPr>
        <w:t>确到0.0001元，小数点后第五位四舍五入，由此产生的误差计入理财财产。国家另有规定的，从其规定。</w:t>
      </w:r>
    </w:p>
    <w:p>
      <w:pPr>
        <w:pStyle w:val="20"/>
        <w:shd w:val="clear" w:color="FFFFFF" w:fill="FFFFFF"/>
        <w:snapToGrid w:val="0"/>
        <w:spacing w:line="360" w:lineRule="auto"/>
        <w:ind w:firstLine="480"/>
        <w:rPr>
          <w:rFonts w:hint="eastAsia" w:ascii="宋体" w:hAnsi="宋体" w:eastAsia="宋体" w:cs="宋体"/>
          <w:sz w:val="24"/>
          <w:szCs w:val="24"/>
          <w:highlight w:val="none"/>
          <w:lang w:val="zh-CN" w:eastAsia="zh-CN" w:bidi="ar-SA"/>
        </w:rPr>
      </w:pPr>
      <w:r>
        <w:rPr>
          <w:rFonts w:hint="eastAsia" w:ascii="宋体" w:hAnsi="宋体" w:eastAsia="宋体" w:cs="宋体"/>
          <w:sz w:val="24"/>
          <w:szCs w:val="24"/>
          <w:highlight w:val="none"/>
          <w:lang w:val="en-US" w:eastAsia="zh-CN" w:bidi="ar-SA"/>
        </w:rPr>
        <w:t>2、</w:t>
      </w:r>
      <w:r>
        <w:rPr>
          <w:rFonts w:hint="eastAsia" w:ascii="宋体" w:hAnsi="宋体" w:eastAsia="宋体" w:cs="宋体"/>
          <w:sz w:val="24"/>
          <w:szCs w:val="24"/>
          <w:highlight w:val="none"/>
          <w:lang w:val="zh-CN" w:eastAsia="zh-CN" w:bidi="ar-SA"/>
        </w:rPr>
        <w:t>甲方应每</w:t>
      </w:r>
      <w:r>
        <w:rPr>
          <w:rFonts w:hint="eastAsia" w:ascii="宋体" w:hAnsi="宋体" w:eastAsia="宋体" w:cs="宋体"/>
          <w:sz w:val="24"/>
          <w:szCs w:val="24"/>
          <w:highlight w:val="none"/>
          <w:lang w:val="en-US" w:eastAsia="zh-CN" w:bidi="ar-SA"/>
        </w:rPr>
        <w:t>交易日</w:t>
      </w:r>
      <w:r>
        <w:rPr>
          <w:rFonts w:hint="eastAsia" w:ascii="宋体" w:hAnsi="宋体" w:eastAsia="宋体" w:cs="宋体"/>
          <w:sz w:val="24"/>
          <w:szCs w:val="24"/>
          <w:highlight w:val="none"/>
          <w:lang w:val="zh-CN" w:eastAsia="zh-CN" w:bidi="ar-SA"/>
        </w:rPr>
        <w:t>对理财产品资产估值。但甲方根据法律法规或理财文件的规定暂停估值时除外。</w:t>
      </w:r>
    </w:p>
    <w:p>
      <w:pPr>
        <w:pStyle w:val="22"/>
        <w:tabs>
          <w:tab w:val="left" w:pos="1582"/>
        </w:tabs>
        <w:spacing w:line="360" w:lineRule="auto"/>
        <w:rPr>
          <w:rFonts w:ascii="宋体" w:hAnsi="宋体" w:cs="宋体"/>
          <w:b/>
          <w:bCs/>
          <w:sz w:val="24"/>
          <w:szCs w:val="24"/>
          <w:highlight w:val="none"/>
        </w:rPr>
      </w:pPr>
      <w:r>
        <w:rPr>
          <w:rFonts w:hint="eastAsia" w:ascii="宋体" w:hAnsi="宋体" w:cs="宋体"/>
          <w:b/>
          <w:bCs/>
          <w:sz w:val="24"/>
          <w:szCs w:val="24"/>
          <w:highlight w:val="none"/>
          <w:lang w:val="en-US"/>
        </w:rPr>
        <w:t>二、</w:t>
      </w:r>
      <w:r>
        <w:rPr>
          <w:rFonts w:hint="eastAsia" w:ascii="宋体" w:hAnsi="宋体" w:cs="宋体"/>
          <w:b/>
          <w:bCs/>
          <w:sz w:val="24"/>
          <w:szCs w:val="24"/>
          <w:highlight w:val="none"/>
        </w:rPr>
        <w:t>理财产品资产估值方法和特殊情形的处理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（一）估值日</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理财产品的估值日为理财产品相关的证券交易场所的交易日以及国家法律法规规定需要对外披露理财产品净值的非交易日。</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（二）估值对象</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理财产品所拥有的有价证券以及银行存款本息和其它资产及负债。</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（三）估值方法</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本协议规定的理财产品资产估值方法如下，具体产品的资产估值方法以产品说明书约定为准。甲方应确保双方约定的估值方法和理财产品信息披露文件一致。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（1）</w:t>
      </w:r>
      <w:r>
        <w:rPr>
          <w:rFonts w:hint="eastAsia" w:ascii="宋体" w:hAnsi="宋体" w:eastAsia="宋体" w:cs="宋体"/>
          <w:sz w:val="24"/>
          <w:szCs w:val="24"/>
          <w:highlight w:val="none"/>
          <w:lang w:val="en-US" w:eastAsia="zh-CN" w:bidi="ar-SA"/>
        </w:rPr>
        <w:t>货币市场工具类资产的估值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1）</w:t>
      </w:r>
      <w:r>
        <w:rPr>
          <w:rFonts w:hint="eastAsia" w:ascii="宋体" w:hAnsi="宋体" w:eastAsia="宋体" w:cs="宋体"/>
          <w:sz w:val="24"/>
          <w:szCs w:val="24"/>
          <w:highlight w:val="none"/>
          <w:lang w:val="en-US" w:eastAsia="zh-CN" w:bidi="ar-SA"/>
        </w:rPr>
        <w:t>一般性存款按其适用利率逐日计提利息；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2）</w:t>
      </w:r>
      <w:r>
        <w:rPr>
          <w:rFonts w:hint="eastAsia" w:ascii="宋体" w:hAnsi="宋体" w:eastAsia="宋体" w:cs="宋体"/>
          <w:sz w:val="24"/>
          <w:szCs w:val="24"/>
          <w:highlight w:val="none"/>
          <w:lang w:val="en-US" w:eastAsia="zh-CN" w:bidi="ar-SA"/>
        </w:rPr>
        <w:t>债券回购和拆借、同业存款按其约定利率逐日计提利息。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（2）</w:t>
      </w:r>
      <w:r>
        <w:rPr>
          <w:rFonts w:hint="eastAsia" w:ascii="宋体" w:hAnsi="宋体" w:eastAsia="宋体" w:cs="宋体"/>
          <w:sz w:val="24"/>
          <w:szCs w:val="24"/>
          <w:highlight w:val="none"/>
          <w:lang w:val="en-US" w:eastAsia="zh-CN" w:bidi="ar-SA"/>
        </w:rPr>
        <w:t>债券类资产的估值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1）不含转股权的债券，按第三方估值机构（中债、中证等）提供的估值数据，对理财产品持有的债券进行估值，具体第三方估值机构及取值方法由管理人和托管人具体协商确定；</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2）含转股权的债券（如：可转换债券、可交换债券等，下同），实行全价交易的，按照估值日收盘价减去收盘价中所含债券应收利息后得到的净价进行估值；实行净价交易的，采用估值日收盘价估值； </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3）如监管对此另有规定的，按照监管的最新规定进行调整。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（3）</w:t>
      </w:r>
      <w:r>
        <w:rPr>
          <w:rFonts w:hint="eastAsia" w:ascii="宋体" w:hAnsi="宋体" w:eastAsia="宋体" w:cs="宋体"/>
          <w:sz w:val="24"/>
          <w:szCs w:val="24"/>
          <w:highlight w:val="none"/>
          <w:lang w:val="en-US" w:eastAsia="zh-CN" w:bidi="ar-SA"/>
        </w:rPr>
        <w:t>证券投资基金的估值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1）非上市基金估值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境内非货币市场基金，按所投资基金估值日的份额净值估值；境内货币市场基金，按所投资基金前一估值日后至估值日期间（含节假日）的万份收益计提估值日基金收益。</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2）上市基金估值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交易所上市流通的基金，按估值日其所在证券交易所的收盘价估值, 境内上市的货币市场基金，如基金管理人披露份额净值的，按基金管理人披露的估值日份额净值进行估值，基金管理人披露万份收益的，按所投资基金前一估值日后至估值日期间（含节假日）的万份收益计提估值日基金收益；交易所上市的开放式基金（LOF），按所投资基金估值日的份额净值估值；公募 REITs，按监管机构或行业协会有关规定确定公允价值。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3）如遇所投资基金不公布基金份额净值、进行折算或拆分、估值日无交易等特殊情况，按照以下原则进行估值：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①以所投基金的基金份额净值估值的，若所投资基金管理人未公布估值日基金份额净值，按其最近公布的基金份额净值为基础估值。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③如果所投资基金前一估值日至估值日期间发生分红除权、折算或拆分，基金管理人应根据基金份额净值或收盘价、单位基金份额分红金额、折算拆分比例、持仓份额等因素合理确定公允价值。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（4）</w:t>
      </w:r>
      <w:r>
        <w:rPr>
          <w:rFonts w:hint="eastAsia" w:ascii="宋体" w:hAnsi="宋体" w:eastAsia="宋体" w:cs="宋体"/>
          <w:sz w:val="24"/>
          <w:szCs w:val="24"/>
          <w:highlight w:val="none"/>
          <w:lang w:val="en-US" w:eastAsia="zh-CN" w:bidi="ar-SA"/>
        </w:rPr>
        <w:t>其他资产管理产品的估值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1）以估值日截止时点能够获得的、由所投资产产品管理人发送的最新份额净值或投资收益情况进行估值；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2）如所投资产管理产品的产品合同未约定估值方案或其管理人提供的估值数据不公允，由管理人和托管人根据合理判断按反映产品公允价值的计量方案进行估值。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（5）</w:t>
      </w:r>
      <w:r>
        <w:rPr>
          <w:rFonts w:hint="eastAsia" w:ascii="宋体" w:hAnsi="宋体" w:eastAsia="宋体" w:cs="宋体"/>
          <w:sz w:val="24"/>
          <w:szCs w:val="24"/>
          <w:highlight w:val="none"/>
          <w:lang w:val="en-US" w:eastAsia="zh-CN" w:bidi="ar-SA"/>
        </w:rPr>
        <w:t>衍生品金融工具估值，包括但不限于利率互换等</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1）场内交易的衍生品金融工具，以交易所最近交易日结算价或收盘价进行估值；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2）场外交易的衍生品金融工具，采用估值技术确定其公允价值，按照管理人和托管人认可的估值模型或第三方数据进行估值。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（6）</w:t>
      </w:r>
      <w:r>
        <w:rPr>
          <w:rFonts w:hint="eastAsia" w:ascii="宋体" w:hAnsi="宋体" w:eastAsia="宋体" w:cs="宋体"/>
          <w:sz w:val="24"/>
          <w:szCs w:val="24"/>
          <w:highlight w:val="none"/>
          <w:lang w:val="en-US" w:eastAsia="zh-CN" w:bidi="ar-SA"/>
        </w:rPr>
        <w:t>优先股的估值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优先股按第三方估值机构（中债、中证等）提供的估值数据进行估值；无第三方估值的，由管理人和托管人根据合理判断按反映产品公允价值的计量方案进行估值。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（7）</w:t>
      </w:r>
      <w:r>
        <w:rPr>
          <w:rFonts w:hint="eastAsia" w:ascii="宋体" w:hAnsi="宋体" w:eastAsia="宋体" w:cs="宋体"/>
          <w:sz w:val="24"/>
          <w:szCs w:val="24"/>
          <w:highlight w:val="none"/>
          <w:lang w:val="en-US" w:eastAsia="zh-CN" w:bidi="ar-SA"/>
        </w:rPr>
        <w:t>结构性产品的估值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结构性产品以发行人提供的最新估值价格或管理人与托管人认可的估值技术进行估值。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（8）</w:t>
      </w:r>
      <w:r>
        <w:rPr>
          <w:rFonts w:hint="eastAsia" w:ascii="宋体" w:hAnsi="宋体" w:eastAsia="宋体" w:cs="宋体"/>
          <w:sz w:val="24"/>
          <w:szCs w:val="24"/>
          <w:highlight w:val="none"/>
          <w:lang w:val="en-US" w:eastAsia="zh-CN" w:bidi="ar-SA"/>
        </w:rPr>
        <w:t>非标准化债权类资产的估值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非标准化债权类资产按照管理人和托管人认可的估值方式进行估值。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hAnsi="宋体" w:cs="宋体"/>
          <w:sz w:val="24"/>
          <w:szCs w:val="24"/>
          <w:highlight w:val="none"/>
          <w:lang w:val="en-US" w:eastAsia="zh-CN" w:bidi="ar-SA"/>
        </w:rPr>
        <w:t>（9）</w:t>
      </w:r>
      <w:r>
        <w:rPr>
          <w:rFonts w:hint="eastAsia" w:ascii="宋体" w:hAnsi="宋体" w:eastAsia="宋体" w:cs="宋体"/>
          <w:sz w:val="24"/>
          <w:szCs w:val="24"/>
          <w:highlight w:val="none"/>
          <w:lang w:val="en-US" w:eastAsia="zh-CN" w:bidi="ar-SA"/>
        </w:rPr>
        <w:t>证券交易所上市的权益类有价证券的估值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交易所上市的权益类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（10）适用摊余成本法估值的产品的资产估值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1）银行存款按其适用利率逐日计提利息。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2）债券回购和同业存款按其约定利率逐日计提利息。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3）债券、ABS等标准化固定收益类资产采用溢折价摊销后的摊余成本列示，按票面利率计提应收利息。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4）若理财产品存续期间持有其他投资品种，以理财产品管理人和理财产品托管人共同认可的方法估值。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理财产品管理人与理财产品托管人将采用估值技术，对理财产品持有的估值对象进行“影子定价”。当影子定价确定的理财产品资产净值与摊余成本法计算的理财产品资产净值正偏离度绝对值达到0.5%时，理财产品管理人应当暂停接受认购并在5个交易日内将正偏离度绝对值调整到0.5%以内。当负偏离度绝对值达到0.25%时，理财产品管理人应当在5个交易日内将负偏离度绝对值调整到0.25%以内。当负偏离度绝对值达到0.5%时，理财产品管理人应当采取相应措施，将负偏离度绝对值控制在0.5%以内。当负偏离度绝对值连续两个交易日超过0.5%时，理财产品管理人应当采用公允价值估值方法对持有投资组合的账面价值进行调整，或者采取暂停接受所有赎回申请并终止产品协议进行财产清算等措施。</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（11）适用混合估值的产品的估值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理财产品采用摊余成本法和市价法相结合的混合估值原则进行估值的。对于初始确认的资产，如其业务模式为以收取合同现金流量为目标而持有，且其合同现金流量特征与基本借贷安排相一致，即在特定日期产生的现金流量，仅为对本金和以未偿付本金金额为基础的利息的支付，则分类为以摊余成本计量的资产；对于不分类为以摊余成本计量的资产，则分类为以公允价值计量且其变动计入当期损益的资产。</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具体估值方法如下：</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1）货币市场工具类资产的估值：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A.一般性存款按其适用利率逐日计提利息；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B.债券回购和拆借、同业存款按其约定利率逐日计提利息。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2)以摊余成本计量的资产：</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对于合同现金流量与基本借贷安排相一致且以收取合同现金流量为目标而持有的债券资产/非标准化债权资产，理财产品估值采用摊余成本法，即估值对象以买入成本列示，按票面利率或协议利率并考虑其买入时的溢价与折价，在其剩余存续期内按实际利率法进行摊销，确认利息收入并评估减值准备；</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如有确凿证据表明理财产品部分资产在封闭期内因投资策略发生变化或其他原因，导致按原有摊余成本法估值不能客观反映上述资产或负债的公允价值的，管理人可根据具体情况与托管人商定后，按最能反映上述资产或负债的公允价值的方法估值。为最大限度保护持有人利益，管理人可采用的风险控制手段包括但不限于：处置信用风险显著增加的固定收益品种、及时评估和计提固定收益品种减值损失、调整估值方法为按公允价值计算理财产品份额净值等。</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3）以公允价值计量且其变动计入当期损益的资产：</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A.在证券交易所和全国银行间市场交易的债券类资产的估值：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a.不含转股权的债券，按第三方估值机构（中债、中证等）提供的估值数据，对理财产品持有的债券进行估值，具体第三方估值机构及取值方法由管理人和托管人具体协商确定；</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b.含转股权的债券（如可转换债券、可交换债券等），实行全价交易的，按照估值日收盘价减去收盘价中所含债券应收利息后得到的净价进行估值；实行净价交易的，采用估值日收盘价估值； </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c.同一债券同时在两个或两个以上市场交易的，按债券所处的市场分别估值。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d.如监管对此另有规定的，按照监管的最新规定进行调整。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B.证券投资基金的估值：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a.非上市基金估值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境内非货币市场基金，按所投资基金估值日的份额净值估值；境内货币市场基金，按所投资基金前一估值日后至估值日期间（含节假日）的万份收益计提估值日基金收益。</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b.上市基金估值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交易所上市流通的基金，按估值日其所在证券交易所的收盘价估值, 境内上市的货币市场基金，如基金管理人披露份额净值的，按基金管理人披露的估值日份额净值进行估值，基金管理人披露万份收益的，按所投资基金前一估值日后至估值日期间（含节假日）的万份收益计提估值日基金收益；交易所上市的开放式基金（LOF），按所投资基金估值日的份额净值估值；公募 REITs，按监管机构或行业协会有关规定确定公允价值。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c.如遇所投资基金不公布基金份额净值、进行折算或拆分、估值日无交易等特殊情况，按照以下原则进行估值：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①以所投基金的基金份额净值估值的，若所投资基金管理人未公布估值日基金份额净值，按其最近公布的基金份额净值为基础估值。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场及重大变化因素调整最近交易市场，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③如果所投资基金前一估值日至估值日期间发生分红除权、折算或拆分，基金管理人应根据基金份额净值或收盘价、单位基金份额分红金额、折算拆分比例、持仓份额等因素合理确定公允价值。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4）其他资产管理产品的估值：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A.以估值日截止时点能够获得的、由所投资产管理产品的管理人和资产托管人共同确认的最新份额净值或投资收益情况进行估值；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B.如所投资产管理产品的产品合同未约定估值方案或其管理人提供的估值数据不公允，由管理人和托管人根据合理判断按反映产品公允价值的计量方案进行估值。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5）衍生品金融工具估值，包括但不限于利率互换等：</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A.场内交易的衍生品金融工具，以交易所最近交易日结算价或收盘价进行估值；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B.场外交易的衍生品金融工具，采用估值技术确定其公允价值，按照管理人和托管人认可的估值模型或第三方数据进行估值。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6）优先股的估值：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优先股按第三方估值机构（中债、中证等）提供的估值数据进行估值；无第三方估值的，由管理人和托管人根据合理判断按反映产品公允价值的计量方案进行估值。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7）结构性产品的估值：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结构性产品以发行人提供的最新估值价格或管理人与托管人认可的估值技术进行估值。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8）非标准化债权类资产的估值：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非标准化债权类资产按照管理人和托管人认可的估值方式进行估值。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9）证券交易所上市的权益类有价证券的估值：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交易所上市的权益类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港股通投资持有外币证券资产估值涉及到港币对人民币汇率的，可参考当日中国人民银行或其授权机构公布的人民币汇率中间价，或其他可以反映公允价值的汇率进行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（12）其他类资产的估值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若理财产品存续期间持有其他投资品种，以管理人和托管人共同认可的方法估值。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在任何情况下，如采用以上规定的方法对资产进行估值，均应被认为采用了适当的估值方法。如管理人有证据表明按上述规定不能客观反映理财产品资产公允价值的，管理人经与托管人协商一致，可根据具体情况，在综合考虑市场成交价、市场报价、流动性、收益率曲线、标的信用风险等多种因素基础上，按最能反映理财产品资产公允价值的方法估值。</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（四）估值错误的处理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方和乙方将采取必要、适当、合理的措施确保理财产品资产估值的准确性、及时性。当理财产品份额净值小数点后4位以内(含第4位)发生估值错误时，视为理财产品份额净值错误。以万份收益表示产品份额价值的，当理财产品万份收益小数点后4位以内(含第4位)发生估值错误时，视为理财产品万份收益错误。甲乙双方应按照以下约定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1、估值错误类型</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理财产品运作过程中，如果由于甲方或乙方、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上述估值错误的主要类型包括但不限于：资料申报差错、数据传输差错、数据计算差错、系统故障差错、下达指令差错等。</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对于按照约定的估值方法进行估值所产生的误差，不属于估值错误的范围。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2、估值错误处理原则</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（1）由于理财产品管理人或理财产品托管人自身的过错造成估值错误，导致投资者遭受损失的，由估值错误责任方按照各自过错程度对该估值错误导致投资者遭受的直接损失给予赔偿，承担赔偿责任。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因理财产品托管人估值错误造成财产损失，管理人先行赔付的，管理人有权向托管人追偿。若理财产品管理人和理财产品托管人之外的第三方估值差错造成财产的损失，并拒绝进行赔偿时，由理财产品管理人负责向差错方追偿；追偿过程中产生的有关费用，应列入理财产品费用，由理财产品承担。</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（4）当估值出现错误时，因估值错误而获得不当得利的投资者负有及时返还不当得利的义务。</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（5）按法律法规规定的其他原则处理估值错误。</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3、估值错误处理程序</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估值错误被发现后，有关的当事人应当及时进行处理，处理的程序如下：</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（1）查明估值错误发生的原因，列明所有的当事人，并根据估值错误发生的原因确定估值错误的责任方；</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（2）根据估值错误处理原则或当事人协商的方法对因估值错误造成的损失进行评估；</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（3）根据估值错误处理原则或当事人协商的方法由估值错误的责任方进行更正和赔偿损失；</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（4）根据估值错误处理的方法，需要修改登记机构交易数据的，由管理人进行更正，并就估值错误的更正向有关当事人进行确认。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4、理财产品份额净值估值错误处理的方法如下：</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（1）理财产品份额净值计算出现错误时，甲方应当立即予以纠正，通知乙方，并采取合理的措施防止损失进一步扩大。</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（2）前述内容如法律法规或监管机关另有规定的，从其规定处理。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（五）暂停估值的情形</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1、理财产品投资所涉及的证券交易市场遇法定节假日或因其他原因暂停营业时；</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2、因其他任何不可抗力致使管理人（或其授权人）、托管人无法准确评估理财产品所投资产价值时；</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3、占理财产品所投资产相当比例的投资品种的估值出现重大转变，而产品管理人（或其授权人）为保障投资者的利益，决定延迟估值并征得托管人同意的；</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4、监管部门认定的其它情形。</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（六）理财产品净值的确认</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用于理财产品信息披露的理财产品资产净值、理财产品份额净值和理财产品累计份额净值由甲方负责计算，乙方负责进行复核。甲方在净值核对日将估值基准日的理财产品资产净值、理财产品份额净值和理财产品累计份额净值发送给乙方（各理财产品净值核对日、估值日在各理财产品对应的《理财产品说明书》中予以约定），乙方对净值计算结果复核确认后发送给甲方。甲乙双方应通过电子对账/电话/邮件/传真或其他双方约定的方式进行净值核对确认，由甲方按照法律法规和对《理财产品协议书》、《理财产品说明书》规定将理财产品净值予以公布。</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（七）特殊情况的处理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1、如有确凿证据表明按上述方法进行估值不能客观反映其公允价值的，甲方可根据具体情况与乙方商定后，按最能反映公允价值的价格估值的，所造成的误差不作为理财产品资产估值错误处理。</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由于证券交易所、登记结算公司发送的数据错误或由于其他不可抗力原因，甲方和乙方虽然已经采取必要、适当、合理的措施进行检查，但是未能发现该错误而造成的理财产品资产估值错误，甲方、乙方应免除赔偿责任。但甲方、乙方应积极采取必要的措施消除或减轻由此造成的影响。</w:t>
      </w:r>
    </w:p>
    <w:p>
      <w:pPr>
        <w:pStyle w:val="22"/>
        <w:tabs>
          <w:tab w:val="left" w:pos="1582"/>
        </w:tabs>
        <w:spacing w:line="360" w:lineRule="auto"/>
        <w:jc w:val="left"/>
        <w:rPr>
          <w:rFonts w:ascii="宋体" w:hAnsi="宋体" w:cs="宋体"/>
          <w:b/>
          <w:bCs/>
          <w:sz w:val="24"/>
          <w:szCs w:val="24"/>
          <w:highlight w:val="none"/>
          <w:lang w:val="en-US"/>
        </w:rPr>
      </w:pPr>
      <w:r>
        <w:rPr>
          <w:rFonts w:hint="eastAsia" w:ascii="宋体" w:hAnsi="宋体" w:cs="宋体"/>
          <w:b/>
          <w:bCs/>
          <w:sz w:val="24"/>
          <w:szCs w:val="24"/>
          <w:highlight w:val="none"/>
          <w:lang w:val="en-US"/>
        </w:rPr>
        <w:t>三、理财产品资产的会计核算</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甲方进行理财产品会计核算并编制理财产品财务会计报告。甲方、乙方分别独立地设置、记录和保管理财产品的全套账册。若甲方和乙方对会计处理方法存在分歧，如经相关各方在平等基础上充分讨论后，仍无法达成一致意见，应以甲方的处理方法为准，因此产生的一切责任由甲方承担。若当日核对不符，暂时无法查找到错账的原因而影响到理财产品资产净值的计算和公告的，以甲方的账册为准，因此产生的一切责任由甲方承担。法律法规或监管部门要求对甲方会计报告进行审计的，由甲方提交审计机构进行审计。</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2、理财产品财产的会计年度为公历年的1月1日至12月31日；</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3、理财产品财产的会计核算以人民币为记账本位币，以人民币元为记账单位；</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4、会计制度执行国家有关的会计制度；</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5、甲方保留完整的会计账目、凭证并进行日常的会计核算，按照有关规定编制理财产品财产会计报表。</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6、甲方应定期与乙方就理财产品财产的会计核算、报表编制等进行核对。</w:t>
      </w:r>
    </w:p>
    <w:p>
      <w:pPr>
        <w:keepNext/>
        <w:keepLines/>
        <w:snapToGrid w:val="0"/>
        <w:spacing w:before="340" w:after="330" w:line="360" w:lineRule="auto"/>
        <w:jc w:val="center"/>
        <w:outlineLvl w:val="0"/>
        <w:rPr>
          <w:rFonts w:ascii="宋体" w:hAnsi="宋体" w:cs="宋体"/>
          <w:b/>
          <w:bCs/>
          <w:sz w:val="24"/>
          <w:szCs w:val="24"/>
          <w:highlight w:val="none"/>
        </w:rPr>
      </w:pPr>
      <w:bookmarkStart w:id="101" w:name="_Toc18057239"/>
      <w:bookmarkStart w:id="102" w:name="_Toc18057166"/>
      <w:bookmarkStart w:id="103" w:name="_Toc18057715"/>
      <w:bookmarkStart w:id="104" w:name="_Toc18057341"/>
      <w:bookmarkStart w:id="105" w:name="_Toc1656556"/>
      <w:bookmarkStart w:id="106" w:name="_Toc12308"/>
      <w:bookmarkStart w:id="107" w:name="_Toc2673259"/>
      <w:bookmarkStart w:id="108" w:name="_Toc3708"/>
      <w:bookmarkStart w:id="109" w:name="_Toc159860787"/>
      <w:bookmarkStart w:id="110" w:name="_Toc22657"/>
      <w:bookmarkStart w:id="111" w:name="_Toc11800"/>
      <w:bookmarkStart w:id="112" w:name="_Toc23002"/>
      <w:bookmarkStart w:id="113" w:name="_Toc19177204"/>
      <w:bookmarkStart w:id="114" w:name="_Toc22802423"/>
      <w:r>
        <w:rPr>
          <w:rFonts w:hint="eastAsia" w:ascii="宋体" w:hAnsi="宋体" w:cs="宋体"/>
          <w:b/>
          <w:bCs/>
          <w:sz w:val="24"/>
          <w:szCs w:val="24"/>
          <w:highlight w:val="none"/>
        </w:rPr>
        <w:t xml:space="preserve">第八章  </w:t>
      </w:r>
      <w:bookmarkEnd w:id="101"/>
      <w:bookmarkEnd w:id="102"/>
      <w:bookmarkEnd w:id="103"/>
      <w:bookmarkEnd w:id="104"/>
      <w:bookmarkEnd w:id="105"/>
      <w:bookmarkEnd w:id="106"/>
      <w:bookmarkEnd w:id="107"/>
      <w:r>
        <w:rPr>
          <w:rFonts w:hint="eastAsia" w:ascii="宋体" w:hAnsi="宋体" w:cs="宋体"/>
          <w:b/>
          <w:bCs/>
          <w:sz w:val="24"/>
          <w:szCs w:val="24"/>
          <w:highlight w:val="none"/>
        </w:rPr>
        <w:t>托管人对管理人的业务监督与核查</w:t>
      </w:r>
      <w:bookmarkEnd w:id="108"/>
      <w:bookmarkEnd w:id="109"/>
      <w:bookmarkEnd w:id="110"/>
      <w:bookmarkEnd w:id="111"/>
      <w:bookmarkEnd w:id="112"/>
      <w:bookmarkEnd w:id="113"/>
      <w:bookmarkEnd w:id="114"/>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一、甲方应确保各理财产品的合法合规性，保证对理财产品资产的管理运用严格遵守国家金融监督管理总局关于商业银行理财业务的各项监管规定。</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乙方根据法律法规、产品说明书及本协议的约定，监督理财产品投资运作。如上述监督事项中包括法律法规以外的特殊监督事项，则需由甲方在理财产品的《适用确认书》另行明确说明，并由乙方确认后，纳入产品投资监督事项。</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乙方发现产品投资运作违反法律法规、产品说明书及本协议有关约定的，应及时以电话、邮件等形式提示甲方，甲方应在规定期限内进行调整。甲方如对乙方的提示有异议，应当及时反馈乙方，双方沟通一致。</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四、甲乙双方应事先约定发送信息和沟通的联系人（见附件</w:t>
      </w:r>
      <w:r>
        <w:rPr>
          <w:rFonts w:hint="eastAsia" w:hAnsi="宋体" w:cs="宋体"/>
          <w:sz w:val="24"/>
          <w:szCs w:val="24"/>
          <w:highlight w:val="none"/>
          <w:lang w:val="en-US" w:eastAsia="zh-CN" w:bidi="ar-SA"/>
        </w:rPr>
        <w:t>四</w:t>
      </w:r>
      <w:r>
        <w:rPr>
          <w:rFonts w:hint="eastAsia" w:ascii="宋体" w:hAnsi="宋体" w:eastAsia="宋体" w:cs="宋体"/>
          <w:sz w:val="24"/>
          <w:szCs w:val="24"/>
          <w:highlight w:val="none"/>
          <w:lang w:val="en-US" w:eastAsia="zh-CN" w:bidi="ar-SA"/>
        </w:rPr>
        <w:t>），如果联系人发生变更，应当及时通知对方。</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五、甲方应保证其所提供的上述与投资相关的各项法律文件的准确性、真实性、完整性、合法性，如因甲方提供的上述文件不准确、不真实、不完整、不合法而影响乙方按照本协议履行监督职责而对其他方造成的损失，乙方不承担责任。</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六、理财产品投资范围和投资限制变更的，甲方应将变更后的理财产品文件及时提交乙方</w:t>
      </w:r>
      <w:r>
        <w:rPr>
          <w:rFonts w:hint="eastAsia" w:hAnsi="宋体" w:cs="宋体"/>
          <w:sz w:val="24"/>
          <w:szCs w:val="24"/>
          <w:highlight w:val="none"/>
          <w:lang w:val="en-US" w:eastAsia="zh-CN" w:bidi="ar-SA"/>
        </w:rPr>
        <w:t>,甲方调整投资范围或投资限制等投资监督事项的，应为乙方调整系统参数预留合理充分时间</w:t>
      </w:r>
      <w:r>
        <w:rPr>
          <w:rFonts w:hint="eastAsia" w:ascii="宋体" w:hAnsi="宋体" w:eastAsia="宋体" w:cs="宋体"/>
          <w:sz w:val="24"/>
          <w:szCs w:val="24"/>
          <w:highlight w:val="none"/>
          <w:lang w:val="en-US" w:eastAsia="zh-CN" w:bidi="ar-SA"/>
        </w:rPr>
        <w:t>。</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七、甲方未按约定及时与乙方对账，导致乙方无法及时履行投资监督职责，乙方不承担由此造成的损失。</w:t>
      </w:r>
    </w:p>
    <w:p>
      <w:pPr>
        <w:pStyle w:val="20"/>
        <w:shd w:val="clear" w:color="FFFFFF" w:fill="FFFFFF"/>
        <w:snapToGrid w:val="0"/>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八、在投资监督过程中，乙方不负责甲方、甲方认可的第三方机构提供的数据和信息的真实性、准确性和完整性，并对由此所引起的损失不承担责任。</w:t>
      </w:r>
    </w:p>
    <w:p>
      <w:pPr>
        <w:spacing w:line="360" w:lineRule="auto"/>
        <w:ind w:firstLine="480"/>
        <w:rPr>
          <w:rFonts w:ascii="宋体" w:hAnsi="宋体" w:cs="宋体"/>
          <w:sz w:val="24"/>
          <w:szCs w:val="24"/>
          <w:highlight w:val="none"/>
        </w:rPr>
      </w:pPr>
    </w:p>
    <w:p>
      <w:pPr>
        <w:spacing w:line="360" w:lineRule="auto"/>
        <w:ind w:firstLine="3253"/>
        <w:jc w:val="left"/>
        <w:outlineLvl w:val="0"/>
        <w:rPr>
          <w:rFonts w:ascii="宋体" w:hAnsi="宋体" w:cs="宋体"/>
          <w:b/>
          <w:bCs/>
          <w:sz w:val="24"/>
          <w:szCs w:val="24"/>
          <w:highlight w:val="none"/>
        </w:rPr>
      </w:pPr>
      <w:bookmarkStart w:id="115" w:name="_Toc25588"/>
      <w:bookmarkStart w:id="116" w:name="_Toc22802424"/>
      <w:bookmarkStart w:id="117" w:name="_Toc7921"/>
      <w:bookmarkStart w:id="118" w:name="_Toc19177205"/>
      <w:bookmarkStart w:id="119" w:name="_Toc30452"/>
      <w:bookmarkStart w:id="120" w:name="_Toc159860788"/>
      <w:bookmarkStart w:id="121" w:name="_Toc31174"/>
      <w:r>
        <w:rPr>
          <w:rFonts w:hint="eastAsia" w:ascii="宋体" w:hAnsi="宋体" w:cs="宋体"/>
          <w:b/>
          <w:bCs/>
          <w:sz w:val="24"/>
          <w:szCs w:val="24"/>
          <w:highlight w:val="none"/>
        </w:rPr>
        <w:t>第九章  信息披露</w:t>
      </w:r>
      <w:bookmarkEnd w:id="115"/>
      <w:bookmarkEnd w:id="116"/>
      <w:bookmarkEnd w:id="117"/>
      <w:bookmarkEnd w:id="118"/>
      <w:bookmarkEnd w:id="119"/>
      <w:bookmarkEnd w:id="120"/>
      <w:bookmarkEnd w:id="121"/>
    </w:p>
    <w:p>
      <w:pPr>
        <w:spacing w:line="360" w:lineRule="auto"/>
        <w:rPr>
          <w:rFonts w:ascii="宋体" w:hAnsi="宋体" w:cs="宋体"/>
          <w:b/>
          <w:bCs/>
          <w:sz w:val="24"/>
          <w:szCs w:val="24"/>
          <w:highlight w:val="none"/>
          <w:lang w:val="zh-CN"/>
        </w:rPr>
      </w:pPr>
    </w:p>
    <w:p>
      <w:pPr>
        <w:spacing w:line="360" w:lineRule="auto"/>
        <w:ind w:firstLine="482"/>
        <w:rPr>
          <w:rFonts w:ascii="宋体" w:hAnsi="宋体" w:cs="宋体"/>
          <w:b/>
          <w:bCs/>
          <w:sz w:val="24"/>
          <w:szCs w:val="24"/>
          <w:highlight w:val="none"/>
        </w:rPr>
      </w:pPr>
      <w:bookmarkStart w:id="122" w:name="_Toc77680136"/>
      <w:bookmarkStart w:id="123" w:name="_Toc104113846"/>
      <w:bookmarkStart w:id="124" w:name="_Toc100022951"/>
      <w:bookmarkStart w:id="125" w:name="_Toc214935842"/>
      <w:bookmarkStart w:id="126" w:name="_Toc214935800"/>
      <w:r>
        <w:rPr>
          <w:rFonts w:hint="eastAsia" w:ascii="宋体" w:hAnsi="宋体" w:cs="宋体"/>
          <w:b/>
          <w:bCs/>
          <w:sz w:val="24"/>
          <w:szCs w:val="24"/>
          <w:highlight w:val="none"/>
        </w:rPr>
        <w:t>一、信息披露的内容</w:t>
      </w:r>
    </w:p>
    <w:p>
      <w:pPr>
        <w:spacing w:line="360" w:lineRule="auto"/>
        <w:ind w:firstLine="480"/>
        <w:rPr>
          <w:rFonts w:ascii="宋体" w:hAnsi="宋体" w:cs="宋体"/>
          <w:sz w:val="24"/>
          <w:szCs w:val="24"/>
          <w:highlight w:val="none"/>
        </w:rPr>
      </w:pPr>
      <w:r>
        <w:rPr>
          <w:rFonts w:hint="eastAsia" w:ascii="宋体" w:hAnsi="宋体" w:eastAsia="宋体" w:cs="宋体"/>
          <w:sz w:val="24"/>
          <w:szCs w:val="24"/>
          <w:highlight w:val="none"/>
          <w:lang w:val="en-US" w:eastAsia="zh-CN" w:bidi="ar-SA"/>
        </w:rPr>
        <w:t>理财产品的信息披露内容主要包括但不限于理财产品文件、发行公告、理财产品资产净值、理财产品份额净值、定期报告、重大事项公告、临时性信息披露等。</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二、信息披露的原则与职责</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w:t>
      </w:r>
      <w:r>
        <w:rPr>
          <w:rFonts w:hint="eastAsia" w:ascii="宋体" w:hAnsi="宋体" w:eastAsia="宋体" w:cs="宋体"/>
          <w:sz w:val="24"/>
          <w:szCs w:val="24"/>
          <w:highlight w:val="none"/>
          <w:lang w:val="zh-CN" w:eastAsia="zh-CN" w:bidi="ar-SA"/>
        </w:rPr>
        <w:t>甲乙双方应按照《</w:t>
      </w:r>
      <w:r>
        <w:rPr>
          <w:rFonts w:hint="eastAsia" w:ascii="宋体" w:hAnsi="宋体" w:eastAsia="宋体" w:cs="宋体"/>
          <w:sz w:val="24"/>
          <w:szCs w:val="24"/>
          <w:highlight w:val="none"/>
          <w:lang w:val="en-US" w:eastAsia="zh-CN" w:bidi="ar-SA"/>
        </w:rPr>
        <w:t>商业银行理财业务监督管理办法》以及其他监管规定进行理财产品业务相关的信息披露。</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2、甲、乙双方应积极配合、互相监督，依法、按时履行信息披露的义务。</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3、甲方应当在监管机构规定的时间内，按照监管规定将应予披露的理财产品信息通过甲方营业网点、网站或甲方认为适当的其他方式、地点进行披露。</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乙方应按照监管相关规定，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bookmarkEnd w:id="122"/>
      <w:bookmarkEnd w:id="123"/>
      <w:bookmarkEnd w:id="124"/>
      <w:bookmarkEnd w:id="125"/>
      <w:bookmarkEnd w:id="126"/>
    </w:p>
    <w:p>
      <w:pPr>
        <w:spacing w:line="360" w:lineRule="auto"/>
        <w:ind w:firstLine="480"/>
        <w:rPr>
          <w:rFonts w:ascii="宋体" w:hAnsi="宋体" w:cs="宋体"/>
          <w:sz w:val="24"/>
          <w:szCs w:val="24"/>
          <w:highlight w:val="none"/>
          <w:lang w:val="zh-CN"/>
        </w:rPr>
      </w:pPr>
    </w:p>
    <w:p>
      <w:pPr>
        <w:spacing w:line="360" w:lineRule="auto"/>
        <w:ind w:firstLine="2409"/>
        <w:jc w:val="left"/>
        <w:outlineLvl w:val="0"/>
        <w:rPr>
          <w:rFonts w:ascii="宋体" w:hAnsi="宋体" w:cs="宋体"/>
          <w:b/>
          <w:bCs/>
          <w:sz w:val="24"/>
          <w:szCs w:val="24"/>
          <w:highlight w:val="none"/>
        </w:rPr>
      </w:pPr>
      <w:bookmarkStart w:id="127" w:name="_Toc18057716"/>
      <w:bookmarkStart w:id="128" w:name="_Toc22802425"/>
      <w:bookmarkStart w:id="129" w:name="_Toc17464"/>
      <w:bookmarkStart w:id="130" w:name="_Toc23130"/>
      <w:bookmarkStart w:id="131" w:name="_Toc324856513"/>
      <w:bookmarkStart w:id="132" w:name="_Toc18057240"/>
      <w:bookmarkStart w:id="133" w:name="_Toc19177206"/>
      <w:bookmarkStart w:id="134" w:name="_Toc28687"/>
      <w:bookmarkStart w:id="135" w:name="_Toc18057342"/>
      <w:bookmarkStart w:id="136" w:name="_Toc159860789"/>
      <w:bookmarkStart w:id="137" w:name="_Toc23352"/>
      <w:bookmarkStart w:id="138" w:name="_Toc18057167"/>
      <w:r>
        <w:rPr>
          <w:rFonts w:hint="eastAsia" w:ascii="宋体" w:hAnsi="宋体" w:cs="宋体"/>
          <w:b/>
          <w:bCs/>
          <w:sz w:val="24"/>
          <w:szCs w:val="24"/>
          <w:highlight w:val="none"/>
        </w:rPr>
        <w:t>第十章  理财产品的档案保管</w:t>
      </w:r>
      <w:bookmarkEnd w:id="127"/>
      <w:bookmarkEnd w:id="128"/>
      <w:bookmarkEnd w:id="129"/>
      <w:bookmarkEnd w:id="130"/>
      <w:bookmarkEnd w:id="131"/>
      <w:bookmarkEnd w:id="132"/>
      <w:bookmarkEnd w:id="133"/>
      <w:bookmarkEnd w:id="134"/>
      <w:bookmarkEnd w:id="135"/>
      <w:bookmarkEnd w:id="136"/>
      <w:bookmarkEnd w:id="137"/>
      <w:bookmarkEnd w:id="138"/>
    </w:p>
    <w:p>
      <w:pPr>
        <w:spacing w:line="360" w:lineRule="auto"/>
        <w:rPr>
          <w:rFonts w:ascii="宋体" w:hAnsi="宋体" w:cs="宋体"/>
          <w:b/>
          <w:bCs/>
          <w:sz w:val="24"/>
          <w:szCs w:val="24"/>
          <w:highlight w:val="none"/>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一、甲方和乙方应完整保存各自记录本托管协议项下理财产品财产经济活动的原始凭证、重要合同原件或传真件、复印件等文件档案，保存期限不少于法律法规规定的最低期限。</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二、乙方应当根据法规要求，记录理财资金划拨情况，保存甲方提供的资金用途说明。</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三、如果乙方保管的文件资料及档案是由甲方提供的，甲方应当加盖甲方公章。</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pacing w:line="360" w:lineRule="auto"/>
        <w:ind w:firstLine="2650"/>
        <w:outlineLvl w:val="0"/>
        <w:rPr>
          <w:rFonts w:ascii="宋体" w:hAnsi="宋体" w:cs="宋体"/>
          <w:b/>
          <w:bCs/>
          <w:sz w:val="24"/>
          <w:szCs w:val="24"/>
          <w:highlight w:val="none"/>
        </w:rPr>
      </w:pPr>
      <w:bookmarkStart w:id="139" w:name="_Toc19177207"/>
      <w:bookmarkStart w:id="140" w:name="_Toc11894"/>
      <w:bookmarkStart w:id="141" w:name="_Toc18057717"/>
      <w:bookmarkStart w:id="142" w:name="_Toc25321"/>
      <w:bookmarkStart w:id="143" w:name="_Toc22802426"/>
      <w:bookmarkStart w:id="144" w:name="_Toc7361"/>
      <w:bookmarkStart w:id="145" w:name="_Toc159860790"/>
      <w:bookmarkStart w:id="146" w:name="_Toc4350"/>
      <w:r>
        <w:rPr>
          <w:rFonts w:hint="eastAsia" w:ascii="宋体" w:hAnsi="宋体" w:cs="宋体"/>
          <w:b/>
          <w:bCs/>
          <w:sz w:val="24"/>
          <w:szCs w:val="24"/>
          <w:highlight w:val="none"/>
        </w:rPr>
        <w:t>第十一章  费用</w:t>
      </w:r>
      <w:bookmarkEnd w:id="139"/>
      <w:bookmarkEnd w:id="140"/>
      <w:bookmarkEnd w:id="141"/>
      <w:bookmarkEnd w:id="142"/>
      <w:bookmarkEnd w:id="143"/>
      <w:bookmarkEnd w:id="144"/>
      <w:bookmarkEnd w:id="145"/>
      <w:bookmarkEnd w:id="146"/>
    </w:p>
    <w:p>
      <w:pPr>
        <w:spacing w:line="360" w:lineRule="auto"/>
        <w:ind w:firstLine="2650"/>
        <w:rPr>
          <w:rFonts w:ascii="宋体" w:hAnsi="宋体" w:cs="宋体"/>
          <w:b/>
          <w:bCs/>
          <w:sz w:val="24"/>
          <w:szCs w:val="24"/>
          <w:highlight w:val="none"/>
        </w:rPr>
      </w:pP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一、产品费用</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（一）管理费</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甲方依照各理财产品对应的《适用确认书》约定的费率计提和收取管理费。涉及变更的，以管理人公告为准。</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（二）托管费</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乙方依照各理财产品对应的《适用确认书》约定的费率计提和收取托管费。涉及变更的，以管理人公告为准。</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（三）其他费用</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从理财产品支出的其他费用由各理财产品对应的《适用确认书》约定。涉及变更的，以管理人公告为准。</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二、费用支付方式</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产品费用的支付时间以及支付方式在各理财产品对应的《适用确认书》中约定，管理人有权调整管理费等费用的支付时间及支付方式，并以双方认可的方式通知托管人。如遇非工作日或不可抗力导致无法按时支付的，顺延至下一个可支付日支付。</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 xml:space="preserve">    托管费入账账户信息：</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 xml:space="preserve">    户名：</w:t>
      </w:r>
      <w:r>
        <w:rPr>
          <w:rFonts w:hint="eastAsia" w:ascii="宋体" w:hAnsi="宋体" w:eastAsia="宋体" w:cs="宋体"/>
          <w:sz w:val="24"/>
          <w:szCs w:val="24"/>
          <w:highlight w:val="none"/>
        </w:rPr>
        <w:t>待处理托管业务收益款项</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账号：</w:t>
      </w:r>
      <w:r>
        <w:rPr>
          <w:rFonts w:hint="eastAsia" w:ascii="宋体" w:hAnsi="宋体" w:eastAsia="宋体" w:cs="宋体"/>
          <w:sz w:val="24"/>
          <w:szCs w:val="24"/>
          <w:highlight w:val="none"/>
        </w:rPr>
        <w:t>7441010127322000101</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开户银行：</w:t>
      </w:r>
      <w:r>
        <w:rPr>
          <w:rFonts w:hint="eastAsia" w:ascii="宋体" w:hAnsi="宋体" w:eastAsia="宋体" w:cs="宋体"/>
          <w:sz w:val="24"/>
          <w:szCs w:val="24"/>
          <w:highlight w:val="none"/>
        </w:rPr>
        <w:t>中信银行股份有限公司深圳分行营业部</w:t>
      </w:r>
    </w:p>
    <w:p>
      <w:pPr>
        <w:shd w:val="clear" w:color="FFFFFF" w:fill="FFFFFF"/>
        <w:spacing w:line="360" w:lineRule="auto"/>
        <w:ind w:firstLine="480"/>
        <w:rPr>
          <w:rFonts w:hint="default" w:ascii="宋体" w:hAnsi="宋体" w:eastAsia="宋体" w:cs="宋体"/>
          <w:b w:val="0"/>
          <w:sz w:val="24"/>
          <w:szCs w:val="24"/>
          <w:highlight w:val="none"/>
          <w:lang w:val="en-US" w:eastAsia="zh-CN" w:bidi="ar-SA"/>
        </w:rPr>
      </w:pPr>
      <w:r>
        <w:rPr>
          <w:rFonts w:hint="eastAsia" w:ascii="宋体" w:hAnsi="宋体" w:eastAsia="宋体" w:cs="宋体"/>
          <w:b w:val="0"/>
          <w:sz w:val="24"/>
          <w:szCs w:val="24"/>
          <w:highlight w:val="none"/>
          <w:lang w:val="en-US" w:eastAsia="zh-CN" w:bidi="ar-SA"/>
        </w:rPr>
        <w:t>大额支付行号</w:t>
      </w:r>
      <w:r>
        <w:rPr>
          <w:rFonts w:hint="eastAsia" w:ascii="宋体" w:hAnsi="宋体" w:cs="宋体"/>
          <w:b w:val="0"/>
          <w:sz w:val="24"/>
          <w:szCs w:val="24"/>
          <w:highlight w:val="none"/>
          <w:lang w:val="en-US" w:eastAsia="zh-CN" w:bidi="ar-SA"/>
        </w:rPr>
        <w:t>：302584044108</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三、甲、乙双方可通过协商，对各理财产品《适用确认书》中约定的费用事项进行重新约定。</w:t>
      </w:r>
      <w:r>
        <w:rPr>
          <w:rFonts w:hint="eastAsia" w:ascii="宋体" w:hAnsi="宋体" w:cs="宋体"/>
          <w:sz w:val="24"/>
          <w:szCs w:val="24"/>
          <w:highlight w:val="none"/>
          <w:lang w:val="en-US" w:eastAsia="zh-CN" w:bidi="ar-SA"/>
        </w:rPr>
        <w:t>重新约定的《适用确认书》经双方邮件确认一致后，由甲方加盖公章或合同/业务专用章。</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除银行汇划费和其他银行手续费等可按实际发生额从理财产品资产中直接扣除的费用外，其他费用的支付均需由甲方向乙方发送划款指令，乙方复核无误后在规定时间内支付，双方另行约定扣除方式的，以约定的扣除方式为准。</w:t>
      </w:r>
    </w:p>
    <w:p>
      <w:pPr>
        <w:pStyle w:val="3"/>
        <w:spacing w:before="100" w:beforeAutospacing="1" w:after="100" w:afterAutospacing="1" w:line="360" w:lineRule="auto"/>
        <w:ind w:firstLine="1079"/>
        <w:rPr>
          <w:rFonts w:ascii="宋体" w:hAnsi="宋体" w:cs="宋体"/>
          <w:sz w:val="24"/>
          <w:szCs w:val="24"/>
          <w:highlight w:val="none"/>
        </w:rPr>
      </w:pPr>
      <w:bookmarkStart w:id="147" w:name="_Toc14656"/>
      <w:bookmarkStart w:id="148" w:name="_Toc20172"/>
      <w:bookmarkStart w:id="149" w:name="_Toc531184729"/>
      <w:bookmarkStart w:id="150" w:name="_Toc18057718"/>
      <w:bookmarkStart w:id="151" w:name="_Toc9127"/>
      <w:bookmarkStart w:id="152" w:name="_Toc31346"/>
      <w:bookmarkStart w:id="153" w:name="_Toc19177208"/>
      <w:bookmarkStart w:id="154" w:name="_Toc22802427"/>
      <w:bookmarkStart w:id="155" w:name="_Toc18057168"/>
      <w:bookmarkStart w:id="156" w:name="_Toc18057343"/>
      <w:bookmarkStart w:id="157" w:name="_Toc432511756"/>
      <w:bookmarkStart w:id="158" w:name="_Toc159860791"/>
      <w:bookmarkStart w:id="159" w:name="_Toc18057241"/>
      <w:r>
        <w:rPr>
          <w:rFonts w:hint="eastAsia" w:ascii="宋体" w:hAnsi="宋体" w:cs="宋体"/>
          <w:sz w:val="24"/>
          <w:szCs w:val="24"/>
          <w:highlight w:val="none"/>
        </w:rPr>
        <w:t>第十二章  理财产品变更、终止、清算与分配</w:t>
      </w:r>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 xml:space="preserve">一、理财产品的变更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理财产品发生变更时，甲方应提前通知并向乙方提供发生变更的相关文件，作为乙方进行托管运作的书面依据，双方应就变更事项</w:t>
      </w:r>
      <w:r>
        <w:rPr>
          <w:rFonts w:hint="eastAsia" w:ascii="宋体" w:hAnsi="宋体" w:cs="宋体"/>
          <w:sz w:val="24"/>
          <w:szCs w:val="24"/>
          <w:highlight w:val="none"/>
          <w:lang w:val="en-US" w:eastAsia="zh-CN" w:bidi="ar-SA"/>
        </w:rPr>
        <w:t>重新制定</w:t>
      </w:r>
      <w:r>
        <w:rPr>
          <w:rFonts w:hint="eastAsia" w:ascii="宋体" w:hAnsi="宋体" w:eastAsia="宋体" w:cs="宋体"/>
          <w:sz w:val="24"/>
          <w:szCs w:val="24"/>
          <w:highlight w:val="none"/>
          <w:lang w:val="en-US" w:eastAsia="zh-CN" w:bidi="ar-SA"/>
        </w:rPr>
        <w:t xml:space="preserve">《适用确认书》（如需）。 </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 xml:space="preserve">二、理财产品的终止、清算与分配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1、根据法律法规规定及理财产品的约定，理财产品终止的情形出现时，甲方应向乙方提交理财产品的清算及分配报告（包括但不限于理财产品终止日期、可分配理财本金及收益等），以便乙方配合甲方办理理财产品清算分配事宜。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2、 乙方收到甲方发出的分配理财利益的托管账户划款指令，与清算及分配报告进行核对并确认托管账户中单只理财产品对应的账户有足额资金后应立即执行划款指令。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3、乙方执行甲方用于分配理财利益的托管账户划款指令职责仅限于将托管理财产品以现金方式分配的利益划往甲方指定账户为止。甲方应以书面形式向乙方提供利益分配账户的户名、账号及开户行。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4、在理财产品终止清算结束，乙方执行完毕甲方所有资金划付的划款指令后，乙方不再对该理财产品负有托管职责，乙方应负责由指定人员办理托管账户等账户的销户事宜，甲方应予以协助。</w:t>
      </w:r>
    </w:p>
    <w:p>
      <w:pPr>
        <w:pStyle w:val="3"/>
        <w:snapToGrid w:val="0"/>
        <w:spacing w:before="100" w:beforeAutospacing="1" w:after="100" w:afterAutospacing="1" w:line="360" w:lineRule="auto"/>
        <w:ind w:firstLine="0"/>
        <w:jc w:val="center"/>
        <w:rPr>
          <w:rFonts w:ascii="宋体" w:hAnsi="宋体" w:cs="宋体"/>
          <w:sz w:val="24"/>
          <w:szCs w:val="24"/>
          <w:highlight w:val="none"/>
        </w:rPr>
      </w:pPr>
      <w:bookmarkStart w:id="160" w:name="_Toc18057242"/>
      <w:bookmarkStart w:id="161" w:name="_Toc18057169"/>
      <w:bookmarkStart w:id="162" w:name="_Toc18057344"/>
      <w:bookmarkStart w:id="163" w:name="_Toc19177209"/>
      <w:bookmarkStart w:id="164" w:name="_Toc144659037"/>
      <w:bookmarkStart w:id="165" w:name="_Toc17223"/>
      <w:bookmarkStart w:id="166" w:name="_Toc18057719"/>
      <w:bookmarkStart w:id="167" w:name="_Toc8"/>
      <w:bookmarkStart w:id="168" w:name="_Toc24837"/>
      <w:bookmarkStart w:id="169" w:name="_Toc22802428"/>
      <w:bookmarkStart w:id="170" w:name="_Toc31662"/>
      <w:bookmarkStart w:id="171" w:name="_Toc159860792"/>
      <w:bookmarkStart w:id="172" w:name="_Toc148614447"/>
      <w:bookmarkStart w:id="173" w:name="_Toc159860793"/>
      <w:bookmarkStart w:id="174" w:name="_Toc148540791"/>
      <w:bookmarkStart w:id="175" w:name="_Toc154136185"/>
      <w:bookmarkStart w:id="176" w:name="_Toc22802429"/>
      <w:bookmarkStart w:id="177" w:name="_Toc32708"/>
      <w:r>
        <w:rPr>
          <w:rFonts w:hint="eastAsia" w:ascii="宋体" w:hAnsi="宋体" w:cs="宋体"/>
          <w:sz w:val="24"/>
          <w:szCs w:val="24"/>
          <w:highlight w:val="none"/>
        </w:rPr>
        <w:t>第十三章</w:t>
      </w:r>
      <w:bookmarkEnd w:id="160"/>
      <w:bookmarkEnd w:id="161"/>
      <w:bookmarkEnd w:id="162"/>
      <w:bookmarkEnd w:id="163"/>
      <w:bookmarkEnd w:id="164"/>
      <w:bookmarkEnd w:id="165"/>
      <w:bookmarkEnd w:id="166"/>
      <w:bookmarkStart w:id="178" w:name="_Toc18057720"/>
      <w:bookmarkStart w:id="179" w:name="_Toc18057243"/>
      <w:bookmarkStart w:id="180" w:name="_Toc19177210"/>
      <w:bookmarkStart w:id="181" w:name="_Toc18057170"/>
      <w:bookmarkStart w:id="182" w:name="_Toc7937"/>
      <w:bookmarkStart w:id="183" w:name="_Toc425952830"/>
      <w:bookmarkStart w:id="184" w:name="_Toc18057345"/>
      <w:bookmarkStart w:id="185" w:name="_Toc2746"/>
      <w:r>
        <w:rPr>
          <w:rFonts w:hint="eastAsia" w:ascii="宋体" w:hAnsi="宋体" w:cs="宋体"/>
          <w:sz w:val="24"/>
          <w:szCs w:val="24"/>
          <w:highlight w:val="none"/>
        </w:rPr>
        <w:t xml:space="preserve">  违约责任</w:t>
      </w:r>
      <w:bookmarkEnd w:id="167"/>
      <w:bookmarkEnd w:id="168"/>
      <w:bookmarkEnd w:id="169"/>
      <w:bookmarkEnd w:id="170"/>
      <w:bookmarkEnd w:id="171"/>
      <w:bookmarkEnd w:id="178"/>
      <w:bookmarkEnd w:id="179"/>
      <w:bookmarkEnd w:id="180"/>
      <w:bookmarkEnd w:id="181"/>
      <w:bookmarkEnd w:id="182"/>
      <w:bookmarkEnd w:id="183"/>
      <w:bookmarkEnd w:id="184"/>
      <w:bookmarkEnd w:id="185"/>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一、本托管协议当事人不履行或不完全履行本协议，由违约方承担违约责任；如各方均有违约行为，根据实际情况，由各方分别承担各自应负的违约责任。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二、本协议任何一方当事人的违约行为给另外一方或托管理财产品财产造成实际损失的，应承担相应的赔偿责任。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三、违约行为已经发生，但本协议仍能够继续履行的，在保护甲方理财产品投资者合法权利的前提下，各方当事人应当继续履行本协议约定的各项义务。</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四、一方当事人违约，经另一方书面通知后仍未能按通知要求及时纠正的，如违约方不能提供通知方认可的原因的，通知方有权解除本协议，并有权要求违约方赔偿由此给通知方造成的损失。</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五、甲方、乙方在履行各自职责的过程中，违反法律法规规定或者本协议约定，给理财产品财产造成损失的，应当分别对各自的行为依法承担赔偿责任，不因各自职责以外的事由与其他当事人承担连带赔偿责任。但是发生下列情况的，当事人应当免责：</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1、不可抗力；</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不可抗力指不能预见、不能避免且不能克服的客观事件，包括但不限于：自然灾害、地震、台风、水灾、火灾、战争、暴乱、流行病、政府行为、政策法律变化、罢工、停工、停电、通讯失败、联网系统故障或失灵、系统故障、设备故障。发生不可抗力情形的一方在得知该情形后， 应尽快通知另一方，由双方共同协商解决问题，但遭遇上述事项的一方无需承担违约责任。在不可抗力事件持续期间，托管人的义务将暂时中止。由于不可抗力原因致使本协议无法履行或无法全部履行时，托管人应在 7 个工作日内将事故情况书面通知管理人。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发生不可抗力事件时，双方应共同努力在可能的情况下采取合理措施最大程度的降低理财产品财产的损失和风险。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2、甲方或乙方按照届时有效的法律法规或国家金融监督管理总局的规定作为或不作为而造成的损失等；</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六、其他责任限制</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1、乙方仅应履行本协议明文规定的职责，包括执行按本协议及其附件规定发出的任何指令。乙方不承担任何默示的职责和义务；</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2、乙方对由于按照管理人有效指令行事而造成的损失不承担责任；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3、乙方不对任何第三方原因造成的损失承担责任，包括但不限于:（1）证券交易所及登记结算中心的疏忽操作；(2)交易对方的失误；(3)证券发行人的失误；(4)超出了托管人的控制或选择范围的其他第三方失误；</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乙方不对任何非由乙方聘任的第三方（包括但不限于证券的任何经纪人、交易对手、发行人或境外托管代理人所聘用或委托的第三方机构）的作为、不作为、故意、过失、违约或破产所产生的损失承担任何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5、乙方对于不在其能控制范围内的理财产品财产中债券、证券等有价证券等实物的毁损造成的损失；</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6、在收取管理人移交的权利凭证时，乙方仅对权利凭证的表面真实性进行审核，但不保证或担保其收到的任何权利凭证的真实性、价值或有效性；</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7、信息来源错误。乙方可以相信和使用甲方、甲方代理人及其他合理来源的信息，例如商业数据库等，如果乙方信任此类的信息，不对具体信息里的错误承担责任，也不对信息提供者的失误承担责任。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六、本协议所指的损失仅限于直接损失。</w:t>
      </w:r>
    </w:p>
    <w:p>
      <w:pPr>
        <w:pStyle w:val="3"/>
        <w:snapToGrid w:val="0"/>
        <w:spacing w:before="100" w:beforeAutospacing="1" w:after="100" w:afterAutospacing="1" w:line="360" w:lineRule="auto"/>
        <w:ind w:firstLine="0"/>
        <w:jc w:val="center"/>
        <w:rPr>
          <w:rFonts w:ascii="宋体" w:hAnsi="宋体" w:cs="宋体"/>
          <w:sz w:val="24"/>
          <w:szCs w:val="24"/>
          <w:highlight w:val="none"/>
        </w:rPr>
      </w:pPr>
      <w:r>
        <w:rPr>
          <w:rFonts w:hint="eastAsia" w:ascii="宋体" w:hAnsi="宋体" w:cs="宋体"/>
          <w:sz w:val="24"/>
          <w:szCs w:val="24"/>
          <w:highlight w:val="none"/>
        </w:rPr>
        <w:t>第十四章 个人信息保护</w:t>
      </w:r>
      <w:bookmarkEnd w:id="172"/>
      <w:bookmarkEnd w:id="173"/>
      <w:bookmarkEnd w:id="174"/>
      <w:bookmarkEnd w:id="175"/>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一、除上下文另有约定之外，本协议中“个人信息”“敏感个人信息”“个人信息主体”，以及个人信息的“处理”“收集”“存储”“传输”“提供”等概念与《个人信息保护法》等法律界定的含义相同。如《个人信息保护法》中未明确定义有关概念的，双方同意，本协议范围内可参照适用《信息安全技术个人信息安全规范》（GB/T 35273-2020）中的定义。</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二、甲乙双方获取或提供个人信息的，应当符合《个人信息保护法》等法律法规的相关规定。双方应当根据相关法律法规及有关规范性文件和国家标准的要求，建立必要的数据安全能力，落实必要的管理措施与技术手段，防止收到的个人信息发生泄露、损毁、丢失、篡改等后果。</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三、任意一方违反本协议之约定，造成对方或个人信息主体合法权益受到侵害的，违约方应就直接损失承担赔偿责任。</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四、甲乙双方一方因另一方违反本协议的行为而被司法机关判令向个人信息主体承担法律责任，且超过其应当承担的责任份额，或因另一方违反本协议对个人信息主体造成损害，进而先行赔付的，有权向相对方进行追偿。</w:t>
      </w:r>
    </w:p>
    <w:p>
      <w:pPr>
        <w:pStyle w:val="3"/>
        <w:snapToGrid w:val="0"/>
        <w:spacing w:before="100" w:beforeAutospacing="1" w:after="100" w:afterAutospacing="1" w:line="360" w:lineRule="auto"/>
        <w:ind w:firstLine="0"/>
        <w:jc w:val="center"/>
        <w:rPr>
          <w:rFonts w:ascii="宋体" w:hAnsi="宋体" w:cs="宋体"/>
          <w:bCs w:val="0"/>
          <w:sz w:val="24"/>
          <w:szCs w:val="24"/>
          <w:highlight w:val="none"/>
        </w:rPr>
      </w:pPr>
      <w:bookmarkStart w:id="186" w:name="_Toc159860794"/>
      <w:r>
        <w:rPr>
          <w:rFonts w:hint="eastAsia" w:ascii="宋体" w:hAnsi="宋体" w:cs="宋体"/>
          <w:sz w:val="24"/>
          <w:szCs w:val="24"/>
          <w:highlight w:val="none"/>
        </w:rPr>
        <w:t>第十五章  反洗钱条款</w:t>
      </w:r>
      <w:bookmarkEnd w:id="176"/>
      <w:bookmarkEnd w:id="177"/>
      <w:bookmarkEnd w:id="186"/>
    </w:p>
    <w:p>
      <w:pPr>
        <w:shd w:val="clear" w:color="FFFFFF" w:fill="FFFFFF"/>
        <w:spacing w:line="360" w:lineRule="auto"/>
        <w:ind w:firstLine="480"/>
        <w:rPr>
          <w:rFonts w:hint="eastAsia" w:ascii="宋体" w:hAnsi="宋体" w:eastAsia="宋体" w:cs="宋体"/>
          <w:sz w:val="24"/>
          <w:szCs w:val="24"/>
          <w:highlight w:val="none"/>
          <w:lang w:val="en-US" w:eastAsia="zh-CN" w:bidi="ar-SA"/>
        </w:rPr>
      </w:pPr>
      <w:bookmarkStart w:id="187" w:name="_Toc425952831"/>
      <w:bookmarkStart w:id="188" w:name="_Toc1963"/>
      <w:bookmarkStart w:id="189" w:name="_Toc18057721"/>
      <w:bookmarkStart w:id="190" w:name="_Toc19177211"/>
      <w:bookmarkStart w:id="191" w:name="_Toc21906"/>
      <w:bookmarkStart w:id="192" w:name="_Toc18057346"/>
      <w:bookmarkStart w:id="193" w:name="_Toc18057171"/>
      <w:bookmarkStart w:id="194" w:name="_Toc9217"/>
      <w:bookmarkStart w:id="195" w:name="_Toc22802430"/>
      <w:bookmarkStart w:id="196" w:name="_Toc23151"/>
      <w:bookmarkStart w:id="197" w:name="_Toc18057244"/>
      <w:bookmarkStart w:id="198" w:name="_Toc32543"/>
      <w:r>
        <w:rPr>
          <w:rFonts w:hint="eastAsia" w:ascii="宋体" w:hAnsi="宋体" w:eastAsia="宋体" w:cs="宋体"/>
          <w:sz w:val="24"/>
          <w:szCs w:val="24"/>
          <w:highlight w:val="none"/>
          <w:lang w:val="en-US" w:eastAsia="zh-CN" w:bidi="ar-SA"/>
        </w:rPr>
        <w:t>本协议存续期内，管理人应依据法律法规履行相应反洗钱义务，并主动配合托管账户开立结算银行根据监管部门有关反洗钱要求开展客户身份识别工作，提供真实、准确、完整的客户资料，遵守各方反洗钱与反恐怖融资相关管理规定。甲乙双方具备合理理由怀疑对方涉嫌洗钱、恐怖融资的，任何一方有权按照中国人民银行反洗钱监管规定采取必要管控措施，或终止本协议项下合作。</w:t>
      </w:r>
    </w:p>
    <w:p>
      <w:pPr>
        <w:pStyle w:val="3"/>
        <w:snapToGrid w:val="0"/>
        <w:spacing w:before="100" w:beforeAutospacing="1" w:after="100" w:afterAutospacing="1" w:line="360" w:lineRule="auto"/>
        <w:ind w:firstLine="0"/>
        <w:jc w:val="center"/>
        <w:rPr>
          <w:rFonts w:ascii="宋体" w:hAnsi="宋体" w:cs="宋体"/>
          <w:sz w:val="24"/>
          <w:szCs w:val="24"/>
          <w:highlight w:val="none"/>
        </w:rPr>
      </w:pPr>
      <w:bookmarkStart w:id="199" w:name="_Toc159860795"/>
      <w:r>
        <w:rPr>
          <w:rFonts w:hint="eastAsia" w:ascii="宋体" w:hAnsi="宋体" w:cs="宋体"/>
          <w:sz w:val="24"/>
          <w:szCs w:val="24"/>
          <w:highlight w:val="none"/>
        </w:rPr>
        <w:t>第十六章</w:t>
      </w:r>
      <w:bookmarkEnd w:id="187"/>
      <w:r>
        <w:rPr>
          <w:rFonts w:hint="eastAsia" w:ascii="宋体" w:hAnsi="宋体" w:cs="宋体"/>
          <w:sz w:val="24"/>
          <w:szCs w:val="24"/>
          <w:highlight w:val="none"/>
        </w:rPr>
        <w:t xml:space="preserve">  其他事项</w:t>
      </w:r>
      <w:bookmarkEnd w:id="188"/>
      <w:bookmarkEnd w:id="189"/>
      <w:bookmarkEnd w:id="190"/>
      <w:bookmarkEnd w:id="191"/>
      <w:bookmarkEnd w:id="192"/>
      <w:bookmarkEnd w:id="193"/>
      <w:bookmarkEnd w:id="194"/>
      <w:bookmarkEnd w:id="195"/>
      <w:bookmarkEnd w:id="196"/>
      <w:bookmarkEnd w:id="197"/>
      <w:bookmarkEnd w:id="198"/>
      <w:bookmarkEnd w:id="199"/>
    </w:p>
    <w:p>
      <w:pPr>
        <w:tabs>
          <w:tab w:val="left" w:pos="870"/>
        </w:tabs>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一、保密条款</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本协议的任何一方兹承诺对关于各方的业务和事务（包括对于双方而言，任何投资或潜在投资）的任何及所有信息保密，除法律和本协议另有约定的，不披露任何该等信息。任何一方进一步承诺不为本协议以外的目的利用该等保密信息，但前提是该方可向由其任命或雇佣的雇员、董事、受托人员、顾问、代理人或其他人员在为实现本协议目的所必需的范围内披露该等信息，在该等情况下，该方应确保其雇员、董事、受托人员、顾问、代理人或其他人员被告知本协议项下的保密义务并遵守该等义务。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如违反上述约定，给对方造成或者可能造成经济利益或者商业信誉损失的，应依法承担民事责任。</w:t>
      </w:r>
    </w:p>
    <w:p>
      <w:pPr>
        <w:tabs>
          <w:tab w:val="left" w:pos="870"/>
        </w:tabs>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二、文件的发送与接收</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甲乙双方须通过双方认可的安全、恰当的方式，以书面形式向对方发送所有与本协议有关的指令、通知或其他业务文书。</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除本协议另有约定外，以人工传递或挂号信方式送出的通知或指令，以对方签收之日为送达日；以传真或电子邮件方式发送的通知或指令，以传真或电子邮件发出方电话通知接收方确认后视为送达。如接收需要原件的，另一方应配合提供。</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甲乙双方均应将详细的联系方式（包括联系人姓名、联系电话、邮件、通信地址、录音电话、传真等）送对方备案。联系方式发生变更前应向对方发送变更通知。</w:t>
      </w:r>
    </w:p>
    <w:p>
      <w:pPr>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 xml:space="preserve">三、争议的处理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 本协议适用中华人民共和国法律</w:t>
      </w:r>
      <w:r>
        <w:rPr>
          <w:rFonts w:hint="eastAsia" w:ascii="宋体" w:hAnsi="宋体" w:eastAsia="宋体" w:cs="宋体"/>
          <w:sz w:val="24"/>
          <w:szCs w:val="24"/>
          <w:highlight w:val="none"/>
          <w:lang w:val="en-US" w:eastAsia="zh-Hans" w:bidi="ar-SA"/>
        </w:rPr>
        <w:t>（不包括香港特别行政区、澳门特别行政区及台湾地区法律法规）</w:t>
      </w:r>
      <w:r>
        <w:rPr>
          <w:rFonts w:hint="eastAsia" w:ascii="宋体" w:hAnsi="宋体" w:eastAsia="宋体" w:cs="宋体"/>
          <w:sz w:val="24"/>
          <w:szCs w:val="24"/>
          <w:highlight w:val="none"/>
          <w:lang w:val="en-US" w:eastAsia="zh-CN" w:bidi="ar-SA"/>
        </w:rPr>
        <w:t xml:space="preserve">。任何因本协议而产生的或与本协议有关的争议，各方首先应通过友好协商予以解决；若协商不成，可将争议提交深圳国际仲裁院（仲裁地点深圳市）按其届时有效的仲裁规则进行仲裁。 </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争议处理期间，双方当事人应恪守管理人和托管人职责，各自继续忠实、勤勉、尽责地履行托管协议及其附件规定的义务，维护理财产品份额持有人的合法权益。  </w:t>
      </w:r>
    </w:p>
    <w:p>
      <w:pPr>
        <w:tabs>
          <w:tab w:val="left" w:pos="870"/>
        </w:tabs>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四、协议的适用范围</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1、本协议适用于有效期内甲方发行的所有理财产品，双方不再就单一或单一系列理财产品签订托管协议，甲方在单一或单一系列理财产品托管前向乙方提交《适用确认书》</w:t>
      </w:r>
      <w:r>
        <w:rPr>
          <w:rFonts w:hint="eastAsia" w:ascii="宋体" w:hAnsi="宋体" w:cs="宋体"/>
          <w:sz w:val="24"/>
          <w:szCs w:val="24"/>
          <w:highlight w:val="none"/>
          <w:lang w:val="en-US" w:eastAsia="zh-CN" w:bidi="ar-SA"/>
        </w:rPr>
        <w:t>电子文件</w:t>
      </w:r>
      <w:r>
        <w:rPr>
          <w:rFonts w:hint="eastAsia" w:ascii="宋体" w:hAnsi="宋体" w:eastAsia="宋体" w:cs="宋体"/>
          <w:sz w:val="24"/>
          <w:szCs w:val="24"/>
          <w:highlight w:val="none"/>
          <w:lang w:val="en-US" w:eastAsia="zh-CN" w:bidi="ar-SA"/>
        </w:rPr>
        <w:t>。</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2、本协议项下某一或某系列理财产品通过《适用确认书》就本协议已约定事项单独做出与本协议不一致约定的，以该单独约定为准，但其他理财产品未单独做出不一致约定的事项仍然以本协议约定为准。</w:t>
      </w:r>
    </w:p>
    <w:p>
      <w:pPr>
        <w:tabs>
          <w:tab w:val="left" w:pos="870"/>
        </w:tabs>
        <w:spacing w:line="360" w:lineRule="auto"/>
        <w:ind w:firstLine="482"/>
        <w:rPr>
          <w:rFonts w:ascii="宋体" w:hAnsi="宋体" w:cs="宋体"/>
          <w:b/>
          <w:bCs/>
          <w:sz w:val="24"/>
          <w:szCs w:val="24"/>
          <w:highlight w:val="none"/>
        </w:rPr>
      </w:pPr>
      <w:r>
        <w:rPr>
          <w:rFonts w:hint="eastAsia" w:ascii="宋体" w:hAnsi="宋体" w:cs="宋体"/>
          <w:b/>
          <w:bCs/>
          <w:sz w:val="24"/>
          <w:szCs w:val="24"/>
          <w:highlight w:val="none"/>
        </w:rPr>
        <w:t>五、协议的效力及其他</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本协议自双方法定代表人或授权代表人签字（或签章）并加盖公章或合同专用章之日起生效，自生效之日起，至双方约定终止之日止。单只理财产品的托管关系自</w:t>
      </w:r>
      <w:r>
        <w:rPr>
          <w:rFonts w:hint="eastAsia" w:ascii="宋体" w:hAnsi="宋体" w:cs="宋体"/>
          <w:sz w:val="24"/>
          <w:szCs w:val="24"/>
          <w:highlight w:val="none"/>
          <w:lang w:val="en-US" w:eastAsia="zh-CN" w:bidi="ar-SA"/>
        </w:rPr>
        <w:t>甲方将单只理财产品首次全部募集资金划至托管账户始，至</w:t>
      </w:r>
      <w:r>
        <w:rPr>
          <w:rFonts w:hint="eastAsia" w:ascii="宋体" w:hAnsi="宋体" w:cs="宋体"/>
          <w:b w:val="0"/>
          <w:bCs w:val="0"/>
          <w:sz w:val="24"/>
          <w:szCs w:val="24"/>
          <w:highlight w:val="none"/>
          <w:u w:val="none"/>
        </w:rPr>
        <w:t>单只理财产品资金分配完毕且理财</w:t>
      </w:r>
      <w:r>
        <w:rPr>
          <w:rFonts w:hint="eastAsia" w:ascii="宋体" w:hAnsi="宋体" w:cs="宋体"/>
          <w:b w:val="0"/>
          <w:bCs w:val="0"/>
          <w:sz w:val="24"/>
          <w:szCs w:val="24"/>
          <w:highlight w:val="none"/>
          <w:u w:val="none"/>
          <w:lang w:eastAsia="zh-CN"/>
        </w:rPr>
        <w:t>产品托管账户</w:t>
      </w:r>
      <w:r>
        <w:rPr>
          <w:rFonts w:hint="eastAsia" w:ascii="宋体" w:hAnsi="宋体" w:cs="宋体"/>
          <w:b w:val="0"/>
          <w:bCs w:val="0"/>
          <w:sz w:val="24"/>
          <w:szCs w:val="24"/>
          <w:highlight w:val="none"/>
          <w:u w:val="none"/>
        </w:rPr>
        <w:t>销户之日终止</w:t>
      </w:r>
      <w:r>
        <w:rPr>
          <w:rFonts w:hint="eastAsia" w:ascii="宋体" w:hAnsi="宋体" w:eastAsia="宋体" w:cs="宋体"/>
          <w:sz w:val="24"/>
          <w:szCs w:val="24"/>
          <w:highlight w:val="none"/>
          <w:lang w:val="en-US" w:eastAsia="zh-CN" w:bidi="ar-SA"/>
        </w:rPr>
        <w:t>。</w:t>
      </w:r>
    </w:p>
    <w:p>
      <w:pPr>
        <w:shd w:val="clear" w:color="FFFFFF" w:fill="FFFFFF"/>
        <w:spacing w:line="360" w:lineRule="auto"/>
        <w:ind w:firstLine="4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2、乙方可授权其分支机构负责单只理财产品的托管事务，签署</w:t>
      </w:r>
      <w:r>
        <w:rPr>
          <w:rFonts w:hint="eastAsia" w:ascii="宋体" w:hAnsi="宋体" w:cs="宋体"/>
          <w:color w:val="auto"/>
          <w:sz w:val="24"/>
          <w:szCs w:val="24"/>
          <w:highlight w:val="none"/>
          <w:lang w:val="en-US" w:eastAsia="zh-CN" w:bidi="ar-SA"/>
        </w:rPr>
        <w:t>操作备忘录</w:t>
      </w:r>
      <w:r>
        <w:rPr>
          <w:rFonts w:hint="eastAsia" w:ascii="宋体" w:hAnsi="宋体" w:eastAsia="宋体" w:cs="宋体"/>
          <w:color w:val="auto"/>
          <w:sz w:val="24"/>
          <w:szCs w:val="24"/>
          <w:highlight w:val="none"/>
          <w:lang w:val="en-US" w:eastAsia="zh-CN" w:bidi="ar-SA"/>
        </w:rPr>
        <w:t>等本托管协议项下的各类托管履职相关文件，乙方认可取得其授权的分支机构所签署文件的法定效力。具体单只理财产品</w:t>
      </w:r>
      <w:r>
        <w:rPr>
          <w:rFonts w:hint="eastAsia" w:ascii="宋体" w:hAnsi="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val="en-US" w:eastAsia="zh-CN" w:bidi="ar-SA"/>
        </w:rPr>
        <w:t>《适用确认书》</w:t>
      </w:r>
      <w:r>
        <w:rPr>
          <w:rFonts w:hint="eastAsia" w:ascii="宋体" w:hAnsi="宋体" w:cs="宋体"/>
          <w:color w:val="auto"/>
          <w:sz w:val="24"/>
          <w:szCs w:val="24"/>
          <w:highlight w:val="none"/>
          <w:lang w:val="en-US" w:eastAsia="zh-CN" w:bidi="ar-SA"/>
        </w:rPr>
        <w:t>由中信银行股份有限公司</w:t>
      </w:r>
      <w:r>
        <w:rPr>
          <w:rFonts w:hint="eastAsia" w:ascii="宋体" w:hAnsi="宋体" w:eastAsia="宋体" w:cs="宋体"/>
          <w:color w:val="auto"/>
          <w:sz w:val="24"/>
          <w:szCs w:val="24"/>
          <w:highlight w:val="none"/>
          <w:lang w:val="en-US" w:eastAsia="zh-CN" w:bidi="ar-SA"/>
        </w:rPr>
        <w:t>或其授权的分支机构</w:t>
      </w:r>
      <w:r>
        <w:rPr>
          <w:rFonts w:hint="eastAsia" w:ascii="宋体" w:hAnsi="宋体" w:cs="宋体"/>
          <w:color w:val="auto"/>
          <w:sz w:val="24"/>
          <w:szCs w:val="24"/>
          <w:highlight w:val="none"/>
          <w:lang w:val="en-US" w:eastAsia="zh-CN" w:bidi="ar-SA"/>
        </w:rPr>
        <w:t>审核确认</w:t>
      </w:r>
      <w:r>
        <w:rPr>
          <w:rFonts w:hint="eastAsia" w:ascii="宋体" w:hAnsi="宋体" w:eastAsia="宋体" w:cs="宋体"/>
          <w:color w:val="auto"/>
          <w:sz w:val="24"/>
          <w:szCs w:val="24"/>
          <w:highlight w:val="none"/>
          <w:lang w:val="en-US" w:eastAsia="zh-CN" w:bidi="ar-SA"/>
        </w:rPr>
        <w:t>。</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3、本协议适用管理人与托管人或托管人所授权分支机构开展的托管业务，自本协议生效之日起，管理人新发行的托管于托管人或其授权分支机构的所有产品适用本协议。</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4、本协议未经双方协商书面同意，不得予以修改。</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5、本协议未尽事宜，双方可另行签订书面补充协议，所有为执行本协议而签署的补充协议，与本协议具有同等法律效力。</w:t>
      </w:r>
      <w:r>
        <w:rPr>
          <w:rFonts w:hint="eastAsia" w:ascii="宋体" w:hAnsi="宋体" w:eastAsia="宋体" w:cs="宋体"/>
          <w:sz w:val="24"/>
          <w:szCs w:val="24"/>
          <w:highlight w:val="none"/>
          <w:lang w:val="en-US" w:eastAsia="zh-CN" w:bidi="ar-SA"/>
        </w:rPr>
        <w:br w:type="textWrapping"/>
      </w:r>
      <w:r>
        <w:rPr>
          <w:rFonts w:hint="eastAsia" w:ascii="宋体" w:hAnsi="宋体" w:eastAsia="宋体" w:cs="宋体"/>
          <w:sz w:val="24"/>
          <w:szCs w:val="24"/>
          <w:highlight w:val="none"/>
          <w:lang w:val="en-US" w:eastAsia="zh-CN" w:bidi="ar-SA"/>
        </w:rPr>
        <w:t xml:space="preserve">    本协议的附件是本协议不可分割的组成部分，与本协议具有同等法律效力。</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6、双方在执行本协议过程中形成的通知、报告、函件等书面文件，均构成本协议的一部分，与本协议具有同等的法律效力。</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cs="宋体"/>
          <w:b/>
          <w:bCs/>
          <w:sz w:val="24"/>
          <w:szCs w:val="24"/>
          <w:highlight w:val="none"/>
          <w:lang w:val="en-US" w:eastAsia="zh-CN"/>
        </w:rPr>
        <w:t>六、</w:t>
      </w:r>
      <w:r>
        <w:rPr>
          <w:rFonts w:hint="eastAsia" w:ascii="宋体" w:hAnsi="宋体" w:eastAsia="宋体" w:cs="宋体"/>
          <w:sz w:val="24"/>
          <w:szCs w:val="24"/>
          <w:highlight w:val="none"/>
          <w:lang w:val="en-US" w:eastAsia="zh-CN" w:bidi="ar-SA"/>
        </w:rPr>
        <w:t>如本协议终止时，尚有部分理财产品未到期，则按以下约定处理：</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1、乙方应按照本协议约定对上述理财产品继续履行托管职责，并享有相关权利，直至产品终止；</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如乙方丧失托管资质或拒绝继续托管相关产品，甲方有权单方终止本协议，甲方有权在本协议终止之日起15日内变更托管人，在办理托管业务的移交手续前，乙方按照本协议内容继续履行托管责任，享有本协议项下权利。</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cs="宋体"/>
          <w:b/>
          <w:bCs/>
          <w:sz w:val="24"/>
          <w:szCs w:val="24"/>
          <w:highlight w:val="none"/>
          <w:lang w:val="en-US" w:eastAsia="zh-CN"/>
        </w:rPr>
        <w:t>七、</w:t>
      </w:r>
      <w:r>
        <w:rPr>
          <w:rFonts w:hint="eastAsia" w:ascii="宋体" w:hAnsi="宋体" w:eastAsia="宋体" w:cs="宋体"/>
          <w:sz w:val="24"/>
          <w:szCs w:val="24"/>
          <w:highlight w:val="none"/>
          <w:lang w:val="en-US" w:eastAsia="zh-CN" w:bidi="ar-SA"/>
        </w:rPr>
        <w:t>本协议一式肆份，甲、乙双方各执贰份，均为正本，具有同等的法律效力。</w:t>
      </w:r>
      <w:bookmarkStart w:id="200" w:name="_Toc1514"/>
      <w:bookmarkStart w:id="201" w:name="_Toc21696"/>
      <w:bookmarkStart w:id="202" w:name="_Toc23488"/>
      <w:bookmarkStart w:id="203" w:name="_Toc15324"/>
      <w:bookmarkStart w:id="204" w:name="_Toc22802432"/>
    </w:p>
    <w:p>
      <w:pPr>
        <w:spacing w:line="360" w:lineRule="auto"/>
        <w:ind w:firstLine="480"/>
        <w:rPr>
          <w:rFonts w:ascii="宋体" w:hAnsi="宋体" w:cs="宋体"/>
          <w:spacing w:val="6"/>
          <w:sz w:val="24"/>
          <w:szCs w:val="24"/>
          <w:highlight w:val="none"/>
        </w:rPr>
      </w:pPr>
      <w:r>
        <w:rPr>
          <w:rFonts w:hint="eastAsia" w:ascii="宋体" w:hAnsi="宋体" w:eastAsia="宋体" w:cs="宋体"/>
          <w:sz w:val="24"/>
          <w:szCs w:val="24"/>
          <w:highlight w:val="none"/>
          <w:lang w:val="en-US" w:eastAsia="zh-CN" w:bidi="ar-SA"/>
        </w:rPr>
        <w:t>（以下无正文）</w:t>
      </w:r>
      <w:r>
        <w:rPr>
          <w:rFonts w:hint="eastAsia" w:ascii="宋体" w:hAnsi="宋体" w:eastAsia="宋体" w:cs="宋体"/>
          <w:sz w:val="24"/>
          <w:szCs w:val="24"/>
          <w:highlight w:val="none"/>
          <w:lang w:val="en-US" w:eastAsia="zh-CN" w:bidi="ar-SA"/>
        </w:rPr>
        <w:br w:type="textWrapping"/>
      </w:r>
      <w:r>
        <w:rPr>
          <w:rFonts w:ascii="宋体" w:hAnsi="宋体" w:cs="宋体"/>
          <w:spacing w:val="6"/>
          <w:sz w:val="24"/>
          <w:szCs w:val="24"/>
          <w:highlight w:val="none"/>
        </w:rPr>
        <w:br w:type="page"/>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（以下无正文，为《平安理财有限责任公司理财产品托管协议》签署页）</w:t>
      </w:r>
      <w:r>
        <w:rPr>
          <w:rFonts w:hint="eastAsia" w:ascii="宋体" w:hAnsi="宋体" w:eastAsia="宋体" w:cs="宋体"/>
          <w:sz w:val="24"/>
          <w:szCs w:val="24"/>
          <w:highlight w:val="none"/>
          <w:lang w:val="en-US" w:eastAsia="zh-CN" w:bidi="ar-SA"/>
        </w:rPr>
        <w:br w:type="textWrapping"/>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甲方（公章或合同专用章）：</w:t>
      </w:r>
      <w:bookmarkEnd w:id="200"/>
      <w:bookmarkEnd w:id="201"/>
      <w:bookmarkEnd w:id="202"/>
      <w:bookmarkEnd w:id="203"/>
      <w:bookmarkEnd w:id="204"/>
      <w:r>
        <w:rPr>
          <w:rFonts w:hint="eastAsia" w:ascii="宋体" w:hAnsi="宋体" w:eastAsia="宋体" w:cs="宋体"/>
          <w:sz w:val="24"/>
          <w:szCs w:val="24"/>
          <w:highlight w:val="none"/>
          <w:lang w:val="en-US" w:eastAsia="zh-CN" w:bidi="ar-SA"/>
        </w:rPr>
        <w:t>平安理财有限责任公司</w:t>
      </w:r>
      <w:bookmarkStart w:id="205" w:name="_Toc22802433"/>
      <w:bookmarkStart w:id="206" w:name="_Toc632"/>
      <w:bookmarkStart w:id="207" w:name="_Toc21301"/>
      <w:bookmarkStart w:id="208" w:name="_Toc30534"/>
      <w:bookmarkStart w:id="209" w:name="_Toc23631"/>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法定代表人或授权代表人</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签字或盖章：</w:t>
      </w:r>
      <w:bookmarkEnd w:id="205"/>
      <w:bookmarkEnd w:id="206"/>
      <w:bookmarkEnd w:id="207"/>
      <w:bookmarkEnd w:id="208"/>
      <w:bookmarkEnd w:id="209"/>
      <w:bookmarkStart w:id="210" w:name="_Toc28786"/>
      <w:bookmarkStart w:id="211" w:name="_Toc22802434"/>
      <w:bookmarkStart w:id="212" w:name="_Toc6662"/>
      <w:bookmarkStart w:id="213" w:name="_Toc9263"/>
      <w:bookmarkStart w:id="214" w:name="_Toc796"/>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年   月   日</w:t>
      </w:r>
      <w:bookmarkEnd w:id="210"/>
      <w:bookmarkEnd w:id="211"/>
      <w:bookmarkEnd w:id="212"/>
      <w:bookmarkEnd w:id="213"/>
      <w:bookmarkEnd w:id="214"/>
      <w:bookmarkStart w:id="215" w:name="_Toc30593"/>
      <w:bookmarkEnd w:id="215"/>
      <w:bookmarkStart w:id="216" w:name="_Toc14198"/>
      <w:bookmarkEnd w:id="216"/>
      <w:bookmarkStart w:id="217" w:name="_Toc2248"/>
      <w:bookmarkStart w:id="218" w:name="_Toc14948"/>
      <w:r>
        <w:rPr>
          <w:rFonts w:hint="eastAsia" w:ascii="宋体" w:hAnsi="宋体" w:eastAsia="宋体" w:cs="宋体"/>
          <w:sz w:val="24"/>
          <w:szCs w:val="24"/>
          <w:highlight w:val="none"/>
          <w:lang w:val="en-US" w:eastAsia="zh-CN" w:bidi="ar-SA"/>
        </w:rPr>
        <w:br w:type="textWrapping"/>
      </w: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乙方（公章或合同专用章）：</w:t>
      </w:r>
      <w:bookmarkEnd w:id="217"/>
      <w:bookmarkEnd w:id="218"/>
      <w:bookmarkStart w:id="219" w:name="_Toc8142"/>
      <w:bookmarkStart w:id="220" w:name="_Toc329"/>
      <w:bookmarkStart w:id="221" w:name="_Toc22802435"/>
      <w:bookmarkStart w:id="222" w:name="_Toc16117"/>
      <w:bookmarkStart w:id="223" w:name="_Toc7306"/>
      <w:r>
        <w:rPr>
          <w:rFonts w:hint="eastAsia" w:ascii="宋体" w:hAnsi="宋体" w:cs="宋体"/>
          <w:sz w:val="24"/>
          <w:szCs w:val="24"/>
          <w:highlight w:val="none"/>
          <w:lang w:val="en-US" w:eastAsia="zh-CN" w:bidi="ar-SA"/>
        </w:rPr>
        <w:t>中信银行股份有限公司</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法定代表人或授权代表人</w:t>
      </w: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签字或盖章：</w:t>
      </w:r>
      <w:bookmarkEnd w:id="219"/>
      <w:bookmarkEnd w:id="220"/>
      <w:bookmarkEnd w:id="221"/>
      <w:bookmarkEnd w:id="222"/>
      <w:bookmarkEnd w:id="223"/>
      <w:bookmarkStart w:id="224" w:name="_Toc26259"/>
      <w:bookmarkStart w:id="225" w:name="_Toc22802436"/>
      <w:bookmarkStart w:id="226" w:name="_Toc28384"/>
      <w:bookmarkStart w:id="227" w:name="_Toc14358"/>
      <w:bookmarkStart w:id="228" w:name="_Toc24898"/>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shd w:val="clear" w:color="FFFFFF" w:fill="FFFFFF"/>
        <w:spacing w:line="360" w:lineRule="auto"/>
        <w:ind w:firstLine="48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年   月   日</w:t>
      </w:r>
      <w:bookmarkEnd w:id="224"/>
      <w:bookmarkEnd w:id="225"/>
      <w:bookmarkEnd w:id="226"/>
      <w:bookmarkEnd w:id="227"/>
      <w:bookmarkEnd w:id="228"/>
    </w:p>
    <w:p>
      <w:pPr>
        <w:shd w:val="clear" w:color="FFFFFF" w:fill="FFFFFF"/>
        <w:spacing w:line="360" w:lineRule="auto"/>
        <w:ind w:firstLine="480"/>
        <w:rPr>
          <w:rFonts w:hint="eastAsia" w:ascii="宋体" w:hAnsi="宋体" w:eastAsia="宋体" w:cs="宋体"/>
          <w:sz w:val="24"/>
          <w:szCs w:val="24"/>
          <w:highlight w:val="none"/>
          <w:lang w:val="en-US" w:eastAsia="zh-CN" w:bidi="ar-SA"/>
        </w:rPr>
      </w:pPr>
    </w:p>
    <w:p>
      <w:pPr>
        <w:rPr>
          <w:rFonts w:hint="eastAsia"/>
          <w:lang w:val="en-US" w:eastAsia="zh-CN"/>
        </w:rPr>
      </w:pPr>
      <w:r>
        <w:rPr>
          <w:rFonts w:hint="eastAsia"/>
          <w:lang w:val="en-US" w:eastAsia="zh-CN"/>
        </w:rPr>
        <w:br w:type="page"/>
      </w:r>
    </w:p>
    <w:p>
      <w:pPr>
        <w:pStyle w:val="2"/>
        <w:rPr>
          <w:rFonts w:hint="eastAsia"/>
          <w:lang w:val="en-US" w:eastAsia="zh-CN"/>
        </w:rPr>
      </w:pPr>
    </w:p>
    <w:p>
      <w:pPr>
        <w:widowControl/>
        <w:shd w:val="clear" w:color="FFFFFF" w:fill="FFFFFF"/>
        <w:jc w:val="left"/>
        <w:outlineLvl w:val="0"/>
        <w:rPr>
          <w:rFonts w:hint="eastAsia" w:ascii="宋体" w:hAnsi="宋体" w:cs="宋体"/>
          <w:b/>
          <w:bCs/>
          <w:sz w:val="24"/>
          <w:szCs w:val="24"/>
          <w:highlight w:val="none"/>
        </w:rPr>
      </w:pPr>
      <w:r>
        <w:rPr>
          <w:rFonts w:hint="eastAsia" w:ascii="宋体" w:hAnsi="宋体" w:cs="宋体"/>
          <w:b/>
          <w:bCs/>
          <w:sz w:val="24"/>
          <w:szCs w:val="24"/>
          <w:highlight w:val="none"/>
        </w:rPr>
        <w:t>附件一：</w:t>
      </w:r>
    </w:p>
    <w:p>
      <w:pPr>
        <w:spacing w:line="360" w:lineRule="auto"/>
        <w:jc w:val="center"/>
        <w:rPr>
          <w:rFonts w:ascii="宋体" w:hAnsi="宋体" w:cs="宋体"/>
          <w:b/>
          <w:bCs/>
          <w:sz w:val="24"/>
          <w:szCs w:val="24"/>
          <w:highlight w:val="none"/>
        </w:rPr>
      </w:pPr>
      <w:r>
        <w:rPr>
          <w:rFonts w:hint="eastAsia" w:ascii="宋体" w:hAnsi="宋体" w:cs="宋体"/>
          <w:b/>
          <w:sz w:val="24"/>
          <w:szCs w:val="24"/>
          <w:highlight w:val="none"/>
        </w:rPr>
        <w:t>平安理财有限责任公司理财产品托管协议适用确认书(样本)</w:t>
      </w:r>
    </w:p>
    <w:p>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（适用确认书编号：</w:t>
      </w:r>
      <w:r>
        <w:rPr>
          <w:rFonts w:ascii="Arial" w:hAnsi="Arial" w:cs="Arial"/>
          <w:color w:val="000000"/>
          <w:sz w:val="22"/>
          <w:szCs w:val="22"/>
          <w:highlight w:val="none"/>
        </w:rPr>
        <w:t xml:space="preserve"> </w:t>
      </w:r>
      <w:r>
        <w:rPr>
          <w:rFonts w:ascii="宋体" w:hAnsi="宋体" w:cs="宋体"/>
          <w:b/>
          <w:bCs/>
          <w:sz w:val="24"/>
          <w:szCs w:val="24"/>
          <w:highlight w:val="none"/>
        </w:rPr>
        <w:t>{</w:t>
      </w:r>
      <w:r>
        <w:rPr>
          <w:rFonts w:hint="eastAsia" w:ascii="宋体" w:hAnsi="宋体" w:cs="宋体"/>
          <w:b/>
          <w:bCs/>
          <w:sz w:val="24"/>
          <w:szCs w:val="24"/>
          <w:highlight w:val="none"/>
        </w:rPr>
        <w:t>产品登记编码</w:t>
      </w:r>
      <w:r>
        <w:rPr>
          <w:rFonts w:ascii="宋体" w:hAnsi="宋体" w:cs="宋体"/>
          <w:b/>
          <w:bCs/>
          <w:sz w:val="24"/>
          <w:szCs w:val="24"/>
          <w:highlight w:val="none"/>
        </w:rPr>
        <w:t>}</w:t>
      </w:r>
      <w:r>
        <w:rPr>
          <w:rFonts w:hint="eastAsia" w:ascii="宋体" w:hAnsi="宋体" w:cs="宋体"/>
          <w:b/>
          <w:bCs/>
          <w:sz w:val="24"/>
          <w:szCs w:val="24"/>
          <w:highlight w:val="none"/>
        </w:rPr>
        <w:t>）</w:t>
      </w:r>
    </w:p>
    <w:p>
      <w:pPr>
        <w:spacing w:line="360" w:lineRule="auto"/>
        <w:rPr>
          <w:rFonts w:hint="eastAsia" w:ascii="宋体" w:hAnsi="宋体" w:cs="宋体"/>
          <w:b/>
          <w:bCs/>
          <w:spacing w:val="6"/>
          <w:sz w:val="24"/>
          <w:szCs w:val="24"/>
          <w:highlight w:val="none"/>
          <w:lang w:eastAsia="zh-CN"/>
        </w:rPr>
      </w:pPr>
      <w:r>
        <w:rPr>
          <w:rFonts w:hint="eastAsia" w:ascii="宋体" w:hAnsi="宋体" w:cs="宋体"/>
          <w:b/>
          <w:bCs/>
          <w:spacing w:val="6"/>
          <w:sz w:val="24"/>
          <w:szCs w:val="24"/>
          <w:highlight w:val="none"/>
          <w:lang w:eastAsia="zh-CN"/>
        </w:rPr>
        <w:t>中信银行股份有限公司</w:t>
      </w:r>
      <w:r>
        <w:rPr>
          <w:rFonts w:hint="eastAsia" w:ascii="宋体" w:hAnsi="宋体" w:cs="宋体"/>
          <w:b/>
          <w:bCs/>
          <w:spacing w:val="6"/>
          <w:sz w:val="24"/>
          <w:szCs w:val="24"/>
          <w:highlight w:val="none"/>
          <w:lang w:val="en-US" w:eastAsia="zh-CN"/>
        </w:rPr>
        <w:t>/</w:t>
      </w:r>
      <w:r>
        <w:rPr>
          <w:rFonts w:hint="eastAsia" w:ascii="宋体" w:hAnsi="宋体" w:cs="宋体"/>
          <w:b/>
          <w:bCs/>
          <w:spacing w:val="6"/>
          <w:sz w:val="24"/>
          <w:szCs w:val="24"/>
          <w:highlight w:val="none"/>
          <w:lang w:eastAsia="zh-CN"/>
        </w:rPr>
        <w:t>分支机构：</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我司拟交付贵司托管的下述产品</w:t>
      </w:r>
      <w:r>
        <w:rPr>
          <w:rFonts w:hint="eastAsia" w:ascii="宋体" w:hAnsi="宋体" w:eastAsia="宋体" w:cs="宋体"/>
          <w:sz w:val="24"/>
          <w:szCs w:val="24"/>
          <w:highlight w:val="none"/>
        </w:rPr>
        <w:t>适用于</w:t>
      </w:r>
      <w:r>
        <w:rPr>
          <w:rFonts w:hint="eastAsia" w:ascii="宋体" w:hAnsi="宋体" w:eastAsia="宋体" w:cs="宋体"/>
          <w:sz w:val="24"/>
          <w:szCs w:val="24"/>
          <w:highlight w:val="none"/>
          <w:lang w:val="en-US" w:eastAsia="zh-CN"/>
        </w:rPr>
        <w:t>我司与中信银行股份有限公司</w:t>
      </w:r>
      <w:r>
        <w:rPr>
          <w:rFonts w:hint="eastAsia" w:ascii="宋体" w:hAnsi="宋体" w:eastAsia="宋体" w:cs="宋体"/>
          <w:sz w:val="24"/>
          <w:szCs w:val="24"/>
          <w:highlight w:val="none"/>
        </w:rPr>
        <w:t>签署的《</w:t>
      </w:r>
      <w:r>
        <w:rPr>
          <w:rFonts w:hint="eastAsia" w:ascii="宋体" w:hAnsi="宋体" w:cs="宋体"/>
          <w:b w:val="0"/>
          <w:bCs w:val="0"/>
          <w:sz w:val="24"/>
          <w:szCs w:val="24"/>
          <w:highlight w:val="none"/>
        </w:rPr>
        <w:t>平安理财有限责任公司理财产品托管协议</w:t>
      </w:r>
      <w:r>
        <w:rPr>
          <w:rFonts w:hint="eastAsia" w:ascii="宋体" w:hAnsi="宋体" w:eastAsia="宋体" w:cs="宋体"/>
          <w:sz w:val="24"/>
          <w:szCs w:val="24"/>
          <w:highlight w:val="none"/>
        </w:rPr>
        <w:t>》</w:t>
      </w:r>
      <w:r>
        <w:rPr>
          <w:rFonts w:hint="eastAsia" w:ascii="宋体" w:hAnsi="宋体" w:cs="宋体"/>
          <w:sz w:val="24"/>
          <w:szCs w:val="24"/>
          <w:highlight w:val="none"/>
        </w:rPr>
        <w:t>，相关托管运作依照托管协议的约定执行，产品具体要素及相关安排如下：</w:t>
      </w:r>
    </w:p>
    <w:tbl>
      <w:tblPr>
        <w:tblStyle w:val="40"/>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分类</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具体项目</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产品基本情况</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产品名称</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u w:val="single"/>
              </w:rPr>
            </w:pPr>
            <w:r>
              <w:rPr>
                <w:rFonts w:ascii="宋体" w:hAnsi="宋体" w:cs="宋体"/>
                <w:sz w:val="24"/>
                <w:szCs w:val="24"/>
                <w:highlight w:val="none"/>
              </w:rPr>
              <w:t>{</w:t>
            </w:r>
            <w:r>
              <w:rPr>
                <w:rFonts w:hint="eastAsia" w:ascii="宋体" w:hAnsi="宋体" w:cs="宋体"/>
                <w:sz w:val="24"/>
                <w:szCs w:val="24"/>
                <w:highlight w:val="none"/>
              </w:rPr>
              <w:t>产品名称</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产品登记编码</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ascii="宋体" w:hAnsi="宋体" w:cs="宋体"/>
                <w:sz w:val="24"/>
                <w:szCs w:val="24"/>
                <w:highlight w:val="none"/>
              </w:rPr>
              <w:t>{</w:t>
            </w:r>
            <w:r>
              <w:rPr>
                <w:rFonts w:hint="eastAsia" w:ascii="宋体" w:hAnsi="宋体" w:cs="宋体"/>
                <w:sz w:val="24"/>
                <w:szCs w:val="24"/>
                <w:highlight w:val="none"/>
              </w:rPr>
              <w:t>产品登记编码</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产品存续期限</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ascii="Arial" w:hAnsi="Arial" w:cs="Arial"/>
                <w:sz w:val="22"/>
                <w:szCs w:val="22"/>
                <w:highlight w:val="none"/>
              </w:rPr>
              <w:t>{</w:t>
            </w:r>
            <w:r>
              <w:rPr>
                <w:rFonts w:hint="eastAsia" w:ascii="Arial" w:hAnsi="Arial" w:cs="Arial"/>
                <w:sz w:val="22"/>
                <w:szCs w:val="22"/>
                <w:highlight w:val="none"/>
              </w:rPr>
              <w:t>预计到期日</w:t>
            </w:r>
            <w:r>
              <w:rPr>
                <w:rFonts w:ascii="Arial" w:hAnsi="Arial" w:cs="Arial"/>
                <w:sz w:val="22"/>
                <w:szCs w:val="22"/>
                <w:highlight w:val="none"/>
              </w:rPr>
              <w:t>}</w:t>
            </w:r>
            <w:r>
              <w:rPr>
                <w:rFonts w:hint="eastAsia" w:ascii="Arial" w:hAnsi="Arial" w:cs="Arial"/>
                <w:color w:val="000000" w:themeColor="text1"/>
                <w:spacing w:val="4"/>
                <w:sz w:val="22"/>
                <w:szCs w:val="22"/>
                <w:highlight w:val="none"/>
                <w14:textFill>
                  <w14:solidFill>
                    <w14:schemeClr w14:val="tx1"/>
                  </w14:solidFill>
                </w14:textFill>
              </w:rPr>
              <w:t>（</w:t>
            </w:r>
            <w:r>
              <w:rPr>
                <w:rFonts w:ascii="Arial" w:hAnsi="Arial" w:cs="Arial"/>
                <w:color w:val="000000" w:themeColor="text1"/>
                <w:spacing w:val="4"/>
                <w:sz w:val="22"/>
                <w:szCs w:val="22"/>
                <w:highlight w:val="none"/>
                <w14:textFill>
                  <w14:solidFill>
                    <w14:schemeClr w14:val="tx1"/>
                  </w14:solidFill>
                </w14:textFill>
              </w:rPr>
              <w:t>如遇非交易日顺延至下一个交易日），如产品提前终止或延长，实际到期日以产品管理人实际公告为准。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产品募集方式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u w:val="single"/>
              </w:rPr>
            </w:pPr>
            <w:r>
              <w:rPr>
                <w:rFonts w:hint="eastAsia" w:ascii="宋体" w:hAnsi="宋体" w:cs="宋体"/>
                <w:sz w:val="24"/>
                <w:szCs w:val="24"/>
                <w:highlight w:val="none"/>
              </w:rPr>
              <w:t>{募集方式</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产品类型</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{产品类型</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运作方式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{开放类型</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估值日</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{合同估值日</w:t>
            </w:r>
            <w:r>
              <w:rPr>
                <w:rFonts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净值核对日</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highlight w:val="none"/>
              </w:rPr>
            </w:pPr>
            <w:r>
              <w:rPr>
                <w:rFonts w:hint="eastAsia" w:ascii="宋体" w:hAnsi="宋体" w:cs="宋体"/>
                <w:sz w:val="24"/>
                <w:highlight w:val="none"/>
              </w:rPr>
              <w:t>T</w:t>
            </w:r>
            <w:r>
              <w:rPr>
                <w:rFonts w:ascii="宋体" w:hAnsi="宋体" w:cs="宋体"/>
                <w:sz w:val="24"/>
                <w:highlight w:val="none"/>
              </w:rPr>
              <w:t>+</w:t>
            </w:r>
            <w:r>
              <w:rPr>
                <w:rFonts w:hint="eastAsia" w:ascii="宋体" w:hAnsi="宋体" w:cs="宋体"/>
                <w:sz w:val="24"/>
                <w:szCs w:val="24"/>
                <w:highlight w:val="none"/>
              </w:rPr>
              <w:t>{合同估值时效</w:t>
            </w:r>
            <w:r>
              <w:rPr>
                <w:rFonts w:ascii="宋体" w:hAnsi="宋体" w:cs="宋体"/>
                <w:sz w:val="24"/>
                <w:szCs w:val="24"/>
                <w:highlight w:val="none"/>
              </w:rPr>
              <w:t>}</w:t>
            </w:r>
            <w:r>
              <w:rPr>
                <w:rFonts w:hint="eastAsia" w:ascii="宋体" w:hAnsi="宋体" w:cs="宋体"/>
                <w:sz w:val="24"/>
                <w:highlight w:val="none"/>
              </w:rPr>
              <w:t>（如该日非工作日，顺延至最近一个工作日，T为估值日）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估值方法</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ind w:left="120" w:hanging="120"/>
              <w:jc w:val="left"/>
              <w:rPr>
                <w:rFonts w:ascii="宋体" w:hAnsi="宋体" w:cs="宋体"/>
                <w:sz w:val="24"/>
                <w:szCs w:val="24"/>
                <w:highlight w:val="none"/>
              </w:rPr>
            </w:pPr>
            <w:r>
              <w:rPr>
                <w:rFonts w:hint="eastAsia" w:ascii="宋体" w:hAnsi="宋体" w:cs="宋体"/>
                <w:sz w:val="24"/>
                <w:szCs w:val="24"/>
                <w:highlight w:val="none"/>
              </w:rPr>
              <w:t>适用估值方法：按该理财产品产品说明书</w:t>
            </w:r>
            <w:r>
              <w:rPr>
                <w:rFonts w:hint="eastAsia" w:ascii="宋体" w:hAnsi="宋体" w:cs="宋体"/>
                <w:sz w:val="24"/>
                <w:highlight w:val="none"/>
              </w:rPr>
              <w:t>约定估值</w:t>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产品费用</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管理费率</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ind w:firstLine="120"/>
              <w:jc w:val="left"/>
              <w:rPr>
                <w:rFonts w:ascii="宋体" w:hAnsi="宋体" w:cs="宋体"/>
                <w:sz w:val="24"/>
                <w:szCs w:val="24"/>
                <w:highlight w:val="none"/>
              </w:rPr>
            </w:pPr>
            <w:r>
              <w:rPr>
                <w:rFonts w:hint="eastAsia" w:ascii="宋体" w:hAnsi="宋体" w:cs="宋体"/>
                <w:sz w:val="24"/>
                <w:highlight w:val="none"/>
              </w:rPr>
              <w:t>{固定管理费率（%）}%/年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管理费计提基数</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前一日理财产品各类份额资产净值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管理费计提方式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逐日计提，计提金额=计提基数×费率/365</w:t>
            </w:r>
          </w:p>
          <w:p>
            <w:pPr>
              <w:widowControl/>
              <w:jc w:val="left"/>
              <w:rPr>
                <w:rFonts w:ascii="宋体" w:hAnsi="宋体" w:cs="宋体"/>
                <w:sz w:val="24"/>
                <w:szCs w:val="24"/>
                <w:highlight w:val="none"/>
              </w:rPr>
            </w:pPr>
            <w:r>
              <w:rPr>
                <w:rFonts w:hint="eastAsia" w:ascii="宋体" w:hAnsi="宋体" w:cs="宋体"/>
                <w:sz w:val="24"/>
                <w:szCs w:val="24"/>
                <w:highlight w:val="none"/>
              </w:rPr>
              <w:t>（天数指上一个费用计提日到本计提日之间的天数）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管理费支付时间</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sz w:val="24"/>
                <w:szCs w:val="24"/>
                <w:highlight w:val="none"/>
                <w:lang w:val="en-US" w:eastAsia="zh-CN"/>
              </w:rPr>
            </w:pPr>
            <w:r>
              <w:rPr>
                <w:rFonts w:hint="default" w:ascii="宋体" w:hAnsi="宋体" w:cs="宋体"/>
                <w:sz w:val="24"/>
                <w:szCs w:val="24"/>
                <w:highlight w:val="none"/>
                <w:lang w:val="en-US"/>
              </w:rPr>
              <w:t>每会计月度后5个工作日内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管理费支付方式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托管人自动支付，无需出具指令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托管费率</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 xml:space="preserve">{托管费率（%）}% </w:t>
            </w:r>
            <w:r>
              <w:rPr>
                <w:rFonts w:hint="eastAsia" w:ascii="宋体" w:hAnsi="宋体" w:cs="宋体"/>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托管费计提基数</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前一日理财产品各类份额资产净值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托管费计提方式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逐日计提，计提金额=计提基数×费率/365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托管费支付时间</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每</w:t>
            </w:r>
            <w:r>
              <w:rPr>
                <w:rFonts w:hint="default" w:ascii="宋体" w:hAnsi="宋体" w:cs="宋体"/>
                <w:sz w:val="24"/>
                <w:szCs w:val="24"/>
                <w:highlight w:val="none"/>
                <w:lang w:val="en-US"/>
              </w:rPr>
              <w:t>会计季度后 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托管费支付方式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托管人自动支付，无需出具指令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销售服务费率</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{销售服务费率（%）}%</w:t>
            </w:r>
            <w:r>
              <w:rPr>
                <w:rFonts w:hint="eastAsia" w:ascii="宋体" w:hAnsi="宋体" w:cs="宋体"/>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销售服务费计提基数</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前一日理财产品某类份额资产净值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销售服务费计提/摊销方式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逐日计提，计提金额=计提基数×费率/365</w:t>
            </w:r>
          </w:p>
          <w:p>
            <w:pPr>
              <w:widowControl/>
              <w:jc w:val="left"/>
              <w:rPr>
                <w:rFonts w:ascii="宋体" w:hAnsi="宋体" w:cs="宋体"/>
                <w:sz w:val="24"/>
                <w:szCs w:val="24"/>
                <w:highlight w:val="none"/>
              </w:rPr>
            </w:pPr>
            <w:r>
              <w:rPr>
                <w:rFonts w:hint="eastAsia" w:ascii="宋体" w:hAnsi="宋体" w:cs="宋体"/>
                <w:sz w:val="24"/>
                <w:szCs w:val="24"/>
                <w:highlight w:val="none"/>
              </w:rPr>
              <w:t>（天数指上一个费用计提日到本计提日之间的天数）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销售服务费支付时间</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bCs/>
                <w:sz w:val="24"/>
                <w:highlight w:val="none"/>
              </w:rPr>
              <w:t>优先以主动扣费函为准，如有不一致情况则另行告知，按照与销售服务机构约定的频率支付。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highlight w:val="none"/>
              </w:rPr>
              <w:t>销售服务费支付方式</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托管人自动支付，无需出具指令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浮动管理费</w:t>
            </w:r>
          </w:p>
        </w:tc>
        <w:tc>
          <w:tcPr>
            <w:tcW w:w="742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Arial" w:hAnsi="Arial" w:cs="Arial"/>
                <w:color w:val="000000"/>
                <w:sz w:val="22"/>
                <w:szCs w:val="22"/>
                <w:highlight w:val="none"/>
              </w:rPr>
            </w:pPr>
            <w:r>
              <w:rPr>
                <w:rFonts w:hint="eastAsia" w:ascii="Arial" w:hAnsi="Arial" w:cs="Arial"/>
                <w:color w:val="000000"/>
                <w:sz w:val="22"/>
                <w:szCs w:val="22"/>
                <w:highlight w:val="none"/>
              </w:rPr>
              <w:t>按实际填写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其他费用</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产品账户信息</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托管账户</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户名：</w:t>
            </w:r>
            <w:r>
              <w:rPr>
                <w:rFonts w:ascii="宋体" w:hAnsi="宋体" w:cs="宋体"/>
                <w:sz w:val="24"/>
                <w:szCs w:val="24"/>
                <w:highlight w:val="none"/>
              </w:rPr>
              <w:t xml:space="preserve"> </w:t>
            </w:r>
          </w:p>
          <w:p>
            <w:pPr>
              <w:widowControl/>
              <w:jc w:val="left"/>
              <w:rPr>
                <w:rFonts w:ascii="宋体" w:hAnsi="宋体" w:cs="宋体"/>
                <w:sz w:val="24"/>
                <w:szCs w:val="24"/>
                <w:highlight w:val="none"/>
              </w:rPr>
            </w:pPr>
            <w:r>
              <w:rPr>
                <w:rFonts w:hint="eastAsia" w:ascii="宋体" w:hAnsi="宋体" w:cs="宋体"/>
                <w:sz w:val="24"/>
                <w:szCs w:val="24"/>
                <w:highlight w:val="none"/>
              </w:rPr>
              <w:t>账号：</w:t>
            </w:r>
          </w:p>
          <w:p>
            <w:pPr>
              <w:widowControl/>
              <w:jc w:val="left"/>
              <w:rPr>
                <w:rFonts w:ascii="宋体" w:hAnsi="宋体" w:cs="宋体"/>
                <w:sz w:val="24"/>
                <w:szCs w:val="24"/>
                <w:highlight w:val="none"/>
              </w:rPr>
            </w:pPr>
            <w:r>
              <w:rPr>
                <w:rFonts w:hint="eastAsia" w:ascii="宋体" w:hAnsi="宋体" w:cs="宋体"/>
                <w:sz w:val="24"/>
                <w:szCs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其他账户</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投资监督事项表</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监督项目</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4"/>
                <w:szCs w:val="24"/>
                <w:highlight w:val="none"/>
              </w:rPr>
            </w:pPr>
            <w:r>
              <w:rPr>
                <w:rFonts w:hint="eastAsia" w:ascii="宋体" w:hAnsi="宋体" w:cs="宋体"/>
                <w:b/>
                <w:bCs/>
                <w:sz w:val="24"/>
                <w:szCs w:val="24"/>
                <w:highlight w:val="none"/>
              </w:rPr>
              <w:t>监督内容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投资范围</w:t>
            </w:r>
          </w:p>
          <w:p>
            <w:pPr>
              <w:widowControl/>
              <w:jc w:val="left"/>
              <w:rPr>
                <w:rFonts w:ascii="宋体" w:hAnsi="宋体" w:cs="宋体"/>
                <w:sz w:val="24"/>
                <w:szCs w:val="24"/>
                <w:highlight w:val="none"/>
              </w:rPr>
            </w:pPr>
            <w:r>
              <w:rPr>
                <w:rFonts w:hint="eastAsia" w:ascii="宋体" w:hAnsi="宋体" w:cs="宋体"/>
                <w:sz w:val="24"/>
                <w:szCs w:val="24"/>
                <w:highlight w:val="none"/>
              </w:rPr>
              <w:t>投资比例</w:t>
            </w:r>
          </w:p>
          <w:p>
            <w:pPr>
              <w:widowControl/>
              <w:jc w:val="left"/>
              <w:rPr>
                <w:rFonts w:ascii="宋体" w:hAnsi="宋体" w:cs="宋体"/>
                <w:sz w:val="24"/>
                <w:szCs w:val="24"/>
                <w:highlight w:val="none"/>
              </w:rPr>
            </w:pPr>
            <w:r>
              <w:rPr>
                <w:rFonts w:hint="eastAsia" w:ascii="宋体" w:hAnsi="宋体" w:cs="宋体"/>
                <w:sz w:val="24"/>
                <w:szCs w:val="24"/>
                <w:highlight w:val="none"/>
              </w:rPr>
              <w:t>投资限制</w:t>
            </w:r>
          </w:p>
        </w:tc>
        <w:tc>
          <w:tcPr>
            <w:tcW w:w="7422" w:type="dxa"/>
            <w:tcBorders>
              <w:top w:val="single" w:color="auto" w:sz="4" w:space="0"/>
              <w:left w:val="single" w:color="auto" w:sz="4" w:space="0"/>
              <w:bottom w:val="single" w:color="auto" w:sz="4" w:space="0"/>
              <w:right w:val="single" w:color="auto" w:sz="4" w:space="0"/>
            </w:tcBorders>
            <w:vAlign w:val="center"/>
          </w:tcPr>
          <w:p>
            <w:pPr>
              <w:pStyle w:val="2"/>
              <w:spacing w:before="0" w:after="0" w:line="320" w:lineRule="exact"/>
              <w:rPr>
                <w:b w:val="0"/>
                <w:sz w:val="24"/>
                <w:szCs w:val="24"/>
                <w:highlight w:val="none"/>
              </w:rPr>
            </w:pPr>
            <w:r>
              <w:rPr>
                <w:rFonts w:hint="eastAsia" w:ascii="宋体" w:hAnsi="宋体" w:cs="宋体"/>
                <w:sz w:val="24"/>
                <w:szCs w:val="24"/>
                <w:highlight w:val="none"/>
              </w:rPr>
              <w:t>【与理财产品文件内容一致】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对关联方交易的监督</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备注</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如投资监督事项需要调整的，须经过甲、乙双方确认。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24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highlight w:val="none"/>
              </w:rPr>
            </w:pPr>
            <w:r>
              <w:rPr>
                <w:rFonts w:hint="eastAsia" w:ascii="宋体" w:hAnsi="宋体" w:cs="宋体"/>
                <w:sz w:val="24"/>
                <w:szCs w:val="24"/>
                <w:highlight w:val="none"/>
              </w:rPr>
              <w:t>其他需约定的事项</w:t>
            </w:r>
          </w:p>
        </w:tc>
        <w:tc>
          <w:tcPr>
            <w:tcW w:w="74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无</w:t>
            </w:r>
          </w:p>
        </w:tc>
      </w:tr>
    </w:tbl>
    <w:p>
      <w:pPr>
        <w:spacing w:line="360" w:lineRule="auto"/>
        <w:ind w:right="-313" w:rightChars="-149"/>
        <w:rPr>
          <w:rFonts w:hint="eastAsia" w:ascii="宋体" w:hAnsi="宋体" w:eastAsia="宋体" w:cs="宋体"/>
          <w:sz w:val="22"/>
        </w:rPr>
      </w:pPr>
      <w:r>
        <w:rPr>
          <w:rFonts w:hint="eastAsia" w:ascii="宋体" w:hAnsi="宋体" w:cs="宋体"/>
          <w:sz w:val="22"/>
        </w:rPr>
        <w:t>本《理财产品托管</w:t>
      </w:r>
      <w:r>
        <w:rPr>
          <w:rFonts w:hint="eastAsia" w:ascii="宋体" w:hAnsi="宋体" w:cs="宋体"/>
          <w:sz w:val="22"/>
          <w:lang w:eastAsia="zh-CN"/>
        </w:rPr>
        <w:t>协议</w:t>
      </w:r>
      <w:r>
        <w:rPr>
          <w:rFonts w:hint="eastAsia" w:ascii="宋体" w:hAnsi="宋体" w:cs="宋体"/>
          <w:sz w:val="22"/>
        </w:rPr>
        <w:t>适用确认书》自</w:t>
      </w:r>
      <w:r>
        <w:rPr>
          <w:rFonts w:hint="eastAsia" w:ascii="宋体" w:hAnsi="宋体" w:eastAsia="宋体" w:cs="宋体"/>
          <w:sz w:val="22"/>
        </w:rPr>
        <w:t>自双方</w:t>
      </w:r>
      <w:r>
        <w:rPr>
          <w:rFonts w:hint="eastAsia" w:ascii="宋体" w:hAnsi="宋体" w:cs="宋体"/>
          <w:sz w:val="22"/>
          <w:lang w:val="en-US" w:eastAsia="zh-CN"/>
        </w:rPr>
        <w:t>指定</w:t>
      </w:r>
      <w:r>
        <w:rPr>
          <w:rFonts w:hint="eastAsia" w:ascii="宋体" w:hAnsi="宋体" w:cs="宋体"/>
          <w:sz w:val="22"/>
          <w:lang w:eastAsia="zh-CN"/>
        </w:rPr>
        <w:t>邮箱</w:t>
      </w:r>
      <w:r>
        <w:rPr>
          <w:rFonts w:hint="eastAsia" w:ascii="宋体" w:hAnsi="宋体" w:eastAsia="宋体" w:cs="宋体"/>
          <w:sz w:val="22"/>
          <w:lang w:eastAsia="zh-CN"/>
        </w:rPr>
        <w:t>确认一致后，经</w:t>
      </w:r>
      <w:r>
        <w:rPr>
          <w:rFonts w:hint="eastAsia" w:ascii="宋体" w:hAnsi="宋体" w:eastAsia="宋体" w:cs="宋体"/>
          <w:sz w:val="22"/>
        </w:rPr>
        <w:t>平安理财有限责任公司加盖公章</w:t>
      </w:r>
      <w:r>
        <w:rPr>
          <w:rFonts w:hint="eastAsia" w:ascii="宋体" w:hAnsi="宋体" w:eastAsia="宋体" w:cs="宋体"/>
          <w:sz w:val="22"/>
          <w:lang w:eastAsia="zh-CN"/>
        </w:rPr>
        <w:t>或合同</w:t>
      </w:r>
      <w:r>
        <w:rPr>
          <w:rFonts w:hint="eastAsia" w:ascii="宋体" w:hAnsi="宋体" w:cs="宋体"/>
          <w:sz w:val="22"/>
          <w:lang w:val="en-US" w:eastAsia="zh-CN"/>
        </w:rPr>
        <w:t>/业务</w:t>
      </w:r>
      <w:r>
        <w:rPr>
          <w:rFonts w:hint="eastAsia" w:ascii="宋体" w:hAnsi="宋体" w:eastAsia="宋体" w:cs="宋体"/>
          <w:sz w:val="22"/>
          <w:lang w:eastAsia="zh-CN"/>
        </w:rPr>
        <w:t>专用章</w:t>
      </w:r>
      <w:r>
        <w:rPr>
          <w:rFonts w:hint="eastAsia" w:ascii="宋体" w:hAnsi="宋体" w:eastAsia="宋体" w:cs="宋体"/>
          <w:sz w:val="22"/>
        </w:rPr>
        <w:t>后生效。</w:t>
      </w:r>
    </w:p>
    <w:p>
      <w:pPr>
        <w:spacing w:line="360" w:lineRule="auto"/>
        <w:ind w:right="-313" w:rightChars="-149"/>
        <w:rPr>
          <w:rFonts w:ascii="宋体" w:hAnsi="宋体" w:cs="宋体"/>
          <w:sz w:val="22"/>
        </w:rPr>
      </w:pPr>
    </w:p>
    <w:p>
      <w:pPr>
        <w:spacing w:line="360" w:lineRule="auto"/>
        <w:ind w:right="-313"/>
        <w:rPr>
          <w:rFonts w:ascii="宋体" w:hAnsi="宋体" w:cs="宋体"/>
          <w:sz w:val="24"/>
          <w:szCs w:val="24"/>
          <w:highlight w:val="none"/>
        </w:rPr>
      </w:pPr>
    </w:p>
    <w:p>
      <w:pPr>
        <w:spacing w:line="360" w:lineRule="auto"/>
        <w:ind w:right="-313"/>
        <w:rPr>
          <w:rFonts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平安理财有限责任公司（公章</w:t>
      </w:r>
      <w:r>
        <w:rPr>
          <w:rFonts w:hint="eastAsia" w:ascii="宋体" w:hAnsi="宋体" w:cs="宋体"/>
          <w:spacing w:val="6"/>
          <w:sz w:val="24"/>
          <w:szCs w:val="24"/>
          <w:highlight w:val="none"/>
        </w:rPr>
        <w:t>或合同</w:t>
      </w:r>
      <w:r>
        <w:rPr>
          <w:rFonts w:hint="eastAsia" w:ascii="宋体" w:hAnsi="宋体" w:cs="宋体"/>
          <w:spacing w:val="6"/>
          <w:sz w:val="24"/>
          <w:szCs w:val="24"/>
          <w:highlight w:val="none"/>
          <w:lang w:val="en-US" w:eastAsia="zh-CN"/>
        </w:rPr>
        <w:t>/业务</w:t>
      </w:r>
      <w:r>
        <w:rPr>
          <w:rFonts w:hint="eastAsia" w:ascii="宋体" w:hAnsi="宋体" w:cs="宋体"/>
          <w:spacing w:val="6"/>
          <w:sz w:val="24"/>
          <w:szCs w:val="24"/>
          <w:highlight w:val="none"/>
        </w:rPr>
        <w:t>专用章</w:t>
      </w:r>
      <w:r>
        <w:rPr>
          <w:rFonts w:hint="eastAsia" w:ascii="宋体" w:hAnsi="宋体" w:cs="宋体"/>
          <w:sz w:val="24"/>
          <w:szCs w:val="24"/>
          <w:highlight w:val="none"/>
        </w:rPr>
        <w:t>）</w:t>
      </w: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 xml:space="preserve">日期：                           </w:t>
      </w:r>
    </w:p>
    <w:p>
      <w:pPr>
        <w:widowControl/>
        <w:jc w:val="left"/>
        <w:rPr>
          <w:rFonts w:ascii="宋体" w:hAnsi="宋体" w:cs="宋体"/>
          <w:b/>
          <w:bCs/>
          <w:sz w:val="24"/>
          <w:szCs w:val="24"/>
          <w:highlight w:val="none"/>
        </w:rPr>
      </w:pPr>
    </w:p>
    <w:p>
      <w:pPr>
        <w:spacing w:line="360" w:lineRule="auto"/>
        <w:ind w:firstLine="480"/>
        <w:rPr>
          <w:rFonts w:ascii="宋体" w:hAnsi="宋体" w:cs="宋体"/>
          <w:sz w:val="24"/>
          <w:szCs w:val="24"/>
          <w:highlight w:val="none"/>
        </w:rPr>
      </w:pPr>
    </w:p>
    <w:p>
      <w:pPr>
        <w:spacing w:line="360" w:lineRule="auto"/>
        <w:ind w:firstLine="480"/>
        <w:rPr>
          <w:rFonts w:ascii="宋体" w:hAnsi="宋体" w:cs="宋体"/>
          <w:sz w:val="24"/>
          <w:szCs w:val="24"/>
          <w:highlight w:val="none"/>
        </w:rPr>
      </w:pPr>
      <w:bookmarkStart w:id="229" w:name="_Toc159860797"/>
    </w:p>
    <w:p>
      <w:pPr>
        <w:rPr>
          <w:rFonts w:ascii="宋体" w:hAnsi="宋体" w:cs="宋体"/>
          <w:b/>
          <w:bCs/>
          <w:sz w:val="24"/>
          <w:szCs w:val="24"/>
          <w:highlight w:val="none"/>
        </w:rPr>
      </w:pPr>
      <w:r>
        <w:rPr>
          <w:rFonts w:hint="eastAsia" w:ascii="宋体" w:hAnsi="宋体" w:cs="宋体"/>
          <w:b/>
          <w:bCs/>
          <w:sz w:val="24"/>
          <w:szCs w:val="24"/>
          <w:highlight w:val="none"/>
        </w:rPr>
        <w:br w:type="page"/>
      </w:r>
    </w:p>
    <w:bookmarkEnd w:id="229"/>
    <w:p>
      <w:pPr>
        <w:widowControl/>
        <w:shd w:val="clear" w:color="FFFFFF" w:fill="FFFFFF"/>
        <w:jc w:val="left"/>
        <w:outlineLvl w:val="0"/>
        <w:rPr>
          <w:rFonts w:hint="eastAsia" w:ascii="宋体" w:hAnsi="宋体" w:cs="宋体"/>
          <w:b/>
          <w:bCs/>
          <w:sz w:val="24"/>
          <w:szCs w:val="24"/>
          <w:highlight w:val="none"/>
        </w:rPr>
      </w:pPr>
      <w:bookmarkStart w:id="230" w:name="_Toc159860799"/>
      <w:r>
        <w:rPr>
          <w:rFonts w:hint="eastAsia" w:ascii="宋体" w:hAnsi="宋体" w:cs="宋体"/>
          <w:b/>
          <w:bCs/>
          <w:sz w:val="24"/>
          <w:szCs w:val="24"/>
          <w:highlight w:val="none"/>
        </w:rPr>
        <w:t>附件</w:t>
      </w:r>
      <w:r>
        <w:rPr>
          <w:rFonts w:hint="eastAsia" w:ascii="宋体" w:hAnsi="宋体" w:cs="宋体"/>
          <w:b/>
          <w:bCs/>
          <w:sz w:val="24"/>
          <w:szCs w:val="24"/>
          <w:highlight w:val="none"/>
          <w:lang w:eastAsia="zh-CN"/>
        </w:rPr>
        <w:t>二</w:t>
      </w:r>
      <w:r>
        <w:rPr>
          <w:rFonts w:hint="eastAsia" w:ascii="宋体" w:hAnsi="宋体" w:cs="宋体"/>
          <w:b/>
          <w:bCs/>
          <w:sz w:val="24"/>
          <w:szCs w:val="24"/>
          <w:highlight w:val="none"/>
        </w:rPr>
        <w:t>：</w:t>
      </w:r>
      <w:bookmarkEnd w:id="230"/>
    </w:p>
    <w:p>
      <w:pPr>
        <w:ind w:right="-94"/>
        <w:jc w:val="center"/>
        <w:rPr>
          <w:rFonts w:ascii="宋体" w:hAnsi="宋体" w:cs="宋体"/>
          <w:b/>
          <w:bCs/>
          <w:sz w:val="24"/>
          <w:szCs w:val="24"/>
          <w:highlight w:val="none"/>
        </w:rPr>
      </w:pPr>
      <w:r>
        <w:rPr>
          <w:rFonts w:hint="eastAsia" w:ascii="宋体" w:hAnsi="宋体" w:cs="宋体"/>
          <w:b/>
          <w:bCs/>
          <w:sz w:val="24"/>
          <w:szCs w:val="24"/>
          <w:highlight w:val="none"/>
        </w:rPr>
        <w:t>托管账户划款指令(样本)</w:t>
      </w:r>
    </w:p>
    <w:p>
      <w:pPr>
        <w:ind w:right="-94" w:firstLine="0"/>
        <w:jc w:val="center"/>
        <w:rPr>
          <w:rFonts w:ascii="宋体" w:hAnsi="宋体" w:cs="宋体"/>
          <w:sz w:val="24"/>
          <w:szCs w:val="24"/>
          <w:highlight w:val="none"/>
        </w:rPr>
      </w:pPr>
      <w:r>
        <w:rPr>
          <w:rFonts w:hint="eastAsia" w:ascii="宋体" w:hAnsi="宋体" w:cs="宋体"/>
          <w:sz w:val="24"/>
          <w:szCs w:val="24"/>
          <w:highlight w:val="none"/>
        </w:rPr>
        <w:t xml:space="preserve"> </w:t>
      </w:r>
    </w:p>
    <w:p>
      <w:pPr>
        <w:ind w:right="-94"/>
        <w:jc w:val="right"/>
        <w:rPr>
          <w:rFonts w:ascii="宋体" w:hAnsi="宋体" w:cs="宋体"/>
          <w:sz w:val="24"/>
          <w:szCs w:val="24"/>
          <w:highlight w:val="none"/>
        </w:rPr>
      </w:pPr>
      <w:r>
        <w:rPr>
          <w:rFonts w:hint="eastAsia" w:ascii="宋体" w:hAnsi="宋体" w:cs="宋体"/>
          <w:sz w:val="24"/>
          <w:szCs w:val="24"/>
          <w:highlight w:val="none"/>
        </w:rPr>
        <w:t xml:space="preserve">年  月  日                                                     </w:t>
      </w:r>
    </w:p>
    <w:p>
      <w:pPr>
        <w:ind w:right="-94"/>
        <w:jc w:val="right"/>
        <w:rPr>
          <w:rFonts w:ascii="宋体" w:hAnsi="宋体" w:cs="宋体"/>
          <w:sz w:val="24"/>
          <w:szCs w:val="24"/>
          <w:highlight w:val="none"/>
        </w:rPr>
      </w:pPr>
      <w:r>
        <w:rPr>
          <w:rFonts w:hint="eastAsia" w:ascii="宋体" w:hAnsi="宋体" w:cs="宋体"/>
          <w:sz w:val="24"/>
          <w:szCs w:val="24"/>
          <w:highlight w:val="none"/>
        </w:rPr>
        <w:t>单位：元</w:t>
      </w:r>
    </w:p>
    <w:tbl>
      <w:tblPr>
        <w:tblStyle w:val="40"/>
        <w:tblW w:w="8640" w:type="dxa"/>
        <w:tblInd w:w="-5" w:type="dxa"/>
        <w:tblLayout w:type="fixed"/>
        <w:tblCellMar>
          <w:top w:w="0" w:type="dxa"/>
          <w:left w:w="108" w:type="dxa"/>
          <w:bottom w:w="0" w:type="dxa"/>
          <w:right w:w="108" w:type="dxa"/>
        </w:tblCellMar>
      </w:tblPr>
      <w:tblGrid>
        <w:gridCol w:w="1701"/>
        <w:gridCol w:w="284"/>
        <w:gridCol w:w="2410"/>
        <w:gridCol w:w="2126"/>
        <w:gridCol w:w="2119"/>
      </w:tblGrid>
      <w:tr>
        <w:tblPrEx>
          <w:tblCellMar>
            <w:top w:w="0" w:type="dxa"/>
            <w:left w:w="108" w:type="dxa"/>
            <w:bottom w:w="0" w:type="dxa"/>
            <w:right w:w="108" w:type="dxa"/>
          </w:tblCellMar>
        </w:tblPrEx>
        <w:trPr>
          <w:trHeight w:val="799" w:hRule="atLeast"/>
        </w:trPr>
        <w:tc>
          <w:tcPr>
            <w:tcW w:w="439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付款户名：</w:t>
            </w:r>
          </w:p>
        </w:tc>
        <w:tc>
          <w:tcPr>
            <w:tcW w:w="424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收款户名：</w:t>
            </w:r>
          </w:p>
        </w:tc>
      </w:tr>
      <w:tr>
        <w:tblPrEx>
          <w:tblCellMar>
            <w:top w:w="0" w:type="dxa"/>
            <w:left w:w="108" w:type="dxa"/>
            <w:bottom w:w="0" w:type="dxa"/>
            <w:right w:w="108" w:type="dxa"/>
          </w:tblCellMar>
        </w:tblPrEx>
        <w:trPr>
          <w:trHeight w:val="799" w:hRule="atLeast"/>
        </w:trPr>
        <w:tc>
          <w:tcPr>
            <w:tcW w:w="439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付款账号：</w:t>
            </w:r>
          </w:p>
        </w:tc>
        <w:tc>
          <w:tcPr>
            <w:tcW w:w="424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收款账号：</w:t>
            </w:r>
          </w:p>
        </w:tc>
      </w:tr>
      <w:tr>
        <w:tblPrEx>
          <w:tblCellMar>
            <w:top w:w="0" w:type="dxa"/>
            <w:left w:w="108" w:type="dxa"/>
            <w:bottom w:w="0" w:type="dxa"/>
            <w:right w:w="108" w:type="dxa"/>
          </w:tblCellMar>
        </w:tblPrEx>
        <w:trPr>
          <w:trHeight w:val="799" w:hRule="atLeast"/>
        </w:trPr>
        <w:tc>
          <w:tcPr>
            <w:tcW w:w="1701" w:type="dxa"/>
            <w:tcBorders>
              <w:top w:val="nil"/>
              <w:left w:val="single" w:color="auto" w:sz="4" w:space="0"/>
              <w:bottom w:val="nil"/>
              <w:right w:val="nil"/>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开户行：</w:t>
            </w:r>
          </w:p>
        </w:tc>
        <w:tc>
          <w:tcPr>
            <w:tcW w:w="2694" w:type="dxa"/>
            <w:gridSpan w:val="2"/>
            <w:tcBorders>
              <w:top w:val="nil"/>
              <w:left w:val="nil"/>
              <w:bottom w:val="nil"/>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4245" w:type="dxa"/>
            <w:gridSpan w:val="2"/>
            <w:tcBorders>
              <w:top w:val="single" w:color="auto" w:sz="4" w:space="0"/>
              <w:left w:val="nil"/>
              <w:bottom w:val="nil"/>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开户行：</w:t>
            </w:r>
          </w:p>
        </w:tc>
      </w:tr>
      <w:tr>
        <w:tblPrEx>
          <w:tblCellMar>
            <w:top w:w="0" w:type="dxa"/>
            <w:left w:w="108" w:type="dxa"/>
            <w:bottom w:w="0" w:type="dxa"/>
            <w:right w:w="108" w:type="dxa"/>
          </w:tblCellMar>
        </w:tblPrEx>
        <w:trPr>
          <w:trHeight w:val="799" w:hRule="atLeast"/>
        </w:trPr>
        <w:tc>
          <w:tcPr>
            <w:tcW w:w="1701" w:type="dxa"/>
            <w:tcBorders>
              <w:top w:val="single" w:color="auto" w:sz="4" w:space="0"/>
              <w:left w:val="single" w:color="auto" w:sz="4" w:space="0"/>
              <w:bottom w:val="nil"/>
              <w:right w:val="nil"/>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支付系统号：</w:t>
            </w:r>
          </w:p>
        </w:tc>
        <w:tc>
          <w:tcPr>
            <w:tcW w:w="2694" w:type="dxa"/>
            <w:gridSpan w:val="2"/>
            <w:tcBorders>
              <w:top w:val="single" w:color="auto" w:sz="4" w:space="0"/>
              <w:left w:val="nil"/>
              <w:bottom w:val="nil"/>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2126" w:type="dxa"/>
            <w:tcBorders>
              <w:top w:val="single" w:color="auto" w:sz="4" w:space="0"/>
              <w:left w:val="nil"/>
              <w:bottom w:val="nil"/>
              <w:right w:val="nil"/>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支付系统号：</w:t>
            </w:r>
          </w:p>
        </w:tc>
        <w:tc>
          <w:tcPr>
            <w:tcW w:w="2119" w:type="dxa"/>
            <w:tcBorders>
              <w:top w:val="single" w:color="auto" w:sz="4" w:space="0"/>
              <w:left w:val="nil"/>
              <w:bottom w:val="nil"/>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w:t>
            </w:r>
          </w:p>
        </w:tc>
      </w:tr>
      <w:tr>
        <w:tblPrEx>
          <w:tblCellMar>
            <w:top w:w="0" w:type="dxa"/>
            <w:left w:w="108" w:type="dxa"/>
            <w:bottom w:w="0" w:type="dxa"/>
            <w:right w:w="108" w:type="dxa"/>
          </w:tblCellMar>
        </w:tblPrEx>
        <w:trPr>
          <w:trHeight w:val="799" w:hRule="atLeast"/>
        </w:trPr>
        <w:tc>
          <w:tcPr>
            <w:tcW w:w="1701"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大写金额：</w:t>
            </w:r>
          </w:p>
        </w:tc>
        <w:tc>
          <w:tcPr>
            <w:tcW w:w="26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2126" w:type="dxa"/>
            <w:tcBorders>
              <w:top w:val="single" w:color="auto" w:sz="4" w:space="0"/>
              <w:left w:val="nil"/>
              <w:bottom w:val="single" w:color="auto" w:sz="4" w:space="0"/>
              <w:right w:val="nil"/>
            </w:tcBorders>
            <w:vAlign w:val="center"/>
          </w:tcPr>
          <w:p>
            <w:pPr>
              <w:widowControl/>
              <w:rPr>
                <w:rFonts w:ascii="宋体" w:hAnsi="宋体" w:cs="宋体"/>
                <w:sz w:val="24"/>
                <w:szCs w:val="24"/>
                <w:highlight w:val="none"/>
              </w:rPr>
            </w:pPr>
            <w:r>
              <w:rPr>
                <w:rFonts w:hint="eastAsia" w:ascii="宋体" w:hAnsi="宋体" w:cs="宋体"/>
                <w:sz w:val="24"/>
                <w:szCs w:val="24"/>
                <w:highlight w:val="none"/>
              </w:rPr>
              <w:t>小写金额：</w:t>
            </w:r>
          </w:p>
        </w:tc>
        <w:tc>
          <w:tcPr>
            <w:tcW w:w="21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4"/>
                <w:szCs w:val="24"/>
                <w:highlight w:val="none"/>
              </w:rPr>
            </w:pPr>
          </w:p>
        </w:tc>
      </w:tr>
      <w:tr>
        <w:tblPrEx>
          <w:tblCellMar>
            <w:top w:w="0" w:type="dxa"/>
            <w:left w:w="108" w:type="dxa"/>
            <w:bottom w:w="0" w:type="dxa"/>
            <w:right w:w="108" w:type="dxa"/>
          </w:tblCellMar>
        </w:tblPrEx>
        <w:trPr>
          <w:trHeight w:val="944" w:hRule="atLeast"/>
        </w:trPr>
        <w:tc>
          <w:tcPr>
            <w:tcW w:w="1701" w:type="dxa"/>
            <w:tcBorders>
              <w:top w:val="nil"/>
              <w:left w:val="single" w:color="auto" w:sz="4" w:space="0"/>
              <w:bottom w:val="single" w:color="auto" w:sz="4" w:space="0"/>
              <w:right w:val="nil"/>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支付日期：</w:t>
            </w:r>
          </w:p>
          <w:p>
            <w:pPr>
              <w:pStyle w:val="2"/>
              <w:rPr>
                <w:highlight w:val="none"/>
              </w:rPr>
            </w:pPr>
          </w:p>
        </w:tc>
        <w:tc>
          <w:tcPr>
            <w:tcW w:w="2694" w:type="dxa"/>
            <w:gridSpan w:val="2"/>
            <w:tcBorders>
              <w:top w:val="nil"/>
              <w:left w:val="nil"/>
              <w:bottom w:val="single" w:color="auto" w:sz="4" w:space="0"/>
              <w:right w:val="single" w:color="auto"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日</w:t>
            </w:r>
          </w:p>
          <w:p>
            <w:pPr>
              <w:pStyle w:val="2"/>
              <w:rPr>
                <w:highlight w:val="none"/>
              </w:rPr>
            </w:pPr>
          </w:p>
        </w:tc>
        <w:tc>
          <w:tcPr>
            <w:tcW w:w="4245" w:type="dxa"/>
            <w:gridSpan w:val="2"/>
            <w:tcBorders>
              <w:top w:val="nil"/>
              <w:left w:val="nil"/>
              <w:bottom w:val="single" w:color="auto" w:sz="4" w:space="0"/>
              <w:right w:val="single" w:color="000000" w:sz="4" w:space="0"/>
            </w:tcBorders>
            <w:vAlign w:val="center"/>
          </w:tcPr>
          <w:p>
            <w:pPr>
              <w:widowControl/>
              <w:jc w:val="left"/>
              <w:rPr>
                <w:rFonts w:ascii="宋体" w:hAnsi="宋体" w:cs="宋体"/>
                <w:sz w:val="24"/>
                <w:szCs w:val="24"/>
                <w:highlight w:val="none"/>
              </w:rPr>
            </w:pPr>
            <w:r>
              <w:rPr>
                <w:rFonts w:hint="eastAsia" w:ascii="宋体" w:hAnsi="宋体" w:cs="宋体"/>
                <w:sz w:val="24"/>
                <w:szCs w:val="24"/>
                <w:highlight w:val="none"/>
              </w:rPr>
              <w:t>划款事由及备注：</w:t>
            </w:r>
          </w:p>
          <w:p>
            <w:pPr>
              <w:pStyle w:val="2"/>
              <w:rPr>
                <w:highlight w:val="none"/>
              </w:rPr>
            </w:pPr>
          </w:p>
        </w:tc>
      </w:tr>
      <w:tr>
        <w:tblPrEx>
          <w:tblCellMar>
            <w:top w:w="0" w:type="dxa"/>
            <w:left w:w="108" w:type="dxa"/>
            <w:bottom w:w="0" w:type="dxa"/>
            <w:right w:w="108" w:type="dxa"/>
          </w:tblCellMar>
        </w:tblPrEx>
        <w:trPr>
          <w:trHeight w:val="600" w:hRule="atLeast"/>
        </w:trPr>
        <w:tc>
          <w:tcPr>
            <w:tcW w:w="1985" w:type="dxa"/>
            <w:gridSpan w:val="2"/>
            <w:tcBorders>
              <w:top w:val="single" w:color="auto" w:sz="4" w:space="0"/>
              <w:left w:val="single" w:color="auto" w:sz="4" w:space="0"/>
              <w:bottom w:val="nil"/>
              <w:right w:val="nil"/>
            </w:tcBorders>
          </w:tcPr>
          <w:p>
            <w:pPr>
              <w:widowControl/>
              <w:jc w:val="left"/>
              <w:rPr>
                <w:rFonts w:ascii="宋体" w:hAnsi="宋体" w:cs="宋体"/>
                <w:sz w:val="24"/>
                <w:szCs w:val="24"/>
                <w:highlight w:val="none"/>
              </w:rPr>
            </w:pPr>
            <w:r>
              <w:rPr>
                <w:rFonts w:hint="eastAsia" w:ascii="宋体" w:hAnsi="宋体" w:cs="宋体"/>
                <w:sz w:val="24"/>
                <w:szCs w:val="24"/>
                <w:highlight w:val="none"/>
              </w:rPr>
              <w:t>经办人：</w:t>
            </w:r>
          </w:p>
        </w:tc>
        <w:tc>
          <w:tcPr>
            <w:tcW w:w="2410" w:type="dxa"/>
            <w:tcBorders>
              <w:top w:val="single" w:color="auto" w:sz="4" w:space="0"/>
              <w:left w:val="nil"/>
              <w:bottom w:val="nil"/>
              <w:right w:val="single" w:color="auto"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4245" w:type="dxa"/>
            <w:gridSpan w:val="2"/>
            <w:tcBorders>
              <w:top w:val="single" w:color="auto" w:sz="4" w:space="0"/>
              <w:left w:val="nil"/>
              <w:bottom w:val="nil"/>
              <w:right w:val="single" w:color="000000"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经办人：</w:t>
            </w:r>
          </w:p>
        </w:tc>
      </w:tr>
      <w:tr>
        <w:tblPrEx>
          <w:tblCellMar>
            <w:top w:w="0" w:type="dxa"/>
            <w:left w:w="108" w:type="dxa"/>
            <w:bottom w:w="0" w:type="dxa"/>
            <w:right w:w="108" w:type="dxa"/>
          </w:tblCellMar>
        </w:tblPrEx>
        <w:trPr>
          <w:trHeight w:val="690" w:hRule="atLeast"/>
        </w:trPr>
        <w:tc>
          <w:tcPr>
            <w:tcW w:w="1985" w:type="dxa"/>
            <w:gridSpan w:val="2"/>
            <w:tcBorders>
              <w:top w:val="nil"/>
              <w:left w:val="single" w:color="auto" w:sz="4" w:space="0"/>
              <w:bottom w:val="nil"/>
              <w:right w:val="nil"/>
            </w:tcBorders>
          </w:tcPr>
          <w:p>
            <w:pPr>
              <w:widowControl/>
              <w:jc w:val="left"/>
              <w:rPr>
                <w:rFonts w:ascii="宋体" w:hAnsi="宋体" w:cs="宋体"/>
                <w:sz w:val="24"/>
                <w:szCs w:val="24"/>
                <w:highlight w:val="none"/>
              </w:rPr>
            </w:pPr>
            <w:r>
              <w:rPr>
                <w:rFonts w:hint="eastAsia" w:ascii="宋体" w:hAnsi="宋体" w:cs="宋体"/>
                <w:sz w:val="24"/>
                <w:szCs w:val="24"/>
                <w:highlight w:val="none"/>
              </w:rPr>
              <w:t>复核人：</w:t>
            </w:r>
          </w:p>
        </w:tc>
        <w:tc>
          <w:tcPr>
            <w:tcW w:w="2410" w:type="dxa"/>
            <w:tcBorders>
              <w:top w:val="nil"/>
              <w:left w:val="nil"/>
              <w:bottom w:val="nil"/>
              <w:right w:val="single" w:color="auto"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4245" w:type="dxa"/>
            <w:gridSpan w:val="2"/>
            <w:tcBorders>
              <w:top w:val="nil"/>
              <w:left w:val="nil"/>
              <w:bottom w:val="nil"/>
              <w:right w:val="single" w:color="000000"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复核人：</w:t>
            </w:r>
          </w:p>
        </w:tc>
      </w:tr>
      <w:tr>
        <w:tblPrEx>
          <w:tblCellMar>
            <w:top w:w="0" w:type="dxa"/>
            <w:left w:w="108" w:type="dxa"/>
            <w:bottom w:w="0" w:type="dxa"/>
            <w:right w:w="108" w:type="dxa"/>
          </w:tblCellMar>
        </w:tblPrEx>
        <w:trPr>
          <w:trHeight w:val="735" w:hRule="atLeast"/>
        </w:trPr>
        <w:tc>
          <w:tcPr>
            <w:tcW w:w="1985" w:type="dxa"/>
            <w:gridSpan w:val="2"/>
            <w:tcBorders>
              <w:top w:val="nil"/>
              <w:left w:val="single" w:color="auto" w:sz="4" w:space="0"/>
              <w:bottom w:val="nil"/>
              <w:right w:val="nil"/>
            </w:tcBorders>
          </w:tcPr>
          <w:p>
            <w:pPr>
              <w:widowControl/>
              <w:jc w:val="left"/>
              <w:rPr>
                <w:rFonts w:ascii="宋体" w:hAnsi="宋体" w:cs="宋体"/>
                <w:sz w:val="24"/>
                <w:szCs w:val="24"/>
                <w:highlight w:val="none"/>
              </w:rPr>
            </w:pPr>
            <w:r>
              <w:rPr>
                <w:rFonts w:hint="eastAsia" w:ascii="宋体" w:hAnsi="宋体" w:cs="宋体"/>
                <w:sz w:val="24"/>
                <w:szCs w:val="24"/>
                <w:highlight w:val="none"/>
              </w:rPr>
              <w:t>签发人：</w:t>
            </w:r>
          </w:p>
        </w:tc>
        <w:tc>
          <w:tcPr>
            <w:tcW w:w="2410" w:type="dxa"/>
            <w:tcBorders>
              <w:top w:val="nil"/>
              <w:left w:val="nil"/>
              <w:bottom w:val="nil"/>
              <w:right w:val="single" w:color="auto"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4245" w:type="dxa"/>
            <w:gridSpan w:val="2"/>
            <w:tcBorders>
              <w:top w:val="nil"/>
              <w:left w:val="nil"/>
              <w:bottom w:val="nil"/>
              <w:right w:val="single" w:color="000000"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签发人：</w:t>
            </w:r>
          </w:p>
        </w:tc>
      </w:tr>
      <w:tr>
        <w:tblPrEx>
          <w:tblCellMar>
            <w:top w:w="0" w:type="dxa"/>
            <w:left w:w="108" w:type="dxa"/>
            <w:bottom w:w="0" w:type="dxa"/>
            <w:right w:w="108" w:type="dxa"/>
          </w:tblCellMar>
        </w:tblPrEx>
        <w:trPr>
          <w:trHeight w:val="982" w:hRule="atLeast"/>
        </w:trPr>
        <w:tc>
          <w:tcPr>
            <w:tcW w:w="1985" w:type="dxa"/>
            <w:gridSpan w:val="2"/>
            <w:tcBorders>
              <w:top w:val="nil"/>
              <w:left w:val="single" w:color="auto" w:sz="4" w:space="0"/>
              <w:bottom w:val="nil"/>
              <w:right w:val="nil"/>
            </w:tcBorders>
          </w:tcPr>
          <w:p>
            <w:pPr>
              <w:widowControl/>
              <w:jc w:val="left"/>
              <w:rPr>
                <w:rFonts w:ascii="宋体" w:hAnsi="宋体" w:cs="宋体"/>
                <w:sz w:val="24"/>
                <w:szCs w:val="24"/>
                <w:highlight w:val="none"/>
              </w:rPr>
            </w:pPr>
            <w:r>
              <w:rPr>
                <w:rFonts w:hint="eastAsia" w:ascii="宋体" w:hAnsi="宋体" w:cs="宋体"/>
                <w:sz w:val="24"/>
                <w:szCs w:val="24"/>
                <w:highlight w:val="none"/>
              </w:rPr>
              <w:t>预留业务章</w:t>
            </w:r>
          </w:p>
        </w:tc>
        <w:tc>
          <w:tcPr>
            <w:tcW w:w="2410" w:type="dxa"/>
            <w:tcBorders>
              <w:top w:val="nil"/>
              <w:left w:val="nil"/>
              <w:bottom w:val="nil"/>
              <w:right w:val="single" w:color="auto"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　</w:t>
            </w:r>
          </w:p>
        </w:tc>
        <w:tc>
          <w:tcPr>
            <w:tcW w:w="4245" w:type="dxa"/>
            <w:gridSpan w:val="2"/>
            <w:tcBorders>
              <w:top w:val="nil"/>
              <w:left w:val="nil"/>
              <w:bottom w:val="nil"/>
              <w:right w:val="single" w:color="000000"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预留业务章</w:t>
            </w:r>
          </w:p>
        </w:tc>
      </w:tr>
      <w:tr>
        <w:tblPrEx>
          <w:tblCellMar>
            <w:top w:w="0" w:type="dxa"/>
            <w:left w:w="108" w:type="dxa"/>
            <w:bottom w:w="0" w:type="dxa"/>
            <w:right w:w="108" w:type="dxa"/>
          </w:tblCellMar>
        </w:tblPrEx>
        <w:trPr>
          <w:trHeight w:val="915" w:hRule="atLeast"/>
        </w:trPr>
        <w:tc>
          <w:tcPr>
            <w:tcW w:w="1985" w:type="dxa"/>
            <w:gridSpan w:val="2"/>
            <w:tcBorders>
              <w:top w:val="nil"/>
              <w:left w:val="single" w:color="auto" w:sz="4" w:space="0"/>
              <w:bottom w:val="single" w:color="auto" w:sz="4" w:space="0"/>
              <w:right w:val="nil"/>
            </w:tcBorders>
          </w:tcPr>
          <w:p>
            <w:pPr>
              <w:widowControl/>
              <w:jc w:val="left"/>
              <w:rPr>
                <w:rFonts w:ascii="宋体" w:hAnsi="宋体" w:cs="宋体"/>
                <w:sz w:val="24"/>
                <w:szCs w:val="24"/>
                <w:highlight w:val="none"/>
              </w:rPr>
            </w:pPr>
            <w:r>
              <w:rPr>
                <w:rFonts w:hint="eastAsia" w:ascii="宋体" w:hAnsi="宋体" w:cs="宋体"/>
                <w:sz w:val="24"/>
                <w:szCs w:val="24"/>
                <w:highlight w:val="none"/>
              </w:rPr>
              <w:t>（管理人）</w:t>
            </w:r>
          </w:p>
        </w:tc>
        <w:tc>
          <w:tcPr>
            <w:tcW w:w="2410" w:type="dxa"/>
            <w:tcBorders>
              <w:top w:val="nil"/>
              <w:left w:val="nil"/>
              <w:bottom w:val="single" w:color="auto" w:sz="4" w:space="0"/>
              <w:right w:val="single" w:color="auto" w:sz="4" w:space="0"/>
            </w:tcBorders>
          </w:tcPr>
          <w:p>
            <w:pPr>
              <w:widowControl/>
              <w:jc w:val="left"/>
              <w:rPr>
                <w:rFonts w:ascii="宋体" w:hAnsi="宋体" w:cs="宋体"/>
                <w:sz w:val="24"/>
                <w:szCs w:val="24"/>
                <w:highlight w:val="none"/>
              </w:rPr>
            </w:pPr>
          </w:p>
        </w:tc>
        <w:tc>
          <w:tcPr>
            <w:tcW w:w="4245" w:type="dxa"/>
            <w:gridSpan w:val="2"/>
            <w:tcBorders>
              <w:top w:val="nil"/>
              <w:left w:val="nil"/>
              <w:bottom w:val="single" w:color="auto" w:sz="4" w:space="0"/>
              <w:right w:val="single" w:color="000000" w:sz="4" w:space="0"/>
            </w:tcBorders>
          </w:tcPr>
          <w:p>
            <w:pPr>
              <w:widowControl/>
              <w:jc w:val="left"/>
              <w:rPr>
                <w:rFonts w:ascii="宋体" w:hAnsi="宋体" w:cs="宋体"/>
                <w:sz w:val="24"/>
                <w:szCs w:val="24"/>
                <w:highlight w:val="none"/>
              </w:rPr>
            </w:pPr>
            <w:r>
              <w:rPr>
                <w:rFonts w:hint="eastAsia" w:ascii="宋体" w:hAnsi="宋体" w:cs="宋体"/>
                <w:sz w:val="24"/>
                <w:szCs w:val="24"/>
                <w:highlight w:val="none"/>
              </w:rPr>
              <w:t>（托管人）</w:t>
            </w:r>
          </w:p>
        </w:tc>
      </w:tr>
    </w:tbl>
    <w:p>
      <w:pPr>
        <w:ind w:right="-94"/>
        <w:jc w:val="right"/>
        <w:rPr>
          <w:rFonts w:ascii="宋体" w:hAnsi="宋体" w:cs="宋体"/>
          <w:sz w:val="24"/>
          <w:szCs w:val="24"/>
          <w:highlight w:val="none"/>
        </w:rPr>
      </w:pPr>
    </w:p>
    <w:p>
      <w:pPr>
        <w:widowControl/>
        <w:jc w:val="left"/>
        <w:rPr>
          <w:rFonts w:ascii="宋体" w:hAnsi="宋体" w:cs="宋体"/>
          <w:sz w:val="24"/>
          <w:szCs w:val="24"/>
          <w:highlight w:val="none"/>
        </w:rPr>
      </w:pPr>
      <w:bookmarkStart w:id="231" w:name="_Toc159860800"/>
      <w:r>
        <w:rPr>
          <w:rFonts w:hint="eastAsia" w:ascii="宋体" w:hAnsi="宋体" w:cs="宋体"/>
          <w:sz w:val="24"/>
          <w:szCs w:val="24"/>
          <w:highlight w:val="none"/>
        </w:rPr>
        <w:br w:type="page"/>
      </w:r>
    </w:p>
    <w:p>
      <w:pPr>
        <w:widowControl/>
        <w:jc w:val="left"/>
        <w:outlineLvl w:val="0"/>
        <w:rPr>
          <w:rFonts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eastAsia="zh-CN"/>
        </w:rPr>
        <w:t>三</w:t>
      </w:r>
      <w:r>
        <w:rPr>
          <w:rFonts w:hint="eastAsia" w:ascii="宋体" w:hAnsi="宋体" w:cs="宋体"/>
          <w:b/>
          <w:bCs/>
          <w:sz w:val="24"/>
          <w:szCs w:val="24"/>
          <w:highlight w:val="none"/>
        </w:rPr>
        <w:t>：</w:t>
      </w:r>
      <w:bookmarkEnd w:id="231"/>
    </w:p>
    <w:p>
      <w:pPr>
        <w:spacing w:line="360" w:lineRule="auto"/>
        <w:ind w:firstLine="482"/>
        <w:jc w:val="center"/>
        <w:rPr>
          <w:rFonts w:ascii="宋体" w:hAnsi="宋体" w:cs="宋体"/>
          <w:sz w:val="24"/>
          <w:szCs w:val="24"/>
          <w:highlight w:val="none"/>
        </w:rPr>
      </w:pPr>
      <w:r>
        <w:rPr>
          <w:rFonts w:hint="eastAsia" w:ascii="宋体" w:hAnsi="宋体" w:cs="宋体"/>
          <w:b/>
          <w:bCs/>
          <w:sz w:val="24"/>
          <w:szCs w:val="24"/>
          <w:highlight w:val="none"/>
        </w:rPr>
        <w:t>托管账户划款指令授权书（样本）</w:t>
      </w:r>
    </w:p>
    <w:p>
      <w:pPr>
        <w:spacing w:line="360" w:lineRule="auto"/>
        <w:ind w:firstLine="480"/>
        <w:rPr>
          <w:rFonts w:ascii="宋体" w:hAnsi="宋体"/>
          <w:sz w:val="24"/>
          <w:szCs w:val="28"/>
          <w:highlight w:val="none"/>
        </w:rPr>
      </w:pPr>
      <w:r>
        <w:rPr>
          <w:rFonts w:hint="eastAsia" w:ascii="宋体" w:hAnsi="宋体"/>
          <w:sz w:val="24"/>
          <w:szCs w:val="28"/>
          <w:highlight w:val="none"/>
        </w:rPr>
        <w:t>尊敬的托管人：</w:t>
      </w:r>
    </w:p>
    <w:p>
      <w:pPr>
        <w:spacing w:line="360" w:lineRule="auto"/>
        <w:ind w:firstLine="480"/>
        <w:rPr>
          <w:rFonts w:ascii="宋体" w:hAnsi="宋体"/>
          <w:sz w:val="24"/>
          <w:szCs w:val="28"/>
          <w:highlight w:val="none"/>
        </w:rPr>
      </w:pPr>
      <w:r>
        <w:rPr>
          <w:rFonts w:hint="eastAsia" w:ascii="宋体" w:hAnsi="宋体"/>
          <w:sz w:val="24"/>
          <w:szCs w:val="28"/>
          <w:highlight w:val="none"/>
        </w:rPr>
        <w:t>对于由我司管理、由贵行托管的理财产品，将优先采用深证通/其他电子直连的方式发送托管账户划款指令及相关附件。因系统异常等原因导致指令或附件无法通过直连方式发送的，我司将通过线下方式发送。</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我公司授权以下人员为托管账户划款指令有权签字人员，代表我司向贵行发送托管协议项下资金划拨指令以及其他相关附件。用章样本及有关人员签字样本、授权的邮箱及联系方式如下，请留存核验。</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本授权书生效日期以落款日期为准。在上述被授权人授权范围内，我公司确保向你行发送指令的真实性、准确性及合法性，并承担全部责任。</w:t>
      </w:r>
    </w:p>
    <w:tbl>
      <w:tblPr>
        <w:tblStyle w:val="40"/>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382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权限</w:t>
            </w:r>
          </w:p>
        </w:tc>
        <w:tc>
          <w:tcPr>
            <w:tcW w:w="141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highlight w:val="none"/>
              </w:rPr>
            </w:pPr>
            <w:r>
              <w:rPr>
                <w:rFonts w:hint="eastAsia" w:ascii="宋体" w:hAnsi="宋体" w:cs="宋体"/>
                <w:sz w:val="24"/>
                <w:szCs w:val="24"/>
                <w:highlight w:val="none"/>
              </w:rPr>
              <w:t>签字样本/印章样本</w:t>
            </w:r>
          </w:p>
        </w:tc>
        <w:tc>
          <w:tcPr>
            <w:tcW w:w="3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邮箱</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r>
              <w:rPr>
                <w:rFonts w:hint="eastAsia" w:ascii="宋体" w:hAnsi="宋体" w:cs="宋体"/>
                <w:sz w:val="24"/>
                <w:szCs w:val="24"/>
                <w:highlight w:val="none"/>
              </w:rPr>
              <w:t>经办与复核</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660" w:lineRule="exact"/>
              <w:ind w:firstLine="480"/>
              <w:jc w:val="center"/>
              <w:rPr>
                <w:rFonts w:ascii="宋体" w:hAnsi="宋体" w:cs="宋体"/>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660" w:lineRule="exact"/>
              <w:ind w:firstLine="480"/>
              <w:jc w:val="center"/>
              <w:rPr>
                <w:rFonts w:ascii="宋体" w:hAnsi="宋体" w:cs="宋体"/>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660" w:lineRule="exact"/>
              <w:ind w:firstLine="480"/>
              <w:jc w:val="center"/>
              <w:rPr>
                <w:rFonts w:ascii="宋体" w:hAnsi="宋体" w:cs="宋体"/>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660" w:lineRule="exact"/>
              <w:ind w:firstLine="480"/>
              <w:jc w:val="center"/>
              <w:rPr>
                <w:rFonts w:ascii="宋体" w:hAnsi="宋体" w:cs="宋体"/>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60" w:lineRule="exact"/>
              <w:jc w:val="center"/>
              <w:rPr>
                <w:rFonts w:ascii="宋体" w:hAnsi="宋体" w:cs="宋体"/>
                <w:sz w:val="24"/>
                <w:szCs w:val="24"/>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660" w:lineRule="exac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highlight w:val="none"/>
              </w:rPr>
            </w:pPr>
            <w:r>
              <w:rPr>
                <w:rFonts w:hint="eastAsia" w:ascii="宋体" w:hAnsi="宋体" w:cs="宋体"/>
                <w:sz w:val="24"/>
                <w:szCs w:val="24"/>
                <w:highlight w:val="none"/>
              </w:rPr>
              <w:t>其他邮箱</w:t>
            </w:r>
          </w:p>
        </w:tc>
        <w:tc>
          <w:tcPr>
            <w:tcW w:w="8505" w:type="dxa"/>
            <w:gridSpan w:val="4"/>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指令发送专用章</w:t>
            </w:r>
          </w:p>
        </w:tc>
        <w:tc>
          <w:tcPr>
            <w:tcW w:w="850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781"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highlight w:val="none"/>
              </w:rPr>
            </w:pPr>
            <w:r>
              <w:rPr>
                <w:rFonts w:hint="eastAsia" w:ascii="宋体" w:hAnsi="宋体" w:cs="宋体"/>
                <w:sz w:val="24"/>
                <w:szCs w:val="24"/>
                <w:highlight w:val="none"/>
              </w:rPr>
              <w:t>备注：1、指令发送用章须与个人签字或个人印章同时出具，方为有效。</w:t>
            </w:r>
          </w:p>
          <w:p>
            <w:pPr>
              <w:spacing w:line="360" w:lineRule="auto"/>
              <w:ind w:firstLine="480"/>
              <w:rPr>
                <w:rFonts w:ascii="宋体" w:hAnsi="宋体" w:cs="宋体"/>
                <w:sz w:val="24"/>
                <w:szCs w:val="24"/>
                <w:highlight w:val="none"/>
              </w:rPr>
            </w:pPr>
            <w:r>
              <w:rPr>
                <w:rFonts w:hint="eastAsia" w:ascii="宋体" w:hAnsi="宋体" w:cs="宋体"/>
                <w:sz w:val="24"/>
                <w:szCs w:val="24"/>
                <w:highlight w:val="none"/>
              </w:rPr>
              <w:t xml:space="preserve">  2、权限类型：经办、复核。</w:t>
            </w:r>
          </w:p>
        </w:tc>
      </w:tr>
    </w:tbl>
    <w:p>
      <w:pPr>
        <w:spacing w:line="360" w:lineRule="auto"/>
        <w:ind w:firstLine="4800"/>
        <w:rPr>
          <w:rFonts w:ascii="宋体" w:hAnsi="宋体" w:cs="宋体"/>
          <w:sz w:val="24"/>
          <w:szCs w:val="24"/>
          <w:highlight w:val="none"/>
        </w:rPr>
      </w:pPr>
    </w:p>
    <w:p>
      <w:pPr>
        <w:spacing w:line="360" w:lineRule="auto"/>
        <w:ind w:firstLine="4800"/>
        <w:rPr>
          <w:rFonts w:ascii="宋体" w:hAnsi="宋体" w:cs="宋体"/>
          <w:sz w:val="24"/>
          <w:szCs w:val="24"/>
          <w:highlight w:val="none"/>
        </w:rPr>
      </w:pPr>
    </w:p>
    <w:p>
      <w:pPr>
        <w:spacing w:line="360" w:lineRule="auto"/>
        <w:ind w:firstLine="4800"/>
        <w:rPr>
          <w:rFonts w:ascii="宋体" w:hAnsi="宋体" w:cs="宋体"/>
          <w:sz w:val="24"/>
          <w:szCs w:val="24"/>
          <w:highlight w:val="none"/>
        </w:rPr>
      </w:pPr>
      <w:r>
        <w:rPr>
          <w:rFonts w:hint="eastAsia" w:ascii="宋体" w:hAnsi="宋体" w:cs="宋体"/>
          <w:sz w:val="24"/>
          <w:szCs w:val="24"/>
          <w:highlight w:val="none"/>
        </w:rPr>
        <w:t>平安理财有限责任公司（公章）</w:t>
      </w:r>
    </w:p>
    <w:p>
      <w:pPr>
        <w:spacing w:line="360" w:lineRule="auto"/>
        <w:ind w:firstLine="5760"/>
        <w:rPr>
          <w:rFonts w:ascii="宋体" w:hAnsi="宋体" w:cs="宋体"/>
          <w:b/>
          <w:bCs/>
          <w:sz w:val="24"/>
          <w:szCs w:val="24"/>
          <w:highlight w:val="none"/>
        </w:rPr>
      </w:pPr>
      <w:r>
        <w:rPr>
          <w:rFonts w:hint="eastAsia" w:ascii="宋体" w:hAnsi="宋体" w:cs="宋体"/>
          <w:sz w:val="24"/>
          <w:szCs w:val="24"/>
          <w:highlight w:val="none"/>
        </w:rPr>
        <w:t xml:space="preserve">年 </w:t>
      </w:r>
      <w:r>
        <w:rPr>
          <w:rFonts w:ascii="宋体" w:hAnsi="宋体" w:cs="宋体"/>
          <w:sz w:val="24"/>
          <w:szCs w:val="24"/>
          <w:highlight w:val="none"/>
        </w:rPr>
        <w:t xml:space="preserve">  </w:t>
      </w:r>
      <w:r>
        <w:rPr>
          <w:rFonts w:hint="eastAsia" w:ascii="宋体" w:hAnsi="宋体" w:cs="宋体"/>
          <w:sz w:val="24"/>
          <w:szCs w:val="24"/>
          <w:highlight w:val="none"/>
        </w:rPr>
        <w:t xml:space="preserve">月 </w:t>
      </w:r>
      <w:r>
        <w:rPr>
          <w:rFonts w:ascii="宋体" w:hAnsi="宋体" w:cs="宋体"/>
          <w:sz w:val="24"/>
          <w:szCs w:val="24"/>
          <w:highlight w:val="none"/>
        </w:rPr>
        <w:t xml:space="preserve"> </w:t>
      </w:r>
      <w:r>
        <w:rPr>
          <w:rFonts w:hint="eastAsia" w:ascii="宋体" w:hAnsi="宋体" w:cs="宋体"/>
          <w:sz w:val="24"/>
          <w:szCs w:val="24"/>
          <w:highlight w:val="none"/>
        </w:rPr>
        <w:t xml:space="preserve"> 日</w:t>
      </w:r>
      <w:bookmarkStart w:id="232" w:name="_Toc8866"/>
      <w:bookmarkStart w:id="233" w:name="_Toc159860801"/>
      <w:bookmarkStart w:id="234" w:name="_Toc10928"/>
      <w:bookmarkStart w:id="235" w:name="_Toc22802446"/>
      <w:bookmarkStart w:id="236" w:name="_Toc26534"/>
      <w:bookmarkStart w:id="237" w:name="_Toc31113"/>
    </w:p>
    <w:p>
      <w:pPr>
        <w:widowControl/>
        <w:shd w:val="clear" w:color="FFFFFF" w:fill="FFFFFF"/>
        <w:jc w:val="left"/>
        <w:outlineLvl w:val="9"/>
        <w:rPr>
          <w:rFonts w:hint="eastAsia" w:ascii="宋体" w:hAnsi="宋体" w:cs="宋体"/>
          <w:b/>
          <w:bCs/>
          <w:sz w:val="24"/>
          <w:szCs w:val="24"/>
          <w:highlight w:val="none"/>
        </w:rPr>
      </w:pPr>
      <w:r>
        <w:rPr>
          <w:rFonts w:hint="eastAsia" w:ascii="宋体" w:hAnsi="宋体" w:cs="宋体"/>
          <w:b/>
          <w:bCs/>
          <w:sz w:val="24"/>
          <w:szCs w:val="24"/>
          <w:highlight w:val="none"/>
        </w:rPr>
        <w:br w:type="page"/>
      </w:r>
    </w:p>
    <w:p>
      <w:pPr>
        <w:widowControl/>
        <w:shd w:val="clear" w:color="FFFFFF" w:fill="FFFFFF"/>
        <w:jc w:val="left"/>
        <w:outlineLvl w:val="0"/>
        <w:rPr>
          <w:rFonts w:hint="eastAsia" w:ascii="宋体" w:hAnsi="宋体" w:cs="宋体"/>
          <w:b/>
          <w:bCs/>
          <w:sz w:val="24"/>
          <w:szCs w:val="24"/>
          <w:highlight w:val="none"/>
        </w:rPr>
      </w:pPr>
      <w:r>
        <w:rPr>
          <w:rFonts w:hint="eastAsia" w:ascii="宋体" w:hAnsi="宋体" w:cs="宋体"/>
          <w:b/>
          <w:bCs/>
          <w:sz w:val="24"/>
          <w:szCs w:val="24"/>
          <w:highlight w:val="none"/>
        </w:rPr>
        <w:t>附件</w:t>
      </w:r>
      <w:r>
        <w:rPr>
          <w:rFonts w:hint="eastAsia" w:ascii="宋体" w:hAnsi="宋体" w:cs="宋体"/>
          <w:b/>
          <w:bCs/>
          <w:sz w:val="24"/>
          <w:szCs w:val="24"/>
          <w:highlight w:val="none"/>
          <w:lang w:eastAsia="zh-CN"/>
        </w:rPr>
        <w:t>四</w:t>
      </w:r>
      <w:r>
        <w:rPr>
          <w:rFonts w:hint="eastAsia" w:ascii="宋体" w:hAnsi="宋体" w:cs="宋体"/>
          <w:b/>
          <w:bCs/>
          <w:sz w:val="24"/>
          <w:szCs w:val="24"/>
          <w:highlight w:val="none"/>
        </w:rPr>
        <w:t>：</w:t>
      </w:r>
      <w:bookmarkEnd w:id="232"/>
      <w:bookmarkEnd w:id="233"/>
      <w:bookmarkEnd w:id="234"/>
      <w:bookmarkEnd w:id="235"/>
      <w:bookmarkEnd w:id="236"/>
      <w:bookmarkEnd w:id="237"/>
    </w:p>
    <w:p>
      <w:pPr>
        <w:widowControl/>
        <w:jc w:val="center"/>
        <w:rPr>
          <w:rFonts w:ascii="宋体" w:hAnsi="宋体" w:cs="宋体"/>
          <w:b/>
          <w:sz w:val="28"/>
          <w:szCs w:val="22"/>
          <w:highlight w:val="none"/>
        </w:rPr>
      </w:pPr>
      <w:bookmarkStart w:id="238" w:name="_Toc3049"/>
      <w:bookmarkStart w:id="239" w:name="_Toc13705"/>
      <w:bookmarkStart w:id="240" w:name="_Toc31899"/>
      <w:bookmarkStart w:id="241" w:name="_Toc23704"/>
      <w:bookmarkStart w:id="242" w:name="_Toc12114"/>
      <w:bookmarkStart w:id="243" w:name="_Toc22802447"/>
      <w:r>
        <w:rPr>
          <w:rFonts w:ascii="宋体" w:hAnsi="宋体" w:cs="宋体"/>
          <w:b/>
          <w:bCs/>
          <w:sz w:val="28"/>
          <w:szCs w:val="24"/>
          <w:highlight w:val="none"/>
        </w:rPr>
        <w:t xml:space="preserve">  </w:t>
      </w:r>
      <w:r>
        <w:rPr>
          <w:rFonts w:hint="eastAsia" w:ascii="宋体" w:hAnsi="宋体" w:cs="宋体"/>
          <w:b/>
          <w:bCs/>
          <w:sz w:val="28"/>
          <w:szCs w:val="24"/>
          <w:highlight w:val="none"/>
        </w:rPr>
        <w:t xml:space="preserve"> </w:t>
      </w:r>
      <w:r>
        <w:rPr>
          <w:rFonts w:ascii="宋体" w:hAnsi="宋体" w:cs="宋体"/>
          <w:b/>
          <w:bCs/>
          <w:sz w:val="32"/>
          <w:szCs w:val="24"/>
          <w:highlight w:val="none"/>
        </w:rPr>
        <w:t xml:space="preserve"> </w:t>
      </w:r>
      <w:r>
        <w:rPr>
          <w:rFonts w:hint="eastAsia" w:ascii="宋体" w:hAnsi="宋体" w:cs="宋体"/>
          <w:b/>
          <w:sz w:val="28"/>
          <w:szCs w:val="22"/>
          <w:highlight w:val="none"/>
        </w:rPr>
        <w:t>业务联系表</w:t>
      </w:r>
      <w:bookmarkEnd w:id="238"/>
      <w:bookmarkEnd w:id="239"/>
      <w:bookmarkEnd w:id="240"/>
      <w:bookmarkEnd w:id="241"/>
      <w:bookmarkEnd w:id="242"/>
      <w:bookmarkEnd w:id="243"/>
    </w:p>
    <w:tbl>
      <w:tblPr>
        <w:tblStyle w:val="4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1389"/>
        <w:gridCol w:w="2126"/>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081" w:type="dxa"/>
            <w:gridSpan w:val="5"/>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平安理财有限责任有限公司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业务协调</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jc w:val="center"/>
              <w:rPr>
                <w:rFonts w:ascii="仿宋_GB2312" w:hAnsi="宋体" w:eastAsia="仿宋_GB2312"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sz w:val="24"/>
                <w:szCs w:val="24"/>
                <w:highlight w:val="none"/>
                <w:lang w:eastAsia="zh-CN"/>
              </w:rPr>
            </w:pP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s="宋体"/>
                <w:sz w:val="24"/>
                <w:szCs w:val="24"/>
                <w:highlight w:val="none"/>
                <w:lang w:val="en-US" w:eastAsia="zh-CN"/>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估值</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交易支持</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bookmarkStart w:id="244" w:name="_GoBack"/>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账户</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TA</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信披</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监管报送</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交易</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投资监督</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jc w:val="center"/>
              <w:rPr>
                <w:rFonts w:ascii="仿宋_GB2312" w:hAnsi="宋体" w:eastAsia="仿宋_GB2312"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投资监督</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sz w:val="24"/>
                <w:szCs w:val="24"/>
                <w:highlight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sz w:val="24"/>
                <w:szCs w:val="24"/>
                <w:highlight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jc w:val="center"/>
              <w:rPr>
                <w:rFonts w:ascii="仿宋_GB2312" w:hAnsi="宋体" w:eastAsia="仿宋_GB2312"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科技及系统对接</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sz w:val="24"/>
                <w:szCs w:val="24"/>
                <w:highlight w:val="none"/>
                <w:u w:val="none"/>
                <w:lang w:eastAsia="zh-CN"/>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sz w:val="24"/>
                <w:szCs w:val="24"/>
                <w:highlight w:val="none"/>
                <w:u w:val="none"/>
                <w:lang w:val="en-US" w:eastAsia="zh-CN"/>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jc w:val="center"/>
              <w:rPr>
                <w:rFonts w:ascii="仿宋_GB2312" w:hAnsi="宋体" w:eastAsia="仿宋_GB2312" w:cs="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c>
          <w:tcPr>
            <w:tcW w:w="138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sz w:val="24"/>
                <w:szCs w:val="24"/>
                <w:highlight w:val="none"/>
                <w:u w:val="none"/>
                <w:lang w:eastAsia="zh-CN"/>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sz w:val="24"/>
                <w:szCs w:val="24"/>
                <w:highlight w:val="none"/>
                <w:u w:val="none"/>
                <w:lang w:val="en-US" w:eastAsia="zh-CN"/>
              </w:rPr>
            </w:pPr>
          </w:p>
        </w:tc>
        <w:tc>
          <w:tcPr>
            <w:tcW w:w="30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81" w:type="dxa"/>
            <w:gridSpan w:val="5"/>
            <w:tcBorders>
              <w:top w:val="single" w:color="auto" w:sz="4" w:space="0"/>
              <w:left w:val="single" w:color="auto" w:sz="4" w:space="0"/>
              <w:bottom w:val="single" w:color="auto" w:sz="4" w:space="0"/>
              <w:right w:val="single" w:color="auto" w:sz="4" w:space="0"/>
            </w:tcBorders>
            <w:vAlign w:val="center"/>
          </w:tcPr>
          <w:tbl>
            <w:tblPr>
              <w:tblStyle w:val="40"/>
              <w:tblpPr w:leftFromText="180" w:rightFromText="180" w:vertAnchor="text" w:horzAnchor="page" w:tblpX="6" w:tblpY="-34"/>
              <w:tblOverlap w:val="never"/>
              <w:tblW w:w="90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6"/>
              <w:gridCol w:w="2155"/>
              <w:gridCol w:w="1680"/>
              <w:gridCol w:w="3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093" w:type="dxa"/>
                  <w:gridSpan w:val="4"/>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中信银行股份有限公司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37"/>
                      <w:lang w:val="en-US" w:eastAsia="zh-CN" w:bidi="ar"/>
                    </w:rPr>
                    <w:t xml:space="preserve">岗 </w:t>
                  </w:r>
                  <w:r>
                    <w:rPr>
                      <w:rStyle w:val="238"/>
                      <w:rFonts w:eastAsia="宋体"/>
                      <w:lang w:val="en-US" w:eastAsia="zh-CN" w:bidi="ar"/>
                    </w:rPr>
                    <w:t xml:space="preserve">   </w:t>
                  </w:r>
                  <w:r>
                    <w:rPr>
                      <w:rStyle w:val="237"/>
                      <w:lang w:val="en-US" w:eastAsia="zh-CN" w:bidi="ar"/>
                    </w:rPr>
                    <w:t>位</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姓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清算经办人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清算复核人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清算审核人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核算联系人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投资监督</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投资监督</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营运负责人</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c>
                <w:tcPr>
                  <w:tcW w:w="364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传真号码</w:t>
                  </w:r>
                </w:p>
              </w:tc>
              <w:tc>
                <w:tcPr>
                  <w:tcW w:w="747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指定接收划款指令邮箱</w:t>
                  </w:r>
                </w:p>
              </w:tc>
              <w:tc>
                <w:tcPr>
                  <w:tcW w:w="747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深证通小站号</w:t>
                  </w:r>
                </w:p>
              </w:tc>
              <w:tc>
                <w:tcPr>
                  <w:tcW w:w="7477"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16"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邮寄地址</w:t>
                  </w:r>
                </w:p>
              </w:tc>
              <w:tc>
                <w:tcPr>
                  <w:tcW w:w="7477"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r>
          </w:tbl>
          <w:p>
            <w:pPr>
              <w:widowControl/>
              <w:jc w:val="center"/>
              <w:rPr>
                <w:rFonts w:hint="eastAsia" w:ascii="仿宋_GB2312" w:hAnsi="宋体" w:eastAsia="仿宋_GB2312" w:cs="宋体"/>
                <w:color w:val="auto"/>
                <w:sz w:val="24"/>
                <w:szCs w:val="24"/>
                <w:highlight w:val="none"/>
                <w:u w:val="none"/>
                <w:lang w:val="en-US" w:eastAsia="zh-CN"/>
              </w:rPr>
            </w:pPr>
          </w:p>
        </w:tc>
      </w:tr>
    </w:tbl>
    <w:p>
      <w:pP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Webdings"/>
    <w:panose1 w:val="02010609000101010101"/>
    <w:charset w:val="00"/>
    <w:family w:val="auto"/>
    <w:pitch w:val="default"/>
    <w:sig w:usb0="00000000" w:usb1="00000000" w:usb2="00000000" w:usb3="00000000" w:csb0="00000000" w:csb1="00000000"/>
  </w:font>
  <w:font w:name="Webdings">
    <w:panose1 w:val="02000609000000000000"/>
    <w:charset w:val="00"/>
    <w:family w:val="auto"/>
    <w:pitch w:val="default"/>
    <w:sig w:usb0="800000AF" w:usb1="5000204A" w:usb2="00000000" w:usb3="00000000" w:csb0="2000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napToGrid/>
      <w:rPr>
        <w:rStyle w:val="44"/>
      </w:rPr>
    </w:pPr>
    <w:r>
      <w:fldChar w:fldCharType="begin"/>
    </w:r>
    <w:r>
      <w:rPr>
        <w:rStyle w:val="44"/>
      </w:rPr>
      <w:instrText xml:space="preserve">PAGE  </w:instrText>
    </w:r>
    <w:r>
      <w:fldChar w:fldCharType="separate"/>
    </w:r>
    <w:r>
      <w:rPr>
        <w:rStyle w:val="44"/>
      </w:rPr>
      <w:t>1</w:t>
    </w:r>
    <w:r>
      <w:fldChar w:fldCharType="end"/>
    </w:r>
  </w:p>
  <w:p>
    <w:pPr>
      <w:pStyle w:val="25"/>
      <w:snapToGri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E4655"/>
    <w:multiLevelType w:val="multilevel"/>
    <w:tmpl w:val="65DE4655"/>
    <w:lvl w:ilvl="0" w:tentative="0">
      <w:start w:val="7"/>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4F"/>
    <w:rsid w:val="00074FB6"/>
    <w:rsid w:val="00171532"/>
    <w:rsid w:val="0019604F"/>
    <w:rsid w:val="00536B98"/>
    <w:rsid w:val="006171AB"/>
    <w:rsid w:val="00820EEC"/>
    <w:rsid w:val="008F28B5"/>
    <w:rsid w:val="00BB60BC"/>
    <w:rsid w:val="00BD66A7"/>
    <w:rsid w:val="00D3514F"/>
    <w:rsid w:val="00F65D5C"/>
    <w:rsid w:val="00FD6167"/>
    <w:rsid w:val="05B01562"/>
    <w:rsid w:val="0E903724"/>
    <w:rsid w:val="0EB2379B"/>
    <w:rsid w:val="11631115"/>
    <w:rsid w:val="13D927DD"/>
    <w:rsid w:val="18CB7CA2"/>
    <w:rsid w:val="1B3C246A"/>
    <w:rsid w:val="234C6958"/>
    <w:rsid w:val="26E26C7D"/>
    <w:rsid w:val="2B336F16"/>
    <w:rsid w:val="2BBB0069"/>
    <w:rsid w:val="32383245"/>
    <w:rsid w:val="391F7B75"/>
    <w:rsid w:val="3CAD038E"/>
    <w:rsid w:val="3CD20703"/>
    <w:rsid w:val="3D38197B"/>
    <w:rsid w:val="3E963374"/>
    <w:rsid w:val="40925627"/>
    <w:rsid w:val="435658B9"/>
    <w:rsid w:val="43F369BF"/>
    <w:rsid w:val="4BBB7B7B"/>
    <w:rsid w:val="4EE33224"/>
    <w:rsid w:val="4FFDE62E"/>
    <w:rsid w:val="53FE210B"/>
    <w:rsid w:val="54E105B1"/>
    <w:rsid w:val="55310C74"/>
    <w:rsid w:val="58EDBA18"/>
    <w:rsid w:val="5A127F5C"/>
    <w:rsid w:val="60C447CD"/>
    <w:rsid w:val="63F3C4B3"/>
    <w:rsid w:val="69346048"/>
    <w:rsid w:val="69456D92"/>
    <w:rsid w:val="69A67EEC"/>
    <w:rsid w:val="6EA13727"/>
    <w:rsid w:val="6EE70B8B"/>
    <w:rsid w:val="6F5FCA81"/>
    <w:rsid w:val="774F72D2"/>
    <w:rsid w:val="780F13E6"/>
    <w:rsid w:val="7BFDA7F1"/>
    <w:rsid w:val="7DADC3F3"/>
    <w:rsid w:val="7DD7F27B"/>
    <w:rsid w:val="CFF36EE5"/>
    <w:rsid w:val="DDF76E79"/>
    <w:rsid w:val="DF6A82CC"/>
    <w:rsid w:val="E5BFD6E9"/>
    <w:rsid w:val="E7F55348"/>
    <w:rsid w:val="F4EEF2EC"/>
    <w:rsid w:val="FE7DC352"/>
    <w:rsid w:val="FFF79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nhideWhenUsed="0" w:uiPriority="99"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FFFFFF"/>
      <w:jc w:val="both"/>
    </w:pPr>
    <w:rPr>
      <w:rFonts w:ascii="Times New Roman" w:hAnsi="Times New Roman" w:eastAsia="宋体" w:cs="Times New Roman"/>
      <w:sz w:val="21"/>
      <w:szCs w:val="21"/>
      <w:lang w:val="en-US" w:eastAsia="zh-CN" w:bidi="ar-SA"/>
    </w:rPr>
  </w:style>
  <w:style w:type="paragraph" w:styleId="3">
    <w:name w:val="heading 1"/>
    <w:basedOn w:val="1"/>
    <w:next w:val="1"/>
    <w:link w:val="49"/>
    <w:qFormat/>
    <w:uiPriority w:val="99"/>
    <w:pPr>
      <w:keepNext/>
      <w:keepLines/>
      <w:spacing w:before="340" w:after="330" w:line="576" w:lineRule="auto"/>
      <w:outlineLvl w:val="0"/>
    </w:pPr>
    <w:rPr>
      <w:b/>
      <w:bCs/>
      <w:sz w:val="44"/>
      <w:szCs w:val="44"/>
    </w:rPr>
  </w:style>
  <w:style w:type="paragraph" w:styleId="4">
    <w:name w:val="heading 2"/>
    <w:basedOn w:val="1"/>
    <w:next w:val="1"/>
    <w:link w:val="86"/>
    <w:unhideWhenUsed/>
    <w:qFormat/>
    <w:uiPriority w:val="9"/>
    <w:pPr>
      <w:keepNext/>
      <w:keepLines/>
      <w:spacing w:before="360" w:after="200"/>
      <w:outlineLvl w:val="1"/>
    </w:pPr>
    <w:rPr>
      <w:rFonts w:ascii="Arial" w:hAnsi="Arial" w:cs="Arial"/>
      <w:sz w:val="34"/>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88"/>
    <w:unhideWhenUsed/>
    <w:qFormat/>
    <w:uiPriority w:val="9"/>
    <w:pPr>
      <w:keepNext/>
      <w:keepLines/>
      <w:spacing w:before="320" w:after="200"/>
      <w:outlineLvl w:val="3"/>
    </w:pPr>
    <w:rPr>
      <w:rFonts w:ascii="Arial" w:hAnsi="Arial" w:cs="Arial"/>
      <w:b/>
      <w:bCs/>
      <w:sz w:val="26"/>
      <w:szCs w:val="26"/>
    </w:rPr>
  </w:style>
  <w:style w:type="paragraph" w:styleId="6">
    <w:name w:val="heading 5"/>
    <w:basedOn w:val="1"/>
    <w:next w:val="1"/>
    <w:link w:val="89"/>
    <w:unhideWhenUsed/>
    <w:qFormat/>
    <w:uiPriority w:val="9"/>
    <w:pPr>
      <w:keepNext/>
      <w:keepLines/>
      <w:spacing w:before="320" w:after="200"/>
      <w:outlineLvl w:val="4"/>
    </w:pPr>
    <w:rPr>
      <w:rFonts w:ascii="Arial" w:hAnsi="Arial" w:cs="Arial"/>
      <w:b/>
      <w:bCs/>
      <w:sz w:val="24"/>
      <w:szCs w:val="24"/>
    </w:rPr>
  </w:style>
  <w:style w:type="paragraph" w:styleId="7">
    <w:name w:val="heading 6"/>
    <w:basedOn w:val="1"/>
    <w:next w:val="1"/>
    <w:link w:val="90"/>
    <w:unhideWhenUsed/>
    <w:qFormat/>
    <w:uiPriority w:val="9"/>
    <w:pPr>
      <w:keepNext/>
      <w:keepLines/>
      <w:spacing w:before="320" w:after="200"/>
      <w:outlineLvl w:val="5"/>
    </w:pPr>
    <w:rPr>
      <w:rFonts w:ascii="Arial" w:hAnsi="Arial" w:cs="Arial"/>
      <w:b/>
      <w:bCs/>
      <w:sz w:val="22"/>
      <w:szCs w:val="22"/>
    </w:rPr>
  </w:style>
  <w:style w:type="paragraph" w:styleId="8">
    <w:name w:val="heading 7"/>
    <w:basedOn w:val="1"/>
    <w:next w:val="1"/>
    <w:link w:val="91"/>
    <w:unhideWhenUsed/>
    <w:qFormat/>
    <w:uiPriority w:val="9"/>
    <w:pPr>
      <w:keepNext/>
      <w:keepLines/>
      <w:spacing w:before="320" w:after="200"/>
      <w:outlineLvl w:val="6"/>
    </w:pPr>
    <w:rPr>
      <w:rFonts w:ascii="Arial" w:hAnsi="Arial" w:cs="Arial"/>
      <w:b/>
      <w:bCs/>
      <w:i/>
      <w:iCs/>
      <w:sz w:val="22"/>
      <w:szCs w:val="22"/>
    </w:rPr>
  </w:style>
  <w:style w:type="paragraph" w:styleId="9">
    <w:name w:val="heading 8"/>
    <w:basedOn w:val="1"/>
    <w:next w:val="1"/>
    <w:link w:val="92"/>
    <w:unhideWhenUsed/>
    <w:qFormat/>
    <w:uiPriority w:val="9"/>
    <w:pPr>
      <w:keepNext/>
      <w:keepLines/>
      <w:spacing w:before="320" w:after="200"/>
      <w:outlineLvl w:val="7"/>
    </w:pPr>
    <w:rPr>
      <w:rFonts w:ascii="Arial" w:hAnsi="Arial" w:cs="Arial"/>
      <w:i/>
      <w:iCs/>
      <w:sz w:val="22"/>
      <w:szCs w:val="22"/>
    </w:rPr>
  </w:style>
  <w:style w:type="paragraph" w:styleId="10">
    <w:name w:val="heading 9"/>
    <w:basedOn w:val="1"/>
    <w:next w:val="1"/>
    <w:link w:val="93"/>
    <w:unhideWhenUsed/>
    <w:qFormat/>
    <w:uiPriority w:val="9"/>
    <w:pPr>
      <w:keepNext/>
      <w:keepLines/>
      <w:spacing w:before="320" w:after="200"/>
      <w:outlineLvl w:val="8"/>
    </w:pPr>
    <w:rPr>
      <w:rFonts w:ascii="Arial" w:hAnsi="Arial" w:cs="Arial"/>
      <w:i/>
      <w:iCs/>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table of authorities"/>
    <w:basedOn w:val="1"/>
    <w:next w:val="1"/>
    <w:semiHidden/>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ind w:left="420" w:leftChars="200"/>
    </w:pPr>
    <w:rPr>
      <w:szCs w:val="24"/>
    </w:rPr>
  </w:style>
  <w:style w:type="paragraph" w:styleId="13">
    <w:name w:val="Normal Indent"/>
    <w:basedOn w:val="1"/>
    <w:link w:val="236"/>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200" w:firstLineChars="200"/>
    </w:pPr>
    <w:rPr>
      <w:rFonts w:ascii="宋体" w:hAnsi="宋体"/>
      <w:szCs w:val="24"/>
    </w:r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211"/>
    <w:qFormat/>
    <w:uiPriority w:val="99"/>
    <w:pPr>
      <w:jc w:val="left"/>
    </w:pPr>
    <w:rPr>
      <w:rFonts w:ascii="等线" w:hAnsi="等线" w:cs="等线"/>
    </w:rPr>
  </w:style>
  <w:style w:type="paragraph" w:styleId="16">
    <w:name w:val="Body Text"/>
    <w:basedOn w:val="1"/>
    <w:qFormat/>
    <w:uiPriority w:val="1"/>
  </w:style>
  <w:style w:type="paragraph" w:styleId="17">
    <w:name w:val="Body Text Indent"/>
    <w:basedOn w:val="1"/>
    <w:qFormat/>
    <w:uiPriority w:val="0"/>
    <w:pPr>
      <w:spacing w:line="360" w:lineRule="auto"/>
      <w:ind w:firstLine="425"/>
    </w:pPr>
  </w:style>
  <w:style w:type="paragraph" w:styleId="18">
    <w:name w:val="toc 5"/>
    <w:basedOn w:val="1"/>
    <w:next w:val="1"/>
    <w:semiHidden/>
    <w:qFormat/>
    <w:uiPriority w:val="99"/>
    <w:pPr>
      <w:ind w:left="1680"/>
    </w:pPr>
  </w:style>
  <w:style w:type="paragraph" w:styleId="19">
    <w:name w:val="toc 3"/>
    <w:basedOn w:val="1"/>
    <w:next w:val="1"/>
    <w:qFormat/>
    <w:uiPriority w:val="39"/>
    <w:pPr>
      <w:ind w:left="840"/>
    </w:pPr>
  </w:style>
  <w:style w:type="paragraph" w:styleId="20">
    <w:name w:val="Plain Text"/>
    <w:basedOn w:val="1"/>
    <w:link w:val="212"/>
    <w:qFormat/>
    <w:uiPriority w:val="99"/>
    <w:rPr>
      <w:rFonts w:ascii="宋体" w:hAnsi="Courier New" w:cs="宋体"/>
      <w:lang w:val="zh-CN"/>
    </w:rPr>
  </w:style>
  <w:style w:type="paragraph" w:styleId="21">
    <w:name w:val="toc 8"/>
    <w:basedOn w:val="1"/>
    <w:next w:val="1"/>
    <w:unhideWhenUsed/>
    <w:qFormat/>
    <w:uiPriority w:val="39"/>
    <w:pPr>
      <w:spacing w:after="57"/>
      <w:ind w:left="1984"/>
    </w:pPr>
  </w:style>
  <w:style w:type="paragraph" w:styleId="22">
    <w:name w:val="Body Text Indent 2"/>
    <w:basedOn w:val="1"/>
    <w:link w:val="213"/>
    <w:qFormat/>
    <w:uiPriority w:val="99"/>
    <w:pPr>
      <w:spacing w:after="120" w:line="480" w:lineRule="auto"/>
      <w:ind w:left="420"/>
    </w:pPr>
    <w:rPr>
      <w:rFonts w:ascii="等线" w:hAnsi="等线" w:cs="等线"/>
      <w:lang w:val="zh-CN"/>
    </w:rPr>
  </w:style>
  <w:style w:type="paragraph" w:styleId="23">
    <w:name w:val="endnote text"/>
    <w:basedOn w:val="1"/>
    <w:link w:val="70"/>
    <w:semiHidden/>
    <w:unhideWhenUsed/>
    <w:qFormat/>
    <w:uiPriority w:val="99"/>
    <w:rPr>
      <w:sz w:val="20"/>
    </w:rPr>
  </w:style>
  <w:style w:type="paragraph" w:styleId="24">
    <w:name w:val="Balloon Text"/>
    <w:basedOn w:val="1"/>
    <w:link w:val="214"/>
    <w:semiHidden/>
    <w:qFormat/>
    <w:uiPriority w:val="99"/>
    <w:rPr>
      <w:sz w:val="18"/>
      <w:szCs w:val="18"/>
    </w:rPr>
  </w:style>
  <w:style w:type="paragraph" w:styleId="25">
    <w:name w:val="footer"/>
    <w:basedOn w:val="1"/>
    <w:link w:val="215"/>
    <w:qFormat/>
    <w:uiPriority w:val="99"/>
    <w:pPr>
      <w:tabs>
        <w:tab w:val="center" w:pos="4153"/>
        <w:tab w:val="right" w:pos="8306"/>
      </w:tabs>
      <w:snapToGrid w:val="0"/>
      <w:jc w:val="left"/>
    </w:pPr>
    <w:rPr>
      <w:sz w:val="18"/>
      <w:szCs w:val="18"/>
    </w:rPr>
  </w:style>
  <w:style w:type="paragraph" w:styleId="26">
    <w:name w:val="header"/>
    <w:basedOn w:val="1"/>
    <w:link w:val="21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b/>
      <w:bCs/>
      <w:caps/>
      <w:sz w:val="20"/>
      <w:szCs w:val="20"/>
    </w:rPr>
  </w:style>
  <w:style w:type="paragraph" w:styleId="28">
    <w:name w:val="toc 4"/>
    <w:basedOn w:val="1"/>
    <w:next w:val="1"/>
    <w:unhideWhenUsed/>
    <w:qFormat/>
    <w:uiPriority w:val="39"/>
    <w:pPr>
      <w:spacing w:after="57"/>
      <w:ind w:left="850"/>
    </w:pPr>
  </w:style>
  <w:style w:type="paragraph" w:styleId="29">
    <w:name w:val="Subtitle"/>
    <w:basedOn w:val="1"/>
    <w:next w:val="1"/>
    <w:link w:val="96"/>
    <w:qFormat/>
    <w:uiPriority w:val="11"/>
    <w:pPr>
      <w:spacing w:before="200" w:after="200"/>
    </w:pPr>
    <w:rPr>
      <w:sz w:val="24"/>
      <w:szCs w:val="24"/>
    </w:rPr>
  </w:style>
  <w:style w:type="paragraph" w:styleId="30">
    <w:name w:val="footnote text"/>
    <w:basedOn w:val="1"/>
    <w:link w:val="209"/>
    <w:semiHidden/>
    <w:unhideWhenUsed/>
    <w:qFormat/>
    <w:uiPriority w:val="99"/>
    <w:pPr>
      <w:spacing w:after="40"/>
    </w:pPr>
    <w:rPr>
      <w:sz w:val="18"/>
    </w:rPr>
  </w:style>
  <w:style w:type="paragraph" w:styleId="31">
    <w:name w:val="toc 6"/>
    <w:basedOn w:val="1"/>
    <w:next w:val="1"/>
    <w:unhideWhenUsed/>
    <w:qFormat/>
    <w:uiPriority w:val="39"/>
    <w:pPr>
      <w:spacing w:after="57"/>
      <w:ind w:left="1417"/>
    </w:pPr>
  </w:style>
  <w:style w:type="paragraph" w:styleId="32">
    <w:name w:val="Body Text Indent 3"/>
    <w:basedOn w:val="1"/>
    <w:link w:val="217"/>
    <w:qFormat/>
    <w:uiPriority w:val="99"/>
    <w:pPr>
      <w:ind w:firstLine="560"/>
    </w:pPr>
    <w:rPr>
      <w:rFonts w:ascii="仿宋_GB2312" w:eastAsia="仿宋_GB2312" w:cs="仿宋_GB2312"/>
      <w:sz w:val="28"/>
      <w:szCs w:val="28"/>
    </w:rPr>
  </w:style>
  <w:style w:type="paragraph" w:styleId="33">
    <w:name w:val="table of figures"/>
    <w:basedOn w:val="1"/>
    <w:next w:val="1"/>
    <w:unhideWhenUsed/>
    <w:qFormat/>
    <w:uiPriority w:val="99"/>
  </w:style>
  <w:style w:type="paragraph" w:styleId="34">
    <w:name w:val="toc 2"/>
    <w:basedOn w:val="1"/>
    <w:next w:val="1"/>
    <w:unhideWhenUsed/>
    <w:qFormat/>
    <w:uiPriority w:val="39"/>
    <w:pPr>
      <w:spacing w:after="57"/>
      <w:ind w:left="283"/>
    </w:pPr>
  </w:style>
  <w:style w:type="paragraph" w:styleId="35">
    <w:name w:val="toc 9"/>
    <w:basedOn w:val="1"/>
    <w:next w:val="1"/>
    <w:unhideWhenUsed/>
    <w:qFormat/>
    <w:uiPriority w:val="39"/>
    <w:pPr>
      <w:spacing w:after="57"/>
      <w:ind w:left="2268"/>
    </w:pPr>
  </w:style>
  <w:style w:type="paragraph" w:styleId="36">
    <w:name w:val="HTML Preformatted"/>
    <w:basedOn w:val="1"/>
    <w:link w:val="2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37">
    <w:name w:val="Normal (Web)"/>
    <w:basedOn w:val="1"/>
    <w:semiHidden/>
    <w:qFormat/>
    <w:uiPriority w:val="99"/>
    <w:pPr>
      <w:widowControl/>
      <w:spacing w:before="100" w:beforeAutospacing="1" w:after="100" w:afterAutospacing="1"/>
      <w:jc w:val="left"/>
    </w:pPr>
    <w:rPr>
      <w:rFonts w:ascii="宋体" w:hAnsi="宋体" w:cs="宋体"/>
      <w:sz w:val="24"/>
      <w:szCs w:val="24"/>
    </w:rPr>
  </w:style>
  <w:style w:type="paragraph" w:styleId="38">
    <w:name w:val="Title"/>
    <w:basedOn w:val="1"/>
    <w:next w:val="1"/>
    <w:link w:val="95"/>
    <w:qFormat/>
    <w:uiPriority w:val="10"/>
    <w:pPr>
      <w:spacing w:before="300" w:after="200"/>
      <w:contextualSpacing/>
    </w:pPr>
    <w:rPr>
      <w:sz w:val="48"/>
      <w:szCs w:val="48"/>
    </w:rPr>
  </w:style>
  <w:style w:type="paragraph" w:styleId="39">
    <w:name w:val="annotation subject"/>
    <w:basedOn w:val="15"/>
    <w:next w:val="15"/>
    <w:link w:val="219"/>
    <w:semiHidden/>
    <w:qFormat/>
    <w:uiPriority w:val="99"/>
    <w:rPr>
      <w:b/>
      <w:bCs/>
    </w:rPr>
  </w:style>
  <w:style w:type="table" w:styleId="41">
    <w:name w:val="Table Grid"/>
    <w:basedOn w:val="4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43">
    <w:name w:val="endnote reference"/>
    <w:basedOn w:val="42"/>
    <w:semiHidden/>
    <w:unhideWhenUsed/>
    <w:qFormat/>
    <w:uiPriority w:val="99"/>
    <w:rPr>
      <w:vertAlign w:val="superscript"/>
    </w:rPr>
  </w:style>
  <w:style w:type="character" w:styleId="44">
    <w:name w:val="page number"/>
    <w:qFormat/>
    <w:uiPriority w:val="99"/>
  </w:style>
  <w:style w:type="character" w:styleId="45">
    <w:name w:val="FollowedHyperlink"/>
    <w:qFormat/>
    <w:uiPriority w:val="99"/>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basedOn w:val="42"/>
    <w:unhideWhenUsed/>
    <w:qFormat/>
    <w:uiPriority w:val="99"/>
    <w:rPr>
      <w:vertAlign w:val="superscript"/>
    </w:rPr>
  </w:style>
  <w:style w:type="character" w:customStyle="1" w:styleId="49">
    <w:name w:val="标题 1 字符"/>
    <w:link w:val="3"/>
    <w:qFormat/>
    <w:uiPriority w:val="99"/>
    <w:rPr>
      <w:rFonts w:ascii="Times New Roman" w:hAnsi="Times New Roman" w:eastAsia="宋体" w:cs="Times New Roman"/>
      <w:b/>
      <w:bCs/>
      <w:sz w:val="20"/>
      <w:szCs w:val="20"/>
    </w:rPr>
  </w:style>
  <w:style w:type="character" w:customStyle="1" w:styleId="50">
    <w:name w:val="Caption Char"/>
    <w:qFormat/>
    <w:uiPriority w:val="99"/>
  </w:style>
  <w:style w:type="table" w:customStyle="1" w:styleId="51">
    <w:name w:val="无格式表格 11"/>
    <w:basedOn w:val="4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shd w:val="clear" w:color="F1F1F1" w:fill="F1F1F1" w:themeFill="text1" w:themeFillTint="0D"/>
      </w:tcPr>
    </w:tblStylePr>
    <w:tblStylePr w:type="band2Vert">
      <w:pPr>
        <w:snapToGrid/>
      </w:pPr>
    </w:tblStylePr>
    <w:tblStylePr w:type="band1Horz">
      <w:pPr>
        <w:snapToGrid/>
      </w:pPr>
      <w:tcPr>
        <w:shd w:val="clear" w:color="F1F1F1"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2">
    <w:name w:val="无格式表格 21"/>
    <w:basedOn w:val="40"/>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pPr>
        <w:snapToGrid/>
      </w:pPr>
      <w:rPr>
        <w:rFonts w:ascii="Arial" w:hAnsi="Arial"/>
        <w:b/>
        <w:color w:val="404040"/>
        <w:sz w:val="22"/>
      </w:rPr>
      <w:tcPr>
        <w:tcBorders>
          <w:top w:val="single" w:color="000000" w:themeColor="text1" w:sz="4" w:space="0"/>
          <w:bottom w:val="single" w:color="000000" w:themeColor="text1" w:sz="4" w:space="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cPr>
        <w:tcBorders>
          <w:left w:val="single" w:color="000000" w:themeColor="text1" w:sz="4" w:space="0"/>
          <w:right w:val="single" w:color="000000" w:themeColor="text1" w:sz="4" w:space="0"/>
        </w:tcBorders>
      </w:tcPr>
    </w:tblStylePr>
    <w:tblStylePr w:type="band2Vert">
      <w:pPr>
        <w:snapToGrid/>
      </w:pPr>
      <w:tcPr>
        <w:tcBorders>
          <w:left w:val="single" w:color="000000" w:themeColor="text1" w:sz="4" w:space="0"/>
          <w:right w:val="single" w:color="000000" w:themeColor="text1" w:sz="4" w:space="0"/>
        </w:tcBorders>
      </w:tcPr>
    </w:tblStylePr>
    <w:tblStylePr w:type="band1Horz">
      <w:pPr>
        <w:snapToGrid/>
      </w:p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3">
    <w:name w:val="无格式表格 31"/>
    <w:basedOn w:val="40"/>
    <w:qFormat/>
    <w:uiPriority w:val="99"/>
    <w:tblStylePr w:type="firstRow">
      <w:pPr>
        <w:snapToGrid/>
      </w:pPr>
      <w:rPr>
        <w:b/>
        <w:caps/>
        <w:color w:val="404040"/>
      </w:rPr>
      <w:tcPr>
        <w:tcBorders>
          <w:top w:val="nil"/>
          <w:left w:val="nil"/>
          <w:bottom w:val="single" w:color="404040" w:sz="4" w:space="0"/>
          <w:right w:val="nil"/>
        </w:tcBorders>
      </w:tcPr>
    </w:tblStylePr>
    <w:tblStylePr w:type="lastRow">
      <w:pPr>
        <w:snapToGrid/>
      </w:pPr>
      <w:rPr>
        <w:b/>
        <w:caps/>
        <w:color w:val="404040"/>
      </w:rPr>
    </w:tblStylePr>
    <w:tblStylePr w:type="firstCol">
      <w:pPr>
        <w:snapToGrid/>
      </w:pPr>
      <w:rPr>
        <w:b/>
        <w:caps/>
        <w:color w:val="404040"/>
      </w:rPr>
      <w:tcPr>
        <w:tcBorders>
          <w:top w:val="nil"/>
          <w:left w:val="nil"/>
          <w:bottom w:val="nil"/>
          <w:right w:val="single" w:color="404040" w:sz="4" w:space="0"/>
        </w:tcBorders>
      </w:tcPr>
    </w:tblStylePr>
    <w:tblStylePr w:type="lastCol">
      <w:pPr>
        <w:snapToGrid/>
      </w:pPr>
      <w:rPr>
        <w:b/>
        <w:caps/>
        <w:color w:val="404040"/>
      </w:rPr>
    </w:tblStylePr>
    <w:tblStylePr w:type="band1Vert">
      <w:pPr>
        <w:snapToGrid/>
      </w:pPr>
      <w:rPr>
        <w:rFonts w:ascii="Arial" w:hAnsi="Arial"/>
        <w:color w:val="404040"/>
        <w:sz w:val="22"/>
      </w:rPr>
      <w:tcPr>
        <w:shd w:val="clear" w:color="F1F1F1" w:fill="F1F1F1" w:themeFill="text1" w:themeFillTint="0D"/>
      </w:tcPr>
    </w:tblStylePr>
    <w:tblStylePr w:type="band2Vert">
      <w:pPr>
        <w:snapToGrid/>
      </w:pPr>
    </w:tblStylePr>
    <w:tblStylePr w:type="band1Horz">
      <w:pPr>
        <w:snapToGrid/>
      </w:pPr>
      <w:rPr>
        <w:rFonts w:ascii="Arial" w:hAnsi="Arial"/>
        <w:color w:val="404040"/>
        <w:sz w:val="22"/>
      </w:rPr>
      <w:tcPr>
        <w:shd w:val="clear" w:color="F1F1F1"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4">
    <w:name w:val="无格式表格 41"/>
    <w:basedOn w:val="40"/>
    <w:qFormat/>
    <w:uiPriority w:val="99"/>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1F1F1" w:fill="F1F1F1" w:themeFill="text1" w:themeFillTint="0D"/>
      </w:tcPr>
    </w:tblStylePr>
    <w:tblStylePr w:type="band2Vert">
      <w:pPr>
        <w:snapToGrid/>
      </w:pPr>
    </w:tblStylePr>
    <w:tblStylePr w:type="band1Horz">
      <w:pPr>
        <w:snapToGrid/>
      </w:pPr>
      <w:rPr>
        <w:rFonts w:ascii="Arial" w:hAnsi="Arial"/>
        <w:color w:val="404040"/>
        <w:sz w:val="22"/>
      </w:rPr>
      <w:tcPr>
        <w:shd w:val="clear" w:color="F1F1F1"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5">
    <w:name w:val="无格式表格 51"/>
    <w:basedOn w:val="40"/>
    <w:qFormat/>
    <w:uiPriority w:val="99"/>
    <w:tblStylePr w:type="firstRow">
      <w:pPr>
        <w:snapToGrid/>
      </w:pPr>
      <w:rPr>
        <w:i/>
        <w:color w:val="404040"/>
      </w:rPr>
      <w:tcPr>
        <w:tcBorders>
          <w:left w:val="nil"/>
          <w:bottom w:val="single" w:color="404040" w:sz="4" w:space="0"/>
          <w:right w:val="nil"/>
        </w:tcBorders>
        <w:shd w:val="clear" w:color="FFFFFF" w:fill="FFFFFF"/>
      </w:tcPr>
    </w:tblStylePr>
    <w:tblStylePr w:type="lastRow">
      <w:pPr>
        <w:snapToGrid/>
      </w:pPr>
      <w:rPr>
        <w:i/>
        <w:color w:val="404040"/>
      </w:rPr>
      <w:tcPr>
        <w:tcBorders>
          <w:top w:val="single" w:color="404040" w:sz="4" w:space="0"/>
          <w:left w:val="nil"/>
          <w:right w:val="nil"/>
        </w:tcBorders>
        <w:shd w:val="clear" w:color="FFFFFF" w:fill="FFFFFF"/>
      </w:tcPr>
    </w:tblStylePr>
    <w:tblStylePr w:type="firstCol">
      <w:pPr>
        <w:snapToGrid/>
        <w:jc w:val="right"/>
      </w:pPr>
      <w:rPr>
        <w:i/>
        <w:color w:val="404040"/>
      </w:rPr>
      <w:tcPr>
        <w:tcBorders>
          <w:right w:val="single" w:color="404040" w:sz="4" w:space="0"/>
        </w:tcBorders>
        <w:shd w:val="clear" w:color="FFFFFF" w:fill="FFFFFF"/>
      </w:tcPr>
    </w:tblStylePr>
    <w:tblStylePr w:type="lastCol">
      <w:pPr>
        <w:snapToGrid/>
      </w:pPr>
      <w:rPr>
        <w:i/>
        <w:color w:val="404040"/>
      </w:rPr>
      <w:tcPr>
        <w:tcBorders>
          <w:left w:val="single" w:color="404040" w:sz="4" w:space="0"/>
        </w:tcBorders>
        <w:shd w:val="clear" w:color="FFFFFF" w:fill="FFFFFF"/>
      </w:tcPr>
    </w:tblStylePr>
    <w:tblStylePr w:type="band1Vert">
      <w:pPr>
        <w:snapToGrid/>
      </w:pPr>
      <w:rPr>
        <w:rFonts w:ascii="Arial" w:hAnsi="Arial"/>
        <w:color w:val="404040"/>
        <w:sz w:val="22"/>
      </w:rPr>
      <w:tcPr>
        <w:shd w:val="clear" w:color="F1F1F1" w:fill="F1F1F1" w:themeFill="text1" w:themeFillTint="0D"/>
      </w:tcPr>
    </w:tblStylePr>
    <w:tblStylePr w:type="band2Vert">
      <w:pPr>
        <w:snapToGrid/>
      </w:pPr>
    </w:tblStylePr>
    <w:tblStylePr w:type="band1Horz">
      <w:pPr>
        <w:snapToGrid/>
      </w:pPr>
      <w:rPr>
        <w:rFonts w:ascii="Arial" w:hAnsi="Arial"/>
        <w:color w:val="404040"/>
        <w:sz w:val="22"/>
      </w:rPr>
      <w:tcPr>
        <w:shd w:val="clear" w:color="F1F1F1" w:fill="F1F1F1"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6">
    <w:name w:val="网格表 1 浅色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pPr>
        <w:snapToGrid/>
      </w:pPr>
      <w:rPr>
        <w:b/>
        <w:bCs/>
      </w:rPr>
      <w:tcPr>
        <w:tcBorders>
          <w:bottom w:val="single" w:color="666666" w:themeColor="text1" w:themeTint="99" w:sz="12" w:space="0"/>
        </w:tcBorders>
      </w:tcPr>
    </w:tblStylePr>
    <w:tblStylePr w:type="lastRow">
      <w:pPr>
        <w:snapToGrid/>
      </w:pPr>
      <w:rPr>
        <w:b/>
        <w:bCs/>
      </w:rPr>
      <w:tcPr>
        <w:tcBorders>
          <w:top w:val="single" w:color="666666" w:themeColor="text1" w:themeTint="99" w:sz="2" w:space="0"/>
        </w:tcBorders>
      </w:tcPr>
    </w:tblStylePr>
    <w:tblStylePr w:type="firstCol">
      <w:pPr>
        <w:snapToGrid/>
      </w:pPr>
      <w:rPr>
        <w:b/>
        <w:bCs/>
      </w:rPr>
    </w:tblStylePr>
    <w:tblStylePr w:type="lastCol">
      <w:pPr>
        <w:snapToGrid/>
      </w:pPr>
      <w:rPr>
        <w:b/>
        <w:bCs/>
      </w:rPr>
    </w:tblStylePr>
    <w:tblStylePr w:type="band1Vert">
      <w:pPr>
        <w:snapToGrid/>
      </w:pPr>
    </w:tblStylePr>
    <w:tblStylePr w:type="band2Vert">
      <w:pPr>
        <w:snapToGrid/>
      </w:pPr>
    </w:tblStylePr>
    <w:tblStylePr w:type="band1Horz">
      <w:pPr>
        <w:snapToGrid/>
      </w:pPr>
      <w:rPr>
        <w:rFonts w:ascii="Arial" w:hAnsi="Arial"/>
        <w:color w:val="404040"/>
        <w:sz w:val="22"/>
      </w:r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7">
    <w:name w:val="网格表 21"/>
    <w:basedOn w:val="4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pPr>
        <w:snapToGrid/>
      </w:pPr>
      <w:rPr>
        <w:b/>
        <w:color w:val="404040"/>
      </w:rPr>
      <w:tcPr>
        <w:tcBorders>
          <w:top w:val="nil"/>
          <w:left w:val="nil"/>
          <w:bottom w:val="single" w:color="696969" w:themeColor="text1" w:themeTint="95" w:sz="12" w:space="0"/>
          <w:right w:val="nil"/>
        </w:tcBorders>
        <w:shd w:val="clear" w:color="FFFFFF" w:fill="FFFFFF"/>
      </w:tcPr>
    </w:tblStylePr>
    <w:tblStylePr w:type="lastRow">
      <w:pPr>
        <w:snapToGrid/>
      </w:pPr>
      <w:rPr>
        <w:b/>
        <w:color w:val="404040"/>
      </w:rPr>
      <w:tcPr>
        <w:tcBorders>
          <w:top w:val="single" w:color="696969" w:themeColor="text1" w:themeTint="95"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CACACA" w:fill="CACACA" w:themeFill="text1" w:themeFillTint="34"/>
      </w:tcPr>
    </w:tblStylePr>
    <w:tblStylePr w:type="band2Vert">
      <w:pPr>
        <w:snapToGrid/>
      </w:pPr>
    </w:tblStylePr>
    <w:tblStylePr w:type="band1Horz">
      <w:pPr>
        <w:snapToGrid/>
      </w:pPr>
      <w:rPr>
        <w:rFonts w:ascii="Arial" w:hAnsi="Arial"/>
        <w:color w:val="404040"/>
        <w:sz w:val="22"/>
      </w:rPr>
      <w:tcPr>
        <w:shd w:val="clear" w:color="CACACA"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8">
    <w:name w:val="网格表 31"/>
    <w:basedOn w:val="40"/>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CACACA" w:fill="CACACA" w:themeFill="text1" w:themeFillTint="34"/>
      </w:tcPr>
    </w:tblStylePr>
    <w:tblStylePr w:type="band2Vert">
      <w:pPr>
        <w:snapToGrid/>
      </w:pPr>
    </w:tblStylePr>
    <w:tblStylePr w:type="band1Horz">
      <w:pPr>
        <w:snapToGrid/>
      </w:pPr>
      <w:rPr>
        <w:rFonts w:ascii="Arial" w:hAnsi="Arial"/>
        <w:color w:val="404040"/>
        <w:sz w:val="22"/>
      </w:rPr>
      <w:tcPr>
        <w:shd w:val="clear" w:color="CACACA"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9">
    <w:name w:val="网格表 41"/>
    <w:basedOn w:val="40"/>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pPr>
        <w:snapToGrid/>
      </w:pPr>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pPr>
        <w:snapToGrid/>
      </w:pPr>
      <w:rPr>
        <w:b/>
        <w:color w:val="404040"/>
      </w:rPr>
      <w:tcPr>
        <w:tcBorders>
          <w:top w:val="single" w:color="000000" w:themeColor="text1"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CACACA" w:fill="CACACA" w:themeFill="text1" w:themeFillTint="34"/>
      </w:tcPr>
    </w:tblStylePr>
    <w:tblStylePr w:type="band2Vert">
      <w:pPr>
        <w:snapToGrid/>
      </w:pPr>
    </w:tblStylePr>
    <w:tblStylePr w:type="band1Horz">
      <w:pPr>
        <w:snapToGrid/>
      </w:pPr>
      <w:rPr>
        <w:rFonts w:ascii="Arial" w:hAnsi="Arial"/>
        <w:color w:val="404040"/>
        <w:sz w:val="22"/>
      </w:rPr>
      <w:tcPr>
        <w:shd w:val="clear" w:color="CACACA" w:fill="CACACA"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0">
    <w:name w:val="网格表 5 深色1"/>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000000" w:fill="000000" w:themeFill="text1"/>
      </w:tcPr>
    </w:tblStylePr>
    <w:tblStylePr w:type="lastRow">
      <w:pPr>
        <w:snapToGrid/>
      </w:pPr>
      <w:rPr>
        <w:rFonts w:ascii="Arial" w:hAnsi="Arial"/>
        <w:b/>
        <w:color w:val="FFFFFF"/>
        <w:sz w:val="22"/>
      </w:rPr>
      <w:tcPr>
        <w:tcBorders>
          <w:top w:val="single" w:color="FFFFFF" w:themeColor="light1" w:sz="4" w:space="0"/>
        </w:tcBorders>
        <w:shd w:val="clear" w:color="000000" w:fill="000000" w:themeFill="text1"/>
      </w:tcPr>
    </w:tblStylePr>
    <w:tblStylePr w:type="firstCol">
      <w:pPr>
        <w:snapToGrid/>
      </w:pPr>
      <w:rPr>
        <w:rFonts w:ascii="Arial" w:hAnsi="Arial"/>
        <w:b/>
        <w:color w:val="FFFFFF"/>
        <w:sz w:val="22"/>
      </w:rPr>
      <w:tcPr>
        <w:shd w:val="clear" w:color="000000" w:fill="000000" w:themeFill="text1"/>
      </w:tcPr>
    </w:tblStylePr>
    <w:tblStylePr w:type="lastCol">
      <w:pPr>
        <w:snapToGrid/>
      </w:pPr>
      <w:rPr>
        <w:rFonts w:ascii="Arial" w:hAnsi="Arial"/>
        <w:b/>
        <w:color w:val="FFFFFF"/>
        <w:sz w:val="22"/>
      </w:rPr>
      <w:tcPr>
        <w:shd w:val="clear" w:color="000000" w:fill="000000" w:themeFill="text1"/>
      </w:tcPr>
    </w:tblStylePr>
    <w:tblStylePr w:type="band1Vert">
      <w:pPr>
        <w:snapToGrid/>
      </w:pPr>
      <w:tcPr>
        <w:shd w:val="clear" w:color="898989" w:fill="898989" w:themeFill="text1" w:themeFillTint="75"/>
      </w:tcPr>
    </w:tblStylePr>
    <w:tblStylePr w:type="band2Vert">
      <w:pPr>
        <w:snapToGrid/>
      </w:pPr>
    </w:tblStylePr>
    <w:tblStylePr w:type="band1Horz">
      <w:pPr>
        <w:snapToGrid/>
      </w:pPr>
      <w:tcPr>
        <w:shd w:val="clear" w:color="898989" w:fill="898989"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40"/>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pPr>
        <w:snapToGrid/>
      </w:pPr>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pPr>
        <w:snapToGrid/>
      </w:pPr>
      <w:rPr>
        <w:b/>
        <w:color w:val="808080" w:themeColor="text1" w:themeTint="80"/>
        <w14:textFill>
          <w14:solidFill>
            <w14:schemeClr w14:val="tx1">
              <w14:lumMod w14:val="50000"/>
              <w14:lumOff w14:val="50000"/>
            </w14:schemeClr>
          </w14:solidFill>
        </w14:textFill>
      </w:rPr>
    </w:tblStylePr>
    <w:tblStylePr w:type="firstCol">
      <w:pPr>
        <w:snapToGrid/>
      </w:pPr>
      <w:rPr>
        <w:b/>
        <w:color w:val="808080" w:themeColor="text1" w:themeTint="80"/>
        <w14:textFill>
          <w14:solidFill>
            <w14:schemeClr w14:val="tx1">
              <w14:lumMod w14:val="50000"/>
              <w14:lumOff w14:val="50000"/>
            </w14:schemeClr>
          </w14:solidFill>
        </w14:textFill>
      </w:rPr>
    </w:tblStylePr>
    <w:tblStylePr w:type="lastCol">
      <w:pPr>
        <w:snapToGrid/>
      </w:pPr>
      <w:rPr>
        <w:b/>
        <w:color w:val="808080" w:themeColor="text1" w:themeTint="80"/>
        <w14:textFill>
          <w14:solidFill>
            <w14:schemeClr w14:val="tx1">
              <w14:lumMod w14:val="50000"/>
              <w14:lumOff w14:val="50000"/>
            </w14:schemeClr>
          </w14:solidFill>
        </w14:textFill>
      </w:rPr>
    </w:tblStylePr>
    <w:tblStylePr w:type="band1Vert">
      <w:pPr>
        <w:snapToGrid/>
      </w:pPr>
      <w:tcPr>
        <w:shd w:val="clear" w:color="CACACA" w:fill="CACACA" w:themeFill="text1" w:themeFillTint="34"/>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CACACA" w:fill="CACACA" w:themeFill="text1" w:themeFillTint="34"/>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2">
    <w:name w:val="网格表 7 彩色1"/>
    <w:basedOn w:val="40"/>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pPr>
        <w:snapToGrid/>
      </w:pPr>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pPr>
        <w:snapToGrid/>
      </w:pPr>
      <w:tcPr>
        <w:shd w:val="clear" w:color="F1F1F1" w:fill="F1F1F1" w:themeFill="text1" w:themeFillTint="0D"/>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F1F1F1" w:fill="F1F1F1" w:themeFill="text1" w:themeFillTint="0D"/>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3">
    <w:name w:val="清单表 1 浅色1"/>
    <w:basedOn w:val="40"/>
    <w:qFormat/>
    <w:uiPriority w:val="99"/>
    <w:tblStylePr w:type="firstRow">
      <w:pPr>
        <w:snapToGrid/>
      </w:pPr>
      <w:rPr>
        <w:b/>
        <w:color w:val="404040"/>
      </w:rPr>
      <w:tcPr>
        <w:tcBorders>
          <w:top w:val="nil"/>
          <w:left w:val="nil"/>
          <w:bottom w:val="single" w:color="000000" w:themeColor="text1" w:sz="4" w:space="0"/>
          <w:right w:val="nil"/>
        </w:tcBorders>
      </w:tcPr>
    </w:tblStylePr>
    <w:tblStylePr w:type="lastRow">
      <w:pPr>
        <w:snapToGrid/>
      </w:pPr>
      <w:rPr>
        <w:b/>
        <w:color w:val="404040"/>
      </w:rPr>
      <w:tcPr>
        <w:tcBorders>
          <w:top w:val="single" w:color="000000" w:themeColor="tex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BEBEBE" w:fill="BEBEBE" w:themeFill="text1" w:themeFillTint="40"/>
      </w:tcPr>
    </w:tblStylePr>
    <w:tblStylePr w:type="band2Vert">
      <w:pPr>
        <w:snapToGrid/>
      </w:pPr>
    </w:tblStylePr>
    <w:tblStylePr w:type="band1Horz">
      <w:pPr>
        <w:snapToGrid/>
      </w:pPr>
      <w:tcPr>
        <w:shd w:val="clear" w:color="BEBEBE"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4">
    <w:name w:val="清单表 21"/>
    <w:basedOn w:val="40"/>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pPr>
        <w:snapToGrid/>
      </w:pPr>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BEBEBE" w:fill="BEBEBE" w:themeFill="text1" w:themeFillTint="40"/>
      </w:tcPr>
    </w:tblStylePr>
    <w:tblStylePr w:type="band2Vert">
      <w:pPr>
        <w:snapToGrid/>
      </w:pPr>
    </w:tblStylePr>
    <w:tblStylePr w:type="band1Horz">
      <w:pPr>
        <w:snapToGrid/>
      </w:pPr>
      <w:rPr>
        <w:rFonts w:ascii="Arial" w:hAnsi="Arial"/>
        <w:color w:val="404040"/>
        <w:sz w:val="22"/>
      </w:rPr>
      <w:tcPr>
        <w:shd w:val="clear" w:color="BEBEBE"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5">
    <w:name w:val="清单表 31"/>
    <w:basedOn w:val="4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pPr>
        <w:snapToGrid/>
      </w:pPr>
      <w:rPr>
        <w:rFonts w:ascii="Arial" w:hAnsi="Arial"/>
        <w:b/>
        <w:color w:val="FFFFFF"/>
        <w:sz w:val="22"/>
      </w:r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000000" w:themeColor="text1" w:sz="4" w:space="0"/>
          <w:right w:val="single" w:color="000000" w:themeColor="text1" w:sz="4" w:space="0"/>
        </w:tcBorders>
      </w:tcPr>
    </w:tblStylePr>
    <w:tblStylePr w:type="band2Vert">
      <w:pPr>
        <w:snapToGrid/>
      </w:pPr>
    </w:tblStylePr>
    <w:tblStylePr w:type="band1Horz">
      <w:pPr>
        <w:snapToGrid/>
      </w:pPr>
      <w:rPr>
        <w:rFonts w:ascii="Arial" w:hAnsi="Arial"/>
        <w:color w:val="404040"/>
        <w:sz w:val="22"/>
      </w:rPr>
      <w:tcPr>
        <w:tcBorders>
          <w:top w:val="single" w:color="000000" w:themeColor="text1" w:sz="4" w:space="0"/>
          <w:bottom w:val="single" w:color="000000" w:themeColor="tex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6">
    <w:name w:val="清单表 41"/>
    <w:basedOn w:val="4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pPr>
        <w:snapToGrid/>
      </w:pPr>
      <w:rPr>
        <w:rFonts w:ascii="Arial" w:hAnsi="Arial"/>
        <w:b/>
        <w:color w:val="FFFFFF"/>
        <w:sz w:val="22"/>
      </w:r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BEBEBE" w:fill="BEBEBE" w:themeFill="text1" w:themeFillTint="40"/>
      </w:tcPr>
    </w:tblStylePr>
    <w:tblStylePr w:type="band2Vert">
      <w:pPr>
        <w:snapToGrid/>
      </w:pPr>
    </w:tblStylePr>
    <w:tblStylePr w:type="band1Horz">
      <w:pPr>
        <w:snapToGrid/>
      </w:pPr>
      <w:rPr>
        <w:rFonts w:ascii="Arial" w:hAnsi="Arial"/>
        <w:color w:val="404040"/>
        <w:sz w:val="22"/>
      </w:rPr>
      <w:tcPr>
        <w:shd w:val="clear" w:color="BEBEBE" w:fill="BEBEBE"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7">
    <w:name w:val="清单表 5 深色1"/>
    <w:basedOn w:val="40"/>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fill="7E7E7E" w:themeFill="text1" w:themeFillTint="80"/>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pPr>
        <w:snapToGrid/>
      </w:pPr>
      <w:tcPr>
        <w:tcBorders>
          <w:left w:val="single" w:color="FFFFFF" w:themeColor="light1" w:sz="4" w:space="0"/>
          <w:right w:val="single" w:color="7E7E7E" w:themeColor="text1" w:themeTint="80" w:sz="32" w:space="0"/>
        </w:tcBorders>
      </w:tcPr>
    </w:tblStylePr>
    <w:tblStylePr w:type="band1Vert">
      <w:pPr>
        <w:snapToGrid/>
      </w:pPr>
      <w:tcPr>
        <w:tcBorders>
          <w:left w:val="single" w:color="FFFFFF" w:themeColor="light1" w:sz="4" w:space="0"/>
          <w:right w:val="single" w:color="FFFFFF" w:themeColor="light1" w:sz="4" w:space="0"/>
        </w:tcBorders>
        <w:shd w:val="clear" w:color="7E7E7E" w:fill="7E7E7E" w:themeFill="text1" w:themeFillTint="80"/>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7E7E7E" w:fill="7E7E7E" w:themeFill="text1" w:themeFillTint="80"/>
      </w:tcPr>
    </w:tblStylePr>
    <w:tblStylePr w:type="band2Horz">
      <w:pPr>
        <w:snapToGrid/>
      </w:pPr>
      <w:tcPr>
        <w:tcBorders>
          <w:top w:val="single" w:color="FFFFFF" w:themeColor="light1" w:sz="4" w:space="0"/>
          <w:bottom w:val="single" w:color="FFFFFF" w:themeColor="light1" w:sz="4" w:space="0"/>
        </w:tcBorders>
        <w:shd w:val="clear" w:color="7E7E7E" w:fill="7E7E7E"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8">
    <w:name w:val="清单表 6 彩色1"/>
    <w:basedOn w:val="40"/>
    <w:qFormat/>
    <w:uiPriority w:val="99"/>
    <w:tblPr>
      <w:tblBorders>
        <w:top w:val="single" w:color="7E7E7E" w:themeColor="text1" w:themeTint="80" w:sz="4" w:space="0"/>
        <w:bottom w:val="single" w:color="7E7E7E" w:themeColor="text1" w:themeTint="80" w:sz="4" w:space="0"/>
      </w:tblBorders>
    </w:tblPr>
    <w:tblStylePr w:type="firstRow">
      <w:pPr>
        <w:snapToGrid/>
      </w:pPr>
      <w:rPr>
        <w:b/>
        <w:color w:val="000000" w:themeColor="text1"/>
        <w14:textFill>
          <w14:solidFill>
            <w14:schemeClr w14:val="tx1"/>
          </w14:solidFill>
        </w14:textFill>
      </w:rPr>
      <w:tcPr>
        <w:tcBorders>
          <w:bottom w:val="single" w:color="7E7E7E" w:themeColor="text1" w:themeTint="80" w:sz="4" w:space="0"/>
        </w:tcBorders>
      </w:tcPr>
    </w:tblStylePr>
    <w:tblStylePr w:type="lastRow">
      <w:pPr>
        <w:snapToGrid/>
      </w:pPr>
      <w:rPr>
        <w:b/>
        <w:color w:val="000000" w:themeColor="text1"/>
        <w14:textFill>
          <w14:solidFill>
            <w14:schemeClr w14:val="tx1"/>
          </w14:solidFill>
        </w14:textFill>
      </w:rPr>
      <w:tcPr>
        <w:tcBorders>
          <w:top w:val="single" w:color="7E7E7E" w:themeColor="text1" w:themeTint="80" w:sz="4" w:space="0"/>
        </w:tcBorders>
      </w:tcPr>
    </w:tblStylePr>
    <w:tblStylePr w:type="firstCol">
      <w:pPr>
        <w:snapToGrid/>
      </w:pPr>
      <w:rPr>
        <w:b/>
        <w:color w:val="000000" w:themeColor="text1"/>
        <w14:textFill>
          <w14:solidFill>
            <w14:schemeClr w14:val="tx1"/>
          </w14:solidFill>
        </w14:textFill>
      </w:rPr>
    </w:tblStylePr>
    <w:tblStylePr w:type="lastCol">
      <w:pPr>
        <w:snapToGrid/>
      </w:pPr>
      <w:rPr>
        <w:b/>
        <w:color w:val="000000" w:themeColor="text1"/>
        <w14:textFill>
          <w14:solidFill>
            <w14:schemeClr w14:val="tx1"/>
          </w14:solidFill>
        </w14:textFill>
      </w:rPr>
    </w:tblStylePr>
    <w:tblStylePr w:type="band1Vert">
      <w:pPr>
        <w:snapToGrid/>
      </w:pPr>
      <w:tcPr>
        <w:shd w:val="clear" w:color="BEBEBE" w:fill="BEBEBE" w:themeFill="text1" w:themeFillTint="40"/>
      </w:tcPr>
    </w:tblStylePr>
    <w:tblStylePr w:type="band2Vert">
      <w:pPr>
        <w:snapToGrid/>
      </w:pPr>
    </w:tblStylePr>
    <w:tblStylePr w:type="band1Horz">
      <w:pPr>
        <w:snapToGrid/>
      </w:pPr>
      <w:rPr>
        <w:rFonts w:ascii="Arial" w:hAnsi="Arial"/>
        <w:color w:val="000000" w:themeColor="text1"/>
        <w:sz w:val="22"/>
        <w14:textFill>
          <w14:solidFill>
            <w14:schemeClr w14:val="tx1"/>
          </w14:solidFill>
        </w14:textFill>
      </w:rPr>
      <w:tcPr>
        <w:shd w:val="clear" w:color="BEBEBE" w:fill="BEBEBE" w:themeFill="text1" w:themeFillTint="40"/>
      </w:tcPr>
    </w:tblStylePr>
    <w:tblStylePr w:type="band2Horz">
      <w:pPr>
        <w:snapToGrid/>
      </w:pPr>
      <w:rPr>
        <w:rFonts w:ascii="Arial" w:hAnsi="Arial"/>
        <w:color w:val="000000" w:themeColor="text1"/>
        <w:sz w:val="22"/>
        <w14:textFill>
          <w14:solidFill>
            <w14:schemeClr w14:val="tx1"/>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9">
    <w:name w:val="清单表 7 彩色1"/>
    <w:basedOn w:val="40"/>
    <w:qFormat/>
    <w:uiPriority w:val="99"/>
    <w:tblPr>
      <w:tblBorders>
        <w:right w:val="single" w:color="7E7E7E" w:themeColor="text1" w:themeTint="80" w:sz="4" w:space="0"/>
      </w:tblBorders>
    </w:tblPr>
    <w:tblStylePr w:type="fir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snapToGrid/>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pPr>
        <w:snapToGrid/>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pPr>
        <w:snapToGrid/>
      </w:pPr>
      <w:tcPr>
        <w:shd w:val="clear" w:color="BEBEBE" w:fill="BEBEBE" w:themeFill="text1" w:themeFillTint="40"/>
      </w:tcPr>
    </w:tblStylePr>
    <w:tblStylePr w:type="band2Vert">
      <w:pPr>
        <w:snapToGrid/>
      </w:pPr>
    </w:tblStylePr>
    <w:tblStylePr w:type="band1Horz">
      <w:pPr>
        <w:snapToGrid/>
      </w:pPr>
      <w:rPr>
        <w:rFonts w:ascii="Arial" w:hAnsi="Arial"/>
        <w:color w:val="808080" w:themeColor="text1" w:themeTint="80"/>
        <w:sz w:val="22"/>
        <w14:textFill>
          <w14:solidFill>
            <w14:schemeClr w14:val="tx1">
              <w14:lumMod w14:val="50000"/>
              <w14:lumOff w14:val="50000"/>
            </w14:schemeClr>
          </w14:solidFill>
        </w14:textFill>
      </w:rPr>
      <w:tcPr>
        <w:shd w:val="clear" w:color="BEBEBE" w:fill="BEBEBE" w:themeFill="text1" w:themeFillTint="40"/>
      </w:tcPr>
    </w:tblStylePr>
    <w:tblStylePr w:type="band2Horz">
      <w:pPr>
        <w:snapToGrid/>
      </w:pPr>
      <w:rPr>
        <w:rFonts w:ascii="Arial" w:hAnsi="Arial"/>
        <w:color w:val="808080" w:themeColor="text1" w:themeTint="80"/>
        <w:sz w:val="22"/>
        <w14:textFill>
          <w14:solidFill>
            <w14:schemeClr w14:val="tx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70">
    <w:name w:val="尾注文本 字符"/>
    <w:link w:val="23"/>
    <w:qFormat/>
    <w:uiPriority w:val="99"/>
    <w:rPr>
      <w:sz w:val="20"/>
    </w:rPr>
  </w:style>
  <w:style w:type="paragraph" w:customStyle="1" w:styleId="71">
    <w:name w:val="TOC 标题1"/>
    <w:unhideWhenUsed/>
    <w:qFormat/>
    <w:uiPriority w:val="39"/>
    <w:rPr>
      <w:rFonts w:ascii="Times New Roman" w:hAnsi="Times New Roman" w:eastAsia="宋体" w:cs="Times New Roman"/>
      <w:lang w:val="en-US" w:eastAsia="zh-CN" w:bidi="ar-SA"/>
    </w:rPr>
  </w:style>
  <w:style w:type="character" w:customStyle="1" w:styleId="72">
    <w:name w:val="Heading 2 Char"/>
    <w:basedOn w:val="42"/>
    <w:qFormat/>
    <w:uiPriority w:val="9"/>
    <w:rPr>
      <w:rFonts w:ascii="Arial" w:hAnsi="Arial" w:cs="Arial"/>
      <w:sz w:val="34"/>
    </w:rPr>
  </w:style>
  <w:style w:type="character" w:customStyle="1" w:styleId="73">
    <w:name w:val="Heading 4 Char"/>
    <w:basedOn w:val="42"/>
    <w:qFormat/>
    <w:uiPriority w:val="9"/>
    <w:rPr>
      <w:rFonts w:ascii="Arial" w:hAnsi="Arial" w:cs="Arial"/>
      <w:b/>
      <w:bCs/>
      <w:sz w:val="26"/>
      <w:szCs w:val="26"/>
    </w:rPr>
  </w:style>
  <w:style w:type="character" w:customStyle="1" w:styleId="74">
    <w:name w:val="Heading 5 Char"/>
    <w:basedOn w:val="42"/>
    <w:qFormat/>
    <w:uiPriority w:val="9"/>
    <w:rPr>
      <w:rFonts w:ascii="Arial" w:hAnsi="Arial" w:cs="Arial"/>
      <w:b/>
      <w:bCs/>
      <w:sz w:val="24"/>
      <w:szCs w:val="24"/>
    </w:rPr>
  </w:style>
  <w:style w:type="character" w:customStyle="1" w:styleId="75">
    <w:name w:val="Heading 6 Char"/>
    <w:basedOn w:val="42"/>
    <w:qFormat/>
    <w:uiPriority w:val="9"/>
    <w:rPr>
      <w:rFonts w:ascii="Arial" w:hAnsi="Arial" w:cs="Arial"/>
      <w:b/>
      <w:bCs/>
      <w:sz w:val="22"/>
      <w:szCs w:val="22"/>
    </w:rPr>
  </w:style>
  <w:style w:type="character" w:customStyle="1" w:styleId="76">
    <w:name w:val="Heading 7 Char"/>
    <w:basedOn w:val="42"/>
    <w:qFormat/>
    <w:uiPriority w:val="9"/>
    <w:rPr>
      <w:rFonts w:ascii="Arial" w:hAnsi="Arial" w:cs="Arial"/>
      <w:b/>
      <w:bCs/>
      <w:i/>
      <w:iCs/>
      <w:sz w:val="22"/>
      <w:szCs w:val="22"/>
    </w:rPr>
  </w:style>
  <w:style w:type="character" w:customStyle="1" w:styleId="77">
    <w:name w:val="Heading 8 Char"/>
    <w:basedOn w:val="42"/>
    <w:qFormat/>
    <w:uiPriority w:val="9"/>
    <w:rPr>
      <w:rFonts w:ascii="Arial" w:hAnsi="Arial" w:cs="Arial"/>
      <w:i/>
      <w:iCs/>
      <w:sz w:val="22"/>
      <w:szCs w:val="22"/>
    </w:rPr>
  </w:style>
  <w:style w:type="character" w:customStyle="1" w:styleId="78">
    <w:name w:val="Heading 9 Char"/>
    <w:basedOn w:val="42"/>
    <w:qFormat/>
    <w:uiPriority w:val="9"/>
    <w:rPr>
      <w:rFonts w:ascii="Arial" w:hAnsi="Arial" w:cs="Arial"/>
      <w:i/>
      <w:iCs/>
      <w:sz w:val="21"/>
      <w:szCs w:val="21"/>
    </w:rPr>
  </w:style>
  <w:style w:type="character" w:customStyle="1" w:styleId="79">
    <w:name w:val="Title Char"/>
    <w:basedOn w:val="42"/>
    <w:qFormat/>
    <w:uiPriority w:val="10"/>
    <w:rPr>
      <w:sz w:val="48"/>
      <w:szCs w:val="48"/>
    </w:rPr>
  </w:style>
  <w:style w:type="character" w:customStyle="1" w:styleId="80">
    <w:name w:val="Subtitle Char"/>
    <w:basedOn w:val="42"/>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Footnote Text Char"/>
    <w:qFormat/>
    <w:uiPriority w:val="99"/>
    <w:rPr>
      <w:sz w:val="18"/>
    </w:rPr>
  </w:style>
  <w:style w:type="paragraph" w:customStyle="1" w:styleId="84">
    <w:name w:val="TOC 标题112"/>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Times New Roman" w:hAnsi="Times New Roman" w:eastAsia="宋体" w:cs="Times New Roman"/>
      <w:szCs w:val="22"/>
      <w:lang w:val="en-US" w:eastAsia="en-US" w:bidi="en-US"/>
    </w:rPr>
  </w:style>
  <w:style w:type="character" w:customStyle="1" w:styleId="85">
    <w:name w:val="Heading 1 Char"/>
    <w:basedOn w:val="42"/>
    <w:qFormat/>
    <w:uiPriority w:val="9"/>
    <w:rPr>
      <w:rFonts w:ascii="Arial" w:hAnsi="Arial" w:cs="Arial"/>
      <w:sz w:val="40"/>
      <w:szCs w:val="40"/>
    </w:rPr>
  </w:style>
  <w:style w:type="character" w:customStyle="1" w:styleId="86">
    <w:name w:val="标题 2 字符"/>
    <w:basedOn w:val="42"/>
    <w:link w:val="4"/>
    <w:qFormat/>
    <w:uiPriority w:val="9"/>
    <w:rPr>
      <w:rFonts w:ascii="Arial" w:hAnsi="Arial" w:cs="Arial"/>
      <w:sz w:val="34"/>
    </w:rPr>
  </w:style>
  <w:style w:type="character" w:customStyle="1" w:styleId="87">
    <w:name w:val="Heading 3 Char"/>
    <w:basedOn w:val="42"/>
    <w:qFormat/>
    <w:uiPriority w:val="9"/>
    <w:rPr>
      <w:rFonts w:ascii="Arial" w:hAnsi="Arial" w:cs="Arial"/>
      <w:sz w:val="30"/>
      <w:szCs w:val="30"/>
    </w:rPr>
  </w:style>
  <w:style w:type="character" w:customStyle="1" w:styleId="88">
    <w:name w:val="标题 4 字符"/>
    <w:basedOn w:val="42"/>
    <w:link w:val="5"/>
    <w:qFormat/>
    <w:uiPriority w:val="9"/>
    <w:rPr>
      <w:rFonts w:ascii="Arial" w:hAnsi="Arial" w:cs="Arial"/>
      <w:b/>
      <w:bCs/>
      <w:sz w:val="26"/>
      <w:szCs w:val="26"/>
    </w:rPr>
  </w:style>
  <w:style w:type="character" w:customStyle="1" w:styleId="89">
    <w:name w:val="标题 5 字符"/>
    <w:basedOn w:val="42"/>
    <w:link w:val="6"/>
    <w:qFormat/>
    <w:uiPriority w:val="9"/>
    <w:rPr>
      <w:rFonts w:ascii="Arial" w:hAnsi="Arial" w:cs="Arial"/>
      <w:b/>
      <w:bCs/>
      <w:sz w:val="24"/>
      <w:szCs w:val="24"/>
    </w:rPr>
  </w:style>
  <w:style w:type="character" w:customStyle="1" w:styleId="90">
    <w:name w:val="标题 6 字符"/>
    <w:basedOn w:val="42"/>
    <w:link w:val="7"/>
    <w:qFormat/>
    <w:uiPriority w:val="9"/>
    <w:rPr>
      <w:rFonts w:ascii="Arial" w:hAnsi="Arial" w:cs="Arial"/>
      <w:b/>
      <w:bCs/>
      <w:sz w:val="22"/>
      <w:szCs w:val="22"/>
    </w:rPr>
  </w:style>
  <w:style w:type="character" w:customStyle="1" w:styleId="91">
    <w:name w:val="标题 7 字符"/>
    <w:basedOn w:val="42"/>
    <w:link w:val="8"/>
    <w:qFormat/>
    <w:uiPriority w:val="9"/>
    <w:rPr>
      <w:rFonts w:ascii="Arial" w:hAnsi="Arial" w:cs="Arial"/>
      <w:b/>
      <w:bCs/>
      <w:i/>
      <w:iCs/>
      <w:sz w:val="22"/>
      <w:szCs w:val="22"/>
    </w:rPr>
  </w:style>
  <w:style w:type="character" w:customStyle="1" w:styleId="92">
    <w:name w:val="标题 8 字符"/>
    <w:basedOn w:val="42"/>
    <w:link w:val="9"/>
    <w:qFormat/>
    <w:uiPriority w:val="9"/>
    <w:rPr>
      <w:rFonts w:ascii="Arial" w:hAnsi="Arial" w:cs="Arial"/>
      <w:i/>
      <w:iCs/>
      <w:sz w:val="22"/>
      <w:szCs w:val="22"/>
    </w:rPr>
  </w:style>
  <w:style w:type="character" w:customStyle="1" w:styleId="93">
    <w:name w:val="标题 9 字符"/>
    <w:basedOn w:val="42"/>
    <w:link w:val="10"/>
    <w:qFormat/>
    <w:uiPriority w:val="9"/>
    <w:rPr>
      <w:rFonts w:ascii="Arial" w:hAnsi="Arial" w:cs="Arial"/>
      <w:i/>
      <w:iCs/>
      <w:sz w:val="21"/>
      <w:szCs w:val="21"/>
    </w:rPr>
  </w:style>
  <w:style w:type="paragraph" w:styleId="9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Times New Roman" w:hAnsi="Times New Roman" w:eastAsia="宋体" w:cs="Times New Roman"/>
      <w:szCs w:val="22"/>
      <w:lang w:val="en-US" w:eastAsia="en-US" w:bidi="en-US"/>
    </w:rPr>
  </w:style>
  <w:style w:type="character" w:customStyle="1" w:styleId="95">
    <w:name w:val="标题 字符"/>
    <w:basedOn w:val="42"/>
    <w:link w:val="38"/>
    <w:qFormat/>
    <w:uiPriority w:val="10"/>
    <w:rPr>
      <w:sz w:val="48"/>
      <w:szCs w:val="48"/>
    </w:rPr>
  </w:style>
  <w:style w:type="character" w:customStyle="1" w:styleId="96">
    <w:name w:val="副标题 字符"/>
    <w:basedOn w:val="42"/>
    <w:link w:val="29"/>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字符"/>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i/>
    </w:rPr>
  </w:style>
  <w:style w:type="character" w:customStyle="1" w:styleId="100">
    <w:name w:val="明显引用 字符"/>
    <w:link w:val="99"/>
    <w:qFormat/>
    <w:uiPriority w:val="30"/>
    <w:rPr>
      <w:i/>
    </w:rPr>
  </w:style>
  <w:style w:type="character" w:customStyle="1" w:styleId="101">
    <w:name w:val="Header Char"/>
    <w:basedOn w:val="42"/>
    <w:qFormat/>
    <w:uiPriority w:val="99"/>
  </w:style>
  <w:style w:type="character" w:customStyle="1" w:styleId="102">
    <w:name w:val="Footer Char"/>
    <w:basedOn w:val="42"/>
    <w:qFormat/>
    <w:uiPriority w:val="99"/>
  </w:style>
  <w:style w:type="table" w:customStyle="1" w:styleId="103">
    <w:name w:val="Table Grid Light"/>
    <w:basedOn w:val="4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4">
    <w:name w:val="Grid Table 1 Light - Accent 1"/>
    <w:basedOn w:val="40"/>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pPr>
        <w:snapToGrid/>
      </w:pPr>
      <w:rPr>
        <w:b/>
        <w:color w:val="404040"/>
      </w:rPr>
      <w:tcPr>
        <w:tcBorders>
          <w:bottom w:val="single" w:color="98B5D8" w:themeColor="accent1"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5">
    <w:name w:val="Grid Table 1 Light - Accent 2"/>
    <w:basedOn w:val="40"/>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pPr>
        <w:snapToGrid/>
      </w:pPr>
      <w:rPr>
        <w:b/>
        <w:color w:val="404040"/>
      </w:rPr>
      <w:tcPr>
        <w:tcBorders>
          <w:bottom w:val="single" w:color="DA9896" w:themeColor="accent2"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6">
    <w:name w:val="Grid Table 1 Light - Accent 3"/>
    <w:basedOn w:val="40"/>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pPr>
        <w:snapToGrid/>
      </w:pPr>
      <w:rPr>
        <w:b/>
        <w:color w:val="404040"/>
      </w:rPr>
      <w:tcPr>
        <w:tcBorders>
          <w:bottom w:val="single" w:color="C4D79E" w:themeColor="accent3"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7">
    <w:name w:val="Grid Table 1 Light - Accent 4"/>
    <w:basedOn w:val="40"/>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pPr>
        <w:snapToGrid/>
      </w:pPr>
      <w:rPr>
        <w:b/>
        <w:color w:val="404040"/>
      </w:rPr>
      <w:tcPr>
        <w:tcBorders>
          <w:bottom w:val="single" w:color="B4A4C8" w:themeColor="accent4"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8">
    <w:name w:val="Grid Table 1 Light - Accent 5"/>
    <w:basedOn w:val="40"/>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pPr>
        <w:snapToGrid/>
      </w:pPr>
      <w:rPr>
        <w:b/>
        <w:color w:val="404040"/>
      </w:rPr>
      <w:tcPr>
        <w:tcBorders>
          <w:bottom w:val="single" w:color="95CEDD" w:themeColor="accent5"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09">
    <w:name w:val="Grid Table 1 Light - Accent 6"/>
    <w:basedOn w:val="40"/>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pPr>
        <w:snapToGrid/>
      </w:pPr>
      <w:rPr>
        <w:b/>
        <w:color w:val="404040"/>
      </w:rPr>
      <w:tcPr>
        <w:tcBorders>
          <w:bottom w:val="single" w:color="FAC192" w:themeColor="accent6" w:themeTint="95" w:sz="12" w:space="0"/>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Grid Table 2 - Accent 1"/>
    <w:basedOn w:val="40"/>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pPr>
        <w:snapToGrid/>
      </w:pPr>
      <w:rPr>
        <w:b/>
        <w:color w:val="404040"/>
      </w:rPr>
      <w:tcPr>
        <w:tcBorders>
          <w:top w:val="nil"/>
          <w:left w:val="nil"/>
          <w:bottom w:val="single" w:color="5D8BC2" w:themeColor="accent1" w:themeTint="EA" w:sz="12" w:space="0"/>
          <w:right w:val="nil"/>
        </w:tcBorders>
        <w:shd w:val="clear" w:color="FFFFFF" w:fill="FFFFFF"/>
      </w:tcPr>
    </w:tblStylePr>
    <w:tblStylePr w:type="lastRow">
      <w:pPr>
        <w:snapToGrid/>
      </w:pPr>
      <w:rPr>
        <w:b/>
        <w:color w:val="404040"/>
      </w:rPr>
      <w:tcPr>
        <w:tcBorders>
          <w:top w:val="single" w:color="5D8BC2" w:themeColor="accent1" w:themeTint="EA"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DEAF6" w:fill="DBE5F1" w:themeFill="accent1" w:themeFillTint="34"/>
      </w:tcPr>
    </w:tblStylePr>
    <w:tblStylePr w:type="band2Vert">
      <w:pPr>
        <w:snapToGrid/>
      </w:pPr>
    </w:tblStylePr>
    <w:tblStylePr w:type="band1Horz">
      <w:pPr>
        <w:snapToGrid/>
      </w:pPr>
      <w:rPr>
        <w:rFonts w:ascii="Arial" w:hAnsi="Arial"/>
        <w:color w:val="404040"/>
        <w:sz w:val="22"/>
      </w:rPr>
      <w:tcPr>
        <w:shd w:val="clear" w:color="DDEAF6" w:fill="DB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Grid Table 2 - Accent 2"/>
    <w:basedOn w:val="40"/>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404040"/>
      </w:rPr>
      <w:tcPr>
        <w:tcBorders>
          <w:top w:val="nil"/>
          <w:left w:val="nil"/>
          <w:bottom w:val="single" w:color="D99795" w:themeColor="accent2" w:themeTint="97" w:sz="12" w:space="0"/>
          <w:right w:val="nil"/>
        </w:tcBorders>
        <w:shd w:val="clear" w:color="FFFFFF" w:fill="FFFFFF"/>
      </w:tcPr>
    </w:tblStylePr>
    <w:tblStylePr w:type="lastRow">
      <w:pPr>
        <w:snapToGrid/>
      </w:pPr>
      <w:rPr>
        <w:b/>
        <w:color w:val="404040"/>
      </w:rPr>
      <w:tcPr>
        <w:tcBorders>
          <w:top w:val="single" w:color="D99795" w:themeColor="accent2" w:themeTint="97"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BE5D6" w:fill="F2DCDC" w:themeFill="accent2" w:themeFillTint="32"/>
      </w:tcPr>
    </w:tblStylePr>
    <w:tblStylePr w:type="band2Vert">
      <w:pPr>
        <w:snapToGrid/>
      </w:pPr>
    </w:tblStylePr>
    <w:tblStylePr w:type="band1Horz">
      <w:pPr>
        <w:snapToGrid/>
      </w:pPr>
      <w:rPr>
        <w:rFonts w:ascii="Arial" w:hAnsi="Arial"/>
        <w:color w:val="404040"/>
        <w:sz w:val="22"/>
      </w:rPr>
      <w:tcPr>
        <w:shd w:val="clear" w:color="FBE5D6"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Grid Table 2 - Accent 3"/>
    <w:basedOn w:val="40"/>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404040"/>
      </w:rPr>
      <w:tcPr>
        <w:tcBorders>
          <w:top w:val="nil"/>
          <w:left w:val="nil"/>
          <w:bottom w:val="single" w:color="9BBB59" w:themeColor="accent3" w:themeTint="FE" w:sz="12" w:space="0"/>
          <w:right w:val="nil"/>
        </w:tcBorders>
        <w:shd w:val="clear" w:color="FFFFFF" w:fill="FFFFFF"/>
      </w:tcPr>
    </w:tblStylePr>
    <w:tblStylePr w:type="lastRow">
      <w:pPr>
        <w:snapToGrid/>
      </w:pPr>
      <w:rPr>
        <w:b/>
        <w:color w:val="404040"/>
      </w:rPr>
      <w:tcPr>
        <w:tcBorders>
          <w:top w:val="single" w:color="9BBB59" w:themeColor="accent3" w:themeTint="FE"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ECECEC" w:fill="EAF1DD" w:themeFill="accent3" w:themeFillTint="34"/>
      </w:tcPr>
    </w:tblStylePr>
    <w:tblStylePr w:type="band2Vert">
      <w:pPr>
        <w:snapToGrid/>
      </w:pPr>
    </w:tblStylePr>
    <w:tblStylePr w:type="band1Horz">
      <w:pPr>
        <w:snapToGrid/>
      </w:pPr>
      <w:rPr>
        <w:rFonts w:ascii="Arial" w:hAnsi="Arial"/>
        <w:color w:val="404040"/>
        <w:sz w:val="22"/>
      </w:rPr>
      <w:tcPr>
        <w:shd w:val="clear" w:color="ECECEC"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Grid Table 2 - Accent 4"/>
    <w:basedOn w:val="40"/>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404040"/>
      </w:rPr>
      <w:tcPr>
        <w:tcBorders>
          <w:top w:val="nil"/>
          <w:left w:val="nil"/>
          <w:bottom w:val="single" w:color="B2A1C6" w:themeColor="accent4" w:themeTint="9A" w:sz="12" w:space="0"/>
          <w:right w:val="nil"/>
        </w:tcBorders>
        <w:shd w:val="clear" w:color="FFFFFF" w:fill="FFFFFF"/>
      </w:tcPr>
    </w:tblStylePr>
    <w:tblStylePr w:type="lastRow">
      <w:pPr>
        <w:snapToGrid/>
      </w:pPr>
      <w:rPr>
        <w:b/>
        <w:color w:val="404040"/>
      </w:rPr>
      <w:tcPr>
        <w:tcBorders>
          <w:top w:val="single" w:color="B2A1C6" w:themeColor="accent4" w:themeTint="9A"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EF2CA" w:fill="E5DFEC" w:themeFill="accent4" w:themeFillTint="34"/>
      </w:tcPr>
    </w:tblStylePr>
    <w:tblStylePr w:type="band2Vert">
      <w:pPr>
        <w:snapToGrid/>
      </w:pPr>
    </w:tblStylePr>
    <w:tblStylePr w:type="band1Horz">
      <w:pPr>
        <w:snapToGrid/>
      </w:pPr>
      <w:rPr>
        <w:rFonts w:ascii="Arial" w:hAnsi="Arial"/>
        <w:color w:val="404040"/>
        <w:sz w:val="22"/>
      </w:rPr>
      <w:tcPr>
        <w:shd w:val="clear" w:color="FEF2CA"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4">
    <w:name w:val="Grid Table 2 - Accent 5"/>
    <w:basedOn w:val="40"/>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pPr>
        <w:snapToGrid/>
      </w:pPr>
      <w:rPr>
        <w:b/>
        <w:color w:val="404040"/>
      </w:rPr>
      <w:tcPr>
        <w:tcBorders>
          <w:top w:val="nil"/>
          <w:left w:val="nil"/>
          <w:bottom w:val="single" w:color="4BACC6" w:themeColor="accent5" w:sz="12" w:space="0"/>
          <w:right w:val="nil"/>
        </w:tcBorders>
        <w:shd w:val="clear" w:color="FFFFFF" w:fill="FFFFFF"/>
      </w:tcPr>
    </w:tblStylePr>
    <w:tblStylePr w:type="lastRow">
      <w:pPr>
        <w:snapToGrid/>
      </w:pPr>
      <w:rPr>
        <w:b/>
        <w:color w:val="404040"/>
      </w:rPr>
      <w:tcPr>
        <w:tcBorders>
          <w:top w:val="single" w:color="4BACC6" w:themeColor="accent5"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8E2F2" w:fill="DAEEF3" w:themeFill="accent5" w:themeFillTint="34"/>
      </w:tcPr>
    </w:tblStylePr>
    <w:tblStylePr w:type="band2Vert">
      <w:pPr>
        <w:snapToGrid/>
      </w:pPr>
    </w:tblStylePr>
    <w:tblStylePr w:type="band1Horz">
      <w:pPr>
        <w:snapToGrid/>
      </w:pPr>
      <w:rPr>
        <w:rFonts w:ascii="Arial" w:hAnsi="Arial"/>
        <w:color w:val="404040"/>
        <w:sz w:val="22"/>
      </w:rPr>
      <w:tcPr>
        <w:shd w:val="clear" w:color="D8E2F2"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5">
    <w:name w:val="Grid Table 2 - Accent 6"/>
    <w:basedOn w:val="40"/>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pPr>
        <w:snapToGrid/>
      </w:pPr>
      <w:rPr>
        <w:b/>
        <w:color w:val="404040"/>
      </w:rPr>
      <w:tcPr>
        <w:tcBorders>
          <w:top w:val="nil"/>
          <w:left w:val="nil"/>
          <w:bottom w:val="single" w:color="F79646" w:themeColor="accent6" w:sz="12" w:space="0"/>
          <w:right w:val="nil"/>
        </w:tcBorders>
        <w:shd w:val="clear" w:color="FFFFFF" w:fill="FFFFFF"/>
      </w:tcPr>
    </w:tblStylePr>
    <w:tblStylePr w:type="lastRow">
      <w:pPr>
        <w:snapToGrid/>
      </w:pPr>
      <w:rPr>
        <w:b/>
        <w:color w:val="404040"/>
      </w:rPr>
      <w:tcPr>
        <w:tcBorders>
          <w:top w:val="single" w:color="F79646" w:themeColor="accent6" w:sz="4" w:space="0"/>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E1EFD8" w:fill="FDE9D9" w:themeFill="accent6" w:themeFillTint="34"/>
      </w:tcPr>
    </w:tblStylePr>
    <w:tblStylePr w:type="band2Vert">
      <w:pPr>
        <w:snapToGrid/>
      </w:pPr>
    </w:tblStylePr>
    <w:tblStylePr w:type="band1Horz">
      <w:pPr>
        <w:snapToGrid/>
      </w:pPr>
      <w:rPr>
        <w:rFonts w:ascii="Arial" w:hAnsi="Arial"/>
        <w:color w:val="404040"/>
        <w:sz w:val="22"/>
      </w:rPr>
      <w:tcPr>
        <w:shd w:val="clear" w:color="E1EFD8"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6">
    <w:name w:val="Grid Table 3 - Accent 1"/>
    <w:basedOn w:val="40"/>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DDEAF6" w:fill="DBE5F1" w:themeFill="accent1" w:themeFillTint="34"/>
      </w:tcPr>
    </w:tblStylePr>
    <w:tblStylePr w:type="band2Vert">
      <w:pPr>
        <w:snapToGrid/>
      </w:pPr>
    </w:tblStylePr>
    <w:tblStylePr w:type="band1Horz">
      <w:pPr>
        <w:snapToGrid/>
      </w:pPr>
      <w:rPr>
        <w:rFonts w:ascii="Arial" w:hAnsi="Arial"/>
        <w:color w:val="404040"/>
        <w:sz w:val="22"/>
      </w:rPr>
      <w:tcPr>
        <w:shd w:val="clear" w:color="DDEAF6" w:fill="DB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7">
    <w:name w:val="Grid Table 3 - Accent 2"/>
    <w:basedOn w:val="40"/>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FBE5D6" w:fill="F2DCDC" w:themeFill="accent2" w:themeFillTint="32"/>
      </w:tcPr>
    </w:tblStylePr>
    <w:tblStylePr w:type="band2Vert">
      <w:pPr>
        <w:snapToGrid/>
      </w:pPr>
    </w:tblStylePr>
    <w:tblStylePr w:type="band1Horz">
      <w:pPr>
        <w:snapToGrid/>
      </w:pPr>
      <w:rPr>
        <w:rFonts w:ascii="Arial" w:hAnsi="Arial"/>
        <w:color w:val="404040"/>
        <w:sz w:val="22"/>
      </w:rPr>
      <w:tcPr>
        <w:shd w:val="clear" w:color="FBE5D6"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8">
    <w:name w:val="Grid Table 3 - Accent 3"/>
    <w:basedOn w:val="40"/>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ECECEC" w:fill="EAF1DD" w:themeFill="accent3" w:themeFillTint="34"/>
      </w:tcPr>
    </w:tblStylePr>
    <w:tblStylePr w:type="band2Vert">
      <w:pPr>
        <w:snapToGrid/>
      </w:pPr>
    </w:tblStylePr>
    <w:tblStylePr w:type="band1Horz">
      <w:pPr>
        <w:snapToGrid/>
      </w:pPr>
      <w:rPr>
        <w:rFonts w:ascii="Arial" w:hAnsi="Arial"/>
        <w:color w:val="404040"/>
        <w:sz w:val="22"/>
      </w:rPr>
      <w:tcPr>
        <w:shd w:val="clear" w:color="ECECEC"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9">
    <w:name w:val="Grid Table 3 - Accent 4"/>
    <w:basedOn w:val="40"/>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FEF2CA" w:fill="E5DFEC" w:themeFill="accent4" w:themeFillTint="34"/>
      </w:tcPr>
    </w:tblStylePr>
    <w:tblStylePr w:type="band2Vert">
      <w:pPr>
        <w:snapToGrid/>
      </w:pPr>
    </w:tblStylePr>
    <w:tblStylePr w:type="band1Horz">
      <w:pPr>
        <w:snapToGrid/>
      </w:pPr>
      <w:rPr>
        <w:rFonts w:ascii="Arial" w:hAnsi="Arial"/>
        <w:color w:val="404040"/>
        <w:sz w:val="22"/>
      </w:rPr>
      <w:tcPr>
        <w:shd w:val="clear" w:color="FEF2CA"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0">
    <w:name w:val="Grid Table 3 - Accent 5"/>
    <w:basedOn w:val="40"/>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D8E2F2" w:fill="DAEEF3" w:themeFill="accent5" w:themeFillTint="34"/>
      </w:tcPr>
    </w:tblStylePr>
    <w:tblStylePr w:type="band2Vert">
      <w:pPr>
        <w:snapToGrid/>
      </w:pPr>
    </w:tblStylePr>
    <w:tblStylePr w:type="band1Horz">
      <w:pPr>
        <w:snapToGrid/>
      </w:pPr>
      <w:rPr>
        <w:rFonts w:ascii="Arial" w:hAnsi="Arial"/>
        <w:color w:val="404040"/>
        <w:sz w:val="22"/>
      </w:rPr>
      <w:tcPr>
        <w:shd w:val="clear" w:color="D8E2F2"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1">
    <w:name w:val="Grid Table 3 - Accent 6"/>
    <w:basedOn w:val="40"/>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pPr>
        <w:snapToGrid/>
      </w:pPr>
      <w:rPr>
        <w:b/>
        <w:color w:val="404040"/>
      </w:rPr>
      <w:tcPr>
        <w:tcBorders>
          <w:top w:val="nil"/>
          <w:left w:val="nil"/>
          <w:bottom w:val="nil"/>
          <w:right w:val="nil"/>
        </w:tcBorders>
        <w:shd w:val="clear" w:color="FFFFFF" w:fill="FFFFFF"/>
      </w:tcPr>
    </w:tblStylePr>
    <w:tblStylePr w:type="lastRow">
      <w:pPr>
        <w:snapToGrid/>
      </w:pPr>
      <w:rPr>
        <w:b/>
        <w:color w:val="404040"/>
      </w:rPr>
      <w:tcPr>
        <w:tcBorders>
          <w:top w:val="nil"/>
          <w:left w:val="nil"/>
          <w:bottom w:val="nil"/>
          <w:right w:val="nil"/>
        </w:tcBorders>
        <w:shd w:val="clear" w:color="FFFFFF" w:fill="FFFFFF"/>
      </w:tcPr>
    </w:tblStylePr>
    <w:tblStylePr w:type="firstCol">
      <w:pPr>
        <w:snapToGrid/>
        <w:jc w:val="right"/>
      </w:pPr>
      <w:rPr>
        <w:i/>
        <w:color w:val="404040"/>
      </w:rPr>
      <w:tcPr>
        <w:tcBorders>
          <w:top w:val="nil"/>
          <w:left w:val="nil"/>
          <w:bottom w:val="nil"/>
          <w:right w:val="nil"/>
        </w:tcBorders>
        <w:shd w:val="clear" w:color="FFFFFF" w:fill="FFFFFF"/>
      </w:tcPr>
    </w:tblStylePr>
    <w:tblStylePr w:type="lastCol">
      <w:pPr>
        <w:snapToGrid/>
      </w:pPr>
      <w:rPr>
        <w:i/>
        <w:color w:val="404040"/>
      </w:rPr>
      <w:tcPr>
        <w:tcBorders>
          <w:top w:val="nil"/>
          <w:left w:val="nil"/>
          <w:bottom w:val="nil"/>
          <w:right w:val="nil"/>
        </w:tcBorders>
        <w:shd w:val="clear" w:color="FFFFFF" w:fill="FFFFFF"/>
      </w:tcPr>
    </w:tblStylePr>
    <w:tblStylePr w:type="band1Vert">
      <w:pPr>
        <w:snapToGrid/>
      </w:pPr>
      <w:rPr>
        <w:rFonts w:ascii="Arial" w:hAnsi="Arial"/>
        <w:color w:val="404040"/>
        <w:sz w:val="22"/>
      </w:rPr>
      <w:tcPr>
        <w:shd w:val="clear" w:color="E1EFD8" w:fill="FDE9D9" w:themeFill="accent6" w:themeFillTint="34"/>
      </w:tcPr>
    </w:tblStylePr>
    <w:tblStylePr w:type="band2Vert">
      <w:pPr>
        <w:snapToGrid/>
      </w:pPr>
    </w:tblStylePr>
    <w:tblStylePr w:type="band1Horz">
      <w:pPr>
        <w:snapToGrid/>
      </w:pPr>
      <w:rPr>
        <w:rFonts w:ascii="Arial" w:hAnsi="Arial"/>
        <w:color w:val="404040"/>
        <w:sz w:val="22"/>
      </w:rPr>
      <w:tcPr>
        <w:shd w:val="clear" w:color="E1EFD8"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2">
    <w:name w:val="Grid Table 4 - Accent 1"/>
    <w:basedOn w:val="40"/>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pPr>
        <w:snapToGrid/>
      </w:pPr>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68A3D8" w:fill="5D8BC2" w:themeFill="accent1" w:themeFillTint="EA"/>
      </w:tcPr>
    </w:tblStylePr>
    <w:tblStylePr w:type="lastRow">
      <w:pPr>
        <w:snapToGrid/>
      </w:pPr>
      <w:rPr>
        <w:b/>
        <w:color w:val="404040"/>
      </w:rPr>
      <w:tcPr>
        <w:tcBorders>
          <w:top w:val="single" w:color="5D8BC2" w:themeColor="accent1" w:themeTint="E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EEBF6" w:fill="DCE6F2" w:themeFill="accent1" w:themeFillTint="32"/>
      </w:tcPr>
    </w:tblStylePr>
    <w:tblStylePr w:type="band2Vert">
      <w:pPr>
        <w:snapToGrid/>
      </w:pPr>
    </w:tblStylePr>
    <w:tblStylePr w:type="band1Horz">
      <w:pPr>
        <w:snapToGrid/>
      </w:pPr>
      <w:rPr>
        <w:rFonts w:ascii="Arial" w:hAnsi="Arial"/>
        <w:color w:val="404040"/>
        <w:sz w:val="22"/>
      </w:rPr>
      <w:tcPr>
        <w:shd w:val="clear" w:color="DEEBF6"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3">
    <w:name w:val="Grid Table 4 - Accent 2"/>
    <w:basedOn w:val="40"/>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pPr>
        <w:snapToGrid/>
      </w:pPr>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F4B285" w:fill="D99795" w:themeFill="accent2" w:themeFillTint="97"/>
      </w:tcPr>
    </w:tblStylePr>
    <w:tblStylePr w:type="lastRow">
      <w:pPr>
        <w:snapToGrid/>
      </w:pPr>
      <w:rPr>
        <w:b/>
        <w:color w:val="404040"/>
      </w:rPr>
      <w:tcPr>
        <w:tcBorders>
          <w:top w:val="single" w:color="D99795" w:themeColor="accent2" w:themeTint="97"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BE5D6" w:fill="F2DCDC" w:themeFill="accent2" w:themeFillTint="32"/>
      </w:tcPr>
    </w:tblStylePr>
    <w:tblStylePr w:type="band2Vert">
      <w:pPr>
        <w:snapToGrid/>
      </w:pPr>
    </w:tblStylePr>
    <w:tblStylePr w:type="band1Horz">
      <w:pPr>
        <w:snapToGrid/>
      </w:pPr>
      <w:rPr>
        <w:rFonts w:ascii="Arial" w:hAnsi="Arial"/>
        <w:color w:val="404040"/>
        <w:sz w:val="22"/>
      </w:rPr>
      <w:tcPr>
        <w:shd w:val="clear" w:color="FBE5D6"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4">
    <w:name w:val="Grid Table 4 - Accent 3"/>
    <w:basedOn w:val="40"/>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pPr>
        <w:snapToGrid/>
      </w:pPr>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5A5A5" w:fill="9BBB59" w:themeFill="accent3" w:themeFillTint="FE"/>
      </w:tcPr>
    </w:tblStylePr>
    <w:tblStylePr w:type="lastRow">
      <w:pPr>
        <w:snapToGrid/>
      </w:pPr>
      <w:rPr>
        <w:b/>
        <w:color w:val="404040"/>
      </w:rPr>
      <w:tcPr>
        <w:tcBorders>
          <w:top w:val="single" w:color="9BBB59" w:themeColor="accent3" w:themeTint="FE"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ECECEC" w:fill="EAF1DD" w:themeFill="accent3" w:themeFillTint="34"/>
      </w:tcPr>
    </w:tblStylePr>
    <w:tblStylePr w:type="band2Vert">
      <w:pPr>
        <w:snapToGrid/>
      </w:pPr>
    </w:tblStylePr>
    <w:tblStylePr w:type="band1Horz">
      <w:pPr>
        <w:snapToGrid/>
      </w:pPr>
      <w:rPr>
        <w:rFonts w:ascii="Arial" w:hAnsi="Arial"/>
        <w:color w:val="404040"/>
        <w:sz w:val="22"/>
      </w:rPr>
      <w:tcPr>
        <w:shd w:val="clear" w:color="ECECEC" w:fill="EAF1DD"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5">
    <w:name w:val="Grid Table 4 - Accent 4"/>
    <w:basedOn w:val="40"/>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pPr>
        <w:snapToGrid/>
      </w:pPr>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FFD864" w:fill="B2A1C6" w:themeFill="accent4" w:themeFillTint="9A"/>
      </w:tcPr>
    </w:tblStylePr>
    <w:tblStylePr w:type="lastRow">
      <w:pPr>
        <w:snapToGrid/>
      </w:pPr>
      <w:rPr>
        <w:b/>
        <w:color w:val="404040"/>
      </w:rPr>
      <w:tcPr>
        <w:tcBorders>
          <w:top w:val="single" w:color="B2A1C6" w:themeColor="accent4" w:themeTint="9A"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EF2CA" w:fill="E5DFEC" w:themeFill="accent4" w:themeFillTint="34"/>
      </w:tcPr>
    </w:tblStylePr>
    <w:tblStylePr w:type="band2Vert">
      <w:pPr>
        <w:snapToGrid/>
      </w:pPr>
    </w:tblStylePr>
    <w:tblStylePr w:type="band1Horz">
      <w:pPr>
        <w:snapToGrid/>
      </w:pPr>
      <w:rPr>
        <w:rFonts w:ascii="Arial" w:hAnsi="Arial"/>
        <w:color w:val="404040"/>
        <w:sz w:val="22"/>
      </w:rPr>
      <w:tcPr>
        <w:shd w:val="clear" w:color="FEF2CA"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6">
    <w:name w:val="Grid Table 4 - Accent 5"/>
    <w:basedOn w:val="40"/>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pPr>
        <w:snapToGrid/>
      </w:pPr>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472C4" w:fill="4BACC6" w:themeFill="accent5"/>
      </w:tcPr>
    </w:tblStylePr>
    <w:tblStylePr w:type="lastRow">
      <w:pPr>
        <w:snapToGrid/>
      </w:pPr>
      <w:rPr>
        <w:b/>
        <w:color w:val="404040"/>
      </w:rPr>
      <w:tcPr>
        <w:tcBorders>
          <w:top w:val="single" w:color="4BACC6" w:themeColor="accent5"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8E2F2" w:fill="DAEEF3" w:themeFill="accent5" w:themeFillTint="34"/>
      </w:tcPr>
    </w:tblStylePr>
    <w:tblStylePr w:type="band2Vert">
      <w:pPr>
        <w:snapToGrid/>
      </w:pPr>
    </w:tblStylePr>
    <w:tblStylePr w:type="band1Horz">
      <w:pPr>
        <w:snapToGrid/>
      </w:pPr>
      <w:rPr>
        <w:rFonts w:ascii="Arial" w:hAnsi="Arial"/>
        <w:color w:val="404040"/>
        <w:sz w:val="22"/>
      </w:rPr>
      <w:tcPr>
        <w:shd w:val="clear" w:color="D8E2F2"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7">
    <w:name w:val="Grid Table 4 - Accent 6"/>
    <w:basedOn w:val="40"/>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pPr>
        <w:snapToGrid/>
      </w:pPr>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70AD47" w:fill="F79646" w:themeFill="accent6"/>
      </w:tcPr>
    </w:tblStylePr>
    <w:tblStylePr w:type="lastRow">
      <w:pPr>
        <w:snapToGrid/>
      </w:pPr>
      <w:rPr>
        <w:b/>
        <w:color w:val="404040"/>
      </w:rPr>
      <w:tcPr>
        <w:tcBorders>
          <w:top w:val="single" w:color="F79646" w:themeColor="accent6" w:sz="4" w:space="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E1EFD8" w:fill="FDE9D9" w:themeFill="accent6" w:themeFillTint="34"/>
      </w:tcPr>
    </w:tblStylePr>
    <w:tblStylePr w:type="band2Vert">
      <w:pPr>
        <w:snapToGrid/>
      </w:pPr>
    </w:tblStylePr>
    <w:tblStylePr w:type="band1Horz">
      <w:pPr>
        <w:snapToGrid/>
      </w:pPr>
      <w:rPr>
        <w:rFonts w:ascii="Arial" w:hAnsi="Arial"/>
        <w:color w:val="404040"/>
        <w:sz w:val="22"/>
      </w:rPr>
      <w:tcPr>
        <w:shd w:val="clear" w:color="E1EFD8" w:fill="FDE9D9"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8">
    <w:name w:val="Grid Table 5 Dark- Accent 1"/>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5B9BD5" w:fill="4F81BD" w:themeFill="accent1"/>
      </w:tcPr>
    </w:tblStylePr>
    <w:tblStylePr w:type="lastRow">
      <w:pPr>
        <w:snapToGrid/>
      </w:pPr>
      <w:rPr>
        <w:rFonts w:ascii="Arial" w:hAnsi="Arial"/>
        <w:b/>
        <w:color w:val="FFFFFF"/>
        <w:sz w:val="22"/>
      </w:rPr>
      <w:tcPr>
        <w:tcBorders>
          <w:top w:val="single" w:color="FFFFFF" w:themeColor="light1" w:sz="4" w:space="0"/>
        </w:tcBorders>
        <w:shd w:val="clear" w:color="5B9BD5" w:fill="4F81BD" w:themeFill="accent1"/>
      </w:tcPr>
    </w:tblStylePr>
    <w:tblStylePr w:type="firstCol">
      <w:pPr>
        <w:snapToGrid/>
      </w:pPr>
      <w:rPr>
        <w:rFonts w:ascii="Arial" w:hAnsi="Arial"/>
        <w:b/>
        <w:color w:val="FFFFFF"/>
        <w:sz w:val="22"/>
      </w:rPr>
      <w:tcPr>
        <w:shd w:val="clear" w:color="5B9BD5" w:fill="4F81BD" w:themeFill="accent1"/>
      </w:tcPr>
    </w:tblStylePr>
    <w:tblStylePr w:type="lastCol">
      <w:pPr>
        <w:snapToGrid/>
      </w:pPr>
      <w:rPr>
        <w:rFonts w:ascii="Arial" w:hAnsi="Arial"/>
        <w:b/>
        <w:color w:val="FFFFFF"/>
        <w:sz w:val="22"/>
      </w:rPr>
      <w:tcPr>
        <w:shd w:val="clear" w:color="5B9BD5" w:fill="4F81BD" w:themeFill="accent1"/>
      </w:tcPr>
    </w:tblStylePr>
    <w:tblStylePr w:type="band1Vert">
      <w:pPr>
        <w:snapToGrid/>
      </w:pPr>
      <w:tcPr>
        <w:shd w:val="clear" w:color="B3D1EB" w:fill="AEC5E0" w:themeFill="accent1" w:themeFillTint="75"/>
      </w:tcPr>
    </w:tblStylePr>
    <w:tblStylePr w:type="band2Vert">
      <w:pPr>
        <w:snapToGrid/>
      </w:pPr>
    </w:tblStylePr>
    <w:tblStylePr w:type="band1Horz">
      <w:pPr>
        <w:snapToGrid/>
      </w:pPr>
      <w:tcPr>
        <w:shd w:val="clear" w:color="B3D1EB" w:fill="AEC5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29">
    <w:name w:val="Grid Table 5 Dark - Accent 2"/>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ED7D31" w:fill="C0504D" w:themeFill="accent2"/>
      </w:tcPr>
    </w:tblStylePr>
    <w:tblStylePr w:type="lastRow">
      <w:pPr>
        <w:snapToGrid/>
      </w:pPr>
      <w:rPr>
        <w:rFonts w:ascii="Arial" w:hAnsi="Arial"/>
        <w:b/>
        <w:color w:val="FFFFFF"/>
        <w:sz w:val="22"/>
      </w:rPr>
      <w:tcPr>
        <w:tcBorders>
          <w:top w:val="single" w:color="FFFFFF" w:themeColor="light1" w:sz="4" w:space="0"/>
        </w:tcBorders>
        <w:shd w:val="clear" w:color="ED7D31" w:fill="C0504D" w:themeFill="accent2"/>
      </w:tcPr>
    </w:tblStylePr>
    <w:tblStylePr w:type="firstCol">
      <w:pPr>
        <w:snapToGrid/>
      </w:pPr>
      <w:rPr>
        <w:rFonts w:ascii="Arial" w:hAnsi="Arial"/>
        <w:b/>
        <w:color w:val="FFFFFF"/>
        <w:sz w:val="22"/>
      </w:rPr>
      <w:tcPr>
        <w:shd w:val="clear" w:color="ED7D31" w:fill="C0504D" w:themeFill="accent2"/>
      </w:tcPr>
    </w:tblStylePr>
    <w:tblStylePr w:type="lastCol">
      <w:pPr>
        <w:snapToGrid/>
      </w:pPr>
      <w:rPr>
        <w:rFonts w:ascii="Arial" w:hAnsi="Arial"/>
        <w:b/>
        <w:color w:val="FFFFFF"/>
        <w:sz w:val="22"/>
      </w:rPr>
      <w:tcPr>
        <w:shd w:val="clear" w:color="ED7D31" w:fill="C0504D" w:themeFill="accent2"/>
      </w:tcPr>
    </w:tblStylePr>
    <w:tblStylePr w:type="band1Vert">
      <w:pPr>
        <w:snapToGrid/>
      </w:pPr>
      <w:tcPr>
        <w:shd w:val="clear" w:color="F6C3A0" w:fill="E2AEAD" w:themeFill="accent2" w:themeFillTint="75"/>
      </w:tcPr>
    </w:tblStylePr>
    <w:tblStylePr w:type="band2Vert">
      <w:pPr>
        <w:snapToGrid/>
      </w:pPr>
    </w:tblStylePr>
    <w:tblStylePr w:type="band1Horz">
      <w:pPr>
        <w:snapToGrid/>
      </w:pPr>
      <w:tcPr>
        <w:shd w:val="clear" w:color="F6C3A0"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0">
    <w:name w:val="Grid Table 5 Dark - Accent 3"/>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A5A5A5" w:fill="9BBB59" w:themeFill="accent3"/>
      </w:tcPr>
    </w:tblStylePr>
    <w:tblStylePr w:type="lastRow">
      <w:pPr>
        <w:snapToGrid/>
      </w:pPr>
      <w:rPr>
        <w:rFonts w:ascii="Arial" w:hAnsi="Arial"/>
        <w:b/>
        <w:color w:val="FFFFFF"/>
        <w:sz w:val="22"/>
      </w:rPr>
      <w:tcPr>
        <w:tcBorders>
          <w:top w:val="single" w:color="FFFFFF" w:themeColor="light1" w:sz="4" w:space="0"/>
        </w:tcBorders>
        <w:shd w:val="clear" w:color="A5A5A5" w:fill="9BBB59" w:themeFill="accent3"/>
      </w:tcPr>
    </w:tblStylePr>
    <w:tblStylePr w:type="firstCol">
      <w:pPr>
        <w:snapToGrid/>
      </w:pPr>
      <w:rPr>
        <w:rFonts w:ascii="Arial" w:hAnsi="Arial"/>
        <w:b/>
        <w:color w:val="FFFFFF"/>
        <w:sz w:val="22"/>
      </w:rPr>
      <w:tcPr>
        <w:shd w:val="clear" w:color="A5A5A5" w:fill="9BBB59" w:themeFill="accent3"/>
      </w:tcPr>
    </w:tblStylePr>
    <w:tblStylePr w:type="lastCol">
      <w:pPr>
        <w:snapToGrid/>
      </w:pPr>
      <w:rPr>
        <w:rFonts w:ascii="Arial" w:hAnsi="Arial"/>
        <w:b/>
        <w:color w:val="FFFFFF"/>
        <w:sz w:val="22"/>
      </w:rPr>
      <w:tcPr>
        <w:shd w:val="clear" w:color="A5A5A5" w:fill="9BBB59" w:themeFill="accent3"/>
      </w:tcPr>
    </w:tblStylePr>
    <w:tblStylePr w:type="band1Vert">
      <w:pPr>
        <w:snapToGrid/>
      </w:pPr>
      <w:tcPr>
        <w:shd w:val="clear" w:color="D5D5D5" w:fill="D1DFB2" w:themeFill="accent3" w:themeFillTint="75"/>
      </w:tcPr>
    </w:tblStylePr>
    <w:tblStylePr w:type="band2Vert">
      <w:pPr>
        <w:snapToGrid/>
      </w:pPr>
    </w:tblStylePr>
    <w:tblStylePr w:type="band1Horz">
      <w:pPr>
        <w:snapToGrid/>
      </w:pPr>
      <w:tcPr>
        <w:shd w:val="clear" w:color="D5D5D5" w:fill="D1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1">
    <w:name w:val="Grid Table 5 Dark- Accent 4"/>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FFC000" w:fill="8064A2" w:themeFill="accent4"/>
      </w:tcPr>
    </w:tblStylePr>
    <w:tblStylePr w:type="lastRow">
      <w:pPr>
        <w:snapToGrid/>
      </w:pPr>
      <w:rPr>
        <w:rFonts w:ascii="Arial" w:hAnsi="Arial"/>
        <w:b/>
        <w:color w:val="FFFFFF"/>
        <w:sz w:val="22"/>
      </w:rPr>
      <w:tcPr>
        <w:tcBorders>
          <w:top w:val="single" w:color="FFFFFF" w:themeColor="light1" w:sz="4" w:space="0"/>
        </w:tcBorders>
        <w:shd w:val="clear" w:color="FFC000" w:fill="8064A2" w:themeFill="accent4"/>
      </w:tcPr>
    </w:tblStylePr>
    <w:tblStylePr w:type="firstCol">
      <w:pPr>
        <w:snapToGrid/>
      </w:pPr>
      <w:rPr>
        <w:rFonts w:ascii="Arial" w:hAnsi="Arial"/>
        <w:b/>
        <w:color w:val="FFFFFF"/>
        <w:sz w:val="22"/>
      </w:rPr>
      <w:tcPr>
        <w:shd w:val="clear" w:color="FFC000" w:fill="8064A2" w:themeFill="accent4"/>
      </w:tcPr>
    </w:tblStylePr>
    <w:tblStylePr w:type="lastCol">
      <w:pPr>
        <w:snapToGrid/>
      </w:pPr>
      <w:rPr>
        <w:rFonts w:ascii="Arial" w:hAnsi="Arial"/>
        <w:b/>
        <w:color w:val="FFFFFF"/>
        <w:sz w:val="22"/>
      </w:rPr>
      <w:tcPr>
        <w:shd w:val="clear" w:color="FFC000" w:fill="8064A2" w:themeFill="accent4"/>
      </w:tcPr>
    </w:tblStylePr>
    <w:tblStylePr w:type="band1Vert">
      <w:pPr>
        <w:snapToGrid/>
      </w:pPr>
      <w:tcPr>
        <w:shd w:val="clear" w:color="FEE289" w:fill="C4B7D4" w:themeFill="accent4" w:themeFillTint="75"/>
      </w:tcPr>
    </w:tblStylePr>
    <w:tblStylePr w:type="band2Vert">
      <w:pPr>
        <w:snapToGrid/>
      </w:pPr>
    </w:tblStylePr>
    <w:tblStylePr w:type="band1Horz">
      <w:pPr>
        <w:snapToGrid/>
      </w:pPr>
      <w:tcPr>
        <w:shd w:val="clear" w:color="FEE289"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2">
    <w:name w:val="Grid Table 5 Dark - Accent 5"/>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4472C4" w:fill="4BACC6" w:themeFill="accent5"/>
      </w:tcPr>
    </w:tblStylePr>
    <w:tblStylePr w:type="lastRow">
      <w:pPr>
        <w:snapToGrid/>
      </w:pPr>
      <w:rPr>
        <w:rFonts w:ascii="Arial" w:hAnsi="Arial"/>
        <w:b/>
        <w:color w:val="FFFFFF"/>
        <w:sz w:val="22"/>
      </w:rPr>
      <w:tcPr>
        <w:tcBorders>
          <w:top w:val="single" w:color="FFFFFF" w:themeColor="light1" w:sz="4" w:space="0"/>
        </w:tcBorders>
        <w:shd w:val="clear" w:color="4472C4" w:fill="4BACC6" w:themeFill="accent5"/>
      </w:tcPr>
    </w:tblStylePr>
    <w:tblStylePr w:type="firstCol">
      <w:pPr>
        <w:snapToGrid/>
      </w:pPr>
      <w:rPr>
        <w:rFonts w:ascii="Arial" w:hAnsi="Arial"/>
        <w:b/>
        <w:color w:val="FFFFFF"/>
        <w:sz w:val="22"/>
      </w:rPr>
      <w:tcPr>
        <w:shd w:val="clear" w:color="4472C4" w:fill="4BACC6" w:themeFill="accent5"/>
      </w:tcPr>
    </w:tblStylePr>
    <w:tblStylePr w:type="lastCol">
      <w:pPr>
        <w:snapToGrid/>
      </w:pPr>
      <w:rPr>
        <w:rFonts w:ascii="Arial" w:hAnsi="Arial"/>
        <w:b/>
        <w:color w:val="FFFFFF"/>
        <w:sz w:val="22"/>
      </w:rPr>
      <w:tcPr>
        <w:shd w:val="clear" w:color="4472C4" w:fill="4BACC6" w:themeFill="accent5"/>
      </w:tcPr>
    </w:tblStylePr>
    <w:tblStylePr w:type="band1Vert">
      <w:pPr>
        <w:snapToGrid/>
      </w:pPr>
      <w:tcPr>
        <w:shd w:val="clear" w:color="A9BEE3" w:fill="ACD8E4" w:themeFill="accent5" w:themeFillTint="75"/>
      </w:tcPr>
    </w:tblStylePr>
    <w:tblStylePr w:type="band2Vert">
      <w:pPr>
        <w:snapToGrid/>
      </w:pPr>
    </w:tblStylePr>
    <w:tblStylePr w:type="band1Horz">
      <w:pPr>
        <w:snapToGrid/>
      </w:pPr>
      <w:tcPr>
        <w:shd w:val="clear" w:color="A9BEE3"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3">
    <w:name w:val="Grid Table 5 Dark - Accent 6"/>
    <w:basedOn w:val="40"/>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pPr>
        <w:snapToGrid/>
      </w:pPr>
      <w:rPr>
        <w:rFonts w:ascii="Arial" w:hAnsi="Arial"/>
        <w:b/>
        <w:color w:val="FFFFFF"/>
        <w:sz w:val="22"/>
      </w:rPr>
      <w:tcPr>
        <w:shd w:val="clear" w:color="70AD47" w:fill="F79646" w:themeFill="accent6"/>
      </w:tcPr>
    </w:tblStylePr>
    <w:tblStylePr w:type="lastRow">
      <w:pPr>
        <w:snapToGrid/>
      </w:pPr>
      <w:rPr>
        <w:rFonts w:ascii="Arial" w:hAnsi="Arial"/>
        <w:b/>
        <w:color w:val="FFFFFF"/>
        <w:sz w:val="22"/>
      </w:rPr>
      <w:tcPr>
        <w:tcBorders>
          <w:top w:val="single" w:color="FFFFFF" w:themeColor="light1" w:sz="4" w:space="0"/>
        </w:tcBorders>
        <w:shd w:val="clear" w:color="70AD47" w:fill="F79646" w:themeFill="accent6"/>
      </w:tcPr>
    </w:tblStylePr>
    <w:tblStylePr w:type="firstCol">
      <w:pPr>
        <w:snapToGrid/>
      </w:pPr>
      <w:rPr>
        <w:rFonts w:ascii="Arial" w:hAnsi="Arial"/>
        <w:b/>
        <w:color w:val="FFFFFF"/>
        <w:sz w:val="22"/>
      </w:rPr>
      <w:tcPr>
        <w:shd w:val="clear" w:color="70AD47" w:fill="F79646" w:themeFill="accent6"/>
      </w:tcPr>
    </w:tblStylePr>
    <w:tblStylePr w:type="lastCol">
      <w:pPr>
        <w:snapToGrid/>
      </w:pPr>
      <w:rPr>
        <w:rFonts w:ascii="Arial" w:hAnsi="Arial"/>
        <w:b/>
        <w:color w:val="FFFFFF"/>
        <w:sz w:val="22"/>
      </w:rPr>
      <w:tcPr>
        <w:shd w:val="clear" w:color="70AD47" w:fill="F79646" w:themeFill="accent6"/>
      </w:tcPr>
    </w:tblStylePr>
    <w:tblStylePr w:type="band1Vert">
      <w:pPr>
        <w:snapToGrid/>
      </w:pPr>
      <w:tcPr>
        <w:shd w:val="clear" w:color="BCDBA8" w:fill="FBCEAA" w:themeFill="accent6" w:themeFillTint="75"/>
      </w:tcPr>
    </w:tblStylePr>
    <w:tblStylePr w:type="band2Vert">
      <w:pPr>
        <w:snapToGrid/>
      </w:pPr>
    </w:tblStylePr>
    <w:tblStylePr w:type="band1Horz">
      <w:pPr>
        <w:snapToGrid/>
      </w:pPr>
      <w:tcPr>
        <w:shd w:val="clear" w:color="BCDBA8"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4">
    <w:name w:val="Grid Table 6 Colorful - Accent 1"/>
    <w:basedOn w:val="40"/>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pPr>
        <w:snapToGrid/>
      </w:pPr>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pPr>
        <w:snapToGrid/>
      </w:pPr>
      <w:rPr>
        <w:b/>
        <w:color w:val="A7C0DE" w:themeColor="accent1" w:themeTint="80"/>
        <w14:textFill>
          <w14:solidFill>
            <w14:schemeClr w14:val="accent1">
              <w14:lumMod w14:val="50000"/>
              <w14:lumOff w14:val="50000"/>
            </w14:schemeClr>
          </w14:solidFill>
        </w14:textFill>
      </w:rPr>
    </w:tblStylePr>
    <w:tblStylePr w:type="firstCol">
      <w:pPr>
        <w:snapToGrid/>
      </w:pPr>
      <w:rPr>
        <w:b/>
        <w:color w:val="A7C0DE" w:themeColor="accent1" w:themeTint="80"/>
        <w14:textFill>
          <w14:solidFill>
            <w14:schemeClr w14:val="accent1">
              <w14:lumMod w14:val="50000"/>
              <w14:lumOff w14:val="50000"/>
            </w14:schemeClr>
          </w14:solidFill>
        </w14:textFill>
      </w:rPr>
    </w:tblStylePr>
    <w:tblStylePr w:type="lastCol">
      <w:pPr>
        <w:snapToGrid/>
      </w:pPr>
      <w:rPr>
        <w:b/>
        <w:color w:val="A7C0DE" w:themeColor="accent1" w:themeTint="80"/>
        <w14:textFill>
          <w14:solidFill>
            <w14:schemeClr w14:val="accent1">
              <w14:lumMod w14:val="50000"/>
              <w14:lumOff w14:val="50000"/>
            </w14:schemeClr>
          </w14:solidFill>
        </w14:textFill>
      </w:rPr>
    </w:tblStylePr>
    <w:tblStylePr w:type="band1Vert">
      <w:pPr>
        <w:snapToGrid/>
      </w:pPr>
      <w:tcPr>
        <w:shd w:val="clear" w:color="DDEAF6" w:fill="DBE5F1" w:themeFill="accent1" w:themeFillTint="34"/>
      </w:tcPr>
    </w:tblStylePr>
    <w:tblStylePr w:type="band2Vert">
      <w:pPr>
        <w:snapToGrid/>
      </w:pPr>
    </w:tblStylePr>
    <w:tblStylePr w:type="band1Horz">
      <w:pPr>
        <w:snapToGrid/>
      </w:pPr>
      <w:rPr>
        <w:rFonts w:ascii="Arial" w:hAnsi="Arial"/>
        <w:color w:val="A7C0DE" w:themeColor="accent1" w:themeTint="80"/>
        <w:sz w:val="22"/>
        <w14:textFill>
          <w14:solidFill>
            <w14:schemeClr w14:val="accent1">
              <w14:lumMod w14:val="50000"/>
              <w14:lumOff w14:val="50000"/>
            </w14:schemeClr>
          </w14:solidFill>
        </w14:textFill>
      </w:rPr>
      <w:tcPr>
        <w:shd w:val="clear" w:color="DDEAF6" w:fill="DBE5F1" w:themeFill="accent1" w:themeFillTint="34"/>
      </w:tcPr>
    </w:tblStylePr>
    <w:tblStylePr w:type="band2Horz">
      <w:pPr>
        <w:snapToGrid/>
      </w:pPr>
      <w:rPr>
        <w:rFonts w:ascii="Arial" w:hAnsi="Arial"/>
        <w:color w:val="A7C0DE"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5">
    <w:name w:val="Grid Table 6 Colorful - Accent 2"/>
    <w:basedOn w:val="40"/>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pPr>
        <w:snapToGrid/>
      </w:pPr>
      <w:rPr>
        <w:b/>
        <w:color w:val="DA9896" w:themeColor="accent2" w:themeTint="96"/>
        <w14:textFill>
          <w14:solidFill>
            <w14:schemeClr w14:val="accent2">
              <w14:lumMod w14:val="59000"/>
              <w14:lumOff w14:val="41000"/>
            </w14:schemeClr>
          </w14:solidFill>
        </w14:textFill>
      </w:rPr>
    </w:tblStylePr>
    <w:tblStylePr w:type="firstCol">
      <w:pPr>
        <w:snapToGrid/>
      </w:pPr>
      <w:rPr>
        <w:b/>
        <w:color w:val="DA9896" w:themeColor="accent2" w:themeTint="96"/>
        <w14:textFill>
          <w14:solidFill>
            <w14:schemeClr w14:val="accent2">
              <w14:lumMod w14:val="59000"/>
              <w14:lumOff w14:val="41000"/>
            </w14:schemeClr>
          </w14:solidFill>
        </w14:textFill>
      </w:rPr>
    </w:tblStylePr>
    <w:tblStylePr w:type="lastCol">
      <w:pPr>
        <w:snapToGrid/>
      </w:pPr>
      <w:rPr>
        <w:b/>
        <w:color w:val="DA9896" w:themeColor="accent2" w:themeTint="96"/>
        <w14:textFill>
          <w14:solidFill>
            <w14:schemeClr w14:val="accent2">
              <w14:lumMod w14:val="59000"/>
              <w14:lumOff w14:val="41000"/>
            </w14:schemeClr>
          </w14:solidFill>
        </w14:textFill>
      </w:rPr>
    </w:tblStylePr>
    <w:tblStylePr w:type="band1Vert">
      <w:pPr>
        <w:snapToGrid/>
      </w:pPr>
      <w:tcPr>
        <w:shd w:val="clear" w:color="FBE5D6" w:fill="F2DCDC" w:themeFill="accent2" w:themeFillTint="32"/>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FBE5D6" w:fill="F2DCDC" w:themeFill="accent2" w:themeFillTint="32"/>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6">
    <w:name w:val="Grid Table 6 Colorful - Accent 3"/>
    <w:basedOn w:val="40"/>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b/>
        <w:color w:val="9BBB59" w:themeColor="accent3"/>
        <w14:textFill>
          <w14:solidFill>
            <w14:schemeClr w14:val="accent3"/>
          </w14:solidFill>
        </w14:textFill>
      </w:rPr>
      <w:tcPr>
        <w:tcBorders>
          <w:bottom w:val="single" w:color="9BBB59" w:themeColor="accent3" w:themeTint="FE" w:sz="12" w:space="0"/>
        </w:tcBorders>
      </w:tcPr>
    </w:tblStylePr>
    <w:tblStylePr w:type="lastRow">
      <w:pPr>
        <w:snapToGrid/>
      </w:pPr>
      <w:rPr>
        <w:b/>
        <w:color w:val="9BBB59" w:themeColor="accent3"/>
        <w14:textFill>
          <w14:solidFill>
            <w14:schemeClr w14:val="accent3"/>
          </w14:solidFill>
        </w14:textFill>
      </w:rPr>
    </w:tblStylePr>
    <w:tblStylePr w:type="firstCol">
      <w:pPr>
        <w:snapToGrid/>
      </w:pPr>
      <w:rPr>
        <w:b/>
        <w:color w:val="9BBB59" w:themeColor="accent3"/>
        <w14:textFill>
          <w14:solidFill>
            <w14:schemeClr w14:val="accent3"/>
          </w14:solidFill>
        </w14:textFill>
      </w:rPr>
    </w:tblStylePr>
    <w:tblStylePr w:type="lastCol">
      <w:pPr>
        <w:snapToGrid/>
      </w:pPr>
      <w:rPr>
        <w:b/>
        <w:color w:val="9BBB59" w:themeColor="accent3"/>
        <w14:textFill>
          <w14:solidFill>
            <w14:schemeClr w14:val="accent3"/>
          </w14:solidFill>
        </w14:textFill>
      </w:rPr>
    </w:tblStylePr>
    <w:tblStylePr w:type="band1Vert">
      <w:pPr>
        <w:snapToGrid/>
      </w:pPr>
      <w:tcPr>
        <w:shd w:val="clear" w:color="ECECEC" w:fill="EAF1DD" w:themeFill="accent3" w:themeFillTint="34"/>
      </w:tcPr>
    </w:tblStylePr>
    <w:tblStylePr w:type="band2Vert">
      <w:pPr>
        <w:snapToGrid/>
      </w:pPr>
    </w:tblStylePr>
    <w:tblStylePr w:type="band1Horz">
      <w:pPr>
        <w:snapToGrid/>
      </w:pPr>
      <w:rPr>
        <w:rFonts w:ascii="Arial" w:hAnsi="Arial"/>
        <w:color w:val="9BBB59" w:themeColor="accent3"/>
        <w:sz w:val="22"/>
        <w14:textFill>
          <w14:solidFill>
            <w14:schemeClr w14:val="accent3"/>
          </w14:solidFill>
        </w14:textFill>
      </w:rPr>
      <w:tcPr>
        <w:shd w:val="clear" w:color="ECECEC" w:fill="EAF1DD" w:themeFill="accent3" w:themeFillTint="34"/>
      </w:tcPr>
    </w:tblStylePr>
    <w:tblStylePr w:type="band2Horz">
      <w:pPr>
        <w:snapToGrid/>
      </w:pPr>
      <w:rPr>
        <w:rFonts w:ascii="Arial" w:hAnsi="Arial"/>
        <w:color w:val="9BBB59"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7">
    <w:name w:val="Grid Table 6 Colorful - Accent 4"/>
    <w:basedOn w:val="40"/>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pPr>
        <w:snapToGrid/>
      </w:pPr>
      <w:rPr>
        <w:b/>
        <w:color w:val="B3A2C7" w:themeColor="accent4" w:themeTint="99"/>
        <w14:textFill>
          <w14:solidFill>
            <w14:schemeClr w14:val="accent4">
              <w14:lumMod w14:val="60000"/>
              <w14:lumOff w14:val="40000"/>
            </w14:schemeClr>
          </w14:solidFill>
        </w14:textFill>
      </w:rPr>
    </w:tblStylePr>
    <w:tblStylePr w:type="firstCol">
      <w:pPr>
        <w:snapToGrid/>
      </w:pPr>
      <w:rPr>
        <w:b/>
        <w:color w:val="B3A2C7" w:themeColor="accent4" w:themeTint="99"/>
        <w14:textFill>
          <w14:solidFill>
            <w14:schemeClr w14:val="accent4">
              <w14:lumMod w14:val="60000"/>
              <w14:lumOff w14:val="40000"/>
            </w14:schemeClr>
          </w14:solidFill>
        </w14:textFill>
      </w:rPr>
    </w:tblStylePr>
    <w:tblStylePr w:type="lastCol">
      <w:pPr>
        <w:snapToGrid/>
      </w:pPr>
      <w:rPr>
        <w:b/>
        <w:color w:val="B3A2C7" w:themeColor="accent4" w:themeTint="99"/>
        <w14:textFill>
          <w14:solidFill>
            <w14:schemeClr w14:val="accent4">
              <w14:lumMod w14:val="60000"/>
              <w14:lumOff w14:val="40000"/>
            </w14:schemeClr>
          </w14:solidFill>
        </w14:textFill>
      </w:rPr>
    </w:tblStylePr>
    <w:tblStylePr w:type="band1Vert">
      <w:pPr>
        <w:snapToGrid/>
      </w:pPr>
      <w:tcPr>
        <w:shd w:val="clear" w:color="FEF2CA" w:fill="E5DFEC" w:themeFill="accent4" w:themeFillTint="34"/>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FEF2CA" w:fill="E5DFEC" w:themeFill="accent4" w:themeFillTint="34"/>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8">
    <w:name w:val="Grid Table 6 Colorful - Accent 5"/>
    <w:basedOn w:val="40"/>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pPr>
        <w:snapToGrid/>
      </w:pPr>
      <w:rPr>
        <w:b/>
        <w:color w:val="266778" w:themeColor="accent5" w:themeShade="94"/>
      </w:rPr>
      <w:tcPr>
        <w:tcBorders>
          <w:bottom w:val="single" w:color="4BACC6" w:themeColor="accent5" w:sz="12" w:space="0"/>
        </w:tcBorders>
      </w:tcPr>
    </w:tblStylePr>
    <w:tblStylePr w:type="lastRow">
      <w:pPr>
        <w:snapToGrid/>
      </w:pPr>
      <w:rPr>
        <w:b/>
        <w:color w:val="266778" w:themeColor="accent5" w:themeShade="94"/>
      </w:rPr>
    </w:tblStylePr>
    <w:tblStylePr w:type="firstCol">
      <w:pPr>
        <w:snapToGrid/>
      </w:pPr>
      <w:rPr>
        <w:b/>
        <w:color w:val="266778" w:themeColor="accent5" w:themeShade="94"/>
      </w:rPr>
    </w:tblStylePr>
    <w:tblStylePr w:type="lastCol">
      <w:pPr>
        <w:snapToGrid/>
      </w:pPr>
      <w:rPr>
        <w:b/>
        <w:color w:val="266778" w:themeColor="accent5" w:themeShade="94"/>
      </w:rPr>
    </w:tblStylePr>
    <w:tblStylePr w:type="band1Vert">
      <w:pPr>
        <w:snapToGrid/>
      </w:pPr>
      <w:tcPr>
        <w:shd w:val="clear" w:color="D8E2F2" w:fill="DAEEF3" w:themeFill="accent5" w:themeFillTint="34"/>
      </w:tcPr>
    </w:tblStylePr>
    <w:tblStylePr w:type="band2Vert">
      <w:pPr>
        <w:snapToGrid/>
      </w:pPr>
    </w:tblStylePr>
    <w:tblStylePr w:type="band1Horz">
      <w:pPr>
        <w:snapToGrid/>
      </w:pPr>
      <w:rPr>
        <w:rFonts w:ascii="Arial" w:hAnsi="Arial"/>
        <w:color w:val="266778" w:themeColor="accent5" w:themeShade="94"/>
        <w:sz w:val="22"/>
      </w:rPr>
      <w:tcPr>
        <w:shd w:val="clear" w:color="D8E2F2" w:fill="DAEEF3" w:themeFill="accent5"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39">
    <w:name w:val="Grid Table 6 Colorful - Accent 6"/>
    <w:basedOn w:val="40"/>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pPr>
        <w:snapToGrid/>
      </w:pPr>
      <w:rPr>
        <w:b/>
        <w:color w:val="266778" w:themeColor="accent5" w:themeShade="94"/>
      </w:rPr>
      <w:tcPr>
        <w:tcBorders>
          <w:bottom w:val="single" w:color="F79646" w:themeColor="accent6" w:sz="12" w:space="0"/>
        </w:tcBorders>
      </w:tcPr>
    </w:tblStylePr>
    <w:tblStylePr w:type="lastRow">
      <w:pPr>
        <w:snapToGrid/>
      </w:pPr>
      <w:rPr>
        <w:b/>
        <w:color w:val="266778" w:themeColor="accent5" w:themeShade="94"/>
      </w:rPr>
    </w:tblStylePr>
    <w:tblStylePr w:type="firstCol">
      <w:pPr>
        <w:snapToGrid/>
      </w:pPr>
      <w:rPr>
        <w:b/>
        <w:color w:val="266778" w:themeColor="accent5" w:themeShade="94"/>
      </w:rPr>
    </w:tblStylePr>
    <w:tblStylePr w:type="lastCol">
      <w:pPr>
        <w:snapToGrid/>
      </w:pPr>
      <w:rPr>
        <w:b/>
        <w:color w:val="266778" w:themeColor="accent5" w:themeShade="94"/>
      </w:rPr>
    </w:tblStylePr>
    <w:tblStylePr w:type="band1Vert">
      <w:pPr>
        <w:snapToGrid/>
      </w:pPr>
      <w:tcPr>
        <w:shd w:val="clear" w:color="E1EFD8" w:fill="FDE9D9" w:themeFill="accent6" w:themeFillTint="34"/>
      </w:tcPr>
    </w:tblStylePr>
    <w:tblStylePr w:type="band2Vert">
      <w:pPr>
        <w:snapToGrid/>
      </w:pPr>
    </w:tblStylePr>
    <w:tblStylePr w:type="band1Horz">
      <w:pPr>
        <w:snapToGrid/>
      </w:pPr>
      <w:rPr>
        <w:rFonts w:ascii="Arial" w:hAnsi="Arial"/>
        <w:color w:val="266778" w:themeColor="accent5" w:themeShade="94"/>
        <w:sz w:val="22"/>
      </w:rPr>
      <w:tcPr>
        <w:shd w:val="clear" w:color="E1EFD8" w:fill="FDE9D9" w:themeFill="accent6"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0">
    <w:name w:val="Grid Table 7 Colorful - Accent 1"/>
    <w:basedOn w:val="40"/>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pPr>
        <w:snapToGrid/>
      </w:pPr>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fill="FFFFFF" w:themeFill="light1"/>
      </w:tcPr>
    </w:tblStylePr>
    <w:tblStylePr w:type="lastRow">
      <w:pPr>
        <w:snapToGrid/>
      </w:pPr>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fill="FFFFFF" w:themeFill="light1"/>
      </w:tcPr>
    </w:tblStylePr>
    <w:tblStylePr w:type="firstCol">
      <w:pPr>
        <w:snapToGrid/>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FFFFFF"/>
      </w:tcPr>
    </w:tblStylePr>
    <w:tblStylePr w:type="lastCol">
      <w:pPr>
        <w:snapToGrid/>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FFFFFF"/>
      </w:tcPr>
    </w:tblStylePr>
    <w:tblStylePr w:type="band1Vert">
      <w:pPr>
        <w:snapToGrid/>
      </w:pPr>
      <w:tcPr>
        <w:shd w:val="clear" w:color="DDEAF6" w:fill="DBE5F1" w:themeFill="accent1" w:themeFillTint="34"/>
      </w:tcPr>
    </w:tblStylePr>
    <w:tblStylePr w:type="band2Vert">
      <w:pPr>
        <w:snapToGrid/>
      </w:pPr>
    </w:tblStylePr>
    <w:tblStylePr w:type="band1Horz">
      <w:pPr>
        <w:snapToGrid/>
      </w:pPr>
      <w:rPr>
        <w:rFonts w:ascii="Arial" w:hAnsi="Arial"/>
        <w:color w:val="A7C0DE" w:themeColor="accent1" w:themeTint="80"/>
        <w:sz w:val="22"/>
        <w14:textFill>
          <w14:solidFill>
            <w14:schemeClr w14:val="accent1">
              <w14:lumMod w14:val="50000"/>
              <w14:lumOff w14:val="50000"/>
            </w14:schemeClr>
          </w14:solidFill>
        </w14:textFill>
      </w:rPr>
      <w:tcPr>
        <w:shd w:val="clear" w:color="DDEAF6" w:fill="DBE5F1" w:themeFill="accent1" w:themeFillTint="34"/>
      </w:tcPr>
    </w:tblStylePr>
    <w:tblStylePr w:type="band2Horz">
      <w:pPr>
        <w:snapToGrid/>
      </w:pPr>
      <w:rPr>
        <w:rFonts w:ascii="Arial" w:hAnsi="Arial"/>
        <w:color w:val="A7C0DE" w:themeColor="accent1" w:themeTint="80"/>
        <w:sz w:val="22"/>
        <w14:textFill>
          <w14:solidFill>
            <w14:schemeClr w14:val="accent1">
              <w14:lumMod w14:val="50000"/>
              <w14:lumOff w14:val="5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1">
    <w:name w:val="Grid Table 7 Colorful - Accent 2"/>
    <w:basedOn w:val="40"/>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pPr>
        <w:snapToGrid/>
      </w:pPr>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fill="FFFFFF" w:themeFill="light1"/>
      </w:tcPr>
    </w:tblStylePr>
    <w:tblStylePr w:type="lastRow">
      <w:pPr>
        <w:snapToGrid/>
      </w:pPr>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fill="FFFFFF" w:themeFill="light1"/>
      </w:tcPr>
    </w:tblStylePr>
    <w:tblStylePr w:type="firstCol">
      <w:pPr>
        <w:snapToGrid/>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FFFFFF"/>
      </w:tcPr>
    </w:tblStylePr>
    <w:tblStylePr w:type="lastCol">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FFFFFF"/>
      </w:tcPr>
    </w:tblStylePr>
    <w:tblStylePr w:type="band1Vert">
      <w:pPr>
        <w:snapToGrid/>
      </w:pPr>
      <w:tcPr>
        <w:shd w:val="clear" w:color="FBE5D6" w:fill="F2DCDC" w:themeFill="accent2" w:themeFillTint="32"/>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FBE5D6" w:fill="F2DCDC" w:themeFill="accent2" w:themeFillTint="32"/>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2">
    <w:name w:val="Grid Table 7 Colorful - Accent 3"/>
    <w:basedOn w:val="40"/>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pPr>
        <w:snapToGrid/>
      </w:pPr>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fill="FFFFFF" w:themeFill="light1"/>
      </w:tcPr>
    </w:tblStylePr>
    <w:tblStylePr w:type="lastRow">
      <w:pPr>
        <w:snapToGrid/>
      </w:pPr>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fill="FFFFFF" w:themeFill="light1"/>
      </w:tcPr>
    </w:tblStylePr>
    <w:tblStylePr w:type="firstCol">
      <w:pPr>
        <w:snapToGrid/>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FFFFFF"/>
      </w:tcPr>
    </w:tblStylePr>
    <w:tblStylePr w:type="lastCol">
      <w:pPr>
        <w:snapToGrid/>
      </w:pPr>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FFFFFF"/>
      </w:tcPr>
    </w:tblStylePr>
    <w:tblStylePr w:type="band1Vert">
      <w:pPr>
        <w:snapToGrid/>
      </w:pPr>
      <w:tcPr>
        <w:shd w:val="clear" w:color="ECECEC" w:fill="EAF1DD" w:themeFill="accent3" w:themeFillTint="34"/>
      </w:tcPr>
    </w:tblStylePr>
    <w:tblStylePr w:type="band2Vert">
      <w:pPr>
        <w:snapToGrid/>
      </w:pPr>
    </w:tblStylePr>
    <w:tblStylePr w:type="band1Horz">
      <w:pPr>
        <w:snapToGrid/>
      </w:pPr>
      <w:rPr>
        <w:rFonts w:ascii="Arial" w:hAnsi="Arial"/>
        <w:color w:val="9BBB59" w:themeColor="accent3"/>
        <w:sz w:val="22"/>
        <w14:textFill>
          <w14:solidFill>
            <w14:schemeClr w14:val="accent3"/>
          </w14:solidFill>
        </w14:textFill>
      </w:rPr>
      <w:tcPr>
        <w:shd w:val="clear" w:color="ECECEC" w:fill="EAF1DD" w:themeFill="accent3" w:themeFillTint="34"/>
      </w:tcPr>
    </w:tblStylePr>
    <w:tblStylePr w:type="band2Horz">
      <w:pPr>
        <w:snapToGrid/>
      </w:pPr>
      <w:rPr>
        <w:rFonts w:ascii="Arial" w:hAnsi="Arial"/>
        <w:color w:val="9BBB59" w:themeColor="accent3"/>
        <w:sz w:val="22"/>
        <w14:textFill>
          <w14:solidFill>
            <w14:schemeClr w14:val="accent3"/>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3">
    <w:name w:val="Grid Table 7 Colorful - Accent 4"/>
    <w:basedOn w:val="40"/>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pPr>
        <w:snapToGrid/>
      </w:pPr>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fill="FFFFFF" w:themeFill="light1"/>
      </w:tcPr>
    </w:tblStylePr>
    <w:tblStylePr w:type="lastRow">
      <w:pPr>
        <w:snapToGrid/>
      </w:pPr>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fill="FFFFFF" w:themeFill="light1"/>
      </w:tcPr>
    </w:tblStylePr>
    <w:tblStylePr w:type="firstCol">
      <w:pPr>
        <w:snapToGrid/>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FFFFFF"/>
      </w:tcPr>
    </w:tblStylePr>
    <w:tblStylePr w:type="lastCol">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FFFFFF"/>
      </w:tcPr>
    </w:tblStylePr>
    <w:tblStylePr w:type="band1Vert">
      <w:pPr>
        <w:snapToGrid/>
      </w:pPr>
      <w:tcPr>
        <w:shd w:val="clear" w:color="FEF2CA" w:fill="E5DFEC" w:themeFill="accent4" w:themeFillTint="34"/>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FEF2CA" w:fill="E5DFEC" w:themeFill="accent4" w:themeFillTint="34"/>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4">
    <w:name w:val="Grid Table 7 Colorful - Accent 5"/>
    <w:basedOn w:val="40"/>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pPr>
        <w:snapToGrid/>
      </w:pPr>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fill="FFFFFF" w:themeFill="light1"/>
      </w:tcPr>
    </w:tblStylePr>
    <w:tblStylePr w:type="lastRow">
      <w:pPr>
        <w:snapToGrid/>
      </w:pPr>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fill="FFFFFF" w:themeFill="light1"/>
      </w:tcPr>
    </w:tblStylePr>
    <w:tblStylePr w:type="firstCol">
      <w:pPr>
        <w:snapToGrid/>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FFFFFF"/>
      </w:tcPr>
    </w:tblStylePr>
    <w:tblStylePr w:type="lastCol">
      <w:pPr>
        <w:snapToGrid/>
      </w:pPr>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FFFFFF"/>
      </w:tcPr>
    </w:tblStylePr>
    <w:tblStylePr w:type="band1Vert">
      <w:pPr>
        <w:snapToGrid/>
      </w:pPr>
      <w:tcPr>
        <w:shd w:val="clear" w:color="D8E2F2" w:fill="DAEEF3" w:themeFill="accent5" w:themeFillTint="34"/>
      </w:tcPr>
    </w:tblStylePr>
    <w:tblStylePr w:type="band2Vert">
      <w:pPr>
        <w:snapToGrid/>
      </w:pPr>
    </w:tblStylePr>
    <w:tblStylePr w:type="band1Horz">
      <w:pPr>
        <w:snapToGrid/>
      </w:pPr>
      <w:rPr>
        <w:rFonts w:ascii="Arial" w:hAnsi="Arial"/>
        <w:color w:val="266778" w:themeColor="accent5" w:themeShade="94"/>
        <w:sz w:val="22"/>
      </w:rPr>
      <w:tcPr>
        <w:shd w:val="clear" w:color="D8E2F2" w:fill="DAEEF3" w:themeFill="accent5" w:themeFillTint="34"/>
      </w:tcPr>
    </w:tblStylePr>
    <w:tblStylePr w:type="band2Horz">
      <w:pPr>
        <w:snapToGrid/>
      </w:pPr>
      <w:rPr>
        <w:rFonts w:ascii="Arial" w:hAnsi="Arial"/>
        <w:color w:val="2667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5">
    <w:name w:val="Grid Table 7 Colorful - Accent 6"/>
    <w:basedOn w:val="40"/>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pPr>
        <w:snapToGrid/>
      </w:pPr>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fill="FFFFFF" w:themeFill="light1"/>
      </w:tcPr>
    </w:tblStylePr>
    <w:tblStylePr w:type="lastRow">
      <w:pPr>
        <w:snapToGrid/>
      </w:pPr>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fill="FFFFFF" w:themeFill="light1"/>
      </w:tcPr>
    </w:tblStylePr>
    <w:tblStylePr w:type="firstCol">
      <w:pPr>
        <w:snapToGrid/>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FFFFFF"/>
      </w:tcPr>
    </w:tblStylePr>
    <w:tblStylePr w:type="lastCol">
      <w:pPr>
        <w:snapToGrid/>
      </w:pPr>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FFFFFF"/>
      </w:tcPr>
    </w:tblStylePr>
    <w:tblStylePr w:type="band1Vert">
      <w:pPr>
        <w:snapToGrid/>
      </w:pPr>
      <w:tcPr>
        <w:shd w:val="clear" w:color="E1EFD8" w:fill="FDE9D9" w:themeFill="accent6" w:themeFillTint="34"/>
      </w:tcPr>
    </w:tblStylePr>
    <w:tblStylePr w:type="band2Vert">
      <w:pPr>
        <w:snapToGrid/>
      </w:pPr>
    </w:tblStylePr>
    <w:tblStylePr w:type="band1Horz">
      <w:pPr>
        <w:snapToGrid/>
      </w:pPr>
      <w:rPr>
        <w:rFonts w:ascii="Arial" w:hAnsi="Arial"/>
        <w:color w:val="B05408" w:themeColor="accent6" w:themeShade="94"/>
        <w:sz w:val="22"/>
      </w:rPr>
      <w:tcPr>
        <w:shd w:val="clear" w:color="E1EFD8" w:fill="FDE9D9" w:themeFill="accent6" w:themeFillTint="34"/>
      </w:tcPr>
    </w:tblStylePr>
    <w:tblStylePr w:type="band2Horz">
      <w:pPr>
        <w:snapToGrid/>
      </w:pPr>
      <w:rPr>
        <w:rFonts w:ascii="Arial" w:hAnsi="Arial"/>
        <w:color w:val="B05408"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6">
    <w:name w:val="List Table 1 Light - Accent 1"/>
    <w:basedOn w:val="40"/>
    <w:qFormat/>
    <w:uiPriority w:val="99"/>
    <w:tblStylePr w:type="firstRow">
      <w:pPr>
        <w:snapToGrid/>
      </w:pPr>
      <w:rPr>
        <w:b/>
        <w:color w:val="404040"/>
      </w:rPr>
      <w:tcPr>
        <w:tcBorders>
          <w:top w:val="nil"/>
          <w:left w:val="nil"/>
          <w:bottom w:val="single" w:color="4F81BD" w:themeColor="accent1" w:sz="4" w:space="0"/>
          <w:right w:val="nil"/>
        </w:tcBorders>
      </w:tcPr>
    </w:tblStylePr>
    <w:tblStylePr w:type="lastRow">
      <w:pPr>
        <w:snapToGrid/>
      </w:pPr>
      <w:rPr>
        <w:b/>
        <w:color w:val="404040"/>
      </w:rPr>
      <w:tcPr>
        <w:tcBorders>
          <w:top w:val="single" w:color="4F81BD" w:themeColor="accent1"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D5E5F4" w:fill="D2DFEE" w:themeFill="accent1" w:themeFillTint="40"/>
      </w:tcPr>
    </w:tblStylePr>
    <w:tblStylePr w:type="band2Vert">
      <w:pPr>
        <w:snapToGrid/>
      </w:pPr>
    </w:tblStylePr>
    <w:tblStylePr w:type="band1Horz">
      <w:pPr>
        <w:snapToGrid/>
      </w:pPr>
      <w:tcPr>
        <w:shd w:val="clear" w:color="D5E5F4"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7">
    <w:name w:val="List Table 1 Light - Accent 2"/>
    <w:basedOn w:val="40"/>
    <w:qFormat/>
    <w:uiPriority w:val="99"/>
    <w:tblStylePr w:type="firstRow">
      <w:pPr>
        <w:snapToGrid/>
      </w:pPr>
      <w:rPr>
        <w:b/>
        <w:color w:val="404040"/>
      </w:rPr>
      <w:tcPr>
        <w:tcBorders>
          <w:top w:val="nil"/>
          <w:left w:val="nil"/>
          <w:bottom w:val="single" w:color="C0504D" w:themeColor="accent2" w:sz="4" w:space="0"/>
          <w:right w:val="nil"/>
        </w:tcBorders>
      </w:tcPr>
    </w:tblStylePr>
    <w:tblStylePr w:type="lastRow">
      <w:pPr>
        <w:snapToGrid/>
      </w:pPr>
      <w:rPr>
        <w:b/>
        <w:color w:val="404040"/>
      </w:rPr>
      <w:tcPr>
        <w:tcBorders>
          <w:top w:val="single" w:color="C0504D" w:themeColor="accent2"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FADECB" w:fill="EFD3D2" w:themeFill="accent2" w:themeFillTint="40"/>
      </w:tcPr>
    </w:tblStylePr>
    <w:tblStylePr w:type="band2Vert">
      <w:pPr>
        <w:snapToGrid/>
      </w:pPr>
    </w:tblStylePr>
    <w:tblStylePr w:type="band1Horz">
      <w:pPr>
        <w:snapToGrid/>
      </w:pPr>
      <w:tcPr>
        <w:shd w:val="clear" w:color="FADECB"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8">
    <w:name w:val="List Table 1 Light - Accent 3"/>
    <w:basedOn w:val="40"/>
    <w:qFormat/>
    <w:uiPriority w:val="99"/>
    <w:tblStylePr w:type="firstRow">
      <w:pPr>
        <w:snapToGrid/>
      </w:pPr>
      <w:rPr>
        <w:b/>
        <w:color w:val="404040"/>
      </w:rPr>
      <w:tcPr>
        <w:tcBorders>
          <w:top w:val="nil"/>
          <w:left w:val="nil"/>
          <w:bottom w:val="single" w:color="9BBB59" w:themeColor="accent3" w:sz="4" w:space="0"/>
          <w:right w:val="nil"/>
        </w:tcBorders>
      </w:tcPr>
    </w:tblStylePr>
    <w:tblStylePr w:type="lastRow">
      <w:pPr>
        <w:snapToGrid/>
      </w:pPr>
      <w:rPr>
        <w:b/>
        <w:color w:val="404040"/>
      </w:rPr>
      <w:tcPr>
        <w:tcBorders>
          <w:top w:val="single" w:color="9BBB59" w:themeColor="accent3"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E8E8E8" w:fill="E5EDD5" w:themeFill="accent3" w:themeFillTint="40"/>
      </w:tcPr>
    </w:tblStylePr>
    <w:tblStylePr w:type="band2Vert">
      <w:pPr>
        <w:snapToGrid/>
      </w:pPr>
    </w:tblStylePr>
    <w:tblStylePr w:type="band1Horz">
      <w:pPr>
        <w:snapToGrid/>
      </w:pPr>
      <w:tcPr>
        <w:shd w:val="clear" w:color="E8E8E8"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49">
    <w:name w:val="List Table 1 Light - Accent 4"/>
    <w:basedOn w:val="40"/>
    <w:qFormat/>
    <w:uiPriority w:val="99"/>
    <w:tblStylePr w:type="firstRow">
      <w:pPr>
        <w:snapToGrid/>
      </w:pPr>
      <w:rPr>
        <w:b/>
        <w:color w:val="404040"/>
      </w:rPr>
      <w:tcPr>
        <w:tcBorders>
          <w:top w:val="nil"/>
          <w:left w:val="nil"/>
          <w:bottom w:val="single" w:color="8064A2" w:themeColor="accent4" w:sz="4" w:space="0"/>
          <w:right w:val="nil"/>
        </w:tcBorders>
      </w:tcPr>
    </w:tblStylePr>
    <w:tblStylePr w:type="lastRow">
      <w:pPr>
        <w:snapToGrid/>
      </w:pPr>
      <w:rPr>
        <w:b/>
        <w:color w:val="404040"/>
      </w:rPr>
      <w:tcPr>
        <w:tcBorders>
          <w:top w:val="single" w:color="8064A2" w:themeColor="accent4"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FFEFBE" w:fill="DFD8E7" w:themeFill="accent4" w:themeFillTint="40"/>
      </w:tcPr>
    </w:tblStylePr>
    <w:tblStylePr w:type="band2Vert">
      <w:pPr>
        <w:snapToGrid/>
      </w:pPr>
    </w:tblStylePr>
    <w:tblStylePr w:type="band1Horz">
      <w:pPr>
        <w:snapToGrid/>
      </w:pPr>
      <w:tcPr>
        <w:shd w:val="clear" w:color="FFEFBE"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0">
    <w:name w:val="List Table 1 Light - Accent 5"/>
    <w:basedOn w:val="40"/>
    <w:qFormat/>
    <w:uiPriority w:val="99"/>
    <w:tblStylePr w:type="firstRow">
      <w:pPr>
        <w:snapToGrid/>
      </w:pPr>
      <w:rPr>
        <w:b/>
        <w:color w:val="404040"/>
      </w:rPr>
      <w:tcPr>
        <w:tcBorders>
          <w:top w:val="nil"/>
          <w:left w:val="nil"/>
          <w:bottom w:val="single" w:color="4BACC6" w:themeColor="accent5" w:sz="4" w:space="0"/>
          <w:right w:val="nil"/>
        </w:tcBorders>
      </w:tcPr>
    </w:tblStylePr>
    <w:tblStylePr w:type="lastRow">
      <w:pPr>
        <w:snapToGrid/>
      </w:pPr>
      <w:rPr>
        <w:b/>
        <w:color w:val="404040"/>
      </w:rPr>
      <w:tcPr>
        <w:tcBorders>
          <w:top w:val="single" w:color="4BACC6" w:themeColor="accent5"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D0DBF0" w:fill="D1EAF0" w:themeFill="accent5" w:themeFillTint="40"/>
      </w:tcPr>
    </w:tblStylePr>
    <w:tblStylePr w:type="band2Vert">
      <w:pPr>
        <w:snapToGrid/>
      </w:pPr>
    </w:tblStylePr>
    <w:tblStylePr w:type="band1Horz">
      <w:pPr>
        <w:snapToGrid/>
      </w:pPr>
      <w:tcPr>
        <w:shd w:val="clear" w:color="D0DB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1">
    <w:name w:val="List Table 1 Light - Accent 6"/>
    <w:basedOn w:val="40"/>
    <w:qFormat/>
    <w:uiPriority w:val="99"/>
    <w:tblStylePr w:type="firstRow">
      <w:pPr>
        <w:snapToGrid/>
      </w:pPr>
      <w:rPr>
        <w:b/>
        <w:color w:val="404040"/>
      </w:rPr>
      <w:tcPr>
        <w:tcBorders>
          <w:top w:val="nil"/>
          <w:left w:val="nil"/>
          <w:bottom w:val="single" w:color="F79646" w:themeColor="accent6" w:sz="4" w:space="0"/>
          <w:right w:val="nil"/>
        </w:tcBorders>
      </w:tcPr>
    </w:tblStylePr>
    <w:tblStylePr w:type="lastRow">
      <w:pPr>
        <w:snapToGrid/>
      </w:pPr>
      <w:rPr>
        <w:b/>
        <w:color w:val="404040"/>
      </w:rPr>
      <w:tcPr>
        <w:tcBorders>
          <w:top w:val="single" w:color="F79646" w:themeColor="accent6" w:sz="4" w:space="0"/>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cPr>
        <w:shd w:val="clear" w:color="DAEBCF" w:fill="FCE4D0" w:themeFill="accent6" w:themeFillTint="40"/>
      </w:tcPr>
    </w:tblStylePr>
    <w:tblStylePr w:type="band2Vert">
      <w:pPr>
        <w:snapToGrid/>
      </w:pPr>
    </w:tblStylePr>
    <w:tblStylePr w:type="band1Horz">
      <w:pPr>
        <w:snapToGrid/>
      </w:pPr>
      <w:tcPr>
        <w:shd w:val="clear" w:color="DAEBCF"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2">
    <w:name w:val="List Table 2 - Accent 1"/>
    <w:basedOn w:val="40"/>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pPr>
        <w:snapToGrid/>
      </w:pPr>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pPr>
        <w:snapToGrid/>
      </w:pPr>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D5E5F4" w:fill="D2DFEE" w:themeFill="accent1" w:themeFillTint="40"/>
      </w:tcPr>
    </w:tblStylePr>
    <w:tblStylePr w:type="band2Vert">
      <w:pPr>
        <w:snapToGrid/>
      </w:pPr>
    </w:tblStylePr>
    <w:tblStylePr w:type="band1Horz">
      <w:pPr>
        <w:snapToGrid/>
      </w:pPr>
      <w:rPr>
        <w:rFonts w:ascii="Arial" w:hAnsi="Arial"/>
        <w:color w:val="404040"/>
        <w:sz w:val="22"/>
      </w:rPr>
      <w:tcPr>
        <w:shd w:val="clear" w:color="D5E5F4"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3">
    <w:name w:val="List Table 2 - Accent 2"/>
    <w:basedOn w:val="40"/>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pPr>
        <w:snapToGrid/>
      </w:pPr>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pPr>
        <w:snapToGrid/>
      </w:pPr>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FADECB" w:fill="EFD3D2" w:themeFill="accent2" w:themeFillTint="40"/>
      </w:tcPr>
    </w:tblStylePr>
    <w:tblStylePr w:type="band2Vert">
      <w:pPr>
        <w:snapToGrid/>
      </w:pPr>
    </w:tblStylePr>
    <w:tblStylePr w:type="band1Horz">
      <w:pPr>
        <w:snapToGrid/>
      </w:pPr>
      <w:rPr>
        <w:rFonts w:ascii="Arial" w:hAnsi="Arial"/>
        <w:color w:val="404040"/>
        <w:sz w:val="22"/>
      </w:rPr>
      <w:tcPr>
        <w:shd w:val="clear" w:color="FADECB"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4">
    <w:name w:val="List Table 2 - Accent 3"/>
    <w:basedOn w:val="40"/>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pPr>
        <w:snapToGrid/>
      </w:pPr>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pPr>
        <w:snapToGrid/>
      </w:pPr>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E8E8E8" w:fill="E5EDD5" w:themeFill="accent3" w:themeFillTint="40"/>
      </w:tcPr>
    </w:tblStylePr>
    <w:tblStylePr w:type="band2Vert">
      <w:pPr>
        <w:snapToGrid/>
      </w:pPr>
    </w:tblStylePr>
    <w:tblStylePr w:type="band1Horz">
      <w:pPr>
        <w:snapToGrid/>
      </w:pPr>
      <w:rPr>
        <w:rFonts w:ascii="Arial" w:hAnsi="Arial"/>
        <w:color w:val="404040"/>
        <w:sz w:val="22"/>
      </w:rPr>
      <w:tcPr>
        <w:shd w:val="clear" w:color="E8E8E8"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5">
    <w:name w:val="List Table 2 - Accent 4"/>
    <w:basedOn w:val="40"/>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pPr>
        <w:snapToGrid/>
      </w:pPr>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pPr>
        <w:snapToGrid/>
      </w:pPr>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FFEFBE" w:fill="DFD8E7" w:themeFill="accent4" w:themeFillTint="40"/>
      </w:tcPr>
    </w:tblStylePr>
    <w:tblStylePr w:type="band2Vert">
      <w:pPr>
        <w:snapToGrid/>
      </w:pPr>
    </w:tblStylePr>
    <w:tblStylePr w:type="band1Horz">
      <w:pPr>
        <w:snapToGrid/>
      </w:pPr>
      <w:rPr>
        <w:rFonts w:ascii="Arial" w:hAnsi="Arial"/>
        <w:color w:val="404040"/>
        <w:sz w:val="22"/>
      </w:rPr>
      <w:tcPr>
        <w:shd w:val="clear" w:color="FFEFBE"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6">
    <w:name w:val="List Table 2 - Accent 5"/>
    <w:basedOn w:val="40"/>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pPr>
        <w:snapToGrid/>
      </w:pPr>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pPr>
        <w:snapToGrid/>
      </w:pPr>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D0DBF0" w:fill="D1EAF0" w:themeFill="accent5" w:themeFillTint="40"/>
      </w:tcPr>
    </w:tblStylePr>
    <w:tblStylePr w:type="band2Vert">
      <w:pPr>
        <w:snapToGrid/>
      </w:pPr>
    </w:tblStylePr>
    <w:tblStylePr w:type="band1Horz">
      <w:pPr>
        <w:snapToGrid/>
      </w:pPr>
      <w:rPr>
        <w:rFonts w:ascii="Arial" w:hAnsi="Arial"/>
        <w:color w:val="404040"/>
        <w:sz w:val="22"/>
      </w:rPr>
      <w:tcPr>
        <w:shd w:val="clear" w:color="D0DB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7">
    <w:name w:val="List Table 2 - Accent 6"/>
    <w:basedOn w:val="40"/>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pPr>
        <w:snapToGrid/>
      </w:pPr>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pPr>
        <w:snapToGrid/>
      </w:pPr>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cPr>
        <w:shd w:val="clear" w:color="DAEBCF" w:fill="FCE4D0" w:themeFill="accent6" w:themeFillTint="40"/>
      </w:tcPr>
    </w:tblStylePr>
    <w:tblStylePr w:type="band2Vert">
      <w:pPr>
        <w:snapToGrid/>
      </w:pPr>
    </w:tblStylePr>
    <w:tblStylePr w:type="band1Horz">
      <w:pPr>
        <w:snapToGrid/>
      </w:pPr>
      <w:rPr>
        <w:rFonts w:ascii="Arial" w:hAnsi="Arial"/>
        <w:color w:val="404040"/>
        <w:sz w:val="22"/>
      </w:rPr>
      <w:tcPr>
        <w:shd w:val="clear" w:color="DAEBCF"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8">
    <w:name w:val="List Table 3 - Accent 1"/>
    <w:basedOn w:val="40"/>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pPr>
        <w:snapToGrid/>
      </w:pPr>
      <w:rPr>
        <w:rFonts w:ascii="Arial" w:hAnsi="Arial"/>
        <w:b/>
        <w:color w:val="FFFFFF"/>
        <w:sz w:val="22"/>
      </w:rPr>
      <w:tcPr>
        <w:shd w:val="clear" w:color="5B9BD5"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4F81BD" w:themeColor="accent1" w:sz="4" w:space="0"/>
          <w:right w:val="single" w:color="4F81BD" w:themeColor="accent1" w:sz="4" w:space="0"/>
        </w:tcBorders>
      </w:tcPr>
    </w:tblStylePr>
    <w:tblStylePr w:type="band2Vert">
      <w:pPr>
        <w:snapToGrid/>
      </w:pPr>
    </w:tblStylePr>
    <w:tblStylePr w:type="band1Horz">
      <w:pPr>
        <w:snapToGrid/>
      </w:pPr>
      <w:rPr>
        <w:rFonts w:ascii="Arial" w:hAnsi="Arial"/>
        <w:color w:val="404040"/>
        <w:sz w:val="22"/>
      </w:rPr>
      <w:tcPr>
        <w:tcBorders>
          <w:top w:val="single" w:color="4F81BD" w:themeColor="accent1" w:sz="4" w:space="0"/>
          <w:bottom w:val="single" w:color="4F81BD" w:themeColor="accent1"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59">
    <w:name w:val="List Table 3 - Accent 2"/>
    <w:basedOn w:val="40"/>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pPr>
        <w:snapToGrid/>
      </w:pPr>
      <w:rPr>
        <w:rFonts w:ascii="Arial" w:hAnsi="Arial"/>
        <w:b/>
        <w:color w:val="FFFFFF"/>
        <w:sz w:val="22"/>
      </w:rPr>
      <w:tcPr>
        <w:shd w:val="clear" w:color="F4B285" w:fill="D997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pPr>
        <w:snapToGrid/>
      </w:pPr>
    </w:tblStylePr>
    <w:tblStylePr w:type="band1Horz">
      <w:pPr>
        <w:snapToGrid/>
      </w:pPr>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0">
    <w:name w:val="List Table 3 - Accent 3"/>
    <w:basedOn w:val="40"/>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pPr>
        <w:snapToGrid/>
      </w:pPr>
      <w:rPr>
        <w:rFonts w:ascii="Arial" w:hAnsi="Arial"/>
        <w:b/>
        <w:color w:val="FFFFFF"/>
        <w:sz w:val="22"/>
      </w:rPr>
      <w:tcPr>
        <w:shd w:val="clear" w:color="C9C9C9" w:fill="C3D69C"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pPr>
        <w:snapToGrid/>
      </w:pPr>
    </w:tblStylePr>
    <w:tblStylePr w:type="band1Horz">
      <w:pPr>
        <w:snapToGrid/>
      </w:pPr>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1">
    <w:name w:val="List Table 3 - Accent 4"/>
    <w:basedOn w:val="40"/>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pPr>
        <w:snapToGrid/>
      </w:pPr>
      <w:rPr>
        <w:rFonts w:ascii="Arial" w:hAnsi="Arial"/>
        <w:b/>
        <w:color w:val="FFFFFF"/>
        <w:sz w:val="22"/>
      </w:rPr>
      <w:tcPr>
        <w:shd w:val="clear" w:color="FFD864"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pPr>
        <w:snapToGrid/>
      </w:pPr>
    </w:tblStylePr>
    <w:tblStylePr w:type="band1Horz">
      <w:pPr>
        <w:snapToGrid/>
      </w:pPr>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2">
    <w:name w:val="List Table 3 - Accent 5"/>
    <w:basedOn w:val="40"/>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pPr>
        <w:snapToGrid/>
      </w:pPr>
      <w:rPr>
        <w:rFonts w:ascii="Arial" w:hAnsi="Arial"/>
        <w:b/>
        <w:color w:val="FFFFFF"/>
        <w:sz w:val="22"/>
      </w:rPr>
      <w:tcPr>
        <w:shd w:val="clear" w:color="8EA9DB"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pPr>
        <w:snapToGrid/>
      </w:pPr>
    </w:tblStylePr>
    <w:tblStylePr w:type="band1Horz">
      <w:pPr>
        <w:snapToGrid/>
      </w:pPr>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3">
    <w:name w:val="List Table 3 - Accent 6"/>
    <w:basedOn w:val="40"/>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pPr>
        <w:snapToGrid/>
      </w:pPr>
      <w:rPr>
        <w:rFonts w:ascii="Arial" w:hAnsi="Arial"/>
        <w:b/>
        <w:color w:val="FFFFFF"/>
        <w:sz w:val="22"/>
      </w:rPr>
      <w:tcPr>
        <w:shd w:val="clear" w:color="A9D08E"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pPr>
        <w:snapToGrid/>
      </w:pPr>
    </w:tblStylePr>
    <w:tblStylePr w:type="band1Horz">
      <w:pPr>
        <w:snapToGrid/>
      </w:pPr>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4">
    <w:name w:val="List Table 4 - Accent 1"/>
    <w:basedOn w:val="40"/>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pPr>
        <w:snapToGrid/>
      </w:pPr>
      <w:rPr>
        <w:rFonts w:ascii="Arial" w:hAnsi="Arial"/>
        <w:b/>
        <w:color w:val="FFFFFF"/>
        <w:sz w:val="22"/>
      </w:rPr>
      <w:tcPr>
        <w:shd w:val="clear" w:color="5B9BD5"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5E5F4" w:fill="D2DFEE" w:themeFill="accent1" w:themeFillTint="40"/>
      </w:tcPr>
    </w:tblStylePr>
    <w:tblStylePr w:type="band2Vert">
      <w:pPr>
        <w:snapToGrid/>
      </w:pPr>
    </w:tblStylePr>
    <w:tblStylePr w:type="band1Horz">
      <w:pPr>
        <w:snapToGrid/>
      </w:pPr>
      <w:rPr>
        <w:rFonts w:ascii="Arial" w:hAnsi="Arial"/>
        <w:color w:val="404040"/>
        <w:sz w:val="22"/>
      </w:rPr>
      <w:tcPr>
        <w:shd w:val="clear" w:color="D5E5F4"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5">
    <w:name w:val="List Table 4 - Accent 2"/>
    <w:basedOn w:val="40"/>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pPr>
        <w:snapToGrid/>
      </w:pPr>
      <w:rPr>
        <w:rFonts w:ascii="Arial" w:hAnsi="Arial"/>
        <w:b/>
        <w:color w:val="FFFFFF"/>
        <w:sz w:val="22"/>
      </w:rPr>
      <w:tcPr>
        <w:shd w:val="clear" w:color="ED7D31"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ADECB" w:fill="EFD3D2" w:themeFill="accent2" w:themeFillTint="40"/>
      </w:tcPr>
    </w:tblStylePr>
    <w:tblStylePr w:type="band2Vert">
      <w:pPr>
        <w:snapToGrid/>
      </w:pPr>
    </w:tblStylePr>
    <w:tblStylePr w:type="band1Horz">
      <w:pPr>
        <w:snapToGrid/>
      </w:pPr>
      <w:rPr>
        <w:rFonts w:ascii="Arial" w:hAnsi="Arial"/>
        <w:color w:val="404040"/>
        <w:sz w:val="22"/>
      </w:rPr>
      <w:tcPr>
        <w:shd w:val="clear" w:color="FADECB" w:fill="EFD3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6">
    <w:name w:val="List Table 4 - Accent 3"/>
    <w:basedOn w:val="40"/>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pPr>
        <w:snapToGrid/>
      </w:pPr>
      <w:rPr>
        <w:rFonts w:ascii="Arial" w:hAnsi="Arial"/>
        <w:b/>
        <w:color w:val="FFFFFF"/>
        <w:sz w:val="22"/>
      </w:rPr>
      <w:tcPr>
        <w:shd w:val="clear" w:color="A5A5A5"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E8E8E8" w:fill="E5EDD5" w:themeFill="accent3" w:themeFillTint="40"/>
      </w:tcPr>
    </w:tblStylePr>
    <w:tblStylePr w:type="band2Vert">
      <w:pPr>
        <w:snapToGrid/>
      </w:pPr>
    </w:tblStylePr>
    <w:tblStylePr w:type="band1Horz">
      <w:pPr>
        <w:snapToGrid/>
      </w:pPr>
      <w:rPr>
        <w:rFonts w:ascii="Arial" w:hAnsi="Arial"/>
        <w:color w:val="404040"/>
        <w:sz w:val="22"/>
      </w:rPr>
      <w:tcPr>
        <w:shd w:val="clear" w:color="E8E8E8" w:fill="E5ED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7">
    <w:name w:val="List Table 4 - Accent 4"/>
    <w:basedOn w:val="40"/>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pPr>
        <w:snapToGrid/>
      </w:pPr>
      <w:rPr>
        <w:rFonts w:ascii="Arial" w:hAnsi="Arial"/>
        <w:b/>
        <w:color w:val="FFFFFF"/>
        <w:sz w:val="22"/>
      </w:rPr>
      <w:tcPr>
        <w:shd w:val="clear" w:color="FFC000"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FFEFBE" w:fill="DFD8E7" w:themeFill="accent4" w:themeFillTint="40"/>
      </w:tcPr>
    </w:tblStylePr>
    <w:tblStylePr w:type="band2Vert">
      <w:pPr>
        <w:snapToGrid/>
      </w:pPr>
    </w:tblStylePr>
    <w:tblStylePr w:type="band1Horz">
      <w:pPr>
        <w:snapToGrid/>
      </w:pPr>
      <w:rPr>
        <w:rFonts w:ascii="Arial" w:hAnsi="Arial"/>
        <w:color w:val="404040"/>
        <w:sz w:val="22"/>
      </w:rPr>
      <w:tcPr>
        <w:shd w:val="clear" w:color="FFEFBE"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8">
    <w:name w:val="List Table 4 - Accent 5"/>
    <w:basedOn w:val="40"/>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pPr>
        <w:snapToGrid/>
      </w:pPr>
      <w:rPr>
        <w:rFonts w:ascii="Arial" w:hAnsi="Arial"/>
        <w:b/>
        <w:color w:val="FFFFFF"/>
        <w:sz w:val="22"/>
      </w:rPr>
      <w:tcPr>
        <w:shd w:val="clear" w:color="4472C4"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0DBF0" w:fill="D1EAF0" w:themeFill="accent5" w:themeFillTint="40"/>
      </w:tcPr>
    </w:tblStylePr>
    <w:tblStylePr w:type="band2Vert">
      <w:pPr>
        <w:snapToGrid/>
      </w:pPr>
    </w:tblStylePr>
    <w:tblStylePr w:type="band1Horz">
      <w:pPr>
        <w:snapToGrid/>
      </w:pPr>
      <w:rPr>
        <w:rFonts w:ascii="Arial" w:hAnsi="Arial"/>
        <w:color w:val="404040"/>
        <w:sz w:val="22"/>
      </w:rPr>
      <w:tcPr>
        <w:shd w:val="clear" w:color="D0DBF0"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69">
    <w:name w:val="List Table 4 - Accent 6"/>
    <w:basedOn w:val="40"/>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pPr>
        <w:snapToGrid/>
      </w:pPr>
      <w:rPr>
        <w:rFonts w:ascii="Arial" w:hAnsi="Arial"/>
        <w:b/>
        <w:color w:val="FFFFFF"/>
        <w:sz w:val="22"/>
      </w:rPr>
      <w:tcPr>
        <w:shd w:val="clear" w:color="70AD47"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cPr>
        <w:shd w:val="clear" w:color="DAEBCF" w:fill="FCE4D0" w:themeFill="accent6" w:themeFillTint="40"/>
      </w:tcPr>
    </w:tblStylePr>
    <w:tblStylePr w:type="band2Vert">
      <w:pPr>
        <w:snapToGrid/>
      </w:pPr>
    </w:tblStylePr>
    <w:tblStylePr w:type="band1Horz">
      <w:pPr>
        <w:snapToGrid/>
      </w:pPr>
      <w:rPr>
        <w:rFonts w:ascii="Arial" w:hAnsi="Arial"/>
        <w:color w:val="404040"/>
        <w:sz w:val="22"/>
      </w:rPr>
      <w:tcPr>
        <w:shd w:val="clear" w:color="DAEBCF" w:fill="FC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0">
    <w:name w:val="List Table 5 Dark - Accent 1"/>
    <w:basedOn w:val="40"/>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5B9BD5" w:fill="4F81BD" w:themeFill="accent1"/>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pPr>
        <w:snapToGrid/>
      </w:pPr>
      <w:tcPr>
        <w:tcBorders>
          <w:left w:val="single" w:color="FFFFFF" w:themeColor="light1" w:sz="4" w:space="0"/>
          <w:right w:val="single" w:color="4F81BD" w:themeColor="accent1" w:sz="32" w:space="0"/>
        </w:tcBorders>
      </w:tcPr>
    </w:tblStylePr>
    <w:tblStylePr w:type="band1Vert">
      <w:pPr>
        <w:snapToGrid/>
      </w:pPr>
      <w:tcPr>
        <w:tcBorders>
          <w:left w:val="single" w:color="FFFFFF" w:themeColor="light1" w:sz="4" w:space="0"/>
          <w:right w:val="single" w:color="FFFFFF" w:themeColor="light1" w:sz="4" w:space="0"/>
        </w:tcBorders>
        <w:shd w:val="clear" w:color="5B9BD5" w:fill="4F81BD" w:themeFill="accent1"/>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5B9BD5" w:fill="4F81BD" w:themeFill="accent1"/>
      </w:tcPr>
    </w:tblStylePr>
    <w:tblStylePr w:type="band2Horz">
      <w:pPr>
        <w:snapToGrid/>
      </w:pPr>
      <w:tcPr>
        <w:tcBorders>
          <w:top w:val="single" w:color="FFFFFF" w:themeColor="light1" w:sz="4" w:space="0"/>
          <w:bottom w:val="single" w:color="FFFFFF" w:themeColor="light1" w:sz="4" w:space="0"/>
        </w:tcBorders>
        <w:shd w:val="clear" w:color="5B9BD5"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1">
    <w:name w:val="List Table 5 Dark - Accent 2"/>
    <w:basedOn w:val="40"/>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F4B285" w:fill="D99795" w:themeFill="accent2" w:themeFillTint="97"/>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pPr>
        <w:snapToGrid/>
      </w:pPr>
      <w:tcPr>
        <w:tcBorders>
          <w:left w:val="single" w:color="FFFFFF" w:themeColor="light1" w:sz="4" w:space="0"/>
          <w:right w:val="single" w:color="D99795" w:themeColor="accent2" w:themeTint="97" w:sz="32" w:space="0"/>
        </w:tcBorders>
      </w:tcPr>
    </w:tblStylePr>
    <w:tblStylePr w:type="band1Vert">
      <w:pPr>
        <w:snapToGrid/>
      </w:pPr>
      <w:tcPr>
        <w:tcBorders>
          <w:left w:val="single" w:color="FFFFFF" w:themeColor="light1" w:sz="4" w:space="0"/>
          <w:right w:val="single" w:color="FFFFFF" w:themeColor="light1" w:sz="4" w:space="0"/>
        </w:tcBorders>
        <w:shd w:val="clear" w:color="F4B285" w:fill="D99795" w:themeFill="accent2" w:themeFillTint="97"/>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F4B285" w:fill="D99795" w:themeFill="accent2" w:themeFillTint="97"/>
      </w:tcPr>
    </w:tblStylePr>
    <w:tblStylePr w:type="band2Horz">
      <w:pPr>
        <w:snapToGrid/>
      </w:pPr>
      <w:tcPr>
        <w:tcBorders>
          <w:top w:val="single" w:color="FFFFFF" w:themeColor="light1" w:sz="4" w:space="0"/>
          <w:bottom w:val="single" w:color="FFFFFF" w:themeColor="light1" w:sz="4" w:space="0"/>
        </w:tcBorders>
        <w:shd w:val="clear" w:color="F4B285" w:fill="D997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2">
    <w:name w:val="List Table 5 Dark - Accent 3"/>
    <w:basedOn w:val="40"/>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9C9C9" w:fill="C3D69C" w:themeFill="accent3"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pPr>
        <w:snapToGrid/>
      </w:pPr>
      <w:tcPr>
        <w:tcBorders>
          <w:left w:val="single" w:color="FFFFFF" w:themeColor="light1" w:sz="4" w:space="0"/>
          <w:right w:val="single" w:color="C3D69C" w:themeColor="accent3" w:themeTint="98" w:sz="32" w:space="0"/>
        </w:tcBorders>
      </w:tcPr>
    </w:tblStylePr>
    <w:tblStylePr w:type="band1Vert">
      <w:pPr>
        <w:snapToGrid/>
      </w:pPr>
      <w:tcPr>
        <w:tcBorders>
          <w:left w:val="single" w:color="FFFFFF" w:themeColor="light1" w:sz="4" w:space="0"/>
          <w:right w:val="single" w:color="FFFFFF" w:themeColor="light1" w:sz="4" w:space="0"/>
        </w:tcBorders>
        <w:shd w:val="clear" w:color="C9C9C9" w:fill="C3D69C" w:themeFill="accent3"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C9C9C9" w:fill="C3D69C" w:themeFill="accent3" w:themeFillTint="98"/>
      </w:tcPr>
    </w:tblStylePr>
    <w:tblStylePr w:type="band2Horz">
      <w:pPr>
        <w:snapToGrid/>
      </w:pPr>
      <w:tcPr>
        <w:tcBorders>
          <w:top w:val="single" w:color="FFFFFF" w:themeColor="light1" w:sz="4" w:space="0"/>
          <w:bottom w:val="single" w:color="FFFFFF" w:themeColor="light1" w:sz="4" w:space="0"/>
        </w:tcBorders>
        <w:shd w:val="clear" w:color="C9C9C9" w:fill="C3D69C"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3">
    <w:name w:val="List Table 5 Dark - Accent 4"/>
    <w:basedOn w:val="40"/>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FFD864" w:fill="B2A1C6" w:themeFill="accent4"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pPr>
        <w:snapToGrid/>
      </w:pPr>
      <w:tcPr>
        <w:tcBorders>
          <w:left w:val="single" w:color="FFFFFF" w:themeColor="light1" w:sz="4" w:space="0"/>
          <w:right w:val="single" w:color="B2A1C6" w:themeColor="accent4" w:themeTint="9A" w:sz="32" w:space="0"/>
        </w:tcBorders>
      </w:tcPr>
    </w:tblStylePr>
    <w:tblStylePr w:type="band1Vert">
      <w:pPr>
        <w:snapToGrid/>
      </w:pPr>
      <w:tcPr>
        <w:tcBorders>
          <w:left w:val="single" w:color="FFFFFF" w:themeColor="light1" w:sz="4" w:space="0"/>
          <w:right w:val="single" w:color="FFFFFF" w:themeColor="light1" w:sz="4" w:space="0"/>
        </w:tcBorders>
        <w:shd w:val="clear" w:color="FFD864" w:fill="B2A1C6" w:themeFill="accent4"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FFD864" w:fill="B2A1C6" w:themeFill="accent4" w:themeFillTint="9A"/>
      </w:tcPr>
    </w:tblStylePr>
    <w:tblStylePr w:type="band2Horz">
      <w:pPr>
        <w:snapToGrid/>
      </w:pPr>
      <w:tcPr>
        <w:tcBorders>
          <w:top w:val="single" w:color="FFFFFF" w:themeColor="light1" w:sz="4" w:space="0"/>
          <w:bottom w:val="single" w:color="FFFFFF" w:themeColor="light1" w:sz="4" w:space="0"/>
        </w:tcBorders>
        <w:shd w:val="clear" w:color="FFD864"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4">
    <w:name w:val="List Table 5 Dark - Accent 5"/>
    <w:basedOn w:val="40"/>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8EA9DB" w:fill="92CCDC" w:themeFill="accent5" w:themeFillTint="9A"/>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pPr>
        <w:snapToGrid/>
      </w:pPr>
      <w:tcPr>
        <w:tcBorders>
          <w:left w:val="single" w:color="FFFFFF" w:themeColor="light1" w:sz="4" w:space="0"/>
          <w:right w:val="single" w:color="92CCDC" w:themeColor="accent5" w:themeTint="9A" w:sz="32" w:space="0"/>
        </w:tcBorders>
      </w:tcPr>
    </w:tblStylePr>
    <w:tblStylePr w:type="band1Vert">
      <w:pPr>
        <w:snapToGrid/>
      </w:pPr>
      <w:tcPr>
        <w:tcBorders>
          <w:left w:val="single" w:color="FFFFFF" w:themeColor="light1" w:sz="4" w:space="0"/>
          <w:right w:val="single" w:color="FFFFFF" w:themeColor="light1" w:sz="4" w:space="0"/>
        </w:tcBorders>
        <w:shd w:val="clear" w:color="8EA9DB" w:fill="92CCDC" w:themeFill="accent5" w:themeFillTint="9A"/>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8EA9DB" w:fill="92CCDC" w:themeFill="accent5" w:themeFillTint="9A"/>
      </w:tcPr>
    </w:tblStylePr>
    <w:tblStylePr w:type="band2Horz">
      <w:pPr>
        <w:snapToGrid/>
      </w:pPr>
      <w:tcPr>
        <w:tcBorders>
          <w:top w:val="single" w:color="FFFFFF" w:themeColor="light1" w:sz="4" w:space="0"/>
          <w:bottom w:val="single" w:color="FFFFFF" w:themeColor="light1" w:sz="4" w:space="0"/>
        </w:tcBorders>
        <w:shd w:val="clear" w:color="8EA9DB"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5">
    <w:name w:val="List Table 5 Dark - Accent 6"/>
    <w:basedOn w:val="40"/>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pPr>
        <w:snapToGrid/>
      </w:pPr>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9D08E" w:fill="FAC090" w:themeFill="accent6" w:themeFillTint="98"/>
      </w:tcPr>
    </w:tblStylePr>
    <w:tblStylePr w:type="lastRow">
      <w:pPr>
        <w:snapToGrid/>
      </w:pPr>
      <w:rPr>
        <w:rFonts w:ascii="Arial" w:hAnsi="Arial"/>
        <w:b/>
        <w:color w:val="FFFFFF" w:themeColor="light1"/>
        <w:sz w:val="22"/>
        <w14:textFill>
          <w14:solidFill>
            <w14:schemeClr w14:val="lt1"/>
          </w14:solidFill>
        </w14:textFill>
      </w:rPr>
    </w:tblStylePr>
    <w:tblStylePr w:type="firstCol">
      <w:pPr>
        <w:snapToGrid/>
      </w:pPr>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pPr>
        <w:snapToGrid/>
      </w:pPr>
      <w:tcPr>
        <w:tcBorders>
          <w:left w:val="single" w:color="FFFFFF" w:themeColor="light1" w:sz="4" w:space="0"/>
          <w:right w:val="single" w:color="FAC090" w:themeColor="accent6" w:themeTint="98" w:sz="32" w:space="0"/>
        </w:tcBorders>
      </w:tcPr>
    </w:tblStylePr>
    <w:tblStylePr w:type="band1Vert">
      <w:pPr>
        <w:snapToGrid/>
      </w:pPr>
      <w:tcPr>
        <w:tcBorders>
          <w:left w:val="single" w:color="FFFFFF" w:themeColor="light1" w:sz="4" w:space="0"/>
          <w:right w:val="single" w:color="FFFFFF" w:themeColor="light1" w:sz="4" w:space="0"/>
        </w:tcBorders>
        <w:shd w:val="clear" w:color="A9D08E" w:fill="FAC090" w:themeFill="accent6" w:themeFillTint="98"/>
      </w:tcPr>
    </w:tblStylePr>
    <w:tblStylePr w:type="band2Vert">
      <w:pPr>
        <w:snapToGrid/>
      </w:pPr>
      <w:tcPr>
        <w:tcBorders>
          <w:left w:val="single" w:color="FFFFFF" w:themeColor="light1" w:sz="4" w:space="0"/>
          <w:right w:val="single" w:color="FFFFFF" w:themeColor="light1" w:sz="4" w:space="0"/>
        </w:tcBorders>
      </w:tcPr>
    </w:tblStylePr>
    <w:tblStylePr w:type="band1Horz">
      <w:pPr>
        <w:snapToGrid/>
      </w:pPr>
      <w:tcPr>
        <w:tcBorders>
          <w:top w:val="single" w:color="FFFFFF" w:themeColor="light1" w:sz="4" w:space="0"/>
          <w:bottom w:val="single" w:color="FFFFFF" w:themeColor="light1" w:sz="4" w:space="0"/>
        </w:tcBorders>
        <w:shd w:val="clear" w:color="A9D08E" w:fill="FAC090" w:themeFill="accent6" w:themeFillTint="98"/>
      </w:tcPr>
    </w:tblStylePr>
    <w:tblStylePr w:type="band2Horz">
      <w:pPr>
        <w:snapToGrid/>
      </w:pPr>
      <w:tcPr>
        <w:tcBorders>
          <w:top w:val="single" w:color="FFFFFF" w:themeColor="light1" w:sz="4" w:space="0"/>
          <w:bottom w:val="single" w:color="FFFFFF" w:themeColor="light1" w:sz="4" w:space="0"/>
        </w:tcBorders>
        <w:shd w:val="clear" w:color="A9D08E"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6">
    <w:name w:val="List Table 6 Colorful - Accent 1"/>
    <w:basedOn w:val="40"/>
    <w:qFormat/>
    <w:uiPriority w:val="99"/>
    <w:tblPr>
      <w:tblBorders>
        <w:top w:val="single" w:color="4F81BD" w:themeColor="accent1" w:sz="4" w:space="0"/>
        <w:bottom w:val="single" w:color="4F81BD" w:themeColor="accent1" w:sz="4" w:space="0"/>
      </w:tblBorders>
    </w:tblPr>
    <w:tblStylePr w:type="firstRow">
      <w:pPr>
        <w:snapToGrid/>
      </w:pPr>
      <w:rPr>
        <w:b/>
        <w:color w:val="2A4B71" w:themeColor="accent1" w:themeShade="94"/>
      </w:rPr>
      <w:tcPr>
        <w:tcBorders>
          <w:bottom w:val="single" w:color="4F81BD" w:themeColor="accent1" w:sz="4" w:space="0"/>
        </w:tcBorders>
      </w:tcPr>
    </w:tblStylePr>
    <w:tblStylePr w:type="lastRow">
      <w:pPr>
        <w:snapToGrid/>
      </w:pPr>
      <w:rPr>
        <w:b/>
        <w:color w:val="2A4B71" w:themeColor="accent1" w:themeShade="94"/>
      </w:rPr>
      <w:tcPr>
        <w:tcBorders>
          <w:top w:val="single" w:color="4F81BD" w:themeColor="accent1" w:sz="4" w:space="0"/>
        </w:tcBorders>
      </w:tcPr>
    </w:tblStylePr>
    <w:tblStylePr w:type="firstCol">
      <w:pPr>
        <w:snapToGrid/>
      </w:pPr>
      <w:rPr>
        <w:b/>
        <w:color w:val="2A4B71" w:themeColor="accent1" w:themeShade="94"/>
      </w:rPr>
    </w:tblStylePr>
    <w:tblStylePr w:type="lastCol">
      <w:pPr>
        <w:snapToGrid/>
      </w:pPr>
      <w:rPr>
        <w:b/>
        <w:color w:val="2A4B71" w:themeColor="accent1" w:themeShade="94"/>
      </w:rPr>
    </w:tblStylePr>
    <w:tblStylePr w:type="band1Vert">
      <w:pPr>
        <w:snapToGrid/>
      </w:pPr>
      <w:tcPr>
        <w:shd w:val="clear" w:color="D5E5F4" w:fill="D2DFEE" w:themeFill="accent1" w:themeFillTint="40"/>
      </w:tcPr>
    </w:tblStylePr>
    <w:tblStylePr w:type="band2Vert">
      <w:pPr>
        <w:snapToGrid/>
      </w:pPr>
    </w:tblStylePr>
    <w:tblStylePr w:type="band1Horz">
      <w:pPr>
        <w:snapToGrid/>
      </w:pPr>
      <w:rPr>
        <w:rFonts w:ascii="Arial" w:hAnsi="Arial"/>
        <w:color w:val="2A4B71" w:themeColor="accent1" w:themeShade="94"/>
        <w:sz w:val="22"/>
      </w:rPr>
      <w:tcPr>
        <w:shd w:val="clear" w:color="D5E5F4" w:fill="D2DFEE" w:themeFill="accent1" w:themeFillTint="40"/>
      </w:tcPr>
    </w:tblStylePr>
    <w:tblStylePr w:type="band2Horz">
      <w:pPr>
        <w:snapToGrid/>
      </w:pPr>
      <w:rPr>
        <w:rFonts w:ascii="Arial" w:hAnsi="Arial"/>
        <w:color w:val="2A4B71"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7">
    <w:name w:val="List Table 6 Colorful - Accent 2"/>
    <w:basedOn w:val="40"/>
    <w:qFormat/>
    <w:uiPriority w:val="99"/>
    <w:tblPr>
      <w:tblBorders>
        <w:top w:val="single" w:color="D99795" w:themeColor="accent2" w:themeTint="97" w:sz="4" w:space="0"/>
        <w:bottom w:val="single" w:color="D99795" w:themeColor="accent2" w:themeTint="97" w:sz="4" w:space="0"/>
      </w:tblBorders>
    </w:tblPr>
    <w:tblStylePr w:type="firstRow">
      <w:pPr>
        <w:snapToGrid/>
      </w:pPr>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pPr>
        <w:snapToGrid/>
      </w:pPr>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pPr>
        <w:snapToGrid/>
      </w:pPr>
      <w:rPr>
        <w:b/>
        <w:color w:val="DA9896" w:themeColor="accent2" w:themeTint="96"/>
        <w14:textFill>
          <w14:solidFill>
            <w14:schemeClr w14:val="accent2">
              <w14:lumMod w14:val="59000"/>
              <w14:lumOff w14:val="41000"/>
            </w14:schemeClr>
          </w14:solidFill>
        </w14:textFill>
      </w:rPr>
    </w:tblStylePr>
    <w:tblStylePr w:type="lastCol">
      <w:pPr>
        <w:snapToGrid/>
      </w:pPr>
      <w:rPr>
        <w:b/>
        <w:color w:val="DA9896" w:themeColor="accent2" w:themeTint="96"/>
        <w14:textFill>
          <w14:solidFill>
            <w14:schemeClr w14:val="accent2">
              <w14:lumMod w14:val="59000"/>
              <w14:lumOff w14:val="41000"/>
            </w14:schemeClr>
          </w14:solidFill>
        </w14:textFill>
      </w:rPr>
    </w:tblStylePr>
    <w:tblStylePr w:type="band1Vert">
      <w:pPr>
        <w:snapToGrid/>
      </w:pPr>
      <w:tcPr>
        <w:shd w:val="clear" w:color="FADECB" w:fill="EFD3D2" w:themeFill="accent2" w:themeFillTint="40"/>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FADECB" w:fill="EFD3D2" w:themeFill="accent2" w:themeFillTint="40"/>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8">
    <w:name w:val="List Table 6 Colorful - Accent 3"/>
    <w:basedOn w:val="40"/>
    <w:qFormat/>
    <w:uiPriority w:val="99"/>
    <w:tblPr>
      <w:tblBorders>
        <w:top w:val="single" w:color="C3D69C" w:themeColor="accent3" w:themeTint="98" w:sz="4" w:space="0"/>
        <w:bottom w:val="single" w:color="C3D69C" w:themeColor="accent3" w:themeTint="98" w:sz="4" w:space="0"/>
      </w:tblBorders>
    </w:tblPr>
    <w:tblStylePr w:type="firstRow">
      <w:pPr>
        <w:snapToGrid/>
      </w:pPr>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pPr>
        <w:snapToGrid/>
      </w:pPr>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pPr>
        <w:snapToGrid/>
      </w:pPr>
      <w:rPr>
        <w:b/>
        <w:color w:val="C3D69B" w:themeColor="accent3" w:themeTint="99"/>
        <w14:textFill>
          <w14:solidFill>
            <w14:schemeClr w14:val="accent3">
              <w14:lumMod w14:val="60000"/>
              <w14:lumOff w14:val="40000"/>
            </w14:schemeClr>
          </w14:solidFill>
        </w14:textFill>
      </w:rPr>
    </w:tblStylePr>
    <w:tblStylePr w:type="lastCol">
      <w:pPr>
        <w:snapToGrid/>
      </w:pPr>
      <w:rPr>
        <w:b/>
        <w:color w:val="C3D69B" w:themeColor="accent3" w:themeTint="99"/>
        <w14:textFill>
          <w14:solidFill>
            <w14:schemeClr w14:val="accent3">
              <w14:lumMod w14:val="60000"/>
              <w14:lumOff w14:val="40000"/>
            </w14:schemeClr>
          </w14:solidFill>
        </w14:textFill>
      </w:rPr>
    </w:tblStylePr>
    <w:tblStylePr w:type="band1Vert">
      <w:pPr>
        <w:snapToGrid/>
      </w:pPr>
      <w:tcPr>
        <w:shd w:val="clear" w:color="E8E8E8" w:fill="E5EDD5" w:themeFill="accent3" w:themeFillTint="40"/>
      </w:tcPr>
    </w:tblStylePr>
    <w:tblStylePr w:type="band2Vert">
      <w:pPr>
        <w:snapToGrid/>
      </w:pPr>
    </w:tblStylePr>
    <w:tblStylePr w:type="band1Horz">
      <w:pPr>
        <w:snapToGrid/>
      </w:pPr>
      <w:rPr>
        <w:rFonts w:ascii="Arial" w:hAnsi="Arial"/>
        <w:color w:val="C3D69B" w:themeColor="accent3" w:themeTint="99"/>
        <w:sz w:val="22"/>
        <w14:textFill>
          <w14:solidFill>
            <w14:schemeClr w14:val="accent3">
              <w14:lumMod w14:val="60000"/>
              <w14:lumOff w14:val="40000"/>
            </w14:schemeClr>
          </w14:solidFill>
        </w14:textFill>
      </w:rPr>
      <w:tcPr>
        <w:shd w:val="clear" w:color="E8E8E8" w:fill="E5EDD5" w:themeFill="accent3" w:themeFillTint="40"/>
      </w:tcPr>
    </w:tblStylePr>
    <w:tblStylePr w:type="band2Horz">
      <w:pPr>
        <w:snapToGrid/>
      </w:pPr>
      <w:rPr>
        <w:rFonts w:ascii="Arial" w:hAnsi="Arial"/>
        <w:color w:val="C3D69B"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79">
    <w:name w:val="List Table 6 Colorful - Accent 4"/>
    <w:basedOn w:val="40"/>
    <w:qFormat/>
    <w:uiPriority w:val="99"/>
    <w:tblPr>
      <w:tblBorders>
        <w:top w:val="single" w:color="B2A1C6" w:themeColor="accent4" w:themeTint="9A" w:sz="4" w:space="0"/>
        <w:bottom w:val="single" w:color="B2A1C6" w:themeColor="accent4" w:themeTint="9A" w:sz="4" w:space="0"/>
      </w:tblBorders>
    </w:tblPr>
    <w:tblStylePr w:type="firstRow">
      <w:pPr>
        <w:snapToGrid/>
      </w:pPr>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pPr>
        <w:snapToGrid/>
      </w:pPr>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pPr>
        <w:snapToGrid/>
      </w:pPr>
      <w:rPr>
        <w:b/>
        <w:color w:val="B3A2C7" w:themeColor="accent4" w:themeTint="99"/>
        <w14:textFill>
          <w14:solidFill>
            <w14:schemeClr w14:val="accent4">
              <w14:lumMod w14:val="60000"/>
              <w14:lumOff w14:val="40000"/>
            </w14:schemeClr>
          </w14:solidFill>
        </w14:textFill>
      </w:rPr>
    </w:tblStylePr>
    <w:tblStylePr w:type="lastCol">
      <w:pPr>
        <w:snapToGrid/>
      </w:pPr>
      <w:rPr>
        <w:b/>
        <w:color w:val="B3A2C7" w:themeColor="accent4" w:themeTint="99"/>
        <w14:textFill>
          <w14:solidFill>
            <w14:schemeClr w14:val="accent4">
              <w14:lumMod w14:val="60000"/>
              <w14:lumOff w14:val="40000"/>
            </w14:schemeClr>
          </w14:solidFill>
        </w14:textFill>
      </w:rPr>
    </w:tblStylePr>
    <w:tblStylePr w:type="band1Vert">
      <w:pPr>
        <w:snapToGrid/>
      </w:pPr>
      <w:tcPr>
        <w:shd w:val="clear" w:color="FFEFBE" w:fill="DFD8E7" w:themeFill="accent4" w:themeFillTint="40"/>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FFEFBE" w:fill="DFD8E7" w:themeFill="accent4" w:themeFillTint="40"/>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0">
    <w:name w:val="List Table 6 Colorful - Accent 5"/>
    <w:basedOn w:val="40"/>
    <w:qFormat/>
    <w:uiPriority w:val="99"/>
    <w:tblPr>
      <w:tblBorders>
        <w:top w:val="single" w:color="92CCDC" w:themeColor="accent5" w:themeTint="9A" w:sz="4" w:space="0"/>
        <w:bottom w:val="single" w:color="92CCDC" w:themeColor="accent5" w:themeTint="9A" w:sz="4" w:space="0"/>
      </w:tblBorders>
    </w:tblPr>
    <w:tblStylePr w:type="firstRow">
      <w:pPr>
        <w:snapToGrid/>
      </w:pPr>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pPr>
        <w:snapToGrid/>
      </w:pPr>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pPr>
        <w:snapToGrid/>
      </w:pPr>
      <w:rPr>
        <w:b/>
        <w:color w:val="93CDDD" w:themeColor="accent5" w:themeTint="99"/>
        <w14:textFill>
          <w14:solidFill>
            <w14:schemeClr w14:val="accent5">
              <w14:lumMod w14:val="60000"/>
              <w14:lumOff w14:val="40000"/>
            </w14:schemeClr>
          </w14:solidFill>
        </w14:textFill>
      </w:rPr>
    </w:tblStylePr>
    <w:tblStylePr w:type="lastCol">
      <w:pPr>
        <w:snapToGrid/>
      </w:pPr>
      <w:rPr>
        <w:b/>
        <w:color w:val="93CDDD" w:themeColor="accent5" w:themeTint="99"/>
        <w14:textFill>
          <w14:solidFill>
            <w14:schemeClr w14:val="accent5">
              <w14:lumMod w14:val="60000"/>
              <w14:lumOff w14:val="40000"/>
            </w14:schemeClr>
          </w14:solidFill>
        </w14:textFill>
      </w:rPr>
    </w:tblStylePr>
    <w:tblStylePr w:type="band1Vert">
      <w:pPr>
        <w:snapToGrid/>
      </w:pPr>
      <w:tcPr>
        <w:shd w:val="clear" w:color="D0DBF0" w:fill="D1EAF0" w:themeFill="accent5" w:themeFillTint="40"/>
      </w:tcPr>
    </w:tblStylePr>
    <w:tblStylePr w:type="band2Vert">
      <w:pPr>
        <w:snapToGrid/>
      </w:pPr>
    </w:tblStylePr>
    <w:tblStylePr w:type="band1Horz">
      <w:pPr>
        <w:snapToGrid/>
      </w:pPr>
      <w:rPr>
        <w:rFonts w:ascii="Arial" w:hAnsi="Arial"/>
        <w:color w:val="93CDDD" w:themeColor="accent5" w:themeTint="99"/>
        <w:sz w:val="22"/>
        <w14:textFill>
          <w14:solidFill>
            <w14:schemeClr w14:val="accent5">
              <w14:lumMod w14:val="60000"/>
              <w14:lumOff w14:val="40000"/>
            </w14:schemeClr>
          </w14:solidFill>
        </w14:textFill>
      </w:rPr>
      <w:tcPr>
        <w:shd w:val="clear" w:color="D0DBF0" w:fill="D1EAF0" w:themeFill="accent5" w:themeFillTint="40"/>
      </w:tcPr>
    </w:tblStylePr>
    <w:tblStylePr w:type="band2Horz">
      <w:pPr>
        <w:snapToGrid/>
      </w:pPr>
      <w:rPr>
        <w:rFonts w:ascii="Arial" w:hAnsi="Arial"/>
        <w:color w:val="93CDDD"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1">
    <w:name w:val="List Table 6 Colorful - Accent 6"/>
    <w:basedOn w:val="40"/>
    <w:qFormat/>
    <w:uiPriority w:val="99"/>
    <w:tblPr>
      <w:tblBorders>
        <w:top w:val="single" w:color="FAC090" w:themeColor="accent6" w:themeTint="98" w:sz="4" w:space="0"/>
        <w:bottom w:val="single" w:color="FAC090" w:themeColor="accent6" w:themeTint="98" w:sz="4" w:space="0"/>
      </w:tblBorders>
    </w:tblPr>
    <w:tblStylePr w:type="firstRow">
      <w:pPr>
        <w:snapToGrid/>
      </w:pPr>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pPr>
        <w:snapToGrid/>
      </w:pPr>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pPr>
        <w:snapToGrid/>
      </w:pPr>
      <w:rPr>
        <w:b/>
        <w:color w:val="FAC090" w:themeColor="accent6" w:themeTint="99"/>
        <w14:textFill>
          <w14:solidFill>
            <w14:schemeClr w14:val="accent6">
              <w14:lumMod w14:val="60000"/>
              <w14:lumOff w14:val="40000"/>
            </w14:schemeClr>
          </w14:solidFill>
        </w14:textFill>
      </w:rPr>
    </w:tblStylePr>
    <w:tblStylePr w:type="lastCol">
      <w:pPr>
        <w:snapToGrid/>
      </w:pPr>
      <w:rPr>
        <w:b/>
        <w:color w:val="FAC090" w:themeColor="accent6" w:themeTint="99"/>
        <w14:textFill>
          <w14:solidFill>
            <w14:schemeClr w14:val="accent6">
              <w14:lumMod w14:val="60000"/>
              <w14:lumOff w14:val="40000"/>
            </w14:schemeClr>
          </w14:solidFill>
        </w14:textFill>
      </w:rPr>
    </w:tblStylePr>
    <w:tblStylePr w:type="band1Vert">
      <w:pPr>
        <w:snapToGrid/>
      </w:pPr>
      <w:tcPr>
        <w:shd w:val="clear" w:color="DAEBCF" w:fill="FCE4D0" w:themeFill="accent6" w:themeFillTint="40"/>
      </w:tcPr>
    </w:tblStylePr>
    <w:tblStylePr w:type="band2Vert">
      <w:pPr>
        <w:snapToGrid/>
      </w:pPr>
    </w:tblStylePr>
    <w:tblStylePr w:type="band1Horz">
      <w:pPr>
        <w:snapToGrid/>
      </w:pPr>
      <w:rPr>
        <w:rFonts w:ascii="Arial" w:hAnsi="Arial"/>
        <w:color w:val="FAC090" w:themeColor="accent6" w:themeTint="99"/>
        <w:sz w:val="22"/>
        <w14:textFill>
          <w14:solidFill>
            <w14:schemeClr w14:val="accent6">
              <w14:lumMod w14:val="60000"/>
              <w14:lumOff w14:val="40000"/>
            </w14:schemeClr>
          </w14:solidFill>
        </w14:textFill>
      </w:rPr>
      <w:tcPr>
        <w:shd w:val="clear" w:color="DAEBCF" w:fill="FCE4D0" w:themeFill="accent6" w:themeFillTint="40"/>
      </w:tcPr>
    </w:tblStylePr>
    <w:tblStylePr w:type="band2Horz">
      <w:pPr>
        <w:snapToGrid/>
      </w:pPr>
      <w:rPr>
        <w:rFonts w:ascii="Arial" w:hAnsi="Arial"/>
        <w:color w:val="FAC090"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2">
    <w:name w:val="List Table 7 Colorful - Accent 1"/>
    <w:basedOn w:val="40"/>
    <w:qFormat/>
    <w:uiPriority w:val="99"/>
    <w:tblPr>
      <w:tblBorders>
        <w:right w:val="single" w:color="4F81BD" w:themeColor="accent1" w:sz="4" w:space="0"/>
      </w:tblBorders>
    </w:tblPr>
    <w:tblStylePr w:type="firstRow">
      <w:pPr>
        <w:snapToGrid/>
      </w:pPr>
      <w:rPr>
        <w:rFonts w:ascii="Arial" w:hAnsi="Arial"/>
        <w:i/>
        <w:color w:val="2A4B71" w:themeColor="accent1" w:themeShade="94"/>
        <w:sz w:val="22"/>
      </w:rPr>
      <w:tcPr>
        <w:tcBorders>
          <w:top w:val="nil"/>
          <w:left w:val="nil"/>
          <w:bottom w:val="single" w:color="4F81BD" w:themeColor="accent1" w:sz="4" w:space="0"/>
          <w:right w:val="nil"/>
        </w:tcBorders>
        <w:shd w:val="clear" w:color="FFFFFF" w:fill="FFFFFF" w:themeFill="light1"/>
      </w:tcPr>
    </w:tblStylePr>
    <w:tblStylePr w:type="lastRow">
      <w:pPr>
        <w:snapToGrid/>
      </w:pPr>
      <w:rPr>
        <w:rFonts w:ascii="Arial" w:hAnsi="Arial"/>
        <w:i/>
        <w:color w:val="2A4B71" w:themeColor="accent1" w:themeShade="94"/>
        <w:sz w:val="22"/>
      </w:rPr>
      <w:tcPr>
        <w:tcBorders>
          <w:top w:val="single" w:color="4F81BD" w:themeColor="accent1" w:sz="4" w:space="0"/>
          <w:left w:val="nil"/>
          <w:bottom w:val="nil"/>
          <w:right w:val="nil"/>
        </w:tcBorders>
        <w:shd w:val="clear" w:color="FFFFFF" w:fill="FFFFFF" w:themeFill="light1"/>
      </w:tcPr>
    </w:tblStylePr>
    <w:tblStylePr w:type="firstCol">
      <w:pPr>
        <w:snapToGrid/>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FFFFFF"/>
      </w:tcPr>
    </w:tblStylePr>
    <w:tblStylePr w:type="lastCol">
      <w:pPr>
        <w:snapToGrid/>
      </w:pPr>
      <w:rPr>
        <w:rFonts w:ascii="Arial" w:hAnsi="Arial"/>
        <w:i/>
        <w:color w:val="2A4B71" w:themeColor="accent1" w:themeShade="94"/>
        <w:sz w:val="22"/>
      </w:rPr>
      <w:tcPr>
        <w:tcBorders>
          <w:top w:val="nil"/>
          <w:left w:val="single" w:color="4F81BD" w:themeColor="accent1" w:sz="4" w:space="0"/>
          <w:bottom w:val="nil"/>
          <w:right w:val="nil"/>
        </w:tcBorders>
        <w:shd w:val="clear" w:color="FFFFFF" w:fill="FFFFFF"/>
      </w:tcPr>
    </w:tblStylePr>
    <w:tblStylePr w:type="band1Vert">
      <w:pPr>
        <w:snapToGrid/>
      </w:pPr>
      <w:tcPr>
        <w:shd w:val="clear" w:color="D5E5F4" w:fill="D2DFEE" w:themeFill="accent1" w:themeFillTint="40"/>
      </w:tcPr>
    </w:tblStylePr>
    <w:tblStylePr w:type="band2Vert">
      <w:pPr>
        <w:snapToGrid/>
      </w:pPr>
    </w:tblStylePr>
    <w:tblStylePr w:type="band1Horz">
      <w:pPr>
        <w:snapToGrid/>
      </w:pPr>
      <w:rPr>
        <w:rFonts w:ascii="Arial" w:hAnsi="Arial"/>
        <w:color w:val="2A4B71" w:themeColor="accent1" w:themeShade="94"/>
        <w:sz w:val="22"/>
      </w:rPr>
      <w:tcPr>
        <w:shd w:val="clear" w:color="D5E5F4" w:fill="D2DFEE" w:themeFill="accent1" w:themeFillTint="40"/>
      </w:tcPr>
    </w:tblStylePr>
    <w:tblStylePr w:type="band2Horz">
      <w:pPr>
        <w:snapToGrid/>
      </w:pPr>
      <w:rPr>
        <w:rFonts w:ascii="Arial" w:hAnsi="Arial"/>
        <w:color w:val="2A4B71"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3">
    <w:name w:val="List Table 7 Colorful - Accent 2"/>
    <w:basedOn w:val="40"/>
    <w:qFormat/>
    <w:uiPriority w:val="99"/>
    <w:tblPr>
      <w:tblBorders>
        <w:right w:val="single" w:color="D99795" w:themeColor="accent2" w:themeTint="97" w:sz="4" w:space="0"/>
      </w:tblBorders>
    </w:tblPr>
    <w:tblStylePr w:type="firstRow">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fill="FFFFFF" w:themeFill="light1"/>
      </w:tcPr>
    </w:tblStylePr>
    <w:tblStylePr w:type="lastRow">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fill="FFFFFF" w:themeFill="light1"/>
      </w:tcPr>
    </w:tblStylePr>
    <w:tblStylePr w:type="firstCol">
      <w:pPr>
        <w:snapToGrid/>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FFFFFF"/>
      </w:tcPr>
    </w:tblStylePr>
    <w:tblStylePr w:type="lastCol">
      <w:pPr>
        <w:snapToGrid/>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FFFFFF"/>
      </w:tcPr>
    </w:tblStylePr>
    <w:tblStylePr w:type="band1Vert">
      <w:pPr>
        <w:snapToGrid/>
      </w:pPr>
      <w:tcPr>
        <w:shd w:val="clear" w:color="FADECB" w:fill="EFD3D2" w:themeFill="accent2" w:themeFillTint="40"/>
      </w:tcPr>
    </w:tblStylePr>
    <w:tblStylePr w:type="band2Vert">
      <w:pPr>
        <w:snapToGrid/>
      </w:pPr>
    </w:tblStylePr>
    <w:tblStylePr w:type="band1Horz">
      <w:pPr>
        <w:snapToGrid/>
      </w:pPr>
      <w:rPr>
        <w:rFonts w:ascii="Arial" w:hAnsi="Arial"/>
        <w:color w:val="DA9896" w:themeColor="accent2" w:themeTint="96"/>
        <w:sz w:val="22"/>
        <w14:textFill>
          <w14:solidFill>
            <w14:schemeClr w14:val="accent2">
              <w14:lumMod w14:val="59000"/>
              <w14:lumOff w14:val="41000"/>
            </w14:schemeClr>
          </w14:solidFill>
        </w14:textFill>
      </w:rPr>
      <w:tcPr>
        <w:shd w:val="clear" w:color="FADECB" w:fill="EFD3D2" w:themeFill="accent2" w:themeFillTint="40"/>
      </w:tcPr>
    </w:tblStylePr>
    <w:tblStylePr w:type="band2Horz">
      <w:pPr>
        <w:snapToGrid/>
      </w:pPr>
      <w:rPr>
        <w:rFonts w:ascii="Arial" w:hAnsi="Arial"/>
        <w:color w:val="DA9896" w:themeColor="accent2" w:themeTint="96"/>
        <w:sz w:val="22"/>
        <w14:textFill>
          <w14:solidFill>
            <w14:schemeClr w14:val="accent2">
              <w14:lumMod w14:val="59000"/>
              <w14:lumOff w14:val="41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4">
    <w:name w:val="List Table 7 Colorful - Accent 3"/>
    <w:basedOn w:val="40"/>
    <w:qFormat/>
    <w:uiPriority w:val="99"/>
    <w:tblPr>
      <w:tblBorders>
        <w:right w:val="single" w:color="C3D69C" w:themeColor="accent3" w:themeTint="98" w:sz="4" w:space="0"/>
      </w:tblBorders>
    </w:tblPr>
    <w:tblStylePr w:type="firstRow">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fill="FFFFFF" w:themeFill="light1"/>
      </w:tcPr>
    </w:tblStylePr>
    <w:tblStylePr w:type="lastRow">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fill="FFFFFF" w:themeFill="light1"/>
      </w:tcPr>
    </w:tblStylePr>
    <w:tblStylePr w:type="firstCol">
      <w:pPr>
        <w:snapToGrid/>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FFFFFF"/>
      </w:tcPr>
    </w:tblStylePr>
    <w:tblStylePr w:type="lastCol">
      <w:pPr>
        <w:snapToGrid/>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FFFFFF"/>
      </w:tcPr>
    </w:tblStylePr>
    <w:tblStylePr w:type="band1Vert">
      <w:pPr>
        <w:snapToGrid/>
      </w:pPr>
      <w:tcPr>
        <w:shd w:val="clear" w:color="E8E8E8" w:fill="E5EDD5" w:themeFill="accent3" w:themeFillTint="40"/>
      </w:tcPr>
    </w:tblStylePr>
    <w:tblStylePr w:type="band2Vert">
      <w:pPr>
        <w:snapToGrid/>
      </w:pPr>
    </w:tblStylePr>
    <w:tblStylePr w:type="band1Horz">
      <w:pPr>
        <w:snapToGrid/>
      </w:pPr>
      <w:rPr>
        <w:rFonts w:ascii="Arial" w:hAnsi="Arial"/>
        <w:color w:val="C3D69B" w:themeColor="accent3" w:themeTint="99"/>
        <w:sz w:val="22"/>
        <w14:textFill>
          <w14:solidFill>
            <w14:schemeClr w14:val="accent3">
              <w14:lumMod w14:val="60000"/>
              <w14:lumOff w14:val="40000"/>
            </w14:schemeClr>
          </w14:solidFill>
        </w14:textFill>
      </w:rPr>
      <w:tcPr>
        <w:shd w:val="clear" w:color="E8E8E8" w:fill="E5EDD5" w:themeFill="accent3" w:themeFillTint="40"/>
      </w:tcPr>
    </w:tblStylePr>
    <w:tblStylePr w:type="band2Horz">
      <w:pPr>
        <w:snapToGrid/>
      </w:pPr>
      <w:rPr>
        <w:rFonts w:ascii="Arial" w:hAnsi="Arial"/>
        <w:color w:val="C3D69B" w:themeColor="accent3" w:themeTint="99"/>
        <w:sz w:val="22"/>
        <w14:textFill>
          <w14:solidFill>
            <w14:schemeClr w14:val="accent3">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5">
    <w:name w:val="List Table 7 Colorful - Accent 4"/>
    <w:basedOn w:val="40"/>
    <w:qFormat/>
    <w:uiPriority w:val="99"/>
    <w:tblPr>
      <w:tblBorders>
        <w:right w:val="single" w:color="B2A1C6" w:themeColor="accent4" w:themeTint="9A" w:sz="4" w:space="0"/>
      </w:tblBorders>
    </w:tblPr>
    <w:tblStylePr w:type="firstRow">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fill="FFFFFF" w:themeFill="light1"/>
      </w:tcPr>
    </w:tblStylePr>
    <w:tblStylePr w:type="lastRow">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fill="FFFFFF" w:themeFill="light1"/>
      </w:tcPr>
    </w:tblStylePr>
    <w:tblStylePr w:type="firstCol">
      <w:pPr>
        <w:snapToGrid/>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FFFFFF"/>
      </w:tcPr>
    </w:tblStylePr>
    <w:tblStylePr w:type="lastCol">
      <w:pPr>
        <w:snapToGrid/>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FFFFFF"/>
      </w:tcPr>
    </w:tblStylePr>
    <w:tblStylePr w:type="band1Vert">
      <w:pPr>
        <w:snapToGrid/>
      </w:pPr>
      <w:tcPr>
        <w:shd w:val="clear" w:color="FFEFBE" w:fill="DFD8E7" w:themeFill="accent4" w:themeFillTint="40"/>
      </w:tcPr>
    </w:tblStylePr>
    <w:tblStylePr w:type="band2Vert">
      <w:pPr>
        <w:snapToGrid/>
      </w:pPr>
    </w:tblStylePr>
    <w:tblStylePr w:type="band1Horz">
      <w:pPr>
        <w:snapToGrid/>
      </w:pPr>
      <w:rPr>
        <w:rFonts w:ascii="Arial" w:hAnsi="Arial"/>
        <w:color w:val="B3A2C7" w:themeColor="accent4" w:themeTint="99"/>
        <w:sz w:val="22"/>
        <w14:textFill>
          <w14:solidFill>
            <w14:schemeClr w14:val="accent4">
              <w14:lumMod w14:val="60000"/>
              <w14:lumOff w14:val="40000"/>
            </w14:schemeClr>
          </w14:solidFill>
        </w14:textFill>
      </w:rPr>
      <w:tcPr>
        <w:shd w:val="clear" w:color="FFEFBE" w:fill="DFD8E7" w:themeFill="accent4" w:themeFillTint="40"/>
      </w:tcPr>
    </w:tblStylePr>
    <w:tblStylePr w:type="band2Horz">
      <w:pPr>
        <w:snapToGrid/>
      </w:pPr>
      <w:rPr>
        <w:rFonts w:ascii="Arial" w:hAnsi="Arial"/>
        <w:color w:val="B3A2C7" w:themeColor="accent4" w:themeTint="99"/>
        <w:sz w:val="22"/>
        <w14:textFill>
          <w14:solidFill>
            <w14:schemeClr w14:val="accent4">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6">
    <w:name w:val="List Table 7 Colorful - Accent 5"/>
    <w:basedOn w:val="40"/>
    <w:qFormat/>
    <w:uiPriority w:val="99"/>
    <w:tblPr>
      <w:tblBorders>
        <w:right w:val="single" w:color="92CCDC" w:themeColor="accent5" w:themeTint="9A" w:sz="4" w:space="0"/>
      </w:tblBorders>
    </w:tblPr>
    <w:tblStylePr w:type="firstRow">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fill="FFFFFF" w:themeFill="light1"/>
      </w:tcPr>
    </w:tblStylePr>
    <w:tblStylePr w:type="lastRow">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fill="FFFFFF" w:themeFill="light1"/>
      </w:tcPr>
    </w:tblStylePr>
    <w:tblStylePr w:type="firstCol">
      <w:pPr>
        <w:snapToGrid/>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FFFFFF"/>
      </w:tcPr>
    </w:tblStylePr>
    <w:tblStylePr w:type="lastCol">
      <w:pPr>
        <w:snapToGrid/>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FFFFFF"/>
      </w:tcPr>
    </w:tblStylePr>
    <w:tblStylePr w:type="band1Vert">
      <w:pPr>
        <w:snapToGrid/>
      </w:pPr>
      <w:tcPr>
        <w:shd w:val="clear" w:color="D0DBF0" w:fill="D1EAF0" w:themeFill="accent5" w:themeFillTint="40"/>
      </w:tcPr>
    </w:tblStylePr>
    <w:tblStylePr w:type="band2Vert">
      <w:pPr>
        <w:snapToGrid/>
      </w:pPr>
    </w:tblStylePr>
    <w:tblStylePr w:type="band1Horz">
      <w:pPr>
        <w:snapToGrid/>
      </w:pPr>
      <w:rPr>
        <w:rFonts w:ascii="Arial" w:hAnsi="Arial"/>
        <w:color w:val="93CDDD" w:themeColor="accent5" w:themeTint="99"/>
        <w:sz w:val="22"/>
        <w14:textFill>
          <w14:solidFill>
            <w14:schemeClr w14:val="accent5">
              <w14:lumMod w14:val="60000"/>
              <w14:lumOff w14:val="40000"/>
            </w14:schemeClr>
          </w14:solidFill>
        </w14:textFill>
      </w:rPr>
      <w:tcPr>
        <w:shd w:val="clear" w:color="D0DBF0" w:fill="D1EAF0" w:themeFill="accent5" w:themeFillTint="40"/>
      </w:tcPr>
    </w:tblStylePr>
    <w:tblStylePr w:type="band2Horz">
      <w:pPr>
        <w:snapToGrid/>
      </w:pPr>
      <w:rPr>
        <w:rFonts w:ascii="Arial" w:hAnsi="Arial"/>
        <w:color w:val="93CDDD" w:themeColor="accent5" w:themeTint="99"/>
        <w:sz w:val="22"/>
        <w14:textFill>
          <w14:solidFill>
            <w14:schemeClr w14:val="accent5">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7">
    <w:name w:val="List Table 7 Colorful - Accent 6"/>
    <w:basedOn w:val="40"/>
    <w:qFormat/>
    <w:uiPriority w:val="99"/>
    <w:tblPr>
      <w:tblBorders>
        <w:right w:val="single" w:color="FAC090" w:themeColor="accent6" w:themeTint="98" w:sz="4" w:space="0"/>
      </w:tblBorders>
    </w:tblPr>
    <w:tblStylePr w:type="firstRow">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fill="FFFFFF" w:themeFill="light1"/>
      </w:tcPr>
    </w:tblStylePr>
    <w:tblStylePr w:type="lastRow">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fill="FFFFFF" w:themeFill="light1"/>
      </w:tcPr>
    </w:tblStylePr>
    <w:tblStylePr w:type="firstCol">
      <w:pPr>
        <w:snapToGrid/>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FFFFFF"/>
      </w:tcPr>
    </w:tblStylePr>
    <w:tblStylePr w:type="lastCol">
      <w:pPr>
        <w:snapToGrid/>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FFFFFF"/>
      </w:tcPr>
    </w:tblStylePr>
    <w:tblStylePr w:type="band1Vert">
      <w:pPr>
        <w:snapToGrid/>
      </w:pPr>
      <w:tcPr>
        <w:shd w:val="clear" w:color="DAEBCF" w:fill="FCE4D0" w:themeFill="accent6" w:themeFillTint="40"/>
      </w:tcPr>
    </w:tblStylePr>
    <w:tblStylePr w:type="band2Vert">
      <w:pPr>
        <w:snapToGrid/>
      </w:pPr>
    </w:tblStylePr>
    <w:tblStylePr w:type="band1Horz">
      <w:pPr>
        <w:snapToGrid/>
      </w:pPr>
      <w:rPr>
        <w:rFonts w:ascii="Arial" w:hAnsi="Arial"/>
        <w:color w:val="FAC090" w:themeColor="accent6" w:themeTint="99"/>
        <w:sz w:val="22"/>
        <w14:textFill>
          <w14:solidFill>
            <w14:schemeClr w14:val="accent6">
              <w14:lumMod w14:val="60000"/>
              <w14:lumOff w14:val="40000"/>
            </w14:schemeClr>
          </w14:solidFill>
        </w14:textFill>
      </w:rPr>
      <w:tcPr>
        <w:shd w:val="clear" w:color="DAEBCF" w:fill="FCE4D0" w:themeFill="accent6" w:themeFillTint="40"/>
      </w:tcPr>
    </w:tblStylePr>
    <w:tblStylePr w:type="band2Horz">
      <w:pPr>
        <w:snapToGrid/>
      </w:pPr>
      <w:rPr>
        <w:rFonts w:ascii="Arial" w:hAnsi="Arial"/>
        <w:color w:val="FAC090" w:themeColor="accent6" w:themeTint="99"/>
        <w:sz w:val="22"/>
        <w14:textFill>
          <w14:solidFill>
            <w14:schemeClr w14:val="accent6">
              <w14:lumMod w14:val="60000"/>
              <w14:lumOff w14:val="40000"/>
            </w14:schemeClr>
          </w14:solidFill>
        </w14:textFill>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8">
    <w:name w:val="Lined - Accent"/>
    <w:basedOn w:val="40"/>
    <w:qFormat/>
    <w:uiPriority w:val="99"/>
    <w:rPr>
      <w:color w:val="404040"/>
    </w:rPr>
    <w:tblStylePr w:type="firstRow">
      <w:pPr>
        <w:snapToGrid/>
      </w:pPr>
      <w:rPr>
        <w:rFonts w:ascii="Arial" w:hAnsi="Arial"/>
        <w:color w:val="F2F2F2"/>
        <w:sz w:val="22"/>
      </w:rPr>
      <w:tcPr>
        <w:shd w:val="clear" w:color="7E7E7E" w:fill="7E7E7E" w:themeFill="text1" w:themeFillTint="80"/>
      </w:tcPr>
    </w:tblStylePr>
    <w:tblStylePr w:type="lastRow">
      <w:pPr>
        <w:snapToGrid/>
      </w:pPr>
      <w:rPr>
        <w:rFonts w:ascii="Arial" w:hAnsi="Arial"/>
        <w:color w:val="F2F2F2"/>
        <w:sz w:val="22"/>
      </w:rPr>
      <w:tcPr>
        <w:shd w:val="clear" w:color="7E7E7E" w:fill="7E7E7E" w:themeFill="text1" w:themeFillTint="80"/>
      </w:tcPr>
    </w:tblStylePr>
    <w:tblStylePr w:type="firstCol">
      <w:pPr>
        <w:snapToGrid/>
      </w:pPr>
      <w:rPr>
        <w:rFonts w:ascii="Arial" w:hAnsi="Arial"/>
        <w:color w:val="F2F2F2"/>
        <w:sz w:val="22"/>
      </w:rPr>
      <w:tcPr>
        <w:shd w:val="clear" w:color="7E7E7E" w:fill="7E7E7E" w:themeFill="text1" w:themeFillTint="80"/>
      </w:tcPr>
    </w:tblStylePr>
    <w:tblStylePr w:type="lastCol">
      <w:pPr>
        <w:snapToGrid/>
      </w:pPr>
      <w:rPr>
        <w:rFonts w:ascii="Arial" w:hAnsi="Arial"/>
        <w:color w:val="F2F2F2"/>
        <w:sz w:val="22"/>
      </w:rPr>
      <w:tcPr>
        <w:shd w:val="clear" w:color="7E7E7E"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1F1F1"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1F1F1"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89">
    <w:name w:val="Lined - Accent 1"/>
    <w:basedOn w:val="40"/>
    <w:qFormat/>
    <w:uiPriority w:val="99"/>
    <w:rPr>
      <w:color w:val="404040"/>
    </w:rPr>
    <w:tblStylePr w:type="firstRow">
      <w:pPr>
        <w:snapToGrid/>
      </w:pPr>
      <w:rPr>
        <w:rFonts w:ascii="Arial" w:hAnsi="Arial"/>
        <w:color w:val="F2F2F2"/>
        <w:sz w:val="22"/>
      </w:rPr>
      <w:tcPr>
        <w:shd w:val="clear" w:color="68A3D8" w:fill="5D8BC2" w:themeFill="accent1" w:themeFillTint="EA"/>
      </w:tcPr>
    </w:tblStylePr>
    <w:tblStylePr w:type="lastRow">
      <w:pPr>
        <w:snapToGrid/>
      </w:pPr>
      <w:rPr>
        <w:rFonts w:ascii="Arial" w:hAnsi="Arial"/>
        <w:color w:val="F2F2F2"/>
        <w:sz w:val="22"/>
      </w:rPr>
      <w:tcPr>
        <w:shd w:val="clear" w:color="68A3D8" w:fill="5D8BC2" w:themeFill="accent1" w:themeFillTint="EA"/>
      </w:tcPr>
    </w:tblStylePr>
    <w:tblStylePr w:type="firstCol">
      <w:pPr>
        <w:snapToGrid/>
      </w:pPr>
      <w:rPr>
        <w:rFonts w:ascii="Arial" w:hAnsi="Arial"/>
        <w:color w:val="F2F2F2"/>
        <w:sz w:val="22"/>
      </w:rPr>
      <w:tcPr>
        <w:shd w:val="clear" w:color="68A3D8" w:fill="5D8BC2" w:themeFill="accent1" w:themeFillTint="EA"/>
      </w:tcPr>
    </w:tblStylePr>
    <w:tblStylePr w:type="lastCol">
      <w:pPr>
        <w:snapToGrid/>
      </w:pPr>
      <w:rPr>
        <w:rFonts w:ascii="Arial" w:hAnsi="Arial"/>
        <w:color w:val="F2F2F2"/>
        <w:sz w:val="22"/>
      </w:rPr>
      <w:tcPr>
        <w:shd w:val="clear" w:color="68A3D8" w:fill="5D8B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CBDFF1"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CBDFF1"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0">
    <w:name w:val="Lined - Accent 2"/>
    <w:basedOn w:val="40"/>
    <w:qFormat/>
    <w:uiPriority w:val="99"/>
    <w:rPr>
      <w:color w:val="404040"/>
    </w:rPr>
    <w:tblStylePr w:type="firstRow">
      <w:pPr>
        <w:snapToGrid/>
      </w:pPr>
      <w:rPr>
        <w:rFonts w:ascii="Arial" w:hAnsi="Arial"/>
        <w:color w:val="F2F2F2"/>
        <w:sz w:val="22"/>
      </w:rPr>
      <w:tcPr>
        <w:shd w:val="clear" w:color="F4B285" w:fill="D99795" w:themeFill="accent2" w:themeFillTint="97"/>
      </w:tcPr>
    </w:tblStylePr>
    <w:tblStylePr w:type="lastRow">
      <w:pPr>
        <w:snapToGrid/>
      </w:pPr>
      <w:rPr>
        <w:rFonts w:ascii="Arial" w:hAnsi="Arial"/>
        <w:color w:val="F2F2F2"/>
        <w:sz w:val="22"/>
      </w:rPr>
      <w:tcPr>
        <w:shd w:val="clear" w:color="F4B285" w:fill="D99795" w:themeFill="accent2" w:themeFillTint="97"/>
      </w:tcPr>
    </w:tblStylePr>
    <w:tblStylePr w:type="firstCol">
      <w:pPr>
        <w:snapToGrid/>
      </w:pPr>
      <w:rPr>
        <w:rFonts w:ascii="Arial" w:hAnsi="Arial"/>
        <w:color w:val="F2F2F2"/>
        <w:sz w:val="22"/>
      </w:rPr>
      <w:tcPr>
        <w:shd w:val="clear" w:color="F4B285" w:fill="D99795" w:themeFill="accent2" w:themeFillTint="97"/>
      </w:tcPr>
    </w:tblStylePr>
    <w:tblStylePr w:type="lastCol">
      <w:pPr>
        <w:snapToGrid/>
      </w:pPr>
      <w:rPr>
        <w:rFonts w:ascii="Arial" w:hAnsi="Arial"/>
        <w:color w:val="F2F2F2"/>
        <w:sz w:val="22"/>
      </w:rPr>
      <w:tcPr>
        <w:shd w:val="clear" w:color="F4B285" w:fill="D997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BE5D6"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BE5D6"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1">
    <w:name w:val="Lined - Accent 3"/>
    <w:basedOn w:val="40"/>
    <w:qFormat/>
    <w:uiPriority w:val="99"/>
    <w:rPr>
      <w:color w:val="404040"/>
    </w:rPr>
    <w:tblStylePr w:type="firstRow">
      <w:pPr>
        <w:snapToGrid/>
      </w:pPr>
      <w:rPr>
        <w:rFonts w:ascii="Arial" w:hAnsi="Arial"/>
        <w:color w:val="F2F2F2"/>
        <w:sz w:val="22"/>
      </w:rPr>
      <w:tcPr>
        <w:shd w:val="clear" w:color="A5A5A5" w:fill="9BBB59" w:themeFill="accent3" w:themeFillTint="FE"/>
      </w:tcPr>
    </w:tblStylePr>
    <w:tblStylePr w:type="lastRow">
      <w:pPr>
        <w:snapToGrid/>
      </w:pPr>
      <w:rPr>
        <w:rFonts w:ascii="Arial" w:hAnsi="Arial"/>
        <w:color w:val="F2F2F2"/>
        <w:sz w:val="22"/>
      </w:rPr>
      <w:tcPr>
        <w:shd w:val="clear" w:color="A5A5A5" w:fill="9BBB59" w:themeFill="accent3" w:themeFillTint="FE"/>
      </w:tcPr>
    </w:tblStylePr>
    <w:tblStylePr w:type="firstCol">
      <w:pPr>
        <w:snapToGrid/>
      </w:pPr>
      <w:rPr>
        <w:rFonts w:ascii="Arial" w:hAnsi="Arial"/>
        <w:color w:val="F2F2F2"/>
        <w:sz w:val="22"/>
      </w:rPr>
      <w:tcPr>
        <w:shd w:val="clear" w:color="A5A5A5" w:fill="9BBB59" w:themeFill="accent3" w:themeFillTint="FE"/>
      </w:tcPr>
    </w:tblStylePr>
    <w:tblStylePr w:type="lastCol">
      <w:pPr>
        <w:snapToGrid/>
      </w:pPr>
      <w:rPr>
        <w:rFonts w:ascii="Arial" w:hAnsi="Arial"/>
        <w:color w:val="F2F2F2"/>
        <w:sz w:val="22"/>
      </w:rPr>
      <w:tcPr>
        <w:shd w:val="clear" w:color="A5A5A5" w:fill="9B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ECECEC" w:fill="EAF1DD"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ECECEC" w:fill="EAF1DD"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2">
    <w:name w:val="Lined - Accent 4"/>
    <w:basedOn w:val="40"/>
    <w:qFormat/>
    <w:uiPriority w:val="99"/>
    <w:rPr>
      <w:color w:val="404040"/>
    </w:rPr>
    <w:tblStylePr w:type="firstRow">
      <w:pPr>
        <w:snapToGrid/>
      </w:pPr>
      <w:rPr>
        <w:rFonts w:ascii="Arial" w:hAnsi="Arial"/>
        <w:color w:val="F2F2F2"/>
        <w:sz w:val="22"/>
      </w:rPr>
      <w:tcPr>
        <w:shd w:val="clear" w:color="FFD864" w:fill="B2A1C6" w:themeFill="accent4" w:themeFillTint="9A"/>
      </w:tcPr>
    </w:tblStylePr>
    <w:tblStylePr w:type="lastRow">
      <w:pPr>
        <w:snapToGrid/>
      </w:pPr>
      <w:rPr>
        <w:rFonts w:ascii="Arial" w:hAnsi="Arial"/>
        <w:color w:val="F2F2F2"/>
        <w:sz w:val="22"/>
      </w:rPr>
      <w:tcPr>
        <w:shd w:val="clear" w:color="FFD864" w:fill="B2A1C6" w:themeFill="accent4" w:themeFillTint="9A"/>
      </w:tcPr>
    </w:tblStylePr>
    <w:tblStylePr w:type="firstCol">
      <w:pPr>
        <w:snapToGrid/>
      </w:pPr>
      <w:rPr>
        <w:rFonts w:ascii="Arial" w:hAnsi="Arial"/>
        <w:color w:val="F2F2F2"/>
        <w:sz w:val="22"/>
      </w:rPr>
      <w:tcPr>
        <w:shd w:val="clear" w:color="FFD864" w:fill="B2A1C6" w:themeFill="accent4" w:themeFillTint="9A"/>
      </w:tcPr>
    </w:tblStylePr>
    <w:tblStylePr w:type="lastCol">
      <w:pPr>
        <w:snapToGrid/>
      </w:pPr>
      <w:rPr>
        <w:rFonts w:ascii="Arial" w:hAnsi="Arial"/>
        <w:color w:val="F2F2F2"/>
        <w:sz w:val="22"/>
      </w:rPr>
      <w:tcPr>
        <w:shd w:val="clear" w:color="FFD864"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EF2CA"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EF2CA"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3">
    <w:name w:val="Lined - Accent 5"/>
    <w:basedOn w:val="40"/>
    <w:qFormat/>
    <w:uiPriority w:val="99"/>
    <w:rPr>
      <w:color w:val="404040"/>
    </w:rPr>
    <w:tblStylePr w:type="firstRow">
      <w:pPr>
        <w:snapToGrid/>
      </w:pPr>
      <w:rPr>
        <w:rFonts w:ascii="Arial" w:hAnsi="Arial"/>
        <w:color w:val="F2F2F2"/>
        <w:sz w:val="22"/>
      </w:rPr>
      <w:tcPr>
        <w:shd w:val="clear" w:color="4472C4" w:fill="4BACC6" w:themeFill="accent5"/>
      </w:tcPr>
    </w:tblStylePr>
    <w:tblStylePr w:type="lastRow">
      <w:pPr>
        <w:snapToGrid/>
      </w:pPr>
      <w:rPr>
        <w:rFonts w:ascii="Arial" w:hAnsi="Arial"/>
        <w:color w:val="F2F2F2"/>
        <w:sz w:val="22"/>
      </w:rPr>
      <w:tcPr>
        <w:shd w:val="clear" w:color="4472C4" w:fill="4BACC6" w:themeFill="accent5"/>
      </w:tcPr>
    </w:tblStylePr>
    <w:tblStylePr w:type="firstCol">
      <w:pPr>
        <w:snapToGrid/>
      </w:pPr>
      <w:rPr>
        <w:rFonts w:ascii="Arial" w:hAnsi="Arial"/>
        <w:color w:val="F2F2F2"/>
        <w:sz w:val="22"/>
      </w:rPr>
      <w:tcPr>
        <w:shd w:val="clear" w:color="4472C4" w:fill="4BACC6" w:themeFill="accent5"/>
      </w:tcPr>
    </w:tblStylePr>
    <w:tblStylePr w:type="lastCol">
      <w:pPr>
        <w:snapToGrid/>
      </w:pPr>
      <w:rPr>
        <w:rFonts w:ascii="Arial" w:hAnsi="Arial"/>
        <w:color w:val="F2F2F2"/>
        <w:sz w:val="22"/>
      </w:rPr>
      <w:tcPr>
        <w:shd w:val="clear" w:color="4472C4"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D8E2F2"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D8E2F2"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4">
    <w:name w:val="Lined - Accent 6"/>
    <w:basedOn w:val="40"/>
    <w:qFormat/>
    <w:uiPriority w:val="99"/>
    <w:rPr>
      <w:color w:val="404040"/>
    </w:rPr>
    <w:tblStylePr w:type="firstRow">
      <w:pPr>
        <w:snapToGrid/>
      </w:pPr>
      <w:rPr>
        <w:rFonts w:ascii="Arial" w:hAnsi="Arial"/>
        <w:color w:val="F2F2F2"/>
        <w:sz w:val="22"/>
      </w:rPr>
      <w:tcPr>
        <w:shd w:val="clear" w:color="70AD47" w:fill="F79646" w:themeFill="accent6"/>
      </w:tcPr>
    </w:tblStylePr>
    <w:tblStylePr w:type="lastRow">
      <w:pPr>
        <w:snapToGrid/>
      </w:pPr>
      <w:rPr>
        <w:rFonts w:ascii="Arial" w:hAnsi="Arial"/>
        <w:color w:val="F2F2F2"/>
        <w:sz w:val="22"/>
      </w:rPr>
      <w:tcPr>
        <w:shd w:val="clear" w:color="70AD47" w:fill="F79646" w:themeFill="accent6"/>
      </w:tcPr>
    </w:tblStylePr>
    <w:tblStylePr w:type="firstCol">
      <w:pPr>
        <w:snapToGrid/>
      </w:pPr>
      <w:rPr>
        <w:rFonts w:ascii="Arial" w:hAnsi="Arial"/>
        <w:color w:val="F2F2F2"/>
        <w:sz w:val="22"/>
      </w:rPr>
      <w:tcPr>
        <w:shd w:val="clear" w:color="70AD47" w:fill="F79646" w:themeFill="accent6"/>
      </w:tcPr>
    </w:tblStylePr>
    <w:tblStylePr w:type="lastCol">
      <w:pPr>
        <w:snapToGrid/>
      </w:pPr>
      <w:rPr>
        <w:rFonts w:ascii="Arial" w:hAnsi="Arial"/>
        <w:color w:val="F2F2F2"/>
        <w:sz w:val="22"/>
      </w:rPr>
      <w:tcPr>
        <w:shd w:val="clear" w:color="70AD47"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E1EFD8" w:fill="FDE9D9"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E1EFD8" w:fill="FDE9D9"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5">
    <w:name w:val="Bordered &amp; Lined - Accent"/>
    <w:basedOn w:val="40"/>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pPr>
        <w:snapToGrid/>
      </w:pPr>
      <w:rPr>
        <w:rFonts w:ascii="Arial" w:hAnsi="Arial"/>
        <w:color w:val="F2F2F2"/>
        <w:sz w:val="22"/>
      </w:rPr>
      <w:tcPr>
        <w:shd w:val="clear" w:color="7E7E7E" w:fill="7E7E7E" w:themeFill="text1" w:themeFillTint="80"/>
      </w:tcPr>
    </w:tblStylePr>
    <w:tblStylePr w:type="lastRow">
      <w:pPr>
        <w:snapToGrid/>
      </w:pPr>
      <w:rPr>
        <w:rFonts w:ascii="Arial" w:hAnsi="Arial"/>
        <w:color w:val="F2F2F2"/>
        <w:sz w:val="22"/>
      </w:rPr>
      <w:tcPr>
        <w:shd w:val="clear" w:color="7E7E7E" w:fill="7E7E7E" w:themeFill="text1" w:themeFillTint="80"/>
      </w:tcPr>
    </w:tblStylePr>
    <w:tblStylePr w:type="firstCol">
      <w:pPr>
        <w:snapToGrid/>
      </w:pPr>
      <w:rPr>
        <w:rFonts w:ascii="Arial" w:hAnsi="Arial"/>
        <w:color w:val="F2F2F2"/>
        <w:sz w:val="22"/>
      </w:rPr>
      <w:tcPr>
        <w:shd w:val="clear" w:color="7E7E7E" w:fill="7E7E7E" w:themeFill="text1" w:themeFillTint="80"/>
      </w:tcPr>
    </w:tblStylePr>
    <w:tblStylePr w:type="lastCol">
      <w:pPr>
        <w:snapToGrid/>
      </w:pPr>
      <w:rPr>
        <w:rFonts w:ascii="Arial" w:hAnsi="Arial"/>
        <w:color w:val="F2F2F2"/>
        <w:sz w:val="22"/>
      </w:rPr>
      <w:tcPr>
        <w:shd w:val="clear" w:color="7E7E7E" w:fill="7E7E7E"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1F1F1" w:fill="F1F1F1"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1F1F1" w:fill="F1F1F1"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6">
    <w:name w:val="Bordered &amp; Lined - Accent 1"/>
    <w:basedOn w:val="40"/>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pPr>
        <w:snapToGrid/>
      </w:pPr>
      <w:rPr>
        <w:rFonts w:ascii="Arial" w:hAnsi="Arial"/>
        <w:color w:val="F2F2F2"/>
        <w:sz w:val="22"/>
      </w:rPr>
      <w:tcPr>
        <w:shd w:val="clear" w:color="68A3D8" w:fill="5D8BC2" w:themeFill="accent1" w:themeFillTint="EA"/>
      </w:tcPr>
    </w:tblStylePr>
    <w:tblStylePr w:type="lastRow">
      <w:pPr>
        <w:snapToGrid/>
      </w:pPr>
      <w:rPr>
        <w:rFonts w:ascii="Arial" w:hAnsi="Arial"/>
        <w:color w:val="F2F2F2"/>
        <w:sz w:val="22"/>
      </w:rPr>
      <w:tcPr>
        <w:shd w:val="clear" w:color="68A3D8" w:fill="5D8BC2" w:themeFill="accent1" w:themeFillTint="EA"/>
      </w:tcPr>
    </w:tblStylePr>
    <w:tblStylePr w:type="firstCol">
      <w:pPr>
        <w:snapToGrid/>
      </w:pPr>
      <w:rPr>
        <w:rFonts w:ascii="Arial" w:hAnsi="Arial"/>
        <w:color w:val="F2F2F2"/>
        <w:sz w:val="22"/>
      </w:rPr>
      <w:tcPr>
        <w:shd w:val="clear" w:color="68A3D8" w:fill="5D8BC2" w:themeFill="accent1" w:themeFillTint="EA"/>
      </w:tcPr>
    </w:tblStylePr>
    <w:tblStylePr w:type="lastCol">
      <w:pPr>
        <w:snapToGrid/>
      </w:pPr>
      <w:rPr>
        <w:rFonts w:ascii="Arial" w:hAnsi="Arial"/>
        <w:color w:val="F2F2F2"/>
        <w:sz w:val="22"/>
      </w:rPr>
      <w:tcPr>
        <w:shd w:val="clear" w:color="68A3D8" w:fill="5D8B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CBDFF1"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CBDFF1"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7">
    <w:name w:val="Bordered &amp; Lined - Accent 2"/>
    <w:basedOn w:val="40"/>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pPr>
        <w:snapToGrid/>
      </w:pPr>
      <w:rPr>
        <w:rFonts w:ascii="Arial" w:hAnsi="Arial"/>
        <w:color w:val="F2F2F2"/>
        <w:sz w:val="22"/>
      </w:rPr>
      <w:tcPr>
        <w:shd w:val="clear" w:color="F4B285" w:fill="D99795" w:themeFill="accent2" w:themeFillTint="97"/>
      </w:tcPr>
    </w:tblStylePr>
    <w:tblStylePr w:type="lastRow">
      <w:pPr>
        <w:snapToGrid/>
      </w:pPr>
      <w:rPr>
        <w:rFonts w:ascii="Arial" w:hAnsi="Arial"/>
        <w:color w:val="F2F2F2"/>
        <w:sz w:val="22"/>
      </w:rPr>
      <w:tcPr>
        <w:shd w:val="clear" w:color="F4B285" w:fill="D99795" w:themeFill="accent2" w:themeFillTint="97"/>
      </w:tcPr>
    </w:tblStylePr>
    <w:tblStylePr w:type="firstCol">
      <w:pPr>
        <w:snapToGrid/>
      </w:pPr>
      <w:rPr>
        <w:rFonts w:ascii="Arial" w:hAnsi="Arial"/>
        <w:color w:val="F2F2F2"/>
        <w:sz w:val="22"/>
      </w:rPr>
      <w:tcPr>
        <w:shd w:val="clear" w:color="F4B285" w:fill="D99795" w:themeFill="accent2" w:themeFillTint="97"/>
      </w:tcPr>
    </w:tblStylePr>
    <w:tblStylePr w:type="lastCol">
      <w:pPr>
        <w:snapToGrid/>
      </w:pPr>
      <w:rPr>
        <w:rFonts w:ascii="Arial" w:hAnsi="Arial"/>
        <w:color w:val="F2F2F2"/>
        <w:sz w:val="22"/>
      </w:rPr>
      <w:tcPr>
        <w:shd w:val="clear" w:color="F4B285" w:fill="D997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BE5D6"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BE5D6"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8">
    <w:name w:val="Bordered &amp; Lined - Accent 3"/>
    <w:basedOn w:val="40"/>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pPr>
        <w:snapToGrid/>
      </w:pPr>
      <w:rPr>
        <w:rFonts w:ascii="Arial" w:hAnsi="Arial"/>
        <w:color w:val="F2F2F2"/>
        <w:sz w:val="22"/>
      </w:rPr>
      <w:tcPr>
        <w:shd w:val="clear" w:color="A5A5A5" w:fill="9BBB59" w:themeFill="accent3" w:themeFillTint="FE"/>
      </w:tcPr>
    </w:tblStylePr>
    <w:tblStylePr w:type="lastRow">
      <w:pPr>
        <w:snapToGrid/>
      </w:pPr>
      <w:rPr>
        <w:rFonts w:ascii="Arial" w:hAnsi="Arial"/>
        <w:color w:val="F2F2F2"/>
        <w:sz w:val="22"/>
      </w:rPr>
      <w:tcPr>
        <w:shd w:val="clear" w:color="A5A5A5" w:fill="9BBB59" w:themeFill="accent3" w:themeFillTint="FE"/>
      </w:tcPr>
    </w:tblStylePr>
    <w:tblStylePr w:type="firstCol">
      <w:pPr>
        <w:snapToGrid/>
      </w:pPr>
      <w:rPr>
        <w:rFonts w:ascii="Arial" w:hAnsi="Arial"/>
        <w:color w:val="F2F2F2"/>
        <w:sz w:val="22"/>
      </w:rPr>
      <w:tcPr>
        <w:shd w:val="clear" w:color="A5A5A5" w:fill="9BBB59" w:themeFill="accent3" w:themeFillTint="FE"/>
      </w:tcPr>
    </w:tblStylePr>
    <w:tblStylePr w:type="lastCol">
      <w:pPr>
        <w:snapToGrid/>
      </w:pPr>
      <w:rPr>
        <w:rFonts w:ascii="Arial" w:hAnsi="Arial"/>
        <w:color w:val="F2F2F2"/>
        <w:sz w:val="22"/>
      </w:rPr>
      <w:tcPr>
        <w:shd w:val="clear" w:color="A5A5A5" w:fill="9B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ECECEC" w:fill="EAF1DD"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ECECEC" w:fill="EAF1DD"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99">
    <w:name w:val="Bordered &amp; Lined - Accent 4"/>
    <w:basedOn w:val="40"/>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pPr>
        <w:snapToGrid/>
      </w:pPr>
      <w:rPr>
        <w:rFonts w:ascii="Arial" w:hAnsi="Arial"/>
        <w:color w:val="F2F2F2"/>
        <w:sz w:val="22"/>
      </w:rPr>
      <w:tcPr>
        <w:shd w:val="clear" w:color="FFD864" w:fill="B2A1C6" w:themeFill="accent4" w:themeFillTint="9A"/>
      </w:tcPr>
    </w:tblStylePr>
    <w:tblStylePr w:type="lastRow">
      <w:pPr>
        <w:snapToGrid/>
      </w:pPr>
      <w:rPr>
        <w:rFonts w:ascii="Arial" w:hAnsi="Arial"/>
        <w:color w:val="F2F2F2"/>
        <w:sz w:val="22"/>
      </w:rPr>
      <w:tcPr>
        <w:shd w:val="clear" w:color="FFD864" w:fill="B2A1C6" w:themeFill="accent4" w:themeFillTint="9A"/>
      </w:tcPr>
    </w:tblStylePr>
    <w:tblStylePr w:type="firstCol">
      <w:pPr>
        <w:snapToGrid/>
      </w:pPr>
      <w:rPr>
        <w:rFonts w:ascii="Arial" w:hAnsi="Arial"/>
        <w:color w:val="F2F2F2"/>
        <w:sz w:val="22"/>
      </w:rPr>
      <w:tcPr>
        <w:shd w:val="clear" w:color="FFD864" w:fill="B2A1C6" w:themeFill="accent4" w:themeFillTint="9A"/>
      </w:tcPr>
    </w:tblStylePr>
    <w:tblStylePr w:type="lastCol">
      <w:pPr>
        <w:snapToGrid/>
      </w:pPr>
      <w:rPr>
        <w:rFonts w:ascii="Arial" w:hAnsi="Arial"/>
        <w:color w:val="F2F2F2"/>
        <w:sz w:val="22"/>
      </w:rPr>
      <w:tcPr>
        <w:shd w:val="clear" w:color="FFD864"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FEF2CA"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FEF2CA"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0">
    <w:name w:val="Bordered &amp; Lined - Accent 5"/>
    <w:basedOn w:val="40"/>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pPr>
        <w:snapToGrid/>
      </w:pPr>
      <w:rPr>
        <w:rFonts w:ascii="Arial" w:hAnsi="Arial"/>
        <w:color w:val="F2F2F2"/>
        <w:sz w:val="22"/>
      </w:rPr>
      <w:tcPr>
        <w:shd w:val="clear" w:color="4472C4" w:fill="4BACC6" w:themeFill="accent5"/>
      </w:tcPr>
    </w:tblStylePr>
    <w:tblStylePr w:type="lastRow">
      <w:pPr>
        <w:snapToGrid/>
      </w:pPr>
      <w:rPr>
        <w:rFonts w:ascii="Arial" w:hAnsi="Arial"/>
        <w:color w:val="F2F2F2"/>
        <w:sz w:val="22"/>
      </w:rPr>
      <w:tcPr>
        <w:shd w:val="clear" w:color="4472C4" w:fill="4BACC6" w:themeFill="accent5"/>
      </w:tcPr>
    </w:tblStylePr>
    <w:tblStylePr w:type="firstCol">
      <w:pPr>
        <w:snapToGrid/>
      </w:pPr>
      <w:rPr>
        <w:rFonts w:ascii="Arial" w:hAnsi="Arial"/>
        <w:color w:val="F2F2F2"/>
        <w:sz w:val="22"/>
      </w:rPr>
      <w:tcPr>
        <w:shd w:val="clear" w:color="4472C4" w:fill="4BACC6" w:themeFill="accent5"/>
      </w:tcPr>
    </w:tblStylePr>
    <w:tblStylePr w:type="lastCol">
      <w:pPr>
        <w:snapToGrid/>
      </w:pPr>
      <w:rPr>
        <w:rFonts w:ascii="Arial" w:hAnsi="Arial"/>
        <w:color w:val="F2F2F2"/>
        <w:sz w:val="22"/>
      </w:rPr>
      <w:tcPr>
        <w:shd w:val="clear" w:color="4472C4"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D8E2F2"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D8E2F2"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1">
    <w:name w:val="Bordered &amp; Lined - Accent 6"/>
    <w:basedOn w:val="40"/>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pPr>
        <w:snapToGrid/>
      </w:pPr>
      <w:rPr>
        <w:rFonts w:ascii="Arial" w:hAnsi="Arial"/>
        <w:color w:val="F2F2F2"/>
        <w:sz w:val="22"/>
      </w:rPr>
      <w:tcPr>
        <w:shd w:val="clear" w:color="70AD47" w:fill="F79646" w:themeFill="accent6"/>
      </w:tcPr>
    </w:tblStylePr>
    <w:tblStylePr w:type="lastRow">
      <w:pPr>
        <w:snapToGrid/>
      </w:pPr>
      <w:rPr>
        <w:rFonts w:ascii="Arial" w:hAnsi="Arial"/>
        <w:color w:val="F2F2F2"/>
        <w:sz w:val="22"/>
      </w:rPr>
      <w:tcPr>
        <w:shd w:val="clear" w:color="70AD47" w:fill="F79646" w:themeFill="accent6"/>
      </w:tcPr>
    </w:tblStylePr>
    <w:tblStylePr w:type="firstCol">
      <w:pPr>
        <w:snapToGrid/>
      </w:pPr>
      <w:rPr>
        <w:rFonts w:ascii="Arial" w:hAnsi="Arial"/>
        <w:color w:val="F2F2F2"/>
        <w:sz w:val="22"/>
      </w:rPr>
      <w:tcPr>
        <w:shd w:val="clear" w:color="70AD47" w:fill="F79646" w:themeFill="accent6"/>
      </w:tcPr>
    </w:tblStylePr>
    <w:tblStylePr w:type="lastCol">
      <w:pPr>
        <w:snapToGrid/>
      </w:pPr>
      <w:rPr>
        <w:rFonts w:ascii="Arial" w:hAnsi="Arial"/>
        <w:color w:val="F2F2F2"/>
        <w:sz w:val="22"/>
      </w:rPr>
      <w:tcPr>
        <w:shd w:val="clear" w:color="70AD47"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cPr>
        <w:shd w:val="clear" w:color="E1EFD8" w:fill="FDE9D9"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cPr>
        <w:shd w:val="clear" w:color="E1EFD8" w:fill="FDE9D9"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2">
    <w:name w:val="Bordered"/>
    <w:basedOn w:val="40"/>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pPr>
        <w:snapToGrid/>
      </w:pPr>
      <w:rPr>
        <w:rFonts w:ascii="Arial" w:hAnsi="Arial"/>
        <w:color w:val="404040"/>
        <w:sz w:val="22"/>
      </w:rPr>
      <w:tcPr>
        <w:tcBorders>
          <w:bottom w:val="single" w:color="7E7E7E" w:themeColor="text1" w:themeTint="80" w:sz="12" w:space="0"/>
        </w:tcBorders>
      </w:tcPr>
    </w:tblStylePr>
    <w:tblStylePr w:type="lastRow">
      <w:pPr>
        <w:snapToGrid/>
      </w:pPr>
      <w:rPr>
        <w:rFonts w:ascii="Arial" w:hAnsi="Arial"/>
        <w:color w:val="404040"/>
        <w:sz w:val="22"/>
      </w:rPr>
      <w:tcPr>
        <w:tcBorders>
          <w:top w:val="single" w:color="7E7E7E" w:themeColor="text1" w:themeTint="80"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7E7E7E" w:themeColor="text1" w:themeTint="80"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3">
    <w:name w:val="Bordered - Accent 1"/>
    <w:basedOn w:val="40"/>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pPr>
        <w:snapToGrid/>
      </w:pPr>
      <w:rPr>
        <w:rFonts w:ascii="Arial" w:hAnsi="Arial"/>
        <w:color w:val="404040"/>
        <w:sz w:val="22"/>
      </w:rPr>
      <w:tcPr>
        <w:tcBorders>
          <w:bottom w:val="single" w:color="4F81BD" w:themeColor="accent1" w:sz="12" w:space="0"/>
        </w:tcBorders>
      </w:tcPr>
    </w:tblStylePr>
    <w:tblStylePr w:type="lastRow">
      <w:pPr>
        <w:snapToGrid/>
      </w:pPr>
      <w:rPr>
        <w:rFonts w:ascii="Arial" w:hAnsi="Arial"/>
        <w:color w:val="404040"/>
        <w:sz w:val="22"/>
      </w:rPr>
      <w:tcPr>
        <w:tcBorders>
          <w:top w:val="single" w:color="4F81BD" w:themeColor="accent1"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4F81BD" w:themeColor="accent1"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4">
    <w:name w:val="Bordered - Accent 2"/>
    <w:basedOn w:val="40"/>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pPr>
        <w:snapToGrid/>
      </w:pPr>
      <w:rPr>
        <w:rFonts w:ascii="Arial" w:hAnsi="Arial"/>
        <w:color w:val="404040"/>
        <w:sz w:val="22"/>
      </w:rPr>
      <w:tcPr>
        <w:tcBorders>
          <w:bottom w:val="single" w:color="D99795" w:themeColor="accent2" w:themeTint="97" w:sz="12" w:space="0"/>
        </w:tcBorders>
      </w:tcPr>
    </w:tblStylePr>
    <w:tblStylePr w:type="lastRow">
      <w:pPr>
        <w:snapToGrid/>
      </w:pPr>
      <w:rPr>
        <w:rFonts w:ascii="Arial" w:hAnsi="Arial"/>
        <w:color w:val="404040"/>
        <w:sz w:val="22"/>
      </w:rPr>
      <w:tcPr>
        <w:tcBorders>
          <w:top w:val="single" w:color="D99795" w:themeColor="accent2" w:themeTint="97"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D99795" w:themeColor="accent2" w:themeTint="97"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5">
    <w:name w:val="Bordered - Accent 3"/>
    <w:basedOn w:val="40"/>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pPr>
        <w:snapToGrid/>
      </w:pPr>
      <w:rPr>
        <w:rFonts w:ascii="Arial" w:hAnsi="Arial"/>
        <w:color w:val="404040"/>
        <w:sz w:val="22"/>
      </w:rPr>
      <w:tcPr>
        <w:tcBorders>
          <w:bottom w:val="single" w:color="C3D69C" w:themeColor="accent3" w:themeTint="98" w:sz="12" w:space="0"/>
        </w:tcBorders>
      </w:tcPr>
    </w:tblStylePr>
    <w:tblStylePr w:type="lastRow">
      <w:pPr>
        <w:snapToGrid/>
      </w:pPr>
      <w:rPr>
        <w:rFonts w:ascii="Arial" w:hAnsi="Arial"/>
        <w:color w:val="404040"/>
        <w:sz w:val="22"/>
      </w:rPr>
      <w:tcPr>
        <w:tcBorders>
          <w:top w:val="single" w:color="C3D69C" w:themeColor="accent3"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C3D69C" w:themeColor="accent3"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6">
    <w:name w:val="Bordered - Accent 4"/>
    <w:basedOn w:val="40"/>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pPr>
        <w:snapToGrid/>
      </w:pPr>
      <w:rPr>
        <w:rFonts w:ascii="Arial" w:hAnsi="Arial"/>
        <w:color w:val="404040"/>
        <w:sz w:val="22"/>
      </w:rPr>
      <w:tcPr>
        <w:tcBorders>
          <w:bottom w:val="single" w:color="B2A1C6" w:themeColor="accent4" w:themeTint="9A" w:sz="12" w:space="0"/>
        </w:tcBorders>
      </w:tcPr>
    </w:tblStylePr>
    <w:tblStylePr w:type="lastRow">
      <w:pPr>
        <w:snapToGrid/>
      </w:pPr>
      <w:rPr>
        <w:rFonts w:ascii="Arial" w:hAnsi="Arial"/>
        <w:color w:val="404040"/>
        <w:sz w:val="22"/>
      </w:rPr>
      <w:tcPr>
        <w:tcBorders>
          <w:top w:val="single" w:color="B2A1C6" w:themeColor="accent4"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B2A1C6" w:themeColor="accent4"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7">
    <w:name w:val="Bordered - Accent 5"/>
    <w:basedOn w:val="40"/>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pPr>
        <w:snapToGrid/>
      </w:pPr>
      <w:rPr>
        <w:rFonts w:ascii="Arial" w:hAnsi="Arial"/>
        <w:color w:val="404040"/>
        <w:sz w:val="22"/>
      </w:rPr>
      <w:tcPr>
        <w:tcBorders>
          <w:bottom w:val="single" w:color="92CCDC" w:themeColor="accent5" w:themeTint="9A" w:sz="12" w:space="0"/>
        </w:tcBorders>
      </w:tcPr>
    </w:tblStylePr>
    <w:tblStylePr w:type="lastRow">
      <w:pPr>
        <w:snapToGrid/>
      </w:pPr>
      <w:rPr>
        <w:rFonts w:ascii="Arial" w:hAnsi="Arial"/>
        <w:color w:val="404040"/>
        <w:sz w:val="22"/>
      </w:rPr>
      <w:tcPr>
        <w:tcBorders>
          <w:top w:val="single" w:color="92CCDC" w:themeColor="accent5" w:themeTint="9A"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92CCDC" w:themeColor="accent5" w:themeTint="9A"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08">
    <w:name w:val="Bordered - Accent 6"/>
    <w:basedOn w:val="40"/>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pPr>
        <w:snapToGrid/>
      </w:pPr>
      <w:rPr>
        <w:rFonts w:ascii="Arial" w:hAnsi="Arial"/>
        <w:color w:val="404040"/>
        <w:sz w:val="22"/>
      </w:rPr>
      <w:tcPr>
        <w:tcBorders>
          <w:bottom w:val="single" w:color="FAC090" w:themeColor="accent6" w:themeTint="98" w:sz="12" w:space="0"/>
        </w:tcBorders>
      </w:tcPr>
    </w:tblStylePr>
    <w:tblStylePr w:type="lastRow">
      <w:pPr>
        <w:snapToGrid/>
      </w:pPr>
      <w:rPr>
        <w:rFonts w:ascii="Arial" w:hAnsi="Arial"/>
        <w:color w:val="404040"/>
        <w:sz w:val="22"/>
      </w:rPr>
      <w:tcPr>
        <w:tcBorders>
          <w:top w:val="single" w:color="FAC090" w:themeColor="accent6" w:themeTint="98" w:sz="12" w:space="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cPr>
        <w:tcBorders>
          <w:left w:val="single" w:color="FAC090" w:themeColor="accent6" w:themeTint="98" w:sz="12" w:space="0"/>
        </w:tcBorders>
      </w:tcPr>
    </w:tblStylePr>
    <w:tblStylePr w:type="band1Vert">
      <w:pPr>
        <w:snapToGrid/>
      </w:pPr>
    </w:tblStylePr>
    <w:tblStylePr w:type="band2Vert">
      <w:pPr>
        <w:snapToGrid/>
      </w:pPr>
    </w:tblStylePr>
    <w:tblStylePr w:type="band1Horz">
      <w:pPr>
        <w:snapToGrid/>
      </w:pPr>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209">
    <w:name w:val="脚注文本 字符"/>
    <w:link w:val="30"/>
    <w:qFormat/>
    <w:uiPriority w:val="99"/>
    <w:rPr>
      <w:sz w:val="18"/>
    </w:rPr>
  </w:style>
  <w:style w:type="paragraph" w:customStyle="1" w:styleId="210">
    <w:name w:val="TOC 标题11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Times New Roman" w:hAnsi="Times New Roman" w:eastAsia="宋体" w:cs="Times New Roman"/>
      <w:szCs w:val="22"/>
      <w:lang w:val="en-US" w:eastAsia="en-US" w:bidi="en-US"/>
    </w:rPr>
  </w:style>
  <w:style w:type="character" w:customStyle="1" w:styleId="211">
    <w:name w:val="批注文字 字符"/>
    <w:link w:val="15"/>
    <w:qFormat/>
    <w:uiPriority w:val="99"/>
    <w:rPr>
      <w:rFonts w:eastAsia="宋体"/>
      <w:sz w:val="21"/>
      <w:szCs w:val="21"/>
    </w:rPr>
  </w:style>
  <w:style w:type="character" w:customStyle="1" w:styleId="212">
    <w:name w:val="纯文本 字符"/>
    <w:link w:val="20"/>
    <w:qFormat/>
    <w:uiPriority w:val="99"/>
    <w:rPr>
      <w:rFonts w:ascii="宋体" w:hAnsi="Courier New" w:eastAsia="宋体" w:cs="宋体"/>
      <w:lang w:val="zh-CN"/>
    </w:rPr>
  </w:style>
  <w:style w:type="character" w:customStyle="1" w:styleId="213">
    <w:name w:val="正文文本缩进 2 字符"/>
    <w:link w:val="22"/>
    <w:qFormat/>
    <w:uiPriority w:val="99"/>
    <w:rPr>
      <w:sz w:val="24"/>
      <w:szCs w:val="24"/>
      <w:lang w:val="zh-CN"/>
    </w:rPr>
  </w:style>
  <w:style w:type="character" w:customStyle="1" w:styleId="214">
    <w:name w:val="批注框文本 字符"/>
    <w:link w:val="24"/>
    <w:semiHidden/>
    <w:qFormat/>
    <w:uiPriority w:val="99"/>
    <w:rPr>
      <w:rFonts w:ascii="Times New Roman" w:hAnsi="Times New Roman" w:eastAsia="宋体" w:cs="Times New Roman"/>
      <w:sz w:val="18"/>
      <w:szCs w:val="18"/>
    </w:rPr>
  </w:style>
  <w:style w:type="character" w:customStyle="1" w:styleId="215">
    <w:name w:val="页脚 字符"/>
    <w:link w:val="25"/>
    <w:qFormat/>
    <w:uiPriority w:val="99"/>
    <w:rPr>
      <w:sz w:val="18"/>
      <w:szCs w:val="18"/>
    </w:rPr>
  </w:style>
  <w:style w:type="character" w:customStyle="1" w:styleId="216">
    <w:name w:val="页眉 字符"/>
    <w:link w:val="26"/>
    <w:qFormat/>
    <w:uiPriority w:val="99"/>
    <w:rPr>
      <w:sz w:val="18"/>
      <w:szCs w:val="18"/>
    </w:rPr>
  </w:style>
  <w:style w:type="character" w:customStyle="1" w:styleId="217">
    <w:name w:val="正文文本缩进 3 字符"/>
    <w:link w:val="32"/>
    <w:qFormat/>
    <w:uiPriority w:val="99"/>
    <w:rPr>
      <w:rFonts w:ascii="仿宋_GB2312" w:hAnsi="Times New Roman" w:eastAsia="仿宋_GB2312" w:cs="仿宋_GB2312"/>
      <w:sz w:val="20"/>
      <w:szCs w:val="20"/>
    </w:rPr>
  </w:style>
  <w:style w:type="character" w:customStyle="1" w:styleId="218">
    <w:name w:val="HTML 预设格式 字符"/>
    <w:link w:val="36"/>
    <w:qFormat/>
    <w:uiPriority w:val="99"/>
    <w:rPr>
      <w:rFonts w:ascii="宋体" w:hAnsi="宋体" w:eastAsia="宋体" w:cs="宋体"/>
      <w:sz w:val="24"/>
      <w:szCs w:val="24"/>
    </w:rPr>
  </w:style>
  <w:style w:type="character" w:customStyle="1" w:styleId="219">
    <w:name w:val="批注主题 字符"/>
    <w:link w:val="39"/>
    <w:semiHidden/>
    <w:qFormat/>
    <w:uiPriority w:val="99"/>
    <w:rPr>
      <w:rFonts w:eastAsia="宋体"/>
      <w:b/>
      <w:bCs/>
      <w:sz w:val="21"/>
      <w:szCs w:val="21"/>
    </w:rPr>
  </w:style>
  <w:style w:type="character" w:customStyle="1" w:styleId="220">
    <w:name w:val="纯文本 Char1"/>
    <w:semiHidden/>
    <w:qFormat/>
    <w:uiPriority w:val="99"/>
    <w:rPr>
      <w:rFonts w:ascii="宋体" w:hAnsi="Courier New" w:eastAsia="宋体" w:cs="宋体"/>
      <w:sz w:val="21"/>
      <w:szCs w:val="21"/>
    </w:rPr>
  </w:style>
  <w:style w:type="character" w:customStyle="1" w:styleId="221">
    <w:name w:val="批注文字 Char1"/>
    <w:semiHidden/>
    <w:qFormat/>
    <w:uiPriority w:val="99"/>
    <w:rPr>
      <w:rFonts w:ascii="Times New Roman" w:hAnsi="Times New Roman" w:eastAsia="宋体" w:cs="Times New Roman"/>
      <w:sz w:val="21"/>
      <w:szCs w:val="21"/>
    </w:rPr>
  </w:style>
  <w:style w:type="character" w:customStyle="1" w:styleId="222">
    <w:name w:val="正文文本缩进 2 Char1"/>
    <w:semiHidden/>
    <w:qFormat/>
    <w:uiPriority w:val="99"/>
    <w:rPr>
      <w:rFonts w:ascii="Times New Roman" w:hAnsi="Times New Roman" w:eastAsia="宋体" w:cs="Times New Roman"/>
      <w:sz w:val="21"/>
      <w:szCs w:val="21"/>
    </w:rPr>
  </w:style>
  <w:style w:type="character" w:customStyle="1" w:styleId="223">
    <w:name w:val="正文文本 (2)_"/>
    <w:link w:val="224"/>
    <w:qFormat/>
    <w:uiPriority w:val="99"/>
    <w:rPr>
      <w:rFonts w:ascii="MingLiU" w:hAnsi="MingLiU" w:eastAsia="MingLiU" w:cs="MingLiU"/>
      <w:spacing w:val="10"/>
      <w:sz w:val="22"/>
      <w:szCs w:val="22"/>
      <w:shd w:val="clear" w:color="FFFFFF" w:fill="FFFFFF"/>
    </w:rPr>
  </w:style>
  <w:style w:type="paragraph" w:customStyle="1" w:styleId="224">
    <w:name w:val="正文文本 (2)"/>
    <w:basedOn w:val="1"/>
    <w:link w:val="223"/>
    <w:qFormat/>
    <w:uiPriority w:val="99"/>
    <w:pPr>
      <w:spacing w:before="360" w:after="780" w:line="240" w:lineRule="atLeast"/>
      <w:jc w:val="left"/>
    </w:pPr>
    <w:rPr>
      <w:rFonts w:ascii="MingLiU" w:hAnsi="MingLiU" w:eastAsia="MingLiU" w:cs="MingLiU"/>
      <w:spacing w:val="10"/>
      <w:sz w:val="22"/>
      <w:szCs w:val="22"/>
      <w:shd w:val="clear" w:color="FFFFFF" w:fill="FFFFFF"/>
    </w:rPr>
  </w:style>
  <w:style w:type="paragraph" w:customStyle="1" w:styleId="225">
    <w:name w:val="列出段落1"/>
    <w:basedOn w:val="1"/>
    <w:qFormat/>
    <w:uiPriority w:val="34"/>
    <w:pPr>
      <w:ind w:firstLine="420"/>
    </w:pPr>
  </w:style>
  <w:style w:type="paragraph" w:customStyle="1" w:styleId="226">
    <w:name w:val="WPSOffice手动目录 1"/>
    <w:qFormat/>
    <w:uiPriority w:val="99"/>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等线" w:hAnsi="等线" w:eastAsia="宋体" w:cs="等线"/>
      <w:szCs w:val="22"/>
      <w:lang w:val="en-US" w:eastAsia="zh-CN" w:bidi="ar-SA"/>
    </w:rPr>
  </w:style>
  <w:style w:type="paragraph" w:customStyle="1" w:styleId="227">
    <w:name w:val="列出段落11"/>
    <w:basedOn w:val="1"/>
    <w:qFormat/>
    <w:uiPriority w:val="99"/>
    <w:pPr>
      <w:ind w:firstLine="420"/>
    </w:pPr>
  </w:style>
  <w:style w:type="paragraph" w:customStyle="1" w:styleId="228">
    <w:name w:val="TOC 标题11"/>
    <w:basedOn w:val="3"/>
    <w:next w:val="1"/>
    <w:unhideWhenUsed/>
    <w:qFormat/>
    <w:uiPriority w:val="39"/>
    <w:pPr>
      <w:widowControl/>
      <w:spacing w:before="240" w:after="0" w:line="259" w:lineRule="auto"/>
      <w:jc w:val="left"/>
      <w:outlineLvl w:val="9"/>
    </w:pPr>
    <w:rPr>
      <w:rFonts w:ascii="Cambria" w:hAnsi="Cambria"/>
      <w:b w:val="0"/>
      <w:bCs w:val="0"/>
      <w:color w:val="366091"/>
      <w:sz w:val="32"/>
      <w:szCs w:val="32"/>
    </w:rPr>
  </w:style>
  <w:style w:type="paragraph" w:customStyle="1" w:styleId="229">
    <w:name w:val="修订1"/>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Times New Roman" w:hAnsi="Times New Roman" w:eastAsia="宋体" w:cs="Times New Roman"/>
      <w:sz w:val="21"/>
      <w:szCs w:val="21"/>
      <w:lang w:val="en-US" w:eastAsia="zh-CN" w:bidi="ar-SA"/>
    </w:rPr>
  </w:style>
  <w:style w:type="paragraph" w:styleId="230">
    <w:name w:val="List Paragraph"/>
    <w:basedOn w:val="1"/>
    <w:link w:val="231"/>
    <w:qFormat/>
    <w:uiPriority w:val="34"/>
    <w:pPr>
      <w:ind w:firstLine="420"/>
    </w:pPr>
    <w:rPr>
      <w:szCs w:val="24"/>
    </w:rPr>
  </w:style>
  <w:style w:type="character" w:customStyle="1" w:styleId="231">
    <w:name w:val="列出段落 字符"/>
    <w:link w:val="230"/>
    <w:qFormat/>
    <w:uiPriority w:val="34"/>
    <w:rPr>
      <w:rFonts w:ascii="Times New Roman" w:hAnsi="Times New Roman" w:eastAsia="宋体"/>
      <w:sz w:val="21"/>
      <w:szCs w:val="24"/>
    </w:rPr>
  </w:style>
  <w:style w:type="character" w:customStyle="1" w:styleId="232">
    <w:name w:val="批注文字 字符1"/>
    <w:qFormat/>
    <w:uiPriority w:val="99"/>
    <w:rPr>
      <w:rFonts w:ascii="Times New Roman" w:hAnsi="Times New Roman" w:eastAsia="宋体" w:cs="Times New Roman"/>
      <w:szCs w:val="24"/>
      <w:lang w:val="zh-CN" w:eastAsia="zh-CN"/>
    </w:rPr>
  </w:style>
  <w:style w:type="table" w:customStyle="1" w:styleId="233">
    <w:name w:val="网格型浅色1"/>
    <w:basedOn w:val="4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234">
    <w:name w:val="Heading 21"/>
    <w:basedOn w:val="1"/>
    <w:next w:val="1"/>
    <w:qFormat/>
    <w:uiPriority w:val="9"/>
    <w:pPr>
      <w:spacing w:line="360" w:lineRule="auto"/>
      <w:jc w:val="center"/>
      <w:outlineLvl w:val="1"/>
    </w:pPr>
    <w:rPr>
      <w:rFonts w:ascii="宋体" w:hAnsi="宋体" w:cs="宋体"/>
      <w:b/>
      <w:sz w:val="28"/>
      <w:szCs w:val="28"/>
    </w:rPr>
  </w:style>
  <w:style w:type="paragraph" w:customStyle="1" w:styleId="235">
    <w:name w:val="修订2"/>
    <w:hidden/>
    <w:semiHidden/>
    <w:qFormat/>
    <w:uiPriority w:val="99"/>
    <w:pPr>
      <w:pBdr>
        <w:top w:val="none" w:color="000000" w:sz="0" w:space="0"/>
        <w:left w:val="none" w:color="000000" w:sz="0" w:space="0"/>
        <w:bottom w:val="none" w:color="000000" w:sz="0" w:space="0"/>
        <w:right w:val="none" w:color="000000" w:sz="0" w:space="0"/>
        <w:between w:val="none" w:color="000000" w:sz="0" w:space="0"/>
      </w:pBdr>
      <w:shd w:val="clear" w:color="FFFFFF" w:fill="FFFFFF"/>
    </w:pPr>
    <w:rPr>
      <w:rFonts w:ascii="Times New Roman" w:hAnsi="Times New Roman" w:eastAsia="宋体" w:cs="Times New Roman"/>
      <w:sz w:val="21"/>
      <w:szCs w:val="21"/>
      <w:lang w:val="en-US" w:eastAsia="zh-CN" w:bidi="ar-SA"/>
    </w:rPr>
  </w:style>
  <w:style w:type="character" w:customStyle="1" w:styleId="236">
    <w:name w:val="正文缩进 字符"/>
    <w:link w:val="13"/>
    <w:qFormat/>
    <w:uiPriority w:val="99"/>
    <w:rPr>
      <w:rFonts w:ascii="宋体" w:hAnsi="宋体"/>
      <w:sz w:val="21"/>
      <w:szCs w:val="24"/>
    </w:rPr>
  </w:style>
  <w:style w:type="character" w:customStyle="1" w:styleId="237">
    <w:name w:val="font01"/>
    <w:basedOn w:val="42"/>
    <w:qFormat/>
    <w:uiPriority w:val="0"/>
    <w:rPr>
      <w:rFonts w:hint="eastAsia" w:ascii="宋体" w:hAnsi="宋体" w:eastAsia="宋体" w:cs="宋体"/>
      <w:color w:val="000000"/>
      <w:sz w:val="21"/>
      <w:szCs w:val="21"/>
      <w:u w:val="none"/>
    </w:rPr>
  </w:style>
  <w:style w:type="character" w:customStyle="1" w:styleId="238">
    <w:name w:val="font31"/>
    <w:basedOn w:val="4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47</Pages>
  <Words>5047</Words>
  <Characters>28769</Characters>
  <Lines>239</Lines>
  <Paragraphs>67</Paragraphs>
  <TotalTime>7</TotalTime>
  <ScaleCrop>false</ScaleCrop>
  <LinksUpToDate>false</LinksUpToDate>
  <CharactersWithSpaces>33749</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2024-08-03T07:32:00Z</dcterms:created>
  <dc:creator>周昊</dc:creator>
  <cp:lastModifiedBy>sunnenghao@uos</cp:lastModifiedBy>
  <dcterms:modified xsi:type="dcterms:W3CDTF">2025-04-11T09:21:54Z</dcterms:modified>
  <dc:title>云南红塔银行股份有限公司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3902EF3F2D8846D3ACBF298D5E31D016</vt:lpwstr>
  </property>
</Properties>
</file>