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6048778" w14:textId="14E5B097" w:rsidR="009C2B7D" w:rsidRDefault="009C2B7D">
      <w:pPr>
        <w:rPr>
          <w:rFonts w:ascii="仿宋" w:eastAsia="仿宋" w:hAnsi="仿宋"/>
          <w:color w:val="000000"/>
          <w:sz w:val="28"/>
          <w:szCs w:val="28"/>
        </w:rPr>
      </w:pPr>
    </w:p>
    <w:p w14:paraId="4AB4502B" w14:textId="77777777" w:rsidR="00414E4B" w:rsidRDefault="00414E4B">
      <w:pPr>
        <w:rPr>
          <w:rFonts w:ascii="仿宋" w:eastAsia="仿宋" w:hAnsi="仿宋"/>
          <w:color w:val="000000"/>
          <w:sz w:val="28"/>
          <w:szCs w:val="28"/>
        </w:rPr>
      </w:pPr>
    </w:p>
    <w:p w14:paraId="615908D1" w14:textId="269FE9D8" w:rsidR="009C2B7D" w:rsidRDefault="007561E0" w:rsidP="00D25E38">
      <w:pPr>
        <w:spacing w:line="520" w:lineRule="exact"/>
        <w:jc w:val="center"/>
        <w:rPr>
          <w:rFonts w:ascii="仿宋" w:eastAsia="仿宋" w:hAnsi="仿宋"/>
          <w:color w:val="000000"/>
          <w:sz w:val="28"/>
          <w:szCs w:val="28"/>
        </w:rPr>
      </w:pPr>
      <w:r>
        <w:rPr>
          <w:rFonts w:ascii="黑体" w:eastAsia="黑体" w:hAnsi="黑体" w:cs="宋体" w:hint="eastAsia"/>
          <w:sz w:val="24"/>
          <w:szCs w:val="24"/>
        </w:rPr>
        <w:t xml:space="preserve">                                 </w:t>
      </w:r>
    </w:p>
    <w:p w14:paraId="2FB41EA1" w14:textId="77777777" w:rsidR="009C2B7D" w:rsidRDefault="009C2B7D">
      <w:pPr>
        <w:rPr>
          <w:rFonts w:ascii="仿宋" w:eastAsia="仿宋" w:hAnsi="仿宋"/>
          <w:color w:val="000000"/>
          <w:sz w:val="28"/>
          <w:szCs w:val="28"/>
        </w:rPr>
      </w:pPr>
    </w:p>
    <w:p w14:paraId="2C07E520" w14:textId="77777777" w:rsidR="009C2B7D" w:rsidRDefault="009C2B7D">
      <w:pPr>
        <w:rPr>
          <w:rFonts w:ascii="仿宋" w:eastAsia="仿宋" w:hAnsi="仿宋"/>
          <w:color w:val="000000"/>
          <w:sz w:val="28"/>
          <w:szCs w:val="28"/>
        </w:rPr>
      </w:pPr>
    </w:p>
    <w:p w14:paraId="45EDBFE9" w14:textId="77777777" w:rsidR="009C2B7D" w:rsidRDefault="009C2B7D">
      <w:pPr>
        <w:rPr>
          <w:rFonts w:ascii="仿宋" w:eastAsia="仿宋" w:hAnsi="仿宋"/>
          <w:color w:val="000000"/>
          <w:sz w:val="28"/>
          <w:szCs w:val="28"/>
        </w:rPr>
      </w:pPr>
    </w:p>
    <w:p w14:paraId="4CE82BD4" w14:textId="77777777" w:rsidR="009C2B7D" w:rsidRDefault="009C2B7D">
      <w:pPr>
        <w:rPr>
          <w:rFonts w:ascii="仿宋" w:eastAsia="仿宋" w:hAnsi="仿宋"/>
          <w:color w:val="000000"/>
          <w:sz w:val="28"/>
          <w:szCs w:val="28"/>
        </w:rPr>
      </w:pPr>
    </w:p>
    <w:p w14:paraId="01E64A39" w14:textId="77777777" w:rsidR="009C2B7D" w:rsidRDefault="009C2B7D">
      <w:pPr>
        <w:rPr>
          <w:rFonts w:ascii="仿宋" w:eastAsia="仿宋" w:hAnsi="仿宋"/>
          <w:color w:val="000000"/>
          <w:sz w:val="28"/>
          <w:szCs w:val="28"/>
        </w:rPr>
      </w:pPr>
    </w:p>
    <w:p w14:paraId="7ABA16E3" w14:textId="77777777" w:rsidR="009C2B7D" w:rsidRDefault="009C2B7D">
      <w:pPr>
        <w:rPr>
          <w:rFonts w:ascii="仿宋" w:eastAsia="仿宋" w:hAnsi="仿宋"/>
          <w:color w:val="000000"/>
          <w:sz w:val="28"/>
          <w:szCs w:val="28"/>
        </w:rPr>
      </w:pPr>
    </w:p>
    <w:p w14:paraId="500D0CC9" w14:textId="77777777" w:rsidR="009C2B7D" w:rsidRDefault="009C2B7D">
      <w:pPr>
        <w:rPr>
          <w:rFonts w:ascii="仿宋" w:eastAsia="仿宋" w:hAnsi="仿宋"/>
          <w:color w:val="000000"/>
          <w:sz w:val="28"/>
          <w:szCs w:val="28"/>
        </w:rPr>
      </w:pPr>
    </w:p>
    <w:p w14:paraId="1FB0516A" w14:textId="4DE912A0" w:rsidR="009C2B7D" w:rsidRDefault="007619C1">
      <w:pPr>
        <w:jc w:val="center"/>
        <w:rPr>
          <w:b/>
          <w:color w:val="000000"/>
          <w:sz w:val="36"/>
          <w:szCs w:val="36"/>
        </w:rPr>
      </w:pPr>
      <w:bookmarkStart w:id="0" w:name="_Toc139991725"/>
      <w:bookmarkStart w:id="1" w:name="_Toc123112223"/>
      <w:bookmarkStart w:id="2" w:name="_Toc123701382"/>
      <w:bookmarkStart w:id="3" w:name="_Toc139992300"/>
      <w:bookmarkStart w:id="4" w:name="_Toc123112262"/>
      <w:r w:rsidRPr="007619C1">
        <w:rPr>
          <w:rFonts w:hint="eastAsia"/>
          <w:b/>
          <w:color w:val="000000"/>
          <w:sz w:val="36"/>
          <w:szCs w:val="36"/>
        </w:rPr>
        <w:t>华夏安裕中短债债券型证券投资基金</w:t>
      </w:r>
    </w:p>
    <w:bookmarkEnd w:id="0"/>
    <w:bookmarkEnd w:id="1"/>
    <w:bookmarkEnd w:id="2"/>
    <w:bookmarkEnd w:id="3"/>
    <w:bookmarkEnd w:id="4"/>
    <w:p w14:paraId="4A30138B" w14:textId="79F085AB" w:rsidR="009C2B7D" w:rsidRDefault="007561E0">
      <w:pPr>
        <w:jc w:val="center"/>
        <w:rPr>
          <w:b/>
          <w:color w:val="000000"/>
          <w:sz w:val="36"/>
          <w:szCs w:val="36"/>
        </w:rPr>
      </w:pPr>
      <w:r>
        <w:rPr>
          <w:rFonts w:hint="eastAsia"/>
          <w:b/>
          <w:color w:val="000000"/>
          <w:sz w:val="36"/>
          <w:szCs w:val="36"/>
        </w:rPr>
        <w:t>托管协议</w:t>
      </w:r>
    </w:p>
    <w:p w14:paraId="316A92A4" w14:textId="77777777" w:rsidR="009C2B7D" w:rsidRDefault="009C2B7D">
      <w:pPr>
        <w:pStyle w:val="21"/>
        <w:rPr>
          <w:rFonts w:ascii="仿宋" w:eastAsia="仿宋" w:hAnsi="仿宋"/>
          <w:color w:val="000000"/>
          <w:sz w:val="44"/>
          <w:szCs w:val="44"/>
        </w:rPr>
      </w:pPr>
    </w:p>
    <w:p w14:paraId="60885A91" w14:textId="77777777" w:rsidR="009C2B7D" w:rsidRDefault="009C2B7D">
      <w:pPr>
        <w:pStyle w:val="21"/>
        <w:rPr>
          <w:rFonts w:ascii="仿宋" w:eastAsia="仿宋" w:hAnsi="仿宋"/>
          <w:color w:val="000000"/>
          <w:sz w:val="28"/>
          <w:szCs w:val="28"/>
        </w:rPr>
      </w:pPr>
    </w:p>
    <w:p w14:paraId="6A076755" w14:textId="77777777" w:rsidR="009C2B7D" w:rsidRDefault="009C2B7D">
      <w:pPr>
        <w:pStyle w:val="21"/>
        <w:rPr>
          <w:rFonts w:ascii="仿宋" w:eastAsia="仿宋" w:hAnsi="仿宋"/>
          <w:color w:val="000000"/>
          <w:sz w:val="28"/>
          <w:szCs w:val="28"/>
        </w:rPr>
      </w:pPr>
    </w:p>
    <w:p w14:paraId="39140EFB" w14:textId="77777777" w:rsidR="009C2B7D" w:rsidRDefault="009C2B7D">
      <w:pPr>
        <w:pStyle w:val="21"/>
        <w:rPr>
          <w:rFonts w:ascii="仿宋" w:eastAsia="仿宋" w:hAnsi="仿宋"/>
          <w:color w:val="000000"/>
          <w:sz w:val="28"/>
          <w:szCs w:val="28"/>
        </w:rPr>
      </w:pPr>
    </w:p>
    <w:p w14:paraId="518F8AA0" w14:textId="77777777" w:rsidR="009C2B7D" w:rsidRDefault="009C2B7D">
      <w:pPr>
        <w:pStyle w:val="21"/>
        <w:rPr>
          <w:rFonts w:ascii="仿宋" w:eastAsia="仿宋" w:hAnsi="仿宋"/>
          <w:color w:val="000000"/>
          <w:sz w:val="28"/>
          <w:szCs w:val="28"/>
        </w:rPr>
      </w:pPr>
    </w:p>
    <w:p w14:paraId="0AC5F4FE" w14:textId="77777777" w:rsidR="009C2B7D" w:rsidRDefault="009C2B7D">
      <w:pPr>
        <w:rPr>
          <w:rFonts w:ascii="仿宋" w:eastAsia="仿宋" w:hAnsi="仿宋"/>
          <w:b/>
          <w:color w:val="000000"/>
          <w:sz w:val="44"/>
          <w:szCs w:val="44"/>
        </w:rPr>
      </w:pPr>
    </w:p>
    <w:p w14:paraId="67547815" w14:textId="77777777" w:rsidR="009C2B7D" w:rsidRDefault="009C2B7D">
      <w:pPr>
        <w:rPr>
          <w:rFonts w:ascii="仿宋" w:eastAsia="仿宋" w:hAnsi="仿宋"/>
          <w:b/>
          <w:color w:val="000000"/>
          <w:szCs w:val="28"/>
        </w:rPr>
      </w:pPr>
    </w:p>
    <w:p w14:paraId="2E8FA63B" w14:textId="77777777" w:rsidR="009C2B7D" w:rsidRDefault="009C2B7D">
      <w:pPr>
        <w:rPr>
          <w:rFonts w:ascii="仿宋" w:eastAsia="仿宋" w:hAnsi="仿宋"/>
          <w:b/>
          <w:bCs/>
          <w:color w:val="000000"/>
          <w:sz w:val="28"/>
          <w:szCs w:val="28"/>
        </w:rPr>
      </w:pPr>
    </w:p>
    <w:p w14:paraId="57E8EECA" w14:textId="77777777" w:rsidR="009C2B7D" w:rsidRDefault="009C2B7D">
      <w:pPr>
        <w:rPr>
          <w:rFonts w:ascii="仿宋" w:eastAsia="仿宋" w:hAnsi="仿宋"/>
          <w:b/>
          <w:bCs/>
          <w:color w:val="000000"/>
          <w:sz w:val="28"/>
          <w:szCs w:val="28"/>
        </w:rPr>
      </w:pPr>
    </w:p>
    <w:p w14:paraId="1E1D8E8E" w14:textId="77777777" w:rsidR="009C2B7D" w:rsidRDefault="009C2B7D">
      <w:pPr>
        <w:rPr>
          <w:rFonts w:ascii="仿宋" w:eastAsia="仿宋" w:hAnsi="仿宋"/>
          <w:b/>
          <w:bCs/>
          <w:color w:val="000000"/>
          <w:sz w:val="28"/>
          <w:szCs w:val="28"/>
        </w:rPr>
      </w:pPr>
    </w:p>
    <w:p w14:paraId="6EF2A8E3" w14:textId="77777777" w:rsidR="009C2B7D" w:rsidRDefault="009C2B7D">
      <w:pPr>
        <w:rPr>
          <w:b/>
          <w:color w:val="000000"/>
          <w:sz w:val="32"/>
          <w:szCs w:val="32"/>
        </w:rPr>
      </w:pPr>
    </w:p>
    <w:p w14:paraId="6E45FB5B" w14:textId="7E6B283C" w:rsidR="009C2B7D" w:rsidRDefault="007619C1">
      <w:pPr>
        <w:ind w:firstLineChars="450" w:firstLine="1446"/>
        <w:rPr>
          <w:b/>
          <w:color w:val="000000"/>
          <w:sz w:val="32"/>
          <w:szCs w:val="32"/>
        </w:rPr>
      </w:pPr>
      <w:bookmarkStart w:id="5" w:name="_Toc123701383"/>
      <w:bookmarkStart w:id="6" w:name="_Toc123112263"/>
      <w:bookmarkStart w:id="7" w:name="_Toc139992301"/>
      <w:bookmarkStart w:id="8" w:name="_Toc139991726"/>
      <w:bookmarkStart w:id="9" w:name="_Toc123112224"/>
      <w:r>
        <w:rPr>
          <w:rFonts w:hint="eastAsia"/>
          <w:b/>
          <w:color w:val="000000"/>
          <w:sz w:val="32"/>
          <w:szCs w:val="32"/>
        </w:rPr>
        <w:t>基金</w:t>
      </w:r>
      <w:r w:rsidR="007561E0">
        <w:rPr>
          <w:b/>
          <w:color w:val="000000"/>
          <w:sz w:val="32"/>
          <w:szCs w:val="32"/>
        </w:rPr>
        <w:t>管理人：</w:t>
      </w:r>
      <w:bookmarkEnd w:id="5"/>
      <w:bookmarkEnd w:id="6"/>
      <w:bookmarkEnd w:id="7"/>
      <w:bookmarkEnd w:id="8"/>
      <w:bookmarkEnd w:id="9"/>
      <w:r>
        <w:rPr>
          <w:rFonts w:hint="eastAsia"/>
          <w:b/>
          <w:color w:val="000000"/>
          <w:sz w:val="32"/>
          <w:szCs w:val="32"/>
        </w:rPr>
        <w:t>华夏基金管理</w:t>
      </w:r>
      <w:r w:rsidR="007561E0">
        <w:rPr>
          <w:rFonts w:hint="eastAsia"/>
          <w:b/>
          <w:color w:val="000000"/>
          <w:sz w:val="32"/>
          <w:szCs w:val="32"/>
        </w:rPr>
        <w:t>有限公司</w:t>
      </w:r>
    </w:p>
    <w:p w14:paraId="0DC8CBAC" w14:textId="6FF38326" w:rsidR="009C2B7D" w:rsidRDefault="007619C1">
      <w:pPr>
        <w:ind w:firstLineChars="450" w:firstLine="1446"/>
        <w:rPr>
          <w:b/>
          <w:color w:val="000000"/>
          <w:sz w:val="32"/>
          <w:szCs w:val="32"/>
        </w:rPr>
      </w:pPr>
      <w:bookmarkStart w:id="10" w:name="_Toc123112264"/>
      <w:bookmarkStart w:id="11" w:name="_Toc123701384"/>
      <w:bookmarkStart w:id="12" w:name="_Toc139991727"/>
      <w:bookmarkStart w:id="13" w:name="_Toc139992302"/>
      <w:bookmarkStart w:id="14" w:name="_Toc123112225"/>
      <w:r>
        <w:rPr>
          <w:rFonts w:hint="eastAsia"/>
          <w:b/>
          <w:color w:val="000000"/>
          <w:sz w:val="32"/>
          <w:szCs w:val="32"/>
        </w:rPr>
        <w:t>基金</w:t>
      </w:r>
      <w:r w:rsidR="007561E0">
        <w:rPr>
          <w:b/>
          <w:color w:val="000000"/>
          <w:sz w:val="32"/>
          <w:szCs w:val="32"/>
        </w:rPr>
        <w:t>托管人：</w:t>
      </w:r>
      <w:bookmarkEnd w:id="10"/>
      <w:bookmarkEnd w:id="11"/>
      <w:bookmarkEnd w:id="12"/>
      <w:bookmarkEnd w:id="13"/>
      <w:bookmarkEnd w:id="14"/>
      <w:r w:rsidR="007561E0">
        <w:rPr>
          <w:rFonts w:hint="eastAsia"/>
          <w:b/>
          <w:color w:val="000000"/>
          <w:sz w:val="32"/>
          <w:szCs w:val="32"/>
        </w:rPr>
        <w:t>中信银行股份有限公司</w:t>
      </w:r>
      <w:r w:rsidR="007561E0">
        <w:rPr>
          <w:b/>
          <w:color w:val="000000"/>
          <w:sz w:val="32"/>
          <w:szCs w:val="32"/>
        </w:rPr>
        <w:t xml:space="preserve">           </w:t>
      </w:r>
    </w:p>
    <w:p w14:paraId="6B3A3177" w14:textId="77777777" w:rsidR="009C2B7D" w:rsidRDefault="009C2B7D">
      <w:pPr>
        <w:jc w:val="center"/>
        <w:rPr>
          <w:bCs/>
          <w:color w:val="000000"/>
          <w:sz w:val="32"/>
        </w:rPr>
      </w:pPr>
    </w:p>
    <w:p w14:paraId="328893F9" w14:textId="77777777" w:rsidR="009C2B7D" w:rsidRDefault="009C2B7D">
      <w:pPr>
        <w:jc w:val="center"/>
        <w:rPr>
          <w:bCs/>
          <w:color w:val="000000"/>
          <w:sz w:val="28"/>
        </w:rPr>
      </w:pPr>
    </w:p>
    <w:p w14:paraId="3CA1871B" w14:textId="77777777" w:rsidR="009C2B7D" w:rsidRDefault="009C2B7D">
      <w:pPr>
        <w:rPr>
          <w:rFonts w:ascii="仿宋" w:eastAsia="仿宋" w:hAnsi="仿宋"/>
          <w:b/>
          <w:bCs/>
          <w:color w:val="000000"/>
          <w:sz w:val="28"/>
          <w:szCs w:val="28"/>
        </w:rPr>
      </w:pPr>
    </w:p>
    <w:p w14:paraId="1BC8F3DF" w14:textId="5FDAD01E" w:rsidR="009C2B7D" w:rsidRDefault="009C2B7D">
      <w:pPr>
        <w:rPr>
          <w:rFonts w:ascii="仿宋" w:eastAsia="仿宋" w:hAnsi="仿宋"/>
          <w:b/>
          <w:bCs/>
          <w:color w:val="000000"/>
          <w:sz w:val="28"/>
          <w:szCs w:val="28"/>
        </w:rPr>
      </w:pPr>
    </w:p>
    <w:p w14:paraId="07407C6B" w14:textId="77777777" w:rsidR="009C2B7D" w:rsidRDefault="007561E0" w:rsidP="00D25E38">
      <w:pPr>
        <w:jc w:val="center"/>
        <w:rPr>
          <w:rFonts w:ascii="仿宋" w:eastAsia="仿宋" w:hAnsi="仿宋"/>
          <w:color w:val="000000"/>
          <w:sz w:val="28"/>
          <w:szCs w:val="28"/>
        </w:rPr>
      </w:pPr>
      <w:r>
        <w:rPr>
          <w:rFonts w:ascii="仿宋" w:eastAsia="仿宋" w:hAnsi="仿宋"/>
          <w:color w:val="000000"/>
          <w:sz w:val="28"/>
          <w:szCs w:val="28"/>
        </w:rPr>
        <w:br w:type="page"/>
      </w:r>
      <w:r>
        <w:rPr>
          <w:rFonts w:ascii="仿宋" w:eastAsia="仿宋" w:hAnsi="仿宋" w:hint="eastAsia"/>
          <w:color w:val="000000"/>
          <w:sz w:val="28"/>
          <w:szCs w:val="28"/>
        </w:rPr>
        <w:lastRenderedPageBreak/>
        <w:t>目录</w:t>
      </w:r>
    </w:p>
    <w:p w14:paraId="4FF1D682" w14:textId="77777777" w:rsidR="009C2B7D" w:rsidRDefault="009C2B7D">
      <w:pPr>
        <w:rPr>
          <w:rFonts w:ascii="仿宋" w:eastAsia="仿宋" w:hAnsi="仿宋"/>
          <w:color w:val="000000"/>
          <w:sz w:val="28"/>
          <w:szCs w:val="28"/>
        </w:rPr>
      </w:pPr>
    </w:p>
    <w:p w14:paraId="0BBF1791" w14:textId="664B1971" w:rsidR="009C2B7D" w:rsidRDefault="007561E0">
      <w:pPr>
        <w:pStyle w:val="11"/>
        <w:tabs>
          <w:tab w:val="clear" w:pos="8296"/>
          <w:tab w:val="right" w:leader="dot" w:pos="9003"/>
        </w:tabs>
        <w:rPr>
          <w:noProof/>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17678" w:history="1">
        <w:r>
          <w:rPr>
            <w:rFonts w:ascii="仿宋" w:eastAsia="仿宋" w:hAnsi="仿宋" w:hint="eastAsia"/>
            <w:bCs/>
            <w:noProof/>
            <w:szCs w:val="28"/>
          </w:rPr>
          <w:t xml:space="preserve">第一条 </w:t>
        </w:r>
        <w:r w:rsidR="007619C1">
          <w:rPr>
            <w:rFonts w:ascii="仿宋" w:eastAsia="仿宋" w:hAnsi="仿宋" w:hint="eastAsia"/>
            <w:bCs/>
            <w:noProof/>
            <w:szCs w:val="28"/>
          </w:rPr>
          <w:t>基金</w:t>
        </w:r>
        <w:r>
          <w:rPr>
            <w:rFonts w:ascii="仿宋" w:eastAsia="仿宋" w:hAnsi="仿宋" w:hint="eastAsia"/>
            <w:bCs/>
            <w:noProof/>
            <w:szCs w:val="28"/>
          </w:rPr>
          <w:t>托管协议当事人</w:t>
        </w:r>
        <w:r>
          <w:rPr>
            <w:noProof/>
          </w:rPr>
          <w:tab/>
        </w:r>
        <w:r>
          <w:rPr>
            <w:noProof/>
          </w:rPr>
          <w:fldChar w:fldCharType="begin"/>
        </w:r>
        <w:r>
          <w:rPr>
            <w:noProof/>
          </w:rPr>
          <w:instrText xml:space="preserve"> PAGEREF _Toc17678 \h </w:instrText>
        </w:r>
        <w:r>
          <w:rPr>
            <w:noProof/>
          </w:rPr>
        </w:r>
        <w:r>
          <w:rPr>
            <w:noProof/>
          </w:rPr>
          <w:fldChar w:fldCharType="separate"/>
        </w:r>
        <w:r w:rsidR="00830635">
          <w:rPr>
            <w:noProof/>
          </w:rPr>
          <w:t>3</w:t>
        </w:r>
        <w:r>
          <w:rPr>
            <w:noProof/>
          </w:rPr>
          <w:fldChar w:fldCharType="end"/>
        </w:r>
      </w:hyperlink>
    </w:p>
    <w:p w14:paraId="3CF7BD17" w14:textId="17B8ED3C" w:rsidR="009C2B7D" w:rsidRDefault="00830635">
      <w:pPr>
        <w:pStyle w:val="11"/>
        <w:tabs>
          <w:tab w:val="clear" w:pos="8296"/>
          <w:tab w:val="right" w:leader="dot" w:pos="9003"/>
        </w:tabs>
        <w:rPr>
          <w:noProof/>
        </w:rPr>
      </w:pPr>
      <w:hyperlink w:anchor="_Toc1252" w:history="1">
        <w:r w:rsidR="007561E0">
          <w:rPr>
            <w:rFonts w:ascii="仿宋" w:eastAsia="仿宋" w:hAnsi="仿宋" w:hint="eastAsia"/>
            <w:bCs/>
            <w:noProof/>
            <w:szCs w:val="28"/>
          </w:rPr>
          <w:t xml:space="preserve">第二条 </w:t>
        </w:r>
        <w:r w:rsidR="007619C1">
          <w:rPr>
            <w:rFonts w:ascii="仿宋" w:eastAsia="仿宋" w:hAnsi="仿宋" w:hint="eastAsia"/>
            <w:bCs/>
            <w:noProof/>
            <w:szCs w:val="28"/>
          </w:rPr>
          <w:t>基金</w:t>
        </w:r>
        <w:r w:rsidR="007561E0">
          <w:rPr>
            <w:rFonts w:ascii="仿宋" w:eastAsia="仿宋" w:hAnsi="仿宋" w:hint="eastAsia"/>
            <w:bCs/>
            <w:noProof/>
            <w:szCs w:val="28"/>
          </w:rPr>
          <w:t>托管协议的依据、目的和原则</w:t>
        </w:r>
        <w:r w:rsidR="007561E0">
          <w:rPr>
            <w:noProof/>
          </w:rPr>
          <w:tab/>
        </w:r>
        <w:r w:rsidR="007561E0">
          <w:rPr>
            <w:noProof/>
          </w:rPr>
          <w:fldChar w:fldCharType="begin"/>
        </w:r>
        <w:r w:rsidR="007561E0">
          <w:rPr>
            <w:noProof/>
          </w:rPr>
          <w:instrText xml:space="preserve"> PAGEREF _Toc1252 \h </w:instrText>
        </w:r>
        <w:r w:rsidR="007561E0">
          <w:rPr>
            <w:noProof/>
          </w:rPr>
        </w:r>
        <w:r w:rsidR="007561E0">
          <w:rPr>
            <w:noProof/>
          </w:rPr>
          <w:fldChar w:fldCharType="separate"/>
        </w:r>
        <w:r>
          <w:rPr>
            <w:noProof/>
          </w:rPr>
          <w:t>4</w:t>
        </w:r>
        <w:r w:rsidR="007561E0">
          <w:rPr>
            <w:noProof/>
          </w:rPr>
          <w:fldChar w:fldCharType="end"/>
        </w:r>
      </w:hyperlink>
    </w:p>
    <w:p w14:paraId="071DE3AA" w14:textId="24D12C73" w:rsidR="009C2B7D" w:rsidRDefault="00830635">
      <w:pPr>
        <w:pStyle w:val="11"/>
        <w:tabs>
          <w:tab w:val="clear" w:pos="8296"/>
          <w:tab w:val="right" w:leader="dot" w:pos="9003"/>
        </w:tabs>
        <w:rPr>
          <w:noProof/>
        </w:rPr>
      </w:pPr>
      <w:hyperlink w:anchor="_Toc15380" w:history="1">
        <w:r w:rsidR="007561E0">
          <w:rPr>
            <w:rFonts w:ascii="仿宋" w:eastAsia="仿宋" w:hAnsi="仿宋" w:hint="eastAsia"/>
            <w:bCs/>
            <w:noProof/>
            <w:szCs w:val="28"/>
          </w:rPr>
          <w:t xml:space="preserve">第三条 </w:t>
        </w:r>
        <w:r w:rsidR="007619C1">
          <w:rPr>
            <w:rFonts w:ascii="仿宋" w:eastAsia="仿宋" w:hAnsi="仿宋" w:hint="eastAsia"/>
            <w:bCs/>
            <w:noProof/>
            <w:szCs w:val="28"/>
          </w:rPr>
          <w:t>基金</w:t>
        </w:r>
        <w:r w:rsidR="007561E0">
          <w:rPr>
            <w:rFonts w:ascii="仿宋" w:eastAsia="仿宋" w:hAnsi="仿宋" w:hint="eastAsia"/>
            <w:bCs/>
            <w:noProof/>
            <w:szCs w:val="28"/>
          </w:rPr>
          <w:t>托管人对</w:t>
        </w:r>
        <w:r w:rsidR="007619C1">
          <w:rPr>
            <w:rFonts w:ascii="仿宋" w:eastAsia="仿宋" w:hAnsi="仿宋" w:hint="eastAsia"/>
            <w:bCs/>
            <w:noProof/>
            <w:szCs w:val="28"/>
          </w:rPr>
          <w:t>基金</w:t>
        </w:r>
        <w:r w:rsidR="007561E0">
          <w:rPr>
            <w:rFonts w:ascii="仿宋" w:eastAsia="仿宋" w:hAnsi="仿宋" w:hint="eastAsia"/>
            <w:bCs/>
            <w:noProof/>
            <w:szCs w:val="28"/>
          </w:rPr>
          <w:t>管理人的业务监督和核查</w:t>
        </w:r>
        <w:r w:rsidR="007561E0">
          <w:rPr>
            <w:noProof/>
          </w:rPr>
          <w:tab/>
        </w:r>
        <w:r w:rsidR="007561E0">
          <w:rPr>
            <w:noProof/>
          </w:rPr>
          <w:fldChar w:fldCharType="begin"/>
        </w:r>
        <w:r w:rsidR="007561E0">
          <w:rPr>
            <w:noProof/>
          </w:rPr>
          <w:instrText xml:space="preserve"> PAGEREF _Toc15380 \h </w:instrText>
        </w:r>
        <w:r w:rsidR="007561E0">
          <w:rPr>
            <w:noProof/>
          </w:rPr>
        </w:r>
        <w:r w:rsidR="007561E0">
          <w:rPr>
            <w:noProof/>
          </w:rPr>
          <w:fldChar w:fldCharType="separate"/>
        </w:r>
        <w:r>
          <w:rPr>
            <w:noProof/>
          </w:rPr>
          <w:t>5</w:t>
        </w:r>
        <w:r w:rsidR="007561E0">
          <w:rPr>
            <w:noProof/>
          </w:rPr>
          <w:fldChar w:fldCharType="end"/>
        </w:r>
      </w:hyperlink>
    </w:p>
    <w:p w14:paraId="20B3AF1A" w14:textId="10DA2645" w:rsidR="009C2B7D" w:rsidRDefault="00830635">
      <w:pPr>
        <w:pStyle w:val="11"/>
        <w:tabs>
          <w:tab w:val="clear" w:pos="8296"/>
          <w:tab w:val="right" w:leader="dot" w:pos="9003"/>
        </w:tabs>
        <w:rPr>
          <w:noProof/>
        </w:rPr>
      </w:pPr>
      <w:hyperlink w:anchor="_Toc32027" w:history="1">
        <w:r w:rsidR="007561E0">
          <w:rPr>
            <w:rFonts w:ascii="仿宋" w:eastAsia="仿宋" w:hAnsi="仿宋" w:hint="eastAsia"/>
            <w:bCs/>
            <w:noProof/>
            <w:szCs w:val="28"/>
          </w:rPr>
          <w:t xml:space="preserve">第四条 </w:t>
        </w:r>
        <w:r w:rsidR="007619C1">
          <w:rPr>
            <w:rFonts w:ascii="仿宋" w:eastAsia="仿宋" w:hAnsi="仿宋" w:hint="eastAsia"/>
            <w:bCs/>
            <w:noProof/>
            <w:szCs w:val="28"/>
          </w:rPr>
          <w:t>基金</w:t>
        </w:r>
        <w:r w:rsidR="007561E0">
          <w:rPr>
            <w:rFonts w:ascii="仿宋" w:eastAsia="仿宋" w:hAnsi="仿宋" w:hint="eastAsia"/>
            <w:bCs/>
            <w:noProof/>
            <w:szCs w:val="28"/>
          </w:rPr>
          <w:t>管理人对</w:t>
        </w:r>
        <w:r w:rsidR="007619C1">
          <w:rPr>
            <w:rFonts w:ascii="仿宋" w:eastAsia="仿宋" w:hAnsi="仿宋" w:hint="eastAsia"/>
            <w:bCs/>
            <w:noProof/>
            <w:szCs w:val="28"/>
          </w:rPr>
          <w:t>基金</w:t>
        </w:r>
        <w:r w:rsidR="007561E0">
          <w:rPr>
            <w:rFonts w:ascii="仿宋" w:eastAsia="仿宋" w:hAnsi="仿宋" w:hint="eastAsia"/>
            <w:bCs/>
            <w:noProof/>
            <w:szCs w:val="28"/>
          </w:rPr>
          <w:t>托管人的业务核查</w:t>
        </w:r>
        <w:r w:rsidR="007561E0">
          <w:rPr>
            <w:noProof/>
          </w:rPr>
          <w:tab/>
        </w:r>
        <w:r w:rsidR="007561E0">
          <w:rPr>
            <w:noProof/>
          </w:rPr>
          <w:fldChar w:fldCharType="begin"/>
        </w:r>
        <w:r w:rsidR="007561E0">
          <w:rPr>
            <w:noProof/>
          </w:rPr>
          <w:instrText xml:space="preserve"> PAGEREF _Toc32027 \h </w:instrText>
        </w:r>
        <w:r w:rsidR="007561E0">
          <w:rPr>
            <w:noProof/>
          </w:rPr>
        </w:r>
        <w:r w:rsidR="007561E0">
          <w:rPr>
            <w:noProof/>
          </w:rPr>
          <w:fldChar w:fldCharType="separate"/>
        </w:r>
        <w:r>
          <w:rPr>
            <w:noProof/>
          </w:rPr>
          <w:t>10</w:t>
        </w:r>
        <w:r w:rsidR="007561E0">
          <w:rPr>
            <w:noProof/>
          </w:rPr>
          <w:fldChar w:fldCharType="end"/>
        </w:r>
      </w:hyperlink>
    </w:p>
    <w:p w14:paraId="285130B8" w14:textId="03350872" w:rsidR="009C2B7D" w:rsidRDefault="00830635">
      <w:pPr>
        <w:pStyle w:val="11"/>
        <w:tabs>
          <w:tab w:val="clear" w:pos="8296"/>
          <w:tab w:val="right" w:leader="dot" w:pos="9003"/>
        </w:tabs>
        <w:rPr>
          <w:noProof/>
        </w:rPr>
      </w:pPr>
      <w:hyperlink w:anchor="_Toc26159" w:history="1">
        <w:r w:rsidR="007561E0">
          <w:rPr>
            <w:rFonts w:ascii="仿宋" w:eastAsia="仿宋" w:hAnsi="仿宋" w:hint="eastAsia"/>
            <w:bCs/>
            <w:noProof/>
            <w:szCs w:val="28"/>
          </w:rPr>
          <w:t xml:space="preserve">第五条 </w:t>
        </w:r>
        <w:r w:rsidR="007619C1">
          <w:rPr>
            <w:rFonts w:ascii="仿宋" w:eastAsia="仿宋" w:hAnsi="仿宋" w:hint="eastAsia"/>
            <w:bCs/>
            <w:noProof/>
            <w:szCs w:val="28"/>
          </w:rPr>
          <w:t>基金</w:t>
        </w:r>
        <w:r w:rsidR="007561E0">
          <w:rPr>
            <w:rFonts w:ascii="仿宋" w:eastAsia="仿宋" w:hAnsi="仿宋" w:hint="eastAsia"/>
            <w:bCs/>
            <w:noProof/>
            <w:szCs w:val="28"/>
          </w:rPr>
          <w:t>财产保管</w:t>
        </w:r>
        <w:r w:rsidR="007561E0">
          <w:rPr>
            <w:noProof/>
          </w:rPr>
          <w:tab/>
        </w:r>
        <w:r w:rsidR="007561E0">
          <w:rPr>
            <w:noProof/>
          </w:rPr>
          <w:fldChar w:fldCharType="begin"/>
        </w:r>
        <w:r w:rsidR="007561E0">
          <w:rPr>
            <w:noProof/>
          </w:rPr>
          <w:instrText xml:space="preserve"> PAGEREF _Toc26159 \h </w:instrText>
        </w:r>
        <w:r w:rsidR="007561E0">
          <w:rPr>
            <w:noProof/>
          </w:rPr>
        </w:r>
        <w:r w:rsidR="007561E0">
          <w:rPr>
            <w:noProof/>
          </w:rPr>
          <w:fldChar w:fldCharType="separate"/>
        </w:r>
        <w:r>
          <w:rPr>
            <w:noProof/>
          </w:rPr>
          <w:t>11</w:t>
        </w:r>
        <w:r w:rsidR="007561E0">
          <w:rPr>
            <w:noProof/>
          </w:rPr>
          <w:fldChar w:fldCharType="end"/>
        </w:r>
      </w:hyperlink>
    </w:p>
    <w:p w14:paraId="4DC6C621" w14:textId="03E5B063" w:rsidR="009C2B7D" w:rsidRDefault="00830635">
      <w:pPr>
        <w:pStyle w:val="11"/>
        <w:tabs>
          <w:tab w:val="clear" w:pos="8296"/>
          <w:tab w:val="right" w:leader="dot" w:pos="9003"/>
        </w:tabs>
        <w:rPr>
          <w:noProof/>
        </w:rPr>
      </w:pPr>
      <w:hyperlink w:anchor="_Toc18085" w:history="1">
        <w:r w:rsidR="007561E0">
          <w:rPr>
            <w:rFonts w:ascii="仿宋" w:eastAsia="仿宋" w:hAnsi="仿宋" w:hint="eastAsia"/>
            <w:bCs/>
            <w:noProof/>
            <w:szCs w:val="28"/>
          </w:rPr>
          <w:t>第六条 指令的发送、确认和执行</w:t>
        </w:r>
        <w:r w:rsidR="007561E0">
          <w:rPr>
            <w:noProof/>
          </w:rPr>
          <w:tab/>
        </w:r>
        <w:r w:rsidR="007561E0">
          <w:rPr>
            <w:noProof/>
          </w:rPr>
          <w:fldChar w:fldCharType="begin"/>
        </w:r>
        <w:r w:rsidR="007561E0">
          <w:rPr>
            <w:noProof/>
          </w:rPr>
          <w:instrText xml:space="preserve"> PAGEREF _Toc18085 \h </w:instrText>
        </w:r>
        <w:r w:rsidR="007561E0">
          <w:rPr>
            <w:noProof/>
          </w:rPr>
        </w:r>
        <w:r w:rsidR="007561E0">
          <w:rPr>
            <w:noProof/>
          </w:rPr>
          <w:fldChar w:fldCharType="separate"/>
        </w:r>
        <w:r>
          <w:rPr>
            <w:noProof/>
          </w:rPr>
          <w:t>12</w:t>
        </w:r>
        <w:r w:rsidR="007561E0">
          <w:rPr>
            <w:noProof/>
          </w:rPr>
          <w:fldChar w:fldCharType="end"/>
        </w:r>
      </w:hyperlink>
    </w:p>
    <w:p w14:paraId="5DABBE2C" w14:textId="7BA4E244" w:rsidR="009C2B7D" w:rsidRDefault="00830635">
      <w:pPr>
        <w:pStyle w:val="11"/>
        <w:tabs>
          <w:tab w:val="clear" w:pos="8296"/>
          <w:tab w:val="right" w:leader="dot" w:pos="9003"/>
        </w:tabs>
        <w:rPr>
          <w:noProof/>
        </w:rPr>
      </w:pPr>
      <w:hyperlink w:anchor="_Toc12703" w:history="1">
        <w:r w:rsidR="007561E0">
          <w:rPr>
            <w:rFonts w:ascii="仿宋" w:eastAsia="仿宋" w:hAnsi="仿宋" w:hint="eastAsia"/>
            <w:bCs/>
            <w:noProof/>
            <w:szCs w:val="28"/>
          </w:rPr>
          <w:t>第七条 交易及清算交收安排</w:t>
        </w:r>
        <w:r w:rsidR="007561E0">
          <w:rPr>
            <w:noProof/>
          </w:rPr>
          <w:tab/>
        </w:r>
        <w:r w:rsidR="007561E0">
          <w:rPr>
            <w:noProof/>
          </w:rPr>
          <w:fldChar w:fldCharType="begin"/>
        </w:r>
        <w:r w:rsidR="007561E0">
          <w:rPr>
            <w:noProof/>
          </w:rPr>
          <w:instrText xml:space="preserve"> PAGEREF _Toc12703 \h </w:instrText>
        </w:r>
        <w:r w:rsidR="007561E0">
          <w:rPr>
            <w:noProof/>
          </w:rPr>
        </w:r>
        <w:r w:rsidR="007561E0">
          <w:rPr>
            <w:noProof/>
          </w:rPr>
          <w:fldChar w:fldCharType="separate"/>
        </w:r>
        <w:r>
          <w:rPr>
            <w:noProof/>
          </w:rPr>
          <w:t>15</w:t>
        </w:r>
        <w:r w:rsidR="007561E0">
          <w:rPr>
            <w:noProof/>
          </w:rPr>
          <w:fldChar w:fldCharType="end"/>
        </w:r>
      </w:hyperlink>
    </w:p>
    <w:p w14:paraId="20AB8430" w14:textId="4DA47F23" w:rsidR="009C2B7D" w:rsidRDefault="00830635">
      <w:pPr>
        <w:pStyle w:val="11"/>
        <w:tabs>
          <w:tab w:val="clear" w:pos="8296"/>
          <w:tab w:val="right" w:leader="dot" w:pos="9003"/>
        </w:tabs>
        <w:rPr>
          <w:noProof/>
        </w:rPr>
      </w:pPr>
      <w:hyperlink w:anchor="_Toc27979" w:history="1">
        <w:r w:rsidR="007561E0">
          <w:rPr>
            <w:rFonts w:ascii="仿宋" w:eastAsia="仿宋" w:hAnsi="仿宋" w:hint="eastAsia"/>
            <w:bCs/>
            <w:noProof/>
            <w:szCs w:val="28"/>
          </w:rPr>
          <w:t xml:space="preserve">第八条 </w:t>
        </w:r>
        <w:r w:rsidR="007619C1">
          <w:rPr>
            <w:rFonts w:ascii="仿宋" w:eastAsia="仿宋" w:hAnsi="仿宋" w:hint="eastAsia"/>
            <w:bCs/>
            <w:noProof/>
            <w:szCs w:val="28"/>
          </w:rPr>
          <w:t>基金</w:t>
        </w:r>
        <w:r w:rsidR="007561E0">
          <w:rPr>
            <w:rFonts w:ascii="仿宋" w:eastAsia="仿宋" w:hAnsi="仿宋" w:hint="eastAsia"/>
            <w:bCs/>
            <w:noProof/>
            <w:szCs w:val="28"/>
          </w:rPr>
          <w:t>资产净值计算和会计核算</w:t>
        </w:r>
        <w:r w:rsidR="007561E0">
          <w:rPr>
            <w:noProof/>
          </w:rPr>
          <w:tab/>
        </w:r>
        <w:r w:rsidR="007561E0">
          <w:rPr>
            <w:noProof/>
          </w:rPr>
          <w:fldChar w:fldCharType="begin"/>
        </w:r>
        <w:r w:rsidR="007561E0">
          <w:rPr>
            <w:noProof/>
          </w:rPr>
          <w:instrText xml:space="preserve"> PAGEREF _Toc27979 \h </w:instrText>
        </w:r>
        <w:r w:rsidR="007561E0">
          <w:rPr>
            <w:noProof/>
          </w:rPr>
        </w:r>
        <w:r w:rsidR="007561E0">
          <w:rPr>
            <w:noProof/>
          </w:rPr>
          <w:fldChar w:fldCharType="separate"/>
        </w:r>
        <w:r>
          <w:rPr>
            <w:noProof/>
          </w:rPr>
          <w:t>18</w:t>
        </w:r>
        <w:r w:rsidR="007561E0">
          <w:rPr>
            <w:noProof/>
          </w:rPr>
          <w:fldChar w:fldCharType="end"/>
        </w:r>
      </w:hyperlink>
    </w:p>
    <w:p w14:paraId="6EFAF5FC" w14:textId="4C48E490" w:rsidR="009C2B7D" w:rsidRDefault="00830635">
      <w:pPr>
        <w:pStyle w:val="11"/>
        <w:tabs>
          <w:tab w:val="clear" w:pos="8296"/>
          <w:tab w:val="right" w:leader="dot" w:pos="9003"/>
        </w:tabs>
        <w:rPr>
          <w:noProof/>
        </w:rPr>
      </w:pPr>
      <w:hyperlink w:anchor="_Toc8042" w:history="1">
        <w:r w:rsidR="007561E0">
          <w:rPr>
            <w:rFonts w:ascii="仿宋" w:eastAsia="仿宋" w:hAnsi="仿宋" w:hint="eastAsia"/>
            <w:bCs/>
            <w:noProof/>
            <w:szCs w:val="28"/>
          </w:rPr>
          <w:t xml:space="preserve">第九条 </w:t>
        </w:r>
        <w:r w:rsidR="007619C1">
          <w:rPr>
            <w:rFonts w:ascii="仿宋" w:eastAsia="仿宋" w:hAnsi="仿宋" w:hint="eastAsia"/>
            <w:bCs/>
            <w:noProof/>
            <w:szCs w:val="28"/>
          </w:rPr>
          <w:t>基金</w:t>
        </w:r>
        <w:r w:rsidR="007561E0">
          <w:rPr>
            <w:rFonts w:ascii="仿宋" w:eastAsia="仿宋" w:hAnsi="仿宋" w:hint="eastAsia"/>
            <w:bCs/>
            <w:noProof/>
            <w:szCs w:val="28"/>
          </w:rPr>
          <w:t>收益分配</w:t>
        </w:r>
        <w:r w:rsidR="007561E0">
          <w:rPr>
            <w:noProof/>
          </w:rPr>
          <w:tab/>
        </w:r>
        <w:r w:rsidR="007561E0">
          <w:rPr>
            <w:noProof/>
          </w:rPr>
          <w:fldChar w:fldCharType="begin"/>
        </w:r>
        <w:r w:rsidR="007561E0">
          <w:rPr>
            <w:noProof/>
          </w:rPr>
          <w:instrText xml:space="preserve"> PAGEREF _Toc8042 \h </w:instrText>
        </w:r>
        <w:r w:rsidR="007561E0">
          <w:rPr>
            <w:noProof/>
          </w:rPr>
        </w:r>
        <w:r w:rsidR="007561E0">
          <w:rPr>
            <w:noProof/>
          </w:rPr>
          <w:fldChar w:fldCharType="separate"/>
        </w:r>
        <w:r>
          <w:rPr>
            <w:noProof/>
          </w:rPr>
          <w:t>22</w:t>
        </w:r>
        <w:r w:rsidR="007561E0">
          <w:rPr>
            <w:noProof/>
          </w:rPr>
          <w:fldChar w:fldCharType="end"/>
        </w:r>
      </w:hyperlink>
    </w:p>
    <w:p w14:paraId="2CBBA881" w14:textId="666BCD56" w:rsidR="009C2B7D" w:rsidRDefault="00830635">
      <w:pPr>
        <w:pStyle w:val="11"/>
        <w:tabs>
          <w:tab w:val="clear" w:pos="8296"/>
          <w:tab w:val="right" w:leader="dot" w:pos="9003"/>
        </w:tabs>
        <w:rPr>
          <w:noProof/>
        </w:rPr>
      </w:pPr>
      <w:hyperlink w:anchor="_Toc2264" w:history="1">
        <w:r w:rsidR="007561E0">
          <w:rPr>
            <w:rFonts w:ascii="仿宋" w:eastAsia="仿宋" w:hAnsi="仿宋" w:hint="eastAsia"/>
            <w:bCs/>
            <w:noProof/>
            <w:szCs w:val="28"/>
          </w:rPr>
          <w:t>第十条 信息披露</w:t>
        </w:r>
        <w:r w:rsidR="007561E0">
          <w:rPr>
            <w:noProof/>
          </w:rPr>
          <w:tab/>
        </w:r>
        <w:r w:rsidR="007561E0">
          <w:rPr>
            <w:noProof/>
          </w:rPr>
          <w:fldChar w:fldCharType="begin"/>
        </w:r>
        <w:r w:rsidR="007561E0">
          <w:rPr>
            <w:noProof/>
          </w:rPr>
          <w:instrText xml:space="preserve"> PAGEREF _Toc2264 \h </w:instrText>
        </w:r>
        <w:r w:rsidR="007561E0">
          <w:rPr>
            <w:noProof/>
          </w:rPr>
        </w:r>
        <w:r w:rsidR="007561E0">
          <w:rPr>
            <w:noProof/>
          </w:rPr>
          <w:fldChar w:fldCharType="separate"/>
        </w:r>
        <w:r>
          <w:rPr>
            <w:noProof/>
          </w:rPr>
          <w:t>24</w:t>
        </w:r>
        <w:r w:rsidR="007561E0">
          <w:rPr>
            <w:noProof/>
          </w:rPr>
          <w:fldChar w:fldCharType="end"/>
        </w:r>
      </w:hyperlink>
    </w:p>
    <w:p w14:paraId="363C1C54" w14:textId="3B2981A5" w:rsidR="009C2B7D" w:rsidRDefault="00830635">
      <w:pPr>
        <w:pStyle w:val="11"/>
        <w:tabs>
          <w:tab w:val="clear" w:pos="8296"/>
          <w:tab w:val="right" w:leader="dot" w:pos="9003"/>
        </w:tabs>
        <w:rPr>
          <w:noProof/>
        </w:rPr>
      </w:pPr>
      <w:hyperlink w:anchor="_Toc32670" w:history="1">
        <w:r w:rsidR="007561E0">
          <w:rPr>
            <w:rFonts w:ascii="仿宋" w:eastAsia="仿宋" w:hAnsi="仿宋" w:hint="eastAsia"/>
            <w:bCs/>
            <w:noProof/>
            <w:szCs w:val="28"/>
          </w:rPr>
          <w:t xml:space="preserve">第十一条 </w:t>
        </w:r>
        <w:r w:rsidR="007619C1">
          <w:rPr>
            <w:rFonts w:ascii="仿宋" w:eastAsia="仿宋" w:hAnsi="仿宋" w:hint="eastAsia"/>
            <w:bCs/>
            <w:noProof/>
            <w:szCs w:val="28"/>
          </w:rPr>
          <w:t>基金</w:t>
        </w:r>
        <w:r w:rsidR="007561E0">
          <w:rPr>
            <w:rFonts w:ascii="仿宋" w:eastAsia="仿宋" w:hAnsi="仿宋" w:hint="eastAsia"/>
            <w:bCs/>
            <w:noProof/>
            <w:szCs w:val="28"/>
          </w:rPr>
          <w:t>费用</w:t>
        </w:r>
        <w:r w:rsidR="007561E0">
          <w:rPr>
            <w:noProof/>
          </w:rPr>
          <w:tab/>
        </w:r>
        <w:r w:rsidR="007561E0">
          <w:rPr>
            <w:noProof/>
          </w:rPr>
          <w:fldChar w:fldCharType="begin"/>
        </w:r>
        <w:r w:rsidR="007561E0">
          <w:rPr>
            <w:noProof/>
          </w:rPr>
          <w:instrText xml:space="preserve"> PAGEREF _Toc32670 \h </w:instrText>
        </w:r>
        <w:r w:rsidR="007561E0">
          <w:rPr>
            <w:noProof/>
          </w:rPr>
        </w:r>
        <w:r w:rsidR="007561E0">
          <w:rPr>
            <w:noProof/>
          </w:rPr>
          <w:fldChar w:fldCharType="separate"/>
        </w:r>
        <w:r>
          <w:rPr>
            <w:noProof/>
          </w:rPr>
          <w:t>26</w:t>
        </w:r>
        <w:r w:rsidR="007561E0">
          <w:rPr>
            <w:noProof/>
          </w:rPr>
          <w:fldChar w:fldCharType="end"/>
        </w:r>
      </w:hyperlink>
    </w:p>
    <w:p w14:paraId="3B179696" w14:textId="608250D4" w:rsidR="009C2B7D" w:rsidRDefault="00830635">
      <w:pPr>
        <w:pStyle w:val="11"/>
        <w:tabs>
          <w:tab w:val="clear" w:pos="8296"/>
          <w:tab w:val="right" w:leader="dot" w:pos="9003"/>
        </w:tabs>
        <w:rPr>
          <w:noProof/>
        </w:rPr>
      </w:pPr>
      <w:hyperlink w:anchor="_Toc10950" w:history="1">
        <w:r w:rsidR="007561E0">
          <w:rPr>
            <w:rFonts w:ascii="仿宋" w:eastAsia="仿宋" w:hAnsi="仿宋" w:hint="eastAsia"/>
            <w:bCs/>
            <w:noProof/>
            <w:szCs w:val="28"/>
          </w:rPr>
          <w:t xml:space="preserve">第十二条 </w:t>
        </w:r>
        <w:r w:rsidR="007619C1">
          <w:rPr>
            <w:rFonts w:ascii="仿宋" w:eastAsia="仿宋" w:hAnsi="仿宋" w:hint="eastAsia"/>
            <w:bCs/>
            <w:noProof/>
            <w:szCs w:val="28"/>
          </w:rPr>
          <w:t>基金</w:t>
        </w:r>
        <w:r w:rsidR="007561E0">
          <w:rPr>
            <w:rFonts w:ascii="仿宋" w:eastAsia="仿宋" w:hAnsi="仿宋" w:hint="eastAsia"/>
            <w:bCs/>
            <w:noProof/>
            <w:szCs w:val="28"/>
          </w:rPr>
          <w:t>份额持有人名册的保管</w:t>
        </w:r>
        <w:r w:rsidR="007561E0">
          <w:rPr>
            <w:noProof/>
          </w:rPr>
          <w:tab/>
        </w:r>
        <w:r w:rsidR="007561E0">
          <w:rPr>
            <w:noProof/>
          </w:rPr>
          <w:fldChar w:fldCharType="begin"/>
        </w:r>
        <w:r w:rsidR="007561E0">
          <w:rPr>
            <w:noProof/>
          </w:rPr>
          <w:instrText xml:space="preserve"> PAGEREF _Toc10950 \h </w:instrText>
        </w:r>
        <w:r w:rsidR="007561E0">
          <w:rPr>
            <w:noProof/>
          </w:rPr>
        </w:r>
        <w:r w:rsidR="007561E0">
          <w:rPr>
            <w:noProof/>
          </w:rPr>
          <w:fldChar w:fldCharType="separate"/>
        </w:r>
        <w:r>
          <w:rPr>
            <w:noProof/>
          </w:rPr>
          <w:t>28</w:t>
        </w:r>
        <w:r w:rsidR="007561E0">
          <w:rPr>
            <w:noProof/>
          </w:rPr>
          <w:fldChar w:fldCharType="end"/>
        </w:r>
      </w:hyperlink>
    </w:p>
    <w:p w14:paraId="12F8CAB1" w14:textId="49202C3A" w:rsidR="009C2B7D" w:rsidRDefault="00830635">
      <w:pPr>
        <w:pStyle w:val="11"/>
        <w:tabs>
          <w:tab w:val="clear" w:pos="8296"/>
          <w:tab w:val="right" w:leader="dot" w:pos="9003"/>
        </w:tabs>
        <w:rPr>
          <w:noProof/>
        </w:rPr>
      </w:pPr>
      <w:hyperlink w:anchor="_Toc16597" w:history="1">
        <w:r w:rsidR="007561E0">
          <w:rPr>
            <w:rFonts w:ascii="仿宋" w:eastAsia="仿宋" w:hAnsi="仿宋" w:hint="eastAsia"/>
            <w:bCs/>
            <w:noProof/>
            <w:szCs w:val="28"/>
          </w:rPr>
          <w:t xml:space="preserve">第十三条 </w:t>
        </w:r>
        <w:r w:rsidR="007619C1">
          <w:rPr>
            <w:rFonts w:ascii="仿宋" w:eastAsia="仿宋" w:hAnsi="仿宋" w:hint="eastAsia"/>
            <w:bCs/>
            <w:noProof/>
            <w:szCs w:val="28"/>
          </w:rPr>
          <w:t>基金</w:t>
        </w:r>
        <w:r w:rsidR="007561E0">
          <w:rPr>
            <w:rFonts w:ascii="仿宋" w:eastAsia="仿宋" w:hAnsi="仿宋" w:hint="eastAsia"/>
            <w:bCs/>
            <w:noProof/>
            <w:szCs w:val="28"/>
          </w:rPr>
          <w:t>有关文件和档案的保存</w:t>
        </w:r>
        <w:r w:rsidR="007561E0">
          <w:rPr>
            <w:noProof/>
          </w:rPr>
          <w:tab/>
        </w:r>
        <w:r w:rsidR="007561E0">
          <w:rPr>
            <w:noProof/>
          </w:rPr>
          <w:fldChar w:fldCharType="begin"/>
        </w:r>
        <w:r w:rsidR="007561E0">
          <w:rPr>
            <w:noProof/>
          </w:rPr>
          <w:instrText xml:space="preserve"> PAGEREF _Toc16597 \h </w:instrText>
        </w:r>
        <w:r w:rsidR="007561E0">
          <w:rPr>
            <w:noProof/>
          </w:rPr>
        </w:r>
        <w:r w:rsidR="007561E0">
          <w:rPr>
            <w:noProof/>
          </w:rPr>
          <w:fldChar w:fldCharType="separate"/>
        </w:r>
        <w:r>
          <w:rPr>
            <w:noProof/>
          </w:rPr>
          <w:t>29</w:t>
        </w:r>
        <w:r w:rsidR="007561E0">
          <w:rPr>
            <w:noProof/>
          </w:rPr>
          <w:fldChar w:fldCharType="end"/>
        </w:r>
      </w:hyperlink>
    </w:p>
    <w:p w14:paraId="6D84A5BD" w14:textId="20F8DB72" w:rsidR="009C2B7D" w:rsidRDefault="00830635">
      <w:pPr>
        <w:pStyle w:val="11"/>
        <w:tabs>
          <w:tab w:val="clear" w:pos="8296"/>
          <w:tab w:val="right" w:leader="dot" w:pos="9003"/>
        </w:tabs>
        <w:rPr>
          <w:noProof/>
        </w:rPr>
      </w:pPr>
      <w:hyperlink w:anchor="_Toc9799" w:history="1">
        <w:r w:rsidR="007561E0">
          <w:rPr>
            <w:rFonts w:ascii="仿宋" w:eastAsia="仿宋" w:hAnsi="仿宋" w:hint="eastAsia"/>
            <w:bCs/>
            <w:noProof/>
            <w:szCs w:val="28"/>
          </w:rPr>
          <w:t xml:space="preserve">第十四条 </w:t>
        </w:r>
        <w:r w:rsidR="007619C1">
          <w:rPr>
            <w:rFonts w:ascii="仿宋" w:eastAsia="仿宋" w:hAnsi="仿宋" w:hint="eastAsia"/>
            <w:bCs/>
            <w:noProof/>
            <w:szCs w:val="28"/>
          </w:rPr>
          <w:t>基金</w:t>
        </w:r>
        <w:r w:rsidR="007561E0">
          <w:rPr>
            <w:rFonts w:ascii="仿宋" w:eastAsia="仿宋" w:hAnsi="仿宋" w:hint="eastAsia"/>
            <w:bCs/>
            <w:noProof/>
            <w:szCs w:val="28"/>
          </w:rPr>
          <w:t>管理人和</w:t>
        </w:r>
        <w:r w:rsidR="007619C1">
          <w:rPr>
            <w:rFonts w:ascii="仿宋" w:eastAsia="仿宋" w:hAnsi="仿宋" w:hint="eastAsia"/>
            <w:bCs/>
            <w:noProof/>
            <w:szCs w:val="28"/>
          </w:rPr>
          <w:t>基金</w:t>
        </w:r>
        <w:r w:rsidR="007561E0">
          <w:rPr>
            <w:rFonts w:ascii="仿宋" w:eastAsia="仿宋" w:hAnsi="仿宋" w:hint="eastAsia"/>
            <w:bCs/>
            <w:noProof/>
            <w:szCs w:val="28"/>
          </w:rPr>
          <w:t>托管人的更换</w:t>
        </w:r>
        <w:r w:rsidR="007561E0">
          <w:rPr>
            <w:noProof/>
          </w:rPr>
          <w:tab/>
        </w:r>
        <w:r w:rsidR="007561E0">
          <w:rPr>
            <w:noProof/>
          </w:rPr>
          <w:fldChar w:fldCharType="begin"/>
        </w:r>
        <w:r w:rsidR="007561E0">
          <w:rPr>
            <w:noProof/>
          </w:rPr>
          <w:instrText xml:space="preserve"> PAGEREF _Toc9799 \h </w:instrText>
        </w:r>
        <w:r w:rsidR="007561E0">
          <w:rPr>
            <w:noProof/>
          </w:rPr>
        </w:r>
        <w:r w:rsidR="007561E0">
          <w:rPr>
            <w:noProof/>
          </w:rPr>
          <w:fldChar w:fldCharType="separate"/>
        </w:r>
        <w:r>
          <w:rPr>
            <w:noProof/>
          </w:rPr>
          <w:t>30</w:t>
        </w:r>
        <w:r w:rsidR="007561E0">
          <w:rPr>
            <w:noProof/>
          </w:rPr>
          <w:fldChar w:fldCharType="end"/>
        </w:r>
      </w:hyperlink>
    </w:p>
    <w:p w14:paraId="14D741C4" w14:textId="655E797F" w:rsidR="009C2B7D" w:rsidRDefault="00830635">
      <w:pPr>
        <w:pStyle w:val="11"/>
        <w:tabs>
          <w:tab w:val="clear" w:pos="8296"/>
          <w:tab w:val="right" w:leader="dot" w:pos="9003"/>
        </w:tabs>
        <w:rPr>
          <w:noProof/>
        </w:rPr>
      </w:pPr>
      <w:hyperlink w:anchor="_Toc29828" w:history="1">
        <w:r w:rsidR="007561E0">
          <w:rPr>
            <w:rFonts w:ascii="仿宋" w:eastAsia="仿宋" w:hAnsi="仿宋" w:hint="eastAsia"/>
            <w:bCs/>
            <w:noProof/>
            <w:szCs w:val="28"/>
          </w:rPr>
          <w:t>第十五条 禁止行为</w:t>
        </w:r>
        <w:r w:rsidR="007561E0">
          <w:rPr>
            <w:noProof/>
          </w:rPr>
          <w:tab/>
        </w:r>
        <w:r w:rsidR="007561E0">
          <w:rPr>
            <w:noProof/>
          </w:rPr>
          <w:fldChar w:fldCharType="begin"/>
        </w:r>
        <w:r w:rsidR="007561E0">
          <w:rPr>
            <w:noProof/>
          </w:rPr>
          <w:instrText xml:space="preserve"> PAGEREF _Toc29828 \h </w:instrText>
        </w:r>
        <w:r w:rsidR="007561E0">
          <w:rPr>
            <w:noProof/>
          </w:rPr>
        </w:r>
        <w:r w:rsidR="007561E0">
          <w:rPr>
            <w:noProof/>
          </w:rPr>
          <w:fldChar w:fldCharType="separate"/>
        </w:r>
        <w:r>
          <w:rPr>
            <w:noProof/>
          </w:rPr>
          <w:t>33</w:t>
        </w:r>
        <w:r w:rsidR="007561E0">
          <w:rPr>
            <w:noProof/>
          </w:rPr>
          <w:fldChar w:fldCharType="end"/>
        </w:r>
      </w:hyperlink>
    </w:p>
    <w:p w14:paraId="2102CAA8" w14:textId="4F10C218" w:rsidR="009C2B7D" w:rsidRDefault="00830635">
      <w:pPr>
        <w:pStyle w:val="11"/>
        <w:tabs>
          <w:tab w:val="clear" w:pos="8296"/>
          <w:tab w:val="right" w:leader="dot" w:pos="9003"/>
        </w:tabs>
        <w:rPr>
          <w:noProof/>
        </w:rPr>
      </w:pPr>
      <w:hyperlink w:anchor="_Toc28096" w:history="1">
        <w:r w:rsidR="007561E0">
          <w:rPr>
            <w:rFonts w:ascii="仿宋" w:eastAsia="仿宋" w:hAnsi="仿宋" w:hint="eastAsia"/>
            <w:bCs/>
            <w:noProof/>
            <w:szCs w:val="28"/>
          </w:rPr>
          <w:t xml:space="preserve">第十六条 </w:t>
        </w:r>
        <w:r w:rsidR="007619C1">
          <w:rPr>
            <w:rFonts w:ascii="仿宋" w:eastAsia="仿宋" w:hAnsi="仿宋" w:hint="eastAsia"/>
            <w:bCs/>
            <w:noProof/>
            <w:szCs w:val="28"/>
          </w:rPr>
          <w:t>基金</w:t>
        </w:r>
        <w:r w:rsidR="007561E0">
          <w:rPr>
            <w:rFonts w:ascii="仿宋" w:eastAsia="仿宋" w:hAnsi="仿宋" w:hint="eastAsia"/>
            <w:bCs/>
            <w:noProof/>
            <w:szCs w:val="28"/>
          </w:rPr>
          <w:t>托管协议的变更、终止与</w:t>
        </w:r>
        <w:r w:rsidR="007619C1">
          <w:rPr>
            <w:rFonts w:ascii="仿宋" w:eastAsia="仿宋" w:hAnsi="仿宋" w:hint="eastAsia"/>
            <w:bCs/>
            <w:noProof/>
            <w:szCs w:val="28"/>
          </w:rPr>
          <w:t>基金</w:t>
        </w:r>
        <w:r w:rsidR="007561E0">
          <w:rPr>
            <w:rFonts w:ascii="仿宋" w:eastAsia="仿宋" w:hAnsi="仿宋" w:hint="eastAsia"/>
            <w:bCs/>
            <w:noProof/>
            <w:szCs w:val="28"/>
          </w:rPr>
          <w:t>财产的清算</w:t>
        </w:r>
        <w:r w:rsidR="007561E0">
          <w:rPr>
            <w:noProof/>
          </w:rPr>
          <w:tab/>
        </w:r>
        <w:r w:rsidR="007561E0">
          <w:rPr>
            <w:noProof/>
          </w:rPr>
          <w:fldChar w:fldCharType="begin"/>
        </w:r>
        <w:r w:rsidR="007561E0">
          <w:rPr>
            <w:noProof/>
          </w:rPr>
          <w:instrText xml:space="preserve"> PAGEREF _Toc28096 \h </w:instrText>
        </w:r>
        <w:r w:rsidR="007561E0">
          <w:rPr>
            <w:noProof/>
          </w:rPr>
        </w:r>
        <w:r w:rsidR="007561E0">
          <w:rPr>
            <w:noProof/>
          </w:rPr>
          <w:fldChar w:fldCharType="separate"/>
        </w:r>
        <w:r>
          <w:rPr>
            <w:noProof/>
          </w:rPr>
          <w:t>34</w:t>
        </w:r>
        <w:r w:rsidR="007561E0">
          <w:rPr>
            <w:noProof/>
          </w:rPr>
          <w:fldChar w:fldCharType="end"/>
        </w:r>
      </w:hyperlink>
    </w:p>
    <w:p w14:paraId="03254954" w14:textId="14586561" w:rsidR="009C2B7D" w:rsidRDefault="00830635">
      <w:pPr>
        <w:pStyle w:val="11"/>
        <w:tabs>
          <w:tab w:val="clear" w:pos="8296"/>
          <w:tab w:val="right" w:leader="dot" w:pos="9003"/>
        </w:tabs>
        <w:rPr>
          <w:noProof/>
        </w:rPr>
      </w:pPr>
      <w:hyperlink w:anchor="_Toc30497" w:history="1">
        <w:r w:rsidR="007561E0">
          <w:rPr>
            <w:rFonts w:ascii="仿宋" w:eastAsia="仿宋" w:hAnsi="仿宋" w:hint="eastAsia"/>
            <w:bCs/>
            <w:noProof/>
            <w:szCs w:val="28"/>
          </w:rPr>
          <w:t>第十七条 违约责任</w:t>
        </w:r>
        <w:r w:rsidR="007561E0">
          <w:rPr>
            <w:noProof/>
          </w:rPr>
          <w:tab/>
        </w:r>
        <w:r w:rsidR="007561E0">
          <w:rPr>
            <w:noProof/>
          </w:rPr>
          <w:fldChar w:fldCharType="begin"/>
        </w:r>
        <w:r w:rsidR="007561E0">
          <w:rPr>
            <w:noProof/>
          </w:rPr>
          <w:instrText xml:space="preserve"> PAGEREF _Toc30497 \h </w:instrText>
        </w:r>
        <w:r w:rsidR="007561E0">
          <w:rPr>
            <w:noProof/>
          </w:rPr>
        </w:r>
        <w:r w:rsidR="007561E0">
          <w:rPr>
            <w:noProof/>
          </w:rPr>
          <w:fldChar w:fldCharType="separate"/>
        </w:r>
        <w:r>
          <w:rPr>
            <w:noProof/>
          </w:rPr>
          <w:t>36</w:t>
        </w:r>
        <w:r w:rsidR="007561E0">
          <w:rPr>
            <w:noProof/>
          </w:rPr>
          <w:fldChar w:fldCharType="end"/>
        </w:r>
      </w:hyperlink>
    </w:p>
    <w:p w14:paraId="487ADB21" w14:textId="18DE7546" w:rsidR="009C2B7D" w:rsidRDefault="00830635">
      <w:pPr>
        <w:pStyle w:val="11"/>
        <w:tabs>
          <w:tab w:val="clear" w:pos="8296"/>
          <w:tab w:val="right" w:leader="dot" w:pos="9003"/>
        </w:tabs>
        <w:rPr>
          <w:noProof/>
        </w:rPr>
      </w:pPr>
      <w:hyperlink w:anchor="_Toc22766" w:history="1">
        <w:r w:rsidR="007561E0">
          <w:rPr>
            <w:rFonts w:ascii="仿宋" w:eastAsia="仿宋" w:hAnsi="仿宋" w:hint="eastAsia"/>
            <w:bCs/>
            <w:noProof/>
            <w:szCs w:val="28"/>
          </w:rPr>
          <w:t>第十八条 争议解决方式</w:t>
        </w:r>
        <w:r w:rsidR="007561E0">
          <w:rPr>
            <w:noProof/>
          </w:rPr>
          <w:tab/>
        </w:r>
        <w:r w:rsidR="007561E0">
          <w:rPr>
            <w:noProof/>
          </w:rPr>
          <w:fldChar w:fldCharType="begin"/>
        </w:r>
        <w:r w:rsidR="007561E0">
          <w:rPr>
            <w:noProof/>
          </w:rPr>
          <w:instrText xml:space="preserve"> PAGEREF _Toc22766 \h </w:instrText>
        </w:r>
        <w:r w:rsidR="007561E0">
          <w:rPr>
            <w:noProof/>
          </w:rPr>
        </w:r>
        <w:r w:rsidR="007561E0">
          <w:rPr>
            <w:noProof/>
          </w:rPr>
          <w:fldChar w:fldCharType="separate"/>
        </w:r>
        <w:r>
          <w:rPr>
            <w:noProof/>
          </w:rPr>
          <w:t>37</w:t>
        </w:r>
        <w:r w:rsidR="007561E0">
          <w:rPr>
            <w:noProof/>
          </w:rPr>
          <w:fldChar w:fldCharType="end"/>
        </w:r>
      </w:hyperlink>
    </w:p>
    <w:p w14:paraId="2C356300" w14:textId="70E0ED4C" w:rsidR="009C2B7D" w:rsidRDefault="00830635">
      <w:pPr>
        <w:pStyle w:val="11"/>
        <w:tabs>
          <w:tab w:val="clear" w:pos="8296"/>
          <w:tab w:val="right" w:leader="dot" w:pos="9003"/>
        </w:tabs>
        <w:rPr>
          <w:noProof/>
        </w:rPr>
      </w:pPr>
      <w:hyperlink w:anchor="_Toc25128" w:history="1">
        <w:r w:rsidR="007561E0">
          <w:rPr>
            <w:rFonts w:ascii="仿宋" w:eastAsia="仿宋" w:hAnsi="仿宋" w:hint="eastAsia"/>
            <w:bCs/>
            <w:noProof/>
            <w:szCs w:val="28"/>
          </w:rPr>
          <w:t xml:space="preserve">第十九条 </w:t>
        </w:r>
        <w:r w:rsidR="007619C1">
          <w:rPr>
            <w:rFonts w:ascii="仿宋" w:eastAsia="仿宋" w:hAnsi="仿宋" w:hint="eastAsia"/>
            <w:bCs/>
            <w:noProof/>
            <w:szCs w:val="28"/>
          </w:rPr>
          <w:t>基金</w:t>
        </w:r>
        <w:r w:rsidR="007561E0">
          <w:rPr>
            <w:rFonts w:ascii="仿宋" w:eastAsia="仿宋" w:hAnsi="仿宋" w:hint="eastAsia"/>
            <w:bCs/>
            <w:noProof/>
            <w:szCs w:val="28"/>
          </w:rPr>
          <w:t>托管协议的效力</w:t>
        </w:r>
        <w:r w:rsidR="007561E0">
          <w:rPr>
            <w:noProof/>
          </w:rPr>
          <w:tab/>
        </w:r>
        <w:r w:rsidR="007561E0">
          <w:rPr>
            <w:noProof/>
          </w:rPr>
          <w:fldChar w:fldCharType="begin"/>
        </w:r>
        <w:r w:rsidR="007561E0">
          <w:rPr>
            <w:noProof/>
          </w:rPr>
          <w:instrText xml:space="preserve"> PAGEREF _Toc25128 \h </w:instrText>
        </w:r>
        <w:r w:rsidR="007561E0">
          <w:rPr>
            <w:noProof/>
          </w:rPr>
        </w:r>
        <w:r w:rsidR="007561E0">
          <w:rPr>
            <w:noProof/>
          </w:rPr>
          <w:fldChar w:fldCharType="separate"/>
        </w:r>
        <w:r>
          <w:rPr>
            <w:noProof/>
          </w:rPr>
          <w:t>38</w:t>
        </w:r>
        <w:r w:rsidR="007561E0">
          <w:rPr>
            <w:noProof/>
          </w:rPr>
          <w:fldChar w:fldCharType="end"/>
        </w:r>
      </w:hyperlink>
    </w:p>
    <w:p w14:paraId="1723B199" w14:textId="11E5E4FD" w:rsidR="009C2B7D" w:rsidRDefault="00830635">
      <w:pPr>
        <w:pStyle w:val="11"/>
        <w:tabs>
          <w:tab w:val="clear" w:pos="8296"/>
          <w:tab w:val="right" w:leader="dot" w:pos="9003"/>
        </w:tabs>
        <w:rPr>
          <w:noProof/>
        </w:rPr>
      </w:pPr>
      <w:hyperlink w:anchor="_Toc326" w:history="1">
        <w:r w:rsidR="007561E0">
          <w:rPr>
            <w:rFonts w:ascii="仿宋" w:eastAsia="仿宋" w:hAnsi="仿宋" w:hint="eastAsia"/>
            <w:bCs/>
            <w:noProof/>
            <w:szCs w:val="28"/>
          </w:rPr>
          <w:t xml:space="preserve">第二十条 </w:t>
        </w:r>
        <w:r w:rsidR="007619C1">
          <w:rPr>
            <w:rFonts w:ascii="仿宋" w:eastAsia="仿宋" w:hAnsi="仿宋" w:hint="eastAsia"/>
            <w:bCs/>
            <w:noProof/>
            <w:szCs w:val="28"/>
          </w:rPr>
          <w:t>基金</w:t>
        </w:r>
        <w:r w:rsidR="007561E0">
          <w:rPr>
            <w:rFonts w:ascii="仿宋" w:eastAsia="仿宋" w:hAnsi="仿宋" w:hint="eastAsia"/>
            <w:bCs/>
            <w:noProof/>
            <w:szCs w:val="28"/>
          </w:rPr>
          <w:t>托管协议的签订</w:t>
        </w:r>
        <w:r w:rsidR="007561E0">
          <w:rPr>
            <w:noProof/>
          </w:rPr>
          <w:tab/>
        </w:r>
        <w:r w:rsidR="007561E0">
          <w:rPr>
            <w:noProof/>
          </w:rPr>
          <w:fldChar w:fldCharType="begin"/>
        </w:r>
        <w:r w:rsidR="007561E0">
          <w:rPr>
            <w:noProof/>
          </w:rPr>
          <w:instrText xml:space="preserve"> PAGEREF _Toc326 \h </w:instrText>
        </w:r>
        <w:r w:rsidR="007561E0">
          <w:rPr>
            <w:noProof/>
          </w:rPr>
        </w:r>
        <w:r w:rsidR="007561E0">
          <w:rPr>
            <w:noProof/>
          </w:rPr>
          <w:fldChar w:fldCharType="separate"/>
        </w:r>
        <w:r>
          <w:rPr>
            <w:noProof/>
          </w:rPr>
          <w:t>39</w:t>
        </w:r>
        <w:r w:rsidR="007561E0">
          <w:rPr>
            <w:noProof/>
          </w:rPr>
          <w:fldChar w:fldCharType="end"/>
        </w:r>
      </w:hyperlink>
    </w:p>
    <w:p w14:paraId="4F60EFB5" w14:textId="638C6A08" w:rsidR="009C2B7D" w:rsidRDefault="00830635">
      <w:pPr>
        <w:pStyle w:val="11"/>
        <w:tabs>
          <w:tab w:val="clear" w:pos="8296"/>
          <w:tab w:val="right" w:leader="dot" w:pos="9003"/>
        </w:tabs>
        <w:rPr>
          <w:noProof/>
        </w:rPr>
      </w:pPr>
      <w:hyperlink w:anchor="_Toc24445" w:history="1">
        <w:r w:rsidR="007561E0">
          <w:rPr>
            <w:rFonts w:ascii="仿宋" w:eastAsia="仿宋" w:hAnsi="仿宋" w:hint="eastAsia"/>
            <w:bCs/>
            <w:noProof/>
            <w:szCs w:val="28"/>
          </w:rPr>
          <w:t xml:space="preserve">第二十一条 </w:t>
        </w:r>
        <w:r w:rsidR="007561E0">
          <w:rPr>
            <w:rFonts w:ascii="仿宋" w:eastAsia="仿宋" w:hAnsi="仿宋"/>
            <w:bCs/>
            <w:noProof/>
            <w:szCs w:val="28"/>
          </w:rPr>
          <w:t>不可抗力</w:t>
        </w:r>
        <w:r w:rsidR="007561E0">
          <w:rPr>
            <w:noProof/>
          </w:rPr>
          <w:tab/>
        </w:r>
        <w:r w:rsidR="007561E0">
          <w:rPr>
            <w:noProof/>
          </w:rPr>
          <w:fldChar w:fldCharType="begin"/>
        </w:r>
        <w:r w:rsidR="007561E0">
          <w:rPr>
            <w:noProof/>
          </w:rPr>
          <w:instrText xml:space="preserve"> PAGEREF _Toc24445 \h </w:instrText>
        </w:r>
        <w:r w:rsidR="007561E0">
          <w:rPr>
            <w:noProof/>
          </w:rPr>
        </w:r>
        <w:r w:rsidR="007561E0">
          <w:rPr>
            <w:noProof/>
          </w:rPr>
          <w:fldChar w:fldCharType="separate"/>
        </w:r>
        <w:r>
          <w:rPr>
            <w:noProof/>
          </w:rPr>
          <w:t>40</w:t>
        </w:r>
        <w:r w:rsidR="007561E0">
          <w:rPr>
            <w:noProof/>
          </w:rPr>
          <w:fldChar w:fldCharType="end"/>
        </w:r>
      </w:hyperlink>
    </w:p>
    <w:p w14:paraId="54D8C446" w14:textId="77777777" w:rsidR="009C2B7D" w:rsidRDefault="007561E0">
      <w:pPr>
        <w:rPr>
          <w:rFonts w:ascii="仿宋" w:eastAsia="仿宋" w:hAnsi="仿宋"/>
          <w:color w:val="000000"/>
          <w:sz w:val="28"/>
          <w:szCs w:val="28"/>
        </w:rPr>
      </w:pPr>
      <w:r>
        <w:rPr>
          <w:rFonts w:ascii="仿宋" w:eastAsia="仿宋" w:hAnsi="仿宋"/>
          <w:color w:val="000000"/>
          <w:szCs w:val="28"/>
        </w:rPr>
        <w:fldChar w:fldCharType="end"/>
      </w:r>
    </w:p>
    <w:p w14:paraId="1AEEA340" w14:textId="77777777" w:rsidR="009C2B7D" w:rsidRDefault="009C2B7D">
      <w:pPr>
        <w:ind w:firstLineChars="200" w:firstLine="562"/>
        <w:rPr>
          <w:rFonts w:ascii="仿宋" w:eastAsia="仿宋" w:hAnsi="仿宋"/>
          <w:b/>
          <w:color w:val="000000"/>
          <w:sz w:val="28"/>
          <w:szCs w:val="28"/>
        </w:rPr>
        <w:sectPr w:rsidR="009C2B7D">
          <w:headerReference w:type="default" r:id="rId8"/>
          <w:footerReference w:type="even" r:id="rId9"/>
          <w:footerReference w:type="first" r:id="rId10"/>
          <w:pgSz w:w="11907" w:h="16840"/>
          <w:pgMar w:top="1361" w:right="1452" w:bottom="1134" w:left="1452" w:header="720" w:footer="720" w:gutter="0"/>
          <w:cols w:space="720"/>
          <w:titlePg/>
        </w:sectPr>
      </w:pPr>
    </w:p>
    <w:p w14:paraId="4FF97E5A" w14:textId="135E904D" w:rsidR="009C2B7D" w:rsidRDefault="007561E0">
      <w:pPr>
        <w:ind w:firstLineChars="200" w:firstLine="562"/>
        <w:rPr>
          <w:rFonts w:ascii="仿宋" w:eastAsia="仿宋" w:hAnsi="仿宋"/>
          <w:b/>
          <w:color w:val="000000"/>
          <w:sz w:val="28"/>
          <w:szCs w:val="28"/>
        </w:rPr>
      </w:pPr>
      <w:r w:rsidRPr="007561E0">
        <w:rPr>
          <w:rFonts w:ascii="仿宋" w:eastAsia="仿宋" w:hAnsi="仿宋" w:hint="eastAsia"/>
          <w:b/>
          <w:color w:val="000000"/>
          <w:sz w:val="28"/>
          <w:szCs w:val="28"/>
        </w:rPr>
        <w:lastRenderedPageBreak/>
        <w:t>华夏安裕中短债债券型证券投资基金</w:t>
      </w:r>
      <w:r>
        <w:rPr>
          <w:rFonts w:ascii="仿宋" w:eastAsia="仿宋" w:hAnsi="仿宋" w:hint="eastAsia"/>
          <w:b/>
          <w:color w:val="000000"/>
          <w:sz w:val="28"/>
          <w:szCs w:val="28"/>
        </w:rPr>
        <w:t>托管协议</w:t>
      </w:r>
    </w:p>
    <w:p w14:paraId="31713410" w14:textId="77777777" w:rsidR="009C2B7D" w:rsidRDefault="009C2B7D">
      <w:pPr>
        <w:rPr>
          <w:rFonts w:ascii="仿宋" w:eastAsia="仿宋" w:hAnsi="仿宋"/>
          <w:b/>
          <w:color w:val="000000"/>
          <w:sz w:val="28"/>
          <w:szCs w:val="28"/>
        </w:rPr>
      </w:pPr>
    </w:p>
    <w:p w14:paraId="010D6404"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基金管理人：</w:t>
      </w:r>
      <w:r w:rsidRPr="00893F8E">
        <w:rPr>
          <w:rFonts w:ascii="仿宋" w:eastAsia="仿宋" w:hAnsi="仿宋" w:cstheme="minorBidi" w:hint="eastAsia"/>
          <w:color w:val="000000"/>
          <w:sz w:val="28"/>
          <w:szCs w:val="28"/>
        </w:rPr>
        <w:t>华夏基金管理有限公司</w:t>
      </w:r>
    </w:p>
    <w:p w14:paraId="79C2A1AD"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住所：</w:t>
      </w:r>
      <w:r w:rsidRPr="00893F8E">
        <w:rPr>
          <w:rFonts w:ascii="仿宋" w:eastAsia="仿宋" w:hAnsi="仿宋" w:cstheme="minorBidi" w:hint="eastAsia"/>
          <w:color w:val="000000"/>
          <w:sz w:val="28"/>
          <w:szCs w:val="28"/>
        </w:rPr>
        <w:t>北京市顺义区安庆大街甲3号院</w:t>
      </w:r>
    </w:p>
    <w:p w14:paraId="3AC15AD7"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法定代表人：</w:t>
      </w:r>
      <w:r w:rsidRPr="00893F8E">
        <w:rPr>
          <w:rFonts w:ascii="仿宋" w:eastAsia="仿宋" w:hAnsi="仿宋" w:cstheme="minorBidi" w:hint="eastAsia"/>
          <w:color w:val="000000"/>
          <w:sz w:val="28"/>
          <w:szCs w:val="28"/>
        </w:rPr>
        <w:t>张佑君</w:t>
      </w:r>
    </w:p>
    <w:p w14:paraId="26C6CC30"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设立日期：</w:t>
      </w:r>
      <w:r w:rsidRPr="00893F8E">
        <w:rPr>
          <w:rFonts w:ascii="仿宋" w:eastAsia="仿宋" w:hAnsi="仿宋" w:cstheme="minorBidi" w:hint="eastAsia"/>
          <w:color w:val="000000"/>
          <w:sz w:val="28"/>
          <w:szCs w:val="28"/>
        </w:rPr>
        <w:t>1998年4月9日</w:t>
      </w:r>
    </w:p>
    <w:p w14:paraId="33941E5C"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批准设立机关及批准设立文号：</w:t>
      </w:r>
      <w:r w:rsidRPr="00893F8E">
        <w:rPr>
          <w:rFonts w:ascii="仿宋" w:eastAsia="仿宋" w:hAnsi="仿宋" w:cstheme="minorBidi" w:hint="eastAsia"/>
          <w:color w:val="000000"/>
          <w:sz w:val="28"/>
          <w:szCs w:val="28"/>
        </w:rPr>
        <w:t>中国证监会证监基字[1998]16号文</w:t>
      </w:r>
    </w:p>
    <w:p w14:paraId="545D8FDB"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组织形式：有限责任公司</w:t>
      </w:r>
    </w:p>
    <w:p w14:paraId="246495A2"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注册资本：</w:t>
      </w:r>
      <w:r>
        <w:rPr>
          <w:rFonts w:ascii="仿宋" w:eastAsia="仿宋" w:hAnsi="仿宋" w:cstheme="minorBidi"/>
          <w:color w:val="000000"/>
          <w:sz w:val="28"/>
          <w:szCs w:val="28"/>
        </w:rPr>
        <w:t>2.38</w:t>
      </w:r>
      <w:r>
        <w:rPr>
          <w:rFonts w:ascii="仿宋" w:eastAsia="仿宋" w:hAnsi="仿宋" w:cstheme="minorBidi" w:hint="eastAsia"/>
          <w:color w:val="000000"/>
          <w:sz w:val="28"/>
          <w:szCs w:val="28"/>
        </w:rPr>
        <w:t>亿元人民币</w:t>
      </w:r>
    </w:p>
    <w:p w14:paraId="41CD2FDC"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存续期限：</w:t>
      </w:r>
      <w:r w:rsidRPr="00893F8E">
        <w:rPr>
          <w:rFonts w:ascii="仿宋" w:eastAsia="仿宋" w:hAnsi="仿宋" w:cstheme="minorBidi" w:hint="eastAsia"/>
          <w:color w:val="000000"/>
          <w:sz w:val="28"/>
          <w:szCs w:val="28"/>
        </w:rPr>
        <w:t>100年</w:t>
      </w:r>
    </w:p>
    <w:p w14:paraId="77B1D3C0" w14:textId="77777777" w:rsidR="00B14D0C" w:rsidRDefault="00B14D0C" w:rsidP="00B14D0C">
      <w:pPr>
        <w:spacing w:before="60" w:after="60"/>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联系电话：</w:t>
      </w:r>
      <w:r w:rsidRPr="00893F8E">
        <w:rPr>
          <w:rFonts w:ascii="仿宋" w:eastAsia="仿宋" w:hAnsi="仿宋"/>
          <w:color w:val="000000"/>
          <w:sz w:val="28"/>
          <w:szCs w:val="28"/>
        </w:rPr>
        <w:t>400-818-6666</w:t>
      </w:r>
    </w:p>
    <w:p w14:paraId="777135F4" w14:textId="77777777" w:rsidR="009C2B7D" w:rsidRDefault="009C2B7D">
      <w:pPr>
        <w:pStyle w:val="21"/>
        <w:rPr>
          <w:rFonts w:ascii="仿宋" w:eastAsia="仿宋" w:hAnsi="仿宋"/>
          <w:color w:val="000000"/>
          <w:sz w:val="28"/>
          <w:szCs w:val="28"/>
        </w:rPr>
      </w:pPr>
    </w:p>
    <w:p w14:paraId="4D2FCBC6" w14:textId="6D14DFF9"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 xml:space="preserve">托管人：中信银行股份有限公司 </w:t>
      </w:r>
    </w:p>
    <w:p w14:paraId="3DA947C4"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22330611"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1A7C882E"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成立时间：1987年4月20日</w:t>
      </w:r>
    </w:p>
    <w:p w14:paraId="3681038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批准设立文号：国办函[1987]14号</w:t>
      </w:r>
    </w:p>
    <w:p w14:paraId="0E725D4B"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5471BFA4"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2AD1D5AA"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4EFEA17D"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1986243C"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4A28D3E2" w14:textId="77777777" w:rsidR="009C2B7D" w:rsidRDefault="009C2B7D">
      <w:pPr>
        <w:rPr>
          <w:rFonts w:ascii="仿宋" w:eastAsia="仿宋" w:hAnsi="仿宋"/>
          <w:b/>
          <w:bCs/>
          <w:color w:val="000000"/>
          <w:sz w:val="28"/>
          <w:szCs w:val="28"/>
        </w:rPr>
      </w:pPr>
    </w:p>
    <w:p w14:paraId="1B5566E3" w14:textId="77777777" w:rsidR="009C2B7D" w:rsidRDefault="007561E0">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鉴于：</w:t>
      </w:r>
    </w:p>
    <w:p w14:paraId="3658C784" w14:textId="3832460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w:t>
      </w:r>
      <w:r w:rsidR="00B14D0C" w:rsidRPr="00AA46AC">
        <w:rPr>
          <w:rFonts w:ascii="仿宋" w:eastAsia="仿宋" w:hAnsi="仿宋" w:hint="eastAsia"/>
          <w:color w:val="000000"/>
          <w:sz w:val="28"/>
          <w:szCs w:val="28"/>
        </w:rPr>
        <w:t>华夏基金管理有限公司</w:t>
      </w:r>
      <w:r>
        <w:rPr>
          <w:rFonts w:ascii="仿宋" w:eastAsia="仿宋" w:hAnsi="仿宋" w:hint="eastAsia"/>
          <w:color w:val="000000"/>
          <w:sz w:val="28"/>
          <w:szCs w:val="28"/>
        </w:rPr>
        <w:t>系一家依照中国法律合法成立并有效存续的有限责任公司，按照相关法律法规的规定具备担任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管理人的资格和能力；</w:t>
      </w:r>
    </w:p>
    <w:p w14:paraId="06EADD83" w14:textId="7BB6892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托管人的资格和能力；</w:t>
      </w:r>
    </w:p>
    <w:p w14:paraId="7B4093CC" w14:textId="033F7D0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w:t>
      </w:r>
      <w:r w:rsidR="00B14D0C" w:rsidRPr="00AA46AC">
        <w:rPr>
          <w:rFonts w:ascii="仿宋" w:eastAsia="仿宋" w:hAnsi="仿宋" w:hint="eastAsia"/>
          <w:color w:val="000000"/>
          <w:sz w:val="28"/>
          <w:szCs w:val="28"/>
        </w:rPr>
        <w:t>华夏基金管理有限公司</w:t>
      </w:r>
      <w:r>
        <w:rPr>
          <w:rFonts w:ascii="仿宋" w:eastAsia="仿宋" w:hAnsi="仿宋" w:hint="eastAsia"/>
          <w:color w:val="000000"/>
          <w:sz w:val="28"/>
          <w:szCs w:val="28"/>
        </w:rPr>
        <w:t>拟担任</w:t>
      </w:r>
      <w:r w:rsidR="00B14D0C" w:rsidRPr="00B14D0C">
        <w:rPr>
          <w:rFonts w:ascii="仿宋" w:eastAsia="仿宋" w:hAnsi="仿宋" w:hint="eastAsia"/>
          <w:color w:val="000000"/>
          <w:sz w:val="28"/>
          <w:szCs w:val="28"/>
        </w:rPr>
        <w:t>华夏安裕中短债债券型证券投资基金</w:t>
      </w:r>
      <w:r>
        <w:rPr>
          <w:rFonts w:ascii="仿宋" w:eastAsia="仿宋" w:hAnsi="仿宋" w:hint="eastAsia"/>
          <w:color w:val="000000"/>
          <w:sz w:val="28"/>
          <w:szCs w:val="28"/>
        </w:rPr>
        <w:t>的</w:t>
      </w:r>
      <w:r w:rsidR="00803BDB">
        <w:rPr>
          <w:rFonts w:ascii="仿宋" w:eastAsia="仿宋" w:hAnsi="仿宋" w:hint="eastAsia"/>
          <w:color w:val="000000"/>
          <w:sz w:val="28"/>
          <w:szCs w:val="28"/>
        </w:rPr>
        <w:t>基金</w:t>
      </w:r>
      <w:r>
        <w:rPr>
          <w:rFonts w:ascii="仿宋" w:eastAsia="仿宋" w:hAnsi="仿宋" w:hint="eastAsia"/>
          <w:color w:val="000000"/>
          <w:sz w:val="28"/>
          <w:szCs w:val="28"/>
        </w:rPr>
        <w:t>管理人，中信银行股份有限公司拟担任</w:t>
      </w:r>
      <w:r w:rsidR="00B14D0C" w:rsidRPr="00B14D0C">
        <w:rPr>
          <w:rFonts w:ascii="仿宋" w:eastAsia="仿宋" w:hAnsi="仿宋" w:hint="eastAsia"/>
          <w:color w:val="000000"/>
          <w:sz w:val="28"/>
          <w:szCs w:val="28"/>
        </w:rPr>
        <w:t>华夏安裕中短债债券型证券投资基金</w:t>
      </w:r>
      <w:r>
        <w:rPr>
          <w:rFonts w:ascii="仿宋" w:eastAsia="仿宋" w:hAnsi="仿宋" w:hint="eastAsia"/>
          <w:color w:val="000000"/>
          <w:sz w:val="28"/>
          <w:szCs w:val="28"/>
        </w:rPr>
        <w:t>的</w:t>
      </w:r>
      <w:r w:rsidR="00803BDB">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7772F590" w14:textId="5E1FFC3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B14D0C" w:rsidRPr="00B14D0C">
        <w:rPr>
          <w:rFonts w:ascii="仿宋" w:eastAsia="仿宋" w:hAnsi="仿宋" w:hint="eastAsia"/>
          <w:color w:val="000000"/>
          <w:sz w:val="28"/>
          <w:szCs w:val="28"/>
        </w:rPr>
        <w:t>华夏安裕中短债债券型证券投资基金</w:t>
      </w:r>
      <w:r>
        <w:rPr>
          <w:rFonts w:ascii="仿宋" w:eastAsia="仿宋" w:hAnsi="仿宋" w:hint="eastAsia"/>
          <w:color w:val="000000"/>
          <w:sz w:val="28"/>
          <w:szCs w:val="28"/>
        </w:rPr>
        <w:t>（以下简称“</w:t>
      </w:r>
      <w:r w:rsidR="00803BDB">
        <w:rPr>
          <w:rFonts w:ascii="仿宋" w:eastAsia="仿宋" w:hAnsi="仿宋" w:hint="eastAsia"/>
          <w:color w:val="000000"/>
          <w:sz w:val="28"/>
          <w:szCs w:val="28"/>
        </w:rPr>
        <w:t>本</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”）托管中的权利、义务及责任，确保</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份额持有人的合法权益，依据《中华人民共和国民法典》等法律法规以及相关规定，双方本着平等自愿、诚实守信的原则特签订本协议。</w:t>
      </w:r>
    </w:p>
    <w:p w14:paraId="10438A47" w14:textId="77777777" w:rsidR="009C2B7D" w:rsidRDefault="009C2B7D">
      <w:pPr>
        <w:pStyle w:val="21"/>
        <w:rPr>
          <w:rFonts w:ascii="仿宋" w:eastAsia="仿宋" w:hAnsi="仿宋"/>
          <w:color w:val="000000"/>
          <w:sz w:val="28"/>
          <w:szCs w:val="28"/>
        </w:rPr>
      </w:pPr>
    </w:p>
    <w:p w14:paraId="0A1C8E1A" w14:textId="77777777" w:rsidR="009C2B7D" w:rsidRDefault="007561E0">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048439CA" w14:textId="1AA66CE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B14D0C" w:rsidRPr="00B14D0C">
        <w:rPr>
          <w:rFonts w:ascii="仿宋" w:eastAsia="仿宋" w:hAnsi="仿宋" w:hint="eastAsia"/>
          <w:color w:val="000000"/>
          <w:sz w:val="28"/>
          <w:szCs w:val="28"/>
        </w:rPr>
        <w:t>华夏安裕中短债债券型证券投资基金</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合同》(以下简称“</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合同”)中定义的术语在用于本协议时应具有相同的含义；若有抵触应以</w:t>
      </w:r>
      <w:r w:rsidR="007619C1">
        <w:rPr>
          <w:rFonts w:ascii="仿宋" w:eastAsia="仿宋" w:hAnsi="仿宋" w:hint="eastAsia"/>
          <w:color w:val="000000"/>
          <w:sz w:val="28"/>
          <w:szCs w:val="28"/>
        </w:rPr>
        <w:t>基金</w:t>
      </w:r>
      <w:r>
        <w:rPr>
          <w:rFonts w:ascii="仿宋" w:eastAsia="仿宋" w:hAnsi="仿宋" w:hint="eastAsia"/>
          <w:color w:val="000000"/>
          <w:sz w:val="28"/>
          <w:szCs w:val="28"/>
        </w:rPr>
        <w:t xml:space="preserve">合同为准，并依其条款解释。 </w:t>
      </w:r>
    </w:p>
    <w:p w14:paraId="5FA9B2A7" w14:textId="77777777" w:rsidR="009C2B7D" w:rsidRDefault="009C2B7D">
      <w:pPr>
        <w:pStyle w:val="21"/>
        <w:rPr>
          <w:rFonts w:ascii="仿宋" w:eastAsia="仿宋" w:hAnsi="仿宋"/>
          <w:color w:val="000000"/>
          <w:sz w:val="28"/>
          <w:szCs w:val="28"/>
        </w:rPr>
      </w:pPr>
    </w:p>
    <w:p w14:paraId="0C379A52" w14:textId="77777777" w:rsidR="009C2B7D" w:rsidRDefault="009C2B7D">
      <w:pPr>
        <w:pStyle w:val="1"/>
        <w:rPr>
          <w:rFonts w:ascii="仿宋" w:eastAsia="仿宋" w:hAnsi="仿宋"/>
          <w:bCs/>
          <w:sz w:val="28"/>
          <w:szCs w:val="28"/>
        </w:rPr>
        <w:sectPr w:rsidR="009C2B7D" w:rsidSect="004B5A27">
          <w:footerReference w:type="default" r:id="rId11"/>
          <w:footerReference w:type="first" r:id="rId12"/>
          <w:pgSz w:w="11907" w:h="16840"/>
          <w:pgMar w:top="1361" w:right="1452" w:bottom="1134" w:left="1452" w:header="720" w:footer="720" w:gutter="0"/>
          <w:pgNumType w:start="1"/>
          <w:cols w:space="720"/>
          <w:docGrid w:linePitch="286"/>
        </w:sectPr>
      </w:pPr>
      <w:bookmarkStart w:id="15" w:name="_Toc296551337"/>
    </w:p>
    <w:p w14:paraId="4C27F39C" w14:textId="503A5FD5" w:rsidR="009C2B7D" w:rsidRDefault="007561E0">
      <w:pPr>
        <w:pStyle w:val="1"/>
        <w:rPr>
          <w:rFonts w:ascii="仿宋" w:eastAsia="仿宋" w:hAnsi="仿宋"/>
          <w:bCs/>
          <w:sz w:val="28"/>
          <w:szCs w:val="28"/>
        </w:rPr>
      </w:pPr>
      <w:bookmarkStart w:id="16" w:name="_Toc532912122"/>
      <w:bookmarkStart w:id="17" w:name="_Toc17678"/>
      <w:r>
        <w:rPr>
          <w:rFonts w:ascii="仿宋" w:eastAsia="仿宋" w:hAnsi="仿宋" w:hint="eastAsia"/>
          <w:bCs/>
          <w:sz w:val="28"/>
          <w:szCs w:val="28"/>
        </w:rPr>
        <w:t xml:space="preserve">第一条 </w:t>
      </w:r>
      <w:r w:rsidR="007619C1">
        <w:rPr>
          <w:rFonts w:ascii="仿宋" w:eastAsia="仿宋" w:hAnsi="仿宋" w:hint="eastAsia"/>
          <w:bCs/>
          <w:sz w:val="28"/>
          <w:szCs w:val="28"/>
        </w:rPr>
        <w:t>基金</w:t>
      </w:r>
      <w:r>
        <w:rPr>
          <w:rFonts w:ascii="仿宋" w:eastAsia="仿宋" w:hAnsi="仿宋" w:hint="eastAsia"/>
          <w:bCs/>
          <w:sz w:val="28"/>
          <w:szCs w:val="28"/>
        </w:rPr>
        <w:t>托管协议当事人</w:t>
      </w:r>
      <w:bookmarkEnd w:id="15"/>
      <w:bookmarkEnd w:id="16"/>
      <w:bookmarkEnd w:id="17"/>
    </w:p>
    <w:p w14:paraId="33B98DE0" w14:textId="52F5DAA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2A1F37B5" w14:textId="27B4A90A" w:rsidR="00B14D0C" w:rsidRPr="0096028E" w:rsidRDefault="007561E0" w:rsidP="00B14D0C">
      <w:pPr>
        <w:pStyle w:val="21"/>
        <w:rPr>
          <w:rFonts w:ascii="仿宋" w:eastAsia="仿宋" w:hAnsi="仿宋"/>
          <w:color w:val="000000"/>
          <w:sz w:val="28"/>
          <w:szCs w:val="28"/>
        </w:rPr>
      </w:pPr>
      <w:r>
        <w:rPr>
          <w:rFonts w:ascii="仿宋" w:eastAsia="仿宋" w:hAnsi="仿宋" w:hint="eastAsia"/>
          <w:color w:val="000000"/>
          <w:sz w:val="28"/>
          <w:szCs w:val="28"/>
        </w:rPr>
        <w:t>名称：</w:t>
      </w:r>
      <w:r w:rsidR="00B14D0C" w:rsidRPr="0096028E">
        <w:rPr>
          <w:rFonts w:ascii="仿宋" w:eastAsia="仿宋" w:hAnsi="仿宋" w:hint="eastAsia"/>
          <w:color w:val="000000"/>
          <w:sz w:val="28"/>
          <w:szCs w:val="28"/>
        </w:rPr>
        <w:t>华夏基金管理有限公司</w:t>
      </w:r>
    </w:p>
    <w:p w14:paraId="0AA8E071"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住所：北京市顺义区安庆大街甲3号院</w:t>
      </w:r>
    </w:p>
    <w:p w14:paraId="0BB6FFAF"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法定代表人：张佑君</w:t>
      </w:r>
    </w:p>
    <w:p w14:paraId="067B8BA2"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成立时间：1998年4月9日</w:t>
      </w:r>
    </w:p>
    <w:p w14:paraId="4CA87C06"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批准设立机关及批准设立文号：中国证监会证监基字[1998]16号文</w:t>
      </w:r>
    </w:p>
    <w:p w14:paraId="76AAD887"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注册资本：2.38亿元人民币</w:t>
      </w:r>
    </w:p>
    <w:p w14:paraId="1341B7E5"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组织形式:有限责任公司</w:t>
      </w:r>
    </w:p>
    <w:p w14:paraId="5B38819D"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经营范围：（一）基金募集；（二）基金销售；（三）资产管理；（四）从事特定客户资产管理业务；（五）中国证监会核准的其他业务。</w:t>
      </w:r>
    </w:p>
    <w:p w14:paraId="21D1516F"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存续期间：100年</w:t>
      </w:r>
    </w:p>
    <w:p w14:paraId="762DCA4A" w14:textId="77777777" w:rsidR="00B14D0C"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电话：400-818-6666</w:t>
      </w:r>
    </w:p>
    <w:p w14:paraId="154968CD" w14:textId="405881D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3C46446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6EBC267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431DBD9D"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67000407"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成立时间：1987年4月20日</w:t>
      </w:r>
    </w:p>
    <w:p w14:paraId="06A77223"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批准设立文号：国办函[1987]14号</w:t>
      </w:r>
    </w:p>
    <w:p w14:paraId="60D26A47"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0343FD2A"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6253DFCA"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46BD36AE"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57EE112F" w14:textId="4B5B81B8" w:rsidR="00166AE1" w:rsidRDefault="00166AE1">
      <w:pPr>
        <w:pStyle w:val="21"/>
        <w:rPr>
          <w:rFonts w:ascii="仿宋" w:eastAsia="仿宋" w:hAnsi="仿宋"/>
          <w:color w:val="000000"/>
          <w:sz w:val="28"/>
          <w:szCs w:val="28"/>
        </w:rPr>
      </w:pPr>
    </w:p>
    <w:p w14:paraId="63E78A13" w14:textId="108C5E37" w:rsidR="009C2B7D" w:rsidRDefault="009C2B7D">
      <w:pPr>
        <w:pStyle w:val="21"/>
        <w:rPr>
          <w:rFonts w:ascii="仿宋" w:eastAsia="仿宋" w:hAnsi="仿宋"/>
          <w:color w:val="000000"/>
          <w:sz w:val="28"/>
          <w:szCs w:val="28"/>
        </w:rPr>
      </w:pPr>
    </w:p>
    <w:p w14:paraId="44A8E513" w14:textId="77777777" w:rsidR="009C2B7D" w:rsidRDefault="009C2B7D">
      <w:pPr>
        <w:pStyle w:val="1"/>
        <w:rPr>
          <w:rFonts w:ascii="仿宋" w:eastAsia="仿宋" w:hAnsi="仿宋"/>
          <w:bCs/>
          <w:sz w:val="28"/>
          <w:szCs w:val="28"/>
        </w:rPr>
        <w:sectPr w:rsidR="009C2B7D">
          <w:footerReference w:type="default" r:id="rId13"/>
          <w:footerReference w:type="first" r:id="rId14"/>
          <w:pgSz w:w="11907" w:h="16840"/>
          <w:pgMar w:top="1361" w:right="1452" w:bottom="1134" w:left="1452" w:header="720" w:footer="720" w:gutter="0"/>
          <w:cols w:space="720"/>
          <w:docGrid w:linePitch="286"/>
        </w:sectPr>
      </w:pPr>
      <w:bookmarkStart w:id="18" w:name="_Toc296551338"/>
    </w:p>
    <w:p w14:paraId="1E68F281" w14:textId="1E79C1B1" w:rsidR="009C2B7D" w:rsidRDefault="007561E0">
      <w:pPr>
        <w:pStyle w:val="1"/>
        <w:rPr>
          <w:rFonts w:ascii="仿宋" w:eastAsia="仿宋" w:hAnsi="仿宋"/>
          <w:bCs/>
          <w:sz w:val="28"/>
          <w:szCs w:val="28"/>
        </w:rPr>
      </w:pPr>
      <w:bookmarkStart w:id="19" w:name="_Toc532912123"/>
      <w:bookmarkStart w:id="20" w:name="_Toc1252"/>
      <w:r>
        <w:rPr>
          <w:rFonts w:ascii="仿宋" w:eastAsia="仿宋" w:hAnsi="仿宋" w:hint="eastAsia"/>
          <w:bCs/>
          <w:sz w:val="28"/>
          <w:szCs w:val="28"/>
        </w:rPr>
        <w:t xml:space="preserve">第二条 </w:t>
      </w:r>
      <w:r w:rsidR="007619C1">
        <w:rPr>
          <w:rFonts w:ascii="仿宋" w:eastAsia="仿宋" w:hAnsi="仿宋" w:hint="eastAsia"/>
          <w:bCs/>
          <w:sz w:val="28"/>
          <w:szCs w:val="28"/>
        </w:rPr>
        <w:t>基金</w:t>
      </w:r>
      <w:r>
        <w:rPr>
          <w:rFonts w:ascii="仿宋" w:eastAsia="仿宋" w:hAnsi="仿宋" w:hint="eastAsia"/>
          <w:bCs/>
          <w:sz w:val="28"/>
          <w:szCs w:val="28"/>
        </w:rPr>
        <w:t>托管协议的依据、目的和原则</w:t>
      </w:r>
      <w:bookmarkEnd w:id="18"/>
      <w:bookmarkEnd w:id="19"/>
      <w:bookmarkEnd w:id="20"/>
    </w:p>
    <w:p w14:paraId="3B2C0838" w14:textId="3BD6E08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托管协议的依据</w:t>
      </w:r>
    </w:p>
    <w:p w14:paraId="23441F84" w14:textId="4B1F8DA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订立本协议的依据是《中华人民共和国民法典》、</w:t>
      </w:r>
      <w:r w:rsidR="00B14D0C" w:rsidRPr="005221C0">
        <w:rPr>
          <w:rFonts w:ascii="仿宋" w:eastAsia="仿宋" w:hAnsi="仿宋" w:hint="eastAsia"/>
          <w:color w:val="000000"/>
          <w:sz w:val="28"/>
          <w:szCs w:val="28"/>
        </w:rPr>
        <w:t>《中华人民共和国证券法》（以下简称“《证券法》”）</w:t>
      </w:r>
      <w:r w:rsidR="00B14D0C">
        <w:rPr>
          <w:rFonts w:ascii="仿宋" w:eastAsia="仿宋" w:hAnsi="仿宋" w:hint="eastAsia"/>
          <w:color w:val="000000"/>
          <w:sz w:val="28"/>
          <w:szCs w:val="28"/>
        </w:rPr>
        <w:t>、</w:t>
      </w:r>
      <w:r>
        <w:rPr>
          <w:rFonts w:ascii="仿宋" w:eastAsia="仿宋" w:hAnsi="仿宋" w:hint="eastAsia"/>
          <w:color w:val="000000"/>
          <w:sz w:val="28"/>
          <w:szCs w:val="28"/>
        </w:rPr>
        <w:t>《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证券投资基金信息披露内容与格式准则第7号〈托管协议的内容与格式〉》、《证券投资基金托管业务管理办法》、</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合同及其他有关规定。</w:t>
      </w:r>
    </w:p>
    <w:p w14:paraId="0779D643" w14:textId="148AC47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托管协议的目的</w:t>
      </w:r>
    </w:p>
    <w:p w14:paraId="681D6A81" w14:textId="03E3329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管理人之间在</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财产的保管、投资运作、净值计算、收益分配、信息披露及相互监督等有关事宜中的权利、义务及职责，确保</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4B8BD079" w14:textId="3E18DA3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2.3</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托管协议的原则</w:t>
      </w:r>
    </w:p>
    <w:p w14:paraId="4DC9843A" w14:textId="16E133DB"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托管人本着平等自愿、诚实信用、充分保护</w:t>
      </w:r>
      <w:r>
        <w:rPr>
          <w:rFonts w:ascii="仿宋" w:eastAsia="仿宋" w:hAnsi="仿宋" w:hint="eastAsia"/>
          <w:color w:val="000000"/>
          <w:sz w:val="28"/>
          <w:szCs w:val="28"/>
        </w:rPr>
        <w:t>基金</w:t>
      </w:r>
      <w:r w:rsidR="007561E0">
        <w:rPr>
          <w:rFonts w:ascii="仿宋" w:eastAsia="仿宋" w:hAnsi="仿宋" w:hint="eastAsia"/>
          <w:color w:val="000000"/>
          <w:sz w:val="28"/>
          <w:szCs w:val="28"/>
        </w:rPr>
        <w:t>份额持有人合法权益的原则，经协商一致，签订本协议。</w:t>
      </w:r>
    </w:p>
    <w:p w14:paraId="28A77DC9" w14:textId="77777777" w:rsidR="00B14D0C" w:rsidRPr="0096028E" w:rsidRDefault="00B14D0C" w:rsidP="00B14D0C">
      <w:pPr>
        <w:pStyle w:val="21"/>
        <w:rPr>
          <w:rFonts w:ascii="仿宋" w:eastAsia="仿宋" w:hAnsi="仿宋"/>
          <w:color w:val="000000"/>
          <w:sz w:val="28"/>
          <w:szCs w:val="28"/>
        </w:rPr>
      </w:pPr>
      <w:r w:rsidRPr="0096028E">
        <w:rPr>
          <w:rFonts w:ascii="仿宋" w:eastAsia="仿宋" w:hAnsi="仿宋" w:hint="eastAsia"/>
          <w:color w:val="000000"/>
          <w:sz w:val="28"/>
          <w:szCs w:val="28"/>
        </w:rPr>
        <w:t>2.4若本基金实施侧袋机制的，侧袋机制实施期间的相关安排见基金合同和招募说明书的规定。</w:t>
      </w:r>
    </w:p>
    <w:p w14:paraId="5B5A0CBC" w14:textId="77777777" w:rsidR="00B14D0C" w:rsidRDefault="00B14D0C">
      <w:pPr>
        <w:pStyle w:val="21"/>
        <w:rPr>
          <w:rFonts w:ascii="仿宋" w:eastAsia="仿宋" w:hAnsi="仿宋"/>
          <w:color w:val="000000"/>
          <w:sz w:val="28"/>
          <w:szCs w:val="28"/>
        </w:rPr>
      </w:pPr>
    </w:p>
    <w:p w14:paraId="46E28FD8" w14:textId="77777777" w:rsidR="009C2B7D" w:rsidRDefault="009C2B7D">
      <w:pPr>
        <w:pStyle w:val="21"/>
        <w:rPr>
          <w:rFonts w:ascii="仿宋" w:eastAsia="仿宋" w:hAnsi="仿宋"/>
          <w:color w:val="000000"/>
          <w:sz w:val="28"/>
          <w:szCs w:val="28"/>
        </w:rPr>
      </w:pPr>
    </w:p>
    <w:p w14:paraId="7CB52516" w14:textId="77777777" w:rsidR="009C2B7D" w:rsidRDefault="009C2B7D">
      <w:pPr>
        <w:pStyle w:val="1"/>
        <w:rPr>
          <w:rFonts w:ascii="仿宋" w:eastAsia="仿宋" w:hAnsi="仿宋"/>
          <w:bCs/>
          <w:sz w:val="28"/>
          <w:szCs w:val="28"/>
        </w:rPr>
        <w:sectPr w:rsidR="009C2B7D">
          <w:footerReference w:type="default" r:id="rId15"/>
          <w:footerReference w:type="first" r:id="rId16"/>
          <w:pgSz w:w="11907" w:h="16840"/>
          <w:pgMar w:top="1361" w:right="1452" w:bottom="1134" w:left="1452" w:header="720" w:footer="720" w:gutter="0"/>
          <w:cols w:space="720"/>
          <w:docGrid w:linePitch="286"/>
        </w:sectPr>
      </w:pPr>
      <w:bookmarkStart w:id="21" w:name="_Toc296551339"/>
    </w:p>
    <w:p w14:paraId="4C5CB21B" w14:textId="0351C0FF" w:rsidR="009C2B7D" w:rsidRDefault="007561E0">
      <w:pPr>
        <w:pStyle w:val="1"/>
        <w:rPr>
          <w:rFonts w:ascii="仿宋" w:eastAsia="仿宋" w:hAnsi="仿宋"/>
          <w:bCs/>
          <w:sz w:val="28"/>
          <w:szCs w:val="28"/>
        </w:rPr>
      </w:pPr>
      <w:bookmarkStart w:id="22" w:name="_Toc532912124"/>
      <w:bookmarkStart w:id="23" w:name="_Toc15380"/>
      <w:r>
        <w:rPr>
          <w:rFonts w:ascii="仿宋" w:eastAsia="仿宋" w:hAnsi="仿宋" w:hint="eastAsia"/>
          <w:bCs/>
          <w:sz w:val="28"/>
          <w:szCs w:val="28"/>
        </w:rPr>
        <w:t xml:space="preserve">第三条 </w:t>
      </w:r>
      <w:r w:rsidR="007619C1">
        <w:rPr>
          <w:rFonts w:ascii="仿宋" w:eastAsia="仿宋" w:hAnsi="仿宋" w:hint="eastAsia"/>
          <w:bCs/>
          <w:sz w:val="28"/>
          <w:szCs w:val="28"/>
        </w:rPr>
        <w:t>基金</w:t>
      </w:r>
      <w:r>
        <w:rPr>
          <w:rFonts w:ascii="仿宋" w:eastAsia="仿宋" w:hAnsi="仿宋" w:hint="eastAsia"/>
          <w:bCs/>
          <w:sz w:val="28"/>
          <w:szCs w:val="28"/>
        </w:rPr>
        <w:t>托管人对</w:t>
      </w:r>
      <w:r w:rsidR="007619C1">
        <w:rPr>
          <w:rFonts w:ascii="仿宋" w:eastAsia="仿宋" w:hAnsi="仿宋" w:hint="eastAsia"/>
          <w:bCs/>
          <w:sz w:val="28"/>
          <w:szCs w:val="28"/>
        </w:rPr>
        <w:t>基金</w:t>
      </w:r>
      <w:r>
        <w:rPr>
          <w:rFonts w:ascii="仿宋" w:eastAsia="仿宋" w:hAnsi="仿宋" w:hint="eastAsia"/>
          <w:bCs/>
          <w:sz w:val="28"/>
          <w:szCs w:val="28"/>
        </w:rPr>
        <w:t>管理人的业务监督和核查</w:t>
      </w:r>
      <w:bookmarkEnd w:id="21"/>
      <w:bookmarkEnd w:id="22"/>
      <w:bookmarkEnd w:id="23"/>
    </w:p>
    <w:p w14:paraId="1B298C0E" w14:textId="2C44F36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管理人的投资行为行使监督权</w:t>
      </w:r>
    </w:p>
    <w:p w14:paraId="23EEAB30" w14:textId="7000E0E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投资范围、投资对象进行监督。本</w:t>
      </w:r>
      <w:r w:rsidR="007619C1">
        <w:rPr>
          <w:rFonts w:ascii="仿宋" w:eastAsia="仿宋" w:hAnsi="仿宋" w:hint="eastAsia"/>
          <w:color w:val="000000"/>
          <w:sz w:val="28"/>
          <w:szCs w:val="28"/>
        </w:rPr>
        <w:t>基金</w:t>
      </w:r>
      <w:r>
        <w:rPr>
          <w:rFonts w:ascii="仿宋" w:eastAsia="仿宋" w:hAnsi="仿宋" w:hint="eastAsia"/>
          <w:color w:val="000000"/>
          <w:sz w:val="28"/>
          <w:szCs w:val="28"/>
        </w:rPr>
        <w:t>将投资于以下金融工具：</w:t>
      </w:r>
    </w:p>
    <w:p w14:paraId="3A1E7D05" w14:textId="77777777" w:rsidR="00B14D0C" w:rsidRPr="00B14D0C" w:rsidRDefault="00B14D0C" w:rsidP="00B14D0C">
      <w:pPr>
        <w:pStyle w:val="21"/>
        <w:rPr>
          <w:rFonts w:ascii="仿宋" w:eastAsia="仿宋" w:hAnsi="仿宋"/>
          <w:color w:val="000000"/>
          <w:sz w:val="28"/>
          <w:szCs w:val="28"/>
        </w:rPr>
      </w:pPr>
      <w:bookmarkStart w:id="24" w:name="_Hlk75351495"/>
      <w:r w:rsidRPr="00B14D0C">
        <w:rPr>
          <w:rFonts w:ascii="仿宋" w:eastAsia="仿宋" w:hAnsi="仿宋" w:hint="eastAsia"/>
          <w:color w:val="000000"/>
          <w:sz w:val="28"/>
          <w:szCs w:val="28"/>
        </w:rPr>
        <w:t xml:space="preserve">本基金的投资范围为具有良好流动性的金融工具，包括国内依法发行的债券（包括国债、央行票据、金融债券、企业债券、公司债券、中期票据、短期融资券、超短期融资券、次级债券、政府机构债券、地方政府债券、分离交易可转债的纯债部分等）、资产支持证券、债券回购、银行存款（包括协议存款、定期存款及其他银行存款）、同业存单、货币市场工具、国债期货、信用衍生品以及法律法规或中国证监会允许基金投资的其他金融工具（但须符合中国证监会的相关规定）。 </w:t>
      </w:r>
    </w:p>
    <w:p w14:paraId="3EAF0BA6" w14:textId="77777777" w:rsidR="00B14D0C" w:rsidRPr="00B14D0C" w:rsidRDefault="00B14D0C" w:rsidP="00B14D0C">
      <w:pPr>
        <w:pStyle w:val="21"/>
        <w:rPr>
          <w:rFonts w:ascii="仿宋" w:eastAsia="仿宋" w:hAnsi="仿宋"/>
          <w:color w:val="000000"/>
          <w:sz w:val="28"/>
          <w:szCs w:val="28"/>
        </w:rPr>
      </w:pPr>
      <w:r w:rsidRPr="00B14D0C">
        <w:rPr>
          <w:rFonts w:ascii="仿宋" w:eastAsia="仿宋" w:hAnsi="仿宋" w:hint="eastAsia"/>
          <w:color w:val="000000"/>
          <w:sz w:val="28"/>
          <w:szCs w:val="28"/>
        </w:rPr>
        <w:t>本基金不投资于股票等资产，也不投资于可转换债券（分离交易可转债的纯债部分除外）、可交换债券。</w:t>
      </w:r>
    </w:p>
    <w:p w14:paraId="5C5EA92F" w14:textId="77777777" w:rsidR="00B14D0C" w:rsidRPr="00B14D0C" w:rsidRDefault="00B14D0C" w:rsidP="00B14D0C">
      <w:pPr>
        <w:pStyle w:val="21"/>
        <w:rPr>
          <w:rFonts w:ascii="仿宋" w:eastAsia="仿宋" w:hAnsi="仿宋"/>
          <w:color w:val="000000"/>
          <w:sz w:val="28"/>
          <w:szCs w:val="28"/>
        </w:rPr>
      </w:pPr>
      <w:r w:rsidRPr="00B14D0C">
        <w:rPr>
          <w:rFonts w:ascii="仿宋" w:eastAsia="仿宋" w:hAnsi="仿宋" w:hint="eastAsia"/>
          <w:color w:val="000000"/>
          <w:sz w:val="28"/>
          <w:szCs w:val="28"/>
        </w:rPr>
        <w:t>如法律法规或监管机构以后允许基金投资其他品种，基金管理人在履行适当程序后，可以将其纳入投资范围。</w:t>
      </w:r>
    </w:p>
    <w:p w14:paraId="368D4DA9" w14:textId="77777777" w:rsidR="00B14D0C" w:rsidRPr="00B14D0C" w:rsidRDefault="00B14D0C" w:rsidP="00B14D0C">
      <w:pPr>
        <w:pStyle w:val="21"/>
        <w:rPr>
          <w:rFonts w:ascii="仿宋" w:eastAsia="仿宋" w:hAnsi="仿宋"/>
          <w:color w:val="000000"/>
          <w:sz w:val="28"/>
          <w:szCs w:val="28"/>
        </w:rPr>
      </w:pPr>
      <w:r w:rsidRPr="00B14D0C">
        <w:rPr>
          <w:rFonts w:ascii="仿宋" w:eastAsia="仿宋" w:hAnsi="仿宋" w:hint="eastAsia"/>
          <w:color w:val="000000"/>
          <w:sz w:val="28"/>
          <w:szCs w:val="28"/>
        </w:rPr>
        <w:t>基金的投资组合比例为：本基金投资于债券的比例不低于基金资产的80%，其中投资于中短期债券的比例不低于非现金资产的80%。每个交易日日终在扣除国债期货合约需缴纳的交易保证金后，应当保持不低于基金资产净值5%的现金或到期日在一年以内的政府债券，其中，现金不包括结算备付金、存出保证金、应收申购款等。</w:t>
      </w:r>
    </w:p>
    <w:p w14:paraId="65E92136" w14:textId="77777777" w:rsidR="00B14D0C" w:rsidRPr="00B14D0C" w:rsidRDefault="00B14D0C" w:rsidP="00B14D0C">
      <w:pPr>
        <w:pStyle w:val="21"/>
        <w:rPr>
          <w:rFonts w:ascii="仿宋" w:eastAsia="仿宋" w:hAnsi="仿宋"/>
          <w:color w:val="000000"/>
          <w:sz w:val="28"/>
          <w:szCs w:val="28"/>
        </w:rPr>
      </w:pPr>
      <w:r w:rsidRPr="00B14D0C">
        <w:rPr>
          <w:rFonts w:ascii="仿宋" w:eastAsia="仿宋" w:hAnsi="仿宋" w:hint="eastAsia"/>
          <w:color w:val="000000"/>
          <w:sz w:val="28"/>
          <w:szCs w:val="28"/>
        </w:rPr>
        <w:t>本基金所指的中短期债券是指剩余期限不超过3年（含）的债券资产，主要包括国债、央行票据、金融债券、企业债券、公司债券、中期票据、短期融资券、超短期融资券、次级债券、政府机构债券、地方政府债券、分离交易可转债的纯债部分等金融工具。</w:t>
      </w:r>
      <w:bookmarkEnd w:id="24"/>
    </w:p>
    <w:p w14:paraId="3BAC0622" w14:textId="77777777" w:rsidR="00B14D0C" w:rsidRPr="00B14D0C" w:rsidRDefault="00B14D0C" w:rsidP="00B14D0C">
      <w:pPr>
        <w:pStyle w:val="21"/>
        <w:rPr>
          <w:rFonts w:ascii="仿宋" w:eastAsia="仿宋" w:hAnsi="仿宋"/>
          <w:color w:val="000000"/>
          <w:sz w:val="28"/>
          <w:szCs w:val="28"/>
        </w:rPr>
      </w:pPr>
      <w:r w:rsidRPr="00B14D0C">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3DBCC3B7" w14:textId="19C03DF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合同的约定对下述</w:t>
      </w:r>
      <w:r w:rsidR="007619C1">
        <w:rPr>
          <w:rFonts w:ascii="仿宋" w:eastAsia="仿宋" w:hAnsi="仿宋" w:hint="eastAsia"/>
          <w:color w:val="000000"/>
          <w:sz w:val="28"/>
          <w:szCs w:val="28"/>
        </w:rPr>
        <w:t>基金</w:t>
      </w:r>
      <w:r>
        <w:rPr>
          <w:rFonts w:ascii="仿宋" w:eastAsia="仿宋" w:hAnsi="仿宋" w:hint="eastAsia"/>
          <w:color w:val="000000"/>
          <w:sz w:val="28"/>
          <w:szCs w:val="28"/>
        </w:rPr>
        <w:t>投融资比例进行监督：</w:t>
      </w:r>
    </w:p>
    <w:p w14:paraId="402F1514" w14:textId="77777777"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本基金的投资组合将遵循以下比例限制：</w:t>
      </w:r>
    </w:p>
    <w:p w14:paraId="69486918" w14:textId="77777777" w:rsidR="00B14D0C" w:rsidRPr="00B14D0C" w:rsidRDefault="00B14D0C" w:rsidP="00B14D0C">
      <w:pPr>
        <w:pStyle w:val="21"/>
        <w:rPr>
          <w:rFonts w:ascii="仿宋" w:eastAsia="仿宋" w:hAnsi="仿宋"/>
          <w:bCs/>
          <w:color w:val="000000"/>
          <w:sz w:val="28"/>
          <w:szCs w:val="28"/>
        </w:rPr>
      </w:pPr>
      <w:bookmarkStart w:id="25" w:name="_Hlk75351517"/>
      <w:r w:rsidRPr="00B14D0C">
        <w:rPr>
          <w:rFonts w:ascii="仿宋" w:eastAsia="仿宋" w:hAnsi="仿宋" w:hint="eastAsia"/>
          <w:bCs/>
          <w:color w:val="000000"/>
          <w:sz w:val="28"/>
          <w:szCs w:val="28"/>
        </w:rPr>
        <w:t>（</w:t>
      </w:r>
      <w:r w:rsidRPr="00B14D0C">
        <w:rPr>
          <w:rFonts w:ascii="仿宋" w:eastAsia="仿宋" w:hAnsi="仿宋"/>
          <w:bCs/>
          <w:color w:val="000000"/>
          <w:sz w:val="28"/>
          <w:szCs w:val="28"/>
        </w:rPr>
        <w:t>1</w:t>
      </w:r>
      <w:r w:rsidRPr="00B14D0C">
        <w:rPr>
          <w:rFonts w:ascii="仿宋" w:eastAsia="仿宋" w:hAnsi="仿宋" w:hint="eastAsia"/>
          <w:bCs/>
          <w:color w:val="000000"/>
          <w:sz w:val="28"/>
          <w:szCs w:val="28"/>
        </w:rPr>
        <w:t>）本基金投资于债券的比例不低于基金资产的80%，其中投资于中短期债券的比例不低于非现金资产的80%；</w:t>
      </w:r>
    </w:p>
    <w:p w14:paraId="19F4ACD7" w14:textId="77777777"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（2）每个交易日日终在扣除国债期货合约需缴纳的交易保证金后，应当保持不低于基金资产净值5%的现金或到期日在一年以内的政府债券，其中，现金不包括结算备付金、存出保证金、应收申购款等；</w:t>
      </w:r>
    </w:p>
    <w:p w14:paraId="5A9775E4" w14:textId="77777777"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（3）本基金持有一家公司发行的证券，其市值不超过基金资产净值的10%；</w:t>
      </w:r>
    </w:p>
    <w:p w14:paraId="7F929819" w14:textId="215BA830"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（4）本基金管理人管理的全部基金持有一家公司发行的证券，不超过该证券的10%；</w:t>
      </w:r>
    </w:p>
    <w:p w14:paraId="35E1E2FB" w14:textId="77777777"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5</w:t>
      </w:r>
      <w:r w:rsidRPr="00B14D0C">
        <w:rPr>
          <w:rFonts w:ascii="仿宋" w:eastAsia="仿宋" w:hAnsi="仿宋" w:hint="eastAsia"/>
          <w:bCs/>
          <w:color w:val="000000"/>
          <w:sz w:val="28"/>
          <w:szCs w:val="28"/>
        </w:rPr>
        <w:t>）本基金投资于同一原始权益人的各类资产支持证券的比例，不得超过基金资产净值的10%；</w:t>
      </w:r>
    </w:p>
    <w:p w14:paraId="35CD803D" w14:textId="77777777"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6</w:t>
      </w:r>
      <w:r w:rsidRPr="00B14D0C">
        <w:rPr>
          <w:rFonts w:ascii="仿宋" w:eastAsia="仿宋" w:hAnsi="仿宋" w:hint="eastAsia"/>
          <w:bCs/>
          <w:color w:val="000000"/>
          <w:sz w:val="28"/>
          <w:szCs w:val="28"/>
        </w:rPr>
        <w:t>）本基金持有的全部资产支持证券，其市值不得超过基金资产净值的</w:t>
      </w:r>
      <w:r w:rsidRPr="00B14D0C">
        <w:rPr>
          <w:rFonts w:ascii="仿宋" w:eastAsia="仿宋" w:hAnsi="仿宋"/>
          <w:bCs/>
          <w:color w:val="000000"/>
          <w:sz w:val="28"/>
          <w:szCs w:val="28"/>
        </w:rPr>
        <w:t>20%</w:t>
      </w:r>
      <w:r w:rsidRPr="00B14D0C">
        <w:rPr>
          <w:rFonts w:ascii="仿宋" w:eastAsia="仿宋" w:hAnsi="仿宋" w:hint="eastAsia"/>
          <w:bCs/>
          <w:color w:val="000000"/>
          <w:sz w:val="28"/>
          <w:szCs w:val="28"/>
        </w:rPr>
        <w:t>；</w:t>
      </w:r>
    </w:p>
    <w:p w14:paraId="27BD81D3" w14:textId="77777777"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7</w:t>
      </w:r>
      <w:r w:rsidRPr="00B14D0C">
        <w:rPr>
          <w:rFonts w:ascii="仿宋" w:eastAsia="仿宋" w:hAnsi="仿宋" w:hint="eastAsia"/>
          <w:bCs/>
          <w:color w:val="000000"/>
          <w:sz w:val="28"/>
          <w:szCs w:val="28"/>
        </w:rPr>
        <w:t>）本基金持有的同一（指同一信用级别）资产支持证券的比例，不得超过该资产支持证券规模的10%；</w:t>
      </w:r>
    </w:p>
    <w:p w14:paraId="2C2A3114" w14:textId="7F16C63C"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8</w:t>
      </w:r>
      <w:r w:rsidRPr="00B14D0C">
        <w:rPr>
          <w:rFonts w:ascii="仿宋" w:eastAsia="仿宋" w:hAnsi="仿宋" w:hint="eastAsia"/>
          <w:bCs/>
          <w:color w:val="000000"/>
          <w:sz w:val="28"/>
          <w:szCs w:val="28"/>
        </w:rPr>
        <w:t>）本基金管理人管理的全部基金投资于同一原始权益人的各类资产支持证券，不得超过其各类资产支持证券合计规模的10%；</w:t>
      </w:r>
    </w:p>
    <w:p w14:paraId="2984ABF1" w14:textId="0E8568F4"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00414E4B">
        <w:rPr>
          <w:rFonts w:ascii="仿宋" w:eastAsia="仿宋" w:hAnsi="仿宋"/>
          <w:bCs/>
          <w:color w:val="000000"/>
          <w:sz w:val="28"/>
          <w:szCs w:val="28"/>
        </w:rPr>
        <w:t>9</w:t>
      </w:r>
      <w:r w:rsidRPr="00B14D0C">
        <w:rPr>
          <w:rFonts w:ascii="仿宋" w:eastAsia="仿宋" w:hAnsi="仿宋" w:hint="eastAsia"/>
          <w:bCs/>
          <w:color w:val="000000"/>
          <w:sz w:val="28"/>
          <w:szCs w:val="28"/>
        </w:rPr>
        <w:t>）本基金主动投资于流动性受限资产的市值合计不得超过本基金资产净值的</w:t>
      </w:r>
      <w:r w:rsidRPr="00B14D0C">
        <w:rPr>
          <w:rFonts w:ascii="仿宋" w:eastAsia="仿宋" w:hAnsi="仿宋"/>
          <w:bCs/>
          <w:color w:val="000000"/>
          <w:sz w:val="28"/>
          <w:szCs w:val="28"/>
        </w:rPr>
        <w:t>15%</w:t>
      </w:r>
      <w:r w:rsidRPr="00B14D0C">
        <w:rPr>
          <w:rFonts w:ascii="仿宋" w:eastAsia="仿宋" w:hAnsi="仿宋" w:hint="eastAsia"/>
          <w:bCs/>
          <w:color w:val="000000"/>
          <w:sz w:val="28"/>
          <w:szCs w:val="28"/>
        </w:rPr>
        <w:t>。因证券市场波动、证券停牌、基金规模变动等基金管理人之外的因素致使基金不符合该比例限制的，基金管理人不得主动新增流动性受限资产的投资；</w:t>
      </w:r>
    </w:p>
    <w:p w14:paraId="61C51484" w14:textId="2F181389"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1</w:t>
      </w:r>
      <w:r w:rsidR="00414E4B">
        <w:rPr>
          <w:rFonts w:ascii="仿宋" w:eastAsia="仿宋" w:hAnsi="仿宋"/>
          <w:bCs/>
          <w:color w:val="000000"/>
          <w:sz w:val="28"/>
          <w:szCs w:val="28"/>
        </w:rPr>
        <w:t>0</w:t>
      </w:r>
      <w:r w:rsidRPr="00B14D0C">
        <w:rPr>
          <w:rFonts w:ascii="仿宋" w:eastAsia="仿宋" w:hAnsi="仿宋" w:hint="eastAsia"/>
          <w:bCs/>
          <w:color w:val="000000"/>
          <w:sz w:val="28"/>
          <w:szCs w:val="28"/>
        </w:rPr>
        <w:t>）本基金与私募类证券资管产品及中国证监会认定的其他主体为交易对手开展逆回购交易的，可接受质押品的资质要求应当与基金合同约定的投资范围保持一致；</w:t>
      </w:r>
    </w:p>
    <w:p w14:paraId="60B0EF3B" w14:textId="49B23FC4"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1</w:t>
      </w:r>
      <w:r w:rsidR="00414E4B">
        <w:rPr>
          <w:rFonts w:ascii="仿宋" w:eastAsia="仿宋" w:hAnsi="仿宋"/>
          <w:bCs/>
          <w:color w:val="000000"/>
          <w:sz w:val="28"/>
          <w:szCs w:val="28"/>
        </w:rPr>
        <w:t>1</w:t>
      </w:r>
      <w:r w:rsidRPr="00B14D0C">
        <w:rPr>
          <w:rFonts w:ascii="仿宋" w:eastAsia="仿宋" w:hAnsi="仿宋" w:hint="eastAsia"/>
          <w:bCs/>
          <w:color w:val="000000"/>
          <w:sz w:val="28"/>
          <w:szCs w:val="28"/>
        </w:rPr>
        <w:t>）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7ED69E1F" w14:textId="5645299A"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1</w:t>
      </w:r>
      <w:r w:rsidR="00414E4B">
        <w:rPr>
          <w:rFonts w:ascii="仿宋" w:eastAsia="仿宋" w:hAnsi="仿宋"/>
          <w:bCs/>
          <w:color w:val="000000"/>
          <w:sz w:val="28"/>
          <w:szCs w:val="28"/>
        </w:rPr>
        <w:t>2</w:t>
      </w:r>
      <w:r w:rsidRPr="00B14D0C">
        <w:rPr>
          <w:rFonts w:ascii="仿宋" w:eastAsia="仿宋" w:hAnsi="仿宋" w:hint="eastAsia"/>
          <w:bCs/>
          <w:color w:val="000000"/>
          <w:sz w:val="28"/>
          <w:szCs w:val="28"/>
        </w:rPr>
        <w:t>）本基金总资产不得超过基金净资产的140%；</w:t>
      </w:r>
    </w:p>
    <w:p w14:paraId="0A7CF67D" w14:textId="3659EC43"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1</w:t>
      </w:r>
      <w:r w:rsidR="00414E4B">
        <w:rPr>
          <w:rFonts w:ascii="仿宋" w:eastAsia="仿宋" w:hAnsi="仿宋"/>
          <w:bCs/>
          <w:color w:val="000000"/>
          <w:sz w:val="28"/>
          <w:szCs w:val="28"/>
        </w:rPr>
        <w:t>3</w:t>
      </w:r>
      <w:r w:rsidRPr="00B14D0C">
        <w:rPr>
          <w:rFonts w:ascii="仿宋" w:eastAsia="仿宋" w:hAnsi="仿宋" w:hint="eastAsia"/>
          <w:bCs/>
          <w:color w:val="000000"/>
          <w:sz w:val="28"/>
          <w:szCs w:val="28"/>
        </w:rPr>
        <w:t>）本基金参与信用衍生品投资，需遵守下列投资比例限制：本基金不持有具有信用保护卖方属性的信用衍生品，不持有合约类信用衍生品；本基金持有的信用衍生品名义本金不得超过本基金中所对应受保护债券面值的100%；本基金投资于同一信用保护卖方的各类信用衍生品名义本金合计不得超过基金资产净值的10%；因证券/期货市场波动、证券发行人合并、基金规模变动等基金管理人之外的因素致使基金投资比例不符合上述规定投资比例的，基金管理人应在3个月内进行调整；</w:t>
      </w:r>
    </w:p>
    <w:p w14:paraId="7708CA2F" w14:textId="32C98EB9"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w:t>
      </w:r>
      <w:r w:rsidRPr="00B14D0C">
        <w:rPr>
          <w:rFonts w:ascii="仿宋" w:eastAsia="仿宋" w:hAnsi="仿宋"/>
          <w:bCs/>
          <w:color w:val="000000"/>
          <w:sz w:val="28"/>
          <w:szCs w:val="28"/>
        </w:rPr>
        <w:t>1</w:t>
      </w:r>
      <w:r w:rsidR="00414E4B">
        <w:rPr>
          <w:rFonts w:ascii="仿宋" w:eastAsia="仿宋" w:hAnsi="仿宋"/>
          <w:bCs/>
          <w:color w:val="000000"/>
          <w:sz w:val="28"/>
          <w:szCs w:val="28"/>
        </w:rPr>
        <w:t>4</w:t>
      </w:r>
      <w:r w:rsidRPr="00B14D0C">
        <w:rPr>
          <w:rFonts w:ascii="仿宋" w:eastAsia="仿宋" w:hAnsi="仿宋" w:hint="eastAsia"/>
          <w:bCs/>
          <w:color w:val="000000"/>
          <w:sz w:val="28"/>
          <w:szCs w:val="28"/>
        </w:rPr>
        <w:t>）法律法规及中国证监会规定的和《基金合同》约定的其他投资比例限制。</w:t>
      </w:r>
    </w:p>
    <w:p w14:paraId="274176CB" w14:textId="17FF797C" w:rsidR="00B14D0C" w:rsidRPr="00B14D0C" w:rsidRDefault="00B14D0C" w:rsidP="00B14D0C">
      <w:pPr>
        <w:pStyle w:val="21"/>
        <w:rPr>
          <w:rFonts w:ascii="仿宋" w:eastAsia="仿宋" w:hAnsi="仿宋"/>
          <w:color w:val="000000"/>
          <w:sz w:val="28"/>
          <w:szCs w:val="28"/>
        </w:rPr>
      </w:pPr>
      <w:r w:rsidRPr="00B14D0C">
        <w:rPr>
          <w:rFonts w:ascii="仿宋" w:eastAsia="仿宋" w:hAnsi="仿宋" w:hint="eastAsia"/>
          <w:bCs/>
          <w:color w:val="000000"/>
          <w:sz w:val="28"/>
          <w:szCs w:val="28"/>
        </w:rPr>
        <w:t>除上述</w:t>
      </w:r>
      <w:r w:rsidRPr="00B14D0C">
        <w:rPr>
          <w:rFonts w:ascii="仿宋" w:eastAsia="仿宋" w:hAnsi="仿宋"/>
          <w:bCs/>
          <w:color w:val="000000"/>
          <w:sz w:val="28"/>
          <w:szCs w:val="28"/>
        </w:rPr>
        <w:t>第</w:t>
      </w:r>
      <w:r w:rsidRPr="00B14D0C">
        <w:rPr>
          <w:rFonts w:ascii="仿宋" w:eastAsia="仿宋" w:hAnsi="仿宋" w:hint="eastAsia"/>
          <w:bCs/>
          <w:color w:val="000000"/>
          <w:sz w:val="28"/>
          <w:szCs w:val="28"/>
        </w:rPr>
        <w:t>（2）、</w:t>
      </w:r>
      <w:r w:rsidR="00414E4B" w:rsidRPr="00414E4B">
        <w:rPr>
          <w:rFonts w:ascii="仿宋" w:eastAsia="仿宋" w:hAnsi="仿宋" w:hint="eastAsia"/>
          <w:bCs/>
          <w:color w:val="000000"/>
          <w:sz w:val="28"/>
          <w:szCs w:val="28"/>
        </w:rPr>
        <w:t>（9）、</w:t>
      </w:r>
      <w:r w:rsidR="00414E4B" w:rsidRPr="00414E4B">
        <w:rPr>
          <w:rFonts w:ascii="仿宋" w:eastAsia="仿宋" w:hAnsi="仿宋"/>
          <w:bCs/>
          <w:color w:val="000000"/>
          <w:sz w:val="28"/>
          <w:szCs w:val="28"/>
        </w:rPr>
        <w:t>（10）</w:t>
      </w:r>
      <w:r w:rsidR="00414E4B" w:rsidRPr="00414E4B">
        <w:rPr>
          <w:rFonts w:ascii="仿宋" w:eastAsia="仿宋" w:hAnsi="仿宋" w:hint="eastAsia"/>
          <w:bCs/>
          <w:color w:val="000000"/>
          <w:sz w:val="28"/>
          <w:szCs w:val="28"/>
        </w:rPr>
        <w:t>、（1</w:t>
      </w:r>
      <w:r w:rsidR="00414E4B" w:rsidRPr="00414E4B">
        <w:rPr>
          <w:rFonts w:ascii="仿宋" w:eastAsia="仿宋" w:hAnsi="仿宋"/>
          <w:bCs/>
          <w:color w:val="000000"/>
          <w:sz w:val="28"/>
          <w:szCs w:val="28"/>
        </w:rPr>
        <w:t>3</w:t>
      </w:r>
      <w:r w:rsidR="00414E4B" w:rsidRPr="00414E4B">
        <w:rPr>
          <w:rFonts w:ascii="仿宋" w:eastAsia="仿宋" w:hAnsi="仿宋" w:hint="eastAsia"/>
          <w:bCs/>
          <w:color w:val="000000"/>
          <w:sz w:val="28"/>
          <w:szCs w:val="28"/>
        </w:rPr>
        <w:t>）</w:t>
      </w:r>
      <w:r w:rsidRPr="00B14D0C">
        <w:rPr>
          <w:rFonts w:ascii="仿宋" w:eastAsia="仿宋" w:hAnsi="仿宋" w:hint="eastAsia"/>
          <w:bCs/>
          <w:color w:val="000000"/>
          <w:sz w:val="28"/>
          <w:szCs w:val="28"/>
        </w:rPr>
        <w:t>项情形之外，因证券、</w:t>
      </w:r>
      <w:r w:rsidRPr="00B14D0C">
        <w:rPr>
          <w:rFonts w:ascii="仿宋" w:eastAsia="仿宋" w:hAnsi="仿宋"/>
          <w:bCs/>
          <w:color w:val="000000"/>
          <w:sz w:val="28"/>
          <w:szCs w:val="28"/>
        </w:rPr>
        <w:t>期货</w:t>
      </w:r>
      <w:r w:rsidRPr="00B14D0C">
        <w:rPr>
          <w:rFonts w:ascii="仿宋" w:eastAsia="仿宋" w:hAnsi="仿宋" w:hint="eastAsia"/>
          <w:bCs/>
          <w:color w:val="000000"/>
          <w:sz w:val="28"/>
          <w:szCs w:val="28"/>
        </w:rPr>
        <w:t>市场波动、证券发行人合并、基金规模变动等基金管理人之外的因素致使基金投资比例不符合上述规定投资比例的，基金管理人应当在流动性受限资产可出售、可转让或者恢复交易的10个交易日内进行调整，但中国证监会规定的特殊情形除外。法律法规或监管部门另有规定时，从其规定。</w:t>
      </w:r>
    </w:p>
    <w:p w14:paraId="15771E31" w14:textId="27BFD5E6"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5CE0C7A" w14:textId="77777777" w:rsidR="00B14D0C" w:rsidRPr="00B14D0C" w:rsidRDefault="00B14D0C" w:rsidP="00B14D0C">
      <w:pPr>
        <w:pStyle w:val="21"/>
        <w:rPr>
          <w:rFonts w:ascii="仿宋" w:eastAsia="仿宋" w:hAnsi="仿宋"/>
          <w:bCs/>
          <w:color w:val="000000"/>
          <w:sz w:val="28"/>
          <w:szCs w:val="28"/>
        </w:rPr>
      </w:pPr>
      <w:r w:rsidRPr="00B14D0C">
        <w:rPr>
          <w:rFonts w:ascii="仿宋" w:eastAsia="仿宋" w:hAnsi="仿宋" w:hint="eastAsia"/>
          <w:bCs/>
          <w:color w:val="000000"/>
          <w:sz w:val="28"/>
          <w:szCs w:val="28"/>
        </w:rPr>
        <w:t>如果法律法规或监管部门对上述投资比例限制进行变更的，以变更后的规定为准。法律法规或监管部门取消上述限制，如适用于本基金，基金管理人在履行适当程序后，则本基金投资不再受相关限制。</w:t>
      </w:r>
      <w:bookmarkEnd w:id="25"/>
    </w:p>
    <w:p w14:paraId="0FAE0F58" w14:textId="41BD98F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当</w:t>
      </w:r>
      <w:r w:rsidR="007619C1">
        <w:rPr>
          <w:rFonts w:ascii="仿宋" w:eastAsia="仿宋" w:hAnsi="仿宋" w:hint="eastAsia"/>
          <w:color w:val="000000"/>
          <w:sz w:val="28"/>
          <w:szCs w:val="28"/>
        </w:rPr>
        <w:t>基金</w:t>
      </w:r>
      <w:r>
        <w:rPr>
          <w:rFonts w:ascii="仿宋" w:eastAsia="仿宋" w:hAnsi="仿宋" w:hint="eastAsia"/>
          <w:color w:val="000000"/>
          <w:sz w:val="28"/>
          <w:szCs w:val="28"/>
        </w:rPr>
        <w:t>持有特定资产且存在或潜在大额赎回申请时，根据最大限度保护</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份额持有人利益的原则，在符合法律法规及</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合同的约定的前提下，</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管理人经与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托管人协商一致，并咨询会计师事务所意见后，可以启用侧袋机制，无需召开</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238F692E"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侧袋机制实施期间，本部分约定的投资组合比例、组合限制等约定仅适用于主袋账户。</w:t>
      </w:r>
    </w:p>
    <w:p w14:paraId="4FC2C4C1" w14:textId="21A18F3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侧袋机制的具体规则依照相关法律法规的规定和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合同及招募说明书的约定执行。</w:t>
      </w:r>
    </w:p>
    <w:p w14:paraId="7E02FF0B" w14:textId="2509FBE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3.1.3</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合同的约定对下述</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投资禁止行为进行监督：</w:t>
      </w:r>
    </w:p>
    <w:p w14:paraId="53FF4E84" w14:textId="2F4569C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根据法律法规的规定及</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合同的约定，本</w:t>
      </w:r>
      <w:r w:rsidR="007619C1">
        <w:rPr>
          <w:rFonts w:ascii="仿宋" w:eastAsia="仿宋" w:hAnsi="仿宋" w:hint="eastAsia"/>
          <w:color w:val="000000"/>
          <w:sz w:val="28"/>
          <w:szCs w:val="28"/>
        </w:rPr>
        <w:t>基金</w:t>
      </w:r>
      <w:r>
        <w:rPr>
          <w:rFonts w:ascii="仿宋" w:eastAsia="仿宋" w:hAnsi="仿宋" w:hint="eastAsia"/>
          <w:color w:val="000000"/>
          <w:sz w:val="28"/>
          <w:szCs w:val="28"/>
        </w:rPr>
        <w:t>禁止从事下列行为：</w:t>
      </w:r>
    </w:p>
    <w:p w14:paraId="0474122C"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73E9CAE4"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6B1993C6"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4F46F203"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6FBF4A42" w14:textId="16662D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（5）向其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1890B8C5"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030D1B89"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28E61290" w14:textId="383940E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3.1.4</w:t>
      </w:r>
      <w:r>
        <w:rPr>
          <w:rFonts w:ascii="仿宋" w:eastAsia="仿宋" w:hAnsi="仿宋"/>
          <w:color w:val="000000"/>
          <w:sz w:val="28"/>
          <w:szCs w:val="28"/>
        </w:rPr>
        <w:t xml:space="preserve"> </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管理人运用</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财产买卖</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托管人及其控股股东、实际控制人或者与其有重大利害关系的公司发行的证券或者承销期内承销的证券，或者从事其他重大关联交易的，应当符合</w:t>
      </w:r>
      <w:r w:rsidR="007619C1">
        <w:rPr>
          <w:rFonts w:ascii="仿宋" w:eastAsia="仿宋" w:hAnsi="仿宋" w:hint="eastAsia"/>
          <w:color w:val="000000"/>
          <w:sz w:val="28"/>
          <w:szCs w:val="28"/>
        </w:rPr>
        <w:t>基金</w:t>
      </w:r>
      <w:r>
        <w:rPr>
          <w:rFonts w:ascii="仿宋" w:eastAsia="仿宋" w:hAnsi="仿宋" w:hint="eastAsia"/>
          <w:color w:val="000000"/>
          <w:sz w:val="28"/>
          <w:szCs w:val="28"/>
        </w:rPr>
        <w:t>的投资目标和投资策略，遵循</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份额持有人利益优先的原则，防范利益冲突，建立健全内部审批机制和评估机制，按照市场公平合理价格执行。相关交易必须事先得到</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托管人的同意，并按法律法规予以披露。重大关联交易应提交</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管理人董事会审议，并经过三分之二以上的独立董事通过。</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管理人董事会应至少每半年对关联交易事项进行审查。</w:t>
      </w:r>
    </w:p>
    <w:p w14:paraId="1D62F635" w14:textId="0618C4E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管理人在履行适当程序后，本</w:t>
      </w:r>
      <w:r w:rsidR="007619C1">
        <w:rPr>
          <w:rFonts w:ascii="仿宋" w:eastAsia="仿宋" w:hAnsi="仿宋" w:hint="eastAsia"/>
          <w:color w:val="000000"/>
          <w:sz w:val="28"/>
          <w:szCs w:val="28"/>
        </w:rPr>
        <w:t>基金</w:t>
      </w:r>
      <w:r>
        <w:rPr>
          <w:rFonts w:ascii="仿宋" w:eastAsia="仿宋" w:hAnsi="仿宋" w:hint="eastAsia"/>
          <w:color w:val="000000"/>
          <w:sz w:val="28"/>
          <w:szCs w:val="28"/>
        </w:rPr>
        <w:t>可不受上述规定的限制或以变更后的规定为准。</w:t>
      </w:r>
    </w:p>
    <w:p w14:paraId="788C1C34" w14:textId="1155E70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5</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合同的约定对于</w:t>
      </w:r>
      <w:r w:rsidR="007619C1">
        <w:rPr>
          <w:rFonts w:ascii="仿宋" w:eastAsia="仿宋" w:hAnsi="仿宋" w:hint="eastAsia"/>
          <w:color w:val="000000"/>
          <w:sz w:val="28"/>
          <w:szCs w:val="28"/>
        </w:rPr>
        <w:t>基金</w:t>
      </w:r>
      <w:r>
        <w:rPr>
          <w:rFonts w:ascii="仿宋" w:eastAsia="仿宋" w:hAnsi="仿宋" w:hint="eastAsia"/>
          <w:color w:val="000000"/>
          <w:sz w:val="28"/>
          <w:szCs w:val="28"/>
        </w:rPr>
        <w:t>关联投资限制进行监督：</w:t>
      </w:r>
    </w:p>
    <w:p w14:paraId="3222E5A3" w14:textId="01A0EC7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根据法律法规有关</w:t>
      </w:r>
      <w:r w:rsidR="007619C1">
        <w:rPr>
          <w:rFonts w:ascii="仿宋" w:eastAsia="仿宋" w:hAnsi="仿宋" w:hint="eastAsia"/>
          <w:color w:val="000000"/>
          <w:sz w:val="28"/>
          <w:szCs w:val="28"/>
        </w:rPr>
        <w:t>基金</w:t>
      </w:r>
      <w:r>
        <w:rPr>
          <w:rFonts w:ascii="仿宋" w:eastAsia="仿宋" w:hAnsi="仿宋" w:hint="eastAsia"/>
          <w:color w:val="000000"/>
          <w:sz w:val="28"/>
          <w:szCs w:val="28"/>
        </w:rPr>
        <w:t>从事的关联交易的规定，</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托管人应事先相互提供与本机构有控股关系的股东或与本机构有其他重大利害关系的公司名单及其更新，加盖公章并书面提交，并确保所提供名单的真实性、完整性、全面性。名单变更后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B14D0C" w:rsidRPr="0096028E">
        <w:rPr>
          <w:rFonts w:ascii="仿宋" w:eastAsia="仿宋" w:hAnsi="仿宋" w:hint="eastAsia"/>
          <w:color w:val="000000"/>
          <w:sz w:val="28"/>
          <w:szCs w:val="28"/>
        </w:rPr>
        <w:t>基金</w:t>
      </w:r>
      <w:r>
        <w:rPr>
          <w:rFonts w:ascii="仿宋" w:eastAsia="仿宋" w:hAnsi="仿宋" w:hint="eastAsia"/>
          <w:color w:val="000000"/>
          <w:sz w:val="28"/>
          <w:szCs w:val="28"/>
        </w:rPr>
        <w:t>托管人应及时发送对方，相应方于</w:t>
      </w:r>
      <w:r>
        <w:rPr>
          <w:rFonts w:ascii="仿宋" w:eastAsia="仿宋" w:hAnsi="仿宋"/>
          <w:color w:val="000000"/>
          <w:sz w:val="28"/>
          <w:szCs w:val="28"/>
        </w:rPr>
        <w:t>2个工作日内进行回函确认已知名单的变更。名单变更时间以</w:t>
      </w:r>
      <w:r w:rsidR="007619C1">
        <w:rPr>
          <w:rFonts w:ascii="仿宋" w:eastAsia="仿宋" w:hAnsi="仿宋"/>
          <w:color w:val="000000"/>
          <w:sz w:val="28"/>
          <w:szCs w:val="28"/>
        </w:rPr>
        <w:t>基金</w:t>
      </w:r>
      <w:r>
        <w:rPr>
          <w:rFonts w:ascii="仿宋" w:eastAsia="仿宋" w:hAnsi="仿宋"/>
          <w:color w:val="000000"/>
          <w:sz w:val="28"/>
          <w:szCs w:val="28"/>
        </w:rPr>
        <w:t>管理人</w:t>
      </w:r>
      <w:r>
        <w:rPr>
          <w:rFonts w:ascii="仿宋" w:eastAsia="仿宋" w:hAnsi="仿宋" w:hint="eastAsia"/>
          <w:color w:val="000000"/>
          <w:sz w:val="28"/>
          <w:szCs w:val="28"/>
        </w:rPr>
        <w:t>、</w:t>
      </w:r>
      <w:r w:rsidR="00B14D0C" w:rsidRPr="0096028E">
        <w:rPr>
          <w:rFonts w:ascii="仿宋" w:eastAsia="仿宋" w:hAnsi="仿宋" w:hint="eastAsia"/>
          <w:color w:val="000000"/>
          <w:sz w:val="28"/>
          <w:szCs w:val="28"/>
        </w:rPr>
        <w:t>基金</w:t>
      </w:r>
      <w:r>
        <w:rPr>
          <w:rFonts w:ascii="仿宋" w:eastAsia="仿宋" w:hAnsi="仿宋" w:hint="eastAsia"/>
          <w:color w:val="000000"/>
          <w:sz w:val="28"/>
          <w:szCs w:val="28"/>
        </w:rPr>
        <w:t>托管人收到对方回函确认的时间为准。</w:t>
      </w:r>
    </w:p>
    <w:p w14:paraId="7FD063AB" w14:textId="02218D3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管理人与关联方进行法律法规禁止</w:t>
      </w:r>
      <w:r w:rsidR="007619C1">
        <w:rPr>
          <w:rFonts w:ascii="仿宋" w:eastAsia="仿宋" w:hAnsi="仿宋" w:hint="eastAsia"/>
          <w:color w:val="000000"/>
          <w:sz w:val="28"/>
          <w:szCs w:val="28"/>
        </w:rPr>
        <w:t>基金</w:t>
      </w:r>
      <w:r>
        <w:rPr>
          <w:rFonts w:ascii="仿宋" w:eastAsia="仿宋" w:hAnsi="仿宋" w:hint="eastAsia"/>
          <w:color w:val="000000"/>
          <w:sz w:val="28"/>
          <w:szCs w:val="28"/>
        </w:rPr>
        <w:t>从事的交易时，</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托管人应及时提醒并协助</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管理人采取必要措施阻止该交易的发生，若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托管人采取必要措施后仍无法阻止该交易发生时，</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托管人有权向中国证监会报告，由此造成的损失和责任</w:t>
      </w:r>
      <w:r w:rsidR="00F540A9">
        <w:rPr>
          <w:rFonts w:ascii="仿宋" w:eastAsia="仿宋" w:hAnsi="仿宋" w:hint="eastAsia"/>
          <w:color w:val="000000"/>
          <w:sz w:val="28"/>
          <w:szCs w:val="28"/>
        </w:rPr>
        <w:t>基金</w:t>
      </w:r>
      <w:r>
        <w:rPr>
          <w:rFonts w:ascii="仿宋" w:eastAsia="仿宋" w:hAnsi="仿宋" w:hint="eastAsia"/>
          <w:color w:val="000000"/>
          <w:sz w:val="28"/>
          <w:szCs w:val="28"/>
        </w:rPr>
        <w:t>托管人不予承担。对于交易所场内已成交的违规交易，</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托管人应按相关法律法规和交易所规则的规定进行结算，同时向中国证监会报告，</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托管人没有过错的不承担由此造成的损失和责任。</w:t>
      </w:r>
    </w:p>
    <w:p w14:paraId="788CA5EE" w14:textId="42FF795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6</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管理人参与银行间债券市场进行监督：</w:t>
      </w:r>
    </w:p>
    <w:p w14:paraId="46C6A3C1" w14:textId="352A1008"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管理人参与银行间市场交易，应按照审慎的风险控制原则评估交易对手资信风险，并自主选择交易对手。</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管理人与银行间市场的丙类会员进行债券交易的，可以通过邮件、电话等双方认可的方式提醒</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管理人应及时向</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托管人提供可行性说明。</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管理人应确保可行性说明内容真实、准确、完整。</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托管人不对</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管理人提供的可行性说明进行实质审查。</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管理人同意，经提醒后</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管理人仍执行交易并造成</w:t>
      </w:r>
      <w:r>
        <w:rPr>
          <w:rFonts w:ascii="仿宋" w:eastAsia="仿宋" w:hAnsi="仿宋" w:hint="eastAsia"/>
          <w:color w:val="000000"/>
          <w:sz w:val="28"/>
          <w:szCs w:val="28"/>
        </w:rPr>
        <w:t>基金</w:t>
      </w:r>
      <w:r w:rsidR="007561E0">
        <w:rPr>
          <w:rFonts w:ascii="仿宋" w:eastAsia="仿宋" w:hAnsi="仿宋" w:hint="eastAsia"/>
          <w:color w:val="000000"/>
          <w:sz w:val="28"/>
          <w:szCs w:val="28"/>
        </w:rPr>
        <w:t>资产损失的，</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托管人不承担责任。</w:t>
      </w:r>
    </w:p>
    <w:p w14:paraId="4D850C89" w14:textId="29B5C85E"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管理人在银行间市场进行现券买卖和回购交易时，以DVP(券款兑付)的交易结算方式进行交易。</w:t>
      </w:r>
    </w:p>
    <w:p w14:paraId="043ED36B" w14:textId="1F878C2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7</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管理人选择存款银行进行监督：</w:t>
      </w:r>
    </w:p>
    <w:p w14:paraId="794155B5" w14:textId="185E978A"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投资银行存款的信用风险主要包括存款银行的信用等级、存款银行的支付能力等涉及到存款银行选择方面的风险。</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管理人应基于审慎原则评估存款银行信用风险并据此选择存款银行。因</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管理人违反上述原则给</w:t>
      </w:r>
      <w:r>
        <w:rPr>
          <w:rFonts w:ascii="仿宋" w:eastAsia="仿宋" w:hAnsi="仿宋" w:hint="eastAsia"/>
          <w:color w:val="000000"/>
          <w:sz w:val="28"/>
          <w:szCs w:val="28"/>
        </w:rPr>
        <w:t>基金</w:t>
      </w:r>
      <w:r w:rsidR="007561E0">
        <w:rPr>
          <w:rFonts w:ascii="仿宋" w:eastAsia="仿宋" w:hAnsi="仿宋" w:hint="eastAsia"/>
          <w:color w:val="000000"/>
          <w:sz w:val="28"/>
          <w:szCs w:val="28"/>
        </w:rPr>
        <w:t>造成的损失，</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托管人没有过错的不承担责任。</w:t>
      </w:r>
    </w:p>
    <w:p w14:paraId="5A81F68A" w14:textId="0C9D908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管理人业务进行监督和核查的有关措施：</w:t>
      </w:r>
    </w:p>
    <w:p w14:paraId="46DBFAA7" w14:textId="1A22B0B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托管人应根据有关法律法规的规定及</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资产净值计算、</w:t>
      </w:r>
      <w:r w:rsidR="00B14D0C" w:rsidRPr="0096028E">
        <w:rPr>
          <w:rFonts w:ascii="仿宋" w:eastAsia="仿宋" w:hAnsi="仿宋" w:hint="eastAsia"/>
          <w:color w:val="000000"/>
          <w:sz w:val="28"/>
          <w:szCs w:val="28"/>
        </w:rPr>
        <w:t>各类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份额净值计算、应收资金到账、</w:t>
      </w:r>
      <w:r w:rsidR="007619C1">
        <w:rPr>
          <w:rFonts w:ascii="仿宋" w:eastAsia="仿宋" w:hAnsi="仿宋" w:hint="eastAsia"/>
          <w:color w:val="000000"/>
          <w:sz w:val="28"/>
          <w:szCs w:val="28"/>
        </w:rPr>
        <w:t>基金</w:t>
      </w:r>
      <w:r>
        <w:rPr>
          <w:rFonts w:ascii="仿宋" w:eastAsia="仿宋" w:hAnsi="仿宋" w:hint="eastAsia"/>
          <w:color w:val="000000"/>
          <w:sz w:val="28"/>
          <w:szCs w:val="28"/>
        </w:rPr>
        <w:t>费用开支及收入确定、</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收益分配、相关信息披露、</w:t>
      </w:r>
      <w:r w:rsidR="007619C1">
        <w:rPr>
          <w:rFonts w:ascii="仿宋" w:eastAsia="仿宋" w:hAnsi="仿宋" w:hint="eastAsia"/>
          <w:color w:val="000000"/>
          <w:sz w:val="28"/>
          <w:szCs w:val="28"/>
        </w:rPr>
        <w:t>基金</w:t>
      </w:r>
      <w:r>
        <w:rPr>
          <w:rFonts w:ascii="仿宋" w:eastAsia="仿宋" w:hAnsi="仿宋" w:hint="eastAsia"/>
          <w:color w:val="000000"/>
          <w:sz w:val="28"/>
          <w:szCs w:val="28"/>
        </w:rPr>
        <w:t>宣传推介材料中登载</w:t>
      </w:r>
      <w:r w:rsidR="007619C1">
        <w:rPr>
          <w:rFonts w:ascii="仿宋" w:eastAsia="仿宋" w:hAnsi="仿宋" w:hint="eastAsia"/>
          <w:color w:val="000000"/>
          <w:sz w:val="28"/>
          <w:szCs w:val="28"/>
        </w:rPr>
        <w:t>基金</w:t>
      </w:r>
      <w:r>
        <w:rPr>
          <w:rFonts w:ascii="仿宋" w:eastAsia="仿宋" w:hAnsi="仿宋" w:hint="eastAsia"/>
          <w:color w:val="000000"/>
          <w:sz w:val="28"/>
          <w:szCs w:val="28"/>
        </w:rPr>
        <w:t>业绩表现数据等进行监督和核查。</w:t>
      </w:r>
    </w:p>
    <w:p w14:paraId="002BAF70" w14:textId="7439258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管理人的投资运作及其他运作违反《基金法》、</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合同、本协议及其他有关规定时，应及时以书面形式通知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管理人收到通知后应在下一个工作日及时核对，并以书面形式向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托管人发出回函，进行解释或举证。</w:t>
      </w:r>
    </w:p>
    <w:p w14:paraId="26F61C34" w14:textId="6259FC8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3.2.3在限期内，</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托管人有权随时对通知事项进行复查，督促</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管理人改正。</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托管人通知的违规事项未能在限期内纠正的，</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4AA4B96E" w14:textId="133EBCF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3.2.4</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管理人的投资指令违反相关法律法规规定或者违反</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合同约定的，应当拒绝执行，立即通知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管理人并及时向中国证监会报告。</w:t>
      </w:r>
    </w:p>
    <w:p w14:paraId="2C6A7E37" w14:textId="71937F7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3.2.5</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管理人依据交易程序已经生效的投资指令违反法律、行政法规和其他有关规定，或者违反</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合同约定的，应当立即通知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管理人，并及时向中国证监会报告，</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管理人应依法承担相应责任。</w:t>
      </w:r>
    </w:p>
    <w:p w14:paraId="0C78C1E0" w14:textId="737047B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3.2.6</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管理人应积极配合和协助</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托管人的监督和核查，必须在规定时间内答复</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托管人并改正，就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托管人的合理疑义进行解释或举证，对</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托管人按照法规要求需向中国证监会报送</w:t>
      </w:r>
      <w:r w:rsidR="007619C1">
        <w:rPr>
          <w:rFonts w:ascii="仿宋" w:eastAsia="仿宋" w:hAnsi="仿宋" w:hint="eastAsia"/>
          <w:color w:val="000000"/>
          <w:sz w:val="28"/>
          <w:szCs w:val="28"/>
        </w:rPr>
        <w:t>基金</w:t>
      </w:r>
      <w:r>
        <w:rPr>
          <w:rFonts w:ascii="仿宋" w:eastAsia="仿宋" w:hAnsi="仿宋" w:hint="eastAsia"/>
          <w:color w:val="000000"/>
          <w:sz w:val="28"/>
          <w:szCs w:val="28"/>
        </w:rPr>
        <w:t>监督报告的，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管理人应积极配合提供相关数据资料和制度等。</w:t>
      </w:r>
    </w:p>
    <w:p w14:paraId="0FB26334" w14:textId="3BC306B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3.2.7</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管理人有重大违规行为，应立即报告中国证监会，同时通知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p>
    <w:p w14:paraId="4994778A" w14:textId="3C0EE09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3.2.8</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管理人无正当理由，拒绝、阻挠</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托管人根据本协议规定行使监督权，或采取拖延、欺诈等手段妨碍</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托管人进行有效监督，情节严重或经</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托管人提出警告仍不改正的，</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5FBAC511" w14:textId="2D1C80FC" w:rsidR="009C2B7D" w:rsidRDefault="007561E0">
      <w:pPr>
        <w:pStyle w:val="21"/>
        <w:rPr>
          <w:rFonts w:ascii="仿宋" w:eastAsia="仿宋" w:hAnsi="仿宋"/>
          <w:color w:val="000000"/>
          <w:sz w:val="28"/>
          <w:szCs w:val="28"/>
        </w:rPr>
        <w:sectPr w:rsidR="009C2B7D">
          <w:footerReference w:type="default" r:id="rId17"/>
          <w:footerReference w:type="first" r:id="rId18"/>
          <w:pgSz w:w="11907" w:h="16840"/>
          <w:pgMar w:top="1361" w:right="1452" w:bottom="1134" w:left="1452" w:header="720" w:footer="720" w:gutter="0"/>
          <w:cols w:space="720"/>
          <w:docGrid w:linePitch="286"/>
        </w:sectPr>
      </w:pPr>
      <w:bookmarkStart w:id="26" w:name="_Toc296551340"/>
      <w:r>
        <w:rPr>
          <w:rFonts w:ascii="仿宋" w:eastAsia="仿宋" w:hAnsi="仿宋" w:hint="eastAsia"/>
          <w:color w:val="000000"/>
          <w:sz w:val="28"/>
          <w:szCs w:val="28"/>
        </w:rPr>
        <w:t>3.2.9</w:t>
      </w:r>
      <w:r w:rsidR="00B14D0C">
        <w:rPr>
          <w:rFonts w:ascii="仿宋" w:eastAsia="仿宋" w:hAnsi="仿宋" w:hint="eastAsia"/>
          <w:color w:val="000000"/>
          <w:sz w:val="28"/>
          <w:szCs w:val="28"/>
        </w:rPr>
        <w:t>基金</w:t>
      </w:r>
      <w:r>
        <w:rPr>
          <w:rFonts w:ascii="仿宋" w:eastAsia="仿宋" w:hAnsi="仿宋" w:hint="eastAsia"/>
          <w:color w:val="000000"/>
          <w:sz w:val="28"/>
          <w:szCs w:val="28"/>
        </w:rPr>
        <w:t>管理人应遵守中华人民共和国反洗钱法律法规，不参与涉嫌洗钱、恐怖融资、扩散融资等违法犯罪活动。</w:t>
      </w:r>
      <w:r w:rsidR="00F2060C" w:rsidRPr="0096028E">
        <w:rPr>
          <w:rFonts w:ascii="仿宋" w:eastAsia="仿宋" w:hAnsi="仿宋" w:hint="eastAsia"/>
          <w:color w:val="000000"/>
          <w:sz w:val="28"/>
          <w:szCs w:val="28"/>
        </w:rPr>
        <w:t>按照法律法规的要求，</w:t>
      </w:r>
      <w:r>
        <w:rPr>
          <w:rFonts w:ascii="仿宋" w:eastAsia="仿宋" w:hAnsi="仿宋" w:hint="eastAsia"/>
          <w:color w:val="000000"/>
          <w:sz w:val="28"/>
          <w:szCs w:val="28"/>
        </w:rPr>
        <w:t>主动配合</w:t>
      </w:r>
      <w:r w:rsidR="00B14D0C">
        <w:rPr>
          <w:rFonts w:ascii="仿宋" w:eastAsia="仿宋" w:hAnsi="仿宋" w:hint="eastAsia"/>
          <w:color w:val="000000"/>
          <w:sz w:val="28"/>
          <w:szCs w:val="28"/>
        </w:rPr>
        <w:t>基金</w:t>
      </w:r>
      <w:r>
        <w:rPr>
          <w:rFonts w:ascii="仿宋" w:eastAsia="仿宋" w:hAnsi="仿宋" w:hint="eastAsia"/>
          <w:color w:val="000000"/>
          <w:sz w:val="28"/>
          <w:szCs w:val="28"/>
        </w:rPr>
        <w:t>托管人客户身份识别与尽职调查，提供真实、准确、完整客户资料，遵守反洗钱与反恐怖融资相关管理规定。对具备合理理由怀疑涉嫌洗钱、恐怖融资的客户，</w:t>
      </w:r>
      <w:r w:rsidR="00B14D0C">
        <w:rPr>
          <w:rFonts w:ascii="仿宋" w:eastAsia="仿宋" w:hAnsi="仿宋" w:hint="eastAsia"/>
          <w:color w:val="000000"/>
          <w:sz w:val="28"/>
          <w:szCs w:val="28"/>
        </w:rPr>
        <w:t>基金</w:t>
      </w:r>
      <w:r>
        <w:rPr>
          <w:rFonts w:ascii="仿宋" w:eastAsia="仿宋" w:hAnsi="仿宋" w:hint="eastAsia"/>
          <w:color w:val="000000"/>
          <w:sz w:val="28"/>
          <w:szCs w:val="28"/>
        </w:rPr>
        <w:t>托管人将按照中国人民银行反洗钱监管规定采取必要管控措施。</w:t>
      </w:r>
    </w:p>
    <w:p w14:paraId="1B271883" w14:textId="0E5D163D" w:rsidR="009C2B7D" w:rsidRDefault="007561E0">
      <w:pPr>
        <w:pStyle w:val="1"/>
        <w:rPr>
          <w:rFonts w:ascii="仿宋" w:eastAsia="仿宋" w:hAnsi="仿宋"/>
          <w:bCs/>
          <w:sz w:val="28"/>
          <w:szCs w:val="28"/>
        </w:rPr>
      </w:pPr>
      <w:bookmarkStart w:id="27" w:name="_Toc532912125"/>
      <w:bookmarkStart w:id="28" w:name="_Toc32027"/>
      <w:r>
        <w:rPr>
          <w:rFonts w:ascii="仿宋" w:eastAsia="仿宋" w:hAnsi="仿宋" w:hint="eastAsia"/>
          <w:bCs/>
          <w:sz w:val="28"/>
          <w:szCs w:val="28"/>
        </w:rPr>
        <w:t xml:space="preserve">第四条 </w:t>
      </w:r>
      <w:r w:rsidR="007619C1">
        <w:rPr>
          <w:rFonts w:ascii="仿宋" w:eastAsia="仿宋" w:hAnsi="仿宋" w:hint="eastAsia"/>
          <w:bCs/>
          <w:sz w:val="28"/>
          <w:szCs w:val="28"/>
        </w:rPr>
        <w:t>基金</w:t>
      </w:r>
      <w:r>
        <w:rPr>
          <w:rFonts w:ascii="仿宋" w:eastAsia="仿宋" w:hAnsi="仿宋" w:hint="eastAsia"/>
          <w:bCs/>
          <w:sz w:val="28"/>
          <w:szCs w:val="28"/>
        </w:rPr>
        <w:t>管理人对</w:t>
      </w:r>
      <w:r w:rsidR="007619C1">
        <w:rPr>
          <w:rFonts w:ascii="仿宋" w:eastAsia="仿宋" w:hAnsi="仿宋" w:hint="eastAsia"/>
          <w:bCs/>
          <w:sz w:val="28"/>
          <w:szCs w:val="28"/>
        </w:rPr>
        <w:t>基金</w:t>
      </w:r>
      <w:r>
        <w:rPr>
          <w:rFonts w:ascii="仿宋" w:eastAsia="仿宋" w:hAnsi="仿宋" w:hint="eastAsia"/>
          <w:bCs/>
          <w:sz w:val="28"/>
          <w:szCs w:val="28"/>
        </w:rPr>
        <w:t>托管人的业务核查</w:t>
      </w:r>
      <w:bookmarkEnd w:id="26"/>
      <w:bookmarkEnd w:id="27"/>
      <w:bookmarkEnd w:id="28"/>
    </w:p>
    <w:p w14:paraId="45E40C51" w14:textId="2624F56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托管人履行托管职责情况进行核查，核查事项包括但不限于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托管人安全保管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财产、开设</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资产净值和</w:t>
      </w:r>
      <w:r w:rsidR="00B14D0C" w:rsidRPr="0096028E">
        <w:rPr>
          <w:rFonts w:ascii="仿宋" w:eastAsia="仿宋" w:hAnsi="仿宋" w:hint="eastAsia"/>
          <w:color w:val="000000"/>
          <w:sz w:val="28"/>
          <w:szCs w:val="28"/>
        </w:rPr>
        <w:t>各类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份额净值、根据</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管理人指令办理清算交收、相关信息披露和监督</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投资运作等行为。</w:t>
      </w:r>
    </w:p>
    <w:p w14:paraId="58B95824" w14:textId="3045C3E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托管人擅自挪用</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财产、未对</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财产实行分账管理、未执行或无故延迟执行</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管理人资金划拨指令、泄露</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投资信息等违反《基金法》、</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合同、本协议及其他有关规定时，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管理人应及时以书面形式通知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托管人收到通知后应及时核对确认并以书面形式向</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管理人发出回函。在限期内，</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管理人有权随时对通知事项进行复查，督促</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托管人改正，并予协助配合。</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管理人通知的违规事项未能在限期内纠正或未在合理期限内确认的，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管理人有义务要求</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托管人赔偿</w:t>
      </w:r>
      <w:r w:rsidR="007619C1">
        <w:rPr>
          <w:rFonts w:ascii="仿宋" w:eastAsia="仿宋" w:hAnsi="仿宋" w:hint="eastAsia"/>
          <w:color w:val="000000"/>
          <w:sz w:val="28"/>
          <w:szCs w:val="28"/>
        </w:rPr>
        <w:t>基金</w:t>
      </w:r>
      <w:r>
        <w:rPr>
          <w:rFonts w:ascii="仿宋" w:eastAsia="仿宋" w:hAnsi="仿宋" w:hint="eastAsia"/>
          <w:color w:val="000000"/>
          <w:sz w:val="28"/>
          <w:szCs w:val="28"/>
        </w:rPr>
        <w:t>、</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管理人因此所遭受的损失。</w:t>
      </w:r>
    </w:p>
    <w:p w14:paraId="59773950" w14:textId="0A64E37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托管人有重大违规行为，应立即报告中国证监会</w:t>
      </w:r>
      <w:r w:rsidR="00B14D0C">
        <w:rPr>
          <w:rFonts w:ascii="仿宋" w:eastAsia="仿宋" w:hAnsi="仿宋" w:hint="eastAsia"/>
          <w:color w:val="000000"/>
          <w:sz w:val="28"/>
          <w:szCs w:val="28"/>
        </w:rPr>
        <w:t>和银行业监督管理机构</w:t>
      </w:r>
      <w:r>
        <w:rPr>
          <w:rFonts w:ascii="仿宋" w:eastAsia="仿宋" w:hAnsi="仿宋" w:hint="eastAsia"/>
          <w:color w:val="000000"/>
          <w:sz w:val="28"/>
          <w:szCs w:val="28"/>
        </w:rPr>
        <w:t>，同时通知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p>
    <w:p w14:paraId="4DDEA2E7" w14:textId="1663E71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4.4</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托管人应积极配合</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管理人的核查行为，包括但不限于：提交相关资料以供</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管理人核查</w:t>
      </w:r>
      <w:r w:rsidR="00312DBF">
        <w:rPr>
          <w:rFonts w:ascii="仿宋" w:eastAsia="仿宋" w:hAnsi="仿宋" w:hint="eastAsia"/>
          <w:color w:val="000000"/>
          <w:sz w:val="28"/>
          <w:szCs w:val="28"/>
        </w:rPr>
        <w:t>基金</w:t>
      </w:r>
      <w:r>
        <w:rPr>
          <w:rFonts w:ascii="仿宋" w:eastAsia="仿宋" w:hAnsi="仿宋" w:hint="eastAsia"/>
          <w:color w:val="000000"/>
          <w:sz w:val="28"/>
          <w:szCs w:val="28"/>
        </w:rPr>
        <w:t>财产的完整性和真实性，在规定时间内答复</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管理人并改正。</w:t>
      </w:r>
    </w:p>
    <w:p w14:paraId="711C66E2" w14:textId="581EC60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4.5</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托管人无正当理由，拒绝、阻挠</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管理人根据本协议规定行使监督权，或采取拖延、欺诈等手段妨碍</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管理人进行有效监督，情节严重或经</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管理人提出警告仍不改正的，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p>
    <w:p w14:paraId="69A3ECAD" w14:textId="77777777" w:rsidR="009C2B7D" w:rsidRDefault="009C2B7D">
      <w:pPr>
        <w:pStyle w:val="21"/>
        <w:rPr>
          <w:rFonts w:ascii="仿宋" w:eastAsia="仿宋" w:hAnsi="仿宋"/>
          <w:color w:val="000000"/>
          <w:sz w:val="28"/>
          <w:szCs w:val="28"/>
        </w:rPr>
      </w:pPr>
    </w:p>
    <w:p w14:paraId="50BB9D5C" w14:textId="77777777" w:rsidR="009C2B7D" w:rsidRDefault="009C2B7D">
      <w:pPr>
        <w:pStyle w:val="1"/>
        <w:rPr>
          <w:rFonts w:ascii="仿宋" w:eastAsia="仿宋" w:hAnsi="仿宋"/>
          <w:bCs/>
          <w:sz w:val="28"/>
          <w:szCs w:val="28"/>
        </w:rPr>
        <w:sectPr w:rsidR="009C2B7D">
          <w:footerReference w:type="default" r:id="rId19"/>
          <w:footerReference w:type="first" r:id="rId20"/>
          <w:pgSz w:w="11907" w:h="16840"/>
          <w:pgMar w:top="1361" w:right="1452" w:bottom="1134" w:left="1452" w:header="720" w:footer="720" w:gutter="0"/>
          <w:cols w:space="720"/>
          <w:docGrid w:linePitch="286"/>
        </w:sectPr>
      </w:pPr>
      <w:bookmarkStart w:id="29" w:name="_Toc296551341"/>
    </w:p>
    <w:p w14:paraId="4890BD92" w14:textId="2F9F0EF3" w:rsidR="009C2B7D" w:rsidRDefault="007561E0">
      <w:pPr>
        <w:pStyle w:val="1"/>
        <w:rPr>
          <w:rFonts w:ascii="仿宋" w:eastAsia="仿宋" w:hAnsi="仿宋"/>
          <w:bCs/>
          <w:sz w:val="28"/>
          <w:szCs w:val="28"/>
        </w:rPr>
      </w:pPr>
      <w:bookmarkStart w:id="30" w:name="_Toc26159"/>
      <w:bookmarkStart w:id="31" w:name="_Toc532912126"/>
      <w:r>
        <w:rPr>
          <w:rFonts w:ascii="仿宋" w:eastAsia="仿宋" w:hAnsi="仿宋" w:hint="eastAsia"/>
          <w:bCs/>
          <w:sz w:val="28"/>
          <w:szCs w:val="28"/>
        </w:rPr>
        <w:t xml:space="preserve">第五条 </w:t>
      </w:r>
      <w:r w:rsidR="007619C1">
        <w:rPr>
          <w:rFonts w:ascii="仿宋" w:eastAsia="仿宋" w:hAnsi="仿宋" w:hint="eastAsia"/>
          <w:bCs/>
          <w:sz w:val="28"/>
          <w:szCs w:val="28"/>
        </w:rPr>
        <w:t>基金</w:t>
      </w:r>
      <w:r>
        <w:rPr>
          <w:rFonts w:ascii="仿宋" w:eastAsia="仿宋" w:hAnsi="仿宋" w:hint="eastAsia"/>
          <w:bCs/>
          <w:sz w:val="28"/>
          <w:szCs w:val="28"/>
        </w:rPr>
        <w:t>财产保管</w:t>
      </w:r>
      <w:bookmarkEnd w:id="29"/>
      <w:bookmarkEnd w:id="30"/>
      <w:bookmarkEnd w:id="31"/>
    </w:p>
    <w:p w14:paraId="73C55A22" w14:textId="2CA2B8C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5.1</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财产保管的原则</w:t>
      </w:r>
    </w:p>
    <w:p w14:paraId="751FD138" w14:textId="1C9EECA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5.1.1</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财产应独立于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托管人的固有财产。</w:t>
      </w:r>
    </w:p>
    <w:p w14:paraId="60AA4FBF" w14:textId="667E680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5.1.2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托管人应安全保管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财产。除依据法律法规规定、</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合同和本协议约定及</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管理人的正当指令外，不得自行运用、处分、分配</w:t>
      </w:r>
      <w:r w:rsidR="007619C1">
        <w:rPr>
          <w:rFonts w:ascii="仿宋" w:eastAsia="仿宋" w:hAnsi="仿宋" w:hint="eastAsia"/>
          <w:color w:val="000000"/>
          <w:sz w:val="28"/>
          <w:szCs w:val="28"/>
        </w:rPr>
        <w:t>基金</w:t>
      </w:r>
      <w:r>
        <w:rPr>
          <w:rFonts w:ascii="仿宋" w:eastAsia="仿宋" w:hAnsi="仿宋" w:hint="eastAsia"/>
          <w:color w:val="000000"/>
          <w:sz w:val="28"/>
          <w:szCs w:val="28"/>
        </w:rPr>
        <w:t>的任何财产。</w:t>
      </w:r>
    </w:p>
    <w:p w14:paraId="00C23CB7" w14:textId="4C99BD0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5.1.3</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托管人按照规定开设</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财产的资金账户、证券账户等投资所需账户。</w:t>
      </w:r>
    </w:p>
    <w:p w14:paraId="369FE24B" w14:textId="32AF775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5.1.4</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托管人对所托管的不同</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财产分别设置账户，与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托管人的其他业务和其他</w:t>
      </w:r>
      <w:r w:rsidR="007619C1">
        <w:rPr>
          <w:rFonts w:ascii="仿宋" w:eastAsia="仿宋" w:hAnsi="仿宋" w:hint="eastAsia"/>
          <w:color w:val="000000"/>
          <w:sz w:val="28"/>
          <w:szCs w:val="28"/>
        </w:rPr>
        <w:t>基金</w:t>
      </w:r>
      <w:r>
        <w:rPr>
          <w:rFonts w:ascii="仿宋" w:eastAsia="仿宋" w:hAnsi="仿宋" w:hint="eastAsia"/>
          <w:color w:val="000000"/>
          <w:sz w:val="28"/>
          <w:szCs w:val="28"/>
        </w:rPr>
        <w:t>的托管业务实行严格的分账管理，确保</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财产的完整与独立。</w:t>
      </w:r>
    </w:p>
    <w:p w14:paraId="2EB9185D" w14:textId="3D49219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5.1.5</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管理人的指令，按照</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合同和本协议的约定保管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财产，如有特殊情况双方可另行协商解决。</w:t>
      </w:r>
    </w:p>
    <w:p w14:paraId="0DE860CF" w14:textId="440C515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5.1.6除依据法律法规和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合同的规定外，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托管人不得委托第三人托管</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w:t>
      </w:r>
    </w:p>
    <w:p w14:paraId="26D6A172" w14:textId="27997E7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的银行账户的开立和管理</w:t>
      </w:r>
    </w:p>
    <w:p w14:paraId="12FC4764" w14:textId="722A421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托管人以本</w:t>
      </w:r>
      <w:r w:rsidR="007619C1">
        <w:rPr>
          <w:rFonts w:ascii="仿宋" w:eastAsia="仿宋" w:hAnsi="仿宋" w:hint="eastAsia"/>
          <w:color w:val="000000"/>
          <w:sz w:val="28"/>
          <w:szCs w:val="28"/>
        </w:rPr>
        <w:t>基金</w:t>
      </w:r>
      <w:r>
        <w:rPr>
          <w:rFonts w:ascii="仿宋" w:eastAsia="仿宋" w:hAnsi="仿宋" w:hint="eastAsia"/>
          <w:color w:val="000000"/>
          <w:sz w:val="28"/>
          <w:szCs w:val="28"/>
        </w:rPr>
        <w:t>的名义在其营业机构开立</w:t>
      </w:r>
      <w:r w:rsidR="007619C1">
        <w:rPr>
          <w:rFonts w:ascii="仿宋" w:eastAsia="仿宋" w:hAnsi="仿宋" w:hint="eastAsia"/>
          <w:color w:val="000000"/>
          <w:sz w:val="28"/>
          <w:szCs w:val="28"/>
        </w:rPr>
        <w:t>基金</w:t>
      </w:r>
      <w:r>
        <w:rPr>
          <w:rFonts w:ascii="仿宋" w:eastAsia="仿宋" w:hAnsi="仿宋" w:hint="eastAsia"/>
          <w:color w:val="000000"/>
          <w:sz w:val="28"/>
          <w:szCs w:val="28"/>
        </w:rPr>
        <w:t>的银行账户，并根据</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管理人合法合规的指令办理资金收付。本</w:t>
      </w:r>
      <w:r w:rsidR="007619C1">
        <w:rPr>
          <w:rFonts w:ascii="仿宋" w:eastAsia="仿宋" w:hAnsi="仿宋" w:hint="eastAsia"/>
          <w:color w:val="000000"/>
          <w:sz w:val="28"/>
          <w:szCs w:val="28"/>
        </w:rPr>
        <w:t>基金</w:t>
      </w:r>
      <w:r>
        <w:rPr>
          <w:rFonts w:ascii="仿宋" w:eastAsia="仿宋" w:hAnsi="仿宋" w:hint="eastAsia"/>
          <w:color w:val="000000"/>
          <w:sz w:val="28"/>
          <w:szCs w:val="28"/>
        </w:rPr>
        <w:t>的银行预留印鉴由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托管人刻制、保管和使用。</w:t>
      </w:r>
    </w:p>
    <w:p w14:paraId="734B8AE9" w14:textId="6E09A72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银行账户的开立和使用，限于满足开展本</w:t>
      </w:r>
      <w:r w:rsidR="007619C1">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管理人不得假借本</w:t>
      </w:r>
      <w:r w:rsidR="007619C1">
        <w:rPr>
          <w:rFonts w:ascii="仿宋" w:eastAsia="仿宋" w:hAnsi="仿宋" w:hint="eastAsia"/>
          <w:color w:val="000000"/>
          <w:sz w:val="28"/>
          <w:szCs w:val="28"/>
        </w:rPr>
        <w:t>基金</w:t>
      </w:r>
      <w:r>
        <w:rPr>
          <w:rFonts w:ascii="仿宋" w:eastAsia="仿宋" w:hAnsi="仿宋" w:hint="eastAsia"/>
          <w:color w:val="000000"/>
          <w:sz w:val="28"/>
          <w:szCs w:val="28"/>
        </w:rPr>
        <w:t>的名义开立任何其他银行账户；亦不得使用</w:t>
      </w:r>
      <w:r w:rsidR="007619C1">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7619C1">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341D06B4" w14:textId="035DEF5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银行账户的开立和管理应符合有关法律法规以及银行业监督管理机构的有关规定。</w:t>
      </w:r>
    </w:p>
    <w:p w14:paraId="5896FD2F" w14:textId="45B2A4C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证券账户与证券交易资金账户的开设和管理：</w:t>
      </w:r>
    </w:p>
    <w:p w14:paraId="337BCD17" w14:textId="4486B76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托管人和本</w:t>
      </w:r>
      <w:r w:rsidR="007619C1">
        <w:rPr>
          <w:rFonts w:ascii="仿宋" w:eastAsia="仿宋" w:hAnsi="仿宋" w:hint="eastAsia"/>
          <w:color w:val="000000"/>
          <w:sz w:val="28"/>
          <w:szCs w:val="28"/>
        </w:rPr>
        <w:t>基金</w:t>
      </w:r>
      <w:r>
        <w:rPr>
          <w:rFonts w:ascii="仿宋" w:eastAsia="仿宋" w:hAnsi="仿宋" w:hint="eastAsia"/>
          <w:color w:val="000000"/>
          <w:sz w:val="28"/>
          <w:szCs w:val="28"/>
        </w:rPr>
        <w:t>联名的方式在中国证券登记结算有限责任公司上海分公司/深圳分公司开设证券账户。</w:t>
      </w:r>
    </w:p>
    <w:p w14:paraId="2F77BD1B" w14:textId="3D63FF6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5.3.2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托管人的名义在中国证券登记结算有限责任公司上海分公司/深圳分公司开立</w:t>
      </w:r>
      <w:r w:rsidR="007619C1">
        <w:rPr>
          <w:rFonts w:ascii="仿宋" w:eastAsia="仿宋" w:hAnsi="仿宋" w:hint="eastAsia"/>
          <w:color w:val="000000"/>
          <w:sz w:val="28"/>
          <w:szCs w:val="28"/>
        </w:rPr>
        <w:t>基金</w:t>
      </w:r>
      <w:r>
        <w:rPr>
          <w:rFonts w:ascii="仿宋" w:eastAsia="仿宋" w:hAnsi="仿宋" w:hint="eastAsia"/>
          <w:color w:val="000000"/>
          <w:sz w:val="28"/>
          <w:szCs w:val="28"/>
        </w:rPr>
        <w:t>证券交易资金账户，用于证券清算。</w:t>
      </w:r>
    </w:p>
    <w:p w14:paraId="1F9E6ECE" w14:textId="19F9FBC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w:t>
      </w:r>
      <w:r>
        <w:rPr>
          <w:rFonts w:ascii="仿宋" w:eastAsia="仿宋" w:hAnsi="仿宋"/>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证券账户的开立和使用，限于满足开展本</w:t>
      </w:r>
      <w:r w:rsidR="007619C1">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管理人不得出借和未经对方同意擅自转让</w:t>
      </w:r>
      <w:r w:rsidR="007619C1">
        <w:rPr>
          <w:rFonts w:ascii="仿宋" w:eastAsia="仿宋" w:hAnsi="仿宋" w:hint="eastAsia"/>
          <w:color w:val="000000"/>
          <w:sz w:val="28"/>
          <w:szCs w:val="28"/>
        </w:rPr>
        <w:t>基金</w:t>
      </w:r>
      <w:r>
        <w:rPr>
          <w:rFonts w:ascii="仿宋" w:eastAsia="仿宋" w:hAnsi="仿宋" w:hint="eastAsia"/>
          <w:color w:val="000000"/>
          <w:sz w:val="28"/>
          <w:szCs w:val="28"/>
        </w:rPr>
        <w:t>的任何证券账户；亦不得使用</w:t>
      </w:r>
      <w:r w:rsidR="007619C1">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7619C1">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1C0D9EF1"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51974FAD" w14:textId="540BA40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合同生效后，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管理人负责以</w:t>
      </w:r>
      <w:r w:rsidR="007619C1">
        <w:rPr>
          <w:rFonts w:ascii="仿宋" w:eastAsia="仿宋" w:hAnsi="仿宋" w:hint="eastAsia"/>
          <w:color w:val="000000"/>
          <w:sz w:val="28"/>
          <w:szCs w:val="28"/>
        </w:rPr>
        <w:t>基金</w:t>
      </w:r>
      <w:r>
        <w:rPr>
          <w:rFonts w:ascii="仿宋" w:eastAsia="仿宋" w:hAnsi="仿宋" w:hint="eastAsia"/>
          <w:color w:val="000000"/>
          <w:sz w:val="28"/>
          <w:szCs w:val="28"/>
        </w:rPr>
        <w:t>的名义申请并取得进入全国银行间同业拆借市场的交易资格，并代表</w:t>
      </w:r>
      <w:r w:rsidR="007619C1">
        <w:rPr>
          <w:rFonts w:ascii="仿宋" w:eastAsia="仿宋" w:hAnsi="仿宋" w:hint="eastAsia"/>
          <w:color w:val="000000"/>
          <w:sz w:val="28"/>
          <w:szCs w:val="28"/>
        </w:rPr>
        <w:t>基金</w:t>
      </w:r>
      <w:r>
        <w:rPr>
          <w:rFonts w:ascii="仿宋" w:eastAsia="仿宋" w:hAnsi="仿宋" w:hint="eastAsia"/>
          <w:color w:val="000000"/>
          <w:sz w:val="28"/>
          <w:szCs w:val="28"/>
        </w:rPr>
        <w:t>进行交易；</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托管人负责以</w:t>
      </w:r>
      <w:r w:rsidR="007619C1">
        <w:rPr>
          <w:rFonts w:ascii="仿宋" w:eastAsia="仿宋" w:hAnsi="仿宋" w:hint="eastAsia"/>
          <w:color w:val="000000"/>
          <w:sz w:val="28"/>
          <w:szCs w:val="28"/>
        </w:rPr>
        <w:t>基金</w:t>
      </w:r>
      <w:r>
        <w:rPr>
          <w:rFonts w:ascii="仿宋" w:eastAsia="仿宋" w:hAnsi="仿宋" w:hint="eastAsia"/>
          <w:color w:val="000000"/>
          <w:sz w:val="28"/>
          <w:szCs w:val="28"/>
        </w:rPr>
        <w:t>的名义在中央国债登记结算有限责任公司开设银行间债券市场债券托管账户，并由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托管人负责</w:t>
      </w:r>
      <w:r w:rsidR="007619C1">
        <w:rPr>
          <w:rFonts w:ascii="仿宋" w:eastAsia="仿宋" w:hAnsi="仿宋" w:hint="eastAsia"/>
          <w:color w:val="000000"/>
          <w:sz w:val="28"/>
          <w:szCs w:val="28"/>
        </w:rPr>
        <w:t>基金</w:t>
      </w:r>
      <w:r>
        <w:rPr>
          <w:rFonts w:ascii="仿宋" w:eastAsia="仿宋" w:hAnsi="仿宋" w:hint="eastAsia"/>
          <w:color w:val="000000"/>
          <w:sz w:val="28"/>
          <w:szCs w:val="28"/>
        </w:rPr>
        <w:t>的债券的后台匹配及资金的清算。</w:t>
      </w:r>
    </w:p>
    <w:p w14:paraId="34D88EAB" w14:textId="3DCA7AA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管理人负责为</w:t>
      </w:r>
      <w:r w:rsidR="007619C1">
        <w:rPr>
          <w:rFonts w:ascii="仿宋" w:eastAsia="仿宋" w:hAnsi="仿宋" w:hint="eastAsia"/>
          <w:color w:val="000000"/>
          <w:sz w:val="28"/>
          <w:szCs w:val="28"/>
        </w:rPr>
        <w:t>基金</w:t>
      </w:r>
      <w:r>
        <w:rPr>
          <w:rFonts w:ascii="仿宋" w:eastAsia="仿宋" w:hAnsi="仿宋" w:hint="eastAsia"/>
          <w:color w:val="000000"/>
          <w:sz w:val="28"/>
          <w:szCs w:val="28"/>
        </w:rPr>
        <w:t>对外签订全国银行间国债市场回购主协议，正本由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管理人保存副本。</w:t>
      </w:r>
    </w:p>
    <w:p w14:paraId="72E60265"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7CF6D972" w14:textId="6AD9330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在本协议生效之后，本</w:t>
      </w:r>
      <w:r w:rsidR="007619C1">
        <w:rPr>
          <w:rFonts w:ascii="仿宋" w:eastAsia="仿宋" w:hAnsi="仿宋" w:hint="eastAsia"/>
          <w:color w:val="000000"/>
          <w:sz w:val="28"/>
          <w:szCs w:val="28"/>
        </w:rPr>
        <w:t>基金</w:t>
      </w:r>
      <w:r>
        <w:rPr>
          <w:rFonts w:ascii="仿宋" w:eastAsia="仿宋" w:hAnsi="仿宋" w:hint="eastAsia"/>
          <w:color w:val="000000"/>
          <w:sz w:val="28"/>
          <w:szCs w:val="28"/>
        </w:rPr>
        <w:t>被允许从事符合法律法规规定和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合同约定的其他投资品种的投资业务时，如果涉及相关账户的开设和使用，由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管理人协助</w:t>
      </w:r>
      <w:r w:rsidR="00B14D0C">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合同的约定，开立有关账户。该账户按有关规则使用并管理。</w:t>
      </w:r>
    </w:p>
    <w:p w14:paraId="2500D4E4" w14:textId="29885A7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财产投资的有关实物证券、银行定期存款存单等有价凭证的保管</w:t>
      </w:r>
    </w:p>
    <w:p w14:paraId="2BF3E6A7" w14:textId="65107AE9"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财产投资的有关实物证券由</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托管人存放于</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托管人的保管库；其中实物证券也可存入中央国债登记结算有限责任公司、中国证券登记结算有限责任公司上海分公司/深圳分公司、</w:t>
      </w:r>
      <w:r w:rsidR="007561E0">
        <w:rPr>
          <w:rFonts w:ascii="仿宋" w:eastAsia="仿宋" w:hAnsi="仿宋"/>
          <w:color w:val="000000"/>
          <w:sz w:val="28"/>
          <w:szCs w:val="28"/>
        </w:rPr>
        <w:t>银行间市场清算所股份有限公司</w:t>
      </w:r>
      <w:r w:rsidR="007561E0">
        <w:rPr>
          <w:rFonts w:ascii="仿宋" w:eastAsia="仿宋" w:hAnsi="仿宋" w:hint="eastAsia"/>
          <w:color w:val="000000"/>
          <w:sz w:val="28"/>
          <w:szCs w:val="28"/>
        </w:rPr>
        <w:t>或票据营业中心的代保管库。实物证券的购买和转让，由</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托管人根据</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管理人的指令办理。属于</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托管人控制下的实物证券</w:t>
      </w:r>
      <w:r w:rsidR="00D4299D">
        <w:rPr>
          <w:rFonts w:ascii="仿宋" w:eastAsia="仿宋" w:hAnsi="仿宋" w:hint="eastAsia"/>
          <w:color w:val="000000"/>
          <w:sz w:val="28"/>
          <w:szCs w:val="28"/>
        </w:rPr>
        <w:t>等有价凭证</w:t>
      </w:r>
      <w:r w:rsidR="007561E0">
        <w:rPr>
          <w:rFonts w:ascii="仿宋" w:eastAsia="仿宋" w:hAnsi="仿宋" w:hint="eastAsia"/>
          <w:color w:val="000000"/>
          <w:sz w:val="28"/>
          <w:szCs w:val="28"/>
        </w:rPr>
        <w:t>在</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托管人保管期间的损坏、灭失，由此产生的责任应由</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托管人承担。</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托管人以外机构实际保管的证券，非因</w:t>
      </w:r>
      <w:r w:rsidR="00D4299D">
        <w:rPr>
          <w:rFonts w:ascii="仿宋" w:eastAsia="仿宋" w:hAnsi="仿宋" w:hint="eastAsia"/>
          <w:color w:val="000000"/>
          <w:sz w:val="28"/>
          <w:szCs w:val="28"/>
        </w:rPr>
        <w:t>基金</w:t>
      </w:r>
      <w:r w:rsidR="007561E0">
        <w:rPr>
          <w:rFonts w:ascii="仿宋" w:eastAsia="仿宋" w:hAnsi="仿宋" w:hint="eastAsia"/>
          <w:color w:val="000000"/>
          <w:sz w:val="28"/>
          <w:szCs w:val="28"/>
        </w:rPr>
        <w:t>托管人的原因发生的损坏、灭失的，不承担责任。</w:t>
      </w:r>
    </w:p>
    <w:p w14:paraId="46E45482" w14:textId="4448180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财产有关的重大合同的保管</w:t>
      </w:r>
    </w:p>
    <w:p w14:paraId="408ACFC6" w14:textId="13184B4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与</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财产有关的重大合同的签署，由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管理人负责。由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管理人代表</w:t>
      </w:r>
      <w:r w:rsidR="007619C1">
        <w:rPr>
          <w:rFonts w:ascii="仿宋" w:eastAsia="仿宋" w:hAnsi="仿宋" w:hint="eastAsia"/>
          <w:color w:val="000000"/>
          <w:sz w:val="28"/>
          <w:szCs w:val="28"/>
        </w:rPr>
        <w:t>基金</w:t>
      </w:r>
      <w:r>
        <w:rPr>
          <w:rFonts w:ascii="仿宋" w:eastAsia="仿宋" w:hAnsi="仿宋" w:hint="eastAsia"/>
          <w:color w:val="000000"/>
          <w:sz w:val="28"/>
          <w:szCs w:val="28"/>
        </w:rPr>
        <w:t>签署的与</w:t>
      </w:r>
      <w:r w:rsidR="007619C1">
        <w:rPr>
          <w:rFonts w:ascii="仿宋" w:eastAsia="仿宋" w:hAnsi="仿宋" w:hint="eastAsia"/>
          <w:color w:val="000000"/>
          <w:sz w:val="28"/>
          <w:szCs w:val="28"/>
        </w:rPr>
        <w:t>基金</w:t>
      </w:r>
      <w:r>
        <w:rPr>
          <w:rFonts w:ascii="仿宋" w:eastAsia="仿宋" w:hAnsi="仿宋" w:hint="eastAsia"/>
          <w:color w:val="000000"/>
          <w:sz w:val="28"/>
          <w:szCs w:val="28"/>
        </w:rPr>
        <w:t>有关的重大合同的原件分别应由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管理人保管。合同应存放于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托管人各自文件保管部门</w:t>
      </w:r>
      <w:r>
        <w:rPr>
          <w:rFonts w:ascii="仿宋" w:eastAsia="仿宋" w:hAnsi="仿宋"/>
          <w:color w:val="000000"/>
          <w:sz w:val="28"/>
          <w:szCs w:val="28"/>
        </w:rPr>
        <w:t>至少20年</w:t>
      </w:r>
      <w:r>
        <w:rPr>
          <w:rFonts w:ascii="仿宋" w:eastAsia="仿宋" w:hAnsi="仿宋" w:hint="eastAsia"/>
          <w:color w:val="000000"/>
          <w:sz w:val="28"/>
          <w:szCs w:val="28"/>
        </w:rPr>
        <w:t>，法律法规另有规定的从其规定。对于无法取得二份以上的正本的，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托管人提供加盖授权业务章的合同传真件，未经双方协商或未在合同约定范围内，合同原件不得转移，由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管理人保管。</w:t>
      </w:r>
    </w:p>
    <w:p w14:paraId="2851C2E3" w14:textId="77777777" w:rsidR="009C2B7D" w:rsidRDefault="007561E0">
      <w:pPr>
        <w:pStyle w:val="1"/>
        <w:rPr>
          <w:rFonts w:ascii="仿宋" w:eastAsia="仿宋" w:hAnsi="仿宋"/>
          <w:bCs/>
          <w:sz w:val="28"/>
          <w:szCs w:val="28"/>
        </w:rPr>
      </w:pPr>
      <w:bookmarkStart w:id="32" w:name="_Toc18085"/>
      <w:bookmarkStart w:id="33" w:name="_Toc296551342"/>
      <w:bookmarkStart w:id="34" w:name="_Toc532912127"/>
      <w:r>
        <w:rPr>
          <w:rFonts w:ascii="仿宋" w:eastAsia="仿宋" w:hAnsi="仿宋" w:hint="eastAsia"/>
          <w:bCs/>
          <w:sz w:val="28"/>
          <w:szCs w:val="28"/>
        </w:rPr>
        <w:t>第六条 指令的发送、确认和执行</w:t>
      </w:r>
      <w:bookmarkEnd w:id="32"/>
      <w:bookmarkEnd w:id="33"/>
      <w:bookmarkEnd w:id="34"/>
    </w:p>
    <w:p w14:paraId="63AE3DC7" w14:textId="260BF24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管理人对发送指令人员的书面授权</w:t>
      </w:r>
    </w:p>
    <w:p w14:paraId="2E84E7CA" w14:textId="4E458144"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管理人应向</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托管人提供预留印鉴和被授权人签字样本，事先书面通知（以下简称“授权通知”）</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托管人有权发送指令的人员名单，注明相应的交易权限，并规定</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管理人向</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托管人发送指令时</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托管人确认有权发送人员身份的方法。</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托管人在收到授权通知当日通过录音电话向</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管理人确认，授权通知自双方确认之时生效。</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托管人对授权文件负有保密义务，其内容不得向被授权人及相关操作人员以外的任何人泄露。</w:t>
      </w:r>
    </w:p>
    <w:p w14:paraId="3BBD0AD2"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5E54FD58" w14:textId="174DEA7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指令是</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管理人在运用</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资产时，向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托管人发出的资金划拨及其他款项支付的指令。</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管理人发给</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托管人的指令应写明款项事由、支付时间、到账时间、金额、账户等，加盖预留印鉴并由被授权人签字或盖章。</w:t>
      </w:r>
    </w:p>
    <w:p w14:paraId="7D87F7C0"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64387855" w14:textId="2310968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管理人用传真的方式或其他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管理人书面确认过的方式向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托管人发送。</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管理人有义务在发送指令后及时与</w:t>
      </w:r>
      <w:r w:rsidR="00312DBF">
        <w:rPr>
          <w:rFonts w:ascii="仿宋" w:eastAsia="仿宋" w:hAnsi="仿宋" w:hint="eastAsia"/>
          <w:color w:val="000000"/>
          <w:sz w:val="28"/>
          <w:szCs w:val="28"/>
        </w:rPr>
        <w:t>基金</w:t>
      </w:r>
      <w:r>
        <w:rPr>
          <w:rFonts w:ascii="仿宋" w:eastAsia="仿宋" w:hAnsi="仿宋" w:hint="eastAsia"/>
          <w:color w:val="000000"/>
          <w:sz w:val="28"/>
          <w:szCs w:val="28"/>
        </w:rPr>
        <w:t>托管人进行确认，因</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管理人未能及时与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托管人进行指令确认,致使资金未能及时到账所造成的损失不由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托管人承担。</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托管人依照“授权通知”规定的方法确认指令有效后，方可执行指令。对于被授权人发出的指令，</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管理人不得否认其效力。</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管理人应按照《基金法》、有关法律法规和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合同的规定，在其合法的经营权限和交易权限内发送划款指令，发送人应按照其授权权限发送划款指令。</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管理人在发送指令时，应为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托管人留出执行指令所必需的时间。由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管理人原因造成的指令传输不及时、未能留出足够划款所需时间，</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托管人没有过错的不承担资金未能及时到账所造成的损失。</w:t>
      </w:r>
    </w:p>
    <w:p w14:paraId="656D512F" w14:textId="1FDDE89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6.3.2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托管人不负责审查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管理人发送指令同时提交的其他文件资料的合法性、真实性、完整性和有效性，</w:t>
      </w:r>
      <w:r w:rsidR="00312DBF">
        <w:rPr>
          <w:rFonts w:ascii="仿宋" w:eastAsia="仿宋" w:hAnsi="仿宋" w:hint="eastAsia"/>
          <w:color w:val="000000"/>
          <w:sz w:val="28"/>
          <w:szCs w:val="28"/>
        </w:rPr>
        <w:t>基金</w:t>
      </w:r>
      <w:r>
        <w:rPr>
          <w:rFonts w:ascii="仿宋" w:eastAsia="仿宋" w:hAnsi="仿宋" w:hint="eastAsia"/>
          <w:color w:val="000000"/>
          <w:sz w:val="28"/>
          <w:szCs w:val="28"/>
        </w:rPr>
        <w:t>管理人应合理保证上述文件资料合法、真实、完整和有效。如因</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管理人提供的上述文件不合法、不真实、不完整或失去效力而给任何第三人带来损失，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2DD05F07" w14:textId="1BA7BF3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6.3.3</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托管人应指定专人接收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管理人的指令，预先通知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管理人其名单，并与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管理人商定指令发送和接收方式。</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托管人收到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管理人发送的指令后，应立即审慎验证有关内容及印鉴和签名，复核无误后应在规定期限内执行，不得延误。</w:t>
      </w:r>
    </w:p>
    <w:p w14:paraId="2DDA590D" w14:textId="5C337D1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6.3.4</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托管人下达指令时，应确保</w:t>
      </w:r>
      <w:r w:rsidR="007619C1">
        <w:rPr>
          <w:rFonts w:ascii="仿宋" w:eastAsia="仿宋" w:hAnsi="仿宋" w:hint="eastAsia"/>
          <w:color w:val="000000"/>
          <w:sz w:val="28"/>
          <w:szCs w:val="28"/>
        </w:rPr>
        <w:t>基金</w:t>
      </w:r>
      <w:r>
        <w:rPr>
          <w:rFonts w:ascii="仿宋" w:eastAsia="仿宋" w:hAnsi="仿宋" w:hint="eastAsia"/>
          <w:color w:val="000000"/>
          <w:sz w:val="28"/>
          <w:szCs w:val="28"/>
        </w:rPr>
        <w:t>银行账户有足够的资金余额，对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托管人发出的指令，</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托管人可不予执行，并立即通知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托管人没有过错的不承担因为不执行该指令而造成损失的责任。</w:t>
      </w:r>
    </w:p>
    <w:p w14:paraId="2C970278" w14:textId="7668445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6.3.5</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管理人应将同业市场国债交易通知单加盖印章后传真给</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384678A8" w14:textId="19129AE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6.4</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管理人发送错误指令的情形和处理程序</w:t>
      </w:r>
    </w:p>
    <w:p w14:paraId="028F8E51" w14:textId="47F4863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6.4.1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管理人发送错误指令的情形包括指令违反相关法律法规或</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合同、指令发送人员无权或超越权限发送指令及交割信息错误，指令中重要信息模糊不清或不全等。</w:t>
      </w:r>
    </w:p>
    <w:p w14:paraId="58535F43" w14:textId="2546BE9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6.4.2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托管人在履行监督职能时，发现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管理人的指令错误时，应当拒绝执行，并及时通知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管理人改正。</w:t>
      </w:r>
    </w:p>
    <w:p w14:paraId="117A8322" w14:textId="260B3C6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6.5</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托管人依照法律法规暂缓、拒绝执行指令的情形和处理程序</w:t>
      </w:r>
    </w:p>
    <w:p w14:paraId="24056826" w14:textId="3A9E24B5"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管理人发送的指令违反《基金法》、</w:t>
      </w:r>
      <w:r>
        <w:rPr>
          <w:rFonts w:ascii="仿宋" w:eastAsia="仿宋" w:hAnsi="仿宋" w:hint="eastAsia"/>
          <w:color w:val="000000"/>
          <w:sz w:val="28"/>
          <w:szCs w:val="28"/>
        </w:rPr>
        <w:t>基金</w:t>
      </w:r>
      <w:r w:rsidR="007561E0">
        <w:rPr>
          <w:rFonts w:ascii="仿宋" w:eastAsia="仿宋" w:hAnsi="仿宋" w:hint="eastAsia"/>
          <w:color w:val="000000"/>
          <w:sz w:val="28"/>
          <w:szCs w:val="28"/>
        </w:rPr>
        <w:t>合同、本协议或有关基金法规的有关规定，应当不予执行，并应及时以书面形式通知</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管理人纠正，</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托管人没有过错的不承担损失和责任。对</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管理人更正并重新发送后的指令经</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托管人核对确认后方能执行。</w:t>
      </w:r>
    </w:p>
    <w:p w14:paraId="7E794780" w14:textId="0815D79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6.6</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托管人未按照</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管理人指令执行的处理方法</w:t>
      </w:r>
    </w:p>
    <w:p w14:paraId="0DB90791" w14:textId="613C796B"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托管人由于自身原因造成未按照或者未及时按照</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管理人发送的符合法律法规规定以及</w:t>
      </w:r>
      <w:r>
        <w:rPr>
          <w:rFonts w:ascii="仿宋" w:eastAsia="仿宋" w:hAnsi="仿宋" w:hint="eastAsia"/>
          <w:color w:val="000000"/>
          <w:sz w:val="28"/>
          <w:szCs w:val="28"/>
        </w:rPr>
        <w:t>基金</w:t>
      </w:r>
      <w:r w:rsidR="007561E0">
        <w:rPr>
          <w:rFonts w:ascii="仿宋" w:eastAsia="仿宋" w:hAnsi="仿宋" w:hint="eastAsia"/>
          <w:color w:val="000000"/>
          <w:sz w:val="28"/>
          <w:szCs w:val="28"/>
        </w:rPr>
        <w:t>合同约定的指令执行，应在发现后及时采取措施予以补救。给</w:t>
      </w:r>
      <w:r>
        <w:rPr>
          <w:rFonts w:ascii="仿宋" w:eastAsia="仿宋" w:hAnsi="仿宋" w:hint="eastAsia"/>
          <w:color w:val="000000"/>
          <w:sz w:val="28"/>
          <w:szCs w:val="28"/>
        </w:rPr>
        <w:t>基金</w:t>
      </w:r>
      <w:r w:rsidR="007561E0">
        <w:rPr>
          <w:rFonts w:ascii="仿宋" w:eastAsia="仿宋" w:hAnsi="仿宋" w:hint="eastAsia"/>
          <w:color w:val="000000"/>
          <w:sz w:val="28"/>
          <w:szCs w:val="28"/>
        </w:rPr>
        <w:t>份额持有人、</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管理人造成损失的，应负赔偿责任。</w:t>
      </w:r>
    </w:p>
    <w:p w14:paraId="0E640824"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2E9904FA" w14:textId="370C3DE5"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管理人撤换被授权人员或改变被授权人员的权限，必须提前至少1个交易日，使用传真向</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托管人发出由</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管理人签字和盖章的被授权人变更通知，</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托管人在收到被授权人变更通知当日通过录音电话向</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管理人确认，被授权人变更通知自双方确认之时生效。</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管理人在此后5日内将被授权人变更通知的正本送交</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托管人。被授权人变更通知的正本应与传真内容一致，若有不一致的，以</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托管人收到的传真件为准。</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管理人更换被授权人通知生效后，对于已被撤换的人员无权发送的指令，或被改变授权人员超权限发送的指令，</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管理人没有过错的不承担责任。</w:t>
      </w:r>
    </w:p>
    <w:p w14:paraId="3F60B1A1" w14:textId="77777777" w:rsidR="009C2B7D" w:rsidRDefault="009C2B7D">
      <w:pPr>
        <w:pStyle w:val="1"/>
        <w:rPr>
          <w:rFonts w:ascii="仿宋" w:eastAsia="仿宋" w:hAnsi="仿宋"/>
          <w:bCs/>
          <w:sz w:val="28"/>
          <w:szCs w:val="28"/>
        </w:rPr>
        <w:sectPr w:rsidR="009C2B7D">
          <w:footerReference w:type="default" r:id="rId21"/>
          <w:footerReference w:type="first" r:id="rId22"/>
          <w:pgSz w:w="11907" w:h="16840"/>
          <w:pgMar w:top="1361" w:right="1452" w:bottom="1134" w:left="1452" w:header="720" w:footer="720" w:gutter="0"/>
          <w:cols w:space="720"/>
          <w:docGrid w:linePitch="286"/>
        </w:sectPr>
      </w:pPr>
      <w:bookmarkStart w:id="35" w:name="_Toc296551343"/>
    </w:p>
    <w:p w14:paraId="7B8B39E9" w14:textId="77777777" w:rsidR="009C2B7D" w:rsidRDefault="007561E0">
      <w:pPr>
        <w:pStyle w:val="1"/>
        <w:rPr>
          <w:rFonts w:ascii="仿宋" w:eastAsia="仿宋" w:hAnsi="仿宋"/>
          <w:bCs/>
          <w:sz w:val="28"/>
          <w:szCs w:val="28"/>
        </w:rPr>
      </w:pPr>
      <w:bookmarkStart w:id="36" w:name="_Toc12703"/>
      <w:bookmarkStart w:id="37" w:name="_Toc532912128"/>
      <w:r>
        <w:rPr>
          <w:rFonts w:ascii="仿宋" w:eastAsia="仿宋" w:hAnsi="仿宋" w:hint="eastAsia"/>
          <w:bCs/>
          <w:sz w:val="28"/>
          <w:szCs w:val="28"/>
        </w:rPr>
        <w:t>第七条 交易及清算交收安排</w:t>
      </w:r>
      <w:bookmarkEnd w:id="35"/>
      <w:bookmarkEnd w:id="36"/>
      <w:bookmarkEnd w:id="37"/>
    </w:p>
    <w:p w14:paraId="2739AA57"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Pr>
          <w:rFonts w:ascii="仿宋" w:eastAsia="仿宋" w:hAnsi="仿宋" w:hint="eastAsia"/>
          <w:color w:val="000000"/>
          <w:sz w:val="28"/>
          <w:szCs w:val="28"/>
        </w:rPr>
        <w:t>经营机构</w:t>
      </w:r>
    </w:p>
    <w:p w14:paraId="6A488779" w14:textId="12486D0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7.1.1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管理人应制定选择代理证券买卖的证券经营机构的标准和程序。</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7619C1">
        <w:rPr>
          <w:rFonts w:ascii="仿宋" w:eastAsia="仿宋" w:hAnsi="仿宋" w:hint="eastAsia"/>
          <w:color w:val="000000"/>
          <w:sz w:val="28"/>
          <w:szCs w:val="28"/>
        </w:rPr>
        <w:t>基金</w:t>
      </w:r>
      <w:r>
        <w:rPr>
          <w:rFonts w:ascii="仿宋" w:eastAsia="仿宋" w:hAnsi="仿宋" w:hint="eastAsia"/>
          <w:color w:val="000000"/>
          <w:sz w:val="28"/>
          <w:szCs w:val="28"/>
        </w:rPr>
        <w:t>证券买卖的证券经营机构，使用其交易单元作为</w:t>
      </w:r>
      <w:r w:rsidR="007619C1">
        <w:rPr>
          <w:rFonts w:ascii="仿宋" w:eastAsia="仿宋" w:hAnsi="仿宋" w:hint="eastAsia"/>
          <w:color w:val="000000"/>
          <w:sz w:val="28"/>
          <w:szCs w:val="28"/>
        </w:rPr>
        <w:t>基金</w:t>
      </w:r>
      <w:r>
        <w:rPr>
          <w:rFonts w:ascii="仿宋" w:eastAsia="仿宋" w:hAnsi="仿宋" w:hint="eastAsia"/>
          <w:color w:val="000000"/>
          <w:sz w:val="28"/>
          <w:szCs w:val="28"/>
        </w:rPr>
        <w:t>的专用交易单元。</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管理人和被选中的证券经营机构签订委托协议，由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管理人提前通知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托管人，并在法定信息披露公告中披露有关内容。交易单元保证金由被选中的证券经营机构支付。</w:t>
      </w:r>
    </w:p>
    <w:p w14:paraId="7B820BD0" w14:textId="7BF4DA4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7.1.2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管理人应及时将</w:t>
      </w:r>
      <w:r w:rsidR="007619C1">
        <w:rPr>
          <w:rFonts w:ascii="仿宋" w:eastAsia="仿宋" w:hAnsi="仿宋" w:hint="eastAsia"/>
          <w:color w:val="000000"/>
          <w:sz w:val="28"/>
          <w:szCs w:val="28"/>
        </w:rPr>
        <w:t>基金</w:t>
      </w:r>
      <w:r>
        <w:rPr>
          <w:rFonts w:ascii="仿宋" w:eastAsia="仿宋" w:hAnsi="仿宋" w:hint="eastAsia"/>
          <w:color w:val="000000"/>
          <w:sz w:val="28"/>
          <w:szCs w:val="28"/>
        </w:rPr>
        <w:t>专用交易单元号、佣金费率等基本信息以及变更情况及时以书面形式通知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470C291E" w14:textId="7158A9AF" w:rsidR="009C2B7D" w:rsidRDefault="007561E0">
      <w:pPr>
        <w:pStyle w:val="21"/>
        <w:rPr>
          <w:rFonts w:ascii="仿宋" w:eastAsia="仿宋" w:hAnsi="仿宋"/>
          <w:color w:val="000000"/>
          <w:sz w:val="28"/>
          <w:szCs w:val="28"/>
        </w:rPr>
      </w:pPr>
      <w:r>
        <w:rPr>
          <w:rFonts w:ascii="仿宋" w:eastAsia="仿宋" w:hAnsi="仿宋"/>
          <w:color w:val="000000"/>
          <w:sz w:val="28"/>
          <w:szCs w:val="28"/>
        </w:rPr>
        <w:t>7.1.3</w:t>
      </w:r>
      <w:r w:rsidR="007619C1">
        <w:rPr>
          <w:rFonts w:ascii="仿宋" w:eastAsia="仿宋" w:hAnsi="仿宋"/>
          <w:color w:val="000000"/>
          <w:sz w:val="28"/>
          <w:szCs w:val="28"/>
        </w:rPr>
        <w:t>基金</w:t>
      </w:r>
      <w:r>
        <w:rPr>
          <w:rFonts w:ascii="仿宋" w:eastAsia="仿宋" w:hAnsi="仿宋"/>
          <w:color w:val="000000"/>
          <w:sz w:val="28"/>
          <w:szCs w:val="28"/>
        </w:rPr>
        <w:t>管理人负责选择代理本</w:t>
      </w:r>
      <w:r w:rsidR="007619C1">
        <w:rPr>
          <w:rFonts w:ascii="仿宋" w:eastAsia="仿宋" w:hAnsi="仿宋"/>
          <w:color w:val="000000"/>
          <w:sz w:val="28"/>
          <w:szCs w:val="28"/>
        </w:rPr>
        <w:t>基金</w:t>
      </w:r>
      <w:r>
        <w:rPr>
          <w:rFonts w:ascii="仿宋" w:eastAsia="仿宋" w:hAnsi="仿宋"/>
          <w:color w:val="000000"/>
          <w:sz w:val="28"/>
          <w:szCs w:val="28"/>
        </w:rPr>
        <w:t>期货交易的期货经纪机构，并与其签订期货经纪合同，相关事宜根据法律法规、</w:t>
      </w:r>
      <w:r w:rsidR="007619C1">
        <w:rPr>
          <w:rFonts w:ascii="仿宋" w:eastAsia="仿宋" w:hAnsi="仿宋"/>
          <w:color w:val="000000"/>
          <w:sz w:val="28"/>
          <w:szCs w:val="28"/>
        </w:rPr>
        <w:t>基金</w:t>
      </w:r>
      <w:r>
        <w:rPr>
          <w:rFonts w:ascii="仿宋" w:eastAsia="仿宋" w:hAnsi="仿宋"/>
          <w:color w:val="000000"/>
          <w:sz w:val="28"/>
          <w:szCs w:val="28"/>
        </w:rPr>
        <w:t xml:space="preserve">合同的相关规定执行， </w:t>
      </w:r>
      <w:r>
        <w:rPr>
          <w:rFonts w:ascii="仿宋" w:eastAsia="仿宋" w:hAnsi="仿宋" w:hint="eastAsia"/>
          <w:color w:val="000000"/>
          <w:sz w:val="28"/>
          <w:szCs w:val="28"/>
        </w:rPr>
        <w:t>若无明确规定的，可参照有关证券买卖、证券</w:t>
      </w:r>
      <w:r w:rsidR="00312DBF">
        <w:rPr>
          <w:rFonts w:ascii="仿宋" w:eastAsia="仿宋" w:hAnsi="仿宋" w:hint="eastAsia"/>
          <w:color w:val="000000"/>
          <w:sz w:val="28"/>
          <w:szCs w:val="28"/>
        </w:rPr>
        <w:t>经营</w:t>
      </w:r>
      <w:r>
        <w:rPr>
          <w:rFonts w:ascii="仿宋" w:eastAsia="仿宋" w:hAnsi="仿宋" w:hint="eastAsia"/>
          <w:color w:val="000000"/>
          <w:sz w:val="28"/>
          <w:szCs w:val="28"/>
        </w:rPr>
        <w:t>机构选择的规则执行。</w:t>
      </w:r>
    </w:p>
    <w:p w14:paraId="389235CC" w14:textId="7172A0D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7.2</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5C269B0A" w14:textId="161CDCE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7.2.1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7619C1">
        <w:rPr>
          <w:rFonts w:ascii="仿宋" w:eastAsia="仿宋" w:hAnsi="仿宋" w:hint="eastAsia"/>
          <w:color w:val="000000"/>
          <w:sz w:val="28"/>
          <w:szCs w:val="28"/>
        </w:rPr>
        <w:t>基金</w:t>
      </w:r>
      <w:r>
        <w:rPr>
          <w:rFonts w:ascii="仿宋" w:eastAsia="仿宋" w:hAnsi="仿宋" w:hint="eastAsia"/>
          <w:color w:val="000000"/>
          <w:sz w:val="28"/>
          <w:szCs w:val="28"/>
        </w:rPr>
        <w:t>清算和交收中的责任</w:t>
      </w:r>
    </w:p>
    <w:p w14:paraId="5016B6DB" w14:textId="49A6E9DC"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托管人应根据有关法律法规及相关业务规则，签订《证券交易资金结算协议》，用以具体明确</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托管人在证券交易资金结算业务中的责任。</w:t>
      </w:r>
    </w:p>
    <w:p w14:paraId="1271E2CD" w14:textId="2D4B83F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管理人的资金划拨指令，</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托管人在复核无误后应在规定期限内执行并在执行完毕后回函确认，不得延误。</w:t>
      </w:r>
    </w:p>
    <w:p w14:paraId="361693E3" w14:textId="0E1DDC8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本</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投资于证券发生的所有场内、场外交易的资金清算交割，全部由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托管人负责办理。</w:t>
      </w:r>
    </w:p>
    <w:p w14:paraId="1B3434E6" w14:textId="03F4414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本</w:t>
      </w:r>
      <w:r w:rsidR="007619C1">
        <w:rPr>
          <w:rFonts w:ascii="仿宋" w:eastAsia="仿宋" w:hAnsi="仿宋" w:hint="eastAsia"/>
          <w:color w:val="000000"/>
          <w:sz w:val="28"/>
          <w:szCs w:val="28"/>
        </w:rPr>
        <w:t>基金</w:t>
      </w:r>
      <w:r>
        <w:rPr>
          <w:rFonts w:ascii="仿宋" w:eastAsia="仿宋" w:hAnsi="仿宋" w:hint="eastAsia"/>
          <w:color w:val="000000"/>
          <w:sz w:val="28"/>
          <w:szCs w:val="28"/>
        </w:rPr>
        <w:t>证券投资的清算交割，由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托管人通过中国证券登记结算有限责任公司上海分公司/深圳分公司及清算代理银行办理。</w:t>
      </w:r>
    </w:p>
    <w:p w14:paraId="3CDE0F55" w14:textId="6DA82E1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如果因</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托管人过错在清算和交收中造成</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财产的损失，应由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托管人负责赔偿</w:t>
      </w:r>
      <w:r w:rsidR="007619C1">
        <w:rPr>
          <w:rFonts w:ascii="仿宋" w:eastAsia="仿宋" w:hAnsi="仿宋" w:hint="eastAsia"/>
          <w:color w:val="000000"/>
          <w:sz w:val="28"/>
          <w:szCs w:val="28"/>
        </w:rPr>
        <w:t>基金</w:t>
      </w:r>
      <w:r>
        <w:rPr>
          <w:rFonts w:ascii="仿宋" w:eastAsia="仿宋" w:hAnsi="仿宋" w:hint="eastAsia"/>
          <w:color w:val="000000"/>
          <w:sz w:val="28"/>
          <w:szCs w:val="28"/>
        </w:rPr>
        <w:t>的损失；如果因为</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管理人违反法律法规的规定进行证券投资或违反双方签订的《证券交易资金结算协议》而造成</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投资清算困难和风险的，</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托管人发现后应立即通知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管理人负责解决，由此给</w:t>
      </w:r>
      <w:r w:rsidR="007619C1">
        <w:rPr>
          <w:rFonts w:ascii="仿宋" w:eastAsia="仿宋" w:hAnsi="仿宋" w:hint="eastAsia"/>
          <w:color w:val="000000"/>
          <w:sz w:val="28"/>
          <w:szCs w:val="28"/>
        </w:rPr>
        <w:t>基金</w:t>
      </w:r>
      <w:r>
        <w:rPr>
          <w:rFonts w:ascii="仿宋" w:eastAsia="仿宋" w:hAnsi="仿宋" w:hint="eastAsia"/>
          <w:color w:val="000000"/>
          <w:sz w:val="28"/>
          <w:szCs w:val="28"/>
        </w:rPr>
        <w:t>造成的损失由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管理人承担。</w:t>
      </w:r>
    </w:p>
    <w:p w14:paraId="2DFEF710" w14:textId="67FDB3F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7.2.2</w:t>
      </w:r>
      <w:r w:rsidR="007619C1">
        <w:rPr>
          <w:rFonts w:ascii="仿宋" w:eastAsia="仿宋" w:hAnsi="仿宋" w:hint="eastAsia"/>
          <w:color w:val="000000"/>
          <w:sz w:val="28"/>
          <w:szCs w:val="28"/>
        </w:rPr>
        <w:t>基金</w:t>
      </w:r>
      <w:r>
        <w:rPr>
          <w:rFonts w:ascii="仿宋" w:eastAsia="仿宋" w:hAnsi="仿宋" w:hint="eastAsia"/>
          <w:color w:val="000000"/>
          <w:sz w:val="28"/>
          <w:szCs w:val="28"/>
        </w:rPr>
        <w:t>出现超买或超卖的责任认定及处理程序</w:t>
      </w:r>
    </w:p>
    <w:p w14:paraId="2958E9B8" w14:textId="48A40DA8"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托管人在履行监督职能时，如果发现</w:t>
      </w:r>
      <w:r>
        <w:rPr>
          <w:rFonts w:ascii="仿宋" w:eastAsia="仿宋" w:hAnsi="仿宋" w:hint="eastAsia"/>
          <w:color w:val="000000"/>
          <w:sz w:val="28"/>
          <w:szCs w:val="28"/>
        </w:rPr>
        <w:t>基金</w:t>
      </w:r>
      <w:r w:rsidR="007561E0">
        <w:rPr>
          <w:rFonts w:ascii="仿宋" w:eastAsia="仿宋" w:hAnsi="仿宋" w:hint="eastAsia"/>
          <w:color w:val="000000"/>
          <w:sz w:val="28"/>
          <w:szCs w:val="28"/>
        </w:rPr>
        <w:t>投资证券过程中出现超买或超卖现象，应立即提醒</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管理人，由</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管理人负责解决，由此给</w:t>
      </w:r>
      <w:r>
        <w:rPr>
          <w:rFonts w:ascii="仿宋" w:eastAsia="仿宋" w:hAnsi="仿宋" w:hint="eastAsia"/>
          <w:color w:val="000000"/>
          <w:sz w:val="28"/>
          <w:szCs w:val="28"/>
        </w:rPr>
        <w:t>基金</w:t>
      </w:r>
      <w:r w:rsidR="007561E0">
        <w:rPr>
          <w:rFonts w:ascii="仿宋" w:eastAsia="仿宋" w:hAnsi="仿宋" w:hint="eastAsia"/>
          <w:color w:val="000000"/>
          <w:sz w:val="28"/>
          <w:szCs w:val="28"/>
        </w:rPr>
        <w:t>造成的损失由</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管理人承担。</w:t>
      </w:r>
    </w:p>
    <w:p w14:paraId="530B0791" w14:textId="58ACB40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7.2.3</w:t>
      </w:r>
      <w:r w:rsidR="007619C1">
        <w:rPr>
          <w:rFonts w:ascii="仿宋" w:eastAsia="仿宋" w:hAnsi="仿宋" w:hint="eastAsia"/>
          <w:color w:val="000000"/>
          <w:sz w:val="28"/>
          <w:szCs w:val="28"/>
        </w:rPr>
        <w:t>基金</w:t>
      </w:r>
      <w:r>
        <w:rPr>
          <w:rFonts w:ascii="仿宋" w:eastAsia="仿宋" w:hAnsi="仿宋" w:hint="eastAsia"/>
          <w:color w:val="000000"/>
          <w:sz w:val="28"/>
          <w:szCs w:val="28"/>
        </w:rPr>
        <w:t>无法按时支付证券清算款的责任认定及处理程序</w:t>
      </w:r>
    </w:p>
    <w:p w14:paraId="692E29B4" w14:textId="4B554D28"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管理人应确保</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托管人在执行</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管理人发送的指令时，有足够的头寸进行交收。</w:t>
      </w:r>
      <w:r>
        <w:rPr>
          <w:rFonts w:ascii="仿宋" w:eastAsia="仿宋" w:hAnsi="仿宋" w:hint="eastAsia"/>
          <w:color w:val="000000"/>
          <w:sz w:val="28"/>
          <w:szCs w:val="28"/>
        </w:rPr>
        <w:t>基金</w:t>
      </w:r>
      <w:r w:rsidR="007561E0">
        <w:rPr>
          <w:rFonts w:ascii="仿宋" w:eastAsia="仿宋" w:hAnsi="仿宋" w:hint="eastAsia"/>
          <w:color w:val="000000"/>
          <w:sz w:val="28"/>
          <w:szCs w:val="28"/>
        </w:rPr>
        <w:t>的资金头寸不足时，</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托管人有权拒绝</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管理人发送的划款指令，并立即通知</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管理人在发送划款指令时应充分考虑</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托管人的划款处理所需的合理时间。如由于</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管理人的原因导致无法按时支付证券清算款，由此给</w:t>
      </w:r>
      <w:r>
        <w:rPr>
          <w:rFonts w:ascii="仿宋" w:eastAsia="仿宋" w:hAnsi="仿宋" w:hint="eastAsia"/>
          <w:color w:val="000000"/>
          <w:sz w:val="28"/>
          <w:szCs w:val="28"/>
        </w:rPr>
        <w:t>基金</w:t>
      </w:r>
      <w:r w:rsidR="007561E0">
        <w:rPr>
          <w:rFonts w:ascii="仿宋" w:eastAsia="仿宋" w:hAnsi="仿宋" w:hint="eastAsia"/>
          <w:color w:val="000000"/>
          <w:sz w:val="28"/>
          <w:szCs w:val="28"/>
        </w:rPr>
        <w:t>造成的损失由</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管理人承担。</w:t>
      </w:r>
    </w:p>
    <w:p w14:paraId="2B02CB0A" w14:textId="2C16EA8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在</w:t>
      </w:r>
      <w:r w:rsidR="007619C1">
        <w:rPr>
          <w:rFonts w:ascii="仿宋" w:eastAsia="仿宋" w:hAnsi="仿宋" w:hint="eastAsia"/>
          <w:color w:val="000000"/>
          <w:sz w:val="28"/>
          <w:szCs w:val="28"/>
        </w:rPr>
        <w:t>基金</w:t>
      </w:r>
      <w:r>
        <w:rPr>
          <w:rFonts w:ascii="仿宋" w:eastAsia="仿宋" w:hAnsi="仿宋" w:hint="eastAsia"/>
          <w:color w:val="000000"/>
          <w:sz w:val="28"/>
          <w:szCs w:val="28"/>
        </w:rPr>
        <w:t>资金头寸充足的情况下，</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管理人符合法律法规、</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合同、本协议的指令不得拖延或拒绝执行。如由于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托管人的过错导致</w:t>
      </w:r>
      <w:r w:rsidR="007619C1">
        <w:rPr>
          <w:rFonts w:ascii="仿宋" w:eastAsia="仿宋" w:hAnsi="仿宋" w:hint="eastAsia"/>
          <w:color w:val="000000"/>
          <w:sz w:val="28"/>
          <w:szCs w:val="28"/>
        </w:rPr>
        <w:t>基金</w:t>
      </w:r>
      <w:r>
        <w:rPr>
          <w:rFonts w:ascii="仿宋" w:eastAsia="仿宋" w:hAnsi="仿宋" w:hint="eastAsia"/>
          <w:color w:val="000000"/>
          <w:sz w:val="28"/>
          <w:szCs w:val="28"/>
        </w:rPr>
        <w:t>无法按时支付证券清算款，由此给</w:t>
      </w:r>
      <w:r w:rsidR="007619C1">
        <w:rPr>
          <w:rFonts w:ascii="仿宋" w:eastAsia="仿宋" w:hAnsi="仿宋" w:hint="eastAsia"/>
          <w:color w:val="000000"/>
          <w:sz w:val="28"/>
          <w:szCs w:val="28"/>
        </w:rPr>
        <w:t>基金</w:t>
      </w:r>
      <w:r>
        <w:rPr>
          <w:rFonts w:ascii="仿宋" w:eastAsia="仿宋" w:hAnsi="仿宋" w:hint="eastAsia"/>
          <w:color w:val="000000"/>
          <w:sz w:val="28"/>
          <w:szCs w:val="28"/>
        </w:rPr>
        <w:t>、</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管理人造成的损失由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托管人承担。</w:t>
      </w:r>
    </w:p>
    <w:p w14:paraId="253400A6"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570994C1" w14:textId="538C2AF2" w:rsidR="009C2B7D" w:rsidRDefault="007561E0">
      <w:pPr>
        <w:pStyle w:val="21"/>
        <w:rPr>
          <w:rFonts w:ascii="仿宋" w:eastAsia="仿宋" w:hAnsi="仿宋"/>
          <w:color w:val="000000"/>
          <w:sz w:val="28"/>
          <w:szCs w:val="28"/>
        </w:rPr>
      </w:pPr>
      <w:r>
        <w:rPr>
          <w:rFonts w:ascii="仿宋" w:eastAsia="仿宋" w:hAnsi="仿宋"/>
          <w:color w:val="000000"/>
          <w:sz w:val="28"/>
          <w:szCs w:val="28"/>
        </w:rPr>
        <w:t>7.3.1</w:t>
      </w:r>
      <w:r w:rsidR="007619C1">
        <w:rPr>
          <w:rFonts w:ascii="仿宋" w:eastAsia="仿宋" w:hAnsi="仿宋"/>
          <w:color w:val="000000"/>
          <w:sz w:val="28"/>
          <w:szCs w:val="28"/>
        </w:rPr>
        <w:t>基金</w:t>
      </w:r>
      <w:r>
        <w:rPr>
          <w:rFonts w:ascii="仿宋" w:eastAsia="仿宋" w:hAnsi="仿宋"/>
          <w:color w:val="000000"/>
          <w:sz w:val="28"/>
          <w:szCs w:val="28"/>
        </w:rPr>
        <w:t>管理人与</w:t>
      </w:r>
      <w:r w:rsidR="007619C1">
        <w:rPr>
          <w:rFonts w:ascii="仿宋" w:eastAsia="仿宋" w:hAnsi="仿宋"/>
          <w:color w:val="000000"/>
          <w:sz w:val="28"/>
          <w:szCs w:val="28"/>
        </w:rPr>
        <w:t>基金</w:t>
      </w:r>
      <w:r>
        <w:rPr>
          <w:rFonts w:ascii="仿宋" w:eastAsia="仿宋" w:hAnsi="仿宋"/>
          <w:color w:val="000000"/>
          <w:sz w:val="28"/>
          <w:szCs w:val="28"/>
        </w:rPr>
        <w:t>托管人按日进行交易记录的核对。对外披露</w:t>
      </w:r>
      <w:r w:rsidR="00312DBF">
        <w:rPr>
          <w:rFonts w:ascii="仿宋" w:eastAsia="仿宋" w:hAnsi="仿宋" w:hint="eastAsia"/>
          <w:color w:val="000000"/>
          <w:sz w:val="28"/>
          <w:szCs w:val="28"/>
        </w:rPr>
        <w:t>各类</w:t>
      </w:r>
      <w:r w:rsidR="007619C1">
        <w:rPr>
          <w:rFonts w:ascii="仿宋" w:eastAsia="仿宋" w:hAnsi="仿宋"/>
          <w:color w:val="000000"/>
          <w:sz w:val="28"/>
          <w:szCs w:val="28"/>
        </w:rPr>
        <w:t>基金</w:t>
      </w:r>
      <w:r>
        <w:rPr>
          <w:rFonts w:ascii="仿宋" w:eastAsia="仿宋" w:hAnsi="仿宋"/>
          <w:color w:val="000000"/>
          <w:sz w:val="28"/>
          <w:szCs w:val="28"/>
        </w:rPr>
        <w:t>份额净值之前，必须保证当天所有实际交易记录与</w:t>
      </w:r>
      <w:r w:rsidR="007619C1">
        <w:rPr>
          <w:rFonts w:ascii="仿宋" w:eastAsia="仿宋" w:hAnsi="仿宋"/>
          <w:color w:val="000000"/>
          <w:sz w:val="28"/>
          <w:szCs w:val="28"/>
        </w:rPr>
        <w:t>基金</w:t>
      </w:r>
      <w:r>
        <w:rPr>
          <w:rFonts w:ascii="仿宋" w:eastAsia="仿宋" w:hAnsi="仿宋"/>
          <w:color w:val="000000"/>
          <w:sz w:val="28"/>
          <w:szCs w:val="28"/>
        </w:rPr>
        <w:t>会计账簿上的交易记录完全一致。如果实际交易记录与会计账簿记录不一致，造成</w:t>
      </w:r>
      <w:r w:rsidR="007619C1">
        <w:rPr>
          <w:rFonts w:ascii="仿宋" w:eastAsia="仿宋" w:hAnsi="仿宋"/>
          <w:color w:val="000000"/>
          <w:sz w:val="28"/>
          <w:szCs w:val="28"/>
        </w:rPr>
        <w:t>基金</w:t>
      </w:r>
      <w:r>
        <w:rPr>
          <w:rFonts w:ascii="仿宋" w:eastAsia="仿宋" w:hAnsi="仿宋"/>
          <w:color w:val="000000"/>
          <w:sz w:val="28"/>
          <w:szCs w:val="28"/>
        </w:rPr>
        <w:t>会计核算不完整或不真实，由此导致的损失由责任方承担。</w:t>
      </w:r>
    </w:p>
    <w:p w14:paraId="259C8FA6" w14:textId="3460729E" w:rsidR="009C2B7D" w:rsidRDefault="007561E0">
      <w:pPr>
        <w:pStyle w:val="21"/>
        <w:rPr>
          <w:rFonts w:ascii="仿宋" w:eastAsia="仿宋" w:hAnsi="仿宋"/>
          <w:color w:val="000000"/>
          <w:sz w:val="28"/>
          <w:szCs w:val="28"/>
        </w:rPr>
      </w:pPr>
      <w:r>
        <w:rPr>
          <w:rFonts w:ascii="仿宋" w:eastAsia="仿宋" w:hAnsi="仿宋"/>
          <w:color w:val="000000"/>
          <w:sz w:val="28"/>
          <w:szCs w:val="28"/>
        </w:rPr>
        <w:t>7.3.2对</w:t>
      </w:r>
      <w:r w:rsidR="007619C1">
        <w:rPr>
          <w:rFonts w:ascii="仿宋" w:eastAsia="仿宋" w:hAnsi="仿宋"/>
          <w:color w:val="000000"/>
          <w:sz w:val="28"/>
          <w:szCs w:val="28"/>
        </w:rPr>
        <w:t>基金</w:t>
      </w:r>
      <w:r>
        <w:rPr>
          <w:rFonts w:ascii="仿宋" w:eastAsia="仿宋" w:hAnsi="仿宋"/>
          <w:color w:val="000000"/>
          <w:sz w:val="28"/>
          <w:szCs w:val="28"/>
        </w:rPr>
        <w:t>的资金账目，由相关各方每日对账一次，确保相关各方账</w:t>
      </w:r>
      <w:r>
        <w:rPr>
          <w:rFonts w:ascii="仿宋" w:eastAsia="仿宋" w:hAnsi="仿宋" w:hint="eastAsia"/>
          <w:color w:val="000000"/>
          <w:sz w:val="28"/>
          <w:szCs w:val="28"/>
        </w:rPr>
        <w:t>账相符。对</w:t>
      </w:r>
      <w:r w:rsidR="007619C1">
        <w:rPr>
          <w:rFonts w:ascii="仿宋" w:eastAsia="仿宋" w:hAnsi="仿宋" w:hint="eastAsia"/>
          <w:color w:val="000000"/>
          <w:sz w:val="28"/>
          <w:szCs w:val="28"/>
        </w:rPr>
        <w:t>基金</w:t>
      </w:r>
      <w:r>
        <w:rPr>
          <w:rFonts w:ascii="仿宋" w:eastAsia="仿宋" w:hAnsi="仿宋" w:hint="eastAsia"/>
          <w:color w:val="000000"/>
          <w:sz w:val="28"/>
          <w:szCs w:val="28"/>
        </w:rPr>
        <w:t>证券账目，由相关各方每日进行对账。对实物券账目，每月月末由相关各方进行账实核对。对交易记录，由相关各方每日对账一次。</w:t>
      </w:r>
    </w:p>
    <w:p w14:paraId="023F9D7D" w14:textId="7319E35F" w:rsidR="009C2B7D" w:rsidRDefault="007561E0">
      <w:pPr>
        <w:pStyle w:val="21"/>
        <w:rPr>
          <w:rFonts w:ascii="仿宋" w:eastAsia="仿宋" w:hAnsi="仿宋"/>
          <w:color w:val="000000"/>
          <w:sz w:val="28"/>
          <w:szCs w:val="28"/>
        </w:rPr>
      </w:pPr>
      <w:r>
        <w:rPr>
          <w:rFonts w:ascii="仿宋" w:eastAsia="仿宋" w:hAnsi="仿宋"/>
          <w:color w:val="000000"/>
          <w:sz w:val="28"/>
          <w:szCs w:val="28"/>
        </w:rPr>
        <w:t>7.4申购、赎回、转换开放式</w:t>
      </w:r>
      <w:r w:rsidR="007619C1">
        <w:rPr>
          <w:rFonts w:ascii="仿宋" w:eastAsia="仿宋" w:hAnsi="仿宋"/>
          <w:color w:val="000000"/>
          <w:sz w:val="28"/>
          <w:szCs w:val="28"/>
        </w:rPr>
        <w:t>基金</w:t>
      </w:r>
      <w:r>
        <w:rPr>
          <w:rFonts w:ascii="仿宋" w:eastAsia="仿宋" w:hAnsi="仿宋"/>
          <w:color w:val="000000"/>
          <w:sz w:val="28"/>
          <w:szCs w:val="28"/>
        </w:rPr>
        <w:t>的资金清算、数据传递及托管协议当事人的责任</w:t>
      </w:r>
    </w:p>
    <w:p w14:paraId="5D897124" w14:textId="4334BAC2" w:rsidR="009C2B7D" w:rsidRDefault="007561E0">
      <w:pPr>
        <w:pStyle w:val="21"/>
        <w:rPr>
          <w:rFonts w:ascii="仿宋" w:eastAsia="仿宋" w:hAnsi="仿宋"/>
          <w:color w:val="000000"/>
          <w:sz w:val="28"/>
          <w:szCs w:val="28"/>
        </w:rPr>
      </w:pPr>
      <w:r>
        <w:rPr>
          <w:rFonts w:ascii="仿宋" w:eastAsia="仿宋" w:hAnsi="仿宋"/>
          <w:color w:val="000000"/>
          <w:sz w:val="28"/>
          <w:szCs w:val="28"/>
        </w:rPr>
        <w:t>7.4.1托管协议当事人在</w:t>
      </w:r>
      <w:r w:rsidR="007619C1">
        <w:rPr>
          <w:rFonts w:ascii="仿宋" w:eastAsia="仿宋" w:hAnsi="仿宋"/>
          <w:color w:val="000000"/>
          <w:sz w:val="28"/>
          <w:szCs w:val="28"/>
        </w:rPr>
        <w:t>基金</w:t>
      </w:r>
      <w:r>
        <w:rPr>
          <w:rFonts w:ascii="仿宋" w:eastAsia="仿宋" w:hAnsi="仿宋"/>
          <w:color w:val="000000"/>
          <w:sz w:val="28"/>
          <w:szCs w:val="28"/>
        </w:rPr>
        <w:t>的申购赎回、转换中的责任</w:t>
      </w:r>
    </w:p>
    <w:p w14:paraId="7CC65CC6" w14:textId="560EA358"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投资人可通过</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管理人的直销中心和销售机构的</w:t>
      </w:r>
      <w:r w:rsidR="00312DBF">
        <w:rPr>
          <w:rFonts w:ascii="仿宋" w:eastAsia="仿宋" w:hAnsi="仿宋" w:hint="eastAsia"/>
          <w:color w:val="000000"/>
          <w:sz w:val="28"/>
          <w:szCs w:val="28"/>
        </w:rPr>
        <w:t>销售</w:t>
      </w:r>
      <w:r w:rsidR="007561E0">
        <w:rPr>
          <w:rFonts w:ascii="仿宋" w:eastAsia="仿宋" w:hAnsi="仿宋" w:hint="eastAsia"/>
          <w:color w:val="000000"/>
          <w:sz w:val="28"/>
          <w:szCs w:val="28"/>
        </w:rPr>
        <w:t>网点进行申购和赎回申请，</w:t>
      </w:r>
      <w:r>
        <w:rPr>
          <w:rFonts w:ascii="仿宋" w:eastAsia="仿宋" w:hAnsi="仿宋" w:hint="eastAsia"/>
          <w:color w:val="000000"/>
          <w:sz w:val="28"/>
          <w:szCs w:val="28"/>
        </w:rPr>
        <w:t>基金</w:t>
      </w:r>
      <w:r w:rsidR="007561E0">
        <w:rPr>
          <w:rFonts w:ascii="仿宋" w:eastAsia="仿宋" w:hAnsi="仿宋" w:hint="eastAsia"/>
          <w:color w:val="000000"/>
          <w:sz w:val="28"/>
          <w:szCs w:val="28"/>
        </w:rPr>
        <w:t>份额申购、赎回的确认、清算由</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管理人或其委托的登记机构负责。</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托管人负责接收并确认资金的到账情况，以及依照</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管理人的投资指令来划付赎回款项。</w:t>
      </w:r>
    </w:p>
    <w:p w14:paraId="60E221F2" w14:textId="0A9D5771" w:rsidR="009C2B7D" w:rsidRDefault="007561E0">
      <w:pPr>
        <w:pStyle w:val="21"/>
        <w:rPr>
          <w:rFonts w:ascii="仿宋" w:eastAsia="仿宋" w:hAnsi="仿宋"/>
          <w:color w:val="000000"/>
          <w:sz w:val="28"/>
          <w:szCs w:val="28"/>
        </w:rPr>
      </w:pPr>
      <w:r>
        <w:rPr>
          <w:rFonts w:ascii="仿宋" w:eastAsia="仿宋" w:hAnsi="仿宋"/>
          <w:color w:val="000000"/>
          <w:sz w:val="28"/>
          <w:szCs w:val="28"/>
        </w:rPr>
        <w:t>7.4.2</w:t>
      </w:r>
      <w:r w:rsidR="007619C1">
        <w:rPr>
          <w:rFonts w:ascii="仿宋" w:eastAsia="仿宋" w:hAnsi="仿宋"/>
          <w:color w:val="000000"/>
          <w:sz w:val="28"/>
          <w:szCs w:val="28"/>
        </w:rPr>
        <w:t>基金</w:t>
      </w:r>
      <w:r>
        <w:rPr>
          <w:rFonts w:ascii="仿宋" w:eastAsia="仿宋" w:hAnsi="仿宋"/>
          <w:color w:val="000000"/>
          <w:sz w:val="28"/>
          <w:szCs w:val="28"/>
        </w:rPr>
        <w:t>的数据传递</w:t>
      </w:r>
    </w:p>
    <w:p w14:paraId="5E3D313B" w14:textId="4BDC3B1B"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管理人应保证本</w:t>
      </w:r>
      <w:r>
        <w:rPr>
          <w:rFonts w:ascii="仿宋" w:eastAsia="仿宋" w:hAnsi="仿宋" w:hint="eastAsia"/>
          <w:color w:val="000000"/>
          <w:sz w:val="28"/>
          <w:szCs w:val="28"/>
        </w:rPr>
        <w:t>基金</w:t>
      </w:r>
      <w:r w:rsidR="007561E0">
        <w:rPr>
          <w:rFonts w:ascii="仿宋" w:eastAsia="仿宋" w:hAnsi="仿宋" w:hint="eastAsia"/>
          <w:color w:val="000000"/>
          <w:sz w:val="28"/>
          <w:szCs w:val="28"/>
        </w:rPr>
        <w:t>（或本</w:t>
      </w: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管理人委托）的登记机构于每个开放日</w:t>
      </w:r>
      <w:r w:rsidR="007561E0">
        <w:rPr>
          <w:rFonts w:ascii="仿宋" w:eastAsia="仿宋" w:hAnsi="仿宋"/>
          <w:color w:val="000000"/>
          <w:sz w:val="28"/>
          <w:szCs w:val="28"/>
        </w:rPr>
        <w:t>15：00之前将本</w:t>
      </w:r>
      <w:r>
        <w:rPr>
          <w:rFonts w:ascii="仿宋" w:eastAsia="仿宋" w:hAnsi="仿宋"/>
          <w:color w:val="000000"/>
          <w:sz w:val="28"/>
          <w:szCs w:val="28"/>
        </w:rPr>
        <w:t>基金</w:t>
      </w:r>
      <w:r w:rsidR="007561E0">
        <w:rPr>
          <w:rFonts w:ascii="仿宋" w:eastAsia="仿宋" w:hAnsi="仿宋"/>
          <w:color w:val="000000"/>
          <w:sz w:val="28"/>
          <w:szCs w:val="28"/>
        </w:rPr>
        <w:t>的申购、赎回、转换的数据传送给</w:t>
      </w:r>
      <w:r>
        <w:rPr>
          <w:rFonts w:ascii="仿宋" w:eastAsia="仿宋" w:hAnsi="仿宋"/>
          <w:color w:val="000000"/>
          <w:sz w:val="28"/>
          <w:szCs w:val="28"/>
        </w:rPr>
        <w:t>基金</w:t>
      </w:r>
      <w:r w:rsidR="007561E0">
        <w:rPr>
          <w:rFonts w:ascii="仿宋" w:eastAsia="仿宋" w:hAnsi="仿宋"/>
          <w:color w:val="000000"/>
          <w:sz w:val="28"/>
          <w:szCs w:val="28"/>
        </w:rPr>
        <w:t>托管人。</w:t>
      </w:r>
      <w:r>
        <w:rPr>
          <w:rFonts w:ascii="仿宋" w:eastAsia="仿宋" w:hAnsi="仿宋"/>
          <w:color w:val="000000"/>
          <w:sz w:val="28"/>
          <w:szCs w:val="28"/>
        </w:rPr>
        <w:t>基金</w:t>
      </w:r>
      <w:r w:rsidR="007561E0">
        <w:rPr>
          <w:rFonts w:ascii="仿宋" w:eastAsia="仿宋" w:hAnsi="仿宋"/>
          <w:color w:val="000000"/>
          <w:sz w:val="28"/>
          <w:szCs w:val="28"/>
        </w:rPr>
        <w:t>管理人应对传递的数据的真实性、准确性和完整性负责。</w:t>
      </w:r>
    </w:p>
    <w:p w14:paraId="6C9688FC" w14:textId="1309E44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登记机构应通过与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管理人建立的系统发送有关数据，如因各种原因，该系统无法正常发送，双方可协商解决处理方式。</w:t>
      </w:r>
    </w:p>
    <w:p w14:paraId="6612229B" w14:textId="7D87330F" w:rsidR="009C2B7D" w:rsidRDefault="007561E0">
      <w:pPr>
        <w:pStyle w:val="21"/>
        <w:rPr>
          <w:rFonts w:ascii="仿宋" w:eastAsia="仿宋" w:hAnsi="仿宋"/>
          <w:color w:val="000000"/>
          <w:sz w:val="28"/>
          <w:szCs w:val="28"/>
        </w:rPr>
      </w:pPr>
      <w:r>
        <w:rPr>
          <w:rFonts w:ascii="仿宋" w:eastAsia="仿宋" w:hAnsi="仿宋"/>
          <w:color w:val="000000"/>
          <w:sz w:val="28"/>
          <w:szCs w:val="28"/>
        </w:rPr>
        <w:t>7.4.3</w:t>
      </w:r>
      <w:r w:rsidR="007619C1">
        <w:rPr>
          <w:rFonts w:ascii="仿宋" w:eastAsia="仿宋" w:hAnsi="仿宋"/>
          <w:color w:val="000000"/>
          <w:sz w:val="28"/>
          <w:szCs w:val="28"/>
        </w:rPr>
        <w:t>基金</w:t>
      </w:r>
      <w:r>
        <w:rPr>
          <w:rFonts w:ascii="仿宋" w:eastAsia="仿宋" w:hAnsi="仿宋"/>
          <w:color w:val="000000"/>
          <w:sz w:val="28"/>
          <w:szCs w:val="28"/>
        </w:rPr>
        <w:t>的资金清算</w:t>
      </w:r>
    </w:p>
    <w:p w14:paraId="60C68646" w14:textId="1DFD7BD5"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托管账户与“</w:t>
      </w:r>
      <w:r>
        <w:rPr>
          <w:rFonts w:ascii="仿宋" w:eastAsia="仿宋" w:hAnsi="仿宋" w:hint="eastAsia"/>
          <w:color w:val="000000"/>
          <w:sz w:val="28"/>
          <w:szCs w:val="28"/>
        </w:rPr>
        <w:t>基金</w:t>
      </w:r>
      <w:r w:rsidR="007561E0">
        <w:rPr>
          <w:rFonts w:ascii="仿宋" w:eastAsia="仿宋" w:hAnsi="仿宋" w:hint="eastAsia"/>
          <w:color w:val="000000"/>
          <w:sz w:val="28"/>
          <w:szCs w:val="28"/>
        </w:rPr>
        <w:t>清算账户”间的资金结算遵循“全额清算、净额交收”的原则，每日按照托管账户应收资金与应付资金的差额来确定托管账户净应收额或净应付额，以此确定资金交收额。</w:t>
      </w:r>
    </w:p>
    <w:p w14:paraId="3B1A0FD6" w14:textId="6CC498E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如果当日</w:t>
      </w:r>
      <w:r w:rsidR="007619C1">
        <w:rPr>
          <w:rFonts w:ascii="仿宋" w:eastAsia="仿宋" w:hAnsi="仿宋" w:hint="eastAsia"/>
          <w:color w:val="000000"/>
          <w:sz w:val="28"/>
          <w:szCs w:val="28"/>
        </w:rPr>
        <w:t>基金</w:t>
      </w:r>
      <w:r>
        <w:rPr>
          <w:rFonts w:ascii="仿宋" w:eastAsia="仿宋" w:hAnsi="仿宋" w:hint="eastAsia"/>
          <w:color w:val="000000"/>
          <w:sz w:val="28"/>
          <w:szCs w:val="28"/>
        </w:rPr>
        <w:t>为净应收款，</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管理人应在当日</w:t>
      </w:r>
      <w:r>
        <w:rPr>
          <w:rFonts w:ascii="仿宋" w:eastAsia="仿宋" w:hAnsi="仿宋"/>
          <w:color w:val="000000"/>
          <w:sz w:val="28"/>
          <w:szCs w:val="28"/>
        </w:rPr>
        <w:t>17:00前</w:t>
      </w:r>
      <w:r>
        <w:rPr>
          <w:rFonts w:ascii="仿宋" w:eastAsia="仿宋" w:hAnsi="仿宋" w:hint="eastAsia"/>
          <w:color w:val="000000"/>
          <w:sz w:val="28"/>
          <w:szCs w:val="28"/>
        </w:rPr>
        <w:t>将资金从</w:t>
      </w:r>
      <w:r w:rsidR="007619C1">
        <w:rPr>
          <w:rFonts w:ascii="仿宋" w:eastAsia="仿宋" w:hAnsi="仿宋" w:hint="eastAsia"/>
          <w:color w:val="000000"/>
          <w:sz w:val="28"/>
          <w:szCs w:val="28"/>
        </w:rPr>
        <w:t>基金</w:t>
      </w:r>
      <w:r>
        <w:rPr>
          <w:rFonts w:ascii="仿宋" w:eastAsia="仿宋" w:hAnsi="仿宋" w:hint="eastAsia"/>
          <w:color w:val="000000"/>
          <w:sz w:val="28"/>
          <w:szCs w:val="28"/>
        </w:rPr>
        <w:t>清算账户划到</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托管账户</w:t>
      </w:r>
      <w:r>
        <w:rPr>
          <w:rFonts w:ascii="仿宋" w:eastAsia="仿宋" w:hAnsi="仿宋"/>
          <w:color w:val="000000"/>
          <w:sz w:val="28"/>
          <w:szCs w:val="28"/>
        </w:rPr>
        <w:t>。</w:t>
      </w:r>
      <w:r>
        <w:rPr>
          <w:rFonts w:ascii="仿宋" w:eastAsia="仿宋" w:hAnsi="仿宋" w:hint="eastAsia"/>
          <w:color w:val="000000"/>
          <w:sz w:val="28"/>
          <w:szCs w:val="28"/>
        </w:rPr>
        <w:t>如果当日</w:t>
      </w:r>
      <w:r w:rsidR="007619C1">
        <w:rPr>
          <w:rFonts w:ascii="仿宋" w:eastAsia="仿宋" w:hAnsi="仿宋" w:hint="eastAsia"/>
          <w:color w:val="000000"/>
          <w:sz w:val="28"/>
          <w:szCs w:val="28"/>
        </w:rPr>
        <w:t>基金</w:t>
      </w:r>
      <w:r>
        <w:rPr>
          <w:rFonts w:ascii="仿宋" w:eastAsia="仿宋" w:hAnsi="仿宋" w:hint="eastAsia"/>
          <w:color w:val="000000"/>
          <w:sz w:val="28"/>
          <w:szCs w:val="28"/>
        </w:rPr>
        <w:t>为净应付款，</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托管人应根据</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管理人的指令在当日中午</w:t>
      </w:r>
      <w:r>
        <w:rPr>
          <w:rFonts w:ascii="仿宋" w:eastAsia="仿宋" w:hAnsi="仿宋"/>
          <w:color w:val="000000"/>
          <w:sz w:val="28"/>
          <w:szCs w:val="28"/>
        </w:rPr>
        <w:t>12:00前进行划付。对于未准时划付的资金，</w:t>
      </w:r>
      <w:r w:rsidR="007619C1">
        <w:rPr>
          <w:rFonts w:ascii="仿宋" w:eastAsia="仿宋" w:hAnsi="仿宋"/>
          <w:color w:val="000000"/>
          <w:sz w:val="28"/>
          <w:szCs w:val="28"/>
        </w:rPr>
        <w:t>基金</w:t>
      </w:r>
      <w:r>
        <w:rPr>
          <w:rFonts w:ascii="仿宋" w:eastAsia="仿宋" w:hAnsi="仿宋"/>
          <w:color w:val="000000"/>
          <w:sz w:val="28"/>
          <w:szCs w:val="28"/>
        </w:rPr>
        <w:t>管理人应及时通知</w:t>
      </w:r>
      <w:r w:rsidR="007619C1">
        <w:rPr>
          <w:rFonts w:ascii="仿宋" w:eastAsia="仿宋" w:hAnsi="仿宋"/>
          <w:color w:val="000000"/>
          <w:sz w:val="28"/>
          <w:szCs w:val="28"/>
        </w:rPr>
        <w:t>基金</w:t>
      </w:r>
      <w:r>
        <w:rPr>
          <w:rFonts w:ascii="仿宋" w:eastAsia="仿宋" w:hAnsi="仿宋"/>
          <w:color w:val="000000"/>
          <w:sz w:val="28"/>
          <w:szCs w:val="28"/>
        </w:rPr>
        <w:t>托管人划付。因</w:t>
      </w:r>
      <w:r w:rsidR="007619C1">
        <w:rPr>
          <w:rFonts w:ascii="仿宋" w:eastAsia="仿宋" w:hAnsi="仿宋"/>
          <w:color w:val="000000"/>
          <w:sz w:val="28"/>
          <w:szCs w:val="28"/>
        </w:rPr>
        <w:t>基金</w:t>
      </w:r>
      <w:r>
        <w:rPr>
          <w:rFonts w:ascii="仿宋" w:eastAsia="仿宋" w:hAnsi="仿宋"/>
          <w:color w:val="000000"/>
          <w:sz w:val="28"/>
          <w:szCs w:val="28"/>
        </w:rPr>
        <w:t>托管专户没有足够的资金，导致</w:t>
      </w:r>
      <w:r w:rsidR="007619C1">
        <w:rPr>
          <w:rFonts w:ascii="仿宋" w:eastAsia="仿宋" w:hAnsi="仿宋"/>
          <w:color w:val="000000"/>
          <w:sz w:val="28"/>
          <w:szCs w:val="28"/>
        </w:rPr>
        <w:t>基金</w:t>
      </w:r>
      <w:r>
        <w:rPr>
          <w:rFonts w:ascii="仿宋" w:eastAsia="仿宋" w:hAnsi="仿宋"/>
          <w:color w:val="000000"/>
          <w:sz w:val="28"/>
          <w:szCs w:val="28"/>
        </w:rPr>
        <w:t>托管人不能按时拨付，</w:t>
      </w:r>
      <w:r w:rsidR="007619C1">
        <w:rPr>
          <w:rFonts w:ascii="仿宋" w:eastAsia="仿宋" w:hAnsi="仿宋"/>
          <w:color w:val="000000"/>
          <w:sz w:val="28"/>
          <w:szCs w:val="28"/>
        </w:rPr>
        <w:t>基金</w:t>
      </w:r>
      <w:r>
        <w:rPr>
          <w:rFonts w:ascii="仿宋" w:eastAsia="仿宋" w:hAnsi="仿宋"/>
          <w:color w:val="000000"/>
          <w:sz w:val="28"/>
          <w:szCs w:val="28"/>
        </w:rPr>
        <w:t>托管人应及时通知</w:t>
      </w:r>
      <w:r w:rsidR="007619C1">
        <w:rPr>
          <w:rFonts w:ascii="仿宋" w:eastAsia="仿宋" w:hAnsi="仿宋"/>
          <w:color w:val="000000"/>
          <w:sz w:val="28"/>
          <w:szCs w:val="28"/>
        </w:rPr>
        <w:t>基金</w:t>
      </w:r>
      <w:r>
        <w:rPr>
          <w:rFonts w:ascii="仿宋" w:eastAsia="仿宋" w:hAnsi="仿宋"/>
          <w:color w:val="000000"/>
          <w:sz w:val="28"/>
          <w:szCs w:val="28"/>
        </w:rPr>
        <w:t>管理人，不能按时划拨导致的任何第三方的损失，</w:t>
      </w:r>
      <w:r w:rsidR="007619C1">
        <w:rPr>
          <w:rFonts w:ascii="仿宋" w:eastAsia="仿宋" w:hAnsi="仿宋"/>
          <w:color w:val="000000"/>
          <w:sz w:val="28"/>
          <w:szCs w:val="28"/>
        </w:rPr>
        <w:t>基金</w:t>
      </w:r>
      <w:r>
        <w:rPr>
          <w:rFonts w:ascii="仿宋" w:eastAsia="仿宋" w:hAnsi="仿宋"/>
          <w:color w:val="000000"/>
          <w:sz w:val="28"/>
          <w:szCs w:val="28"/>
        </w:rPr>
        <w:t>托管人</w:t>
      </w:r>
      <w:r>
        <w:rPr>
          <w:rFonts w:ascii="仿宋" w:eastAsia="仿宋" w:hAnsi="仿宋" w:hint="eastAsia"/>
          <w:color w:val="000000"/>
          <w:sz w:val="28"/>
          <w:szCs w:val="28"/>
        </w:rPr>
        <w:t>没有过错的</w:t>
      </w:r>
      <w:r>
        <w:rPr>
          <w:rFonts w:ascii="仿宋" w:eastAsia="仿宋" w:hAnsi="仿宋"/>
          <w:color w:val="000000"/>
          <w:sz w:val="28"/>
          <w:szCs w:val="28"/>
        </w:rPr>
        <w:t>不承担责任</w:t>
      </w:r>
      <w:r>
        <w:rPr>
          <w:rFonts w:ascii="仿宋" w:eastAsia="仿宋" w:hAnsi="仿宋" w:hint="eastAsia"/>
          <w:color w:val="000000"/>
          <w:sz w:val="28"/>
          <w:szCs w:val="28"/>
        </w:rPr>
        <w:t>。</w:t>
      </w:r>
    </w:p>
    <w:p w14:paraId="71DE4780" w14:textId="77777777" w:rsidR="009C2B7D" w:rsidRDefault="009C2B7D">
      <w:pPr>
        <w:pStyle w:val="21"/>
        <w:rPr>
          <w:rFonts w:ascii="仿宋" w:eastAsia="仿宋" w:hAnsi="仿宋"/>
          <w:color w:val="000000"/>
          <w:sz w:val="28"/>
          <w:szCs w:val="28"/>
        </w:rPr>
      </w:pPr>
    </w:p>
    <w:p w14:paraId="7769F3A1" w14:textId="77777777" w:rsidR="009C2B7D" w:rsidRDefault="009C2B7D">
      <w:pPr>
        <w:pStyle w:val="1"/>
        <w:rPr>
          <w:rFonts w:ascii="仿宋" w:eastAsia="仿宋" w:hAnsi="仿宋"/>
          <w:bCs/>
          <w:sz w:val="28"/>
          <w:szCs w:val="28"/>
        </w:rPr>
        <w:sectPr w:rsidR="009C2B7D">
          <w:footerReference w:type="default" r:id="rId23"/>
          <w:footerReference w:type="first" r:id="rId24"/>
          <w:pgSz w:w="11907" w:h="16840"/>
          <w:pgMar w:top="1361" w:right="1452" w:bottom="1134" w:left="1452" w:header="720" w:footer="720" w:gutter="0"/>
          <w:cols w:space="720"/>
          <w:docGrid w:linePitch="286"/>
        </w:sectPr>
      </w:pPr>
      <w:bookmarkStart w:id="38" w:name="_Toc296551344"/>
    </w:p>
    <w:p w14:paraId="36B46AB0" w14:textId="4D2BE450" w:rsidR="009C2B7D" w:rsidRDefault="007561E0">
      <w:pPr>
        <w:pStyle w:val="1"/>
        <w:rPr>
          <w:rFonts w:ascii="仿宋" w:eastAsia="仿宋" w:hAnsi="仿宋"/>
          <w:bCs/>
          <w:sz w:val="28"/>
          <w:szCs w:val="28"/>
        </w:rPr>
      </w:pPr>
      <w:bookmarkStart w:id="39" w:name="_Toc532912129"/>
      <w:bookmarkStart w:id="40" w:name="_Toc27979"/>
      <w:r>
        <w:rPr>
          <w:rFonts w:ascii="仿宋" w:eastAsia="仿宋" w:hAnsi="仿宋" w:hint="eastAsia"/>
          <w:bCs/>
          <w:sz w:val="28"/>
          <w:szCs w:val="28"/>
        </w:rPr>
        <w:t xml:space="preserve">第八条 </w:t>
      </w:r>
      <w:r w:rsidR="007619C1">
        <w:rPr>
          <w:rFonts w:ascii="仿宋" w:eastAsia="仿宋" w:hAnsi="仿宋" w:hint="eastAsia"/>
          <w:bCs/>
          <w:sz w:val="28"/>
          <w:szCs w:val="28"/>
        </w:rPr>
        <w:t>基金</w:t>
      </w:r>
      <w:r>
        <w:rPr>
          <w:rFonts w:ascii="仿宋" w:eastAsia="仿宋" w:hAnsi="仿宋" w:hint="eastAsia"/>
          <w:bCs/>
          <w:sz w:val="28"/>
          <w:szCs w:val="28"/>
        </w:rPr>
        <w:t>资产净值计算和会计核算</w:t>
      </w:r>
      <w:bookmarkEnd w:id="38"/>
      <w:bookmarkEnd w:id="39"/>
      <w:bookmarkEnd w:id="40"/>
    </w:p>
    <w:p w14:paraId="426DBDE0" w14:textId="324FAEC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8.1</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资产净值的计算、复核的时间和程序</w:t>
      </w:r>
    </w:p>
    <w:p w14:paraId="071A0F59" w14:textId="7F26967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8.1.1</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资产净值是指</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资产总值减去负债后的净资产值。各类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份额净值是</w:t>
      </w:r>
      <w:r w:rsidR="00AD522E" w:rsidRPr="00AD522E">
        <w:rPr>
          <w:rFonts w:ascii="仿宋" w:eastAsia="仿宋" w:hAnsi="仿宋" w:hint="eastAsia"/>
          <w:color w:val="000000"/>
          <w:sz w:val="28"/>
          <w:szCs w:val="28"/>
        </w:rPr>
        <w:t>按照每个工作日闭市后，</w:t>
      </w:r>
      <w:r w:rsidR="00AD522E">
        <w:rPr>
          <w:rFonts w:ascii="仿宋" w:eastAsia="仿宋" w:hAnsi="仿宋" w:hint="eastAsia"/>
          <w:color w:val="000000"/>
          <w:sz w:val="28"/>
          <w:szCs w:val="28"/>
        </w:rPr>
        <w:t>各</w:t>
      </w:r>
      <w:r>
        <w:rPr>
          <w:rFonts w:ascii="仿宋" w:eastAsia="仿宋" w:hAnsi="仿宋" w:hint="eastAsia"/>
          <w:color w:val="000000"/>
          <w:sz w:val="28"/>
          <w:szCs w:val="28"/>
        </w:rPr>
        <w:t>类</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资产净值除以该估值日该类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w:t>
      </w:r>
      <w:r w:rsidR="00AD522E" w:rsidRPr="00AD522E">
        <w:rPr>
          <w:rFonts w:ascii="仿宋" w:eastAsia="仿宋" w:hAnsi="仿宋" w:hint="eastAsia"/>
          <w:color w:val="000000"/>
          <w:sz w:val="28"/>
          <w:szCs w:val="28"/>
        </w:rPr>
        <w:t>的余额数量计算，均精确到0.0001元，</w:t>
      </w:r>
      <w:r>
        <w:rPr>
          <w:rFonts w:ascii="仿宋" w:eastAsia="仿宋" w:hAnsi="仿宋" w:hint="eastAsia"/>
          <w:color w:val="000000"/>
          <w:sz w:val="28"/>
          <w:szCs w:val="28"/>
        </w:rPr>
        <w:t>小数点后第5位四舍五入，由此产生的误差计入</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管理人可以设立大额赎回情形下的净值精度应急调整机制。</w:t>
      </w:r>
      <w:r w:rsidR="00127A27" w:rsidRPr="00127A27">
        <w:rPr>
          <w:rFonts w:ascii="仿宋" w:eastAsia="仿宋" w:hAnsi="仿宋" w:hint="eastAsia"/>
          <w:color w:val="000000"/>
          <w:sz w:val="28"/>
          <w:szCs w:val="28"/>
        </w:rPr>
        <w:t>国家另有规定的，从其规定。</w:t>
      </w:r>
    </w:p>
    <w:p w14:paraId="0DCB7C10" w14:textId="59C5A67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8.1.2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管理人应每个工作日对</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资产估值，但</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管理人根据法律法规或</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合同的规定暂停估值时除外。估值原则应符合</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w:t>
      </w:r>
      <w:r w:rsidR="00312DBF" w:rsidRPr="0096028E">
        <w:rPr>
          <w:rFonts w:ascii="仿宋" w:eastAsia="仿宋" w:hAnsi="仿宋" w:hint="eastAsia"/>
          <w:color w:val="000000"/>
          <w:sz w:val="28"/>
          <w:szCs w:val="28"/>
        </w:rPr>
        <w:t>《企业会计准则》</w:t>
      </w:r>
      <w:r>
        <w:rPr>
          <w:rFonts w:ascii="仿宋" w:eastAsia="仿宋" w:hAnsi="仿宋" w:hint="eastAsia"/>
          <w:color w:val="000000"/>
          <w:sz w:val="28"/>
          <w:szCs w:val="28"/>
        </w:rPr>
        <w:t>及其他法律、法规的规定。</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净值信息由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管理人负责计算，</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管理人应于每个工作日交易结束后计算当日的</w:t>
      </w:r>
      <w:r w:rsidR="007619C1">
        <w:rPr>
          <w:rFonts w:ascii="仿宋" w:eastAsia="仿宋" w:hAnsi="仿宋" w:hint="eastAsia"/>
          <w:color w:val="000000"/>
          <w:sz w:val="28"/>
          <w:szCs w:val="28"/>
        </w:rPr>
        <w:t>基金</w:t>
      </w:r>
      <w:r w:rsidR="00312DBF">
        <w:rPr>
          <w:rFonts w:ascii="仿宋" w:eastAsia="仿宋" w:hAnsi="仿宋" w:hint="eastAsia"/>
          <w:color w:val="000000"/>
          <w:sz w:val="28"/>
          <w:szCs w:val="28"/>
        </w:rPr>
        <w:t>资产净值和各类基金</w:t>
      </w:r>
      <w:r>
        <w:rPr>
          <w:rFonts w:ascii="仿宋" w:eastAsia="仿宋" w:hAnsi="仿宋" w:hint="eastAsia"/>
          <w:color w:val="000000"/>
          <w:sz w:val="28"/>
          <w:szCs w:val="28"/>
        </w:rPr>
        <w:t>份额净值并以双方认可的方式发送给</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托管人对净值计算结果复核后以双方认可的方式发送给</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管理人按约定对</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净值予以公布。</w:t>
      </w:r>
    </w:p>
    <w:p w14:paraId="5263242A" w14:textId="6909730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8.1.3根据《基金法》，</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管理人计算并公告</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净值信息，</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托管人复核、审查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净值信息。因此，本</w:t>
      </w:r>
      <w:r w:rsidR="007619C1">
        <w:rPr>
          <w:rFonts w:ascii="仿宋" w:eastAsia="仿宋" w:hAnsi="仿宋" w:hint="eastAsia"/>
          <w:color w:val="000000"/>
          <w:sz w:val="28"/>
          <w:szCs w:val="28"/>
        </w:rPr>
        <w:t>基金</w:t>
      </w:r>
      <w:r>
        <w:rPr>
          <w:rFonts w:ascii="仿宋" w:eastAsia="仿宋" w:hAnsi="仿宋" w:hint="eastAsia"/>
          <w:color w:val="000000"/>
          <w:sz w:val="28"/>
          <w:szCs w:val="28"/>
        </w:rPr>
        <w:t>的</w:t>
      </w:r>
      <w:r w:rsidR="00127A27">
        <w:rPr>
          <w:rFonts w:ascii="仿宋" w:eastAsia="仿宋" w:hAnsi="仿宋" w:hint="eastAsia"/>
          <w:color w:val="000000"/>
          <w:sz w:val="28"/>
          <w:szCs w:val="28"/>
        </w:rPr>
        <w:t>基金</w:t>
      </w:r>
      <w:r>
        <w:rPr>
          <w:rFonts w:ascii="仿宋" w:eastAsia="仿宋" w:hAnsi="仿宋" w:hint="eastAsia"/>
          <w:color w:val="000000"/>
          <w:sz w:val="28"/>
          <w:szCs w:val="28"/>
        </w:rPr>
        <w:t>会计责任方是</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管理人，就与本</w:t>
      </w:r>
      <w:r w:rsidR="007619C1">
        <w:rPr>
          <w:rFonts w:ascii="仿宋" w:eastAsia="仿宋" w:hAnsi="仿宋" w:hint="eastAsia"/>
          <w:color w:val="000000"/>
          <w:sz w:val="28"/>
          <w:szCs w:val="28"/>
        </w:rPr>
        <w:t>基金</w:t>
      </w:r>
      <w:r>
        <w:rPr>
          <w:rFonts w:ascii="仿宋" w:eastAsia="仿宋" w:hAnsi="仿宋" w:hint="eastAsia"/>
          <w:color w:val="000000"/>
          <w:sz w:val="28"/>
          <w:szCs w:val="28"/>
        </w:rPr>
        <w:t>有关的会计问题，如经相关各方在平等基础上充分讨论后，仍无法达成一致的意见，按照</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净值信息的计算结果对外予以公布。</w:t>
      </w:r>
    </w:p>
    <w:p w14:paraId="406F3B7F" w14:textId="2A8E83F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8.2</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资产估值方法</w:t>
      </w:r>
    </w:p>
    <w:p w14:paraId="064A419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69C41300" w14:textId="3868C1CB"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所拥有的衍生工具、债券、资产支持证券、</w:t>
      </w:r>
      <w:r w:rsidR="00312DBF" w:rsidRPr="00312DBF">
        <w:rPr>
          <w:rFonts w:ascii="仿宋" w:eastAsia="仿宋" w:hAnsi="仿宋" w:hint="eastAsia"/>
          <w:color w:val="000000"/>
          <w:sz w:val="28"/>
          <w:szCs w:val="28"/>
        </w:rPr>
        <w:t>信用衍生品、</w:t>
      </w:r>
      <w:r w:rsidR="007561E0">
        <w:rPr>
          <w:rFonts w:ascii="仿宋" w:eastAsia="仿宋" w:hAnsi="仿宋" w:hint="eastAsia"/>
          <w:color w:val="000000"/>
          <w:sz w:val="28"/>
          <w:szCs w:val="28"/>
        </w:rPr>
        <w:t>银行存款本息、应收款项、其它投资等资产及负债。</w:t>
      </w:r>
    </w:p>
    <w:p w14:paraId="2219E794" w14:textId="77777777" w:rsidR="009C2B7D" w:rsidRDefault="007561E0">
      <w:pPr>
        <w:pStyle w:val="21"/>
        <w:rPr>
          <w:rFonts w:ascii="仿宋" w:eastAsia="仿宋" w:hAnsi="仿宋"/>
          <w:color w:val="000000"/>
          <w:sz w:val="28"/>
          <w:szCs w:val="28"/>
        </w:rPr>
      </w:pPr>
      <w:r>
        <w:rPr>
          <w:rFonts w:ascii="仿宋" w:eastAsia="仿宋" w:hAnsi="仿宋"/>
          <w:color w:val="000000"/>
          <w:sz w:val="28"/>
          <w:szCs w:val="28"/>
        </w:rPr>
        <w:t>8.2.2估值方法</w:t>
      </w:r>
    </w:p>
    <w:p w14:paraId="6295F485" w14:textId="77777777" w:rsidR="00312DBF" w:rsidRPr="00312DBF" w:rsidRDefault="00312DBF" w:rsidP="00312DBF">
      <w:pPr>
        <w:pStyle w:val="21"/>
        <w:rPr>
          <w:rFonts w:ascii="仿宋" w:eastAsia="仿宋" w:hAnsi="仿宋"/>
          <w:bCs/>
          <w:color w:val="000000"/>
          <w:sz w:val="28"/>
          <w:szCs w:val="28"/>
        </w:rPr>
      </w:pPr>
      <w:bookmarkStart w:id="41" w:name="_Hlk187699594"/>
      <w:bookmarkStart w:id="42" w:name="_Hlk75351645"/>
      <w:r w:rsidRPr="00312DBF">
        <w:rPr>
          <w:rFonts w:ascii="仿宋" w:eastAsia="仿宋" w:hAnsi="仿宋"/>
          <w:bCs/>
          <w:color w:val="000000"/>
          <w:sz w:val="28"/>
          <w:szCs w:val="28"/>
        </w:rPr>
        <w:t>1</w:t>
      </w:r>
      <w:r w:rsidRPr="00312DBF">
        <w:rPr>
          <w:rFonts w:ascii="仿宋" w:eastAsia="仿宋" w:hAnsi="仿宋" w:hint="eastAsia"/>
          <w:bCs/>
          <w:color w:val="000000"/>
          <w:sz w:val="28"/>
          <w:szCs w:val="28"/>
        </w:rPr>
        <w:t>、证券交易所上市的有价证券的估值</w:t>
      </w:r>
    </w:p>
    <w:p w14:paraId="2DD27CCA"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（1）交易所上市交易或挂牌转让的不含权固定收益品种，选取估值日第三方估值机构提供的相应品种当日的估值全价进行估值；</w:t>
      </w:r>
    </w:p>
    <w:p w14:paraId="7F0A2F7D"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（2）交易所上市交易或挂牌转让的含权固定收益品种，选取估值日第三方估值机构提供的相应品种当日的唯一估值全价或推荐估值全价进行估值；</w:t>
      </w:r>
    </w:p>
    <w:p w14:paraId="44CCD402"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（3）交易所市场上市交易的公开发行的可转换债券等有活跃市场的含转股权的债券，实行全价交易的债券选取估值日收盘价作为估值全价；实行净价交易的债券选取估值</w:t>
      </w:r>
      <w:r w:rsidRPr="00312DBF">
        <w:rPr>
          <w:rFonts w:ascii="仿宋" w:eastAsia="仿宋" w:hAnsi="仿宋"/>
          <w:bCs/>
          <w:color w:val="000000"/>
          <w:sz w:val="28"/>
          <w:szCs w:val="28"/>
        </w:rPr>
        <w:t>日收盘价</w:t>
      </w:r>
      <w:r w:rsidRPr="00312DBF">
        <w:rPr>
          <w:rFonts w:ascii="仿宋" w:eastAsia="仿宋" w:hAnsi="仿宋" w:hint="eastAsia"/>
          <w:bCs/>
          <w:color w:val="000000"/>
          <w:sz w:val="28"/>
          <w:szCs w:val="28"/>
        </w:rPr>
        <w:t>并加计每百元税前应计利息作为估值全价；</w:t>
      </w:r>
    </w:p>
    <w:p w14:paraId="00EE257A"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（4）交易所上市不存在活跃市场的有价证券，采用估值技术确定公允价值。交易所市场挂牌转让的资产支持证券，采用估值技术确定公允价值；</w:t>
      </w:r>
    </w:p>
    <w:p w14:paraId="4B205724"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2BBE529"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bCs/>
          <w:color w:val="000000"/>
          <w:sz w:val="28"/>
          <w:szCs w:val="28"/>
        </w:rPr>
        <w:t>2</w:t>
      </w:r>
      <w:r w:rsidRPr="00312DBF">
        <w:rPr>
          <w:rFonts w:ascii="仿宋" w:eastAsia="仿宋" w:hAnsi="仿宋" w:hint="eastAsia"/>
          <w:bCs/>
          <w:color w:val="000000"/>
          <w:sz w:val="28"/>
          <w:szCs w:val="28"/>
        </w:rPr>
        <w:t>、首次公开发行未上市的债券，采用估值技术确定公允价值。</w:t>
      </w:r>
    </w:p>
    <w:p w14:paraId="6D53161B"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bCs/>
          <w:color w:val="000000"/>
          <w:sz w:val="28"/>
          <w:szCs w:val="28"/>
        </w:rPr>
        <w:t>3</w:t>
      </w:r>
      <w:r w:rsidRPr="00312DBF">
        <w:rPr>
          <w:rFonts w:ascii="仿宋" w:eastAsia="仿宋" w:hAnsi="仿宋" w:hint="eastAsia"/>
          <w:bCs/>
          <w:color w:val="000000"/>
          <w:sz w:val="28"/>
          <w:szCs w:val="28"/>
        </w:rPr>
        <w:t>、对全国银行间市场上不含权的固定收益品种，按照第三方估值机构提供的相应品种当日的估值全价估值。对银行间市场上含权的固定收益品种，按照第三方估值机</w:t>
      </w:r>
      <w:bookmarkStart w:id="43" w:name="_Hlk187699570"/>
      <w:r w:rsidRPr="00312DBF">
        <w:rPr>
          <w:rFonts w:ascii="仿宋" w:eastAsia="仿宋" w:hAnsi="仿宋" w:hint="eastAsia"/>
          <w:bCs/>
          <w:color w:val="000000"/>
          <w:sz w:val="28"/>
          <w:szCs w:val="28"/>
        </w:rPr>
        <w:t>构提供的相应品种当日的唯一估值全价或推荐估值全价估值。对于未上市或未挂牌转让且不存在活跃市场的固定收益品种，采用估值技术确定其公允价值。</w:t>
      </w:r>
    </w:p>
    <w:bookmarkEnd w:id="41"/>
    <w:p w14:paraId="2783FD33"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4、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0D955CE1"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5、同一证券同时在两个或两个以上市场交易的，按证券所处的市场分别估值。</w:t>
      </w:r>
    </w:p>
    <w:p w14:paraId="3618E4ED"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6、存款的估值方法</w:t>
      </w:r>
    </w:p>
    <w:p w14:paraId="741332FC"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持有的银行定期存款或通知存款以本金列示，按协议或合同利率逐日确认利息收入。</w:t>
      </w:r>
    </w:p>
    <w:p w14:paraId="1F97D40D"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bCs/>
          <w:color w:val="000000"/>
          <w:sz w:val="28"/>
          <w:szCs w:val="28"/>
        </w:rPr>
        <w:t>7</w:t>
      </w:r>
      <w:r w:rsidRPr="00312DBF">
        <w:rPr>
          <w:rFonts w:ascii="仿宋" w:eastAsia="仿宋" w:hAnsi="仿宋" w:hint="eastAsia"/>
          <w:bCs/>
          <w:color w:val="000000"/>
          <w:sz w:val="28"/>
          <w:szCs w:val="28"/>
        </w:rPr>
        <w:t>、本基金投资国债期货合约，一般以估值当日结算价进行估值，估值当日无结算价的，且最近交易日后经济环境未发生重大变化的，采用最近交易日结算价估值。</w:t>
      </w:r>
    </w:p>
    <w:p w14:paraId="1EAEBCC8" w14:textId="39FF8DF4" w:rsidR="00312DBF" w:rsidRPr="00312DBF" w:rsidRDefault="00312DBF" w:rsidP="00312DBF">
      <w:pPr>
        <w:pStyle w:val="21"/>
        <w:rPr>
          <w:rFonts w:ascii="仿宋" w:eastAsia="仿宋" w:hAnsi="仿宋"/>
          <w:bCs/>
          <w:color w:val="000000"/>
          <w:sz w:val="28"/>
          <w:szCs w:val="28"/>
        </w:rPr>
      </w:pPr>
      <w:r w:rsidRPr="00312DBF">
        <w:rPr>
          <w:rFonts w:ascii="仿宋" w:eastAsia="仿宋" w:hAnsi="仿宋"/>
          <w:bCs/>
          <w:color w:val="000000"/>
          <w:sz w:val="28"/>
          <w:szCs w:val="28"/>
        </w:rPr>
        <w:t>8</w:t>
      </w:r>
      <w:r w:rsidRPr="00312DBF">
        <w:rPr>
          <w:rFonts w:ascii="仿宋" w:eastAsia="仿宋" w:hAnsi="仿宋" w:hint="eastAsia"/>
          <w:bCs/>
          <w:color w:val="000000"/>
          <w:sz w:val="28"/>
          <w:szCs w:val="28"/>
        </w:rPr>
        <w:t>、信用衍生品按第三方估值机构提供的当日估值价格进行估值，但</w:t>
      </w:r>
      <w:r w:rsidR="00127A27">
        <w:rPr>
          <w:rFonts w:ascii="仿宋" w:eastAsia="仿宋" w:hAnsi="仿宋" w:hint="eastAsia"/>
          <w:bCs/>
          <w:color w:val="000000"/>
          <w:sz w:val="28"/>
          <w:szCs w:val="28"/>
        </w:rPr>
        <w:t>基金</w:t>
      </w:r>
      <w:r w:rsidRPr="00312DBF">
        <w:rPr>
          <w:rFonts w:ascii="仿宋" w:eastAsia="仿宋" w:hAnsi="仿宋" w:hint="eastAsia"/>
          <w:bCs/>
          <w:color w:val="000000"/>
          <w:sz w:val="28"/>
          <w:szCs w:val="28"/>
        </w:rPr>
        <w:t>管理人依法应当承担的估值责任不因委托而免除。选定的第三方估值机构未提供估值价格的，依照有关法律法规及企业会计准则要求采用合理估值技术确定公允价值。</w:t>
      </w:r>
    </w:p>
    <w:p w14:paraId="308D1821"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bCs/>
          <w:color w:val="000000"/>
          <w:sz w:val="28"/>
          <w:szCs w:val="28"/>
        </w:rPr>
        <w:t>9、本基金可以采用第三方估值机构按照上述公允价值确定原则提供的估值价格数据。</w:t>
      </w:r>
    </w:p>
    <w:p w14:paraId="2FE36ACD"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1</w:t>
      </w:r>
      <w:r w:rsidRPr="00312DBF">
        <w:rPr>
          <w:rFonts w:ascii="仿宋" w:eastAsia="仿宋" w:hAnsi="仿宋"/>
          <w:bCs/>
          <w:color w:val="000000"/>
          <w:sz w:val="28"/>
          <w:szCs w:val="28"/>
        </w:rPr>
        <w:t>0</w:t>
      </w:r>
      <w:r w:rsidRPr="00312DBF">
        <w:rPr>
          <w:rFonts w:ascii="仿宋" w:eastAsia="仿宋" w:hAnsi="仿宋" w:hint="eastAsia"/>
          <w:bCs/>
          <w:color w:val="000000"/>
          <w:sz w:val="28"/>
          <w:szCs w:val="28"/>
        </w:rPr>
        <w:t>、上述第三方估值机构提供的估值全价指第三方估值机构直接提供的估值全价或第三方估值机构提供的估值净价加每百元应计利息。</w:t>
      </w:r>
    </w:p>
    <w:p w14:paraId="428518E2" w14:textId="77777777" w:rsidR="00312DBF" w:rsidRPr="00312DBF" w:rsidRDefault="00312DBF" w:rsidP="00312DBF">
      <w:pPr>
        <w:pStyle w:val="21"/>
        <w:rPr>
          <w:rFonts w:ascii="仿宋" w:eastAsia="仿宋" w:hAnsi="仿宋"/>
          <w:color w:val="000000"/>
          <w:sz w:val="28"/>
          <w:szCs w:val="28"/>
        </w:rPr>
      </w:pPr>
      <w:r w:rsidRPr="00312DBF">
        <w:rPr>
          <w:rFonts w:ascii="仿宋" w:eastAsia="仿宋" w:hAnsi="仿宋" w:hint="eastAsia"/>
          <w:bCs/>
          <w:color w:val="000000"/>
          <w:sz w:val="28"/>
          <w:szCs w:val="28"/>
        </w:rPr>
        <w:t>1</w:t>
      </w:r>
      <w:r w:rsidRPr="00312DBF">
        <w:rPr>
          <w:rFonts w:ascii="仿宋" w:eastAsia="仿宋" w:hAnsi="仿宋"/>
          <w:bCs/>
          <w:color w:val="000000"/>
          <w:sz w:val="28"/>
          <w:szCs w:val="28"/>
        </w:rPr>
        <w:t>1、如有确凿证据表明按上述方法进行估值不能客观反映其公允价值的，基金管理人可根据具体情况与基金托管人商定后，按最能反映公允价值的价格估值。</w:t>
      </w:r>
    </w:p>
    <w:p w14:paraId="07186AD9" w14:textId="77777777" w:rsidR="00312DBF" w:rsidRPr="00312DBF" w:rsidRDefault="00312DBF" w:rsidP="00312DBF">
      <w:pPr>
        <w:pStyle w:val="21"/>
        <w:rPr>
          <w:rFonts w:ascii="仿宋" w:eastAsia="仿宋" w:hAnsi="仿宋"/>
          <w:color w:val="000000"/>
          <w:sz w:val="28"/>
          <w:szCs w:val="28"/>
        </w:rPr>
      </w:pPr>
      <w:r w:rsidRPr="00312DBF">
        <w:rPr>
          <w:rFonts w:ascii="仿宋" w:eastAsia="仿宋" w:hAnsi="仿宋"/>
          <w:bCs/>
          <w:color w:val="000000"/>
          <w:sz w:val="28"/>
          <w:szCs w:val="28"/>
        </w:rPr>
        <w:t>12、当发生大额申购或赎回情形时，基金管理人可以采用摆动定价机制，以确保基金估值的公平性。</w:t>
      </w:r>
    </w:p>
    <w:p w14:paraId="4EC7CB04"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bCs/>
          <w:color w:val="000000"/>
          <w:sz w:val="28"/>
          <w:szCs w:val="28"/>
        </w:rPr>
        <w:t>13</w:t>
      </w:r>
      <w:r w:rsidRPr="00312DBF">
        <w:rPr>
          <w:rFonts w:ascii="仿宋" w:eastAsia="仿宋" w:hAnsi="仿宋" w:hint="eastAsia"/>
          <w:bCs/>
          <w:color w:val="000000"/>
          <w:sz w:val="28"/>
          <w:szCs w:val="28"/>
        </w:rPr>
        <w:t>、其他资产按法律法规或监管机构有关规定进行估值。</w:t>
      </w:r>
    </w:p>
    <w:p w14:paraId="61C43D88"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hint="eastAsia"/>
          <w:bCs/>
          <w:color w:val="000000"/>
          <w:sz w:val="28"/>
          <w:szCs w:val="28"/>
        </w:rPr>
        <w:t>1</w:t>
      </w:r>
      <w:r w:rsidRPr="00312DBF">
        <w:rPr>
          <w:rFonts w:ascii="仿宋" w:eastAsia="仿宋" w:hAnsi="仿宋"/>
          <w:bCs/>
          <w:color w:val="000000"/>
          <w:sz w:val="28"/>
          <w:szCs w:val="28"/>
        </w:rPr>
        <w:t>4</w:t>
      </w:r>
      <w:r w:rsidRPr="00312DBF">
        <w:rPr>
          <w:rFonts w:ascii="仿宋" w:eastAsia="仿宋" w:hAnsi="仿宋" w:hint="eastAsia"/>
          <w:bCs/>
          <w:color w:val="000000"/>
          <w:sz w:val="28"/>
          <w:szCs w:val="28"/>
        </w:rPr>
        <w:t>、税收按照相关法律法规、监管机构等的规定以及行业惯例进行处理。</w:t>
      </w:r>
    </w:p>
    <w:p w14:paraId="40796585" w14:textId="77777777" w:rsidR="00312DBF" w:rsidRPr="00312DBF" w:rsidRDefault="00312DBF" w:rsidP="00312DBF">
      <w:pPr>
        <w:pStyle w:val="21"/>
        <w:rPr>
          <w:rFonts w:ascii="仿宋" w:eastAsia="仿宋" w:hAnsi="仿宋"/>
          <w:bCs/>
          <w:color w:val="000000"/>
          <w:sz w:val="28"/>
          <w:szCs w:val="28"/>
        </w:rPr>
      </w:pPr>
      <w:r w:rsidRPr="00312DBF">
        <w:rPr>
          <w:rFonts w:ascii="仿宋" w:eastAsia="仿宋" w:hAnsi="仿宋"/>
          <w:bCs/>
          <w:color w:val="000000"/>
          <w:sz w:val="28"/>
          <w:szCs w:val="28"/>
        </w:rPr>
        <w:t>15</w:t>
      </w:r>
      <w:r w:rsidRPr="00312DBF">
        <w:rPr>
          <w:rFonts w:ascii="仿宋" w:eastAsia="仿宋" w:hAnsi="仿宋" w:hint="eastAsia"/>
          <w:bCs/>
          <w:color w:val="000000"/>
          <w:sz w:val="28"/>
          <w:szCs w:val="28"/>
        </w:rPr>
        <w:t>、相关法律法规以及监管部门有强制规定的，从其规定。如有新增事项，按国家最新规定估值。</w:t>
      </w:r>
    </w:p>
    <w:p w14:paraId="0C38745D" w14:textId="77777777" w:rsidR="00312DBF" w:rsidRPr="00312DBF" w:rsidRDefault="00312DBF" w:rsidP="00312DBF">
      <w:pPr>
        <w:pStyle w:val="21"/>
        <w:rPr>
          <w:rFonts w:ascii="仿宋" w:eastAsia="仿宋" w:hAnsi="仿宋"/>
          <w:color w:val="000000"/>
          <w:sz w:val="28"/>
          <w:szCs w:val="28"/>
        </w:rPr>
      </w:pPr>
      <w:r w:rsidRPr="00312DBF">
        <w:rPr>
          <w:rFonts w:ascii="仿宋" w:eastAsia="仿宋" w:hAnsi="仿宋" w:hint="eastAsia"/>
          <w:color w:val="000000"/>
          <w:sz w:val="28"/>
          <w:szCs w:val="28"/>
        </w:rPr>
        <w:t>如基金管理人或基金托管人发现基金估值违反基金合同订明的估值方法、程序及相关法律法规的规定或者未能充分维护基金份额持有人利益时，应立即通知对方，共同查明原因，双方协商解决。</w:t>
      </w:r>
    </w:p>
    <w:p w14:paraId="6CD4CD7A" w14:textId="77777777" w:rsidR="00312DBF" w:rsidRPr="00312DBF" w:rsidRDefault="00312DBF" w:rsidP="00312DBF">
      <w:pPr>
        <w:pStyle w:val="21"/>
        <w:rPr>
          <w:rFonts w:ascii="仿宋" w:eastAsia="仿宋" w:hAnsi="仿宋"/>
          <w:color w:val="000000"/>
          <w:sz w:val="28"/>
          <w:szCs w:val="28"/>
        </w:rPr>
      </w:pPr>
      <w:r w:rsidRPr="00312DBF">
        <w:rPr>
          <w:rFonts w:ascii="仿宋" w:eastAsia="仿宋" w:hAnsi="仿宋" w:hint="eastAsia"/>
          <w:color w:val="000000"/>
          <w:sz w:val="28"/>
          <w:szCs w:val="28"/>
        </w:rPr>
        <w:t>根据有关法律法规，基金资产净值计算和基金会计核算的义务由基金管理人承担。本基金的基金会计责任方由基金管理人担任</w:t>
      </w:r>
      <w:r w:rsidRPr="00312DBF">
        <w:rPr>
          <w:rFonts w:ascii="仿宋" w:eastAsia="仿宋" w:hAnsi="仿宋" w:hint="eastAsia"/>
          <w:bCs/>
          <w:color w:val="000000"/>
          <w:sz w:val="28"/>
          <w:szCs w:val="28"/>
        </w:rPr>
        <w:t>，基金托管人承担复核责任</w:t>
      </w:r>
      <w:r w:rsidRPr="00312DBF">
        <w:rPr>
          <w:rFonts w:ascii="仿宋" w:eastAsia="仿宋" w:hAnsi="仿宋" w:hint="eastAsia"/>
          <w:color w:val="000000"/>
          <w:sz w:val="28"/>
          <w:szCs w:val="28"/>
        </w:rPr>
        <w:t>，因此，就与本基金有关的会计问题，如经相关各方在平等基础上充分讨论后，仍无法达成一致的意见，按照基金管理人对基金净值信息的计算结果对外予以公布。</w:t>
      </w:r>
      <w:bookmarkEnd w:id="42"/>
    </w:p>
    <w:bookmarkEnd w:id="43"/>
    <w:p w14:paraId="0433F5EA"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586DD12C" w14:textId="4605379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8.3.1因</w:t>
      </w:r>
      <w:r w:rsidR="007619C1">
        <w:rPr>
          <w:rFonts w:ascii="仿宋" w:eastAsia="仿宋" w:hAnsi="仿宋" w:hint="eastAsia"/>
          <w:color w:val="000000"/>
          <w:sz w:val="28"/>
          <w:szCs w:val="28"/>
        </w:rPr>
        <w:t>基金</w:t>
      </w:r>
      <w:r>
        <w:rPr>
          <w:rFonts w:ascii="仿宋" w:eastAsia="仿宋" w:hAnsi="仿宋" w:hint="eastAsia"/>
          <w:color w:val="000000"/>
          <w:sz w:val="28"/>
          <w:szCs w:val="28"/>
        </w:rPr>
        <w:t>估值错误给投资人造成损失的应由过错方根据过错情况承担相应责任。</w:t>
      </w:r>
    </w:p>
    <w:p w14:paraId="07FE638C" w14:textId="0ECB95A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8.3.2当</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净值信息已由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托管人复核确认后公告的，由此造成的投资人或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的损失，应根据法律法规的规定和过错情况各自承担相应的责任。</w:t>
      </w:r>
    </w:p>
    <w:p w14:paraId="453DAE2D" w14:textId="6AB6435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份额净值计算错误造成投资人或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的损失，以及由此造成以后交易日</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份额净值计算顺延错误而引起的投资人或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的损失，由相关过错方根据过错情况承担赔偿责任。</w:t>
      </w:r>
    </w:p>
    <w:p w14:paraId="6A4FD6A7" w14:textId="705E3B1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托管人原因，</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托管人虽然已经采取必要、适当、合理的措施进行检查，但未能发现错误的，由此造成的</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资产估值错误，</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托管人应当积极采取必要的措施减轻或消除由此造成的影响。</w:t>
      </w:r>
    </w:p>
    <w:p w14:paraId="13EAAA80" w14:textId="4729E9A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8.3.5当</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净值信息与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托管人的计算结果不一致时，相关各方应本着勤勉尽责的态度重新计算核对，如果最后仍无法达成一致，应以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管理人的计算结果为准对外公布，由此造成的损失，</w:t>
      </w:r>
      <w:r w:rsidR="00127A27">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127A27">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2C9B9E35" w14:textId="2DF6060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8.4</w:t>
      </w:r>
      <w:r w:rsidR="007619C1">
        <w:rPr>
          <w:rFonts w:ascii="仿宋" w:eastAsia="仿宋" w:hAnsi="仿宋" w:hint="eastAsia"/>
          <w:color w:val="000000"/>
          <w:sz w:val="28"/>
          <w:szCs w:val="28"/>
        </w:rPr>
        <w:t>基金</w:t>
      </w:r>
      <w:r>
        <w:rPr>
          <w:rFonts w:ascii="仿宋" w:eastAsia="仿宋" w:hAnsi="仿宋" w:hint="eastAsia"/>
          <w:color w:val="000000"/>
          <w:sz w:val="28"/>
          <w:szCs w:val="28"/>
        </w:rPr>
        <w:t>账册的建立</w:t>
      </w:r>
    </w:p>
    <w:p w14:paraId="69112973" w14:textId="25D3FAE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8.4.1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合同生效后，应按照相关各方约定的同一记账方法和会计处理原则，分别独立地设置、登录和保管本</w:t>
      </w:r>
      <w:r w:rsidR="007619C1">
        <w:rPr>
          <w:rFonts w:ascii="仿宋" w:eastAsia="仿宋" w:hAnsi="仿宋" w:hint="eastAsia"/>
          <w:color w:val="000000"/>
          <w:sz w:val="28"/>
          <w:szCs w:val="28"/>
        </w:rPr>
        <w:t>基金</w:t>
      </w:r>
      <w:r>
        <w:rPr>
          <w:rFonts w:ascii="仿宋" w:eastAsia="仿宋" w:hAnsi="仿宋" w:hint="eastAsia"/>
          <w:color w:val="000000"/>
          <w:sz w:val="28"/>
          <w:szCs w:val="28"/>
        </w:rPr>
        <w:t>的全套账册，对相关各方各自的账册定期进行核对，互相监督，以保证</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资产的安全。若双方对会计处理方法存在分歧，应以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管理人的处理方法为准。</w:t>
      </w:r>
    </w:p>
    <w:p w14:paraId="52700495" w14:textId="1E2BE04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8.4.2经对账（含会计数据和财务指标等）发现相关各方的账目存在不符的，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托管人必须及时查明原因并纠正，保证相关各方平行登录的账册记录完全相符。若当日核对不符，暂时无法查找到错账的原因而影响到</w:t>
      </w:r>
      <w:r w:rsidR="007619C1">
        <w:rPr>
          <w:rFonts w:ascii="仿宋" w:eastAsia="仿宋" w:hAnsi="仿宋" w:hint="eastAsia"/>
          <w:color w:val="000000"/>
          <w:sz w:val="28"/>
          <w:szCs w:val="28"/>
        </w:rPr>
        <w:t>基金</w:t>
      </w:r>
      <w:r>
        <w:rPr>
          <w:rFonts w:ascii="仿宋" w:eastAsia="仿宋" w:hAnsi="仿宋" w:hint="eastAsia"/>
          <w:color w:val="000000"/>
          <w:sz w:val="28"/>
          <w:szCs w:val="28"/>
        </w:rPr>
        <w:t>净值信息的计算和公告的，以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管理人的账册为准。</w:t>
      </w:r>
    </w:p>
    <w:p w14:paraId="2E6C9FDF" w14:textId="1447428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8.5</w:t>
      </w:r>
      <w:r w:rsidR="007619C1">
        <w:rPr>
          <w:rFonts w:ascii="仿宋" w:eastAsia="仿宋" w:hAnsi="仿宋" w:hint="eastAsia"/>
          <w:color w:val="000000"/>
          <w:sz w:val="28"/>
          <w:szCs w:val="28"/>
        </w:rPr>
        <w:t>基金</w:t>
      </w:r>
      <w:r>
        <w:rPr>
          <w:rFonts w:ascii="仿宋" w:eastAsia="仿宋" w:hAnsi="仿宋" w:hint="eastAsia"/>
          <w:color w:val="000000"/>
          <w:sz w:val="28"/>
          <w:szCs w:val="28"/>
        </w:rPr>
        <w:t>定期报告的编制和复核</w:t>
      </w:r>
    </w:p>
    <w:p w14:paraId="183DFC64" w14:textId="7A309C0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8.5.1</w:t>
      </w:r>
      <w:r w:rsidR="007619C1">
        <w:rPr>
          <w:rFonts w:ascii="仿宋" w:eastAsia="仿宋" w:hAnsi="仿宋" w:hint="eastAsia"/>
          <w:color w:val="000000"/>
          <w:sz w:val="28"/>
          <w:szCs w:val="28"/>
        </w:rPr>
        <w:t>基金</w:t>
      </w:r>
      <w:r>
        <w:rPr>
          <w:rFonts w:ascii="仿宋" w:eastAsia="仿宋" w:hAnsi="仿宋" w:hint="eastAsia"/>
          <w:color w:val="000000"/>
          <w:sz w:val="28"/>
          <w:szCs w:val="28"/>
        </w:rPr>
        <w:t>财务报表由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托管人每月分别独立编制。月度报表的编制，应于每月终了后5个工作日内完成。</w:t>
      </w:r>
    </w:p>
    <w:p w14:paraId="1D083BA8" w14:textId="35DEF82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8.5.2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管理人在季度结束之日起15个工作日内完成季度报告编制并公告；在会计年度半年终了后两个月内完成中期报告编制并公告；在会计年度结束后三个月内完成年度报告编制并公告。</w:t>
      </w:r>
    </w:p>
    <w:p w14:paraId="5FE55FC4" w14:textId="5B31648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8.5.3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管理人应及时完成报表编制，将有关报表提供</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托管人在复核过程中，发现双方的报表存在不符时，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托管人应共同查明原因，进行调整，调整以国家有关规定为准。</w:t>
      </w:r>
    </w:p>
    <w:p w14:paraId="7D97C3D5" w14:textId="04492E0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8.5.4</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托管人在对财务会计报告、季度报告、中期报告或年度报告复核完毕后，需向</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管理人进行书面或电子确认，以备有权机构对相关文件审核时提示。</w:t>
      </w:r>
    </w:p>
    <w:p w14:paraId="4240B638" w14:textId="77777777" w:rsidR="009C2B7D" w:rsidRDefault="007561E0">
      <w:pPr>
        <w:pStyle w:val="21"/>
        <w:rPr>
          <w:rFonts w:ascii="仿宋" w:eastAsia="仿宋" w:hAnsi="仿宋"/>
          <w:color w:val="000000"/>
          <w:sz w:val="28"/>
          <w:szCs w:val="28"/>
        </w:rPr>
      </w:pPr>
      <w:r>
        <w:rPr>
          <w:rFonts w:ascii="仿宋" w:eastAsia="仿宋" w:hAnsi="仿宋"/>
          <w:color w:val="000000"/>
          <w:sz w:val="28"/>
          <w:szCs w:val="28"/>
        </w:rPr>
        <w:t>8.6暂停估值的情形</w:t>
      </w:r>
    </w:p>
    <w:p w14:paraId="479B554A" w14:textId="0677DB4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2D23D4A5" w14:textId="3490B3A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托管人无法准确评估</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资产价值时；</w:t>
      </w:r>
    </w:p>
    <w:p w14:paraId="52A192D6" w14:textId="347CAF6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（3）当特定资产占前一估值日</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资产净值50%以上的，经与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托管人协商确认后，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管理人应当暂停估值；</w:t>
      </w:r>
    </w:p>
    <w:p w14:paraId="1B8AEDDE" w14:textId="2E61F9EE" w:rsidR="009C2B7D" w:rsidRDefault="007561E0">
      <w:pPr>
        <w:pStyle w:val="21"/>
        <w:rPr>
          <w:rFonts w:ascii="仿宋" w:eastAsia="仿宋" w:hAnsi="仿宋"/>
          <w:sz w:val="28"/>
          <w:szCs w:val="28"/>
        </w:rPr>
      </w:pPr>
      <w:r>
        <w:rPr>
          <w:rFonts w:ascii="仿宋" w:eastAsia="仿宋" w:hAnsi="仿宋" w:hint="eastAsia"/>
          <w:color w:val="000000"/>
          <w:sz w:val="28"/>
          <w:szCs w:val="28"/>
        </w:rPr>
        <w:t>（4）法律法规、中国证监会和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合同认定的其他情形</w:t>
      </w:r>
      <w:r>
        <w:rPr>
          <w:rFonts w:ascii="仿宋" w:eastAsia="仿宋" w:hAnsi="仿宋"/>
          <w:color w:val="000000"/>
          <w:sz w:val="28"/>
          <w:szCs w:val="28"/>
        </w:rPr>
        <w:t>。</w:t>
      </w:r>
    </w:p>
    <w:p w14:paraId="3BD4141F" w14:textId="77777777" w:rsidR="009C2B7D" w:rsidRDefault="009C2B7D">
      <w:pPr>
        <w:pStyle w:val="21"/>
        <w:rPr>
          <w:rFonts w:ascii="仿宋" w:eastAsia="仿宋" w:hAnsi="仿宋"/>
          <w:color w:val="000000"/>
          <w:sz w:val="28"/>
          <w:szCs w:val="28"/>
        </w:rPr>
      </w:pPr>
    </w:p>
    <w:p w14:paraId="5214C51F" w14:textId="77777777" w:rsidR="009C2B7D" w:rsidRDefault="009C2B7D">
      <w:pPr>
        <w:pStyle w:val="1"/>
        <w:rPr>
          <w:rFonts w:ascii="仿宋" w:eastAsia="仿宋" w:hAnsi="仿宋"/>
          <w:bCs/>
          <w:sz w:val="28"/>
          <w:szCs w:val="28"/>
        </w:rPr>
        <w:sectPr w:rsidR="009C2B7D">
          <w:footerReference w:type="default" r:id="rId25"/>
          <w:pgSz w:w="11907" w:h="16840"/>
          <w:pgMar w:top="1361" w:right="1452" w:bottom="1134" w:left="1452" w:header="720" w:footer="720" w:gutter="0"/>
          <w:cols w:space="720"/>
          <w:docGrid w:linePitch="286"/>
        </w:sectPr>
      </w:pPr>
      <w:bookmarkStart w:id="44" w:name="_Toc296551345"/>
    </w:p>
    <w:p w14:paraId="01DB2AA1" w14:textId="7FBDEE6F" w:rsidR="009C2B7D" w:rsidRDefault="007561E0">
      <w:pPr>
        <w:pStyle w:val="1"/>
        <w:rPr>
          <w:rFonts w:ascii="仿宋" w:eastAsia="仿宋" w:hAnsi="仿宋"/>
          <w:bCs/>
          <w:sz w:val="28"/>
          <w:szCs w:val="28"/>
        </w:rPr>
      </w:pPr>
      <w:bookmarkStart w:id="45" w:name="_Toc532912130"/>
      <w:bookmarkStart w:id="46" w:name="_Toc8042"/>
      <w:r>
        <w:rPr>
          <w:rFonts w:ascii="仿宋" w:eastAsia="仿宋" w:hAnsi="仿宋" w:hint="eastAsia"/>
          <w:bCs/>
          <w:sz w:val="28"/>
          <w:szCs w:val="28"/>
        </w:rPr>
        <w:t xml:space="preserve">第九条 </w:t>
      </w:r>
      <w:r w:rsidR="007619C1">
        <w:rPr>
          <w:rFonts w:ascii="仿宋" w:eastAsia="仿宋" w:hAnsi="仿宋" w:hint="eastAsia"/>
          <w:bCs/>
          <w:sz w:val="28"/>
          <w:szCs w:val="28"/>
        </w:rPr>
        <w:t>基金</w:t>
      </w:r>
      <w:r>
        <w:rPr>
          <w:rFonts w:ascii="仿宋" w:eastAsia="仿宋" w:hAnsi="仿宋" w:hint="eastAsia"/>
          <w:bCs/>
          <w:sz w:val="28"/>
          <w:szCs w:val="28"/>
        </w:rPr>
        <w:t>收益分配</w:t>
      </w:r>
      <w:bookmarkEnd w:id="44"/>
      <w:bookmarkEnd w:id="45"/>
      <w:bookmarkEnd w:id="46"/>
    </w:p>
    <w:p w14:paraId="4FFF1956" w14:textId="3F656D8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9.1</w:t>
      </w:r>
      <w:r w:rsidR="007619C1">
        <w:rPr>
          <w:rFonts w:ascii="仿宋" w:eastAsia="仿宋" w:hAnsi="仿宋" w:hint="eastAsia"/>
          <w:color w:val="000000"/>
          <w:sz w:val="28"/>
          <w:szCs w:val="28"/>
        </w:rPr>
        <w:t>基金</w:t>
      </w:r>
      <w:r>
        <w:rPr>
          <w:rFonts w:ascii="仿宋" w:eastAsia="仿宋" w:hAnsi="仿宋" w:hint="eastAsia"/>
          <w:color w:val="000000"/>
          <w:sz w:val="28"/>
          <w:szCs w:val="28"/>
        </w:rPr>
        <w:t>利润的构成</w:t>
      </w:r>
    </w:p>
    <w:p w14:paraId="087BD097" w14:textId="652BE652"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利润指</w:t>
      </w:r>
      <w:r>
        <w:rPr>
          <w:rFonts w:ascii="仿宋" w:eastAsia="仿宋" w:hAnsi="仿宋" w:hint="eastAsia"/>
          <w:color w:val="000000"/>
          <w:sz w:val="28"/>
          <w:szCs w:val="28"/>
        </w:rPr>
        <w:t>基金</w:t>
      </w:r>
      <w:r w:rsidR="007561E0">
        <w:rPr>
          <w:rFonts w:ascii="仿宋" w:eastAsia="仿宋" w:hAnsi="仿宋" w:hint="eastAsia"/>
          <w:color w:val="000000"/>
          <w:sz w:val="28"/>
          <w:szCs w:val="28"/>
        </w:rPr>
        <w:t>利息收入、投资收益、公允价值变动收益和其他收入扣除相关费用后的余额；</w:t>
      </w:r>
      <w:r>
        <w:rPr>
          <w:rFonts w:ascii="仿宋" w:eastAsia="仿宋" w:hAnsi="仿宋" w:hint="eastAsia"/>
          <w:color w:val="000000"/>
          <w:sz w:val="28"/>
          <w:szCs w:val="28"/>
        </w:rPr>
        <w:t>基金</w:t>
      </w:r>
      <w:r w:rsidR="007561E0">
        <w:rPr>
          <w:rFonts w:ascii="仿宋" w:eastAsia="仿宋" w:hAnsi="仿宋" w:hint="eastAsia"/>
          <w:color w:val="000000"/>
          <w:sz w:val="28"/>
          <w:szCs w:val="28"/>
        </w:rPr>
        <w:t>已实现收益指</w:t>
      </w:r>
      <w:r>
        <w:rPr>
          <w:rFonts w:ascii="仿宋" w:eastAsia="仿宋" w:hAnsi="仿宋" w:hint="eastAsia"/>
          <w:color w:val="000000"/>
          <w:sz w:val="28"/>
          <w:szCs w:val="28"/>
        </w:rPr>
        <w:t>基金</w:t>
      </w:r>
      <w:r w:rsidR="007561E0">
        <w:rPr>
          <w:rFonts w:ascii="仿宋" w:eastAsia="仿宋" w:hAnsi="仿宋" w:hint="eastAsia"/>
          <w:color w:val="000000"/>
          <w:sz w:val="28"/>
          <w:szCs w:val="28"/>
        </w:rPr>
        <w:t>利润减去公允价值变动损益后的余额。</w:t>
      </w:r>
    </w:p>
    <w:p w14:paraId="10FDDAE5" w14:textId="602FC1D0" w:rsidR="009C2B7D" w:rsidRDefault="007561E0">
      <w:pPr>
        <w:pStyle w:val="21"/>
        <w:rPr>
          <w:rFonts w:ascii="仿宋" w:eastAsia="仿宋" w:hAnsi="仿宋"/>
          <w:color w:val="000000"/>
          <w:sz w:val="28"/>
          <w:szCs w:val="28"/>
        </w:rPr>
      </w:pPr>
      <w:r>
        <w:rPr>
          <w:rFonts w:ascii="仿宋" w:eastAsia="仿宋" w:hAnsi="仿宋"/>
          <w:color w:val="000000"/>
          <w:sz w:val="28"/>
          <w:szCs w:val="28"/>
        </w:rPr>
        <w:t>9.2</w:t>
      </w:r>
      <w:r w:rsidR="007619C1">
        <w:rPr>
          <w:rFonts w:ascii="仿宋" w:eastAsia="仿宋" w:hAnsi="仿宋" w:hint="eastAsia"/>
          <w:color w:val="000000"/>
          <w:sz w:val="28"/>
          <w:szCs w:val="28"/>
        </w:rPr>
        <w:t>基金</w:t>
      </w:r>
      <w:r>
        <w:rPr>
          <w:rFonts w:ascii="仿宋" w:eastAsia="仿宋" w:hAnsi="仿宋" w:hint="eastAsia"/>
          <w:color w:val="000000"/>
          <w:sz w:val="28"/>
          <w:szCs w:val="28"/>
        </w:rPr>
        <w:t>可供分配利润</w:t>
      </w:r>
    </w:p>
    <w:p w14:paraId="75C332D8" w14:textId="48F339AB"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可供分配利润指截至收益分配基准日</w:t>
      </w:r>
      <w:r>
        <w:rPr>
          <w:rFonts w:ascii="仿宋" w:eastAsia="仿宋" w:hAnsi="仿宋" w:hint="eastAsia"/>
          <w:color w:val="000000"/>
          <w:sz w:val="28"/>
          <w:szCs w:val="28"/>
        </w:rPr>
        <w:t>基金</w:t>
      </w:r>
      <w:r w:rsidR="007561E0">
        <w:rPr>
          <w:rFonts w:ascii="仿宋" w:eastAsia="仿宋" w:hAnsi="仿宋" w:hint="eastAsia"/>
          <w:color w:val="000000"/>
          <w:sz w:val="28"/>
          <w:szCs w:val="28"/>
        </w:rPr>
        <w:t>未分配利润与未分配利润中已实现收益的孰低数。</w:t>
      </w:r>
    </w:p>
    <w:p w14:paraId="5C827663" w14:textId="6338904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sidR="00312DBF">
        <w:rPr>
          <w:rFonts w:ascii="仿宋" w:eastAsia="仿宋" w:hAnsi="仿宋" w:hint="eastAsia"/>
          <w:color w:val="000000"/>
          <w:sz w:val="28"/>
          <w:szCs w:val="28"/>
        </w:rPr>
        <w:t>基金</w:t>
      </w:r>
      <w:r>
        <w:rPr>
          <w:rFonts w:ascii="仿宋" w:eastAsia="仿宋" w:hAnsi="仿宋" w:hint="eastAsia"/>
          <w:color w:val="000000"/>
          <w:sz w:val="28"/>
          <w:szCs w:val="28"/>
        </w:rPr>
        <w:t>收益分配原则</w:t>
      </w:r>
    </w:p>
    <w:p w14:paraId="14049FCA" w14:textId="6BFF2EF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（1）在符合有关</w:t>
      </w:r>
      <w:r w:rsidR="007619C1">
        <w:rPr>
          <w:rFonts w:ascii="仿宋" w:eastAsia="仿宋" w:hAnsi="仿宋" w:hint="eastAsia"/>
          <w:color w:val="000000"/>
          <w:sz w:val="28"/>
          <w:szCs w:val="28"/>
        </w:rPr>
        <w:t>基金</w:t>
      </w:r>
      <w:r>
        <w:rPr>
          <w:rFonts w:ascii="仿宋" w:eastAsia="仿宋" w:hAnsi="仿宋" w:hint="eastAsia"/>
          <w:color w:val="000000"/>
          <w:sz w:val="28"/>
          <w:szCs w:val="28"/>
        </w:rPr>
        <w:t>分红条件的前提下，本</w:t>
      </w:r>
      <w:r w:rsidR="007619C1">
        <w:rPr>
          <w:rFonts w:ascii="仿宋" w:eastAsia="仿宋" w:hAnsi="仿宋" w:hint="eastAsia"/>
          <w:color w:val="000000"/>
          <w:sz w:val="28"/>
          <w:szCs w:val="28"/>
        </w:rPr>
        <w:t>基金</w:t>
      </w:r>
      <w:r>
        <w:rPr>
          <w:rFonts w:ascii="仿宋" w:eastAsia="仿宋" w:hAnsi="仿宋" w:hint="eastAsia"/>
          <w:color w:val="000000"/>
          <w:sz w:val="28"/>
          <w:szCs w:val="28"/>
        </w:rPr>
        <w:t>每年收益分配次数最多为12次，每份</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份额每次</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收益分配比例不得低于</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收益分配基准日每份</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份额可供分配利润的10%，若《</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合同》生效不满3个月可不进行收益分配。</w:t>
      </w:r>
    </w:p>
    <w:p w14:paraId="1072CA79" w14:textId="65D0F36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（2）本</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收益分配方式分两种：现金分红与红利再投资，投资者可选择现金红利或将现金红利自动转为相应类别</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份额进行再投资；若投资者不选择，本</w:t>
      </w:r>
      <w:r w:rsidR="007619C1">
        <w:rPr>
          <w:rFonts w:ascii="仿宋" w:eastAsia="仿宋" w:hAnsi="仿宋" w:hint="eastAsia"/>
          <w:color w:val="000000"/>
          <w:sz w:val="28"/>
          <w:szCs w:val="28"/>
        </w:rPr>
        <w:t>基金</w:t>
      </w:r>
      <w:r>
        <w:rPr>
          <w:rFonts w:ascii="仿宋" w:eastAsia="仿宋" w:hAnsi="仿宋" w:hint="eastAsia"/>
          <w:color w:val="000000"/>
          <w:sz w:val="28"/>
          <w:szCs w:val="28"/>
        </w:rPr>
        <w:t>默认的收益分配方式是现金分红。</w:t>
      </w:r>
    </w:p>
    <w:p w14:paraId="1ECE3F61" w14:textId="7FA4AF2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收益分配后各类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份额净值不能低于面值；即</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收益分配基准日的各类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份额净值减去每单位该类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份额收益分配金额后不能低于面值。</w:t>
      </w:r>
    </w:p>
    <w:p w14:paraId="69622149" w14:textId="466F494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（4）由于本</w:t>
      </w:r>
      <w:r w:rsidR="007619C1">
        <w:rPr>
          <w:rFonts w:ascii="仿宋" w:eastAsia="仿宋" w:hAnsi="仿宋" w:hint="eastAsia"/>
          <w:color w:val="000000"/>
          <w:sz w:val="28"/>
          <w:szCs w:val="28"/>
        </w:rPr>
        <w:t>基金</w:t>
      </w:r>
      <w:r>
        <w:rPr>
          <w:rFonts w:ascii="仿宋" w:eastAsia="仿宋" w:hAnsi="仿宋" w:hint="eastAsia"/>
          <w:color w:val="000000"/>
          <w:sz w:val="28"/>
          <w:szCs w:val="28"/>
        </w:rPr>
        <w:t>A类</w:t>
      </w:r>
      <w:r w:rsidR="005112D3">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份额不收取销售服务费，而C类、E类</w:t>
      </w:r>
      <w:r w:rsidR="005112D3">
        <w:rPr>
          <w:rFonts w:ascii="仿宋" w:eastAsia="仿宋" w:hAnsi="仿宋" w:hint="eastAsia"/>
          <w:color w:val="000000"/>
          <w:sz w:val="28"/>
          <w:szCs w:val="28"/>
        </w:rPr>
        <w:t>基金</w:t>
      </w:r>
      <w:r>
        <w:rPr>
          <w:rFonts w:ascii="仿宋" w:eastAsia="仿宋" w:hAnsi="仿宋" w:hint="eastAsia"/>
          <w:color w:val="000000"/>
          <w:sz w:val="28"/>
          <w:szCs w:val="28"/>
        </w:rPr>
        <w:t>份额收取销售服务费且适用不同的费用标准，各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份额类别对应的可供分配收益将有所不同。本</w:t>
      </w:r>
      <w:r w:rsidR="007619C1">
        <w:rPr>
          <w:rFonts w:ascii="仿宋" w:eastAsia="仿宋" w:hAnsi="仿宋" w:hint="eastAsia"/>
          <w:color w:val="000000"/>
          <w:sz w:val="28"/>
          <w:szCs w:val="28"/>
        </w:rPr>
        <w:t>基金</w:t>
      </w:r>
      <w:r>
        <w:rPr>
          <w:rFonts w:ascii="仿宋" w:eastAsia="仿宋" w:hAnsi="仿宋" w:hint="eastAsia"/>
          <w:color w:val="000000"/>
          <w:sz w:val="28"/>
          <w:szCs w:val="28"/>
        </w:rPr>
        <w:t>同一类别的每一</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份额享有同等分配权。</w:t>
      </w:r>
    </w:p>
    <w:p w14:paraId="74A3DE6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（5）法律法规或监管机关另有规定的，从其规定。</w:t>
      </w:r>
    </w:p>
    <w:p w14:paraId="4D993E43" w14:textId="6FBCA663" w:rsidR="009C2B7D" w:rsidRDefault="00312DBF">
      <w:pPr>
        <w:pStyle w:val="21"/>
        <w:rPr>
          <w:rFonts w:ascii="仿宋" w:eastAsia="仿宋" w:hAnsi="仿宋"/>
          <w:color w:val="000000"/>
          <w:sz w:val="28"/>
          <w:szCs w:val="28"/>
        </w:rPr>
      </w:pPr>
      <w:r>
        <w:rPr>
          <w:rFonts w:ascii="仿宋" w:eastAsia="仿宋" w:hAnsi="仿宋" w:hint="eastAsia"/>
          <w:color w:val="000000"/>
          <w:sz w:val="28"/>
          <w:szCs w:val="28"/>
        </w:rPr>
        <w:t>在</w:t>
      </w:r>
      <w:r w:rsidRPr="00E70A6F">
        <w:rPr>
          <w:rFonts w:ascii="仿宋" w:eastAsia="仿宋" w:hAnsi="仿宋" w:hint="eastAsia"/>
          <w:color w:val="000000"/>
          <w:sz w:val="28"/>
          <w:szCs w:val="28"/>
        </w:rPr>
        <w:t>不违反法律法规且对基金份额持有人利益无实质性不利影响</w:t>
      </w:r>
      <w:r>
        <w:rPr>
          <w:rFonts w:ascii="仿宋" w:eastAsia="仿宋" w:hAnsi="仿宋" w:hint="eastAsia"/>
          <w:color w:val="000000"/>
          <w:sz w:val="28"/>
          <w:szCs w:val="28"/>
        </w:rPr>
        <w:t>的情况下，</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管理人可在法律法规允许的前提下酌情调整以上</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收益分配原则，此项调整不需要召开</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份额持有人大会，但应于变更实施日前在规定媒介公告。</w:t>
      </w:r>
    </w:p>
    <w:p w14:paraId="0AF66696"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29CA3E98" w14:textId="6FCBCC5F"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收益分配方案中应载明截止收益分配基准日的可供分配利润、</w:t>
      </w:r>
      <w:r>
        <w:rPr>
          <w:rFonts w:ascii="仿宋" w:eastAsia="仿宋" w:hAnsi="仿宋" w:hint="eastAsia"/>
          <w:color w:val="000000"/>
          <w:sz w:val="28"/>
          <w:szCs w:val="28"/>
        </w:rPr>
        <w:t>基金</w:t>
      </w:r>
      <w:r w:rsidR="007561E0">
        <w:rPr>
          <w:rFonts w:ascii="仿宋" w:eastAsia="仿宋" w:hAnsi="仿宋" w:hint="eastAsia"/>
          <w:color w:val="000000"/>
          <w:sz w:val="28"/>
          <w:szCs w:val="28"/>
        </w:rPr>
        <w:t>收益分配对象、分配时间、分配数额及比例、分配方式等内容。</w:t>
      </w:r>
    </w:p>
    <w:p w14:paraId="4ED0063D"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1D8C34C5" w14:textId="6F43C17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9.5.1本</w:t>
      </w:r>
      <w:r w:rsidR="007619C1">
        <w:rPr>
          <w:rFonts w:ascii="仿宋" w:eastAsia="仿宋" w:hAnsi="仿宋" w:hint="eastAsia"/>
          <w:color w:val="000000"/>
          <w:sz w:val="28"/>
          <w:szCs w:val="28"/>
        </w:rPr>
        <w:t>基金</w:t>
      </w:r>
      <w:r>
        <w:rPr>
          <w:rFonts w:ascii="仿宋" w:eastAsia="仿宋" w:hAnsi="仿宋" w:hint="eastAsia"/>
          <w:color w:val="000000"/>
          <w:sz w:val="28"/>
          <w:szCs w:val="28"/>
        </w:rPr>
        <w:t>收益分配方案由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管理人拟定，并由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托管人复核，依照《信息披露办法》的有关规定在规定媒介公告。</w:t>
      </w:r>
    </w:p>
    <w:p w14:paraId="26D11E8B" w14:textId="5ABA91D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管理人依据具体方案的规定就支付的现金红利向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托管人发送划款指令，</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托管人按照</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管理人的指令及时进行分红资金的划付。</w:t>
      </w:r>
    </w:p>
    <w:p w14:paraId="3F8D7E15"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322ABF53" w14:textId="77777777" w:rsidR="009C2B7D" w:rsidRDefault="009C2B7D">
      <w:pPr>
        <w:pStyle w:val="1"/>
        <w:rPr>
          <w:rFonts w:ascii="仿宋" w:eastAsia="仿宋" w:hAnsi="仿宋"/>
          <w:bCs/>
          <w:sz w:val="28"/>
          <w:szCs w:val="28"/>
        </w:rPr>
        <w:sectPr w:rsidR="009C2B7D">
          <w:footerReference w:type="default" r:id="rId26"/>
          <w:footerReference w:type="first" r:id="rId27"/>
          <w:pgSz w:w="11907" w:h="16840"/>
          <w:pgMar w:top="1361" w:right="1452" w:bottom="1134" w:left="1452" w:header="720" w:footer="720" w:gutter="0"/>
          <w:cols w:space="720"/>
          <w:docGrid w:linePitch="286"/>
        </w:sectPr>
      </w:pPr>
      <w:bookmarkStart w:id="47" w:name="_Toc296551346"/>
    </w:p>
    <w:p w14:paraId="2CFAA8DF" w14:textId="77777777" w:rsidR="009C2B7D" w:rsidRDefault="007561E0">
      <w:pPr>
        <w:pStyle w:val="1"/>
        <w:rPr>
          <w:rFonts w:ascii="仿宋" w:eastAsia="仿宋" w:hAnsi="仿宋"/>
          <w:bCs/>
          <w:sz w:val="28"/>
          <w:szCs w:val="28"/>
        </w:rPr>
      </w:pPr>
      <w:bookmarkStart w:id="48" w:name="_Toc532912131"/>
      <w:bookmarkStart w:id="49" w:name="_Toc2264"/>
      <w:r>
        <w:rPr>
          <w:rFonts w:ascii="仿宋" w:eastAsia="仿宋" w:hAnsi="仿宋" w:hint="eastAsia"/>
          <w:bCs/>
          <w:sz w:val="28"/>
          <w:szCs w:val="28"/>
        </w:rPr>
        <w:t>第十条 信息披露</w:t>
      </w:r>
      <w:bookmarkEnd w:id="47"/>
      <w:bookmarkEnd w:id="48"/>
      <w:bookmarkEnd w:id="49"/>
    </w:p>
    <w:p w14:paraId="272D450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0EBF2652" w14:textId="088E575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合同及中国证监会关于</w:t>
      </w:r>
      <w:r w:rsidR="007619C1">
        <w:rPr>
          <w:rFonts w:ascii="仿宋" w:eastAsia="仿宋" w:hAnsi="仿宋" w:hint="eastAsia"/>
          <w:color w:val="000000"/>
          <w:sz w:val="28"/>
          <w:szCs w:val="28"/>
        </w:rPr>
        <w:t>基金</w:t>
      </w:r>
      <w:r>
        <w:rPr>
          <w:rFonts w:ascii="仿宋" w:eastAsia="仿宋" w:hAnsi="仿宋" w:hint="eastAsia"/>
          <w:color w:val="000000"/>
          <w:sz w:val="28"/>
          <w:szCs w:val="28"/>
        </w:rPr>
        <w:t>信息披露的有关规定进行披露以外，</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运作中产生的信息以及从对方获得的业务信息应恪守保密的义务。</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619C1">
        <w:rPr>
          <w:rFonts w:ascii="仿宋" w:eastAsia="仿宋" w:hAnsi="仿宋" w:hint="eastAsia"/>
          <w:color w:val="000000"/>
          <w:sz w:val="28"/>
          <w:szCs w:val="28"/>
        </w:rPr>
        <w:t>基金</w:t>
      </w:r>
      <w:r>
        <w:rPr>
          <w:rFonts w:ascii="仿宋" w:eastAsia="仿宋" w:hAnsi="仿宋" w:hint="eastAsia"/>
          <w:color w:val="000000"/>
          <w:sz w:val="28"/>
          <w:szCs w:val="28"/>
        </w:rPr>
        <w:t>的任何信息，除法律法规规定之外，不得在其公开披露之前，先行对任何第三方披露。但是，如下情况不应视为</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托管人违反保密义务：</w:t>
      </w:r>
    </w:p>
    <w:p w14:paraId="562DD168" w14:textId="1417BF1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（1）非因</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托管人的原因导致保密信息被披露、泄露或公开；</w:t>
      </w:r>
    </w:p>
    <w:p w14:paraId="36C776C5" w14:textId="0D6AD6D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托管人为遵守和服从法院判决或裁定、仲裁裁决或中国证监会等监管机构的命令、决定所做出的信息披露或公开；</w:t>
      </w:r>
    </w:p>
    <w:p w14:paraId="1D24444D"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（3）因审计、法律等外部专业顾问提供服务而向其提供的情况。</w:t>
      </w:r>
    </w:p>
    <w:p w14:paraId="135D048F" w14:textId="34C6F26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托管人在信息披露中的职责和信息披露程序</w:t>
      </w:r>
    </w:p>
    <w:p w14:paraId="72849978" w14:textId="6607F88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10.2.1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托管人应根据相关法律法规、</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合同的规定各自承担相应的信息披露职责。</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托管人负有积极配合、互相督促、彼此监督、保证其履行按照法定方式和时限披露的义务。</w:t>
      </w:r>
    </w:p>
    <w:p w14:paraId="64008149" w14:textId="031D56ED" w:rsidR="009C2B7D" w:rsidRDefault="007561E0">
      <w:pPr>
        <w:pStyle w:val="21"/>
        <w:rPr>
          <w:rFonts w:ascii="仿宋" w:eastAsia="仿宋" w:hAnsi="仿宋"/>
          <w:color w:val="000000"/>
          <w:sz w:val="28"/>
          <w:szCs w:val="28"/>
        </w:rPr>
      </w:pPr>
      <w:r>
        <w:rPr>
          <w:rFonts w:ascii="仿宋" w:eastAsia="仿宋" w:hAnsi="仿宋"/>
          <w:color w:val="000000"/>
          <w:sz w:val="28"/>
          <w:szCs w:val="28"/>
        </w:rPr>
        <w:t>10.2.2本</w:t>
      </w:r>
      <w:r w:rsidR="007619C1">
        <w:rPr>
          <w:rFonts w:ascii="仿宋" w:eastAsia="仿宋" w:hAnsi="仿宋"/>
          <w:color w:val="000000"/>
          <w:sz w:val="28"/>
          <w:szCs w:val="28"/>
        </w:rPr>
        <w:t>基金</w:t>
      </w:r>
      <w:r>
        <w:rPr>
          <w:rFonts w:ascii="仿宋" w:eastAsia="仿宋" w:hAnsi="仿宋"/>
          <w:color w:val="000000"/>
          <w:sz w:val="28"/>
          <w:szCs w:val="28"/>
        </w:rPr>
        <w:t>信息披露的文件主要包括招募说明书、</w:t>
      </w:r>
      <w:r w:rsidR="007619C1">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7619C1">
        <w:rPr>
          <w:rFonts w:ascii="仿宋" w:eastAsia="仿宋" w:hAnsi="仿宋"/>
          <w:color w:val="000000"/>
          <w:sz w:val="28"/>
          <w:szCs w:val="28"/>
        </w:rPr>
        <w:t>基金</w:t>
      </w:r>
      <w:r>
        <w:rPr>
          <w:rFonts w:ascii="仿宋" w:eastAsia="仿宋" w:hAnsi="仿宋"/>
          <w:color w:val="000000"/>
          <w:sz w:val="28"/>
          <w:szCs w:val="28"/>
        </w:rPr>
        <w:t>合同、本协议、定期报告、临时报告、澄清公告、</w:t>
      </w:r>
      <w:r w:rsidR="00312DBF">
        <w:rPr>
          <w:rFonts w:ascii="仿宋" w:eastAsia="仿宋" w:hAnsi="仿宋" w:hint="eastAsia"/>
          <w:color w:val="000000"/>
          <w:sz w:val="28"/>
          <w:szCs w:val="28"/>
        </w:rPr>
        <w:t>各类</w:t>
      </w:r>
      <w:r w:rsidR="007619C1">
        <w:rPr>
          <w:rFonts w:ascii="仿宋" w:eastAsia="仿宋" w:hAnsi="仿宋"/>
          <w:color w:val="000000"/>
          <w:sz w:val="28"/>
          <w:szCs w:val="28"/>
        </w:rPr>
        <w:t>基金</w:t>
      </w:r>
      <w:r>
        <w:rPr>
          <w:rFonts w:ascii="仿宋" w:eastAsia="仿宋" w:hAnsi="仿宋"/>
          <w:color w:val="000000"/>
          <w:sz w:val="28"/>
          <w:szCs w:val="28"/>
        </w:rPr>
        <w:t>份额净值、</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份额累计净值、</w:t>
      </w:r>
      <w:r w:rsidR="007619C1">
        <w:rPr>
          <w:rFonts w:ascii="仿宋" w:eastAsia="仿宋" w:hAnsi="仿宋"/>
          <w:color w:val="000000"/>
          <w:sz w:val="28"/>
          <w:szCs w:val="28"/>
        </w:rPr>
        <w:t>基金</w:t>
      </w:r>
      <w:r>
        <w:rPr>
          <w:rFonts w:ascii="仿宋" w:eastAsia="仿宋" w:hAnsi="仿宋"/>
          <w:color w:val="000000"/>
          <w:sz w:val="28"/>
          <w:szCs w:val="28"/>
        </w:rPr>
        <w:t>份额申购、赎回价格、</w:t>
      </w:r>
      <w:r w:rsidR="007619C1">
        <w:rPr>
          <w:rFonts w:ascii="仿宋" w:eastAsia="仿宋" w:hAnsi="仿宋"/>
          <w:color w:val="000000"/>
          <w:sz w:val="28"/>
          <w:szCs w:val="28"/>
        </w:rPr>
        <w:t>基金</w:t>
      </w:r>
      <w:r>
        <w:rPr>
          <w:rFonts w:ascii="仿宋" w:eastAsia="仿宋" w:hAnsi="仿宋"/>
          <w:color w:val="000000"/>
          <w:sz w:val="28"/>
          <w:szCs w:val="28"/>
        </w:rPr>
        <w:t>份额持有人大会决议、</w:t>
      </w:r>
      <w:r w:rsidR="007619C1">
        <w:rPr>
          <w:rFonts w:ascii="仿宋" w:eastAsia="仿宋" w:hAnsi="仿宋"/>
          <w:color w:val="000000"/>
          <w:sz w:val="28"/>
          <w:szCs w:val="28"/>
        </w:rPr>
        <w:t>基金</w:t>
      </w:r>
      <w:r>
        <w:rPr>
          <w:rFonts w:ascii="仿宋" w:eastAsia="仿宋" w:hAnsi="仿宋"/>
          <w:color w:val="000000"/>
          <w:sz w:val="28"/>
          <w:szCs w:val="28"/>
        </w:rPr>
        <w:t>投资资产支持证券、</w:t>
      </w:r>
      <w:r>
        <w:rPr>
          <w:rFonts w:ascii="仿宋" w:eastAsia="仿宋" w:hAnsi="仿宋" w:hint="eastAsia"/>
          <w:color w:val="000000"/>
          <w:sz w:val="28"/>
          <w:szCs w:val="28"/>
        </w:rPr>
        <w:t>国债期货</w:t>
      </w:r>
      <w:r w:rsidR="00312DBF" w:rsidRPr="0096028E">
        <w:rPr>
          <w:rFonts w:ascii="仿宋" w:eastAsia="仿宋" w:hAnsi="仿宋" w:hint="eastAsia"/>
          <w:color w:val="000000"/>
          <w:sz w:val="28"/>
          <w:szCs w:val="28"/>
        </w:rPr>
        <w:t>、信用衍生品</w:t>
      </w:r>
      <w:r>
        <w:rPr>
          <w:rFonts w:ascii="仿宋" w:eastAsia="仿宋" w:hAnsi="仿宋"/>
          <w:color w:val="000000"/>
          <w:sz w:val="28"/>
          <w:szCs w:val="28"/>
        </w:rPr>
        <w:t>的相关公告</w:t>
      </w:r>
      <w:r>
        <w:rPr>
          <w:rFonts w:ascii="仿宋" w:eastAsia="仿宋" w:hAnsi="仿宋" w:hint="eastAsia"/>
          <w:color w:val="000000"/>
          <w:sz w:val="28"/>
          <w:szCs w:val="28"/>
        </w:rPr>
        <w:t>、清算报告、实施侧袋机制期间的信息披露</w:t>
      </w:r>
      <w:r>
        <w:rPr>
          <w:rFonts w:ascii="仿宋" w:eastAsia="仿宋" w:hAnsi="仿宋"/>
          <w:color w:val="000000"/>
          <w:sz w:val="28"/>
          <w:szCs w:val="28"/>
        </w:rPr>
        <w:t>及其他必要的公告文件，由</w:t>
      </w:r>
      <w:r w:rsidR="007619C1">
        <w:rPr>
          <w:rFonts w:ascii="仿宋" w:eastAsia="仿宋" w:hAnsi="仿宋"/>
          <w:color w:val="000000"/>
          <w:sz w:val="28"/>
          <w:szCs w:val="28"/>
        </w:rPr>
        <w:t>基金</w:t>
      </w:r>
      <w:r>
        <w:rPr>
          <w:rFonts w:ascii="仿宋" w:eastAsia="仿宋" w:hAnsi="仿宋"/>
          <w:color w:val="000000"/>
          <w:sz w:val="28"/>
          <w:szCs w:val="28"/>
        </w:rPr>
        <w:t>管理人和</w:t>
      </w:r>
      <w:r w:rsidR="007619C1">
        <w:rPr>
          <w:rFonts w:ascii="仿宋" w:eastAsia="仿宋" w:hAnsi="仿宋"/>
          <w:color w:val="000000"/>
          <w:sz w:val="28"/>
          <w:szCs w:val="28"/>
        </w:rPr>
        <w:t>基金</w:t>
      </w:r>
      <w:r>
        <w:rPr>
          <w:rFonts w:ascii="仿宋" w:eastAsia="仿宋" w:hAnsi="仿宋"/>
          <w:color w:val="000000"/>
          <w:sz w:val="28"/>
          <w:szCs w:val="28"/>
        </w:rPr>
        <w:t>托管人按照有关法律法规的规定予以公布。</w:t>
      </w:r>
    </w:p>
    <w:p w14:paraId="026CAE8E" w14:textId="018C846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10.2.3</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托管人应当按照相关法律、行政法规、中国证监会的规定和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管理人编制的</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434FB1">
        <w:rPr>
          <w:rFonts w:ascii="仿宋" w:eastAsia="仿宋" w:hAnsi="仿宋" w:hint="eastAsia"/>
          <w:color w:val="000000"/>
          <w:sz w:val="28"/>
          <w:szCs w:val="28"/>
        </w:rPr>
        <w:t>各类</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份额净值、</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份额申购赎回价格、</w:t>
      </w:r>
      <w:r w:rsidR="007619C1">
        <w:rPr>
          <w:rFonts w:ascii="仿宋" w:eastAsia="仿宋" w:hAnsi="仿宋" w:hint="eastAsia"/>
          <w:color w:val="000000"/>
          <w:sz w:val="28"/>
          <w:szCs w:val="28"/>
        </w:rPr>
        <w:t>基金</w:t>
      </w:r>
      <w:r>
        <w:rPr>
          <w:rFonts w:ascii="仿宋" w:eastAsia="仿宋" w:hAnsi="仿宋" w:hint="eastAsia"/>
          <w:color w:val="000000"/>
          <w:sz w:val="28"/>
          <w:szCs w:val="28"/>
        </w:rPr>
        <w:t>定期报告、更新的招募说明书、</w:t>
      </w:r>
      <w:r w:rsidR="007619C1">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7619C1">
        <w:rPr>
          <w:rFonts w:ascii="仿宋" w:eastAsia="仿宋" w:hAnsi="仿宋" w:hint="eastAsia"/>
          <w:color w:val="000000"/>
          <w:sz w:val="28"/>
          <w:szCs w:val="28"/>
        </w:rPr>
        <w:t>基金</w:t>
      </w:r>
      <w:r>
        <w:rPr>
          <w:rFonts w:ascii="仿宋" w:eastAsia="仿宋" w:hAnsi="仿宋" w:hint="eastAsia"/>
          <w:color w:val="000000"/>
          <w:sz w:val="28"/>
          <w:szCs w:val="28"/>
        </w:rPr>
        <w:t>清算报告等相关</w:t>
      </w:r>
      <w:r w:rsidR="007619C1">
        <w:rPr>
          <w:rFonts w:ascii="仿宋" w:eastAsia="仿宋" w:hAnsi="仿宋" w:hint="eastAsia"/>
          <w:color w:val="000000"/>
          <w:sz w:val="28"/>
          <w:szCs w:val="28"/>
        </w:rPr>
        <w:t>基金</w:t>
      </w:r>
      <w:r>
        <w:rPr>
          <w:rFonts w:ascii="仿宋" w:eastAsia="仿宋" w:hAnsi="仿宋" w:hint="eastAsia"/>
          <w:color w:val="000000"/>
          <w:sz w:val="28"/>
          <w:szCs w:val="28"/>
        </w:rPr>
        <w:t>信息进行复核、审查，并向</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w:t>
      </w:r>
    </w:p>
    <w:p w14:paraId="1E7139AE" w14:textId="1981CD1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10.2.4</w:t>
      </w:r>
      <w:r w:rsidR="007619C1">
        <w:rPr>
          <w:rFonts w:ascii="仿宋" w:eastAsia="仿宋" w:hAnsi="仿宋" w:hint="eastAsia"/>
          <w:color w:val="000000"/>
          <w:sz w:val="28"/>
          <w:szCs w:val="28"/>
        </w:rPr>
        <w:t>基金</w:t>
      </w:r>
      <w:r>
        <w:rPr>
          <w:rFonts w:ascii="仿宋" w:eastAsia="仿宋" w:hAnsi="仿宋" w:hint="eastAsia"/>
          <w:color w:val="000000"/>
          <w:sz w:val="28"/>
          <w:szCs w:val="28"/>
        </w:rPr>
        <w:t>年报中的财务报告部分，经符合《证券法》规定的会计师事务所审计后，方可披露。</w:t>
      </w:r>
    </w:p>
    <w:p w14:paraId="78BE959C" w14:textId="5FC2C59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10.2.5</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管理人应当在中国证监会规定的时间内，将应予披露的</w:t>
      </w:r>
      <w:r w:rsidR="007619C1">
        <w:rPr>
          <w:rFonts w:ascii="仿宋" w:eastAsia="仿宋" w:hAnsi="仿宋" w:hint="eastAsia"/>
          <w:color w:val="000000"/>
          <w:sz w:val="28"/>
          <w:szCs w:val="28"/>
        </w:rPr>
        <w:t>基金</w:t>
      </w:r>
      <w:r>
        <w:rPr>
          <w:rFonts w:ascii="仿宋" w:eastAsia="仿宋" w:hAnsi="仿宋" w:hint="eastAsia"/>
          <w:color w:val="000000"/>
          <w:sz w:val="28"/>
          <w:szCs w:val="28"/>
        </w:rPr>
        <w:t>信息通过中国证监会规定媒介披露。根据法律法规应由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托管人公开披露的信息，</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托管人将通过中国证监会规定媒介公开披露。</w:t>
      </w:r>
    </w:p>
    <w:p w14:paraId="427E8ADE" w14:textId="3C4D814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托管人处，投资人可以免费查阅。在支付工本费后可在合理时间获得上述文件的复制件或复印件。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托管人应保证文本的内容与所公告的内容完全一致。</w:t>
      </w:r>
    </w:p>
    <w:p w14:paraId="0BA2309B" w14:textId="26B353B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10.3暂停或延迟</w:t>
      </w:r>
      <w:r w:rsidR="00434FB1">
        <w:rPr>
          <w:rFonts w:ascii="仿宋" w:eastAsia="仿宋" w:hAnsi="仿宋" w:hint="eastAsia"/>
          <w:color w:val="000000"/>
          <w:sz w:val="28"/>
          <w:szCs w:val="28"/>
        </w:rPr>
        <w:t>基金净值</w:t>
      </w:r>
      <w:r>
        <w:rPr>
          <w:rFonts w:ascii="仿宋" w:eastAsia="仿宋" w:hAnsi="仿宋" w:hint="eastAsia"/>
          <w:color w:val="000000"/>
          <w:sz w:val="28"/>
          <w:szCs w:val="28"/>
        </w:rPr>
        <w:t>信息披露的情形</w:t>
      </w:r>
    </w:p>
    <w:p w14:paraId="7139CA26" w14:textId="77777777" w:rsidR="00312DBF" w:rsidRPr="00312DBF" w:rsidRDefault="00312DBF" w:rsidP="00312DBF">
      <w:pPr>
        <w:pStyle w:val="21"/>
        <w:rPr>
          <w:rFonts w:ascii="仿宋" w:eastAsia="仿宋" w:hAnsi="仿宋"/>
          <w:color w:val="000000"/>
          <w:sz w:val="28"/>
          <w:szCs w:val="28"/>
        </w:rPr>
      </w:pPr>
      <w:bookmarkStart w:id="50" w:name="_Hlk186651143"/>
      <w:bookmarkStart w:id="51" w:name="_Hlk187533097"/>
      <w:r w:rsidRPr="00312DBF">
        <w:rPr>
          <w:rFonts w:ascii="仿宋" w:eastAsia="仿宋" w:hAnsi="仿宋" w:hint="eastAsia"/>
          <w:color w:val="000000"/>
          <w:sz w:val="28"/>
          <w:szCs w:val="28"/>
        </w:rPr>
        <w:t>当出现下述情况时，基金管理人和基金托管人可暂停或延迟披露基金相关信息：</w:t>
      </w:r>
    </w:p>
    <w:p w14:paraId="510CF5F6" w14:textId="5679DD8C" w:rsidR="00312DBF" w:rsidRPr="00312DBF" w:rsidRDefault="00312DBF" w:rsidP="00312DBF">
      <w:pPr>
        <w:pStyle w:val="21"/>
        <w:rPr>
          <w:rFonts w:ascii="仿宋" w:eastAsia="仿宋" w:hAnsi="仿宋"/>
          <w:color w:val="000000"/>
          <w:sz w:val="28"/>
          <w:szCs w:val="28"/>
        </w:rPr>
      </w:pPr>
      <w:bookmarkStart w:id="52" w:name="_Hlk186651165"/>
      <w:r>
        <w:rPr>
          <w:rFonts w:ascii="仿宋" w:eastAsia="仿宋" w:hAnsi="仿宋" w:hint="eastAsia"/>
          <w:color w:val="000000"/>
          <w:sz w:val="28"/>
          <w:szCs w:val="28"/>
        </w:rPr>
        <w:t>（1）</w:t>
      </w:r>
      <w:r w:rsidRPr="00312DBF">
        <w:rPr>
          <w:rFonts w:ascii="仿宋" w:eastAsia="仿宋" w:hAnsi="仿宋" w:hint="eastAsia"/>
          <w:color w:val="000000"/>
          <w:sz w:val="28"/>
          <w:szCs w:val="28"/>
        </w:rPr>
        <w:t>不可抗力；</w:t>
      </w:r>
    </w:p>
    <w:p w14:paraId="7944B668" w14:textId="0AF39C51" w:rsidR="00312DBF" w:rsidRPr="00312DBF" w:rsidRDefault="00312DBF" w:rsidP="00312DBF">
      <w:pPr>
        <w:pStyle w:val="21"/>
        <w:rPr>
          <w:rFonts w:ascii="仿宋" w:eastAsia="仿宋" w:hAnsi="仿宋"/>
          <w:color w:val="000000"/>
          <w:sz w:val="28"/>
          <w:szCs w:val="28"/>
        </w:rPr>
      </w:pPr>
      <w:r>
        <w:rPr>
          <w:rFonts w:ascii="仿宋" w:eastAsia="仿宋" w:hAnsi="仿宋" w:hint="eastAsia"/>
          <w:color w:val="000000"/>
          <w:sz w:val="28"/>
          <w:szCs w:val="28"/>
        </w:rPr>
        <w:t>（2）</w:t>
      </w:r>
      <w:r w:rsidRPr="00312DBF">
        <w:rPr>
          <w:rFonts w:ascii="仿宋" w:eastAsia="仿宋" w:hAnsi="仿宋" w:hint="eastAsia"/>
          <w:color w:val="000000"/>
          <w:sz w:val="28"/>
          <w:szCs w:val="28"/>
        </w:rPr>
        <w:t>基金投资所涉及的证券/期货交易市场遇法定节假日或因其他原因暂停营业时；</w:t>
      </w:r>
    </w:p>
    <w:p w14:paraId="5C169E07" w14:textId="0D211429" w:rsidR="00312DBF" w:rsidRPr="00312DBF" w:rsidRDefault="00312DBF" w:rsidP="00312DBF">
      <w:pPr>
        <w:pStyle w:val="21"/>
        <w:rPr>
          <w:rFonts w:ascii="仿宋" w:eastAsia="仿宋" w:hAnsi="仿宋"/>
          <w:color w:val="000000"/>
          <w:sz w:val="28"/>
          <w:szCs w:val="28"/>
        </w:rPr>
      </w:pPr>
      <w:r>
        <w:rPr>
          <w:rFonts w:ascii="仿宋" w:eastAsia="仿宋" w:hAnsi="仿宋" w:hint="eastAsia"/>
          <w:color w:val="000000"/>
          <w:sz w:val="28"/>
          <w:szCs w:val="28"/>
        </w:rPr>
        <w:t>（3）</w:t>
      </w:r>
      <w:r w:rsidRPr="00312DBF">
        <w:rPr>
          <w:rFonts w:ascii="仿宋" w:eastAsia="仿宋" w:hAnsi="仿宋" w:hint="eastAsia"/>
          <w:color w:val="000000"/>
          <w:sz w:val="28"/>
          <w:szCs w:val="28"/>
        </w:rPr>
        <w:t>发生暂停估值的情形；</w:t>
      </w:r>
    </w:p>
    <w:p w14:paraId="6AB96242" w14:textId="4983A381" w:rsidR="00312DBF" w:rsidRPr="00312DBF" w:rsidRDefault="00312DBF" w:rsidP="00312DBF">
      <w:pPr>
        <w:pStyle w:val="21"/>
        <w:rPr>
          <w:rFonts w:ascii="仿宋" w:eastAsia="仿宋" w:hAnsi="仿宋"/>
          <w:color w:val="000000"/>
          <w:sz w:val="28"/>
          <w:szCs w:val="28"/>
        </w:rPr>
      </w:pPr>
      <w:r>
        <w:rPr>
          <w:rFonts w:ascii="仿宋" w:eastAsia="仿宋" w:hAnsi="仿宋" w:hint="eastAsia"/>
          <w:color w:val="000000"/>
          <w:sz w:val="28"/>
          <w:szCs w:val="28"/>
        </w:rPr>
        <w:t>（4）</w:t>
      </w:r>
      <w:r w:rsidRPr="00312DBF">
        <w:rPr>
          <w:rFonts w:ascii="仿宋" w:eastAsia="仿宋" w:hAnsi="仿宋" w:hint="eastAsia"/>
          <w:color w:val="000000"/>
          <w:sz w:val="28"/>
          <w:szCs w:val="28"/>
        </w:rPr>
        <w:t>法律法规、基金合同或中国证监会规定的情况。</w:t>
      </w:r>
      <w:bookmarkEnd w:id="50"/>
    </w:p>
    <w:bookmarkEnd w:id="51"/>
    <w:bookmarkEnd w:id="52"/>
    <w:p w14:paraId="67340C8F" w14:textId="1BD56A0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10.4</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托管人报告</w:t>
      </w:r>
    </w:p>
    <w:p w14:paraId="52D2C3DB" w14:textId="7C9C7DE2"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托管人应按《基金法》、《运作办法》、《信息披露办法》和其他有关法律法规的规定于每个上半年度结束后两个月内、每个会计年度结束后三个月内在</w:t>
      </w:r>
      <w:r>
        <w:rPr>
          <w:rFonts w:ascii="仿宋" w:eastAsia="仿宋" w:hAnsi="仿宋" w:hint="eastAsia"/>
          <w:color w:val="000000"/>
          <w:sz w:val="28"/>
          <w:szCs w:val="28"/>
        </w:rPr>
        <w:t>基金</w:t>
      </w:r>
      <w:r w:rsidR="007561E0">
        <w:rPr>
          <w:rFonts w:ascii="仿宋" w:eastAsia="仿宋" w:hAnsi="仿宋" w:hint="eastAsia"/>
          <w:color w:val="000000"/>
          <w:sz w:val="28"/>
          <w:szCs w:val="28"/>
        </w:rPr>
        <w:t>中期报告及年度报告中分别出具</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托管人报告。</w:t>
      </w:r>
    </w:p>
    <w:p w14:paraId="7AB096B3" w14:textId="77777777" w:rsidR="009C2B7D" w:rsidRDefault="009C2B7D">
      <w:pPr>
        <w:pStyle w:val="21"/>
        <w:rPr>
          <w:rFonts w:ascii="仿宋" w:eastAsia="仿宋" w:hAnsi="仿宋"/>
          <w:color w:val="000000"/>
          <w:sz w:val="28"/>
          <w:szCs w:val="28"/>
        </w:rPr>
      </w:pPr>
    </w:p>
    <w:p w14:paraId="639251AD" w14:textId="77777777" w:rsidR="009C2B7D" w:rsidRDefault="009C2B7D">
      <w:pPr>
        <w:pStyle w:val="1"/>
        <w:rPr>
          <w:rFonts w:ascii="仿宋" w:eastAsia="仿宋" w:hAnsi="仿宋"/>
          <w:bCs/>
          <w:sz w:val="28"/>
          <w:szCs w:val="28"/>
        </w:rPr>
        <w:sectPr w:rsidR="009C2B7D">
          <w:footerReference w:type="default" r:id="rId28"/>
          <w:footerReference w:type="first" r:id="rId29"/>
          <w:pgSz w:w="11907" w:h="16840"/>
          <w:pgMar w:top="1361" w:right="1452" w:bottom="1134" w:left="1452" w:header="720" w:footer="720" w:gutter="0"/>
          <w:cols w:space="720"/>
          <w:docGrid w:linePitch="286"/>
        </w:sectPr>
      </w:pPr>
      <w:bookmarkStart w:id="53" w:name="_Toc296551347"/>
    </w:p>
    <w:p w14:paraId="7F545567" w14:textId="1A964AFA" w:rsidR="009C2B7D" w:rsidRDefault="007561E0">
      <w:pPr>
        <w:pStyle w:val="1"/>
        <w:rPr>
          <w:rFonts w:ascii="仿宋" w:eastAsia="仿宋" w:hAnsi="仿宋"/>
          <w:bCs/>
          <w:sz w:val="28"/>
          <w:szCs w:val="28"/>
        </w:rPr>
      </w:pPr>
      <w:bookmarkStart w:id="54" w:name="_Toc32670"/>
      <w:bookmarkStart w:id="55" w:name="_Toc532912132"/>
      <w:r>
        <w:rPr>
          <w:rFonts w:ascii="仿宋" w:eastAsia="仿宋" w:hAnsi="仿宋" w:hint="eastAsia"/>
          <w:bCs/>
          <w:sz w:val="28"/>
          <w:szCs w:val="28"/>
        </w:rPr>
        <w:t xml:space="preserve">第十一条 </w:t>
      </w:r>
      <w:r w:rsidR="007619C1">
        <w:rPr>
          <w:rFonts w:ascii="仿宋" w:eastAsia="仿宋" w:hAnsi="仿宋" w:hint="eastAsia"/>
          <w:bCs/>
          <w:sz w:val="28"/>
          <w:szCs w:val="28"/>
        </w:rPr>
        <w:t>基金</w:t>
      </w:r>
      <w:r>
        <w:rPr>
          <w:rFonts w:ascii="仿宋" w:eastAsia="仿宋" w:hAnsi="仿宋" w:hint="eastAsia"/>
          <w:bCs/>
          <w:sz w:val="28"/>
          <w:szCs w:val="28"/>
        </w:rPr>
        <w:t>费用</w:t>
      </w:r>
      <w:bookmarkEnd w:id="53"/>
      <w:bookmarkEnd w:id="54"/>
      <w:bookmarkEnd w:id="55"/>
    </w:p>
    <w:p w14:paraId="615D3E69" w14:textId="5F411FD0" w:rsidR="009C2B7D" w:rsidRDefault="007561E0">
      <w:pPr>
        <w:pStyle w:val="21"/>
        <w:rPr>
          <w:rFonts w:ascii="仿宋" w:eastAsia="仿宋" w:hAnsi="仿宋"/>
          <w:color w:val="000000"/>
          <w:sz w:val="28"/>
          <w:szCs w:val="28"/>
        </w:rPr>
      </w:pPr>
      <w:bookmarkStart w:id="56" w:name="_Hlt88827255"/>
      <w:bookmarkEnd w:id="56"/>
      <w:r>
        <w:rPr>
          <w:rFonts w:ascii="仿宋" w:eastAsia="仿宋" w:hAnsi="仿宋" w:hint="eastAsia"/>
          <w:color w:val="000000"/>
          <w:sz w:val="28"/>
          <w:szCs w:val="28"/>
        </w:rPr>
        <w:t>11.1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管理费的计提比例和计提方法</w:t>
      </w:r>
    </w:p>
    <w:p w14:paraId="513034DC" w14:textId="01806D3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本</w:t>
      </w:r>
      <w:r w:rsidR="007619C1">
        <w:rPr>
          <w:rFonts w:ascii="仿宋" w:eastAsia="仿宋" w:hAnsi="仿宋" w:hint="eastAsia"/>
          <w:color w:val="000000"/>
          <w:sz w:val="28"/>
          <w:szCs w:val="28"/>
        </w:rPr>
        <w:t>基金</w:t>
      </w:r>
      <w:r>
        <w:rPr>
          <w:rFonts w:ascii="仿宋" w:eastAsia="仿宋" w:hAnsi="仿宋" w:hint="eastAsia"/>
          <w:color w:val="000000"/>
          <w:sz w:val="28"/>
          <w:szCs w:val="28"/>
        </w:rPr>
        <w:t>的管理费按前一日</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资产净值的0.3%</w:t>
      </w:r>
      <w:r w:rsidR="00312DBF">
        <w:rPr>
          <w:rFonts w:ascii="仿宋" w:eastAsia="仿宋" w:hAnsi="仿宋" w:hint="eastAsia"/>
          <w:color w:val="000000"/>
          <w:sz w:val="28"/>
          <w:szCs w:val="28"/>
        </w:rPr>
        <w:t>的</w:t>
      </w:r>
      <w:r>
        <w:rPr>
          <w:rFonts w:ascii="仿宋" w:eastAsia="仿宋" w:hAnsi="仿宋" w:hint="eastAsia"/>
          <w:color w:val="000000"/>
          <w:sz w:val="28"/>
          <w:szCs w:val="28"/>
        </w:rPr>
        <w:t>年费率计提。管理费的计算方法如下：</w:t>
      </w:r>
    </w:p>
    <w:p w14:paraId="4168B948"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H＝E×0.3%÷当年天数</w:t>
      </w:r>
    </w:p>
    <w:p w14:paraId="6998E56E" w14:textId="36EB343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管理费</w:t>
      </w:r>
    </w:p>
    <w:p w14:paraId="29A6AAD8" w14:textId="7840171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79F4D9EF" w14:textId="665519EC"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管理费每日计算，逐日累计至每月月底，按月支付，由</w:t>
      </w:r>
      <w:r w:rsidR="00F929DB">
        <w:rPr>
          <w:rFonts w:ascii="仿宋" w:eastAsia="仿宋" w:hAnsi="仿宋" w:hint="eastAsia"/>
          <w:color w:val="000000"/>
          <w:sz w:val="28"/>
          <w:szCs w:val="28"/>
        </w:rPr>
        <w:t>基金</w:t>
      </w:r>
      <w:r w:rsidR="007561E0">
        <w:rPr>
          <w:rFonts w:ascii="仿宋" w:eastAsia="仿宋" w:hAnsi="仿宋" w:hint="eastAsia"/>
          <w:color w:val="000000"/>
          <w:sz w:val="28"/>
          <w:szCs w:val="28"/>
        </w:rPr>
        <w:t>托管人根据</w:t>
      </w:r>
      <w:r w:rsidR="00F929DB">
        <w:rPr>
          <w:rFonts w:ascii="仿宋" w:eastAsia="仿宋" w:hAnsi="仿宋" w:hint="eastAsia"/>
          <w:color w:val="000000"/>
          <w:sz w:val="28"/>
          <w:szCs w:val="28"/>
        </w:rPr>
        <w:t>基金</w:t>
      </w:r>
      <w:r w:rsidR="007561E0">
        <w:rPr>
          <w:rFonts w:ascii="仿宋" w:eastAsia="仿宋" w:hAnsi="仿宋" w:hint="eastAsia"/>
          <w:color w:val="000000"/>
          <w:sz w:val="28"/>
          <w:szCs w:val="28"/>
        </w:rPr>
        <w:t>管理人的指令并进行复核后，于次月前5个工作日内从</w:t>
      </w:r>
      <w:r>
        <w:rPr>
          <w:rFonts w:ascii="仿宋" w:eastAsia="仿宋" w:hAnsi="仿宋" w:hint="eastAsia"/>
          <w:color w:val="000000"/>
          <w:sz w:val="28"/>
          <w:szCs w:val="28"/>
        </w:rPr>
        <w:t>基金</w:t>
      </w:r>
      <w:r w:rsidR="007561E0">
        <w:rPr>
          <w:rFonts w:ascii="仿宋" w:eastAsia="仿宋" w:hAnsi="仿宋" w:hint="eastAsia"/>
          <w:color w:val="000000"/>
          <w:sz w:val="28"/>
          <w:szCs w:val="28"/>
        </w:rPr>
        <w:t>资产中一次性支付。若遇法定节假日、休息日或不可抗力致使无法按时支付的，</w:t>
      </w:r>
      <w:r w:rsidR="00312DBF" w:rsidRPr="00312DBF">
        <w:rPr>
          <w:rFonts w:ascii="仿宋" w:eastAsia="仿宋" w:hAnsi="仿宋" w:hint="eastAsia"/>
          <w:bCs/>
          <w:color w:val="000000"/>
          <w:sz w:val="28"/>
          <w:szCs w:val="28"/>
        </w:rPr>
        <w:t>支付日期顺延</w:t>
      </w:r>
      <w:r w:rsidR="007561E0">
        <w:rPr>
          <w:rFonts w:ascii="仿宋" w:eastAsia="仿宋" w:hAnsi="仿宋" w:hint="eastAsia"/>
          <w:color w:val="000000"/>
          <w:sz w:val="28"/>
          <w:szCs w:val="28"/>
        </w:rPr>
        <w:t>。</w:t>
      </w:r>
    </w:p>
    <w:p w14:paraId="4159B23D" w14:textId="69D05D0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11.2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托管费的计提比例和计提方法</w:t>
      </w:r>
    </w:p>
    <w:p w14:paraId="2917B749" w14:textId="7819333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本</w:t>
      </w:r>
      <w:r w:rsidR="007619C1">
        <w:rPr>
          <w:rFonts w:ascii="仿宋" w:eastAsia="仿宋" w:hAnsi="仿宋" w:hint="eastAsia"/>
          <w:color w:val="000000"/>
          <w:sz w:val="28"/>
          <w:szCs w:val="28"/>
        </w:rPr>
        <w:t>基金</w:t>
      </w:r>
      <w:r>
        <w:rPr>
          <w:rFonts w:ascii="仿宋" w:eastAsia="仿宋" w:hAnsi="仿宋" w:hint="eastAsia"/>
          <w:color w:val="000000"/>
          <w:sz w:val="28"/>
          <w:szCs w:val="28"/>
        </w:rPr>
        <w:t>的托管费按前一日</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资产净值的0.05%的年费率计提。托管费的计算方法如下：</w:t>
      </w:r>
    </w:p>
    <w:p w14:paraId="0DDF3F4B"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H＝E×0.05%÷当年天数</w:t>
      </w:r>
    </w:p>
    <w:p w14:paraId="488BD692" w14:textId="79CF7F2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托管费</w:t>
      </w:r>
    </w:p>
    <w:p w14:paraId="37B36CF7" w14:textId="284DECD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796815F8" w14:textId="389BD246"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托管费每日计算，逐日累计至每月月底，按月支付，由</w:t>
      </w:r>
      <w:r w:rsidR="00F929DB">
        <w:rPr>
          <w:rFonts w:ascii="仿宋" w:eastAsia="仿宋" w:hAnsi="仿宋" w:hint="eastAsia"/>
          <w:color w:val="000000"/>
          <w:sz w:val="28"/>
          <w:szCs w:val="28"/>
        </w:rPr>
        <w:t>基金</w:t>
      </w:r>
      <w:r w:rsidR="007561E0">
        <w:rPr>
          <w:rFonts w:ascii="仿宋" w:eastAsia="仿宋" w:hAnsi="仿宋" w:hint="eastAsia"/>
          <w:color w:val="000000"/>
          <w:sz w:val="28"/>
          <w:szCs w:val="28"/>
        </w:rPr>
        <w:t>托管人根据</w:t>
      </w:r>
      <w:r w:rsidR="00F929DB">
        <w:rPr>
          <w:rFonts w:ascii="仿宋" w:eastAsia="仿宋" w:hAnsi="仿宋" w:hint="eastAsia"/>
          <w:color w:val="000000"/>
          <w:sz w:val="28"/>
          <w:szCs w:val="28"/>
        </w:rPr>
        <w:t>基金</w:t>
      </w:r>
      <w:r w:rsidR="007561E0">
        <w:rPr>
          <w:rFonts w:ascii="仿宋" w:eastAsia="仿宋" w:hAnsi="仿宋" w:hint="eastAsia"/>
          <w:color w:val="000000"/>
          <w:sz w:val="28"/>
          <w:szCs w:val="28"/>
        </w:rPr>
        <w:t>管理人的指令并进行复核后，于次月前 5 个工作日内从</w:t>
      </w:r>
      <w:r>
        <w:rPr>
          <w:rFonts w:ascii="仿宋" w:eastAsia="仿宋" w:hAnsi="仿宋" w:hint="eastAsia"/>
          <w:color w:val="000000"/>
          <w:sz w:val="28"/>
          <w:szCs w:val="28"/>
        </w:rPr>
        <w:t>基金</w:t>
      </w:r>
      <w:r w:rsidR="007561E0">
        <w:rPr>
          <w:rFonts w:ascii="仿宋" w:eastAsia="仿宋" w:hAnsi="仿宋" w:hint="eastAsia"/>
          <w:color w:val="000000"/>
          <w:sz w:val="28"/>
          <w:szCs w:val="28"/>
        </w:rPr>
        <w:t>资产中一次性支付。若遇法定节假日、休息日或不可抗力致使无法按时支付的，</w:t>
      </w:r>
      <w:r w:rsidR="00312DBF" w:rsidRPr="00312DBF">
        <w:rPr>
          <w:rFonts w:ascii="仿宋" w:eastAsia="仿宋" w:hAnsi="仿宋" w:hint="eastAsia"/>
          <w:bCs/>
          <w:color w:val="000000"/>
          <w:sz w:val="28"/>
          <w:szCs w:val="28"/>
        </w:rPr>
        <w:t>支付日期顺延</w:t>
      </w:r>
      <w:r w:rsidR="007561E0">
        <w:rPr>
          <w:rFonts w:ascii="仿宋" w:eastAsia="仿宋" w:hAnsi="仿宋" w:hint="eastAsia"/>
          <w:color w:val="000000"/>
          <w:sz w:val="28"/>
          <w:szCs w:val="28"/>
        </w:rPr>
        <w:t>。</w:t>
      </w:r>
    </w:p>
    <w:p w14:paraId="291FCDEC" w14:textId="4CDE8B50" w:rsidR="009C2B7D" w:rsidRDefault="007561E0">
      <w:pPr>
        <w:pStyle w:val="21"/>
        <w:rPr>
          <w:rFonts w:ascii="仿宋" w:eastAsia="仿宋" w:hAnsi="仿宋"/>
          <w:color w:val="000000"/>
          <w:sz w:val="28"/>
          <w:szCs w:val="28"/>
        </w:rPr>
      </w:pPr>
      <w:r>
        <w:rPr>
          <w:rFonts w:ascii="仿宋" w:eastAsia="仿宋" w:hAnsi="仿宋"/>
          <w:color w:val="000000"/>
          <w:sz w:val="28"/>
          <w:szCs w:val="28"/>
        </w:rPr>
        <w:t>11.3</w:t>
      </w:r>
      <w:r w:rsidR="007619C1">
        <w:rPr>
          <w:rFonts w:ascii="仿宋" w:eastAsia="仿宋" w:hAnsi="仿宋" w:hint="eastAsia"/>
          <w:color w:val="000000"/>
          <w:sz w:val="28"/>
          <w:szCs w:val="28"/>
        </w:rPr>
        <w:t>基金</w:t>
      </w:r>
      <w:r>
        <w:rPr>
          <w:rFonts w:ascii="仿宋" w:eastAsia="仿宋" w:hAnsi="仿宋" w:hint="eastAsia"/>
          <w:color w:val="000000"/>
          <w:sz w:val="28"/>
          <w:szCs w:val="28"/>
        </w:rPr>
        <w:t>销售服务费的计提比例和计提方法</w:t>
      </w:r>
    </w:p>
    <w:p w14:paraId="442B8FE8" w14:textId="1C4E947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销售服务费用于支付销售机构佣金、营销费用以及</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份额持有人服务费等。本</w:t>
      </w:r>
      <w:r w:rsidR="007619C1">
        <w:rPr>
          <w:rFonts w:ascii="仿宋" w:eastAsia="仿宋" w:hAnsi="仿宋" w:hint="eastAsia"/>
          <w:color w:val="000000"/>
          <w:sz w:val="28"/>
          <w:szCs w:val="28"/>
        </w:rPr>
        <w:t>基金</w:t>
      </w:r>
      <w:r>
        <w:rPr>
          <w:rFonts w:ascii="仿宋" w:eastAsia="仿宋" w:hAnsi="仿宋" w:hint="eastAsia"/>
          <w:color w:val="000000"/>
          <w:sz w:val="28"/>
          <w:szCs w:val="28"/>
        </w:rPr>
        <w:t>A类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份额不收取销售服务费，C类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份额的销售服务费年费率为0.25%，E类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份额的销售服务费年费率为0.01%。各类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份额的销售服务费按前一日该类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份额对应的</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资产净值以其适用的销售服务费年费率计提。</w:t>
      </w:r>
      <w:r w:rsidR="00F929DB" w:rsidRPr="00F929DB">
        <w:rPr>
          <w:rFonts w:ascii="仿宋" w:eastAsia="仿宋" w:hAnsi="仿宋" w:hint="eastAsia"/>
          <w:color w:val="000000"/>
          <w:sz w:val="28"/>
          <w:szCs w:val="28"/>
        </w:rPr>
        <w:t>销售服务费的</w:t>
      </w:r>
      <w:r>
        <w:rPr>
          <w:rFonts w:ascii="仿宋" w:eastAsia="仿宋" w:hAnsi="仿宋" w:hint="eastAsia"/>
          <w:color w:val="000000"/>
          <w:sz w:val="28"/>
          <w:szCs w:val="28"/>
        </w:rPr>
        <w:t>计算方法如下：</w:t>
      </w:r>
    </w:p>
    <w:p w14:paraId="563C8176"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H＝E×I÷当年天数</w:t>
      </w:r>
    </w:p>
    <w:p w14:paraId="6A3F5EF6" w14:textId="0DA20A1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H为各类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份额每日应计提的销售服务费</w:t>
      </w:r>
    </w:p>
    <w:p w14:paraId="1C2AEE11" w14:textId="2E69AF3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E为各类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份额对应的前一日</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35FBCED4" w14:textId="27729EE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I为各类</w:t>
      </w:r>
      <w:r w:rsidR="00F929DB">
        <w:rPr>
          <w:rFonts w:ascii="仿宋" w:eastAsia="仿宋" w:hAnsi="仿宋" w:hint="eastAsia"/>
          <w:color w:val="000000"/>
          <w:sz w:val="28"/>
          <w:szCs w:val="28"/>
        </w:rPr>
        <w:t>基金</w:t>
      </w:r>
      <w:r>
        <w:rPr>
          <w:rFonts w:ascii="仿宋" w:eastAsia="仿宋" w:hAnsi="仿宋" w:hint="eastAsia"/>
          <w:color w:val="000000"/>
          <w:sz w:val="28"/>
          <w:szCs w:val="28"/>
        </w:rPr>
        <w:t>份额适用的销售服务费年费率</w:t>
      </w:r>
    </w:p>
    <w:p w14:paraId="183A6DE4" w14:textId="51737E9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销售服务费每日计算，逐日累计至每个月月底，按月支付，由</w:t>
      </w:r>
      <w:r w:rsidR="00F929DB">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F929DB">
        <w:rPr>
          <w:rFonts w:ascii="仿宋" w:eastAsia="仿宋" w:hAnsi="仿宋" w:hint="eastAsia"/>
          <w:color w:val="000000"/>
          <w:sz w:val="28"/>
          <w:szCs w:val="28"/>
        </w:rPr>
        <w:t>基金</w:t>
      </w:r>
      <w:r>
        <w:rPr>
          <w:rFonts w:ascii="仿宋" w:eastAsia="仿宋" w:hAnsi="仿宋" w:hint="eastAsia"/>
          <w:color w:val="000000"/>
          <w:sz w:val="28"/>
          <w:szCs w:val="28"/>
        </w:rPr>
        <w:t>管理人的指令并进行复核后，于次月前 5 个工作日内从</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资产中一次性支付。若遇法定节假日、休息日或不可抗力致使无法按时支付的，</w:t>
      </w:r>
      <w:r w:rsidR="00312DBF" w:rsidRPr="00312DBF">
        <w:rPr>
          <w:rFonts w:ascii="仿宋" w:eastAsia="仿宋" w:hAnsi="仿宋" w:hint="eastAsia"/>
          <w:bCs/>
          <w:color w:val="000000"/>
          <w:sz w:val="28"/>
          <w:szCs w:val="28"/>
        </w:rPr>
        <w:t>支付日期顺延</w:t>
      </w:r>
      <w:r>
        <w:rPr>
          <w:rFonts w:ascii="仿宋" w:eastAsia="仿宋" w:hAnsi="仿宋" w:hint="eastAsia"/>
          <w:color w:val="000000"/>
          <w:sz w:val="28"/>
          <w:szCs w:val="28"/>
        </w:rPr>
        <w:t>。</w:t>
      </w:r>
    </w:p>
    <w:p w14:paraId="14967343" w14:textId="75BD038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4</w:t>
      </w:r>
      <w:r>
        <w:rPr>
          <w:rFonts w:ascii="仿宋" w:eastAsia="仿宋" w:hAnsi="仿宋" w:hint="eastAsia"/>
          <w:color w:val="000000"/>
          <w:sz w:val="28"/>
          <w:szCs w:val="28"/>
        </w:rPr>
        <w:t>为</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财产及</w:t>
      </w:r>
      <w:r w:rsidR="007619C1">
        <w:rPr>
          <w:rFonts w:ascii="仿宋" w:eastAsia="仿宋" w:hAnsi="仿宋" w:hint="eastAsia"/>
          <w:color w:val="000000"/>
          <w:sz w:val="28"/>
          <w:szCs w:val="28"/>
        </w:rPr>
        <w:t>基金</w:t>
      </w:r>
      <w:r>
        <w:rPr>
          <w:rFonts w:ascii="仿宋" w:eastAsia="仿宋" w:hAnsi="仿宋" w:hint="eastAsia"/>
          <w:color w:val="000000"/>
          <w:sz w:val="28"/>
          <w:szCs w:val="28"/>
        </w:rPr>
        <w:t>运作所开立账户的开户费和维护费、银行汇划费用、证券、期货</w:t>
      </w:r>
      <w:r w:rsidR="00312DBF" w:rsidRPr="00E70A6F">
        <w:rPr>
          <w:rFonts w:ascii="仿宋" w:eastAsia="仿宋" w:hAnsi="仿宋" w:hint="eastAsia"/>
          <w:color w:val="000000"/>
          <w:sz w:val="28"/>
          <w:szCs w:val="28"/>
        </w:rPr>
        <w:t>、信用衍生品交易费用（包括但不限于经手费、印花税、证管费、过户费、手续费、券商佣金、证券/期货账户相关费用及其他类似性质的费用等）</w:t>
      </w:r>
      <w:r>
        <w:rPr>
          <w:rFonts w:ascii="仿宋" w:eastAsia="仿宋" w:hAnsi="仿宋" w:hint="eastAsia"/>
          <w:color w:val="000000"/>
          <w:sz w:val="28"/>
          <w:szCs w:val="28"/>
        </w:rPr>
        <w:t>、除法律法规、中国证监会另有规定外，</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合同生效后与</w:t>
      </w:r>
      <w:r w:rsidR="007619C1">
        <w:rPr>
          <w:rFonts w:ascii="仿宋" w:eastAsia="仿宋" w:hAnsi="仿宋" w:hint="eastAsia"/>
          <w:color w:val="000000"/>
          <w:sz w:val="28"/>
          <w:szCs w:val="28"/>
        </w:rPr>
        <w:t>基金</w:t>
      </w:r>
      <w:r>
        <w:rPr>
          <w:rFonts w:ascii="仿宋" w:eastAsia="仿宋" w:hAnsi="仿宋" w:hint="eastAsia"/>
          <w:color w:val="000000"/>
          <w:sz w:val="28"/>
          <w:szCs w:val="28"/>
        </w:rPr>
        <w:t>相关的</w:t>
      </w:r>
      <w:r w:rsidR="007619C1">
        <w:rPr>
          <w:rFonts w:ascii="仿宋" w:eastAsia="仿宋" w:hAnsi="仿宋" w:hint="eastAsia"/>
          <w:color w:val="000000"/>
          <w:sz w:val="28"/>
          <w:szCs w:val="28"/>
        </w:rPr>
        <w:t>基金</w:t>
      </w:r>
      <w:r>
        <w:rPr>
          <w:rFonts w:ascii="仿宋" w:eastAsia="仿宋" w:hAnsi="仿宋" w:hint="eastAsia"/>
          <w:color w:val="000000"/>
          <w:sz w:val="28"/>
          <w:szCs w:val="28"/>
        </w:rPr>
        <w:t>信息披露费用、</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份额持有人大会费用、</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合同生效后与</w:t>
      </w:r>
      <w:r w:rsidR="007619C1">
        <w:rPr>
          <w:rFonts w:ascii="仿宋" w:eastAsia="仿宋" w:hAnsi="仿宋" w:hint="eastAsia"/>
          <w:color w:val="000000"/>
          <w:sz w:val="28"/>
          <w:szCs w:val="28"/>
        </w:rPr>
        <w:t>基金</w:t>
      </w:r>
      <w:r>
        <w:rPr>
          <w:rFonts w:ascii="仿宋" w:eastAsia="仿宋" w:hAnsi="仿宋" w:hint="eastAsia"/>
          <w:color w:val="000000"/>
          <w:sz w:val="28"/>
          <w:szCs w:val="28"/>
        </w:rPr>
        <w:t>相关的会计师费、律师费、仲裁费和诉讼费等根据有关法规、</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合同及相应协议的规定，由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托管人按</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管理人的划款指令并根据费用实际支出金额支付，列入或摊入当期</w:t>
      </w:r>
      <w:r w:rsidR="007619C1">
        <w:rPr>
          <w:rFonts w:ascii="仿宋" w:eastAsia="仿宋" w:hAnsi="仿宋" w:hint="eastAsia"/>
          <w:color w:val="000000"/>
          <w:sz w:val="28"/>
          <w:szCs w:val="28"/>
        </w:rPr>
        <w:t>基金</w:t>
      </w:r>
      <w:r>
        <w:rPr>
          <w:rFonts w:ascii="仿宋" w:eastAsia="仿宋" w:hAnsi="仿宋" w:hint="eastAsia"/>
          <w:color w:val="000000"/>
          <w:sz w:val="28"/>
          <w:szCs w:val="28"/>
        </w:rPr>
        <w:t>费用。</w:t>
      </w:r>
    </w:p>
    <w:p w14:paraId="6AD083FD" w14:textId="6F3E1F7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5不列入</w:t>
      </w:r>
      <w:r w:rsidR="007619C1">
        <w:rPr>
          <w:rFonts w:ascii="仿宋" w:eastAsia="仿宋" w:hAnsi="仿宋"/>
          <w:color w:val="000000"/>
          <w:sz w:val="28"/>
          <w:szCs w:val="28"/>
        </w:rPr>
        <w:t>基金</w:t>
      </w:r>
      <w:r>
        <w:rPr>
          <w:rFonts w:ascii="仿宋" w:eastAsia="仿宋" w:hAnsi="仿宋"/>
          <w:color w:val="000000"/>
          <w:sz w:val="28"/>
          <w:szCs w:val="28"/>
        </w:rPr>
        <w:t>费用的项目</w:t>
      </w:r>
      <w:r>
        <w:rPr>
          <w:rFonts w:ascii="仿宋" w:eastAsia="仿宋" w:hAnsi="仿宋" w:hint="eastAsia"/>
          <w:color w:val="000000"/>
          <w:sz w:val="28"/>
          <w:szCs w:val="28"/>
        </w:rPr>
        <w:t>：</w:t>
      </w:r>
    </w:p>
    <w:p w14:paraId="5C647905" w14:textId="7420453E"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托管人因未履行或未完全履行义务导致的费用支出或</w:t>
      </w:r>
      <w:r>
        <w:rPr>
          <w:rFonts w:ascii="仿宋" w:eastAsia="仿宋" w:hAnsi="仿宋" w:hint="eastAsia"/>
          <w:color w:val="000000"/>
          <w:sz w:val="28"/>
          <w:szCs w:val="28"/>
        </w:rPr>
        <w:t>基金</w:t>
      </w:r>
      <w:r w:rsidR="007561E0">
        <w:rPr>
          <w:rFonts w:ascii="仿宋" w:eastAsia="仿宋" w:hAnsi="仿宋" w:hint="eastAsia"/>
          <w:color w:val="000000"/>
          <w:sz w:val="28"/>
          <w:szCs w:val="28"/>
        </w:rPr>
        <w:t>财产的损失，以及处理与</w:t>
      </w:r>
      <w:r>
        <w:rPr>
          <w:rFonts w:ascii="仿宋" w:eastAsia="仿宋" w:hAnsi="仿宋" w:hint="eastAsia"/>
          <w:color w:val="000000"/>
          <w:sz w:val="28"/>
          <w:szCs w:val="28"/>
        </w:rPr>
        <w:t>基金</w:t>
      </w:r>
      <w:r w:rsidR="007561E0">
        <w:rPr>
          <w:rFonts w:ascii="仿宋" w:eastAsia="仿宋" w:hAnsi="仿宋" w:hint="eastAsia"/>
          <w:color w:val="000000"/>
          <w:sz w:val="28"/>
          <w:szCs w:val="28"/>
        </w:rPr>
        <w:t>运作无关的事项发生的费用等不列入</w:t>
      </w:r>
      <w:r>
        <w:rPr>
          <w:rFonts w:ascii="仿宋" w:eastAsia="仿宋" w:hAnsi="仿宋" w:hint="eastAsia"/>
          <w:color w:val="000000"/>
          <w:sz w:val="28"/>
          <w:szCs w:val="28"/>
        </w:rPr>
        <w:t>基金</w:t>
      </w:r>
      <w:r w:rsidR="007561E0">
        <w:rPr>
          <w:rFonts w:ascii="仿宋" w:eastAsia="仿宋" w:hAnsi="仿宋" w:hint="eastAsia"/>
          <w:color w:val="000000"/>
          <w:sz w:val="28"/>
          <w:szCs w:val="28"/>
        </w:rPr>
        <w:t>费用。其他根据相关法律法规及中国证监会的有关规定不得列入</w:t>
      </w:r>
      <w:r>
        <w:rPr>
          <w:rFonts w:ascii="仿宋" w:eastAsia="仿宋" w:hAnsi="仿宋" w:hint="eastAsia"/>
          <w:color w:val="000000"/>
          <w:sz w:val="28"/>
          <w:szCs w:val="28"/>
        </w:rPr>
        <w:t>基金</w:t>
      </w:r>
      <w:r w:rsidR="007561E0">
        <w:rPr>
          <w:rFonts w:ascii="仿宋" w:eastAsia="仿宋" w:hAnsi="仿宋" w:hint="eastAsia"/>
          <w:color w:val="000000"/>
          <w:sz w:val="28"/>
          <w:szCs w:val="28"/>
        </w:rPr>
        <w:t>费用的项目也不列入</w:t>
      </w:r>
      <w:r>
        <w:rPr>
          <w:rFonts w:ascii="仿宋" w:eastAsia="仿宋" w:hAnsi="仿宋" w:hint="eastAsia"/>
          <w:color w:val="000000"/>
          <w:sz w:val="28"/>
          <w:szCs w:val="28"/>
        </w:rPr>
        <w:t>基金</w:t>
      </w:r>
      <w:r w:rsidR="007561E0">
        <w:rPr>
          <w:rFonts w:ascii="仿宋" w:eastAsia="仿宋" w:hAnsi="仿宋" w:hint="eastAsia"/>
          <w:color w:val="000000"/>
          <w:sz w:val="28"/>
          <w:szCs w:val="28"/>
        </w:rPr>
        <w:t>费用。</w:t>
      </w:r>
    </w:p>
    <w:p w14:paraId="15839541" w14:textId="08EEC66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6</w:t>
      </w:r>
      <w:r>
        <w:rPr>
          <w:rFonts w:ascii="仿宋" w:eastAsia="仿宋" w:hAnsi="仿宋" w:hint="eastAsia"/>
          <w:color w:val="000000"/>
          <w:sz w:val="28"/>
          <w:szCs w:val="28"/>
        </w:rPr>
        <w:t>如果</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管理人违反有关法律法规的有关规定和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合同、本协议的约定，从</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财产中列支费用，有权要求</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管理人做出书面解释，如果</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托管人认为</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管理人无正当或合理的理由，可以拒绝支付。</w:t>
      </w:r>
    </w:p>
    <w:p w14:paraId="74018952" w14:textId="77777777" w:rsidR="009C2B7D" w:rsidRDefault="009C2B7D">
      <w:pPr>
        <w:pStyle w:val="21"/>
        <w:rPr>
          <w:rFonts w:ascii="仿宋" w:eastAsia="仿宋" w:hAnsi="仿宋"/>
          <w:color w:val="000000"/>
          <w:sz w:val="28"/>
          <w:szCs w:val="28"/>
        </w:rPr>
      </w:pPr>
    </w:p>
    <w:p w14:paraId="79FDFD28" w14:textId="77777777" w:rsidR="009C2B7D" w:rsidRDefault="009C2B7D">
      <w:pPr>
        <w:pStyle w:val="1"/>
        <w:rPr>
          <w:rFonts w:ascii="仿宋" w:eastAsia="仿宋" w:hAnsi="仿宋"/>
          <w:bCs/>
          <w:sz w:val="28"/>
          <w:szCs w:val="28"/>
        </w:rPr>
        <w:sectPr w:rsidR="009C2B7D">
          <w:footerReference w:type="default" r:id="rId30"/>
          <w:footerReference w:type="first" r:id="rId31"/>
          <w:pgSz w:w="11907" w:h="16840"/>
          <w:pgMar w:top="1361" w:right="1452" w:bottom="1134" w:left="1452" w:header="720" w:footer="720" w:gutter="0"/>
          <w:cols w:space="720"/>
          <w:docGrid w:linePitch="286"/>
        </w:sectPr>
      </w:pPr>
      <w:bookmarkStart w:id="57" w:name="_Toc296551348"/>
    </w:p>
    <w:p w14:paraId="1FE5D6CD" w14:textId="4B3D1955" w:rsidR="009C2B7D" w:rsidRDefault="007561E0">
      <w:pPr>
        <w:pStyle w:val="1"/>
        <w:rPr>
          <w:rFonts w:ascii="仿宋" w:eastAsia="仿宋" w:hAnsi="仿宋"/>
          <w:bCs/>
          <w:sz w:val="28"/>
          <w:szCs w:val="28"/>
        </w:rPr>
      </w:pPr>
      <w:bookmarkStart w:id="58" w:name="_Toc10950"/>
      <w:bookmarkStart w:id="59" w:name="_Toc532912133"/>
      <w:r>
        <w:rPr>
          <w:rFonts w:ascii="仿宋" w:eastAsia="仿宋" w:hAnsi="仿宋" w:hint="eastAsia"/>
          <w:bCs/>
          <w:sz w:val="28"/>
          <w:szCs w:val="28"/>
        </w:rPr>
        <w:t xml:space="preserve">第十二条 </w:t>
      </w:r>
      <w:r w:rsidR="007619C1">
        <w:rPr>
          <w:rFonts w:ascii="仿宋" w:eastAsia="仿宋" w:hAnsi="仿宋" w:hint="eastAsia"/>
          <w:bCs/>
          <w:sz w:val="28"/>
          <w:szCs w:val="28"/>
        </w:rPr>
        <w:t>基金</w:t>
      </w:r>
      <w:r>
        <w:rPr>
          <w:rFonts w:ascii="仿宋" w:eastAsia="仿宋" w:hAnsi="仿宋" w:hint="eastAsia"/>
          <w:bCs/>
          <w:sz w:val="28"/>
          <w:szCs w:val="28"/>
        </w:rPr>
        <w:t>份额持有人名册的保管</w:t>
      </w:r>
      <w:bookmarkEnd w:id="57"/>
      <w:bookmarkEnd w:id="58"/>
      <w:bookmarkEnd w:id="59"/>
    </w:p>
    <w:p w14:paraId="4F6E4645" w14:textId="3120ADF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12.1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托管人须分别妥善保管的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w:t>
      </w:r>
    </w:p>
    <w:p w14:paraId="548AB010" w14:textId="6C00D50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12.2</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份额持有人名册由</w:t>
      </w:r>
      <w:r w:rsidR="007619C1">
        <w:rPr>
          <w:rFonts w:ascii="仿宋" w:eastAsia="仿宋" w:hAnsi="仿宋" w:hint="eastAsia"/>
          <w:color w:val="000000"/>
          <w:sz w:val="28"/>
          <w:szCs w:val="28"/>
        </w:rPr>
        <w:t>基金</w:t>
      </w:r>
      <w:r>
        <w:rPr>
          <w:rFonts w:ascii="仿宋" w:eastAsia="仿宋" w:hAnsi="仿宋" w:hint="eastAsia"/>
          <w:color w:val="000000"/>
          <w:sz w:val="28"/>
          <w:szCs w:val="28"/>
        </w:rPr>
        <w:t>的</w:t>
      </w:r>
      <w:r w:rsidR="007619C1">
        <w:rPr>
          <w:rFonts w:ascii="仿宋" w:eastAsia="仿宋" w:hAnsi="仿宋" w:hint="eastAsia"/>
          <w:color w:val="000000"/>
          <w:sz w:val="28"/>
          <w:szCs w:val="28"/>
        </w:rPr>
        <w:t>基金</w:t>
      </w:r>
      <w:r>
        <w:rPr>
          <w:rFonts w:ascii="仿宋" w:eastAsia="仿宋" w:hAnsi="仿宋" w:hint="eastAsia"/>
          <w:color w:val="000000"/>
          <w:sz w:val="28"/>
          <w:szCs w:val="28"/>
        </w:rPr>
        <w:t>登记机构根据</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管理人的指令编制和保管，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托管人应按照目前相关规则分别保管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份额持有人名册。保管方式可以采用电子或文档的形式。保管期限至少20年，法律法规另有规定的从其规定。</w:t>
      </w:r>
    </w:p>
    <w:p w14:paraId="67913E56" w14:textId="087109E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12.3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管理人应当及时向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托管人定期或不定期提交</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托管人可以采用电子或文档的形式妥善保管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份额持有人名册，保存期限至少20年，法律法规另有规定的从其规定。</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托管人不得将所保管的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份额持有人名册用于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托管业务以外的其他用途，并应遵守保密义务。</w:t>
      </w:r>
    </w:p>
    <w:p w14:paraId="4A1151FE" w14:textId="41F9C3D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12.4若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托管人由于自身原因无法妥善保管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份额持有人名册，应按有关法规规定各自承担相应的责任。</w:t>
      </w:r>
    </w:p>
    <w:p w14:paraId="15835491" w14:textId="77777777" w:rsidR="009C2B7D" w:rsidRDefault="009C2B7D">
      <w:pPr>
        <w:pStyle w:val="21"/>
        <w:rPr>
          <w:rFonts w:ascii="仿宋" w:eastAsia="仿宋" w:hAnsi="仿宋"/>
          <w:color w:val="000000"/>
          <w:sz w:val="28"/>
          <w:szCs w:val="28"/>
        </w:rPr>
      </w:pPr>
    </w:p>
    <w:p w14:paraId="6A50099A" w14:textId="77777777" w:rsidR="009C2B7D" w:rsidRDefault="009C2B7D">
      <w:pPr>
        <w:pStyle w:val="1"/>
        <w:rPr>
          <w:rFonts w:ascii="仿宋" w:eastAsia="仿宋" w:hAnsi="仿宋"/>
          <w:bCs/>
          <w:sz w:val="28"/>
          <w:szCs w:val="28"/>
        </w:rPr>
        <w:sectPr w:rsidR="009C2B7D">
          <w:footerReference w:type="default" r:id="rId32"/>
          <w:pgSz w:w="11907" w:h="16840"/>
          <w:pgMar w:top="1361" w:right="1452" w:bottom="1134" w:left="1452" w:header="720" w:footer="720" w:gutter="0"/>
          <w:cols w:space="720"/>
          <w:docGrid w:linePitch="286"/>
        </w:sectPr>
      </w:pPr>
      <w:bookmarkStart w:id="60" w:name="_Toc296551349"/>
    </w:p>
    <w:p w14:paraId="1B8D4B5D" w14:textId="25DBD7F8" w:rsidR="009C2B7D" w:rsidRDefault="007561E0">
      <w:pPr>
        <w:pStyle w:val="1"/>
        <w:rPr>
          <w:rFonts w:ascii="仿宋" w:eastAsia="仿宋" w:hAnsi="仿宋"/>
          <w:bCs/>
          <w:sz w:val="28"/>
          <w:szCs w:val="28"/>
        </w:rPr>
      </w:pPr>
      <w:bookmarkStart w:id="61" w:name="_Toc532912134"/>
      <w:bookmarkStart w:id="62" w:name="_Toc16597"/>
      <w:r>
        <w:rPr>
          <w:rFonts w:ascii="仿宋" w:eastAsia="仿宋" w:hAnsi="仿宋" w:hint="eastAsia"/>
          <w:bCs/>
          <w:sz w:val="28"/>
          <w:szCs w:val="28"/>
        </w:rPr>
        <w:t xml:space="preserve">第十三条 </w:t>
      </w:r>
      <w:r w:rsidR="007619C1">
        <w:rPr>
          <w:rFonts w:ascii="仿宋" w:eastAsia="仿宋" w:hAnsi="仿宋" w:hint="eastAsia"/>
          <w:bCs/>
          <w:sz w:val="28"/>
          <w:szCs w:val="28"/>
        </w:rPr>
        <w:t>基金</w:t>
      </w:r>
      <w:r>
        <w:rPr>
          <w:rFonts w:ascii="仿宋" w:eastAsia="仿宋" w:hAnsi="仿宋" w:hint="eastAsia"/>
          <w:bCs/>
          <w:sz w:val="28"/>
          <w:szCs w:val="28"/>
        </w:rPr>
        <w:t>有关文件和档案的保存</w:t>
      </w:r>
      <w:bookmarkEnd w:id="60"/>
      <w:bookmarkEnd w:id="61"/>
      <w:bookmarkEnd w:id="62"/>
    </w:p>
    <w:p w14:paraId="1690F046" w14:textId="68F22F0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13.1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托管人按各自职责完整保存原始凭证、记账凭证、</w:t>
      </w:r>
      <w:r w:rsidR="007619C1">
        <w:rPr>
          <w:rFonts w:ascii="仿宋" w:eastAsia="仿宋" w:hAnsi="仿宋" w:hint="eastAsia"/>
          <w:color w:val="000000"/>
          <w:sz w:val="28"/>
          <w:szCs w:val="28"/>
        </w:rPr>
        <w:t>基金</w:t>
      </w:r>
      <w:r>
        <w:rPr>
          <w:rFonts w:ascii="仿宋" w:eastAsia="仿宋" w:hAnsi="仿宋" w:hint="eastAsia"/>
          <w:color w:val="000000"/>
          <w:sz w:val="28"/>
          <w:szCs w:val="28"/>
        </w:rPr>
        <w:t>账册、交易记录和重要合同等，保存期限至少20年，法律法规另有规定的从其规定，对相关信息负有保密义务，但司法强制检查情形及法律法规规定的其它情形除外。其中，</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管理人应保存</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财产管理业务活动的记录、账册、报表和其他相关资料，</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托管人应保存</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托管业务活动的记录、账册、报表和其他相关资料。</w:t>
      </w:r>
    </w:p>
    <w:p w14:paraId="515E7DD4" w14:textId="232B511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13.2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管理人应及时将与本</w:t>
      </w:r>
      <w:r w:rsidR="007619C1">
        <w:rPr>
          <w:rFonts w:ascii="仿宋" w:eastAsia="仿宋" w:hAnsi="仿宋" w:hint="eastAsia"/>
          <w:color w:val="000000"/>
          <w:sz w:val="28"/>
          <w:szCs w:val="28"/>
        </w:rPr>
        <w:t>基金</w:t>
      </w:r>
      <w:r>
        <w:rPr>
          <w:rFonts w:ascii="仿宋" w:eastAsia="仿宋" w:hAnsi="仿宋" w:hint="eastAsia"/>
          <w:color w:val="000000"/>
          <w:sz w:val="28"/>
          <w:szCs w:val="28"/>
        </w:rPr>
        <w:t>账务处理、资金划拨等有关的合同、协议传真给</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310E0409" w14:textId="67D2A06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13.3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托管人变更后，未变更的一方有义务协助接任人</w:t>
      </w:r>
      <w:r w:rsidR="00312DBF">
        <w:rPr>
          <w:rFonts w:ascii="仿宋" w:eastAsia="仿宋" w:hAnsi="仿宋" w:hint="eastAsia"/>
          <w:color w:val="000000"/>
          <w:sz w:val="28"/>
          <w:szCs w:val="28"/>
        </w:rPr>
        <w:t>接收</w:t>
      </w:r>
      <w:r w:rsidR="007619C1">
        <w:rPr>
          <w:rFonts w:ascii="仿宋" w:eastAsia="仿宋" w:hAnsi="仿宋" w:hint="eastAsia"/>
          <w:color w:val="000000"/>
          <w:sz w:val="28"/>
          <w:szCs w:val="28"/>
        </w:rPr>
        <w:t>基金</w:t>
      </w:r>
      <w:r>
        <w:rPr>
          <w:rFonts w:ascii="仿宋" w:eastAsia="仿宋" w:hAnsi="仿宋" w:hint="eastAsia"/>
          <w:color w:val="000000"/>
          <w:sz w:val="28"/>
          <w:szCs w:val="28"/>
        </w:rPr>
        <w:t>的有关文件。</w:t>
      </w:r>
    </w:p>
    <w:p w14:paraId="01BD94D5" w14:textId="77777777" w:rsidR="009C2B7D" w:rsidRDefault="009C2B7D">
      <w:pPr>
        <w:pStyle w:val="21"/>
        <w:rPr>
          <w:rFonts w:ascii="仿宋" w:eastAsia="仿宋" w:hAnsi="仿宋"/>
          <w:color w:val="000000"/>
          <w:sz w:val="28"/>
          <w:szCs w:val="28"/>
        </w:rPr>
      </w:pPr>
    </w:p>
    <w:p w14:paraId="61034E66" w14:textId="77777777" w:rsidR="009C2B7D" w:rsidRDefault="009C2B7D">
      <w:pPr>
        <w:pStyle w:val="1"/>
        <w:rPr>
          <w:rFonts w:ascii="仿宋" w:eastAsia="仿宋" w:hAnsi="仿宋"/>
          <w:bCs/>
          <w:sz w:val="28"/>
          <w:szCs w:val="28"/>
        </w:rPr>
        <w:sectPr w:rsidR="009C2B7D">
          <w:footerReference w:type="default" r:id="rId33"/>
          <w:footerReference w:type="first" r:id="rId34"/>
          <w:pgSz w:w="11907" w:h="16840"/>
          <w:pgMar w:top="1361" w:right="1452" w:bottom="1134" w:left="1452" w:header="720" w:footer="720" w:gutter="0"/>
          <w:cols w:space="720"/>
          <w:docGrid w:linePitch="286"/>
        </w:sectPr>
      </w:pPr>
      <w:bookmarkStart w:id="63" w:name="_Toc296551350"/>
    </w:p>
    <w:p w14:paraId="56E3808A" w14:textId="6D6D374F" w:rsidR="009C2B7D" w:rsidRDefault="007561E0">
      <w:pPr>
        <w:pStyle w:val="1"/>
        <w:rPr>
          <w:rFonts w:ascii="仿宋" w:eastAsia="仿宋" w:hAnsi="仿宋"/>
          <w:bCs/>
          <w:sz w:val="28"/>
          <w:szCs w:val="28"/>
        </w:rPr>
      </w:pPr>
      <w:bookmarkStart w:id="64" w:name="_Toc532912135"/>
      <w:bookmarkStart w:id="65" w:name="_Toc9799"/>
      <w:r>
        <w:rPr>
          <w:rFonts w:ascii="仿宋" w:eastAsia="仿宋" w:hAnsi="仿宋" w:hint="eastAsia"/>
          <w:bCs/>
          <w:sz w:val="28"/>
          <w:szCs w:val="28"/>
        </w:rPr>
        <w:t xml:space="preserve">第十四条 </w:t>
      </w:r>
      <w:r w:rsidR="007619C1">
        <w:rPr>
          <w:rFonts w:ascii="仿宋" w:eastAsia="仿宋" w:hAnsi="仿宋" w:hint="eastAsia"/>
          <w:bCs/>
          <w:sz w:val="28"/>
          <w:szCs w:val="28"/>
        </w:rPr>
        <w:t>基金</w:t>
      </w:r>
      <w:r>
        <w:rPr>
          <w:rFonts w:ascii="仿宋" w:eastAsia="仿宋" w:hAnsi="仿宋" w:hint="eastAsia"/>
          <w:bCs/>
          <w:sz w:val="28"/>
          <w:szCs w:val="28"/>
        </w:rPr>
        <w:t>管理人和</w:t>
      </w:r>
      <w:r w:rsidR="007619C1">
        <w:rPr>
          <w:rFonts w:ascii="仿宋" w:eastAsia="仿宋" w:hAnsi="仿宋" w:hint="eastAsia"/>
          <w:bCs/>
          <w:sz w:val="28"/>
          <w:szCs w:val="28"/>
        </w:rPr>
        <w:t>基金</w:t>
      </w:r>
      <w:r>
        <w:rPr>
          <w:rFonts w:ascii="仿宋" w:eastAsia="仿宋" w:hAnsi="仿宋" w:hint="eastAsia"/>
          <w:bCs/>
          <w:sz w:val="28"/>
          <w:szCs w:val="28"/>
        </w:rPr>
        <w:t>托管人的更换</w:t>
      </w:r>
      <w:bookmarkEnd w:id="63"/>
      <w:bookmarkEnd w:id="64"/>
      <w:bookmarkEnd w:id="65"/>
    </w:p>
    <w:p w14:paraId="70C704AC" w14:textId="5B5A485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14.1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管理人的更换</w:t>
      </w:r>
    </w:p>
    <w:p w14:paraId="1E0B32D2" w14:textId="3196714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14.1.1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管理人的更换条件</w:t>
      </w:r>
    </w:p>
    <w:p w14:paraId="2EA97157" w14:textId="7384565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管理人职责终止：</w:t>
      </w:r>
    </w:p>
    <w:p w14:paraId="356DE249" w14:textId="5020486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管理人被依法取消</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管理资格；</w:t>
      </w:r>
    </w:p>
    <w:p w14:paraId="538ECF87" w14:textId="0185D33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管理人依法解散、被依法撤销或者被依法宣告破产；</w:t>
      </w:r>
    </w:p>
    <w:p w14:paraId="28BC530C" w14:textId="1A28D84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管理人被</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5BCAC781" w14:textId="2BFE51C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合同》约定的其他情形。</w:t>
      </w:r>
    </w:p>
    <w:p w14:paraId="0D547908" w14:textId="56931C8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14.1.2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管理人的更换程序</w:t>
      </w:r>
    </w:p>
    <w:p w14:paraId="7CB3E139" w14:textId="64BA5B0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更换</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管理人必须依照如下程序进行：</w:t>
      </w:r>
    </w:p>
    <w:p w14:paraId="1BD44630" w14:textId="1303D0F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（1）提名：新任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托管人或由单独或合计持有10%以上（含10%）</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39956A4B" w14:textId="37798F5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（2）决议：</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管理人职责终止后6个月内对被提名的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管理人形成决议，该决议需经参加大会的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341B8455" w14:textId="0F2A523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管理人产生之前，由中国证监会指定临时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1EB0767D" w14:textId="038F29B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（4）备案：</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管理人的决议须报中国证监会备案；</w:t>
      </w:r>
    </w:p>
    <w:p w14:paraId="72BE696E" w14:textId="23BE55E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（5）公告：</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管理人更换后，由</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托管人在更换</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0DDFA0DE" w14:textId="28E2F82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（6）交接：</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管理人职责终止的，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管理人应妥善保管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管理业务资料，及时向临时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管理人办理</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管理业务的移交手续，临时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管理人应及时接收。临时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管理人应与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托管人核对</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572B1A85" w14:textId="5EFCE11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（7）审计：</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管理人职责终止的，应当按照法律法规规定聘请会计师事务所对</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2BA55129" w14:textId="05D8763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（8）</w:t>
      </w:r>
      <w:r w:rsidR="007619C1">
        <w:rPr>
          <w:rFonts w:ascii="仿宋" w:eastAsia="仿宋" w:hAnsi="仿宋" w:hint="eastAsia"/>
          <w:color w:val="000000"/>
          <w:sz w:val="28"/>
          <w:szCs w:val="28"/>
        </w:rPr>
        <w:t>基金</w:t>
      </w:r>
      <w:r>
        <w:rPr>
          <w:rFonts w:ascii="仿宋" w:eastAsia="仿宋" w:hAnsi="仿宋" w:hint="eastAsia"/>
          <w:color w:val="000000"/>
          <w:sz w:val="28"/>
          <w:szCs w:val="28"/>
        </w:rPr>
        <w:t>名称变更：</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管理人更换后，如果原任或新任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管理人要求，应按其要求替换或删除</w:t>
      </w:r>
      <w:r w:rsidR="007619C1">
        <w:rPr>
          <w:rFonts w:ascii="仿宋" w:eastAsia="仿宋" w:hAnsi="仿宋" w:hint="eastAsia"/>
          <w:color w:val="000000"/>
          <w:sz w:val="28"/>
          <w:szCs w:val="28"/>
        </w:rPr>
        <w:t>基金</w:t>
      </w:r>
      <w:r>
        <w:rPr>
          <w:rFonts w:ascii="仿宋" w:eastAsia="仿宋" w:hAnsi="仿宋" w:hint="eastAsia"/>
          <w:color w:val="000000"/>
          <w:sz w:val="28"/>
          <w:szCs w:val="28"/>
        </w:rPr>
        <w:t>名称中与原</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管理人有关的名称字样</w:t>
      </w:r>
      <w:r>
        <w:rPr>
          <w:rFonts w:ascii="仿宋" w:eastAsia="仿宋" w:hAnsi="仿宋"/>
          <w:color w:val="000000"/>
          <w:sz w:val="28"/>
          <w:szCs w:val="28"/>
        </w:rPr>
        <w:t>。</w:t>
      </w:r>
    </w:p>
    <w:p w14:paraId="00275A81" w14:textId="5C3ADE69" w:rsidR="009C2B7D" w:rsidRDefault="007561E0">
      <w:pPr>
        <w:pStyle w:val="21"/>
        <w:rPr>
          <w:rFonts w:ascii="仿宋" w:eastAsia="仿宋" w:hAnsi="仿宋"/>
          <w:color w:val="000000"/>
          <w:sz w:val="28"/>
          <w:szCs w:val="28"/>
        </w:rPr>
      </w:pPr>
      <w:bookmarkStart w:id="66" w:name="_Toc22005975"/>
      <w:r>
        <w:rPr>
          <w:rFonts w:ascii="仿宋" w:eastAsia="仿宋" w:hAnsi="仿宋" w:hint="eastAsia"/>
          <w:color w:val="000000"/>
          <w:sz w:val="28"/>
          <w:szCs w:val="28"/>
        </w:rPr>
        <w:t>14.2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托管人的更换</w:t>
      </w:r>
    </w:p>
    <w:p w14:paraId="00C7BAB8" w14:textId="59734D3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14.2.1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托管人的更换条件：</w:t>
      </w:r>
    </w:p>
    <w:p w14:paraId="0952CCA3" w14:textId="3766267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托管人职责终止：</w:t>
      </w:r>
    </w:p>
    <w:p w14:paraId="48813602" w14:textId="64DED49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托管人被依法取消基金托管资格；</w:t>
      </w:r>
    </w:p>
    <w:p w14:paraId="2001D102" w14:textId="538E562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托管人依法解散、被依法撤销或者被依法宣布破产；</w:t>
      </w:r>
    </w:p>
    <w:p w14:paraId="00BBEAE2" w14:textId="1A3FA9C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托管人被</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442E9992" w14:textId="1761476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合同》约定的其他情形。</w:t>
      </w:r>
    </w:p>
    <w:p w14:paraId="4AC65C18" w14:textId="09FC396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14.2.2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托管人的更换程序</w:t>
      </w:r>
      <w:bookmarkEnd w:id="66"/>
    </w:p>
    <w:p w14:paraId="36C7D2CB" w14:textId="3182E78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（1）提名：新任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管理人或由单独或合计持有10%以上（含10%）</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2AEE99ED" w14:textId="492C8AC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（2）决议：</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托管人职责终止后6个月内对被提名的</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托管人形成决议，该决议需经参加大会的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1E93ED52" w14:textId="4C055F1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托管人产生之前，由中国证监会指定临时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2C041C8F" w14:textId="67C4533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（4）备案：</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托管人的决议须报中国证监会备案；</w:t>
      </w:r>
    </w:p>
    <w:p w14:paraId="34C87583" w14:textId="1719ABD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（5）公告：</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托管人更换后，由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管理人在更换</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0950FB15" w14:textId="652A9564"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（6）交接：</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托管人职责终止的，应当妥善保管</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托管业务资料，及时办理</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托管业务的移交手续，新任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托管人应当及时接收。新任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管理人核对</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02BD1BF7" w14:textId="1AB5775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（7）审计：</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托管人职责终止的，应当按照法律法规规定聘请会计师事务所对</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2BE68336" w14:textId="0FC49767" w:rsidR="009C2B7D" w:rsidRDefault="007561E0">
      <w:pPr>
        <w:pStyle w:val="21"/>
        <w:rPr>
          <w:rFonts w:ascii="仿宋" w:eastAsia="仿宋" w:hAnsi="仿宋"/>
          <w:color w:val="000000"/>
          <w:sz w:val="28"/>
          <w:szCs w:val="28"/>
        </w:rPr>
      </w:pPr>
      <w:bookmarkStart w:id="67" w:name="_Toc1357"/>
      <w:r>
        <w:rPr>
          <w:rFonts w:ascii="仿宋" w:eastAsia="仿宋" w:hAnsi="仿宋"/>
          <w:color w:val="000000"/>
          <w:sz w:val="28"/>
          <w:szCs w:val="28"/>
        </w:rPr>
        <w:t>14.3</w:t>
      </w:r>
      <w:r w:rsidR="007619C1">
        <w:rPr>
          <w:rFonts w:ascii="仿宋" w:eastAsia="仿宋" w:hAnsi="仿宋"/>
          <w:color w:val="000000"/>
          <w:sz w:val="28"/>
          <w:szCs w:val="28"/>
        </w:rPr>
        <w:t>基金</w:t>
      </w:r>
      <w:r>
        <w:rPr>
          <w:rFonts w:ascii="仿宋" w:eastAsia="仿宋" w:hAnsi="仿宋"/>
          <w:color w:val="000000"/>
          <w:sz w:val="28"/>
          <w:szCs w:val="28"/>
        </w:rPr>
        <w:t>管理人与</w:t>
      </w:r>
      <w:r w:rsidR="007619C1">
        <w:rPr>
          <w:rFonts w:ascii="仿宋" w:eastAsia="仿宋" w:hAnsi="仿宋"/>
          <w:color w:val="000000"/>
          <w:sz w:val="28"/>
          <w:szCs w:val="28"/>
        </w:rPr>
        <w:t>基金</w:t>
      </w:r>
      <w:r>
        <w:rPr>
          <w:rFonts w:ascii="仿宋" w:eastAsia="仿宋" w:hAnsi="仿宋"/>
          <w:color w:val="000000"/>
          <w:sz w:val="28"/>
          <w:szCs w:val="28"/>
        </w:rPr>
        <w:t>托管人同时更换</w:t>
      </w:r>
      <w:bookmarkEnd w:id="67"/>
    </w:p>
    <w:p w14:paraId="4544761A" w14:textId="6AED9C0B" w:rsidR="009C2B7D" w:rsidRDefault="007561E0">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托管人同时更换，由单独或合计持有</w:t>
      </w:r>
      <w:r w:rsidR="007619C1">
        <w:rPr>
          <w:rFonts w:ascii="仿宋" w:eastAsia="仿宋" w:hAnsi="仿宋" w:hint="eastAsia"/>
          <w:color w:val="000000"/>
          <w:sz w:val="28"/>
          <w:szCs w:val="28"/>
        </w:rPr>
        <w:t>基金</w:t>
      </w:r>
      <w:r>
        <w:rPr>
          <w:rFonts w:ascii="仿宋" w:eastAsia="仿宋" w:hAnsi="仿宋" w:hint="eastAsia"/>
          <w:color w:val="000000"/>
          <w:sz w:val="28"/>
          <w:szCs w:val="28"/>
        </w:rPr>
        <w:t>总份额10%以上（含10%）的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份额持有人提名新的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r>
        <w:rPr>
          <w:rFonts w:ascii="仿宋" w:eastAsia="仿宋" w:hAnsi="仿宋"/>
          <w:color w:val="000000"/>
          <w:sz w:val="28"/>
          <w:szCs w:val="28"/>
        </w:rPr>
        <w:t>；</w:t>
      </w:r>
    </w:p>
    <w:p w14:paraId="6E7398DC" w14:textId="5F6A6FFF" w:rsidR="009C2B7D" w:rsidRDefault="007561E0">
      <w:pPr>
        <w:pStyle w:val="21"/>
        <w:rPr>
          <w:rFonts w:ascii="仿宋" w:eastAsia="仿宋" w:hAnsi="仿宋"/>
          <w:color w:val="000000"/>
          <w:sz w:val="28"/>
          <w:szCs w:val="28"/>
        </w:rPr>
      </w:pPr>
      <w:r>
        <w:rPr>
          <w:rFonts w:ascii="仿宋" w:eastAsia="仿宋" w:hAnsi="仿宋"/>
          <w:color w:val="000000"/>
          <w:sz w:val="28"/>
          <w:szCs w:val="28"/>
        </w:rPr>
        <w:t>14.3.2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托管人的更换分别按上述程序进行</w:t>
      </w:r>
      <w:r>
        <w:rPr>
          <w:rFonts w:ascii="仿宋" w:eastAsia="仿宋" w:hAnsi="仿宋"/>
          <w:color w:val="000000"/>
          <w:sz w:val="28"/>
          <w:szCs w:val="28"/>
        </w:rPr>
        <w:t>；</w:t>
      </w:r>
    </w:p>
    <w:p w14:paraId="63BC32D2" w14:textId="3069325A" w:rsidR="009C2B7D" w:rsidRDefault="007561E0">
      <w:pPr>
        <w:pStyle w:val="21"/>
        <w:rPr>
          <w:rFonts w:ascii="仿宋" w:eastAsia="仿宋" w:hAnsi="仿宋"/>
          <w:color w:val="000000"/>
          <w:sz w:val="28"/>
          <w:szCs w:val="28"/>
        </w:rPr>
      </w:pPr>
      <w:r>
        <w:rPr>
          <w:rFonts w:ascii="仿宋" w:eastAsia="仿宋" w:hAnsi="仿宋"/>
          <w:color w:val="000000"/>
          <w:sz w:val="28"/>
          <w:szCs w:val="28"/>
        </w:rPr>
        <w:t>14.3.3</w:t>
      </w:r>
      <w:r>
        <w:rPr>
          <w:rFonts w:ascii="仿宋" w:eastAsia="仿宋" w:hAnsi="仿宋" w:hint="eastAsia"/>
          <w:color w:val="000000"/>
          <w:sz w:val="28"/>
          <w:szCs w:val="28"/>
        </w:rPr>
        <w:t>公告：新任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管理人和新任</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托管人应在更换</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份额持有人大会决议生效后依照《信息披露办法》的有关规定在规定媒介上联合公告</w:t>
      </w:r>
      <w:r>
        <w:rPr>
          <w:rFonts w:ascii="仿宋" w:eastAsia="仿宋" w:hAnsi="仿宋"/>
          <w:color w:val="000000"/>
          <w:sz w:val="28"/>
          <w:szCs w:val="28"/>
        </w:rPr>
        <w:t>。</w:t>
      </w:r>
    </w:p>
    <w:p w14:paraId="45F688B7" w14:textId="2751DEA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312DBF">
        <w:rPr>
          <w:rFonts w:ascii="仿宋" w:eastAsia="仿宋" w:hAnsi="仿宋" w:hint="eastAsia"/>
          <w:color w:val="000000"/>
          <w:sz w:val="28"/>
          <w:szCs w:val="28"/>
        </w:rPr>
        <w:t>接收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w:t>
      </w:r>
      <w:r w:rsidR="00312DBF">
        <w:rPr>
          <w:rFonts w:ascii="仿宋" w:eastAsia="仿宋" w:hAnsi="仿宋" w:hint="eastAsia"/>
          <w:color w:val="000000"/>
          <w:sz w:val="28"/>
          <w:szCs w:val="28"/>
        </w:rPr>
        <w:t>业务</w:t>
      </w:r>
      <w:r>
        <w:rPr>
          <w:rFonts w:ascii="仿宋" w:eastAsia="仿宋" w:hAnsi="仿宋" w:hint="eastAsia"/>
          <w:color w:val="000000"/>
          <w:sz w:val="28"/>
          <w:szCs w:val="28"/>
        </w:rPr>
        <w:t>或新任或临时</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w:t>
      </w:r>
      <w:r w:rsidR="00312DBF">
        <w:rPr>
          <w:rFonts w:ascii="仿宋" w:eastAsia="仿宋" w:hAnsi="仿宋" w:hint="eastAsia"/>
          <w:color w:val="000000"/>
          <w:sz w:val="28"/>
          <w:szCs w:val="28"/>
        </w:rPr>
        <w:t>接收</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托管业务前，原</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托管人应依据法律法规和《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合同》的规定继续履行相关职责，并保证不对</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份额持有人的利益造成损害。原</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托管人在继续履行相关职责期间，仍有权按照</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合同的规定收取</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管理费或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托管费</w:t>
      </w:r>
      <w:r>
        <w:rPr>
          <w:rFonts w:ascii="仿宋" w:eastAsia="仿宋" w:hAnsi="仿宋"/>
          <w:color w:val="000000"/>
          <w:sz w:val="28"/>
          <w:szCs w:val="28"/>
        </w:rPr>
        <w:t>。</w:t>
      </w:r>
    </w:p>
    <w:p w14:paraId="1DE7B9F0" w14:textId="6FDECA6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托管人更换条件和程序的约定，凡是直接引用法律法规或监管规则的部分，如将来法律法规或监管规则修改导致相关内容被取消或变更的，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托管人协商一致并提前公告后，可直接对相应内容进行修改和调整，无需召开</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5DD4DD6A" w14:textId="77777777" w:rsidR="009C2B7D" w:rsidRDefault="009C2B7D">
      <w:pPr>
        <w:pStyle w:val="21"/>
        <w:rPr>
          <w:rFonts w:ascii="仿宋" w:eastAsia="仿宋" w:hAnsi="仿宋"/>
          <w:color w:val="000000"/>
          <w:sz w:val="28"/>
          <w:szCs w:val="28"/>
        </w:rPr>
      </w:pPr>
    </w:p>
    <w:p w14:paraId="4A3F124F" w14:textId="77777777" w:rsidR="009C2B7D" w:rsidRDefault="009C2B7D">
      <w:pPr>
        <w:pStyle w:val="21"/>
        <w:rPr>
          <w:rFonts w:ascii="仿宋" w:eastAsia="仿宋" w:hAnsi="仿宋"/>
          <w:color w:val="000000"/>
          <w:sz w:val="28"/>
          <w:szCs w:val="28"/>
        </w:rPr>
      </w:pPr>
    </w:p>
    <w:p w14:paraId="70AE42A1" w14:textId="77777777" w:rsidR="009C2B7D" w:rsidRDefault="009C2B7D">
      <w:pPr>
        <w:pStyle w:val="1"/>
        <w:rPr>
          <w:rFonts w:ascii="仿宋" w:eastAsia="仿宋" w:hAnsi="仿宋"/>
          <w:bCs/>
          <w:sz w:val="28"/>
          <w:szCs w:val="28"/>
        </w:rPr>
        <w:sectPr w:rsidR="009C2B7D">
          <w:footerReference w:type="default" r:id="rId35"/>
          <w:pgSz w:w="11907" w:h="16840"/>
          <w:pgMar w:top="1361" w:right="1452" w:bottom="1134" w:left="1452" w:header="720" w:footer="720" w:gutter="0"/>
          <w:cols w:space="720"/>
          <w:docGrid w:linePitch="286"/>
        </w:sectPr>
      </w:pPr>
      <w:bookmarkStart w:id="68" w:name="_Toc296551351"/>
    </w:p>
    <w:p w14:paraId="683F03D6" w14:textId="77777777" w:rsidR="009C2B7D" w:rsidRDefault="007561E0">
      <w:pPr>
        <w:pStyle w:val="1"/>
        <w:rPr>
          <w:rFonts w:ascii="仿宋" w:eastAsia="仿宋" w:hAnsi="仿宋"/>
          <w:bCs/>
          <w:sz w:val="28"/>
          <w:szCs w:val="28"/>
        </w:rPr>
      </w:pPr>
      <w:bookmarkStart w:id="69" w:name="_Toc29828"/>
      <w:bookmarkStart w:id="70" w:name="_Toc532912136"/>
      <w:r>
        <w:rPr>
          <w:rFonts w:ascii="仿宋" w:eastAsia="仿宋" w:hAnsi="仿宋" w:hint="eastAsia"/>
          <w:bCs/>
          <w:sz w:val="28"/>
          <w:szCs w:val="28"/>
        </w:rPr>
        <w:t>第十五条 禁止行为</w:t>
      </w:r>
      <w:bookmarkEnd w:id="68"/>
      <w:bookmarkEnd w:id="69"/>
      <w:bookmarkEnd w:id="70"/>
    </w:p>
    <w:p w14:paraId="54831191"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4345C5F0" w14:textId="12B3019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托管人将其固有财产或者他人财产混同于</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财产从事证券投资。</w:t>
      </w:r>
    </w:p>
    <w:p w14:paraId="66C74EFE" w14:textId="5C43FAE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管理人不公平地对待其管理的不同</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托管人不公平地对待其托管的不同</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w:t>
      </w:r>
    </w:p>
    <w:p w14:paraId="072E5911" w14:textId="5411E47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托管人利用</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财产为</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份额持有人以外的第三人牟取利益。</w:t>
      </w:r>
    </w:p>
    <w:p w14:paraId="181B9F25" w14:textId="56CDD63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15.1.4</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托管人向</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份额持有人违规承诺收益或者承担损失。</w:t>
      </w:r>
    </w:p>
    <w:p w14:paraId="76B50A3B" w14:textId="0A41E21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15.1.5</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托管人对他人泄露</w:t>
      </w:r>
      <w:r w:rsidR="007619C1">
        <w:rPr>
          <w:rFonts w:ascii="仿宋" w:eastAsia="仿宋" w:hAnsi="仿宋" w:hint="eastAsia"/>
          <w:color w:val="000000"/>
          <w:sz w:val="28"/>
          <w:szCs w:val="28"/>
        </w:rPr>
        <w:t>基金</w:t>
      </w:r>
      <w:r>
        <w:rPr>
          <w:rFonts w:ascii="仿宋" w:eastAsia="仿宋" w:hAnsi="仿宋" w:hint="eastAsia"/>
          <w:color w:val="000000"/>
          <w:sz w:val="28"/>
          <w:szCs w:val="28"/>
        </w:rPr>
        <w:t>运作和管理过程中任何尚未按法律法规规定的方式公开披露的信息。</w:t>
      </w:r>
    </w:p>
    <w:p w14:paraId="1A5677B1" w14:textId="29D9314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15.1.6</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托管人发出投资指令和赎回、分红资金的划拨指令，或违规向</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托管人发出指令。</w:t>
      </w:r>
    </w:p>
    <w:p w14:paraId="023A7754" w14:textId="310FF01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15.1.7</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托管人在行政上、财务上不独立，其高级管理人员和其他从业人员相互兼职。</w:t>
      </w:r>
    </w:p>
    <w:p w14:paraId="18008392" w14:textId="00CA5F9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15.1.8</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托管人私自动用或处分</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财产，根据</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管理人的合法指令、</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合同或托管协议的规定进行处分的除外。</w:t>
      </w:r>
    </w:p>
    <w:p w14:paraId="66C43867" w14:textId="6EC2984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15.1.9</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财产用于下列投资或者活动：</w:t>
      </w:r>
    </w:p>
    <w:p w14:paraId="10B4B963"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0038C902"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1D84147D"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6F12D32E"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403C76C9" w14:textId="6FAE87A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（5）向其</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6AA5C639"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74B2644D"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7ABED7E1" w14:textId="6D8E05F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15.1.10法律法规和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合同禁止的其他行为，以及依照法律、行政法规有关规定，由中国证监会规定禁止</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托管人从事的其他行为。</w:t>
      </w:r>
    </w:p>
    <w:p w14:paraId="066CC0F6" w14:textId="77777777" w:rsidR="009C2B7D" w:rsidRDefault="009C2B7D">
      <w:pPr>
        <w:pStyle w:val="21"/>
        <w:rPr>
          <w:rFonts w:ascii="仿宋" w:eastAsia="仿宋" w:hAnsi="仿宋"/>
          <w:color w:val="000000"/>
          <w:sz w:val="28"/>
          <w:szCs w:val="28"/>
        </w:rPr>
      </w:pPr>
    </w:p>
    <w:p w14:paraId="15335857" w14:textId="77777777" w:rsidR="009C2B7D" w:rsidRDefault="009C2B7D">
      <w:pPr>
        <w:pStyle w:val="1"/>
        <w:rPr>
          <w:rFonts w:ascii="仿宋" w:eastAsia="仿宋" w:hAnsi="仿宋"/>
          <w:bCs/>
          <w:sz w:val="28"/>
          <w:szCs w:val="28"/>
        </w:rPr>
        <w:sectPr w:rsidR="009C2B7D">
          <w:footerReference w:type="default" r:id="rId36"/>
          <w:footerReference w:type="first" r:id="rId37"/>
          <w:pgSz w:w="11907" w:h="16840"/>
          <w:pgMar w:top="1361" w:right="1452" w:bottom="1134" w:left="1452" w:header="720" w:footer="720" w:gutter="0"/>
          <w:cols w:space="720"/>
          <w:docGrid w:linePitch="286"/>
        </w:sectPr>
      </w:pPr>
      <w:bookmarkStart w:id="71" w:name="_Toc296551352"/>
    </w:p>
    <w:p w14:paraId="6DD0B335" w14:textId="67F99259" w:rsidR="009C2B7D" w:rsidRDefault="007561E0">
      <w:pPr>
        <w:pStyle w:val="1"/>
        <w:rPr>
          <w:rFonts w:ascii="仿宋" w:eastAsia="仿宋" w:hAnsi="仿宋"/>
          <w:bCs/>
          <w:sz w:val="28"/>
          <w:szCs w:val="28"/>
        </w:rPr>
      </w:pPr>
      <w:bookmarkStart w:id="72" w:name="_Toc532912137"/>
      <w:bookmarkStart w:id="73" w:name="_Toc28096"/>
      <w:r>
        <w:rPr>
          <w:rFonts w:ascii="仿宋" w:eastAsia="仿宋" w:hAnsi="仿宋" w:hint="eastAsia"/>
          <w:bCs/>
          <w:sz w:val="28"/>
          <w:szCs w:val="28"/>
        </w:rPr>
        <w:t xml:space="preserve">第十六条 </w:t>
      </w:r>
      <w:r w:rsidR="007619C1">
        <w:rPr>
          <w:rFonts w:ascii="仿宋" w:eastAsia="仿宋" w:hAnsi="仿宋" w:hint="eastAsia"/>
          <w:bCs/>
          <w:sz w:val="28"/>
          <w:szCs w:val="28"/>
        </w:rPr>
        <w:t>基金</w:t>
      </w:r>
      <w:r>
        <w:rPr>
          <w:rFonts w:ascii="仿宋" w:eastAsia="仿宋" w:hAnsi="仿宋" w:hint="eastAsia"/>
          <w:bCs/>
          <w:sz w:val="28"/>
          <w:szCs w:val="28"/>
        </w:rPr>
        <w:t>托管协议的变更、终止与</w:t>
      </w:r>
      <w:r w:rsidR="007619C1">
        <w:rPr>
          <w:rFonts w:ascii="仿宋" w:eastAsia="仿宋" w:hAnsi="仿宋" w:hint="eastAsia"/>
          <w:bCs/>
          <w:sz w:val="28"/>
          <w:szCs w:val="28"/>
        </w:rPr>
        <w:t>基金</w:t>
      </w:r>
      <w:r>
        <w:rPr>
          <w:rFonts w:ascii="仿宋" w:eastAsia="仿宋" w:hAnsi="仿宋" w:hint="eastAsia"/>
          <w:bCs/>
          <w:sz w:val="28"/>
          <w:szCs w:val="28"/>
        </w:rPr>
        <w:t>财产的清算</w:t>
      </w:r>
      <w:bookmarkEnd w:id="71"/>
      <w:bookmarkEnd w:id="72"/>
      <w:bookmarkEnd w:id="73"/>
    </w:p>
    <w:p w14:paraId="7A77DB88"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632DE42B"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729737E2" w14:textId="6FA943E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合同的规定有任何冲突。</w:t>
      </w:r>
    </w:p>
    <w:p w14:paraId="2E47D961" w14:textId="4B9ECD5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16.1.2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托管协议终止的情形</w:t>
      </w:r>
    </w:p>
    <w:p w14:paraId="156B36E2"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4D252B02" w14:textId="26381C9C"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合同终止；</w:t>
      </w:r>
    </w:p>
    <w:p w14:paraId="25EFBA54" w14:textId="2D7B2D1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托管人解散、依法被撤销、破产或由其他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托管人接管</w:t>
      </w:r>
      <w:r w:rsidR="007619C1">
        <w:rPr>
          <w:rFonts w:ascii="仿宋" w:eastAsia="仿宋" w:hAnsi="仿宋" w:hint="eastAsia"/>
          <w:color w:val="000000"/>
          <w:sz w:val="28"/>
          <w:szCs w:val="28"/>
        </w:rPr>
        <w:t>基金</w:t>
      </w:r>
      <w:r>
        <w:rPr>
          <w:rFonts w:ascii="仿宋" w:eastAsia="仿宋" w:hAnsi="仿宋" w:hint="eastAsia"/>
          <w:color w:val="000000"/>
          <w:sz w:val="28"/>
          <w:szCs w:val="28"/>
        </w:rPr>
        <w:t>资产；</w:t>
      </w:r>
    </w:p>
    <w:p w14:paraId="78CBF0BE" w14:textId="709B2BC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管理人解散、依法被撤销、破产或由其他</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管理人接管</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管理权；</w:t>
      </w:r>
    </w:p>
    <w:p w14:paraId="42DFAD1F" w14:textId="0BEB6E5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（4）发生法律法规或</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合同规定的终止事项。</w:t>
      </w:r>
    </w:p>
    <w:p w14:paraId="1A016118" w14:textId="61F52C5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财产的清算</w:t>
      </w:r>
    </w:p>
    <w:p w14:paraId="41F69F99" w14:textId="15B1ED0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16.2.1</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w:t>
      </w:r>
    </w:p>
    <w:p w14:paraId="2D558E2B" w14:textId="64020A11"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（1）自出现《</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合同》终止事由之日起30个工作日内成立清算小组，</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管理人组织</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财产清算小组并在中国证监会的监督下进行</w:t>
      </w:r>
      <w:r w:rsidR="007619C1">
        <w:rPr>
          <w:rFonts w:ascii="仿宋" w:eastAsia="仿宋" w:hAnsi="仿宋" w:hint="eastAsia"/>
          <w:color w:val="000000"/>
          <w:sz w:val="28"/>
          <w:szCs w:val="28"/>
        </w:rPr>
        <w:t>基金</w:t>
      </w:r>
      <w:r>
        <w:rPr>
          <w:rFonts w:ascii="仿宋" w:eastAsia="仿宋" w:hAnsi="仿宋" w:hint="eastAsia"/>
          <w:color w:val="000000"/>
          <w:sz w:val="28"/>
          <w:szCs w:val="28"/>
        </w:rPr>
        <w:t>清算。</w:t>
      </w:r>
    </w:p>
    <w:p w14:paraId="463BDC71" w14:textId="69FE396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财产清算小组成员由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托管人、符合《证券法》规定的注册会计师、律师以及中国证监会指定的人员组成。</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财产清算小组可以聘用必要的工作人员。</w:t>
      </w:r>
    </w:p>
    <w:p w14:paraId="0184A635" w14:textId="29225AA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（3）在</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财产清算过程中，</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托管人应各自履行职责，继续忠实、勤勉、尽责地履行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合同和本协议规定的义务，维护</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58E8F9D9" w14:textId="429C570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财产清算小组负责</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财产的保管、清理、估价、变现和分配。</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财产清算小组可以依法进行必要的民事活动。</w:t>
      </w:r>
    </w:p>
    <w:p w14:paraId="7CC5D551" w14:textId="02C3235A"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16.2.2</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财产清算程序</w:t>
      </w:r>
    </w:p>
    <w:p w14:paraId="4C9587C6" w14:textId="1D3205EA"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合同终止</w:t>
      </w:r>
      <w:r w:rsidR="00312DBF">
        <w:rPr>
          <w:rFonts w:ascii="仿宋" w:eastAsia="仿宋" w:hAnsi="仿宋" w:hint="eastAsia"/>
          <w:color w:val="000000"/>
          <w:sz w:val="28"/>
          <w:szCs w:val="28"/>
        </w:rPr>
        <w:t>情形出现时</w:t>
      </w:r>
      <w:r w:rsidR="007561E0">
        <w:rPr>
          <w:rFonts w:ascii="仿宋" w:eastAsia="仿宋" w:hAnsi="仿宋" w:hint="eastAsia"/>
          <w:color w:val="000000"/>
          <w:sz w:val="28"/>
          <w:szCs w:val="28"/>
        </w:rPr>
        <w:t>，应当按法律法规和</w:t>
      </w:r>
      <w:r>
        <w:rPr>
          <w:rFonts w:ascii="仿宋" w:eastAsia="仿宋" w:hAnsi="仿宋" w:hint="eastAsia"/>
          <w:color w:val="000000"/>
          <w:sz w:val="28"/>
          <w:szCs w:val="28"/>
        </w:rPr>
        <w:t>基金</w:t>
      </w:r>
      <w:r w:rsidR="007561E0">
        <w:rPr>
          <w:rFonts w:ascii="仿宋" w:eastAsia="仿宋" w:hAnsi="仿宋" w:hint="eastAsia"/>
          <w:color w:val="000000"/>
          <w:sz w:val="28"/>
          <w:szCs w:val="28"/>
        </w:rPr>
        <w:t>合同的有关规定对</w:t>
      </w:r>
      <w:r>
        <w:rPr>
          <w:rFonts w:ascii="仿宋" w:eastAsia="仿宋" w:hAnsi="仿宋" w:hint="eastAsia"/>
          <w:color w:val="000000"/>
          <w:sz w:val="28"/>
          <w:szCs w:val="28"/>
        </w:rPr>
        <w:t>基金</w:t>
      </w:r>
      <w:r w:rsidR="007561E0">
        <w:rPr>
          <w:rFonts w:ascii="仿宋" w:eastAsia="仿宋" w:hAnsi="仿宋" w:hint="eastAsia"/>
          <w:color w:val="000000"/>
          <w:sz w:val="28"/>
          <w:szCs w:val="28"/>
        </w:rPr>
        <w:t>财产进行清算。</w:t>
      </w:r>
      <w:r>
        <w:rPr>
          <w:rFonts w:ascii="仿宋" w:eastAsia="仿宋" w:hAnsi="仿宋" w:hint="eastAsia"/>
          <w:color w:val="000000"/>
          <w:sz w:val="28"/>
          <w:szCs w:val="28"/>
        </w:rPr>
        <w:t>基金</w:t>
      </w:r>
      <w:r w:rsidR="007561E0">
        <w:rPr>
          <w:rFonts w:ascii="仿宋" w:eastAsia="仿宋" w:hAnsi="仿宋" w:hint="eastAsia"/>
          <w:color w:val="000000"/>
          <w:sz w:val="28"/>
          <w:szCs w:val="28"/>
        </w:rPr>
        <w:t>财产清算程序主要包括：</w:t>
      </w:r>
    </w:p>
    <w:p w14:paraId="1F86A0CE" w14:textId="44F0943B"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合同》终止情形出现时，由</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财产清算小组统一接管</w:t>
      </w:r>
      <w:r w:rsidR="007619C1">
        <w:rPr>
          <w:rFonts w:ascii="仿宋" w:eastAsia="仿宋" w:hAnsi="仿宋" w:hint="eastAsia"/>
          <w:color w:val="000000"/>
          <w:sz w:val="28"/>
          <w:szCs w:val="28"/>
        </w:rPr>
        <w:t>基金</w:t>
      </w:r>
      <w:r>
        <w:rPr>
          <w:rFonts w:ascii="仿宋" w:eastAsia="仿宋" w:hAnsi="仿宋" w:hint="eastAsia"/>
          <w:color w:val="000000"/>
          <w:sz w:val="28"/>
          <w:szCs w:val="28"/>
        </w:rPr>
        <w:t>；</w:t>
      </w:r>
    </w:p>
    <w:p w14:paraId="0AD3CB91" w14:textId="5C73830F"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（2）对</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财产和债权债务进行清理和确认；</w:t>
      </w:r>
    </w:p>
    <w:p w14:paraId="7A352D26" w14:textId="5677B84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（3）对</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财产进行估值和变现；</w:t>
      </w:r>
    </w:p>
    <w:p w14:paraId="651202D6"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7F03CBA4"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（5）聘请会计师事务所对清算报告进行外部审计，聘请律师事务所对清算报告出具法律意见书；</w:t>
      </w:r>
    </w:p>
    <w:p w14:paraId="4FA8551A"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07D5B079" w14:textId="49E66AB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（7）对</w:t>
      </w:r>
      <w:r w:rsidR="007619C1">
        <w:rPr>
          <w:rFonts w:ascii="仿宋" w:eastAsia="仿宋" w:hAnsi="仿宋" w:hint="eastAsia"/>
          <w:color w:val="000000"/>
          <w:sz w:val="28"/>
          <w:szCs w:val="28"/>
        </w:rPr>
        <w:t>基金</w:t>
      </w:r>
      <w:r>
        <w:rPr>
          <w:rFonts w:ascii="仿宋" w:eastAsia="仿宋" w:hAnsi="仿宋" w:hint="eastAsia"/>
          <w:color w:val="000000"/>
          <w:sz w:val="28"/>
          <w:szCs w:val="28"/>
        </w:rPr>
        <w:t>剩余财产进行分配。</w:t>
      </w:r>
    </w:p>
    <w:p w14:paraId="2BDFC642" w14:textId="2E2102B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16.2.3</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财产清算的期限为6个月，但因本</w:t>
      </w:r>
      <w:r w:rsidR="007619C1">
        <w:rPr>
          <w:rFonts w:ascii="仿宋" w:eastAsia="仿宋" w:hAnsi="仿宋" w:hint="eastAsia"/>
          <w:color w:val="000000"/>
          <w:sz w:val="28"/>
          <w:szCs w:val="28"/>
        </w:rPr>
        <w:t>基金</w:t>
      </w:r>
      <w:r>
        <w:rPr>
          <w:rFonts w:ascii="仿宋" w:eastAsia="仿宋" w:hAnsi="仿宋" w:hint="eastAsia"/>
          <w:color w:val="000000"/>
          <w:sz w:val="28"/>
          <w:szCs w:val="28"/>
        </w:rPr>
        <w:t>所持证券的流动性受到限制而不能及时变现的，清算期限相应顺延。</w:t>
      </w:r>
    </w:p>
    <w:p w14:paraId="42C5A393"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332110D3" w14:textId="3FB5C04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清算费用是指</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财产清算小组在进行</w:t>
      </w:r>
      <w:r w:rsidR="007619C1">
        <w:rPr>
          <w:rFonts w:ascii="仿宋" w:eastAsia="仿宋" w:hAnsi="仿宋" w:hint="eastAsia"/>
          <w:color w:val="000000"/>
          <w:sz w:val="28"/>
          <w:szCs w:val="28"/>
        </w:rPr>
        <w:t>基金</w:t>
      </w:r>
      <w:r>
        <w:rPr>
          <w:rFonts w:ascii="仿宋" w:eastAsia="仿宋" w:hAnsi="仿宋" w:hint="eastAsia"/>
          <w:color w:val="000000"/>
          <w:sz w:val="28"/>
          <w:szCs w:val="28"/>
        </w:rPr>
        <w:t>清算过程中发生的所有合理费用，清算费用由</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财产清算小组优先从</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财产中支付。</w:t>
      </w:r>
    </w:p>
    <w:p w14:paraId="168F4100" w14:textId="3A9D1F5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财产按下列顺序清偿：</w:t>
      </w:r>
    </w:p>
    <w:p w14:paraId="10BD6862"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4D5A20BD"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15A6C1CA" w14:textId="38C7CFA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（3）清偿</w:t>
      </w:r>
      <w:r w:rsidR="007619C1">
        <w:rPr>
          <w:rFonts w:ascii="仿宋" w:eastAsia="仿宋" w:hAnsi="仿宋" w:hint="eastAsia"/>
          <w:color w:val="000000"/>
          <w:sz w:val="28"/>
          <w:szCs w:val="28"/>
        </w:rPr>
        <w:t>基金</w:t>
      </w:r>
      <w:r>
        <w:rPr>
          <w:rFonts w:ascii="仿宋" w:eastAsia="仿宋" w:hAnsi="仿宋" w:hint="eastAsia"/>
          <w:color w:val="000000"/>
          <w:sz w:val="28"/>
          <w:szCs w:val="28"/>
        </w:rPr>
        <w:t>债务；</w:t>
      </w:r>
    </w:p>
    <w:p w14:paraId="39650EAB" w14:textId="45E7E8F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（4）按</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份额持有人持有的</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份额比例进行分配。</w:t>
      </w:r>
    </w:p>
    <w:p w14:paraId="74F07702" w14:textId="3EE55A79" w:rsidR="009C2B7D" w:rsidRDefault="007619C1">
      <w:pPr>
        <w:pStyle w:val="21"/>
        <w:rPr>
          <w:rFonts w:ascii="仿宋" w:eastAsia="仿宋" w:hAnsi="仿宋"/>
          <w:color w:val="000000"/>
          <w:sz w:val="28"/>
          <w:szCs w:val="28"/>
        </w:rPr>
      </w:pPr>
      <w:r>
        <w:rPr>
          <w:rFonts w:ascii="仿宋" w:eastAsia="仿宋" w:hAnsi="仿宋" w:hint="eastAsia"/>
          <w:color w:val="000000"/>
          <w:sz w:val="28"/>
          <w:szCs w:val="28"/>
        </w:rPr>
        <w:t>基金</w:t>
      </w:r>
      <w:r w:rsidR="007561E0">
        <w:rPr>
          <w:rFonts w:ascii="仿宋" w:eastAsia="仿宋" w:hAnsi="仿宋" w:hint="eastAsia"/>
          <w:color w:val="000000"/>
          <w:sz w:val="28"/>
          <w:szCs w:val="28"/>
        </w:rPr>
        <w:t>财产未按前款（1）－（3）项规定清偿前，不分配给</w:t>
      </w:r>
      <w:r>
        <w:rPr>
          <w:rFonts w:ascii="仿宋" w:eastAsia="仿宋" w:hAnsi="仿宋" w:hint="eastAsia"/>
          <w:color w:val="000000"/>
          <w:sz w:val="28"/>
          <w:szCs w:val="28"/>
        </w:rPr>
        <w:t>基金</w:t>
      </w:r>
      <w:r w:rsidR="007561E0">
        <w:rPr>
          <w:rFonts w:ascii="仿宋" w:eastAsia="仿宋" w:hAnsi="仿宋" w:hint="eastAsia"/>
          <w:color w:val="000000"/>
          <w:sz w:val="28"/>
          <w:szCs w:val="28"/>
        </w:rPr>
        <w:t>份额持有人。</w:t>
      </w:r>
    </w:p>
    <w:p w14:paraId="48126D1B" w14:textId="7FCC9EF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财产清算的公告：</w:t>
      </w:r>
    </w:p>
    <w:p w14:paraId="05F07583" w14:textId="6B0AEB7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财产清算报告经符合《证券法》规定的会计师事务所审计并由律师事务所出具法律意见书后报中国证监会备案并公告。</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财产清算公告于</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财产清算报告报中国证监会备案后5个工作日内由</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财产清算小组进行公告。</w:t>
      </w:r>
    </w:p>
    <w:p w14:paraId="74D8C7C0" w14:textId="1CF8028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财产清算账册及文件的保存</w:t>
      </w:r>
    </w:p>
    <w:p w14:paraId="3B74148D" w14:textId="3A100FB7" w:rsidR="009C2B7D" w:rsidRDefault="007619C1">
      <w:pPr>
        <w:pStyle w:val="21"/>
        <w:rPr>
          <w:rFonts w:ascii="仿宋" w:eastAsia="仿宋" w:hAnsi="仿宋"/>
          <w:color w:val="000000"/>
          <w:sz w:val="28"/>
          <w:szCs w:val="28"/>
        </w:rPr>
      </w:pPr>
      <w:bookmarkStart w:id="74" w:name="_Toc296551353"/>
      <w:r>
        <w:rPr>
          <w:rFonts w:ascii="仿宋" w:eastAsia="仿宋" w:hAnsi="仿宋" w:hint="eastAsia"/>
          <w:color w:val="000000"/>
          <w:sz w:val="28"/>
          <w:szCs w:val="28"/>
        </w:rPr>
        <w:t>基金</w:t>
      </w:r>
      <w:r w:rsidR="007561E0">
        <w:rPr>
          <w:rFonts w:ascii="仿宋" w:eastAsia="仿宋" w:hAnsi="仿宋" w:hint="eastAsia"/>
          <w:color w:val="000000"/>
          <w:sz w:val="28"/>
          <w:szCs w:val="28"/>
        </w:rPr>
        <w:t>财产清算账册及有关文件由</w:t>
      </w:r>
      <w:r>
        <w:rPr>
          <w:rFonts w:ascii="仿宋" w:eastAsia="仿宋" w:hAnsi="仿宋" w:hint="eastAsia"/>
          <w:color w:val="000000"/>
          <w:sz w:val="28"/>
          <w:szCs w:val="28"/>
        </w:rPr>
        <w:t>基金</w:t>
      </w:r>
      <w:r w:rsidR="007561E0">
        <w:rPr>
          <w:rFonts w:ascii="仿宋" w:eastAsia="仿宋" w:hAnsi="仿宋" w:hint="eastAsia"/>
          <w:color w:val="000000"/>
          <w:sz w:val="28"/>
          <w:szCs w:val="28"/>
        </w:rPr>
        <w:t>托管人保存</w:t>
      </w:r>
      <w:r w:rsidR="007561E0">
        <w:rPr>
          <w:rFonts w:ascii="仿宋" w:eastAsia="仿宋" w:hAnsi="仿宋"/>
          <w:color w:val="000000"/>
          <w:sz w:val="28"/>
          <w:szCs w:val="28"/>
        </w:rPr>
        <w:t>至少20年</w:t>
      </w:r>
      <w:r w:rsidR="007561E0">
        <w:rPr>
          <w:rFonts w:ascii="仿宋" w:eastAsia="仿宋" w:hAnsi="仿宋" w:hint="eastAsia"/>
          <w:color w:val="000000"/>
          <w:sz w:val="28"/>
          <w:szCs w:val="28"/>
        </w:rPr>
        <w:t>，法律法规另有规定的从其规定。</w:t>
      </w:r>
    </w:p>
    <w:p w14:paraId="6F452C2D" w14:textId="77777777" w:rsidR="009C2B7D" w:rsidRDefault="009C2B7D">
      <w:pPr>
        <w:pStyle w:val="1"/>
        <w:rPr>
          <w:rFonts w:ascii="仿宋" w:eastAsia="仿宋" w:hAnsi="仿宋"/>
          <w:bCs/>
          <w:sz w:val="28"/>
          <w:szCs w:val="28"/>
        </w:rPr>
        <w:sectPr w:rsidR="009C2B7D">
          <w:footerReference w:type="default" r:id="rId38"/>
          <w:footerReference w:type="first" r:id="rId39"/>
          <w:pgSz w:w="11907" w:h="16840"/>
          <w:pgMar w:top="1361" w:right="1452" w:bottom="1134" w:left="1452" w:header="720" w:footer="720" w:gutter="0"/>
          <w:cols w:space="720"/>
          <w:docGrid w:linePitch="286"/>
        </w:sectPr>
      </w:pPr>
    </w:p>
    <w:p w14:paraId="4BBCBB13" w14:textId="77777777" w:rsidR="009C2B7D" w:rsidRDefault="007561E0">
      <w:pPr>
        <w:pStyle w:val="1"/>
        <w:rPr>
          <w:rFonts w:ascii="仿宋" w:eastAsia="仿宋" w:hAnsi="仿宋"/>
          <w:bCs/>
          <w:sz w:val="28"/>
          <w:szCs w:val="28"/>
        </w:rPr>
      </w:pPr>
      <w:bookmarkStart w:id="75" w:name="_Toc30497"/>
      <w:bookmarkStart w:id="76" w:name="_Toc532912138"/>
      <w:r>
        <w:rPr>
          <w:rFonts w:ascii="仿宋" w:eastAsia="仿宋" w:hAnsi="仿宋" w:hint="eastAsia"/>
          <w:bCs/>
          <w:sz w:val="28"/>
          <w:szCs w:val="28"/>
        </w:rPr>
        <w:t>第十七条 违约责任</w:t>
      </w:r>
      <w:bookmarkEnd w:id="74"/>
      <w:bookmarkEnd w:id="75"/>
      <w:bookmarkEnd w:id="76"/>
    </w:p>
    <w:p w14:paraId="2261A424" w14:textId="5939504D"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17.1如果</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托管人不履行本协议或者履行本协议不符合约定的，应当承担违约责任。</w:t>
      </w:r>
    </w:p>
    <w:p w14:paraId="16E2C38F" w14:textId="518977D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17.2</w:t>
      </w:r>
      <w:r w:rsidR="00312DBF" w:rsidRPr="008C19C2">
        <w:rPr>
          <w:rFonts w:ascii="仿宋" w:eastAsia="仿宋" w:hAnsi="仿宋" w:hint="eastAsia"/>
          <w:color w:val="000000"/>
          <w:sz w:val="28"/>
          <w:szCs w:val="28"/>
        </w:rPr>
        <w:t>基金管理人、基金托管人在履行各自职责的过程中，违反《基金法》等法律法规的规定</w:t>
      </w:r>
      <w:r w:rsidR="00367657">
        <w:rPr>
          <w:rFonts w:ascii="仿宋" w:eastAsia="仿宋" w:hAnsi="仿宋" w:hint="eastAsia"/>
          <w:color w:val="000000"/>
          <w:sz w:val="28"/>
          <w:szCs w:val="28"/>
        </w:rPr>
        <w:t>、</w:t>
      </w:r>
      <w:r w:rsidR="00312DBF" w:rsidRPr="008C19C2">
        <w:rPr>
          <w:rFonts w:ascii="仿宋" w:eastAsia="仿宋" w:hAnsi="仿宋" w:hint="eastAsia"/>
          <w:color w:val="000000"/>
          <w:sz w:val="28"/>
          <w:szCs w:val="28"/>
        </w:rPr>
        <w:t>《基金合同》</w:t>
      </w:r>
      <w:r w:rsidR="00367657">
        <w:rPr>
          <w:rFonts w:ascii="仿宋" w:eastAsia="仿宋" w:hAnsi="仿宋" w:hint="eastAsia"/>
          <w:color w:val="000000"/>
          <w:sz w:val="28"/>
          <w:szCs w:val="28"/>
        </w:rPr>
        <w:t>和托管协议</w:t>
      </w:r>
      <w:r w:rsidR="00312DBF" w:rsidRPr="008C19C2">
        <w:rPr>
          <w:rFonts w:ascii="仿宋" w:eastAsia="仿宋" w:hAnsi="仿宋" w:hint="eastAsia"/>
          <w:color w:val="000000"/>
          <w:sz w:val="28"/>
          <w:szCs w:val="28"/>
        </w:rPr>
        <w:t>约定，给基金财产或者基金份额持有人造成损害的，应当分别对各自的行为依法承担赔偿责任；因共同行为给基金财产或者基金份额持有人造成损害的，应当承担连带赔偿责任</w:t>
      </w:r>
      <w:r w:rsidR="00312DBF">
        <w:rPr>
          <w:rFonts w:ascii="仿宋" w:eastAsia="仿宋" w:hAnsi="仿宋" w:hint="eastAsia"/>
          <w:color w:val="000000"/>
          <w:sz w:val="28"/>
          <w:szCs w:val="28"/>
        </w:rPr>
        <w:t>，对损失的赔偿，仅限于直接损失。但是发生下列情况，当事人免责</w:t>
      </w:r>
      <w:r>
        <w:rPr>
          <w:rFonts w:ascii="仿宋" w:eastAsia="仿宋" w:hAnsi="仿宋" w:hint="eastAsia"/>
          <w:color w:val="000000"/>
          <w:sz w:val="28"/>
          <w:szCs w:val="28"/>
        </w:rPr>
        <w:t>：</w:t>
      </w:r>
    </w:p>
    <w:p w14:paraId="14750D8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6995DACC" w14:textId="7A9CBB02"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管理人和/或</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托管人按照届时有效的法律法规或中国证监会的规定作为或不作为而造成的损失等；</w:t>
      </w:r>
    </w:p>
    <w:p w14:paraId="34F7B8A0" w14:textId="667101F8"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（3）</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管理人由于按照</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合同规定的投资原则行使或不行使其投资权而造成的损失等。</w:t>
      </w:r>
    </w:p>
    <w:p w14:paraId="1E7296E9" w14:textId="54F96A35"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财产或</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投资人造成损失，另一方当事人（以下简称“守约方”）有权利并且有义务代表</w:t>
      </w:r>
      <w:r w:rsidR="007619C1">
        <w:rPr>
          <w:rFonts w:ascii="仿宋" w:eastAsia="仿宋" w:hAnsi="仿宋" w:hint="eastAsia"/>
          <w:color w:val="000000"/>
          <w:sz w:val="28"/>
          <w:szCs w:val="28"/>
        </w:rPr>
        <w:t>基金</w:t>
      </w:r>
      <w:r>
        <w:rPr>
          <w:rFonts w:ascii="仿宋" w:eastAsia="仿宋" w:hAnsi="仿宋" w:hint="eastAsia"/>
          <w:color w:val="000000"/>
          <w:sz w:val="28"/>
          <w:szCs w:val="28"/>
        </w:rPr>
        <w:t>对违约方进行追偿；如果由于违约方的违约行为导致守约方赔偿了该</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财产或</w:t>
      </w:r>
      <w:r w:rsidR="007619C1">
        <w:rPr>
          <w:rFonts w:ascii="仿宋" w:eastAsia="仿宋" w:hAnsi="仿宋" w:hint="eastAsia"/>
          <w:color w:val="000000"/>
          <w:sz w:val="28"/>
          <w:szCs w:val="28"/>
        </w:rPr>
        <w:t>基金</w:t>
      </w:r>
      <w:r>
        <w:rPr>
          <w:rFonts w:ascii="仿宋" w:eastAsia="仿宋" w:hAnsi="仿宋" w:hint="eastAsia"/>
          <w:color w:val="000000"/>
          <w:sz w:val="28"/>
          <w:szCs w:val="28"/>
        </w:rPr>
        <w:t>投资人所遭受的损失，则守约方有权向违约方追索，违约方应赔偿和补偿守约方由此发生的所有成本、费用和支出，以及由此遭受的损失。</w:t>
      </w:r>
    </w:p>
    <w:p w14:paraId="2D1438BF"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BD1B187" w14:textId="510E3A0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份额持有人利益的前提下，</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托管人应当继续履行本协议。</w:t>
      </w:r>
    </w:p>
    <w:p w14:paraId="36948673" w14:textId="4E0BD206"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17.6由于</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托管人不可控制的因素导致业务出现差错，</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托管人虽然已经采取必要、适当、合理的措施进行检查，但是未能发现错误的，由此造成</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财产或投资人损失，</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托管人免除赔偿责任。但是</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30559964" w14:textId="5EEA5FED" w:rsidR="00312DBF" w:rsidRDefault="00312DBF">
      <w:pPr>
        <w:pStyle w:val="21"/>
        <w:rPr>
          <w:rFonts w:ascii="仿宋" w:eastAsia="仿宋" w:hAnsi="仿宋"/>
          <w:color w:val="000000"/>
          <w:sz w:val="28"/>
          <w:szCs w:val="28"/>
        </w:rPr>
      </w:pPr>
      <w:r>
        <w:rPr>
          <w:rFonts w:ascii="仿宋" w:eastAsia="仿宋" w:hAnsi="仿宋" w:hint="eastAsia"/>
          <w:color w:val="000000"/>
          <w:sz w:val="28"/>
          <w:szCs w:val="28"/>
        </w:rPr>
        <w:t>17.7本协议所指损失均为直接损失。</w:t>
      </w:r>
    </w:p>
    <w:p w14:paraId="7AF6ADBC" w14:textId="77777777" w:rsidR="009C2B7D" w:rsidRDefault="009C2B7D">
      <w:pPr>
        <w:pStyle w:val="21"/>
        <w:rPr>
          <w:rFonts w:ascii="仿宋" w:eastAsia="仿宋" w:hAnsi="仿宋"/>
          <w:color w:val="000000"/>
          <w:sz w:val="28"/>
          <w:szCs w:val="28"/>
        </w:rPr>
      </w:pPr>
    </w:p>
    <w:p w14:paraId="6473FBD5" w14:textId="77777777" w:rsidR="009C2B7D" w:rsidRDefault="009C2B7D">
      <w:pPr>
        <w:pStyle w:val="1"/>
        <w:rPr>
          <w:rFonts w:ascii="仿宋" w:eastAsia="仿宋" w:hAnsi="仿宋"/>
          <w:bCs/>
          <w:sz w:val="28"/>
          <w:szCs w:val="28"/>
        </w:rPr>
        <w:sectPr w:rsidR="009C2B7D">
          <w:footerReference w:type="default" r:id="rId40"/>
          <w:footerReference w:type="first" r:id="rId41"/>
          <w:pgSz w:w="11907" w:h="16840"/>
          <w:pgMar w:top="1361" w:right="1452" w:bottom="1134" w:left="1452" w:header="720" w:footer="720" w:gutter="0"/>
          <w:cols w:space="720"/>
          <w:docGrid w:linePitch="286"/>
        </w:sectPr>
      </w:pPr>
      <w:bookmarkStart w:id="77" w:name="_Toc296551354"/>
    </w:p>
    <w:p w14:paraId="50910201" w14:textId="77777777" w:rsidR="009C2B7D" w:rsidRDefault="007561E0">
      <w:pPr>
        <w:pStyle w:val="1"/>
        <w:rPr>
          <w:rFonts w:ascii="仿宋" w:eastAsia="仿宋" w:hAnsi="仿宋"/>
          <w:bCs/>
          <w:sz w:val="28"/>
          <w:szCs w:val="28"/>
        </w:rPr>
      </w:pPr>
      <w:bookmarkStart w:id="78" w:name="_Toc22766"/>
      <w:bookmarkStart w:id="79" w:name="_Toc532912139"/>
      <w:r>
        <w:rPr>
          <w:rFonts w:ascii="仿宋" w:eastAsia="仿宋" w:hAnsi="仿宋" w:hint="eastAsia"/>
          <w:bCs/>
          <w:sz w:val="28"/>
          <w:szCs w:val="28"/>
        </w:rPr>
        <w:t>第十八条 争议解决方式</w:t>
      </w:r>
      <w:bookmarkEnd w:id="77"/>
      <w:bookmarkEnd w:id="78"/>
      <w:bookmarkEnd w:id="79"/>
    </w:p>
    <w:p w14:paraId="6606C238"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2C55C0BA" w14:textId="420EB32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18.2凡因本协议产生的及与本协议有关的争议，当事人双方均应协商解决；协商不成的，应提交中国国际经济贸易仲裁委员会根据该会届时有效的仲裁规则</w:t>
      </w:r>
      <w:r w:rsidR="00312DBF" w:rsidRPr="0096028E">
        <w:rPr>
          <w:rFonts w:ascii="仿宋" w:eastAsia="仿宋" w:hAnsi="仿宋" w:hint="eastAsia"/>
          <w:color w:val="000000"/>
          <w:sz w:val="28"/>
          <w:szCs w:val="28"/>
        </w:rPr>
        <w:t>按普通程序</w:t>
      </w:r>
      <w:r>
        <w:rPr>
          <w:rFonts w:ascii="仿宋" w:eastAsia="仿宋" w:hAnsi="仿宋" w:hint="eastAsia"/>
          <w:color w:val="000000"/>
          <w:sz w:val="28"/>
          <w:szCs w:val="28"/>
        </w:rPr>
        <w:t>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70CF6600" w14:textId="293D0F3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18.3争议处理期间，相关各方当事人应恪守各自职责，继续忠实、勤勉、尽责地履行</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合同和托管协议规定的义务，维护</w:t>
      </w:r>
      <w:r w:rsidR="007619C1">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5F89044F" w14:textId="77777777" w:rsidR="009C2B7D" w:rsidRDefault="009C2B7D">
      <w:pPr>
        <w:pStyle w:val="21"/>
        <w:rPr>
          <w:rFonts w:ascii="仿宋" w:eastAsia="仿宋" w:hAnsi="仿宋"/>
          <w:color w:val="000000"/>
          <w:sz w:val="28"/>
          <w:szCs w:val="28"/>
        </w:rPr>
      </w:pPr>
    </w:p>
    <w:p w14:paraId="267743B6" w14:textId="77777777" w:rsidR="009C2B7D" w:rsidRDefault="009C2B7D">
      <w:pPr>
        <w:pStyle w:val="1"/>
        <w:rPr>
          <w:rFonts w:ascii="仿宋" w:eastAsia="仿宋" w:hAnsi="仿宋"/>
          <w:bCs/>
          <w:sz w:val="28"/>
          <w:szCs w:val="28"/>
        </w:rPr>
        <w:sectPr w:rsidR="009C2B7D">
          <w:footerReference w:type="default" r:id="rId42"/>
          <w:footerReference w:type="first" r:id="rId43"/>
          <w:pgSz w:w="11907" w:h="16840"/>
          <w:pgMar w:top="1361" w:right="1452" w:bottom="1134" w:left="1452" w:header="720" w:footer="720" w:gutter="0"/>
          <w:cols w:space="720"/>
          <w:docGrid w:linePitch="286"/>
        </w:sectPr>
      </w:pPr>
      <w:bookmarkStart w:id="80" w:name="_Toc296551355"/>
    </w:p>
    <w:p w14:paraId="486D5E01" w14:textId="267DC232" w:rsidR="009C2B7D" w:rsidRDefault="007561E0">
      <w:pPr>
        <w:pStyle w:val="1"/>
        <w:rPr>
          <w:rFonts w:ascii="仿宋" w:eastAsia="仿宋" w:hAnsi="仿宋"/>
          <w:bCs/>
          <w:sz w:val="28"/>
          <w:szCs w:val="28"/>
        </w:rPr>
      </w:pPr>
      <w:bookmarkStart w:id="81" w:name="_Toc532912140"/>
      <w:bookmarkStart w:id="82" w:name="_Toc25128"/>
      <w:r>
        <w:rPr>
          <w:rFonts w:ascii="仿宋" w:eastAsia="仿宋" w:hAnsi="仿宋" w:hint="eastAsia"/>
          <w:bCs/>
          <w:sz w:val="28"/>
          <w:szCs w:val="28"/>
        </w:rPr>
        <w:t xml:space="preserve">第十九条 </w:t>
      </w:r>
      <w:r w:rsidR="007619C1">
        <w:rPr>
          <w:rFonts w:ascii="仿宋" w:eastAsia="仿宋" w:hAnsi="仿宋" w:hint="eastAsia"/>
          <w:bCs/>
          <w:sz w:val="28"/>
          <w:szCs w:val="28"/>
        </w:rPr>
        <w:t>基金</w:t>
      </w:r>
      <w:r>
        <w:rPr>
          <w:rFonts w:ascii="仿宋" w:eastAsia="仿宋" w:hAnsi="仿宋" w:hint="eastAsia"/>
          <w:bCs/>
          <w:sz w:val="28"/>
          <w:szCs w:val="28"/>
        </w:rPr>
        <w:t>托管协议的效力</w:t>
      </w:r>
      <w:bookmarkEnd w:id="80"/>
      <w:bookmarkEnd w:id="81"/>
      <w:bookmarkEnd w:id="82"/>
    </w:p>
    <w:p w14:paraId="26BC31BE" w14:textId="159D065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19.1</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管理人向中国证监会提交的托管协议草案，应经托管协议当事人加盖公章或合同专用章以及双方法定代表人或授权</w:t>
      </w:r>
      <w:r w:rsidR="00312DBF">
        <w:rPr>
          <w:rFonts w:ascii="仿宋" w:eastAsia="仿宋" w:hAnsi="仿宋" w:hint="eastAsia"/>
          <w:color w:val="000000"/>
          <w:sz w:val="28"/>
          <w:szCs w:val="28"/>
        </w:rPr>
        <w:t>代表</w:t>
      </w:r>
      <w:r>
        <w:rPr>
          <w:rFonts w:ascii="仿宋" w:eastAsia="仿宋" w:hAnsi="仿宋" w:hint="eastAsia"/>
          <w:color w:val="000000"/>
          <w:sz w:val="28"/>
          <w:szCs w:val="28"/>
        </w:rPr>
        <w:t>签字（或盖章），协议当事人双方可能不时根据中国证监会的意见修改托管协议草案。托管协议以中国证监会</w:t>
      </w:r>
      <w:r w:rsidR="00312DBF" w:rsidRPr="00312DBF">
        <w:rPr>
          <w:rFonts w:ascii="仿宋" w:eastAsia="仿宋" w:hAnsi="仿宋" w:hint="eastAsia"/>
          <w:color w:val="000000"/>
          <w:sz w:val="28"/>
          <w:szCs w:val="28"/>
        </w:rPr>
        <w:t>变更注册</w:t>
      </w:r>
      <w:r>
        <w:rPr>
          <w:rFonts w:ascii="仿宋" w:eastAsia="仿宋" w:hAnsi="仿宋" w:hint="eastAsia"/>
          <w:color w:val="000000"/>
          <w:sz w:val="28"/>
          <w:szCs w:val="28"/>
        </w:rPr>
        <w:t>的文本为正式文本。</w:t>
      </w:r>
    </w:p>
    <w:p w14:paraId="1CCD16A6" w14:textId="3E16DD53"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19.2本协议</w:t>
      </w:r>
      <w:r w:rsidR="00312DBF" w:rsidRPr="0096028E">
        <w:rPr>
          <w:rFonts w:ascii="仿宋" w:eastAsia="仿宋" w:hAnsi="仿宋" w:hint="eastAsia"/>
          <w:color w:val="000000"/>
          <w:sz w:val="28"/>
          <w:szCs w:val="28"/>
        </w:rPr>
        <w:t>自基金合同成立时</w:t>
      </w:r>
      <w:r>
        <w:rPr>
          <w:rFonts w:ascii="仿宋" w:eastAsia="仿宋" w:hAnsi="仿宋" w:hint="eastAsia"/>
          <w:color w:val="000000"/>
          <w:sz w:val="28"/>
          <w:szCs w:val="28"/>
        </w:rPr>
        <w:t>成立，自</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合同生效之日起生效。本协议的有效期自其生效之日起至该</w:t>
      </w:r>
      <w:r w:rsidR="007619C1">
        <w:rPr>
          <w:rFonts w:ascii="仿宋" w:eastAsia="仿宋" w:hAnsi="仿宋" w:hint="eastAsia"/>
          <w:color w:val="000000"/>
          <w:sz w:val="28"/>
          <w:szCs w:val="28"/>
        </w:rPr>
        <w:t>基金</w:t>
      </w:r>
      <w:r>
        <w:rPr>
          <w:rFonts w:ascii="仿宋" w:eastAsia="仿宋" w:hAnsi="仿宋" w:hint="eastAsia"/>
          <w:color w:val="000000"/>
          <w:sz w:val="28"/>
          <w:szCs w:val="28"/>
        </w:rPr>
        <w:t>财产清算结果报中国证监会备案并公告之日止。</w:t>
      </w:r>
    </w:p>
    <w:p w14:paraId="02EAA2DE"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7E76D9D7" w14:textId="6173C35E"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19.4本协议正本一式</w:t>
      </w:r>
      <w:r w:rsidR="00312DBF">
        <w:rPr>
          <w:rFonts w:ascii="仿宋" w:eastAsia="仿宋" w:hAnsi="仿宋" w:hint="eastAsia"/>
          <w:color w:val="000000"/>
          <w:sz w:val="28"/>
          <w:szCs w:val="28"/>
        </w:rPr>
        <w:t>五</w:t>
      </w:r>
      <w:r>
        <w:rPr>
          <w:rFonts w:ascii="仿宋" w:eastAsia="仿宋" w:hAnsi="仿宋" w:hint="eastAsia"/>
          <w:color w:val="000000"/>
          <w:sz w:val="28"/>
          <w:szCs w:val="28"/>
        </w:rPr>
        <w:t>份，除上报有关监管机构</w:t>
      </w:r>
      <w:r w:rsidR="00312DBF">
        <w:rPr>
          <w:rFonts w:ascii="仿宋" w:eastAsia="仿宋" w:hAnsi="仿宋" w:hint="eastAsia"/>
          <w:color w:val="000000"/>
          <w:sz w:val="28"/>
          <w:szCs w:val="28"/>
        </w:rPr>
        <w:t>一</w:t>
      </w:r>
      <w:r>
        <w:rPr>
          <w:rFonts w:ascii="仿宋" w:eastAsia="仿宋" w:hAnsi="仿宋" w:hint="eastAsia"/>
          <w:color w:val="000000"/>
          <w:sz w:val="28"/>
          <w:szCs w:val="28"/>
        </w:rPr>
        <w:t>份外，</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托管人分别持有两份，每份具有同等的法律效力。</w:t>
      </w:r>
    </w:p>
    <w:p w14:paraId="308FF9FB" w14:textId="70752E59"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19.5本协议的约定与</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合同不一致的，以</w:t>
      </w:r>
      <w:r w:rsidR="007619C1">
        <w:rPr>
          <w:rFonts w:ascii="仿宋" w:eastAsia="仿宋" w:hAnsi="仿宋" w:hint="eastAsia"/>
          <w:color w:val="000000"/>
          <w:sz w:val="28"/>
          <w:szCs w:val="28"/>
        </w:rPr>
        <w:t>基金</w:t>
      </w:r>
      <w:r>
        <w:rPr>
          <w:rFonts w:ascii="仿宋" w:eastAsia="仿宋" w:hAnsi="仿宋" w:hint="eastAsia"/>
          <w:color w:val="000000"/>
          <w:sz w:val="28"/>
          <w:szCs w:val="28"/>
        </w:rPr>
        <w:t>合同的约定为准。</w:t>
      </w:r>
    </w:p>
    <w:p w14:paraId="1E75D9BE" w14:textId="77777777" w:rsidR="009C2B7D" w:rsidRDefault="009C2B7D">
      <w:pPr>
        <w:sectPr w:rsidR="009C2B7D">
          <w:footerReference w:type="default" r:id="rId44"/>
          <w:footerReference w:type="first" r:id="rId45"/>
          <w:pgSz w:w="11907" w:h="16840"/>
          <w:pgMar w:top="1361" w:right="1452" w:bottom="1134" w:left="1452" w:header="720" w:footer="720" w:gutter="0"/>
          <w:cols w:space="720"/>
          <w:docGrid w:linePitch="286"/>
        </w:sectPr>
      </w:pPr>
      <w:bookmarkStart w:id="83" w:name="_Toc296551356"/>
    </w:p>
    <w:p w14:paraId="2A2F1369" w14:textId="5A800471" w:rsidR="009C2B7D" w:rsidRDefault="007561E0">
      <w:pPr>
        <w:pStyle w:val="1"/>
        <w:rPr>
          <w:rFonts w:ascii="仿宋" w:eastAsia="仿宋" w:hAnsi="仿宋"/>
          <w:bCs/>
          <w:sz w:val="28"/>
          <w:szCs w:val="28"/>
        </w:rPr>
      </w:pPr>
      <w:bookmarkStart w:id="84" w:name="_Toc326"/>
      <w:bookmarkStart w:id="85" w:name="_Toc532912141"/>
      <w:r>
        <w:rPr>
          <w:rFonts w:ascii="仿宋" w:eastAsia="仿宋" w:hAnsi="仿宋" w:hint="eastAsia"/>
          <w:bCs/>
          <w:sz w:val="28"/>
          <w:szCs w:val="28"/>
        </w:rPr>
        <w:t xml:space="preserve">第二十条 </w:t>
      </w:r>
      <w:r w:rsidR="007619C1">
        <w:rPr>
          <w:rFonts w:ascii="仿宋" w:eastAsia="仿宋" w:hAnsi="仿宋" w:hint="eastAsia"/>
          <w:bCs/>
          <w:sz w:val="28"/>
          <w:szCs w:val="28"/>
        </w:rPr>
        <w:t>基金</w:t>
      </w:r>
      <w:r>
        <w:rPr>
          <w:rFonts w:ascii="仿宋" w:eastAsia="仿宋" w:hAnsi="仿宋" w:hint="eastAsia"/>
          <w:bCs/>
          <w:sz w:val="28"/>
          <w:szCs w:val="28"/>
        </w:rPr>
        <w:t>托管协议的签订</w:t>
      </w:r>
      <w:bookmarkEnd w:id="83"/>
      <w:bookmarkEnd w:id="84"/>
      <w:bookmarkEnd w:id="85"/>
    </w:p>
    <w:p w14:paraId="6B085E43" w14:textId="17D858D0"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20.1本协议经</w:t>
      </w:r>
      <w:r w:rsidR="007619C1">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619C1">
        <w:rPr>
          <w:rFonts w:ascii="仿宋" w:eastAsia="仿宋" w:hAnsi="仿宋" w:hint="eastAsia"/>
          <w:color w:val="000000"/>
          <w:sz w:val="28"/>
          <w:szCs w:val="28"/>
        </w:rPr>
        <w:t>基金</w:t>
      </w:r>
      <w:r>
        <w:rPr>
          <w:rFonts w:ascii="仿宋" w:eastAsia="仿宋" w:hAnsi="仿宋" w:hint="eastAsia"/>
          <w:color w:val="000000"/>
          <w:sz w:val="28"/>
          <w:szCs w:val="28"/>
        </w:rPr>
        <w:t>托管人认可后，由该双方当事人在本协议上加盖公章或合同专用章，并由各自的法定代表人或授权代表签字或签章，并注明本协议的签订地点和签订日期。</w:t>
      </w:r>
    </w:p>
    <w:p w14:paraId="3B15163E" w14:textId="77777777" w:rsidR="009C2B7D" w:rsidRDefault="009C2B7D">
      <w:pPr>
        <w:pStyle w:val="21"/>
        <w:rPr>
          <w:rFonts w:ascii="仿宋" w:eastAsia="仿宋" w:hAnsi="仿宋"/>
          <w:color w:val="000000"/>
          <w:sz w:val="28"/>
          <w:szCs w:val="28"/>
        </w:rPr>
      </w:pPr>
    </w:p>
    <w:p w14:paraId="33032390" w14:textId="77777777" w:rsidR="009C2B7D" w:rsidRDefault="009C2B7D">
      <w:pPr>
        <w:pStyle w:val="1"/>
        <w:rPr>
          <w:rFonts w:ascii="仿宋" w:eastAsia="仿宋" w:hAnsi="仿宋"/>
          <w:bCs/>
          <w:sz w:val="28"/>
          <w:szCs w:val="28"/>
        </w:rPr>
        <w:sectPr w:rsidR="009C2B7D">
          <w:footerReference w:type="default" r:id="rId46"/>
          <w:footerReference w:type="first" r:id="rId47"/>
          <w:pgSz w:w="11907" w:h="16840"/>
          <w:pgMar w:top="1361" w:right="1452" w:bottom="1134" w:left="1452" w:header="720" w:footer="720" w:gutter="0"/>
          <w:cols w:space="720"/>
          <w:docGrid w:linePitch="286"/>
        </w:sectPr>
      </w:pPr>
    </w:p>
    <w:p w14:paraId="1A781964" w14:textId="77777777" w:rsidR="009C2B7D" w:rsidRDefault="007561E0">
      <w:pPr>
        <w:pStyle w:val="1"/>
        <w:rPr>
          <w:rFonts w:ascii="仿宋" w:eastAsia="仿宋" w:hAnsi="仿宋"/>
          <w:bCs/>
          <w:sz w:val="28"/>
          <w:szCs w:val="28"/>
        </w:rPr>
      </w:pPr>
      <w:bookmarkStart w:id="86" w:name="_Toc24445"/>
      <w:bookmarkStart w:id="87" w:name="_GoBack"/>
      <w:bookmarkEnd w:id="87"/>
      <w:r>
        <w:rPr>
          <w:rFonts w:ascii="仿宋" w:eastAsia="仿宋" w:hAnsi="仿宋" w:hint="eastAsia"/>
          <w:bCs/>
          <w:sz w:val="28"/>
          <w:szCs w:val="28"/>
        </w:rPr>
        <w:t xml:space="preserve">第二十一条 </w:t>
      </w:r>
      <w:r>
        <w:rPr>
          <w:rFonts w:ascii="仿宋" w:eastAsia="仿宋" w:hAnsi="仿宋"/>
          <w:bCs/>
          <w:sz w:val="28"/>
          <w:szCs w:val="28"/>
        </w:rPr>
        <w:t>不可抗力</w:t>
      </w:r>
      <w:bookmarkEnd w:id="86"/>
    </w:p>
    <w:p w14:paraId="0C72CF26"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2B8192AA"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24E43D88"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63193F9B" w14:textId="77777777" w:rsidR="009C2B7D" w:rsidRDefault="007561E0">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5AA9F5CC" w14:textId="77777777" w:rsidR="009C2B7D" w:rsidRDefault="009C2B7D">
      <w:pPr>
        <w:rPr>
          <w:rFonts w:ascii="仿宋" w:eastAsia="仿宋" w:hAnsi="仿宋"/>
          <w:color w:val="000000"/>
          <w:sz w:val="28"/>
          <w:szCs w:val="28"/>
        </w:rPr>
      </w:pPr>
    </w:p>
    <w:p w14:paraId="454780CE" w14:textId="77777777" w:rsidR="009C2B7D" w:rsidRDefault="007561E0">
      <w:pPr>
        <w:rPr>
          <w:rFonts w:ascii="仿宋" w:eastAsia="仿宋" w:hAnsi="仿宋"/>
          <w:color w:val="000000"/>
          <w:sz w:val="28"/>
          <w:szCs w:val="28"/>
        </w:rPr>
      </w:pPr>
      <w:r>
        <w:rPr>
          <w:rFonts w:ascii="仿宋" w:eastAsia="仿宋" w:hAnsi="仿宋" w:hint="eastAsia"/>
          <w:color w:val="000000"/>
          <w:sz w:val="28"/>
          <w:szCs w:val="28"/>
        </w:rPr>
        <w:t>（本页以下无正文）</w:t>
      </w:r>
    </w:p>
    <w:p w14:paraId="7E97DC10" w14:textId="318CFCB0" w:rsidR="009C2B7D" w:rsidRDefault="009C2B7D">
      <w:pPr>
        <w:widowControl/>
        <w:spacing w:before="100" w:beforeAutospacing="1" w:after="100" w:afterAutospacing="1" w:line="400" w:lineRule="exact"/>
        <w:ind w:firstLine="403"/>
        <w:jc w:val="left"/>
      </w:pPr>
    </w:p>
    <w:sectPr w:rsidR="009C2B7D">
      <w:footerReference w:type="default" r:id="rId48"/>
      <w:headerReference w:type="first" r:id="rId49"/>
      <w:footerReference w:type="first" r:id="rId50"/>
      <w:pgSz w:w="11907" w:h="16840"/>
      <w:pgMar w:top="1361" w:right="1452" w:bottom="1134" w:left="14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A0975" w14:textId="77777777" w:rsidR="00174DDE" w:rsidRDefault="00174DDE">
      <w:r>
        <w:separator/>
      </w:r>
    </w:p>
  </w:endnote>
  <w:endnote w:type="continuationSeparator" w:id="0">
    <w:p w14:paraId="79F18764" w14:textId="77777777" w:rsidR="00174DDE" w:rsidRDefault="0017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A74E" w14:textId="77777777" w:rsidR="007561E0" w:rsidRDefault="007561E0">
    <w:pPr>
      <w:pStyle w:val="ad"/>
      <w:framePr w:wrap="around" w:vAnchor="text" w:hAnchor="margin" w:xAlign="center" w:y="1"/>
      <w:rPr>
        <w:rStyle w:val="af3"/>
      </w:rPr>
    </w:pPr>
    <w:r>
      <w:fldChar w:fldCharType="begin"/>
    </w:r>
    <w:r>
      <w:rPr>
        <w:rStyle w:val="af3"/>
      </w:rPr>
      <w:instrText xml:space="preserve">PAGE  </w:instrText>
    </w:r>
    <w:r>
      <w:fldChar w:fldCharType="end"/>
    </w:r>
  </w:p>
  <w:p w14:paraId="3A7460DC" w14:textId="77777777" w:rsidR="007561E0" w:rsidRDefault="007561E0">
    <w:pPr>
      <w:pStyle w:val="ad"/>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778C" w14:textId="77777777" w:rsidR="007561E0" w:rsidRDefault="007561E0">
    <w:pPr>
      <w:pStyle w:val="ad"/>
      <w:jc w:val="center"/>
    </w:pPr>
    <w:r>
      <w:rPr>
        <w:rFonts w:hint="eastAsia"/>
      </w:rPr>
      <w:t>4-3-</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6AB2" w14:textId="77777777" w:rsidR="007561E0" w:rsidRDefault="007561E0">
    <w:pPr>
      <w:pStyle w:val="ad"/>
    </w:pPr>
    <w:r>
      <w:rPr>
        <w:noProof/>
      </w:rPr>
      <mc:AlternateContent>
        <mc:Choice Requires="wps">
          <w:drawing>
            <wp:anchor distT="0" distB="0" distL="114300" distR="114300" simplePos="0" relativeHeight="251664384" behindDoc="0" locked="0" layoutInCell="1" allowOverlap="1" wp14:anchorId="16B13385" wp14:editId="2712451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CED47" w14:textId="287B20CC"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B13385" id="_x0000_t202" coordsize="21600,21600" o:spt="202" path="m,l,21600r21600,l21600,xe">
              <v:stroke joinstyle="miter"/>
              <v:path gradientshapeok="t" o:connecttype="rect"/>
            </v:shapetype>
            <v:shape id="文本框 7"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ZQIAABEFAAAOAAAAZHJzL2Uyb0RvYy54bWysVE1uEzEU3iNxB8t7OmlR2y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y/5hZQIAABEFAAAOAAAAAAAAAAAAAAAAAC4CAABkcnMvZTJvRG9j&#10;LnhtbFBLAQItABQABgAIAAAAIQBxqtG51wAAAAUBAAAPAAAAAAAAAAAAAAAAAL8EAABkcnMvZG93&#10;bnJldi54bWxQSwUGAAAAAAQABADzAAAAwwUAAAAA&#10;" filled="f" stroked="f" strokeweight=".5pt">
              <v:textbox style="mso-fit-shape-to-text:t" inset="0,0,0,0">
                <w:txbxContent>
                  <w:p w14:paraId="7CECED47" w14:textId="287B20CC"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10</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68A9" w14:textId="77777777" w:rsidR="007561E0" w:rsidRDefault="007561E0">
    <w:pPr>
      <w:pStyle w:val="ad"/>
      <w:jc w:val="center"/>
    </w:pPr>
    <w:r>
      <w:rPr>
        <w:rFonts w:hint="eastAsia"/>
      </w:rPr>
      <w:t>4-4-</w:t>
    </w: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E529" w14:textId="77777777" w:rsidR="007561E0" w:rsidRDefault="007561E0">
    <w:pPr>
      <w:pStyle w:val="ad"/>
    </w:pPr>
    <w:r>
      <w:rPr>
        <w:noProof/>
      </w:rPr>
      <mc:AlternateContent>
        <mc:Choice Requires="wps">
          <w:drawing>
            <wp:anchor distT="0" distB="0" distL="114300" distR="114300" simplePos="0" relativeHeight="251665408" behindDoc="0" locked="0" layoutInCell="1" allowOverlap="1" wp14:anchorId="02F25489" wp14:editId="25A1CDEF">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2374D" w14:textId="7C7EF19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F25489" id="_x0000_t202" coordsize="21600,21600" o:spt="202" path="m,l,21600r21600,l21600,xe">
              <v:stroke joinstyle="miter"/>
              <v:path gradientshapeok="t" o:connecttype="rect"/>
            </v:shapetype>
            <v:shape id="文本框 8"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8FyOZkAgAAEQUAAA4AAAAAAAAAAAAAAAAALgIAAGRycy9lMm9Eb2Mu&#10;eG1sUEsBAi0AFAAGAAgAAAAhAHGq0bnXAAAABQEAAA8AAAAAAAAAAAAAAAAAvgQAAGRycy9kb3du&#10;cmV2LnhtbFBLBQYAAAAABAAEAPMAAADCBQAAAAA=&#10;" filled="f" stroked="f" strokeweight=".5pt">
              <v:textbox style="mso-fit-shape-to-text:t" inset="0,0,0,0">
                <w:txbxContent>
                  <w:p w14:paraId="45F2374D" w14:textId="7C7EF19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14</w:t>
                    </w:r>
                    <w:r>
                      <w:rPr>
                        <w:rFonts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78512" w14:textId="77777777" w:rsidR="007561E0" w:rsidRDefault="007561E0">
    <w:pPr>
      <w:pStyle w:val="ad"/>
      <w:jc w:val="center"/>
    </w:pPr>
    <w:r>
      <w:rPr>
        <w:rFonts w:hint="eastAsia"/>
      </w:rPr>
      <w:t>4-6-</w:t>
    </w:r>
    <w:r>
      <w:rPr>
        <w:lang w:val="zh-CN"/>
      </w:rPr>
      <w:fldChar w:fldCharType="begin"/>
    </w:r>
    <w:r>
      <w:rPr>
        <w:lang w:val="zh-CN"/>
      </w:rPr>
      <w:instrText xml:space="preserve"> PAGE   \* MERGEFORMAT </w:instrText>
    </w:r>
    <w:r>
      <w:rPr>
        <w:lang w:val="zh-CN"/>
      </w:rPr>
      <w:fldChar w:fldCharType="separate"/>
    </w:r>
    <w:r>
      <w:rPr>
        <w:lang w:val="zh-CN"/>
      </w:rPr>
      <w:t>18</w:t>
    </w:r>
    <w:r>
      <w:rPr>
        <w:lang w:val="zh-C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DCEE" w14:textId="77777777" w:rsidR="007561E0" w:rsidRDefault="007561E0">
    <w:pPr>
      <w:pStyle w:val="ad"/>
    </w:pPr>
    <w:r>
      <w:rPr>
        <w:noProof/>
      </w:rPr>
      <mc:AlternateContent>
        <mc:Choice Requires="wps">
          <w:drawing>
            <wp:anchor distT="0" distB="0" distL="114300" distR="114300" simplePos="0" relativeHeight="251666432" behindDoc="0" locked="0" layoutInCell="1" allowOverlap="1" wp14:anchorId="4B660C36" wp14:editId="24EF61E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1F7B9" w14:textId="00F794AB"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660C36" id="_x0000_t202" coordsize="21600,21600" o:spt="202" path="m,l,21600r21600,l21600,xe">
              <v:stroke joinstyle="miter"/>
              <v:path gradientshapeok="t" o:connecttype="rect"/>
            </v:shapetype>
            <v:shape id="文本框 9" o:sp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AZQIAABEFAAAOAAAAZHJzL2Uyb0RvYy54bWysVE1uEzEU3iNxB8t7OmkRJY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yKw06D&#10;4MYhR25iKLZIaWNUjmDcO6XRfak5X5S5U6cmsLXAxAgplUul3RIJ1tlKI+1jHLf22VWVmXyM886j&#10;ZCaXds62dRRKvw/Kbj6NJevBfkRg6DtDkPplX2h/O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v7GAZQIAABEFAAAOAAAAAAAAAAAAAAAAAC4CAABkcnMvZTJvRG9j&#10;LnhtbFBLAQItABQABgAIAAAAIQBxqtG51wAAAAUBAAAPAAAAAAAAAAAAAAAAAL8EAABkcnMvZG93&#10;bnJldi54bWxQSwUGAAAAAAQABADzAAAAwwUAAAAA&#10;" filled="f" stroked="f" strokeweight=".5pt">
              <v:textbox style="mso-fit-shape-to-text:t" inset="0,0,0,0">
                <w:txbxContent>
                  <w:p w14:paraId="5981F7B9" w14:textId="00F794AB"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17</w:t>
                    </w:r>
                    <w:r>
                      <w:rPr>
                        <w:rFonts w:hint="eastAsia"/>
                      </w:rP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4172" w14:textId="77777777" w:rsidR="007561E0" w:rsidRDefault="007561E0">
    <w:pPr>
      <w:pStyle w:val="ad"/>
      <w:jc w:val="center"/>
    </w:pPr>
    <w:r>
      <w:rPr>
        <w:rFonts w:hint="eastAsia"/>
      </w:rPr>
      <w:t>4-8-</w:t>
    </w:r>
    <w:r>
      <w:rPr>
        <w:lang w:val="zh-CN"/>
      </w:rPr>
      <w:fldChar w:fldCharType="begin"/>
    </w:r>
    <w:r>
      <w:rPr>
        <w:lang w:val="zh-CN"/>
      </w:rPr>
      <w:instrText xml:space="preserve"> PAGE   \* MERGEFORMAT </w:instrText>
    </w:r>
    <w:r>
      <w:rPr>
        <w:lang w:val="zh-CN"/>
      </w:rPr>
      <w:fldChar w:fldCharType="separate"/>
    </w:r>
    <w:r>
      <w:rPr>
        <w:lang w:val="zh-CN"/>
      </w:rPr>
      <w:t>24</w:t>
    </w:r>
    <w:r>
      <w:rPr>
        <w:lang w:val="zh-CN"/>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40C1" w14:textId="77777777" w:rsidR="007561E0" w:rsidRDefault="007561E0">
    <w:pPr>
      <w:pStyle w:val="ad"/>
    </w:pPr>
    <w:r>
      <w:rPr>
        <w:noProof/>
      </w:rPr>
      <mc:AlternateContent>
        <mc:Choice Requires="wps">
          <w:drawing>
            <wp:anchor distT="0" distB="0" distL="114300" distR="114300" simplePos="0" relativeHeight="251667456" behindDoc="0" locked="0" layoutInCell="1" allowOverlap="1" wp14:anchorId="0E8C0FE0" wp14:editId="2E49AAE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C5795" w14:textId="486C3A12"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8C0FE0" id="_x0000_t202" coordsize="21600,21600" o:spt="202" path="m,l,21600r21600,l21600,xe">
              <v:stroke joinstyle="miter"/>
              <v:path gradientshapeok="t" o:connecttype="rect"/>
            </v:shapetype>
            <v:shape id="文本框 10" o:spid="_x0000_s1034"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rgHG2MCAAATBQAADgAAAAAAAAAAAAAAAAAuAgAAZHJzL2Uyb0RvYy54&#10;bWxQSwECLQAUAAYACAAAACEAcarRudcAAAAFAQAADwAAAAAAAAAAAAAAAAC9BAAAZHJzL2Rvd25y&#10;ZXYueG1sUEsFBgAAAAAEAAQA8wAAAMEFAAAAAA==&#10;" filled="f" stroked="f" strokeweight=".5pt">
              <v:textbox style="mso-fit-shape-to-text:t" inset="0,0,0,0">
                <w:txbxContent>
                  <w:p w14:paraId="047C5795" w14:textId="486C3A12"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21</w:t>
                    </w:r>
                    <w:r>
                      <w:rPr>
                        <w:rFonts w:hint="eastAsia"/>
                      </w:rP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BF37" w14:textId="77777777" w:rsidR="007561E0" w:rsidRDefault="007561E0">
    <w:pPr>
      <w:pStyle w:val="ad"/>
    </w:pPr>
    <w:r>
      <w:rPr>
        <w:noProof/>
      </w:rPr>
      <mc:AlternateContent>
        <mc:Choice Requires="wps">
          <w:drawing>
            <wp:anchor distT="0" distB="0" distL="114300" distR="114300" simplePos="0" relativeHeight="251668480" behindDoc="0" locked="0" layoutInCell="1" allowOverlap="1" wp14:anchorId="5B2DAE3D" wp14:editId="028249F5">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E0E71" w14:textId="4A6E0CE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2DAE3D" id="_x0000_t202" coordsize="21600,21600" o:spt="202" path="m,l,21600r21600,l21600,xe">
              <v:stroke joinstyle="miter"/>
              <v:path gradientshapeok="t" o:connecttype="rect"/>
            </v:shapetype>
            <v:shape id="文本框 11" o:spid="_x0000_s1035"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zq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YtJMdhr&#10;4Nw4xMhFDMkWKW2Myh6Me6c06i8554syeerMBLYWmBkhpXKplFs8AZ1RGmEfY7jDZ1NVpvIxxnuL&#10;Eplc2hvb1lEo9T5Iu/k0pqwH/MjAUHemIPXLvjT+5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uXUzqZQIAABMFAAAOAAAAAAAAAAAAAAAAAC4CAABkcnMvZTJvRG9j&#10;LnhtbFBLAQItABQABgAIAAAAIQBxqtG51wAAAAUBAAAPAAAAAAAAAAAAAAAAAL8EAABkcnMvZG93&#10;bnJldi54bWxQSwUGAAAAAAQABADzAAAAwwUAAAAA&#10;" filled="f" stroked="f" strokeweight=".5pt">
              <v:textbox style="mso-fit-shape-to-text:t" inset="0,0,0,0">
                <w:txbxContent>
                  <w:p w14:paraId="66CE0E71" w14:textId="4A6E0CE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23</w:t>
                    </w:r>
                    <w:r>
                      <w:rPr>
                        <w:rFonts w:hint="eastAsia"/>
                      </w:rP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E675" w14:textId="77777777" w:rsidR="007561E0" w:rsidRDefault="007561E0">
    <w:pPr>
      <w:pStyle w:val="ad"/>
      <w:jc w:val="center"/>
    </w:pPr>
    <w:r>
      <w:rPr>
        <w:rFonts w:hint="eastAsia"/>
      </w:rPr>
      <w:t>4-9-</w:t>
    </w:r>
    <w:r>
      <w:rPr>
        <w:lang w:val="zh-CN"/>
      </w:rPr>
      <w:fldChar w:fldCharType="begin"/>
    </w:r>
    <w:r>
      <w:rPr>
        <w:lang w:val="zh-CN"/>
      </w:rPr>
      <w:instrText xml:space="preserve"> PAGE   \* MERGEFORMAT </w:instrText>
    </w:r>
    <w:r>
      <w:rPr>
        <w:lang w:val="zh-CN"/>
      </w:rPr>
      <w:fldChar w:fldCharType="separate"/>
    </w:r>
    <w:r>
      <w:rPr>
        <w:lang w:val="zh-CN"/>
      </w:rPr>
      <w:t>28</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E981" w14:textId="77777777" w:rsidR="007561E0" w:rsidRDefault="007561E0">
    <w:pPr>
      <w:pStyle w:val="ad"/>
      <w:jc w:val="cen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3CE9" w14:textId="77777777" w:rsidR="007561E0" w:rsidRDefault="007561E0">
    <w:pPr>
      <w:pStyle w:val="ad"/>
    </w:pPr>
    <w:r>
      <w:rPr>
        <w:noProof/>
      </w:rPr>
      <mc:AlternateContent>
        <mc:Choice Requires="wps">
          <w:drawing>
            <wp:anchor distT="0" distB="0" distL="114300" distR="114300" simplePos="0" relativeHeight="251669504" behindDoc="0" locked="0" layoutInCell="1" allowOverlap="1" wp14:anchorId="5B5BEFC7" wp14:editId="710A92D6">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38588" w14:textId="14C10E0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5BEFC7" id="_x0000_t202" coordsize="21600,21600" o:spt="202" path="m,l,21600r21600,l21600,xe">
              <v:stroke joinstyle="miter"/>
              <v:path gradientshapeok="t" o:connecttype="rect"/>
            </v:shapetype>
            <v:shape id="文本框 12" o:spid="_x0000_s103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vS1FWMCAAAUBQAADgAAAAAAAAAAAAAAAAAuAgAAZHJzL2Uyb0RvYy54&#10;bWxQSwECLQAUAAYACAAAACEAcarRudcAAAAFAQAADwAAAAAAAAAAAAAAAAC9BAAAZHJzL2Rvd25y&#10;ZXYueG1sUEsFBgAAAAAEAAQA8wAAAMEFAAAAAA==&#10;" filled="f" stroked="f" strokeweight=".5pt">
              <v:textbox style="mso-fit-shape-to-text:t" inset="0,0,0,0">
                <w:txbxContent>
                  <w:p w14:paraId="2D538588" w14:textId="14C10E0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25</w:t>
                    </w:r>
                    <w:r>
                      <w:rPr>
                        <w:rFonts w:hint="eastAsia"/>
                      </w:rP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A5750" w14:textId="77777777" w:rsidR="007561E0" w:rsidRDefault="007561E0">
    <w:pPr>
      <w:pStyle w:val="ad"/>
      <w:jc w:val="center"/>
    </w:pPr>
    <w:r>
      <w:rPr>
        <w:rFonts w:hint="eastAsia"/>
      </w:rPr>
      <w:t>4-10-</w:t>
    </w:r>
    <w:r>
      <w:rPr>
        <w:lang w:val="zh-CN"/>
      </w:rPr>
      <w:fldChar w:fldCharType="begin"/>
    </w:r>
    <w:r>
      <w:rPr>
        <w:lang w:val="zh-CN"/>
      </w:rPr>
      <w:instrText xml:space="preserve"> PAGE   \* MERGEFORMAT </w:instrText>
    </w:r>
    <w:r>
      <w:rPr>
        <w:lang w:val="zh-CN"/>
      </w:rPr>
      <w:fldChar w:fldCharType="separate"/>
    </w:r>
    <w:r>
      <w:rPr>
        <w:lang w:val="zh-CN"/>
      </w:rPr>
      <w:t>29</w:t>
    </w:r>
    <w:r>
      <w:rPr>
        <w:lang w:val="zh-CN"/>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BAAB" w14:textId="77777777" w:rsidR="007561E0" w:rsidRDefault="007561E0">
    <w:pPr>
      <w:pStyle w:val="ad"/>
    </w:pPr>
    <w:r>
      <w:rPr>
        <w:noProof/>
      </w:rPr>
      <mc:AlternateContent>
        <mc:Choice Requires="wps">
          <w:drawing>
            <wp:anchor distT="0" distB="0" distL="114300" distR="114300" simplePos="0" relativeHeight="251670528" behindDoc="0" locked="0" layoutInCell="1" allowOverlap="1" wp14:anchorId="3DB02204" wp14:editId="2915BA1D">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1E379" w14:textId="16025E0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B02204" id="_x0000_t202" coordsize="21600,21600" o:spt="202" path="m,l,21600r21600,l21600,xe">
              <v:stroke joinstyle="miter"/>
              <v:path gradientshapeok="t" o:connecttype="rect"/>
            </v:shapetype>
            <v:shape id="文本框 13" o:spid="_x0000_s103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A3FU2MCAAAUBQAADgAAAAAAAAAAAAAAAAAuAgAAZHJzL2Uyb0RvYy54&#10;bWxQSwECLQAUAAYACAAAACEAcarRudcAAAAFAQAADwAAAAAAAAAAAAAAAAC9BAAAZHJzL2Rvd25y&#10;ZXYueG1sUEsFBgAAAAAEAAQA8wAAAMEFAAAAAA==&#10;" filled="f" stroked="f" strokeweight=".5pt">
              <v:textbox style="mso-fit-shape-to-text:t" inset="0,0,0,0">
                <w:txbxContent>
                  <w:p w14:paraId="5F41E379" w14:textId="16025E0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27</w:t>
                    </w:r>
                    <w:r>
                      <w:rPr>
                        <w:rFonts w:hint="eastAsia"/>
                      </w:rP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8BC9" w14:textId="77777777" w:rsidR="007561E0" w:rsidRDefault="007561E0">
    <w:pPr>
      <w:pStyle w:val="ad"/>
      <w:jc w:val="center"/>
    </w:pPr>
    <w:r>
      <w:rPr>
        <w:rFonts w:hint="eastAsia"/>
      </w:rPr>
      <w:t>4-12-</w:t>
    </w:r>
    <w:r>
      <w:rPr>
        <w:lang w:val="zh-CN"/>
      </w:rPr>
      <w:fldChar w:fldCharType="begin"/>
    </w:r>
    <w:r>
      <w:rPr>
        <w:lang w:val="zh-CN"/>
      </w:rPr>
      <w:instrText xml:space="preserve"> PAGE   \* MERGEFORMAT </w:instrText>
    </w:r>
    <w:r>
      <w:rPr>
        <w:lang w:val="zh-CN"/>
      </w:rPr>
      <w:fldChar w:fldCharType="separate"/>
    </w:r>
    <w:r>
      <w:rPr>
        <w:lang w:val="zh-CN"/>
      </w:rPr>
      <w:t>33</w:t>
    </w:r>
    <w:r>
      <w:rPr>
        <w:lang w:val="zh-CN"/>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98C5" w14:textId="77777777" w:rsidR="007561E0" w:rsidRDefault="007561E0">
    <w:pPr>
      <w:pStyle w:val="ad"/>
    </w:pPr>
    <w:r>
      <w:rPr>
        <w:noProof/>
      </w:rPr>
      <mc:AlternateContent>
        <mc:Choice Requires="wps">
          <w:drawing>
            <wp:anchor distT="0" distB="0" distL="114300" distR="114300" simplePos="0" relativeHeight="251671552" behindDoc="0" locked="0" layoutInCell="1" allowOverlap="1" wp14:anchorId="4191A907" wp14:editId="0C0E37C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4920" w14:textId="513F0899"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91A907" id="_x0000_t202" coordsize="21600,21600" o:spt="202" path="m,l,21600r21600,l21600,xe">
              <v:stroke joinstyle="miter"/>
              <v:path gradientshapeok="t" o:connecttype="rect"/>
            </v:shapetype>
            <v:shape id="文本框 14" o:spid="_x0000_s1038"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H1GgJkAgAAFAUAAA4AAAAAAAAAAAAAAAAALgIAAGRycy9lMm9Eb2Mu&#10;eG1sUEsBAi0AFAAGAAgAAAAhAHGq0bnXAAAABQEAAA8AAAAAAAAAAAAAAAAAvgQAAGRycy9kb3du&#10;cmV2LnhtbFBLBQYAAAAABAAEAPMAAADCBQAAAAA=&#10;" filled="f" stroked="f" strokeweight=".5pt">
              <v:textbox style="mso-fit-shape-to-text:t" inset="0,0,0,0">
                <w:txbxContent>
                  <w:p w14:paraId="5B684920" w14:textId="513F0899"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28</w:t>
                    </w:r>
                    <w:r>
                      <w:rPr>
                        <w:rFonts w:hint="eastAsia"/>
                      </w:rP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9343" w14:textId="77777777" w:rsidR="007561E0" w:rsidRDefault="007561E0">
    <w:pPr>
      <w:pStyle w:val="ad"/>
    </w:pPr>
    <w:r>
      <w:rPr>
        <w:noProof/>
      </w:rPr>
      <mc:AlternateContent>
        <mc:Choice Requires="wps">
          <w:drawing>
            <wp:anchor distT="0" distB="0" distL="114300" distR="114300" simplePos="0" relativeHeight="251672576" behindDoc="0" locked="0" layoutInCell="1" allowOverlap="1" wp14:anchorId="187DA229" wp14:editId="26C2B778">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3E0A0" w14:textId="104B2816"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7DA229" id="_x0000_t202" coordsize="21600,21600" o:spt="202" path="m,l,21600r21600,l21600,xe">
              <v:stroke joinstyle="miter"/>
              <v:path gradientshapeok="t" o:connecttype="rect"/>
            </v:shapetype>
            <v:shape id="文本框 15" o:spid="_x0000_s103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fDGpEZQIAABQFAAAOAAAAAAAAAAAAAAAAAC4CAABkcnMvZTJvRG9j&#10;LnhtbFBLAQItABQABgAIAAAAIQBxqtG51wAAAAUBAAAPAAAAAAAAAAAAAAAAAL8EAABkcnMvZG93&#10;bnJldi54bWxQSwUGAAAAAAQABADzAAAAwwUAAAAA&#10;" filled="f" stroked="f" strokeweight=".5pt">
              <v:textbox style="mso-fit-shape-to-text:t" inset="0,0,0,0">
                <w:txbxContent>
                  <w:p w14:paraId="4983E0A0" w14:textId="104B2816"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29</w:t>
                    </w:r>
                    <w:r>
                      <w:rPr>
                        <w:rFonts w:hint="eastAsia"/>
                      </w:rP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8B659" w14:textId="77777777" w:rsidR="007561E0" w:rsidRDefault="007561E0">
    <w:pPr>
      <w:pStyle w:val="ad"/>
      <w:jc w:val="center"/>
    </w:pPr>
    <w:r>
      <w:rPr>
        <w:rFonts w:hint="eastAsia"/>
      </w:rPr>
      <w:t>4-14-</w:t>
    </w:r>
    <w:r>
      <w:rPr>
        <w:lang w:val="zh-CN"/>
      </w:rPr>
      <w:fldChar w:fldCharType="begin"/>
    </w:r>
    <w:r>
      <w:rPr>
        <w:lang w:val="zh-CN"/>
      </w:rPr>
      <w:instrText xml:space="preserve"> PAGE   \* MERGEFORMAT </w:instrText>
    </w:r>
    <w:r>
      <w:rPr>
        <w:lang w:val="zh-CN"/>
      </w:rPr>
      <w:fldChar w:fldCharType="separate"/>
    </w:r>
    <w:r>
      <w:rPr>
        <w:lang w:val="zh-CN"/>
      </w:rPr>
      <w:t>35</w:t>
    </w:r>
    <w:r>
      <w:rPr>
        <w:lang w:val="zh-CN"/>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F057" w14:textId="77777777" w:rsidR="007561E0" w:rsidRDefault="007561E0">
    <w:pPr>
      <w:pStyle w:val="ad"/>
    </w:pPr>
    <w:r>
      <w:rPr>
        <w:noProof/>
      </w:rPr>
      <mc:AlternateContent>
        <mc:Choice Requires="wps">
          <w:drawing>
            <wp:anchor distT="0" distB="0" distL="114300" distR="114300" simplePos="0" relativeHeight="251673600" behindDoc="0" locked="0" layoutInCell="1" allowOverlap="1" wp14:anchorId="17052F64" wp14:editId="3CF7DD0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614E7" w14:textId="715374F6"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052F64" id="_x0000_t202" coordsize="21600,21600" o:spt="202" path="m,l,21600r21600,l21600,xe">
              <v:stroke joinstyle="miter"/>
              <v:path gradientshapeok="t" o:connecttype="rect"/>
            </v:shapetype>
            <v:shape id="文本框 16" o:spid="_x0000_s1040"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8WB9dkAgAAFAUAAA4AAAAAAAAAAAAAAAAALgIAAGRycy9lMm9Eb2Mu&#10;eG1sUEsBAi0AFAAGAAgAAAAhAHGq0bnXAAAABQEAAA8AAAAAAAAAAAAAAAAAvgQAAGRycy9kb3du&#10;cmV2LnhtbFBLBQYAAAAABAAEAPMAAADCBQAAAAA=&#10;" filled="f" stroked="f" strokeweight=".5pt">
              <v:textbox style="mso-fit-shape-to-text:t" inset="0,0,0,0">
                <w:txbxContent>
                  <w:p w14:paraId="247614E7" w14:textId="715374F6"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32</w:t>
                    </w:r>
                    <w:r>
                      <w:rPr>
                        <w:rFonts w:hint="eastAsia"/>
                      </w:rP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B84D" w14:textId="77777777" w:rsidR="007561E0" w:rsidRDefault="007561E0">
    <w:pPr>
      <w:pStyle w:val="ad"/>
    </w:pPr>
    <w:r>
      <w:rPr>
        <w:noProof/>
      </w:rPr>
      <mc:AlternateContent>
        <mc:Choice Requires="wps">
          <w:drawing>
            <wp:anchor distT="0" distB="0" distL="114300" distR="114300" simplePos="0" relativeHeight="251674624" behindDoc="0" locked="0" layoutInCell="1" allowOverlap="1" wp14:anchorId="0BE73D3F" wp14:editId="41255C59">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7632F" w14:textId="05E4B39D"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E73D3F" id="_x0000_t202" coordsize="21600,21600" o:spt="202" path="m,l,21600r21600,l21600,xe">
              <v:stroke joinstyle="miter"/>
              <v:path gradientshapeok="t" o:connecttype="rect"/>
            </v:shapetype>
            <v:shape id="文本框 17" o:spid="_x0000_s1041"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h73eRZQIAABQFAAAOAAAAAAAAAAAAAAAAAC4CAABkcnMvZTJvRG9j&#10;LnhtbFBLAQItABQABgAIAAAAIQBxqtG51wAAAAUBAAAPAAAAAAAAAAAAAAAAAL8EAABkcnMvZG93&#10;bnJldi54bWxQSwUGAAAAAAQABADzAAAAwwUAAAAA&#10;" filled="f" stroked="f" strokeweight=".5pt">
              <v:textbox style="mso-fit-shape-to-text:t" inset="0,0,0,0">
                <w:txbxContent>
                  <w:p w14:paraId="3F27632F" w14:textId="05E4B39D"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33</w:t>
                    </w:r>
                    <w:r>
                      <w:rPr>
                        <w:rFonts w:hint="eastAsia"/>
                      </w:rP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ECD0" w14:textId="77777777" w:rsidR="007561E0" w:rsidRDefault="007561E0">
    <w:pPr>
      <w:pStyle w:val="ad"/>
      <w:jc w:val="center"/>
    </w:pPr>
    <w:r>
      <w:rPr>
        <w:rFonts w:hint="eastAsia"/>
      </w:rPr>
      <w:t>4-15-</w:t>
    </w:r>
    <w:r>
      <w:rPr>
        <w:lang w:val="zh-CN"/>
      </w:rPr>
      <w:fldChar w:fldCharType="begin"/>
    </w:r>
    <w:r>
      <w:rPr>
        <w:lang w:val="zh-CN"/>
      </w:rPr>
      <w:instrText xml:space="preserve"> PAGE   \* MERGEFORMAT </w:instrText>
    </w:r>
    <w:r>
      <w:rPr>
        <w:lang w:val="zh-CN"/>
      </w:rPr>
      <w:fldChar w:fldCharType="separate"/>
    </w:r>
    <w:r>
      <w:rPr>
        <w:lang w:val="zh-CN"/>
      </w:rPr>
      <w:t>38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DBB5" w14:textId="77777777" w:rsidR="007561E0" w:rsidRDefault="007561E0">
    <w:pPr>
      <w:pStyle w:val="ad"/>
    </w:pPr>
    <w:r>
      <w:rPr>
        <w:noProof/>
      </w:rPr>
      <mc:AlternateContent>
        <mc:Choice Requires="wps">
          <w:drawing>
            <wp:anchor distT="0" distB="0" distL="114300" distR="114300" simplePos="0" relativeHeight="251659264" behindDoc="0" locked="0" layoutInCell="1" allowOverlap="1" wp14:anchorId="38C68097" wp14:editId="323FF2E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D4434" w14:textId="371C02A3"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C68097"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CBD4434" w14:textId="371C02A3"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2</w:t>
                    </w:r>
                    <w:r>
                      <w:rPr>
                        <w:rFonts w:hint="eastAsia"/>
                      </w:rP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E7CE" w14:textId="77777777" w:rsidR="007561E0" w:rsidRDefault="007561E0">
    <w:pPr>
      <w:pStyle w:val="ad"/>
    </w:pPr>
    <w:r>
      <w:rPr>
        <w:noProof/>
      </w:rPr>
      <mc:AlternateContent>
        <mc:Choice Requires="wps">
          <w:drawing>
            <wp:anchor distT="0" distB="0" distL="114300" distR="114300" simplePos="0" relativeHeight="251675648" behindDoc="0" locked="0" layoutInCell="1" allowOverlap="1" wp14:anchorId="5154A097" wp14:editId="36A1AE07">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B9D3E" w14:textId="518BBB9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54A097" id="_x0000_t202" coordsize="21600,21600" o:spt="202" path="m,l,21600r21600,l21600,xe">
              <v:stroke joinstyle="miter"/>
              <v:path gradientshapeok="t" o:connecttype="rect"/>
            </v:shapetype>
            <v:shape id="文本框 18" o:spid="_x0000_s1042"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3RC1kAgAAFAUAAA4AAAAAAAAAAAAAAAAALgIAAGRycy9lMm9Eb2Mu&#10;eG1sUEsBAi0AFAAGAAgAAAAhAHGq0bnXAAAABQEAAA8AAAAAAAAAAAAAAAAAvgQAAGRycy9kb3du&#10;cmV2LnhtbFBLBQYAAAAABAAEAPMAAADCBQAAAAA=&#10;" filled="f" stroked="f" strokeweight=".5pt">
              <v:textbox style="mso-fit-shape-to-text:t" inset="0,0,0,0">
                <w:txbxContent>
                  <w:p w14:paraId="6E0B9D3E" w14:textId="518BBB9F"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35</w:t>
                    </w:r>
                    <w:r>
                      <w:rPr>
                        <w:rFonts w:hint="eastAsia"/>
                      </w:rP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E70A" w14:textId="77777777" w:rsidR="007561E0" w:rsidRDefault="007561E0">
    <w:pPr>
      <w:pStyle w:val="ad"/>
      <w:jc w:val="center"/>
    </w:pPr>
    <w:r>
      <w:rPr>
        <w:rFonts w:hint="eastAsia"/>
      </w:rPr>
      <w:t>4-16-</w:t>
    </w:r>
    <w:r>
      <w:rPr>
        <w:lang w:val="zh-CN"/>
      </w:rPr>
      <w:fldChar w:fldCharType="begin"/>
    </w:r>
    <w:r>
      <w:rPr>
        <w:lang w:val="zh-CN"/>
      </w:rPr>
      <w:instrText xml:space="preserve"> PAGE   \* MERGEFORMAT </w:instrText>
    </w:r>
    <w:r>
      <w:rPr>
        <w:lang w:val="zh-CN"/>
      </w:rPr>
      <w:fldChar w:fldCharType="separate"/>
    </w:r>
    <w:r>
      <w:rPr>
        <w:lang w:val="zh-CN"/>
      </w:rPr>
      <w:t>39</w:t>
    </w:r>
    <w:r>
      <w:rPr>
        <w:lang w:val="zh-CN"/>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ACB1" w14:textId="77777777" w:rsidR="007561E0" w:rsidRDefault="007561E0">
    <w:pPr>
      <w:pStyle w:val="ad"/>
    </w:pPr>
    <w:r>
      <w:rPr>
        <w:noProof/>
      </w:rPr>
      <mc:AlternateContent>
        <mc:Choice Requires="wps">
          <w:drawing>
            <wp:anchor distT="0" distB="0" distL="114300" distR="114300" simplePos="0" relativeHeight="251676672" behindDoc="0" locked="0" layoutInCell="1" allowOverlap="1" wp14:anchorId="739E0EF8" wp14:editId="11B1246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BD748" w14:textId="1C2645ED"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9E0EF8" id="_x0000_t202" coordsize="21600,21600" o:spt="202" path="m,l,21600r21600,l21600,xe">
              <v:stroke joinstyle="miter"/>
              <v:path gradientshapeok="t" o:connecttype="rect"/>
            </v:shapetype>
            <v:shape id="文本框 19" o:spid="_x0000_s1043"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RDjRrZQIAABQFAAAOAAAAAAAAAAAAAAAAAC4CAABkcnMvZTJvRG9j&#10;LnhtbFBLAQItABQABgAIAAAAIQBxqtG51wAAAAUBAAAPAAAAAAAAAAAAAAAAAL8EAABkcnMvZG93&#10;bnJldi54bWxQSwUGAAAAAAQABADzAAAAwwUAAAAA&#10;" filled="f" stroked="f" strokeweight=".5pt">
              <v:textbox style="mso-fit-shape-to-text:t" inset="0,0,0,0">
                <w:txbxContent>
                  <w:p w14:paraId="5E5BD748" w14:textId="1C2645ED"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36</w:t>
                    </w:r>
                    <w:r>
                      <w:rPr>
                        <w:rFonts w:hint="eastAsia"/>
                      </w:rP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45FB" w14:textId="77777777" w:rsidR="007561E0" w:rsidRDefault="007561E0">
    <w:pPr>
      <w:pStyle w:val="ad"/>
      <w:jc w:val="center"/>
    </w:pPr>
    <w:r>
      <w:rPr>
        <w:rFonts w:hint="eastAsia"/>
      </w:rPr>
      <w:t>4-17-</w:t>
    </w:r>
    <w:r>
      <w:rPr>
        <w:lang w:val="zh-CN"/>
      </w:rPr>
      <w:fldChar w:fldCharType="begin"/>
    </w:r>
    <w:r>
      <w:rPr>
        <w:lang w:val="zh-CN"/>
      </w:rPr>
      <w:instrText xml:space="preserve"> PAGE   \* MERGEFORMAT </w:instrText>
    </w:r>
    <w:r>
      <w:rPr>
        <w:lang w:val="zh-CN"/>
      </w:rPr>
      <w:fldChar w:fldCharType="separate"/>
    </w:r>
    <w:r>
      <w:rPr>
        <w:lang w:val="zh-CN"/>
      </w:rPr>
      <w:t>41</w:t>
    </w:r>
    <w:r>
      <w:rPr>
        <w:lang w:val="zh-CN"/>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D33C" w14:textId="77777777" w:rsidR="007561E0" w:rsidRDefault="007561E0">
    <w:pPr>
      <w:pStyle w:val="ad"/>
    </w:pPr>
    <w:r>
      <w:rPr>
        <w:noProof/>
      </w:rPr>
      <mc:AlternateContent>
        <mc:Choice Requires="wps">
          <w:drawing>
            <wp:anchor distT="0" distB="0" distL="114300" distR="114300" simplePos="0" relativeHeight="251677696" behindDoc="0" locked="0" layoutInCell="1" allowOverlap="1" wp14:anchorId="53CF2577" wp14:editId="4CDD2517">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B19BF" w14:textId="78F94AA4"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CF2577" id="_x0000_t202" coordsize="21600,21600" o:spt="202" path="m,l,21600r21600,l21600,xe">
              <v:stroke joinstyle="miter"/>
              <v:path gradientshapeok="t" o:connecttype="rect"/>
            </v:shapetype>
            <v:shape id="文本框 20" o:spid="_x0000_s1044"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EWIgRkAgAAFAUAAA4AAAAAAAAAAAAAAAAALgIAAGRycy9lMm9Eb2Mu&#10;eG1sUEsBAi0AFAAGAAgAAAAhAHGq0bnXAAAABQEAAA8AAAAAAAAAAAAAAAAAvgQAAGRycy9kb3du&#10;cmV2LnhtbFBLBQYAAAAABAAEAPMAAADCBQAAAAA=&#10;" filled="f" stroked="f" strokeweight=".5pt">
              <v:textbox style="mso-fit-shape-to-text:t" inset="0,0,0,0">
                <w:txbxContent>
                  <w:p w14:paraId="439B19BF" w14:textId="78F94AA4"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37</w:t>
                    </w:r>
                    <w:r>
                      <w:rPr>
                        <w:rFonts w:hint="eastAsia"/>
                      </w:rPr>
                      <w:fldChar w:fldCharType="end"/>
                    </w: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A9AC" w14:textId="77777777" w:rsidR="007561E0" w:rsidRDefault="007561E0">
    <w:pPr>
      <w:pStyle w:val="ad"/>
      <w:jc w:val="center"/>
    </w:pPr>
    <w:r>
      <w:rPr>
        <w:rFonts w:hint="eastAsia"/>
      </w:rPr>
      <w:t>4-18-</w:t>
    </w:r>
    <w:r>
      <w:rPr>
        <w:lang w:val="zh-CN"/>
      </w:rPr>
      <w:fldChar w:fldCharType="begin"/>
    </w:r>
    <w:r>
      <w:rPr>
        <w:lang w:val="zh-CN"/>
      </w:rPr>
      <w:instrText xml:space="preserve"> PAGE   \* MERGEFORMAT </w:instrText>
    </w:r>
    <w:r>
      <w:rPr>
        <w:lang w:val="zh-CN"/>
      </w:rPr>
      <w:fldChar w:fldCharType="separate"/>
    </w:r>
    <w:r>
      <w:rPr>
        <w:lang w:val="zh-CN"/>
      </w:rPr>
      <w:t>42</w:t>
    </w:r>
    <w:r>
      <w:rPr>
        <w:lang w:val="zh-CN"/>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7548" w14:textId="77777777" w:rsidR="007561E0" w:rsidRDefault="007561E0">
    <w:pPr>
      <w:pStyle w:val="ad"/>
    </w:pPr>
    <w:r>
      <w:rPr>
        <w:noProof/>
      </w:rPr>
      <mc:AlternateContent>
        <mc:Choice Requires="wps">
          <w:drawing>
            <wp:anchor distT="0" distB="0" distL="114300" distR="114300" simplePos="0" relativeHeight="251678720" behindDoc="0" locked="0" layoutInCell="1" allowOverlap="1" wp14:anchorId="5AE4BB8B" wp14:editId="13FBBBAF">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0FED2" w14:textId="48A46678"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E4BB8B" id="_x0000_t202" coordsize="21600,21600" o:spt="202" path="m,l,21600r21600,l21600,xe">
              <v:stroke joinstyle="miter"/>
              <v:path gradientshapeok="t" o:connecttype="rect"/>
            </v:shapetype>
            <v:shape id="文本框 21" o:spid="_x0000_s1045"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v71JCZQIAABQFAAAOAAAAAAAAAAAAAAAAAC4CAABkcnMvZTJvRG9j&#10;LnhtbFBLAQItABQABgAIAAAAIQBxqtG51wAAAAUBAAAPAAAAAAAAAAAAAAAAAL8EAABkcnMvZG93&#10;bnJldi54bWxQSwUGAAAAAAQABADzAAAAwwUAAAAA&#10;" filled="f" stroked="f" strokeweight=".5pt">
              <v:textbox style="mso-fit-shape-to-text:t" inset="0,0,0,0">
                <w:txbxContent>
                  <w:p w14:paraId="5DD0FED2" w14:textId="48A46678"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38</w:t>
                    </w:r>
                    <w:r>
                      <w:rPr>
                        <w:rFonts w:hint="eastAsia"/>
                      </w:rPr>
                      <w:fldChar w:fldCharType="end"/>
                    </w:r>
                  </w:p>
                </w:txbxContent>
              </v:textbox>
              <w10:wrap anchorx="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3A5F" w14:textId="77777777" w:rsidR="007561E0" w:rsidRDefault="007561E0">
    <w:pPr>
      <w:pStyle w:val="ad"/>
      <w:jc w:val="center"/>
    </w:pPr>
    <w:r>
      <w:rPr>
        <w:rFonts w:hint="eastAsia"/>
      </w:rPr>
      <w:t>4-19-</w:t>
    </w:r>
    <w:r>
      <w:rPr>
        <w:lang w:val="zh-CN"/>
      </w:rPr>
      <w:fldChar w:fldCharType="begin"/>
    </w:r>
    <w:r>
      <w:rPr>
        <w:lang w:val="zh-CN"/>
      </w:rPr>
      <w:instrText xml:space="preserve"> PAGE   \* MERGEFORMAT </w:instrText>
    </w:r>
    <w:r>
      <w:rPr>
        <w:lang w:val="zh-CN"/>
      </w:rPr>
      <w:fldChar w:fldCharType="separate"/>
    </w:r>
    <w:r>
      <w:rPr>
        <w:lang w:val="zh-CN"/>
      </w:rPr>
      <w:t>43</w:t>
    </w:r>
    <w:r>
      <w:rPr>
        <w:lang w:val="zh-CN"/>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BF7E" w14:textId="77777777" w:rsidR="007561E0" w:rsidRDefault="007561E0">
    <w:pPr>
      <w:pStyle w:val="ad"/>
    </w:pPr>
    <w:r>
      <w:rPr>
        <w:noProof/>
      </w:rPr>
      <mc:AlternateContent>
        <mc:Choice Requires="wps">
          <w:drawing>
            <wp:anchor distT="0" distB="0" distL="114300" distR="114300" simplePos="0" relativeHeight="251679744" behindDoc="0" locked="0" layoutInCell="1" allowOverlap="1" wp14:anchorId="3B5BE98A" wp14:editId="501B191D">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B9935" w14:textId="0C67BE74"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5BE98A" id="_x0000_t202" coordsize="21600,21600" o:spt="202" path="m,l,21600r21600,l21600,xe">
              <v:stroke joinstyle="miter"/>
              <v:path gradientshapeok="t" o:connecttype="rect"/>
            </v:shapetype>
            <v:shape id="文本框 22" o:spid="_x0000_s1046"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FFrY1kAgAAFAUAAA4AAAAAAAAAAAAAAAAALgIAAGRycy9lMm9Eb2Mu&#10;eG1sUEsBAi0AFAAGAAgAAAAhAHGq0bnXAAAABQEAAA8AAAAAAAAAAAAAAAAAvgQAAGRycy9kb3du&#10;cmV2LnhtbFBLBQYAAAAABAAEAPMAAADCBQAAAAA=&#10;" filled="f" stroked="f" strokeweight=".5pt">
              <v:textbox style="mso-fit-shape-to-text:t" inset="0,0,0,0">
                <w:txbxContent>
                  <w:p w14:paraId="052B9935" w14:textId="0C67BE74"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39</w:t>
                    </w:r>
                    <w:r>
                      <w:rPr>
                        <w:rFonts w:hint="eastAsia"/>
                      </w:rPr>
                      <w:fldChar w:fldCharType="end"/>
                    </w:r>
                  </w:p>
                </w:txbxContent>
              </v:textbox>
              <w10:wrap anchorx="margin"/>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B4F5" w14:textId="77777777" w:rsidR="007561E0" w:rsidRDefault="007561E0">
    <w:pPr>
      <w:pStyle w:val="ad"/>
      <w:jc w:val="center"/>
    </w:pPr>
    <w:r>
      <w:rPr>
        <w:rFonts w:hint="eastAsia"/>
      </w:rPr>
      <w:t>4-20-</w:t>
    </w:r>
    <w:r>
      <w:rPr>
        <w:lang w:val="zh-CN"/>
      </w:rPr>
      <w:fldChar w:fldCharType="begin"/>
    </w:r>
    <w:r>
      <w:rPr>
        <w:lang w:val="zh-CN"/>
      </w:rPr>
      <w:instrText xml:space="preserve"> PAGE   \* MERGEFORMAT </w:instrText>
    </w:r>
    <w:r>
      <w:rPr>
        <w:lang w:val="zh-CN"/>
      </w:rPr>
      <w:fldChar w:fldCharType="separate"/>
    </w:r>
    <w:r>
      <w:rPr>
        <w:lang w:val="zh-CN"/>
      </w:rPr>
      <w:t>0</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1CD3" w14:textId="77777777" w:rsidR="007561E0" w:rsidRDefault="007561E0">
    <w:pPr>
      <w:pStyle w:val="ad"/>
      <w:jc w:val="center"/>
    </w:pPr>
    <w:r>
      <w:rPr>
        <w:noProof/>
      </w:rPr>
      <mc:AlternateContent>
        <mc:Choice Requires="wps">
          <w:drawing>
            <wp:anchor distT="0" distB="0" distL="114300" distR="114300" simplePos="0" relativeHeight="251660288" behindDoc="0" locked="0" layoutInCell="1" allowOverlap="1" wp14:anchorId="5A565DC9" wp14:editId="3E58C80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2145B" w14:textId="15FF8443"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B5A2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565DC9"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0F42145B" w14:textId="15FF8443"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B5A27">
                      <w:rPr>
                        <w:noProof/>
                      </w:rPr>
                      <w:t>1</w:t>
                    </w:r>
                    <w:r>
                      <w:rPr>
                        <w:rFonts w:hint="eastAsia"/>
                      </w:rPr>
                      <w:fldChar w:fldCharType="end"/>
                    </w:r>
                  </w:p>
                </w:txbxContent>
              </v:textbox>
              <w10:wrap anchorx="margin"/>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95D7" w14:textId="77777777" w:rsidR="007561E0" w:rsidRDefault="007561E0">
    <w:pPr>
      <w:pStyle w:val="ad"/>
      <w:jc w:val="both"/>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DCA5" w14:textId="77777777" w:rsidR="007561E0" w:rsidRDefault="007561E0">
    <w:pPr>
      <w:pStyle w:val="ad"/>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FAD9" w14:textId="77777777" w:rsidR="007561E0" w:rsidRDefault="007561E0">
    <w:pPr>
      <w:pStyle w:val="ad"/>
    </w:pPr>
    <w:r>
      <w:rPr>
        <w:noProof/>
      </w:rPr>
      <mc:AlternateContent>
        <mc:Choice Requires="wps">
          <w:drawing>
            <wp:anchor distT="0" distB="0" distL="114300" distR="114300" simplePos="0" relativeHeight="251661312" behindDoc="0" locked="0" layoutInCell="1" allowOverlap="1" wp14:anchorId="6EFD9BFD" wp14:editId="125619A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935F" w14:textId="6F117979"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FD9BFD"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14:paraId="73EC935F" w14:textId="6F117979"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3</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0B52" w14:textId="77777777" w:rsidR="007561E0" w:rsidRDefault="007561E0">
    <w:pPr>
      <w:pStyle w:val="ad"/>
      <w:jc w:val="center"/>
    </w:pPr>
    <w:r>
      <w:rPr>
        <w:rFonts w:hint="eastAsia"/>
      </w:rPr>
      <w:t>4-1-</w:t>
    </w: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B808" w14:textId="77777777" w:rsidR="007561E0" w:rsidRDefault="007561E0">
    <w:pPr>
      <w:pStyle w:val="ad"/>
    </w:pPr>
    <w:r>
      <w:rPr>
        <w:noProof/>
      </w:rPr>
      <mc:AlternateContent>
        <mc:Choice Requires="wps">
          <w:drawing>
            <wp:anchor distT="0" distB="0" distL="114300" distR="114300" simplePos="0" relativeHeight="251662336" behindDoc="0" locked="0" layoutInCell="1" allowOverlap="1" wp14:anchorId="0C22959A" wp14:editId="25D1F37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3E514" w14:textId="74C94517"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22959A"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14:paraId="5513E514" w14:textId="74C94517"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4</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6E8F" w14:textId="77777777" w:rsidR="007561E0" w:rsidRDefault="007561E0">
    <w:pPr>
      <w:pStyle w:val="ad"/>
      <w:jc w:val="center"/>
    </w:pPr>
    <w:r>
      <w:rPr>
        <w:rFonts w:hint="eastAsia"/>
      </w:rPr>
      <w:t>4-2-</w:t>
    </w: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6E9C" w14:textId="77777777" w:rsidR="007561E0" w:rsidRDefault="007561E0">
    <w:pPr>
      <w:pStyle w:val="ad"/>
    </w:pPr>
    <w:r>
      <w:rPr>
        <w:noProof/>
      </w:rPr>
      <mc:AlternateContent>
        <mc:Choice Requires="wps">
          <w:drawing>
            <wp:anchor distT="0" distB="0" distL="114300" distR="114300" simplePos="0" relativeHeight="251663360" behindDoc="0" locked="0" layoutInCell="1" allowOverlap="1" wp14:anchorId="0274D5E6" wp14:editId="573E939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CE50B" w14:textId="389AFEF2"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74D5E6" id="_x0000_t202" coordsize="21600,21600" o:spt="202" path="m,l,21600r21600,l21600,xe">
              <v:stroke joinstyle="miter"/>
              <v:path gradientshapeok="t" o:connecttype="rect"/>
            </v:shapetype>
            <v:shape id="文本框 6"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14:paraId="213CE50B" w14:textId="389AFEF2" w:rsidR="007561E0" w:rsidRDefault="007561E0">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30635">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0CDA" w14:textId="77777777" w:rsidR="00174DDE" w:rsidRDefault="00174DDE">
      <w:r>
        <w:separator/>
      </w:r>
    </w:p>
  </w:footnote>
  <w:footnote w:type="continuationSeparator" w:id="0">
    <w:p w14:paraId="30090A08" w14:textId="77777777" w:rsidR="00174DDE" w:rsidRDefault="0017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B4D8" w14:textId="1B38F6AB" w:rsidR="007561E0" w:rsidRPr="00D86491" w:rsidRDefault="00D86491" w:rsidP="00D86491">
    <w:pPr>
      <w:pStyle w:val="af"/>
      <w:jc w:val="right"/>
    </w:pPr>
    <w:r w:rsidRPr="008633E6">
      <w:rPr>
        <w:rFonts w:hint="eastAsia"/>
      </w:rPr>
      <w:t>华夏</w:t>
    </w:r>
    <w:r>
      <w:rPr>
        <w:rFonts w:hint="eastAsia"/>
      </w:rPr>
      <w:t>安裕中短债</w:t>
    </w:r>
    <w:r w:rsidRPr="008633E6">
      <w:rPr>
        <w:rFonts w:hint="eastAsia"/>
      </w:rPr>
      <w:t>债券型证券投资基金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FF77C" w14:textId="2504B646" w:rsidR="00CE045B" w:rsidRDefault="00CE045B" w:rsidP="00CE045B">
    <w:pPr>
      <w:pStyle w:val="af"/>
      <w:jc w:val="right"/>
    </w:pPr>
    <w:r w:rsidRPr="008633E6">
      <w:rPr>
        <w:rFonts w:hint="eastAsia"/>
      </w:rPr>
      <w:t>华夏</w:t>
    </w:r>
    <w:r>
      <w:rPr>
        <w:rFonts w:hint="eastAsia"/>
      </w:rPr>
      <w:t>安裕中短债</w:t>
    </w:r>
    <w:r w:rsidRPr="008633E6">
      <w:rPr>
        <w:rFonts w:hint="eastAsia"/>
      </w:rPr>
      <w:t>债券型证券投资基金</w:t>
    </w:r>
    <w:r>
      <w:rPr>
        <w:rFonts w:hint="eastAsia"/>
      </w:rPr>
      <w:t>托管协议</w:t>
    </w:r>
  </w:p>
  <w:p w14:paraId="4C4A5C8E" w14:textId="341A6EC6" w:rsidR="007561E0" w:rsidRDefault="007561E0">
    <w:pP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1AD"/>
    <w:rsid w:val="00000E60"/>
    <w:rsid w:val="00010474"/>
    <w:rsid w:val="000135AF"/>
    <w:rsid w:val="00013E07"/>
    <w:rsid w:val="00017171"/>
    <w:rsid w:val="00021B52"/>
    <w:rsid w:val="00024357"/>
    <w:rsid w:val="000341B9"/>
    <w:rsid w:val="00035100"/>
    <w:rsid w:val="00035960"/>
    <w:rsid w:val="00037BD7"/>
    <w:rsid w:val="000403F9"/>
    <w:rsid w:val="00044594"/>
    <w:rsid w:val="00045A68"/>
    <w:rsid w:val="0005070F"/>
    <w:rsid w:val="0006364E"/>
    <w:rsid w:val="00064B8B"/>
    <w:rsid w:val="00082339"/>
    <w:rsid w:val="000832BE"/>
    <w:rsid w:val="0008452D"/>
    <w:rsid w:val="00086079"/>
    <w:rsid w:val="00091065"/>
    <w:rsid w:val="00091834"/>
    <w:rsid w:val="00097489"/>
    <w:rsid w:val="000A610C"/>
    <w:rsid w:val="000A7BCD"/>
    <w:rsid w:val="000B2760"/>
    <w:rsid w:val="000C5DB3"/>
    <w:rsid w:val="000C6828"/>
    <w:rsid w:val="000C77BA"/>
    <w:rsid w:val="000D3324"/>
    <w:rsid w:val="000D6D91"/>
    <w:rsid w:val="000E40DD"/>
    <w:rsid w:val="000E4FBE"/>
    <w:rsid w:val="00103C81"/>
    <w:rsid w:val="00103E4C"/>
    <w:rsid w:val="001054D9"/>
    <w:rsid w:val="001116E0"/>
    <w:rsid w:val="00124279"/>
    <w:rsid w:val="00127A27"/>
    <w:rsid w:val="00133C0C"/>
    <w:rsid w:val="00133D30"/>
    <w:rsid w:val="00137691"/>
    <w:rsid w:val="0013786B"/>
    <w:rsid w:val="001404BD"/>
    <w:rsid w:val="00142BDA"/>
    <w:rsid w:val="0014751B"/>
    <w:rsid w:val="0014780A"/>
    <w:rsid w:val="0015137A"/>
    <w:rsid w:val="00161948"/>
    <w:rsid w:val="00163142"/>
    <w:rsid w:val="00166AE1"/>
    <w:rsid w:val="00170339"/>
    <w:rsid w:val="00172845"/>
    <w:rsid w:val="00172893"/>
    <w:rsid w:val="00174391"/>
    <w:rsid w:val="00174DDE"/>
    <w:rsid w:val="00183466"/>
    <w:rsid w:val="00192A8C"/>
    <w:rsid w:val="0019434B"/>
    <w:rsid w:val="001A1E3E"/>
    <w:rsid w:val="001A2FCF"/>
    <w:rsid w:val="001A3F8A"/>
    <w:rsid w:val="001A5643"/>
    <w:rsid w:val="001B7F49"/>
    <w:rsid w:val="001C5AF5"/>
    <w:rsid w:val="001E23EE"/>
    <w:rsid w:val="001E7652"/>
    <w:rsid w:val="001F1C73"/>
    <w:rsid w:val="00215343"/>
    <w:rsid w:val="0022001D"/>
    <w:rsid w:val="0022668F"/>
    <w:rsid w:val="002422B4"/>
    <w:rsid w:val="00261B1E"/>
    <w:rsid w:val="00265692"/>
    <w:rsid w:val="00266CF9"/>
    <w:rsid w:val="002717F7"/>
    <w:rsid w:val="00275E61"/>
    <w:rsid w:val="002763CB"/>
    <w:rsid w:val="002804F6"/>
    <w:rsid w:val="00294390"/>
    <w:rsid w:val="002A114D"/>
    <w:rsid w:val="002A2607"/>
    <w:rsid w:val="002B13C0"/>
    <w:rsid w:val="002B3F3B"/>
    <w:rsid w:val="002B7290"/>
    <w:rsid w:val="002B74D2"/>
    <w:rsid w:val="002C04FE"/>
    <w:rsid w:val="002C7A63"/>
    <w:rsid w:val="002D53B9"/>
    <w:rsid w:val="002E086B"/>
    <w:rsid w:val="002E27B2"/>
    <w:rsid w:val="002E3192"/>
    <w:rsid w:val="002E4D98"/>
    <w:rsid w:val="00303717"/>
    <w:rsid w:val="003042C4"/>
    <w:rsid w:val="00312DBF"/>
    <w:rsid w:val="003148DB"/>
    <w:rsid w:val="00332B82"/>
    <w:rsid w:val="00332D90"/>
    <w:rsid w:val="003332E7"/>
    <w:rsid w:val="00350DC8"/>
    <w:rsid w:val="003512F1"/>
    <w:rsid w:val="00356AA9"/>
    <w:rsid w:val="00361CB9"/>
    <w:rsid w:val="00367657"/>
    <w:rsid w:val="003701FF"/>
    <w:rsid w:val="00387EA6"/>
    <w:rsid w:val="0039692F"/>
    <w:rsid w:val="003976E4"/>
    <w:rsid w:val="003A4061"/>
    <w:rsid w:val="003A6E48"/>
    <w:rsid w:val="003B48F3"/>
    <w:rsid w:val="003B53EF"/>
    <w:rsid w:val="003C0A89"/>
    <w:rsid w:val="003C0CAE"/>
    <w:rsid w:val="003C1BF8"/>
    <w:rsid w:val="003C2149"/>
    <w:rsid w:val="003C38A5"/>
    <w:rsid w:val="003C4EA2"/>
    <w:rsid w:val="003D63EE"/>
    <w:rsid w:val="003E1C69"/>
    <w:rsid w:val="003E33F2"/>
    <w:rsid w:val="003E3510"/>
    <w:rsid w:val="003E474F"/>
    <w:rsid w:val="003E4F24"/>
    <w:rsid w:val="003F0742"/>
    <w:rsid w:val="003F1879"/>
    <w:rsid w:val="003F3154"/>
    <w:rsid w:val="003F4B13"/>
    <w:rsid w:val="00401E35"/>
    <w:rsid w:val="00405AF0"/>
    <w:rsid w:val="00413BF1"/>
    <w:rsid w:val="00414E4B"/>
    <w:rsid w:val="00427970"/>
    <w:rsid w:val="00434FB1"/>
    <w:rsid w:val="00436CDC"/>
    <w:rsid w:val="00442A06"/>
    <w:rsid w:val="00445870"/>
    <w:rsid w:val="004464F4"/>
    <w:rsid w:val="004469F3"/>
    <w:rsid w:val="00446AAE"/>
    <w:rsid w:val="00453132"/>
    <w:rsid w:val="00457CB4"/>
    <w:rsid w:val="004774B0"/>
    <w:rsid w:val="0048299E"/>
    <w:rsid w:val="00483234"/>
    <w:rsid w:val="0048616C"/>
    <w:rsid w:val="004961B6"/>
    <w:rsid w:val="004A04CF"/>
    <w:rsid w:val="004A1B23"/>
    <w:rsid w:val="004A50BA"/>
    <w:rsid w:val="004A58DD"/>
    <w:rsid w:val="004A59AE"/>
    <w:rsid w:val="004B412F"/>
    <w:rsid w:val="004B5A27"/>
    <w:rsid w:val="004C19B7"/>
    <w:rsid w:val="004C46D1"/>
    <w:rsid w:val="004D5E66"/>
    <w:rsid w:val="004D7809"/>
    <w:rsid w:val="004E07B7"/>
    <w:rsid w:val="004E1FE4"/>
    <w:rsid w:val="004E4EE3"/>
    <w:rsid w:val="004F01DF"/>
    <w:rsid w:val="004F0DE8"/>
    <w:rsid w:val="005026D6"/>
    <w:rsid w:val="005074B9"/>
    <w:rsid w:val="005112D3"/>
    <w:rsid w:val="00513FA1"/>
    <w:rsid w:val="00517D62"/>
    <w:rsid w:val="00521172"/>
    <w:rsid w:val="005251F0"/>
    <w:rsid w:val="005319D6"/>
    <w:rsid w:val="005369BA"/>
    <w:rsid w:val="00540A26"/>
    <w:rsid w:val="00540F64"/>
    <w:rsid w:val="00541DC6"/>
    <w:rsid w:val="00542026"/>
    <w:rsid w:val="00546B04"/>
    <w:rsid w:val="00550286"/>
    <w:rsid w:val="00553D6A"/>
    <w:rsid w:val="0055450E"/>
    <w:rsid w:val="00554CD6"/>
    <w:rsid w:val="00555A76"/>
    <w:rsid w:val="00561DE7"/>
    <w:rsid w:val="00564248"/>
    <w:rsid w:val="00564F1A"/>
    <w:rsid w:val="005655C3"/>
    <w:rsid w:val="005702A1"/>
    <w:rsid w:val="00571E17"/>
    <w:rsid w:val="00575A1A"/>
    <w:rsid w:val="00581571"/>
    <w:rsid w:val="005877E5"/>
    <w:rsid w:val="00597DCF"/>
    <w:rsid w:val="005A1B20"/>
    <w:rsid w:val="005A270F"/>
    <w:rsid w:val="005B5829"/>
    <w:rsid w:val="005B763C"/>
    <w:rsid w:val="005B7F75"/>
    <w:rsid w:val="005C7302"/>
    <w:rsid w:val="005D0F76"/>
    <w:rsid w:val="005D2C0A"/>
    <w:rsid w:val="005D3C5B"/>
    <w:rsid w:val="005D5B7B"/>
    <w:rsid w:val="005D653F"/>
    <w:rsid w:val="005F5DC8"/>
    <w:rsid w:val="005F62F6"/>
    <w:rsid w:val="0060235D"/>
    <w:rsid w:val="00604090"/>
    <w:rsid w:val="00605DC1"/>
    <w:rsid w:val="00610B86"/>
    <w:rsid w:val="00613845"/>
    <w:rsid w:val="00617255"/>
    <w:rsid w:val="006237D7"/>
    <w:rsid w:val="00625E1D"/>
    <w:rsid w:val="006266AA"/>
    <w:rsid w:val="00631D58"/>
    <w:rsid w:val="006320AD"/>
    <w:rsid w:val="0063531F"/>
    <w:rsid w:val="00646966"/>
    <w:rsid w:val="00660790"/>
    <w:rsid w:val="0066188F"/>
    <w:rsid w:val="00671B15"/>
    <w:rsid w:val="006849A6"/>
    <w:rsid w:val="006860C7"/>
    <w:rsid w:val="0069639C"/>
    <w:rsid w:val="00697F6C"/>
    <w:rsid w:val="006A05FE"/>
    <w:rsid w:val="006A2C7B"/>
    <w:rsid w:val="006A3916"/>
    <w:rsid w:val="006A3A08"/>
    <w:rsid w:val="006C14CA"/>
    <w:rsid w:val="006D32D7"/>
    <w:rsid w:val="006D3328"/>
    <w:rsid w:val="006E30A4"/>
    <w:rsid w:val="006E4798"/>
    <w:rsid w:val="006E5C63"/>
    <w:rsid w:val="006F17A6"/>
    <w:rsid w:val="006F4A78"/>
    <w:rsid w:val="006F7104"/>
    <w:rsid w:val="00715BAA"/>
    <w:rsid w:val="00717BDF"/>
    <w:rsid w:val="00720048"/>
    <w:rsid w:val="00726149"/>
    <w:rsid w:val="00743EB6"/>
    <w:rsid w:val="00755558"/>
    <w:rsid w:val="00755BFF"/>
    <w:rsid w:val="007561E0"/>
    <w:rsid w:val="007619C1"/>
    <w:rsid w:val="00771D5C"/>
    <w:rsid w:val="0078089D"/>
    <w:rsid w:val="00781ACE"/>
    <w:rsid w:val="0078250E"/>
    <w:rsid w:val="007A5F2E"/>
    <w:rsid w:val="007A6CEC"/>
    <w:rsid w:val="007B16B4"/>
    <w:rsid w:val="007B5F49"/>
    <w:rsid w:val="007C3AF8"/>
    <w:rsid w:val="007C3D41"/>
    <w:rsid w:val="007D178A"/>
    <w:rsid w:val="007D1C07"/>
    <w:rsid w:val="007D282B"/>
    <w:rsid w:val="007D5BA8"/>
    <w:rsid w:val="007D7263"/>
    <w:rsid w:val="007E0B5D"/>
    <w:rsid w:val="007E2CF7"/>
    <w:rsid w:val="007F1371"/>
    <w:rsid w:val="00803333"/>
    <w:rsid w:val="00803BDB"/>
    <w:rsid w:val="008177D3"/>
    <w:rsid w:val="00820C7C"/>
    <w:rsid w:val="00824AFD"/>
    <w:rsid w:val="00830635"/>
    <w:rsid w:val="008340DA"/>
    <w:rsid w:val="00842267"/>
    <w:rsid w:val="00863E33"/>
    <w:rsid w:val="008660FA"/>
    <w:rsid w:val="008752B4"/>
    <w:rsid w:val="00875B5F"/>
    <w:rsid w:val="00887359"/>
    <w:rsid w:val="00890589"/>
    <w:rsid w:val="00897D70"/>
    <w:rsid w:val="008A6462"/>
    <w:rsid w:val="008D03E6"/>
    <w:rsid w:val="008D2D8A"/>
    <w:rsid w:val="008D5D05"/>
    <w:rsid w:val="008D5F47"/>
    <w:rsid w:val="008D67B9"/>
    <w:rsid w:val="008D69A0"/>
    <w:rsid w:val="008D7139"/>
    <w:rsid w:val="008E7BD7"/>
    <w:rsid w:val="008F437E"/>
    <w:rsid w:val="009010F1"/>
    <w:rsid w:val="00904231"/>
    <w:rsid w:val="009058FF"/>
    <w:rsid w:val="00912EE4"/>
    <w:rsid w:val="00914523"/>
    <w:rsid w:val="00920A8B"/>
    <w:rsid w:val="00925D92"/>
    <w:rsid w:val="0093168F"/>
    <w:rsid w:val="00934B95"/>
    <w:rsid w:val="00936630"/>
    <w:rsid w:val="00956727"/>
    <w:rsid w:val="00956926"/>
    <w:rsid w:val="009574A7"/>
    <w:rsid w:val="00973C37"/>
    <w:rsid w:val="00975E2F"/>
    <w:rsid w:val="009760E0"/>
    <w:rsid w:val="009776C5"/>
    <w:rsid w:val="00987307"/>
    <w:rsid w:val="009A0217"/>
    <w:rsid w:val="009A4B6A"/>
    <w:rsid w:val="009B2CD9"/>
    <w:rsid w:val="009B63B2"/>
    <w:rsid w:val="009C116A"/>
    <w:rsid w:val="009C2B7D"/>
    <w:rsid w:val="009C310C"/>
    <w:rsid w:val="009C3189"/>
    <w:rsid w:val="009E0B08"/>
    <w:rsid w:val="009E1081"/>
    <w:rsid w:val="009E19B3"/>
    <w:rsid w:val="009E5C35"/>
    <w:rsid w:val="009E6AF6"/>
    <w:rsid w:val="009F3A6C"/>
    <w:rsid w:val="009F45E8"/>
    <w:rsid w:val="00A105F4"/>
    <w:rsid w:val="00A10B2C"/>
    <w:rsid w:val="00A136AD"/>
    <w:rsid w:val="00A17244"/>
    <w:rsid w:val="00A215BF"/>
    <w:rsid w:val="00A230D2"/>
    <w:rsid w:val="00A24A14"/>
    <w:rsid w:val="00A408A8"/>
    <w:rsid w:val="00A40937"/>
    <w:rsid w:val="00A445AD"/>
    <w:rsid w:val="00A4628F"/>
    <w:rsid w:val="00A46789"/>
    <w:rsid w:val="00A47E9D"/>
    <w:rsid w:val="00A5667E"/>
    <w:rsid w:val="00A57407"/>
    <w:rsid w:val="00A6004A"/>
    <w:rsid w:val="00A605B9"/>
    <w:rsid w:val="00A6205B"/>
    <w:rsid w:val="00A74F83"/>
    <w:rsid w:val="00A933CA"/>
    <w:rsid w:val="00A93AB0"/>
    <w:rsid w:val="00A943A9"/>
    <w:rsid w:val="00A95694"/>
    <w:rsid w:val="00AA2357"/>
    <w:rsid w:val="00AA442C"/>
    <w:rsid w:val="00AA5402"/>
    <w:rsid w:val="00AB3DFA"/>
    <w:rsid w:val="00AB592A"/>
    <w:rsid w:val="00AC1B33"/>
    <w:rsid w:val="00AC2C2D"/>
    <w:rsid w:val="00AD1D47"/>
    <w:rsid w:val="00AD2676"/>
    <w:rsid w:val="00AD522E"/>
    <w:rsid w:val="00AE1576"/>
    <w:rsid w:val="00AE570B"/>
    <w:rsid w:val="00AE7743"/>
    <w:rsid w:val="00AF2A26"/>
    <w:rsid w:val="00B01049"/>
    <w:rsid w:val="00B06CC0"/>
    <w:rsid w:val="00B07BE0"/>
    <w:rsid w:val="00B1322E"/>
    <w:rsid w:val="00B14D0C"/>
    <w:rsid w:val="00B17D98"/>
    <w:rsid w:val="00B210CF"/>
    <w:rsid w:val="00B2449A"/>
    <w:rsid w:val="00B3099E"/>
    <w:rsid w:val="00B33E4E"/>
    <w:rsid w:val="00B47E64"/>
    <w:rsid w:val="00B67270"/>
    <w:rsid w:val="00B75498"/>
    <w:rsid w:val="00B81F00"/>
    <w:rsid w:val="00B83A9F"/>
    <w:rsid w:val="00B83F06"/>
    <w:rsid w:val="00B87B93"/>
    <w:rsid w:val="00B90CDB"/>
    <w:rsid w:val="00B92232"/>
    <w:rsid w:val="00BA3887"/>
    <w:rsid w:val="00BB68A6"/>
    <w:rsid w:val="00BC0F06"/>
    <w:rsid w:val="00BC117C"/>
    <w:rsid w:val="00BC1CD3"/>
    <w:rsid w:val="00BC4C7E"/>
    <w:rsid w:val="00BD2178"/>
    <w:rsid w:val="00BD6DE4"/>
    <w:rsid w:val="00BE2B1E"/>
    <w:rsid w:val="00BE5FFC"/>
    <w:rsid w:val="00BF1FF1"/>
    <w:rsid w:val="00C02F78"/>
    <w:rsid w:val="00C0301A"/>
    <w:rsid w:val="00C14E75"/>
    <w:rsid w:val="00C1735B"/>
    <w:rsid w:val="00C220E9"/>
    <w:rsid w:val="00C2496A"/>
    <w:rsid w:val="00C30FA9"/>
    <w:rsid w:val="00C32D5A"/>
    <w:rsid w:val="00C34109"/>
    <w:rsid w:val="00C34AFD"/>
    <w:rsid w:val="00C35031"/>
    <w:rsid w:val="00C35F98"/>
    <w:rsid w:val="00C42FA3"/>
    <w:rsid w:val="00C46140"/>
    <w:rsid w:val="00C53651"/>
    <w:rsid w:val="00C541B9"/>
    <w:rsid w:val="00C54F54"/>
    <w:rsid w:val="00C61DD9"/>
    <w:rsid w:val="00C63D41"/>
    <w:rsid w:val="00C71D85"/>
    <w:rsid w:val="00C7719C"/>
    <w:rsid w:val="00C84F79"/>
    <w:rsid w:val="00C87AFD"/>
    <w:rsid w:val="00C91731"/>
    <w:rsid w:val="00C92F7E"/>
    <w:rsid w:val="00CA0686"/>
    <w:rsid w:val="00CA0A05"/>
    <w:rsid w:val="00CA0E02"/>
    <w:rsid w:val="00CB60B6"/>
    <w:rsid w:val="00CB695A"/>
    <w:rsid w:val="00CC5A82"/>
    <w:rsid w:val="00CD0C66"/>
    <w:rsid w:val="00CD1E17"/>
    <w:rsid w:val="00CD34A4"/>
    <w:rsid w:val="00CD4963"/>
    <w:rsid w:val="00CD6D75"/>
    <w:rsid w:val="00CD7955"/>
    <w:rsid w:val="00CD7AB8"/>
    <w:rsid w:val="00CE045B"/>
    <w:rsid w:val="00CE38FC"/>
    <w:rsid w:val="00CE71A2"/>
    <w:rsid w:val="00CF25D6"/>
    <w:rsid w:val="00CF3258"/>
    <w:rsid w:val="00CF608A"/>
    <w:rsid w:val="00CF711D"/>
    <w:rsid w:val="00D02E93"/>
    <w:rsid w:val="00D11960"/>
    <w:rsid w:val="00D16C6C"/>
    <w:rsid w:val="00D25E38"/>
    <w:rsid w:val="00D4299D"/>
    <w:rsid w:val="00D54073"/>
    <w:rsid w:val="00D559D2"/>
    <w:rsid w:val="00D573C0"/>
    <w:rsid w:val="00D72D23"/>
    <w:rsid w:val="00D737E7"/>
    <w:rsid w:val="00D749EB"/>
    <w:rsid w:val="00D86491"/>
    <w:rsid w:val="00D9190B"/>
    <w:rsid w:val="00DA054D"/>
    <w:rsid w:val="00DA6C57"/>
    <w:rsid w:val="00DC2B36"/>
    <w:rsid w:val="00DC6292"/>
    <w:rsid w:val="00DD665D"/>
    <w:rsid w:val="00DE181F"/>
    <w:rsid w:val="00DE2464"/>
    <w:rsid w:val="00DE5027"/>
    <w:rsid w:val="00DE5742"/>
    <w:rsid w:val="00E03043"/>
    <w:rsid w:val="00E1560B"/>
    <w:rsid w:val="00E17543"/>
    <w:rsid w:val="00E250E0"/>
    <w:rsid w:val="00E264FC"/>
    <w:rsid w:val="00E444C0"/>
    <w:rsid w:val="00E46EA8"/>
    <w:rsid w:val="00E50F03"/>
    <w:rsid w:val="00E632A8"/>
    <w:rsid w:val="00E7009F"/>
    <w:rsid w:val="00E7245A"/>
    <w:rsid w:val="00E72A11"/>
    <w:rsid w:val="00E77D13"/>
    <w:rsid w:val="00E77D1F"/>
    <w:rsid w:val="00E80067"/>
    <w:rsid w:val="00E940BD"/>
    <w:rsid w:val="00E94BFC"/>
    <w:rsid w:val="00E96D02"/>
    <w:rsid w:val="00EA222E"/>
    <w:rsid w:val="00EA3C53"/>
    <w:rsid w:val="00EB7BF7"/>
    <w:rsid w:val="00ED0F84"/>
    <w:rsid w:val="00ED40CA"/>
    <w:rsid w:val="00ED6668"/>
    <w:rsid w:val="00ED6A94"/>
    <w:rsid w:val="00EE0B89"/>
    <w:rsid w:val="00EE20BE"/>
    <w:rsid w:val="00EE24CA"/>
    <w:rsid w:val="00F008A7"/>
    <w:rsid w:val="00F015FE"/>
    <w:rsid w:val="00F0202A"/>
    <w:rsid w:val="00F027D5"/>
    <w:rsid w:val="00F02E09"/>
    <w:rsid w:val="00F03EC4"/>
    <w:rsid w:val="00F11144"/>
    <w:rsid w:val="00F1133F"/>
    <w:rsid w:val="00F11D4C"/>
    <w:rsid w:val="00F142C6"/>
    <w:rsid w:val="00F142F5"/>
    <w:rsid w:val="00F16D49"/>
    <w:rsid w:val="00F171EF"/>
    <w:rsid w:val="00F2060C"/>
    <w:rsid w:val="00F242B2"/>
    <w:rsid w:val="00F37DD0"/>
    <w:rsid w:val="00F540A9"/>
    <w:rsid w:val="00F60310"/>
    <w:rsid w:val="00F626BC"/>
    <w:rsid w:val="00F635B3"/>
    <w:rsid w:val="00F65DEE"/>
    <w:rsid w:val="00F664FE"/>
    <w:rsid w:val="00F722C9"/>
    <w:rsid w:val="00F84E6E"/>
    <w:rsid w:val="00F8503B"/>
    <w:rsid w:val="00F86A3A"/>
    <w:rsid w:val="00F929DB"/>
    <w:rsid w:val="00F951CF"/>
    <w:rsid w:val="00FA02D2"/>
    <w:rsid w:val="00FA0BF3"/>
    <w:rsid w:val="00FA0C88"/>
    <w:rsid w:val="00FA64AB"/>
    <w:rsid w:val="00FB4C79"/>
    <w:rsid w:val="00FC3B98"/>
    <w:rsid w:val="00FC4878"/>
    <w:rsid w:val="00FD1A3F"/>
    <w:rsid w:val="00FD32AC"/>
    <w:rsid w:val="00FF0B74"/>
    <w:rsid w:val="00FF2DA6"/>
    <w:rsid w:val="00FF3714"/>
    <w:rsid w:val="00FF48DE"/>
    <w:rsid w:val="00FF7C5C"/>
    <w:rsid w:val="02962DD5"/>
    <w:rsid w:val="07576C45"/>
    <w:rsid w:val="093C5543"/>
    <w:rsid w:val="098873CC"/>
    <w:rsid w:val="0E170D0E"/>
    <w:rsid w:val="0F153570"/>
    <w:rsid w:val="22FB364C"/>
    <w:rsid w:val="28AC0808"/>
    <w:rsid w:val="29C86BD9"/>
    <w:rsid w:val="2B704FAB"/>
    <w:rsid w:val="2E91426C"/>
    <w:rsid w:val="381D2638"/>
    <w:rsid w:val="390B061F"/>
    <w:rsid w:val="3B2B260C"/>
    <w:rsid w:val="3DEF65D2"/>
    <w:rsid w:val="4B2C10DB"/>
    <w:rsid w:val="539F21DB"/>
    <w:rsid w:val="5C65077F"/>
    <w:rsid w:val="68C9264B"/>
    <w:rsid w:val="6A860907"/>
    <w:rsid w:val="6C094B6C"/>
    <w:rsid w:val="6C466D4B"/>
    <w:rsid w:val="6DD14DE5"/>
    <w:rsid w:val="6E6A0FA0"/>
    <w:rsid w:val="70767EB4"/>
    <w:rsid w:val="70A94026"/>
    <w:rsid w:val="76A72A81"/>
    <w:rsid w:val="77CE3D62"/>
    <w:rsid w:val="79536C61"/>
    <w:rsid w:val="7B476BB7"/>
    <w:rsid w:val="7E9E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84DEA7"/>
  <w15:docId w15:val="{B33CCBE3-C550-45A8-BB6A-6847D509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qFormat/>
    <w:pPr>
      <w:jc w:val="left"/>
    </w:pPr>
    <w:rPr>
      <w:rFonts w:asciiTheme="minorHAnsi" w:eastAsiaTheme="minorEastAsia" w:hAnsiTheme="minorHAnsi" w:cstheme="minorBidi"/>
      <w:szCs w:val="22"/>
    </w:rPr>
  </w:style>
  <w:style w:type="paragraph" w:styleId="a7">
    <w:name w:val="Body Text"/>
    <w:basedOn w:val="a"/>
    <w:link w:val="a8"/>
    <w:uiPriority w:val="99"/>
    <w:semiHidden/>
    <w:unhideWhenUsed/>
    <w:qFormat/>
    <w:pPr>
      <w:spacing w:after="120"/>
    </w:pPr>
  </w:style>
  <w:style w:type="paragraph" w:styleId="a9">
    <w:name w:val="Plain Text"/>
    <w:basedOn w:val="a"/>
    <w:link w:val="aa"/>
    <w:qFormat/>
    <w:pPr>
      <w:adjustRightInd w:val="0"/>
      <w:spacing w:line="312" w:lineRule="atLeast"/>
      <w:textAlignment w:val="baseline"/>
    </w:pPr>
    <w:rPr>
      <w:rFonts w:ascii="宋体" w:hAnsi="Courier New"/>
      <w:kern w:val="0"/>
    </w:rPr>
  </w:style>
  <w:style w:type="paragraph" w:styleId="21">
    <w:name w:val="Body Text Indent 2"/>
    <w:basedOn w:val="a"/>
    <w:link w:val="22"/>
    <w:qFormat/>
    <w:pPr>
      <w:spacing w:before="60" w:after="60"/>
      <w:ind w:left="479"/>
    </w:pPr>
    <w:rPr>
      <w:rFonts w:ascii="宋体" w:eastAsiaTheme="minorEastAsia" w:hAnsiTheme="minorHAnsi" w:cstheme="minorBidi"/>
      <w:sz w:val="24"/>
      <w:szCs w:val="22"/>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hyphen" w:pos="8296"/>
      </w:tabs>
      <w:spacing w:line="360" w:lineRule="auto"/>
    </w:pPr>
    <w:rPr>
      <w:sz w:val="24"/>
      <w:szCs w:val="24"/>
    </w:rPr>
  </w:style>
  <w:style w:type="paragraph" w:styleId="3">
    <w:name w:val="Body Text Indent 3"/>
    <w:basedOn w:val="a"/>
    <w:link w:val="30"/>
    <w:uiPriority w:val="99"/>
    <w:semiHidden/>
    <w:unhideWhenUsed/>
    <w:qFormat/>
    <w:pPr>
      <w:spacing w:after="120"/>
      <w:ind w:leftChars="200" w:left="420"/>
    </w:pPr>
    <w:rPr>
      <w:sz w:val="16"/>
      <w:szCs w:val="16"/>
    </w:rPr>
  </w:style>
  <w:style w:type="paragraph" w:styleId="af1">
    <w:name w:val="annotation subject"/>
    <w:basedOn w:val="a5"/>
    <w:next w:val="a5"/>
    <w:link w:val="af2"/>
    <w:uiPriority w:val="99"/>
    <w:semiHidden/>
    <w:unhideWhenUsed/>
    <w:qFormat/>
    <w:rPr>
      <w:rFonts w:ascii="Times New Roman" w:eastAsia="宋体" w:hAnsi="Times New Roman" w:cs="Times New Roman"/>
      <w:b/>
      <w:bCs/>
      <w:szCs w:val="20"/>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10">
    <w:name w:val="标题 1 字符"/>
    <w:basedOn w:val="a0"/>
    <w:link w:val="1"/>
    <w:uiPriority w:val="9"/>
    <w:qFormat/>
    <w:rPr>
      <w:rFonts w:ascii="宋体" w:eastAsia="宋体" w:hAnsi="宋体" w:cs="Times New Roman"/>
      <w:b/>
      <w:color w:val="000000"/>
      <w:sz w:val="24"/>
      <w:szCs w:val="20"/>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6">
    <w:name w:val="批注文字 字符"/>
    <w:link w:val="a5"/>
    <w:uiPriority w:val="99"/>
    <w:qFormat/>
  </w:style>
  <w:style w:type="character" w:customStyle="1" w:styleId="ae">
    <w:name w:val="页脚 字符"/>
    <w:link w:val="ad"/>
    <w:uiPriority w:val="99"/>
    <w:qFormat/>
    <w:rPr>
      <w:sz w:val="18"/>
      <w:szCs w:val="18"/>
    </w:rPr>
  </w:style>
  <w:style w:type="character" w:customStyle="1" w:styleId="22">
    <w:name w:val="正文文本缩进 2 字符"/>
    <w:link w:val="21"/>
    <w:qFormat/>
    <w:rPr>
      <w:rFonts w:ascii="宋体"/>
      <w:sz w:val="24"/>
    </w:rPr>
  </w:style>
  <w:style w:type="character" w:customStyle="1" w:styleId="Char1">
    <w:name w:val="页脚 Char1"/>
    <w:basedOn w:val="a0"/>
    <w:uiPriority w:val="99"/>
    <w:semiHidden/>
    <w:qFormat/>
    <w:rPr>
      <w:rFonts w:ascii="Times New Roman" w:eastAsia="宋体" w:hAnsi="Times New Roman" w:cs="Times New Roman"/>
      <w:sz w:val="18"/>
      <w:szCs w:val="18"/>
    </w:rPr>
  </w:style>
  <w:style w:type="character" w:customStyle="1" w:styleId="Char10">
    <w:name w:val="批注文字 Char1"/>
    <w:basedOn w:val="a0"/>
    <w:uiPriority w:val="99"/>
    <w:semiHidden/>
    <w:qFormat/>
    <w:rPr>
      <w:rFonts w:ascii="Times New Roman" w:eastAsia="宋体" w:hAnsi="Times New Roman" w:cs="Times New Roman"/>
      <w:szCs w:val="20"/>
    </w:rPr>
  </w:style>
  <w:style w:type="character" w:customStyle="1" w:styleId="2Char1">
    <w:name w:val="正文文本缩进 2 Char1"/>
    <w:basedOn w:val="a0"/>
    <w:uiPriority w:val="99"/>
    <w:semiHidden/>
    <w:qFormat/>
    <w:rPr>
      <w:rFonts w:ascii="Times New Roman" w:eastAsia="宋体" w:hAnsi="Times New Roman" w:cs="Times New Roman"/>
      <w:szCs w:val="20"/>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f2">
    <w:name w:val="批注主题 字符"/>
    <w:basedOn w:val="a6"/>
    <w:link w:val="af1"/>
    <w:uiPriority w:val="99"/>
    <w:semiHidden/>
    <w:qFormat/>
    <w:rPr>
      <w:rFonts w:ascii="Times New Roman" w:eastAsia="宋体" w:hAnsi="Times New Roman" w:cs="Times New Roman"/>
      <w:b/>
      <w:bCs/>
      <w:szCs w:val="20"/>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a">
    <w:name w:val="纯文本 字符"/>
    <w:basedOn w:val="a0"/>
    <w:link w:val="a9"/>
    <w:qFormat/>
    <w:rPr>
      <w:rFonts w:ascii="宋体" w:eastAsia="宋体" w:hAnsi="Courier New" w:cs="Times New Roman"/>
      <w:kern w:val="0"/>
      <w:szCs w:val="20"/>
    </w:rPr>
  </w:style>
  <w:style w:type="character" w:customStyle="1" w:styleId="30">
    <w:name w:val="正文文本缩进 3 字符"/>
    <w:basedOn w:val="a0"/>
    <w:link w:val="3"/>
    <w:uiPriority w:val="99"/>
    <w:semiHidden/>
    <w:qFormat/>
    <w:rPr>
      <w:rFonts w:ascii="Times New Roman" w:eastAsia="宋体" w:hAnsi="Times New Roman" w:cs="Times New Roman"/>
      <w:sz w:val="16"/>
      <w:szCs w:val="16"/>
    </w:rPr>
  </w:style>
  <w:style w:type="paragraph" w:customStyle="1" w:styleId="12">
    <w:name w:val="修订1"/>
    <w:hidden/>
    <w:uiPriority w:val="99"/>
    <w:semiHidden/>
    <w:qFormat/>
    <w:rPr>
      <w:kern w:val="2"/>
      <w:sz w:val="21"/>
    </w:rPr>
  </w:style>
  <w:style w:type="paragraph" w:customStyle="1" w:styleId="23">
    <w:name w:val="修订2"/>
    <w:hidden/>
    <w:uiPriority w:val="99"/>
    <w:semiHidden/>
    <w:qFormat/>
    <w:rPr>
      <w:kern w:val="2"/>
      <w:sz w:val="21"/>
    </w:rPr>
  </w:style>
  <w:style w:type="paragraph" w:customStyle="1" w:styleId="31">
    <w:name w:val="修订3"/>
    <w:hidden/>
    <w:uiPriority w:val="99"/>
    <w:semiHidden/>
    <w:qFormat/>
    <w:rPr>
      <w:kern w:val="2"/>
      <w:sz w:val="21"/>
    </w:rPr>
  </w:style>
  <w:style w:type="character" w:customStyle="1" w:styleId="a8">
    <w:name w:val="正文文本 字符"/>
    <w:basedOn w:val="a0"/>
    <w:link w:val="a7"/>
    <w:uiPriority w:val="99"/>
    <w:semiHidden/>
    <w:qFormat/>
    <w:rPr>
      <w:kern w:val="2"/>
      <w:sz w:val="21"/>
    </w:rPr>
  </w:style>
  <w:style w:type="paragraph" w:customStyle="1" w:styleId="4">
    <w:name w:val="修订4"/>
    <w:hidden/>
    <w:uiPriority w:val="99"/>
    <w:semiHidden/>
    <w:qFormat/>
    <w:rPr>
      <w:kern w:val="2"/>
      <w:sz w:val="21"/>
    </w:rPr>
  </w:style>
  <w:style w:type="paragraph" w:styleId="af6">
    <w:name w:val="Revision"/>
    <w:hidden/>
    <w:uiPriority w:val="99"/>
    <w:semiHidden/>
    <w:rsid w:val="007619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0" Type="http://schemas.openxmlformats.org/officeDocument/2006/relationships/footer" Target="footer12.xml"/><Relationship Id="rId41"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A7902-EA7B-4AB1-A85F-90432EF0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42</Pages>
  <Words>4184</Words>
  <Characters>23851</Characters>
  <Application>Microsoft Office Word</Application>
  <DocSecurity>0</DocSecurity>
  <Lines>198</Lines>
  <Paragraphs>55</Paragraphs>
  <ScaleCrop>false</ScaleCrop>
  <Company>Lenovo</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合规部-邱曦</dc:creator>
  <cp:lastModifiedBy>合规部-邱曦</cp:lastModifiedBy>
  <cp:revision>88</cp:revision>
  <cp:lastPrinted>2025-07-21T06:12:00Z</cp:lastPrinted>
  <dcterms:created xsi:type="dcterms:W3CDTF">2021-09-15T08:35:00Z</dcterms:created>
  <dcterms:modified xsi:type="dcterms:W3CDTF">2025-07-21T06:12:00Z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