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F3" w:rsidRPr="00B77E5D" w:rsidRDefault="00834479">
      <w:pPr>
        <w:spacing w:line="520" w:lineRule="exact"/>
        <w:jc w:val="right"/>
        <w:rPr>
          <w:rFonts w:ascii="宋体" w:hAnsi="宋体"/>
          <w:sz w:val="28"/>
        </w:rPr>
      </w:pPr>
      <w:r w:rsidRPr="00B77E5D">
        <w:rPr>
          <w:rFonts w:ascii="宋体" w:hint="eastAsia"/>
          <w:sz w:val="24"/>
          <w:szCs w:val="28"/>
        </w:rPr>
        <w:t>编号：银【 】字/第【 】号</w:t>
      </w:r>
    </w:p>
    <w:p w:rsidR="002E15F3" w:rsidRPr="00B77E5D" w:rsidRDefault="00834479">
      <w:pPr>
        <w:spacing w:line="520" w:lineRule="exact"/>
        <w:jc w:val="center"/>
        <w:rPr>
          <w:rFonts w:ascii="宋体" w:hAnsi="宋体"/>
          <w:sz w:val="28"/>
        </w:rPr>
      </w:pPr>
      <w:r w:rsidRPr="00B77E5D">
        <w:rPr>
          <w:rFonts w:ascii="宋体" w:hAnsi="宋体" w:hint="eastAsia"/>
          <w:szCs w:val="28"/>
        </w:rPr>
        <w:t xml:space="preserve">                             </w:t>
      </w:r>
    </w:p>
    <w:p w:rsidR="002E15F3" w:rsidRPr="00B77E5D" w:rsidRDefault="002E15F3">
      <w:pPr>
        <w:spacing w:line="520" w:lineRule="exact"/>
        <w:jc w:val="center"/>
        <w:rPr>
          <w:rFonts w:ascii="宋体" w:hAnsi="宋体"/>
          <w:sz w:val="28"/>
        </w:rPr>
      </w:pPr>
    </w:p>
    <w:p w:rsidR="002E15F3" w:rsidRPr="00B77E5D" w:rsidRDefault="002E15F3">
      <w:pPr>
        <w:spacing w:line="520" w:lineRule="exact"/>
        <w:jc w:val="center"/>
        <w:rPr>
          <w:rFonts w:ascii="宋体" w:hAnsi="宋体"/>
          <w:sz w:val="28"/>
        </w:rPr>
      </w:pPr>
    </w:p>
    <w:p w:rsidR="002E15F3" w:rsidRPr="00B77E5D" w:rsidRDefault="002E15F3">
      <w:pPr>
        <w:spacing w:line="520" w:lineRule="exact"/>
        <w:jc w:val="center"/>
        <w:rPr>
          <w:rFonts w:ascii="宋体" w:hAnsi="宋体"/>
          <w:sz w:val="28"/>
        </w:rPr>
      </w:pPr>
    </w:p>
    <w:p w:rsidR="002E15F3" w:rsidRPr="00B77E5D" w:rsidRDefault="002E15F3">
      <w:pPr>
        <w:spacing w:line="520" w:lineRule="exact"/>
        <w:jc w:val="center"/>
        <w:rPr>
          <w:rFonts w:ascii="宋体" w:hAnsi="宋体"/>
          <w:sz w:val="28"/>
        </w:rPr>
      </w:pPr>
    </w:p>
    <w:p w:rsidR="002E15F3" w:rsidRPr="00B77E5D" w:rsidRDefault="00834479">
      <w:pPr>
        <w:spacing w:line="360" w:lineRule="auto"/>
        <w:jc w:val="center"/>
        <w:rPr>
          <w:rFonts w:ascii="宋体" w:hAnsi="宋体"/>
          <w:b/>
          <w:sz w:val="48"/>
        </w:rPr>
      </w:pPr>
      <w:proofErr w:type="gramStart"/>
      <w:r w:rsidRPr="00B77E5D">
        <w:rPr>
          <w:rFonts w:ascii="宋体" w:hAnsi="宋体" w:hint="eastAsia"/>
          <w:b/>
          <w:sz w:val="48"/>
        </w:rPr>
        <w:t>永赢先锋</w:t>
      </w:r>
      <w:proofErr w:type="gramEnd"/>
      <w:r w:rsidRPr="00B77E5D">
        <w:rPr>
          <w:rFonts w:ascii="宋体" w:hAnsi="宋体" w:hint="eastAsia"/>
          <w:b/>
          <w:sz w:val="48"/>
        </w:rPr>
        <w:t>半导体智选混合型发起式证券投资基金托管协议</w:t>
      </w:r>
    </w:p>
    <w:p w:rsidR="002E15F3" w:rsidRPr="00B77E5D" w:rsidRDefault="002E15F3">
      <w:pPr>
        <w:pStyle w:val="20"/>
        <w:spacing w:line="520" w:lineRule="exact"/>
        <w:ind w:firstLine="560"/>
        <w:rPr>
          <w:rFonts w:hAnsi="宋体"/>
          <w:sz w:val="28"/>
          <w:szCs w:val="28"/>
        </w:rPr>
      </w:pPr>
    </w:p>
    <w:p w:rsidR="002E15F3" w:rsidRPr="00B77E5D" w:rsidRDefault="002E15F3">
      <w:pPr>
        <w:pStyle w:val="20"/>
        <w:spacing w:line="520" w:lineRule="exact"/>
        <w:ind w:firstLine="560"/>
        <w:rPr>
          <w:rFonts w:hAnsi="宋体"/>
          <w:sz w:val="28"/>
          <w:szCs w:val="28"/>
        </w:rPr>
      </w:pPr>
    </w:p>
    <w:p w:rsidR="002E15F3" w:rsidRPr="00B77E5D" w:rsidRDefault="002E15F3">
      <w:pPr>
        <w:pStyle w:val="20"/>
        <w:spacing w:line="520" w:lineRule="exact"/>
        <w:ind w:firstLine="560"/>
        <w:rPr>
          <w:rFonts w:hAnsi="宋体"/>
          <w:sz w:val="28"/>
          <w:szCs w:val="28"/>
        </w:rPr>
      </w:pPr>
    </w:p>
    <w:p w:rsidR="002E15F3" w:rsidRPr="00B77E5D" w:rsidRDefault="002E15F3">
      <w:pPr>
        <w:pStyle w:val="20"/>
        <w:spacing w:line="520" w:lineRule="exact"/>
        <w:ind w:firstLine="560"/>
        <w:rPr>
          <w:rFonts w:hAnsi="宋体"/>
          <w:sz w:val="28"/>
          <w:szCs w:val="28"/>
        </w:rPr>
      </w:pPr>
    </w:p>
    <w:p w:rsidR="002E15F3" w:rsidRPr="00B77E5D" w:rsidRDefault="002E15F3">
      <w:pPr>
        <w:pStyle w:val="20"/>
        <w:spacing w:line="520" w:lineRule="exact"/>
        <w:ind w:firstLine="560"/>
        <w:rPr>
          <w:rFonts w:hAnsi="宋体"/>
          <w:sz w:val="28"/>
          <w:szCs w:val="28"/>
        </w:rPr>
      </w:pPr>
    </w:p>
    <w:p w:rsidR="002E15F3" w:rsidRPr="00B77E5D" w:rsidRDefault="002E15F3">
      <w:pPr>
        <w:pStyle w:val="20"/>
        <w:spacing w:line="520" w:lineRule="exact"/>
        <w:ind w:firstLine="560"/>
        <w:rPr>
          <w:rFonts w:hAnsi="宋体"/>
          <w:sz w:val="28"/>
          <w:szCs w:val="28"/>
        </w:rPr>
      </w:pPr>
    </w:p>
    <w:p w:rsidR="002E15F3" w:rsidRPr="00B77E5D" w:rsidRDefault="00834479">
      <w:pPr>
        <w:spacing w:line="360" w:lineRule="auto"/>
        <w:jc w:val="center"/>
        <w:rPr>
          <w:rFonts w:ascii="宋体" w:hAnsi="宋体"/>
          <w:b/>
          <w:sz w:val="36"/>
        </w:rPr>
      </w:pPr>
      <w:bookmarkStart w:id="0" w:name="_Toc139991726"/>
      <w:bookmarkStart w:id="1" w:name="_Toc139992301"/>
      <w:bookmarkStart w:id="2" w:name="_Toc123112224"/>
      <w:bookmarkStart w:id="3" w:name="_Toc123701383"/>
      <w:bookmarkStart w:id="4" w:name="_Toc123112263"/>
      <w:r w:rsidRPr="00B77E5D">
        <w:rPr>
          <w:rFonts w:ascii="宋体" w:hAnsi="宋体"/>
          <w:b/>
          <w:sz w:val="36"/>
        </w:rPr>
        <w:t>基金管理人：</w:t>
      </w:r>
      <w:bookmarkEnd w:id="0"/>
      <w:bookmarkEnd w:id="1"/>
      <w:bookmarkEnd w:id="2"/>
      <w:bookmarkEnd w:id="3"/>
      <w:bookmarkEnd w:id="4"/>
      <w:proofErr w:type="gramStart"/>
      <w:r w:rsidRPr="00B77E5D">
        <w:rPr>
          <w:rFonts w:ascii="宋体" w:hAnsi="宋体" w:hint="eastAsia"/>
          <w:b/>
          <w:sz w:val="36"/>
        </w:rPr>
        <w:t>永赢基金</w:t>
      </w:r>
      <w:proofErr w:type="gramEnd"/>
      <w:r w:rsidRPr="00B77E5D">
        <w:rPr>
          <w:rFonts w:ascii="宋体" w:hAnsi="宋体" w:hint="eastAsia"/>
          <w:b/>
          <w:sz w:val="36"/>
        </w:rPr>
        <w:t xml:space="preserve">管理有限公司 </w:t>
      </w:r>
    </w:p>
    <w:p w:rsidR="002E15F3" w:rsidRPr="00B77E5D" w:rsidRDefault="00834479">
      <w:pPr>
        <w:spacing w:line="360" w:lineRule="auto"/>
        <w:jc w:val="center"/>
        <w:rPr>
          <w:rFonts w:ascii="宋体" w:hAnsi="宋体"/>
          <w:b/>
          <w:sz w:val="36"/>
        </w:rPr>
      </w:pPr>
      <w:bookmarkStart w:id="5" w:name="_Toc123112264"/>
      <w:bookmarkStart w:id="6" w:name="_Toc139991727"/>
      <w:bookmarkStart w:id="7" w:name="_Toc139992302"/>
      <w:bookmarkStart w:id="8" w:name="_Toc123701384"/>
      <w:bookmarkStart w:id="9" w:name="_Toc123112225"/>
      <w:r w:rsidRPr="00B77E5D">
        <w:rPr>
          <w:rFonts w:ascii="宋体" w:hAnsi="宋体"/>
          <w:b/>
          <w:sz w:val="36"/>
        </w:rPr>
        <w:t>基金托管人：</w:t>
      </w:r>
      <w:r w:rsidRPr="00B77E5D">
        <w:rPr>
          <w:rFonts w:ascii="宋体" w:hAnsi="宋体" w:hint="eastAsia"/>
          <w:b/>
          <w:sz w:val="36"/>
        </w:rPr>
        <w:t>中信银行股份有限公司</w:t>
      </w:r>
      <w:bookmarkEnd w:id="5"/>
      <w:bookmarkEnd w:id="6"/>
      <w:bookmarkEnd w:id="7"/>
      <w:bookmarkEnd w:id="8"/>
      <w:bookmarkEnd w:id="9"/>
    </w:p>
    <w:p w:rsidR="002E15F3" w:rsidRPr="00B77E5D" w:rsidRDefault="002E15F3">
      <w:pPr>
        <w:spacing w:line="360" w:lineRule="auto"/>
        <w:jc w:val="center"/>
        <w:rPr>
          <w:rFonts w:ascii="宋体" w:hAnsi="宋体"/>
          <w:b/>
          <w:sz w:val="44"/>
          <w:szCs w:val="44"/>
        </w:rPr>
      </w:pPr>
    </w:p>
    <w:p w:rsidR="002E15F3" w:rsidRPr="00B77E5D" w:rsidRDefault="002E15F3">
      <w:pPr>
        <w:spacing w:line="360" w:lineRule="auto"/>
        <w:rPr>
          <w:rFonts w:ascii="宋体" w:hAnsi="宋体"/>
          <w:b/>
          <w:szCs w:val="28"/>
        </w:rPr>
      </w:pPr>
    </w:p>
    <w:p w:rsidR="002E15F3" w:rsidRPr="00B77E5D" w:rsidRDefault="002E15F3">
      <w:pPr>
        <w:spacing w:line="360" w:lineRule="auto"/>
        <w:ind w:firstLineChars="200" w:firstLine="562"/>
        <w:jc w:val="center"/>
        <w:rPr>
          <w:rFonts w:ascii="宋体" w:hAnsi="宋体"/>
          <w:b/>
          <w:bCs/>
          <w:sz w:val="28"/>
          <w:szCs w:val="28"/>
        </w:rPr>
      </w:pPr>
    </w:p>
    <w:p w:rsidR="002E15F3" w:rsidRPr="00B77E5D" w:rsidRDefault="002E15F3">
      <w:pPr>
        <w:spacing w:line="360" w:lineRule="auto"/>
        <w:ind w:firstLineChars="200" w:firstLine="562"/>
        <w:jc w:val="center"/>
        <w:rPr>
          <w:rFonts w:ascii="宋体" w:hAnsi="宋体"/>
          <w:b/>
          <w:bCs/>
          <w:sz w:val="28"/>
          <w:szCs w:val="28"/>
        </w:rPr>
      </w:pPr>
    </w:p>
    <w:p w:rsidR="002E15F3" w:rsidRPr="00B77E5D" w:rsidRDefault="002E15F3">
      <w:pPr>
        <w:spacing w:line="360" w:lineRule="auto"/>
        <w:rPr>
          <w:rFonts w:ascii="宋体" w:hAnsi="宋体"/>
          <w:b/>
          <w:bCs/>
          <w:sz w:val="28"/>
          <w:szCs w:val="28"/>
        </w:rPr>
      </w:pPr>
    </w:p>
    <w:p w:rsidR="002E15F3" w:rsidRPr="00B77E5D" w:rsidRDefault="00834479">
      <w:pPr>
        <w:spacing w:line="360" w:lineRule="auto"/>
        <w:ind w:firstLineChars="200" w:firstLine="562"/>
        <w:jc w:val="center"/>
        <w:rPr>
          <w:rFonts w:ascii="宋体" w:hAnsi="宋体"/>
          <w:b/>
          <w:bCs/>
          <w:sz w:val="28"/>
          <w:szCs w:val="28"/>
        </w:rPr>
      </w:pPr>
      <w:r w:rsidRPr="00B77E5D">
        <w:rPr>
          <w:rFonts w:ascii="宋体" w:hAnsi="宋体"/>
          <w:b/>
          <w:bCs/>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sidRPr="00B77E5D">
        <w:rPr>
          <w:rFonts w:ascii="宋体" w:hAnsi="宋体" w:hint="eastAsia"/>
          <w:b/>
          <w:bCs/>
          <w:sz w:val="28"/>
          <w:szCs w:val="28"/>
        </w:rPr>
        <w:br w:type="page"/>
      </w:r>
    </w:p>
    <w:p w:rsidR="002E15F3" w:rsidRPr="00B77E5D" w:rsidRDefault="00834479">
      <w:pPr>
        <w:spacing w:line="360" w:lineRule="auto"/>
        <w:jc w:val="center"/>
        <w:rPr>
          <w:rFonts w:ascii="宋体" w:hAnsi="宋体"/>
          <w:b/>
          <w:bCs/>
          <w:sz w:val="28"/>
          <w:szCs w:val="28"/>
        </w:rPr>
      </w:pPr>
      <w:r w:rsidRPr="00B77E5D">
        <w:rPr>
          <w:rFonts w:ascii="宋体" w:hAnsi="宋体" w:hint="eastAsia"/>
          <w:b/>
          <w:bCs/>
          <w:sz w:val="28"/>
          <w:szCs w:val="28"/>
        </w:rPr>
        <w:lastRenderedPageBreak/>
        <w:t>目录</w:t>
      </w:r>
    </w:p>
    <w:p w:rsidR="002E15F3" w:rsidRPr="00B77E5D" w:rsidRDefault="002E15F3">
      <w:pPr>
        <w:spacing w:line="360" w:lineRule="auto"/>
        <w:ind w:firstLineChars="200" w:firstLine="562"/>
        <w:jc w:val="center"/>
        <w:rPr>
          <w:rFonts w:ascii="宋体" w:hAnsi="宋体"/>
          <w:b/>
          <w:bCs/>
          <w:sz w:val="28"/>
          <w:szCs w:val="28"/>
        </w:rPr>
      </w:pPr>
    </w:p>
    <w:p w:rsidR="002E15F3" w:rsidRPr="00B77E5D" w:rsidRDefault="00834479">
      <w:pPr>
        <w:pStyle w:val="12"/>
        <w:rPr>
          <w:rFonts w:asciiTheme="minorHAnsi" w:eastAsiaTheme="minorEastAsia" w:hAnsiTheme="minorHAnsi" w:cstheme="minorBidi"/>
          <w:noProof/>
          <w:sz w:val="21"/>
          <w:szCs w:val="22"/>
        </w:rPr>
      </w:pPr>
      <w:r w:rsidRPr="00B77E5D">
        <w:rPr>
          <w:b/>
          <w:sz w:val="28"/>
          <w:szCs w:val="28"/>
        </w:rPr>
        <w:fldChar w:fldCharType="begin"/>
      </w:r>
      <w:r w:rsidRPr="00B77E5D">
        <w:rPr>
          <w:b/>
          <w:sz w:val="28"/>
          <w:szCs w:val="28"/>
        </w:rPr>
        <w:instrText xml:space="preserve"> </w:instrText>
      </w:r>
      <w:r w:rsidRPr="00B77E5D">
        <w:rPr>
          <w:rFonts w:hint="eastAsia"/>
          <w:b/>
          <w:sz w:val="28"/>
          <w:szCs w:val="28"/>
        </w:rPr>
        <w:instrText>TOC \o "1-1" \h \z \u</w:instrText>
      </w:r>
      <w:r w:rsidRPr="00B77E5D">
        <w:rPr>
          <w:b/>
          <w:sz w:val="28"/>
          <w:szCs w:val="28"/>
        </w:rPr>
        <w:instrText xml:space="preserve"> </w:instrText>
      </w:r>
      <w:r w:rsidRPr="00B77E5D">
        <w:rPr>
          <w:b/>
          <w:sz w:val="28"/>
          <w:szCs w:val="28"/>
        </w:rPr>
        <w:fldChar w:fldCharType="separate"/>
      </w:r>
      <w:hyperlink w:anchor="_Toc44321724" w:history="1">
        <w:r w:rsidRPr="00B77E5D">
          <w:rPr>
            <w:rStyle w:val="af5"/>
            <w:rFonts w:hint="eastAsia"/>
            <w:bCs/>
            <w:noProof/>
          </w:rPr>
          <w:t>第一条</w:t>
        </w:r>
        <w:r w:rsidRPr="00B77E5D">
          <w:rPr>
            <w:rStyle w:val="af5"/>
            <w:bCs/>
            <w:noProof/>
          </w:rPr>
          <w:t xml:space="preserve"> </w:t>
        </w:r>
        <w:r w:rsidRPr="00B77E5D">
          <w:rPr>
            <w:rStyle w:val="af5"/>
            <w:rFonts w:hint="eastAsia"/>
            <w:bCs/>
            <w:noProof/>
          </w:rPr>
          <w:t>本协议当事人</w:t>
        </w:r>
        <w:r w:rsidRPr="00B77E5D">
          <w:rPr>
            <w:noProof/>
          </w:rPr>
          <w:tab/>
        </w:r>
        <w:r w:rsidRPr="00B77E5D">
          <w:rPr>
            <w:noProof/>
          </w:rPr>
          <w:fldChar w:fldCharType="begin"/>
        </w:r>
        <w:r w:rsidRPr="00B77E5D">
          <w:rPr>
            <w:noProof/>
          </w:rPr>
          <w:instrText xml:space="preserve"> PAGEREF _Toc44321724 \h </w:instrText>
        </w:r>
        <w:r w:rsidRPr="00B77E5D">
          <w:rPr>
            <w:noProof/>
          </w:rPr>
        </w:r>
        <w:r w:rsidRPr="00B77E5D">
          <w:rPr>
            <w:noProof/>
          </w:rPr>
          <w:fldChar w:fldCharType="separate"/>
        </w:r>
        <w:r w:rsidR="00B77E5D">
          <w:rPr>
            <w:noProof/>
          </w:rPr>
          <w:t>3</w:t>
        </w:r>
        <w:r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25" w:history="1">
        <w:r w:rsidR="00834479" w:rsidRPr="00B77E5D">
          <w:rPr>
            <w:rStyle w:val="af5"/>
            <w:rFonts w:hint="eastAsia"/>
            <w:bCs/>
            <w:noProof/>
          </w:rPr>
          <w:t>第二条</w:t>
        </w:r>
        <w:r w:rsidR="00834479" w:rsidRPr="00B77E5D">
          <w:rPr>
            <w:rStyle w:val="af5"/>
            <w:bCs/>
            <w:noProof/>
          </w:rPr>
          <w:t xml:space="preserve"> </w:t>
        </w:r>
        <w:r w:rsidR="00834479" w:rsidRPr="00B77E5D">
          <w:rPr>
            <w:rStyle w:val="af5"/>
            <w:rFonts w:hint="eastAsia"/>
            <w:bCs/>
            <w:noProof/>
          </w:rPr>
          <w:t>本协议的依据、目的和原则</w:t>
        </w:r>
        <w:r w:rsidR="00834479" w:rsidRPr="00B77E5D">
          <w:rPr>
            <w:noProof/>
          </w:rPr>
          <w:tab/>
        </w:r>
        <w:r w:rsidR="00834479" w:rsidRPr="00B77E5D">
          <w:rPr>
            <w:noProof/>
          </w:rPr>
          <w:fldChar w:fldCharType="begin"/>
        </w:r>
        <w:r w:rsidR="00834479" w:rsidRPr="00B77E5D">
          <w:rPr>
            <w:noProof/>
          </w:rPr>
          <w:instrText xml:space="preserve"> PAGEREF _Toc44321725 \h </w:instrText>
        </w:r>
        <w:r w:rsidR="00834479" w:rsidRPr="00B77E5D">
          <w:rPr>
            <w:noProof/>
          </w:rPr>
        </w:r>
        <w:r w:rsidR="00834479" w:rsidRPr="00B77E5D">
          <w:rPr>
            <w:noProof/>
          </w:rPr>
          <w:fldChar w:fldCharType="separate"/>
        </w:r>
        <w:r w:rsidR="00B77E5D">
          <w:rPr>
            <w:noProof/>
          </w:rPr>
          <w:t>3</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26" w:history="1">
        <w:r w:rsidR="00834479" w:rsidRPr="00B77E5D">
          <w:rPr>
            <w:rStyle w:val="af5"/>
            <w:rFonts w:hint="eastAsia"/>
            <w:bCs/>
            <w:noProof/>
          </w:rPr>
          <w:t>第三条</w:t>
        </w:r>
        <w:r w:rsidR="00834479" w:rsidRPr="00B77E5D">
          <w:rPr>
            <w:rStyle w:val="af5"/>
            <w:bCs/>
            <w:noProof/>
          </w:rPr>
          <w:t xml:space="preserve"> </w:t>
        </w:r>
        <w:r w:rsidR="00834479" w:rsidRPr="00B77E5D">
          <w:rPr>
            <w:rStyle w:val="af5"/>
            <w:rFonts w:hint="eastAsia"/>
            <w:bCs/>
            <w:noProof/>
          </w:rPr>
          <w:t>基金托管人对基金管理人的业务监督和核查</w:t>
        </w:r>
        <w:r w:rsidR="00834479" w:rsidRPr="00B77E5D">
          <w:rPr>
            <w:noProof/>
          </w:rPr>
          <w:tab/>
        </w:r>
        <w:r w:rsidR="00834479" w:rsidRPr="00B77E5D">
          <w:rPr>
            <w:noProof/>
          </w:rPr>
          <w:fldChar w:fldCharType="begin"/>
        </w:r>
        <w:r w:rsidR="00834479" w:rsidRPr="00B77E5D">
          <w:rPr>
            <w:noProof/>
          </w:rPr>
          <w:instrText xml:space="preserve"> PAGEREF _Toc44321726 \h </w:instrText>
        </w:r>
        <w:r w:rsidR="00834479" w:rsidRPr="00B77E5D">
          <w:rPr>
            <w:noProof/>
          </w:rPr>
        </w:r>
        <w:r w:rsidR="00834479" w:rsidRPr="00B77E5D">
          <w:rPr>
            <w:noProof/>
          </w:rPr>
          <w:fldChar w:fldCharType="separate"/>
        </w:r>
        <w:r w:rsidR="00B77E5D">
          <w:rPr>
            <w:noProof/>
          </w:rPr>
          <w:t>4</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27" w:history="1">
        <w:r w:rsidR="00834479" w:rsidRPr="00B77E5D">
          <w:rPr>
            <w:rStyle w:val="af5"/>
            <w:rFonts w:hint="eastAsia"/>
            <w:bCs/>
            <w:noProof/>
          </w:rPr>
          <w:t>第四条</w:t>
        </w:r>
        <w:r w:rsidR="00834479" w:rsidRPr="00B77E5D">
          <w:rPr>
            <w:rStyle w:val="af5"/>
            <w:bCs/>
            <w:noProof/>
          </w:rPr>
          <w:t xml:space="preserve"> </w:t>
        </w:r>
        <w:r w:rsidR="00834479" w:rsidRPr="00B77E5D">
          <w:rPr>
            <w:rStyle w:val="af5"/>
            <w:rFonts w:hint="eastAsia"/>
            <w:bCs/>
            <w:noProof/>
          </w:rPr>
          <w:t>基金管理人对基金托管人的业务核查</w:t>
        </w:r>
        <w:r w:rsidR="00834479" w:rsidRPr="00B77E5D">
          <w:rPr>
            <w:noProof/>
          </w:rPr>
          <w:tab/>
        </w:r>
        <w:r w:rsidR="00834479" w:rsidRPr="00B77E5D">
          <w:rPr>
            <w:noProof/>
          </w:rPr>
          <w:fldChar w:fldCharType="begin"/>
        </w:r>
        <w:r w:rsidR="00834479" w:rsidRPr="00B77E5D">
          <w:rPr>
            <w:noProof/>
          </w:rPr>
          <w:instrText xml:space="preserve"> PAGEREF _Toc44321727 \h </w:instrText>
        </w:r>
        <w:r w:rsidR="00834479" w:rsidRPr="00B77E5D">
          <w:rPr>
            <w:noProof/>
          </w:rPr>
        </w:r>
        <w:r w:rsidR="00834479" w:rsidRPr="00B77E5D">
          <w:rPr>
            <w:noProof/>
          </w:rPr>
          <w:fldChar w:fldCharType="separate"/>
        </w:r>
        <w:r w:rsidR="00B77E5D">
          <w:rPr>
            <w:noProof/>
          </w:rPr>
          <w:t>12</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28" w:history="1">
        <w:r w:rsidR="00834479" w:rsidRPr="00B77E5D">
          <w:rPr>
            <w:rStyle w:val="af5"/>
            <w:rFonts w:hint="eastAsia"/>
            <w:bCs/>
            <w:noProof/>
          </w:rPr>
          <w:t>第五条</w:t>
        </w:r>
        <w:r w:rsidR="00834479" w:rsidRPr="00B77E5D">
          <w:rPr>
            <w:rStyle w:val="af5"/>
            <w:bCs/>
            <w:noProof/>
          </w:rPr>
          <w:t xml:space="preserve"> </w:t>
        </w:r>
        <w:r w:rsidR="00834479" w:rsidRPr="00B77E5D">
          <w:rPr>
            <w:rStyle w:val="af5"/>
            <w:rFonts w:hint="eastAsia"/>
            <w:bCs/>
            <w:noProof/>
          </w:rPr>
          <w:t>基金财产保管</w:t>
        </w:r>
        <w:r w:rsidR="00834479" w:rsidRPr="00B77E5D">
          <w:rPr>
            <w:noProof/>
          </w:rPr>
          <w:tab/>
        </w:r>
        <w:r w:rsidR="00834479" w:rsidRPr="00B77E5D">
          <w:rPr>
            <w:noProof/>
          </w:rPr>
          <w:fldChar w:fldCharType="begin"/>
        </w:r>
        <w:r w:rsidR="00834479" w:rsidRPr="00B77E5D">
          <w:rPr>
            <w:noProof/>
          </w:rPr>
          <w:instrText xml:space="preserve"> PAGEREF _Toc44321728 \h </w:instrText>
        </w:r>
        <w:r w:rsidR="00834479" w:rsidRPr="00B77E5D">
          <w:rPr>
            <w:noProof/>
          </w:rPr>
        </w:r>
        <w:r w:rsidR="00834479" w:rsidRPr="00B77E5D">
          <w:rPr>
            <w:noProof/>
          </w:rPr>
          <w:fldChar w:fldCharType="separate"/>
        </w:r>
        <w:r w:rsidR="00B77E5D">
          <w:rPr>
            <w:noProof/>
          </w:rPr>
          <w:t>13</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29" w:history="1">
        <w:r w:rsidR="00834479" w:rsidRPr="00B77E5D">
          <w:rPr>
            <w:rStyle w:val="af5"/>
            <w:rFonts w:hint="eastAsia"/>
            <w:bCs/>
            <w:noProof/>
          </w:rPr>
          <w:t>第六条</w:t>
        </w:r>
        <w:r w:rsidR="00834479" w:rsidRPr="00B77E5D">
          <w:rPr>
            <w:rStyle w:val="af5"/>
            <w:bCs/>
            <w:noProof/>
          </w:rPr>
          <w:t xml:space="preserve"> </w:t>
        </w:r>
        <w:r w:rsidR="00834479" w:rsidRPr="00B77E5D">
          <w:rPr>
            <w:rStyle w:val="af5"/>
            <w:rFonts w:hint="eastAsia"/>
            <w:bCs/>
            <w:noProof/>
          </w:rPr>
          <w:t>指令的发送、确认和执行</w:t>
        </w:r>
        <w:r w:rsidR="00834479" w:rsidRPr="00B77E5D">
          <w:rPr>
            <w:noProof/>
          </w:rPr>
          <w:tab/>
        </w:r>
        <w:r w:rsidR="00834479" w:rsidRPr="00B77E5D">
          <w:rPr>
            <w:noProof/>
          </w:rPr>
          <w:fldChar w:fldCharType="begin"/>
        </w:r>
        <w:r w:rsidR="00834479" w:rsidRPr="00B77E5D">
          <w:rPr>
            <w:noProof/>
          </w:rPr>
          <w:instrText xml:space="preserve"> PAGEREF _Toc44321729 \h </w:instrText>
        </w:r>
        <w:r w:rsidR="00834479" w:rsidRPr="00B77E5D">
          <w:rPr>
            <w:noProof/>
          </w:rPr>
        </w:r>
        <w:r w:rsidR="00834479" w:rsidRPr="00B77E5D">
          <w:rPr>
            <w:noProof/>
          </w:rPr>
          <w:fldChar w:fldCharType="separate"/>
        </w:r>
        <w:r w:rsidR="00B77E5D">
          <w:rPr>
            <w:noProof/>
          </w:rPr>
          <w:t>15</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0" w:history="1">
        <w:r w:rsidR="00834479" w:rsidRPr="00B77E5D">
          <w:rPr>
            <w:rStyle w:val="af5"/>
            <w:rFonts w:hint="eastAsia"/>
            <w:bCs/>
            <w:noProof/>
          </w:rPr>
          <w:t>第七条</w:t>
        </w:r>
        <w:r w:rsidR="00834479" w:rsidRPr="00B77E5D">
          <w:rPr>
            <w:rStyle w:val="af5"/>
            <w:bCs/>
            <w:noProof/>
          </w:rPr>
          <w:t xml:space="preserve"> </w:t>
        </w:r>
        <w:r w:rsidR="00834479" w:rsidRPr="00B77E5D">
          <w:rPr>
            <w:rStyle w:val="af5"/>
            <w:rFonts w:hint="eastAsia"/>
            <w:bCs/>
            <w:noProof/>
          </w:rPr>
          <w:t>交易及清算交收安排</w:t>
        </w:r>
        <w:r w:rsidR="00834479" w:rsidRPr="00B77E5D">
          <w:rPr>
            <w:noProof/>
          </w:rPr>
          <w:tab/>
        </w:r>
        <w:r w:rsidR="00834479" w:rsidRPr="00B77E5D">
          <w:rPr>
            <w:noProof/>
          </w:rPr>
          <w:fldChar w:fldCharType="begin"/>
        </w:r>
        <w:r w:rsidR="00834479" w:rsidRPr="00B77E5D">
          <w:rPr>
            <w:noProof/>
          </w:rPr>
          <w:instrText xml:space="preserve"> PAGEREF _Toc44321730 \h </w:instrText>
        </w:r>
        <w:r w:rsidR="00834479" w:rsidRPr="00B77E5D">
          <w:rPr>
            <w:noProof/>
          </w:rPr>
        </w:r>
        <w:r w:rsidR="00834479" w:rsidRPr="00B77E5D">
          <w:rPr>
            <w:noProof/>
          </w:rPr>
          <w:fldChar w:fldCharType="separate"/>
        </w:r>
        <w:r w:rsidR="00B77E5D">
          <w:rPr>
            <w:noProof/>
          </w:rPr>
          <w:t>18</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1" w:history="1">
        <w:r w:rsidR="00834479" w:rsidRPr="00B77E5D">
          <w:rPr>
            <w:rStyle w:val="af5"/>
            <w:rFonts w:hint="eastAsia"/>
            <w:bCs/>
            <w:noProof/>
          </w:rPr>
          <w:t>第八条</w:t>
        </w:r>
        <w:r w:rsidR="00834479" w:rsidRPr="00B77E5D">
          <w:rPr>
            <w:rStyle w:val="af5"/>
            <w:bCs/>
            <w:noProof/>
          </w:rPr>
          <w:t xml:space="preserve"> </w:t>
        </w:r>
        <w:r w:rsidR="00834479" w:rsidRPr="00B77E5D">
          <w:rPr>
            <w:rStyle w:val="af5"/>
            <w:rFonts w:hint="eastAsia"/>
            <w:bCs/>
            <w:noProof/>
          </w:rPr>
          <w:t>基金净值计算和会计核算</w:t>
        </w:r>
        <w:r w:rsidR="00834479" w:rsidRPr="00B77E5D">
          <w:rPr>
            <w:noProof/>
          </w:rPr>
          <w:tab/>
        </w:r>
        <w:r w:rsidR="00834479" w:rsidRPr="00B77E5D">
          <w:rPr>
            <w:noProof/>
          </w:rPr>
          <w:fldChar w:fldCharType="begin"/>
        </w:r>
        <w:r w:rsidR="00834479" w:rsidRPr="00B77E5D">
          <w:rPr>
            <w:noProof/>
          </w:rPr>
          <w:instrText xml:space="preserve"> PAGEREF _Toc44321731 \h </w:instrText>
        </w:r>
        <w:r w:rsidR="00834479" w:rsidRPr="00B77E5D">
          <w:rPr>
            <w:noProof/>
          </w:rPr>
        </w:r>
        <w:r w:rsidR="00834479" w:rsidRPr="00B77E5D">
          <w:rPr>
            <w:noProof/>
          </w:rPr>
          <w:fldChar w:fldCharType="separate"/>
        </w:r>
        <w:r w:rsidR="00B77E5D">
          <w:rPr>
            <w:noProof/>
          </w:rPr>
          <w:t>21</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2" w:history="1">
        <w:r w:rsidR="00834479" w:rsidRPr="00B77E5D">
          <w:rPr>
            <w:rStyle w:val="af5"/>
            <w:rFonts w:hint="eastAsia"/>
            <w:bCs/>
            <w:noProof/>
          </w:rPr>
          <w:t>第九条</w:t>
        </w:r>
        <w:r w:rsidR="00834479" w:rsidRPr="00B77E5D">
          <w:rPr>
            <w:rStyle w:val="af5"/>
            <w:bCs/>
            <w:noProof/>
          </w:rPr>
          <w:t xml:space="preserve"> </w:t>
        </w:r>
        <w:r w:rsidR="00834479" w:rsidRPr="00B77E5D">
          <w:rPr>
            <w:rStyle w:val="af5"/>
            <w:rFonts w:hint="eastAsia"/>
            <w:bCs/>
            <w:noProof/>
          </w:rPr>
          <w:t>基金收益分配</w:t>
        </w:r>
        <w:r w:rsidR="00834479" w:rsidRPr="00B77E5D">
          <w:rPr>
            <w:noProof/>
          </w:rPr>
          <w:tab/>
        </w:r>
        <w:r w:rsidR="00834479" w:rsidRPr="00B77E5D">
          <w:rPr>
            <w:noProof/>
          </w:rPr>
          <w:fldChar w:fldCharType="begin"/>
        </w:r>
        <w:r w:rsidR="00834479" w:rsidRPr="00B77E5D">
          <w:rPr>
            <w:noProof/>
          </w:rPr>
          <w:instrText xml:space="preserve"> PAGEREF _Toc44321732 \h </w:instrText>
        </w:r>
        <w:r w:rsidR="00834479" w:rsidRPr="00B77E5D">
          <w:rPr>
            <w:noProof/>
          </w:rPr>
        </w:r>
        <w:r w:rsidR="00834479" w:rsidRPr="00B77E5D">
          <w:rPr>
            <w:noProof/>
          </w:rPr>
          <w:fldChar w:fldCharType="separate"/>
        </w:r>
        <w:r w:rsidR="00B77E5D">
          <w:rPr>
            <w:noProof/>
          </w:rPr>
          <w:t>27</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3" w:history="1">
        <w:r w:rsidR="00834479" w:rsidRPr="00B77E5D">
          <w:rPr>
            <w:rStyle w:val="af5"/>
            <w:rFonts w:hint="eastAsia"/>
            <w:bCs/>
            <w:noProof/>
          </w:rPr>
          <w:t>第十条</w:t>
        </w:r>
        <w:r w:rsidR="00834479" w:rsidRPr="00B77E5D">
          <w:rPr>
            <w:rStyle w:val="af5"/>
            <w:bCs/>
            <w:noProof/>
          </w:rPr>
          <w:t xml:space="preserve"> </w:t>
        </w:r>
        <w:r w:rsidR="00834479" w:rsidRPr="00B77E5D">
          <w:rPr>
            <w:rStyle w:val="af5"/>
            <w:rFonts w:hint="eastAsia"/>
            <w:bCs/>
            <w:noProof/>
          </w:rPr>
          <w:t>信息披露</w:t>
        </w:r>
        <w:r w:rsidR="00834479" w:rsidRPr="00B77E5D">
          <w:rPr>
            <w:noProof/>
          </w:rPr>
          <w:tab/>
        </w:r>
        <w:r w:rsidR="00834479" w:rsidRPr="00B77E5D">
          <w:rPr>
            <w:noProof/>
          </w:rPr>
          <w:fldChar w:fldCharType="begin"/>
        </w:r>
        <w:r w:rsidR="00834479" w:rsidRPr="00B77E5D">
          <w:rPr>
            <w:noProof/>
          </w:rPr>
          <w:instrText xml:space="preserve"> PAGEREF _Toc44321733 \h </w:instrText>
        </w:r>
        <w:r w:rsidR="00834479" w:rsidRPr="00B77E5D">
          <w:rPr>
            <w:noProof/>
          </w:rPr>
        </w:r>
        <w:r w:rsidR="00834479" w:rsidRPr="00B77E5D">
          <w:rPr>
            <w:noProof/>
          </w:rPr>
          <w:fldChar w:fldCharType="separate"/>
        </w:r>
        <w:r w:rsidR="00B77E5D">
          <w:rPr>
            <w:noProof/>
          </w:rPr>
          <w:t>29</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4" w:history="1">
        <w:r w:rsidR="00834479" w:rsidRPr="00B77E5D">
          <w:rPr>
            <w:rStyle w:val="af5"/>
            <w:rFonts w:hint="eastAsia"/>
            <w:bCs/>
            <w:noProof/>
          </w:rPr>
          <w:t>第十一条</w:t>
        </w:r>
        <w:r w:rsidR="00834479" w:rsidRPr="00B77E5D">
          <w:rPr>
            <w:rStyle w:val="af5"/>
            <w:bCs/>
            <w:noProof/>
          </w:rPr>
          <w:t xml:space="preserve"> </w:t>
        </w:r>
        <w:r w:rsidR="00834479" w:rsidRPr="00B77E5D">
          <w:rPr>
            <w:rStyle w:val="af5"/>
            <w:rFonts w:hint="eastAsia"/>
            <w:bCs/>
            <w:noProof/>
          </w:rPr>
          <w:t>基金费用</w:t>
        </w:r>
        <w:r w:rsidR="00834479" w:rsidRPr="00B77E5D">
          <w:rPr>
            <w:noProof/>
          </w:rPr>
          <w:tab/>
        </w:r>
        <w:r w:rsidR="00834479" w:rsidRPr="00B77E5D">
          <w:rPr>
            <w:noProof/>
          </w:rPr>
          <w:fldChar w:fldCharType="begin"/>
        </w:r>
        <w:r w:rsidR="00834479" w:rsidRPr="00B77E5D">
          <w:rPr>
            <w:noProof/>
          </w:rPr>
          <w:instrText xml:space="preserve"> PAGEREF _Toc44321734 \h </w:instrText>
        </w:r>
        <w:r w:rsidR="00834479" w:rsidRPr="00B77E5D">
          <w:rPr>
            <w:noProof/>
          </w:rPr>
        </w:r>
        <w:r w:rsidR="00834479" w:rsidRPr="00B77E5D">
          <w:rPr>
            <w:noProof/>
          </w:rPr>
          <w:fldChar w:fldCharType="separate"/>
        </w:r>
        <w:r w:rsidR="00B77E5D">
          <w:rPr>
            <w:noProof/>
          </w:rPr>
          <w:t>30</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5" w:history="1">
        <w:r w:rsidR="00834479" w:rsidRPr="00B77E5D">
          <w:rPr>
            <w:rStyle w:val="af5"/>
            <w:rFonts w:hint="eastAsia"/>
            <w:bCs/>
            <w:noProof/>
          </w:rPr>
          <w:t>第十二条</w:t>
        </w:r>
        <w:r w:rsidR="00834479" w:rsidRPr="00B77E5D">
          <w:rPr>
            <w:rStyle w:val="af5"/>
            <w:bCs/>
            <w:noProof/>
          </w:rPr>
          <w:t xml:space="preserve"> </w:t>
        </w:r>
        <w:r w:rsidR="00834479" w:rsidRPr="00B77E5D">
          <w:rPr>
            <w:rStyle w:val="af5"/>
            <w:rFonts w:hint="eastAsia"/>
            <w:bCs/>
            <w:noProof/>
          </w:rPr>
          <w:t>基金份额持有人名册的保管</w:t>
        </w:r>
        <w:r w:rsidR="00834479" w:rsidRPr="00B77E5D">
          <w:rPr>
            <w:noProof/>
          </w:rPr>
          <w:tab/>
        </w:r>
        <w:r w:rsidR="00834479" w:rsidRPr="00B77E5D">
          <w:rPr>
            <w:noProof/>
          </w:rPr>
          <w:fldChar w:fldCharType="begin"/>
        </w:r>
        <w:r w:rsidR="00834479" w:rsidRPr="00B77E5D">
          <w:rPr>
            <w:noProof/>
          </w:rPr>
          <w:instrText xml:space="preserve"> PAGEREF _Toc44321735 \h </w:instrText>
        </w:r>
        <w:r w:rsidR="00834479" w:rsidRPr="00B77E5D">
          <w:rPr>
            <w:noProof/>
          </w:rPr>
        </w:r>
        <w:r w:rsidR="00834479" w:rsidRPr="00B77E5D">
          <w:rPr>
            <w:noProof/>
          </w:rPr>
          <w:fldChar w:fldCharType="separate"/>
        </w:r>
        <w:r w:rsidR="00B77E5D">
          <w:rPr>
            <w:noProof/>
          </w:rPr>
          <w:t>32</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6" w:history="1">
        <w:r w:rsidR="00834479" w:rsidRPr="00B77E5D">
          <w:rPr>
            <w:rStyle w:val="af5"/>
            <w:rFonts w:hint="eastAsia"/>
            <w:bCs/>
            <w:noProof/>
          </w:rPr>
          <w:t>第十三条</w:t>
        </w:r>
        <w:r w:rsidR="00834479" w:rsidRPr="00B77E5D">
          <w:rPr>
            <w:rStyle w:val="af5"/>
            <w:bCs/>
            <w:noProof/>
          </w:rPr>
          <w:t xml:space="preserve"> </w:t>
        </w:r>
        <w:r w:rsidR="00834479" w:rsidRPr="00B77E5D">
          <w:rPr>
            <w:rStyle w:val="af5"/>
            <w:rFonts w:hint="eastAsia"/>
            <w:bCs/>
            <w:noProof/>
          </w:rPr>
          <w:t>基金有关文件和档案的保存</w:t>
        </w:r>
        <w:r w:rsidR="00834479" w:rsidRPr="00B77E5D">
          <w:rPr>
            <w:noProof/>
          </w:rPr>
          <w:tab/>
        </w:r>
        <w:r w:rsidR="00834479" w:rsidRPr="00B77E5D">
          <w:rPr>
            <w:noProof/>
          </w:rPr>
          <w:fldChar w:fldCharType="begin"/>
        </w:r>
        <w:r w:rsidR="00834479" w:rsidRPr="00B77E5D">
          <w:rPr>
            <w:noProof/>
          </w:rPr>
          <w:instrText xml:space="preserve"> PAGEREF _Toc44321736 \h </w:instrText>
        </w:r>
        <w:r w:rsidR="00834479" w:rsidRPr="00B77E5D">
          <w:rPr>
            <w:noProof/>
          </w:rPr>
        </w:r>
        <w:r w:rsidR="00834479" w:rsidRPr="00B77E5D">
          <w:rPr>
            <w:noProof/>
          </w:rPr>
          <w:fldChar w:fldCharType="separate"/>
        </w:r>
        <w:r w:rsidR="00B77E5D">
          <w:rPr>
            <w:noProof/>
          </w:rPr>
          <w:t>33</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7" w:history="1">
        <w:r w:rsidR="00834479" w:rsidRPr="00B77E5D">
          <w:rPr>
            <w:rStyle w:val="af5"/>
            <w:rFonts w:hint="eastAsia"/>
            <w:bCs/>
            <w:noProof/>
          </w:rPr>
          <w:t>第十四条</w:t>
        </w:r>
        <w:r w:rsidR="00834479" w:rsidRPr="00B77E5D">
          <w:rPr>
            <w:rStyle w:val="af5"/>
            <w:bCs/>
            <w:noProof/>
          </w:rPr>
          <w:t xml:space="preserve"> </w:t>
        </w:r>
        <w:r w:rsidR="00834479" w:rsidRPr="00B77E5D">
          <w:rPr>
            <w:rStyle w:val="af5"/>
            <w:rFonts w:hint="eastAsia"/>
            <w:bCs/>
            <w:noProof/>
          </w:rPr>
          <w:t>基金管理人和基金托管人的更换</w:t>
        </w:r>
        <w:r w:rsidR="00834479" w:rsidRPr="00B77E5D">
          <w:rPr>
            <w:noProof/>
          </w:rPr>
          <w:tab/>
        </w:r>
        <w:r w:rsidR="00834479" w:rsidRPr="00B77E5D">
          <w:rPr>
            <w:noProof/>
          </w:rPr>
          <w:fldChar w:fldCharType="begin"/>
        </w:r>
        <w:r w:rsidR="00834479" w:rsidRPr="00B77E5D">
          <w:rPr>
            <w:noProof/>
          </w:rPr>
          <w:instrText xml:space="preserve"> PAGEREF _Toc44321737 \h </w:instrText>
        </w:r>
        <w:r w:rsidR="00834479" w:rsidRPr="00B77E5D">
          <w:rPr>
            <w:noProof/>
          </w:rPr>
        </w:r>
        <w:r w:rsidR="00834479" w:rsidRPr="00B77E5D">
          <w:rPr>
            <w:noProof/>
          </w:rPr>
          <w:fldChar w:fldCharType="separate"/>
        </w:r>
        <w:r w:rsidR="00B77E5D">
          <w:rPr>
            <w:noProof/>
          </w:rPr>
          <w:t>33</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8" w:history="1">
        <w:r w:rsidR="00834479" w:rsidRPr="00B77E5D">
          <w:rPr>
            <w:rStyle w:val="af5"/>
            <w:rFonts w:hint="eastAsia"/>
            <w:bCs/>
            <w:noProof/>
          </w:rPr>
          <w:t>第十五条</w:t>
        </w:r>
        <w:r w:rsidR="00834479" w:rsidRPr="00B77E5D">
          <w:rPr>
            <w:rStyle w:val="af5"/>
            <w:bCs/>
            <w:noProof/>
          </w:rPr>
          <w:t xml:space="preserve"> </w:t>
        </w:r>
        <w:r w:rsidR="00834479" w:rsidRPr="00B77E5D">
          <w:rPr>
            <w:rStyle w:val="af5"/>
            <w:rFonts w:hint="eastAsia"/>
            <w:bCs/>
            <w:noProof/>
          </w:rPr>
          <w:t>禁止行为</w:t>
        </w:r>
        <w:r w:rsidR="00834479" w:rsidRPr="00B77E5D">
          <w:rPr>
            <w:noProof/>
          </w:rPr>
          <w:tab/>
        </w:r>
        <w:r w:rsidR="00834479" w:rsidRPr="00B77E5D">
          <w:rPr>
            <w:noProof/>
          </w:rPr>
          <w:fldChar w:fldCharType="begin"/>
        </w:r>
        <w:r w:rsidR="00834479" w:rsidRPr="00B77E5D">
          <w:rPr>
            <w:noProof/>
          </w:rPr>
          <w:instrText xml:space="preserve"> PAGEREF _Toc44321738 \h </w:instrText>
        </w:r>
        <w:r w:rsidR="00834479" w:rsidRPr="00B77E5D">
          <w:rPr>
            <w:noProof/>
          </w:rPr>
        </w:r>
        <w:r w:rsidR="00834479" w:rsidRPr="00B77E5D">
          <w:rPr>
            <w:noProof/>
          </w:rPr>
          <w:fldChar w:fldCharType="separate"/>
        </w:r>
        <w:r w:rsidR="00B77E5D">
          <w:rPr>
            <w:noProof/>
          </w:rPr>
          <w:t>35</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39" w:history="1">
        <w:r w:rsidR="00834479" w:rsidRPr="00B77E5D">
          <w:rPr>
            <w:rStyle w:val="af5"/>
            <w:rFonts w:hint="eastAsia"/>
            <w:bCs/>
            <w:noProof/>
          </w:rPr>
          <w:t>第十六条</w:t>
        </w:r>
        <w:r w:rsidR="00834479" w:rsidRPr="00B77E5D">
          <w:rPr>
            <w:rStyle w:val="af5"/>
            <w:bCs/>
            <w:noProof/>
          </w:rPr>
          <w:t xml:space="preserve"> </w:t>
        </w:r>
        <w:r w:rsidR="00834479" w:rsidRPr="00B77E5D">
          <w:rPr>
            <w:rStyle w:val="af5"/>
            <w:rFonts w:hint="eastAsia"/>
            <w:bCs/>
            <w:noProof/>
          </w:rPr>
          <w:t>本协议的变更、终止与基金财产的清算</w:t>
        </w:r>
        <w:r w:rsidR="00834479" w:rsidRPr="00B77E5D">
          <w:rPr>
            <w:noProof/>
          </w:rPr>
          <w:tab/>
        </w:r>
        <w:r w:rsidR="00834479" w:rsidRPr="00B77E5D">
          <w:rPr>
            <w:noProof/>
          </w:rPr>
          <w:fldChar w:fldCharType="begin"/>
        </w:r>
        <w:r w:rsidR="00834479" w:rsidRPr="00B77E5D">
          <w:rPr>
            <w:noProof/>
          </w:rPr>
          <w:instrText xml:space="preserve"> PAGEREF _Toc44321739 \h </w:instrText>
        </w:r>
        <w:r w:rsidR="00834479" w:rsidRPr="00B77E5D">
          <w:rPr>
            <w:noProof/>
          </w:rPr>
        </w:r>
        <w:r w:rsidR="00834479" w:rsidRPr="00B77E5D">
          <w:rPr>
            <w:noProof/>
          </w:rPr>
          <w:fldChar w:fldCharType="separate"/>
        </w:r>
        <w:r w:rsidR="00B77E5D">
          <w:rPr>
            <w:noProof/>
          </w:rPr>
          <w:t>36</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0" w:history="1">
        <w:r w:rsidR="00834479" w:rsidRPr="00B77E5D">
          <w:rPr>
            <w:rStyle w:val="af5"/>
            <w:rFonts w:hint="eastAsia"/>
            <w:bCs/>
            <w:noProof/>
          </w:rPr>
          <w:t>第十七条</w:t>
        </w:r>
        <w:r w:rsidR="00834479" w:rsidRPr="00B77E5D">
          <w:rPr>
            <w:rStyle w:val="af5"/>
            <w:bCs/>
            <w:noProof/>
          </w:rPr>
          <w:t xml:space="preserve"> </w:t>
        </w:r>
        <w:r w:rsidR="00834479" w:rsidRPr="00B77E5D">
          <w:rPr>
            <w:rStyle w:val="af5"/>
            <w:rFonts w:hint="eastAsia"/>
            <w:bCs/>
            <w:noProof/>
          </w:rPr>
          <w:t>违约责任</w:t>
        </w:r>
        <w:r w:rsidR="00834479" w:rsidRPr="00B77E5D">
          <w:rPr>
            <w:noProof/>
          </w:rPr>
          <w:tab/>
        </w:r>
        <w:r w:rsidR="00834479" w:rsidRPr="00B77E5D">
          <w:rPr>
            <w:noProof/>
          </w:rPr>
          <w:fldChar w:fldCharType="begin"/>
        </w:r>
        <w:r w:rsidR="00834479" w:rsidRPr="00B77E5D">
          <w:rPr>
            <w:noProof/>
          </w:rPr>
          <w:instrText xml:space="preserve"> PAGEREF _Toc44321740 \h </w:instrText>
        </w:r>
        <w:r w:rsidR="00834479" w:rsidRPr="00B77E5D">
          <w:rPr>
            <w:noProof/>
          </w:rPr>
        </w:r>
        <w:r w:rsidR="00834479" w:rsidRPr="00B77E5D">
          <w:rPr>
            <w:noProof/>
          </w:rPr>
          <w:fldChar w:fldCharType="separate"/>
        </w:r>
        <w:r w:rsidR="00B77E5D">
          <w:rPr>
            <w:noProof/>
          </w:rPr>
          <w:t>38</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1" w:history="1">
        <w:r w:rsidR="00834479" w:rsidRPr="00B77E5D">
          <w:rPr>
            <w:rStyle w:val="af5"/>
            <w:rFonts w:hint="eastAsia"/>
            <w:bCs/>
            <w:noProof/>
          </w:rPr>
          <w:t>第十八条</w:t>
        </w:r>
        <w:r w:rsidR="00834479" w:rsidRPr="00B77E5D">
          <w:rPr>
            <w:rStyle w:val="af5"/>
            <w:bCs/>
            <w:noProof/>
          </w:rPr>
          <w:t xml:space="preserve"> </w:t>
        </w:r>
        <w:r w:rsidR="00834479" w:rsidRPr="00B77E5D">
          <w:rPr>
            <w:rStyle w:val="af5"/>
            <w:rFonts w:hint="eastAsia"/>
            <w:bCs/>
            <w:noProof/>
          </w:rPr>
          <w:t>法律适用和争议解决</w:t>
        </w:r>
        <w:r w:rsidR="00834479" w:rsidRPr="00B77E5D">
          <w:rPr>
            <w:noProof/>
          </w:rPr>
          <w:tab/>
        </w:r>
        <w:r w:rsidR="00834479" w:rsidRPr="00B77E5D">
          <w:rPr>
            <w:noProof/>
          </w:rPr>
          <w:fldChar w:fldCharType="begin"/>
        </w:r>
        <w:r w:rsidR="00834479" w:rsidRPr="00B77E5D">
          <w:rPr>
            <w:noProof/>
          </w:rPr>
          <w:instrText xml:space="preserve"> PAGEREF _Toc44321741 \h </w:instrText>
        </w:r>
        <w:r w:rsidR="00834479" w:rsidRPr="00B77E5D">
          <w:rPr>
            <w:noProof/>
          </w:rPr>
        </w:r>
        <w:r w:rsidR="00834479" w:rsidRPr="00B77E5D">
          <w:rPr>
            <w:noProof/>
          </w:rPr>
          <w:fldChar w:fldCharType="separate"/>
        </w:r>
        <w:r w:rsidR="00B77E5D">
          <w:rPr>
            <w:noProof/>
          </w:rPr>
          <w:t>38</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2" w:history="1">
        <w:r w:rsidR="00834479" w:rsidRPr="00B77E5D">
          <w:rPr>
            <w:rStyle w:val="af5"/>
            <w:rFonts w:hint="eastAsia"/>
            <w:bCs/>
            <w:noProof/>
          </w:rPr>
          <w:t>第十九条</w:t>
        </w:r>
        <w:r w:rsidR="00834479" w:rsidRPr="00B77E5D">
          <w:rPr>
            <w:rStyle w:val="af5"/>
            <w:bCs/>
            <w:noProof/>
          </w:rPr>
          <w:t xml:space="preserve"> </w:t>
        </w:r>
        <w:r w:rsidR="00834479" w:rsidRPr="00B77E5D">
          <w:rPr>
            <w:rStyle w:val="af5"/>
            <w:rFonts w:hint="eastAsia"/>
            <w:bCs/>
            <w:noProof/>
          </w:rPr>
          <w:t>本协议的效力</w:t>
        </w:r>
        <w:r w:rsidR="00834479" w:rsidRPr="00B77E5D">
          <w:rPr>
            <w:noProof/>
          </w:rPr>
          <w:tab/>
        </w:r>
        <w:r w:rsidR="00834479" w:rsidRPr="00B77E5D">
          <w:rPr>
            <w:noProof/>
          </w:rPr>
          <w:fldChar w:fldCharType="begin"/>
        </w:r>
        <w:r w:rsidR="00834479" w:rsidRPr="00B77E5D">
          <w:rPr>
            <w:noProof/>
          </w:rPr>
          <w:instrText xml:space="preserve"> PAGEREF _Toc44321742 \h </w:instrText>
        </w:r>
        <w:r w:rsidR="00834479" w:rsidRPr="00B77E5D">
          <w:rPr>
            <w:noProof/>
          </w:rPr>
        </w:r>
        <w:r w:rsidR="00834479" w:rsidRPr="00B77E5D">
          <w:rPr>
            <w:noProof/>
          </w:rPr>
          <w:fldChar w:fldCharType="separate"/>
        </w:r>
        <w:r w:rsidR="00B77E5D">
          <w:rPr>
            <w:noProof/>
          </w:rPr>
          <w:t>39</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3" w:history="1">
        <w:r w:rsidR="00834479" w:rsidRPr="00B77E5D">
          <w:rPr>
            <w:rStyle w:val="af5"/>
            <w:rFonts w:hint="eastAsia"/>
            <w:bCs/>
            <w:noProof/>
          </w:rPr>
          <w:t>第二十条</w:t>
        </w:r>
        <w:r w:rsidR="00834479" w:rsidRPr="00B77E5D">
          <w:rPr>
            <w:rStyle w:val="af5"/>
            <w:bCs/>
            <w:noProof/>
          </w:rPr>
          <w:t xml:space="preserve"> </w:t>
        </w:r>
        <w:r w:rsidR="00834479" w:rsidRPr="00B77E5D">
          <w:rPr>
            <w:rStyle w:val="af5"/>
            <w:rFonts w:hint="eastAsia"/>
            <w:bCs/>
            <w:noProof/>
          </w:rPr>
          <w:t>本协议的签订</w:t>
        </w:r>
        <w:r w:rsidR="00834479" w:rsidRPr="00B77E5D">
          <w:rPr>
            <w:noProof/>
          </w:rPr>
          <w:tab/>
        </w:r>
        <w:r w:rsidR="00834479" w:rsidRPr="00B77E5D">
          <w:rPr>
            <w:noProof/>
          </w:rPr>
          <w:fldChar w:fldCharType="begin"/>
        </w:r>
        <w:r w:rsidR="00834479" w:rsidRPr="00B77E5D">
          <w:rPr>
            <w:noProof/>
          </w:rPr>
          <w:instrText xml:space="preserve"> PAGEREF _Toc44321743 \h </w:instrText>
        </w:r>
        <w:r w:rsidR="00834479" w:rsidRPr="00B77E5D">
          <w:rPr>
            <w:noProof/>
          </w:rPr>
        </w:r>
        <w:r w:rsidR="00834479" w:rsidRPr="00B77E5D">
          <w:rPr>
            <w:noProof/>
          </w:rPr>
          <w:fldChar w:fldCharType="separate"/>
        </w:r>
        <w:r w:rsidR="00B77E5D">
          <w:rPr>
            <w:noProof/>
          </w:rPr>
          <w:t>39</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4" w:history="1">
        <w:r w:rsidR="00834479" w:rsidRPr="00B77E5D">
          <w:rPr>
            <w:rStyle w:val="af5"/>
            <w:rFonts w:hint="eastAsia"/>
            <w:bCs/>
            <w:noProof/>
          </w:rPr>
          <w:t>第二十一条</w:t>
        </w:r>
        <w:r w:rsidR="00834479" w:rsidRPr="00B77E5D">
          <w:rPr>
            <w:rStyle w:val="af5"/>
            <w:bCs/>
            <w:noProof/>
          </w:rPr>
          <w:t xml:space="preserve"> </w:t>
        </w:r>
        <w:r w:rsidR="00834479" w:rsidRPr="00B77E5D">
          <w:rPr>
            <w:rStyle w:val="af5"/>
            <w:rFonts w:hint="eastAsia"/>
            <w:bCs/>
            <w:noProof/>
          </w:rPr>
          <w:t>不可抗力</w:t>
        </w:r>
        <w:r w:rsidR="00834479" w:rsidRPr="00B77E5D">
          <w:rPr>
            <w:noProof/>
          </w:rPr>
          <w:tab/>
        </w:r>
        <w:r w:rsidR="00834479" w:rsidRPr="00B77E5D">
          <w:rPr>
            <w:noProof/>
          </w:rPr>
          <w:fldChar w:fldCharType="begin"/>
        </w:r>
        <w:r w:rsidR="00834479" w:rsidRPr="00B77E5D">
          <w:rPr>
            <w:noProof/>
          </w:rPr>
          <w:instrText xml:space="preserve"> PAGEREF _Toc44321744 \h </w:instrText>
        </w:r>
        <w:r w:rsidR="00834479" w:rsidRPr="00B77E5D">
          <w:rPr>
            <w:noProof/>
          </w:rPr>
        </w:r>
        <w:r w:rsidR="00834479" w:rsidRPr="00B77E5D">
          <w:rPr>
            <w:noProof/>
          </w:rPr>
          <w:fldChar w:fldCharType="separate"/>
        </w:r>
        <w:r w:rsidR="00B77E5D">
          <w:rPr>
            <w:noProof/>
          </w:rPr>
          <w:t>39</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5" w:history="1">
        <w:r w:rsidR="00834479" w:rsidRPr="00B77E5D">
          <w:rPr>
            <w:rStyle w:val="af5"/>
            <w:rFonts w:hint="eastAsia"/>
            <w:bCs/>
            <w:noProof/>
          </w:rPr>
          <w:t>第二十二条</w:t>
        </w:r>
        <w:r w:rsidR="00834479" w:rsidRPr="00B77E5D">
          <w:rPr>
            <w:rStyle w:val="af5"/>
            <w:bCs/>
            <w:noProof/>
          </w:rPr>
          <w:t xml:space="preserve"> </w:t>
        </w:r>
        <w:r w:rsidR="00834479" w:rsidRPr="00B77E5D">
          <w:rPr>
            <w:rStyle w:val="af5"/>
            <w:rFonts w:hint="eastAsia"/>
            <w:bCs/>
            <w:noProof/>
          </w:rPr>
          <w:t>可分割性</w:t>
        </w:r>
        <w:r w:rsidR="00834479" w:rsidRPr="00B77E5D">
          <w:rPr>
            <w:noProof/>
          </w:rPr>
          <w:tab/>
        </w:r>
        <w:r w:rsidR="00834479" w:rsidRPr="00B77E5D">
          <w:rPr>
            <w:noProof/>
          </w:rPr>
          <w:fldChar w:fldCharType="begin"/>
        </w:r>
        <w:r w:rsidR="00834479" w:rsidRPr="00B77E5D">
          <w:rPr>
            <w:noProof/>
          </w:rPr>
          <w:instrText xml:space="preserve"> PAGEREF _Toc44321745 \h </w:instrText>
        </w:r>
        <w:r w:rsidR="00834479" w:rsidRPr="00B77E5D">
          <w:rPr>
            <w:noProof/>
          </w:rPr>
        </w:r>
        <w:r w:rsidR="00834479" w:rsidRPr="00B77E5D">
          <w:rPr>
            <w:noProof/>
          </w:rPr>
          <w:fldChar w:fldCharType="separate"/>
        </w:r>
        <w:r w:rsidR="00B77E5D">
          <w:rPr>
            <w:noProof/>
          </w:rPr>
          <w:t>40</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6" w:history="1">
        <w:r w:rsidR="00834479" w:rsidRPr="00B77E5D">
          <w:rPr>
            <w:rStyle w:val="af5"/>
            <w:rFonts w:hint="eastAsia"/>
            <w:bCs/>
            <w:noProof/>
          </w:rPr>
          <w:t>第二十三条</w:t>
        </w:r>
        <w:r w:rsidR="00834479" w:rsidRPr="00B77E5D">
          <w:rPr>
            <w:rStyle w:val="af5"/>
            <w:bCs/>
            <w:noProof/>
          </w:rPr>
          <w:t xml:space="preserve"> </w:t>
        </w:r>
        <w:r w:rsidR="00834479" w:rsidRPr="00B77E5D">
          <w:rPr>
            <w:rStyle w:val="af5"/>
            <w:rFonts w:hint="eastAsia"/>
            <w:bCs/>
            <w:noProof/>
          </w:rPr>
          <w:t>通知与送达</w:t>
        </w:r>
        <w:r w:rsidR="00834479" w:rsidRPr="00B77E5D">
          <w:rPr>
            <w:noProof/>
          </w:rPr>
          <w:tab/>
        </w:r>
        <w:r w:rsidR="00834479" w:rsidRPr="00B77E5D">
          <w:rPr>
            <w:noProof/>
          </w:rPr>
          <w:fldChar w:fldCharType="begin"/>
        </w:r>
        <w:r w:rsidR="00834479" w:rsidRPr="00B77E5D">
          <w:rPr>
            <w:noProof/>
          </w:rPr>
          <w:instrText xml:space="preserve"> PAGEREF _Toc44321746 \h </w:instrText>
        </w:r>
        <w:r w:rsidR="00834479" w:rsidRPr="00B77E5D">
          <w:rPr>
            <w:noProof/>
          </w:rPr>
        </w:r>
        <w:r w:rsidR="00834479" w:rsidRPr="00B77E5D">
          <w:rPr>
            <w:noProof/>
          </w:rPr>
          <w:fldChar w:fldCharType="separate"/>
        </w:r>
        <w:r w:rsidR="00B77E5D">
          <w:rPr>
            <w:noProof/>
          </w:rPr>
          <w:t>40</w:t>
        </w:r>
        <w:r w:rsidR="00834479" w:rsidRPr="00B77E5D">
          <w:rPr>
            <w:noProof/>
          </w:rPr>
          <w:fldChar w:fldCharType="end"/>
        </w:r>
      </w:hyperlink>
    </w:p>
    <w:p w:rsidR="002E15F3" w:rsidRPr="00B77E5D" w:rsidRDefault="00247A55">
      <w:pPr>
        <w:pStyle w:val="12"/>
        <w:rPr>
          <w:rFonts w:asciiTheme="minorHAnsi" w:eastAsiaTheme="minorEastAsia" w:hAnsiTheme="minorHAnsi" w:cstheme="minorBidi"/>
          <w:noProof/>
          <w:sz w:val="21"/>
          <w:szCs w:val="22"/>
        </w:rPr>
      </w:pPr>
      <w:hyperlink w:anchor="_Toc44321747" w:history="1">
        <w:r w:rsidR="00834479" w:rsidRPr="00B77E5D">
          <w:rPr>
            <w:rStyle w:val="af5"/>
            <w:rFonts w:hint="eastAsia"/>
            <w:bCs/>
            <w:noProof/>
          </w:rPr>
          <w:t>第二十四条</w:t>
        </w:r>
        <w:r w:rsidR="00834479" w:rsidRPr="00B77E5D">
          <w:rPr>
            <w:rStyle w:val="af5"/>
            <w:bCs/>
            <w:noProof/>
          </w:rPr>
          <w:t xml:space="preserve"> </w:t>
        </w:r>
        <w:r w:rsidR="00834479" w:rsidRPr="00B77E5D">
          <w:rPr>
            <w:rStyle w:val="af5"/>
            <w:rFonts w:hint="eastAsia"/>
            <w:bCs/>
            <w:noProof/>
          </w:rPr>
          <w:t>其他约定事项</w:t>
        </w:r>
        <w:r w:rsidR="00834479" w:rsidRPr="00B77E5D">
          <w:rPr>
            <w:noProof/>
          </w:rPr>
          <w:tab/>
        </w:r>
        <w:r w:rsidR="00834479" w:rsidRPr="00B77E5D">
          <w:rPr>
            <w:noProof/>
          </w:rPr>
          <w:fldChar w:fldCharType="begin"/>
        </w:r>
        <w:r w:rsidR="00834479" w:rsidRPr="00B77E5D">
          <w:rPr>
            <w:noProof/>
          </w:rPr>
          <w:instrText xml:space="preserve"> PAGEREF _Toc44321747 \h </w:instrText>
        </w:r>
        <w:r w:rsidR="00834479" w:rsidRPr="00B77E5D">
          <w:rPr>
            <w:noProof/>
          </w:rPr>
        </w:r>
        <w:r w:rsidR="00834479" w:rsidRPr="00B77E5D">
          <w:rPr>
            <w:noProof/>
          </w:rPr>
          <w:fldChar w:fldCharType="separate"/>
        </w:r>
        <w:r w:rsidR="00B77E5D">
          <w:rPr>
            <w:noProof/>
          </w:rPr>
          <w:t>42</w:t>
        </w:r>
        <w:r w:rsidR="00834479" w:rsidRPr="00B77E5D">
          <w:rPr>
            <w:noProof/>
          </w:rPr>
          <w:fldChar w:fldCharType="end"/>
        </w:r>
      </w:hyperlink>
    </w:p>
    <w:p w:rsidR="002E15F3" w:rsidRPr="00B77E5D" w:rsidRDefault="00834479">
      <w:pPr>
        <w:snapToGrid w:val="0"/>
        <w:spacing w:line="360" w:lineRule="auto"/>
        <w:jc w:val="center"/>
        <w:rPr>
          <w:rFonts w:ascii="宋体" w:hAnsi="宋体"/>
          <w:b/>
          <w:sz w:val="28"/>
          <w:szCs w:val="28"/>
        </w:rPr>
      </w:pPr>
      <w:r w:rsidRPr="00B77E5D">
        <w:rPr>
          <w:rFonts w:ascii="宋体" w:hAnsi="宋体"/>
          <w:b/>
          <w:sz w:val="28"/>
          <w:szCs w:val="28"/>
        </w:rPr>
        <w:fldChar w:fldCharType="end"/>
      </w:r>
    </w:p>
    <w:p w:rsidR="002E15F3" w:rsidRPr="00B77E5D" w:rsidRDefault="00834479">
      <w:pPr>
        <w:adjustRightInd w:val="0"/>
        <w:snapToGrid w:val="0"/>
        <w:spacing w:line="520" w:lineRule="atLeast"/>
        <w:jc w:val="center"/>
        <w:rPr>
          <w:rFonts w:ascii="宋体" w:hAnsi="宋体"/>
          <w:b/>
          <w:sz w:val="28"/>
          <w:szCs w:val="28"/>
        </w:rPr>
      </w:pPr>
      <w:r w:rsidRPr="00B77E5D">
        <w:rPr>
          <w:rFonts w:ascii="宋体" w:hAnsi="宋体"/>
          <w:b/>
          <w:sz w:val="28"/>
          <w:szCs w:val="28"/>
        </w:rPr>
        <w:br w:type="page"/>
      </w:r>
      <w:proofErr w:type="gramStart"/>
      <w:r w:rsidRPr="00B77E5D">
        <w:rPr>
          <w:rFonts w:ascii="宋体" w:hAnsi="宋体" w:hint="eastAsia"/>
          <w:b/>
          <w:sz w:val="28"/>
          <w:szCs w:val="28"/>
        </w:rPr>
        <w:lastRenderedPageBreak/>
        <w:t>永赢先锋</w:t>
      </w:r>
      <w:proofErr w:type="gramEnd"/>
      <w:r w:rsidRPr="00B77E5D">
        <w:rPr>
          <w:rFonts w:ascii="宋体" w:hAnsi="宋体" w:hint="eastAsia"/>
          <w:b/>
          <w:sz w:val="28"/>
          <w:szCs w:val="28"/>
        </w:rPr>
        <w:t>半导体智选混合型发起式证券投资基金托管协议</w:t>
      </w:r>
    </w:p>
    <w:p w:rsidR="002E15F3" w:rsidRPr="00B77E5D" w:rsidRDefault="002E15F3">
      <w:pPr>
        <w:adjustRightInd w:val="0"/>
        <w:snapToGrid w:val="0"/>
        <w:spacing w:line="520" w:lineRule="atLeast"/>
        <w:jc w:val="center"/>
        <w:rPr>
          <w:rFonts w:ascii="宋体" w:hAnsi="宋体"/>
          <w:b/>
          <w:sz w:val="28"/>
          <w:szCs w:val="28"/>
        </w:rPr>
      </w:pPr>
    </w:p>
    <w:p w:rsidR="002E15F3" w:rsidRPr="00B77E5D" w:rsidRDefault="00834479">
      <w:pPr>
        <w:tabs>
          <w:tab w:val="left" w:pos="5940"/>
        </w:tabs>
        <w:adjustRightInd w:val="0"/>
        <w:snapToGrid w:val="0"/>
        <w:spacing w:line="520" w:lineRule="atLeast"/>
        <w:rPr>
          <w:rFonts w:ascii="宋体" w:hAnsi="宋体"/>
          <w:b/>
          <w:sz w:val="24"/>
          <w:szCs w:val="24"/>
        </w:rPr>
      </w:pPr>
      <w:r w:rsidRPr="00B77E5D">
        <w:rPr>
          <w:rFonts w:ascii="宋体" w:hAnsi="宋体" w:hint="eastAsia"/>
          <w:b/>
          <w:sz w:val="24"/>
          <w:szCs w:val="24"/>
        </w:rPr>
        <w:t>基金管理人：</w:t>
      </w:r>
      <w:proofErr w:type="gramStart"/>
      <w:r w:rsidRPr="00B77E5D">
        <w:rPr>
          <w:rFonts w:ascii="宋体" w:hAnsi="宋体" w:hint="eastAsia"/>
          <w:b/>
          <w:sz w:val="24"/>
          <w:szCs w:val="24"/>
        </w:rPr>
        <w:t>永赢基金</w:t>
      </w:r>
      <w:proofErr w:type="gramEnd"/>
      <w:r w:rsidRPr="00B77E5D">
        <w:rPr>
          <w:rFonts w:ascii="宋体" w:hAnsi="宋体" w:hint="eastAsia"/>
          <w:b/>
          <w:sz w:val="24"/>
          <w:szCs w:val="24"/>
        </w:rPr>
        <w:t>管理有限公司</w:t>
      </w:r>
    </w:p>
    <w:p w:rsidR="002E15F3" w:rsidRPr="00B77E5D" w:rsidRDefault="00834479">
      <w:pPr>
        <w:tabs>
          <w:tab w:val="left" w:pos="5940"/>
        </w:tabs>
        <w:adjustRightInd w:val="0"/>
        <w:snapToGrid w:val="0"/>
        <w:spacing w:line="520" w:lineRule="atLeast"/>
        <w:rPr>
          <w:rFonts w:ascii="宋体" w:hAnsi="宋体"/>
          <w:sz w:val="24"/>
          <w:szCs w:val="24"/>
        </w:rPr>
      </w:pPr>
      <w:r w:rsidRPr="00B77E5D">
        <w:rPr>
          <w:rFonts w:ascii="宋体" w:hAnsi="宋体" w:hint="eastAsia"/>
          <w:sz w:val="24"/>
          <w:szCs w:val="24"/>
        </w:rPr>
        <w:t>法定代表人：马宇晖</w:t>
      </w:r>
    </w:p>
    <w:p w:rsidR="002E15F3" w:rsidRPr="00B77E5D" w:rsidRDefault="00834479">
      <w:pPr>
        <w:tabs>
          <w:tab w:val="left" w:pos="5940"/>
        </w:tabs>
        <w:adjustRightInd w:val="0"/>
        <w:snapToGrid w:val="0"/>
        <w:spacing w:line="520" w:lineRule="atLeast"/>
        <w:rPr>
          <w:rFonts w:ascii="宋体" w:hAnsi="宋体"/>
          <w:sz w:val="24"/>
          <w:szCs w:val="24"/>
        </w:rPr>
      </w:pPr>
      <w:r w:rsidRPr="00B77E5D">
        <w:rPr>
          <w:rFonts w:ascii="宋体" w:hAnsi="宋体" w:hint="eastAsia"/>
          <w:sz w:val="24"/>
          <w:szCs w:val="24"/>
        </w:rPr>
        <w:t>住    所：浙江省宁波市</w:t>
      </w:r>
      <w:proofErr w:type="gramStart"/>
      <w:r w:rsidRPr="00B77E5D">
        <w:rPr>
          <w:rFonts w:ascii="宋体" w:hAnsi="宋体" w:hint="eastAsia"/>
          <w:sz w:val="24"/>
          <w:szCs w:val="24"/>
        </w:rPr>
        <w:t>鄞</w:t>
      </w:r>
      <w:proofErr w:type="gramEnd"/>
      <w:r w:rsidRPr="00B77E5D">
        <w:rPr>
          <w:rFonts w:ascii="宋体" w:hAnsi="宋体" w:hint="eastAsia"/>
          <w:sz w:val="24"/>
          <w:szCs w:val="24"/>
        </w:rPr>
        <w:t>州区中山东路</w:t>
      </w:r>
      <w:r w:rsidRPr="00B77E5D">
        <w:rPr>
          <w:rFonts w:ascii="宋体" w:hAnsi="宋体"/>
          <w:sz w:val="24"/>
          <w:szCs w:val="24"/>
        </w:rPr>
        <w:t>466号</w:t>
      </w:r>
    </w:p>
    <w:p w:rsidR="002E15F3" w:rsidRPr="00B77E5D" w:rsidRDefault="002E15F3">
      <w:pPr>
        <w:snapToGrid w:val="0"/>
        <w:spacing w:line="520" w:lineRule="atLeast"/>
        <w:rPr>
          <w:rFonts w:ascii="宋体" w:hAnsi="宋体"/>
          <w:sz w:val="24"/>
          <w:szCs w:val="24"/>
        </w:rPr>
      </w:pPr>
    </w:p>
    <w:p w:rsidR="002E15F3" w:rsidRPr="00B77E5D" w:rsidRDefault="00834479">
      <w:pPr>
        <w:tabs>
          <w:tab w:val="left" w:pos="5940"/>
        </w:tabs>
        <w:adjustRightInd w:val="0"/>
        <w:snapToGrid w:val="0"/>
        <w:spacing w:line="520" w:lineRule="atLeast"/>
        <w:rPr>
          <w:rFonts w:ascii="宋体" w:hAnsi="宋体"/>
          <w:b/>
          <w:sz w:val="24"/>
          <w:szCs w:val="24"/>
        </w:rPr>
      </w:pPr>
      <w:r w:rsidRPr="00B77E5D">
        <w:rPr>
          <w:rFonts w:ascii="宋体" w:hAnsi="宋体" w:hint="eastAsia"/>
          <w:b/>
          <w:sz w:val="24"/>
          <w:szCs w:val="24"/>
        </w:rPr>
        <w:t xml:space="preserve">基金托管人：中信银行股份有限公司 </w:t>
      </w:r>
    </w:p>
    <w:p w:rsidR="002E15F3" w:rsidRPr="00B77E5D" w:rsidRDefault="00834479">
      <w:pPr>
        <w:tabs>
          <w:tab w:val="left" w:pos="5940"/>
        </w:tabs>
        <w:adjustRightInd w:val="0"/>
        <w:snapToGrid w:val="0"/>
        <w:spacing w:line="520" w:lineRule="atLeast"/>
        <w:rPr>
          <w:rFonts w:ascii="宋体" w:hAnsi="宋体"/>
          <w:sz w:val="24"/>
          <w:szCs w:val="24"/>
        </w:rPr>
      </w:pPr>
      <w:r w:rsidRPr="00B77E5D">
        <w:rPr>
          <w:rFonts w:ascii="宋体" w:hAnsi="宋体" w:hint="eastAsia"/>
          <w:sz w:val="24"/>
          <w:szCs w:val="24"/>
        </w:rPr>
        <w:t>法定代表人：方合英</w:t>
      </w:r>
    </w:p>
    <w:p w:rsidR="002E15F3" w:rsidRPr="00B77E5D" w:rsidRDefault="00834479">
      <w:pPr>
        <w:tabs>
          <w:tab w:val="left" w:pos="5940"/>
        </w:tabs>
        <w:adjustRightInd w:val="0"/>
        <w:snapToGrid w:val="0"/>
        <w:spacing w:line="520" w:lineRule="atLeast"/>
        <w:rPr>
          <w:rFonts w:ascii="宋体" w:hAnsi="宋体"/>
          <w:sz w:val="24"/>
          <w:szCs w:val="24"/>
        </w:rPr>
      </w:pPr>
      <w:r w:rsidRPr="00B77E5D">
        <w:rPr>
          <w:rFonts w:ascii="宋体" w:hAnsi="宋体" w:hint="eastAsia"/>
          <w:sz w:val="24"/>
          <w:szCs w:val="24"/>
        </w:rPr>
        <w:t>住所：北京市朝阳区光华路10号院1号楼6-30层、32-42层</w:t>
      </w:r>
    </w:p>
    <w:p w:rsidR="002E15F3" w:rsidRPr="00B77E5D" w:rsidRDefault="002E15F3">
      <w:pPr>
        <w:autoSpaceDE w:val="0"/>
        <w:autoSpaceDN w:val="0"/>
        <w:adjustRightInd w:val="0"/>
        <w:spacing w:line="520" w:lineRule="atLeast"/>
        <w:rPr>
          <w:rFonts w:ascii="宋体" w:hAnsi="宋体"/>
          <w:sz w:val="24"/>
          <w:szCs w:val="24"/>
        </w:rPr>
      </w:pPr>
    </w:p>
    <w:p w:rsidR="002E15F3" w:rsidRPr="00B77E5D" w:rsidRDefault="00834479">
      <w:pPr>
        <w:autoSpaceDE w:val="0"/>
        <w:autoSpaceDN w:val="0"/>
        <w:adjustRightInd w:val="0"/>
        <w:spacing w:line="520" w:lineRule="atLeast"/>
        <w:ind w:firstLineChars="200" w:firstLine="482"/>
        <w:rPr>
          <w:rFonts w:ascii="宋体" w:hAnsi="宋体"/>
          <w:b/>
          <w:sz w:val="24"/>
          <w:szCs w:val="24"/>
        </w:rPr>
      </w:pPr>
      <w:r w:rsidRPr="00B77E5D">
        <w:rPr>
          <w:rFonts w:ascii="宋体" w:hAnsi="宋体" w:hint="eastAsia"/>
          <w:b/>
          <w:sz w:val="24"/>
          <w:szCs w:val="24"/>
        </w:rPr>
        <w:t>鉴于：</w:t>
      </w:r>
    </w:p>
    <w:p w:rsidR="002E15F3" w:rsidRPr="00B77E5D" w:rsidRDefault="00834479">
      <w:pPr>
        <w:pStyle w:val="20"/>
        <w:spacing w:before="0" w:after="0" w:line="520" w:lineRule="atLeast"/>
        <w:ind w:left="0" w:firstLineChars="200" w:firstLine="480"/>
        <w:rPr>
          <w:rFonts w:hAnsi="宋体"/>
          <w:szCs w:val="24"/>
        </w:rPr>
      </w:pPr>
      <w:r w:rsidRPr="00B77E5D">
        <w:rPr>
          <w:rFonts w:hAnsi="宋体" w:hint="eastAsia"/>
          <w:szCs w:val="24"/>
        </w:rPr>
        <w:t>1．</w:t>
      </w:r>
      <w:proofErr w:type="gramStart"/>
      <w:r w:rsidRPr="00B77E5D">
        <w:rPr>
          <w:rFonts w:hAnsi="宋体" w:hint="eastAsia"/>
          <w:szCs w:val="24"/>
        </w:rPr>
        <w:t>永赢基金</w:t>
      </w:r>
      <w:proofErr w:type="gramEnd"/>
      <w:r w:rsidRPr="00B77E5D">
        <w:rPr>
          <w:rFonts w:hAnsi="宋体" w:hint="eastAsia"/>
          <w:szCs w:val="24"/>
        </w:rPr>
        <w:t>管理有限公司系一家依照中国法律合法成立并有效存续的法人，按照相关法律法规的规定具备担任基金管理人的资格和能力；</w:t>
      </w:r>
    </w:p>
    <w:p w:rsidR="002E15F3" w:rsidRPr="00B77E5D" w:rsidRDefault="00834479">
      <w:pPr>
        <w:pStyle w:val="20"/>
        <w:spacing w:before="0" w:after="0" w:line="520" w:lineRule="atLeast"/>
        <w:ind w:left="0" w:firstLineChars="200" w:firstLine="480"/>
        <w:rPr>
          <w:rFonts w:hAnsi="宋体"/>
          <w:szCs w:val="24"/>
        </w:rPr>
      </w:pPr>
      <w:r w:rsidRPr="00B77E5D">
        <w:rPr>
          <w:rFonts w:hAnsi="宋体" w:hint="eastAsia"/>
          <w:szCs w:val="24"/>
        </w:rPr>
        <w:t>2.中信银行股份有限公司系一家依照中国法律合法成立并有效存续的银行，按照相关法律法规的规定具备担任基金托管人的资格和能力；</w:t>
      </w:r>
    </w:p>
    <w:p w:rsidR="002E15F3" w:rsidRPr="00B77E5D" w:rsidRDefault="00834479">
      <w:pPr>
        <w:pStyle w:val="20"/>
        <w:spacing w:before="0" w:after="0" w:line="520" w:lineRule="atLeast"/>
        <w:ind w:left="0" w:firstLineChars="200" w:firstLine="480"/>
        <w:rPr>
          <w:rFonts w:hAnsi="宋体"/>
          <w:szCs w:val="24"/>
        </w:rPr>
      </w:pPr>
      <w:r w:rsidRPr="00B77E5D">
        <w:rPr>
          <w:rFonts w:hAnsi="宋体" w:hint="eastAsia"/>
          <w:szCs w:val="24"/>
        </w:rPr>
        <w:t>3.</w:t>
      </w:r>
      <w:proofErr w:type="gramStart"/>
      <w:r w:rsidRPr="00B77E5D">
        <w:rPr>
          <w:rFonts w:hAnsi="宋体" w:hint="eastAsia"/>
          <w:szCs w:val="24"/>
        </w:rPr>
        <w:t>永赢基金</w:t>
      </w:r>
      <w:proofErr w:type="gramEnd"/>
      <w:r w:rsidRPr="00B77E5D">
        <w:rPr>
          <w:rFonts w:hAnsi="宋体" w:hint="eastAsia"/>
          <w:szCs w:val="24"/>
        </w:rPr>
        <w:t>管理有限公司拟</w:t>
      </w:r>
      <w:proofErr w:type="gramStart"/>
      <w:r w:rsidRPr="00B77E5D">
        <w:rPr>
          <w:rFonts w:hAnsi="宋体" w:hint="eastAsia"/>
          <w:szCs w:val="24"/>
        </w:rPr>
        <w:t>担任永赢先锋</w:t>
      </w:r>
      <w:proofErr w:type="gramEnd"/>
      <w:r w:rsidRPr="00B77E5D">
        <w:rPr>
          <w:rFonts w:hAnsi="宋体" w:hint="eastAsia"/>
          <w:szCs w:val="24"/>
        </w:rPr>
        <w:t>半导体智选混合型发起式证券投资基金的基金管理人，中信银行股份有限公司拟</w:t>
      </w:r>
      <w:proofErr w:type="gramStart"/>
      <w:r w:rsidRPr="00B77E5D">
        <w:rPr>
          <w:rFonts w:hAnsi="宋体" w:hint="eastAsia"/>
          <w:szCs w:val="24"/>
        </w:rPr>
        <w:t>担任永赢先锋</w:t>
      </w:r>
      <w:proofErr w:type="gramEnd"/>
      <w:r w:rsidRPr="00B77E5D">
        <w:rPr>
          <w:rFonts w:hAnsi="宋体" w:hint="eastAsia"/>
          <w:szCs w:val="24"/>
        </w:rPr>
        <w:t>半导体智选混合型发起式证券投资基金的基金托管人；</w:t>
      </w:r>
    </w:p>
    <w:p w:rsidR="002E15F3" w:rsidRPr="00B77E5D" w:rsidRDefault="00834479">
      <w:pPr>
        <w:pStyle w:val="20"/>
        <w:spacing w:before="0" w:after="0" w:line="520" w:lineRule="atLeast"/>
        <w:ind w:left="0" w:firstLineChars="200" w:firstLine="480"/>
        <w:rPr>
          <w:rFonts w:hAnsi="宋体"/>
          <w:szCs w:val="24"/>
        </w:rPr>
      </w:pPr>
      <w:r w:rsidRPr="00B77E5D">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rsidR="002E15F3" w:rsidRPr="00B77E5D" w:rsidRDefault="00834479">
      <w:pPr>
        <w:pStyle w:val="20"/>
        <w:spacing w:before="0" w:after="0" w:line="520" w:lineRule="atLeast"/>
        <w:ind w:left="0" w:firstLine="541"/>
        <w:rPr>
          <w:rFonts w:hAnsi="宋体"/>
          <w:b/>
          <w:bCs/>
          <w:szCs w:val="24"/>
        </w:rPr>
      </w:pPr>
      <w:r w:rsidRPr="00B77E5D">
        <w:rPr>
          <w:rFonts w:hAnsi="宋体" w:hint="eastAsia"/>
          <w:b/>
          <w:bCs/>
          <w:szCs w:val="24"/>
        </w:rPr>
        <w:t>释义：</w:t>
      </w:r>
    </w:p>
    <w:p w:rsidR="002E15F3" w:rsidRPr="00B77E5D" w:rsidRDefault="00834479">
      <w:pPr>
        <w:pStyle w:val="20"/>
        <w:spacing w:before="0" w:after="100" w:afterAutospacing="1" w:line="520" w:lineRule="atLeast"/>
        <w:ind w:left="0" w:firstLineChars="200" w:firstLine="480"/>
        <w:rPr>
          <w:rFonts w:hAnsi="宋体"/>
          <w:szCs w:val="24"/>
        </w:rPr>
      </w:pPr>
      <w:r w:rsidRPr="00B77E5D">
        <w:rPr>
          <w:rFonts w:hAnsi="宋体" w:hint="eastAsia"/>
          <w:szCs w:val="24"/>
        </w:rPr>
        <w:t>除非另有约定，《永赢先锋半导体智选混合型发起式证券投资基金基金合同》(以下简称“基金合同”或“《基金合同》”)中定义的术语在用于本托管协议时应具有相同的含义；若有抵触，应以基金合同为准，并依其条款解释。</w:t>
      </w:r>
    </w:p>
    <w:p w:rsidR="002E15F3" w:rsidRPr="00B77E5D" w:rsidRDefault="002E15F3">
      <w:pPr>
        <w:pStyle w:val="20"/>
        <w:spacing w:before="0" w:after="100" w:afterAutospacing="1" w:line="520" w:lineRule="atLeast"/>
        <w:ind w:left="0" w:firstLineChars="200" w:firstLine="480"/>
        <w:rPr>
          <w:rFonts w:hAnsi="宋体"/>
          <w:szCs w:val="24"/>
        </w:rPr>
      </w:pPr>
    </w:p>
    <w:p w:rsidR="002E15F3" w:rsidRPr="00B77E5D" w:rsidRDefault="00834479">
      <w:pPr>
        <w:pStyle w:val="1"/>
        <w:ind w:firstLineChars="200" w:firstLine="482"/>
        <w:rPr>
          <w:bCs/>
          <w:color w:val="auto"/>
          <w:szCs w:val="24"/>
        </w:rPr>
      </w:pPr>
      <w:bookmarkStart w:id="10" w:name="_Toc44321724"/>
      <w:bookmarkStart w:id="11" w:name="_Toc296551337"/>
      <w:r w:rsidRPr="00B77E5D">
        <w:rPr>
          <w:rFonts w:hint="eastAsia"/>
          <w:bCs/>
          <w:color w:val="auto"/>
          <w:szCs w:val="24"/>
        </w:rPr>
        <w:lastRenderedPageBreak/>
        <w:t>第一条 本协议当事人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1.1基金管理人：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名称：</w:t>
      </w:r>
      <w:proofErr w:type="gramStart"/>
      <w:r w:rsidRPr="00B77E5D">
        <w:rPr>
          <w:rFonts w:hAnsi="宋体" w:hint="eastAsia"/>
          <w:szCs w:val="24"/>
        </w:rPr>
        <w:t>永赢基金</w:t>
      </w:r>
      <w:proofErr w:type="gramEnd"/>
      <w:r w:rsidRPr="00B77E5D">
        <w:rPr>
          <w:rFonts w:hAnsi="宋体" w:hint="eastAsia"/>
          <w:szCs w:val="24"/>
        </w:rPr>
        <w:t>管理有限公司</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住所：浙江省宁波市</w:t>
      </w:r>
      <w:proofErr w:type="gramStart"/>
      <w:r w:rsidRPr="00B77E5D">
        <w:rPr>
          <w:rFonts w:hAnsi="宋体" w:hint="eastAsia"/>
          <w:szCs w:val="24"/>
        </w:rPr>
        <w:t>鄞</w:t>
      </w:r>
      <w:proofErr w:type="gramEnd"/>
      <w:r w:rsidRPr="00B77E5D">
        <w:rPr>
          <w:rFonts w:hAnsi="宋体" w:hint="eastAsia"/>
          <w:szCs w:val="24"/>
        </w:rPr>
        <w:t>州区中山东路466号</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法定代表人：马宇晖</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成立时间：2013年11月7日</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批准设立机关：中国证券监督管理委员会</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批准设立文号：证监许可[2013]1280号</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组织形式：有限责任公司</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注册资本：</w:t>
      </w:r>
      <w:r w:rsidR="00206787" w:rsidRPr="00B77E5D">
        <w:rPr>
          <w:rFonts w:hAnsi="宋体" w:hint="eastAsia"/>
          <w:szCs w:val="24"/>
        </w:rPr>
        <w:t>90000万元人民币</w:t>
      </w:r>
    </w:p>
    <w:p w:rsidR="002E15F3" w:rsidRPr="00B77E5D" w:rsidRDefault="00834479">
      <w:pPr>
        <w:pStyle w:val="20"/>
        <w:spacing w:line="360" w:lineRule="auto"/>
        <w:rPr>
          <w:rFonts w:hAnsi="宋体"/>
          <w:szCs w:val="24"/>
        </w:rPr>
      </w:pPr>
      <w:r w:rsidRPr="00B77E5D">
        <w:rPr>
          <w:rFonts w:hAnsi="宋体" w:hint="eastAsia"/>
          <w:szCs w:val="24"/>
        </w:rPr>
        <w:t>经营范围：基金募集、基金销售、特定客户资产管理、资产管理和中国证监会许可的业务。</w:t>
      </w:r>
      <w:r w:rsidRPr="00B77E5D">
        <w:rPr>
          <w:rFonts w:hAnsi="宋体"/>
          <w:szCs w:val="24"/>
        </w:rPr>
        <w:cr/>
      </w:r>
      <w:r w:rsidRPr="00B77E5D">
        <w:rPr>
          <w:rFonts w:hAnsi="宋体" w:hint="eastAsia"/>
          <w:szCs w:val="24"/>
        </w:rPr>
        <w:t>存续期间：持续经营</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1.2基金托管人：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名称：中信银行股份有限公司</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住所：北京市朝阳区光华路10号院1号楼6-30层、32-42层</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法定代表人：方合英</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成立时间：1987年4月20日</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批准设立文号：国办函[1987]14号</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基金托管业务批准文号：证</w:t>
      </w:r>
      <w:proofErr w:type="gramStart"/>
      <w:r w:rsidRPr="00B77E5D">
        <w:rPr>
          <w:rFonts w:hAnsi="宋体" w:hint="eastAsia"/>
          <w:szCs w:val="24"/>
        </w:rPr>
        <w:t>监基金字</w:t>
      </w:r>
      <w:proofErr w:type="gramEnd"/>
      <w:r w:rsidRPr="00B77E5D">
        <w:rPr>
          <w:rFonts w:hAnsi="宋体" w:hint="eastAsia"/>
          <w:szCs w:val="24"/>
        </w:rPr>
        <w:t>[2004]125号</w:t>
      </w:r>
    </w:p>
    <w:p w:rsidR="00206787" w:rsidRPr="00B77E5D" w:rsidRDefault="00206787" w:rsidP="00B77E5D">
      <w:pPr>
        <w:pStyle w:val="20"/>
        <w:spacing w:line="360" w:lineRule="auto"/>
        <w:rPr>
          <w:rFonts w:hAnsi="宋体"/>
          <w:szCs w:val="24"/>
        </w:rPr>
      </w:pPr>
      <w:r w:rsidRPr="00B77E5D">
        <w:rPr>
          <w:rFonts w:hAnsi="宋体" w:hint="eastAsia"/>
          <w:szCs w:val="24"/>
        </w:rPr>
        <w:t>组织形式：其他股份有限公司（上市）</w:t>
      </w:r>
    </w:p>
    <w:p w:rsidR="002E15F3" w:rsidRPr="00B77E5D" w:rsidRDefault="00206787">
      <w:pPr>
        <w:pStyle w:val="20"/>
        <w:spacing w:before="0" w:after="0" w:line="360" w:lineRule="auto"/>
        <w:ind w:left="0" w:firstLineChars="200" w:firstLine="480"/>
        <w:rPr>
          <w:rFonts w:hAnsi="宋体"/>
          <w:szCs w:val="24"/>
        </w:rPr>
      </w:pPr>
      <w:r w:rsidRPr="00B77E5D">
        <w:rPr>
          <w:rFonts w:hAnsi="宋体" w:hint="eastAsia"/>
          <w:szCs w:val="24"/>
        </w:rPr>
        <w:t>注册资本：4893479.6573万元人民币</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存续期间：持续经营</w:t>
      </w:r>
    </w:p>
    <w:p w:rsidR="002E15F3" w:rsidRPr="00B77E5D" w:rsidRDefault="00834479">
      <w:pPr>
        <w:pStyle w:val="1"/>
        <w:ind w:firstLineChars="200" w:firstLine="482"/>
        <w:rPr>
          <w:bCs/>
          <w:color w:val="auto"/>
          <w:szCs w:val="24"/>
        </w:rPr>
      </w:pPr>
      <w:bookmarkStart w:id="12" w:name="_Toc296551338"/>
      <w:bookmarkStart w:id="13" w:name="_Toc44321725"/>
      <w:bookmarkEnd w:id="10"/>
      <w:bookmarkEnd w:id="11"/>
      <w:r w:rsidRPr="00B77E5D">
        <w:rPr>
          <w:rFonts w:hint="eastAsia"/>
          <w:bCs/>
          <w:color w:val="auto"/>
          <w:szCs w:val="24"/>
        </w:rPr>
        <w:t>第二条 本协议的依据、目的和原则</w:t>
      </w:r>
      <w:bookmarkEnd w:id="12"/>
      <w:bookmarkEnd w:id="13"/>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2.1本协议的依据</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订立本协议的依据是《中华人民共和国证券投资基金法》（以下简称“《基金法》”）、《公开募集证券投资基金运作管理办法》（以下简称“《运作办法》”）、《公开募集证券投资基金销售机构监督管理办法》（以下简称“《销售办法》”）、《公开</w:t>
      </w:r>
      <w:r w:rsidRPr="00B77E5D">
        <w:rPr>
          <w:rFonts w:hAnsi="宋体"/>
          <w:szCs w:val="24"/>
        </w:rPr>
        <w:t>募集</w:t>
      </w:r>
      <w:r w:rsidRPr="00B77E5D">
        <w:rPr>
          <w:rFonts w:hAnsi="宋体" w:hint="eastAsia"/>
          <w:szCs w:val="24"/>
        </w:rPr>
        <w:t>证券投资基金信息披露管理办法》（以下简称“《信息披露办法》”）、</w:t>
      </w:r>
      <w:r w:rsidRPr="00B77E5D">
        <w:rPr>
          <w:rFonts w:hint="eastAsia"/>
          <w:bCs/>
        </w:rPr>
        <w:t>《公开募集开放式证券投资基金流动性风险管理规定》（以下简称“《流动性风险管理规定》”）、</w:t>
      </w:r>
      <w:r w:rsidRPr="00B77E5D">
        <w:rPr>
          <w:rFonts w:hAnsi="宋体" w:hint="eastAsia"/>
          <w:szCs w:val="24"/>
        </w:rPr>
        <w:t>《证券投资基金信息披露内容与格式准则第7号〈托管协议的内容与格式〉》、《基金合</w:t>
      </w:r>
      <w:r w:rsidRPr="00B77E5D">
        <w:rPr>
          <w:rFonts w:hAnsi="宋体" w:hint="eastAsia"/>
          <w:szCs w:val="24"/>
        </w:rPr>
        <w:lastRenderedPageBreak/>
        <w:t>同》及其他有关规定。</w:t>
      </w:r>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2.2本协议的目的</w:t>
      </w:r>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2.3本协议的原则</w:t>
      </w:r>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基金管理人和基金托管人本着平等自愿、诚实信用、充分保护基金份额持有人合法权益的原则，经协商一致，签订本协议。</w:t>
      </w:r>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若本基金实施</w:t>
      </w:r>
      <w:proofErr w:type="gramStart"/>
      <w:r w:rsidRPr="00B77E5D">
        <w:rPr>
          <w:rFonts w:hAnsi="宋体" w:hint="eastAsia"/>
          <w:szCs w:val="24"/>
        </w:rPr>
        <w:t>侧袋机制</w:t>
      </w:r>
      <w:proofErr w:type="gramEnd"/>
      <w:r w:rsidRPr="00B77E5D">
        <w:rPr>
          <w:rFonts w:hAnsi="宋体" w:hint="eastAsia"/>
          <w:szCs w:val="24"/>
        </w:rPr>
        <w:t>的，</w:t>
      </w:r>
      <w:proofErr w:type="gramStart"/>
      <w:r w:rsidRPr="00B77E5D">
        <w:rPr>
          <w:rFonts w:hAnsi="宋体" w:hint="eastAsia"/>
          <w:szCs w:val="24"/>
        </w:rPr>
        <w:t>侧袋机制</w:t>
      </w:r>
      <w:proofErr w:type="gramEnd"/>
      <w:r w:rsidRPr="00B77E5D">
        <w:rPr>
          <w:rFonts w:hAnsi="宋体" w:hint="eastAsia"/>
          <w:szCs w:val="24"/>
        </w:rPr>
        <w:t>实施期间的相关安排</w:t>
      </w:r>
      <w:proofErr w:type="gramStart"/>
      <w:r w:rsidRPr="00B77E5D">
        <w:rPr>
          <w:rFonts w:hAnsi="宋体" w:hint="eastAsia"/>
          <w:szCs w:val="24"/>
        </w:rPr>
        <w:t>见基金</w:t>
      </w:r>
      <w:proofErr w:type="gramEnd"/>
      <w:r w:rsidRPr="00B77E5D">
        <w:rPr>
          <w:rFonts w:hAnsi="宋体" w:hint="eastAsia"/>
          <w:szCs w:val="24"/>
        </w:rPr>
        <w:t>合同和招募说明书的规定。</w:t>
      </w:r>
    </w:p>
    <w:p w:rsidR="002E15F3" w:rsidRPr="00B77E5D" w:rsidRDefault="00834479">
      <w:pPr>
        <w:pStyle w:val="1"/>
        <w:adjustRightInd w:val="0"/>
        <w:ind w:firstLineChars="200" w:firstLine="482"/>
        <w:rPr>
          <w:bCs/>
          <w:color w:val="auto"/>
          <w:szCs w:val="24"/>
        </w:rPr>
      </w:pPr>
      <w:bookmarkStart w:id="14" w:name="_Toc296551339"/>
      <w:bookmarkStart w:id="15" w:name="_Toc44321726"/>
      <w:r w:rsidRPr="00B77E5D">
        <w:rPr>
          <w:rFonts w:hint="eastAsia"/>
          <w:bCs/>
          <w:color w:val="auto"/>
          <w:szCs w:val="24"/>
        </w:rPr>
        <w:t>第三条 基金托管人对基金管理人的业务监督和核查</w:t>
      </w:r>
      <w:bookmarkEnd w:id="14"/>
      <w:bookmarkEnd w:id="15"/>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3.1基金托管人对基金管理人的投资行为行使监督权</w:t>
      </w:r>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3.1.1基金托管人根据有关法律法规的规定和基金合同的约定，对下述基金投资范围、投资对象进行监督。本基金将投资于以下金融工具：</w:t>
      </w:r>
    </w:p>
    <w:p w:rsidR="002E15F3" w:rsidRPr="00B77E5D" w:rsidRDefault="00834479" w:rsidP="006F7D2F">
      <w:pPr>
        <w:pStyle w:val="20"/>
        <w:adjustRightInd w:val="0"/>
        <w:snapToGrid w:val="0"/>
        <w:spacing w:before="0" w:after="0" w:line="360" w:lineRule="auto"/>
        <w:ind w:left="0" w:firstLineChars="200" w:firstLine="480"/>
        <w:rPr>
          <w:rFonts w:ascii="Times New Roman"/>
          <w:bCs/>
        </w:rPr>
      </w:pPr>
      <w:r w:rsidRPr="00B77E5D">
        <w:rPr>
          <w:rFonts w:ascii="Times New Roman" w:hint="eastAsia"/>
          <w:bCs/>
        </w:rPr>
        <w:t>本基金的投资范围为具有良好流动性的金融工具，包括国内依法发行的股票（含主板、创业板、</w:t>
      </w:r>
      <w:proofErr w:type="gramStart"/>
      <w:r w:rsidRPr="00B77E5D">
        <w:rPr>
          <w:rFonts w:ascii="Times New Roman" w:hint="eastAsia"/>
          <w:bCs/>
        </w:rPr>
        <w:t>科创板</w:t>
      </w:r>
      <w:proofErr w:type="gramEnd"/>
      <w:r w:rsidRPr="00B77E5D">
        <w:rPr>
          <w:rFonts w:ascii="Times New Roman" w:hint="eastAsia"/>
          <w:bCs/>
        </w:rPr>
        <w:t>及其他中国证监会允许基金投资的股票、存托凭证）、港股通标的股票、债券（含国债、央行票据、地方政府债、金融债、企业债、公司债、次级债、短期融资</w:t>
      </w:r>
      <w:proofErr w:type="gramStart"/>
      <w:r w:rsidRPr="00B77E5D">
        <w:rPr>
          <w:rFonts w:ascii="Times New Roman" w:hint="eastAsia"/>
          <w:bCs/>
        </w:rPr>
        <w:t>券</w:t>
      </w:r>
      <w:proofErr w:type="gramEnd"/>
      <w:r w:rsidRPr="00B77E5D">
        <w:rPr>
          <w:rFonts w:ascii="Times New Roman" w:hint="eastAsia"/>
          <w:bCs/>
        </w:rPr>
        <w:t>、超短期融资</w:t>
      </w:r>
      <w:proofErr w:type="gramStart"/>
      <w:r w:rsidRPr="00B77E5D">
        <w:rPr>
          <w:rFonts w:ascii="Times New Roman" w:hint="eastAsia"/>
          <w:bCs/>
        </w:rPr>
        <w:t>券</w:t>
      </w:r>
      <w:proofErr w:type="gramEnd"/>
      <w:r w:rsidRPr="00B77E5D">
        <w:rPr>
          <w:rFonts w:ascii="Times New Roman" w:hint="eastAsia"/>
          <w:bCs/>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rsidR="002E15F3" w:rsidRPr="00B77E5D" w:rsidRDefault="00834479" w:rsidP="006F7D2F">
      <w:pPr>
        <w:pStyle w:val="20"/>
        <w:adjustRightInd w:val="0"/>
        <w:snapToGrid w:val="0"/>
        <w:spacing w:before="0" w:after="0" w:line="360" w:lineRule="auto"/>
        <w:ind w:left="0" w:firstLineChars="200" w:firstLine="480"/>
        <w:rPr>
          <w:rFonts w:ascii="Times New Roman"/>
          <w:bCs/>
        </w:rPr>
      </w:pPr>
      <w:r w:rsidRPr="00B77E5D">
        <w:rPr>
          <w:rFonts w:ascii="Times New Roman" w:hint="eastAsia"/>
          <w:bCs/>
        </w:rPr>
        <w:t>如法律法规或监管机构以后允许基金投资其他品种，基金管理人在履行适当程序后，可以将其纳入投资范围。</w:t>
      </w:r>
    </w:p>
    <w:p w:rsidR="002E15F3" w:rsidRPr="00B77E5D" w:rsidRDefault="00834479" w:rsidP="006F7D2F">
      <w:pPr>
        <w:pStyle w:val="20"/>
        <w:adjustRightInd w:val="0"/>
        <w:snapToGrid w:val="0"/>
        <w:spacing w:before="0" w:after="0" w:line="360" w:lineRule="auto"/>
        <w:ind w:left="0" w:firstLineChars="200" w:firstLine="480"/>
        <w:rPr>
          <w:rFonts w:ascii="Times New Roman"/>
          <w:bCs/>
        </w:rPr>
      </w:pPr>
      <w:r w:rsidRPr="00B77E5D">
        <w:rPr>
          <w:rFonts w:ascii="Times New Roman" w:hint="eastAsia"/>
          <w:bCs/>
        </w:rPr>
        <w:t>基金的投资组合比例为：本基金投资于股票（</w:t>
      </w:r>
      <w:proofErr w:type="gramStart"/>
      <w:r w:rsidRPr="00B77E5D">
        <w:rPr>
          <w:rFonts w:ascii="Times New Roman" w:hint="eastAsia"/>
          <w:bCs/>
        </w:rPr>
        <w:t>含存托</w:t>
      </w:r>
      <w:proofErr w:type="gramEnd"/>
      <w:r w:rsidRPr="00B77E5D">
        <w:rPr>
          <w:rFonts w:ascii="Times New Roman" w:hint="eastAsia"/>
          <w:bCs/>
        </w:rPr>
        <w:t>凭证）资产占基金资产的比例为</w:t>
      </w:r>
      <w:r w:rsidRPr="00B77E5D">
        <w:rPr>
          <w:rFonts w:ascii="Times New Roman" w:hint="eastAsia"/>
          <w:bCs/>
        </w:rPr>
        <w:t>60%-95%</w:t>
      </w:r>
      <w:r w:rsidRPr="00B77E5D">
        <w:rPr>
          <w:rFonts w:ascii="Times New Roman" w:hint="eastAsia"/>
          <w:bCs/>
        </w:rPr>
        <w:t>，其中投资于先锋半导体主题相关股票的比例不低于非现金基金资产的</w:t>
      </w:r>
      <w:r w:rsidRPr="00B77E5D">
        <w:rPr>
          <w:rFonts w:ascii="Times New Roman" w:hint="eastAsia"/>
          <w:bCs/>
        </w:rPr>
        <w:t>80%</w:t>
      </w:r>
      <w:r w:rsidRPr="00B77E5D">
        <w:rPr>
          <w:rFonts w:ascii="Times New Roman" w:hint="eastAsia"/>
          <w:bCs/>
        </w:rPr>
        <w:t>，港股通标的股票投资比例不得超过股票资产的</w:t>
      </w:r>
      <w:r w:rsidRPr="00B77E5D">
        <w:rPr>
          <w:rFonts w:ascii="Times New Roman" w:hint="eastAsia"/>
          <w:bCs/>
        </w:rPr>
        <w:t>50%</w:t>
      </w:r>
      <w:r w:rsidRPr="00B77E5D">
        <w:rPr>
          <w:rFonts w:ascii="Times New Roman" w:hint="eastAsia"/>
          <w:bCs/>
        </w:rPr>
        <w:t>；每个交易日日终，在扣除股指期货、国债期货、股票期权合约需缴纳的交易保证金后，保持现金（不含结算备付金、存出保证金、应收申购款等）或者到期日在一年以内的政府债券投资比例合计不低于基金资产净值的</w:t>
      </w:r>
      <w:r w:rsidRPr="00B77E5D">
        <w:rPr>
          <w:rFonts w:ascii="Times New Roman" w:hint="eastAsia"/>
          <w:bCs/>
        </w:rPr>
        <w:t>5%</w:t>
      </w:r>
      <w:r w:rsidRPr="00B77E5D">
        <w:rPr>
          <w:rFonts w:ascii="Times New Roman" w:hint="eastAsia"/>
          <w:bCs/>
        </w:rPr>
        <w:t>。</w:t>
      </w:r>
    </w:p>
    <w:p w:rsidR="002E15F3" w:rsidRPr="00B77E5D" w:rsidRDefault="00834479">
      <w:pPr>
        <w:spacing w:line="360" w:lineRule="auto"/>
        <w:ind w:firstLineChars="200" w:firstLine="480"/>
        <w:rPr>
          <w:bCs/>
          <w:sz w:val="24"/>
        </w:rPr>
      </w:pPr>
      <w:r w:rsidRPr="00B77E5D">
        <w:rPr>
          <w:rFonts w:hint="eastAsia"/>
          <w:bCs/>
          <w:sz w:val="24"/>
        </w:rPr>
        <w:t>如果法律法规或监管机构变更投资品种的投资比例限制，基金管理人在履行适当程序后，可以调整上述投资品种的投资比例。</w:t>
      </w:r>
    </w:p>
    <w:p w:rsidR="002E15F3" w:rsidRPr="00B77E5D" w:rsidRDefault="00834479">
      <w:pPr>
        <w:spacing w:line="360" w:lineRule="auto"/>
        <w:ind w:firstLineChars="200" w:firstLine="480"/>
        <w:jc w:val="left"/>
        <w:rPr>
          <w:rFonts w:ascii="宋体" w:hAnsi="宋体"/>
          <w:sz w:val="24"/>
        </w:rPr>
      </w:pPr>
      <w:r w:rsidRPr="00B77E5D">
        <w:rPr>
          <w:rFonts w:ascii="宋体" w:hAnsi="宋体" w:hint="eastAsia"/>
          <w:sz w:val="24"/>
        </w:rPr>
        <w:lastRenderedPageBreak/>
        <w:t>3.1.2基金托管人根据有关法律法规的规定及基金合同的约定对下述基金投融资比例进行监督：</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w:t>
      </w:r>
      <w:r w:rsidRPr="00B77E5D">
        <w:rPr>
          <w:rFonts w:hint="eastAsia"/>
          <w:bCs/>
          <w:sz w:val="24"/>
          <w:szCs w:val="24"/>
        </w:rPr>
        <w:t>）本基金投资于股票（</w:t>
      </w:r>
      <w:proofErr w:type="gramStart"/>
      <w:r w:rsidRPr="00B77E5D">
        <w:rPr>
          <w:rFonts w:hint="eastAsia"/>
          <w:bCs/>
          <w:sz w:val="24"/>
          <w:szCs w:val="24"/>
        </w:rPr>
        <w:t>含存托</w:t>
      </w:r>
      <w:proofErr w:type="gramEnd"/>
      <w:r w:rsidRPr="00B77E5D">
        <w:rPr>
          <w:rFonts w:hint="eastAsia"/>
          <w:bCs/>
          <w:sz w:val="24"/>
          <w:szCs w:val="24"/>
        </w:rPr>
        <w:t>凭证）资产占基金资产的比例为</w:t>
      </w:r>
      <w:r w:rsidRPr="00B77E5D">
        <w:rPr>
          <w:rFonts w:hint="eastAsia"/>
          <w:bCs/>
          <w:sz w:val="24"/>
          <w:szCs w:val="24"/>
        </w:rPr>
        <w:t>60%-95%</w:t>
      </w:r>
      <w:r w:rsidRPr="00B77E5D">
        <w:rPr>
          <w:rFonts w:hint="eastAsia"/>
          <w:bCs/>
          <w:sz w:val="24"/>
          <w:szCs w:val="24"/>
        </w:rPr>
        <w:t>，其中投资于先锋半导体主题相关股票的比例不低于非现金基金资产的</w:t>
      </w:r>
      <w:r w:rsidRPr="00B77E5D">
        <w:rPr>
          <w:rFonts w:hint="eastAsia"/>
          <w:bCs/>
          <w:sz w:val="24"/>
          <w:szCs w:val="24"/>
        </w:rPr>
        <w:t>80%</w:t>
      </w:r>
      <w:r w:rsidRPr="00B77E5D">
        <w:rPr>
          <w:rFonts w:hint="eastAsia"/>
          <w:bCs/>
          <w:sz w:val="24"/>
          <w:szCs w:val="24"/>
        </w:rPr>
        <w:t>，港股通标的股票投资比例不得超过股票资产的</w:t>
      </w:r>
      <w:r w:rsidRPr="00B77E5D">
        <w:rPr>
          <w:rFonts w:hint="eastAsia"/>
          <w:bCs/>
          <w:sz w:val="24"/>
          <w:szCs w:val="24"/>
        </w:rPr>
        <w:t>50%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2</w:t>
      </w:r>
      <w:r w:rsidRPr="00B77E5D">
        <w:rPr>
          <w:rFonts w:hint="eastAsia"/>
          <w:bCs/>
          <w:sz w:val="24"/>
          <w:szCs w:val="24"/>
        </w:rPr>
        <w:t>）每个交易日日终，在扣除股指期货、国债期货和股票期权合约需缴纳的交易保证金后，本基金持有现金（不含结算备付金、存出保证金、应收申购款等）或者到期日在一年以内的政府债券投资比例合计不低于基金资产净值的</w:t>
      </w:r>
      <w:r w:rsidRPr="00B77E5D">
        <w:rPr>
          <w:rFonts w:hint="eastAsia"/>
          <w:bCs/>
          <w:sz w:val="24"/>
          <w:szCs w:val="24"/>
        </w:rPr>
        <w:t>5%</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3</w:t>
      </w:r>
      <w:r w:rsidRPr="00B77E5D">
        <w:rPr>
          <w:rFonts w:hint="eastAsia"/>
          <w:bCs/>
          <w:sz w:val="24"/>
          <w:szCs w:val="24"/>
        </w:rPr>
        <w:t>）本基金持有一家公司发行的证券（同一家公司在内地和香港同时上市的</w:t>
      </w:r>
      <w:r w:rsidRPr="00B77E5D">
        <w:rPr>
          <w:rFonts w:hint="eastAsia"/>
          <w:bCs/>
          <w:sz w:val="24"/>
          <w:szCs w:val="24"/>
        </w:rPr>
        <w:t>A+H</w:t>
      </w:r>
      <w:r w:rsidRPr="00B77E5D">
        <w:rPr>
          <w:rFonts w:hint="eastAsia"/>
          <w:bCs/>
          <w:sz w:val="24"/>
          <w:szCs w:val="24"/>
        </w:rPr>
        <w:t>股合并计算），其市值不超过基金资产净值的</w:t>
      </w:r>
      <w:r w:rsidRPr="00B77E5D">
        <w:rPr>
          <w:rFonts w:hint="eastAsia"/>
          <w:bCs/>
          <w:sz w:val="24"/>
          <w:szCs w:val="24"/>
        </w:rPr>
        <w:t>10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4</w:t>
      </w:r>
      <w:r w:rsidRPr="00B77E5D">
        <w:rPr>
          <w:rFonts w:hint="eastAsia"/>
          <w:bCs/>
          <w:sz w:val="24"/>
          <w:szCs w:val="24"/>
        </w:rPr>
        <w:t>）本基金管理人管理的全部基金持有一家公司发行的证券（同一家公司在内地和香港同时上市的</w:t>
      </w:r>
      <w:r w:rsidRPr="00B77E5D">
        <w:rPr>
          <w:rFonts w:hint="eastAsia"/>
          <w:bCs/>
          <w:sz w:val="24"/>
          <w:szCs w:val="24"/>
        </w:rPr>
        <w:t>A+H</w:t>
      </w:r>
      <w:r w:rsidRPr="00B77E5D">
        <w:rPr>
          <w:rFonts w:hint="eastAsia"/>
          <w:bCs/>
          <w:sz w:val="24"/>
          <w:szCs w:val="24"/>
        </w:rPr>
        <w:t>股合并计算），不超过该证券的</w:t>
      </w:r>
      <w:r w:rsidRPr="00B77E5D">
        <w:rPr>
          <w:rFonts w:hint="eastAsia"/>
          <w:bCs/>
          <w:sz w:val="24"/>
          <w:szCs w:val="24"/>
        </w:rPr>
        <w:t>10</w:t>
      </w:r>
      <w:r w:rsidRPr="00B77E5D">
        <w:rPr>
          <w:rFonts w:hint="eastAsia"/>
          <w:bCs/>
          <w:sz w:val="24"/>
          <w:szCs w:val="24"/>
        </w:rPr>
        <w:t>％，完全按照有关指数的构成比例进行证券投资的基金品种可以不受此条款规定的比例限制；</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5</w:t>
      </w:r>
      <w:r w:rsidRPr="00B77E5D">
        <w:rPr>
          <w:rFonts w:hint="eastAsia"/>
          <w:bCs/>
          <w:sz w:val="24"/>
          <w:szCs w:val="24"/>
        </w:rPr>
        <w:t>）本基金投资于同一原始权益人的各类资产支持证券的比例，不得超过基金资产净值的</w:t>
      </w:r>
      <w:r w:rsidRPr="00B77E5D">
        <w:rPr>
          <w:rFonts w:hint="eastAsia"/>
          <w:bCs/>
          <w:sz w:val="24"/>
          <w:szCs w:val="24"/>
        </w:rPr>
        <w:t>10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6</w:t>
      </w:r>
      <w:r w:rsidRPr="00B77E5D">
        <w:rPr>
          <w:rFonts w:hint="eastAsia"/>
          <w:bCs/>
          <w:sz w:val="24"/>
          <w:szCs w:val="24"/>
        </w:rPr>
        <w:t>）本基金持有的全部资产支持证券，其市值不得超过基金资产净值的</w:t>
      </w:r>
      <w:r w:rsidRPr="00B77E5D">
        <w:rPr>
          <w:rFonts w:hint="eastAsia"/>
          <w:bCs/>
          <w:sz w:val="24"/>
          <w:szCs w:val="24"/>
        </w:rPr>
        <w:t>20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7</w:t>
      </w:r>
      <w:r w:rsidRPr="00B77E5D">
        <w:rPr>
          <w:rFonts w:hint="eastAsia"/>
          <w:bCs/>
          <w:sz w:val="24"/>
          <w:szCs w:val="24"/>
        </w:rPr>
        <w:t>）本基金持有的同一（指同一信用级别）资产支持证券的比例，不得超过该资产支持证券规模的</w:t>
      </w:r>
      <w:r w:rsidRPr="00B77E5D">
        <w:rPr>
          <w:rFonts w:hint="eastAsia"/>
          <w:bCs/>
          <w:sz w:val="24"/>
          <w:szCs w:val="24"/>
        </w:rPr>
        <w:t>10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8</w:t>
      </w:r>
      <w:r w:rsidRPr="00B77E5D">
        <w:rPr>
          <w:rFonts w:hint="eastAsia"/>
          <w:bCs/>
          <w:sz w:val="24"/>
          <w:szCs w:val="24"/>
        </w:rPr>
        <w:t>）本基金管理人管理的全部基金投资于同一原始权益人的各类资产支持证券，不得超过其各类资产支持证券合计规模的</w:t>
      </w:r>
      <w:r w:rsidRPr="00B77E5D">
        <w:rPr>
          <w:rFonts w:hint="eastAsia"/>
          <w:bCs/>
          <w:sz w:val="24"/>
          <w:szCs w:val="24"/>
        </w:rPr>
        <w:t>10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9</w:t>
      </w:r>
      <w:r w:rsidRPr="00B77E5D">
        <w:rPr>
          <w:rFonts w:hint="eastAsia"/>
          <w:bCs/>
          <w:sz w:val="24"/>
          <w:szCs w:val="24"/>
        </w:rPr>
        <w:t>）本基金应投资于信用级别评级为</w:t>
      </w:r>
      <w:r w:rsidRPr="00B77E5D">
        <w:rPr>
          <w:rFonts w:hint="eastAsia"/>
          <w:bCs/>
          <w:sz w:val="24"/>
          <w:szCs w:val="24"/>
        </w:rPr>
        <w:t>BBB</w:t>
      </w:r>
      <w:r w:rsidRPr="00B77E5D">
        <w:rPr>
          <w:rFonts w:hint="eastAsia"/>
          <w:bCs/>
          <w:sz w:val="24"/>
          <w:szCs w:val="24"/>
        </w:rPr>
        <w:t>以上</w:t>
      </w:r>
      <w:r w:rsidRPr="00B77E5D">
        <w:rPr>
          <w:rFonts w:hint="eastAsia"/>
          <w:bCs/>
          <w:sz w:val="24"/>
          <w:szCs w:val="24"/>
        </w:rPr>
        <w:t>(</w:t>
      </w:r>
      <w:r w:rsidRPr="00B77E5D">
        <w:rPr>
          <w:rFonts w:hint="eastAsia"/>
          <w:bCs/>
          <w:sz w:val="24"/>
          <w:szCs w:val="24"/>
        </w:rPr>
        <w:t>含</w:t>
      </w:r>
      <w:r w:rsidRPr="00B77E5D">
        <w:rPr>
          <w:rFonts w:hint="eastAsia"/>
          <w:bCs/>
          <w:sz w:val="24"/>
          <w:szCs w:val="24"/>
        </w:rPr>
        <w:t>BBB)</w:t>
      </w:r>
      <w:r w:rsidRPr="00B77E5D">
        <w:rPr>
          <w:rFonts w:hint="eastAsia"/>
          <w:bCs/>
          <w:sz w:val="24"/>
          <w:szCs w:val="24"/>
        </w:rPr>
        <w:t>的资产支持证券。基金持有资产支持证券期间，如果其信用等级下降、不再符合投资标准，应在评级报告发布之日起</w:t>
      </w:r>
      <w:r w:rsidRPr="00B77E5D">
        <w:rPr>
          <w:rFonts w:hint="eastAsia"/>
          <w:bCs/>
          <w:sz w:val="24"/>
          <w:szCs w:val="24"/>
        </w:rPr>
        <w:t>3</w:t>
      </w:r>
      <w:r w:rsidRPr="00B77E5D">
        <w:rPr>
          <w:rFonts w:hint="eastAsia"/>
          <w:bCs/>
          <w:sz w:val="24"/>
          <w:szCs w:val="24"/>
        </w:rPr>
        <w:t>个月内予以全部卖出；</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10</w:t>
      </w:r>
      <w:r w:rsidRPr="00B77E5D">
        <w:rPr>
          <w:rFonts w:hint="eastAsia"/>
          <w:bCs/>
          <w:sz w:val="24"/>
          <w:szCs w:val="24"/>
        </w:rPr>
        <w:t>）基金财产参与股票发行申购，本基金所申报的金额不超过本基金的总资产，本基金所申报的股票数量不超过拟发行股票公司本次发行股票的总量；</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11</w:t>
      </w:r>
      <w:r w:rsidRPr="00B77E5D">
        <w:rPr>
          <w:rFonts w:hint="eastAsia"/>
          <w:bCs/>
          <w:sz w:val="24"/>
          <w:szCs w:val="24"/>
        </w:rPr>
        <w:t>）本基金管理人管理的全部开放式基金（包括开放式基金以及处于开放期的定期开放基金）持有一家上市公司发行的可流通股票，不得超过该上市公司可流通股票的</w:t>
      </w:r>
      <w:r w:rsidRPr="00B77E5D">
        <w:rPr>
          <w:rFonts w:hint="eastAsia"/>
          <w:bCs/>
          <w:sz w:val="24"/>
          <w:szCs w:val="24"/>
        </w:rPr>
        <w:t>15%</w:t>
      </w:r>
      <w:r w:rsidRPr="00B77E5D">
        <w:rPr>
          <w:rFonts w:hint="eastAsia"/>
          <w:bCs/>
          <w:sz w:val="24"/>
          <w:szCs w:val="24"/>
        </w:rPr>
        <w:t>；本基金管理人管理的全部投资组合持有一家上市公司发行的可流通股票，不得超过该上市公司可流通股票的</w:t>
      </w:r>
      <w:r w:rsidRPr="00B77E5D">
        <w:rPr>
          <w:rFonts w:hint="eastAsia"/>
          <w:bCs/>
          <w:sz w:val="24"/>
          <w:szCs w:val="24"/>
        </w:rPr>
        <w:t>30%</w:t>
      </w:r>
      <w:r w:rsidRPr="00B77E5D">
        <w:rPr>
          <w:rFonts w:hint="eastAsia"/>
          <w:bCs/>
          <w:sz w:val="24"/>
          <w:szCs w:val="24"/>
        </w:rPr>
        <w:t>；完全按照有关指数的构成比例进行证券投资的开放式基金以及中国证监会认定的特殊投资组合可不受前述比例限制；</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lastRenderedPageBreak/>
        <w:t>（</w:t>
      </w:r>
      <w:r w:rsidRPr="00B77E5D">
        <w:rPr>
          <w:rFonts w:hint="eastAsia"/>
          <w:bCs/>
          <w:sz w:val="24"/>
          <w:szCs w:val="24"/>
        </w:rPr>
        <w:t>12</w:t>
      </w:r>
      <w:r w:rsidRPr="00B77E5D">
        <w:rPr>
          <w:rFonts w:hint="eastAsia"/>
          <w:bCs/>
          <w:sz w:val="24"/>
          <w:szCs w:val="24"/>
        </w:rPr>
        <w:t>）本基金主动投资于流动性受限资产的市值合计不得超过基金资产净值的</w:t>
      </w:r>
      <w:r w:rsidRPr="00B77E5D">
        <w:rPr>
          <w:rFonts w:hint="eastAsia"/>
          <w:bCs/>
          <w:sz w:val="24"/>
          <w:szCs w:val="24"/>
        </w:rPr>
        <w:t>15%</w:t>
      </w:r>
      <w:r w:rsidRPr="00B77E5D">
        <w:rPr>
          <w:rFonts w:hint="eastAsia"/>
          <w:bCs/>
          <w:sz w:val="24"/>
          <w:szCs w:val="24"/>
        </w:rPr>
        <w:t>；因证券市场波动、上市公司股票停牌、基金规模变动等基金管理人之外的因素致使基金不符合该比例限制的，基金管理人不得主动新增流动性受限资产的投资；</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13</w:t>
      </w:r>
      <w:r w:rsidRPr="00B77E5D">
        <w:rPr>
          <w:rFonts w:hint="eastAsia"/>
          <w:bCs/>
          <w:sz w:val="24"/>
          <w:szCs w:val="24"/>
        </w:rPr>
        <w:t>）本基金与私募类</w:t>
      </w:r>
      <w:proofErr w:type="gramStart"/>
      <w:r w:rsidRPr="00B77E5D">
        <w:rPr>
          <w:rFonts w:hint="eastAsia"/>
          <w:bCs/>
          <w:sz w:val="24"/>
          <w:szCs w:val="24"/>
        </w:rPr>
        <w:t>证券资管产品</w:t>
      </w:r>
      <w:proofErr w:type="gramEnd"/>
      <w:r w:rsidRPr="00B77E5D">
        <w:rPr>
          <w:rFonts w:hint="eastAsia"/>
          <w:bCs/>
          <w:sz w:val="24"/>
          <w:szCs w:val="24"/>
        </w:rPr>
        <w:t>及中国证监会认定的其他主体为交易对手开展逆回购交易的，可接受质押品的资质要求应当与基金合同约定的投资范围保持一致；</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14</w:t>
      </w:r>
      <w:r w:rsidRPr="00B77E5D">
        <w:rPr>
          <w:rFonts w:hint="eastAsia"/>
          <w:bCs/>
          <w:sz w:val="24"/>
          <w:szCs w:val="24"/>
        </w:rPr>
        <w:t>）基金资产总值不得超过基金资产净值的</w:t>
      </w:r>
      <w:r w:rsidRPr="00B77E5D">
        <w:rPr>
          <w:rFonts w:hint="eastAsia"/>
          <w:bCs/>
          <w:sz w:val="24"/>
          <w:szCs w:val="24"/>
        </w:rPr>
        <w:t>140%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15</w:t>
      </w:r>
      <w:r w:rsidRPr="00B77E5D">
        <w:rPr>
          <w:rFonts w:hint="eastAsia"/>
          <w:bCs/>
          <w:sz w:val="24"/>
          <w:szCs w:val="24"/>
        </w:rPr>
        <w:t>）若本基金参与国债期货交易，应当遵守下列要求：</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15.1</w:t>
      </w:r>
      <w:r w:rsidRPr="00B77E5D">
        <w:rPr>
          <w:rFonts w:hint="eastAsia"/>
          <w:bCs/>
          <w:sz w:val="24"/>
          <w:szCs w:val="24"/>
        </w:rPr>
        <w:t>）本基金在任何交易日日终，持有的买入国债期货合约价值，不得超过基金资产净值的</w:t>
      </w:r>
      <w:r w:rsidRPr="00B77E5D">
        <w:rPr>
          <w:rFonts w:hint="eastAsia"/>
          <w:bCs/>
          <w:sz w:val="24"/>
          <w:szCs w:val="24"/>
        </w:rPr>
        <w:t>15%</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15.2</w:t>
      </w:r>
      <w:r w:rsidRPr="00B77E5D">
        <w:rPr>
          <w:rFonts w:hint="eastAsia"/>
          <w:bCs/>
          <w:sz w:val="24"/>
          <w:szCs w:val="24"/>
        </w:rPr>
        <w:t>）任何交易日日终，持有的买入国债期货和股指期货合约价值与有价证券市值之和，不得超过基金资产净值的</w:t>
      </w:r>
      <w:r w:rsidRPr="00B77E5D">
        <w:rPr>
          <w:rFonts w:hint="eastAsia"/>
          <w:bCs/>
          <w:sz w:val="24"/>
          <w:szCs w:val="24"/>
        </w:rPr>
        <w:t>95%</w:t>
      </w:r>
      <w:r w:rsidRPr="00B77E5D">
        <w:rPr>
          <w:rFonts w:hint="eastAsia"/>
          <w:bCs/>
          <w:sz w:val="24"/>
          <w:szCs w:val="24"/>
        </w:rPr>
        <w:t>。其中，有价证券指股票、债券（不含到期日在一年以内的政府债券）、资产支持证券、买入返售金融资产（不含质押式回购）等；</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15.3</w:t>
      </w:r>
      <w:r w:rsidRPr="00B77E5D">
        <w:rPr>
          <w:rFonts w:hint="eastAsia"/>
          <w:bCs/>
          <w:sz w:val="24"/>
          <w:szCs w:val="24"/>
        </w:rPr>
        <w:t>）本基金在任何交易日日终，持有的卖出国债期货合约价值不得超过基金持有的债券总市值的</w:t>
      </w:r>
      <w:r w:rsidRPr="00B77E5D">
        <w:rPr>
          <w:rFonts w:hint="eastAsia"/>
          <w:bCs/>
          <w:sz w:val="24"/>
          <w:szCs w:val="24"/>
        </w:rPr>
        <w:t>30%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15.4</w:t>
      </w:r>
      <w:r w:rsidRPr="00B77E5D">
        <w:rPr>
          <w:rFonts w:hint="eastAsia"/>
          <w:bCs/>
          <w:sz w:val="24"/>
          <w:szCs w:val="24"/>
        </w:rPr>
        <w:t>）本基金所持有的债券（不含到期日在一年以内的政府债券）市值和买入、卖出国债期货合约价值，合计（轧差计算）应当符合基金合同关于债券投资比例的有关约定；</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15.5</w:t>
      </w:r>
      <w:r w:rsidRPr="00B77E5D">
        <w:rPr>
          <w:rFonts w:hint="eastAsia"/>
          <w:bCs/>
          <w:sz w:val="24"/>
          <w:szCs w:val="24"/>
        </w:rPr>
        <w:t>）本基金在任何交易日内交易（不包括平仓）的国债期货合约的成交金额不得超过上一交易日基金资产净值的</w:t>
      </w:r>
      <w:r w:rsidRPr="00B77E5D">
        <w:rPr>
          <w:rFonts w:hint="eastAsia"/>
          <w:bCs/>
          <w:sz w:val="24"/>
          <w:szCs w:val="24"/>
        </w:rPr>
        <w:t>30%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16</w:t>
      </w:r>
      <w:r w:rsidRPr="00B77E5D">
        <w:rPr>
          <w:rFonts w:hint="eastAsia"/>
          <w:bCs/>
          <w:sz w:val="24"/>
          <w:szCs w:val="24"/>
        </w:rPr>
        <w:t>）若本基金参与股指期货交易，应当遵守下列要求：</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16.1</w:t>
      </w:r>
      <w:r w:rsidRPr="00B77E5D">
        <w:rPr>
          <w:rFonts w:hint="eastAsia"/>
          <w:bCs/>
          <w:sz w:val="24"/>
          <w:szCs w:val="24"/>
        </w:rPr>
        <w:t>）本基金在任何交易日日终，持有的买入股指期货合约价值，不得超过基金资产净值的</w:t>
      </w:r>
      <w:r w:rsidRPr="00B77E5D">
        <w:rPr>
          <w:rFonts w:hint="eastAsia"/>
          <w:bCs/>
          <w:sz w:val="24"/>
          <w:szCs w:val="24"/>
        </w:rPr>
        <w:t>10%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16.2</w:t>
      </w:r>
      <w:r w:rsidRPr="00B77E5D">
        <w:rPr>
          <w:rFonts w:hint="eastAsia"/>
          <w:bCs/>
          <w:sz w:val="24"/>
          <w:szCs w:val="24"/>
        </w:rPr>
        <w:t>）本基金在任何交易日日终，持有的卖出股指期货合约价值不得超过基金持有的股票总市值的</w:t>
      </w:r>
      <w:r w:rsidRPr="00B77E5D">
        <w:rPr>
          <w:rFonts w:hint="eastAsia"/>
          <w:bCs/>
          <w:sz w:val="24"/>
          <w:szCs w:val="24"/>
        </w:rPr>
        <w:t>20%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16.3</w:t>
      </w:r>
      <w:r w:rsidRPr="00B77E5D">
        <w:rPr>
          <w:rFonts w:hint="eastAsia"/>
          <w:bCs/>
          <w:sz w:val="24"/>
          <w:szCs w:val="24"/>
        </w:rPr>
        <w:t>）本基金在任何交易日内交易（不包括平仓）的股指期货合约的成交金额不得超过上一交易日基金资产净值的</w:t>
      </w:r>
      <w:r w:rsidRPr="00B77E5D">
        <w:rPr>
          <w:rFonts w:hint="eastAsia"/>
          <w:bCs/>
          <w:sz w:val="24"/>
          <w:szCs w:val="24"/>
        </w:rPr>
        <w:t>20%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16.4</w:t>
      </w:r>
      <w:r w:rsidRPr="00B77E5D">
        <w:rPr>
          <w:rFonts w:hint="eastAsia"/>
          <w:bCs/>
          <w:sz w:val="24"/>
          <w:szCs w:val="24"/>
        </w:rPr>
        <w:t>）本基金所持有的股票市值和买入、卖出股指期货合约价值，合计（轧差计算）应当符合基金合同关于股票投资比例的有关约定；</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16.5</w:t>
      </w:r>
      <w:r w:rsidRPr="00B77E5D">
        <w:rPr>
          <w:rFonts w:hint="eastAsia"/>
          <w:bCs/>
          <w:sz w:val="24"/>
          <w:szCs w:val="24"/>
        </w:rPr>
        <w:t>）每个交易日日终，持有的买入国债期货合约和股指期货合约价值与</w:t>
      </w:r>
      <w:r w:rsidRPr="00B77E5D">
        <w:rPr>
          <w:rFonts w:hint="eastAsia"/>
          <w:bCs/>
          <w:sz w:val="24"/>
          <w:szCs w:val="24"/>
        </w:rPr>
        <w:lastRenderedPageBreak/>
        <w:t>有价证券市值之和，不得超过基金资产净值的</w:t>
      </w:r>
      <w:r w:rsidRPr="00B77E5D">
        <w:rPr>
          <w:rFonts w:hint="eastAsia"/>
          <w:bCs/>
          <w:sz w:val="24"/>
          <w:szCs w:val="24"/>
        </w:rPr>
        <w:t>95%</w:t>
      </w:r>
      <w:r w:rsidRPr="00B77E5D">
        <w:rPr>
          <w:rFonts w:hint="eastAsia"/>
          <w:bCs/>
          <w:sz w:val="24"/>
          <w:szCs w:val="24"/>
        </w:rPr>
        <w:t>。其中，有价证券指股票、债券（不含到期日在一年以内的政府债券）、资产支持证券、买入返售金融资产（不含质押式回购）等；</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17</w:t>
      </w:r>
      <w:r w:rsidRPr="00B77E5D">
        <w:rPr>
          <w:rFonts w:hint="eastAsia"/>
          <w:bCs/>
          <w:sz w:val="24"/>
          <w:szCs w:val="24"/>
        </w:rPr>
        <w:t>）本基金投资存托凭证的比例限制依照境内上市交易的股票执行；</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18</w:t>
      </w:r>
      <w:r w:rsidRPr="00B77E5D">
        <w:rPr>
          <w:rFonts w:hint="eastAsia"/>
          <w:bCs/>
          <w:sz w:val="24"/>
          <w:szCs w:val="24"/>
        </w:rPr>
        <w:t>）本基金参与股票期权交易的，应当符合下列要求：</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18.1</w:t>
      </w:r>
      <w:r w:rsidRPr="00B77E5D">
        <w:rPr>
          <w:rFonts w:hint="eastAsia"/>
          <w:bCs/>
          <w:sz w:val="24"/>
          <w:szCs w:val="24"/>
        </w:rPr>
        <w:t>）基金因未平仓的期权合约支付和收取的权利金总额不得超过基金资产净值的</w:t>
      </w:r>
      <w:r w:rsidRPr="00B77E5D">
        <w:rPr>
          <w:rFonts w:hint="eastAsia"/>
          <w:bCs/>
          <w:sz w:val="24"/>
          <w:szCs w:val="24"/>
        </w:rPr>
        <w:t>10%</w:t>
      </w:r>
      <w:r w:rsidRPr="00B77E5D">
        <w:rPr>
          <w:rFonts w:hint="eastAsia"/>
          <w:bCs/>
          <w:sz w:val="24"/>
          <w:szCs w:val="24"/>
        </w:rPr>
        <w:t>；</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18.2</w:t>
      </w:r>
      <w:r w:rsidRPr="00B77E5D">
        <w:rPr>
          <w:rFonts w:hint="eastAsia"/>
          <w:bCs/>
          <w:sz w:val="24"/>
          <w:szCs w:val="24"/>
        </w:rPr>
        <w:t>）开仓卖出认购期权的，应持有足额标的证券；开仓卖出认沽期权的，应持有合约行权所需的全额现金或交易所规则认可的可冲抵期权保证金的现金等价物；</w:t>
      </w:r>
    </w:p>
    <w:p w:rsidR="002E15F3" w:rsidRPr="00B77E5D" w:rsidRDefault="00834479">
      <w:pPr>
        <w:spacing w:line="360" w:lineRule="auto"/>
        <w:ind w:firstLineChars="200" w:firstLine="480"/>
        <w:jc w:val="left"/>
        <w:rPr>
          <w:bCs/>
          <w:sz w:val="24"/>
          <w:szCs w:val="24"/>
        </w:rPr>
      </w:pPr>
      <w:r w:rsidRPr="00B77E5D">
        <w:rPr>
          <w:rFonts w:hint="eastAsia"/>
          <w:bCs/>
          <w:sz w:val="24"/>
          <w:szCs w:val="24"/>
        </w:rPr>
        <w:t>（</w:t>
      </w:r>
      <w:r w:rsidRPr="00B77E5D">
        <w:rPr>
          <w:rFonts w:hint="eastAsia"/>
          <w:bCs/>
          <w:sz w:val="24"/>
          <w:szCs w:val="24"/>
        </w:rPr>
        <w:t>18.3</w:t>
      </w:r>
      <w:r w:rsidRPr="00B77E5D">
        <w:rPr>
          <w:rFonts w:hint="eastAsia"/>
          <w:bCs/>
          <w:sz w:val="24"/>
          <w:szCs w:val="24"/>
        </w:rPr>
        <w:t>）未平仓的期权合约面值不得超过基金资产净值的</w:t>
      </w:r>
      <w:r w:rsidRPr="00B77E5D">
        <w:rPr>
          <w:rFonts w:hint="eastAsia"/>
          <w:bCs/>
          <w:sz w:val="24"/>
          <w:szCs w:val="24"/>
        </w:rPr>
        <w:t>20%</w:t>
      </w:r>
      <w:r w:rsidRPr="00B77E5D">
        <w:rPr>
          <w:rFonts w:hint="eastAsia"/>
          <w:bCs/>
          <w:sz w:val="24"/>
          <w:szCs w:val="24"/>
        </w:rPr>
        <w:t>。其中，合约面值按照行权价乘以合约乘数计算；</w:t>
      </w:r>
    </w:p>
    <w:p w:rsidR="002E15F3" w:rsidRPr="00B77E5D" w:rsidRDefault="00834479">
      <w:pPr>
        <w:spacing w:line="360" w:lineRule="auto"/>
        <w:ind w:firstLineChars="200" w:firstLine="480"/>
        <w:rPr>
          <w:bCs/>
          <w:sz w:val="24"/>
          <w:szCs w:val="24"/>
        </w:rPr>
      </w:pPr>
      <w:r w:rsidRPr="00B77E5D">
        <w:rPr>
          <w:rFonts w:hint="eastAsia"/>
          <w:bCs/>
          <w:sz w:val="24"/>
          <w:szCs w:val="24"/>
        </w:rPr>
        <w:t>（</w:t>
      </w:r>
      <w:r w:rsidRPr="00B77E5D">
        <w:rPr>
          <w:rFonts w:hint="eastAsia"/>
          <w:bCs/>
          <w:sz w:val="24"/>
          <w:szCs w:val="24"/>
        </w:rPr>
        <w:t>19</w:t>
      </w:r>
      <w:r w:rsidRPr="00B77E5D">
        <w:rPr>
          <w:rFonts w:hint="eastAsia"/>
          <w:bCs/>
          <w:sz w:val="24"/>
          <w:szCs w:val="24"/>
        </w:rPr>
        <w:t>）法律法规及中国证监会规定的和基金合同约定的其他投资限制。</w:t>
      </w:r>
    </w:p>
    <w:p w:rsidR="002E15F3" w:rsidRPr="00B77E5D" w:rsidRDefault="00834479">
      <w:pPr>
        <w:spacing w:line="360" w:lineRule="auto"/>
        <w:ind w:firstLineChars="200" w:firstLine="480"/>
        <w:rPr>
          <w:bCs/>
          <w:sz w:val="24"/>
          <w:szCs w:val="24"/>
        </w:rPr>
      </w:pPr>
      <w:r w:rsidRPr="00B77E5D">
        <w:rPr>
          <w:rFonts w:hint="eastAsia"/>
          <w:bCs/>
          <w:sz w:val="24"/>
          <w:szCs w:val="24"/>
        </w:rPr>
        <w:t>除上述（</w:t>
      </w:r>
      <w:r w:rsidRPr="00B77E5D">
        <w:rPr>
          <w:rFonts w:hint="eastAsia"/>
          <w:bCs/>
          <w:sz w:val="24"/>
          <w:szCs w:val="24"/>
        </w:rPr>
        <w:t>2</w:t>
      </w:r>
      <w:r w:rsidRPr="00B77E5D">
        <w:rPr>
          <w:rFonts w:hint="eastAsia"/>
          <w:bCs/>
          <w:sz w:val="24"/>
          <w:szCs w:val="24"/>
        </w:rPr>
        <w:t>）、（</w:t>
      </w:r>
      <w:r w:rsidRPr="00B77E5D">
        <w:rPr>
          <w:rFonts w:hint="eastAsia"/>
          <w:bCs/>
          <w:sz w:val="24"/>
          <w:szCs w:val="24"/>
        </w:rPr>
        <w:t>9</w:t>
      </w:r>
      <w:r w:rsidRPr="00B77E5D">
        <w:rPr>
          <w:rFonts w:hint="eastAsia"/>
          <w:bCs/>
          <w:sz w:val="24"/>
          <w:szCs w:val="24"/>
        </w:rPr>
        <w:t>）、（</w:t>
      </w:r>
      <w:r w:rsidRPr="00B77E5D">
        <w:rPr>
          <w:rFonts w:hint="eastAsia"/>
          <w:bCs/>
          <w:sz w:val="24"/>
          <w:szCs w:val="24"/>
        </w:rPr>
        <w:t>12</w:t>
      </w:r>
      <w:r w:rsidRPr="00B77E5D">
        <w:rPr>
          <w:rFonts w:hint="eastAsia"/>
          <w:bCs/>
          <w:sz w:val="24"/>
          <w:szCs w:val="24"/>
        </w:rPr>
        <w:t>）、（</w:t>
      </w:r>
      <w:r w:rsidRPr="00B77E5D">
        <w:rPr>
          <w:rFonts w:hint="eastAsia"/>
          <w:bCs/>
          <w:sz w:val="24"/>
          <w:szCs w:val="24"/>
        </w:rPr>
        <w:t>13</w:t>
      </w:r>
      <w:r w:rsidRPr="00B77E5D">
        <w:rPr>
          <w:rFonts w:hint="eastAsia"/>
          <w:bCs/>
          <w:sz w:val="24"/>
          <w:szCs w:val="24"/>
        </w:rPr>
        <w:t>）情形之外，因证券</w:t>
      </w:r>
      <w:r w:rsidRPr="00B77E5D">
        <w:rPr>
          <w:rFonts w:hint="eastAsia"/>
          <w:bCs/>
          <w:sz w:val="24"/>
          <w:szCs w:val="24"/>
        </w:rPr>
        <w:t>/</w:t>
      </w:r>
      <w:r w:rsidRPr="00B77E5D">
        <w:rPr>
          <w:rFonts w:hint="eastAsia"/>
          <w:bCs/>
          <w:sz w:val="24"/>
          <w:szCs w:val="24"/>
        </w:rPr>
        <w:t>期货市场波动、证券发行人合并、基金规模变动等基金管理人之外的因素致使基金投资比例不符合上述规定投资比例的，基金管理人应当在</w:t>
      </w:r>
      <w:r w:rsidRPr="00B77E5D">
        <w:rPr>
          <w:rFonts w:hint="eastAsia"/>
          <w:bCs/>
          <w:sz w:val="24"/>
          <w:szCs w:val="24"/>
        </w:rPr>
        <w:t>10</w:t>
      </w:r>
      <w:r w:rsidRPr="00B77E5D">
        <w:rPr>
          <w:rFonts w:hint="eastAsia"/>
          <w:bCs/>
          <w:sz w:val="24"/>
          <w:szCs w:val="24"/>
        </w:rPr>
        <w:t>个交易日内进行调整，但中国证监会规定的特殊情形或基金合同另有约定除外。</w:t>
      </w:r>
    </w:p>
    <w:p w:rsidR="002E15F3" w:rsidRPr="00B77E5D" w:rsidRDefault="00834479">
      <w:pPr>
        <w:spacing w:line="360" w:lineRule="auto"/>
        <w:ind w:firstLineChars="200" w:firstLine="480"/>
        <w:rPr>
          <w:bCs/>
          <w:sz w:val="24"/>
          <w:szCs w:val="24"/>
        </w:rPr>
      </w:pPr>
      <w:r w:rsidRPr="00B77E5D">
        <w:rPr>
          <w:rFonts w:hint="eastAsia"/>
          <w:bCs/>
          <w:sz w:val="24"/>
          <w:szCs w:val="24"/>
        </w:rPr>
        <w:t>基金管理人应当自基金合同生效之日起</w:t>
      </w:r>
      <w:r w:rsidRPr="00B77E5D">
        <w:rPr>
          <w:rFonts w:hint="eastAsia"/>
          <w:bCs/>
          <w:sz w:val="24"/>
          <w:szCs w:val="24"/>
        </w:rPr>
        <w:t>6</w:t>
      </w:r>
      <w:r w:rsidRPr="00B77E5D">
        <w:rPr>
          <w:rFonts w:hint="eastAsia"/>
          <w:bCs/>
          <w:sz w:val="24"/>
          <w:szCs w:val="24"/>
        </w:rPr>
        <w:t>个月内使基金的投资组合比例符合基金合同的有关约定。在上述期间内，本基金的投资范围、投资策略应当符合基金合同的约定。基金托管人对基金的投资监督与检查自基金合同生效之日起开始。</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3.1.3基金托管人根据有关法律法规的规定及基金合同的约定对下述基金投资禁止行为进行监督：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根据法律法规的规定及基金合同的约定，本基金禁止从事下列行为：</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1</w:t>
      </w:r>
      <w:r w:rsidRPr="00B77E5D">
        <w:rPr>
          <w:rFonts w:hint="eastAsia"/>
          <w:bCs/>
          <w:sz w:val="24"/>
        </w:rPr>
        <w:t>）承销证券；</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2</w:t>
      </w:r>
      <w:r w:rsidRPr="00B77E5D">
        <w:rPr>
          <w:rFonts w:hint="eastAsia"/>
          <w:bCs/>
          <w:sz w:val="24"/>
        </w:rPr>
        <w:t>）违反规定向他人贷款或者提供担保；</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3</w:t>
      </w:r>
      <w:r w:rsidRPr="00B77E5D">
        <w:rPr>
          <w:rFonts w:hint="eastAsia"/>
          <w:bCs/>
          <w:sz w:val="24"/>
        </w:rPr>
        <w:t>）从事承担无限责任的投资；</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4</w:t>
      </w:r>
      <w:r w:rsidRPr="00B77E5D">
        <w:rPr>
          <w:rFonts w:hint="eastAsia"/>
          <w:bCs/>
          <w:sz w:val="24"/>
        </w:rPr>
        <w:t>）买卖其他基金份额，但是中国证监会另有规定的除外；</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5</w:t>
      </w:r>
      <w:r w:rsidRPr="00B77E5D">
        <w:rPr>
          <w:rFonts w:hint="eastAsia"/>
          <w:bCs/>
          <w:sz w:val="24"/>
        </w:rPr>
        <w:t>）向其基金管理人、基金托管人出资；</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6</w:t>
      </w:r>
      <w:r w:rsidRPr="00B77E5D">
        <w:rPr>
          <w:rFonts w:hint="eastAsia"/>
          <w:bCs/>
          <w:sz w:val="24"/>
        </w:rPr>
        <w:t>）从事内幕交易、操纵证券交易价格及其他不正当的证券交易活动；</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7</w:t>
      </w:r>
      <w:r w:rsidRPr="00B77E5D">
        <w:rPr>
          <w:rFonts w:hint="eastAsia"/>
          <w:bCs/>
          <w:sz w:val="24"/>
        </w:rPr>
        <w:t>）法律、行政法规和中国证监会规定禁止的其他活动。</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3.1.4基金托管人依据有关法律法规的规定和基金合同的约定对于基金关联投资限制进行监督：</w:t>
      </w:r>
    </w:p>
    <w:p w:rsidR="002E15F3" w:rsidRPr="00B77E5D" w:rsidRDefault="00834479">
      <w:pPr>
        <w:pStyle w:val="20"/>
        <w:spacing w:before="0" w:after="0" w:line="360" w:lineRule="auto"/>
        <w:ind w:left="0" w:firstLineChars="200" w:firstLine="480"/>
        <w:rPr>
          <w:rFonts w:ascii="Times New Roman"/>
          <w:bCs/>
          <w:szCs w:val="24"/>
        </w:rPr>
      </w:pPr>
      <w:r w:rsidRPr="00B77E5D">
        <w:rPr>
          <w:rFonts w:ascii="Times New Roman" w:hint="eastAsia"/>
          <w:bCs/>
          <w:szCs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根据法律法规有关从事关联交易的规定，基金管理人和基金托管人应事先相互提供与本机构有控股关系的股东或与本机构有其他重大利害关系的公司名单，并确保所提供名单的真实性、完整性、全面性</w:t>
      </w:r>
      <w:r w:rsidR="00947A16" w:rsidRPr="00B77E5D">
        <w:rPr>
          <w:rFonts w:hAnsi="宋体" w:hint="eastAsia"/>
          <w:szCs w:val="24"/>
        </w:rPr>
        <w:t>，并负责及时更新该名单</w:t>
      </w:r>
      <w:r w:rsidRPr="00B77E5D">
        <w:rPr>
          <w:rFonts w:hAnsi="宋体" w:hint="eastAsia"/>
          <w:szCs w:val="24"/>
        </w:rPr>
        <w:t>。如果基金托管人在运作中严格遵循了监督流程，基金管理人仍违规进行交易，并造成基金资产损失的，由基金管理人承担责任，基金托管人不承担相应损失和责任。</w:t>
      </w:r>
    </w:p>
    <w:p w:rsidR="002E15F3" w:rsidRPr="00B77E5D" w:rsidRDefault="00834479">
      <w:pPr>
        <w:pStyle w:val="20"/>
        <w:spacing w:before="0" w:after="0" w:line="360" w:lineRule="auto"/>
        <w:ind w:left="0" w:firstLineChars="200" w:firstLine="480"/>
        <w:rPr>
          <w:rFonts w:hAnsi="宋体"/>
          <w:szCs w:val="24"/>
        </w:rPr>
      </w:pPr>
      <w:proofErr w:type="gramStart"/>
      <w:r w:rsidRPr="00B77E5D">
        <w:rPr>
          <w:rFonts w:hAnsi="宋体" w:hint="eastAsia"/>
          <w:szCs w:val="24"/>
        </w:rPr>
        <w:t>若基金</w:t>
      </w:r>
      <w:proofErr w:type="gramEnd"/>
      <w:r w:rsidRPr="00B77E5D">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sidRPr="00B77E5D">
        <w:rPr>
          <w:rFonts w:hAnsi="宋体" w:hint="eastAsia"/>
          <w:szCs w:val="24"/>
        </w:rPr>
        <w:t>若基金</w:t>
      </w:r>
      <w:proofErr w:type="gramEnd"/>
      <w:r w:rsidRPr="00B77E5D">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w:t>
      </w:r>
      <w:r w:rsidRPr="00B77E5D">
        <w:rPr>
          <w:rFonts w:hAnsi="宋体"/>
          <w:szCs w:val="24"/>
        </w:rPr>
        <w:t>.1.5</w:t>
      </w:r>
      <w:r w:rsidRPr="00B77E5D">
        <w:rPr>
          <w:rFonts w:hAnsi="宋体" w:hint="eastAsia"/>
          <w:bCs/>
          <w:szCs w:val="24"/>
        </w:rPr>
        <w:t>法律法规或监管部门取消上述组合限制、禁止行为规定或从事关联交易的条件和要求，如适用于本基金，基金管理人在履行适当程序后，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3.1.</w:t>
      </w:r>
      <w:r w:rsidRPr="00B77E5D">
        <w:rPr>
          <w:rFonts w:hAnsi="宋体"/>
          <w:szCs w:val="24"/>
        </w:rPr>
        <w:t>6</w:t>
      </w:r>
      <w:r w:rsidRPr="00B77E5D">
        <w:rPr>
          <w:rFonts w:hAnsi="宋体" w:hint="eastAsia"/>
          <w:szCs w:val="24"/>
        </w:rPr>
        <w:t>基金托管人依据有关法律法规的规定和基金合同的约定对基金管理人参与银行间债券市场进行监督：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（1）基金托管人对于基金管理人参与银行间债券市场交易时是否按交易对手名单进行交易进行监督。</w:t>
      </w:r>
    </w:p>
    <w:p w:rsidR="002E15F3" w:rsidRPr="00B77E5D" w:rsidRDefault="00834479">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B77E5D">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托管人向基金管理人确认后，名单开始生效。</w:t>
      </w:r>
      <w:r w:rsidRPr="00B77E5D">
        <w:rPr>
          <w:rFonts w:asciiTheme="minorEastAsia" w:eastAsiaTheme="minorEastAsia" w:hAnsiTheme="minorEastAsia" w:hint="eastAsia"/>
          <w:szCs w:val="24"/>
        </w:rPr>
        <w:t>基金管理人应定</w:t>
      </w:r>
      <w:r w:rsidRPr="00B77E5D">
        <w:rPr>
          <w:rFonts w:asciiTheme="minorEastAsia" w:eastAsiaTheme="minorEastAsia" w:hAnsiTheme="minorEastAsia" w:hint="eastAsia"/>
          <w:szCs w:val="24"/>
        </w:rPr>
        <w:lastRenderedPageBreak/>
        <w:t>期或不定期对银行间债券市场现券及回购交易对手的名单进行更新，如基金管理人根据市场情况需要临时调整银行间债券市场交易对手名单，应向基金托管人说明理由。新名单生效前已与本次剔除的交易对手所进行但尚未结算的交易，仍应按照双方原定协议进行结算。如基金管理人在基金投资运作之前未向基金托管人提供银行间债券市场交易对手名单的，视为基金管理人认可全市场交易对手。</w:t>
      </w:r>
    </w:p>
    <w:p w:rsidR="002E15F3" w:rsidRPr="00B77E5D" w:rsidRDefault="00834479">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B77E5D">
        <w:rPr>
          <w:rFonts w:asciiTheme="minorEastAsia" w:eastAsiaTheme="minorEastAsia" w:hAnsiTheme="minorEastAsia" w:hint="eastAsia"/>
          <w:szCs w:val="24"/>
        </w:rPr>
        <w:t>如果基金托管人发现基金管理人与不在名单内的银行间债券市场交易对手进行交易，应及时提醒基金管理人撤销交易，</w:t>
      </w:r>
      <w:r w:rsidRPr="00B77E5D">
        <w:rPr>
          <w:rFonts w:asciiTheme="minorEastAsia" w:eastAsiaTheme="minorEastAsia" w:hAnsiTheme="minorEastAsia" w:hint="eastAsia"/>
          <w:b/>
          <w:bCs/>
          <w:szCs w:val="24"/>
        </w:rPr>
        <w:t>经提醒后基金管理人仍执行交易并造成基金资产损失的，基金托管人不承担相应责任。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（2）基金托管人对于基金管理人参与银行间债券市场交易的交易方式的控制</w:t>
      </w:r>
    </w:p>
    <w:p w:rsidR="002E15F3" w:rsidRPr="00B77E5D" w:rsidRDefault="00834479">
      <w:pPr>
        <w:pStyle w:val="20"/>
        <w:spacing w:before="0" w:after="0" w:line="360" w:lineRule="auto"/>
        <w:ind w:left="0" w:firstLineChars="200" w:firstLine="480"/>
        <w:rPr>
          <w:rFonts w:hAnsi="宋体"/>
          <w:b/>
          <w:bCs/>
          <w:szCs w:val="24"/>
        </w:rPr>
      </w:pPr>
      <w:r w:rsidRPr="00B77E5D">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B77E5D">
        <w:rPr>
          <w:rFonts w:hAnsi="宋体" w:hint="eastAsia"/>
          <w:b/>
          <w:bCs/>
          <w:szCs w:val="24"/>
        </w:rPr>
        <w:t>经提醒后仍未改正并造成基金资产损失的，基金托管人不承担</w:t>
      </w:r>
      <w:r w:rsidRPr="00B77E5D">
        <w:rPr>
          <w:rFonts w:asciiTheme="minorEastAsia" w:eastAsiaTheme="minorEastAsia" w:hAnsiTheme="minorEastAsia" w:hint="eastAsia"/>
          <w:b/>
          <w:bCs/>
          <w:szCs w:val="24"/>
        </w:rPr>
        <w:t>相应</w:t>
      </w:r>
      <w:r w:rsidRPr="00B77E5D">
        <w:rPr>
          <w:rFonts w:hAnsi="宋体" w:hint="eastAsia"/>
          <w:b/>
          <w:bCs/>
          <w:szCs w:val="24"/>
        </w:rPr>
        <w:t>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（3）基金管理人有责任控制交易对手的资信风险。</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w:t>
      </w:r>
      <w:r w:rsidRPr="00B77E5D">
        <w:rPr>
          <w:rFonts w:hAnsi="宋体"/>
          <w:szCs w:val="24"/>
        </w:rPr>
        <w:t>管理人</w:t>
      </w:r>
      <w:r w:rsidRPr="00B77E5D">
        <w:rPr>
          <w:rFonts w:hAnsi="宋体" w:hint="eastAsia"/>
          <w:szCs w:val="24"/>
        </w:rPr>
        <w:t>按银行间债券市场的交易规则进行交易，并负责处理因交易对手不履行合同而造成的纠纷，基金托管人应予以必要的协助。</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3.1.</w:t>
      </w:r>
      <w:r w:rsidRPr="00B77E5D">
        <w:rPr>
          <w:rFonts w:hAnsi="宋体"/>
          <w:szCs w:val="24"/>
        </w:rPr>
        <w:t>7</w:t>
      </w:r>
      <w:r w:rsidRPr="00B77E5D">
        <w:rPr>
          <w:rFonts w:hAnsi="宋体" w:hint="eastAsia"/>
          <w:szCs w:val="24"/>
        </w:rPr>
        <w:t>基金托管人对基金投资流通受限证券的监督：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基金投资流通受限证券，应遵守有关法律法规规定。流通受限证券指由《上市公司证券发行注册管理办法》（及其不时修订）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77E5D">
        <w:rPr>
          <w:rFonts w:hAnsi="宋体" w:hint="eastAsia"/>
          <w:szCs w:val="24"/>
        </w:rPr>
        <w:t>券</w:t>
      </w:r>
      <w:proofErr w:type="gramEnd"/>
      <w:r w:rsidRPr="00B77E5D">
        <w:rPr>
          <w:rFonts w:hAnsi="宋体" w:hint="eastAsia"/>
          <w:szCs w:val="24"/>
        </w:rPr>
        <w:t>等流通受限证券。</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但应及时告知基金管理人。因拒绝执行该指令造成基金财产损失的，基金托管人不承担相应责任，并有权报告中国证监会。</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如基金管理人和基金托管人无法达成一致，应及时上报中国证监会请求解决。如果基金托管人切实履行监督职责，则不承担相应责任。如果基金托管人没有切实履行监督职责，导致基金出现风险，基金托管人应承担相应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lastRenderedPageBreak/>
        <w:t>3.1.</w:t>
      </w:r>
      <w:r w:rsidRPr="00B77E5D">
        <w:rPr>
          <w:rFonts w:hAnsi="宋体"/>
          <w:szCs w:val="24"/>
        </w:rPr>
        <w:t>8</w:t>
      </w:r>
      <w:r w:rsidRPr="00B77E5D">
        <w:rPr>
          <w:rFonts w:hAnsi="宋体" w:hint="eastAsia"/>
          <w:szCs w:val="24"/>
        </w:rPr>
        <w:t>基金托管人对基金投资中期票据的监督：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（1）基金管理人严格遵守法律法规和基金合同关于投资中期票据的相关规定，基金托管人按照法律法规和基金合同对基金管理人投资中期票据的额度和比例进行监督。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（2）如未来有关监管部门发布的法律法规对证券投资基金投资中期票据另有规定的，从其规定。</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3.1.</w:t>
      </w:r>
      <w:r w:rsidRPr="00B77E5D">
        <w:rPr>
          <w:rFonts w:hAnsi="宋体"/>
          <w:szCs w:val="24"/>
        </w:rPr>
        <w:t>9</w:t>
      </w:r>
      <w:r w:rsidRPr="00B77E5D">
        <w:rPr>
          <w:rFonts w:hAnsi="宋体" w:hint="eastAsia"/>
          <w:szCs w:val="24"/>
        </w:rPr>
        <w:t>基金托管人根据有关法律法规的规定及基金合同的约定，对基金管理人选择存款银行进行监督：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本基金投资银行存款应符合如下规定：</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（1）基金管理人、基金托管人应当与存款银行建立定期对账机制，确保基金银行存款业务账目及核算的真实、准确。</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（3）基金托管人应对基金银行存款业务进行监督与核查，审查、复核相关协议、账户资料、投资指令、存款证实书等有关文件，履行托管职责。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（4）基金管理人与基金托管人在开展基金存款业务时，应严格遵守《基金法》、《运作办法》等有关法律法规，以及国家有关账户管理、利率管理、支付结算等的各项规定。</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3.2基金托管人对基金管理人业务进行监督和核查的有关措施：</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3.2.1基金托管人应根据有关法律法规的规定及基金合同的约定，对基金资产净值计算、</w:t>
      </w:r>
      <w:r w:rsidRPr="00B77E5D">
        <w:rPr>
          <w:rFonts w:asciiTheme="minorEastAsia" w:eastAsiaTheme="minorEastAsia" w:hAnsiTheme="minorEastAsia" w:hint="eastAsia"/>
          <w:szCs w:val="24"/>
        </w:rPr>
        <w:t>各类</w:t>
      </w:r>
      <w:r w:rsidRPr="00B77E5D">
        <w:rPr>
          <w:rFonts w:hAnsi="宋体" w:hint="eastAsia"/>
          <w:szCs w:val="24"/>
        </w:rPr>
        <w:t>基金份额净值计算、应收资金到账、基金费用开支及收入确定、基金收益分配、相关信息披露、基金宣传推介材料中登载基金业绩表现数据等进行监督和核查。</w:t>
      </w:r>
    </w:p>
    <w:p w:rsidR="002E15F3" w:rsidRPr="00B77E5D" w:rsidRDefault="00834479">
      <w:pPr>
        <w:pStyle w:val="20"/>
        <w:spacing w:before="0" w:after="0" w:line="360" w:lineRule="auto"/>
        <w:ind w:left="0" w:firstLineChars="200" w:firstLine="480"/>
        <w:rPr>
          <w:rFonts w:hAnsi="宋体"/>
          <w:szCs w:val="24"/>
        </w:rPr>
      </w:pPr>
      <w:r w:rsidRPr="00B77E5D">
        <w:rPr>
          <w:rFonts w:hAnsi="宋体"/>
          <w:szCs w:val="24"/>
        </w:rPr>
        <w:t>3.2.2基金托管人</w:t>
      </w:r>
      <w:r w:rsidRPr="00B77E5D">
        <w:rPr>
          <w:rFonts w:hAnsi="宋体" w:hint="eastAsia"/>
          <w:szCs w:val="24"/>
        </w:rPr>
        <w:t>发现基金管理人的投资运作及其他运作违反《基金法》、基</w:t>
      </w:r>
      <w:r w:rsidRPr="00B77E5D">
        <w:rPr>
          <w:rFonts w:hAnsi="宋体" w:hint="eastAsia"/>
          <w:szCs w:val="24"/>
        </w:rPr>
        <w:lastRenderedPageBreak/>
        <w:t>金合同、本托管协议及其他有关规定时，应及时以书面形式通知基金管理人限期纠正，基金管理人收到通知后应及时核对，并以书面形式向基金托管人发出回函，进行解释或举证。</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rsidR="002E15F3" w:rsidRPr="00B77E5D" w:rsidRDefault="00834479">
      <w:pPr>
        <w:pStyle w:val="20"/>
        <w:spacing w:before="0" w:after="0" w:line="360" w:lineRule="auto"/>
        <w:ind w:left="0" w:firstLineChars="200" w:firstLine="480"/>
        <w:rPr>
          <w:rFonts w:hAnsi="宋体"/>
          <w:szCs w:val="24"/>
        </w:rPr>
      </w:pPr>
      <w:r w:rsidRPr="00B77E5D">
        <w:rPr>
          <w:rFonts w:hAnsi="宋体"/>
          <w:szCs w:val="24"/>
        </w:rPr>
        <w:t>3.2.4基金托管人发现基金管理人的投资指令违反</w:t>
      </w:r>
      <w:r w:rsidRPr="00B77E5D">
        <w:rPr>
          <w:rFonts w:hAnsi="宋体" w:hint="eastAsia"/>
          <w:szCs w:val="24"/>
        </w:rPr>
        <w:t>相关法律法规规定或者违反基金合同约定的，应当拒绝执行，立即通知基金管理人。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3.2.7基金托管人发现基金管理人有重大违规行为，应立即报告中国证监会，同时通知基金管理人限期纠正，由此造成的损失由基金管理人承担。</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由此造成的损失由基金管理人承担。</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3.2.9基金托管人对资金来源、投资收益及投资安全不承担审核责任，特别是对于本基金所投标的</w:t>
      </w:r>
      <w:proofErr w:type="gramStart"/>
      <w:r w:rsidRPr="00B77E5D">
        <w:rPr>
          <w:rFonts w:hAnsi="宋体" w:hint="eastAsia"/>
          <w:szCs w:val="24"/>
        </w:rPr>
        <w:t>的</w:t>
      </w:r>
      <w:proofErr w:type="gramEnd"/>
      <w:r w:rsidRPr="00B77E5D">
        <w:rPr>
          <w:rFonts w:hAnsi="宋体" w:hint="eastAsia"/>
          <w:szCs w:val="24"/>
        </w:rPr>
        <w:t>后续资金使用情况无审核责任，不保证托管财产投资不受损失，不保证最低收益。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w:t>
      </w:r>
      <w:r w:rsidRPr="00B77E5D">
        <w:rPr>
          <w:rFonts w:hAnsi="宋体"/>
          <w:szCs w:val="24"/>
        </w:rPr>
        <w:t>.2.10</w:t>
      </w:r>
      <w:r w:rsidRPr="00B77E5D">
        <w:rPr>
          <w:rFonts w:hAnsi="宋体" w:hint="eastAsia"/>
          <w:szCs w:val="24"/>
        </w:rPr>
        <w:t>基金管理人和基金托管人应遵守中华人民共和国反洗</w:t>
      </w:r>
      <w:proofErr w:type="gramStart"/>
      <w:r w:rsidRPr="00B77E5D">
        <w:rPr>
          <w:rFonts w:hAnsi="宋体" w:hint="eastAsia"/>
          <w:szCs w:val="24"/>
        </w:rPr>
        <w:t>钱法律</w:t>
      </w:r>
      <w:proofErr w:type="gramEnd"/>
      <w:r w:rsidRPr="00B77E5D">
        <w:rPr>
          <w:rFonts w:hAnsi="宋体" w:hint="eastAsia"/>
          <w:szCs w:val="24"/>
        </w:rPr>
        <w:t>法规，不参与涉嫌洗钱、恐怖融资、扩散融资等违法犯罪活动；基金管理人主动配合基金托管</w:t>
      </w:r>
      <w:proofErr w:type="gramStart"/>
      <w:r w:rsidRPr="00B77E5D">
        <w:rPr>
          <w:rFonts w:hAnsi="宋体" w:hint="eastAsia"/>
          <w:szCs w:val="24"/>
        </w:rPr>
        <w:t>人客户</w:t>
      </w:r>
      <w:proofErr w:type="gramEnd"/>
      <w:r w:rsidRPr="00B77E5D">
        <w:rPr>
          <w:rFonts w:hAnsi="宋体" w:hint="eastAsia"/>
          <w:szCs w:val="24"/>
        </w:rPr>
        <w:t>身份识别与尽职调查，提供真实、准确、完整客户资料。对具备合理理由怀疑涉嫌洗钱、恐怖融资的客户，基金托管人将按照中国人民银行反洗钱监管规定采取必要管控措施。</w:t>
      </w:r>
    </w:p>
    <w:p w:rsidR="002E15F3" w:rsidRPr="00B77E5D" w:rsidRDefault="00834479">
      <w:pPr>
        <w:pStyle w:val="20"/>
        <w:spacing w:before="0" w:after="0" w:line="360" w:lineRule="auto"/>
        <w:ind w:left="0" w:firstLineChars="200" w:firstLine="480"/>
        <w:rPr>
          <w:rFonts w:hAnsi="宋体"/>
          <w:szCs w:val="24"/>
        </w:rPr>
      </w:pPr>
      <w:r w:rsidRPr="00B77E5D">
        <w:rPr>
          <w:rFonts w:hAnsi="宋体"/>
          <w:szCs w:val="24"/>
        </w:rPr>
        <w:t>3.3当基金持有特定资产且存在或潜在大额赎回申请时，根据最大限度保护基金份额持有人利益的原则，基金管理人经与基金托管人协商一致，并咨询</w:t>
      </w:r>
      <w:r w:rsidRPr="00B77E5D">
        <w:rPr>
          <w:rFonts w:hAnsi="宋体" w:hint="eastAsia"/>
          <w:szCs w:val="24"/>
        </w:rPr>
        <w:t>符合《中华人民共和国证券法》规定的</w:t>
      </w:r>
      <w:r w:rsidRPr="00B77E5D">
        <w:rPr>
          <w:rFonts w:hAnsi="宋体"/>
          <w:szCs w:val="24"/>
        </w:rPr>
        <w:t>会计师事务所意见后，可以依照法律法规及基金合同</w:t>
      </w:r>
      <w:r w:rsidRPr="00B77E5D">
        <w:rPr>
          <w:rFonts w:hAnsi="宋体"/>
          <w:szCs w:val="24"/>
        </w:rPr>
        <w:lastRenderedPageBreak/>
        <w:t>的约定</w:t>
      </w:r>
      <w:proofErr w:type="gramStart"/>
      <w:r w:rsidRPr="00B77E5D">
        <w:rPr>
          <w:rFonts w:hAnsi="宋体" w:hint="eastAsia"/>
          <w:szCs w:val="24"/>
        </w:rPr>
        <w:t>启用侧袋机制</w:t>
      </w:r>
      <w:proofErr w:type="gramEnd"/>
      <w:r w:rsidRPr="00B77E5D">
        <w:rPr>
          <w:rFonts w:hAnsi="宋体" w:hint="eastAsia"/>
          <w:szCs w:val="24"/>
        </w:rPr>
        <w:t>，无需召开基金份额持有人大会审议。</w:t>
      </w:r>
    </w:p>
    <w:p w:rsidR="002E15F3" w:rsidRPr="00B77E5D" w:rsidRDefault="00834479">
      <w:pPr>
        <w:pStyle w:val="20"/>
        <w:spacing w:before="0" w:after="0" w:line="360" w:lineRule="auto"/>
        <w:ind w:left="0" w:firstLineChars="200" w:firstLine="480"/>
        <w:rPr>
          <w:rFonts w:hAnsi="宋体"/>
          <w:szCs w:val="24"/>
        </w:rPr>
      </w:pPr>
      <w:proofErr w:type="gramStart"/>
      <w:r w:rsidRPr="00B77E5D">
        <w:rPr>
          <w:rFonts w:hAnsi="宋体" w:hint="eastAsia"/>
          <w:szCs w:val="24"/>
        </w:rPr>
        <w:t>侧袋机制</w:t>
      </w:r>
      <w:proofErr w:type="gramEnd"/>
      <w:r w:rsidRPr="00B77E5D">
        <w:rPr>
          <w:rFonts w:hAnsi="宋体" w:hint="eastAsia"/>
          <w:szCs w:val="24"/>
        </w:rPr>
        <w:t>实施期间，本基金的投资组合比例、组合限制等约定仅</w:t>
      </w:r>
      <w:proofErr w:type="gramStart"/>
      <w:r w:rsidRPr="00B77E5D">
        <w:rPr>
          <w:rFonts w:hAnsi="宋体" w:hint="eastAsia"/>
          <w:szCs w:val="24"/>
        </w:rPr>
        <w:t>适用于主袋账户</w:t>
      </w:r>
      <w:proofErr w:type="gramEnd"/>
      <w:r w:rsidRPr="00B77E5D">
        <w:rPr>
          <w:rFonts w:hAnsi="宋体" w:hint="eastAsia"/>
          <w:szCs w:val="24"/>
        </w:rPr>
        <w:t>。</w:t>
      </w:r>
    </w:p>
    <w:p w:rsidR="002E15F3" w:rsidRPr="00B77E5D" w:rsidRDefault="00834479">
      <w:pPr>
        <w:pStyle w:val="20"/>
        <w:spacing w:before="0" w:after="0" w:line="360" w:lineRule="auto"/>
        <w:ind w:left="0" w:firstLineChars="200" w:firstLine="480"/>
        <w:rPr>
          <w:rFonts w:hAnsi="宋体"/>
          <w:szCs w:val="24"/>
        </w:rPr>
      </w:pPr>
      <w:proofErr w:type="gramStart"/>
      <w:r w:rsidRPr="00B77E5D">
        <w:rPr>
          <w:rFonts w:hAnsi="宋体" w:hint="eastAsia"/>
          <w:szCs w:val="24"/>
        </w:rPr>
        <w:t>侧袋账户</w:t>
      </w:r>
      <w:proofErr w:type="gramEnd"/>
      <w:r w:rsidRPr="00B77E5D">
        <w:rPr>
          <w:rFonts w:hAnsi="宋体" w:hint="eastAsia"/>
          <w:szCs w:val="24"/>
        </w:rPr>
        <w:t>的实施条件、实施程序、运作安排（包括但不限于对基金赎回的影响、信息披露、费用列支等）、投资安排、特定资产的处置变现和支付等对投资者权益有重大影响的事项详见基金合同和招募说明书的规定。</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基金托管人依照相关法律法规的规定以及基金合同和招募说明书的约定，对侧</w:t>
      </w:r>
      <w:proofErr w:type="gramStart"/>
      <w:r w:rsidRPr="00B77E5D">
        <w:rPr>
          <w:rFonts w:hAnsi="宋体" w:hint="eastAsia"/>
          <w:szCs w:val="24"/>
        </w:rPr>
        <w:t>袋机制</w:t>
      </w:r>
      <w:proofErr w:type="gramEnd"/>
      <w:r w:rsidRPr="00B77E5D">
        <w:rPr>
          <w:rFonts w:hAnsi="宋体" w:hint="eastAsia"/>
          <w:szCs w:val="24"/>
        </w:rPr>
        <w:t>启用、特定资产处置和信息披露等方面进行监督。</w:t>
      </w:r>
    </w:p>
    <w:p w:rsidR="002E15F3" w:rsidRPr="00B77E5D" w:rsidRDefault="002E15F3">
      <w:pPr>
        <w:pStyle w:val="20"/>
        <w:adjustRightInd w:val="0"/>
        <w:snapToGrid w:val="0"/>
        <w:spacing w:before="0" w:after="0" w:line="520" w:lineRule="atLeast"/>
        <w:ind w:left="0" w:firstLineChars="200" w:firstLine="480"/>
        <w:rPr>
          <w:rFonts w:asciiTheme="minorEastAsia" w:eastAsiaTheme="minorEastAsia" w:hAnsiTheme="minorEastAsia"/>
          <w:szCs w:val="24"/>
        </w:rPr>
      </w:pPr>
    </w:p>
    <w:p w:rsidR="002E15F3" w:rsidRPr="00B77E5D" w:rsidRDefault="00834479">
      <w:pPr>
        <w:pStyle w:val="1"/>
        <w:ind w:firstLineChars="200" w:firstLine="482"/>
        <w:rPr>
          <w:bCs/>
          <w:color w:val="auto"/>
          <w:szCs w:val="24"/>
        </w:rPr>
      </w:pPr>
      <w:bookmarkStart w:id="16" w:name="_Toc44321727"/>
      <w:bookmarkStart w:id="17" w:name="_Toc296551340"/>
      <w:r w:rsidRPr="00B77E5D">
        <w:rPr>
          <w:rFonts w:hint="eastAsia"/>
          <w:bCs/>
          <w:color w:val="auto"/>
          <w:szCs w:val="24"/>
        </w:rPr>
        <w:t>第四条 基金管理人对基金托管人的业务核查</w:t>
      </w:r>
      <w:bookmarkEnd w:id="16"/>
      <w:bookmarkEnd w:id="17"/>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4.1根据《基金法》及其他有关法规的规定和基金合同及本协议约定，基金管理人对基金托管人履行托管职责情况进行核查，核查事项包括但不限于基金托管人安全保管基金财产、开设基金财产的资金账户和证券账户及投资所需的其他账户、复核基金管理人计算的基金资产净值和各类基金份额净值、根据基金管理人指令办理清算交收、相关信息披露和监督基金投资运作等行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在下一个工作日内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权要求基金托管人赔偿基金因此所遭受的损失。</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4.3基金管理人发现基金托管人有重大违规行为，应立即报告中国证监会和银行业监督管理机构，同时通知基金托管人限期纠正。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4.4基金托管人应积极配合基金管理人的核查行为，包括但不限于：提交相关资料以</w:t>
      </w:r>
      <w:proofErr w:type="gramStart"/>
      <w:r w:rsidRPr="00B77E5D">
        <w:rPr>
          <w:rFonts w:hAnsi="宋体" w:hint="eastAsia"/>
          <w:szCs w:val="24"/>
        </w:rPr>
        <w:t>供基金</w:t>
      </w:r>
      <w:proofErr w:type="gramEnd"/>
      <w:r w:rsidRPr="00B77E5D">
        <w:rPr>
          <w:rFonts w:hAnsi="宋体" w:hint="eastAsia"/>
          <w:szCs w:val="24"/>
        </w:rPr>
        <w:t>管理人核查托管财产的完整性和真实性，在规定时间内答复基金管理人并改正。基金托管人应就基金管理人合理的疑义进行解释。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E15F3" w:rsidRPr="00B77E5D" w:rsidRDefault="00834479">
      <w:pPr>
        <w:pStyle w:val="1"/>
        <w:ind w:firstLineChars="200" w:firstLine="482"/>
        <w:rPr>
          <w:bCs/>
          <w:color w:val="auto"/>
          <w:szCs w:val="24"/>
        </w:rPr>
      </w:pPr>
      <w:bookmarkStart w:id="18" w:name="_Toc44321728"/>
      <w:bookmarkStart w:id="19" w:name="_Toc296551341"/>
      <w:r w:rsidRPr="00B77E5D">
        <w:rPr>
          <w:rFonts w:hint="eastAsia"/>
          <w:bCs/>
          <w:color w:val="auto"/>
          <w:szCs w:val="24"/>
        </w:rPr>
        <w:lastRenderedPageBreak/>
        <w:t>第五条 基金财产保管</w:t>
      </w:r>
      <w:bookmarkEnd w:id="18"/>
      <w:bookmarkEnd w:id="19"/>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5.1基金财产保管的原则</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5.1.1基金财产应独立于基金管理人、基金托管人的固有财产。</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5.1.2基金托管人应安全保管基金财产。除依据法律法规规定、基金合同和本托管协议约定及基金管理人的正当指令外，不得自行运用、处分、分配基金的任何财产。</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5.1.3基金托管人按照规定开设基金财产的资金账户和证券账户等投资所需的其他账户。</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5.1.4基金托管人对所托管的不同基金财产分别设置账户，与基金托管人的其他业务和其他基金的托管业务实行严格的分账管理，确保基金财产的完整与独立。</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5.1.5基金托管人根据基金管理人的指令，按照基金合同和本协议的约定保管基金财产，如有特殊情况双方可另行协商解决。</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5.1.6除依据法律法规和基金合同的规定外，基金托管人不得委托第三人托管基金资产。</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w:t>
      </w:r>
      <w:r w:rsidRPr="00B77E5D">
        <w:rPr>
          <w:rFonts w:hAnsi="宋体"/>
          <w:szCs w:val="24"/>
        </w:rPr>
        <w:t>.1.7</w:t>
      </w:r>
      <w:r w:rsidRPr="00B77E5D">
        <w:rPr>
          <w:rFonts w:hAnsi="宋体" w:hint="eastAsia"/>
          <w:szCs w:val="24"/>
        </w:rPr>
        <w:t>基金托管人仅对托管账户内的基金财产承担保管职责，对于该账户之外的财产或已从该托管账户支付出去的财产的损失不承担任何责任。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5.2募集资金的验资</w:t>
      </w:r>
    </w:p>
    <w:p w:rsidR="002E15F3" w:rsidRPr="00B77E5D" w:rsidRDefault="00834479">
      <w:pPr>
        <w:pStyle w:val="CharCharCharCharCharCharChar"/>
        <w:adjustRightInd/>
        <w:spacing w:line="360" w:lineRule="auto"/>
        <w:ind w:firstLineChars="200" w:firstLine="480"/>
        <w:rPr>
          <w:rFonts w:hAnsi="宋体"/>
          <w:szCs w:val="24"/>
        </w:rPr>
      </w:pPr>
      <w:r w:rsidRPr="00B77E5D">
        <w:rPr>
          <w:rFonts w:ascii="宋体" w:hAnsi="宋体" w:hint="eastAsia"/>
          <w:szCs w:val="24"/>
        </w:rPr>
        <w:t>5.2.1基金募集期间募集的资金应存于基金管理人在基金托管人的营业机构或在其他银行开立的基金募集专户，该账户由</w:t>
      </w:r>
      <w:proofErr w:type="gramStart"/>
      <w:r w:rsidRPr="00B77E5D">
        <w:rPr>
          <w:rFonts w:ascii="宋体" w:hAnsi="宋体" w:hint="eastAsia"/>
          <w:szCs w:val="24"/>
        </w:rPr>
        <w:t>永赢基金</w:t>
      </w:r>
      <w:proofErr w:type="gramEnd"/>
      <w:r w:rsidRPr="00B77E5D">
        <w:rPr>
          <w:rFonts w:ascii="宋体" w:hAnsi="宋体" w:hint="eastAsia"/>
          <w:szCs w:val="24"/>
        </w:rPr>
        <w:t>管理有限公司开立并管理。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5.2.2基金募集期满或基金提前结束募集时，</w:t>
      </w:r>
      <w:r w:rsidRPr="00B77E5D">
        <w:rPr>
          <w:rFonts w:hAnsi="宋体" w:cs="Arial" w:hint="eastAsia"/>
          <w:szCs w:val="21"/>
        </w:rPr>
        <w:t>发起资金提供方认购金额及承诺持有期限</w:t>
      </w:r>
      <w:r w:rsidRPr="00B77E5D">
        <w:rPr>
          <w:rFonts w:hAnsi="宋体" w:hint="eastAsia"/>
          <w:szCs w:val="24"/>
        </w:rPr>
        <w:t>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sidRPr="00B77E5D">
        <w:rPr>
          <w:rFonts w:hAnsi="宋体" w:hint="eastAsia"/>
          <w:szCs w:val="24"/>
        </w:rPr>
        <w:t>请符合</w:t>
      </w:r>
      <w:proofErr w:type="gramEnd"/>
      <w:r w:rsidRPr="00B77E5D">
        <w:rPr>
          <w:rFonts w:hAnsi="宋体" w:hint="eastAsia"/>
          <w:szCs w:val="24"/>
        </w:rPr>
        <w:t>《中华人民共和国证券法》规定的会计师事务所进行验资，出具验资报告，验资机构应在验资报告中对发起资金提供方及其持有份额进行专门说明。出具的验资报告应由参加验资的2名以上（含2名）中国注册会计师签字有效。</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5.2.3</w:t>
      </w:r>
      <w:proofErr w:type="gramStart"/>
      <w:r w:rsidRPr="00B77E5D">
        <w:rPr>
          <w:rFonts w:hAnsi="宋体" w:hint="eastAsia"/>
          <w:szCs w:val="24"/>
        </w:rPr>
        <w:t>若基金</w:t>
      </w:r>
      <w:proofErr w:type="gramEnd"/>
      <w:r w:rsidRPr="00B77E5D">
        <w:rPr>
          <w:rFonts w:hAnsi="宋体" w:hint="eastAsia"/>
          <w:szCs w:val="24"/>
        </w:rPr>
        <w:t>募集期限届满，未能达到基金备案条件，由基金管理人按规定办理退款事宜，基金托管人应提供必要的协助或配合。</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5.3基金的银行账户的开立和管理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5.3.1基金托管人以本基金的名义在其营业机构开立基金的银行账户，并根据基金管理人合法合</w:t>
      </w:r>
      <w:proofErr w:type="gramStart"/>
      <w:r w:rsidRPr="00B77E5D">
        <w:rPr>
          <w:rFonts w:hAnsi="宋体" w:hint="eastAsia"/>
          <w:szCs w:val="24"/>
        </w:rPr>
        <w:t>规</w:t>
      </w:r>
      <w:proofErr w:type="gramEnd"/>
      <w:r w:rsidRPr="00B77E5D">
        <w:rPr>
          <w:rFonts w:hAnsi="宋体" w:hint="eastAsia"/>
          <w:szCs w:val="24"/>
        </w:rPr>
        <w:t>的指令办理资金收付。本基金的银行预留印鉴由基金托管人刻制、保管和使用。</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lastRenderedPageBreak/>
        <w:t>5.3.2基金银行账户的开立和使用，限于满足开展本基金业务的需要。基金托管人和基金管理人不得假借本基金的名义开立任何其他银行账户；亦不得使用本基金的任何账户进行本基金业务以外的活动。</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5.3.3基金银行账户的开立和管理应符合有关法律法规以及银行业监督管理机构的有关规定。</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5.4基金证券账户与证券交易资金账户的开设和管理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5.4.1基金托管人以基金托管人和本基金联名的方式在中国证券登记结算有限责任公司（以下简称“中登公司”）开设证券账户。</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5.4.2基金托管人以基金托管人的名义在中登公司开立基金证券交易资金账户，用于证券清算。</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2E15F3" w:rsidRPr="00B77E5D" w:rsidRDefault="00834479">
      <w:pPr>
        <w:spacing w:line="360" w:lineRule="auto"/>
        <w:ind w:firstLineChars="200" w:firstLine="480"/>
        <w:rPr>
          <w:rFonts w:ascii="宋体" w:hAnsi="宋体"/>
          <w:sz w:val="24"/>
          <w:szCs w:val="24"/>
        </w:rPr>
      </w:pPr>
      <w:r w:rsidRPr="00B77E5D">
        <w:rPr>
          <w:rFonts w:ascii="宋体" w:hAnsi="宋体" w:hint="eastAsia"/>
          <w:sz w:val="24"/>
          <w:szCs w:val="24"/>
        </w:rPr>
        <w:t>5.4.4基金证券账户与证券交易资金账户相关证明文件的保管由基金托管人负责，账户资产的管理和运用由基金管理人负责。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5.5债券托管账户的开立和管理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5.5.1基金合同生效后，基金管理人负责以本基金的名义申请并取得进入全国银行间同业拆借市场的交易资格，并代表本基金进行交易；基金托管人负责以本基金的名义在中央国债登记结算有限责任公司和银行间市场清算所股份有限公司开设银行间债券市场债券托管账户，并由基金托管人负责本基金的债券的后台匹配及资金的清算。</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5.5.2基金管理人负责为本基金对外签订全国银行间国债市场回购主协议，并保存相关文件。</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w:t>
      </w:r>
      <w:r w:rsidRPr="00B77E5D">
        <w:rPr>
          <w:rFonts w:hAnsi="宋体"/>
          <w:szCs w:val="24"/>
        </w:rPr>
        <w:t>6</w:t>
      </w:r>
      <w:r w:rsidRPr="00B77E5D">
        <w:rPr>
          <w:rFonts w:hAnsi="宋体" w:hint="eastAsia"/>
          <w:szCs w:val="24"/>
        </w:rPr>
        <w:t>其他账户的开设和管理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5.7基金财产投资的有关实物证券、银行定期存款存单等有价凭证的保管</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基金财产投资的有关实物证券由基金托管人存放于基金托管人的保管库；其中实物证券也可存入中央国债登记结算有限责任公司、中登公司、银行间市场清算所</w:t>
      </w:r>
      <w:r w:rsidRPr="00B77E5D">
        <w:rPr>
          <w:rFonts w:hAnsi="宋体" w:hint="eastAsia"/>
          <w:szCs w:val="24"/>
        </w:rPr>
        <w:lastRenderedPageBreak/>
        <w:t>股份有限公司或票据营业中心的代保管库。实物证券的购买和转让，由基金托管人根据基金管理人的指令办理。属于基金托管人控制下的实物证券等有价凭证在基金托管人保管期间因托管人故意或重大过失导致的损坏、灭失，由此产生的责任应由基金托管人承担。基金托管人对基金托管人以外机构实际有效控制的证券不承担保管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5.8与基金财产有关的重大合同的保管</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Pr="00B77E5D">
        <w:rPr>
          <w:rFonts w:hAnsi="宋体"/>
          <w:szCs w:val="24"/>
        </w:rPr>
        <w:t>20</w:t>
      </w:r>
      <w:r w:rsidRPr="00B77E5D">
        <w:rPr>
          <w:rFonts w:hAnsi="宋体" w:hint="eastAsia"/>
          <w:szCs w:val="24"/>
        </w:rPr>
        <w:t>年以上，</w:t>
      </w:r>
      <w:r w:rsidRPr="00B77E5D">
        <w:rPr>
          <w:rFonts w:hAnsi="宋体"/>
          <w:szCs w:val="24"/>
        </w:rPr>
        <w:t>法律法规或监管规则另有规定</w:t>
      </w:r>
      <w:r w:rsidRPr="00B77E5D">
        <w:rPr>
          <w:rFonts w:hAnsi="宋体" w:hint="eastAsia"/>
          <w:szCs w:val="24"/>
        </w:rPr>
        <w:t>的</w:t>
      </w:r>
      <w:r w:rsidRPr="00B77E5D">
        <w:rPr>
          <w:rFonts w:hAnsi="宋体"/>
          <w:szCs w:val="24"/>
        </w:rPr>
        <w:t>，从其规定</w:t>
      </w:r>
      <w:r w:rsidRPr="00B77E5D">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rsidR="002E15F3" w:rsidRPr="00B77E5D" w:rsidRDefault="00834479">
      <w:pPr>
        <w:pStyle w:val="1"/>
        <w:ind w:firstLineChars="200" w:firstLine="482"/>
        <w:rPr>
          <w:bCs/>
          <w:color w:val="auto"/>
          <w:szCs w:val="24"/>
        </w:rPr>
      </w:pPr>
      <w:bookmarkStart w:id="20" w:name="_Toc44321729"/>
      <w:bookmarkStart w:id="21" w:name="_Toc296551342"/>
      <w:r w:rsidRPr="00B77E5D">
        <w:rPr>
          <w:rFonts w:hint="eastAsia"/>
          <w:bCs/>
          <w:color w:val="auto"/>
          <w:szCs w:val="24"/>
        </w:rPr>
        <w:t>第六条 指令的发送、确认和执行</w:t>
      </w:r>
      <w:bookmarkEnd w:id="20"/>
      <w:bookmarkEnd w:id="21"/>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6.1基金管理人对发送指令人员的书面授权</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管理人应事先向基金托管人提供书面授权通知（以下简称“授权通知”），指定有权发送指令的人员（以下简称“被授权人”）名单、预留印鉴和被授权人签章样本，注明相应的交易权限，并规定基金管理人向基金托管人发送指令时基金托管人确认被授权人身份的方法。授权通知应加盖基金管理人公章，并由基金管理人法定代表人或其授权代表签章（签字或加盖名章），如为授权代表签章，还应附上法定代表人的授权委托书。基金管理人应使用传真方式或其他基金托管人和基金管理人书面确认过的方式向基金托管人发出授权通知，同时电话通知基金托管人。基金托管人在收到授权通知当日与基金管理人确认。基金托管人以电话、电子邮件或确认回函等双方认可形式向基金管理人发出确认通知，授权通知生效。如授权通知中载明的生效日期早于基金托管人向基金管理人发出确认通知的时间，则以基金托管人向基金管理人发出确认通知的时间为授权通知生效时间；如授权通知中载明的生效日期晚于基金托管人向基金管理人发出确认通知的时间，则以授权通知中载明的日期为授权通知生效日期。基金管理人在此后3个工作日内将授权通知的正本送交基金托管人。授权通知正本内容应与基金托管人收到的传真内容</w:t>
      </w:r>
      <w:r w:rsidRPr="00B77E5D">
        <w:rPr>
          <w:rFonts w:hAnsi="宋体"/>
          <w:szCs w:val="24"/>
        </w:rPr>
        <w:t>一致，若有</w:t>
      </w:r>
      <w:r w:rsidRPr="00B77E5D">
        <w:rPr>
          <w:rFonts w:hAnsi="宋体" w:hint="eastAsia"/>
          <w:szCs w:val="24"/>
        </w:rPr>
        <w:t>不一致的，以基金托管人收到的传真为准。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lastRenderedPageBreak/>
        <w:t>基金管理人和基金托管人对授权文件负有保密义务，其内容不得向被授权人及相关操作人员以外的任何人泄露，</w:t>
      </w:r>
      <w:r w:rsidRPr="00B77E5D">
        <w:rPr>
          <w:rFonts w:asciiTheme="minorEastAsia" w:eastAsiaTheme="minorEastAsia" w:hAnsiTheme="minorEastAsia" w:hint="eastAsia"/>
          <w:szCs w:val="24"/>
        </w:rPr>
        <w:t>除本协议另有约定或</w:t>
      </w:r>
      <w:r w:rsidRPr="00B77E5D">
        <w:rPr>
          <w:rFonts w:hAnsi="宋体"/>
          <w:szCs w:val="24"/>
        </w:rPr>
        <w:t>法律法规另有规定</w:t>
      </w:r>
      <w:r w:rsidRPr="00B77E5D">
        <w:rPr>
          <w:rFonts w:hAnsi="宋体" w:hint="eastAsia"/>
          <w:szCs w:val="24"/>
        </w:rPr>
        <w:t>或</w:t>
      </w:r>
      <w:r w:rsidRPr="00B77E5D">
        <w:rPr>
          <w:rFonts w:hAnsi="宋体"/>
          <w:szCs w:val="24"/>
        </w:rPr>
        <w:t>有权机关另有要求的除外</w:t>
      </w:r>
      <w:r w:rsidRPr="00B77E5D">
        <w:rPr>
          <w:rFonts w:hAnsi="宋体" w:hint="eastAsia"/>
          <w:szCs w:val="24"/>
        </w:rPr>
        <w:t>。</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6.2指令的内容</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6.3指令的发送、确认和执行的时间和程序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相应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相应责任。基金管理人应按照《基金法》、有关法律法规和基金合同的规定，在其合法的经营权限和交易权限内发送划款指令，被授权人应按照其授权权限发送划款指令。基金管理人在发送指令时，应为基金托管人留出2小时</w:t>
      </w:r>
      <w:r w:rsidRPr="00B77E5D">
        <w:rPr>
          <w:rFonts w:hAnsi="宋体"/>
          <w:szCs w:val="24"/>
        </w:rPr>
        <w:t>，作为</w:t>
      </w:r>
      <w:r w:rsidRPr="00B77E5D">
        <w:rPr>
          <w:rFonts w:hAnsi="宋体" w:hint="eastAsia"/>
          <w:szCs w:val="24"/>
        </w:rPr>
        <w:t>执行指令所必需的时间。基金管理人应在交易日15:00前发送当日划款指令，如在交易日15:00后发送的指令，基金托管人尽量执行但不保证一定完成支付。由基金管理</w:t>
      </w:r>
      <w:proofErr w:type="gramStart"/>
      <w:r w:rsidRPr="00B77E5D">
        <w:rPr>
          <w:rFonts w:hAnsi="宋体" w:hint="eastAsia"/>
          <w:szCs w:val="24"/>
        </w:rPr>
        <w:t>人原因</w:t>
      </w:r>
      <w:proofErr w:type="gramEnd"/>
      <w:r w:rsidRPr="00B77E5D">
        <w:rPr>
          <w:rFonts w:hAnsi="宋体" w:hint="eastAsia"/>
          <w:szCs w:val="24"/>
        </w:rPr>
        <w:t>造成的指令传输不及时、未能留出足够划款所需时间，基金托管人不承担资金未能及时到账所造成的损失。</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6.3.2</w:t>
      </w:r>
      <w:r w:rsidRPr="00B77E5D">
        <w:rPr>
          <w:rFonts w:hAnsi="宋体" w:hint="eastAsia"/>
          <w:b/>
          <w:bCs/>
          <w:szCs w:val="24"/>
        </w:rPr>
        <w:t>基金托管人根据本协议相关约定仅履行表面一致形式审核职责，对指令的真实性不承担责任。</w:t>
      </w:r>
      <w:r w:rsidRPr="00B77E5D">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如果基金管理人的指令存在事实上未经授权、欺诈、伪造、变造或未能及时提供授权通知等情形，基金托管人不承担因执行有关指令或拒绝执行有关指令而给基金管理人或基金财产等任何第三</w:t>
      </w:r>
      <w:proofErr w:type="gramStart"/>
      <w:r w:rsidRPr="00B77E5D">
        <w:rPr>
          <w:rFonts w:hAnsi="宋体" w:hint="eastAsia"/>
          <w:szCs w:val="24"/>
        </w:rPr>
        <w:t>方带来</w:t>
      </w:r>
      <w:proofErr w:type="gramEnd"/>
      <w:r w:rsidRPr="00B77E5D">
        <w:rPr>
          <w:rFonts w:hAnsi="宋体" w:hint="eastAsia"/>
          <w:szCs w:val="24"/>
        </w:rPr>
        <w:t>的损失，</w:t>
      </w:r>
      <w:r w:rsidR="00FA08A5" w:rsidRPr="00B77E5D">
        <w:rPr>
          <w:rFonts w:hAnsi="宋体" w:hint="eastAsia"/>
          <w:szCs w:val="24"/>
        </w:rPr>
        <w:t>相应责任由基金管理人承担，基金托管人由此遭受的损失，由基金管理人负责赔偿，但基金托管人未按协议约定</w:t>
      </w:r>
      <w:proofErr w:type="gramStart"/>
      <w:r w:rsidR="00FA08A5" w:rsidRPr="00B77E5D">
        <w:rPr>
          <w:rFonts w:hAnsi="宋体" w:hint="eastAsia"/>
          <w:szCs w:val="24"/>
        </w:rPr>
        <w:t>尽形式</w:t>
      </w:r>
      <w:proofErr w:type="gramEnd"/>
      <w:r w:rsidR="00FA08A5" w:rsidRPr="00B77E5D">
        <w:rPr>
          <w:rFonts w:hAnsi="宋体" w:hint="eastAsia"/>
          <w:szCs w:val="24"/>
        </w:rPr>
        <w:t>审核义务执行指令而造成损失的情形除外</w:t>
      </w:r>
      <w:r w:rsidRPr="00B77E5D">
        <w:rPr>
          <w:rFonts w:hAnsi="宋体" w:hint="eastAsia"/>
          <w:szCs w:val="24"/>
        </w:rPr>
        <w:t>。</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6.3.</w:t>
      </w:r>
      <w:r w:rsidRPr="00B77E5D">
        <w:rPr>
          <w:rFonts w:hAnsi="宋体"/>
          <w:szCs w:val="24"/>
        </w:rPr>
        <w:t>3</w:t>
      </w:r>
      <w:r w:rsidRPr="00B77E5D">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基金托管人带来损失，基金托管人不承担相应责任。</w:t>
      </w:r>
      <w:r w:rsidRPr="00B77E5D">
        <w:rPr>
          <w:rFonts w:hAnsi="宋体" w:hint="eastAsia"/>
          <w:szCs w:val="24"/>
        </w:rPr>
        <w:lastRenderedPageBreak/>
        <w:t>基金托管人由此遭受的损失，由基金管理人负责赔偿。</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6.3.</w:t>
      </w:r>
      <w:r w:rsidRPr="00B77E5D">
        <w:rPr>
          <w:rFonts w:hAnsi="宋体"/>
          <w:szCs w:val="24"/>
        </w:rPr>
        <w:t>4</w:t>
      </w:r>
      <w:r w:rsidRPr="00B77E5D">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sidRPr="00B77E5D">
        <w:rPr>
          <w:rFonts w:hAnsi="宋体" w:hint="eastAsia"/>
          <w:szCs w:val="24"/>
        </w:rPr>
        <w:t>指令仅</w:t>
      </w:r>
      <w:proofErr w:type="gramEnd"/>
      <w:r w:rsidRPr="00B77E5D">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6.3.</w:t>
      </w:r>
      <w:r w:rsidRPr="00B77E5D">
        <w:rPr>
          <w:rFonts w:hAnsi="宋体"/>
          <w:szCs w:val="24"/>
        </w:rPr>
        <w:t>5</w:t>
      </w:r>
      <w:r w:rsidRPr="00B77E5D">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已依约履行相应义务后，不承担因为不执行该指令而造成损失的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6.4基金管理人发送错误指令的情形和处理程序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6.4.2基金托管人在履行监督职能时，发现基金管理人的指令错误时，有权视情况暂缓或拒绝执行，并及时通知基金管理人改正。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6.5基金托管人依照法律法规暂缓、拒绝执行指令的情形和处理程序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相应损失和责任。对基金管理人更正并重新发送后的指令经基金托管人核对确认后方能执行。</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6.6基金托管人未按照基金管理人指令执行的处理方法</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基金托管人由于自身过错原因造成未按照或者未及时按照基金管理人发送的符合法律法规规定以及基金合同、本协议约定的指令执行，给基金份额持有人或</w:t>
      </w:r>
      <w:r w:rsidRPr="00B77E5D">
        <w:rPr>
          <w:rFonts w:hAnsi="宋体"/>
          <w:szCs w:val="24"/>
        </w:rPr>
        <w:t>基金财产</w:t>
      </w:r>
      <w:r w:rsidRPr="00B77E5D">
        <w:rPr>
          <w:rFonts w:hAnsi="宋体" w:hint="eastAsia"/>
          <w:szCs w:val="24"/>
        </w:rPr>
        <w:t>或基金管理人造成损失的，应承担相应的责任，但如遇到不可抗力的情况除</w:t>
      </w:r>
      <w:r w:rsidRPr="00B77E5D">
        <w:rPr>
          <w:rFonts w:hAnsi="宋体" w:hint="eastAsia"/>
          <w:szCs w:val="24"/>
        </w:rPr>
        <w:lastRenderedPageBreak/>
        <w:t>外。</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6.7更换被授权人的程序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管理人撤换被授权人或改变被授权人的权限，必须提前至少1个交易日，使用传真方式或其他基金托管人和基金管理人书面确认过的方式向基金托管人发出被授权人变更通知，被授权人变更通知应加盖基金管理人公章并由基金管理人法定代表人或其授权代表签章（签字或加盖名章），如为授权代表签章，还应附上法定代表人的授权委托书，同时电话通知基金托管人，基金托管人收到变更通知当日与基金管理人确认。基金托管人以电话、电子邮件或确认回函等双方认可形式向基金管理人发出确认通知，授权通知生效。如授权通知中载明的生效日期早于基金托管人向基金管理人发出确认通知的时间，则以基金托管人向基金管理人发出确认通知的时间为授权通知生效时间；如授权通知中载明的生效日期晚于基金托管人向基金管理人发出确认通知的时间，则以授权通知中载明的日期为授权通知生效日期。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超权限发送的指令，基金管理人不承担责任。</w:t>
      </w:r>
    </w:p>
    <w:p w:rsidR="002E15F3" w:rsidRPr="00B77E5D" w:rsidRDefault="00834479">
      <w:pPr>
        <w:pStyle w:val="1"/>
        <w:ind w:firstLineChars="200" w:firstLine="482"/>
        <w:rPr>
          <w:bCs/>
          <w:color w:val="auto"/>
          <w:szCs w:val="24"/>
        </w:rPr>
      </w:pPr>
      <w:bookmarkStart w:id="22" w:name="_Toc44321730"/>
      <w:r w:rsidRPr="00B77E5D">
        <w:rPr>
          <w:rFonts w:hint="eastAsia"/>
          <w:bCs/>
          <w:color w:val="auto"/>
          <w:szCs w:val="24"/>
        </w:rPr>
        <w:t>第七条 交易及清算交收安排</w:t>
      </w:r>
      <w:bookmarkEnd w:id="22"/>
      <w:r w:rsidRPr="00B77E5D">
        <w:rPr>
          <w:rFonts w:hint="eastAsia"/>
          <w:bCs/>
          <w:color w:val="auto"/>
          <w:szCs w:val="24"/>
        </w:rPr>
        <w:t xml:space="preserve"> </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7.1选择代理证券、期货买卖的证券、期货</w:t>
      </w:r>
      <w:r w:rsidR="004628A8" w:rsidRPr="00B77E5D">
        <w:rPr>
          <w:rFonts w:hAnsi="宋体" w:hint="eastAsia"/>
        </w:rPr>
        <w:t>经营</w:t>
      </w:r>
      <w:r w:rsidRPr="00B77E5D">
        <w:rPr>
          <w:rFonts w:hAnsi="宋体" w:hint="eastAsia"/>
          <w:szCs w:val="24"/>
        </w:rPr>
        <w:t>机构</w:t>
      </w:r>
      <w:r w:rsidR="004628A8" w:rsidRPr="00B77E5D">
        <w:rPr>
          <w:rFonts w:hAnsi="宋体" w:hint="eastAsia"/>
          <w:szCs w:val="24"/>
        </w:rPr>
        <w:t xml:space="preserve"> </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7.1.1基金管理人应制</w:t>
      </w:r>
      <w:proofErr w:type="gramStart"/>
      <w:r w:rsidRPr="00B77E5D">
        <w:rPr>
          <w:rFonts w:hAnsi="宋体" w:hint="eastAsia"/>
          <w:szCs w:val="24"/>
        </w:rPr>
        <w:t>定选择</w:t>
      </w:r>
      <w:proofErr w:type="gramEnd"/>
      <w:r w:rsidRPr="00B77E5D">
        <w:rPr>
          <w:rFonts w:hAnsi="宋体" w:hint="eastAsia"/>
          <w:szCs w:val="24"/>
        </w:rPr>
        <w:t>代理证券买卖的证券</w:t>
      </w:r>
      <w:r w:rsidR="004628A8" w:rsidRPr="00B77E5D">
        <w:rPr>
          <w:rFonts w:hAnsi="宋体" w:hint="eastAsia"/>
        </w:rPr>
        <w:t>经营</w:t>
      </w:r>
      <w:r w:rsidRPr="00B77E5D">
        <w:rPr>
          <w:rFonts w:hAnsi="宋体" w:hint="eastAsia"/>
          <w:szCs w:val="24"/>
        </w:rPr>
        <w:t>机构的标准和程序。基金管理人负责选择代理本基金证券买卖的证券</w:t>
      </w:r>
      <w:r w:rsidR="004628A8" w:rsidRPr="00B77E5D">
        <w:rPr>
          <w:rFonts w:hAnsi="宋体" w:hint="eastAsia"/>
        </w:rPr>
        <w:t>经营</w:t>
      </w:r>
      <w:r w:rsidRPr="00B77E5D">
        <w:rPr>
          <w:rFonts w:hAnsi="宋体" w:hint="eastAsia"/>
          <w:szCs w:val="24"/>
        </w:rPr>
        <w:t>机构，使用其交易单元作为基金的专用交易单元。基金管理人和被选中的证券</w:t>
      </w:r>
      <w:r w:rsidR="004628A8" w:rsidRPr="00B77E5D">
        <w:rPr>
          <w:rFonts w:hAnsi="宋体" w:hint="eastAsia"/>
        </w:rPr>
        <w:t>经营</w:t>
      </w:r>
      <w:r w:rsidRPr="00B77E5D">
        <w:rPr>
          <w:rFonts w:hAnsi="宋体" w:hint="eastAsia"/>
          <w:szCs w:val="24"/>
        </w:rPr>
        <w:t>机构签订委托协议，由基金管理人提前通知基金托管人，并在法定信息披露公告中披露有关内容。</w:t>
      </w:r>
      <w:r w:rsidR="004628A8" w:rsidRPr="00B77E5D">
        <w:rPr>
          <w:rFonts w:hAnsi="宋体" w:hint="eastAsia"/>
          <w:szCs w:val="24"/>
        </w:rPr>
        <w:t xml:space="preserve"> </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7.1.2基金管理人应及时将基金专用交易单元号、佣金费率等基本信息以及变更情况以书面形式通知基金托管人。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7.1.3基金管理人负责选择本基金期货交易的期货经</w:t>
      </w:r>
      <w:r w:rsidRPr="00B77E5D">
        <w:rPr>
          <w:rFonts w:hAnsi="宋体" w:hint="eastAsia"/>
        </w:rPr>
        <w:t>纪</w:t>
      </w:r>
      <w:r w:rsidRPr="00B77E5D">
        <w:rPr>
          <w:rFonts w:hAnsi="宋体" w:hint="eastAsia"/>
          <w:szCs w:val="24"/>
        </w:rPr>
        <w:t>机构，并与其签订期货经纪合同，其他事宜根据法律法规、《基金合同》的相关规定执行，若无明确规定的，可参照有关证券买卖、证券</w:t>
      </w:r>
      <w:proofErr w:type="gramStart"/>
      <w:r w:rsidRPr="00B77E5D">
        <w:rPr>
          <w:rFonts w:hAnsi="宋体" w:hint="eastAsia"/>
          <w:szCs w:val="24"/>
        </w:rPr>
        <w:t>经</w:t>
      </w:r>
      <w:r w:rsidR="004628A8" w:rsidRPr="00B77E5D">
        <w:rPr>
          <w:rFonts w:hAnsi="宋体" w:hint="eastAsia"/>
        </w:rPr>
        <w:t>经营</w:t>
      </w:r>
      <w:r w:rsidRPr="00B77E5D">
        <w:rPr>
          <w:rFonts w:hAnsi="宋体" w:hint="eastAsia"/>
          <w:szCs w:val="24"/>
        </w:rPr>
        <w:t>构选择</w:t>
      </w:r>
      <w:proofErr w:type="gramEnd"/>
      <w:r w:rsidRPr="00B77E5D">
        <w:rPr>
          <w:rFonts w:hAnsi="宋体" w:hint="eastAsia"/>
          <w:szCs w:val="24"/>
        </w:rPr>
        <w:t>的规则执行。</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7.2清算与交割</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7.2.1基金投资证券后的清算交收安排</w:t>
      </w:r>
    </w:p>
    <w:p w:rsidR="002E15F3" w:rsidRPr="00B77E5D" w:rsidRDefault="00834479" w:rsidP="006F7D2F">
      <w:pPr>
        <w:pStyle w:val="20"/>
        <w:spacing w:before="0" w:after="0" w:line="360" w:lineRule="auto"/>
        <w:ind w:left="0" w:firstLineChars="200" w:firstLine="480"/>
        <w:rPr>
          <w:rFonts w:hAnsi="宋体"/>
          <w:szCs w:val="24"/>
        </w:rPr>
      </w:pPr>
      <w:r w:rsidRPr="00B77E5D">
        <w:rPr>
          <w:rFonts w:hAnsi="宋体" w:hint="eastAsia"/>
          <w:szCs w:val="24"/>
        </w:rPr>
        <w:t>基金管理人与基金托管人应根据有关法律法规及相关业务规则，签订《证券交</w:t>
      </w:r>
      <w:r w:rsidRPr="00B77E5D">
        <w:rPr>
          <w:rFonts w:hAnsi="宋体" w:hint="eastAsia"/>
          <w:szCs w:val="24"/>
        </w:rPr>
        <w:lastRenderedPageBreak/>
        <w:t>易资金结算协议》，用以具体明确基金管理人与基金托管人在证券交易资金结算业务中的责任。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对基金管理人的资金划拨指令，基金托管人在复核无误后应在规定期限内执行，不得无故延误。</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本基金投资于证券发生的所有场内、场外交易的资金清算交割，全部由基金托管人负责办理。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本基金证券投资的清算交割，由基金托管人通过中登公司及清算代理银行办理。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交易及清算交收安排中基金管理人应为基金托管人预留2个小时的指令处理时间，当日15:00之后收到的指令，基金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相应损失由基金管理人承担。</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7.2.2基金出现超买或超卖的责任认定及处理程序</w:t>
      </w:r>
    </w:p>
    <w:p w:rsidR="002E15F3" w:rsidRPr="00B77E5D" w:rsidRDefault="00834479" w:rsidP="006F7D2F">
      <w:pPr>
        <w:pStyle w:val="20"/>
        <w:spacing w:before="0" w:after="0" w:line="360" w:lineRule="auto"/>
        <w:ind w:left="0" w:firstLineChars="200" w:firstLine="480"/>
        <w:rPr>
          <w:rFonts w:hAnsi="宋体"/>
          <w:szCs w:val="24"/>
        </w:rPr>
      </w:pPr>
      <w:r w:rsidRPr="00B77E5D">
        <w:rPr>
          <w:rFonts w:hAnsi="宋体" w:hint="eastAsia"/>
          <w:szCs w:val="24"/>
        </w:rPr>
        <w:t>基金托管人在履行监督职能时，如果发现基金投资证券过程中出现超买或超卖现象，应立即提醒基金管理人，由基金管理人负责解决，由此给基金造成的相应损失由基金管理人承担。</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7.2.3基金无法按时支付证券清算款的责任认定及处理程序</w:t>
      </w:r>
    </w:p>
    <w:p w:rsidR="002E15F3" w:rsidRPr="00B77E5D" w:rsidRDefault="00834479" w:rsidP="006F7D2F">
      <w:pPr>
        <w:pStyle w:val="20"/>
        <w:spacing w:before="0" w:after="0" w:line="360" w:lineRule="auto"/>
        <w:ind w:left="0" w:firstLineChars="200" w:firstLine="480"/>
        <w:rPr>
          <w:rFonts w:hAnsi="宋体"/>
          <w:szCs w:val="24"/>
        </w:rPr>
      </w:pPr>
      <w:r w:rsidRPr="00B77E5D">
        <w:rPr>
          <w:rFonts w:hAnsi="宋体" w:hint="eastAsia"/>
          <w:szCs w:val="24"/>
        </w:rPr>
        <w:t>基金管理人应确保基金托管人在执行基金管理人发送的指令时，有足够的头寸进行交收。基金的资金头寸不足时，基金托管人有权拒绝基金管理人发送的划款指令，并立即通知基金管理人。基金管理人在发送划款指令时应充分考虑基金托管人的划款处理所需的合理时间。如由于基金管理人的原因导致无法按时支付证券清算款，由此给基金造成的相应损失由基金管理人承担。</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基金管理人造成的相应损失由基金托管人承担。</w:t>
      </w:r>
    </w:p>
    <w:p w:rsidR="002E15F3" w:rsidRPr="00B77E5D" w:rsidRDefault="00834479">
      <w:pPr>
        <w:pStyle w:val="20"/>
        <w:spacing w:line="360" w:lineRule="auto"/>
        <w:ind w:left="0" w:firstLineChars="200" w:firstLine="480"/>
        <w:rPr>
          <w:rFonts w:hAnsi="宋体"/>
          <w:szCs w:val="24"/>
        </w:rPr>
      </w:pPr>
      <w:r w:rsidRPr="00B77E5D">
        <w:rPr>
          <w:rFonts w:hAnsi="宋体" w:hint="eastAsia"/>
          <w:szCs w:val="24"/>
        </w:rPr>
        <w:t>7.2.4场外交易资金结算</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场外交易资金对外投资划款由基金托管人</w:t>
      </w:r>
      <w:proofErr w:type="gramStart"/>
      <w:r w:rsidRPr="00B77E5D">
        <w:rPr>
          <w:rFonts w:hAnsi="宋体" w:hint="eastAsia"/>
          <w:szCs w:val="24"/>
        </w:rPr>
        <w:t>凭基金</w:t>
      </w:r>
      <w:proofErr w:type="gramEnd"/>
      <w:r w:rsidRPr="00B77E5D">
        <w:rPr>
          <w:rFonts w:hAnsi="宋体" w:hint="eastAsia"/>
          <w:szCs w:val="24"/>
        </w:rPr>
        <w:t>管理人符合本托管协议约定的有效资金划拨指令和相关投资合同（如有）进行资金划拨；</w:t>
      </w:r>
      <w:proofErr w:type="gramStart"/>
      <w:r w:rsidRPr="00B77E5D">
        <w:rPr>
          <w:rFonts w:hAnsi="宋体" w:hint="eastAsia"/>
          <w:szCs w:val="24"/>
        </w:rPr>
        <w:t>场外投资</w:t>
      </w:r>
      <w:proofErr w:type="gramEnd"/>
      <w:r w:rsidRPr="00B77E5D">
        <w:rPr>
          <w:rFonts w:hAnsi="宋体" w:hint="eastAsia"/>
          <w:szCs w:val="24"/>
        </w:rPr>
        <w:t>本金及收益</w:t>
      </w:r>
      <w:r w:rsidRPr="00B77E5D">
        <w:rPr>
          <w:rFonts w:hAnsi="宋体" w:hint="eastAsia"/>
          <w:szCs w:val="24"/>
        </w:rPr>
        <w:lastRenderedPageBreak/>
        <w:t>的划回，由基金管理人负责协调相关资金</w:t>
      </w:r>
      <w:proofErr w:type="gramStart"/>
      <w:r w:rsidRPr="00B77E5D">
        <w:rPr>
          <w:rFonts w:hAnsi="宋体" w:hint="eastAsia"/>
          <w:szCs w:val="24"/>
        </w:rPr>
        <w:t>划拨回基金</w:t>
      </w:r>
      <w:proofErr w:type="gramEnd"/>
      <w:r w:rsidRPr="00B77E5D">
        <w:rPr>
          <w:rFonts w:hAnsi="宋体" w:hint="eastAsia"/>
          <w:szCs w:val="24"/>
        </w:rPr>
        <w:t>托管专户事宜。</w:t>
      </w:r>
    </w:p>
    <w:p w:rsidR="002E15F3" w:rsidRPr="00B77E5D" w:rsidRDefault="00834479">
      <w:pPr>
        <w:pStyle w:val="20"/>
        <w:spacing w:before="0" w:after="0" w:line="360" w:lineRule="auto"/>
        <w:rPr>
          <w:rFonts w:hAnsi="宋体"/>
          <w:szCs w:val="24"/>
        </w:rPr>
      </w:pPr>
      <w:r w:rsidRPr="00B77E5D">
        <w:rPr>
          <w:rFonts w:hAnsi="宋体" w:hint="eastAsia"/>
          <w:szCs w:val="24"/>
        </w:rPr>
        <w:t>7.3资金、证券账目及交易记录的核对</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7.3.1基金管理人与基金托管人按日进行交易记录的核对。对外披露各类基金份额净值之前，必须保证当天所有实际交易记录与基金会计账簿上的交易记录完全一致。如果实际交易记录与会计账簿记录不一致，造成基金会计核算不完整或不真实，由此导致的损失由责任方承担。</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7.3.2对基金的资金账目，由相关各方每日对账一次，确保相关各方账</w:t>
      </w:r>
      <w:proofErr w:type="gramStart"/>
      <w:r w:rsidRPr="00B77E5D">
        <w:rPr>
          <w:rFonts w:hAnsi="宋体" w:hint="eastAsia"/>
          <w:szCs w:val="24"/>
        </w:rPr>
        <w:t>账</w:t>
      </w:r>
      <w:proofErr w:type="gramEnd"/>
      <w:r w:rsidRPr="00B77E5D">
        <w:rPr>
          <w:rFonts w:hAnsi="宋体" w:hint="eastAsia"/>
          <w:szCs w:val="24"/>
        </w:rPr>
        <w:t>相符。对基金证券账目，由相关各方每日进行对账。对实物</w:t>
      </w:r>
      <w:proofErr w:type="gramStart"/>
      <w:r w:rsidRPr="00B77E5D">
        <w:rPr>
          <w:rFonts w:hAnsi="宋体" w:hint="eastAsia"/>
          <w:szCs w:val="24"/>
        </w:rPr>
        <w:t>券</w:t>
      </w:r>
      <w:proofErr w:type="gramEnd"/>
      <w:r w:rsidRPr="00B77E5D">
        <w:rPr>
          <w:rFonts w:hAnsi="宋体" w:hint="eastAsia"/>
          <w:szCs w:val="24"/>
        </w:rPr>
        <w:t>账目，每月月末由相关各方进行账实核对。对交易记录，由相关各方每日对账一次。</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7.4申购、赎回、转换开放式基金的资金清算、数据传递及基金管理人、基金托管人的责任</w:t>
      </w:r>
    </w:p>
    <w:p w:rsidR="002E15F3" w:rsidRPr="00B77E5D" w:rsidRDefault="00834479">
      <w:pPr>
        <w:pStyle w:val="20"/>
        <w:spacing w:before="0" w:after="0" w:line="360" w:lineRule="auto"/>
        <w:rPr>
          <w:rFonts w:hAnsi="宋体"/>
          <w:szCs w:val="24"/>
        </w:rPr>
      </w:pPr>
      <w:r w:rsidRPr="00B77E5D">
        <w:rPr>
          <w:rFonts w:hAnsi="宋体" w:hint="eastAsia"/>
          <w:szCs w:val="24"/>
        </w:rPr>
        <w:t>7.4.1基金管理人和基金托管人在基金的申购、赎回、转换中的责任</w:t>
      </w:r>
    </w:p>
    <w:p w:rsidR="002E15F3" w:rsidRPr="00B77E5D" w:rsidRDefault="00834479" w:rsidP="006F7D2F">
      <w:pPr>
        <w:pStyle w:val="20"/>
        <w:spacing w:before="0" w:after="0" w:line="360" w:lineRule="auto"/>
        <w:ind w:left="0" w:firstLineChars="200" w:firstLine="480"/>
        <w:rPr>
          <w:rFonts w:hAnsi="宋体"/>
          <w:szCs w:val="24"/>
        </w:rPr>
      </w:pPr>
      <w:r w:rsidRPr="00B77E5D">
        <w:rPr>
          <w:rFonts w:hAnsi="宋体" w:hint="eastAsia"/>
          <w:szCs w:val="24"/>
        </w:rPr>
        <w:t>基金投资人可通过基金管理人的直销中心和销售机构的销售网点进行申购和赎回申请，基金份额申购、赎回的确认、清算由基金管理人或其委托的登记机构负责。基金托管人负责接收并确认资金的到账情况，以及依照基金管理人的投资指令划付赎回款项。</w:t>
      </w:r>
    </w:p>
    <w:p w:rsidR="002E15F3" w:rsidRPr="00B77E5D" w:rsidRDefault="00834479">
      <w:pPr>
        <w:pStyle w:val="20"/>
        <w:spacing w:before="0" w:after="0" w:line="360" w:lineRule="auto"/>
        <w:rPr>
          <w:rFonts w:hAnsi="宋体"/>
          <w:szCs w:val="24"/>
        </w:rPr>
      </w:pPr>
      <w:r w:rsidRPr="00B77E5D">
        <w:rPr>
          <w:rFonts w:hAnsi="宋体" w:hint="eastAsia"/>
          <w:szCs w:val="24"/>
        </w:rPr>
        <w:t>7.4.2基金的数据传递</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登记机构应通过与基金管理人建立的系统发送有关数据，如因各种原因，该系统无法正常发送，双方可协商解决处理方式。</w:t>
      </w:r>
    </w:p>
    <w:p w:rsidR="002E15F3" w:rsidRPr="00B77E5D" w:rsidRDefault="00834479">
      <w:pPr>
        <w:pStyle w:val="20"/>
        <w:spacing w:before="0" w:after="0" w:line="360" w:lineRule="auto"/>
        <w:rPr>
          <w:rFonts w:hAnsi="宋体"/>
          <w:szCs w:val="24"/>
        </w:rPr>
      </w:pPr>
      <w:r w:rsidRPr="00B77E5D">
        <w:rPr>
          <w:rFonts w:hAnsi="宋体" w:hint="eastAsia"/>
          <w:szCs w:val="24"/>
        </w:rPr>
        <w:t>7.4.3基金的资金清算</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基金托管专户与“基金清算账户”间的资金结算遵循“全额清算、净额交收”的原则，每日按照托管专户应收资金与应付资金的差额来确定托管</w:t>
      </w:r>
      <w:proofErr w:type="gramStart"/>
      <w:r w:rsidRPr="00B77E5D">
        <w:rPr>
          <w:rFonts w:hAnsi="宋体" w:hint="eastAsia"/>
          <w:szCs w:val="24"/>
        </w:rPr>
        <w:t>专户净应收</w:t>
      </w:r>
      <w:proofErr w:type="gramEnd"/>
      <w:r w:rsidRPr="00B77E5D">
        <w:rPr>
          <w:rFonts w:hAnsi="宋体" w:hint="eastAsia"/>
          <w:szCs w:val="24"/>
        </w:rPr>
        <w:t>额或净应付额，以此确定资金交收额。</w:t>
      </w:r>
    </w:p>
    <w:p w:rsidR="002E15F3" w:rsidRPr="00B77E5D" w:rsidRDefault="00834479">
      <w:pPr>
        <w:pStyle w:val="20"/>
        <w:spacing w:before="0" w:after="0" w:line="360" w:lineRule="auto"/>
        <w:ind w:left="0" w:firstLineChars="200" w:firstLine="480"/>
        <w:rPr>
          <w:rFonts w:hAnsi="宋体"/>
          <w:szCs w:val="24"/>
        </w:rPr>
      </w:pPr>
      <w:bookmarkStart w:id="23" w:name="_Hlk139484289"/>
      <w:r w:rsidRPr="00B77E5D">
        <w:rPr>
          <w:rFonts w:asciiTheme="minorEastAsia" w:eastAsiaTheme="minorEastAsia" w:hAnsiTheme="minorEastAsia" w:hint="eastAsia"/>
          <w:szCs w:val="24"/>
        </w:rPr>
        <w:t>如果当日基金为净应收款，对于未在15:00前到账的资金，基金托管人应及时通知基金管理人划付。</w:t>
      </w:r>
      <w:bookmarkEnd w:id="23"/>
      <w:r w:rsidRPr="00B77E5D">
        <w:rPr>
          <w:rFonts w:hAnsi="宋体" w:hint="eastAsia"/>
          <w:szCs w:val="24"/>
        </w:rPr>
        <w:t>如果当日基金为净应付款，基金托管人应根据基金管理人的指令</w:t>
      </w:r>
      <w:r w:rsidRPr="00B77E5D">
        <w:rPr>
          <w:rFonts w:asciiTheme="minorEastAsia" w:eastAsiaTheme="minorEastAsia" w:hAnsiTheme="minorEastAsia" w:hint="eastAsia"/>
          <w:szCs w:val="24"/>
        </w:rPr>
        <w:t>将托管</w:t>
      </w:r>
      <w:proofErr w:type="gramStart"/>
      <w:r w:rsidRPr="00B77E5D">
        <w:rPr>
          <w:rFonts w:asciiTheme="minorEastAsia" w:eastAsiaTheme="minorEastAsia" w:hAnsiTheme="minorEastAsia" w:hint="eastAsia"/>
          <w:szCs w:val="24"/>
        </w:rPr>
        <w:t>专户净应付</w:t>
      </w:r>
      <w:proofErr w:type="gramEnd"/>
      <w:r w:rsidRPr="00B77E5D">
        <w:rPr>
          <w:rFonts w:asciiTheme="minorEastAsia" w:eastAsiaTheme="minorEastAsia" w:hAnsiTheme="minorEastAsia" w:hint="eastAsia"/>
          <w:szCs w:val="24"/>
        </w:rPr>
        <w:t>额</w:t>
      </w:r>
      <w:r w:rsidRPr="00B77E5D">
        <w:rPr>
          <w:rFonts w:hAnsi="宋体" w:hint="eastAsia"/>
          <w:szCs w:val="24"/>
        </w:rPr>
        <w:t>在当日中午12:00前进行划付，对于未准时划付的资金，基金管理人应及时通知基金托管人划付。因基金托管专户没有足够的资金，导致基金托管人不能按时拨付，基金托管人应及时通知基金管理人。</w:t>
      </w:r>
    </w:p>
    <w:p w:rsidR="002E15F3" w:rsidRPr="00B77E5D" w:rsidRDefault="00834479">
      <w:pPr>
        <w:pStyle w:val="1"/>
        <w:ind w:firstLineChars="200" w:firstLine="482"/>
        <w:rPr>
          <w:bCs/>
          <w:color w:val="auto"/>
          <w:szCs w:val="24"/>
        </w:rPr>
      </w:pPr>
      <w:bookmarkStart w:id="24" w:name="_Toc296551344"/>
      <w:bookmarkStart w:id="25" w:name="_Toc44321731"/>
      <w:r w:rsidRPr="00B77E5D">
        <w:rPr>
          <w:rFonts w:hint="eastAsia"/>
          <w:bCs/>
          <w:color w:val="auto"/>
          <w:szCs w:val="24"/>
        </w:rPr>
        <w:lastRenderedPageBreak/>
        <w:t>第八条 基金净值计算和会计核算</w:t>
      </w:r>
      <w:bookmarkEnd w:id="24"/>
      <w:bookmarkEnd w:id="25"/>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8.1基金净值的计算、复核的时间和程序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8.1.1基金</w:t>
      </w:r>
      <w:r w:rsidRPr="00B77E5D">
        <w:rPr>
          <w:rFonts w:hAnsi="宋体"/>
          <w:szCs w:val="24"/>
        </w:rPr>
        <w:t>净值包括基金资产净值</w:t>
      </w:r>
      <w:r w:rsidRPr="00B77E5D">
        <w:rPr>
          <w:rFonts w:hAnsi="宋体" w:hint="eastAsia"/>
          <w:szCs w:val="24"/>
        </w:rPr>
        <w:t>、各类基金份额的</w:t>
      </w:r>
      <w:r w:rsidRPr="00B77E5D">
        <w:rPr>
          <w:rFonts w:hint="eastAsia"/>
          <w:bCs/>
        </w:rPr>
        <w:t>基金净值信息</w:t>
      </w:r>
      <w:r w:rsidRPr="00B77E5D">
        <w:rPr>
          <w:rFonts w:hAnsi="宋体"/>
          <w:szCs w:val="24"/>
        </w:rPr>
        <w:t>。</w:t>
      </w:r>
      <w:r w:rsidRPr="00B77E5D">
        <w:rPr>
          <w:rFonts w:hAnsi="宋体" w:hint="eastAsia"/>
          <w:szCs w:val="24"/>
        </w:rPr>
        <w:t>基金资产净值是指基金资产总值减去</w:t>
      </w:r>
      <w:r w:rsidRPr="00B77E5D">
        <w:rPr>
          <w:rFonts w:hint="eastAsia"/>
          <w:bCs/>
        </w:rPr>
        <w:t>基金</w:t>
      </w:r>
      <w:r w:rsidRPr="00B77E5D">
        <w:rPr>
          <w:rFonts w:hAnsi="宋体" w:hint="eastAsia"/>
          <w:szCs w:val="24"/>
        </w:rPr>
        <w:t>负债后的</w:t>
      </w:r>
      <w:r w:rsidRPr="00B77E5D">
        <w:rPr>
          <w:rFonts w:hint="eastAsia"/>
          <w:bCs/>
        </w:rPr>
        <w:t>价值</w:t>
      </w:r>
      <w:r w:rsidRPr="00B77E5D">
        <w:rPr>
          <w:rFonts w:hAnsi="宋体" w:hint="eastAsia"/>
          <w:szCs w:val="24"/>
        </w:rPr>
        <w:t>。</w:t>
      </w:r>
      <w:r w:rsidRPr="00B77E5D">
        <w:rPr>
          <w:rFonts w:hint="eastAsia"/>
          <w:bCs/>
        </w:rPr>
        <w:t>各类基金份额的基金份额净值是按照每个</w:t>
      </w:r>
      <w:r w:rsidR="00EF6574" w:rsidRPr="00B77E5D">
        <w:rPr>
          <w:rFonts w:hint="eastAsia"/>
          <w:bCs/>
        </w:rPr>
        <w:t>工作</w:t>
      </w:r>
      <w:r w:rsidRPr="00B77E5D">
        <w:rPr>
          <w:rFonts w:hint="eastAsia"/>
          <w:bCs/>
        </w:rPr>
        <w:t>日闭市后，该类基金资产净值除以当日该类基金份额的余额数量计算，均精确到</w:t>
      </w:r>
      <w:r w:rsidRPr="00B77E5D">
        <w:t>0.0001</w:t>
      </w:r>
      <w:r w:rsidRPr="00B77E5D">
        <w:rPr>
          <w:rFonts w:hint="eastAsia"/>
        </w:rPr>
        <w:t>元</w:t>
      </w:r>
      <w:r w:rsidRPr="00B77E5D">
        <w:rPr>
          <w:rFonts w:hint="eastAsia"/>
          <w:bCs/>
        </w:rPr>
        <w:t>，小数点后</w:t>
      </w:r>
      <w:r w:rsidRPr="00B77E5D">
        <w:rPr>
          <w:rFonts w:hint="eastAsia"/>
        </w:rPr>
        <w:t>第</w:t>
      </w:r>
      <w:r w:rsidRPr="00B77E5D">
        <w:t>5</w:t>
      </w:r>
      <w:r w:rsidRPr="00B77E5D">
        <w:rPr>
          <w:rFonts w:hint="eastAsia"/>
        </w:rPr>
        <w:t>位</w:t>
      </w:r>
      <w:r w:rsidRPr="00B77E5D">
        <w:rPr>
          <w:rFonts w:hint="eastAsia"/>
          <w:bCs/>
        </w:rPr>
        <w:t>四舍五入，由此产生的误差计入基金财产。</w:t>
      </w:r>
      <w:r w:rsidRPr="00B77E5D">
        <w:rPr>
          <w:rFonts w:hint="eastAsia"/>
        </w:rPr>
        <w:t>基金管理人可以设立大额赎回情形下的净值精度应急调整机制。</w:t>
      </w:r>
      <w:r w:rsidRPr="00B77E5D">
        <w:rPr>
          <w:rFonts w:hint="eastAsia"/>
          <w:bCs/>
        </w:rPr>
        <w:t>国家法律法规另有规定的，从其规定。基金管理人每个</w:t>
      </w:r>
      <w:r w:rsidR="00EF6574" w:rsidRPr="00B77E5D">
        <w:rPr>
          <w:rFonts w:hint="eastAsia"/>
          <w:bCs/>
        </w:rPr>
        <w:t>工作</w:t>
      </w:r>
      <w:r w:rsidRPr="00B77E5D">
        <w:rPr>
          <w:rFonts w:hint="eastAsia"/>
          <w:bCs/>
        </w:rPr>
        <w:t>日计算基金资产净值及各类基金份额的基金份额净值，并按规定公告。如遇特殊情况，经履行适当程序，可以适当延迟计算或公告。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8.1.2</w:t>
      </w:r>
      <w:r w:rsidRPr="00B77E5D">
        <w:rPr>
          <w:rFonts w:hint="eastAsia"/>
          <w:bCs/>
        </w:rPr>
        <w:t>基金管理人</w:t>
      </w:r>
      <w:proofErr w:type="gramStart"/>
      <w:r w:rsidRPr="00B77E5D">
        <w:rPr>
          <w:rFonts w:hint="eastAsia"/>
          <w:bCs/>
        </w:rPr>
        <w:t>应每个</w:t>
      </w:r>
      <w:proofErr w:type="gramEnd"/>
      <w:r w:rsidRPr="00B77E5D">
        <w:rPr>
          <w:rFonts w:hint="eastAsia"/>
          <w:bCs/>
        </w:rPr>
        <w:t>工作日对基金资产估值，但基金管理人根据法律法规或本基金合同的规定暂停估值时除外。基金管理人每个工作日对基金资产估值后，将基金资产净值和各类基金份额的基金份额净值结果以双方认可的方式发送基金托管人，基金托管人复核无误后将复核结果以双方认可的方式反馈给基金管理人，由基金管理人依据基金合同的约定和相关法律法规的规定对外公布。</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8.2基金资产估值方法</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8.2.1估值对象</w:t>
      </w:r>
    </w:p>
    <w:p w:rsidR="002E15F3" w:rsidRPr="00B77E5D" w:rsidRDefault="00834479">
      <w:pPr>
        <w:spacing w:line="360" w:lineRule="auto"/>
        <w:ind w:firstLineChars="200" w:firstLine="480"/>
        <w:rPr>
          <w:bCs/>
          <w:sz w:val="24"/>
        </w:rPr>
      </w:pPr>
      <w:r w:rsidRPr="00B77E5D">
        <w:rPr>
          <w:rFonts w:hint="eastAsia"/>
          <w:bCs/>
          <w:sz w:val="24"/>
        </w:rPr>
        <w:t>基金所拥有的股票、存托凭证、债券、期货合约、股票期权、银行存款本息、应收款项、资产支持证券和其它投资等资产及负债。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8.2.2估值方法</w:t>
      </w:r>
    </w:p>
    <w:p w:rsidR="002E15F3" w:rsidRPr="00B77E5D" w:rsidRDefault="00834479">
      <w:pPr>
        <w:spacing w:line="360" w:lineRule="auto"/>
        <w:ind w:firstLineChars="200" w:firstLine="480"/>
        <w:rPr>
          <w:bCs/>
          <w:sz w:val="24"/>
        </w:rPr>
      </w:pPr>
      <w:r w:rsidRPr="00B77E5D">
        <w:rPr>
          <w:bCs/>
          <w:sz w:val="24"/>
        </w:rPr>
        <w:t>1</w:t>
      </w:r>
      <w:r w:rsidRPr="00B77E5D">
        <w:rPr>
          <w:bCs/>
          <w:sz w:val="24"/>
        </w:rPr>
        <w:t>、上市有价证券的估值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）对于已上市或已挂牌转让的不含</w:t>
      </w:r>
      <w:proofErr w:type="gramStart"/>
      <w:r w:rsidRPr="00B77E5D">
        <w:rPr>
          <w:rFonts w:hint="eastAsia"/>
          <w:bCs/>
          <w:sz w:val="24"/>
        </w:rPr>
        <w:t>权固定</w:t>
      </w:r>
      <w:proofErr w:type="gramEnd"/>
      <w:r w:rsidRPr="00B77E5D">
        <w:rPr>
          <w:rFonts w:hint="eastAsia"/>
          <w:bCs/>
          <w:sz w:val="24"/>
        </w:rPr>
        <w:t>收益品种（另有规定的除外），选</w:t>
      </w:r>
      <w:r w:rsidRPr="00B77E5D">
        <w:rPr>
          <w:rFonts w:hint="eastAsia"/>
          <w:bCs/>
          <w:sz w:val="24"/>
        </w:rPr>
        <w:lastRenderedPageBreak/>
        <w:t>取估值日第三方估值基准服务机构提供的相应品种当日的估值全价进行估值；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3</w:t>
      </w:r>
      <w:r w:rsidRPr="00B77E5D">
        <w:rPr>
          <w:rFonts w:hint="eastAsia"/>
          <w:bCs/>
          <w:sz w:val="24"/>
        </w:rPr>
        <w:t>）对于已上市或已挂牌转让的含</w:t>
      </w:r>
      <w:proofErr w:type="gramStart"/>
      <w:r w:rsidRPr="00B77E5D">
        <w:rPr>
          <w:rFonts w:hint="eastAsia"/>
          <w:bCs/>
          <w:sz w:val="24"/>
        </w:rPr>
        <w:t>权固定</w:t>
      </w:r>
      <w:proofErr w:type="gramEnd"/>
      <w:r w:rsidRPr="00B77E5D">
        <w:rPr>
          <w:rFonts w:hint="eastAsia"/>
          <w:bCs/>
          <w:sz w:val="24"/>
        </w:rPr>
        <w:t>收益品种（另有规定的除外），选取估值日第三方估值基准服务机构提供的相应品种当日的唯一估值全价或推荐估值全价进行估值；</w:t>
      </w:r>
    </w:p>
    <w:p w:rsidR="002E15F3" w:rsidRPr="00B77E5D" w:rsidRDefault="00834479">
      <w:pPr>
        <w:spacing w:line="360" w:lineRule="auto"/>
        <w:ind w:firstLineChars="200" w:firstLine="480"/>
        <w:rPr>
          <w:bCs/>
          <w:sz w:val="24"/>
        </w:rPr>
      </w:pPr>
      <w:r w:rsidRPr="00B77E5D">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4</w:t>
      </w:r>
      <w:r w:rsidRPr="00B77E5D">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2E15F3" w:rsidRPr="00B77E5D" w:rsidRDefault="00834479">
      <w:pPr>
        <w:spacing w:line="360" w:lineRule="auto"/>
        <w:ind w:firstLineChars="200" w:firstLine="480"/>
        <w:rPr>
          <w:bCs/>
          <w:sz w:val="24"/>
        </w:rPr>
      </w:pPr>
      <w:r w:rsidRPr="00B77E5D">
        <w:rPr>
          <w:bCs/>
          <w:sz w:val="24"/>
        </w:rPr>
        <w:t>2</w:t>
      </w:r>
      <w:r w:rsidRPr="00B77E5D">
        <w:rPr>
          <w:bCs/>
          <w:sz w:val="24"/>
        </w:rPr>
        <w:t>、处于未上市期间的有价证券应区分如下情况处理：</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）送股、转增股、配股和公开增发的新股，按估值日在证券交易所挂牌的同一股票的估值方法估值；该日无交易的，以最近一日的市价（收盘价）估值；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）首次公开发行未上市的股票，采用估值技术确定公允价值；</w:t>
      </w:r>
      <w:r w:rsidRPr="00B77E5D">
        <w:rPr>
          <w:bCs/>
          <w:sz w:val="24"/>
        </w:rPr>
        <w:t xml:space="preserve"> </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3</w:t>
      </w:r>
      <w:r w:rsidRPr="00B77E5D">
        <w:rPr>
          <w:rFonts w:hint="eastAsia"/>
          <w:bCs/>
          <w:sz w:val="24"/>
        </w:rPr>
        <w:t>）对于未上市或未挂牌转让且不存在活跃市场的固定收益品种，应采用在当前情况下适用并且有足够可利用数据和其他信息支持的估值技术确定其公允价值；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4</w:t>
      </w:r>
      <w:r w:rsidRPr="00B77E5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77E5D">
        <w:rPr>
          <w:rFonts w:hint="eastAsia"/>
          <w:bCs/>
          <w:sz w:val="24"/>
        </w:rPr>
        <w:t>券</w:t>
      </w:r>
      <w:proofErr w:type="gramEnd"/>
      <w:r w:rsidRPr="00B77E5D">
        <w:rPr>
          <w:rFonts w:hint="eastAsia"/>
          <w:bCs/>
          <w:sz w:val="24"/>
        </w:rPr>
        <w:t>等流通受限股票），按监管机构或行业协会有关规定确定公允价值。</w:t>
      </w:r>
    </w:p>
    <w:p w:rsidR="002E15F3" w:rsidRPr="00B77E5D" w:rsidRDefault="00834479" w:rsidP="006F7D2F">
      <w:pPr>
        <w:spacing w:line="360" w:lineRule="auto"/>
        <w:ind w:firstLineChars="200" w:firstLine="480"/>
        <w:rPr>
          <w:bCs/>
          <w:sz w:val="24"/>
        </w:rPr>
      </w:pPr>
      <w:r w:rsidRPr="00B77E5D">
        <w:rPr>
          <w:bCs/>
          <w:sz w:val="24"/>
        </w:rPr>
        <w:t>3</w:t>
      </w:r>
      <w:r w:rsidRPr="00B77E5D">
        <w:rPr>
          <w:rFonts w:hint="eastAsia"/>
          <w:bCs/>
          <w:sz w:val="24"/>
        </w:rPr>
        <w:t>、同一证券同时在两个或两个以上市场交易的，按证券所处的市场分别估值。</w:t>
      </w:r>
    </w:p>
    <w:p w:rsidR="002E15F3" w:rsidRPr="00B77E5D" w:rsidRDefault="00834479">
      <w:pPr>
        <w:spacing w:line="360" w:lineRule="auto"/>
        <w:ind w:firstLineChars="200" w:firstLine="480"/>
        <w:rPr>
          <w:bCs/>
          <w:sz w:val="24"/>
        </w:rPr>
      </w:pPr>
      <w:r w:rsidRPr="00B77E5D">
        <w:rPr>
          <w:rFonts w:hint="eastAsia"/>
          <w:bCs/>
          <w:sz w:val="24"/>
        </w:rPr>
        <w:t>4</w:t>
      </w:r>
      <w:r w:rsidRPr="00B77E5D">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2E15F3" w:rsidRPr="00B77E5D" w:rsidRDefault="00834479">
      <w:pPr>
        <w:spacing w:line="360" w:lineRule="auto"/>
        <w:ind w:firstLineChars="200" w:firstLine="480"/>
        <w:rPr>
          <w:bCs/>
          <w:sz w:val="24"/>
        </w:rPr>
      </w:pPr>
      <w:r w:rsidRPr="00B77E5D">
        <w:rPr>
          <w:bCs/>
          <w:sz w:val="24"/>
        </w:rPr>
        <w:t>5</w:t>
      </w:r>
      <w:r w:rsidRPr="00B77E5D">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rsidR="002E15F3" w:rsidRPr="00B77E5D" w:rsidRDefault="00834479">
      <w:pPr>
        <w:spacing w:line="360" w:lineRule="auto"/>
        <w:ind w:firstLineChars="200" w:firstLine="480"/>
        <w:rPr>
          <w:bCs/>
          <w:sz w:val="24"/>
        </w:rPr>
      </w:pPr>
      <w:r w:rsidRPr="00B77E5D">
        <w:rPr>
          <w:bCs/>
          <w:sz w:val="24"/>
        </w:rPr>
        <w:t>6</w:t>
      </w:r>
      <w:r w:rsidRPr="00B77E5D">
        <w:rPr>
          <w:rFonts w:hint="eastAsia"/>
          <w:bCs/>
          <w:sz w:val="24"/>
        </w:rPr>
        <w:t>、本基金投资股票期权，根据相关法律法规以及监管部门的规定估值。</w:t>
      </w:r>
    </w:p>
    <w:p w:rsidR="002E15F3" w:rsidRPr="00B77E5D" w:rsidRDefault="00834479">
      <w:pPr>
        <w:spacing w:line="360" w:lineRule="auto"/>
        <w:ind w:firstLineChars="200" w:firstLine="480"/>
        <w:rPr>
          <w:bCs/>
          <w:sz w:val="24"/>
        </w:rPr>
      </w:pPr>
      <w:r w:rsidRPr="00B77E5D">
        <w:rPr>
          <w:bCs/>
          <w:sz w:val="24"/>
        </w:rPr>
        <w:lastRenderedPageBreak/>
        <w:t>7</w:t>
      </w:r>
      <w:r w:rsidRPr="00B77E5D">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rsidR="002E15F3" w:rsidRPr="00B77E5D" w:rsidRDefault="00834479">
      <w:pPr>
        <w:spacing w:line="360" w:lineRule="auto"/>
        <w:ind w:firstLineChars="200" w:firstLine="480"/>
        <w:rPr>
          <w:bCs/>
          <w:sz w:val="24"/>
        </w:rPr>
      </w:pPr>
      <w:r w:rsidRPr="00B77E5D">
        <w:rPr>
          <w:bCs/>
          <w:sz w:val="24"/>
        </w:rPr>
        <w:t>8</w:t>
      </w:r>
      <w:r w:rsidRPr="00B77E5D">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E15F3" w:rsidRPr="00B77E5D" w:rsidRDefault="00834479">
      <w:pPr>
        <w:spacing w:line="360" w:lineRule="auto"/>
        <w:ind w:firstLineChars="200" w:firstLine="480"/>
        <w:rPr>
          <w:bCs/>
          <w:sz w:val="24"/>
        </w:rPr>
      </w:pPr>
      <w:r w:rsidRPr="00B77E5D">
        <w:rPr>
          <w:bCs/>
          <w:sz w:val="24"/>
        </w:rPr>
        <w:t>9</w:t>
      </w:r>
      <w:r w:rsidRPr="00B77E5D">
        <w:rPr>
          <w:rFonts w:hint="eastAsia"/>
          <w:bCs/>
          <w:sz w:val="24"/>
        </w:rPr>
        <w:t>、本基金投资存托凭证的估值核算，依照境内上市交易的股票执行。</w:t>
      </w:r>
    </w:p>
    <w:p w:rsidR="002E15F3" w:rsidRPr="00B77E5D" w:rsidRDefault="00834479">
      <w:pPr>
        <w:spacing w:line="360" w:lineRule="auto"/>
        <w:ind w:firstLineChars="200" w:firstLine="480"/>
        <w:rPr>
          <w:sz w:val="24"/>
        </w:rPr>
      </w:pPr>
      <w:r w:rsidRPr="00B77E5D">
        <w:rPr>
          <w:bCs/>
          <w:sz w:val="24"/>
        </w:rPr>
        <w:t>10</w:t>
      </w:r>
      <w:r w:rsidRPr="00B77E5D">
        <w:rPr>
          <w:rFonts w:hint="eastAsia"/>
          <w:bCs/>
          <w:sz w:val="24"/>
        </w:rPr>
        <w:t>、如有确凿证据表明按上述方法进行估值不能客观反映其公允价值的，基金管理人可根据具体情况与基金托管人商定后，按最能反映公允价值的方法估值。</w:t>
      </w:r>
    </w:p>
    <w:p w:rsidR="002E15F3" w:rsidRPr="00B77E5D" w:rsidRDefault="00834479">
      <w:pPr>
        <w:spacing w:line="360" w:lineRule="auto"/>
        <w:ind w:firstLineChars="200" w:firstLine="480"/>
        <w:rPr>
          <w:sz w:val="24"/>
        </w:rPr>
      </w:pPr>
      <w:r w:rsidRPr="00B77E5D">
        <w:rPr>
          <w:rFonts w:hint="eastAsia"/>
          <w:bCs/>
          <w:sz w:val="24"/>
        </w:rPr>
        <w:t>1</w:t>
      </w:r>
      <w:r w:rsidRPr="00B77E5D">
        <w:rPr>
          <w:bCs/>
          <w:sz w:val="24"/>
        </w:rPr>
        <w:t>1</w:t>
      </w:r>
      <w:r w:rsidRPr="00B77E5D">
        <w:rPr>
          <w:rFonts w:hint="eastAsia"/>
          <w:bCs/>
          <w:sz w:val="24"/>
        </w:rPr>
        <w:t>、当发生大额申购或赎回情形时，基金管理人可以采用摆动定价机制，以确保基金估值的公平性。</w:t>
      </w:r>
    </w:p>
    <w:p w:rsidR="002E15F3" w:rsidRPr="00B77E5D" w:rsidRDefault="00834479">
      <w:pPr>
        <w:spacing w:line="360" w:lineRule="auto"/>
        <w:ind w:firstLineChars="200" w:firstLine="480"/>
        <w:rPr>
          <w:bCs/>
          <w:sz w:val="24"/>
        </w:rPr>
      </w:pPr>
      <w:r w:rsidRPr="00B77E5D">
        <w:rPr>
          <w:rFonts w:hint="eastAsia"/>
          <w:bCs/>
          <w:sz w:val="24"/>
        </w:rPr>
        <w:t>1</w:t>
      </w:r>
      <w:r w:rsidRPr="00B77E5D">
        <w:rPr>
          <w:bCs/>
          <w:sz w:val="24"/>
        </w:rPr>
        <w:t>2</w:t>
      </w:r>
      <w:r w:rsidRPr="00B77E5D">
        <w:rPr>
          <w:rFonts w:hint="eastAsia"/>
          <w:bCs/>
          <w:sz w:val="24"/>
        </w:rPr>
        <w:t>、相关法律法规以及监管部门有强制规定的，从其规定。如有新增事项，按国家最新规定估值。</w:t>
      </w:r>
    </w:p>
    <w:p w:rsidR="002E15F3" w:rsidRPr="00B77E5D" w:rsidRDefault="00834479">
      <w:pPr>
        <w:spacing w:line="360" w:lineRule="auto"/>
        <w:ind w:firstLineChars="200" w:firstLine="480"/>
        <w:rPr>
          <w:bCs/>
          <w:sz w:val="24"/>
        </w:rPr>
      </w:pPr>
      <w:r w:rsidRPr="00B77E5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E15F3" w:rsidRPr="00B77E5D" w:rsidRDefault="00834479">
      <w:pPr>
        <w:spacing w:line="360" w:lineRule="auto"/>
        <w:ind w:firstLineChars="200" w:firstLine="480"/>
        <w:rPr>
          <w:bCs/>
          <w:sz w:val="24"/>
        </w:rPr>
      </w:pPr>
      <w:r w:rsidRPr="00B77E5D">
        <w:rPr>
          <w:rFonts w:hint="eastAsia"/>
          <w:bCs/>
          <w:sz w:val="24"/>
        </w:rPr>
        <w:t>根据有关法律法规，基金资产净值计算和基金会计核算的义务由基金管理人承担。本基金的基金主会计责任方由基金管理人担任，基金托管人承担复核责任，因此，就与本基金有关的会计问题，如经相关各方在平等基础上充分讨论后，仍无法达成一致的意见，按照基金管理人对基金净值信息的计算结果对外予以公布</w:t>
      </w:r>
      <w:r w:rsidRPr="00B77E5D">
        <w:rPr>
          <w:bCs/>
          <w:sz w:val="24"/>
        </w:rPr>
        <w:t>，基金托管人不承担由此引致的任何责任和损失。</w:t>
      </w:r>
      <w:bookmarkStart w:id="26" w:name="_Hlk115036033"/>
      <w:bookmarkEnd w:id="26"/>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8.3估值</w:t>
      </w:r>
      <w:r w:rsidRPr="00B77E5D">
        <w:rPr>
          <w:bCs/>
        </w:rPr>
        <w:t>错误</w:t>
      </w:r>
      <w:r w:rsidRPr="00B77E5D">
        <w:rPr>
          <w:rFonts w:hint="eastAsia"/>
          <w:bCs/>
        </w:rPr>
        <w:t>的</w:t>
      </w:r>
      <w:r w:rsidRPr="00B77E5D">
        <w:rPr>
          <w:rFonts w:hAnsi="宋体" w:hint="eastAsia"/>
          <w:szCs w:val="24"/>
        </w:rPr>
        <w:t>处理</w:t>
      </w:r>
    </w:p>
    <w:p w:rsidR="002E15F3" w:rsidRPr="00B77E5D" w:rsidRDefault="00834479">
      <w:pPr>
        <w:spacing w:line="360" w:lineRule="auto"/>
        <w:ind w:firstLineChars="200" w:firstLine="480"/>
        <w:rPr>
          <w:bCs/>
          <w:sz w:val="24"/>
        </w:rPr>
      </w:pPr>
      <w:r w:rsidRPr="00B77E5D">
        <w:rPr>
          <w:rFonts w:hint="eastAsia"/>
          <w:bCs/>
          <w:sz w:val="24"/>
        </w:rPr>
        <w:t>基金管理人和基金托管人将采取必要、适当、合理的措施确保基金资产估值的准确性、及时性。当任一类基金份额净值小数点后</w:t>
      </w:r>
      <w:r w:rsidRPr="00B77E5D">
        <w:rPr>
          <w:rFonts w:hint="eastAsia"/>
          <w:bCs/>
          <w:sz w:val="24"/>
        </w:rPr>
        <w:t>4</w:t>
      </w:r>
      <w:r w:rsidRPr="00B77E5D">
        <w:rPr>
          <w:rFonts w:hint="eastAsia"/>
          <w:bCs/>
          <w:sz w:val="24"/>
        </w:rPr>
        <w:t>位以内（含第</w:t>
      </w:r>
      <w:r w:rsidRPr="00B77E5D">
        <w:rPr>
          <w:rFonts w:hint="eastAsia"/>
          <w:bCs/>
          <w:sz w:val="24"/>
        </w:rPr>
        <w:t>4</w:t>
      </w:r>
      <w:r w:rsidRPr="00B77E5D">
        <w:rPr>
          <w:rFonts w:hint="eastAsia"/>
          <w:bCs/>
          <w:sz w:val="24"/>
        </w:rPr>
        <w:t>位）发生估值错误时，视为该类基金份额净值错误。</w:t>
      </w:r>
    </w:p>
    <w:p w:rsidR="002E15F3" w:rsidRPr="00B77E5D" w:rsidRDefault="00834479">
      <w:pPr>
        <w:spacing w:line="360" w:lineRule="auto"/>
        <w:ind w:firstLineChars="200" w:firstLine="480"/>
        <w:rPr>
          <w:bCs/>
          <w:sz w:val="24"/>
        </w:rPr>
      </w:pPr>
      <w:r w:rsidRPr="00B77E5D">
        <w:rPr>
          <w:bCs/>
          <w:sz w:val="24"/>
        </w:rPr>
        <w:t>基金合同的当事人应按照以下约定处理：</w:t>
      </w:r>
    </w:p>
    <w:p w:rsidR="002E15F3" w:rsidRPr="00B77E5D" w:rsidRDefault="00834479">
      <w:pPr>
        <w:spacing w:line="360" w:lineRule="auto"/>
        <w:ind w:firstLineChars="200" w:firstLine="480"/>
        <w:rPr>
          <w:bCs/>
          <w:sz w:val="24"/>
        </w:rPr>
      </w:pPr>
      <w:r w:rsidRPr="00B77E5D">
        <w:rPr>
          <w:bCs/>
          <w:sz w:val="24"/>
        </w:rPr>
        <w:t>8.3.1</w:t>
      </w:r>
      <w:r w:rsidRPr="00B77E5D">
        <w:rPr>
          <w:bCs/>
          <w:sz w:val="24"/>
        </w:rPr>
        <w:t>估值错误类型</w:t>
      </w:r>
    </w:p>
    <w:p w:rsidR="002E15F3" w:rsidRPr="00B77E5D" w:rsidRDefault="00834479">
      <w:pPr>
        <w:spacing w:line="360" w:lineRule="auto"/>
        <w:ind w:firstLineChars="200" w:firstLine="480"/>
        <w:rPr>
          <w:bCs/>
          <w:sz w:val="24"/>
        </w:rPr>
      </w:pPr>
      <w:r w:rsidRPr="00B77E5D">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B77E5D">
        <w:rPr>
          <w:rFonts w:hint="eastAsia"/>
          <w:bCs/>
          <w:sz w:val="24"/>
        </w:rPr>
        <w:t>人（“受损方”）的</w:t>
      </w:r>
      <w:r w:rsidRPr="00B77E5D">
        <w:rPr>
          <w:bCs/>
          <w:sz w:val="24"/>
        </w:rPr>
        <w:t>直接损失按下述</w:t>
      </w:r>
      <w:r w:rsidRPr="00B77E5D">
        <w:rPr>
          <w:rFonts w:hint="eastAsia"/>
          <w:bCs/>
          <w:sz w:val="24"/>
        </w:rPr>
        <w:t>“估值错误处理原则”</w:t>
      </w:r>
      <w:r w:rsidRPr="00B77E5D">
        <w:rPr>
          <w:bCs/>
          <w:sz w:val="24"/>
        </w:rPr>
        <w:t>给予赔偿，承担赔偿责任。</w:t>
      </w:r>
    </w:p>
    <w:p w:rsidR="002E15F3" w:rsidRPr="00B77E5D" w:rsidRDefault="00834479">
      <w:pPr>
        <w:spacing w:line="360" w:lineRule="auto"/>
        <w:ind w:firstLineChars="200" w:firstLine="480"/>
        <w:rPr>
          <w:bCs/>
          <w:sz w:val="24"/>
        </w:rPr>
      </w:pPr>
      <w:r w:rsidRPr="00B77E5D">
        <w:rPr>
          <w:bCs/>
          <w:sz w:val="24"/>
        </w:rPr>
        <w:lastRenderedPageBreak/>
        <w:t>上述估值错误的主要类型包括但不限于：资料申报差错、数据传输差错、数据计算差错、下达指令差错等。</w:t>
      </w:r>
    </w:p>
    <w:p w:rsidR="002E15F3" w:rsidRPr="00B77E5D" w:rsidRDefault="00834479">
      <w:pPr>
        <w:spacing w:line="360" w:lineRule="auto"/>
        <w:ind w:firstLineChars="200" w:firstLine="480"/>
        <w:rPr>
          <w:bCs/>
          <w:sz w:val="24"/>
        </w:rPr>
      </w:pPr>
      <w:r w:rsidRPr="00B77E5D">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rsidR="002E15F3" w:rsidRPr="00B77E5D" w:rsidRDefault="00834479">
      <w:pPr>
        <w:spacing w:line="360" w:lineRule="auto"/>
        <w:ind w:firstLineChars="200" w:firstLine="480"/>
        <w:rPr>
          <w:bCs/>
          <w:sz w:val="24"/>
        </w:rPr>
      </w:pPr>
      <w:r w:rsidRPr="00B77E5D">
        <w:rPr>
          <w:bCs/>
          <w:sz w:val="24"/>
        </w:rPr>
        <w:t>8.3.2</w:t>
      </w:r>
      <w:r w:rsidRPr="00B77E5D">
        <w:rPr>
          <w:bCs/>
          <w:sz w:val="24"/>
        </w:rPr>
        <w:t>估值错误处理原则</w:t>
      </w:r>
    </w:p>
    <w:p w:rsidR="002E15F3" w:rsidRPr="00B77E5D" w:rsidRDefault="00834479">
      <w:pPr>
        <w:spacing w:line="360" w:lineRule="auto"/>
        <w:ind w:firstLineChars="200" w:firstLine="480"/>
        <w:rPr>
          <w:bCs/>
          <w:sz w:val="24"/>
        </w:rPr>
      </w:pPr>
      <w:r w:rsidRPr="00B77E5D">
        <w:rPr>
          <w:bCs/>
          <w:sz w:val="24"/>
        </w:rPr>
        <w:t>（</w:t>
      </w:r>
      <w:r w:rsidRPr="00B77E5D">
        <w:rPr>
          <w:bCs/>
          <w:sz w:val="24"/>
        </w:rPr>
        <w:t>1</w:t>
      </w:r>
      <w:r w:rsidRPr="00B77E5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B77E5D">
        <w:rPr>
          <w:rFonts w:hint="eastAsia"/>
          <w:bCs/>
          <w:sz w:val="24"/>
        </w:rPr>
        <w:t>有协助义务的当事人</w:t>
      </w:r>
      <w:r w:rsidRPr="00B77E5D">
        <w:rPr>
          <w:bCs/>
          <w:sz w:val="24"/>
        </w:rPr>
        <w:t>应当承担相应赔偿责任。估值错误责任方应对更正的情况向有关当事人进行确认，确保估值错误已得到更正。</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2</w:t>
      </w:r>
      <w:r w:rsidRPr="00B77E5D">
        <w:rPr>
          <w:bCs/>
          <w:sz w:val="24"/>
        </w:rPr>
        <w:t>）估值错误的责任方对有关当事人的直接损失负责，不对间接损失负责，并且仅对估值错误的有关直接当事人负责，不对第三方负责。</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3</w:t>
      </w:r>
      <w:r w:rsidRPr="00B77E5D">
        <w:rPr>
          <w:bCs/>
          <w:sz w:val="24"/>
        </w:rPr>
        <w:t>）因估值错误而获得不当得利的当事人负有及时返还不当得利的义务。但估值错误责任方仍应对估值错误负责。如果由于获得不当得利的当事人</w:t>
      </w:r>
      <w:proofErr w:type="gramStart"/>
      <w:r w:rsidRPr="00B77E5D">
        <w:rPr>
          <w:bCs/>
          <w:sz w:val="24"/>
        </w:rPr>
        <w:t>不</w:t>
      </w:r>
      <w:proofErr w:type="gramEnd"/>
      <w:r w:rsidRPr="00B77E5D">
        <w:rPr>
          <w:bCs/>
          <w:sz w:val="24"/>
        </w:rPr>
        <w:t>返还或不全部返还不当得利造成其他当事人的利益损失</w:t>
      </w:r>
      <w:r w:rsidRPr="00B77E5D">
        <w:rPr>
          <w:rFonts w:hint="eastAsia"/>
          <w:bCs/>
          <w:sz w:val="24"/>
        </w:rPr>
        <w:t>（“受损方”）</w:t>
      </w:r>
      <w:r w:rsidRPr="00B77E5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4</w:t>
      </w:r>
      <w:r w:rsidRPr="00B77E5D">
        <w:rPr>
          <w:bCs/>
          <w:sz w:val="24"/>
        </w:rPr>
        <w:t>）估值错误调整采用尽量恢复至假设未发生估值错误的正确情形的方式。</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5</w:t>
      </w:r>
      <w:r w:rsidRPr="00B77E5D">
        <w:rPr>
          <w:rFonts w:hint="eastAsia"/>
          <w:bCs/>
          <w:sz w:val="24"/>
        </w:rPr>
        <w:t>）按法律法规规定的其他原则处理估值错误。</w:t>
      </w:r>
    </w:p>
    <w:p w:rsidR="002E15F3" w:rsidRPr="00B77E5D" w:rsidRDefault="00834479">
      <w:pPr>
        <w:spacing w:line="360" w:lineRule="auto"/>
        <w:ind w:firstLineChars="200" w:firstLine="480"/>
        <w:rPr>
          <w:bCs/>
          <w:sz w:val="24"/>
        </w:rPr>
      </w:pPr>
      <w:r w:rsidRPr="00B77E5D">
        <w:rPr>
          <w:bCs/>
          <w:sz w:val="24"/>
        </w:rPr>
        <w:t>8.3.3</w:t>
      </w:r>
      <w:r w:rsidRPr="00B77E5D">
        <w:rPr>
          <w:bCs/>
          <w:sz w:val="24"/>
        </w:rPr>
        <w:t>估值错误处理程序</w:t>
      </w:r>
    </w:p>
    <w:p w:rsidR="002E15F3" w:rsidRPr="00B77E5D" w:rsidRDefault="00834479">
      <w:pPr>
        <w:spacing w:line="360" w:lineRule="auto"/>
        <w:ind w:firstLineChars="200" w:firstLine="480"/>
        <w:rPr>
          <w:bCs/>
          <w:sz w:val="24"/>
        </w:rPr>
      </w:pPr>
      <w:r w:rsidRPr="00B77E5D">
        <w:rPr>
          <w:bCs/>
          <w:sz w:val="24"/>
        </w:rPr>
        <w:t>估值错误被发现后，有关的当事人应当及时进行处理，处理的程序如下：</w:t>
      </w:r>
    </w:p>
    <w:p w:rsidR="002E15F3" w:rsidRPr="00B77E5D" w:rsidRDefault="00834479">
      <w:pPr>
        <w:spacing w:line="360" w:lineRule="auto"/>
        <w:ind w:firstLineChars="200" w:firstLine="480"/>
        <w:rPr>
          <w:bCs/>
          <w:sz w:val="24"/>
        </w:rPr>
      </w:pPr>
      <w:r w:rsidRPr="00B77E5D">
        <w:rPr>
          <w:bCs/>
          <w:sz w:val="24"/>
        </w:rPr>
        <w:t>（</w:t>
      </w:r>
      <w:r w:rsidRPr="00B77E5D">
        <w:rPr>
          <w:bCs/>
          <w:sz w:val="24"/>
        </w:rPr>
        <w:t>1</w:t>
      </w:r>
      <w:r w:rsidRPr="00B77E5D">
        <w:rPr>
          <w:bCs/>
          <w:sz w:val="24"/>
        </w:rPr>
        <w:t>）查明估值错误发生的原因，列明所有的当事人，并根据估值错误发生的原因确定估值错误的责任方；</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2</w:t>
      </w:r>
      <w:r w:rsidRPr="00B77E5D">
        <w:rPr>
          <w:bCs/>
          <w:sz w:val="24"/>
        </w:rPr>
        <w:t>）根据估值错误处理原则或当事人协商的方法对因估值错误造成的损失进行评估；</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3</w:t>
      </w:r>
      <w:r w:rsidRPr="00B77E5D">
        <w:rPr>
          <w:bCs/>
          <w:sz w:val="24"/>
        </w:rPr>
        <w:t>）根据估值错误处理原则或当事人协商的方法由估值错误的责任方进行更</w:t>
      </w:r>
      <w:r w:rsidRPr="00B77E5D">
        <w:rPr>
          <w:bCs/>
          <w:sz w:val="24"/>
        </w:rPr>
        <w:lastRenderedPageBreak/>
        <w:t>正和赔偿损失；</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4</w:t>
      </w:r>
      <w:r w:rsidRPr="00B77E5D">
        <w:rPr>
          <w:bCs/>
          <w:sz w:val="24"/>
        </w:rPr>
        <w:t>）根据估值错误处理的方法，需要修改基金登记机构交易数据的，由基金登记机构进行更正，并就估值错误的更正向有关当事人进行确认。</w:t>
      </w:r>
    </w:p>
    <w:p w:rsidR="002E15F3" w:rsidRPr="00B77E5D" w:rsidRDefault="00834479">
      <w:pPr>
        <w:spacing w:line="360" w:lineRule="auto"/>
        <w:ind w:firstLineChars="200" w:firstLine="480"/>
        <w:rPr>
          <w:bCs/>
          <w:sz w:val="24"/>
        </w:rPr>
      </w:pPr>
      <w:r w:rsidRPr="00B77E5D">
        <w:rPr>
          <w:bCs/>
          <w:sz w:val="24"/>
        </w:rPr>
        <w:t>8.3.4</w:t>
      </w:r>
      <w:r w:rsidRPr="00B77E5D">
        <w:rPr>
          <w:bCs/>
          <w:sz w:val="24"/>
        </w:rPr>
        <w:t>基金份额净值估值错误处理的方法如下：</w:t>
      </w:r>
    </w:p>
    <w:p w:rsidR="002E15F3" w:rsidRPr="00B77E5D" w:rsidRDefault="00834479">
      <w:pPr>
        <w:spacing w:line="360" w:lineRule="auto"/>
        <w:ind w:firstLineChars="200" w:firstLine="480"/>
        <w:rPr>
          <w:bCs/>
          <w:sz w:val="24"/>
        </w:rPr>
      </w:pPr>
      <w:r w:rsidRPr="00B77E5D">
        <w:rPr>
          <w:bCs/>
          <w:sz w:val="24"/>
        </w:rPr>
        <w:t>（</w:t>
      </w:r>
      <w:r w:rsidRPr="00B77E5D">
        <w:rPr>
          <w:bCs/>
          <w:sz w:val="24"/>
        </w:rPr>
        <w:t>1</w:t>
      </w:r>
      <w:r w:rsidRPr="00B77E5D">
        <w:rPr>
          <w:bCs/>
          <w:sz w:val="24"/>
        </w:rPr>
        <w:t>）基金份额净值计算出现错误时，基金管理人应当立即予以纠正，及时通报基金托管人，并采取合理的措施防止损失进一步扩大</w:t>
      </w:r>
      <w:r w:rsidRPr="00B77E5D">
        <w:rPr>
          <w:rFonts w:hint="eastAsia"/>
          <w:bCs/>
          <w:sz w:val="24"/>
        </w:rPr>
        <w:t>；</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2</w:t>
      </w:r>
      <w:r w:rsidRPr="00B77E5D">
        <w:rPr>
          <w:bCs/>
          <w:sz w:val="24"/>
        </w:rPr>
        <w:t>）</w:t>
      </w:r>
      <w:r w:rsidRPr="00B77E5D">
        <w:rPr>
          <w:rFonts w:hint="eastAsia"/>
          <w:bCs/>
          <w:sz w:val="24"/>
        </w:rPr>
        <w:t>当估值错误偏差达到或超过该类基金份额净值的</w:t>
      </w:r>
      <w:r w:rsidRPr="00B77E5D">
        <w:rPr>
          <w:rFonts w:hint="eastAsia"/>
          <w:bCs/>
          <w:sz w:val="24"/>
        </w:rPr>
        <w:t>0.25%</w:t>
      </w:r>
      <w:r w:rsidRPr="00B77E5D">
        <w:rPr>
          <w:rFonts w:hint="eastAsia"/>
          <w:bCs/>
          <w:sz w:val="24"/>
        </w:rPr>
        <w:t>时，基金管理人应当通报基金托管人并报中国证监会备案；当估值错误偏差达到或超过该类基金份额净值的</w:t>
      </w:r>
      <w:r w:rsidRPr="00B77E5D">
        <w:rPr>
          <w:rFonts w:hint="eastAsia"/>
          <w:bCs/>
          <w:sz w:val="24"/>
        </w:rPr>
        <w:t>0.5</w:t>
      </w:r>
      <w:r w:rsidRPr="00B77E5D">
        <w:rPr>
          <w:bCs/>
          <w:sz w:val="24"/>
        </w:rPr>
        <w:t>0</w:t>
      </w:r>
      <w:r w:rsidRPr="00B77E5D">
        <w:rPr>
          <w:rFonts w:hint="eastAsia"/>
          <w:bCs/>
          <w:sz w:val="24"/>
        </w:rPr>
        <w:t>%</w:t>
      </w:r>
      <w:r w:rsidRPr="00B77E5D">
        <w:rPr>
          <w:rFonts w:hint="eastAsia"/>
          <w:bCs/>
          <w:sz w:val="24"/>
        </w:rPr>
        <w:t>时，基金管理人应当公告，并报中国证监会备案；</w:t>
      </w:r>
    </w:p>
    <w:p w:rsidR="002E15F3" w:rsidRPr="00B77E5D" w:rsidRDefault="00834479">
      <w:pPr>
        <w:spacing w:line="360" w:lineRule="auto"/>
        <w:ind w:firstLineChars="200" w:firstLine="480"/>
        <w:rPr>
          <w:bCs/>
          <w:sz w:val="24"/>
        </w:rPr>
      </w:pPr>
      <w:r w:rsidRPr="00B77E5D">
        <w:rPr>
          <w:bCs/>
          <w:sz w:val="24"/>
        </w:rPr>
        <w:t>（</w:t>
      </w:r>
      <w:r w:rsidRPr="00B77E5D">
        <w:rPr>
          <w:rFonts w:hint="eastAsia"/>
          <w:bCs/>
          <w:sz w:val="24"/>
        </w:rPr>
        <w:t>3</w:t>
      </w:r>
      <w:r w:rsidRPr="00B77E5D">
        <w:rPr>
          <w:bCs/>
          <w:sz w:val="24"/>
        </w:rPr>
        <w:t>）当基金份额净值计算差错给基金和基金份额持有人造成损失需要进行赔偿时，基金管理人和基金托管人应根据实际情况界定双方承担的责任，经确认后按以下条款进行赔偿：</w:t>
      </w:r>
    </w:p>
    <w:p w:rsidR="002E15F3" w:rsidRPr="00B77E5D" w:rsidRDefault="00EF6574">
      <w:pPr>
        <w:spacing w:line="360" w:lineRule="auto"/>
        <w:ind w:firstLineChars="200" w:firstLine="480"/>
        <w:rPr>
          <w:bCs/>
          <w:sz w:val="24"/>
        </w:rPr>
      </w:pPr>
      <w:r w:rsidRPr="00B77E5D">
        <w:rPr>
          <w:rFonts w:hint="eastAsia"/>
          <w:bCs/>
          <w:sz w:val="24"/>
        </w:rPr>
        <w:t>①</w:t>
      </w:r>
      <w:r w:rsidR="00834479" w:rsidRPr="00B77E5D">
        <w:rPr>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E15F3" w:rsidRPr="00B77E5D" w:rsidRDefault="00EF6574">
      <w:pPr>
        <w:spacing w:line="360" w:lineRule="auto"/>
        <w:ind w:firstLineChars="200" w:firstLine="480"/>
        <w:rPr>
          <w:bCs/>
          <w:sz w:val="24"/>
        </w:rPr>
      </w:pPr>
      <w:r w:rsidRPr="00B77E5D">
        <w:rPr>
          <w:rFonts w:hint="eastAsia"/>
          <w:bCs/>
          <w:sz w:val="24"/>
        </w:rPr>
        <w:t>②</w:t>
      </w:r>
      <w:proofErr w:type="gramStart"/>
      <w:r w:rsidR="00834479" w:rsidRPr="00B77E5D">
        <w:rPr>
          <w:bCs/>
          <w:sz w:val="24"/>
        </w:rPr>
        <w:t>若基金</w:t>
      </w:r>
      <w:proofErr w:type="gramEnd"/>
      <w:r w:rsidR="00834479" w:rsidRPr="00B77E5D">
        <w:rPr>
          <w:bCs/>
          <w:sz w:val="24"/>
        </w:rPr>
        <w:t>管理人计算的基金份额净值已由基金托管人复核确认后公告，而且基金托管人未对计算过程或结果提出疑义，出现基金份额净值出错且由此给基金份额持有人造成损失的，应根据法律法规的规定对投资者或基金支付赔偿金，就实际向投资者或基金支付的赔偿金额，基金管理人与基金托管人按照过错程度各自承担相应的责任。</w:t>
      </w:r>
    </w:p>
    <w:p w:rsidR="002E15F3" w:rsidRPr="00B77E5D" w:rsidRDefault="00EF6574">
      <w:pPr>
        <w:spacing w:line="360" w:lineRule="auto"/>
        <w:ind w:firstLineChars="200" w:firstLine="480"/>
        <w:rPr>
          <w:bCs/>
          <w:sz w:val="24"/>
        </w:rPr>
      </w:pPr>
      <w:r w:rsidRPr="00B77E5D">
        <w:rPr>
          <w:rFonts w:hint="eastAsia"/>
          <w:bCs/>
          <w:sz w:val="24"/>
        </w:rPr>
        <w:t>③</w:t>
      </w:r>
      <w:r w:rsidR="00834479" w:rsidRPr="00B77E5D">
        <w:rPr>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E15F3" w:rsidRPr="00B77E5D" w:rsidRDefault="00EF6574">
      <w:pPr>
        <w:spacing w:line="360" w:lineRule="auto"/>
        <w:ind w:firstLineChars="200" w:firstLine="480"/>
        <w:rPr>
          <w:bCs/>
          <w:sz w:val="24"/>
        </w:rPr>
      </w:pPr>
      <w:r w:rsidRPr="00B77E5D">
        <w:rPr>
          <w:rFonts w:hint="eastAsia"/>
          <w:bCs/>
          <w:sz w:val="24"/>
        </w:rPr>
        <w:t>④</w:t>
      </w:r>
      <w:r w:rsidR="00834479" w:rsidRPr="00B77E5D">
        <w:rPr>
          <w:bCs/>
          <w:sz w:val="24"/>
        </w:rPr>
        <w:t>由于基金管理人提供的信息错误（包括但不限于基金申购或赎回金额等），进而导致基金份额净值计算错误而引起的基金份额持有人和基金财产的损失，由基金管理人负责赔付。</w:t>
      </w:r>
    </w:p>
    <w:p w:rsidR="002E15F3" w:rsidRPr="00B77E5D" w:rsidRDefault="00834479">
      <w:pPr>
        <w:spacing w:line="360" w:lineRule="auto"/>
        <w:ind w:firstLineChars="200" w:firstLine="480"/>
        <w:rPr>
          <w:bCs/>
          <w:sz w:val="24"/>
        </w:rPr>
      </w:pPr>
      <w:r w:rsidRPr="00B77E5D">
        <w:rPr>
          <w:bCs/>
          <w:sz w:val="24"/>
        </w:rPr>
        <w:t>（</w:t>
      </w:r>
      <w:r w:rsidRPr="00B77E5D">
        <w:rPr>
          <w:bCs/>
          <w:sz w:val="24"/>
        </w:rPr>
        <w:t>4</w:t>
      </w:r>
      <w:r w:rsidRPr="00B77E5D">
        <w:rPr>
          <w:bCs/>
          <w:sz w:val="24"/>
        </w:rPr>
        <w:t>）</w:t>
      </w:r>
      <w:r w:rsidRPr="00B77E5D">
        <w:rPr>
          <w:rFonts w:ascii="宋体" w:hAnsi="宋体" w:cs="宋体" w:hint="eastAsia"/>
          <w:sz w:val="24"/>
          <w:szCs w:val="24"/>
        </w:rPr>
        <w:t>基金管理人和基金托管人由于各自技术系统设置而产生的净值计算尾差，以基金管理人计算结果为准，由此引致的任何结果基金托管人不承担责任。</w:t>
      </w:r>
    </w:p>
    <w:p w:rsidR="002E15F3" w:rsidRPr="00B77E5D" w:rsidRDefault="00834479">
      <w:pPr>
        <w:spacing w:line="360" w:lineRule="auto"/>
        <w:ind w:firstLineChars="200" w:firstLine="480"/>
        <w:rPr>
          <w:bCs/>
          <w:sz w:val="24"/>
        </w:rPr>
      </w:pPr>
      <w:r w:rsidRPr="00B77E5D">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lastRenderedPageBreak/>
        <w:t>8.4基金账册的建立</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8.5基金定期报告、招募说明书、基金产品资料概要的编制和复核</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8.5.1基金财务会计报告由基金管理人编制，</w:t>
      </w:r>
      <w:r w:rsidRPr="00B77E5D">
        <w:rPr>
          <w:rFonts w:hAnsi="宋体"/>
          <w:szCs w:val="24"/>
        </w:rPr>
        <w:t>基金托管人</w:t>
      </w:r>
      <w:r w:rsidRPr="00B77E5D">
        <w:rPr>
          <w:rFonts w:hAnsi="宋体" w:hint="eastAsia"/>
          <w:szCs w:val="24"/>
        </w:rPr>
        <w:t>复核。月度报告的编制，应于每月终了后5个工作日内完成。</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8.5.2基金管理人应当在每年结束之日起三个月内，编制完成基金年度报告，将年度报告登载在</w:t>
      </w:r>
      <w:r w:rsidRPr="00B77E5D">
        <w:rPr>
          <w:rFonts w:hint="eastAsia"/>
          <w:bCs/>
        </w:rPr>
        <w:t>规</w:t>
      </w:r>
      <w:r w:rsidRPr="00B77E5D">
        <w:rPr>
          <w:rFonts w:hAnsi="宋体" w:hint="eastAsia"/>
          <w:szCs w:val="24"/>
        </w:rPr>
        <w:t>定网站上，并将年度报告提示性公告登载在</w:t>
      </w:r>
      <w:r w:rsidRPr="00B77E5D">
        <w:rPr>
          <w:rFonts w:hint="eastAsia"/>
          <w:bCs/>
        </w:rPr>
        <w:t>规</w:t>
      </w:r>
      <w:r w:rsidRPr="00B77E5D">
        <w:rPr>
          <w:rFonts w:hAnsi="宋体" w:hint="eastAsia"/>
          <w:szCs w:val="24"/>
        </w:rPr>
        <w:t>定报刊上。基金年度报告中的财务会计报告应当经过符合《</w:t>
      </w:r>
      <w:r w:rsidRPr="00B77E5D">
        <w:rPr>
          <w:rFonts w:hint="eastAsia"/>
          <w:bCs/>
        </w:rPr>
        <w:t>中华人民共和国</w:t>
      </w:r>
      <w:r w:rsidRPr="00B77E5D">
        <w:rPr>
          <w:rFonts w:hAnsi="宋体" w:hint="eastAsia"/>
          <w:szCs w:val="24"/>
        </w:rPr>
        <w:t>证券法》规定的会计师事务所审计。基金管理人应当在上半年结束之日起两个月内，编制完成基金中期报告，将中期报告登载在</w:t>
      </w:r>
      <w:r w:rsidRPr="00B77E5D">
        <w:rPr>
          <w:rFonts w:hint="eastAsia"/>
          <w:bCs/>
        </w:rPr>
        <w:t>规</w:t>
      </w:r>
      <w:r w:rsidRPr="00B77E5D">
        <w:rPr>
          <w:rFonts w:hAnsi="宋体" w:hint="eastAsia"/>
          <w:szCs w:val="24"/>
        </w:rPr>
        <w:t>定网站上，并将中期报告提示性公告登载在</w:t>
      </w:r>
      <w:r w:rsidRPr="00B77E5D">
        <w:rPr>
          <w:rFonts w:hint="eastAsia"/>
          <w:bCs/>
        </w:rPr>
        <w:t>规</w:t>
      </w:r>
      <w:r w:rsidRPr="00B77E5D">
        <w:rPr>
          <w:rFonts w:hAnsi="宋体" w:hint="eastAsia"/>
          <w:szCs w:val="24"/>
        </w:rPr>
        <w:t>定报刊上。基金管理人应当在季度结束之日起15个工作日内，编制完成基金季度报告，将季度报告登载在</w:t>
      </w:r>
      <w:r w:rsidRPr="00B77E5D">
        <w:rPr>
          <w:rFonts w:hint="eastAsia"/>
          <w:bCs/>
        </w:rPr>
        <w:t>规</w:t>
      </w:r>
      <w:r w:rsidRPr="00B77E5D">
        <w:rPr>
          <w:rFonts w:hAnsi="宋体" w:hint="eastAsia"/>
          <w:szCs w:val="24"/>
        </w:rPr>
        <w:t>定网站上，并将季度报告提示性公告登载在</w:t>
      </w:r>
      <w:r w:rsidRPr="00B77E5D">
        <w:rPr>
          <w:rFonts w:hint="eastAsia"/>
          <w:bCs/>
        </w:rPr>
        <w:t>规</w:t>
      </w:r>
      <w:r w:rsidRPr="00B77E5D">
        <w:rPr>
          <w:rFonts w:hAnsi="宋体" w:hint="eastAsia"/>
          <w:szCs w:val="24"/>
        </w:rPr>
        <w:t>定报刊上。《基金合同》生效不足2个月的，基金管理人可以不编制当期季度报告、中期报告或者年度报告。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Pr="00B77E5D">
        <w:rPr>
          <w:rFonts w:hint="eastAsia"/>
          <w:bCs/>
        </w:rPr>
        <w:t>规</w:t>
      </w:r>
      <w:r w:rsidRPr="00B77E5D">
        <w:rPr>
          <w:rFonts w:hAnsi="宋体" w:hint="eastAsia"/>
          <w:szCs w:val="24"/>
        </w:rPr>
        <w:t>定网站上，并将基金产品资料概要登载在基金销售机构网站或营业网点。基金招募说明书、基金产品资料概要其他信息发生变更的，基金管理人至少每年更新一次。基金终止运作的，基金管理人不再更新基金产品资料概要。</w:t>
      </w:r>
    </w:p>
    <w:p w:rsidR="002E15F3" w:rsidRPr="00B77E5D" w:rsidRDefault="00834479">
      <w:pPr>
        <w:pStyle w:val="20"/>
        <w:spacing w:before="0" w:after="0" w:line="360" w:lineRule="auto"/>
        <w:ind w:left="0" w:firstLineChars="200" w:firstLine="480"/>
        <w:rPr>
          <w:rFonts w:hAnsi="宋体"/>
          <w:szCs w:val="24"/>
        </w:rPr>
      </w:pPr>
      <w:bookmarkStart w:id="27" w:name="_DV_C270"/>
      <w:r w:rsidRPr="00B77E5D">
        <w:rPr>
          <w:rFonts w:hAnsi="宋体" w:hint="eastAsia"/>
          <w:szCs w:val="24"/>
        </w:rPr>
        <w:t>8.5.</w:t>
      </w:r>
      <w:r w:rsidRPr="00B77E5D">
        <w:rPr>
          <w:rFonts w:hAnsi="宋体"/>
          <w:szCs w:val="24"/>
        </w:rPr>
        <w:t>4</w:t>
      </w:r>
      <w:r w:rsidRPr="00B77E5D">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27"/>
      <w:r w:rsidRPr="00B77E5D">
        <w:rPr>
          <w:rFonts w:hAnsi="宋体" w:hint="eastAsia"/>
          <w:szCs w:val="24"/>
        </w:rPr>
        <w:t>复核。基金托管人在复核过程中，发现双方的数据、</w:t>
      </w:r>
      <w:r w:rsidRPr="00B77E5D">
        <w:rPr>
          <w:rFonts w:hAnsi="宋体"/>
          <w:szCs w:val="24"/>
        </w:rPr>
        <w:t>信息</w:t>
      </w:r>
      <w:r w:rsidRPr="00B77E5D">
        <w:rPr>
          <w:rFonts w:hAnsi="宋体" w:hint="eastAsia"/>
          <w:szCs w:val="24"/>
        </w:rPr>
        <w:t>存在不符时，基金管理人和基金托管人应共同查明原因，进行调整，调整以国家有关规定为准。</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lastRenderedPageBreak/>
        <w:t>8.5.</w:t>
      </w:r>
      <w:r w:rsidRPr="00B77E5D">
        <w:rPr>
          <w:rFonts w:hAnsi="宋体"/>
          <w:szCs w:val="24"/>
        </w:rPr>
        <w:t>5</w:t>
      </w:r>
      <w:r w:rsidRPr="00B77E5D">
        <w:rPr>
          <w:rFonts w:hAnsi="宋体" w:hint="eastAsia"/>
          <w:szCs w:val="24"/>
        </w:rPr>
        <w:t>基金托管人在对财务会计报告、季度、中期报告或年度报告复核完毕后，需盖章确认或出具相应的复核确认书，</w:t>
      </w:r>
      <w:r w:rsidRPr="00B77E5D">
        <w:rPr>
          <w:rFonts w:asciiTheme="minorEastAsia" w:eastAsiaTheme="minorEastAsia" w:hAnsiTheme="minorEastAsia" w:hint="eastAsia"/>
          <w:szCs w:val="24"/>
        </w:rPr>
        <w:t>或通过电子方式（包括</w:t>
      </w:r>
      <w:r w:rsidRPr="00B77E5D">
        <w:rPr>
          <w:rFonts w:asciiTheme="minorEastAsia" w:eastAsiaTheme="minorEastAsia" w:hAnsiTheme="minorEastAsia"/>
          <w:szCs w:val="24"/>
        </w:rPr>
        <w:t>电子邮件方式</w:t>
      </w:r>
      <w:r w:rsidRPr="00B77E5D">
        <w:rPr>
          <w:rFonts w:asciiTheme="minorEastAsia" w:eastAsiaTheme="minorEastAsia" w:hAnsiTheme="minorEastAsia" w:hint="eastAsia"/>
          <w:szCs w:val="24"/>
        </w:rPr>
        <w:t>）复核确认，</w:t>
      </w:r>
      <w:r w:rsidRPr="00B77E5D">
        <w:rPr>
          <w:rFonts w:hAnsi="宋体" w:hint="eastAsia"/>
          <w:szCs w:val="24"/>
        </w:rPr>
        <w:t>以</w:t>
      </w:r>
      <w:proofErr w:type="gramStart"/>
      <w:r w:rsidRPr="00B77E5D">
        <w:rPr>
          <w:rFonts w:hAnsi="宋体" w:hint="eastAsia"/>
          <w:szCs w:val="24"/>
        </w:rPr>
        <w:t>备有权</w:t>
      </w:r>
      <w:proofErr w:type="gramEnd"/>
      <w:r w:rsidRPr="00B77E5D">
        <w:rPr>
          <w:rFonts w:hAnsi="宋体" w:hint="eastAsia"/>
          <w:szCs w:val="24"/>
        </w:rPr>
        <w:t>机构对相关文件审核时提示。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8.6暂停估值的情形</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）基金投资所涉及的证券、期货交易市场或外汇交易市场遇法定节假日或因其他原因暂停营业时；</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）因不可抗力致使基金管理人、基金托管人无法准确评估基金资产价值时；</w:t>
      </w:r>
    </w:p>
    <w:p w:rsidR="002E15F3" w:rsidRPr="00B77E5D" w:rsidRDefault="00834479">
      <w:pPr>
        <w:spacing w:line="360" w:lineRule="auto"/>
        <w:ind w:firstLineChars="200" w:firstLine="480"/>
        <w:rPr>
          <w:sz w:val="24"/>
        </w:rPr>
      </w:pPr>
      <w:r w:rsidRPr="00B77E5D">
        <w:rPr>
          <w:rFonts w:hint="eastAsia"/>
          <w:sz w:val="24"/>
        </w:rPr>
        <w:t>（</w:t>
      </w:r>
      <w:r w:rsidRPr="00B77E5D">
        <w:rPr>
          <w:rFonts w:hint="eastAsia"/>
          <w:sz w:val="24"/>
        </w:rPr>
        <w:t>3</w:t>
      </w:r>
      <w:r w:rsidRPr="00B77E5D">
        <w:rPr>
          <w:rFonts w:hint="eastAsia"/>
          <w:sz w:val="24"/>
        </w:rPr>
        <w:t>）当特定资产占前一估值日基金资产净值</w:t>
      </w:r>
      <w:r w:rsidRPr="00B77E5D">
        <w:rPr>
          <w:sz w:val="24"/>
        </w:rPr>
        <w:t>50%</w:t>
      </w:r>
      <w:r w:rsidRPr="00B77E5D">
        <w:rPr>
          <w:rFonts w:hint="eastAsia"/>
          <w:sz w:val="24"/>
        </w:rPr>
        <w:t>以上的，经与基金托管人协商确认后，基金管理人应当暂停估值；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4</w:t>
      </w:r>
      <w:r w:rsidRPr="00B77E5D">
        <w:rPr>
          <w:rFonts w:hint="eastAsia"/>
          <w:bCs/>
          <w:sz w:val="24"/>
        </w:rPr>
        <w:t>）法律法规、中国证监会规定和基金合同认定的其它情形</w:t>
      </w:r>
      <w:r w:rsidRPr="00B77E5D">
        <w:rPr>
          <w:bCs/>
          <w:sz w:val="24"/>
        </w:rPr>
        <w:t>。</w:t>
      </w:r>
    </w:p>
    <w:p w:rsidR="002E15F3" w:rsidRPr="00B77E5D" w:rsidRDefault="00834479">
      <w:pPr>
        <w:pStyle w:val="20"/>
        <w:spacing w:before="0" w:after="0" w:line="360" w:lineRule="auto"/>
        <w:ind w:left="0" w:firstLineChars="200" w:firstLine="480"/>
        <w:rPr>
          <w:rFonts w:hAnsi="宋体"/>
          <w:szCs w:val="24"/>
        </w:rPr>
      </w:pPr>
      <w:r w:rsidRPr="00B77E5D">
        <w:rPr>
          <w:bCs/>
        </w:rPr>
        <w:t>8.7</w:t>
      </w:r>
      <w:r w:rsidRPr="00B77E5D">
        <w:rPr>
          <w:rFonts w:hint="eastAsia"/>
          <w:bCs/>
        </w:rPr>
        <w:t>特殊情况的处理</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）基金管理人或基金托管人按基金合同约定的估值方法第</w:t>
      </w:r>
      <w:r w:rsidRPr="00B77E5D">
        <w:rPr>
          <w:bCs/>
          <w:sz w:val="24"/>
        </w:rPr>
        <w:t>10</w:t>
      </w:r>
      <w:r w:rsidRPr="00B77E5D">
        <w:rPr>
          <w:rFonts w:hint="eastAsia"/>
          <w:bCs/>
          <w:sz w:val="24"/>
        </w:rPr>
        <w:t>项进行估值时，所造成的误差不作为基金资产估值错误处理；</w:t>
      </w:r>
    </w:p>
    <w:p w:rsidR="002E15F3" w:rsidRPr="00B77E5D" w:rsidRDefault="00834479">
      <w:pPr>
        <w:spacing w:line="360" w:lineRule="auto"/>
        <w:ind w:firstLineChars="177" w:firstLine="425"/>
        <w:rPr>
          <w:sz w:val="24"/>
          <w:szCs w:val="24"/>
        </w:rPr>
      </w:pPr>
      <w:r w:rsidRPr="00B77E5D">
        <w:rPr>
          <w:rFonts w:hint="eastAsia"/>
          <w:bCs/>
          <w:sz w:val="24"/>
        </w:rPr>
        <w:t>（</w:t>
      </w:r>
      <w:r w:rsidRPr="00B77E5D">
        <w:rPr>
          <w:rFonts w:hint="eastAsia"/>
          <w:bCs/>
          <w:sz w:val="24"/>
        </w:rPr>
        <w:t>2</w:t>
      </w:r>
      <w:r w:rsidRPr="00B77E5D">
        <w:rPr>
          <w:rFonts w:hint="eastAsia"/>
          <w:bCs/>
          <w:sz w:val="24"/>
        </w:rPr>
        <w:t>）由于不可抗力原因，或由于证券交易所、期货交易所、登记结算公司及存款银行等第三方机构发送的数据错误，或国家会计政策变更、市场规则变更等</w:t>
      </w:r>
      <w:proofErr w:type="gramStart"/>
      <w:r w:rsidRPr="00B77E5D">
        <w:rPr>
          <w:rFonts w:hint="eastAsia"/>
          <w:bCs/>
          <w:sz w:val="24"/>
        </w:rPr>
        <w:t>非基金</w:t>
      </w:r>
      <w:proofErr w:type="gramEnd"/>
      <w:r w:rsidRPr="00B77E5D">
        <w:rPr>
          <w:rFonts w:hint="eastAsia"/>
          <w:bCs/>
          <w:sz w:val="24"/>
        </w:rPr>
        <w:t>管理人与基金托管人原因，基金管理人和基金托管人虽然已经采取必要、适当、合理的措施进行检查，但未能发现错误或</w:t>
      </w:r>
      <w:proofErr w:type="gramStart"/>
      <w:r w:rsidRPr="00B77E5D">
        <w:rPr>
          <w:rFonts w:hint="eastAsia"/>
          <w:bCs/>
          <w:sz w:val="24"/>
        </w:rPr>
        <w:t>虽发现</w:t>
      </w:r>
      <w:proofErr w:type="gramEnd"/>
      <w:r w:rsidRPr="00B77E5D">
        <w:rPr>
          <w:rFonts w:hint="eastAsia"/>
          <w:bCs/>
          <w:sz w:val="24"/>
        </w:rPr>
        <w:t>错误但</w:t>
      </w:r>
      <w:bookmarkStart w:id="28" w:name="_Hlk180592359"/>
      <w:r w:rsidRPr="00B77E5D">
        <w:rPr>
          <w:rFonts w:hint="eastAsia"/>
          <w:bCs/>
          <w:sz w:val="24"/>
        </w:rPr>
        <w:t>因前述原因未能避免或</w:t>
      </w:r>
      <w:bookmarkEnd w:id="28"/>
      <w:r w:rsidRPr="00B77E5D">
        <w:rPr>
          <w:rFonts w:hint="eastAsia"/>
          <w:bCs/>
          <w:sz w:val="24"/>
        </w:rPr>
        <w:t>无法及时更正的，由此造成的基金资产估值错误，基金管理人和基金托管人免除赔偿责任。但基金管理人、基金托管人应当积极采取必要的措施减轻或消除由此造成的影响</w:t>
      </w:r>
      <w:r w:rsidRPr="00B77E5D">
        <w:rPr>
          <w:bCs/>
          <w:sz w:val="24"/>
        </w:rPr>
        <w:t>。</w:t>
      </w:r>
    </w:p>
    <w:p w:rsidR="002E15F3" w:rsidRPr="00B77E5D" w:rsidRDefault="00834479">
      <w:pPr>
        <w:pStyle w:val="20"/>
        <w:spacing w:before="0" w:after="0" w:line="360" w:lineRule="auto"/>
        <w:ind w:left="0" w:firstLineChars="200" w:firstLine="480"/>
        <w:rPr>
          <w:bCs/>
        </w:rPr>
      </w:pPr>
      <w:r w:rsidRPr="00B77E5D">
        <w:rPr>
          <w:rFonts w:hint="eastAsia"/>
          <w:bCs/>
        </w:rPr>
        <w:t>8.8实施</w:t>
      </w:r>
      <w:proofErr w:type="gramStart"/>
      <w:r w:rsidRPr="00B77E5D">
        <w:rPr>
          <w:rFonts w:hint="eastAsia"/>
          <w:bCs/>
        </w:rPr>
        <w:t>侧袋机制</w:t>
      </w:r>
      <w:proofErr w:type="gramEnd"/>
      <w:r w:rsidRPr="00B77E5D">
        <w:rPr>
          <w:rFonts w:hint="eastAsia"/>
          <w:bCs/>
        </w:rPr>
        <w:t>期间的基金资产估值</w:t>
      </w:r>
    </w:p>
    <w:p w:rsidR="002E15F3" w:rsidRPr="00B77E5D" w:rsidRDefault="00834479">
      <w:pPr>
        <w:spacing w:line="360" w:lineRule="auto"/>
        <w:ind w:firstLineChars="200" w:firstLine="480"/>
        <w:rPr>
          <w:sz w:val="24"/>
          <w:szCs w:val="24"/>
        </w:rPr>
      </w:pPr>
      <w:r w:rsidRPr="00B77E5D">
        <w:rPr>
          <w:rFonts w:hint="eastAsia"/>
          <w:sz w:val="24"/>
          <w:szCs w:val="24"/>
        </w:rPr>
        <w:t>本基金实施</w:t>
      </w:r>
      <w:proofErr w:type="gramStart"/>
      <w:r w:rsidRPr="00B77E5D">
        <w:rPr>
          <w:rFonts w:hint="eastAsia"/>
          <w:sz w:val="24"/>
          <w:szCs w:val="24"/>
        </w:rPr>
        <w:t>侧袋机制</w:t>
      </w:r>
      <w:proofErr w:type="gramEnd"/>
      <w:r w:rsidRPr="00B77E5D">
        <w:rPr>
          <w:rFonts w:hint="eastAsia"/>
          <w:sz w:val="24"/>
          <w:szCs w:val="24"/>
        </w:rPr>
        <w:t>的，应根据本部分的约定</w:t>
      </w:r>
      <w:proofErr w:type="gramStart"/>
      <w:r w:rsidRPr="00B77E5D">
        <w:rPr>
          <w:rFonts w:hint="eastAsia"/>
          <w:sz w:val="24"/>
          <w:szCs w:val="24"/>
        </w:rPr>
        <w:t>对主袋账户</w:t>
      </w:r>
      <w:proofErr w:type="gramEnd"/>
      <w:r w:rsidRPr="00B77E5D">
        <w:rPr>
          <w:rFonts w:hint="eastAsia"/>
          <w:sz w:val="24"/>
          <w:szCs w:val="24"/>
        </w:rPr>
        <w:t>资产进行估值并</w:t>
      </w:r>
      <w:proofErr w:type="gramStart"/>
      <w:r w:rsidRPr="00B77E5D">
        <w:rPr>
          <w:rFonts w:hint="eastAsia"/>
          <w:sz w:val="24"/>
          <w:szCs w:val="24"/>
        </w:rPr>
        <w:t>披露主袋账户</w:t>
      </w:r>
      <w:proofErr w:type="gramEnd"/>
      <w:r w:rsidRPr="00B77E5D">
        <w:rPr>
          <w:rFonts w:hint="eastAsia"/>
          <w:sz w:val="24"/>
          <w:szCs w:val="24"/>
        </w:rPr>
        <w:t>的基金净值</w:t>
      </w:r>
      <w:r w:rsidR="00EF6574" w:rsidRPr="00B77E5D">
        <w:rPr>
          <w:rFonts w:hint="eastAsia"/>
          <w:sz w:val="24"/>
          <w:szCs w:val="24"/>
        </w:rPr>
        <w:t>信息</w:t>
      </w:r>
      <w:r w:rsidRPr="00B77E5D">
        <w:rPr>
          <w:rFonts w:hint="eastAsia"/>
          <w:sz w:val="24"/>
          <w:szCs w:val="24"/>
        </w:rPr>
        <w:t>，暂停</w:t>
      </w:r>
      <w:proofErr w:type="gramStart"/>
      <w:r w:rsidRPr="00B77E5D">
        <w:rPr>
          <w:rFonts w:hint="eastAsia"/>
          <w:sz w:val="24"/>
          <w:szCs w:val="24"/>
        </w:rPr>
        <w:t>披露侧袋账户</w:t>
      </w:r>
      <w:proofErr w:type="gramEnd"/>
      <w:r w:rsidRPr="00B77E5D">
        <w:rPr>
          <w:rFonts w:hint="eastAsia"/>
          <w:sz w:val="24"/>
          <w:szCs w:val="24"/>
        </w:rPr>
        <w:t>的基金净值信息。</w:t>
      </w:r>
    </w:p>
    <w:p w:rsidR="002E15F3" w:rsidRPr="00B77E5D" w:rsidRDefault="00834479">
      <w:pPr>
        <w:pStyle w:val="1"/>
        <w:ind w:firstLineChars="200" w:firstLine="482"/>
        <w:rPr>
          <w:bCs/>
          <w:color w:val="auto"/>
          <w:szCs w:val="24"/>
        </w:rPr>
      </w:pPr>
      <w:bookmarkStart w:id="29" w:name="_Toc44321732"/>
      <w:bookmarkStart w:id="30" w:name="_Toc296551345"/>
      <w:r w:rsidRPr="00B77E5D">
        <w:rPr>
          <w:rFonts w:hint="eastAsia"/>
          <w:bCs/>
          <w:color w:val="auto"/>
          <w:szCs w:val="24"/>
        </w:rPr>
        <w:t>第九条 基金收益分配</w:t>
      </w:r>
      <w:bookmarkEnd w:id="29"/>
      <w:bookmarkEnd w:id="30"/>
    </w:p>
    <w:p w:rsidR="002E15F3" w:rsidRPr="00B77E5D" w:rsidRDefault="00834479">
      <w:pPr>
        <w:spacing w:line="360" w:lineRule="auto"/>
        <w:ind w:firstLineChars="225" w:firstLine="540"/>
        <w:rPr>
          <w:bCs/>
          <w:sz w:val="24"/>
        </w:rPr>
      </w:pPr>
      <w:r w:rsidRPr="00B77E5D">
        <w:rPr>
          <w:rFonts w:hint="eastAsia"/>
          <w:bCs/>
          <w:sz w:val="24"/>
        </w:rPr>
        <w:t>9</w:t>
      </w:r>
      <w:r w:rsidRPr="00B77E5D">
        <w:rPr>
          <w:bCs/>
          <w:sz w:val="24"/>
        </w:rPr>
        <w:t>.1</w:t>
      </w:r>
      <w:r w:rsidRPr="00B77E5D">
        <w:rPr>
          <w:bCs/>
          <w:sz w:val="24"/>
        </w:rPr>
        <w:t>基金利润的构成</w:t>
      </w:r>
    </w:p>
    <w:p w:rsidR="002E15F3" w:rsidRPr="00B77E5D" w:rsidRDefault="00834479">
      <w:pPr>
        <w:spacing w:line="360" w:lineRule="auto"/>
        <w:ind w:firstLineChars="225" w:firstLine="540"/>
        <w:rPr>
          <w:bCs/>
          <w:sz w:val="24"/>
        </w:rPr>
      </w:pPr>
      <w:r w:rsidRPr="00B77E5D">
        <w:rPr>
          <w:bCs/>
          <w:sz w:val="24"/>
        </w:rPr>
        <w:t>基金利润指基金利息收入、投资收益、公允价值变动收益和其他收入扣除相关费用后的余额，基金已实现收益指基金利润减去公允价值变动</w:t>
      </w:r>
      <w:r w:rsidRPr="00B77E5D">
        <w:rPr>
          <w:rFonts w:hint="eastAsia"/>
          <w:bCs/>
          <w:sz w:val="24"/>
        </w:rPr>
        <w:t>损益</w:t>
      </w:r>
      <w:r w:rsidRPr="00B77E5D">
        <w:rPr>
          <w:bCs/>
          <w:sz w:val="24"/>
        </w:rPr>
        <w:t>后的余额。</w:t>
      </w:r>
    </w:p>
    <w:p w:rsidR="002E15F3" w:rsidRPr="00B77E5D" w:rsidRDefault="00834479">
      <w:pPr>
        <w:spacing w:line="360" w:lineRule="auto"/>
        <w:ind w:firstLineChars="225" w:firstLine="540"/>
        <w:rPr>
          <w:bCs/>
          <w:sz w:val="24"/>
        </w:rPr>
      </w:pPr>
      <w:r w:rsidRPr="00B77E5D">
        <w:rPr>
          <w:rFonts w:hint="eastAsia"/>
          <w:bCs/>
          <w:sz w:val="24"/>
        </w:rPr>
        <w:t>9</w:t>
      </w:r>
      <w:r w:rsidRPr="00B77E5D">
        <w:rPr>
          <w:bCs/>
          <w:sz w:val="24"/>
        </w:rPr>
        <w:t>.2</w:t>
      </w:r>
      <w:r w:rsidRPr="00B77E5D">
        <w:rPr>
          <w:bCs/>
          <w:sz w:val="24"/>
        </w:rPr>
        <w:t>基金可供分配利润</w:t>
      </w:r>
    </w:p>
    <w:p w:rsidR="002E15F3" w:rsidRPr="00B77E5D" w:rsidRDefault="00834479">
      <w:pPr>
        <w:spacing w:line="360" w:lineRule="auto"/>
        <w:ind w:firstLineChars="225" w:firstLine="540"/>
        <w:rPr>
          <w:bCs/>
          <w:sz w:val="24"/>
        </w:rPr>
      </w:pPr>
      <w:r w:rsidRPr="00B77E5D">
        <w:rPr>
          <w:rFonts w:hint="eastAsia"/>
          <w:bCs/>
          <w:sz w:val="24"/>
        </w:rPr>
        <w:t>基金可供分配利润指截至收益分配基准日基金未分配利润与未分配利润中已实现收益的孰低数。</w:t>
      </w:r>
    </w:p>
    <w:p w:rsidR="002E15F3" w:rsidRPr="00B77E5D" w:rsidRDefault="00834479">
      <w:pPr>
        <w:spacing w:line="360" w:lineRule="auto"/>
        <w:ind w:firstLineChars="225" w:firstLine="540"/>
        <w:rPr>
          <w:bCs/>
          <w:sz w:val="24"/>
        </w:rPr>
      </w:pPr>
      <w:r w:rsidRPr="00B77E5D">
        <w:rPr>
          <w:rFonts w:hint="eastAsia"/>
          <w:bCs/>
          <w:sz w:val="24"/>
        </w:rPr>
        <w:t>9</w:t>
      </w:r>
      <w:r w:rsidRPr="00B77E5D">
        <w:rPr>
          <w:bCs/>
          <w:sz w:val="24"/>
        </w:rPr>
        <w:t>.3</w:t>
      </w:r>
      <w:r w:rsidRPr="00B77E5D">
        <w:rPr>
          <w:bCs/>
          <w:sz w:val="24"/>
        </w:rPr>
        <w:t>基金收益分配原则</w:t>
      </w:r>
    </w:p>
    <w:p w:rsidR="002E15F3" w:rsidRPr="00B77E5D" w:rsidRDefault="00834479">
      <w:pPr>
        <w:widowControl/>
        <w:spacing w:line="360" w:lineRule="auto"/>
        <w:ind w:firstLineChars="199" w:firstLine="478"/>
        <w:jc w:val="left"/>
        <w:rPr>
          <w:bCs/>
          <w:sz w:val="24"/>
        </w:rPr>
      </w:pPr>
      <w:r w:rsidRPr="00B77E5D">
        <w:rPr>
          <w:rFonts w:hint="eastAsia"/>
          <w:bCs/>
          <w:sz w:val="24"/>
        </w:rPr>
        <w:lastRenderedPageBreak/>
        <w:t>（</w:t>
      </w:r>
      <w:r w:rsidRPr="00B77E5D">
        <w:rPr>
          <w:rFonts w:hint="eastAsia"/>
          <w:bCs/>
          <w:sz w:val="24"/>
        </w:rPr>
        <w:t>1</w:t>
      </w:r>
      <w:r w:rsidRPr="00B77E5D">
        <w:rPr>
          <w:rFonts w:hint="eastAsia"/>
          <w:bCs/>
          <w:sz w:val="24"/>
        </w:rPr>
        <w:t>）在符合有关基金分红条件的前提下，基金管理人可以根据实际情况对本基金进行收益分配，具体分配方案以公告为准，</w:t>
      </w:r>
      <w:proofErr w:type="gramStart"/>
      <w:r w:rsidRPr="00B77E5D">
        <w:rPr>
          <w:rFonts w:hint="eastAsia"/>
          <w:bCs/>
          <w:sz w:val="24"/>
        </w:rPr>
        <w:t>若基金</w:t>
      </w:r>
      <w:proofErr w:type="gramEnd"/>
      <w:r w:rsidRPr="00B77E5D">
        <w:rPr>
          <w:rFonts w:hint="eastAsia"/>
          <w:bCs/>
          <w:sz w:val="24"/>
        </w:rPr>
        <w:t>合同生效不满</w:t>
      </w:r>
      <w:r w:rsidRPr="00B77E5D">
        <w:rPr>
          <w:rFonts w:hint="eastAsia"/>
          <w:bCs/>
          <w:sz w:val="24"/>
        </w:rPr>
        <w:t>3</w:t>
      </w:r>
      <w:r w:rsidRPr="00B77E5D">
        <w:rPr>
          <w:rFonts w:hint="eastAsia"/>
          <w:bCs/>
          <w:sz w:val="24"/>
        </w:rPr>
        <w:t>个月可不进行收益分配；</w:t>
      </w:r>
    </w:p>
    <w:p w:rsidR="002E15F3" w:rsidRPr="00B77E5D" w:rsidRDefault="00834479">
      <w:pPr>
        <w:widowControl/>
        <w:spacing w:line="360" w:lineRule="auto"/>
        <w:ind w:firstLineChars="199" w:firstLine="478"/>
        <w:jc w:val="left"/>
        <w:rPr>
          <w:bCs/>
          <w:sz w:val="24"/>
        </w:rPr>
      </w:pPr>
      <w:r w:rsidRPr="00B77E5D">
        <w:rPr>
          <w:rFonts w:hint="eastAsia"/>
          <w:bCs/>
          <w:sz w:val="24"/>
        </w:rPr>
        <w:t>（</w:t>
      </w:r>
      <w:r w:rsidRPr="00B77E5D">
        <w:rPr>
          <w:rFonts w:hint="eastAsia"/>
          <w:bCs/>
          <w:sz w:val="24"/>
        </w:rPr>
        <w:t>2</w:t>
      </w:r>
      <w:r w:rsidRPr="00B77E5D">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2E15F3" w:rsidRPr="00B77E5D" w:rsidRDefault="00834479">
      <w:pPr>
        <w:widowControl/>
        <w:spacing w:line="360" w:lineRule="auto"/>
        <w:ind w:firstLineChars="199" w:firstLine="478"/>
        <w:jc w:val="left"/>
        <w:rPr>
          <w:bCs/>
          <w:sz w:val="24"/>
        </w:rPr>
      </w:pPr>
      <w:r w:rsidRPr="00B77E5D">
        <w:rPr>
          <w:rFonts w:hint="eastAsia"/>
          <w:bCs/>
          <w:sz w:val="24"/>
        </w:rPr>
        <w:t>（</w:t>
      </w:r>
      <w:r w:rsidRPr="00B77E5D">
        <w:rPr>
          <w:rFonts w:hint="eastAsia"/>
          <w:bCs/>
          <w:sz w:val="24"/>
        </w:rPr>
        <w:t>3</w:t>
      </w:r>
      <w:r w:rsidRPr="00B77E5D">
        <w:rPr>
          <w:rFonts w:hint="eastAsia"/>
          <w:bCs/>
          <w:sz w:val="24"/>
        </w:rPr>
        <w:t>）基金收益分配后各类基金份额净值均不能低于面值；即基金收益分配基准日的各类基金份额净值减去</w:t>
      </w:r>
      <w:r w:rsidRPr="00B77E5D">
        <w:rPr>
          <w:bCs/>
          <w:sz w:val="24"/>
        </w:rPr>
        <w:t>相应类别的</w:t>
      </w:r>
      <w:r w:rsidRPr="00B77E5D">
        <w:rPr>
          <w:rFonts w:hint="eastAsia"/>
          <w:bCs/>
          <w:sz w:val="24"/>
        </w:rPr>
        <w:t>每单位该类基金份额收益分配金额后均不能低于面值；</w:t>
      </w:r>
    </w:p>
    <w:p w:rsidR="002E15F3" w:rsidRPr="00B77E5D" w:rsidRDefault="00834479">
      <w:pPr>
        <w:widowControl/>
        <w:spacing w:line="360" w:lineRule="auto"/>
        <w:ind w:firstLineChars="199" w:firstLine="478"/>
        <w:jc w:val="left"/>
        <w:rPr>
          <w:bCs/>
          <w:sz w:val="24"/>
        </w:rPr>
      </w:pPr>
      <w:r w:rsidRPr="00B77E5D">
        <w:rPr>
          <w:rFonts w:hint="eastAsia"/>
          <w:bCs/>
          <w:sz w:val="24"/>
        </w:rPr>
        <w:t>（</w:t>
      </w:r>
      <w:r w:rsidRPr="00B77E5D">
        <w:rPr>
          <w:rFonts w:hint="eastAsia"/>
          <w:bCs/>
          <w:sz w:val="24"/>
        </w:rPr>
        <w:t>4</w:t>
      </w:r>
      <w:r w:rsidRPr="00B77E5D">
        <w:rPr>
          <w:rFonts w:hint="eastAsia"/>
          <w:bCs/>
          <w:sz w:val="24"/>
        </w:rPr>
        <w:t>）本基金各类基金份额在费用收取上不同，其对应的可分配收益可能有所不同，基金管理人可对各类基金份额分别制定收益分配方案。</w:t>
      </w:r>
      <w:r w:rsidRPr="00B77E5D">
        <w:rPr>
          <w:bCs/>
          <w:sz w:val="24"/>
        </w:rPr>
        <w:t>本基金</w:t>
      </w:r>
      <w:r w:rsidRPr="00B77E5D">
        <w:rPr>
          <w:rFonts w:hint="eastAsia"/>
          <w:bCs/>
          <w:sz w:val="24"/>
        </w:rPr>
        <w:t>同一类别的每一基金份额享有同等分配权；</w:t>
      </w:r>
    </w:p>
    <w:p w:rsidR="002E15F3" w:rsidRPr="00B77E5D" w:rsidRDefault="00834479">
      <w:pPr>
        <w:spacing w:line="360" w:lineRule="auto"/>
        <w:ind w:firstLineChars="225" w:firstLine="540"/>
        <w:rPr>
          <w:bCs/>
          <w:sz w:val="24"/>
        </w:rPr>
      </w:pPr>
      <w:r w:rsidRPr="00B77E5D">
        <w:rPr>
          <w:rFonts w:hint="eastAsia"/>
          <w:bCs/>
          <w:sz w:val="24"/>
        </w:rPr>
        <w:t>（</w:t>
      </w:r>
      <w:r w:rsidRPr="00B77E5D">
        <w:rPr>
          <w:rFonts w:hint="eastAsia"/>
          <w:bCs/>
          <w:sz w:val="24"/>
        </w:rPr>
        <w:t>5</w:t>
      </w:r>
      <w:r w:rsidRPr="00B77E5D">
        <w:rPr>
          <w:rFonts w:hint="eastAsia"/>
          <w:bCs/>
          <w:sz w:val="24"/>
        </w:rPr>
        <w:t>）法律法规或监管机关另有规定的，从其规定。</w:t>
      </w:r>
    </w:p>
    <w:p w:rsidR="002E15F3" w:rsidRPr="00B77E5D" w:rsidRDefault="00834479">
      <w:pPr>
        <w:spacing w:line="360" w:lineRule="auto"/>
        <w:ind w:firstLineChars="225" w:firstLine="540"/>
        <w:rPr>
          <w:bCs/>
          <w:sz w:val="24"/>
        </w:rPr>
      </w:pPr>
      <w:r w:rsidRPr="00B77E5D">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rsidR="002E15F3" w:rsidRPr="00B77E5D" w:rsidRDefault="00834479">
      <w:pPr>
        <w:spacing w:line="360" w:lineRule="auto"/>
        <w:ind w:firstLineChars="225" w:firstLine="540"/>
        <w:rPr>
          <w:bCs/>
          <w:sz w:val="24"/>
        </w:rPr>
      </w:pPr>
      <w:r w:rsidRPr="00B77E5D">
        <w:rPr>
          <w:rFonts w:hint="eastAsia"/>
          <w:bCs/>
          <w:sz w:val="24"/>
        </w:rPr>
        <w:t>9</w:t>
      </w:r>
      <w:r w:rsidRPr="00B77E5D">
        <w:rPr>
          <w:bCs/>
          <w:sz w:val="24"/>
        </w:rPr>
        <w:t>.4</w:t>
      </w:r>
      <w:r w:rsidRPr="00B77E5D">
        <w:rPr>
          <w:rFonts w:hint="eastAsia"/>
          <w:bCs/>
          <w:sz w:val="24"/>
        </w:rPr>
        <w:t>收益分配方案</w:t>
      </w:r>
    </w:p>
    <w:p w:rsidR="002E15F3" w:rsidRPr="00B77E5D" w:rsidRDefault="00834479">
      <w:pPr>
        <w:spacing w:line="360" w:lineRule="auto"/>
        <w:ind w:firstLineChars="225" w:firstLine="540"/>
        <w:rPr>
          <w:bCs/>
          <w:sz w:val="24"/>
        </w:rPr>
      </w:pPr>
      <w:r w:rsidRPr="00B77E5D">
        <w:rPr>
          <w:bCs/>
          <w:sz w:val="24"/>
        </w:rPr>
        <w:t>基金收益分配方案中应载明截止收益分配基准日的可供分配利润、基金收益分配对象、分配时间、分配数额及比例、分配方式等内容。</w:t>
      </w:r>
    </w:p>
    <w:p w:rsidR="002E15F3" w:rsidRPr="00B77E5D" w:rsidRDefault="00834479">
      <w:pPr>
        <w:spacing w:line="360" w:lineRule="auto"/>
        <w:ind w:firstLineChars="225" w:firstLine="540"/>
        <w:rPr>
          <w:bCs/>
          <w:sz w:val="24"/>
        </w:rPr>
      </w:pPr>
      <w:r w:rsidRPr="00B77E5D">
        <w:rPr>
          <w:rFonts w:hint="eastAsia"/>
          <w:bCs/>
          <w:sz w:val="24"/>
        </w:rPr>
        <w:t>9</w:t>
      </w:r>
      <w:r w:rsidRPr="00B77E5D">
        <w:rPr>
          <w:bCs/>
          <w:sz w:val="24"/>
        </w:rPr>
        <w:t>.5</w:t>
      </w:r>
      <w:r w:rsidRPr="00B77E5D">
        <w:rPr>
          <w:rFonts w:hint="eastAsia"/>
          <w:bCs/>
          <w:sz w:val="24"/>
        </w:rPr>
        <w:t>收益分配方案的确定、公告与实施</w:t>
      </w:r>
    </w:p>
    <w:p w:rsidR="002E15F3" w:rsidRPr="00B77E5D" w:rsidRDefault="00834479">
      <w:pPr>
        <w:widowControl/>
        <w:spacing w:line="360" w:lineRule="auto"/>
        <w:ind w:firstLineChars="199" w:firstLine="478"/>
        <w:jc w:val="left"/>
        <w:rPr>
          <w:bCs/>
          <w:sz w:val="24"/>
        </w:rPr>
      </w:pPr>
      <w:r w:rsidRPr="00B77E5D">
        <w:rPr>
          <w:rFonts w:hint="eastAsia"/>
          <w:bCs/>
          <w:sz w:val="24"/>
        </w:rPr>
        <w:t>本基金收益分配方案由基金管理人拟定，并由基金托管人复核，依照《信息披露办法》的有关规定在规定媒介公告。</w:t>
      </w:r>
    </w:p>
    <w:p w:rsidR="002E15F3" w:rsidRPr="00B77E5D" w:rsidRDefault="00834479">
      <w:pPr>
        <w:spacing w:line="360" w:lineRule="auto"/>
        <w:ind w:firstLineChars="225" w:firstLine="540"/>
        <w:rPr>
          <w:bCs/>
          <w:sz w:val="24"/>
        </w:rPr>
      </w:pPr>
      <w:r w:rsidRPr="00B77E5D">
        <w:rPr>
          <w:rFonts w:hint="eastAsia"/>
          <w:bCs/>
          <w:sz w:val="24"/>
        </w:rPr>
        <w:t>在收益分配方案公布后，基金管理人依据具体方案的规定就支付的现金红利向基金托管人发送划款指令，基金托管人按照基金管理人的指令及时进行分红资金的划付</w:t>
      </w:r>
      <w:r w:rsidRPr="00B77E5D">
        <w:rPr>
          <w:bCs/>
          <w:sz w:val="24"/>
        </w:rPr>
        <w:t>。</w:t>
      </w:r>
    </w:p>
    <w:p w:rsidR="002E15F3" w:rsidRPr="00B77E5D" w:rsidRDefault="00834479">
      <w:pPr>
        <w:spacing w:line="360" w:lineRule="auto"/>
        <w:ind w:firstLineChars="225" w:firstLine="540"/>
        <w:rPr>
          <w:bCs/>
          <w:sz w:val="24"/>
        </w:rPr>
      </w:pPr>
      <w:r w:rsidRPr="00B77E5D">
        <w:rPr>
          <w:rFonts w:hint="eastAsia"/>
          <w:bCs/>
          <w:sz w:val="24"/>
        </w:rPr>
        <w:t>9</w:t>
      </w:r>
      <w:r w:rsidRPr="00B77E5D">
        <w:rPr>
          <w:bCs/>
          <w:sz w:val="24"/>
        </w:rPr>
        <w:t>.6</w:t>
      </w:r>
      <w:r w:rsidRPr="00B77E5D">
        <w:rPr>
          <w:rFonts w:hint="eastAsia"/>
          <w:bCs/>
          <w:sz w:val="24"/>
        </w:rPr>
        <w:t>基金收益分配中发生的费用</w:t>
      </w:r>
    </w:p>
    <w:p w:rsidR="002E15F3" w:rsidRPr="00B77E5D" w:rsidRDefault="00834479">
      <w:pPr>
        <w:spacing w:line="360" w:lineRule="auto"/>
        <w:ind w:firstLineChars="225" w:firstLine="540"/>
        <w:rPr>
          <w:bCs/>
          <w:sz w:val="24"/>
        </w:rPr>
      </w:pPr>
      <w:r w:rsidRPr="00B77E5D">
        <w:rPr>
          <w:bCs/>
          <w:sz w:val="24"/>
        </w:rPr>
        <w:t>基金收益分配时所发生的银行转账或其他手续费用由</w:t>
      </w:r>
      <w:r w:rsidRPr="00B77E5D">
        <w:rPr>
          <w:rFonts w:hint="eastAsia"/>
          <w:bCs/>
          <w:sz w:val="24"/>
        </w:rPr>
        <w:t>投资者</w:t>
      </w:r>
      <w:r w:rsidRPr="00B77E5D">
        <w:rPr>
          <w:bCs/>
          <w:sz w:val="24"/>
        </w:rPr>
        <w:t>自行承担。当</w:t>
      </w:r>
      <w:r w:rsidRPr="00B77E5D">
        <w:rPr>
          <w:rFonts w:hint="eastAsia"/>
          <w:bCs/>
          <w:sz w:val="24"/>
        </w:rPr>
        <w:t>投资者</w:t>
      </w:r>
      <w:r w:rsidRPr="00B77E5D">
        <w:rPr>
          <w:bCs/>
          <w:sz w:val="24"/>
        </w:rPr>
        <w:t>的现金红利小于一定金额，不足</w:t>
      </w:r>
      <w:r w:rsidRPr="00B77E5D">
        <w:rPr>
          <w:rFonts w:hint="eastAsia"/>
          <w:bCs/>
          <w:sz w:val="24"/>
        </w:rPr>
        <w:t>以</w:t>
      </w:r>
      <w:r w:rsidRPr="00B77E5D">
        <w:rPr>
          <w:bCs/>
          <w:sz w:val="24"/>
        </w:rPr>
        <w:t>支付银行转账或其他手续费用时，基金登记机构可将基金份额持有人的现金红利自动转为</w:t>
      </w:r>
      <w:r w:rsidRPr="00B77E5D">
        <w:rPr>
          <w:rFonts w:hint="eastAsia"/>
          <w:bCs/>
          <w:sz w:val="24"/>
        </w:rPr>
        <w:t>相应类别的</w:t>
      </w:r>
      <w:r w:rsidRPr="00B77E5D">
        <w:rPr>
          <w:bCs/>
          <w:sz w:val="24"/>
        </w:rPr>
        <w:t>基金份额。红利再投资的计算方法，依照《业务规则》执行。</w:t>
      </w:r>
    </w:p>
    <w:p w:rsidR="002E15F3" w:rsidRPr="00B77E5D" w:rsidRDefault="00834479">
      <w:pPr>
        <w:spacing w:line="360" w:lineRule="auto"/>
        <w:ind w:firstLineChars="225" w:firstLine="540"/>
        <w:rPr>
          <w:bCs/>
          <w:sz w:val="24"/>
        </w:rPr>
      </w:pPr>
      <w:r w:rsidRPr="00B77E5D">
        <w:rPr>
          <w:rFonts w:hint="eastAsia"/>
          <w:bCs/>
          <w:sz w:val="24"/>
        </w:rPr>
        <w:t>9</w:t>
      </w:r>
      <w:r w:rsidRPr="00B77E5D">
        <w:rPr>
          <w:bCs/>
          <w:sz w:val="24"/>
        </w:rPr>
        <w:t>.7</w:t>
      </w:r>
      <w:r w:rsidRPr="00B77E5D">
        <w:rPr>
          <w:rFonts w:hint="eastAsia"/>
          <w:bCs/>
          <w:sz w:val="24"/>
        </w:rPr>
        <w:t>实施</w:t>
      </w:r>
      <w:proofErr w:type="gramStart"/>
      <w:r w:rsidRPr="00B77E5D">
        <w:rPr>
          <w:rFonts w:hint="eastAsia"/>
          <w:bCs/>
          <w:sz w:val="24"/>
        </w:rPr>
        <w:t>侧袋机制</w:t>
      </w:r>
      <w:proofErr w:type="gramEnd"/>
      <w:r w:rsidRPr="00B77E5D">
        <w:rPr>
          <w:rFonts w:hint="eastAsia"/>
          <w:bCs/>
          <w:sz w:val="24"/>
        </w:rPr>
        <w:t>期间的收益分配</w:t>
      </w:r>
    </w:p>
    <w:p w:rsidR="002E15F3" w:rsidRPr="00B77E5D" w:rsidRDefault="00834479">
      <w:pPr>
        <w:spacing w:line="360" w:lineRule="auto"/>
        <w:ind w:firstLineChars="225" w:firstLine="540"/>
        <w:rPr>
          <w:bCs/>
          <w:sz w:val="24"/>
        </w:rPr>
      </w:pPr>
      <w:r w:rsidRPr="00B77E5D">
        <w:rPr>
          <w:rFonts w:hint="eastAsia"/>
          <w:bCs/>
          <w:sz w:val="24"/>
        </w:rPr>
        <w:t>本基金实施</w:t>
      </w:r>
      <w:proofErr w:type="gramStart"/>
      <w:r w:rsidRPr="00B77E5D">
        <w:rPr>
          <w:rFonts w:hint="eastAsia"/>
          <w:bCs/>
          <w:sz w:val="24"/>
        </w:rPr>
        <w:t>侧袋机制</w:t>
      </w:r>
      <w:proofErr w:type="gramEnd"/>
      <w:r w:rsidRPr="00B77E5D">
        <w:rPr>
          <w:rFonts w:hint="eastAsia"/>
          <w:bCs/>
          <w:sz w:val="24"/>
        </w:rPr>
        <w:t>的，</w:t>
      </w:r>
      <w:proofErr w:type="gramStart"/>
      <w:r w:rsidRPr="00B77E5D">
        <w:rPr>
          <w:rFonts w:hint="eastAsia"/>
          <w:bCs/>
          <w:sz w:val="24"/>
        </w:rPr>
        <w:t>侧袋账户</w:t>
      </w:r>
      <w:proofErr w:type="gramEnd"/>
      <w:r w:rsidRPr="00B77E5D">
        <w:rPr>
          <w:rFonts w:hint="eastAsia"/>
          <w:bCs/>
          <w:sz w:val="24"/>
        </w:rPr>
        <w:t>不进行收益分配，详见招募说明书的规定</w:t>
      </w:r>
      <w:r w:rsidRPr="00B77E5D">
        <w:rPr>
          <w:bCs/>
          <w:sz w:val="24"/>
        </w:rPr>
        <w:t>。</w:t>
      </w:r>
    </w:p>
    <w:p w:rsidR="002E15F3" w:rsidRPr="00B77E5D" w:rsidRDefault="00834479">
      <w:pPr>
        <w:pStyle w:val="1"/>
        <w:ind w:firstLineChars="200" w:firstLine="482"/>
        <w:rPr>
          <w:bCs/>
          <w:color w:val="auto"/>
          <w:szCs w:val="24"/>
        </w:rPr>
      </w:pPr>
      <w:bookmarkStart w:id="31" w:name="_Toc44321733"/>
      <w:bookmarkStart w:id="32" w:name="_Toc296551346"/>
      <w:r w:rsidRPr="00B77E5D">
        <w:rPr>
          <w:rFonts w:hint="eastAsia"/>
          <w:bCs/>
          <w:color w:val="auto"/>
          <w:szCs w:val="24"/>
        </w:rPr>
        <w:lastRenderedPageBreak/>
        <w:t>第十条 信息披露</w:t>
      </w:r>
      <w:bookmarkEnd w:id="31"/>
      <w:bookmarkEnd w:id="32"/>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10.1保密义务</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除按照《基金法》、《信息披露办法》、《流动性</w:t>
      </w:r>
      <w:r w:rsidRPr="00B77E5D">
        <w:rPr>
          <w:rFonts w:hAnsi="宋体"/>
          <w:szCs w:val="24"/>
        </w:rPr>
        <w:t>风险管理规定</w:t>
      </w:r>
      <w:r w:rsidRPr="00B77E5D">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（1）非因基金管理人和基金托管人的原因导致保密信息被披露、泄露或公开；</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（2）基金管理人和基金托管人为遵守和服从法院判决或裁定、仲裁裁决或中国证监会等监管机构的命令、决定所做出的信息披露或公开。</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（3）基金管理人和基金托管人在要求保密的前提下对自身聘请的外部法律顾问、财务顾问、审计人员、技术顾问等做出的必要信息披露。</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10.2基金管理人和基金托管人在信息披露中的职责和信息披露程序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10.2.2本基金信息披露的文件主要包括基金招募说明书、基金合同、托管协议、基金产品资料概要、基金份额发售公告、基金合同生效公告、各类基金份额的基金净值信息、各类基金份额申购、赎回价格、基金定期报告（包括基金年度报告、基金中期报告和基金季度报告）、临时报告、澄清公告、基金份额持有人大会决议、实施</w:t>
      </w:r>
      <w:proofErr w:type="gramStart"/>
      <w:r w:rsidRPr="00B77E5D">
        <w:rPr>
          <w:rFonts w:hAnsi="宋体" w:hint="eastAsia"/>
          <w:szCs w:val="24"/>
        </w:rPr>
        <w:t>侧袋机制</w:t>
      </w:r>
      <w:proofErr w:type="gramEnd"/>
      <w:r w:rsidRPr="00B77E5D">
        <w:rPr>
          <w:rFonts w:hAnsi="宋体" w:hint="eastAsia"/>
          <w:szCs w:val="24"/>
        </w:rPr>
        <w:t>期间的信息披露、投资港股通标的股票的信息披露、投资股指期货和国债期货的信息披露、投资资产支持证券的信息披露、清算报告、投资非公开发行股票的信息披露、</w:t>
      </w:r>
      <w:r w:rsidRPr="00B77E5D">
        <w:rPr>
          <w:rFonts w:hint="eastAsia"/>
          <w:bCs/>
        </w:rPr>
        <w:t>投资存托凭证的信息披露、投资股票期权的相关公告</w:t>
      </w:r>
      <w:r w:rsidRPr="00B77E5D">
        <w:rPr>
          <w:rFonts w:hAnsi="宋体" w:hint="eastAsia"/>
          <w:szCs w:val="24"/>
        </w:rPr>
        <w:t>以及中国证监会规定的其他信息。</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10.2.3基金募集申请经中国证监会注册后，基金管理人在基金份额发售的三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w:t>
      </w:r>
      <w:r w:rsidRPr="00B77E5D">
        <w:rPr>
          <w:rFonts w:hAnsi="宋体"/>
          <w:szCs w:val="24"/>
        </w:rPr>
        <w:t>4</w:t>
      </w:r>
      <w:r w:rsidRPr="00B77E5D">
        <w:rPr>
          <w:rFonts w:hAnsi="宋体" w:hint="eastAsia"/>
          <w:szCs w:val="24"/>
        </w:rPr>
        <w:t>基金托管人应当按照相关法律法规、中国证监会的规定和基金合同的</w:t>
      </w:r>
      <w:r w:rsidRPr="00B77E5D">
        <w:rPr>
          <w:rFonts w:hAnsi="宋体" w:hint="eastAsia"/>
          <w:szCs w:val="24"/>
        </w:rPr>
        <w:lastRenderedPageBreak/>
        <w:t>约定，对基金管理人编制的基金资产净值、各类基金份额的基金份额净值、各类基金份额的基金份额申购赎回价格、基金业绩表现数据、基金定期报告、更新的招募说明书、基金产品资料概要、基金清算报告等公开披露的相关基金信息进行复核、审查，并向基金管理人进行书面或电子确认。</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w:t>
      </w:r>
      <w:r w:rsidRPr="00B77E5D">
        <w:rPr>
          <w:rFonts w:hAnsi="宋体"/>
          <w:szCs w:val="24"/>
        </w:rPr>
        <w:t>5</w:t>
      </w:r>
      <w:r w:rsidRPr="00B77E5D">
        <w:rPr>
          <w:rFonts w:hAnsi="宋体" w:hint="eastAsia"/>
          <w:szCs w:val="24"/>
        </w:rPr>
        <w:t>基金年度</w:t>
      </w:r>
      <w:r w:rsidRPr="00B77E5D">
        <w:rPr>
          <w:rFonts w:hAnsi="宋体"/>
          <w:szCs w:val="24"/>
        </w:rPr>
        <w:t>报</w:t>
      </w:r>
      <w:r w:rsidRPr="00B77E5D">
        <w:rPr>
          <w:rFonts w:hAnsi="宋体" w:hint="eastAsia"/>
          <w:szCs w:val="24"/>
        </w:rPr>
        <w:t>告中的财务会计报告部分，</w:t>
      </w:r>
      <w:proofErr w:type="gramStart"/>
      <w:r w:rsidRPr="00B77E5D">
        <w:rPr>
          <w:rFonts w:hAnsi="宋体" w:hint="eastAsia"/>
          <w:szCs w:val="24"/>
        </w:rPr>
        <w:t>经</w:t>
      </w:r>
      <w:r w:rsidRPr="00B77E5D">
        <w:rPr>
          <w:rFonts w:hint="eastAsia"/>
          <w:bCs/>
        </w:rPr>
        <w:t>符合</w:t>
      </w:r>
      <w:proofErr w:type="gramEnd"/>
      <w:r w:rsidRPr="00B77E5D">
        <w:rPr>
          <w:rFonts w:hint="eastAsia"/>
          <w:bCs/>
        </w:rPr>
        <w:t>《中华人民共和国证券法》规定</w:t>
      </w:r>
      <w:r w:rsidRPr="00B77E5D">
        <w:rPr>
          <w:rFonts w:hAnsi="宋体" w:hint="eastAsia"/>
          <w:szCs w:val="24"/>
        </w:rPr>
        <w:t>的会计师事务所审计后，方可披露。</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w:t>
      </w:r>
      <w:r w:rsidRPr="00B77E5D">
        <w:rPr>
          <w:rFonts w:hAnsi="宋体"/>
          <w:szCs w:val="24"/>
        </w:rPr>
        <w:t>6</w:t>
      </w:r>
      <w:r w:rsidRPr="00B77E5D">
        <w:rPr>
          <w:rFonts w:hAnsi="宋体" w:hint="eastAsia"/>
          <w:szCs w:val="24"/>
        </w:rPr>
        <w:t>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10.2.</w:t>
      </w:r>
      <w:r w:rsidRPr="00B77E5D">
        <w:rPr>
          <w:rFonts w:hAnsi="宋体"/>
          <w:szCs w:val="24"/>
        </w:rPr>
        <w:t>7</w:t>
      </w:r>
      <w:r w:rsidRPr="00B77E5D">
        <w:rPr>
          <w:rFonts w:hAnsi="宋体" w:hint="eastAsia"/>
          <w:szCs w:val="24"/>
        </w:rPr>
        <w:t>依法必须披露的信息发布后，基金管理人、基金托管人应当按照相关法律法规规定将信息置备于各自住所，供社会公众查阅、复制。在支付工本费后可在合理时间获得上述文件的复制件或复印件。基金管理人和基金托管人应保证文本的内容与所公告的内容完全一致。</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10.3暂停或延迟信息披露的情形</w:t>
      </w:r>
    </w:p>
    <w:p w:rsidR="002E15F3" w:rsidRPr="00B77E5D" w:rsidRDefault="00834479">
      <w:pPr>
        <w:spacing w:line="360" w:lineRule="auto"/>
        <w:ind w:firstLineChars="200" w:firstLine="480"/>
        <w:rPr>
          <w:bCs/>
          <w:sz w:val="24"/>
        </w:rPr>
      </w:pPr>
      <w:r w:rsidRPr="00B77E5D">
        <w:rPr>
          <w:rFonts w:hint="eastAsia"/>
          <w:bCs/>
          <w:sz w:val="24"/>
        </w:rPr>
        <w:t>当出现下述情况之一时，基金管理人和基金托管人可暂停或延迟披露基金</w:t>
      </w:r>
      <w:r w:rsidR="00B94E4A" w:rsidRPr="00B77E5D">
        <w:rPr>
          <w:rFonts w:hint="eastAsia"/>
          <w:bCs/>
          <w:sz w:val="24"/>
        </w:rPr>
        <w:t>相关</w:t>
      </w:r>
      <w:r w:rsidRPr="00B77E5D">
        <w:rPr>
          <w:rFonts w:hint="eastAsia"/>
          <w:bCs/>
          <w:sz w:val="24"/>
        </w:rPr>
        <w:t>信息：</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1</w:t>
      </w:r>
      <w:r w:rsidRPr="00B77E5D">
        <w:rPr>
          <w:rFonts w:hint="eastAsia"/>
          <w:bCs/>
          <w:sz w:val="24"/>
        </w:rPr>
        <w:t>）不可抗力；</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）发生基金合同约定的暂停估值的情形；</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3</w:t>
      </w:r>
      <w:r w:rsidRPr="00B77E5D">
        <w:rPr>
          <w:rFonts w:hint="eastAsia"/>
          <w:bCs/>
          <w:sz w:val="24"/>
        </w:rPr>
        <w:t>）法律法规、中国证监会规定或基金合同认定的其他情形。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10.4基金托管人报告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基金托管人应按《基金法》、《运作办法》、《信息披露办法》和其他有关法律法规的规定于每个上半年度结束后两个</w:t>
      </w:r>
      <w:r w:rsidRPr="00B77E5D">
        <w:rPr>
          <w:rFonts w:hAnsi="宋体"/>
          <w:szCs w:val="24"/>
        </w:rPr>
        <w:t>月</w:t>
      </w:r>
      <w:r w:rsidRPr="00B77E5D">
        <w:rPr>
          <w:rFonts w:hAnsi="宋体" w:hint="eastAsia"/>
          <w:szCs w:val="24"/>
        </w:rPr>
        <w:t>内、每个会计年度结束后三个</w:t>
      </w:r>
      <w:r w:rsidRPr="00B77E5D">
        <w:rPr>
          <w:rFonts w:hAnsi="宋体"/>
          <w:szCs w:val="24"/>
        </w:rPr>
        <w:t>月</w:t>
      </w:r>
      <w:proofErr w:type="gramStart"/>
      <w:r w:rsidRPr="00B77E5D">
        <w:rPr>
          <w:rFonts w:hAnsi="宋体" w:hint="eastAsia"/>
          <w:szCs w:val="24"/>
        </w:rPr>
        <w:t>内在基金</w:t>
      </w:r>
      <w:proofErr w:type="gramEnd"/>
      <w:r w:rsidRPr="00B77E5D">
        <w:rPr>
          <w:rFonts w:hAnsi="宋体" w:hint="eastAsia"/>
          <w:szCs w:val="24"/>
        </w:rPr>
        <w:t>中期报告及年度报告中分别出具基金托管人报告，</w:t>
      </w:r>
      <w:r w:rsidRPr="00B77E5D">
        <w:rPr>
          <w:rFonts w:hAnsi="宋体"/>
          <w:szCs w:val="24"/>
        </w:rPr>
        <w:t>并提交给基金管理人</w:t>
      </w:r>
      <w:r w:rsidRPr="00B77E5D">
        <w:rPr>
          <w:rFonts w:hAnsi="宋体" w:hint="eastAsia"/>
          <w:szCs w:val="24"/>
        </w:rPr>
        <w:t>。</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10.5实施</w:t>
      </w:r>
      <w:proofErr w:type="gramStart"/>
      <w:r w:rsidRPr="00B77E5D">
        <w:rPr>
          <w:rFonts w:hAnsi="宋体" w:hint="eastAsia"/>
          <w:szCs w:val="24"/>
        </w:rPr>
        <w:t>侧袋机制</w:t>
      </w:r>
      <w:proofErr w:type="gramEnd"/>
      <w:r w:rsidRPr="00B77E5D">
        <w:rPr>
          <w:rFonts w:hAnsi="宋体" w:hint="eastAsia"/>
          <w:szCs w:val="24"/>
        </w:rPr>
        <w:t>期间的信息披露</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本基金实施</w:t>
      </w:r>
      <w:proofErr w:type="gramStart"/>
      <w:r w:rsidRPr="00B77E5D">
        <w:rPr>
          <w:rFonts w:hAnsi="宋体" w:hint="eastAsia"/>
          <w:szCs w:val="24"/>
        </w:rPr>
        <w:t>侧袋机制</w:t>
      </w:r>
      <w:proofErr w:type="gramEnd"/>
      <w:r w:rsidRPr="00B77E5D">
        <w:rPr>
          <w:rFonts w:hAnsi="宋体" w:hint="eastAsia"/>
          <w:szCs w:val="24"/>
        </w:rPr>
        <w:t>的，相关信息披露义务人应当根据法律法规、基金合同和招募说明书的规定进行信息披露，详见招募说明书的规定。</w:t>
      </w:r>
    </w:p>
    <w:p w:rsidR="002E15F3" w:rsidRPr="00B77E5D" w:rsidRDefault="00834479">
      <w:pPr>
        <w:pStyle w:val="1"/>
        <w:ind w:firstLineChars="200" w:firstLine="482"/>
        <w:rPr>
          <w:bCs/>
          <w:color w:val="auto"/>
          <w:szCs w:val="24"/>
        </w:rPr>
      </w:pPr>
      <w:bookmarkStart w:id="33" w:name="_Toc44321734"/>
      <w:bookmarkStart w:id="34" w:name="_Toc296551347"/>
      <w:r w:rsidRPr="00B77E5D">
        <w:rPr>
          <w:rFonts w:hint="eastAsia"/>
          <w:bCs/>
          <w:color w:val="auto"/>
          <w:szCs w:val="24"/>
        </w:rPr>
        <w:t>第十一条 基金费用</w:t>
      </w:r>
      <w:bookmarkEnd w:id="33"/>
      <w:bookmarkEnd w:id="34"/>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11.1基金管理费的计提比例和计提方法</w:t>
      </w:r>
    </w:p>
    <w:p w:rsidR="002E15F3" w:rsidRPr="00B77E5D" w:rsidRDefault="00834479">
      <w:pPr>
        <w:spacing w:line="360" w:lineRule="auto"/>
        <w:ind w:firstLineChars="200" w:firstLine="480"/>
        <w:rPr>
          <w:bCs/>
          <w:sz w:val="24"/>
        </w:rPr>
      </w:pPr>
      <w:r w:rsidRPr="00B77E5D">
        <w:rPr>
          <w:bCs/>
          <w:sz w:val="24"/>
        </w:rPr>
        <w:t>本基金的管理费按前一日基金资产净值的</w:t>
      </w:r>
      <w:r w:rsidRPr="00B77E5D">
        <w:rPr>
          <w:rFonts w:hint="eastAsia"/>
          <w:bCs/>
          <w:sz w:val="24"/>
        </w:rPr>
        <w:t>1</w:t>
      </w:r>
      <w:r w:rsidRPr="00B77E5D">
        <w:rPr>
          <w:bCs/>
          <w:sz w:val="24"/>
        </w:rPr>
        <w:t>.20%</w:t>
      </w:r>
      <w:r w:rsidRPr="00B77E5D">
        <w:rPr>
          <w:bCs/>
          <w:sz w:val="24"/>
        </w:rPr>
        <w:t>年费率计提。管理费的计算方法如下：</w:t>
      </w:r>
    </w:p>
    <w:p w:rsidR="002E15F3" w:rsidRPr="00B77E5D" w:rsidRDefault="00834479">
      <w:pPr>
        <w:spacing w:line="360" w:lineRule="auto"/>
        <w:ind w:firstLineChars="200" w:firstLine="480"/>
        <w:rPr>
          <w:bCs/>
          <w:sz w:val="24"/>
        </w:rPr>
      </w:pPr>
      <w:r w:rsidRPr="00B77E5D">
        <w:rPr>
          <w:bCs/>
          <w:sz w:val="24"/>
        </w:rPr>
        <w:t>H</w:t>
      </w:r>
      <w:r w:rsidRPr="00B77E5D">
        <w:rPr>
          <w:bCs/>
          <w:sz w:val="24"/>
        </w:rPr>
        <w:t>＝</w:t>
      </w:r>
      <w:r w:rsidRPr="00B77E5D">
        <w:rPr>
          <w:bCs/>
          <w:sz w:val="24"/>
        </w:rPr>
        <w:t>E×</w:t>
      </w:r>
      <w:r w:rsidRPr="00B77E5D">
        <w:rPr>
          <w:rFonts w:hint="eastAsia"/>
          <w:bCs/>
          <w:sz w:val="24"/>
        </w:rPr>
        <w:t>1</w:t>
      </w:r>
      <w:r w:rsidRPr="00B77E5D">
        <w:rPr>
          <w:bCs/>
          <w:sz w:val="24"/>
        </w:rPr>
        <w:t>.20%</w:t>
      </w:r>
      <w:r w:rsidRPr="00B77E5D">
        <w:rPr>
          <w:rFonts w:hint="eastAsia"/>
          <w:bCs/>
          <w:sz w:val="24"/>
        </w:rPr>
        <w:t>÷</w:t>
      </w:r>
      <w:r w:rsidRPr="00B77E5D">
        <w:rPr>
          <w:bCs/>
          <w:sz w:val="24"/>
        </w:rPr>
        <w:t>当年实际天数</w:t>
      </w:r>
    </w:p>
    <w:p w:rsidR="002E15F3" w:rsidRPr="00B77E5D" w:rsidRDefault="00834479">
      <w:pPr>
        <w:spacing w:line="360" w:lineRule="auto"/>
        <w:ind w:firstLineChars="200" w:firstLine="480"/>
        <w:rPr>
          <w:bCs/>
          <w:sz w:val="24"/>
        </w:rPr>
      </w:pPr>
      <w:r w:rsidRPr="00B77E5D">
        <w:rPr>
          <w:bCs/>
          <w:sz w:val="24"/>
        </w:rPr>
        <w:t>H</w:t>
      </w:r>
      <w:r w:rsidRPr="00B77E5D">
        <w:rPr>
          <w:bCs/>
          <w:sz w:val="24"/>
        </w:rPr>
        <w:t>为每日应计提的基金管理费</w:t>
      </w:r>
    </w:p>
    <w:p w:rsidR="002E15F3" w:rsidRPr="00B77E5D" w:rsidRDefault="00834479">
      <w:pPr>
        <w:spacing w:line="360" w:lineRule="auto"/>
        <w:ind w:firstLineChars="200" w:firstLine="480"/>
        <w:rPr>
          <w:bCs/>
          <w:sz w:val="24"/>
        </w:rPr>
      </w:pPr>
      <w:r w:rsidRPr="00B77E5D">
        <w:rPr>
          <w:bCs/>
          <w:sz w:val="24"/>
        </w:rPr>
        <w:lastRenderedPageBreak/>
        <w:t>E</w:t>
      </w:r>
      <w:r w:rsidRPr="00B77E5D">
        <w:rPr>
          <w:bCs/>
          <w:sz w:val="24"/>
        </w:rPr>
        <w:t>为前一日的基金资产净值</w:t>
      </w:r>
      <w:r w:rsidRPr="00B77E5D">
        <w:rPr>
          <w:bCs/>
          <w:sz w:val="24"/>
        </w:rPr>
        <w:tab/>
      </w:r>
    </w:p>
    <w:p w:rsidR="002E15F3" w:rsidRPr="00B77E5D" w:rsidRDefault="00834479">
      <w:pPr>
        <w:spacing w:line="360" w:lineRule="auto"/>
        <w:ind w:firstLineChars="200" w:firstLine="480"/>
        <w:rPr>
          <w:bCs/>
          <w:sz w:val="24"/>
        </w:rPr>
      </w:pPr>
      <w:r w:rsidRPr="00B77E5D">
        <w:rPr>
          <w:rFonts w:hint="eastAsia"/>
          <w:bCs/>
          <w:sz w:val="24"/>
        </w:rPr>
        <w:t>基金管理费每日计提，逐日累计至每月月末，按月支付，由基金管理人与基金托管人核对一致后，基金托管人按照与基金管理人协商一致的方式于次月首日起</w:t>
      </w:r>
      <w:r w:rsidRPr="00B77E5D">
        <w:rPr>
          <w:rFonts w:hint="eastAsia"/>
          <w:bCs/>
          <w:sz w:val="24"/>
        </w:rPr>
        <w:t>5</w:t>
      </w:r>
      <w:r w:rsidRPr="00B77E5D">
        <w:rPr>
          <w:rFonts w:hint="eastAsia"/>
          <w:bCs/>
          <w:sz w:val="24"/>
        </w:rPr>
        <w:t>个工作日内从基金财产中一次性支付给基金管理人。若遇法定节假日、公休日或不可抗力致使无法按时支付的，顺延至最近可支付日支付。</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11.2基金托管费的计提比例和计提方法</w:t>
      </w:r>
    </w:p>
    <w:p w:rsidR="002E15F3" w:rsidRPr="00B77E5D" w:rsidRDefault="00834479">
      <w:pPr>
        <w:spacing w:line="360" w:lineRule="auto"/>
        <w:ind w:firstLineChars="200" w:firstLine="480"/>
        <w:rPr>
          <w:bCs/>
          <w:sz w:val="24"/>
        </w:rPr>
      </w:pPr>
      <w:r w:rsidRPr="00B77E5D">
        <w:rPr>
          <w:bCs/>
          <w:sz w:val="24"/>
        </w:rPr>
        <w:t>本基金的托管费按前一日基金资产净值的</w:t>
      </w:r>
      <w:r w:rsidRPr="00B77E5D">
        <w:rPr>
          <w:rFonts w:hint="eastAsia"/>
          <w:bCs/>
          <w:sz w:val="24"/>
        </w:rPr>
        <w:t>0</w:t>
      </w:r>
      <w:r w:rsidRPr="00B77E5D">
        <w:rPr>
          <w:bCs/>
          <w:sz w:val="24"/>
        </w:rPr>
        <w:t>.20%</w:t>
      </w:r>
      <w:r w:rsidRPr="00B77E5D">
        <w:rPr>
          <w:bCs/>
          <w:sz w:val="24"/>
        </w:rPr>
        <w:t>年费率计提。托管费的计算方法如下：</w:t>
      </w:r>
    </w:p>
    <w:p w:rsidR="002E15F3" w:rsidRPr="00B77E5D" w:rsidRDefault="00834479">
      <w:pPr>
        <w:spacing w:line="360" w:lineRule="auto"/>
        <w:ind w:firstLineChars="200" w:firstLine="480"/>
        <w:rPr>
          <w:bCs/>
          <w:sz w:val="24"/>
        </w:rPr>
      </w:pPr>
      <w:r w:rsidRPr="00B77E5D">
        <w:rPr>
          <w:bCs/>
          <w:sz w:val="24"/>
        </w:rPr>
        <w:t>H</w:t>
      </w:r>
      <w:r w:rsidRPr="00B77E5D">
        <w:rPr>
          <w:bCs/>
          <w:sz w:val="24"/>
        </w:rPr>
        <w:t>＝</w:t>
      </w:r>
      <w:r w:rsidRPr="00B77E5D">
        <w:rPr>
          <w:bCs/>
          <w:sz w:val="24"/>
        </w:rPr>
        <w:t>E×</w:t>
      </w:r>
      <w:r w:rsidRPr="00B77E5D">
        <w:rPr>
          <w:rFonts w:hint="eastAsia"/>
          <w:bCs/>
          <w:sz w:val="24"/>
        </w:rPr>
        <w:t>0</w:t>
      </w:r>
      <w:r w:rsidRPr="00B77E5D">
        <w:rPr>
          <w:bCs/>
          <w:sz w:val="24"/>
        </w:rPr>
        <w:t>.20%</w:t>
      </w:r>
      <w:r w:rsidRPr="00B77E5D">
        <w:rPr>
          <w:rFonts w:hint="eastAsia"/>
          <w:bCs/>
          <w:sz w:val="24"/>
        </w:rPr>
        <w:t>÷</w:t>
      </w:r>
      <w:r w:rsidRPr="00B77E5D">
        <w:rPr>
          <w:bCs/>
          <w:sz w:val="24"/>
        </w:rPr>
        <w:t>当年实际天数</w:t>
      </w:r>
    </w:p>
    <w:p w:rsidR="002E15F3" w:rsidRPr="00B77E5D" w:rsidRDefault="00834479">
      <w:pPr>
        <w:spacing w:line="360" w:lineRule="auto"/>
        <w:ind w:firstLineChars="200" w:firstLine="480"/>
        <w:rPr>
          <w:bCs/>
          <w:sz w:val="24"/>
        </w:rPr>
      </w:pPr>
      <w:r w:rsidRPr="00B77E5D">
        <w:rPr>
          <w:bCs/>
          <w:sz w:val="24"/>
        </w:rPr>
        <w:t>H</w:t>
      </w:r>
      <w:r w:rsidRPr="00B77E5D">
        <w:rPr>
          <w:bCs/>
          <w:sz w:val="24"/>
        </w:rPr>
        <w:t>为每日应计提的基金托管费</w:t>
      </w:r>
    </w:p>
    <w:p w:rsidR="002E15F3" w:rsidRPr="00B77E5D" w:rsidRDefault="00834479">
      <w:pPr>
        <w:spacing w:line="360" w:lineRule="auto"/>
        <w:ind w:firstLineChars="200" w:firstLine="480"/>
        <w:rPr>
          <w:bCs/>
          <w:sz w:val="24"/>
        </w:rPr>
      </w:pPr>
      <w:r w:rsidRPr="00B77E5D">
        <w:rPr>
          <w:bCs/>
          <w:sz w:val="24"/>
        </w:rPr>
        <w:t>E</w:t>
      </w:r>
      <w:r w:rsidRPr="00B77E5D">
        <w:rPr>
          <w:bCs/>
          <w:sz w:val="24"/>
        </w:rPr>
        <w:t>为前一日的基金资产净值</w:t>
      </w:r>
    </w:p>
    <w:p w:rsidR="002E15F3" w:rsidRPr="00B77E5D" w:rsidRDefault="00834479">
      <w:pPr>
        <w:spacing w:line="360" w:lineRule="auto"/>
        <w:ind w:firstLineChars="200" w:firstLine="480"/>
        <w:rPr>
          <w:bCs/>
          <w:sz w:val="24"/>
        </w:rPr>
      </w:pPr>
      <w:r w:rsidRPr="00B77E5D">
        <w:rPr>
          <w:rFonts w:hint="eastAsia"/>
          <w:bCs/>
          <w:sz w:val="24"/>
        </w:rPr>
        <w:t>基金托管费每日计提，逐日累计至每月月末，按月支付。由基金管理人与基金托管人核对一致后，基金托管人按照与基金管理人协商一致的方式于次月首日起</w:t>
      </w:r>
      <w:r w:rsidRPr="00B77E5D">
        <w:rPr>
          <w:rFonts w:hint="eastAsia"/>
          <w:bCs/>
          <w:sz w:val="24"/>
        </w:rPr>
        <w:t>5</w:t>
      </w:r>
      <w:r w:rsidRPr="00B77E5D">
        <w:rPr>
          <w:rFonts w:hint="eastAsia"/>
          <w:bCs/>
          <w:sz w:val="24"/>
        </w:rPr>
        <w:t>个工作日内从基金财产中一次性支取。若遇法定节假日、公休日或不可抗力致使无法按时支付的，顺延至最近可支付日支付。</w:t>
      </w:r>
    </w:p>
    <w:p w:rsidR="002E15F3" w:rsidRPr="00B77E5D" w:rsidRDefault="00834479">
      <w:pPr>
        <w:spacing w:line="360" w:lineRule="auto"/>
        <w:ind w:firstLineChars="200" w:firstLine="480"/>
        <w:rPr>
          <w:bCs/>
          <w:sz w:val="24"/>
        </w:rPr>
      </w:pPr>
      <w:r w:rsidRPr="00B77E5D">
        <w:rPr>
          <w:sz w:val="24"/>
        </w:rPr>
        <w:t>11.3</w:t>
      </w:r>
      <w:r w:rsidRPr="00B77E5D">
        <w:rPr>
          <w:rFonts w:hint="eastAsia"/>
          <w:bCs/>
          <w:sz w:val="24"/>
        </w:rPr>
        <w:t xml:space="preserve"> </w:t>
      </w:r>
      <w:r w:rsidRPr="00B77E5D">
        <w:rPr>
          <w:rFonts w:ascii="Cambria" w:hAnsi="Cambria" w:cs="宋体"/>
          <w:bCs/>
          <w:sz w:val="24"/>
        </w:rPr>
        <w:t>C</w:t>
      </w:r>
      <w:r w:rsidRPr="00B77E5D">
        <w:rPr>
          <w:rFonts w:ascii="Cambria" w:hAnsi="Cambria" w:cs="宋体" w:hint="eastAsia"/>
          <w:bCs/>
          <w:sz w:val="24"/>
        </w:rPr>
        <w:t>类基金份额</w:t>
      </w:r>
      <w:r w:rsidRPr="00B77E5D">
        <w:rPr>
          <w:rFonts w:hint="eastAsia"/>
          <w:bCs/>
          <w:sz w:val="24"/>
        </w:rPr>
        <w:t>的销售服务费的计提比例和计提方法</w:t>
      </w:r>
    </w:p>
    <w:p w:rsidR="002E15F3" w:rsidRPr="00B77E5D" w:rsidRDefault="00834479">
      <w:pPr>
        <w:spacing w:line="360" w:lineRule="auto"/>
        <w:ind w:firstLineChars="200" w:firstLine="480"/>
        <w:rPr>
          <w:bCs/>
          <w:sz w:val="24"/>
        </w:rPr>
      </w:pPr>
      <w:r w:rsidRPr="00B77E5D">
        <w:rPr>
          <w:rFonts w:hint="eastAsia"/>
          <w:bCs/>
          <w:sz w:val="24"/>
        </w:rPr>
        <w:t>本基金</w:t>
      </w:r>
      <w:r w:rsidRPr="00B77E5D">
        <w:rPr>
          <w:rFonts w:hint="eastAsia"/>
          <w:bCs/>
          <w:sz w:val="24"/>
        </w:rPr>
        <w:t>A</w:t>
      </w:r>
      <w:r w:rsidRPr="00B77E5D">
        <w:rPr>
          <w:rFonts w:hint="eastAsia"/>
          <w:bCs/>
          <w:sz w:val="24"/>
        </w:rPr>
        <w:t>类基金份额不收取销售服务费，</w:t>
      </w:r>
      <w:r w:rsidRPr="00B77E5D">
        <w:rPr>
          <w:rFonts w:hint="eastAsia"/>
          <w:bCs/>
          <w:sz w:val="24"/>
        </w:rPr>
        <w:t>C</w:t>
      </w:r>
      <w:r w:rsidRPr="00B77E5D">
        <w:rPr>
          <w:rFonts w:hint="eastAsia"/>
          <w:bCs/>
          <w:sz w:val="24"/>
        </w:rPr>
        <w:t>类基金份额收取销售服务费。</w:t>
      </w:r>
      <w:r w:rsidRPr="00B77E5D">
        <w:rPr>
          <w:rFonts w:hint="eastAsia"/>
          <w:bCs/>
          <w:sz w:val="24"/>
        </w:rPr>
        <w:t>C</w:t>
      </w:r>
      <w:r w:rsidRPr="00B77E5D">
        <w:rPr>
          <w:rFonts w:hint="eastAsia"/>
          <w:bCs/>
          <w:sz w:val="24"/>
        </w:rPr>
        <w:t>类基金份额的销售服务费按前一日</w:t>
      </w:r>
      <w:r w:rsidRPr="00B77E5D">
        <w:rPr>
          <w:rFonts w:hint="eastAsia"/>
          <w:bCs/>
          <w:sz w:val="24"/>
        </w:rPr>
        <w:t>C</w:t>
      </w:r>
      <w:r w:rsidRPr="00B77E5D">
        <w:rPr>
          <w:rFonts w:hint="eastAsia"/>
          <w:bCs/>
          <w:sz w:val="24"/>
        </w:rPr>
        <w:t>类基金份额基金资产净值的</w:t>
      </w:r>
      <w:r w:rsidRPr="00B77E5D">
        <w:rPr>
          <w:rFonts w:hint="eastAsia"/>
          <w:bCs/>
          <w:sz w:val="24"/>
        </w:rPr>
        <w:t>0</w:t>
      </w:r>
      <w:r w:rsidRPr="00B77E5D">
        <w:rPr>
          <w:bCs/>
          <w:sz w:val="24"/>
        </w:rPr>
        <w:t>.60</w:t>
      </w:r>
      <w:r w:rsidRPr="00B77E5D">
        <w:rPr>
          <w:rFonts w:hint="eastAsia"/>
          <w:bCs/>
          <w:sz w:val="24"/>
        </w:rPr>
        <w:t>%</w:t>
      </w:r>
      <w:r w:rsidRPr="00B77E5D">
        <w:rPr>
          <w:rFonts w:hint="eastAsia"/>
          <w:bCs/>
          <w:sz w:val="24"/>
        </w:rPr>
        <w:t>的年费率计提，计算方法如下：</w:t>
      </w:r>
    </w:p>
    <w:p w:rsidR="002E15F3" w:rsidRPr="00B77E5D" w:rsidRDefault="00834479">
      <w:pPr>
        <w:spacing w:line="360" w:lineRule="auto"/>
        <w:ind w:firstLineChars="200" w:firstLine="480"/>
        <w:rPr>
          <w:bCs/>
          <w:sz w:val="24"/>
        </w:rPr>
      </w:pPr>
      <w:r w:rsidRPr="00B77E5D">
        <w:rPr>
          <w:rFonts w:hint="eastAsia"/>
          <w:bCs/>
          <w:sz w:val="24"/>
        </w:rPr>
        <w:t>H=E</w:t>
      </w:r>
      <w:r w:rsidRPr="00B77E5D">
        <w:rPr>
          <w:bCs/>
          <w:sz w:val="24"/>
        </w:rPr>
        <w:t>×</w:t>
      </w:r>
      <w:r w:rsidRPr="00B77E5D">
        <w:rPr>
          <w:rFonts w:hint="eastAsia"/>
          <w:bCs/>
          <w:sz w:val="24"/>
        </w:rPr>
        <w:t>0</w:t>
      </w:r>
      <w:r w:rsidRPr="00B77E5D">
        <w:rPr>
          <w:bCs/>
          <w:sz w:val="24"/>
        </w:rPr>
        <w:t>.60</w:t>
      </w:r>
      <w:r w:rsidRPr="00B77E5D">
        <w:rPr>
          <w:rFonts w:hint="eastAsia"/>
          <w:bCs/>
          <w:sz w:val="24"/>
        </w:rPr>
        <w:t>%</w:t>
      </w:r>
      <w:r w:rsidRPr="00B77E5D">
        <w:rPr>
          <w:rFonts w:hint="eastAsia"/>
          <w:bCs/>
          <w:sz w:val="24"/>
        </w:rPr>
        <w:t>÷当年实际天数</w:t>
      </w:r>
    </w:p>
    <w:p w:rsidR="002E15F3" w:rsidRPr="00B77E5D" w:rsidRDefault="00834479">
      <w:pPr>
        <w:spacing w:line="360" w:lineRule="auto"/>
        <w:ind w:firstLineChars="200" w:firstLine="480"/>
        <w:rPr>
          <w:bCs/>
          <w:sz w:val="24"/>
        </w:rPr>
      </w:pPr>
      <w:r w:rsidRPr="00B77E5D">
        <w:rPr>
          <w:rFonts w:hint="eastAsia"/>
          <w:bCs/>
          <w:sz w:val="24"/>
        </w:rPr>
        <w:t>H</w:t>
      </w:r>
      <w:r w:rsidRPr="00B77E5D">
        <w:rPr>
          <w:rFonts w:hint="eastAsia"/>
          <w:bCs/>
          <w:sz w:val="24"/>
        </w:rPr>
        <w:t>为</w:t>
      </w:r>
      <w:r w:rsidRPr="00B77E5D">
        <w:rPr>
          <w:rFonts w:hint="eastAsia"/>
          <w:bCs/>
          <w:sz w:val="24"/>
        </w:rPr>
        <w:t>C</w:t>
      </w:r>
      <w:r w:rsidRPr="00B77E5D">
        <w:rPr>
          <w:rFonts w:hint="eastAsia"/>
          <w:bCs/>
          <w:sz w:val="24"/>
        </w:rPr>
        <w:t>类基金份额每日应计提的销售服务费</w:t>
      </w:r>
    </w:p>
    <w:p w:rsidR="002E15F3" w:rsidRPr="00B77E5D" w:rsidRDefault="00834479">
      <w:pPr>
        <w:spacing w:line="360" w:lineRule="auto"/>
        <w:ind w:firstLineChars="200" w:firstLine="480"/>
        <w:rPr>
          <w:bCs/>
          <w:sz w:val="24"/>
        </w:rPr>
      </w:pPr>
      <w:r w:rsidRPr="00B77E5D">
        <w:rPr>
          <w:rFonts w:hint="eastAsia"/>
          <w:bCs/>
          <w:sz w:val="24"/>
        </w:rPr>
        <w:t>E</w:t>
      </w:r>
      <w:r w:rsidRPr="00B77E5D">
        <w:rPr>
          <w:rFonts w:hint="eastAsia"/>
          <w:bCs/>
          <w:sz w:val="24"/>
        </w:rPr>
        <w:t>为</w:t>
      </w:r>
      <w:r w:rsidRPr="00B77E5D">
        <w:rPr>
          <w:rFonts w:hint="eastAsia"/>
          <w:bCs/>
          <w:sz w:val="24"/>
        </w:rPr>
        <w:t>C</w:t>
      </w:r>
      <w:r w:rsidRPr="00B77E5D">
        <w:rPr>
          <w:rFonts w:hint="eastAsia"/>
          <w:bCs/>
          <w:sz w:val="24"/>
        </w:rPr>
        <w:t>类基金份额前一日基金资产净值</w:t>
      </w:r>
    </w:p>
    <w:p w:rsidR="002E15F3" w:rsidRPr="00B77E5D" w:rsidRDefault="00834479">
      <w:pPr>
        <w:spacing w:line="360" w:lineRule="auto"/>
        <w:ind w:firstLineChars="200" w:firstLine="480"/>
        <w:rPr>
          <w:bCs/>
          <w:sz w:val="24"/>
        </w:rPr>
      </w:pPr>
      <w:r w:rsidRPr="00B77E5D">
        <w:rPr>
          <w:rFonts w:hint="eastAsia"/>
          <w:bCs/>
          <w:sz w:val="24"/>
        </w:rPr>
        <w:t>基金销售服务费每日计提，逐日累计至每月月末，按月支付，由基金管理人与基金托管人核对一致后，基金托管人按照与基金管理人协商一致的方式于次月首日起</w:t>
      </w:r>
      <w:r w:rsidRPr="00B77E5D">
        <w:rPr>
          <w:rFonts w:hint="eastAsia"/>
          <w:bCs/>
          <w:sz w:val="24"/>
        </w:rPr>
        <w:t>5</w:t>
      </w:r>
      <w:r w:rsidRPr="00B77E5D">
        <w:rPr>
          <w:rFonts w:hint="eastAsia"/>
          <w:bCs/>
          <w:sz w:val="24"/>
        </w:rPr>
        <w:t>个工作日内从基金财产中一次性支付给基金管理人，由基金管理人代付给销售机构。若遇法定节假日、公休日或不可抗力致使无法按时支付的，顺延至最近可支付日支付。</w:t>
      </w:r>
      <w:r w:rsidRPr="00B77E5D">
        <w:rPr>
          <w:rFonts w:hint="eastAsia"/>
          <w:bCs/>
          <w:sz w:val="24"/>
        </w:rPr>
        <w:t xml:space="preserve"> </w:t>
      </w:r>
    </w:p>
    <w:p w:rsidR="002E15F3" w:rsidRPr="00B77E5D" w:rsidRDefault="00834479">
      <w:pPr>
        <w:spacing w:line="360" w:lineRule="auto"/>
        <w:ind w:firstLineChars="200" w:firstLine="480"/>
        <w:rPr>
          <w:bCs/>
          <w:sz w:val="24"/>
        </w:rPr>
      </w:pPr>
      <w:r w:rsidRPr="00B77E5D">
        <w:rPr>
          <w:rFonts w:hint="eastAsia"/>
          <w:bCs/>
          <w:sz w:val="24"/>
        </w:rPr>
        <w:t>11.</w:t>
      </w:r>
      <w:r w:rsidRPr="00B77E5D">
        <w:rPr>
          <w:bCs/>
          <w:sz w:val="24"/>
        </w:rPr>
        <w:t>4</w:t>
      </w:r>
      <w:r w:rsidRPr="00B77E5D">
        <w:rPr>
          <w:rFonts w:hint="eastAsia"/>
          <w:bCs/>
          <w:sz w:val="24"/>
        </w:rPr>
        <w:t>基金合同生效后与基金相关的信息披露费用（但法律法规或中国证监会另有规定的除外）、基金合同生效后与基金相关的会计师费、审计费、律师费、诉讼费和仲裁费等费用、基金份额持有人大会费用、</w:t>
      </w:r>
      <w:r w:rsidRPr="00B77E5D">
        <w:rPr>
          <w:bCs/>
          <w:sz w:val="24"/>
        </w:rPr>
        <w:t>基金的证券</w:t>
      </w:r>
      <w:r w:rsidRPr="00B77E5D">
        <w:rPr>
          <w:rFonts w:hint="eastAsia"/>
          <w:bCs/>
          <w:sz w:val="24"/>
        </w:rPr>
        <w:t>、期货和股票期权</w:t>
      </w:r>
      <w:r w:rsidRPr="00B77E5D">
        <w:rPr>
          <w:bCs/>
          <w:sz w:val="24"/>
        </w:rPr>
        <w:t>交易</w:t>
      </w:r>
      <w:r w:rsidRPr="00B77E5D">
        <w:rPr>
          <w:rFonts w:hint="eastAsia"/>
          <w:bCs/>
          <w:sz w:val="24"/>
        </w:rPr>
        <w:t>、结算</w:t>
      </w:r>
      <w:r w:rsidRPr="00B77E5D">
        <w:rPr>
          <w:bCs/>
          <w:sz w:val="24"/>
        </w:rPr>
        <w:t>费用</w:t>
      </w:r>
      <w:r w:rsidRPr="00B77E5D">
        <w:rPr>
          <w:rFonts w:hint="eastAsia"/>
          <w:bCs/>
          <w:sz w:val="24"/>
        </w:rPr>
        <w:t>、基金的银行汇划费用、</w:t>
      </w:r>
      <w:r w:rsidRPr="00B77E5D">
        <w:rPr>
          <w:bCs/>
          <w:sz w:val="24"/>
        </w:rPr>
        <w:t>基金的开户费用、账户维护费用</w:t>
      </w:r>
      <w:r w:rsidRPr="00B77E5D">
        <w:rPr>
          <w:rFonts w:hint="eastAsia"/>
          <w:bCs/>
          <w:sz w:val="24"/>
        </w:rPr>
        <w:t>、因投资港股通标的股票而产生的各项合理费用、按照国家有关规定和基金合同约定，可以在基金</w:t>
      </w:r>
      <w:r w:rsidRPr="00B77E5D">
        <w:rPr>
          <w:rFonts w:hint="eastAsia"/>
          <w:bCs/>
          <w:sz w:val="24"/>
        </w:rPr>
        <w:lastRenderedPageBreak/>
        <w:t>财产中列支的其他费用，根据有关法规及相应协议规定，按费用实际支出金额列入当期费用，由基金托管人根据基金管理人指令并参照行业惯例从基金财产中支付。</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11.</w:t>
      </w:r>
      <w:r w:rsidRPr="00B77E5D">
        <w:rPr>
          <w:rFonts w:hAnsi="宋体"/>
          <w:szCs w:val="24"/>
        </w:rPr>
        <w:t>5</w:t>
      </w:r>
      <w:r w:rsidRPr="00B77E5D">
        <w:rPr>
          <w:rFonts w:hAnsi="宋体" w:hint="eastAsia"/>
          <w:szCs w:val="24"/>
        </w:rPr>
        <w:t>不列入基金费用的项目</w:t>
      </w:r>
    </w:p>
    <w:p w:rsidR="002E15F3" w:rsidRPr="00B77E5D" w:rsidRDefault="00834479">
      <w:pPr>
        <w:pStyle w:val="20"/>
        <w:spacing w:line="360" w:lineRule="auto"/>
        <w:ind w:left="0" w:firstLineChars="200" w:firstLine="480"/>
        <w:rPr>
          <w:rFonts w:hAnsi="宋体"/>
          <w:szCs w:val="24"/>
        </w:rPr>
      </w:pPr>
      <w:r w:rsidRPr="00B77E5D">
        <w:rPr>
          <w:rFonts w:hAnsi="宋体" w:hint="eastAsia"/>
          <w:szCs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不从基金财产中支付。</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11.</w:t>
      </w:r>
      <w:r w:rsidRPr="00B77E5D">
        <w:rPr>
          <w:rFonts w:hAnsi="宋体"/>
          <w:szCs w:val="24"/>
        </w:rPr>
        <w:t>6</w:t>
      </w:r>
      <w:r w:rsidRPr="00B77E5D">
        <w:rPr>
          <w:rFonts w:hAnsi="宋体" w:hint="eastAsia"/>
          <w:szCs w:val="24"/>
        </w:rPr>
        <w:t>基金管理费、基金托管费和销售服务费的调整</w:t>
      </w:r>
    </w:p>
    <w:p w:rsidR="002E15F3" w:rsidRPr="00B77E5D" w:rsidRDefault="00834479">
      <w:pPr>
        <w:spacing w:line="360" w:lineRule="auto"/>
        <w:ind w:firstLineChars="200" w:firstLine="480"/>
        <w:rPr>
          <w:bCs/>
          <w:sz w:val="24"/>
        </w:rPr>
      </w:pPr>
      <w:r w:rsidRPr="00B77E5D">
        <w:rPr>
          <w:rFonts w:hint="eastAsia"/>
          <w:bCs/>
          <w:sz w:val="24"/>
        </w:rPr>
        <w:t>基金管理人可根据相关法律法规和基金合同的约定调整基金管理费、基金托管费和销售服务费等相关费率，并履行相应的法律程序。</w:t>
      </w:r>
    </w:p>
    <w:p w:rsidR="002E15F3" w:rsidRPr="00B77E5D" w:rsidRDefault="00834479">
      <w:pPr>
        <w:spacing w:line="360" w:lineRule="auto"/>
        <w:ind w:firstLineChars="200" w:firstLine="480"/>
        <w:rPr>
          <w:bCs/>
          <w:sz w:val="24"/>
        </w:rPr>
      </w:pPr>
      <w:r w:rsidRPr="00B77E5D">
        <w:rPr>
          <w:rFonts w:hint="eastAsia"/>
          <w:bCs/>
          <w:sz w:val="24"/>
        </w:rPr>
        <w:t>基金管理人必须于新的费率实施日前依照有关法律法规的规定在规定媒介上公告。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11.</w:t>
      </w:r>
      <w:r w:rsidRPr="00B77E5D">
        <w:rPr>
          <w:rFonts w:hAnsi="宋体"/>
          <w:szCs w:val="24"/>
        </w:rPr>
        <w:t>7</w:t>
      </w:r>
      <w:r w:rsidRPr="00B77E5D">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2E15F3" w:rsidRPr="00B77E5D" w:rsidRDefault="00834479">
      <w:pPr>
        <w:pStyle w:val="20"/>
        <w:spacing w:line="360" w:lineRule="auto"/>
        <w:rPr>
          <w:rFonts w:hAnsi="宋体"/>
          <w:szCs w:val="24"/>
        </w:rPr>
      </w:pPr>
      <w:r w:rsidRPr="00B77E5D">
        <w:rPr>
          <w:rFonts w:hAnsi="宋体"/>
          <w:szCs w:val="24"/>
        </w:rPr>
        <w:t>11.8</w:t>
      </w:r>
      <w:r w:rsidRPr="00B77E5D">
        <w:rPr>
          <w:rFonts w:hAnsi="宋体" w:hint="eastAsia"/>
          <w:szCs w:val="24"/>
        </w:rPr>
        <w:t>实施</w:t>
      </w:r>
      <w:proofErr w:type="gramStart"/>
      <w:r w:rsidRPr="00B77E5D">
        <w:rPr>
          <w:rFonts w:hAnsi="宋体" w:hint="eastAsia"/>
          <w:szCs w:val="24"/>
        </w:rPr>
        <w:t>侧袋机制</w:t>
      </w:r>
      <w:proofErr w:type="gramEnd"/>
      <w:r w:rsidRPr="00B77E5D">
        <w:rPr>
          <w:rFonts w:hAnsi="宋体" w:hint="eastAsia"/>
          <w:szCs w:val="24"/>
        </w:rPr>
        <w:t>期间的基金费用</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本基金实施</w:t>
      </w:r>
      <w:proofErr w:type="gramStart"/>
      <w:r w:rsidRPr="00B77E5D">
        <w:rPr>
          <w:rFonts w:hAnsi="宋体" w:hint="eastAsia"/>
          <w:szCs w:val="24"/>
        </w:rPr>
        <w:t>侧袋机制</w:t>
      </w:r>
      <w:proofErr w:type="gramEnd"/>
      <w:r w:rsidRPr="00B77E5D">
        <w:rPr>
          <w:rFonts w:hAnsi="宋体" w:hint="eastAsia"/>
          <w:szCs w:val="24"/>
        </w:rPr>
        <w:t>的，</w:t>
      </w:r>
      <w:proofErr w:type="gramStart"/>
      <w:r w:rsidRPr="00B77E5D">
        <w:rPr>
          <w:rFonts w:hAnsi="宋体" w:hint="eastAsia"/>
          <w:szCs w:val="24"/>
        </w:rPr>
        <w:t>与侧袋账户</w:t>
      </w:r>
      <w:proofErr w:type="gramEnd"/>
      <w:r w:rsidRPr="00B77E5D">
        <w:rPr>
          <w:rFonts w:hAnsi="宋体" w:hint="eastAsia"/>
          <w:szCs w:val="24"/>
        </w:rPr>
        <w:t>有关的费用可以</w:t>
      </w:r>
      <w:proofErr w:type="gramStart"/>
      <w:r w:rsidRPr="00B77E5D">
        <w:rPr>
          <w:rFonts w:hAnsi="宋体" w:hint="eastAsia"/>
          <w:szCs w:val="24"/>
        </w:rPr>
        <w:t>从侧袋账户</w:t>
      </w:r>
      <w:proofErr w:type="gramEnd"/>
      <w:r w:rsidRPr="00B77E5D">
        <w:rPr>
          <w:rFonts w:hAnsi="宋体" w:hint="eastAsia"/>
          <w:szCs w:val="24"/>
        </w:rPr>
        <w:t>中列支，但应</w:t>
      </w:r>
      <w:proofErr w:type="gramStart"/>
      <w:r w:rsidRPr="00B77E5D">
        <w:rPr>
          <w:rFonts w:hAnsi="宋体" w:hint="eastAsia"/>
          <w:szCs w:val="24"/>
        </w:rPr>
        <w:t>待侧袋</w:t>
      </w:r>
      <w:proofErr w:type="gramEnd"/>
      <w:r w:rsidRPr="00B77E5D">
        <w:rPr>
          <w:rFonts w:hAnsi="宋体" w:hint="eastAsia"/>
          <w:szCs w:val="24"/>
        </w:rPr>
        <w:t>账户资产变现后方可列支，有关费用可酌情收取或减免，但不得收取管理费，其他费用详见招募说明书的规定或相关公告。</w:t>
      </w:r>
    </w:p>
    <w:p w:rsidR="002E15F3" w:rsidRPr="00B77E5D" w:rsidRDefault="00834479">
      <w:pPr>
        <w:pStyle w:val="1"/>
        <w:ind w:firstLineChars="200" w:firstLine="482"/>
        <w:rPr>
          <w:bCs/>
          <w:color w:val="auto"/>
          <w:szCs w:val="24"/>
        </w:rPr>
      </w:pPr>
      <w:bookmarkStart w:id="35" w:name="_Toc44321735"/>
      <w:bookmarkStart w:id="36" w:name="_Toc296551348"/>
      <w:r w:rsidRPr="00B77E5D">
        <w:rPr>
          <w:rFonts w:hint="eastAsia"/>
          <w:bCs/>
          <w:color w:val="auto"/>
          <w:szCs w:val="24"/>
        </w:rPr>
        <w:t>第十二条 基金份额持有人名册的保管</w:t>
      </w:r>
      <w:bookmarkEnd w:id="35"/>
      <w:bookmarkEnd w:id="36"/>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12.1基金管理人和基金托管人须分别妥善保管基金份额持有人名册，基金份额持有人名册的内容必须包括基金份额持有人的名称和持有的基金份额。</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12.2基金份额持有人名册由基金的基金登记机构根据基金管理人的指令编制和保管，基金管理人应当向基金托管人定期或不定期提交下列日期的基金份额持有人名册：《基金合同》生效日、基金份额持有人大会权益登记日、每年6月30日、每年12月31日的基金份额持有人名册。基金管理人和基金托管人应按照目前相关规则分别保管基金份额持有人名册。保管方式可以采用电子或文档的形式。保管期限不低于法律法规</w:t>
      </w:r>
      <w:r w:rsidRPr="00B77E5D">
        <w:rPr>
          <w:rFonts w:hint="eastAsia"/>
          <w:bCs/>
        </w:rPr>
        <w:t>或监管规则</w:t>
      </w:r>
      <w:r w:rsidRPr="00B77E5D">
        <w:rPr>
          <w:rFonts w:hAnsi="宋体" w:hint="eastAsia"/>
          <w:szCs w:val="24"/>
        </w:rPr>
        <w:t>规定的最低期限。基金托管人不得将所保管的基金份额持有人名册用于基金托管业务以外的其他用途，并应遵守保密义务，法律法规另有规定或有权机关另有要求的除外。</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12.</w:t>
      </w:r>
      <w:r w:rsidRPr="00B77E5D">
        <w:rPr>
          <w:rFonts w:hAnsi="宋体"/>
          <w:szCs w:val="24"/>
        </w:rPr>
        <w:t>3</w:t>
      </w:r>
      <w:proofErr w:type="gramStart"/>
      <w:r w:rsidRPr="00B77E5D">
        <w:rPr>
          <w:rFonts w:hAnsi="宋体" w:hint="eastAsia"/>
          <w:szCs w:val="24"/>
        </w:rPr>
        <w:t>若基金</w:t>
      </w:r>
      <w:proofErr w:type="gramEnd"/>
      <w:r w:rsidRPr="00B77E5D">
        <w:rPr>
          <w:rFonts w:hAnsi="宋体" w:hint="eastAsia"/>
          <w:szCs w:val="24"/>
        </w:rPr>
        <w:t>管理人或基金托管人由于自身原因无法妥善保管基金份额持有人</w:t>
      </w:r>
      <w:r w:rsidRPr="00B77E5D">
        <w:rPr>
          <w:rFonts w:hAnsi="宋体" w:hint="eastAsia"/>
          <w:szCs w:val="24"/>
        </w:rPr>
        <w:lastRenderedPageBreak/>
        <w:t>名册，应按有关法规规定各自承担相应的责任。</w:t>
      </w:r>
    </w:p>
    <w:p w:rsidR="002E15F3" w:rsidRPr="00B77E5D" w:rsidRDefault="00834479">
      <w:pPr>
        <w:pStyle w:val="1"/>
        <w:ind w:firstLineChars="200" w:firstLine="482"/>
        <w:rPr>
          <w:bCs/>
          <w:color w:val="auto"/>
          <w:szCs w:val="24"/>
        </w:rPr>
      </w:pPr>
      <w:bookmarkStart w:id="37" w:name="_Toc296551349"/>
      <w:bookmarkStart w:id="38" w:name="_Toc44321736"/>
      <w:r w:rsidRPr="00B77E5D">
        <w:rPr>
          <w:rFonts w:hint="eastAsia"/>
          <w:bCs/>
          <w:color w:val="auto"/>
          <w:szCs w:val="24"/>
        </w:rPr>
        <w:t>第十三条 基金有关文件和档案的保存</w:t>
      </w:r>
      <w:bookmarkEnd w:id="37"/>
      <w:bookmarkEnd w:id="38"/>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13.1基金管理人、基金托管人按各自职责完整保存原始凭证、记账凭证、基金账册、交易记录和重要合同等，保存期限不少于法律法规</w:t>
      </w:r>
      <w:r w:rsidRPr="00B77E5D">
        <w:rPr>
          <w:rFonts w:hint="eastAsia"/>
          <w:bCs/>
        </w:rPr>
        <w:t>或监管规则</w:t>
      </w:r>
      <w:r w:rsidRPr="00B77E5D">
        <w:rPr>
          <w:rFonts w:hAnsi="宋体" w:hint="eastAsia"/>
          <w:szCs w:val="24"/>
        </w:rPr>
        <w:t>规定的最低期限，对相关信息负有保密义务，但</w:t>
      </w:r>
      <w:r w:rsidRPr="00B77E5D">
        <w:rPr>
          <w:rFonts w:asciiTheme="minorEastAsia" w:eastAsiaTheme="minorEastAsia" w:hAnsiTheme="minorEastAsia" w:hint="eastAsia"/>
          <w:szCs w:val="24"/>
        </w:rPr>
        <w:t>本协议另有约定或</w:t>
      </w:r>
      <w:r w:rsidRPr="00B77E5D">
        <w:rPr>
          <w:rFonts w:hAnsi="宋体" w:hint="eastAsia"/>
          <w:szCs w:val="24"/>
        </w:rPr>
        <w:t>根据有关法律法规规定或有权机关要求披露的情形除外。其中，基金管理人应保存基金财产管理业务活动的记录、账册、报表和其他相关资料，基金托管人应保存基金托管业务活动的记录、账册、报表和其他相关资料。</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13.2</w:t>
      </w:r>
      <w:r w:rsidR="002A5A19" w:rsidRPr="00B77E5D">
        <w:rPr>
          <w:rFonts w:hAnsi="宋体" w:hint="eastAsia"/>
          <w:szCs w:val="24"/>
        </w:rPr>
        <w:t>除本协议另有约定外，</w:t>
      </w:r>
      <w:r w:rsidRPr="00B77E5D">
        <w:rPr>
          <w:rFonts w:hAnsi="宋体" w:hint="eastAsia"/>
          <w:szCs w:val="24"/>
        </w:rPr>
        <w:t>基金管理人签署重大合同文本后，应及时将合同文本正本送达基金托管人处。基金管理人应及时将与本基金账务处理、资金划拨等有关的合同、协议传真给基金托管人。</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13.3基金管理人或基金托管人变更后，未变更的一方有义务协助接任人接受基金的有关文件。</w:t>
      </w:r>
    </w:p>
    <w:p w:rsidR="002E15F3" w:rsidRPr="00B77E5D" w:rsidRDefault="00834479">
      <w:pPr>
        <w:pStyle w:val="1"/>
        <w:ind w:firstLineChars="200" w:firstLine="482"/>
        <w:rPr>
          <w:bCs/>
          <w:color w:val="auto"/>
          <w:szCs w:val="24"/>
        </w:rPr>
      </w:pPr>
      <w:bookmarkStart w:id="39" w:name="_Toc44321737"/>
      <w:bookmarkStart w:id="40" w:name="_Toc296551350"/>
      <w:r w:rsidRPr="00B77E5D">
        <w:rPr>
          <w:rFonts w:hint="eastAsia"/>
          <w:bCs/>
          <w:color w:val="auto"/>
          <w:szCs w:val="24"/>
        </w:rPr>
        <w:t>第十四条 基金管理人和基金托管人的更换</w:t>
      </w:r>
      <w:bookmarkEnd w:id="39"/>
      <w:bookmarkEnd w:id="40"/>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14.1基金管理人的更换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14.1.1基金管理人的更换条件</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有下列情形之一的，基金管理人职责终止：</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）被依法取消基金管理资格；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）被基金份额持有人大会解任；</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3</w:t>
      </w:r>
      <w:r w:rsidRPr="00B77E5D">
        <w:rPr>
          <w:rFonts w:hint="eastAsia"/>
          <w:bCs/>
          <w:sz w:val="24"/>
        </w:rPr>
        <w:t>）依法解散、被依法撤销或被依法宣告破产；</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4</w:t>
      </w:r>
      <w:r w:rsidRPr="00B77E5D">
        <w:rPr>
          <w:rFonts w:hint="eastAsia"/>
          <w:bCs/>
          <w:sz w:val="24"/>
        </w:rPr>
        <w:t>）</w:t>
      </w:r>
      <w:r w:rsidRPr="00B77E5D">
        <w:rPr>
          <w:bCs/>
          <w:sz w:val="24"/>
        </w:rPr>
        <w:t>法律法规及中国证监会规定的和基金合同约定的其他情形</w:t>
      </w:r>
      <w:r w:rsidRPr="00B77E5D">
        <w:rPr>
          <w:rFonts w:hint="eastAsia"/>
          <w:bCs/>
          <w:sz w:val="24"/>
        </w:rPr>
        <w:t>。</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14.1.2基金管理人的更换程序</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1</w:t>
      </w:r>
      <w:r w:rsidRPr="00B77E5D">
        <w:rPr>
          <w:rFonts w:hint="eastAsia"/>
          <w:bCs/>
          <w:sz w:val="24"/>
        </w:rPr>
        <w:t>）</w:t>
      </w:r>
      <w:r w:rsidRPr="00B77E5D">
        <w:rPr>
          <w:bCs/>
          <w:sz w:val="24"/>
        </w:rPr>
        <w:t>提名：</w:t>
      </w:r>
      <w:proofErr w:type="gramStart"/>
      <w:r w:rsidRPr="00B77E5D">
        <w:rPr>
          <w:bCs/>
          <w:sz w:val="24"/>
        </w:rPr>
        <w:t>新任基金</w:t>
      </w:r>
      <w:proofErr w:type="gramEnd"/>
      <w:r w:rsidRPr="00B77E5D">
        <w:rPr>
          <w:bCs/>
          <w:sz w:val="24"/>
        </w:rPr>
        <w:t>管理人由基金托管人或由单独或合计持有</w:t>
      </w:r>
      <w:r w:rsidRPr="00B77E5D">
        <w:rPr>
          <w:rFonts w:hint="eastAsia"/>
          <w:bCs/>
          <w:sz w:val="24"/>
        </w:rPr>
        <w:t>10%</w:t>
      </w:r>
      <w:r w:rsidRPr="00B77E5D">
        <w:rPr>
          <w:bCs/>
          <w:sz w:val="24"/>
        </w:rPr>
        <w:t>以上（含</w:t>
      </w:r>
      <w:r w:rsidRPr="00B77E5D">
        <w:rPr>
          <w:rFonts w:hint="eastAsia"/>
          <w:bCs/>
          <w:sz w:val="24"/>
        </w:rPr>
        <w:t>10%</w:t>
      </w:r>
      <w:r w:rsidRPr="00B77E5D">
        <w:rPr>
          <w:bCs/>
          <w:sz w:val="24"/>
        </w:rPr>
        <w:t>）基金份额的基金份额持有人提名；</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2</w:t>
      </w:r>
      <w:r w:rsidRPr="00B77E5D">
        <w:rPr>
          <w:rFonts w:hint="eastAsia"/>
          <w:bCs/>
          <w:sz w:val="24"/>
        </w:rPr>
        <w:t>）</w:t>
      </w:r>
      <w:r w:rsidRPr="00B77E5D">
        <w:rPr>
          <w:sz w:val="24"/>
        </w:rPr>
        <w:t>决议：基金份额持有人大会在基金管理人职责终止后</w:t>
      </w:r>
      <w:r w:rsidRPr="00B77E5D">
        <w:rPr>
          <w:sz w:val="24"/>
        </w:rPr>
        <w:t>6</w:t>
      </w:r>
      <w:r w:rsidRPr="00B77E5D">
        <w:rPr>
          <w:sz w:val="24"/>
        </w:rPr>
        <w:t>个月内对被提名的基金管理人形成决议，</w:t>
      </w:r>
      <w:r w:rsidRPr="00B77E5D">
        <w:rPr>
          <w:rFonts w:hint="eastAsia"/>
          <w:sz w:val="24"/>
        </w:rPr>
        <w:t>该决议需经参加大会的基金份额持有人所持表决权的三分之二以上（含三分之二）表决通过，决议自表决通过之日起生效；</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3</w:t>
      </w:r>
      <w:r w:rsidRPr="00B77E5D">
        <w:rPr>
          <w:rFonts w:hint="eastAsia"/>
          <w:bCs/>
          <w:sz w:val="24"/>
        </w:rPr>
        <w:t>）</w:t>
      </w:r>
      <w:r w:rsidRPr="00B77E5D">
        <w:rPr>
          <w:bCs/>
          <w:sz w:val="24"/>
        </w:rPr>
        <w:t>临时基金管理人：</w:t>
      </w:r>
      <w:proofErr w:type="gramStart"/>
      <w:r w:rsidRPr="00B77E5D">
        <w:rPr>
          <w:bCs/>
          <w:sz w:val="24"/>
        </w:rPr>
        <w:t>新任基金</w:t>
      </w:r>
      <w:proofErr w:type="gramEnd"/>
      <w:r w:rsidRPr="00B77E5D">
        <w:rPr>
          <w:bCs/>
          <w:sz w:val="24"/>
        </w:rPr>
        <w:t>管理人产生之前，由中国证监会指定临时基金管理人；</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4</w:t>
      </w:r>
      <w:r w:rsidRPr="00B77E5D">
        <w:rPr>
          <w:rFonts w:hint="eastAsia"/>
          <w:bCs/>
          <w:sz w:val="24"/>
        </w:rPr>
        <w:t>）备案</w:t>
      </w:r>
      <w:r w:rsidRPr="00B77E5D">
        <w:rPr>
          <w:bCs/>
          <w:sz w:val="24"/>
        </w:rPr>
        <w:t>：基金份额持有人大会更换基金管理人的决议须</w:t>
      </w:r>
      <w:r w:rsidRPr="00B77E5D">
        <w:rPr>
          <w:rFonts w:hint="eastAsia"/>
          <w:bCs/>
          <w:sz w:val="24"/>
        </w:rPr>
        <w:t>报</w:t>
      </w:r>
      <w:r w:rsidRPr="00B77E5D">
        <w:rPr>
          <w:bCs/>
          <w:sz w:val="24"/>
        </w:rPr>
        <w:t>中国证监会</w:t>
      </w:r>
      <w:r w:rsidRPr="00B77E5D">
        <w:rPr>
          <w:rFonts w:hint="eastAsia"/>
          <w:bCs/>
          <w:sz w:val="24"/>
        </w:rPr>
        <w:t>备案</w:t>
      </w:r>
      <w:r w:rsidRPr="00B77E5D">
        <w:rPr>
          <w:bCs/>
          <w:sz w:val="24"/>
        </w:rPr>
        <w:t>；</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5</w:t>
      </w:r>
      <w:r w:rsidRPr="00B77E5D">
        <w:rPr>
          <w:rFonts w:hint="eastAsia"/>
          <w:bCs/>
          <w:sz w:val="24"/>
        </w:rPr>
        <w:t>）公告：基金管理人更换后，由基金托管人在更换基金管理人的基金份额持有人大会决议生效后依照《信息披露办法》的有关规定在规定媒介公告；</w:t>
      </w:r>
    </w:p>
    <w:p w:rsidR="002E15F3" w:rsidRPr="00B77E5D" w:rsidRDefault="00834479">
      <w:pPr>
        <w:spacing w:line="360" w:lineRule="auto"/>
        <w:ind w:firstLineChars="200" w:firstLine="480"/>
        <w:rPr>
          <w:bCs/>
          <w:sz w:val="24"/>
        </w:rPr>
      </w:pPr>
      <w:r w:rsidRPr="00B77E5D">
        <w:rPr>
          <w:rFonts w:hint="eastAsia"/>
          <w:bCs/>
          <w:sz w:val="24"/>
        </w:rPr>
        <w:lastRenderedPageBreak/>
        <w:t>（</w:t>
      </w:r>
      <w:r w:rsidRPr="00B77E5D">
        <w:rPr>
          <w:rFonts w:hint="eastAsia"/>
          <w:bCs/>
          <w:sz w:val="24"/>
        </w:rPr>
        <w:t>6</w:t>
      </w:r>
      <w:r w:rsidRPr="00B77E5D">
        <w:rPr>
          <w:rFonts w:hint="eastAsia"/>
          <w:bCs/>
          <w:sz w:val="24"/>
        </w:rPr>
        <w:t>）交接：原任基金管理人职责终止的，原任基金管理人应妥善保管基金管理业务资料，及时向临时基金管理人或</w:t>
      </w:r>
      <w:proofErr w:type="gramStart"/>
      <w:r w:rsidRPr="00B77E5D">
        <w:rPr>
          <w:rFonts w:hint="eastAsia"/>
          <w:bCs/>
          <w:sz w:val="24"/>
        </w:rPr>
        <w:t>新任基金</w:t>
      </w:r>
      <w:proofErr w:type="gramEnd"/>
      <w:r w:rsidRPr="00B77E5D">
        <w:rPr>
          <w:rFonts w:hint="eastAsia"/>
          <w:bCs/>
          <w:sz w:val="24"/>
        </w:rPr>
        <w:t>管理人办理基金管理业务的移交手续，临时基金管理人或</w:t>
      </w:r>
      <w:proofErr w:type="gramStart"/>
      <w:r w:rsidRPr="00B77E5D">
        <w:rPr>
          <w:rFonts w:hint="eastAsia"/>
          <w:bCs/>
          <w:sz w:val="24"/>
        </w:rPr>
        <w:t>新任基金</w:t>
      </w:r>
      <w:proofErr w:type="gramEnd"/>
      <w:r w:rsidRPr="00B77E5D">
        <w:rPr>
          <w:rFonts w:hint="eastAsia"/>
          <w:bCs/>
          <w:sz w:val="24"/>
        </w:rPr>
        <w:t>管理人应及时接收。</w:t>
      </w:r>
      <w:proofErr w:type="gramStart"/>
      <w:r w:rsidRPr="00B77E5D">
        <w:rPr>
          <w:rFonts w:hint="eastAsia"/>
          <w:bCs/>
          <w:sz w:val="24"/>
        </w:rPr>
        <w:t>新任基金</w:t>
      </w:r>
      <w:proofErr w:type="gramEnd"/>
      <w:r w:rsidRPr="00B77E5D">
        <w:rPr>
          <w:rFonts w:hint="eastAsia"/>
          <w:bCs/>
          <w:sz w:val="24"/>
        </w:rPr>
        <w:t>管理人或临时基金管理人应与基金托管人核对基金资产总值和净值；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7</w:t>
      </w:r>
      <w:r w:rsidRPr="00B77E5D">
        <w:rPr>
          <w:rFonts w:hint="eastAsia"/>
          <w:bCs/>
          <w:sz w:val="24"/>
        </w:rPr>
        <w:t>）审计：原任基金管理人职责终止的，应当按照法律法规规定聘请</w:t>
      </w:r>
      <w:bookmarkStart w:id="41" w:name="_Hlk180593214"/>
      <w:r w:rsidRPr="00B77E5D">
        <w:rPr>
          <w:rFonts w:hint="eastAsia"/>
          <w:bCs/>
          <w:sz w:val="24"/>
        </w:rPr>
        <w:t>符合《中华人民共和国证券法》规定的</w:t>
      </w:r>
      <w:bookmarkEnd w:id="41"/>
      <w:r w:rsidRPr="00B77E5D">
        <w:rPr>
          <w:rFonts w:hint="eastAsia"/>
          <w:bCs/>
          <w:sz w:val="24"/>
        </w:rPr>
        <w:t>会计师事务所对基金财产进行审计，并将审计结果予以公告，同时报中国证监会备案，审计费用从基金财产中列支；</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8</w:t>
      </w:r>
      <w:r w:rsidRPr="00B77E5D">
        <w:rPr>
          <w:rFonts w:hint="eastAsia"/>
          <w:bCs/>
          <w:sz w:val="24"/>
        </w:rPr>
        <w:t>）基金名称变更：基金管理人更换后，如果原任或</w:t>
      </w:r>
      <w:proofErr w:type="gramStart"/>
      <w:r w:rsidRPr="00B77E5D">
        <w:rPr>
          <w:rFonts w:hint="eastAsia"/>
          <w:bCs/>
          <w:sz w:val="24"/>
        </w:rPr>
        <w:t>新任基金</w:t>
      </w:r>
      <w:proofErr w:type="gramEnd"/>
      <w:r w:rsidRPr="00B77E5D">
        <w:rPr>
          <w:rFonts w:hint="eastAsia"/>
          <w:bCs/>
          <w:sz w:val="24"/>
        </w:rPr>
        <w:t>管理人要求，应按其要求替换或删除基金名称中与原任基金管理人有关的名称或商号字样</w:t>
      </w:r>
      <w:r w:rsidRPr="00B77E5D">
        <w:rPr>
          <w:bCs/>
          <w:sz w:val="24"/>
        </w:rPr>
        <w:t>。</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14.2基金托管人的更换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14.2.1基金托管人的更换条件</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有下列情形之一的，基金托管人职责终止：</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）被依法取消基金托管资格；</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）被基金份额持有人大会解任；</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3</w:t>
      </w:r>
      <w:r w:rsidRPr="00B77E5D">
        <w:rPr>
          <w:rFonts w:hint="eastAsia"/>
          <w:bCs/>
          <w:sz w:val="24"/>
        </w:rPr>
        <w:t>）依法解散、被依法撤销或被依法宣告破产；</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4</w:t>
      </w:r>
      <w:r w:rsidRPr="00B77E5D">
        <w:rPr>
          <w:rFonts w:hint="eastAsia"/>
          <w:bCs/>
          <w:sz w:val="24"/>
        </w:rPr>
        <w:t>）</w:t>
      </w:r>
      <w:r w:rsidRPr="00B77E5D">
        <w:rPr>
          <w:bCs/>
          <w:sz w:val="24"/>
        </w:rPr>
        <w:t>法律法规及中国证监会规定的和基金合同约定的其他情形。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14.2.2基金托管人的更换程序</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1</w:t>
      </w:r>
      <w:r w:rsidRPr="00B77E5D">
        <w:rPr>
          <w:rFonts w:hint="eastAsia"/>
          <w:bCs/>
          <w:sz w:val="24"/>
        </w:rPr>
        <w:t>）</w:t>
      </w:r>
      <w:r w:rsidRPr="00B77E5D">
        <w:rPr>
          <w:bCs/>
          <w:sz w:val="24"/>
        </w:rPr>
        <w:t>提名：</w:t>
      </w:r>
      <w:proofErr w:type="gramStart"/>
      <w:r w:rsidRPr="00B77E5D">
        <w:rPr>
          <w:bCs/>
          <w:sz w:val="24"/>
        </w:rPr>
        <w:t>新任基金</w:t>
      </w:r>
      <w:proofErr w:type="gramEnd"/>
      <w:r w:rsidRPr="00B77E5D">
        <w:rPr>
          <w:bCs/>
          <w:sz w:val="24"/>
        </w:rPr>
        <w:t>托管人由基金管理人或由单独或合计持有</w:t>
      </w:r>
      <w:r w:rsidRPr="00B77E5D">
        <w:rPr>
          <w:rFonts w:hint="eastAsia"/>
          <w:bCs/>
          <w:sz w:val="24"/>
        </w:rPr>
        <w:t>10%</w:t>
      </w:r>
      <w:r w:rsidRPr="00B77E5D">
        <w:rPr>
          <w:bCs/>
          <w:sz w:val="24"/>
        </w:rPr>
        <w:t>以上（含</w:t>
      </w:r>
      <w:r w:rsidRPr="00B77E5D">
        <w:rPr>
          <w:rFonts w:hint="eastAsia"/>
          <w:bCs/>
          <w:sz w:val="24"/>
        </w:rPr>
        <w:t>10%</w:t>
      </w:r>
      <w:r w:rsidRPr="00B77E5D">
        <w:rPr>
          <w:bCs/>
          <w:sz w:val="24"/>
        </w:rPr>
        <w:t>）基金份额的基金份额持有人提名；</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2</w:t>
      </w:r>
      <w:r w:rsidRPr="00B77E5D">
        <w:rPr>
          <w:rFonts w:hint="eastAsia"/>
          <w:bCs/>
          <w:sz w:val="24"/>
        </w:rPr>
        <w:t>）决议：基金份额持有人大会在基金托管人职责终止后</w:t>
      </w:r>
      <w:r w:rsidRPr="00B77E5D">
        <w:rPr>
          <w:rFonts w:hint="eastAsia"/>
          <w:bCs/>
          <w:sz w:val="24"/>
        </w:rPr>
        <w:t>6</w:t>
      </w:r>
      <w:r w:rsidRPr="00B77E5D">
        <w:rPr>
          <w:rFonts w:hint="eastAsia"/>
          <w:bCs/>
          <w:sz w:val="24"/>
        </w:rPr>
        <w:t>个月内对被提名的基金托管人形成决议，该决议需经参加大会的基金份额持有人所持表决权的三分之二以上（含三分之二）表决通过，决议自表决通过之日起生效；</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3</w:t>
      </w:r>
      <w:r w:rsidRPr="00B77E5D">
        <w:rPr>
          <w:rFonts w:hint="eastAsia"/>
          <w:bCs/>
          <w:sz w:val="24"/>
        </w:rPr>
        <w:t>）</w:t>
      </w:r>
      <w:r w:rsidRPr="00B77E5D">
        <w:rPr>
          <w:bCs/>
          <w:sz w:val="24"/>
        </w:rPr>
        <w:t>临时基金托管人：</w:t>
      </w:r>
      <w:proofErr w:type="gramStart"/>
      <w:r w:rsidRPr="00B77E5D">
        <w:rPr>
          <w:bCs/>
          <w:sz w:val="24"/>
        </w:rPr>
        <w:t>新任基金</w:t>
      </w:r>
      <w:proofErr w:type="gramEnd"/>
      <w:r w:rsidRPr="00B77E5D">
        <w:rPr>
          <w:bCs/>
          <w:sz w:val="24"/>
        </w:rPr>
        <w:t>托管人产生之前，由中国证监会指定临时基金托管人；</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4</w:t>
      </w:r>
      <w:r w:rsidRPr="00B77E5D">
        <w:rPr>
          <w:rFonts w:hint="eastAsia"/>
          <w:bCs/>
          <w:sz w:val="24"/>
        </w:rPr>
        <w:t>）备案</w:t>
      </w:r>
      <w:r w:rsidRPr="00B77E5D">
        <w:rPr>
          <w:bCs/>
          <w:sz w:val="24"/>
        </w:rPr>
        <w:t>：基金份额持有人大会更换基金托管人的决议须</w:t>
      </w:r>
      <w:r w:rsidRPr="00B77E5D">
        <w:rPr>
          <w:rFonts w:hint="eastAsia"/>
          <w:bCs/>
          <w:sz w:val="24"/>
        </w:rPr>
        <w:t>报</w:t>
      </w:r>
      <w:r w:rsidRPr="00B77E5D">
        <w:rPr>
          <w:bCs/>
          <w:sz w:val="24"/>
        </w:rPr>
        <w:t>中国证监会</w:t>
      </w:r>
      <w:r w:rsidRPr="00B77E5D">
        <w:rPr>
          <w:rFonts w:hint="eastAsia"/>
          <w:bCs/>
          <w:sz w:val="24"/>
        </w:rPr>
        <w:t>备案</w:t>
      </w:r>
      <w:r w:rsidRPr="00B77E5D">
        <w:rPr>
          <w:bCs/>
          <w:sz w:val="24"/>
        </w:rPr>
        <w:t>；</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5</w:t>
      </w:r>
      <w:r w:rsidRPr="00B77E5D">
        <w:rPr>
          <w:rFonts w:hint="eastAsia"/>
          <w:bCs/>
          <w:sz w:val="24"/>
        </w:rPr>
        <w:t>）公告：基金托管人更换后，由基金管理人在更换基金托管人的基金份额持有人大会决议生效后依照《信息披露办法》的有关规定在规定媒介公告；</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6</w:t>
      </w:r>
      <w:r w:rsidRPr="00B77E5D">
        <w:rPr>
          <w:rFonts w:hint="eastAsia"/>
          <w:bCs/>
          <w:sz w:val="24"/>
        </w:rPr>
        <w:t>）交接：原任基金托管人职责终止的，应当妥善保管基金财产和基金托管业务资料，及时办理基金财产和基金托管业务的移交手续，</w:t>
      </w:r>
      <w:proofErr w:type="gramStart"/>
      <w:r w:rsidRPr="00B77E5D">
        <w:rPr>
          <w:rFonts w:hint="eastAsia"/>
          <w:bCs/>
          <w:sz w:val="24"/>
        </w:rPr>
        <w:t>新任基金</w:t>
      </w:r>
      <w:proofErr w:type="gramEnd"/>
      <w:r w:rsidRPr="00B77E5D">
        <w:rPr>
          <w:rFonts w:hint="eastAsia"/>
          <w:bCs/>
          <w:sz w:val="24"/>
        </w:rPr>
        <w:t>托管人或者临时基金托管人应当及时接收。</w:t>
      </w:r>
      <w:proofErr w:type="gramStart"/>
      <w:r w:rsidRPr="00B77E5D">
        <w:rPr>
          <w:rFonts w:hint="eastAsia"/>
          <w:bCs/>
          <w:sz w:val="24"/>
        </w:rPr>
        <w:t>新任基金</w:t>
      </w:r>
      <w:proofErr w:type="gramEnd"/>
      <w:r w:rsidRPr="00B77E5D">
        <w:rPr>
          <w:rFonts w:hint="eastAsia"/>
          <w:bCs/>
          <w:sz w:val="24"/>
        </w:rPr>
        <w:t>托管人或临时基金托管人应与基金管理人核对基金资产总值和净值；</w:t>
      </w:r>
      <w:r w:rsidRPr="00B77E5D">
        <w:rPr>
          <w:rFonts w:hint="eastAsia"/>
          <w:bCs/>
          <w:sz w:val="24"/>
        </w:rPr>
        <w:t xml:space="preserve"> </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7</w:t>
      </w:r>
      <w:r w:rsidRPr="00B77E5D">
        <w:rPr>
          <w:rFonts w:hint="eastAsia"/>
          <w:bCs/>
          <w:sz w:val="24"/>
        </w:rPr>
        <w:t>）审计：原任基金托管人职责终止的，应当按照法律法规规定聘请符合《中</w:t>
      </w:r>
      <w:r w:rsidRPr="00B77E5D">
        <w:rPr>
          <w:rFonts w:hint="eastAsia"/>
          <w:bCs/>
          <w:sz w:val="24"/>
        </w:rPr>
        <w:lastRenderedPageBreak/>
        <w:t>华人民共和国证券法》规定的会计师事务所对基金财产进行审计，并将审计结果予以公告，同时报中国证监会备案，审计费用从基金财产中列支。</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14.3基金管理人与基金托管人同时更换</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1</w:t>
      </w:r>
      <w:r w:rsidRPr="00B77E5D">
        <w:rPr>
          <w:rFonts w:hint="eastAsia"/>
          <w:bCs/>
          <w:sz w:val="24"/>
        </w:rPr>
        <w:t>）</w:t>
      </w:r>
      <w:r w:rsidRPr="00B77E5D">
        <w:rPr>
          <w:bCs/>
          <w:sz w:val="24"/>
        </w:rPr>
        <w:t>提名：如果基金管理人和基金托管人同时更换，由单独或合计持有基金总份额</w:t>
      </w:r>
      <w:r w:rsidRPr="00B77E5D">
        <w:rPr>
          <w:rFonts w:hint="eastAsia"/>
          <w:bCs/>
          <w:sz w:val="24"/>
        </w:rPr>
        <w:t>10%</w:t>
      </w:r>
      <w:r w:rsidRPr="00B77E5D">
        <w:rPr>
          <w:bCs/>
          <w:sz w:val="24"/>
        </w:rPr>
        <w:t>以上（含</w:t>
      </w:r>
      <w:r w:rsidRPr="00B77E5D">
        <w:rPr>
          <w:rFonts w:hint="eastAsia"/>
          <w:bCs/>
          <w:sz w:val="24"/>
        </w:rPr>
        <w:t>10%</w:t>
      </w:r>
      <w:r w:rsidRPr="00B77E5D">
        <w:rPr>
          <w:bCs/>
          <w:sz w:val="24"/>
        </w:rPr>
        <w:t>）的基金份额持有人提名新的基金管理人和基金托管人；</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2</w:t>
      </w:r>
      <w:r w:rsidRPr="00B77E5D">
        <w:rPr>
          <w:rFonts w:hint="eastAsia"/>
          <w:bCs/>
          <w:sz w:val="24"/>
        </w:rPr>
        <w:t>）</w:t>
      </w:r>
      <w:r w:rsidRPr="00B77E5D">
        <w:rPr>
          <w:bCs/>
          <w:sz w:val="24"/>
        </w:rPr>
        <w:t>基金管理人和基金托管人的更换分别按上述程序进行；</w:t>
      </w:r>
    </w:p>
    <w:p w:rsidR="002E15F3" w:rsidRPr="00B77E5D" w:rsidRDefault="00834479">
      <w:pPr>
        <w:spacing w:line="360" w:lineRule="auto"/>
        <w:ind w:firstLineChars="200" w:firstLine="480"/>
        <w:rPr>
          <w:bCs/>
          <w:sz w:val="24"/>
        </w:rPr>
      </w:pPr>
      <w:r w:rsidRPr="00B77E5D">
        <w:rPr>
          <w:rFonts w:hint="eastAsia"/>
          <w:bCs/>
          <w:sz w:val="24"/>
        </w:rPr>
        <w:t>（</w:t>
      </w:r>
      <w:r w:rsidRPr="00B77E5D">
        <w:rPr>
          <w:bCs/>
          <w:sz w:val="24"/>
        </w:rPr>
        <w:t>3</w:t>
      </w:r>
      <w:r w:rsidRPr="00B77E5D">
        <w:rPr>
          <w:rFonts w:hint="eastAsia"/>
          <w:bCs/>
          <w:sz w:val="24"/>
        </w:rPr>
        <w:t>）公告：</w:t>
      </w:r>
      <w:proofErr w:type="gramStart"/>
      <w:r w:rsidRPr="00B77E5D">
        <w:rPr>
          <w:rFonts w:hint="eastAsia"/>
          <w:bCs/>
          <w:sz w:val="24"/>
        </w:rPr>
        <w:t>新任基金</w:t>
      </w:r>
      <w:proofErr w:type="gramEnd"/>
      <w:r w:rsidRPr="00B77E5D">
        <w:rPr>
          <w:rFonts w:hint="eastAsia"/>
          <w:bCs/>
          <w:sz w:val="24"/>
        </w:rPr>
        <w:t>管理人和</w:t>
      </w:r>
      <w:proofErr w:type="gramStart"/>
      <w:r w:rsidRPr="00B77E5D">
        <w:rPr>
          <w:rFonts w:hint="eastAsia"/>
          <w:bCs/>
          <w:sz w:val="24"/>
        </w:rPr>
        <w:t>新任基金</w:t>
      </w:r>
      <w:proofErr w:type="gramEnd"/>
      <w:r w:rsidRPr="00B77E5D">
        <w:rPr>
          <w:rFonts w:hint="eastAsia"/>
          <w:bCs/>
          <w:sz w:val="24"/>
        </w:rPr>
        <w:t>托管人应在更换基金管理人和基金托管人的基金份额持有人大会决议生效后依照《信息披露办法》的有关规定在规定媒介上联合公告</w:t>
      </w:r>
      <w:r w:rsidRPr="00B77E5D">
        <w:rPr>
          <w:bCs/>
          <w:sz w:val="24"/>
        </w:rPr>
        <w:t>。</w:t>
      </w:r>
      <w:r w:rsidRPr="00B77E5D">
        <w:rPr>
          <w:rFonts w:hint="eastAsia"/>
          <w:bCs/>
          <w:sz w:val="24"/>
        </w:rPr>
        <w:t xml:space="preserve"> </w:t>
      </w:r>
    </w:p>
    <w:p w:rsidR="002E15F3" w:rsidRPr="00B77E5D" w:rsidRDefault="00834479">
      <w:pPr>
        <w:pStyle w:val="20"/>
        <w:spacing w:before="0" w:after="0" w:line="360" w:lineRule="auto"/>
        <w:ind w:left="0" w:firstLineChars="200" w:firstLine="480"/>
        <w:rPr>
          <w:bCs/>
        </w:rPr>
      </w:pPr>
      <w:r w:rsidRPr="00B77E5D">
        <w:rPr>
          <w:rFonts w:hAnsi="宋体" w:hint="eastAsia"/>
          <w:szCs w:val="24"/>
        </w:rPr>
        <w:t>14.4</w:t>
      </w:r>
      <w:r w:rsidRPr="00B77E5D">
        <w:rPr>
          <w:bCs/>
          <w:color w:val="000000"/>
        </w:rPr>
        <w:t>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rsidR="002E15F3" w:rsidRPr="00B77E5D" w:rsidRDefault="00834479">
      <w:pPr>
        <w:pStyle w:val="20"/>
        <w:spacing w:before="0" w:after="0" w:line="360" w:lineRule="auto"/>
        <w:ind w:left="0" w:firstLineChars="200" w:firstLine="480"/>
        <w:rPr>
          <w:rFonts w:hAnsi="宋体"/>
          <w:szCs w:val="24"/>
        </w:rPr>
      </w:pPr>
      <w:r w:rsidRPr="00B77E5D">
        <w:rPr>
          <w:rFonts w:hint="eastAsia"/>
          <w:bCs/>
        </w:rPr>
        <w:t>14.5本部</w:t>
      </w:r>
      <w:proofErr w:type="gramStart"/>
      <w:r w:rsidRPr="00B77E5D">
        <w:rPr>
          <w:rFonts w:hint="eastAsia"/>
          <w:bCs/>
        </w:rPr>
        <w:t>分关于</w:t>
      </w:r>
      <w:proofErr w:type="gramEnd"/>
      <w:r w:rsidRPr="00B77E5D">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2E15F3" w:rsidRPr="00B77E5D" w:rsidRDefault="00834479">
      <w:pPr>
        <w:pStyle w:val="1"/>
        <w:ind w:firstLineChars="200" w:firstLine="482"/>
        <w:rPr>
          <w:bCs/>
          <w:color w:val="auto"/>
          <w:szCs w:val="24"/>
        </w:rPr>
      </w:pPr>
      <w:bookmarkStart w:id="42" w:name="_Toc296551351"/>
      <w:bookmarkStart w:id="43" w:name="_Toc44321738"/>
      <w:r w:rsidRPr="00B77E5D">
        <w:rPr>
          <w:rFonts w:hint="eastAsia"/>
          <w:bCs/>
          <w:color w:val="auto"/>
          <w:szCs w:val="24"/>
        </w:rPr>
        <w:t>第十五条 禁止行为</w:t>
      </w:r>
      <w:bookmarkEnd w:id="42"/>
      <w:bookmarkEnd w:id="43"/>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15.1基金管理人、基金托管人禁止从事的行为，包括但不限于：</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15.1.1基金管理人、基金托管人将其固有财产或者他人财产混同于基金财产从事证券投资。</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15.1.2基金管理人不公平地对待其管理的不同基金财产，基金托管人不公平地对待其托管的不同基金财产。</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15.1.3基金管理人、基金托管人利用基金财产或职务之便为基金份额持有人以外的第三人牟取利益。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15.1.4基金管理人、基金托管人向基金份额持有人违规承诺收益或者承担损失。</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15.1.5基金管理人、基金托管人对他人泄露基金运作和管理过程中任何尚未按法律法规规定的方式公开披露的信息。</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15.1.6基金管理人在没有充足资金的情况下向基金托管人发出投资指令和赎回、分红资金的划拨指令，或违规向基金托管人发出指令。</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lastRenderedPageBreak/>
        <w:t>15.1.7基金管理人、基金托管人在行政上、财务上不独立，其高级管理人员和其他从业人员相互兼职。</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15.1.8基金托管人私自动用或处分基金财产，根据基金管理人的合法指令、基金合同或本协议的规定进行处分的除外。</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15.1.9基金财产不得用于下列投资或者活动：</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）承销证券；</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）违反规定向他人贷款或者提供担保；</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3</w:t>
      </w:r>
      <w:r w:rsidRPr="00B77E5D">
        <w:rPr>
          <w:rFonts w:hint="eastAsia"/>
          <w:bCs/>
          <w:sz w:val="24"/>
        </w:rPr>
        <w:t>）从事承担无限责任的投资；</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4</w:t>
      </w:r>
      <w:r w:rsidRPr="00B77E5D">
        <w:rPr>
          <w:rFonts w:hint="eastAsia"/>
          <w:bCs/>
          <w:sz w:val="24"/>
        </w:rPr>
        <w:t>）买卖其他基金份额，但是中国证监会另有规定的除外；</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5</w:t>
      </w:r>
      <w:r w:rsidRPr="00B77E5D">
        <w:rPr>
          <w:rFonts w:hint="eastAsia"/>
          <w:bCs/>
          <w:sz w:val="24"/>
        </w:rPr>
        <w:t>）向其基金管理人、基金托管人出资；</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6</w:t>
      </w:r>
      <w:r w:rsidRPr="00B77E5D">
        <w:rPr>
          <w:rFonts w:hint="eastAsia"/>
          <w:bCs/>
          <w:sz w:val="24"/>
        </w:rPr>
        <w:t>）从事内幕交易、操纵证券交易价格及其他不正当的证券交易活动；</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7</w:t>
      </w:r>
      <w:r w:rsidRPr="00B77E5D">
        <w:rPr>
          <w:rFonts w:hint="eastAsia"/>
          <w:bCs/>
          <w:sz w:val="24"/>
        </w:rPr>
        <w:t>）法律、行政法规和中国证监会规定禁止的其他活动。</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15.1.10法律法规或监管部门取消上述禁止行为规定，本基金可不受相关限制。法律法规或监管部门对上述禁止行为规定进行变更的，本基金可以变更后的规定为准。经与基金托管人协商一致，基金管理人可依据法律法规或监管部门规定直接对基金合同进行变更，该变更无须召开基金份额持有人大会审议。</w:t>
      </w:r>
    </w:p>
    <w:p w:rsidR="002E15F3" w:rsidRPr="00B77E5D" w:rsidRDefault="00834479">
      <w:pPr>
        <w:pStyle w:val="1"/>
        <w:ind w:firstLineChars="200" w:firstLine="482"/>
        <w:rPr>
          <w:bCs/>
          <w:color w:val="auto"/>
          <w:szCs w:val="24"/>
        </w:rPr>
      </w:pPr>
      <w:bookmarkStart w:id="44" w:name="_Toc296551352"/>
      <w:bookmarkStart w:id="45" w:name="_Toc44321739"/>
      <w:r w:rsidRPr="00B77E5D">
        <w:rPr>
          <w:rFonts w:hint="eastAsia"/>
          <w:bCs/>
          <w:color w:val="auto"/>
          <w:szCs w:val="24"/>
        </w:rPr>
        <w:t>第十六条 本协议的变更、终止与基金财产的清算</w:t>
      </w:r>
      <w:bookmarkEnd w:id="44"/>
      <w:bookmarkEnd w:id="45"/>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16.1本协议的变更与终止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16.1.1本协议的变更程序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本协议双方当事人经协商一致，可以对协议的内容进行变更</w:t>
      </w:r>
      <w:r w:rsidRPr="00B77E5D">
        <w:rPr>
          <w:rFonts w:asciiTheme="minorEastAsia" w:eastAsiaTheme="minorEastAsia" w:hAnsiTheme="minorEastAsia" w:hint="eastAsia"/>
          <w:szCs w:val="24"/>
        </w:rPr>
        <w:t>，并另行签署书面协议予以明确</w:t>
      </w:r>
      <w:r w:rsidRPr="00B77E5D">
        <w:rPr>
          <w:rFonts w:hAnsi="宋体" w:hint="eastAsia"/>
          <w:szCs w:val="24"/>
        </w:rPr>
        <w:t>。变更后的托管协议，其内容不得与基金合同的规定有任何冲突。</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16.1.2本协议终止的情形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发生以下情况，本协议终止：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（1）基金合同终止；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（2）基金托管人解散、依法被撤销、破产或由其他基金托管人接管基金资产；</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（3）基金管理人解散、依法被撤销、破产或由其他基金管理人接管基金管理权；</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w:t>
      </w:r>
      <w:r w:rsidRPr="00B77E5D">
        <w:rPr>
          <w:rFonts w:hAnsi="宋体"/>
          <w:szCs w:val="24"/>
        </w:rPr>
        <w:t>4</w:t>
      </w:r>
      <w:r w:rsidRPr="00B77E5D">
        <w:rPr>
          <w:rFonts w:hAnsi="宋体" w:hint="eastAsia"/>
          <w:szCs w:val="24"/>
        </w:rPr>
        <w:t>）发生法律法规或基金合同规定的终止事项；</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16.2基金财产的清算</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16.2.1基金财产清算小组</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w:t>
      </w:r>
      <w:r w:rsidRPr="00B77E5D">
        <w:rPr>
          <w:bCs/>
        </w:rPr>
        <w:t>基金财产清算小组：</w:t>
      </w:r>
      <w:r w:rsidRPr="00B77E5D">
        <w:rPr>
          <w:rFonts w:hAnsi="宋体" w:hint="eastAsia"/>
          <w:szCs w:val="24"/>
        </w:rPr>
        <w:t>自出现基金合同终止事由之日起30个工作日内成立</w:t>
      </w:r>
      <w:r w:rsidRPr="00B77E5D">
        <w:rPr>
          <w:rFonts w:hint="eastAsia"/>
          <w:bCs/>
        </w:rPr>
        <w:t>基金财产</w:t>
      </w:r>
      <w:r w:rsidRPr="00B77E5D">
        <w:rPr>
          <w:bCs/>
        </w:rPr>
        <w:t>清算小组</w:t>
      </w:r>
      <w:r w:rsidRPr="00B77E5D">
        <w:rPr>
          <w:rFonts w:hAnsi="宋体" w:hint="eastAsia"/>
          <w:szCs w:val="24"/>
        </w:rPr>
        <w:t>，基金管理人组织基金财产清算小组并在中国证监会的监督下进</w:t>
      </w:r>
      <w:r w:rsidRPr="00B77E5D">
        <w:rPr>
          <w:rFonts w:hAnsi="宋体" w:hint="eastAsia"/>
          <w:szCs w:val="24"/>
        </w:rPr>
        <w:lastRenderedPageBreak/>
        <w:t>行基金清算。</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（3）基金财产清算小组职责：基金财产清算小组负责基金财产的保管、清理、估价、变现和分配。基金财产清算小组可以依法进行必要的民事活动。</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16.2.2基金财产清算程序</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（1）基金合同终止情形出现时，由基金财产清算小组统一接管基金财产；</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（2）对基金财产和债权债务进行清理和确认；</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（3）对基金财产进行估值和变现；</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（4）制作清算报告；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（5）聘请会计师事务所对清算报告进行外部审计，聘请律师事务所对清算报告出具法律意见书；</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（6）将清算报告报中国证监会备案并公告；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（7）对基金剩余财产进行分配。</w:t>
      </w:r>
    </w:p>
    <w:p w:rsidR="002E15F3" w:rsidRPr="00B77E5D" w:rsidRDefault="00834479">
      <w:pPr>
        <w:pStyle w:val="20"/>
        <w:spacing w:before="0" w:after="0" w:line="360" w:lineRule="auto"/>
        <w:ind w:left="0" w:firstLineChars="200" w:firstLine="480"/>
        <w:rPr>
          <w:bCs/>
        </w:rPr>
      </w:pPr>
      <w:r w:rsidRPr="00B77E5D">
        <w:rPr>
          <w:rFonts w:hint="eastAsia"/>
          <w:bCs/>
        </w:rPr>
        <w:t>基金财产清算的期限为</w:t>
      </w:r>
      <w:r w:rsidRPr="00B77E5D">
        <w:rPr>
          <w:bCs/>
        </w:rPr>
        <w:t>6</w:t>
      </w:r>
      <w:r w:rsidRPr="00B77E5D">
        <w:rPr>
          <w:rFonts w:hint="eastAsia"/>
          <w:bCs/>
        </w:rPr>
        <w:t>个月，但基金所持证券的流动性受到限制而不能及时变现的，清算期限可相应顺延。</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16.2.3清算费用</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清算费用是指基金财产清算小组在进行基金财产清算过程中发生的所有合理费用，清算费用由基金财产清算小组优先从基金剩余财产中支付。</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16.2.4基金财产清算剩余资产的分配</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依据基金财产清算的分配方案，将基金财产清算后的全部剩余资产扣除基金财产清算费用、交纳所欠税款并清偿基金债务后，按基金份额持有人持有的基金份额比例进行分配。</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16.2.5基金财产清算的公告</w:t>
      </w:r>
    </w:p>
    <w:p w:rsidR="002E15F3" w:rsidRPr="00B77E5D" w:rsidRDefault="00834479">
      <w:pPr>
        <w:spacing w:line="360" w:lineRule="auto"/>
        <w:ind w:firstLineChars="200" w:firstLine="480"/>
        <w:rPr>
          <w:bCs/>
          <w:sz w:val="24"/>
        </w:rPr>
      </w:pPr>
      <w:r w:rsidRPr="00B77E5D">
        <w:rPr>
          <w:rFonts w:hint="eastAsia"/>
          <w:bCs/>
          <w:sz w:val="24"/>
        </w:rPr>
        <w:t>清算过程中的有关重大事项须及时公告；基金财产清算报告</w:t>
      </w:r>
      <w:proofErr w:type="gramStart"/>
      <w:r w:rsidRPr="00B77E5D">
        <w:rPr>
          <w:rFonts w:hint="eastAsia"/>
          <w:bCs/>
          <w:sz w:val="24"/>
        </w:rPr>
        <w:t>经符合</w:t>
      </w:r>
      <w:proofErr w:type="gramEnd"/>
      <w:r w:rsidRPr="00B77E5D">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B77E5D">
        <w:rPr>
          <w:rFonts w:hint="eastAsia"/>
          <w:bCs/>
          <w:sz w:val="24"/>
        </w:rPr>
        <w:t>5</w:t>
      </w:r>
      <w:r w:rsidRPr="00B77E5D">
        <w:rPr>
          <w:rFonts w:hint="eastAsia"/>
          <w:bCs/>
          <w:sz w:val="24"/>
        </w:rPr>
        <w:t>个工作日内由基金财产清算小组进行公告，基金财产清算小组应当将清算报告登载在规定网站上，并将清算报告提示性公告登载在规定报刊上。</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16.2.6基金财产清算账册及文件的保存</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基金财产清算账册及有关文件由基金托管人保存，保存时间不低于法律法规规</w:t>
      </w:r>
      <w:r w:rsidRPr="00B77E5D">
        <w:rPr>
          <w:rFonts w:hAnsi="宋体" w:hint="eastAsia"/>
          <w:szCs w:val="24"/>
        </w:rPr>
        <w:lastRenderedPageBreak/>
        <w:t>定的最低期限。</w:t>
      </w:r>
    </w:p>
    <w:p w:rsidR="002E15F3" w:rsidRPr="00B77E5D" w:rsidRDefault="00834479">
      <w:pPr>
        <w:pStyle w:val="1"/>
        <w:ind w:firstLineChars="200" w:firstLine="482"/>
        <w:rPr>
          <w:bCs/>
          <w:color w:val="auto"/>
          <w:szCs w:val="24"/>
        </w:rPr>
      </w:pPr>
      <w:bookmarkStart w:id="46" w:name="_Toc296551353"/>
      <w:bookmarkStart w:id="47" w:name="_Toc44321740"/>
      <w:r w:rsidRPr="00B77E5D">
        <w:rPr>
          <w:rFonts w:hint="eastAsia"/>
          <w:bCs/>
          <w:color w:val="auto"/>
          <w:szCs w:val="24"/>
        </w:rPr>
        <w:t>第十七条 违约责任</w:t>
      </w:r>
      <w:bookmarkEnd w:id="46"/>
      <w:bookmarkEnd w:id="47"/>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17.1如果基金管理人或基金托管人不履行本协议或者履行本协议不符合约定的，应当承担违约责任。</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17.2</w:t>
      </w:r>
      <w:r w:rsidRPr="00B77E5D">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sidRPr="00B77E5D">
        <w:rPr>
          <w:rFonts w:hint="eastAsia"/>
          <w:bCs/>
        </w:rPr>
        <w:t>，对损失的赔偿，仅限于直接经济损失</w:t>
      </w:r>
      <w:r w:rsidRPr="00B77E5D">
        <w:rPr>
          <w:rFonts w:hAnsi="宋体" w:hint="eastAsia"/>
          <w:b/>
          <w:bCs/>
          <w:szCs w:val="24"/>
        </w:rPr>
        <w:t>。</w:t>
      </w:r>
      <w:r w:rsidRPr="00B77E5D">
        <w:rPr>
          <w:rFonts w:hAnsi="宋体" w:hint="eastAsia"/>
          <w:szCs w:val="24"/>
        </w:rPr>
        <w:t>但是发生下列情况之一的，当事人免责：</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1</w:t>
      </w:r>
      <w:r w:rsidRPr="00B77E5D">
        <w:rPr>
          <w:rFonts w:hint="eastAsia"/>
          <w:bCs/>
          <w:sz w:val="24"/>
        </w:rPr>
        <w:t>）</w:t>
      </w:r>
      <w:r w:rsidRPr="00B77E5D">
        <w:rPr>
          <w:bCs/>
          <w:sz w:val="24"/>
        </w:rPr>
        <w:t>不可抗力；</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2</w:t>
      </w:r>
      <w:r w:rsidRPr="00B77E5D">
        <w:rPr>
          <w:rFonts w:hint="eastAsia"/>
          <w:bCs/>
          <w:sz w:val="24"/>
        </w:rPr>
        <w:t>）基金管理人和</w:t>
      </w:r>
      <w:r w:rsidRPr="00B77E5D">
        <w:rPr>
          <w:bCs/>
          <w:sz w:val="24"/>
        </w:rPr>
        <w:t>/</w:t>
      </w:r>
      <w:r w:rsidRPr="00B77E5D">
        <w:rPr>
          <w:rFonts w:hint="eastAsia"/>
          <w:bCs/>
          <w:sz w:val="24"/>
        </w:rPr>
        <w:t>或基金托管人按照届时有效的法律法规、规章、市场交易规则或监管机构的规定作为或不作为而造成的损失等；</w:t>
      </w:r>
    </w:p>
    <w:p w:rsidR="002E15F3" w:rsidRPr="00B77E5D" w:rsidRDefault="00834479">
      <w:pPr>
        <w:spacing w:line="360" w:lineRule="auto"/>
        <w:ind w:firstLineChars="200" w:firstLine="480"/>
        <w:rPr>
          <w:bCs/>
          <w:sz w:val="24"/>
        </w:rPr>
      </w:pPr>
      <w:r w:rsidRPr="00B77E5D">
        <w:rPr>
          <w:rFonts w:hint="eastAsia"/>
          <w:bCs/>
          <w:sz w:val="24"/>
        </w:rPr>
        <w:t>（</w:t>
      </w:r>
      <w:r w:rsidRPr="00B77E5D">
        <w:rPr>
          <w:rFonts w:hint="eastAsia"/>
          <w:bCs/>
          <w:sz w:val="24"/>
        </w:rPr>
        <w:t>3</w:t>
      </w:r>
      <w:r w:rsidRPr="00B77E5D">
        <w:rPr>
          <w:rFonts w:hint="eastAsia"/>
          <w:bCs/>
          <w:sz w:val="24"/>
        </w:rPr>
        <w:t>）基金管理人由于按照基金合同规定的投资原则而行使或不行使其投资权而造成的损失等。</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本基金财产或基金份额持有人所遭受的损失，则守约方有权向违约方追索，违约方应赔偿和补偿守约方由此发生的所有成本、费用和支出，以及由此遭受的损失。</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17.4</w:t>
      </w:r>
      <w:r w:rsidRPr="00B77E5D">
        <w:rPr>
          <w:rFonts w:hint="eastAsia"/>
          <w:bCs/>
        </w:rPr>
        <w:t>在发生一方或多方违约的情况下，在最大限度地保护基金份额持有人利益的前提下，</w:t>
      </w:r>
      <w:r w:rsidRPr="00B77E5D">
        <w:rPr>
          <w:rFonts w:hAnsi="宋体" w:hint="eastAsia"/>
          <w:szCs w:val="24"/>
        </w:rPr>
        <w:t>本协议</w:t>
      </w:r>
      <w:r w:rsidRPr="00B77E5D">
        <w:rPr>
          <w:rFonts w:hint="eastAsia"/>
          <w:bCs/>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77E5D">
        <w:rPr>
          <w:rFonts w:hAnsi="宋体" w:hint="eastAsia"/>
          <w:szCs w:val="24"/>
        </w:rPr>
        <w:t>。</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17.5</w:t>
      </w:r>
      <w:r w:rsidRPr="00B77E5D">
        <w:rPr>
          <w:rFonts w:hint="eastAsia"/>
          <w:bCs/>
        </w:rPr>
        <w:t>由于基金管理人、基金托管人不可控制的因素导致业务出现差错，基金管理人和基金托管人虽然已经采取必要、适当、合理的措施进行检查，但是未能发现错误或未能避免错误发生或</w:t>
      </w:r>
      <w:proofErr w:type="gramStart"/>
      <w:r w:rsidRPr="00B77E5D">
        <w:rPr>
          <w:rFonts w:hint="eastAsia"/>
          <w:bCs/>
        </w:rPr>
        <w:t>虽发现</w:t>
      </w:r>
      <w:proofErr w:type="gramEnd"/>
      <w:r w:rsidRPr="00B77E5D">
        <w:rPr>
          <w:rFonts w:hint="eastAsia"/>
          <w:bCs/>
        </w:rPr>
        <w:t>错误但因前述原因无法及时更正的，由此造成基金财产或投资人损失，基金管理人和基金托管人免除赔偿责任。但是基金管理人和基金托管人应积极采取必要的措施减轻或消除由此造成的影响</w:t>
      </w:r>
      <w:r w:rsidRPr="00B77E5D">
        <w:rPr>
          <w:bCs/>
        </w:rPr>
        <w:t>。</w:t>
      </w:r>
    </w:p>
    <w:p w:rsidR="002E15F3" w:rsidRPr="00B77E5D" w:rsidRDefault="00834479">
      <w:pPr>
        <w:pStyle w:val="1"/>
        <w:ind w:firstLineChars="200" w:firstLine="482"/>
        <w:rPr>
          <w:bCs/>
          <w:color w:val="auto"/>
          <w:szCs w:val="24"/>
        </w:rPr>
      </w:pPr>
      <w:bookmarkStart w:id="48" w:name="_Toc296551354"/>
      <w:bookmarkStart w:id="49" w:name="_Toc44321741"/>
      <w:r w:rsidRPr="00B77E5D">
        <w:rPr>
          <w:rFonts w:hint="eastAsia"/>
          <w:bCs/>
          <w:color w:val="auto"/>
          <w:szCs w:val="24"/>
        </w:rPr>
        <w:t>第十八条 法律</w:t>
      </w:r>
      <w:r w:rsidRPr="00B77E5D">
        <w:rPr>
          <w:bCs/>
          <w:color w:val="auto"/>
          <w:szCs w:val="24"/>
        </w:rPr>
        <w:t>适用和</w:t>
      </w:r>
      <w:r w:rsidRPr="00B77E5D">
        <w:rPr>
          <w:rFonts w:hint="eastAsia"/>
          <w:bCs/>
          <w:color w:val="auto"/>
          <w:szCs w:val="24"/>
        </w:rPr>
        <w:t>争议解决</w:t>
      </w:r>
      <w:bookmarkEnd w:id="48"/>
      <w:bookmarkEnd w:id="49"/>
    </w:p>
    <w:p w:rsidR="002E15F3" w:rsidRPr="00B77E5D" w:rsidRDefault="00834479">
      <w:pPr>
        <w:adjustRightInd w:val="0"/>
        <w:snapToGrid w:val="0"/>
        <w:spacing w:line="360" w:lineRule="auto"/>
        <w:ind w:firstLineChars="200" w:firstLine="480"/>
        <w:rPr>
          <w:bCs/>
          <w:sz w:val="24"/>
        </w:rPr>
      </w:pPr>
      <w:r w:rsidRPr="00B77E5D">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rsidR="002E15F3" w:rsidRPr="00B77E5D" w:rsidRDefault="00834479">
      <w:pPr>
        <w:adjustRightInd w:val="0"/>
        <w:snapToGrid w:val="0"/>
        <w:spacing w:line="360" w:lineRule="auto"/>
        <w:ind w:firstLineChars="200" w:firstLine="482"/>
        <w:rPr>
          <w:b/>
          <w:sz w:val="24"/>
        </w:rPr>
      </w:pPr>
      <w:r w:rsidRPr="00B77E5D">
        <w:rPr>
          <w:rFonts w:hint="eastAsia"/>
          <w:b/>
          <w:sz w:val="24"/>
        </w:rPr>
        <w:lastRenderedPageBreak/>
        <w:t>凡因本协议产生的及与本协议有关的争议，双方均应协商解决；协商不成的，双方均同意采取以下第【</w:t>
      </w:r>
      <w:r w:rsidRPr="00B77E5D">
        <w:rPr>
          <w:b/>
          <w:sz w:val="24"/>
        </w:rPr>
        <w:t>1</w:t>
      </w:r>
      <w:r w:rsidRPr="00B77E5D">
        <w:rPr>
          <w:rFonts w:hint="eastAsia"/>
          <w:b/>
          <w:sz w:val="24"/>
        </w:rPr>
        <w:t>】种方式解决：</w:t>
      </w:r>
    </w:p>
    <w:p w:rsidR="002E15F3" w:rsidRPr="00B77E5D" w:rsidRDefault="00834479">
      <w:pPr>
        <w:adjustRightInd w:val="0"/>
        <w:snapToGrid w:val="0"/>
        <w:spacing w:line="360" w:lineRule="auto"/>
        <w:ind w:firstLineChars="200" w:firstLine="482"/>
        <w:rPr>
          <w:b/>
          <w:sz w:val="24"/>
        </w:rPr>
      </w:pPr>
      <w:r w:rsidRPr="00B77E5D">
        <w:rPr>
          <w:b/>
          <w:sz w:val="24"/>
        </w:rPr>
        <w:t>1.</w:t>
      </w:r>
      <w:r w:rsidRPr="00B77E5D">
        <w:rPr>
          <w:rFonts w:hint="eastAsia"/>
          <w:bCs/>
          <w:sz w:val="24"/>
        </w:rPr>
        <w:t>提交上海国际经济贸易仲裁委员会（上海国际仲裁中心）。根据该会届时有效的仲裁规则进行仲裁，仲裁地点为上海市，仲裁裁决是终局性的并对各方当事人具有约束力，除非仲裁裁决另有规定，仲裁费用、律师费用由败诉方承担</w:t>
      </w:r>
      <w:r w:rsidRPr="00B77E5D">
        <w:rPr>
          <w:rFonts w:hint="eastAsia"/>
          <w:b/>
          <w:sz w:val="24"/>
        </w:rPr>
        <w:t>；</w:t>
      </w:r>
    </w:p>
    <w:p w:rsidR="002E15F3" w:rsidRPr="00B77E5D" w:rsidRDefault="00834479">
      <w:pPr>
        <w:adjustRightInd w:val="0"/>
        <w:snapToGrid w:val="0"/>
        <w:spacing w:line="360" w:lineRule="auto"/>
        <w:ind w:firstLineChars="200" w:firstLine="482"/>
        <w:rPr>
          <w:b/>
          <w:sz w:val="24"/>
        </w:rPr>
      </w:pPr>
      <w:r w:rsidRPr="00B77E5D">
        <w:rPr>
          <w:b/>
          <w:sz w:val="24"/>
        </w:rPr>
        <w:t>2.</w:t>
      </w:r>
      <w:r w:rsidRPr="00B77E5D">
        <w:rPr>
          <w:rFonts w:hint="eastAsia"/>
          <w:sz w:val="24"/>
        </w:rPr>
        <w:t>向基金托管人住所地有管辖权的人民法院提起诉讼。</w:t>
      </w:r>
    </w:p>
    <w:p w:rsidR="002E15F3" w:rsidRPr="00B77E5D" w:rsidRDefault="00834479">
      <w:pPr>
        <w:adjustRightInd w:val="0"/>
        <w:snapToGrid w:val="0"/>
        <w:spacing w:line="360" w:lineRule="auto"/>
        <w:ind w:firstLineChars="200" w:firstLine="480"/>
        <w:rPr>
          <w:bCs/>
          <w:sz w:val="24"/>
        </w:rPr>
      </w:pPr>
      <w:r w:rsidRPr="00B77E5D">
        <w:rPr>
          <w:rFonts w:hint="eastAsia"/>
          <w:bCs/>
          <w:sz w:val="24"/>
        </w:rPr>
        <w:t>争议处理期间，双方当事人应恪守基金管理人和基金托管人职责，继续忠实、勤勉、尽责地履行基金合同和本协议规定的义务，维护基金份额持有人的合法权益。</w:t>
      </w:r>
    </w:p>
    <w:p w:rsidR="002E15F3" w:rsidRPr="00B77E5D" w:rsidRDefault="00834479">
      <w:pPr>
        <w:pStyle w:val="1"/>
        <w:adjustRightInd w:val="0"/>
        <w:ind w:firstLineChars="200" w:firstLine="482"/>
        <w:rPr>
          <w:bCs/>
          <w:color w:val="auto"/>
          <w:szCs w:val="24"/>
        </w:rPr>
      </w:pPr>
      <w:bookmarkStart w:id="50" w:name="_Toc44321742"/>
      <w:bookmarkStart w:id="51" w:name="_Toc296551355"/>
      <w:r w:rsidRPr="00B77E5D">
        <w:rPr>
          <w:rFonts w:hint="eastAsia"/>
          <w:bCs/>
          <w:color w:val="auto"/>
          <w:szCs w:val="24"/>
        </w:rPr>
        <w:t>第十九条 本协议的效力</w:t>
      </w:r>
      <w:bookmarkEnd w:id="50"/>
      <w:bookmarkEnd w:id="51"/>
    </w:p>
    <w:p w:rsidR="002E15F3" w:rsidRPr="00B77E5D" w:rsidRDefault="00834479">
      <w:pPr>
        <w:pStyle w:val="20"/>
        <w:adjustRightInd w:val="0"/>
        <w:snapToGrid w:val="0"/>
        <w:spacing w:before="0" w:after="0" w:line="360" w:lineRule="auto"/>
        <w:ind w:left="0" w:firstLineChars="200" w:firstLine="480"/>
        <w:rPr>
          <w:rFonts w:hAnsi="宋体"/>
          <w:szCs w:val="24"/>
        </w:rPr>
      </w:pPr>
      <w:r w:rsidRPr="00B77E5D">
        <w:rPr>
          <w:rFonts w:hAnsi="宋体" w:hint="eastAsia"/>
          <w:szCs w:val="24"/>
        </w:rPr>
        <w:t>19.1基金管理人在向中国证监会申请基金募集注册时提交的托管协议草案，应经托管协议当事人</w:t>
      </w:r>
      <w:bookmarkStart w:id="52" w:name="_Hlk97829931"/>
      <w:r w:rsidRPr="00B77E5D">
        <w:rPr>
          <w:rFonts w:hAnsi="宋体" w:hint="eastAsia"/>
          <w:szCs w:val="24"/>
        </w:rPr>
        <w:t>加盖公章或合同专用章</w:t>
      </w:r>
      <w:bookmarkEnd w:id="52"/>
      <w:r w:rsidRPr="00B77E5D">
        <w:rPr>
          <w:rFonts w:hAnsi="宋体" w:hint="eastAsia"/>
          <w:szCs w:val="24"/>
        </w:rPr>
        <w:t>以及双方法定代表人</w:t>
      </w:r>
      <w:r w:rsidRPr="00B77E5D">
        <w:rPr>
          <w:rFonts w:hAnsi="宋体"/>
          <w:szCs w:val="24"/>
        </w:rPr>
        <w:t>/负责人</w:t>
      </w:r>
      <w:r w:rsidRPr="00B77E5D">
        <w:rPr>
          <w:rFonts w:hAnsi="宋体" w:hint="eastAsia"/>
          <w:szCs w:val="24"/>
        </w:rPr>
        <w:t>或授权代理人签字或加盖名章，本协议当事人双方可能不时根据中国证监会的意见修改托管协议草案。本协议以中国证监会注册的最终文本为正式文本。</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19.2本协议自双方签订</w:t>
      </w:r>
      <w:proofErr w:type="gramStart"/>
      <w:r w:rsidRPr="00B77E5D">
        <w:rPr>
          <w:rFonts w:hAnsi="宋体" w:hint="eastAsia"/>
          <w:szCs w:val="24"/>
        </w:rPr>
        <w:t>且基金</w:t>
      </w:r>
      <w:proofErr w:type="gramEnd"/>
      <w:r w:rsidRPr="00B77E5D">
        <w:rPr>
          <w:rFonts w:hAnsi="宋体" w:hint="eastAsia"/>
          <w:szCs w:val="24"/>
        </w:rPr>
        <w:t>合同成立之日起成立，自基金合同生效之日起生效。本协议的有效期自其生效之日起至本基金财产清算结果报中国证监会备案并公告之日止。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19.3本协议自生效之日起对双方具有同等的法律约束力。</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19.4本协议正本一式三份，除上报有关监管机构一份外，基金管理人和基金托管人分别持有一份，每份具有同等的法律效力。</w:t>
      </w:r>
    </w:p>
    <w:p w:rsidR="002E15F3" w:rsidRPr="00B77E5D" w:rsidRDefault="00834479">
      <w:pPr>
        <w:pStyle w:val="1"/>
        <w:ind w:firstLineChars="200" w:firstLine="482"/>
        <w:rPr>
          <w:bCs/>
          <w:color w:val="auto"/>
          <w:szCs w:val="24"/>
        </w:rPr>
      </w:pPr>
      <w:bookmarkStart w:id="53" w:name="_Toc44321743"/>
      <w:bookmarkStart w:id="54" w:name="_Toc296551356"/>
      <w:r w:rsidRPr="00B77E5D">
        <w:rPr>
          <w:rFonts w:hint="eastAsia"/>
          <w:bCs/>
          <w:color w:val="auto"/>
          <w:szCs w:val="24"/>
        </w:rPr>
        <w:t>第二十条 本协议的签订</w:t>
      </w:r>
      <w:bookmarkEnd w:id="53"/>
      <w:bookmarkEnd w:id="54"/>
    </w:p>
    <w:p w:rsidR="002E15F3" w:rsidRPr="00B77E5D" w:rsidRDefault="00834479">
      <w:pPr>
        <w:snapToGrid w:val="0"/>
        <w:spacing w:line="360" w:lineRule="auto"/>
        <w:ind w:firstLineChars="200" w:firstLine="480"/>
        <w:rPr>
          <w:rFonts w:ascii="宋体" w:hAnsi="宋体"/>
          <w:sz w:val="24"/>
          <w:szCs w:val="24"/>
        </w:rPr>
      </w:pPr>
      <w:r w:rsidRPr="00B77E5D">
        <w:rPr>
          <w:rFonts w:ascii="宋体" w:hAnsi="宋体" w:hint="eastAsia"/>
          <w:sz w:val="24"/>
          <w:szCs w:val="24"/>
        </w:rPr>
        <w:t>20.1本协议经基金管理人和基金托管人认可后，由双方当事人在本协议上加盖公章或合同专用章，并由各自的法定代表人</w:t>
      </w:r>
      <w:r w:rsidRPr="00B77E5D">
        <w:rPr>
          <w:rFonts w:ascii="宋体" w:hAnsi="宋体"/>
          <w:sz w:val="24"/>
          <w:szCs w:val="24"/>
        </w:rPr>
        <w:t>/负责人</w:t>
      </w:r>
      <w:r w:rsidRPr="00B77E5D">
        <w:rPr>
          <w:rFonts w:ascii="宋体" w:hAnsi="宋体" w:hint="eastAsia"/>
          <w:sz w:val="24"/>
          <w:szCs w:val="24"/>
        </w:rPr>
        <w:t>或授权代理人签字或加盖名章，并注明本托管协议的签订地点和签订日期。</w:t>
      </w:r>
    </w:p>
    <w:p w:rsidR="002E15F3" w:rsidRPr="00B77E5D" w:rsidRDefault="00834479">
      <w:pPr>
        <w:pStyle w:val="1"/>
        <w:ind w:firstLineChars="200" w:firstLine="482"/>
        <w:rPr>
          <w:bCs/>
          <w:color w:val="auto"/>
          <w:szCs w:val="24"/>
        </w:rPr>
      </w:pPr>
      <w:bookmarkStart w:id="55" w:name="_Toc44321744"/>
      <w:r w:rsidRPr="00B77E5D">
        <w:rPr>
          <w:rFonts w:hint="eastAsia"/>
          <w:bCs/>
          <w:color w:val="auto"/>
          <w:szCs w:val="24"/>
        </w:rPr>
        <w:t>第二十一条 不可抗力</w:t>
      </w:r>
      <w:bookmarkEnd w:id="55"/>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21.1如果本协议任何一方因受不可抗力事件影响而未能履行其在本协议下的全部或部分义务，该义务的履行在不可抗力事件妨碍其履行期间应予中止。</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21.3不可抗力事件发生时，双方应立即通过友好协商决定如何执行本协议。不可抗力事件或其影响终止或消除后，双方须立即恢复履行各自在本协议项下的各</w:t>
      </w:r>
      <w:r w:rsidRPr="00B77E5D">
        <w:rPr>
          <w:rFonts w:hAnsi="宋体" w:hint="eastAsia"/>
          <w:szCs w:val="24"/>
        </w:rPr>
        <w:lastRenderedPageBreak/>
        <w:t>项义务。</w:t>
      </w:r>
    </w:p>
    <w:p w:rsidR="002E15F3" w:rsidRPr="00B77E5D" w:rsidRDefault="00834479">
      <w:pPr>
        <w:pStyle w:val="20"/>
        <w:spacing w:before="0" w:after="0" w:line="360" w:lineRule="auto"/>
        <w:ind w:left="0" w:firstLineChars="200" w:firstLine="480"/>
        <w:rPr>
          <w:rFonts w:hAnsi="宋体"/>
          <w:szCs w:val="24"/>
        </w:rPr>
      </w:pPr>
      <w:r w:rsidRPr="00B77E5D">
        <w:rPr>
          <w:rFonts w:hAnsi="宋体" w:hint="eastAsia"/>
          <w:szCs w:val="24"/>
        </w:rPr>
        <w:t>21.4本条所述的不可抗力事件是指不能预见、不能避免并不能克服的客观情况</w:t>
      </w:r>
      <w:r w:rsidRPr="00B77E5D">
        <w:rPr>
          <w:rFonts w:hint="eastAsia"/>
          <w:bCs/>
        </w:rPr>
        <w:t>，包括但不限于地震、台风、水灾、火灾、战争、瘟疫、社会动乱、非一方过错情况下的电力和通讯故障、系统故障、设备故障、网络黑客攻击以及中国证监会、交易所、证券业协会、基金业协会规定的其他情</w:t>
      </w:r>
      <w:r w:rsidRPr="00B77E5D">
        <w:rPr>
          <w:bCs/>
        </w:rPr>
        <w:t>形</w:t>
      </w:r>
      <w:r w:rsidRPr="00B77E5D">
        <w:rPr>
          <w:rFonts w:hAnsi="宋体" w:hint="eastAsia"/>
          <w:szCs w:val="24"/>
        </w:rPr>
        <w:t>。</w:t>
      </w:r>
    </w:p>
    <w:p w:rsidR="002E15F3" w:rsidRPr="00B77E5D" w:rsidRDefault="00834479">
      <w:pPr>
        <w:pStyle w:val="1"/>
        <w:ind w:firstLineChars="200" w:firstLine="482"/>
        <w:rPr>
          <w:bCs/>
          <w:szCs w:val="24"/>
        </w:rPr>
      </w:pPr>
      <w:bookmarkStart w:id="56" w:name="_Toc132794325"/>
      <w:bookmarkStart w:id="57" w:name="_Toc132794324"/>
      <w:bookmarkStart w:id="58" w:name="_Toc132794330"/>
      <w:bookmarkStart w:id="59" w:name="_Toc132794327"/>
      <w:bookmarkStart w:id="60" w:name="_Toc132794329"/>
      <w:bookmarkStart w:id="61" w:name="_Toc132794328"/>
      <w:bookmarkStart w:id="62" w:name="_Toc132794326"/>
      <w:bookmarkStart w:id="63" w:name="_Toc44321745"/>
      <w:bookmarkEnd w:id="56"/>
      <w:bookmarkEnd w:id="57"/>
      <w:bookmarkEnd w:id="58"/>
      <w:bookmarkEnd w:id="59"/>
      <w:bookmarkEnd w:id="60"/>
      <w:bookmarkEnd w:id="61"/>
      <w:bookmarkEnd w:id="62"/>
      <w:r w:rsidRPr="00B77E5D">
        <w:rPr>
          <w:rFonts w:hint="eastAsia"/>
          <w:bCs/>
          <w:color w:val="auto"/>
          <w:szCs w:val="24"/>
        </w:rPr>
        <w:t>第二十二条</w:t>
      </w:r>
      <w:r w:rsidRPr="00B77E5D">
        <w:rPr>
          <w:bCs/>
          <w:color w:val="auto"/>
          <w:szCs w:val="24"/>
        </w:rPr>
        <w:t xml:space="preserve"> </w:t>
      </w:r>
      <w:r w:rsidRPr="00B77E5D">
        <w:rPr>
          <w:rFonts w:hint="eastAsia"/>
          <w:bCs/>
          <w:color w:val="auto"/>
          <w:szCs w:val="24"/>
        </w:rPr>
        <w:t>可分割性</w:t>
      </w:r>
      <w:bookmarkEnd w:id="63"/>
    </w:p>
    <w:p w:rsidR="002E15F3" w:rsidRPr="00B77E5D" w:rsidRDefault="00834479">
      <w:pPr>
        <w:pStyle w:val="20"/>
        <w:spacing w:before="0" w:after="0" w:line="360" w:lineRule="auto"/>
        <w:ind w:left="0" w:firstLineChars="200" w:firstLine="480"/>
        <w:rPr>
          <w:rFonts w:hAnsi="宋体"/>
          <w:szCs w:val="24"/>
        </w:rPr>
      </w:pPr>
      <w:r w:rsidRPr="00B77E5D">
        <w:rPr>
          <w:rFonts w:hAnsi="宋体"/>
          <w:szCs w:val="24"/>
        </w:rPr>
        <w:t>22.1如果本协议任何约定依现行法律被确定为无效或无法实施，本协议的其他条款将继续有效。此种情况下，</w:t>
      </w:r>
      <w:r w:rsidRPr="00B77E5D">
        <w:rPr>
          <w:rFonts w:hAnsi="宋体" w:hint="eastAsia"/>
          <w:szCs w:val="24"/>
        </w:rPr>
        <w:t>双</w:t>
      </w:r>
      <w:r w:rsidRPr="00B77E5D">
        <w:rPr>
          <w:rFonts w:hAnsi="宋体"/>
          <w:szCs w:val="24"/>
        </w:rPr>
        <w:t>方将积极协商</w:t>
      </w:r>
      <w:r w:rsidRPr="00B77E5D">
        <w:rPr>
          <w:rFonts w:asciiTheme="minorEastAsia" w:eastAsiaTheme="minorEastAsia" w:hAnsiTheme="minorEastAsia" w:hint="eastAsia"/>
          <w:szCs w:val="24"/>
        </w:rPr>
        <w:t>解决并另行签署书面协议予以明确</w:t>
      </w:r>
      <w:r w:rsidRPr="00B77E5D">
        <w:rPr>
          <w:rFonts w:hAnsi="宋体"/>
          <w:szCs w:val="24"/>
        </w:rPr>
        <w:t>，且该</w:t>
      </w:r>
      <w:r w:rsidRPr="00B77E5D">
        <w:rPr>
          <w:rFonts w:hAnsi="宋体" w:hint="eastAsia"/>
          <w:szCs w:val="24"/>
        </w:rPr>
        <w:t>协议</w:t>
      </w:r>
      <w:r w:rsidRPr="00B77E5D">
        <w:rPr>
          <w:rFonts w:asciiTheme="minorEastAsia" w:eastAsiaTheme="minorEastAsia" w:hAnsiTheme="minorEastAsia" w:hint="eastAsia"/>
          <w:szCs w:val="24"/>
        </w:rPr>
        <w:t>应</w:t>
      </w:r>
      <w:r w:rsidRPr="00B77E5D">
        <w:rPr>
          <w:rFonts w:hAnsi="宋体"/>
          <w:szCs w:val="24"/>
        </w:rPr>
        <w:t>尽可能接近原规定和本协议相应的精神和宗旨。</w:t>
      </w:r>
    </w:p>
    <w:p w:rsidR="002E15F3" w:rsidRPr="00B77E5D" w:rsidRDefault="00834479">
      <w:pPr>
        <w:pStyle w:val="1"/>
        <w:ind w:firstLineChars="200" w:firstLine="482"/>
        <w:rPr>
          <w:bCs/>
          <w:szCs w:val="24"/>
        </w:rPr>
      </w:pPr>
      <w:bookmarkStart w:id="64" w:name="_Toc44321746"/>
      <w:r w:rsidRPr="00B77E5D">
        <w:rPr>
          <w:rFonts w:hint="eastAsia"/>
          <w:bCs/>
          <w:color w:val="auto"/>
          <w:szCs w:val="24"/>
        </w:rPr>
        <w:t>第二十三条</w:t>
      </w:r>
      <w:r w:rsidRPr="00B77E5D">
        <w:rPr>
          <w:bCs/>
          <w:color w:val="auto"/>
          <w:szCs w:val="24"/>
        </w:rPr>
        <w:t xml:space="preserve"> </w:t>
      </w:r>
      <w:r w:rsidRPr="00B77E5D">
        <w:rPr>
          <w:rFonts w:hint="eastAsia"/>
          <w:bCs/>
          <w:color w:val="auto"/>
          <w:szCs w:val="24"/>
        </w:rPr>
        <w:t>通知与送达</w:t>
      </w:r>
      <w:bookmarkEnd w:id="64"/>
    </w:p>
    <w:p w:rsidR="002E15F3" w:rsidRPr="00B77E5D" w:rsidRDefault="00834479">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B77E5D">
        <w:rPr>
          <w:rFonts w:asciiTheme="minorEastAsia" w:eastAsiaTheme="minorEastAsia" w:hAnsiTheme="minorEastAsia" w:hint="eastAsia"/>
          <w:szCs w:val="24"/>
        </w:rPr>
        <w:t>23.1</w:t>
      </w:r>
      <w:bookmarkStart w:id="65" w:name="OLE_LINK89"/>
      <w:bookmarkStart w:id="66" w:name="OLE_LINK88"/>
      <w:r w:rsidRPr="00B77E5D">
        <w:rPr>
          <w:rFonts w:asciiTheme="minorEastAsia" w:eastAsiaTheme="minorEastAsia" w:hAnsiTheme="minorEastAsia" w:hint="eastAsia"/>
          <w:szCs w:val="24"/>
        </w:rPr>
        <w:t>除本协议另有约定外，双方就本协议中涉及各类通知、函件、附件、协议等文件以及就本协议发生纠纷</w:t>
      </w:r>
      <w:proofErr w:type="gramStart"/>
      <w:r w:rsidRPr="00B77E5D">
        <w:rPr>
          <w:rFonts w:asciiTheme="minorEastAsia" w:eastAsiaTheme="minorEastAsia" w:hAnsiTheme="minorEastAsia" w:hint="eastAsia"/>
          <w:szCs w:val="24"/>
        </w:rPr>
        <w:t>时相关</w:t>
      </w:r>
      <w:proofErr w:type="gramEnd"/>
      <w:r w:rsidRPr="00B77E5D">
        <w:rPr>
          <w:rFonts w:asciiTheme="minorEastAsia" w:eastAsiaTheme="minorEastAsia" w:hAnsiTheme="minorEastAsia" w:hint="eastAsia"/>
          <w:szCs w:val="24"/>
        </w:rPr>
        <w:t>文件和法律文书送达时的送达地址（</w:t>
      </w:r>
      <w:proofErr w:type="gramStart"/>
      <w:r w:rsidRPr="00B77E5D">
        <w:rPr>
          <w:rFonts w:asciiTheme="minorEastAsia" w:eastAsiaTheme="minorEastAsia" w:hAnsiTheme="minorEastAsia" w:hint="eastAsia"/>
          <w:szCs w:val="24"/>
        </w:rPr>
        <w:t>含联系</w:t>
      </w:r>
      <w:proofErr w:type="gramEnd"/>
      <w:r w:rsidRPr="00B77E5D">
        <w:rPr>
          <w:rFonts w:asciiTheme="minorEastAsia" w:eastAsiaTheme="minorEastAsia" w:hAnsiTheme="minorEastAsia" w:hint="eastAsia"/>
          <w:szCs w:val="24"/>
        </w:rPr>
        <w:t>方式，下同）及法律后果作如下约定：</w:t>
      </w:r>
      <w:bookmarkEnd w:id="65"/>
      <w:bookmarkEnd w:id="66"/>
    </w:p>
    <w:p w:rsidR="002E15F3" w:rsidRPr="00B77E5D" w:rsidRDefault="00834479">
      <w:pPr>
        <w:pStyle w:val="20"/>
        <w:adjustRightInd w:val="0"/>
        <w:snapToGrid w:val="0"/>
        <w:spacing w:before="0" w:after="0" w:line="360" w:lineRule="auto"/>
        <w:ind w:left="0" w:firstLineChars="200" w:firstLine="480"/>
        <w:rPr>
          <w:rFonts w:asciiTheme="minorEastAsia" w:eastAsiaTheme="minorEastAsia" w:hAnsiTheme="minorEastAsia"/>
          <w:szCs w:val="24"/>
        </w:rPr>
      </w:pPr>
      <w:bookmarkStart w:id="67" w:name="_Hlk51256270"/>
      <w:r w:rsidRPr="00B77E5D">
        <w:rPr>
          <w:rFonts w:asciiTheme="minorEastAsia" w:eastAsiaTheme="minorEastAsia" w:hAnsiTheme="minorEastAsia" w:hint="eastAsia"/>
          <w:szCs w:val="24"/>
        </w:rPr>
        <w:t>2</w:t>
      </w:r>
      <w:r w:rsidRPr="00B77E5D">
        <w:rPr>
          <w:rFonts w:asciiTheme="minorEastAsia" w:eastAsiaTheme="minorEastAsia" w:hAnsiTheme="minorEastAsia"/>
          <w:szCs w:val="24"/>
        </w:rPr>
        <w:t>3.1.1</w:t>
      </w:r>
      <w:bookmarkStart w:id="68" w:name="OLE_LINK92"/>
      <w:bookmarkStart w:id="69" w:name="OLE_LINK93"/>
      <w:r w:rsidRPr="00B77E5D">
        <w:rPr>
          <w:rFonts w:asciiTheme="minorEastAsia" w:eastAsiaTheme="minorEastAsia" w:hAnsiTheme="minorEastAsia" w:hint="eastAsia"/>
          <w:szCs w:val="24"/>
        </w:rPr>
        <w:t>基金管理人与基金托管人</w:t>
      </w:r>
      <w:bookmarkEnd w:id="68"/>
      <w:bookmarkEnd w:id="69"/>
      <w:r w:rsidRPr="00B77E5D">
        <w:rPr>
          <w:rFonts w:asciiTheme="minorEastAsia" w:eastAsiaTheme="minorEastAsia" w:hAnsiTheme="minorEastAsia" w:hint="eastAsia"/>
          <w:szCs w:val="24"/>
        </w:rPr>
        <w:t>确认的有效送达地址</w:t>
      </w:r>
      <w:bookmarkEnd w:id="67"/>
      <w:r w:rsidRPr="00B77E5D">
        <w:rPr>
          <w:rFonts w:asciiTheme="minorEastAsia" w:eastAsiaTheme="minorEastAsia" w:hAnsiTheme="minorEastAsia" w:hint="eastAsia"/>
          <w:szCs w:val="24"/>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6135"/>
      </w:tblGrid>
      <w:tr w:rsidR="002E15F3" w:rsidRPr="00B77E5D">
        <w:trPr>
          <w:jc w:val="center"/>
        </w:trPr>
        <w:tc>
          <w:tcPr>
            <w:tcW w:w="8541" w:type="dxa"/>
            <w:gridSpan w:val="2"/>
            <w:shd w:val="clear" w:color="auto" w:fill="auto"/>
            <w:vAlign w:val="center"/>
          </w:tcPr>
          <w:p w:rsidR="002E15F3" w:rsidRPr="00B77E5D" w:rsidRDefault="00834479">
            <w:pPr>
              <w:adjustRightInd w:val="0"/>
              <w:snapToGrid w:val="0"/>
              <w:spacing w:line="560" w:lineRule="atLeast"/>
              <w:jc w:val="left"/>
              <w:rPr>
                <w:rFonts w:asciiTheme="minorEastAsia" w:eastAsiaTheme="minorEastAsia" w:hAnsiTheme="minorEastAsia"/>
                <w:b/>
                <w:bCs/>
                <w:sz w:val="24"/>
                <w:szCs w:val="24"/>
              </w:rPr>
            </w:pPr>
            <w:bookmarkStart w:id="70" w:name="_Hlk51256282"/>
            <w:r w:rsidRPr="00B77E5D">
              <w:rPr>
                <w:rFonts w:asciiTheme="minorEastAsia" w:eastAsiaTheme="minorEastAsia" w:hAnsiTheme="minorEastAsia" w:hint="eastAsia"/>
                <w:b/>
                <w:bCs/>
                <w:sz w:val="24"/>
                <w:szCs w:val="24"/>
              </w:rPr>
              <w:t>基金管理人确认其有效送达地址如下</w:t>
            </w:r>
          </w:p>
        </w:tc>
      </w:tr>
      <w:tr w:rsidR="002E15F3" w:rsidRPr="00B77E5D">
        <w:trPr>
          <w:jc w:val="center"/>
        </w:trPr>
        <w:tc>
          <w:tcPr>
            <w:tcW w:w="2406" w:type="dxa"/>
            <w:shd w:val="clear" w:color="auto" w:fill="auto"/>
            <w:vAlign w:val="center"/>
          </w:tcPr>
          <w:p w:rsidR="002E15F3" w:rsidRPr="00B77E5D" w:rsidRDefault="00834479">
            <w:pPr>
              <w:adjustRightInd w:val="0"/>
              <w:snapToGrid w:val="0"/>
              <w:spacing w:line="560" w:lineRule="atLeast"/>
              <w:jc w:val="center"/>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联系地址</w:t>
            </w:r>
          </w:p>
        </w:tc>
        <w:tc>
          <w:tcPr>
            <w:tcW w:w="6135" w:type="dxa"/>
            <w:shd w:val="clear" w:color="auto" w:fill="auto"/>
            <w:vAlign w:val="center"/>
          </w:tcPr>
          <w:p w:rsidR="002E15F3" w:rsidRPr="00B77E5D" w:rsidRDefault="00834479">
            <w:pPr>
              <w:adjustRightInd w:val="0"/>
              <w:snapToGrid w:val="0"/>
              <w:spacing w:line="560" w:lineRule="atLeast"/>
              <w:rPr>
                <w:rFonts w:asciiTheme="minorEastAsia" w:eastAsiaTheme="minorEastAsia" w:hAnsiTheme="minorEastAsia"/>
                <w:b/>
                <w:bCs/>
                <w:sz w:val="24"/>
                <w:szCs w:val="24"/>
              </w:rPr>
            </w:pPr>
            <w:r w:rsidRPr="00B77E5D">
              <w:rPr>
                <w:rFonts w:hint="eastAsia"/>
                <w:b/>
                <w:bCs/>
                <w:sz w:val="24"/>
              </w:rPr>
              <w:t>上海市浦东</w:t>
            </w:r>
            <w:proofErr w:type="gramStart"/>
            <w:r w:rsidRPr="00B77E5D">
              <w:rPr>
                <w:rFonts w:hint="eastAsia"/>
                <w:b/>
                <w:bCs/>
                <w:sz w:val="24"/>
              </w:rPr>
              <w:t>新区世纪</w:t>
            </w:r>
            <w:proofErr w:type="gramEnd"/>
            <w:r w:rsidRPr="00B77E5D">
              <w:rPr>
                <w:rFonts w:hint="eastAsia"/>
                <w:b/>
                <w:bCs/>
                <w:sz w:val="24"/>
              </w:rPr>
              <w:t>大道</w:t>
            </w:r>
            <w:r w:rsidRPr="00B77E5D">
              <w:rPr>
                <w:rFonts w:hint="eastAsia"/>
                <w:b/>
                <w:bCs/>
                <w:sz w:val="24"/>
              </w:rPr>
              <w:t>210</w:t>
            </w:r>
            <w:r w:rsidRPr="00B77E5D">
              <w:rPr>
                <w:rFonts w:hint="eastAsia"/>
                <w:b/>
                <w:bCs/>
                <w:sz w:val="24"/>
              </w:rPr>
              <w:t>号</w:t>
            </w:r>
            <w:r w:rsidRPr="00B77E5D">
              <w:rPr>
                <w:rFonts w:hint="eastAsia"/>
                <w:b/>
                <w:bCs/>
                <w:sz w:val="24"/>
              </w:rPr>
              <w:t>21</w:t>
            </w:r>
            <w:r w:rsidRPr="00B77E5D">
              <w:rPr>
                <w:rFonts w:hint="eastAsia"/>
                <w:b/>
                <w:bCs/>
                <w:sz w:val="24"/>
              </w:rPr>
              <w:t>世纪大厦</w:t>
            </w:r>
            <w:r w:rsidRPr="00B77E5D">
              <w:rPr>
                <w:rFonts w:hint="eastAsia"/>
                <w:b/>
                <w:bCs/>
                <w:sz w:val="24"/>
              </w:rPr>
              <w:t>2</w:t>
            </w:r>
            <w:r w:rsidRPr="00B77E5D">
              <w:rPr>
                <w:b/>
                <w:bCs/>
                <w:sz w:val="24"/>
              </w:rPr>
              <w:t>1</w:t>
            </w:r>
            <w:r w:rsidRPr="00B77E5D">
              <w:rPr>
                <w:b/>
                <w:bCs/>
                <w:sz w:val="24"/>
              </w:rPr>
              <w:t>、</w:t>
            </w:r>
            <w:r w:rsidRPr="00B77E5D">
              <w:rPr>
                <w:rFonts w:hint="eastAsia"/>
                <w:b/>
                <w:bCs/>
                <w:sz w:val="24"/>
              </w:rPr>
              <w:t>2</w:t>
            </w:r>
            <w:r w:rsidRPr="00B77E5D">
              <w:rPr>
                <w:b/>
                <w:bCs/>
                <w:sz w:val="24"/>
              </w:rPr>
              <w:t>2</w:t>
            </w:r>
            <w:r w:rsidRPr="00B77E5D">
              <w:rPr>
                <w:b/>
                <w:bCs/>
                <w:sz w:val="24"/>
              </w:rPr>
              <w:t>、</w:t>
            </w:r>
            <w:r w:rsidRPr="00B77E5D">
              <w:rPr>
                <w:rFonts w:hint="eastAsia"/>
                <w:b/>
                <w:bCs/>
                <w:sz w:val="24"/>
              </w:rPr>
              <w:t>2</w:t>
            </w:r>
            <w:r w:rsidRPr="00B77E5D">
              <w:rPr>
                <w:b/>
                <w:bCs/>
                <w:sz w:val="24"/>
              </w:rPr>
              <w:t>3</w:t>
            </w:r>
            <w:r w:rsidRPr="00B77E5D">
              <w:rPr>
                <w:rFonts w:hint="eastAsia"/>
                <w:b/>
                <w:bCs/>
                <w:sz w:val="24"/>
              </w:rPr>
              <w:t>、</w:t>
            </w:r>
            <w:r w:rsidRPr="00B77E5D">
              <w:rPr>
                <w:rFonts w:hint="eastAsia"/>
                <w:b/>
                <w:bCs/>
                <w:sz w:val="24"/>
              </w:rPr>
              <w:t>27</w:t>
            </w:r>
            <w:r w:rsidRPr="00B77E5D">
              <w:rPr>
                <w:rFonts w:hint="eastAsia"/>
                <w:b/>
                <w:bCs/>
                <w:sz w:val="24"/>
              </w:rPr>
              <w:t>层</w:t>
            </w:r>
          </w:p>
        </w:tc>
      </w:tr>
      <w:tr w:rsidR="002E15F3" w:rsidRPr="00B77E5D">
        <w:trPr>
          <w:jc w:val="center"/>
        </w:trPr>
        <w:tc>
          <w:tcPr>
            <w:tcW w:w="2406" w:type="dxa"/>
            <w:shd w:val="clear" w:color="auto" w:fill="auto"/>
            <w:vAlign w:val="center"/>
          </w:tcPr>
          <w:p w:rsidR="002E15F3" w:rsidRPr="00B77E5D" w:rsidRDefault="00834479">
            <w:pPr>
              <w:adjustRightInd w:val="0"/>
              <w:snapToGrid w:val="0"/>
              <w:spacing w:line="560" w:lineRule="atLeast"/>
              <w:jc w:val="center"/>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邮政编码</w:t>
            </w:r>
          </w:p>
        </w:tc>
        <w:tc>
          <w:tcPr>
            <w:tcW w:w="6135" w:type="dxa"/>
            <w:shd w:val="clear" w:color="auto" w:fill="auto"/>
            <w:vAlign w:val="center"/>
          </w:tcPr>
          <w:p w:rsidR="002E15F3" w:rsidRPr="00B77E5D" w:rsidRDefault="00834479">
            <w:pPr>
              <w:adjustRightInd w:val="0"/>
              <w:snapToGrid w:val="0"/>
              <w:spacing w:line="560" w:lineRule="atLeast"/>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2</w:t>
            </w:r>
            <w:r w:rsidRPr="00B77E5D">
              <w:rPr>
                <w:rFonts w:asciiTheme="minorEastAsia" w:eastAsiaTheme="minorEastAsia" w:hAnsiTheme="minorEastAsia"/>
                <w:b/>
                <w:bCs/>
                <w:sz w:val="24"/>
                <w:szCs w:val="24"/>
              </w:rPr>
              <w:t>00120</w:t>
            </w:r>
          </w:p>
        </w:tc>
      </w:tr>
      <w:tr w:rsidR="002E15F3" w:rsidRPr="00B77E5D">
        <w:trPr>
          <w:jc w:val="center"/>
        </w:trPr>
        <w:tc>
          <w:tcPr>
            <w:tcW w:w="2406" w:type="dxa"/>
            <w:shd w:val="clear" w:color="auto" w:fill="auto"/>
            <w:vAlign w:val="center"/>
          </w:tcPr>
          <w:p w:rsidR="002E15F3" w:rsidRPr="00B77E5D" w:rsidRDefault="00834479">
            <w:pPr>
              <w:adjustRightInd w:val="0"/>
              <w:snapToGrid w:val="0"/>
              <w:spacing w:line="560" w:lineRule="atLeast"/>
              <w:jc w:val="center"/>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联系电话</w:t>
            </w:r>
          </w:p>
        </w:tc>
        <w:tc>
          <w:tcPr>
            <w:tcW w:w="6135" w:type="dxa"/>
            <w:shd w:val="clear" w:color="auto" w:fill="auto"/>
            <w:vAlign w:val="center"/>
          </w:tcPr>
          <w:p w:rsidR="002E15F3" w:rsidRPr="00B77E5D" w:rsidRDefault="00834479">
            <w:pPr>
              <w:adjustRightInd w:val="0"/>
              <w:snapToGrid w:val="0"/>
              <w:spacing w:line="560" w:lineRule="atLeast"/>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0</w:t>
            </w:r>
            <w:r w:rsidRPr="00B77E5D">
              <w:rPr>
                <w:rFonts w:asciiTheme="minorEastAsia" w:eastAsiaTheme="minorEastAsia" w:hAnsiTheme="minorEastAsia"/>
                <w:b/>
                <w:bCs/>
                <w:sz w:val="24"/>
                <w:szCs w:val="24"/>
              </w:rPr>
              <w:t>21-51690188</w:t>
            </w:r>
          </w:p>
        </w:tc>
      </w:tr>
      <w:tr w:rsidR="002E15F3" w:rsidRPr="00B77E5D">
        <w:trPr>
          <w:jc w:val="center"/>
        </w:trPr>
        <w:tc>
          <w:tcPr>
            <w:tcW w:w="8541" w:type="dxa"/>
            <w:gridSpan w:val="2"/>
            <w:shd w:val="clear" w:color="auto" w:fill="auto"/>
            <w:vAlign w:val="center"/>
          </w:tcPr>
          <w:p w:rsidR="002E15F3" w:rsidRPr="00B77E5D" w:rsidRDefault="00834479">
            <w:pPr>
              <w:adjustRightInd w:val="0"/>
              <w:snapToGrid w:val="0"/>
              <w:spacing w:line="560" w:lineRule="atLeast"/>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基金托管人确认其有效送达地址如下</w:t>
            </w:r>
          </w:p>
        </w:tc>
      </w:tr>
      <w:tr w:rsidR="002E15F3" w:rsidRPr="00B77E5D">
        <w:trPr>
          <w:jc w:val="center"/>
        </w:trPr>
        <w:tc>
          <w:tcPr>
            <w:tcW w:w="2406" w:type="dxa"/>
            <w:shd w:val="clear" w:color="auto" w:fill="auto"/>
            <w:vAlign w:val="center"/>
          </w:tcPr>
          <w:p w:rsidR="002E15F3" w:rsidRPr="00B77E5D" w:rsidRDefault="00834479">
            <w:pPr>
              <w:adjustRightInd w:val="0"/>
              <w:snapToGrid w:val="0"/>
              <w:spacing w:line="560" w:lineRule="atLeast"/>
              <w:jc w:val="center"/>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联系地址</w:t>
            </w:r>
          </w:p>
        </w:tc>
        <w:tc>
          <w:tcPr>
            <w:tcW w:w="6135" w:type="dxa"/>
            <w:shd w:val="clear" w:color="auto" w:fill="auto"/>
            <w:vAlign w:val="center"/>
          </w:tcPr>
          <w:p w:rsidR="002E15F3" w:rsidRPr="00B77E5D" w:rsidRDefault="00834479">
            <w:pPr>
              <w:adjustRightInd w:val="0"/>
              <w:snapToGrid w:val="0"/>
              <w:spacing w:line="560" w:lineRule="atLeast"/>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北京市朝阳区光华路10号院1号楼6-30层、32-42层</w:t>
            </w:r>
          </w:p>
        </w:tc>
      </w:tr>
      <w:tr w:rsidR="002E15F3" w:rsidRPr="00B77E5D">
        <w:trPr>
          <w:trHeight w:val="393"/>
          <w:jc w:val="center"/>
        </w:trPr>
        <w:tc>
          <w:tcPr>
            <w:tcW w:w="2406" w:type="dxa"/>
            <w:shd w:val="clear" w:color="auto" w:fill="auto"/>
            <w:vAlign w:val="center"/>
          </w:tcPr>
          <w:p w:rsidR="002E15F3" w:rsidRPr="00B77E5D" w:rsidRDefault="00834479">
            <w:pPr>
              <w:adjustRightInd w:val="0"/>
              <w:snapToGrid w:val="0"/>
              <w:spacing w:line="560" w:lineRule="atLeast"/>
              <w:jc w:val="center"/>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邮政编码</w:t>
            </w:r>
          </w:p>
        </w:tc>
        <w:tc>
          <w:tcPr>
            <w:tcW w:w="6135" w:type="dxa"/>
            <w:shd w:val="clear" w:color="auto" w:fill="auto"/>
            <w:vAlign w:val="center"/>
          </w:tcPr>
          <w:p w:rsidR="002E15F3" w:rsidRPr="00B77E5D" w:rsidRDefault="00834479">
            <w:pPr>
              <w:adjustRightInd w:val="0"/>
              <w:snapToGrid w:val="0"/>
              <w:spacing w:line="560" w:lineRule="atLeast"/>
              <w:rPr>
                <w:rFonts w:asciiTheme="minorEastAsia" w:eastAsiaTheme="minorEastAsia" w:hAnsiTheme="minorEastAsia"/>
                <w:b/>
                <w:bCs/>
                <w:sz w:val="24"/>
                <w:szCs w:val="24"/>
              </w:rPr>
            </w:pPr>
            <w:r w:rsidRPr="00B77E5D">
              <w:rPr>
                <w:rFonts w:asciiTheme="minorEastAsia" w:eastAsiaTheme="minorEastAsia" w:hAnsiTheme="minorEastAsia"/>
                <w:b/>
                <w:bCs/>
                <w:sz w:val="24"/>
                <w:szCs w:val="24"/>
              </w:rPr>
              <w:t>100000</w:t>
            </w:r>
          </w:p>
        </w:tc>
      </w:tr>
      <w:tr w:rsidR="002E15F3" w:rsidRPr="00B77E5D">
        <w:trPr>
          <w:jc w:val="center"/>
        </w:trPr>
        <w:tc>
          <w:tcPr>
            <w:tcW w:w="2406" w:type="dxa"/>
            <w:shd w:val="clear" w:color="auto" w:fill="auto"/>
            <w:vAlign w:val="center"/>
          </w:tcPr>
          <w:p w:rsidR="002E15F3" w:rsidRPr="00B77E5D" w:rsidRDefault="00834479">
            <w:pPr>
              <w:adjustRightInd w:val="0"/>
              <w:snapToGrid w:val="0"/>
              <w:spacing w:line="560" w:lineRule="atLeast"/>
              <w:jc w:val="center"/>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联系电话</w:t>
            </w:r>
          </w:p>
        </w:tc>
        <w:tc>
          <w:tcPr>
            <w:tcW w:w="6135" w:type="dxa"/>
            <w:shd w:val="clear" w:color="auto" w:fill="auto"/>
            <w:vAlign w:val="center"/>
          </w:tcPr>
          <w:p w:rsidR="002E15F3" w:rsidRPr="00B77E5D" w:rsidRDefault="00834479">
            <w:pPr>
              <w:adjustRightInd w:val="0"/>
              <w:snapToGrid w:val="0"/>
              <w:spacing w:line="560" w:lineRule="atLeast"/>
              <w:rPr>
                <w:rFonts w:asciiTheme="minorEastAsia" w:eastAsiaTheme="minorEastAsia" w:hAnsiTheme="minorEastAsia"/>
                <w:b/>
                <w:bCs/>
                <w:sz w:val="24"/>
                <w:szCs w:val="24"/>
              </w:rPr>
            </w:pPr>
            <w:r w:rsidRPr="00B77E5D">
              <w:rPr>
                <w:rFonts w:asciiTheme="minorEastAsia" w:eastAsiaTheme="minorEastAsia" w:hAnsiTheme="minorEastAsia"/>
                <w:b/>
                <w:bCs/>
                <w:sz w:val="24"/>
                <w:szCs w:val="24"/>
              </w:rPr>
              <w:t>4006800000</w:t>
            </w:r>
          </w:p>
        </w:tc>
      </w:tr>
    </w:tbl>
    <w:bookmarkEnd w:id="70"/>
    <w:p w:rsidR="002E15F3" w:rsidRPr="00B77E5D" w:rsidRDefault="00834479">
      <w:pPr>
        <w:snapToGrid w:val="0"/>
        <w:spacing w:line="520" w:lineRule="atLeast"/>
        <w:ind w:firstLineChars="200" w:firstLine="480"/>
        <w:rPr>
          <w:rFonts w:asciiTheme="minorEastAsia" w:eastAsiaTheme="minorEastAsia" w:hAnsiTheme="minorEastAsia"/>
          <w:sz w:val="24"/>
          <w:szCs w:val="24"/>
        </w:rPr>
      </w:pPr>
      <w:r w:rsidRPr="00B77E5D">
        <w:rPr>
          <w:rFonts w:asciiTheme="minorEastAsia" w:eastAsiaTheme="minorEastAsia" w:hAnsiTheme="minorEastAsia" w:hint="eastAsia"/>
          <w:sz w:val="24"/>
          <w:szCs w:val="24"/>
        </w:rPr>
        <w:t>2</w:t>
      </w:r>
      <w:r w:rsidRPr="00B77E5D">
        <w:rPr>
          <w:rFonts w:asciiTheme="minorEastAsia" w:eastAsiaTheme="minorEastAsia" w:hAnsiTheme="minorEastAsia"/>
          <w:sz w:val="24"/>
          <w:szCs w:val="24"/>
        </w:rPr>
        <w:t>3.1.2</w:t>
      </w:r>
      <w:r w:rsidRPr="00B77E5D">
        <w:rPr>
          <w:rFonts w:asciiTheme="minorEastAsia" w:eastAsiaTheme="minorEastAsia" w:hAnsiTheme="minorEastAsia" w:hint="eastAsia"/>
          <w:sz w:val="24"/>
          <w:szCs w:val="24"/>
        </w:rPr>
        <w:t>本条款中双方确认的送达地址如发生变更的，应当在发生变更之日起三日内通过书面方式通知对方，</w:t>
      </w:r>
      <w:r w:rsidRPr="00B77E5D">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sidRPr="00B77E5D">
        <w:rPr>
          <w:rFonts w:asciiTheme="minorEastAsia" w:eastAsiaTheme="minorEastAsia" w:hAnsiTheme="minorEastAsia" w:hint="eastAsia"/>
          <w:b/>
          <w:bCs/>
          <w:sz w:val="24"/>
          <w:szCs w:val="24"/>
        </w:rPr>
        <w:t>如展示</w:t>
      </w:r>
      <w:proofErr w:type="gramEnd"/>
      <w:r w:rsidRPr="00B77E5D">
        <w:rPr>
          <w:rFonts w:asciiTheme="minorEastAsia" w:eastAsiaTheme="minorEastAsia" w:hAnsiTheme="minorEastAsia" w:hint="eastAsia"/>
          <w:b/>
          <w:bCs/>
          <w:sz w:val="24"/>
          <w:szCs w:val="24"/>
        </w:rPr>
        <w:t>信息载明生效日期的，以该载明日期为准）即视为已通知/送达基金管理人。</w:t>
      </w:r>
      <w:r w:rsidRPr="00B77E5D">
        <w:rPr>
          <w:rFonts w:asciiTheme="minorEastAsia" w:eastAsiaTheme="minorEastAsia" w:hAnsiTheme="minorEastAsia" w:hint="eastAsia"/>
          <w:sz w:val="24"/>
          <w:szCs w:val="24"/>
        </w:rPr>
        <w:t>在涉及仲裁及民事诉讼、执行程序时，任何一方送达地址发生变更的，应当在发生变更当日通过书面</w:t>
      </w:r>
      <w:r w:rsidRPr="00B77E5D">
        <w:rPr>
          <w:rFonts w:asciiTheme="minorEastAsia" w:eastAsiaTheme="minorEastAsia" w:hAnsiTheme="minorEastAsia" w:hint="eastAsia"/>
          <w:sz w:val="24"/>
          <w:szCs w:val="24"/>
        </w:rPr>
        <w:lastRenderedPageBreak/>
        <w:t>方式告知仲裁机构、法院。</w:t>
      </w:r>
      <w:r w:rsidRPr="00B77E5D">
        <w:rPr>
          <w:rFonts w:asciiTheme="minorEastAsia" w:eastAsiaTheme="minorEastAsia" w:hAnsiTheme="minorEastAsia" w:hint="eastAsia"/>
          <w:b/>
          <w:bCs/>
          <w:sz w:val="24"/>
          <w:szCs w:val="24"/>
        </w:rPr>
        <w:t>任何一方未按前述方式履行通知、告知义务的，该方所确认的送达地址仍视为有效送达地址。</w:t>
      </w:r>
    </w:p>
    <w:p w:rsidR="002E15F3" w:rsidRPr="00B77E5D" w:rsidRDefault="00834479">
      <w:pPr>
        <w:snapToGrid w:val="0"/>
        <w:spacing w:line="520" w:lineRule="atLeast"/>
        <w:ind w:firstLineChars="200" w:firstLine="480"/>
        <w:rPr>
          <w:rFonts w:asciiTheme="minorEastAsia" w:eastAsiaTheme="minorEastAsia" w:hAnsiTheme="minorEastAsia"/>
          <w:b/>
          <w:bCs/>
          <w:sz w:val="24"/>
          <w:szCs w:val="24"/>
        </w:rPr>
      </w:pPr>
      <w:r w:rsidRPr="00B77E5D">
        <w:rPr>
          <w:rFonts w:asciiTheme="minorEastAsia" w:eastAsiaTheme="minorEastAsia" w:hAnsiTheme="minorEastAsia" w:hint="eastAsia"/>
          <w:sz w:val="24"/>
          <w:szCs w:val="24"/>
        </w:rPr>
        <w:t>2</w:t>
      </w:r>
      <w:r w:rsidRPr="00B77E5D">
        <w:rPr>
          <w:rFonts w:asciiTheme="minorEastAsia" w:eastAsiaTheme="minorEastAsia" w:hAnsiTheme="minorEastAsia"/>
          <w:sz w:val="24"/>
          <w:szCs w:val="24"/>
        </w:rPr>
        <w:t>3.1.3</w:t>
      </w:r>
      <w:r w:rsidRPr="00B77E5D">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sidRPr="00B77E5D">
        <w:rPr>
          <w:rFonts w:asciiTheme="minorEastAsia" w:eastAsiaTheme="minorEastAsia" w:hAnsiTheme="minorEastAsia" w:hint="eastAsia"/>
          <w:sz w:val="24"/>
          <w:szCs w:val="24"/>
        </w:rPr>
        <w:t>时相关</w:t>
      </w:r>
      <w:proofErr w:type="gramEnd"/>
      <w:r w:rsidRPr="00B77E5D">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sidRPr="00B77E5D">
        <w:rPr>
          <w:rFonts w:asciiTheme="minorEastAsia" w:eastAsiaTheme="minorEastAsia" w:hAnsiTheme="minorEastAsia" w:hint="eastAsia"/>
          <w:b/>
          <w:bCs/>
          <w:sz w:val="24"/>
          <w:szCs w:val="24"/>
        </w:rPr>
        <w:t>除第23.1.2条另有约定外，一方按照送达地址发送上述文件，即应视作在下列日期被送达：</w:t>
      </w:r>
    </w:p>
    <w:p w:rsidR="002E15F3" w:rsidRPr="00B77E5D" w:rsidRDefault="00834479">
      <w:pPr>
        <w:snapToGrid w:val="0"/>
        <w:spacing w:line="520" w:lineRule="atLeast"/>
        <w:ind w:firstLineChars="200" w:firstLine="482"/>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（1）邮递（包括特快专递、平信邮寄、挂号邮寄），以投递之日后的第三日视为送达日；</w:t>
      </w:r>
    </w:p>
    <w:p w:rsidR="002E15F3" w:rsidRPr="00B77E5D" w:rsidRDefault="00834479">
      <w:pPr>
        <w:snapToGrid w:val="0"/>
        <w:spacing w:line="520" w:lineRule="atLeast"/>
        <w:ind w:firstLineChars="200" w:firstLine="482"/>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（2）电话、传真、电子邮箱、</w:t>
      </w:r>
      <w:proofErr w:type="gramStart"/>
      <w:r w:rsidRPr="00B77E5D">
        <w:rPr>
          <w:rFonts w:asciiTheme="minorEastAsia" w:eastAsiaTheme="minorEastAsia" w:hAnsiTheme="minorEastAsia" w:hint="eastAsia"/>
          <w:b/>
          <w:bCs/>
          <w:sz w:val="24"/>
          <w:szCs w:val="24"/>
        </w:rPr>
        <w:t>微信或</w:t>
      </w:r>
      <w:proofErr w:type="gramEnd"/>
      <w:r w:rsidRPr="00B77E5D">
        <w:rPr>
          <w:rFonts w:asciiTheme="minorEastAsia" w:eastAsiaTheme="minorEastAsia" w:hAnsiTheme="minorEastAsia" w:hint="eastAsia"/>
          <w:b/>
          <w:bCs/>
          <w:sz w:val="24"/>
          <w:szCs w:val="24"/>
        </w:rPr>
        <w:t>其他电子通讯方式，</w:t>
      </w:r>
      <w:r w:rsidR="00206787" w:rsidRPr="00B77E5D">
        <w:rPr>
          <w:rFonts w:asciiTheme="minorEastAsia" w:eastAsiaTheme="minorEastAsia" w:hAnsiTheme="minorEastAsia" w:hint="eastAsia"/>
          <w:b/>
          <w:bCs/>
          <w:sz w:val="24"/>
          <w:szCs w:val="24"/>
        </w:rPr>
        <w:t>以到达接收方接收服务器之日视为送达日</w:t>
      </w:r>
      <w:r w:rsidRPr="00B77E5D">
        <w:rPr>
          <w:rFonts w:asciiTheme="minorEastAsia" w:eastAsiaTheme="minorEastAsia" w:hAnsiTheme="minorEastAsia" w:hint="eastAsia"/>
          <w:b/>
          <w:bCs/>
          <w:sz w:val="24"/>
          <w:szCs w:val="24"/>
        </w:rPr>
        <w:t>；</w:t>
      </w:r>
    </w:p>
    <w:p w:rsidR="002E15F3" w:rsidRPr="00B77E5D" w:rsidRDefault="00834479">
      <w:pPr>
        <w:snapToGrid w:val="0"/>
        <w:spacing w:line="520" w:lineRule="atLeast"/>
        <w:ind w:firstLineChars="200" w:firstLine="482"/>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rsidR="002E15F3" w:rsidRPr="00B77E5D" w:rsidRDefault="00834479">
      <w:pPr>
        <w:snapToGrid w:val="0"/>
        <w:spacing w:line="520" w:lineRule="atLeast"/>
        <w:ind w:firstLineChars="200" w:firstLine="482"/>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（4）同时采用上述几种方式的，以其中最快达到对方者为准。</w:t>
      </w:r>
    </w:p>
    <w:p w:rsidR="002E15F3" w:rsidRPr="00B77E5D" w:rsidRDefault="00834479">
      <w:pPr>
        <w:snapToGrid w:val="0"/>
        <w:spacing w:line="520" w:lineRule="atLeast"/>
        <w:ind w:firstLineChars="200" w:firstLine="482"/>
        <w:rPr>
          <w:rFonts w:asciiTheme="minorEastAsia" w:eastAsiaTheme="minorEastAsia" w:hAnsiTheme="minorEastAsia"/>
          <w:b/>
          <w:bCs/>
          <w:sz w:val="24"/>
          <w:szCs w:val="24"/>
        </w:rPr>
      </w:pPr>
      <w:r w:rsidRPr="00B77E5D">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1" w:name="OLE_LINK98"/>
      <w:bookmarkStart w:id="72" w:name="OLE_LINK99"/>
    </w:p>
    <w:bookmarkEnd w:id="71"/>
    <w:bookmarkEnd w:id="72"/>
    <w:p w:rsidR="002E15F3" w:rsidRPr="00B77E5D" w:rsidRDefault="00834479">
      <w:pPr>
        <w:snapToGrid w:val="0"/>
        <w:spacing w:line="520" w:lineRule="atLeast"/>
        <w:ind w:firstLineChars="200" w:firstLine="482"/>
        <w:rPr>
          <w:rFonts w:asciiTheme="minorEastAsia" w:eastAsiaTheme="minorEastAsia" w:hAnsiTheme="minorEastAsia"/>
          <w:b/>
          <w:bCs/>
          <w:sz w:val="28"/>
          <w:szCs w:val="28"/>
        </w:rPr>
      </w:pPr>
      <w:r w:rsidRPr="00B77E5D">
        <w:rPr>
          <w:rFonts w:asciiTheme="minorEastAsia" w:eastAsiaTheme="minorEastAsia" w:hAnsiTheme="minorEastAsia" w:hint="eastAsia"/>
          <w:b/>
          <w:bCs/>
          <w:sz w:val="24"/>
          <w:szCs w:val="24"/>
        </w:rPr>
        <w:t>2</w:t>
      </w:r>
      <w:r w:rsidRPr="00B77E5D">
        <w:rPr>
          <w:rFonts w:asciiTheme="minorEastAsia" w:eastAsiaTheme="minorEastAsia" w:hAnsiTheme="minorEastAsia"/>
          <w:b/>
          <w:bCs/>
          <w:sz w:val="24"/>
          <w:szCs w:val="24"/>
        </w:rPr>
        <w:t>3.1.4</w:t>
      </w:r>
      <w:r w:rsidRPr="00B77E5D">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rsidR="002E15F3" w:rsidRPr="00B77E5D" w:rsidRDefault="00834479">
      <w:pPr>
        <w:pStyle w:val="1"/>
        <w:snapToGrid/>
        <w:spacing w:line="520" w:lineRule="atLeast"/>
        <w:ind w:firstLineChars="200" w:firstLine="482"/>
        <w:rPr>
          <w:bCs/>
          <w:color w:val="auto"/>
          <w:szCs w:val="24"/>
        </w:rPr>
      </w:pPr>
      <w:bookmarkStart w:id="73" w:name="_Toc44321747"/>
      <w:r w:rsidRPr="00B77E5D">
        <w:rPr>
          <w:rFonts w:hint="eastAsia"/>
          <w:bCs/>
          <w:color w:val="auto"/>
          <w:szCs w:val="24"/>
        </w:rPr>
        <w:lastRenderedPageBreak/>
        <w:t>第二十四条 其他约定</w:t>
      </w:r>
      <w:r w:rsidRPr="00B77E5D">
        <w:rPr>
          <w:bCs/>
          <w:color w:val="auto"/>
          <w:szCs w:val="24"/>
        </w:rPr>
        <w:t>事项</w:t>
      </w:r>
      <w:bookmarkEnd w:id="73"/>
    </w:p>
    <w:p w:rsidR="002E15F3" w:rsidRPr="00B77E5D" w:rsidRDefault="00834479">
      <w:pPr>
        <w:pStyle w:val="20"/>
        <w:spacing w:before="0" w:after="0" w:line="520" w:lineRule="atLeast"/>
        <w:ind w:left="0" w:firstLine="480"/>
        <w:rPr>
          <w:rFonts w:hAnsi="宋体"/>
          <w:b/>
          <w:bCs/>
          <w:szCs w:val="24"/>
        </w:rPr>
      </w:pPr>
      <w:r w:rsidRPr="00B77E5D">
        <w:rPr>
          <w:rFonts w:hAnsi="宋体" w:hint="eastAsia"/>
          <w:b/>
          <w:bCs/>
          <w:szCs w:val="24"/>
        </w:rPr>
        <w:t>如本条约定与其他条款约定冲突的，应以本条约定为准。</w:t>
      </w:r>
    </w:p>
    <w:p w:rsidR="002E15F3" w:rsidRPr="00B77E5D" w:rsidRDefault="00834479">
      <w:pPr>
        <w:pStyle w:val="20"/>
        <w:adjustRightInd w:val="0"/>
        <w:snapToGrid w:val="0"/>
        <w:spacing w:before="0" w:after="0" w:line="520" w:lineRule="atLeast"/>
        <w:ind w:left="0" w:firstLine="480"/>
        <w:rPr>
          <w:rFonts w:asciiTheme="minorEastAsia" w:eastAsiaTheme="minorEastAsia" w:hAnsiTheme="minorEastAsia"/>
          <w:b/>
          <w:bCs/>
          <w:szCs w:val="24"/>
        </w:rPr>
      </w:pPr>
      <w:r w:rsidRPr="00B77E5D">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rsidR="002E15F3" w:rsidRPr="00B77E5D" w:rsidRDefault="00834479">
      <w:pPr>
        <w:widowControl/>
        <w:spacing w:line="520" w:lineRule="atLeast"/>
        <w:jc w:val="left"/>
      </w:pPr>
      <w:r w:rsidRPr="00B77E5D">
        <w:rPr>
          <w:rFonts w:ascii="宋体" w:hAnsi="宋体" w:hint="eastAsia"/>
          <w:sz w:val="24"/>
          <w:szCs w:val="24"/>
        </w:rPr>
        <w:t>（以下无正文）</w:t>
      </w:r>
    </w:p>
    <w:p w:rsidR="002E15F3" w:rsidRPr="00B77E5D" w:rsidRDefault="00834479">
      <w:pPr>
        <w:pStyle w:val="20"/>
        <w:spacing w:before="0" w:after="0" w:line="520" w:lineRule="atLeast"/>
        <w:ind w:left="0"/>
        <w:rPr>
          <w:rFonts w:hAnsi="宋体"/>
          <w:szCs w:val="24"/>
        </w:rPr>
      </w:pPr>
      <w:r w:rsidRPr="00B77E5D">
        <w:rPr>
          <w:rFonts w:hAnsi="宋体"/>
          <w:sz w:val="28"/>
          <w:szCs w:val="28"/>
        </w:rPr>
        <w:br w:type="page"/>
      </w:r>
      <w:r w:rsidRPr="00B77E5D">
        <w:rPr>
          <w:rFonts w:hAnsi="宋体" w:hint="eastAsia"/>
          <w:szCs w:val="24"/>
        </w:rPr>
        <w:lastRenderedPageBreak/>
        <w:t>（本页无正文，为《永赢先锋半导体智选混合型发起式证券投资基金托管协议</w:t>
      </w:r>
      <w:bookmarkStart w:id="74" w:name="_GoBack"/>
      <w:bookmarkEnd w:id="74"/>
      <w:r w:rsidRPr="00B77E5D">
        <w:rPr>
          <w:rFonts w:hAnsi="宋体" w:hint="eastAsia"/>
          <w:szCs w:val="24"/>
        </w:rPr>
        <w:t>》的签字页）</w:t>
      </w:r>
    </w:p>
    <w:p w:rsidR="002E15F3" w:rsidRPr="00B77E5D" w:rsidRDefault="002E15F3">
      <w:pPr>
        <w:pStyle w:val="20"/>
        <w:spacing w:before="0" w:after="0" w:line="520" w:lineRule="atLeast"/>
        <w:ind w:left="0" w:firstLineChars="200" w:firstLine="480"/>
        <w:rPr>
          <w:rFonts w:hAnsi="宋体"/>
          <w:szCs w:val="24"/>
        </w:rPr>
      </w:pPr>
    </w:p>
    <w:p w:rsidR="002E15F3" w:rsidRPr="00B77E5D" w:rsidRDefault="002E15F3">
      <w:pPr>
        <w:pStyle w:val="20"/>
        <w:spacing w:before="0" w:after="0" w:line="520" w:lineRule="atLeast"/>
        <w:ind w:left="0" w:firstLineChars="200" w:firstLine="480"/>
        <w:rPr>
          <w:rFonts w:hAnsi="宋体"/>
          <w:szCs w:val="24"/>
        </w:rPr>
      </w:pPr>
    </w:p>
    <w:p w:rsidR="002E15F3" w:rsidRPr="00B77E5D" w:rsidRDefault="00834479">
      <w:pPr>
        <w:pStyle w:val="20"/>
        <w:spacing w:before="0" w:after="0" w:line="520" w:lineRule="atLeast"/>
        <w:ind w:left="0"/>
        <w:rPr>
          <w:rFonts w:hAnsi="宋体"/>
          <w:szCs w:val="24"/>
        </w:rPr>
      </w:pPr>
      <w:r w:rsidRPr="00B77E5D">
        <w:rPr>
          <w:rFonts w:hAnsi="宋体" w:hint="eastAsia"/>
          <w:szCs w:val="24"/>
        </w:rPr>
        <w:t>基金管理人：</w:t>
      </w:r>
      <w:proofErr w:type="gramStart"/>
      <w:r w:rsidRPr="00B77E5D">
        <w:rPr>
          <w:rFonts w:hAnsi="宋体" w:hint="eastAsia"/>
          <w:szCs w:val="24"/>
        </w:rPr>
        <w:t>永赢基金</w:t>
      </w:r>
      <w:proofErr w:type="gramEnd"/>
      <w:r w:rsidRPr="00B77E5D">
        <w:rPr>
          <w:rFonts w:hAnsi="宋体" w:hint="eastAsia"/>
          <w:szCs w:val="24"/>
        </w:rPr>
        <w:t>管理有限公司（</w:t>
      </w:r>
      <w:r w:rsidRPr="00B77E5D">
        <w:rPr>
          <w:rFonts w:asciiTheme="minorEastAsia" w:eastAsiaTheme="minorEastAsia" w:hAnsiTheme="minorEastAsia" w:hint="eastAsia"/>
          <w:szCs w:val="24"/>
        </w:rPr>
        <w:t>公章或合同专用章</w:t>
      </w:r>
      <w:r w:rsidRPr="00B77E5D">
        <w:rPr>
          <w:rFonts w:hAnsi="宋体" w:hint="eastAsia"/>
          <w:szCs w:val="24"/>
        </w:rPr>
        <w:t>）</w:t>
      </w:r>
    </w:p>
    <w:p w:rsidR="002E15F3" w:rsidRPr="00B77E5D" w:rsidRDefault="002E15F3">
      <w:pPr>
        <w:pStyle w:val="20"/>
        <w:spacing w:before="0" w:after="0" w:line="520" w:lineRule="atLeast"/>
        <w:ind w:left="0"/>
        <w:rPr>
          <w:rFonts w:hAnsi="宋体"/>
          <w:szCs w:val="24"/>
        </w:rPr>
      </w:pPr>
    </w:p>
    <w:p w:rsidR="002E15F3" w:rsidRPr="00B77E5D" w:rsidRDefault="00834479">
      <w:pPr>
        <w:pStyle w:val="20"/>
        <w:spacing w:before="0" w:after="0" w:line="520" w:lineRule="atLeast"/>
        <w:ind w:left="0"/>
        <w:rPr>
          <w:rFonts w:hAnsi="宋体"/>
          <w:szCs w:val="24"/>
        </w:rPr>
      </w:pPr>
      <w:r w:rsidRPr="00B77E5D">
        <w:rPr>
          <w:rFonts w:hAnsi="宋体" w:hint="eastAsia"/>
          <w:szCs w:val="24"/>
        </w:rPr>
        <w:t>法定代表人</w:t>
      </w:r>
    </w:p>
    <w:p w:rsidR="002E15F3" w:rsidRPr="00B77E5D" w:rsidRDefault="00834479">
      <w:pPr>
        <w:pStyle w:val="20"/>
        <w:spacing w:before="0" w:after="0" w:line="520" w:lineRule="atLeast"/>
        <w:ind w:left="0"/>
        <w:rPr>
          <w:rFonts w:hAnsi="宋体"/>
          <w:szCs w:val="24"/>
        </w:rPr>
      </w:pPr>
      <w:r w:rsidRPr="00B77E5D">
        <w:rPr>
          <w:rFonts w:hAnsi="宋体" w:hint="eastAsia"/>
          <w:szCs w:val="24"/>
        </w:rPr>
        <w:t xml:space="preserve">（或授权代理人）：           </w:t>
      </w:r>
    </w:p>
    <w:p w:rsidR="002E15F3" w:rsidRPr="00B77E5D" w:rsidRDefault="002E15F3">
      <w:pPr>
        <w:pStyle w:val="20"/>
        <w:spacing w:before="0" w:after="0" w:line="520" w:lineRule="atLeast"/>
        <w:ind w:left="0" w:firstLineChars="200" w:firstLine="480"/>
        <w:rPr>
          <w:rFonts w:hAnsi="宋体"/>
          <w:szCs w:val="24"/>
        </w:rPr>
      </w:pPr>
    </w:p>
    <w:p w:rsidR="002E15F3" w:rsidRPr="00B77E5D" w:rsidRDefault="00834479">
      <w:pPr>
        <w:pStyle w:val="20"/>
        <w:spacing w:before="0" w:after="0" w:line="520" w:lineRule="atLeast"/>
        <w:ind w:left="0"/>
        <w:rPr>
          <w:rFonts w:hAnsi="宋体"/>
          <w:szCs w:val="24"/>
        </w:rPr>
      </w:pPr>
      <w:r w:rsidRPr="00B77E5D">
        <w:rPr>
          <w:rFonts w:hAnsi="宋体" w:hint="eastAsia"/>
          <w:szCs w:val="24"/>
        </w:rPr>
        <w:t>签署日期：</w:t>
      </w:r>
    </w:p>
    <w:p w:rsidR="002E15F3" w:rsidRPr="00B77E5D" w:rsidRDefault="002E15F3">
      <w:pPr>
        <w:pStyle w:val="20"/>
        <w:spacing w:before="0" w:after="0" w:line="520" w:lineRule="atLeast"/>
        <w:ind w:left="0" w:firstLineChars="200" w:firstLine="480"/>
        <w:rPr>
          <w:rFonts w:hAnsi="宋体"/>
          <w:szCs w:val="24"/>
        </w:rPr>
      </w:pPr>
    </w:p>
    <w:p w:rsidR="002E15F3" w:rsidRPr="00B77E5D" w:rsidRDefault="002E15F3">
      <w:pPr>
        <w:pStyle w:val="20"/>
        <w:spacing w:before="0" w:after="0" w:line="520" w:lineRule="atLeast"/>
        <w:ind w:left="0" w:firstLineChars="200" w:firstLine="480"/>
        <w:rPr>
          <w:rFonts w:hAnsi="宋体"/>
          <w:szCs w:val="24"/>
        </w:rPr>
      </w:pPr>
    </w:p>
    <w:p w:rsidR="002E15F3" w:rsidRPr="00B77E5D" w:rsidRDefault="002E15F3">
      <w:pPr>
        <w:pStyle w:val="20"/>
        <w:spacing w:before="0" w:after="0" w:line="520" w:lineRule="atLeast"/>
        <w:ind w:left="0" w:firstLineChars="200" w:firstLine="480"/>
        <w:rPr>
          <w:rFonts w:hAnsi="宋体"/>
          <w:szCs w:val="24"/>
        </w:rPr>
      </w:pPr>
    </w:p>
    <w:p w:rsidR="002E15F3" w:rsidRPr="00B77E5D" w:rsidRDefault="00834479">
      <w:pPr>
        <w:pStyle w:val="20"/>
        <w:spacing w:before="0" w:after="0" w:line="520" w:lineRule="atLeast"/>
        <w:ind w:left="0"/>
        <w:rPr>
          <w:rFonts w:hAnsi="宋体"/>
          <w:szCs w:val="24"/>
        </w:rPr>
      </w:pPr>
      <w:r w:rsidRPr="00B77E5D">
        <w:rPr>
          <w:rFonts w:hAnsi="宋体" w:hint="eastAsia"/>
          <w:szCs w:val="24"/>
        </w:rPr>
        <w:t>基金托管人：中信银行股份有限公司（</w:t>
      </w:r>
      <w:r w:rsidRPr="00B77E5D">
        <w:rPr>
          <w:rFonts w:asciiTheme="minorEastAsia" w:eastAsiaTheme="minorEastAsia" w:hAnsiTheme="minorEastAsia" w:hint="eastAsia"/>
          <w:szCs w:val="24"/>
        </w:rPr>
        <w:t>公章或合同专用章</w:t>
      </w:r>
      <w:r w:rsidRPr="00B77E5D">
        <w:rPr>
          <w:rFonts w:hAnsi="宋体" w:hint="eastAsia"/>
          <w:szCs w:val="24"/>
        </w:rPr>
        <w:t>）</w:t>
      </w:r>
    </w:p>
    <w:p w:rsidR="002E15F3" w:rsidRPr="00B77E5D" w:rsidRDefault="002E15F3">
      <w:pPr>
        <w:pStyle w:val="20"/>
        <w:spacing w:before="0" w:after="0" w:line="520" w:lineRule="atLeast"/>
        <w:ind w:left="0"/>
        <w:rPr>
          <w:rFonts w:hAnsi="宋体"/>
          <w:szCs w:val="24"/>
        </w:rPr>
      </w:pPr>
    </w:p>
    <w:p w:rsidR="002E15F3" w:rsidRPr="00B77E5D" w:rsidRDefault="00834479">
      <w:pPr>
        <w:pStyle w:val="20"/>
        <w:spacing w:before="0" w:after="0" w:line="520" w:lineRule="atLeast"/>
        <w:ind w:left="0"/>
        <w:rPr>
          <w:rFonts w:hAnsi="宋体"/>
          <w:szCs w:val="24"/>
        </w:rPr>
      </w:pPr>
      <w:r w:rsidRPr="00B77E5D">
        <w:rPr>
          <w:rFonts w:hAnsi="宋体" w:hint="eastAsia"/>
          <w:szCs w:val="24"/>
        </w:rPr>
        <w:t>法定代表人/负责人</w:t>
      </w:r>
    </w:p>
    <w:p w:rsidR="002E15F3" w:rsidRPr="00B77E5D" w:rsidRDefault="00834479">
      <w:pPr>
        <w:pStyle w:val="20"/>
        <w:spacing w:before="0" w:after="0" w:line="520" w:lineRule="atLeast"/>
        <w:ind w:left="0"/>
        <w:rPr>
          <w:rFonts w:hAnsi="宋体"/>
          <w:szCs w:val="24"/>
        </w:rPr>
      </w:pPr>
      <w:r w:rsidRPr="00B77E5D">
        <w:rPr>
          <w:rFonts w:hAnsi="宋体" w:hint="eastAsia"/>
          <w:szCs w:val="24"/>
        </w:rPr>
        <w:t xml:space="preserve">（或授权代理人）：  </w:t>
      </w:r>
    </w:p>
    <w:p w:rsidR="002E15F3" w:rsidRPr="00B77E5D" w:rsidRDefault="002E15F3">
      <w:pPr>
        <w:pStyle w:val="20"/>
        <w:spacing w:before="0" w:after="0" w:line="520" w:lineRule="atLeast"/>
        <w:ind w:left="0"/>
        <w:rPr>
          <w:rFonts w:hAnsi="宋体"/>
          <w:szCs w:val="24"/>
        </w:rPr>
      </w:pPr>
    </w:p>
    <w:p w:rsidR="002E15F3" w:rsidRPr="00B77E5D" w:rsidRDefault="00834479">
      <w:pPr>
        <w:pStyle w:val="20"/>
        <w:spacing w:before="0" w:after="0" w:line="520" w:lineRule="atLeast"/>
        <w:ind w:left="0"/>
        <w:rPr>
          <w:rFonts w:hAnsi="宋体"/>
          <w:szCs w:val="24"/>
        </w:rPr>
      </w:pPr>
      <w:r w:rsidRPr="00B77E5D">
        <w:rPr>
          <w:rFonts w:hAnsi="宋体" w:hint="eastAsia"/>
          <w:szCs w:val="24"/>
        </w:rPr>
        <w:t>签署日期：</w:t>
      </w:r>
    </w:p>
    <w:p w:rsidR="002E15F3" w:rsidRPr="00B77E5D" w:rsidRDefault="00834479">
      <w:pPr>
        <w:pStyle w:val="20"/>
        <w:spacing w:before="0" w:after="0" w:line="520" w:lineRule="atLeast"/>
        <w:ind w:left="0"/>
        <w:rPr>
          <w:rFonts w:hAnsi="宋体"/>
          <w:sz w:val="28"/>
          <w:szCs w:val="28"/>
        </w:rPr>
      </w:pPr>
      <w:r w:rsidRPr="00B77E5D">
        <w:rPr>
          <w:rFonts w:hAnsi="宋体" w:hint="eastAsia"/>
          <w:sz w:val="28"/>
          <w:szCs w:val="28"/>
        </w:rPr>
        <w:t xml:space="preserve">           </w:t>
      </w:r>
    </w:p>
    <w:p w:rsidR="002E15F3" w:rsidRPr="00B77E5D" w:rsidRDefault="002E15F3">
      <w:pPr>
        <w:pStyle w:val="20"/>
        <w:spacing w:before="0" w:after="0" w:line="520" w:lineRule="atLeast"/>
        <w:ind w:left="0" w:firstLineChars="200" w:firstLine="560"/>
        <w:rPr>
          <w:rFonts w:hAnsi="宋体"/>
          <w:sz w:val="28"/>
          <w:szCs w:val="28"/>
        </w:rPr>
      </w:pPr>
    </w:p>
    <w:p w:rsidR="002E15F3" w:rsidRPr="00B77E5D" w:rsidRDefault="002E15F3">
      <w:pPr>
        <w:pStyle w:val="20"/>
        <w:spacing w:before="0" w:after="0" w:line="520" w:lineRule="atLeast"/>
        <w:ind w:left="0" w:firstLineChars="200" w:firstLine="560"/>
        <w:rPr>
          <w:rFonts w:hAnsi="宋体"/>
          <w:sz w:val="28"/>
          <w:szCs w:val="28"/>
        </w:rPr>
      </w:pPr>
    </w:p>
    <w:p w:rsidR="002E15F3" w:rsidRPr="00B77E5D" w:rsidRDefault="002E15F3">
      <w:pPr>
        <w:pStyle w:val="20"/>
        <w:spacing w:before="0" w:after="0" w:line="520" w:lineRule="atLeast"/>
        <w:ind w:left="0" w:firstLineChars="200" w:firstLine="560"/>
        <w:rPr>
          <w:rFonts w:hAnsi="宋体"/>
          <w:sz w:val="28"/>
          <w:szCs w:val="28"/>
        </w:rPr>
      </w:pPr>
    </w:p>
    <w:p w:rsidR="002E15F3" w:rsidRPr="00B77E5D" w:rsidRDefault="002E15F3">
      <w:pPr>
        <w:pStyle w:val="20"/>
        <w:spacing w:before="0" w:after="0" w:line="520" w:lineRule="atLeast"/>
        <w:ind w:left="0"/>
        <w:rPr>
          <w:rFonts w:hAnsi="宋体"/>
          <w:szCs w:val="24"/>
        </w:rPr>
      </w:pPr>
    </w:p>
    <w:p w:rsidR="002E15F3" w:rsidRDefault="00834479">
      <w:pPr>
        <w:pStyle w:val="20"/>
        <w:spacing w:before="0" w:after="0" w:line="520" w:lineRule="atLeast"/>
        <w:ind w:left="0"/>
        <w:rPr>
          <w:rFonts w:hAnsi="宋体"/>
          <w:szCs w:val="24"/>
        </w:rPr>
      </w:pPr>
      <w:r w:rsidRPr="00B77E5D">
        <w:rPr>
          <w:rFonts w:hAnsi="宋体" w:hint="eastAsia"/>
          <w:szCs w:val="24"/>
        </w:rPr>
        <w:t>签订地：</w:t>
      </w:r>
      <w:r>
        <w:rPr>
          <w:rFonts w:hAnsi="宋体" w:hint="eastAsia"/>
          <w:szCs w:val="24"/>
        </w:rPr>
        <w:t xml:space="preserve"> </w:t>
      </w:r>
    </w:p>
    <w:p w:rsidR="002E15F3" w:rsidRDefault="002E15F3">
      <w:pPr>
        <w:pStyle w:val="20"/>
        <w:spacing w:before="0" w:after="0" w:line="520" w:lineRule="atLeast"/>
        <w:ind w:left="0" w:firstLineChars="200" w:firstLine="480"/>
        <w:rPr>
          <w:rFonts w:hAnsi="宋体"/>
          <w:szCs w:val="24"/>
        </w:rPr>
      </w:pPr>
    </w:p>
    <w:p w:rsidR="002E15F3" w:rsidRDefault="00834479">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rsidR="002E15F3" w:rsidRDefault="002E15F3">
      <w:pPr>
        <w:autoSpaceDE w:val="0"/>
        <w:autoSpaceDN w:val="0"/>
        <w:adjustRightInd w:val="0"/>
        <w:spacing w:line="520" w:lineRule="atLeast"/>
        <w:ind w:rightChars="11" w:right="23"/>
        <w:rPr>
          <w:rFonts w:ascii="宋体" w:hAnsi="宋体"/>
          <w:sz w:val="28"/>
          <w:szCs w:val="28"/>
        </w:rPr>
      </w:pPr>
    </w:p>
    <w:sectPr w:rsidR="002E15F3">
      <w:footerReference w:type="even" r:id="rId9"/>
      <w:footerReference w:type="default" r:id="rId10"/>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55" w:rsidRDefault="00247A55">
      <w:r>
        <w:separator/>
      </w:r>
    </w:p>
  </w:endnote>
  <w:endnote w:type="continuationSeparator" w:id="0">
    <w:p w:rsidR="00247A55" w:rsidRDefault="00247A55">
      <w:r>
        <w:continuationSeparator/>
      </w:r>
    </w:p>
  </w:endnote>
  <w:endnote w:type="continuationNotice" w:id="1">
    <w:p w:rsidR="00247A55" w:rsidRDefault="00247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74" w:rsidRDefault="00EF6574">
    <w:pPr>
      <w:pStyle w:val="ad"/>
      <w:framePr w:wrap="around" w:vAnchor="text" w:hAnchor="margin" w:xAlign="center" w:y="1"/>
      <w:rPr>
        <w:rStyle w:val="af3"/>
      </w:rPr>
    </w:pPr>
    <w:r>
      <w:fldChar w:fldCharType="begin"/>
    </w:r>
    <w:r>
      <w:rPr>
        <w:rStyle w:val="af3"/>
      </w:rPr>
      <w:instrText xml:space="preserve">PAGE  </w:instrText>
    </w:r>
    <w:r>
      <w:fldChar w:fldCharType="end"/>
    </w:r>
  </w:p>
  <w:p w:rsidR="00EF6574" w:rsidRDefault="00EF6574">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74" w:rsidRDefault="00EF6574">
    <w:pPr>
      <w:pStyle w:val="ad"/>
      <w:framePr w:wrap="around" w:vAnchor="text" w:hAnchor="margin" w:xAlign="center" w:y="1"/>
      <w:rPr>
        <w:rStyle w:val="af3"/>
      </w:rPr>
    </w:pPr>
    <w:r>
      <w:fldChar w:fldCharType="begin"/>
    </w:r>
    <w:r>
      <w:rPr>
        <w:rStyle w:val="af3"/>
      </w:rPr>
      <w:instrText xml:space="preserve">PAGE  </w:instrText>
    </w:r>
    <w:r>
      <w:fldChar w:fldCharType="separate"/>
    </w:r>
    <w:r w:rsidR="00F1652A">
      <w:rPr>
        <w:rStyle w:val="af3"/>
        <w:noProof/>
      </w:rPr>
      <w:t>43</w:t>
    </w:r>
    <w:r>
      <w:fldChar w:fldCharType="end"/>
    </w:r>
  </w:p>
  <w:p w:rsidR="00EF6574" w:rsidRDefault="00EF657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55" w:rsidRDefault="00247A55">
      <w:r>
        <w:separator/>
      </w:r>
    </w:p>
  </w:footnote>
  <w:footnote w:type="continuationSeparator" w:id="0">
    <w:p w:rsidR="00247A55" w:rsidRDefault="00247A55">
      <w:r>
        <w:continuationSeparator/>
      </w:r>
    </w:p>
  </w:footnote>
  <w:footnote w:type="continuationNotice" w:id="1">
    <w:p w:rsidR="00247A55" w:rsidRDefault="00247A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22B9"/>
    <w:rsid w:val="00005F02"/>
    <w:rsid w:val="00006A92"/>
    <w:rsid w:val="00006EF5"/>
    <w:rsid w:val="00007EEE"/>
    <w:rsid w:val="000107EC"/>
    <w:rsid w:val="00014405"/>
    <w:rsid w:val="00014C75"/>
    <w:rsid w:val="00014D0C"/>
    <w:rsid w:val="000156D9"/>
    <w:rsid w:val="0001713B"/>
    <w:rsid w:val="00017F23"/>
    <w:rsid w:val="000217E4"/>
    <w:rsid w:val="00023A92"/>
    <w:rsid w:val="00024342"/>
    <w:rsid w:val="00027285"/>
    <w:rsid w:val="000277C5"/>
    <w:rsid w:val="00033A7B"/>
    <w:rsid w:val="00035920"/>
    <w:rsid w:val="00035E9A"/>
    <w:rsid w:val="00037031"/>
    <w:rsid w:val="00037404"/>
    <w:rsid w:val="00037818"/>
    <w:rsid w:val="00037980"/>
    <w:rsid w:val="00042A25"/>
    <w:rsid w:val="00042EEE"/>
    <w:rsid w:val="00043FB7"/>
    <w:rsid w:val="00046B2A"/>
    <w:rsid w:val="00054D1E"/>
    <w:rsid w:val="000559C3"/>
    <w:rsid w:val="00057FEF"/>
    <w:rsid w:val="000603A2"/>
    <w:rsid w:val="000612CB"/>
    <w:rsid w:val="00062021"/>
    <w:rsid w:val="00062A04"/>
    <w:rsid w:val="00062E2D"/>
    <w:rsid w:val="00065D90"/>
    <w:rsid w:val="00066BF4"/>
    <w:rsid w:val="00067024"/>
    <w:rsid w:val="0006754D"/>
    <w:rsid w:val="000702DA"/>
    <w:rsid w:val="00071F28"/>
    <w:rsid w:val="0007356D"/>
    <w:rsid w:val="00074856"/>
    <w:rsid w:val="0007628A"/>
    <w:rsid w:val="0007750D"/>
    <w:rsid w:val="00080252"/>
    <w:rsid w:val="0008163D"/>
    <w:rsid w:val="0008210C"/>
    <w:rsid w:val="000844EB"/>
    <w:rsid w:val="0008770D"/>
    <w:rsid w:val="000877E6"/>
    <w:rsid w:val="00093120"/>
    <w:rsid w:val="000A228B"/>
    <w:rsid w:val="000A6D0B"/>
    <w:rsid w:val="000A6D18"/>
    <w:rsid w:val="000A6FC1"/>
    <w:rsid w:val="000B14EF"/>
    <w:rsid w:val="000B1644"/>
    <w:rsid w:val="000B1E50"/>
    <w:rsid w:val="000B3513"/>
    <w:rsid w:val="000B6EB4"/>
    <w:rsid w:val="000C0905"/>
    <w:rsid w:val="000C152B"/>
    <w:rsid w:val="000C2F51"/>
    <w:rsid w:val="000C4913"/>
    <w:rsid w:val="000C53B8"/>
    <w:rsid w:val="000C7AB7"/>
    <w:rsid w:val="000D0BD5"/>
    <w:rsid w:val="000D17C9"/>
    <w:rsid w:val="000D59DE"/>
    <w:rsid w:val="000E1C6F"/>
    <w:rsid w:val="000E216E"/>
    <w:rsid w:val="000E3608"/>
    <w:rsid w:val="000E4AB6"/>
    <w:rsid w:val="000E69F8"/>
    <w:rsid w:val="000F03A8"/>
    <w:rsid w:val="000F6613"/>
    <w:rsid w:val="00101CFA"/>
    <w:rsid w:val="001022CC"/>
    <w:rsid w:val="0010239C"/>
    <w:rsid w:val="00102F71"/>
    <w:rsid w:val="00107051"/>
    <w:rsid w:val="0011227F"/>
    <w:rsid w:val="00114891"/>
    <w:rsid w:val="00114C74"/>
    <w:rsid w:val="00115AA2"/>
    <w:rsid w:val="001177F0"/>
    <w:rsid w:val="00120949"/>
    <w:rsid w:val="001214D3"/>
    <w:rsid w:val="00127B41"/>
    <w:rsid w:val="00130C38"/>
    <w:rsid w:val="00131B42"/>
    <w:rsid w:val="00132302"/>
    <w:rsid w:val="00132BE4"/>
    <w:rsid w:val="00135362"/>
    <w:rsid w:val="00135DA1"/>
    <w:rsid w:val="00137C67"/>
    <w:rsid w:val="0014134F"/>
    <w:rsid w:val="0014169A"/>
    <w:rsid w:val="0014323B"/>
    <w:rsid w:val="00143504"/>
    <w:rsid w:val="00145C16"/>
    <w:rsid w:val="00146F90"/>
    <w:rsid w:val="00157144"/>
    <w:rsid w:val="00157827"/>
    <w:rsid w:val="00160432"/>
    <w:rsid w:val="001618D7"/>
    <w:rsid w:val="00161E02"/>
    <w:rsid w:val="0016570B"/>
    <w:rsid w:val="001657D8"/>
    <w:rsid w:val="0016680C"/>
    <w:rsid w:val="001739A7"/>
    <w:rsid w:val="00175447"/>
    <w:rsid w:val="00175B0A"/>
    <w:rsid w:val="0017695B"/>
    <w:rsid w:val="001774C2"/>
    <w:rsid w:val="00180B60"/>
    <w:rsid w:val="001818B3"/>
    <w:rsid w:val="00183760"/>
    <w:rsid w:val="001848CC"/>
    <w:rsid w:val="00185B8C"/>
    <w:rsid w:val="00187525"/>
    <w:rsid w:val="00190D40"/>
    <w:rsid w:val="00194C53"/>
    <w:rsid w:val="001A2EA4"/>
    <w:rsid w:val="001A425D"/>
    <w:rsid w:val="001A4844"/>
    <w:rsid w:val="001A7903"/>
    <w:rsid w:val="001A7FB9"/>
    <w:rsid w:val="001B0A60"/>
    <w:rsid w:val="001B0F1A"/>
    <w:rsid w:val="001B2959"/>
    <w:rsid w:val="001B2AF0"/>
    <w:rsid w:val="001B2E1D"/>
    <w:rsid w:val="001B3F29"/>
    <w:rsid w:val="001B64BB"/>
    <w:rsid w:val="001B687D"/>
    <w:rsid w:val="001B6B44"/>
    <w:rsid w:val="001B7022"/>
    <w:rsid w:val="001C2ACF"/>
    <w:rsid w:val="001C545B"/>
    <w:rsid w:val="001C66BC"/>
    <w:rsid w:val="001C779A"/>
    <w:rsid w:val="001C7E0D"/>
    <w:rsid w:val="001D03D4"/>
    <w:rsid w:val="001D09A0"/>
    <w:rsid w:val="001D3E64"/>
    <w:rsid w:val="001D444B"/>
    <w:rsid w:val="001D5625"/>
    <w:rsid w:val="001D6E35"/>
    <w:rsid w:val="001E33B7"/>
    <w:rsid w:val="001E6A2F"/>
    <w:rsid w:val="001E6B63"/>
    <w:rsid w:val="001F1C99"/>
    <w:rsid w:val="001F5108"/>
    <w:rsid w:val="001F5893"/>
    <w:rsid w:val="001F7C60"/>
    <w:rsid w:val="00203D12"/>
    <w:rsid w:val="002045A2"/>
    <w:rsid w:val="00205409"/>
    <w:rsid w:val="00206787"/>
    <w:rsid w:val="0020692F"/>
    <w:rsid w:val="00206D81"/>
    <w:rsid w:val="00214195"/>
    <w:rsid w:val="00214CF7"/>
    <w:rsid w:val="002158ED"/>
    <w:rsid w:val="00216E66"/>
    <w:rsid w:val="00217901"/>
    <w:rsid w:val="002216DF"/>
    <w:rsid w:val="00221C8C"/>
    <w:rsid w:val="00222AE4"/>
    <w:rsid w:val="00222FA1"/>
    <w:rsid w:val="002254CA"/>
    <w:rsid w:val="00225A43"/>
    <w:rsid w:val="002309FE"/>
    <w:rsid w:val="00234CB5"/>
    <w:rsid w:val="00235CC8"/>
    <w:rsid w:val="002363D2"/>
    <w:rsid w:val="0023682B"/>
    <w:rsid w:val="00244076"/>
    <w:rsid w:val="00244CEE"/>
    <w:rsid w:val="00244F0B"/>
    <w:rsid w:val="002464DB"/>
    <w:rsid w:val="00246D15"/>
    <w:rsid w:val="00247A55"/>
    <w:rsid w:val="00250DF4"/>
    <w:rsid w:val="00250F1C"/>
    <w:rsid w:val="00251308"/>
    <w:rsid w:val="00251F69"/>
    <w:rsid w:val="00256509"/>
    <w:rsid w:val="002567AE"/>
    <w:rsid w:val="002620B5"/>
    <w:rsid w:val="00262CD1"/>
    <w:rsid w:val="00263158"/>
    <w:rsid w:val="0026403B"/>
    <w:rsid w:val="00264153"/>
    <w:rsid w:val="00265CF3"/>
    <w:rsid w:val="00270B1B"/>
    <w:rsid w:val="00271BEE"/>
    <w:rsid w:val="002727FB"/>
    <w:rsid w:val="002736A4"/>
    <w:rsid w:val="00273F36"/>
    <w:rsid w:val="0027511C"/>
    <w:rsid w:val="00275823"/>
    <w:rsid w:val="002763ED"/>
    <w:rsid w:val="00277162"/>
    <w:rsid w:val="002771AB"/>
    <w:rsid w:val="00280105"/>
    <w:rsid w:val="00282CB6"/>
    <w:rsid w:val="002830C1"/>
    <w:rsid w:val="00283722"/>
    <w:rsid w:val="002866AB"/>
    <w:rsid w:val="00287C1A"/>
    <w:rsid w:val="002947B5"/>
    <w:rsid w:val="0029735B"/>
    <w:rsid w:val="002A153D"/>
    <w:rsid w:val="002A2964"/>
    <w:rsid w:val="002A30A8"/>
    <w:rsid w:val="002A34FB"/>
    <w:rsid w:val="002A4594"/>
    <w:rsid w:val="002A462C"/>
    <w:rsid w:val="002A5134"/>
    <w:rsid w:val="002A5A19"/>
    <w:rsid w:val="002A65BC"/>
    <w:rsid w:val="002B0CA2"/>
    <w:rsid w:val="002B0E9C"/>
    <w:rsid w:val="002B2B25"/>
    <w:rsid w:val="002B2B46"/>
    <w:rsid w:val="002B6FA3"/>
    <w:rsid w:val="002C1E79"/>
    <w:rsid w:val="002C2600"/>
    <w:rsid w:val="002C4590"/>
    <w:rsid w:val="002C7260"/>
    <w:rsid w:val="002C7356"/>
    <w:rsid w:val="002D0E4A"/>
    <w:rsid w:val="002D1E73"/>
    <w:rsid w:val="002D278E"/>
    <w:rsid w:val="002D4FB5"/>
    <w:rsid w:val="002D5AC8"/>
    <w:rsid w:val="002D63DA"/>
    <w:rsid w:val="002E15F3"/>
    <w:rsid w:val="002E3CEF"/>
    <w:rsid w:val="002E423B"/>
    <w:rsid w:val="002E5A90"/>
    <w:rsid w:val="002F11B6"/>
    <w:rsid w:val="002F1D9A"/>
    <w:rsid w:val="002F1FB2"/>
    <w:rsid w:val="002F592A"/>
    <w:rsid w:val="002F7C1F"/>
    <w:rsid w:val="0030015E"/>
    <w:rsid w:val="00302597"/>
    <w:rsid w:val="0030473A"/>
    <w:rsid w:val="00305970"/>
    <w:rsid w:val="00307378"/>
    <w:rsid w:val="0030785F"/>
    <w:rsid w:val="00310F9F"/>
    <w:rsid w:val="00311EBB"/>
    <w:rsid w:val="00314EE7"/>
    <w:rsid w:val="00317BE9"/>
    <w:rsid w:val="003229E8"/>
    <w:rsid w:val="003253AF"/>
    <w:rsid w:val="0032641B"/>
    <w:rsid w:val="00326B53"/>
    <w:rsid w:val="00330DBF"/>
    <w:rsid w:val="00342101"/>
    <w:rsid w:val="00343183"/>
    <w:rsid w:val="00345E38"/>
    <w:rsid w:val="00347CFE"/>
    <w:rsid w:val="0035177F"/>
    <w:rsid w:val="00352B25"/>
    <w:rsid w:val="00362673"/>
    <w:rsid w:val="00363BF9"/>
    <w:rsid w:val="003660FE"/>
    <w:rsid w:val="003669E2"/>
    <w:rsid w:val="00370E6A"/>
    <w:rsid w:val="00376470"/>
    <w:rsid w:val="00376534"/>
    <w:rsid w:val="00380257"/>
    <w:rsid w:val="00380937"/>
    <w:rsid w:val="00381318"/>
    <w:rsid w:val="003820CE"/>
    <w:rsid w:val="0038599A"/>
    <w:rsid w:val="00385CF5"/>
    <w:rsid w:val="0039058F"/>
    <w:rsid w:val="00393A4B"/>
    <w:rsid w:val="00393DD2"/>
    <w:rsid w:val="00393FF0"/>
    <w:rsid w:val="0039570A"/>
    <w:rsid w:val="0039704D"/>
    <w:rsid w:val="00397DB8"/>
    <w:rsid w:val="003A21D3"/>
    <w:rsid w:val="003A4C9D"/>
    <w:rsid w:val="003A51A0"/>
    <w:rsid w:val="003A5736"/>
    <w:rsid w:val="003A61D3"/>
    <w:rsid w:val="003A64E9"/>
    <w:rsid w:val="003A71B5"/>
    <w:rsid w:val="003A7609"/>
    <w:rsid w:val="003B09E2"/>
    <w:rsid w:val="003B0F07"/>
    <w:rsid w:val="003B240A"/>
    <w:rsid w:val="003B7A29"/>
    <w:rsid w:val="003B7C32"/>
    <w:rsid w:val="003C20E6"/>
    <w:rsid w:val="003C235D"/>
    <w:rsid w:val="003C2DEB"/>
    <w:rsid w:val="003C306C"/>
    <w:rsid w:val="003C3C90"/>
    <w:rsid w:val="003C5A81"/>
    <w:rsid w:val="003C67A3"/>
    <w:rsid w:val="003C6E19"/>
    <w:rsid w:val="003D0785"/>
    <w:rsid w:val="003D24E0"/>
    <w:rsid w:val="003D4525"/>
    <w:rsid w:val="003D48C9"/>
    <w:rsid w:val="003D6E5F"/>
    <w:rsid w:val="003D7086"/>
    <w:rsid w:val="003D778D"/>
    <w:rsid w:val="003D794A"/>
    <w:rsid w:val="003E249B"/>
    <w:rsid w:val="003E25E9"/>
    <w:rsid w:val="003E57C9"/>
    <w:rsid w:val="003E5B9D"/>
    <w:rsid w:val="003E619A"/>
    <w:rsid w:val="003E728E"/>
    <w:rsid w:val="003F22E3"/>
    <w:rsid w:val="003F26BF"/>
    <w:rsid w:val="003F32DF"/>
    <w:rsid w:val="003F333A"/>
    <w:rsid w:val="003F38FA"/>
    <w:rsid w:val="003F4121"/>
    <w:rsid w:val="003F73F8"/>
    <w:rsid w:val="003F76F1"/>
    <w:rsid w:val="003F7744"/>
    <w:rsid w:val="00400052"/>
    <w:rsid w:val="004037F2"/>
    <w:rsid w:val="00403FA4"/>
    <w:rsid w:val="00410211"/>
    <w:rsid w:val="004103DA"/>
    <w:rsid w:val="00411E11"/>
    <w:rsid w:val="00411EC2"/>
    <w:rsid w:val="0041348F"/>
    <w:rsid w:val="00416112"/>
    <w:rsid w:val="00416361"/>
    <w:rsid w:val="0041673C"/>
    <w:rsid w:val="00417D16"/>
    <w:rsid w:val="00417E1C"/>
    <w:rsid w:val="0042648F"/>
    <w:rsid w:val="0042785C"/>
    <w:rsid w:val="00430FD3"/>
    <w:rsid w:val="004311E8"/>
    <w:rsid w:val="004339DF"/>
    <w:rsid w:val="00436366"/>
    <w:rsid w:val="0043710B"/>
    <w:rsid w:val="0044003F"/>
    <w:rsid w:val="004412E4"/>
    <w:rsid w:val="00443EEB"/>
    <w:rsid w:val="004464B7"/>
    <w:rsid w:val="0044652B"/>
    <w:rsid w:val="00446697"/>
    <w:rsid w:val="00451371"/>
    <w:rsid w:val="00455161"/>
    <w:rsid w:val="004558DF"/>
    <w:rsid w:val="00456A15"/>
    <w:rsid w:val="00457DD7"/>
    <w:rsid w:val="0046023B"/>
    <w:rsid w:val="00460911"/>
    <w:rsid w:val="004628A8"/>
    <w:rsid w:val="004628E6"/>
    <w:rsid w:val="00462A74"/>
    <w:rsid w:val="00463554"/>
    <w:rsid w:val="00465A21"/>
    <w:rsid w:val="004661BB"/>
    <w:rsid w:val="004670BB"/>
    <w:rsid w:val="0046775F"/>
    <w:rsid w:val="004702E5"/>
    <w:rsid w:val="00470F6A"/>
    <w:rsid w:val="00472976"/>
    <w:rsid w:val="00472B5C"/>
    <w:rsid w:val="004734B3"/>
    <w:rsid w:val="004736E0"/>
    <w:rsid w:val="00474712"/>
    <w:rsid w:val="00475713"/>
    <w:rsid w:val="00477C89"/>
    <w:rsid w:val="0048045F"/>
    <w:rsid w:val="00480A6F"/>
    <w:rsid w:val="00484BCF"/>
    <w:rsid w:val="00486048"/>
    <w:rsid w:val="00486560"/>
    <w:rsid w:val="00490CC4"/>
    <w:rsid w:val="00491DBD"/>
    <w:rsid w:val="00494041"/>
    <w:rsid w:val="004A0749"/>
    <w:rsid w:val="004A127B"/>
    <w:rsid w:val="004A1CDB"/>
    <w:rsid w:val="004A1D6A"/>
    <w:rsid w:val="004A2093"/>
    <w:rsid w:val="004A21FA"/>
    <w:rsid w:val="004A26BE"/>
    <w:rsid w:val="004A4507"/>
    <w:rsid w:val="004A4B25"/>
    <w:rsid w:val="004A7E64"/>
    <w:rsid w:val="004B040A"/>
    <w:rsid w:val="004B0A2F"/>
    <w:rsid w:val="004B190B"/>
    <w:rsid w:val="004B2D94"/>
    <w:rsid w:val="004B3486"/>
    <w:rsid w:val="004B3F78"/>
    <w:rsid w:val="004B76D3"/>
    <w:rsid w:val="004C14BD"/>
    <w:rsid w:val="004C3CDC"/>
    <w:rsid w:val="004C3CF2"/>
    <w:rsid w:val="004C5378"/>
    <w:rsid w:val="004C7064"/>
    <w:rsid w:val="004C7BEF"/>
    <w:rsid w:val="004D13B1"/>
    <w:rsid w:val="004D4280"/>
    <w:rsid w:val="004D7082"/>
    <w:rsid w:val="004E1EA0"/>
    <w:rsid w:val="004E306E"/>
    <w:rsid w:val="004E5206"/>
    <w:rsid w:val="004E5621"/>
    <w:rsid w:val="004E6ED8"/>
    <w:rsid w:val="004E7254"/>
    <w:rsid w:val="004F2730"/>
    <w:rsid w:val="004F28DA"/>
    <w:rsid w:val="004F2CD0"/>
    <w:rsid w:val="004F4570"/>
    <w:rsid w:val="004F5507"/>
    <w:rsid w:val="004F5ED3"/>
    <w:rsid w:val="004F6A07"/>
    <w:rsid w:val="004F7098"/>
    <w:rsid w:val="00500435"/>
    <w:rsid w:val="00507836"/>
    <w:rsid w:val="00507B99"/>
    <w:rsid w:val="005121E1"/>
    <w:rsid w:val="005147D9"/>
    <w:rsid w:val="00514ECE"/>
    <w:rsid w:val="005169E9"/>
    <w:rsid w:val="005223A4"/>
    <w:rsid w:val="0052386A"/>
    <w:rsid w:val="00526BD9"/>
    <w:rsid w:val="005302BD"/>
    <w:rsid w:val="00530616"/>
    <w:rsid w:val="005307DB"/>
    <w:rsid w:val="00532411"/>
    <w:rsid w:val="00533899"/>
    <w:rsid w:val="00533B7B"/>
    <w:rsid w:val="0053439C"/>
    <w:rsid w:val="005364C2"/>
    <w:rsid w:val="005366E9"/>
    <w:rsid w:val="0054036A"/>
    <w:rsid w:val="00540617"/>
    <w:rsid w:val="005411E6"/>
    <w:rsid w:val="005417F4"/>
    <w:rsid w:val="00541A7B"/>
    <w:rsid w:val="00543408"/>
    <w:rsid w:val="00552CCB"/>
    <w:rsid w:val="00553AA5"/>
    <w:rsid w:val="005541ED"/>
    <w:rsid w:val="005576FE"/>
    <w:rsid w:val="00560BC1"/>
    <w:rsid w:val="005662BD"/>
    <w:rsid w:val="005706A6"/>
    <w:rsid w:val="00573477"/>
    <w:rsid w:val="00577935"/>
    <w:rsid w:val="005850EB"/>
    <w:rsid w:val="0058633D"/>
    <w:rsid w:val="00587AA1"/>
    <w:rsid w:val="0059151B"/>
    <w:rsid w:val="00591580"/>
    <w:rsid w:val="00591B16"/>
    <w:rsid w:val="005923F3"/>
    <w:rsid w:val="005932A1"/>
    <w:rsid w:val="00594448"/>
    <w:rsid w:val="005A0655"/>
    <w:rsid w:val="005A0DE9"/>
    <w:rsid w:val="005A11E0"/>
    <w:rsid w:val="005A1862"/>
    <w:rsid w:val="005A1FC8"/>
    <w:rsid w:val="005A4A20"/>
    <w:rsid w:val="005A52A1"/>
    <w:rsid w:val="005A6521"/>
    <w:rsid w:val="005A745C"/>
    <w:rsid w:val="005B05A6"/>
    <w:rsid w:val="005B0BF2"/>
    <w:rsid w:val="005B0CCB"/>
    <w:rsid w:val="005B0F25"/>
    <w:rsid w:val="005B4A54"/>
    <w:rsid w:val="005B4B7E"/>
    <w:rsid w:val="005B5DC5"/>
    <w:rsid w:val="005B606F"/>
    <w:rsid w:val="005B6D06"/>
    <w:rsid w:val="005B7532"/>
    <w:rsid w:val="005C199E"/>
    <w:rsid w:val="005C1C72"/>
    <w:rsid w:val="005C25E5"/>
    <w:rsid w:val="005C5197"/>
    <w:rsid w:val="005C5DFC"/>
    <w:rsid w:val="005D02A4"/>
    <w:rsid w:val="005D0467"/>
    <w:rsid w:val="005D0E8E"/>
    <w:rsid w:val="005D1047"/>
    <w:rsid w:val="005D11F0"/>
    <w:rsid w:val="005D18F6"/>
    <w:rsid w:val="005D1C8D"/>
    <w:rsid w:val="005D38C9"/>
    <w:rsid w:val="005D442A"/>
    <w:rsid w:val="005D4DA3"/>
    <w:rsid w:val="005E0DF0"/>
    <w:rsid w:val="005E12DF"/>
    <w:rsid w:val="005E2FF6"/>
    <w:rsid w:val="005E3419"/>
    <w:rsid w:val="005E3FB2"/>
    <w:rsid w:val="005E751A"/>
    <w:rsid w:val="005F012D"/>
    <w:rsid w:val="005F0CA6"/>
    <w:rsid w:val="005F221B"/>
    <w:rsid w:val="005F223F"/>
    <w:rsid w:val="005F42C5"/>
    <w:rsid w:val="005F48DE"/>
    <w:rsid w:val="005F6BB1"/>
    <w:rsid w:val="005F7024"/>
    <w:rsid w:val="00601D3D"/>
    <w:rsid w:val="0060330F"/>
    <w:rsid w:val="006039BB"/>
    <w:rsid w:val="00603BD4"/>
    <w:rsid w:val="00604A7A"/>
    <w:rsid w:val="00604C7B"/>
    <w:rsid w:val="006117E4"/>
    <w:rsid w:val="006119EB"/>
    <w:rsid w:val="00616872"/>
    <w:rsid w:val="00617860"/>
    <w:rsid w:val="00617CCE"/>
    <w:rsid w:val="00621559"/>
    <w:rsid w:val="0062158F"/>
    <w:rsid w:val="00621AF9"/>
    <w:rsid w:val="00622AE7"/>
    <w:rsid w:val="006238E1"/>
    <w:rsid w:val="00624DB6"/>
    <w:rsid w:val="00627E17"/>
    <w:rsid w:val="00630C12"/>
    <w:rsid w:val="00631068"/>
    <w:rsid w:val="006329AE"/>
    <w:rsid w:val="006333AF"/>
    <w:rsid w:val="0063530F"/>
    <w:rsid w:val="0063582D"/>
    <w:rsid w:val="006374EE"/>
    <w:rsid w:val="006433ED"/>
    <w:rsid w:val="00645BD9"/>
    <w:rsid w:val="00646351"/>
    <w:rsid w:val="0065050A"/>
    <w:rsid w:val="006505AC"/>
    <w:rsid w:val="006513FE"/>
    <w:rsid w:val="00652B8F"/>
    <w:rsid w:val="0065472A"/>
    <w:rsid w:val="0065631C"/>
    <w:rsid w:val="0065675D"/>
    <w:rsid w:val="00661D08"/>
    <w:rsid w:val="0066277C"/>
    <w:rsid w:val="00662BBA"/>
    <w:rsid w:val="006631BB"/>
    <w:rsid w:val="006634CA"/>
    <w:rsid w:val="006643B1"/>
    <w:rsid w:val="0066761D"/>
    <w:rsid w:val="00670240"/>
    <w:rsid w:val="006704D3"/>
    <w:rsid w:val="00671709"/>
    <w:rsid w:val="00671E27"/>
    <w:rsid w:val="006721E8"/>
    <w:rsid w:val="00672EA6"/>
    <w:rsid w:val="006745D6"/>
    <w:rsid w:val="00674E25"/>
    <w:rsid w:val="00675033"/>
    <w:rsid w:val="0067636E"/>
    <w:rsid w:val="00676F66"/>
    <w:rsid w:val="00681B36"/>
    <w:rsid w:val="00682F3F"/>
    <w:rsid w:val="0068465B"/>
    <w:rsid w:val="006864CB"/>
    <w:rsid w:val="006902A2"/>
    <w:rsid w:val="006929F2"/>
    <w:rsid w:val="0069476A"/>
    <w:rsid w:val="006A187B"/>
    <w:rsid w:val="006A1AF7"/>
    <w:rsid w:val="006A7C46"/>
    <w:rsid w:val="006B0D68"/>
    <w:rsid w:val="006B3419"/>
    <w:rsid w:val="006B4A19"/>
    <w:rsid w:val="006B4E45"/>
    <w:rsid w:val="006B53EF"/>
    <w:rsid w:val="006B5645"/>
    <w:rsid w:val="006B567E"/>
    <w:rsid w:val="006B5B30"/>
    <w:rsid w:val="006C1792"/>
    <w:rsid w:val="006C755C"/>
    <w:rsid w:val="006D108C"/>
    <w:rsid w:val="006E1C21"/>
    <w:rsid w:val="006E3045"/>
    <w:rsid w:val="006E43C0"/>
    <w:rsid w:val="006E5327"/>
    <w:rsid w:val="006E5F66"/>
    <w:rsid w:val="006E616F"/>
    <w:rsid w:val="006E6265"/>
    <w:rsid w:val="006E747F"/>
    <w:rsid w:val="006F1B69"/>
    <w:rsid w:val="006F22E4"/>
    <w:rsid w:val="006F3045"/>
    <w:rsid w:val="006F4830"/>
    <w:rsid w:val="006F60E3"/>
    <w:rsid w:val="006F7D2F"/>
    <w:rsid w:val="006F7F18"/>
    <w:rsid w:val="007030ED"/>
    <w:rsid w:val="00703E1D"/>
    <w:rsid w:val="007041FF"/>
    <w:rsid w:val="0070432C"/>
    <w:rsid w:val="00705281"/>
    <w:rsid w:val="0070544A"/>
    <w:rsid w:val="00706429"/>
    <w:rsid w:val="007070DC"/>
    <w:rsid w:val="007105D4"/>
    <w:rsid w:val="00711289"/>
    <w:rsid w:val="00711FEB"/>
    <w:rsid w:val="00712539"/>
    <w:rsid w:val="00712E45"/>
    <w:rsid w:val="00714EDA"/>
    <w:rsid w:val="00715971"/>
    <w:rsid w:val="00715F17"/>
    <w:rsid w:val="0072239D"/>
    <w:rsid w:val="00722E92"/>
    <w:rsid w:val="00723A7F"/>
    <w:rsid w:val="00727774"/>
    <w:rsid w:val="00727D10"/>
    <w:rsid w:val="00731307"/>
    <w:rsid w:val="0073625B"/>
    <w:rsid w:val="007400B5"/>
    <w:rsid w:val="00742138"/>
    <w:rsid w:val="00743726"/>
    <w:rsid w:val="0074389D"/>
    <w:rsid w:val="007451E3"/>
    <w:rsid w:val="0075061A"/>
    <w:rsid w:val="00750A9C"/>
    <w:rsid w:val="0075595F"/>
    <w:rsid w:val="00755E48"/>
    <w:rsid w:val="007564E2"/>
    <w:rsid w:val="00757992"/>
    <w:rsid w:val="00757C03"/>
    <w:rsid w:val="00757ED4"/>
    <w:rsid w:val="00761BC1"/>
    <w:rsid w:val="007623C3"/>
    <w:rsid w:val="00762D78"/>
    <w:rsid w:val="007630DA"/>
    <w:rsid w:val="007648C8"/>
    <w:rsid w:val="00766435"/>
    <w:rsid w:val="00770384"/>
    <w:rsid w:val="00772887"/>
    <w:rsid w:val="00772F6C"/>
    <w:rsid w:val="00773CE9"/>
    <w:rsid w:val="00773D96"/>
    <w:rsid w:val="00774DA7"/>
    <w:rsid w:val="00775161"/>
    <w:rsid w:val="00775AAB"/>
    <w:rsid w:val="00776088"/>
    <w:rsid w:val="00777C8C"/>
    <w:rsid w:val="00777DFA"/>
    <w:rsid w:val="00780565"/>
    <w:rsid w:val="0078303E"/>
    <w:rsid w:val="007865D8"/>
    <w:rsid w:val="00786DDE"/>
    <w:rsid w:val="00787C16"/>
    <w:rsid w:val="00792956"/>
    <w:rsid w:val="00792ABE"/>
    <w:rsid w:val="00793BB6"/>
    <w:rsid w:val="007953A2"/>
    <w:rsid w:val="00795FC7"/>
    <w:rsid w:val="007A08CF"/>
    <w:rsid w:val="007A3BD4"/>
    <w:rsid w:val="007A4FFD"/>
    <w:rsid w:val="007A7497"/>
    <w:rsid w:val="007B0920"/>
    <w:rsid w:val="007B0DCD"/>
    <w:rsid w:val="007B1C90"/>
    <w:rsid w:val="007B40CD"/>
    <w:rsid w:val="007B63C9"/>
    <w:rsid w:val="007B6A87"/>
    <w:rsid w:val="007B753A"/>
    <w:rsid w:val="007C02D8"/>
    <w:rsid w:val="007C3B71"/>
    <w:rsid w:val="007C4240"/>
    <w:rsid w:val="007C4565"/>
    <w:rsid w:val="007C56B2"/>
    <w:rsid w:val="007D21F7"/>
    <w:rsid w:val="007D532B"/>
    <w:rsid w:val="007E01D7"/>
    <w:rsid w:val="007E20E7"/>
    <w:rsid w:val="007E2AA0"/>
    <w:rsid w:val="007E304D"/>
    <w:rsid w:val="007E3074"/>
    <w:rsid w:val="007E4C22"/>
    <w:rsid w:val="007E66C2"/>
    <w:rsid w:val="007E7059"/>
    <w:rsid w:val="007F1F31"/>
    <w:rsid w:val="007F28F2"/>
    <w:rsid w:val="007F308A"/>
    <w:rsid w:val="007F37EC"/>
    <w:rsid w:val="007F780A"/>
    <w:rsid w:val="00802DCB"/>
    <w:rsid w:val="00806170"/>
    <w:rsid w:val="00806439"/>
    <w:rsid w:val="00810562"/>
    <w:rsid w:val="008138B1"/>
    <w:rsid w:val="00815E67"/>
    <w:rsid w:val="00816328"/>
    <w:rsid w:val="00816E98"/>
    <w:rsid w:val="00817641"/>
    <w:rsid w:val="0082011A"/>
    <w:rsid w:val="00820261"/>
    <w:rsid w:val="00822B73"/>
    <w:rsid w:val="00823638"/>
    <w:rsid w:val="008265FB"/>
    <w:rsid w:val="0083307F"/>
    <w:rsid w:val="008342C0"/>
    <w:rsid w:val="00834479"/>
    <w:rsid w:val="008402D5"/>
    <w:rsid w:val="00844028"/>
    <w:rsid w:val="0084464F"/>
    <w:rsid w:val="00844681"/>
    <w:rsid w:val="0084596D"/>
    <w:rsid w:val="00847905"/>
    <w:rsid w:val="00850170"/>
    <w:rsid w:val="00850A81"/>
    <w:rsid w:val="00853FDC"/>
    <w:rsid w:val="00855B9C"/>
    <w:rsid w:val="00856219"/>
    <w:rsid w:val="00857A81"/>
    <w:rsid w:val="0086120E"/>
    <w:rsid w:val="00862302"/>
    <w:rsid w:val="00866DB4"/>
    <w:rsid w:val="008723BB"/>
    <w:rsid w:val="0087434D"/>
    <w:rsid w:val="008758F6"/>
    <w:rsid w:val="0088044B"/>
    <w:rsid w:val="008815F1"/>
    <w:rsid w:val="0088324E"/>
    <w:rsid w:val="00885960"/>
    <w:rsid w:val="00886001"/>
    <w:rsid w:val="0088782C"/>
    <w:rsid w:val="00887CEE"/>
    <w:rsid w:val="00895349"/>
    <w:rsid w:val="008963F5"/>
    <w:rsid w:val="008A160E"/>
    <w:rsid w:val="008A1BC0"/>
    <w:rsid w:val="008A1C89"/>
    <w:rsid w:val="008A452D"/>
    <w:rsid w:val="008A50D6"/>
    <w:rsid w:val="008A772E"/>
    <w:rsid w:val="008A77A6"/>
    <w:rsid w:val="008A7F32"/>
    <w:rsid w:val="008B4574"/>
    <w:rsid w:val="008B7214"/>
    <w:rsid w:val="008C04E0"/>
    <w:rsid w:val="008C3CC7"/>
    <w:rsid w:val="008D2524"/>
    <w:rsid w:val="008D5E90"/>
    <w:rsid w:val="008E2C0F"/>
    <w:rsid w:val="008E3AE4"/>
    <w:rsid w:val="008E520C"/>
    <w:rsid w:val="008E75BE"/>
    <w:rsid w:val="008E7B24"/>
    <w:rsid w:val="008F3907"/>
    <w:rsid w:val="008F3F36"/>
    <w:rsid w:val="008F4C30"/>
    <w:rsid w:val="008F7242"/>
    <w:rsid w:val="008F7C68"/>
    <w:rsid w:val="0090034A"/>
    <w:rsid w:val="00901F55"/>
    <w:rsid w:val="009036B7"/>
    <w:rsid w:val="00904BC0"/>
    <w:rsid w:val="00910563"/>
    <w:rsid w:val="00910BB9"/>
    <w:rsid w:val="00912E35"/>
    <w:rsid w:val="0091346D"/>
    <w:rsid w:val="009168DA"/>
    <w:rsid w:val="0091746B"/>
    <w:rsid w:val="00921BF2"/>
    <w:rsid w:val="009221F4"/>
    <w:rsid w:val="00922C37"/>
    <w:rsid w:val="00922E0D"/>
    <w:rsid w:val="00922EF4"/>
    <w:rsid w:val="00923621"/>
    <w:rsid w:val="00925BAE"/>
    <w:rsid w:val="00925C03"/>
    <w:rsid w:val="00931D4E"/>
    <w:rsid w:val="009344DB"/>
    <w:rsid w:val="00934CFF"/>
    <w:rsid w:val="00934E67"/>
    <w:rsid w:val="009374EC"/>
    <w:rsid w:val="00937604"/>
    <w:rsid w:val="0094040B"/>
    <w:rsid w:val="0094249D"/>
    <w:rsid w:val="00942E0B"/>
    <w:rsid w:val="00947A16"/>
    <w:rsid w:val="00950499"/>
    <w:rsid w:val="00951D67"/>
    <w:rsid w:val="009534CD"/>
    <w:rsid w:val="00955A54"/>
    <w:rsid w:val="00956305"/>
    <w:rsid w:val="009568E1"/>
    <w:rsid w:val="00956C59"/>
    <w:rsid w:val="00961105"/>
    <w:rsid w:val="00961CF2"/>
    <w:rsid w:val="00961DBD"/>
    <w:rsid w:val="0096361B"/>
    <w:rsid w:val="009637CC"/>
    <w:rsid w:val="00964FA9"/>
    <w:rsid w:val="00965DAE"/>
    <w:rsid w:val="00965FDE"/>
    <w:rsid w:val="00967914"/>
    <w:rsid w:val="009725B1"/>
    <w:rsid w:val="00972E11"/>
    <w:rsid w:val="00974C6D"/>
    <w:rsid w:val="00975A85"/>
    <w:rsid w:val="00976194"/>
    <w:rsid w:val="00977ACE"/>
    <w:rsid w:val="009805C9"/>
    <w:rsid w:val="00980790"/>
    <w:rsid w:val="00980965"/>
    <w:rsid w:val="009838F2"/>
    <w:rsid w:val="00983D29"/>
    <w:rsid w:val="00983EC2"/>
    <w:rsid w:val="00992521"/>
    <w:rsid w:val="009929CB"/>
    <w:rsid w:val="00992C48"/>
    <w:rsid w:val="00994EDA"/>
    <w:rsid w:val="00996D63"/>
    <w:rsid w:val="00997B73"/>
    <w:rsid w:val="00997B9E"/>
    <w:rsid w:val="00997CAB"/>
    <w:rsid w:val="00997D5A"/>
    <w:rsid w:val="009A3719"/>
    <w:rsid w:val="009A38BB"/>
    <w:rsid w:val="009A39CE"/>
    <w:rsid w:val="009B09CB"/>
    <w:rsid w:val="009B2514"/>
    <w:rsid w:val="009B431F"/>
    <w:rsid w:val="009B5AF3"/>
    <w:rsid w:val="009B7AFF"/>
    <w:rsid w:val="009C05E6"/>
    <w:rsid w:val="009C3471"/>
    <w:rsid w:val="009D0B4E"/>
    <w:rsid w:val="009D0EF1"/>
    <w:rsid w:val="009D3DFA"/>
    <w:rsid w:val="009D5128"/>
    <w:rsid w:val="009D52E7"/>
    <w:rsid w:val="009D5D04"/>
    <w:rsid w:val="009E083F"/>
    <w:rsid w:val="009E0844"/>
    <w:rsid w:val="009E2480"/>
    <w:rsid w:val="009E263C"/>
    <w:rsid w:val="009E3C79"/>
    <w:rsid w:val="009E3F14"/>
    <w:rsid w:val="009E4F5A"/>
    <w:rsid w:val="009E6B13"/>
    <w:rsid w:val="009F038B"/>
    <w:rsid w:val="009F1D33"/>
    <w:rsid w:val="009F232A"/>
    <w:rsid w:val="009F3700"/>
    <w:rsid w:val="009F37F6"/>
    <w:rsid w:val="009F3A43"/>
    <w:rsid w:val="00A02A33"/>
    <w:rsid w:val="00A037C6"/>
    <w:rsid w:val="00A117DC"/>
    <w:rsid w:val="00A11937"/>
    <w:rsid w:val="00A11C5F"/>
    <w:rsid w:val="00A1230D"/>
    <w:rsid w:val="00A13652"/>
    <w:rsid w:val="00A13A30"/>
    <w:rsid w:val="00A203CA"/>
    <w:rsid w:val="00A212F1"/>
    <w:rsid w:val="00A26470"/>
    <w:rsid w:val="00A30FE8"/>
    <w:rsid w:val="00A3173D"/>
    <w:rsid w:val="00A317FB"/>
    <w:rsid w:val="00A32ED7"/>
    <w:rsid w:val="00A33B45"/>
    <w:rsid w:val="00A33BBC"/>
    <w:rsid w:val="00A346E9"/>
    <w:rsid w:val="00A34C6D"/>
    <w:rsid w:val="00A35406"/>
    <w:rsid w:val="00A41AE4"/>
    <w:rsid w:val="00A422F1"/>
    <w:rsid w:val="00A430CF"/>
    <w:rsid w:val="00A43EAE"/>
    <w:rsid w:val="00A464EF"/>
    <w:rsid w:val="00A478F7"/>
    <w:rsid w:val="00A527A2"/>
    <w:rsid w:val="00A5325C"/>
    <w:rsid w:val="00A54539"/>
    <w:rsid w:val="00A5593A"/>
    <w:rsid w:val="00A600C1"/>
    <w:rsid w:val="00A61E5C"/>
    <w:rsid w:val="00A70D95"/>
    <w:rsid w:val="00A7203B"/>
    <w:rsid w:val="00A72821"/>
    <w:rsid w:val="00A72A31"/>
    <w:rsid w:val="00A7323B"/>
    <w:rsid w:val="00A76D15"/>
    <w:rsid w:val="00A77543"/>
    <w:rsid w:val="00A80572"/>
    <w:rsid w:val="00A8083C"/>
    <w:rsid w:val="00A82BB8"/>
    <w:rsid w:val="00A860C6"/>
    <w:rsid w:val="00A872C3"/>
    <w:rsid w:val="00A90358"/>
    <w:rsid w:val="00A90A88"/>
    <w:rsid w:val="00A90FA4"/>
    <w:rsid w:val="00A91097"/>
    <w:rsid w:val="00A91212"/>
    <w:rsid w:val="00A967E2"/>
    <w:rsid w:val="00A97B3A"/>
    <w:rsid w:val="00AA01F8"/>
    <w:rsid w:val="00AA086B"/>
    <w:rsid w:val="00AA16A1"/>
    <w:rsid w:val="00AA26EB"/>
    <w:rsid w:val="00AA3B97"/>
    <w:rsid w:val="00AA5D4A"/>
    <w:rsid w:val="00AA6EE8"/>
    <w:rsid w:val="00AA74F1"/>
    <w:rsid w:val="00AB08D8"/>
    <w:rsid w:val="00AB76A9"/>
    <w:rsid w:val="00AC34B1"/>
    <w:rsid w:val="00AC74D9"/>
    <w:rsid w:val="00AC7A32"/>
    <w:rsid w:val="00AD13BC"/>
    <w:rsid w:val="00AD1B3E"/>
    <w:rsid w:val="00AD38E5"/>
    <w:rsid w:val="00AD41E1"/>
    <w:rsid w:val="00AD46EC"/>
    <w:rsid w:val="00AD5A57"/>
    <w:rsid w:val="00AE3A2B"/>
    <w:rsid w:val="00AE67EF"/>
    <w:rsid w:val="00B0046B"/>
    <w:rsid w:val="00B0093D"/>
    <w:rsid w:val="00B03495"/>
    <w:rsid w:val="00B049FA"/>
    <w:rsid w:val="00B04D59"/>
    <w:rsid w:val="00B04E35"/>
    <w:rsid w:val="00B05AC5"/>
    <w:rsid w:val="00B06494"/>
    <w:rsid w:val="00B1129F"/>
    <w:rsid w:val="00B121D6"/>
    <w:rsid w:val="00B13317"/>
    <w:rsid w:val="00B136F8"/>
    <w:rsid w:val="00B13B32"/>
    <w:rsid w:val="00B14B93"/>
    <w:rsid w:val="00B20B92"/>
    <w:rsid w:val="00B240D8"/>
    <w:rsid w:val="00B25A4D"/>
    <w:rsid w:val="00B27363"/>
    <w:rsid w:val="00B30673"/>
    <w:rsid w:val="00B308DC"/>
    <w:rsid w:val="00B310E5"/>
    <w:rsid w:val="00B32C06"/>
    <w:rsid w:val="00B34B8F"/>
    <w:rsid w:val="00B37D6F"/>
    <w:rsid w:val="00B37F3D"/>
    <w:rsid w:val="00B412A3"/>
    <w:rsid w:val="00B41AB2"/>
    <w:rsid w:val="00B42A85"/>
    <w:rsid w:val="00B4586E"/>
    <w:rsid w:val="00B46888"/>
    <w:rsid w:val="00B46D4D"/>
    <w:rsid w:val="00B47422"/>
    <w:rsid w:val="00B47EC6"/>
    <w:rsid w:val="00B50738"/>
    <w:rsid w:val="00B50FB9"/>
    <w:rsid w:val="00B545C7"/>
    <w:rsid w:val="00B56039"/>
    <w:rsid w:val="00B569D9"/>
    <w:rsid w:val="00B56ABC"/>
    <w:rsid w:val="00B60E44"/>
    <w:rsid w:val="00B61FF9"/>
    <w:rsid w:val="00B626DD"/>
    <w:rsid w:val="00B63751"/>
    <w:rsid w:val="00B6426C"/>
    <w:rsid w:val="00B65D3D"/>
    <w:rsid w:val="00B66879"/>
    <w:rsid w:val="00B70331"/>
    <w:rsid w:val="00B71203"/>
    <w:rsid w:val="00B719B1"/>
    <w:rsid w:val="00B734DD"/>
    <w:rsid w:val="00B73796"/>
    <w:rsid w:val="00B74A93"/>
    <w:rsid w:val="00B76F64"/>
    <w:rsid w:val="00B771FB"/>
    <w:rsid w:val="00B77E5D"/>
    <w:rsid w:val="00B77FC9"/>
    <w:rsid w:val="00B81B2B"/>
    <w:rsid w:val="00B85C83"/>
    <w:rsid w:val="00B90203"/>
    <w:rsid w:val="00B90830"/>
    <w:rsid w:val="00B92165"/>
    <w:rsid w:val="00B9229E"/>
    <w:rsid w:val="00B94E4A"/>
    <w:rsid w:val="00B95CEB"/>
    <w:rsid w:val="00B9620D"/>
    <w:rsid w:val="00BA1072"/>
    <w:rsid w:val="00BA1995"/>
    <w:rsid w:val="00BA1FFA"/>
    <w:rsid w:val="00BA2D48"/>
    <w:rsid w:val="00BA71B2"/>
    <w:rsid w:val="00BA72B9"/>
    <w:rsid w:val="00BA7728"/>
    <w:rsid w:val="00BA7CDA"/>
    <w:rsid w:val="00BB055E"/>
    <w:rsid w:val="00BB0E3A"/>
    <w:rsid w:val="00BB1D20"/>
    <w:rsid w:val="00BB1FF2"/>
    <w:rsid w:val="00BB45C2"/>
    <w:rsid w:val="00BB6084"/>
    <w:rsid w:val="00BB6A57"/>
    <w:rsid w:val="00BB6B31"/>
    <w:rsid w:val="00BC0D5D"/>
    <w:rsid w:val="00BC11DF"/>
    <w:rsid w:val="00BC397C"/>
    <w:rsid w:val="00BC56A0"/>
    <w:rsid w:val="00BC6472"/>
    <w:rsid w:val="00BD12EF"/>
    <w:rsid w:val="00BD145E"/>
    <w:rsid w:val="00BD1566"/>
    <w:rsid w:val="00BD1B35"/>
    <w:rsid w:val="00BD582F"/>
    <w:rsid w:val="00BD6014"/>
    <w:rsid w:val="00BE0BA4"/>
    <w:rsid w:val="00BE3072"/>
    <w:rsid w:val="00BE46D4"/>
    <w:rsid w:val="00BE642B"/>
    <w:rsid w:val="00BE66AD"/>
    <w:rsid w:val="00BE78A0"/>
    <w:rsid w:val="00BF6758"/>
    <w:rsid w:val="00C00B3A"/>
    <w:rsid w:val="00C01EEA"/>
    <w:rsid w:val="00C03500"/>
    <w:rsid w:val="00C04FDD"/>
    <w:rsid w:val="00C06901"/>
    <w:rsid w:val="00C118AC"/>
    <w:rsid w:val="00C129C3"/>
    <w:rsid w:val="00C13F9F"/>
    <w:rsid w:val="00C14204"/>
    <w:rsid w:val="00C14C96"/>
    <w:rsid w:val="00C15064"/>
    <w:rsid w:val="00C16495"/>
    <w:rsid w:val="00C16E12"/>
    <w:rsid w:val="00C17895"/>
    <w:rsid w:val="00C21B5A"/>
    <w:rsid w:val="00C2449F"/>
    <w:rsid w:val="00C25D19"/>
    <w:rsid w:val="00C25F3C"/>
    <w:rsid w:val="00C324F8"/>
    <w:rsid w:val="00C33581"/>
    <w:rsid w:val="00C34241"/>
    <w:rsid w:val="00C34F05"/>
    <w:rsid w:val="00C35570"/>
    <w:rsid w:val="00C37C51"/>
    <w:rsid w:val="00C42E83"/>
    <w:rsid w:val="00C44C0D"/>
    <w:rsid w:val="00C44C75"/>
    <w:rsid w:val="00C463FC"/>
    <w:rsid w:val="00C46761"/>
    <w:rsid w:val="00C51352"/>
    <w:rsid w:val="00C51A27"/>
    <w:rsid w:val="00C520BD"/>
    <w:rsid w:val="00C5429E"/>
    <w:rsid w:val="00C61432"/>
    <w:rsid w:val="00C621EC"/>
    <w:rsid w:val="00C63EF2"/>
    <w:rsid w:val="00C63FE7"/>
    <w:rsid w:val="00C666CB"/>
    <w:rsid w:val="00C66C47"/>
    <w:rsid w:val="00C70E51"/>
    <w:rsid w:val="00C747D9"/>
    <w:rsid w:val="00C74FF4"/>
    <w:rsid w:val="00C7729D"/>
    <w:rsid w:val="00C81023"/>
    <w:rsid w:val="00C822D7"/>
    <w:rsid w:val="00C82FF8"/>
    <w:rsid w:val="00C850FD"/>
    <w:rsid w:val="00C91A7D"/>
    <w:rsid w:val="00C934E2"/>
    <w:rsid w:val="00C94574"/>
    <w:rsid w:val="00C96AA8"/>
    <w:rsid w:val="00C9703A"/>
    <w:rsid w:val="00CA48B0"/>
    <w:rsid w:val="00CA625E"/>
    <w:rsid w:val="00CA7829"/>
    <w:rsid w:val="00CB1555"/>
    <w:rsid w:val="00CB1963"/>
    <w:rsid w:val="00CB1E25"/>
    <w:rsid w:val="00CB3089"/>
    <w:rsid w:val="00CB504F"/>
    <w:rsid w:val="00CB595B"/>
    <w:rsid w:val="00CB6238"/>
    <w:rsid w:val="00CB7732"/>
    <w:rsid w:val="00CC0307"/>
    <w:rsid w:val="00CC08C6"/>
    <w:rsid w:val="00CC29E7"/>
    <w:rsid w:val="00CD2AB3"/>
    <w:rsid w:val="00CD5447"/>
    <w:rsid w:val="00CD5577"/>
    <w:rsid w:val="00CE187B"/>
    <w:rsid w:val="00CE1A63"/>
    <w:rsid w:val="00CE1D58"/>
    <w:rsid w:val="00CE1E56"/>
    <w:rsid w:val="00CE31B3"/>
    <w:rsid w:val="00CE53AA"/>
    <w:rsid w:val="00CE5747"/>
    <w:rsid w:val="00CE713C"/>
    <w:rsid w:val="00CE7519"/>
    <w:rsid w:val="00CF0833"/>
    <w:rsid w:val="00CF1814"/>
    <w:rsid w:val="00CF2667"/>
    <w:rsid w:val="00CF2E69"/>
    <w:rsid w:val="00CF33B4"/>
    <w:rsid w:val="00CF4EBA"/>
    <w:rsid w:val="00CF7C14"/>
    <w:rsid w:val="00CF7D29"/>
    <w:rsid w:val="00D017CC"/>
    <w:rsid w:val="00D039C5"/>
    <w:rsid w:val="00D03C31"/>
    <w:rsid w:val="00D05F1E"/>
    <w:rsid w:val="00D06B6D"/>
    <w:rsid w:val="00D12262"/>
    <w:rsid w:val="00D127E7"/>
    <w:rsid w:val="00D128F1"/>
    <w:rsid w:val="00D13A3D"/>
    <w:rsid w:val="00D15D80"/>
    <w:rsid w:val="00D16454"/>
    <w:rsid w:val="00D167CB"/>
    <w:rsid w:val="00D2248B"/>
    <w:rsid w:val="00D23019"/>
    <w:rsid w:val="00D23C7C"/>
    <w:rsid w:val="00D25D44"/>
    <w:rsid w:val="00D25D94"/>
    <w:rsid w:val="00D267C4"/>
    <w:rsid w:val="00D27344"/>
    <w:rsid w:val="00D348CE"/>
    <w:rsid w:val="00D40F8E"/>
    <w:rsid w:val="00D4246A"/>
    <w:rsid w:val="00D470C6"/>
    <w:rsid w:val="00D47A5A"/>
    <w:rsid w:val="00D52154"/>
    <w:rsid w:val="00D52B93"/>
    <w:rsid w:val="00D52D39"/>
    <w:rsid w:val="00D53004"/>
    <w:rsid w:val="00D5434C"/>
    <w:rsid w:val="00D54463"/>
    <w:rsid w:val="00D549C1"/>
    <w:rsid w:val="00D60282"/>
    <w:rsid w:val="00D66C94"/>
    <w:rsid w:val="00D70AB1"/>
    <w:rsid w:val="00D71350"/>
    <w:rsid w:val="00D72E3D"/>
    <w:rsid w:val="00D736CF"/>
    <w:rsid w:val="00D74888"/>
    <w:rsid w:val="00D836E6"/>
    <w:rsid w:val="00D872FC"/>
    <w:rsid w:val="00D91349"/>
    <w:rsid w:val="00D9259F"/>
    <w:rsid w:val="00D971E0"/>
    <w:rsid w:val="00D9729F"/>
    <w:rsid w:val="00D9774E"/>
    <w:rsid w:val="00DA00A6"/>
    <w:rsid w:val="00DA0C15"/>
    <w:rsid w:val="00DA1D58"/>
    <w:rsid w:val="00DA30FE"/>
    <w:rsid w:val="00DA3524"/>
    <w:rsid w:val="00DA4EF4"/>
    <w:rsid w:val="00DA7F7F"/>
    <w:rsid w:val="00DB0518"/>
    <w:rsid w:val="00DB35A9"/>
    <w:rsid w:val="00DB3C21"/>
    <w:rsid w:val="00DB42C2"/>
    <w:rsid w:val="00DB56D5"/>
    <w:rsid w:val="00DB6AC9"/>
    <w:rsid w:val="00DB73CC"/>
    <w:rsid w:val="00DB7E5D"/>
    <w:rsid w:val="00DC33C9"/>
    <w:rsid w:val="00DC3413"/>
    <w:rsid w:val="00DC7D7A"/>
    <w:rsid w:val="00DD175B"/>
    <w:rsid w:val="00DD3B63"/>
    <w:rsid w:val="00DD48F5"/>
    <w:rsid w:val="00DD76DE"/>
    <w:rsid w:val="00DD7BF4"/>
    <w:rsid w:val="00DE0AA4"/>
    <w:rsid w:val="00DE275A"/>
    <w:rsid w:val="00DE6B61"/>
    <w:rsid w:val="00DE7037"/>
    <w:rsid w:val="00DE723D"/>
    <w:rsid w:val="00DE7D0B"/>
    <w:rsid w:val="00DE7DCF"/>
    <w:rsid w:val="00DF1530"/>
    <w:rsid w:val="00DF29C3"/>
    <w:rsid w:val="00DF447B"/>
    <w:rsid w:val="00DF4908"/>
    <w:rsid w:val="00DF58D8"/>
    <w:rsid w:val="00DF5907"/>
    <w:rsid w:val="00DF5FB3"/>
    <w:rsid w:val="00DF6665"/>
    <w:rsid w:val="00E000EB"/>
    <w:rsid w:val="00E01D20"/>
    <w:rsid w:val="00E02E28"/>
    <w:rsid w:val="00E03C35"/>
    <w:rsid w:val="00E041AD"/>
    <w:rsid w:val="00E069ED"/>
    <w:rsid w:val="00E11F1D"/>
    <w:rsid w:val="00E12B96"/>
    <w:rsid w:val="00E13AE9"/>
    <w:rsid w:val="00E13EF8"/>
    <w:rsid w:val="00E1412A"/>
    <w:rsid w:val="00E142BD"/>
    <w:rsid w:val="00E15B65"/>
    <w:rsid w:val="00E17383"/>
    <w:rsid w:val="00E17FE0"/>
    <w:rsid w:val="00E20017"/>
    <w:rsid w:val="00E23F4C"/>
    <w:rsid w:val="00E24C6C"/>
    <w:rsid w:val="00E2562C"/>
    <w:rsid w:val="00E25905"/>
    <w:rsid w:val="00E25E07"/>
    <w:rsid w:val="00E26760"/>
    <w:rsid w:val="00E26F03"/>
    <w:rsid w:val="00E303E0"/>
    <w:rsid w:val="00E35A5F"/>
    <w:rsid w:val="00E3634E"/>
    <w:rsid w:val="00E379DC"/>
    <w:rsid w:val="00E400DE"/>
    <w:rsid w:val="00E431B7"/>
    <w:rsid w:val="00E45E88"/>
    <w:rsid w:val="00E46345"/>
    <w:rsid w:val="00E47EEE"/>
    <w:rsid w:val="00E53F89"/>
    <w:rsid w:val="00E5422E"/>
    <w:rsid w:val="00E57782"/>
    <w:rsid w:val="00E606B8"/>
    <w:rsid w:val="00E60EE5"/>
    <w:rsid w:val="00E65237"/>
    <w:rsid w:val="00E658FF"/>
    <w:rsid w:val="00E65FCB"/>
    <w:rsid w:val="00E71B58"/>
    <w:rsid w:val="00E7329C"/>
    <w:rsid w:val="00E7429F"/>
    <w:rsid w:val="00E758C6"/>
    <w:rsid w:val="00E829F6"/>
    <w:rsid w:val="00E8317F"/>
    <w:rsid w:val="00E8327C"/>
    <w:rsid w:val="00E83608"/>
    <w:rsid w:val="00E855F4"/>
    <w:rsid w:val="00E8622A"/>
    <w:rsid w:val="00E86688"/>
    <w:rsid w:val="00E9002E"/>
    <w:rsid w:val="00E925E0"/>
    <w:rsid w:val="00E96D79"/>
    <w:rsid w:val="00E97CC8"/>
    <w:rsid w:val="00EA0953"/>
    <w:rsid w:val="00EA2F66"/>
    <w:rsid w:val="00EA3DF0"/>
    <w:rsid w:val="00EA45C6"/>
    <w:rsid w:val="00EA5145"/>
    <w:rsid w:val="00EA5223"/>
    <w:rsid w:val="00EA715F"/>
    <w:rsid w:val="00EA7EAB"/>
    <w:rsid w:val="00EB5BF5"/>
    <w:rsid w:val="00EC6164"/>
    <w:rsid w:val="00ED07E9"/>
    <w:rsid w:val="00ED297F"/>
    <w:rsid w:val="00ED799A"/>
    <w:rsid w:val="00EE13AA"/>
    <w:rsid w:val="00EE1BE8"/>
    <w:rsid w:val="00EE2001"/>
    <w:rsid w:val="00EE2B34"/>
    <w:rsid w:val="00EE4D48"/>
    <w:rsid w:val="00EE78AC"/>
    <w:rsid w:val="00EF05EA"/>
    <w:rsid w:val="00EF3F5A"/>
    <w:rsid w:val="00EF53BE"/>
    <w:rsid w:val="00EF559B"/>
    <w:rsid w:val="00EF5A21"/>
    <w:rsid w:val="00EF6574"/>
    <w:rsid w:val="00F01858"/>
    <w:rsid w:val="00F02AC7"/>
    <w:rsid w:val="00F04B03"/>
    <w:rsid w:val="00F12541"/>
    <w:rsid w:val="00F14DEF"/>
    <w:rsid w:val="00F1652A"/>
    <w:rsid w:val="00F17C2E"/>
    <w:rsid w:val="00F21554"/>
    <w:rsid w:val="00F21570"/>
    <w:rsid w:val="00F22126"/>
    <w:rsid w:val="00F24AAE"/>
    <w:rsid w:val="00F27457"/>
    <w:rsid w:val="00F27B6C"/>
    <w:rsid w:val="00F3012F"/>
    <w:rsid w:val="00F3208D"/>
    <w:rsid w:val="00F32FC8"/>
    <w:rsid w:val="00F4392A"/>
    <w:rsid w:val="00F44510"/>
    <w:rsid w:val="00F4656E"/>
    <w:rsid w:val="00F474A6"/>
    <w:rsid w:val="00F4760E"/>
    <w:rsid w:val="00F509F1"/>
    <w:rsid w:val="00F51862"/>
    <w:rsid w:val="00F53C8C"/>
    <w:rsid w:val="00F55670"/>
    <w:rsid w:val="00F55DCE"/>
    <w:rsid w:val="00F55F8F"/>
    <w:rsid w:val="00F565AB"/>
    <w:rsid w:val="00F578FD"/>
    <w:rsid w:val="00F63198"/>
    <w:rsid w:val="00F711DA"/>
    <w:rsid w:val="00F712A4"/>
    <w:rsid w:val="00F72C1B"/>
    <w:rsid w:val="00F744ED"/>
    <w:rsid w:val="00F778EE"/>
    <w:rsid w:val="00F80AD3"/>
    <w:rsid w:val="00F80C6C"/>
    <w:rsid w:val="00F821F1"/>
    <w:rsid w:val="00F85FB1"/>
    <w:rsid w:val="00F91330"/>
    <w:rsid w:val="00F92BD2"/>
    <w:rsid w:val="00F94232"/>
    <w:rsid w:val="00F96366"/>
    <w:rsid w:val="00F97FA6"/>
    <w:rsid w:val="00FA0814"/>
    <w:rsid w:val="00FA08A5"/>
    <w:rsid w:val="00FA228E"/>
    <w:rsid w:val="00FA362D"/>
    <w:rsid w:val="00FA4707"/>
    <w:rsid w:val="00FA51CC"/>
    <w:rsid w:val="00FA600E"/>
    <w:rsid w:val="00FB2B25"/>
    <w:rsid w:val="00FB65EE"/>
    <w:rsid w:val="00FB66F9"/>
    <w:rsid w:val="00FB7505"/>
    <w:rsid w:val="00FC0D21"/>
    <w:rsid w:val="00FC450E"/>
    <w:rsid w:val="00FC55E7"/>
    <w:rsid w:val="00FD0230"/>
    <w:rsid w:val="00FD1371"/>
    <w:rsid w:val="00FD1517"/>
    <w:rsid w:val="00FD21AE"/>
    <w:rsid w:val="00FD320B"/>
    <w:rsid w:val="00FD6945"/>
    <w:rsid w:val="00FE10B3"/>
    <w:rsid w:val="00FE3AA5"/>
    <w:rsid w:val="00FE44AC"/>
    <w:rsid w:val="00FF0CC8"/>
    <w:rsid w:val="00FF12C5"/>
    <w:rsid w:val="00FF3396"/>
    <w:rsid w:val="00FF559D"/>
    <w:rsid w:val="00FF6FFB"/>
    <w:rsid w:val="01223B82"/>
    <w:rsid w:val="016F1D40"/>
    <w:rsid w:val="03E33DD9"/>
    <w:rsid w:val="06DA294A"/>
    <w:rsid w:val="0BC91616"/>
    <w:rsid w:val="0FAD441B"/>
    <w:rsid w:val="153E7BF5"/>
    <w:rsid w:val="15500EE4"/>
    <w:rsid w:val="16814D35"/>
    <w:rsid w:val="176C72F7"/>
    <w:rsid w:val="17905436"/>
    <w:rsid w:val="17D50F45"/>
    <w:rsid w:val="18973A8F"/>
    <w:rsid w:val="21D002A4"/>
    <w:rsid w:val="238561DE"/>
    <w:rsid w:val="25D510ED"/>
    <w:rsid w:val="268E6747"/>
    <w:rsid w:val="272B250C"/>
    <w:rsid w:val="288B1A39"/>
    <w:rsid w:val="2D9F6589"/>
    <w:rsid w:val="2DCF21E3"/>
    <w:rsid w:val="31E242B8"/>
    <w:rsid w:val="33B97D52"/>
    <w:rsid w:val="346D7BCB"/>
    <w:rsid w:val="348D609E"/>
    <w:rsid w:val="36242599"/>
    <w:rsid w:val="3658101D"/>
    <w:rsid w:val="366A669A"/>
    <w:rsid w:val="36795EDE"/>
    <w:rsid w:val="37270EEB"/>
    <w:rsid w:val="3A323681"/>
    <w:rsid w:val="3CCE631A"/>
    <w:rsid w:val="3E135D25"/>
    <w:rsid w:val="3E975CC5"/>
    <w:rsid w:val="3E98676B"/>
    <w:rsid w:val="423323D4"/>
    <w:rsid w:val="4594551B"/>
    <w:rsid w:val="465D5800"/>
    <w:rsid w:val="47983BE8"/>
    <w:rsid w:val="4B931DE9"/>
    <w:rsid w:val="4BDE7300"/>
    <w:rsid w:val="50BE55B0"/>
    <w:rsid w:val="5475149D"/>
    <w:rsid w:val="5553343A"/>
    <w:rsid w:val="55BB16B6"/>
    <w:rsid w:val="58A06672"/>
    <w:rsid w:val="59A61CD2"/>
    <w:rsid w:val="5B1332C5"/>
    <w:rsid w:val="5E4A2644"/>
    <w:rsid w:val="5F4E6765"/>
    <w:rsid w:val="5FB2527F"/>
    <w:rsid w:val="61A3777E"/>
    <w:rsid w:val="63011BB9"/>
    <w:rsid w:val="64853E52"/>
    <w:rsid w:val="67667244"/>
    <w:rsid w:val="6A647785"/>
    <w:rsid w:val="6B0C2D7F"/>
    <w:rsid w:val="6BC40E47"/>
    <w:rsid w:val="6D477E80"/>
    <w:rsid w:val="6DFD7CD4"/>
    <w:rsid w:val="6EC90D29"/>
    <w:rsid w:val="700B74D8"/>
    <w:rsid w:val="724A1C37"/>
    <w:rsid w:val="763C6E91"/>
    <w:rsid w:val="77CC40D6"/>
    <w:rsid w:val="784E69AF"/>
    <w:rsid w:val="78A432B2"/>
    <w:rsid w:val="7B8B4B71"/>
    <w:rsid w:val="7C71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87613A"/>
  <w15:docId w15:val="{C00ABF6D-03DB-46B3-A903-6DD8A6DC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customStyle="1" w:styleId="30">
    <w:name w:val="修订3"/>
    <w:hidden/>
    <w:uiPriority w:val="99"/>
    <w:semiHidden/>
    <w:qFormat/>
    <w:rPr>
      <w:kern w:val="2"/>
      <w:sz w:val="21"/>
    </w:rPr>
  </w:style>
  <w:style w:type="character" w:customStyle="1" w:styleId="read">
    <w:name w:val="read"/>
    <w:basedOn w:val="a0"/>
    <w:qFormat/>
  </w:style>
  <w:style w:type="paragraph" w:customStyle="1" w:styleId="4">
    <w:name w:val="修订4"/>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2B7E-D837-4A13-A7D4-58E723894994}">
  <ds:schemaRefs>
    <ds:schemaRef ds:uri="http://schemas.openxmlformats.org/officeDocument/2006/bibliography"/>
  </ds:schemaRefs>
</ds:datastoreItem>
</file>

<file path=customXml/itemProps2.xml><?xml version="1.0" encoding="utf-8"?>
<ds:datastoreItem xmlns:ds="http://schemas.openxmlformats.org/officeDocument/2006/customXml" ds:itemID="{CD04E832-817E-4A25-AF29-D4A4C181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44</Pages>
  <Words>5735</Words>
  <Characters>32695</Characters>
  <Application>Microsoft Office Word</Application>
  <DocSecurity>0</DocSecurity>
  <Lines>272</Lines>
  <Paragraphs>76</Paragraphs>
  <ScaleCrop>false</ScaleCrop>
  <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Hu，Nai Jun（胡乃君）</cp:lastModifiedBy>
  <cp:revision>9</cp:revision>
  <cp:lastPrinted>2022-03-15T07:46:00Z</cp:lastPrinted>
  <dcterms:created xsi:type="dcterms:W3CDTF">2024-08-09T05:07:00Z</dcterms:created>
  <dcterms:modified xsi:type="dcterms:W3CDTF">2025-08-14T10:25:00Z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CC778518FC5043DD847BCB5998A23FB9</vt:lpwstr>
  </property>
  <property fmtid="{D5CDD505-2E9C-101B-9397-08002B2CF9AE}" pid="4" name="KSOTemplateDocerSaveRecord">
    <vt:lpwstr>eyJoZGlkIjoiNGU5YTk2NWU3OTRhNTU0YjZlNWE0ODExMjY4YzM0MTgiLCJ1c2VySWQiOiIzNDg1NTA3MzkifQ==</vt:lpwstr>
  </property>
</Properties>
</file>